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AA1BC" w14:textId="02B2F860" w:rsidR="00A226EF" w:rsidRDefault="00A226EF" w:rsidP="00CD52D1">
      <w:pPr>
        <w:pStyle w:val="Heading1"/>
      </w:pPr>
      <w:r>
        <w:rPr>
          <w:noProof/>
        </w:rPr>
        <w:drawing>
          <wp:anchor distT="0" distB="0" distL="114300" distR="114300" simplePos="0" relativeHeight="251658240" behindDoc="1" locked="0" layoutInCell="1" allowOverlap="1" wp14:anchorId="401179F2" wp14:editId="3B53795B">
            <wp:simplePos x="0" y="0"/>
            <wp:positionH relativeFrom="column">
              <wp:posOffset>-899160</wp:posOffset>
            </wp:positionH>
            <wp:positionV relativeFrom="paragraph">
              <wp:posOffset>-708384</wp:posOffset>
            </wp:positionV>
            <wp:extent cx="7543800" cy="1862179"/>
            <wp:effectExtent l="0" t="0" r="0" b="5080"/>
            <wp:wrapNone/>
            <wp:docPr id="212438880" name="Picture 1" descr="Our Watch - Preventing violence against wo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r Watch - Preventing violence against wom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3800" cy="18621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DC9EE5" w14:textId="6BAE342E" w:rsidR="005B491A" w:rsidRPr="00AD192B" w:rsidRDefault="0010624A" w:rsidP="00CD52D1">
      <w:pPr>
        <w:pStyle w:val="Heading1"/>
      </w:pPr>
      <w:r>
        <w:t>Statement of i</w:t>
      </w:r>
      <w:r w:rsidR="00214A71">
        <w:t xml:space="preserve">nformation for potential </w:t>
      </w:r>
      <w:r w:rsidR="00D24B58">
        <w:t xml:space="preserve">        </w:t>
      </w:r>
      <w:r w:rsidR="00C242BC">
        <w:t xml:space="preserve">partners and </w:t>
      </w:r>
      <w:r w:rsidR="00214A71">
        <w:t>s</w:t>
      </w:r>
      <w:r w:rsidR="00D846AC" w:rsidRPr="005B491A">
        <w:t>upplier</w:t>
      </w:r>
      <w:r w:rsidR="00214A71">
        <w:t>s</w:t>
      </w:r>
    </w:p>
    <w:p w14:paraId="6067D29E" w14:textId="2EC6FD75" w:rsidR="00D846AC" w:rsidRPr="001055BC" w:rsidRDefault="00FC38F4" w:rsidP="001055BC">
      <w:pPr>
        <w:pStyle w:val="Heading2"/>
      </w:pPr>
      <w:r>
        <w:t xml:space="preserve">Introduction </w:t>
      </w:r>
    </w:p>
    <w:p w14:paraId="37B2B093" w14:textId="079CC61B" w:rsidR="006E37A2" w:rsidRPr="006E2666" w:rsidRDefault="006E37A2" w:rsidP="006E37A2">
      <w:r w:rsidRPr="4C716C09">
        <w:t xml:space="preserve">Our Watch seeks to ensure our </w:t>
      </w:r>
      <w:r w:rsidR="00FF472E">
        <w:t xml:space="preserve">work </w:t>
      </w:r>
      <w:r w:rsidRPr="4C716C09">
        <w:t xml:space="preserve">reflects our values, and safe and ethical work practices. If you are </w:t>
      </w:r>
      <w:r w:rsidR="00FF472E">
        <w:t xml:space="preserve">considering </w:t>
      </w:r>
      <w:r w:rsidRPr="4C716C09">
        <w:t>work</w:t>
      </w:r>
      <w:r w:rsidR="00FF472E">
        <w:t>ing</w:t>
      </w:r>
      <w:r w:rsidRPr="4C716C09">
        <w:t xml:space="preserve"> with Our Watch, you may be asked to tell us how you align to Our Watch’s </w:t>
      </w:r>
      <w:r w:rsidR="00FC38F4">
        <w:t>requirements</w:t>
      </w:r>
      <w:r w:rsidRPr="4C716C09">
        <w:t>. This includes:</w:t>
      </w:r>
    </w:p>
    <w:p w14:paraId="5D2CCB8C" w14:textId="77777777" w:rsidR="006E37A2" w:rsidRPr="00235ADC" w:rsidRDefault="006E37A2" w:rsidP="00235ADC">
      <w:pPr>
        <w:pStyle w:val="ListParagraph"/>
      </w:pPr>
      <w:r w:rsidRPr="00235ADC">
        <w:t>Our Watch’s values</w:t>
      </w:r>
    </w:p>
    <w:p w14:paraId="1A899307" w14:textId="77777777" w:rsidR="006E37A2" w:rsidRPr="00235ADC" w:rsidRDefault="006E37A2" w:rsidP="00235ADC">
      <w:pPr>
        <w:pStyle w:val="ListParagraph"/>
      </w:pPr>
      <w:r w:rsidRPr="00235ADC">
        <w:t>Ethical business practices</w:t>
      </w:r>
    </w:p>
    <w:p w14:paraId="2ADA2CDD" w14:textId="60FA80E4" w:rsidR="006E37A2" w:rsidRPr="00235ADC" w:rsidRDefault="006E37A2" w:rsidP="00B64B7E">
      <w:pPr>
        <w:pStyle w:val="ListParagraph"/>
      </w:pPr>
      <w:r>
        <w:t>Addressing conflicts of interest, gifts, benefits</w:t>
      </w:r>
      <w:r w:rsidR="00B64B7E">
        <w:t xml:space="preserve"> </w:t>
      </w:r>
      <w:r>
        <w:t>and hospitality</w:t>
      </w:r>
    </w:p>
    <w:p w14:paraId="0EF7F267" w14:textId="77777777" w:rsidR="006E37A2" w:rsidRPr="00235ADC" w:rsidRDefault="006E37A2" w:rsidP="00235ADC">
      <w:pPr>
        <w:pStyle w:val="ListParagraph"/>
      </w:pPr>
      <w:r w:rsidRPr="00235ADC">
        <w:t>Data handling and privacy compliance</w:t>
      </w:r>
    </w:p>
    <w:p w14:paraId="591B2445" w14:textId="77777777" w:rsidR="006E37A2" w:rsidRPr="00235ADC" w:rsidRDefault="006E37A2" w:rsidP="00235ADC">
      <w:pPr>
        <w:pStyle w:val="ListParagraph"/>
      </w:pPr>
      <w:r w:rsidRPr="00235ADC">
        <w:t>Use of artificial intelligence</w:t>
      </w:r>
    </w:p>
    <w:p w14:paraId="014B5685" w14:textId="77777777" w:rsidR="006E37A2" w:rsidRPr="00235ADC" w:rsidRDefault="006E37A2" w:rsidP="00235ADC">
      <w:pPr>
        <w:pStyle w:val="ListParagraph"/>
      </w:pPr>
      <w:r w:rsidRPr="00235ADC">
        <w:t>Safety of children and vulnerable people</w:t>
      </w:r>
    </w:p>
    <w:p w14:paraId="4242CB90" w14:textId="2468A6B1" w:rsidR="006E37A2" w:rsidRDefault="006E37A2" w:rsidP="00235ADC">
      <w:pPr>
        <w:pStyle w:val="ListParagraph"/>
      </w:pPr>
      <w:r w:rsidRPr="00235ADC">
        <w:t>Health, Safety and Labour practices</w:t>
      </w:r>
    </w:p>
    <w:p w14:paraId="04B95BF2" w14:textId="69B61F6F" w:rsidR="007E2D52" w:rsidRPr="00235ADC" w:rsidRDefault="007E2D52" w:rsidP="007E2D52">
      <w:pPr>
        <w:pStyle w:val="ListParagraph"/>
      </w:pPr>
      <w:r>
        <w:t>Gender equality, diversity and inclusion</w:t>
      </w:r>
    </w:p>
    <w:p w14:paraId="6421B8F1" w14:textId="7089142E" w:rsidR="00AD192B" w:rsidRPr="00CD52D1" w:rsidRDefault="00AD192B" w:rsidP="00EB18B2">
      <w:pPr>
        <w:spacing w:before="120"/>
      </w:pPr>
      <w:r w:rsidRPr="00CD52D1">
        <w:t>Th</w:t>
      </w:r>
      <w:r w:rsidR="00B77F4D">
        <w:t>is</w:t>
      </w:r>
      <w:r w:rsidRPr="00CD52D1">
        <w:t xml:space="preserve"> </w:t>
      </w:r>
      <w:r w:rsidR="0073276C">
        <w:t xml:space="preserve">Statement </w:t>
      </w:r>
      <w:r w:rsidR="00BA4892" w:rsidRPr="3BE8F32B">
        <w:t>is for</w:t>
      </w:r>
      <w:r w:rsidR="00BA4892">
        <w:t xml:space="preserve"> general</w:t>
      </w:r>
      <w:r w:rsidR="00BA4892" w:rsidRPr="3BE8F32B">
        <w:t xml:space="preserve"> information purposes only</w:t>
      </w:r>
      <w:r w:rsidR="00BA4892" w:rsidRPr="00CD52D1" w:rsidDel="0073276C">
        <w:t xml:space="preserve"> </w:t>
      </w:r>
      <w:r w:rsidR="00BA4892">
        <w:t xml:space="preserve">and </w:t>
      </w:r>
      <w:r w:rsidRPr="00CD52D1">
        <w:t xml:space="preserve">does not </w:t>
      </w:r>
      <w:r w:rsidR="0076569A">
        <w:t xml:space="preserve">vary, waive, or otherwise impact </w:t>
      </w:r>
      <w:r w:rsidRPr="00CD52D1">
        <w:t>a</w:t>
      </w:r>
      <w:r w:rsidR="003F2558">
        <w:t xml:space="preserve">ny </w:t>
      </w:r>
      <w:r w:rsidRPr="00CD52D1">
        <w:t>legislative, regulatory or contractual obligations.</w:t>
      </w:r>
    </w:p>
    <w:p w14:paraId="23BCF7E4" w14:textId="7EC8911A" w:rsidR="00D846AC" w:rsidRPr="00AD192B" w:rsidRDefault="00D846AC" w:rsidP="001055BC">
      <w:pPr>
        <w:pStyle w:val="Heading2"/>
      </w:pPr>
      <w:r w:rsidRPr="00AD192B">
        <w:t>Scope</w:t>
      </w:r>
    </w:p>
    <w:p w14:paraId="237E98C8" w14:textId="500B8760" w:rsidR="00D846AC" w:rsidRPr="005B491A" w:rsidRDefault="00D846AC" w:rsidP="00CD52D1">
      <w:r w:rsidRPr="005B491A">
        <w:t xml:space="preserve">This </w:t>
      </w:r>
      <w:r w:rsidR="0073276C">
        <w:t xml:space="preserve">Statement </w:t>
      </w:r>
      <w:r w:rsidRPr="005B491A">
        <w:t xml:space="preserve">applies to individuals and organisations </w:t>
      </w:r>
      <w:r w:rsidR="00782C6C">
        <w:t xml:space="preserve">seeking to </w:t>
      </w:r>
      <w:r w:rsidR="003F2558">
        <w:t xml:space="preserve">work with </w:t>
      </w:r>
      <w:r w:rsidR="00AD192B">
        <w:t>Our Watch</w:t>
      </w:r>
      <w:r w:rsidRPr="005B491A">
        <w:t>.</w:t>
      </w:r>
    </w:p>
    <w:p w14:paraId="6F13BEB1" w14:textId="5967646B" w:rsidR="007E2D52" w:rsidRDefault="00EC4AA8" w:rsidP="00CD52D1">
      <w:r>
        <w:t xml:space="preserve">Partners and suppliers </w:t>
      </w:r>
      <w:r w:rsidR="007E2D52" w:rsidRPr="007E2D52">
        <w:t xml:space="preserve">in this context </w:t>
      </w:r>
      <w:r w:rsidR="00EB18B2" w:rsidRPr="007E2D52">
        <w:t>include</w:t>
      </w:r>
      <w:r w:rsidR="007E2D52" w:rsidRPr="007E2D52">
        <w:t xml:space="preserve"> any party providing professional or other services to Our Watch, whether engaged through a direct contractual relationship or through a partner, collaborator, or other delivery arrangement.</w:t>
      </w:r>
    </w:p>
    <w:p w14:paraId="784C1DC0" w14:textId="61D62343" w:rsidR="00D846AC" w:rsidRDefault="00872D6B" w:rsidP="00CD52D1">
      <w:r>
        <w:t xml:space="preserve">Potential </w:t>
      </w:r>
      <w:r w:rsidR="002549C3">
        <w:t xml:space="preserve">partners and </w:t>
      </w:r>
      <w:r>
        <w:t>s</w:t>
      </w:r>
      <w:r w:rsidR="00D846AC" w:rsidRPr="00D846AC">
        <w:t xml:space="preserve">uppliers </w:t>
      </w:r>
      <w:r>
        <w:t>are encouraged to r</w:t>
      </w:r>
      <w:r w:rsidR="00D846AC" w:rsidRPr="00D846AC">
        <w:t xml:space="preserve">eview </w:t>
      </w:r>
      <w:r>
        <w:t xml:space="preserve">and understand </w:t>
      </w:r>
      <w:r w:rsidR="00E17176">
        <w:t xml:space="preserve">Our Watch’s expectations </w:t>
      </w:r>
      <w:r w:rsidR="00AC6EB2">
        <w:t>before committing to do business with us.</w:t>
      </w:r>
    </w:p>
    <w:p w14:paraId="533D1C55" w14:textId="13624C85" w:rsidR="008D5075" w:rsidRDefault="00245672" w:rsidP="003B4A04">
      <w:r>
        <w:t xml:space="preserve">How a </w:t>
      </w:r>
      <w:r w:rsidR="002549C3">
        <w:t>party</w:t>
      </w:r>
      <w:r>
        <w:t xml:space="preserve"> </w:t>
      </w:r>
      <w:r w:rsidR="0046198A">
        <w:t xml:space="preserve">meets </w:t>
      </w:r>
      <w:r>
        <w:t>th</w:t>
      </w:r>
      <w:r w:rsidR="00DD3E2F">
        <w:t xml:space="preserve">ese expectations </w:t>
      </w:r>
      <w:r>
        <w:t xml:space="preserve">will suitably consider the size, scale and nature of the </w:t>
      </w:r>
      <w:r w:rsidR="0076569A">
        <w:t>s</w:t>
      </w:r>
      <w:r>
        <w:t xml:space="preserve">upplier’s business. </w:t>
      </w:r>
    </w:p>
    <w:p w14:paraId="244D65A2" w14:textId="3F9FBE1F" w:rsidR="00D846AC" w:rsidRPr="00D846AC" w:rsidRDefault="00D846AC" w:rsidP="001055BC">
      <w:pPr>
        <w:pStyle w:val="Heading2"/>
      </w:pPr>
      <w:r w:rsidRPr="00D846AC">
        <w:t>Our Watch Values</w:t>
      </w:r>
    </w:p>
    <w:p w14:paraId="15A3AEEB" w14:textId="77777777" w:rsidR="00690323" w:rsidRPr="006E2666" w:rsidRDefault="00690323" w:rsidP="00690323">
      <w:r w:rsidRPr="3BE8F32B">
        <w:t>The</w:t>
      </w:r>
      <w:r>
        <w:t xml:space="preserve"> values that guide our work are</w:t>
      </w:r>
      <w:r w:rsidRPr="006E2666">
        <w:t>:</w:t>
      </w:r>
    </w:p>
    <w:p w14:paraId="7604AFA6" w14:textId="77777777" w:rsidR="00D846AC" w:rsidRPr="00D846AC" w:rsidRDefault="00D846AC" w:rsidP="008A7BF5">
      <w:pPr>
        <w:pStyle w:val="ListParagraph"/>
        <w:numPr>
          <w:ilvl w:val="0"/>
          <w:numId w:val="21"/>
        </w:numPr>
        <w:tabs>
          <w:tab w:val="clear" w:pos="720"/>
        </w:tabs>
        <w:spacing w:before="120"/>
        <w:ind w:left="426" w:hanging="357"/>
      </w:pPr>
      <w:r w:rsidRPr="00AD192B">
        <w:rPr>
          <w:b/>
          <w:bCs/>
        </w:rPr>
        <w:t>Collaborative</w:t>
      </w:r>
      <w:r w:rsidRPr="00D846AC">
        <w:t xml:space="preserve"> – We do this work together.</w:t>
      </w:r>
    </w:p>
    <w:p w14:paraId="2CD35DEE" w14:textId="77777777" w:rsidR="00D846AC" w:rsidRPr="00D846AC" w:rsidRDefault="00D846AC" w:rsidP="008A7BF5">
      <w:pPr>
        <w:pStyle w:val="ListParagraph"/>
        <w:numPr>
          <w:ilvl w:val="0"/>
          <w:numId w:val="21"/>
        </w:numPr>
        <w:tabs>
          <w:tab w:val="clear" w:pos="720"/>
        </w:tabs>
        <w:spacing w:before="120"/>
        <w:ind w:left="426" w:hanging="357"/>
      </w:pPr>
      <w:r w:rsidRPr="00AD192B">
        <w:rPr>
          <w:b/>
          <w:bCs/>
        </w:rPr>
        <w:t>Optimistic</w:t>
      </w:r>
      <w:r w:rsidRPr="00D846AC">
        <w:t xml:space="preserve"> – We believe that change is possible.</w:t>
      </w:r>
    </w:p>
    <w:p w14:paraId="43C73938" w14:textId="77777777" w:rsidR="00D846AC" w:rsidRPr="00D846AC" w:rsidRDefault="00D846AC" w:rsidP="008A7BF5">
      <w:pPr>
        <w:pStyle w:val="ListParagraph"/>
        <w:numPr>
          <w:ilvl w:val="0"/>
          <w:numId w:val="21"/>
        </w:numPr>
        <w:tabs>
          <w:tab w:val="clear" w:pos="720"/>
        </w:tabs>
        <w:spacing w:before="120"/>
        <w:ind w:left="426" w:hanging="357"/>
      </w:pPr>
      <w:r w:rsidRPr="00AD192B">
        <w:rPr>
          <w:b/>
          <w:bCs/>
        </w:rPr>
        <w:t>Creative</w:t>
      </w:r>
      <w:r w:rsidRPr="00D846AC">
        <w:t xml:space="preserve"> – We are innovative and brave as we create change.</w:t>
      </w:r>
    </w:p>
    <w:p w14:paraId="4CEAF74E" w14:textId="77777777" w:rsidR="00D846AC" w:rsidRPr="00D846AC" w:rsidRDefault="00D846AC" w:rsidP="008A7BF5">
      <w:pPr>
        <w:pStyle w:val="ListParagraph"/>
        <w:numPr>
          <w:ilvl w:val="0"/>
          <w:numId w:val="21"/>
        </w:numPr>
        <w:tabs>
          <w:tab w:val="clear" w:pos="720"/>
        </w:tabs>
        <w:spacing w:before="120"/>
        <w:ind w:left="426" w:hanging="357"/>
      </w:pPr>
      <w:r w:rsidRPr="00AD192B">
        <w:rPr>
          <w:b/>
          <w:bCs/>
        </w:rPr>
        <w:t>Authentic</w:t>
      </w:r>
      <w:r w:rsidRPr="00D846AC">
        <w:t xml:space="preserve"> – We stand behind our work.</w:t>
      </w:r>
    </w:p>
    <w:p w14:paraId="01871963" w14:textId="0BDF8255" w:rsidR="00EB18B2" w:rsidRDefault="00D846AC" w:rsidP="00EB18B2">
      <w:pPr>
        <w:pStyle w:val="ListParagraph"/>
        <w:numPr>
          <w:ilvl w:val="0"/>
          <w:numId w:val="21"/>
        </w:numPr>
        <w:tabs>
          <w:tab w:val="clear" w:pos="720"/>
        </w:tabs>
        <w:spacing w:before="120"/>
        <w:ind w:left="426" w:hanging="357"/>
      </w:pPr>
      <w:r w:rsidRPr="00AD192B">
        <w:rPr>
          <w:b/>
          <w:bCs/>
        </w:rPr>
        <w:t>Inclusive</w:t>
      </w:r>
      <w:r w:rsidRPr="00D846AC">
        <w:t xml:space="preserve"> – We embed a diverse range of perspectives in everything we do.</w:t>
      </w:r>
    </w:p>
    <w:p w14:paraId="1897BE23" w14:textId="77777777" w:rsidR="00EB18B2" w:rsidRDefault="00EB18B2">
      <w:pPr>
        <w:spacing w:after="160" w:line="278" w:lineRule="auto"/>
      </w:pPr>
      <w:r>
        <w:br w:type="page"/>
      </w:r>
    </w:p>
    <w:p w14:paraId="5D1DD89F" w14:textId="42079183" w:rsidR="00D61454" w:rsidRPr="0046198A" w:rsidRDefault="00E009E9" w:rsidP="005E2451">
      <w:pPr>
        <w:pStyle w:val="Heading2"/>
      </w:pPr>
      <w:r>
        <w:lastRenderedPageBreak/>
        <w:t xml:space="preserve"> E</w:t>
      </w:r>
      <w:r w:rsidR="00D61454" w:rsidRPr="0046198A">
        <w:t>thical Business Practices</w:t>
      </w:r>
    </w:p>
    <w:p w14:paraId="3F342E33" w14:textId="530C71F0" w:rsidR="00065D69" w:rsidRPr="006E2666" w:rsidRDefault="00065D69" w:rsidP="00065D69">
      <w:r>
        <w:t>At Our Watch, w</w:t>
      </w:r>
      <w:r w:rsidRPr="006E2666">
        <w:t>orking ethically means:</w:t>
      </w:r>
    </w:p>
    <w:p w14:paraId="4FDD2049" w14:textId="77777777" w:rsidR="00065D69" w:rsidRPr="00596B28" w:rsidRDefault="00065D69" w:rsidP="00596B28">
      <w:pPr>
        <w:pStyle w:val="ListParagraph"/>
      </w:pPr>
      <w:r w:rsidRPr="00596B28">
        <w:t>Complying with laws, regulations and standards.</w:t>
      </w:r>
    </w:p>
    <w:p w14:paraId="712C6E7A" w14:textId="77777777" w:rsidR="00065D69" w:rsidRPr="00596B28" w:rsidRDefault="00065D69" w:rsidP="00596B28">
      <w:pPr>
        <w:pStyle w:val="ListParagraph"/>
      </w:pPr>
      <w:r w:rsidRPr="00596B28">
        <w:t>Acting with honesty, integrity, transparency, and fairness in all dealings.</w:t>
      </w:r>
    </w:p>
    <w:p w14:paraId="509735FB" w14:textId="70038B85" w:rsidR="00065D69" w:rsidRPr="00596B28" w:rsidRDefault="00065D69" w:rsidP="00596B28">
      <w:pPr>
        <w:pStyle w:val="ListParagraph"/>
      </w:pPr>
      <w:r w:rsidRPr="00596B28">
        <w:t>Responding openly to requests for information from Our Watch, including risk assessments or certificates of compliance.</w:t>
      </w:r>
    </w:p>
    <w:p w14:paraId="53FEBB2B" w14:textId="5AA5BDCD" w:rsidR="00065D69" w:rsidRPr="00596B28" w:rsidRDefault="00065D69" w:rsidP="00596B28">
      <w:pPr>
        <w:pStyle w:val="ListParagraph"/>
      </w:pPr>
      <w:r w:rsidRPr="00596B28">
        <w:t xml:space="preserve">Not engaging in or </w:t>
      </w:r>
      <w:r w:rsidR="00FE339A" w:rsidRPr="00596B28">
        <w:t>aiding</w:t>
      </w:r>
      <w:r w:rsidRPr="00596B28">
        <w:t xml:space="preserve"> fraudulent, corrupt, unethical, exploitative, or collusive activities.</w:t>
      </w:r>
    </w:p>
    <w:p w14:paraId="70ECE296" w14:textId="55FFD8B8" w:rsidR="00E7056D" w:rsidRDefault="00065D69" w:rsidP="00E7056D">
      <w:pPr>
        <w:pStyle w:val="ListParagraph"/>
      </w:pPr>
      <w:r w:rsidRPr="00596B28">
        <w:t>Preventing behaviour that poorly impact</w:t>
      </w:r>
      <w:r w:rsidR="00FE339A">
        <w:t>s</w:t>
      </w:r>
      <w:r w:rsidRPr="00596B28">
        <w:t xml:space="preserve"> on the reputation of the supplier or Our Watch</w:t>
      </w:r>
      <w:r w:rsidRPr="006E2666">
        <w:t>.</w:t>
      </w:r>
    </w:p>
    <w:p w14:paraId="0AB121E6" w14:textId="7F302744" w:rsidR="009457CA" w:rsidRDefault="0003243E" w:rsidP="00DD54E5">
      <w:pPr>
        <w:pStyle w:val="Heading11"/>
      </w:pPr>
      <w:r w:rsidRPr="00E802B9">
        <w:t xml:space="preserve">Data </w:t>
      </w:r>
      <w:r w:rsidR="009457CA">
        <w:t>Handling</w:t>
      </w:r>
    </w:p>
    <w:p w14:paraId="314132A0" w14:textId="72346832" w:rsidR="009457CA" w:rsidRPr="009457CA" w:rsidRDefault="009457CA" w:rsidP="00DD54E5">
      <w:pPr>
        <w:pStyle w:val="Heading3"/>
      </w:pPr>
      <w:r w:rsidRPr="009457CA">
        <w:t>Privacy</w:t>
      </w:r>
    </w:p>
    <w:p w14:paraId="73D3FF9C" w14:textId="51F877FE" w:rsidR="009C5011" w:rsidRDefault="009C5011" w:rsidP="009C5011">
      <w:r w:rsidRPr="188F1111">
        <w:t>Our Watch</w:t>
      </w:r>
      <w:r w:rsidR="00EC4AA8">
        <w:t xml:space="preserve"> is obligated to </w:t>
      </w:r>
      <w:r w:rsidRPr="188F1111">
        <w:t>compl</w:t>
      </w:r>
      <w:r w:rsidR="00EC4AA8">
        <w:t>y</w:t>
      </w:r>
      <w:r w:rsidRPr="188F1111">
        <w:t xml:space="preserve"> with the Privacy Act 1988 (Cth). For some </w:t>
      </w:r>
      <w:r w:rsidR="002549C3">
        <w:t>parties</w:t>
      </w:r>
      <w:r w:rsidRPr="188F1111">
        <w:t xml:space="preserve">, who are not ordinarily subject to the Act, this means you will be asked to meet these requirements when working with Our Watch. </w:t>
      </w:r>
      <w:r w:rsidRPr="00DD54E5">
        <w:t xml:space="preserve">All </w:t>
      </w:r>
      <w:r w:rsidR="002549C3">
        <w:t xml:space="preserve">partners and </w:t>
      </w:r>
      <w:r w:rsidRPr="188F1111">
        <w:t>suppliers</w:t>
      </w:r>
      <w:r w:rsidRPr="188F1111">
        <w:rPr>
          <w:b/>
          <w:bCs/>
        </w:rPr>
        <w:t xml:space="preserve"> </w:t>
      </w:r>
      <w:r w:rsidRPr="188F1111">
        <w:t>should be prepared to meet the requirements set out under the Act.</w:t>
      </w:r>
    </w:p>
    <w:p w14:paraId="695DE98D" w14:textId="50819704" w:rsidR="00606308" w:rsidRDefault="001816E8" w:rsidP="009C5011">
      <w:r>
        <w:t xml:space="preserve">Information about compliance with the Privacy Act is provided on </w:t>
      </w:r>
      <w:r w:rsidR="00606308">
        <w:t xml:space="preserve">the Office of the Australian Information Commissioner website: </w:t>
      </w:r>
      <w:hyperlink r:id="rId12" w:history="1">
        <w:r w:rsidR="00606308" w:rsidRPr="00606308">
          <w:rPr>
            <w:rStyle w:val="Hyperlink"/>
          </w:rPr>
          <w:t>Australian Privacy Principles | OAIC</w:t>
        </w:r>
      </w:hyperlink>
      <w:r w:rsidR="00D818DF">
        <w:t>.</w:t>
      </w:r>
    </w:p>
    <w:p w14:paraId="47406835" w14:textId="6B0D2169" w:rsidR="00A21FC2" w:rsidRPr="00A21FC2" w:rsidRDefault="00A21FC2" w:rsidP="00DD54E5">
      <w:pPr>
        <w:pStyle w:val="Heading3"/>
      </w:pPr>
      <w:r>
        <w:t>Information s</w:t>
      </w:r>
      <w:r w:rsidRPr="00A21FC2">
        <w:t>ecurity</w:t>
      </w:r>
    </w:p>
    <w:p w14:paraId="5C0E81CB" w14:textId="3F940796" w:rsidR="00AE3FF3" w:rsidRDefault="000B20E3" w:rsidP="00AE3FF3">
      <w:r>
        <w:t xml:space="preserve">Our Watch expects </w:t>
      </w:r>
      <w:r w:rsidR="00EC4AA8">
        <w:t xml:space="preserve">partners and suppliers </w:t>
      </w:r>
      <w:r w:rsidR="000009BA">
        <w:t xml:space="preserve">to </w:t>
      </w:r>
      <w:r>
        <w:t xml:space="preserve">protect our information </w:t>
      </w:r>
      <w:r w:rsidR="00C944C9">
        <w:t xml:space="preserve">against </w:t>
      </w:r>
      <w:r w:rsidR="00C944C9" w:rsidRPr="00D846AC">
        <w:t>imprope</w:t>
      </w:r>
      <w:r w:rsidR="00C944C9">
        <w:t>r</w:t>
      </w:r>
      <w:r w:rsidR="00C944C9" w:rsidRPr="00D846AC">
        <w:t xml:space="preserve"> use</w:t>
      </w:r>
      <w:r w:rsidR="00FE339A">
        <w:t>. This</w:t>
      </w:r>
      <w:r w:rsidR="006D0ADF">
        <w:t xml:space="preserve"> includ</w:t>
      </w:r>
      <w:r w:rsidR="00FE339A">
        <w:t>es</w:t>
      </w:r>
      <w:r w:rsidR="00AE3FF3">
        <w:t>:</w:t>
      </w:r>
    </w:p>
    <w:p w14:paraId="1F15017E" w14:textId="052FA125" w:rsidR="00924323" w:rsidRPr="003B4A04" w:rsidRDefault="00924323" w:rsidP="00AE3FF3">
      <w:pPr>
        <w:pStyle w:val="ListParagraph"/>
      </w:pPr>
      <w:r w:rsidRPr="003B4A04">
        <w:t>manag</w:t>
      </w:r>
      <w:r w:rsidR="002249A1">
        <w:t>ing</w:t>
      </w:r>
      <w:r w:rsidRPr="003B4A04">
        <w:t xml:space="preserve"> cyber risks</w:t>
      </w:r>
      <w:r w:rsidR="00AE3FF3">
        <w:t xml:space="preserve"> </w:t>
      </w:r>
      <w:r w:rsidR="006D0ADF">
        <w:t xml:space="preserve">relative to </w:t>
      </w:r>
      <w:r w:rsidR="00EC4AA8">
        <w:t xml:space="preserve">the party’s </w:t>
      </w:r>
      <w:r w:rsidRPr="003B4A04">
        <w:t>size</w:t>
      </w:r>
      <w:r w:rsidR="006D0ADF">
        <w:t xml:space="preserve">, </w:t>
      </w:r>
      <w:r w:rsidRPr="003B4A04">
        <w:t>scale</w:t>
      </w:r>
      <w:r w:rsidR="006D0ADF">
        <w:t xml:space="preserve"> and </w:t>
      </w:r>
      <w:r w:rsidR="001514AB">
        <w:t>risk</w:t>
      </w:r>
    </w:p>
    <w:p w14:paraId="21BF271A" w14:textId="00302497" w:rsidR="00924323" w:rsidRPr="003B4A04" w:rsidRDefault="00B64B7E" w:rsidP="005742BA">
      <w:pPr>
        <w:pStyle w:val="ListParagraph"/>
      </w:pPr>
      <w:r>
        <w:t>h</w:t>
      </w:r>
      <w:r w:rsidR="00FE339A">
        <w:t xml:space="preserve">aving </w:t>
      </w:r>
      <w:r w:rsidR="002249A1">
        <w:t>process</w:t>
      </w:r>
      <w:r w:rsidR="00FE339A">
        <w:t>es</w:t>
      </w:r>
      <w:r w:rsidR="002249A1">
        <w:t xml:space="preserve"> to d</w:t>
      </w:r>
      <w:r w:rsidR="00F418BC" w:rsidRPr="003B4A04">
        <w:t>ispose</w:t>
      </w:r>
      <w:r w:rsidR="001514AB">
        <w:t>, secure,</w:t>
      </w:r>
      <w:r w:rsidR="00F418BC" w:rsidRPr="003B4A04">
        <w:t xml:space="preserve"> and/or return confidential information to Our Watch at the end of the </w:t>
      </w:r>
      <w:r w:rsidR="002549C3">
        <w:t xml:space="preserve">arrangement </w:t>
      </w:r>
      <w:r w:rsidR="00F418BC" w:rsidRPr="003B4A04">
        <w:t>period</w:t>
      </w:r>
      <w:r w:rsidR="00D93BCA">
        <w:t>.</w:t>
      </w:r>
    </w:p>
    <w:p w14:paraId="3180628E" w14:textId="77777777" w:rsidR="00A21FC2" w:rsidRPr="00EB18B2" w:rsidRDefault="00A21FC2" w:rsidP="00DD54E5">
      <w:pPr>
        <w:pStyle w:val="Heading3"/>
      </w:pPr>
      <w:r w:rsidRPr="00EB18B2">
        <w:t>Ethical handling of information</w:t>
      </w:r>
    </w:p>
    <w:p w14:paraId="0052EA4D" w14:textId="275034FA" w:rsidR="00316345" w:rsidRPr="00EB18B2" w:rsidRDefault="00C508DA" w:rsidP="00EB18B2">
      <w:r w:rsidRPr="00EB18B2">
        <w:t xml:space="preserve">Our Watch may seek to understand </w:t>
      </w:r>
      <w:r w:rsidR="002549C3" w:rsidRPr="00EB18B2">
        <w:t xml:space="preserve">your </w:t>
      </w:r>
      <w:r w:rsidRPr="00EB18B2">
        <w:t>capability to co</w:t>
      </w:r>
      <w:r w:rsidR="00316345" w:rsidRPr="00EB18B2">
        <w:t xml:space="preserve">llect and use information from individuals, organisations or communities in accordance with ethical best practices. </w:t>
      </w:r>
    </w:p>
    <w:p w14:paraId="2C876B76" w14:textId="6E6A62BF" w:rsidR="00E372A1" w:rsidRPr="00EB18B2" w:rsidRDefault="00EE7D03" w:rsidP="00EB18B2">
      <w:r w:rsidRPr="00EB18B2">
        <w:t xml:space="preserve">Our Watch conducts an internal ethical review of all </w:t>
      </w:r>
      <w:r w:rsidR="00E372A1" w:rsidRPr="00EB18B2">
        <w:t xml:space="preserve">information collection </w:t>
      </w:r>
      <w:r w:rsidR="00EB18B2" w:rsidRPr="00EB18B2">
        <w:t xml:space="preserve">activities, seeking to minimise ethical risks to participants, organisations, and communities. </w:t>
      </w:r>
      <w:r w:rsidR="00E372A1" w:rsidRPr="00EB18B2">
        <w:t xml:space="preserve"> </w:t>
      </w:r>
    </w:p>
    <w:p w14:paraId="6E7A5BFD" w14:textId="3A30F6C3" w:rsidR="00786381" w:rsidRPr="00EB18B2" w:rsidRDefault="00316345" w:rsidP="00EB18B2">
      <w:r w:rsidRPr="00EB18B2">
        <w:t>Third parties who are required to collect and use information as part of research</w:t>
      </w:r>
      <w:r w:rsidR="00786381" w:rsidRPr="00EB18B2">
        <w:t>, evaluation</w:t>
      </w:r>
      <w:r w:rsidRPr="00EB18B2">
        <w:t xml:space="preserve"> or </w:t>
      </w:r>
      <w:r w:rsidR="00786381" w:rsidRPr="00EB18B2">
        <w:t xml:space="preserve">research-like </w:t>
      </w:r>
      <w:r w:rsidRPr="00EB18B2">
        <w:t xml:space="preserve">work with us should be </w:t>
      </w:r>
      <w:r w:rsidR="00786381" w:rsidRPr="00EB18B2">
        <w:t>familiar with the National Statement on Ethical Conduct in Human Research</w:t>
      </w:r>
      <w:r w:rsidR="00EE7D03" w:rsidRPr="00EB18B2">
        <w:t xml:space="preserve"> </w:t>
      </w:r>
      <w:r w:rsidR="00786381" w:rsidRPr="00EB18B2">
        <w:t>and/or be prepared to work with us (or an external human research ethics committee) to develop a plan for the ethical handling of information</w:t>
      </w:r>
      <w:r w:rsidR="00EE7D03" w:rsidRPr="00EB18B2">
        <w:t xml:space="preserve"> i</w:t>
      </w:r>
      <w:r w:rsidR="00786381" w:rsidRPr="00EB18B2">
        <w:t>f required.</w:t>
      </w:r>
    </w:p>
    <w:p w14:paraId="5D0EB1DE" w14:textId="4B0D20CE" w:rsidR="00EE7D03" w:rsidRPr="00EB18B2" w:rsidRDefault="00EE7D03" w:rsidP="00EB18B2">
      <w:r w:rsidRPr="00EB18B2">
        <w:t xml:space="preserve">The National Health and Medical Research Council website provides further information, including the </w:t>
      </w:r>
      <w:hyperlink r:id="rId13" w:history="1">
        <w:r w:rsidRPr="00EB18B2">
          <w:rPr>
            <w:rStyle w:val="Hyperlink"/>
          </w:rPr>
          <w:t>National Statement on Ethical Conduct in Human Research | NHMRC</w:t>
        </w:r>
      </w:hyperlink>
      <w:r w:rsidRPr="00EB18B2">
        <w:t>.</w:t>
      </w:r>
    </w:p>
    <w:p w14:paraId="32694DC9" w14:textId="2E9208CB" w:rsidR="45109845" w:rsidRPr="00FF6D98" w:rsidRDefault="2673AB8C" w:rsidP="005E2451">
      <w:pPr>
        <w:pStyle w:val="Heading11"/>
      </w:pPr>
      <w:r w:rsidRPr="00FF6D98">
        <w:t xml:space="preserve">Use of </w:t>
      </w:r>
      <w:r w:rsidR="6448B23A" w:rsidRPr="00FF6D98">
        <w:t>Artificial</w:t>
      </w:r>
      <w:r w:rsidRPr="00FF6D98">
        <w:t xml:space="preserve"> Intelligence</w:t>
      </w:r>
    </w:p>
    <w:p w14:paraId="1D222F15" w14:textId="1B4F4544" w:rsidR="0055131B" w:rsidRDefault="002549C3" w:rsidP="0055131B">
      <w:pPr>
        <w:jc w:val="both"/>
      </w:pPr>
      <w:r>
        <w:t>Partners and s</w:t>
      </w:r>
      <w:r w:rsidR="0055131B">
        <w:t xml:space="preserve">uppliers should be </w:t>
      </w:r>
      <w:r w:rsidR="0055131B" w:rsidRPr="2123217B">
        <w:t xml:space="preserve">honest and </w:t>
      </w:r>
      <w:r w:rsidR="0055131B">
        <w:t xml:space="preserve">prepared to discuss any proposed use of artificial intelligence in their work. </w:t>
      </w:r>
      <w:r w:rsidR="0055131B" w:rsidRPr="006E2666">
        <w:t>For guidance on responsible use,</w:t>
      </w:r>
      <w:r w:rsidR="0055131B">
        <w:t xml:space="preserve"> Our Watch refers to</w:t>
      </w:r>
      <w:r w:rsidR="0055131B" w:rsidRPr="006E2666">
        <w:t xml:space="preserve"> the </w:t>
      </w:r>
      <w:r w:rsidR="009D315A">
        <w:t xml:space="preserve">Guidance for AI Adoption, </w:t>
      </w:r>
      <w:r w:rsidR="0055131B" w:rsidRPr="006E2666">
        <w:t>published by the Australian Government Department of Industry, Science and Resources.</w:t>
      </w:r>
    </w:p>
    <w:p w14:paraId="6D3A07CD" w14:textId="44394C62" w:rsidR="009D315A" w:rsidRPr="006E2666" w:rsidRDefault="009D315A" w:rsidP="0055131B">
      <w:pPr>
        <w:jc w:val="both"/>
      </w:pPr>
      <w:hyperlink r:id="rId14" w:history="1">
        <w:r w:rsidRPr="009D315A">
          <w:rPr>
            <w:rStyle w:val="Hyperlink"/>
          </w:rPr>
          <w:t>Guidance for AI Adoption | Department of Industry Science and Resources</w:t>
        </w:r>
      </w:hyperlink>
      <w:r w:rsidR="0018534F">
        <w:t>.</w:t>
      </w:r>
    </w:p>
    <w:p w14:paraId="32EBF8E7" w14:textId="77777777" w:rsidR="00FE339A" w:rsidRDefault="00FE339A">
      <w:pPr>
        <w:spacing w:after="160" w:line="278" w:lineRule="auto"/>
        <w:rPr>
          <w:b/>
          <w:bCs/>
          <w:sz w:val="28"/>
          <w:szCs w:val="28"/>
        </w:rPr>
      </w:pPr>
      <w:r>
        <w:br w:type="page"/>
      </w:r>
    </w:p>
    <w:p w14:paraId="5D101EDD" w14:textId="6834213C" w:rsidR="00A21FC2" w:rsidRPr="00A21FC2" w:rsidRDefault="00A21FC2" w:rsidP="00DD54E5">
      <w:pPr>
        <w:pStyle w:val="Heading11"/>
      </w:pPr>
      <w:r w:rsidRPr="00A21FC2">
        <w:lastRenderedPageBreak/>
        <w:t>Safety of children and vulnerable people</w:t>
      </w:r>
    </w:p>
    <w:p w14:paraId="31B70108" w14:textId="4B20F7CD" w:rsidR="007F344C" w:rsidRDefault="002549C3" w:rsidP="007F344C">
      <w:pPr>
        <w:jc w:val="both"/>
        <w:rPr>
          <w:rFonts w:eastAsia="Roboto" w:cs="Roboto"/>
        </w:rPr>
      </w:pPr>
      <w:r>
        <w:rPr>
          <w:rFonts w:eastAsia="Roboto" w:cs="Roboto"/>
        </w:rPr>
        <w:t>Partners and s</w:t>
      </w:r>
      <w:r w:rsidR="007F344C" w:rsidRPr="4C716C09">
        <w:rPr>
          <w:rFonts w:eastAsia="Roboto" w:cs="Roboto"/>
        </w:rPr>
        <w:t>uppliers should be able to assure Our Watch of their measures to ensure the safety of children and vulnerable people, where it is relevant to the work.</w:t>
      </w:r>
    </w:p>
    <w:p w14:paraId="26070A25" w14:textId="4ACF52DB" w:rsidR="00AA35B0" w:rsidRDefault="00AF27D6" w:rsidP="007F344C">
      <w:pPr>
        <w:jc w:val="both"/>
        <w:rPr>
          <w:rFonts w:eastAsia="Roboto" w:cs="Roboto"/>
        </w:rPr>
      </w:pPr>
      <w:r>
        <w:rPr>
          <w:rFonts w:eastAsia="Roboto" w:cs="Roboto"/>
        </w:rPr>
        <w:t xml:space="preserve">This means </w:t>
      </w:r>
      <w:r w:rsidR="002549C3">
        <w:rPr>
          <w:rFonts w:eastAsia="Roboto" w:cs="Roboto"/>
        </w:rPr>
        <w:t>you</w:t>
      </w:r>
      <w:r w:rsidRPr="4C716C09">
        <w:rPr>
          <w:rFonts w:eastAsia="Roboto" w:cs="Roboto"/>
        </w:rPr>
        <w:t xml:space="preserve"> should </w:t>
      </w:r>
      <w:r>
        <w:rPr>
          <w:rFonts w:eastAsia="Roboto" w:cs="Roboto"/>
        </w:rPr>
        <w:t>b</w:t>
      </w:r>
      <w:r w:rsidRPr="4C716C09">
        <w:rPr>
          <w:rFonts w:eastAsia="Roboto" w:cs="Roboto"/>
        </w:rPr>
        <w:t xml:space="preserve">e prepared to assure the highest standards of child safety in line with the </w:t>
      </w:r>
      <w:r>
        <w:rPr>
          <w:rFonts w:eastAsia="Roboto" w:cs="Roboto"/>
        </w:rPr>
        <w:t>National Principles for Child Safe Organisations.</w:t>
      </w:r>
    </w:p>
    <w:p w14:paraId="5946421A" w14:textId="28B66CBC" w:rsidR="00984DDB" w:rsidRDefault="002549C3" w:rsidP="007F344C">
      <w:pPr>
        <w:jc w:val="both"/>
        <w:rPr>
          <w:rFonts w:eastAsia="Roboto" w:cs="Roboto"/>
        </w:rPr>
      </w:pPr>
      <w:r>
        <w:rPr>
          <w:rFonts w:eastAsia="Roboto" w:cs="Roboto"/>
        </w:rPr>
        <w:t xml:space="preserve">If you or your </w:t>
      </w:r>
      <w:r w:rsidR="00624EE8">
        <w:rPr>
          <w:rFonts w:eastAsia="Roboto" w:cs="Roboto"/>
        </w:rPr>
        <w:t>staff</w:t>
      </w:r>
      <w:r w:rsidR="00734449">
        <w:rPr>
          <w:rFonts w:eastAsia="Roboto" w:cs="Roboto"/>
        </w:rPr>
        <w:t xml:space="preserve"> will be in contact with children and young people under the age of 18 years, Our Watch </w:t>
      </w:r>
      <w:r w:rsidR="00FE339A">
        <w:rPr>
          <w:rFonts w:eastAsia="Roboto" w:cs="Roboto"/>
        </w:rPr>
        <w:t xml:space="preserve">will </w:t>
      </w:r>
      <w:r w:rsidR="00734449">
        <w:rPr>
          <w:rFonts w:eastAsia="Roboto" w:cs="Roboto"/>
        </w:rPr>
        <w:t xml:space="preserve">seek assurance that </w:t>
      </w:r>
      <w:r w:rsidR="00624EE8">
        <w:rPr>
          <w:rFonts w:eastAsia="Roboto" w:cs="Roboto"/>
        </w:rPr>
        <w:t xml:space="preserve">staff hold a current </w:t>
      </w:r>
      <w:r w:rsidR="007F344C" w:rsidRPr="4C716C09">
        <w:rPr>
          <w:rFonts w:eastAsia="Roboto" w:cs="Roboto"/>
        </w:rPr>
        <w:t>Working with Children Check</w:t>
      </w:r>
      <w:r w:rsidR="00734449">
        <w:rPr>
          <w:rFonts w:eastAsia="Roboto" w:cs="Roboto"/>
        </w:rPr>
        <w:t xml:space="preserve"> </w:t>
      </w:r>
      <w:r w:rsidR="00FE339A">
        <w:rPr>
          <w:rFonts w:eastAsia="Roboto" w:cs="Roboto"/>
        </w:rPr>
        <w:t xml:space="preserve">(WWCC) </w:t>
      </w:r>
      <w:r w:rsidR="00624EE8">
        <w:rPr>
          <w:rFonts w:eastAsia="Roboto" w:cs="Roboto"/>
        </w:rPr>
        <w:t>in their state of residence</w:t>
      </w:r>
      <w:r w:rsidR="00AC6277">
        <w:rPr>
          <w:rFonts w:eastAsia="Roboto" w:cs="Roboto"/>
        </w:rPr>
        <w:t>.</w:t>
      </w:r>
      <w:r w:rsidR="00445A78">
        <w:rPr>
          <w:rFonts w:eastAsia="Roboto" w:cs="Roboto"/>
        </w:rPr>
        <w:t xml:space="preserve"> </w:t>
      </w:r>
      <w:r w:rsidR="00FE339A">
        <w:rPr>
          <w:rFonts w:eastAsia="Roboto" w:cs="Roboto"/>
        </w:rPr>
        <w:t>Further WWCC</w:t>
      </w:r>
      <w:r w:rsidR="00445A78">
        <w:rPr>
          <w:rFonts w:eastAsia="Roboto" w:cs="Roboto"/>
        </w:rPr>
        <w:t xml:space="preserve">s may be required for </w:t>
      </w:r>
      <w:r w:rsidR="00EC4AA8">
        <w:rPr>
          <w:rFonts w:eastAsia="Roboto" w:cs="Roboto"/>
        </w:rPr>
        <w:t xml:space="preserve">cross-jurisdictional </w:t>
      </w:r>
      <w:r w:rsidR="00445A78">
        <w:rPr>
          <w:rFonts w:eastAsia="Roboto" w:cs="Roboto"/>
        </w:rPr>
        <w:t>work.</w:t>
      </w:r>
    </w:p>
    <w:p w14:paraId="5A36E355" w14:textId="7DC07A63" w:rsidR="009E7BBA" w:rsidRDefault="001851C4" w:rsidP="007F344C">
      <w:pPr>
        <w:jc w:val="both"/>
        <w:rPr>
          <w:rFonts w:eastAsia="Roboto" w:cs="Roboto"/>
        </w:rPr>
      </w:pPr>
      <w:r>
        <w:rPr>
          <w:rFonts w:eastAsia="Roboto" w:cs="Roboto"/>
        </w:rPr>
        <w:t xml:space="preserve">A </w:t>
      </w:r>
      <w:r w:rsidR="009E7BBA">
        <w:rPr>
          <w:rFonts w:eastAsia="Roboto" w:cs="Roboto"/>
        </w:rPr>
        <w:t>national police check</w:t>
      </w:r>
      <w:r>
        <w:rPr>
          <w:rFonts w:eastAsia="Roboto" w:cs="Roboto"/>
        </w:rPr>
        <w:t xml:space="preserve"> may be requested for work</w:t>
      </w:r>
      <w:r w:rsidR="0009306B">
        <w:rPr>
          <w:rFonts w:eastAsia="Roboto" w:cs="Roboto"/>
        </w:rPr>
        <w:t xml:space="preserve"> </w:t>
      </w:r>
      <w:r>
        <w:rPr>
          <w:rFonts w:eastAsia="Roboto" w:cs="Roboto"/>
        </w:rPr>
        <w:t>with vulnerable people</w:t>
      </w:r>
      <w:r w:rsidR="0009306B">
        <w:rPr>
          <w:rFonts w:eastAsia="Roboto" w:cs="Roboto"/>
        </w:rPr>
        <w:t>.</w:t>
      </w:r>
    </w:p>
    <w:p w14:paraId="5DEF5E1E" w14:textId="3790AC93" w:rsidR="009D315A" w:rsidRDefault="00DD7D01" w:rsidP="007F344C">
      <w:pPr>
        <w:jc w:val="both"/>
        <w:rPr>
          <w:rFonts w:eastAsia="Roboto" w:cs="Roboto"/>
        </w:rPr>
      </w:pPr>
      <w:r>
        <w:rPr>
          <w:rFonts w:eastAsia="Roboto" w:cs="Roboto"/>
        </w:rPr>
        <w:t xml:space="preserve">Refer to the </w:t>
      </w:r>
      <w:r w:rsidR="00800739">
        <w:rPr>
          <w:rFonts w:eastAsia="Roboto" w:cs="Roboto"/>
        </w:rPr>
        <w:t xml:space="preserve">National Office for Child Safety </w:t>
      </w:r>
      <w:r>
        <w:rPr>
          <w:rFonts w:eastAsia="Roboto" w:cs="Roboto"/>
        </w:rPr>
        <w:t xml:space="preserve">website for further information on Child Safety. </w:t>
      </w:r>
      <w:hyperlink r:id="rId15" w:history="1">
        <w:r w:rsidR="00800739" w:rsidRPr="00800739">
          <w:rPr>
            <w:rStyle w:val="Hyperlink"/>
            <w:rFonts w:eastAsia="Roboto" w:cs="Roboto"/>
          </w:rPr>
          <w:t>National Principles for Child Safe Organisations | National Office for Child Safety</w:t>
        </w:r>
      </w:hyperlink>
      <w:r w:rsidR="0018534F">
        <w:t>.</w:t>
      </w:r>
    </w:p>
    <w:p w14:paraId="351AD629" w14:textId="3F021C65" w:rsidR="005853E9" w:rsidRPr="00605D74" w:rsidRDefault="002212BC" w:rsidP="005E22F5">
      <w:pPr>
        <w:rPr>
          <w:rFonts w:eastAsia="Times New Roman"/>
          <w:color w:val="auto"/>
        </w:rPr>
      </w:pPr>
      <w:r w:rsidRPr="002212BC">
        <w:rPr>
          <w:rFonts w:eastAsia="Roboto" w:cs="Roboto"/>
        </w:rPr>
        <w:t>T</w:t>
      </w:r>
      <w:r w:rsidR="00842CAE" w:rsidRPr="002212BC">
        <w:rPr>
          <w:rFonts w:eastAsia="Roboto" w:cs="Roboto"/>
        </w:rPr>
        <w:t xml:space="preserve">he Australian Charities and Not for Profit Commission </w:t>
      </w:r>
      <w:r w:rsidRPr="002212BC">
        <w:rPr>
          <w:rFonts w:eastAsia="Roboto" w:cs="Roboto"/>
        </w:rPr>
        <w:t>website has information about safe</w:t>
      </w:r>
      <w:r w:rsidRPr="005E22F5">
        <w:t>guardi</w:t>
      </w:r>
      <w:r w:rsidRPr="002212BC">
        <w:rPr>
          <w:rFonts w:eastAsia="Roboto" w:cs="Roboto"/>
        </w:rPr>
        <w:t xml:space="preserve">ng vulnerable </w:t>
      </w:r>
      <w:r w:rsidRPr="00605D74">
        <w:rPr>
          <w:rFonts w:eastAsia="Roboto" w:cs="Roboto"/>
        </w:rPr>
        <w:t>people</w:t>
      </w:r>
      <w:r w:rsidRPr="00605D74">
        <w:t xml:space="preserve"> </w:t>
      </w:r>
      <w:hyperlink r:id="rId16" w:history="1">
        <w:r w:rsidRPr="00605D74">
          <w:rPr>
            <w:rStyle w:val="Hyperlink"/>
            <w:rFonts w:cs="Open Sans"/>
          </w:rPr>
          <w:t>Governance Toolkit: Safeguarding vulnerable people | ACNC</w:t>
        </w:r>
      </w:hyperlink>
      <w:r w:rsidRPr="00605D74">
        <w:t>.</w:t>
      </w:r>
    </w:p>
    <w:p w14:paraId="4C4C7929" w14:textId="4D58DFE2" w:rsidR="00D846AC" w:rsidRPr="00D846AC" w:rsidRDefault="00D846AC" w:rsidP="005E2451">
      <w:pPr>
        <w:pStyle w:val="Heading11"/>
      </w:pPr>
      <w:r>
        <w:t>Health, safety</w:t>
      </w:r>
      <w:r w:rsidR="002654A0">
        <w:t>, and labour</w:t>
      </w:r>
      <w:r w:rsidR="003B4A04">
        <w:t xml:space="preserve"> practices</w:t>
      </w:r>
    </w:p>
    <w:p w14:paraId="690C6B12" w14:textId="25FC9F25" w:rsidR="007F68CF" w:rsidRDefault="00445A78" w:rsidP="005E22F5">
      <w:r>
        <w:t>Partners and s</w:t>
      </w:r>
      <w:r w:rsidR="007F68CF" w:rsidRPr="4C716C09">
        <w:t xml:space="preserve">uppliers should be able to assure Our Watch of their compliance with labour laws, including </w:t>
      </w:r>
      <w:r w:rsidR="0022496C">
        <w:t xml:space="preserve">workplace </w:t>
      </w:r>
      <w:r w:rsidR="007F68CF" w:rsidRPr="4C716C09">
        <w:t>health and safety laws.</w:t>
      </w:r>
    </w:p>
    <w:p w14:paraId="01BB4143" w14:textId="7F5050C6" w:rsidR="00FF1BD6" w:rsidRDefault="00445A78" w:rsidP="005E22F5">
      <w:r>
        <w:t>You</w:t>
      </w:r>
      <w:r w:rsidR="007F68CF" w:rsidRPr="4C716C09">
        <w:t xml:space="preserve"> should be prepared to discuss approaches to detecting and eliminating modern slavery in </w:t>
      </w:r>
      <w:r>
        <w:t>your</w:t>
      </w:r>
      <w:r w:rsidR="007F68CF" w:rsidRPr="4C716C09">
        <w:t xml:space="preserve"> own supply chain, in a way that is proportionate to </w:t>
      </w:r>
      <w:r>
        <w:t>your</w:t>
      </w:r>
      <w:r w:rsidR="007F68CF" w:rsidRPr="4C716C09">
        <w:t xml:space="preserve"> business or organisation.</w:t>
      </w:r>
    </w:p>
    <w:p w14:paraId="49A141C7" w14:textId="77777777" w:rsidR="005E22F5" w:rsidRPr="00941A87" w:rsidRDefault="005E22F5" w:rsidP="005E2451">
      <w:pPr>
        <w:pStyle w:val="Heading11"/>
      </w:pPr>
      <w:r w:rsidRPr="00941A87">
        <w:t>Conflict of Interest</w:t>
      </w:r>
    </w:p>
    <w:p w14:paraId="4A654696" w14:textId="4737AFEB" w:rsidR="005E22F5" w:rsidRDefault="00445A78" w:rsidP="007E2D52">
      <w:r>
        <w:t>Partners and suppliers</w:t>
      </w:r>
      <w:r w:rsidR="005E22F5" w:rsidRPr="006E2666">
        <w:t xml:space="preserve"> should be prepared to let </w:t>
      </w:r>
      <w:r w:rsidR="005E22F5">
        <w:t>Our Watch</w:t>
      </w:r>
      <w:r w:rsidR="005E22F5" w:rsidRPr="006E2666">
        <w:t xml:space="preserve"> know if they have </w:t>
      </w:r>
      <w:r w:rsidR="005E22F5">
        <w:t>an actual, or perceived, conflict of interest in</w:t>
      </w:r>
      <w:r w:rsidR="005E22F5" w:rsidRPr="006E2666">
        <w:t xml:space="preserve"> </w:t>
      </w:r>
      <w:r w:rsidR="005E22F5">
        <w:t>working with us.</w:t>
      </w:r>
    </w:p>
    <w:p w14:paraId="2A51B36C" w14:textId="5EE22C4A" w:rsidR="005E22F5" w:rsidRDefault="005E22F5" w:rsidP="005E22F5">
      <w:r>
        <w:t xml:space="preserve">This includes </w:t>
      </w:r>
      <w:r w:rsidRPr="00D846AC">
        <w:t xml:space="preserve">financial, business or other relationships which may compromise or have the appearance of compromising </w:t>
      </w:r>
      <w:r>
        <w:t xml:space="preserve">Our Watch’s integrity or </w:t>
      </w:r>
      <w:r w:rsidRPr="00D846AC">
        <w:t>the performance of</w:t>
      </w:r>
      <w:r>
        <w:t xml:space="preserve"> a </w:t>
      </w:r>
      <w:r w:rsidR="0074152F">
        <w:t>supplier’s</w:t>
      </w:r>
      <w:r w:rsidRPr="00D846AC">
        <w:t xml:space="preserve"> duties</w:t>
      </w:r>
      <w:r>
        <w:t>.</w:t>
      </w:r>
    </w:p>
    <w:p w14:paraId="1B5D024A" w14:textId="77777777" w:rsidR="005E22F5" w:rsidRDefault="005E22F5" w:rsidP="005E22F5">
      <w:r>
        <w:t>Conflicts of Interest are common and can usually be managed without impacting on the business relationship.</w:t>
      </w:r>
    </w:p>
    <w:p w14:paraId="585CBEA9" w14:textId="77777777" w:rsidR="005E22F5" w:rsidRPr="009457CA" w:rsidRDefault="005E22F5">
      <w:pPr>
        <w:pStyle w:val="Heading3"/>
      </w:pPr>
      <w:r w:rsidRPr="009457CA">
        <w:t>Gifts, benefits and hospitality</w:t>
      </w:r>
    </w:p>
    <w:p w14:paraId="790B4750" w14:textId="77777777" w:rsidR="005E22F5" w:rsidRDefault="005E22F5" w:rsidP="005E22F5">
      <w:r w:rsidRPr="00BC618F">
        <w:t>Our Watch and our personnel will not accept gifts or benefits that could be perceived as an attempt to influence, or are an attempt to gain an unfair advantage, from Our Watch.</w:t>
      </w:r>
    </w:p>
    <w:p w14:paraId="7B98C28B" w14:textId="78A691B8" w:rsidR="007E2D52" w:rsidRDefault="007E2D52" w:rsidP="007E2D52">
      <w:pPr>
        <w:pStyle w:val="Heading11"/>
      </w:pPr>
      <w:r>
        <w:t>G</w:t>
      </w:r>
      <w:r w:rsidRPr="007E2D52">
        <w:t>ender equality, diversity and inclusion</w:t>
      </w:r>
    </w:p>
    <w:p w14:paraId="17EBE54D" w14:textId="77777777" w:rsidR="007E2D52" w:rsidRDefault="007E2D52" w:rsidP="007E2D52">
      <w:r w:rsidRPr="007E2D52">
        <w:t xml:space="preserve">Our Watch expects all </w:t>
      </w:r>
      <w:r>
        <w:t xml:space="preserve">partners and </w:t>
      </w:r>
      <w:r w:rsidRPr="007E2D52">
        <w:t>suppliers to demonstrate a commitment to gender equality, diversity and inclusion.</w:t>
      </w:r>
    </w:p>
    <w:p w14:paraId="799EE93A" w14:textId="79C1DB42" w:rsidR="00D24B58" w:rsidRDefault="007E2D52" w:rsidP="00FE339A">
      <w:r w:rsidRPr="007E2D52">
        <w:t xml:space="preserve">This </w:t>
      </w:r>
      <w:r w:rsidR="00F55CD6">
        <w:t>may include</w:t>
      </w:r>
      <w:r w:rsidRPr="007E2D52">
        <w:t xml:space="preserve"> showing evidence of gender balance in staffing and </w:t>
      </w:r>
      <w:r w:rsidR="00EC4AA8" w:rsidRPr="007E2D52">
        <w:t xml:space="preserve">governance </w:t>
      </w:r>
      <w:r w:rsidR="00EC4AA8">
        <w:t xml:space="preserve">and </w:t>
      </w:r>
      <w:r w:rsidRPr="007E2D52">
        <w:t>having a gender equality action plan (or demonstrating steps to address identified gender gaps), and promoting inclusive practices for staff, including Aboriginal and Torres Strait Islander peoples, migrant and refugee peoples, people with disabilities and LGBTIQA+ communities.</w:t>
      </w:r>
    </w:p>
    <w:p w14:paraId="7BA70FB9" w14:textId="3AA18D3E" w:rsidR="00B92705" w:rsidRDefault="00C724F5" w:rsidP="00FF3931">
      <w:pPr>
        <w:pStyle w:val="Heading2"/>
      </w:pPr>
      <w:r>
        <w:t>Enquiries</w:t>
      </w:r>
    </w:p>
    <w:p w14:paraId="3916E205" w14:textId="3E64AB1B" w:rsidR="00353B42" w:rsidRDefault="00C724F5" w:rsidP="00353B42">
      <w:r>
        <w:t xml:space="preserve">Links to resources are provided within this Statement to assist </w:t>
      </w:r>
      <w:r w:rsidR="00445A78">
        <w:t xml:space="preserve">those </w:t>
      </w:r>
      <w:r>
        <w:t>who may not</w:t>
      </w:r>
      <w:r w:rsidR="00B25DD9">
        <w:t xml:space="preserve"> otherwise</w:t>
      </w:r>
      <w:r>
        <w:t xml:space="preserve"> be familiar</w:t>
      </w:r>
      <w:r w:rsidR="00B25DD9">
        <w:t xml:space="preserve"> with these requirements</w:t>
      </w:r>
      <w:r>
        <w:t>.</w:t>
      </w:r>
    </w:p>
    <w:p w14:paraId="016B9EAC" w14:textId="128500F7" w:rsidR="00E516C8" w:rsidRPr="00E516C8" w:rsidRDefault="00445A78" w:rsidP="00E516C8">
      <w:r>
        <w:t>Partners and s</w:t>
      </w:r>
      <w:r w:rsidR="00353B42">
        <w:t xml:space="preserve">uppliers can liaise with their Our Watch contact, </w:t>
      </w:r>
      <w:r w:rsidR="00A61457">
        <w:t xml:space="preserve">the relevant nominated contact </w:t>
      </w:r>
      <w:r w:rsidR="009872BD">
        <w:t xml:space="preserve">for </w:t>
      </w:r>
      <w:r w:rsidR="00B72EE8" w:rsidRPr="4C716C09">
        <w:t>a tender or bidding process</w:t>
      </w:r>
      <w:r w:rsidR="00AA7248">
        <w:t xml:space="preserve"> or </w:t>
      </w:r>
      <w:r w:rsidR="00AA7248" w:rsidRPr="00AA7248">
        <w:t xml:space="preserve">submit an enquiry via the </w:t>
      </w:r>
      <w:hyperlink r:id="rId17" w:history="1">
        <w:r w:rsidR="00AA7248" w:rsidRPr="00AA7248">
          <w:rPr>
            <w:rStyle w:val="Hyperlink"/>
          </w:rPr>
          <w:t>contact us</w:t>
        </w:r>
      </w:hyperlink>
      <w:r w:rsidR="00AA7248" w:rsidRPr="00AA7248">
        <w:t xml:space="preserve"> page</w:t>
      </w:r>
      <w:r w:rsidR="00A61457">
        <w:t>.</w:t>
      </w:r>
    </w:p>
    <w:sectPr w:rsidR="00E516C8" w:rsidRPr="00E516C8" w:rsidSect="00FE339A">
      <w:footerReference w:type="default" r:id="rId18"/>
      <w:pgSz w:w="11906" w:h="16838"/>
      <w:pgMar w:top="1135" w:right="1274" w:bottom="426" w:left="1440" w:header="0" w:footer="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3B2FC" w14:textId="77777777" w:rsidR="009942B6" w:rsidRDefault="009942B6" w:rsidP="00CD52D1">
      <w:r>
        <w:separator/>
      </w:r>
    </w:p>
  </w:endnote>
  <w:endnote w:type="continuationSeparator" w:id="0">
    <w:p w14:paraId="10E0A361" w14:textId="77777777" w:rsidR="009942B6" w:rsidRDefault="009942B6" w:rsidP="00CD5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20705080"/>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34D56E0E" w14:textId="39F866DC" w:rsidR="0010299D" w:rsidRPr="0010299D" w:rsidRDefault="0010299D">
            <w:pPr>
              <w:pStyle w:val="Footer"/>
              <w:jc w:val="center"/>
              <w:rPr>
                <w:sz w:val="20"/>
                <w:szCs w:val="20"/>
              </w:rPr>
            </w:pPr>
            <w:r w:rsidRPr="0010299D">
              <w:rPr>
                <w:sz w:val="20"/>
                <w:szCs w:val="20"/>
                <w:lang w:val="en-GB"/>
              </w:rPr>
              <w:t xml:space="preserve">Page </w:t>
            </w:r>
            <w:r w:rsidRPr="0010299D">
              <w:rPr>
                <w:b/>
                <w:bCs/>
                <w:sz w:val="20"/>
                <w:szCs w:val="20"/>
              </w:rPr>
              <w:fldChar w:fldCharType="begin"/>
            </w:r>
            <w:r w:rsidRPr="0010299D">
              <w:rPr>
                <w:b/>
                <w:bCs/>
                <w:sz w:val="20"/>
                <w:szCs w:val="20"/>
              </w:rPr>
              <w:instrText>PAGE</w:instrText>
            </w:r>
            <w:r w:rsidRPr="0010299D">
              <w:rPr>
                <w:b/>
                <w:bCs/>
                <w:sz w:val="20"/>
                <w:szCs w:val="20"/>
              </w:rPr>
              <w:fldChar w:fldCharType="separate"/>
            </w:r>
            <w:r w:rsidRPr="0010299D">
              <w:rPr>
                <w:b/>
                <w:bCs/>
                <w:sz w:val="20"/>
                <w:szCs w:val="20"/>
                <w:lang w:val="en-GB"/>
              </w:rPr>
              <w:t>2</w:t>
            </w:r>
            <w:r w:rsidRPr="0010299D">
              <w:rPr>
                <w:b/>
                <w:bCs/>
                <w:sz w:val="20"/>
                <w:szCs w:val="20"/>
              </w:rPr>
              <w:fldChar w:fldCharType="end"/>
            </w:r>
            <w:r w:rsidRPr="0010299D">
              <w:rPr>
                <w:sz w:val="20"/>
                <w:szCs w:val="20"/>
                <w:lang w:val="en-GB"/>
              </w:rPr>
              <w:t xml:space="preserve"> of </w:t>
            </w:r>
            <w:r w:rsidRPr="0010299D">
              <w:rPr>
                <w:b/>
                <w:bCs/>
                <w:sz w:val="20"/>
                <w:szCs w:val="20"/>
              </w:rPr>
              <w:fldChar w:fldCharType="begin"/>
            </w:r>
            <w:r w:rsidRPr="0010299D">
              <w:rPr>
                <w:b/>
                <w:bCs/>
                <w:sz w:val="20"/>
                <w:szCs w:val="20"/>
              </w:rPr>
              <w:instrText>NUMPAGES</w:instrText>
            </w:r>
            <w:r w:rsidRPr="0010299D">
              <w:rPr>
                <w:b/>
                <w:bCs/>
                <w:sz w:val="20"/>
                <w:szCs w:val="20"/>
              </w:rPr>
              <w:fldChar w:fldCharType="separate"/>
            </w:r>
            <w:r w:rsidRPr="0010299D">
              <w:rPr>
                <w:b/>
                <w:bCs/>
                <w:sz w:val="20"/>
                <w:szCs w:val="20"/>
                <w:lang w:val="en-GB"/>
              </w:rPr>
              <w:t>2</w:t>
            </w:r>
            <w:r w:rsidRPr="0010299D">
              <w:rPr>
                <w:b/>
                <w:bCs/>
                <w:sz w:val="20"/>
                <w:szCs w:val="20"/>
              </w:rPr>
              <w:fldChar w:fldCharType="end"/>
            </w:r>
          </w:p>
        </w:sdtContent>
      </w:sdt>
    </w:sdtContent>
  </w:sdt>
  <w:p w14:paraId="31BB2614" w14:textId="77777777" w:rsidR="0074152F" w:rsidRDefault="007415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D5DFE" w14:textId="77777777" w:rsidR="009942B6" w:rsidRDefault="009942B6" w:rsidP="00CD52D1">
      <w:r>
        <w:separator/>
      </w:r>
    </w:p>
  </w:footnote>
  <w:footnote w:type="continuationSeparator" w:id="0">
    <w:p w14:paraId="3D7920DC" w14:textId="77777777" w:rsidR="009942B6" w:rsidRDefault="009942B6" w:rsidP="00CD5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15E6"/>
    <w:multiLevelType w:val="multilevel"/>
    <w:tmpl w:val="AA809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A00EF"/>
    <w:multiLevelType w:val="hybridMultilevel"/>
    <w:tmpl w:val="0810A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F56BF"/>
    <w:multiLevelType w:val="hybridMultilevel"/>
    <w:tmpl w:val="3362C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9A1C8A"/>
    <w:multiLevelType w:val="multilevel"/>
    <w:tmpl w:val="437C7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DA2F1C"/>
    <w:multiLevelType w:val="multilevel"/>
    <w:tmpl w:val="17487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75A29"/>
    <w:multiLevelType w:val="multilevel"/>
    <w:tmpl w:val="6C2EC3B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0A3392"/>
    <w:multiLevelType w:val="multilevel"/>
    <w:tmpl w:val="BCD025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E86D7F"/>
    <w:multiLevelType w:val="multilevel"/>
    <w:tmpl w:val="DC7AB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0E3A4D"/>
    <w:multiLevelType w:val="hybridMultilevel"/>
    <w:tmpl w:val="344220AA"/>
    <w:lvl w:ilvl="0" w:tplc="7E06195E">
      <w:start w:val="1"/>
      <w:numFmt w:val="bullet"/>
      <w:pStyle w:val="ListParagraph"/>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9767360"/>
    <w:multiLevelType w:val="hybridMultilevel"/>
    <w:tmpl w:val="F65E1470"/>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0" w15:restartNumberingAfterBreak="0">
    <w:nsid w:val="1F24597D"/>
    <w:multiLevelType w:val="hybridMultilevel"/>
    <w:tmpl w:val="BC3E3EA6"/>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1" w15:restartNumberingAfterBreak="0">
    <w:nsid w:val="25AC703E"/>
    <w:multiLevelType w:val="hybridMultilevel"/>
    <w:tmpl w:val="7C147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22D1A"/>
    <w:multiLevelType w:val="multilevel"/>
    <w:tmpl w:val="044C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1839E5"/>
    <w:multiLevelType w:val="multilevel"/>
    <w:tmpl w:val="86088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9E6163"/>
    <w:multiLevelType w:val="hybridMultilevel"/>
    <w:tmpl w:val="AA0AD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DE7695"/>
    <w:multiLevelType w:val="multilevel"/>
    <w:tmpl w:val="F604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050CDC"/>
    <w:multiLevelType w:val="multilevel"/>
    <w:tmpl w:val="24764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0F02FE"/>
    <w:multiLevelType w:val="hybridMultilevel"/>
    <w:tmpl w:val="144276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0F71A5"/>
    <w:multiLevelType w:val="hybridMultilevel"/>
    <w:tmpl w:val="4FA612DE"/>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54480BB7"/>
    <w:multiLevelType w:val="hybridMultilevel"/>
    <w:tmpl w:val="2488C998"/>
    <w:lvl w:ilvl="0" w:tplc="CB66BE5A">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68B5D5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DD7F07"/>
    <w:multiLevelType w:val="multilevel"/>
    <w:tmpl w:val="EDBC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696794"/>
    <w:multiLevelType w:val="multilevel"/>
    <w:tmpl w:val="BE2E7EFC"/>
    <w:lvl w:ilvl="0">
      <w:start w:val="1"/>
      <w:numFmt w:val="decimal"/>
      <w:pStyle w:val="Heading2"/>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3" w15:restartNumberingAfterBreak="0">
    <w:nsid w:val="70303788"/>
    <w:multiLevelType w:val="multilevel"/>
    <w:tmpl w:val="1DFED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F8177F"/>
    <w:multiLevelType w:val="multilevel"/>
    <w:tmpl w:val="15AE2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6E4E6E"/>
    <w:multiLevelType w:val="multilevel"/>
    <w:tmpl w:val="47CA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9244522">
    <w:abstractNumId w:val="23"/>
  </w:num>
  <w:num w:numId="2" w16cid:durableId="1978099129">
    <w:abstractNumId w:val="3"/>
  </w:num>
  <w:num w:numId="3" w16cid:durableId="2083944307">
    <w:abstractNumId w:val="15"/>
  </w:num>
  <w:num w:numId="4" w16cid:durableId="458649483">
    <w:abstractNumId w:val="16"/>
  </w:num>
  <w:num w:numId="5" w16cid:durableId="1971544293">
    <w:abstractNumId w:val="21"/>
  </w:num>
  <w:num w:numId="6" w16cid:durableId="27684457">
    <w:abstractNumId w:val="24"/>
  </w:num>
  <w:num w:numId="7" w16cid:durableId="1741907349">
    <w:abstractNumId w:val="0"/>
  </w:num>
  <w:num w:numId="8" w16cid:durableId="188564003">
    <w:abstractNumId w:val="13"/>
  </w:num>
  <w:num w:numId="9" w16cid:durableId="153573775">
    <w:abstractNumId w:val="12"/>
  </w:num>
  <w:num w:numId="10" w16cid:durableId="1528524576">
    <w:abstractNumId w:val="4"/>
  </w:num>
  <w:num w:numId="11" w16cid:durableId="1737321347">
    <w:abstractNumId w:val="25"/>
  </w:num>
  <w:num w:numId="12" w16cid:durableId="2064131502">
    <w:abstractNumId w:val="14"/>
  </w:num>
  <w:num w:numId="13" w16cid:durableId="1989625303">
    <w:abstractNumId w:val="2"/>
  </w:num>
  <w:num w:numId="14" w16cid:durableId="1348168600">
    <w:abstractNumId w:val="22"/>
  </w:num>
  <w:num w:numId="15" w16cid:durableId="756907281">
    <w:abstractNumId w:val="20"/>
  </w:num>
  <w:num w:numId="16" w16cid:durableId="584000153">
    <w:abstractNumId w:val="22"/>
  </w:num>
  <w:num w:numId="17" w16cid:durableId="2010137044">
    <w:abstractNumId w:val="11"/>
  </w:num>
  <w:num w:numId="18" w16cid:durableId="644243630">
    <w:abstractNumId w:val="17"/>
  </w:num>
  <w:num w:numId="19" w16cid:durableId="1431125444">
    <w:abstractNumId w:val="18"/>
  </w:num>
  <w:num w:numId="20" w16cid:durableId="1982297362">
    <w:abstractNumId w:val="8"/>
  </w:num>
  <w:num w:numId="21" w16cid:durableId="506749580">
    <w:abstractNumId w:val="6"/>
  </w:num>
  <w:num w:numId="22" w16cid:durableId="2142335268">
    <w:abstractNumId w:val="19"/>
  </w:num>
  <w:num w:numId="23" w16cid:durableId="1075591101">
    <w:abstractNumId w:val="5"/>
  </w:num>
  <w:num w:numId="24" w16cid:durableId="337468969">
    <w:abstractNumId w:val="1"/>
  </w:num>
  <w:num w:numId="25" w16cid:durableId="1350063290">
    <w:abstractNumId w:val="10"/>
  </w:num>
  <w:num w:numId="26" w16cid:durableId="976453061">
    <w:abstractNumId w:val="5"/>
  </w:num>
  <w:num w:numId="27" w16cid:durableId="1306621110">
    <w:abstractNumId w:val="5"/>
  </w:num>
  <w:num w:numId="28" w16cid:durableId="1137988690">
    <w:abstractNumId w:val="7"/>
  </w:num>
  <w:num w:numId="29" w16cid:durableId="2512100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6AC"/>
    <w:rsid w:val="000009BA"/>
    <w:rsid w:val="000065F0"/>
    <w:rsid w:val="000163A1"/>
    <w:rsid w:val="00023D4E"/>
    <w:rsid w:val="00025564"/>
    <w:rsid w:val="0003243E"/>
    <w:rsid w:val="00033F6A"/>
    <w:rsid w:val="00040AE0"/>
    <w:rsid w:val="00045828"/>
    <w:rsid w:val="000510BF"/>
    <w:rsid w:val="0005218C"/>
    <w:rsid w:val="00052CCA"/>
    <w:rsid w:val="00065D69"/>
    <w:rsid w:val="00080FB7"/>
    <w:rsid w:val="00083A3F"/>
    <w:rsid w:val="0009306B"/>
    <w:rsid w:val="000A1087"/>
    <w:rsid w:val="000B20E3"/>
    <w:rsid w:val="000C51E9"/>
    <w:rsid w:val="000C655C"/>
    <w:rsid w:val="000D2FDA"/>
    <w:rsid w:val="000F0166"/>
    <w:rsid w:val="000F0A9D"/>
    <w:rsid w:val="000F6E90"/>
    <w:rsid w:val="001003CB"/>
    <w:rsid w:val="0010299D"/>
    <w:rsid w:val="001055BC"/>
    <w:rsid w:val="0010624A"/>
    <w:rsid w:val="001121C7"/>
    <w:rsid w:val="00117152"/>
    <w:rsid w:val="0013528F"/>
    <w:rsid w:val="00141861"/>
    <w:rsid w:val="0014298E"/>
    <w:rsid w:val="0014660D"/>
    <w:rsid w:val="001514AB"/>
    <w:rsid w:val="001816E8"/>
    <w:rsid w:val="00182AC5"/>
    <w:rsid w:val="00184F99"/>
    <w:rsid w:val="001851C4"/>
    <w:rsid w:val="0018534F"/>
    <w:rsid w:val="00187053"/>
    <w:rsid w:val="00187AF4"/>
    <w:rsid w:val="00190A55"/>
    <w:rsid w:val="00194FCA"/>
    <w:rsid w:val="001A08D5"/>
    <w:rsid w:val="001B489A"/>
    <w:rsid w:val="001C0265"/>
    <w:rsid w:val="001D6E99"/>
    <w:rsid w:val="001E01C7"/>
    <w:rsid w:val="001E30F2"/>
    <w:rsid w:val="001F0B04"/>
    <w:rsid w:val="00200140"/>
    <w:rsid w:val="0020339B"/>
    <w:rsid w:val="0021288D"/>
    <w:rsid w:val="00214A71"/>
    <w:rsid w:val="002212BC"/>
    <w:rsid w:val="0022496C"/>
    <w:rsid w:val="002249A1"/>
    <w:rsid w:val="00235ADC"/>
    <w:rsid w:val="002360EF"/>
    <w:rsid w:val="00237668"/>
    <w:rsid w:val="00243EC2"/>
    <w:rsid w:val="00245672"/>
    <w:rsid w:val="002549C3"/>
    <w:rsid w:val="002654A0"/>
    <w:rsid w:val="002669EF"/>
    <w:rsid w:val="00282749"/>
    <w:rsid w:val="002959F3"/>
    <w:rsid w:val="002A3ED0"/>
    <w:rsid w:val="002B1BC2"/>
    <w:rsid w:val="002C0FAC"/>
    <w:rsid w:val="002C1FAF"/>
    <w:rsid w:val="002C5B10"/>
    <w:rsid w:val="002D0FFB"/>
    <w:rsid w:val="00301F2D"/>
    <w:rsid w:val="00316345"/>
    <w:rsid w:val="00323F9C"/>
    <w:rsid w:val="00327605"/>
    <w:rsid w:val="00353B42"/>
    <w:rsid w:val="00360DA8"/>
    <w:rsid w:val="003667D1"/>
    <w:rsid w:val="00366B21"/>
    <w:rsid w:val="003856CF"/>
    <w:rsid w:val="003916D0"/>
    <w:rsid w:val="003A7328"/>
    <w:rsid w:val="003B34C7"/>
    <w:rsid w:val="003B4A04"/>
    <w:rsid w:val="003B4ECF"/>
    <w:rsid w:val="003B547F"/>
    <w:rsid w:val="003B7C00"/>
    <w:rsid w:val="003E354E"/>
    <w:rsid w:val="003F11C9"/>
    <w:rsid w:val="003F2558"/>
    <w:rsid w:val="003F5DCD"/>
    <w:rsid w:val="00400377"/>
    <w:rsid w:val="00437D0D"/>
    <w:rsid w:val="00445592"/>
    <w:rsid w:val="00445A78"/>
    <w:rsid w:val="00446BD0"/>
    <w:rsid w:val="004549C0"/>
    <w:rsid w:val="00456A2E"/>
    <w:rsid w:val="00457205"/>
    <w:rsid w:val="0046198A"/>
    <w:rsid w:val="00466066"/>
    <w:rsid w:val="0048490A"/>
    <w:rsid w:val="00492EC3"/>
    <w:rsid w:val="004B19B5"/>
    <w:rsid w:val="004B637C"/>
    <w:rsid w:val="004C0464"/>
    <w:rsid w:val="004D769E"/>
    <w:rsid w:val="004F1234"/>
    <w:rsid w:val="004F6F7B"/>
    <w:rsid w:val="005111C9"/>
    <w:rsid w:val="005115AC"/>
    <w:rsid w:val="00515C8B"/>
    <w:rsid w:val="005211B1"/>
    <w:rsid w:val="00534769"/>
    <w:rsid w:val="0054195B"/>
    <w:rsid w:val="0054778C"/>
    <w:rsid w:val="0055131B"/>
    <w:rsid w:val="00560085"/>
    <w:rsid w:val="0056448A"/>
    <w:rsid w:val="00572CFF"/>
    <w:rsid w:val="005742BA"/>
    <w:rsid w:val="00583FD9"/>
    <w:rsid w:val="005853E9"/>
    <w:rsid w:val="00586447"/>
    <w:rsid w:val="00594386"/>
    <w:rsid w:val="00596B28"/>
    <w:rsid w:val="005A20AE"/>
    <w:rsid w:val="005B08C8"/>
    <w:rsid w:val="005B395D"/>
    <w:rsid w:val="005B491A"/>
    <w:rsid w:val="005B7349"/>
    <w:rsid w:val="005D1A35"/>
    <w:rsid w:val="005E22F5"/>
    <w:rsid w:val="005E2451"/>
    <w:rsid w:val="005F2D99"/>
    <w:rsid w:val="00605D74"/>
    <w:rsid w:val="00606308"/>
    <w:rsid w:val="00607C72"/>
    <w:rsid w:val="00610998"/>
    <w:rsid w:val="00610B83"/>
    <w:rsid w:val="00624EE8"/>
    <w:rsid w:val="006322ED"/>
    <w:rsid w:val="00635854"/>
    <w:rsid w:val="00650B17"/>
    <w:rsid w:val="00654438"/>
    <w:rsid w:val="00660ED9"/>
    <w:rsid w:val="0066507E"/>
    <w:rsid w:val="00683A10"/>
    <w:rsid w:val="00690323"/>
    <w:rsid w:val="00692789"/>
    <w:rsid w:val="006A416B"/>
    <w:rsid w:val="006A4F7E"/>
    <w:rsid w:val="006B1D87"/>
    <w:rsid w:val="006B2C8B"/>
    <w:rsid w:val="006B6E3F"/>
    <w:rsid w:val="006D0ADF"/>
    <w:rsid w:val="006E2F5E"/>
    <w:rsid w:val="006E37A2"/>
    <w:rsid w:val="00701745"/>
    <w:rsid w:val="007132D5"/>
    <w:rsid w:val="007141BB"/>
    <w:rsid w:val="0072119A"/>
    <w:rsid w:val="0073276C"/>
    <w:rsid w:val="00733B36"/>
    <w:rsid w:val="00734449"/>
    <w:rsid w:val="0074152F"/>
    <w:rsid w:val="00752547"/>
    <w:rsid w:val="0076569A"/>
    <w:rsid w:val="00776A53"/>
    <w:rsid w:val="00777E91"/>
    <w:rsid w:val="00782C6C"/>
    <w:rsid w:val="00783CB7"/>
    <w:rsid w:val="00786381"/>
    <w:rsid w:val="00786F3A"/>
    <w:rsid w:val="007C24AE"/>
    <w:rsid w:val="007C4E2E"/>
    <w:rsid w:val="007C6390"/>
    <w:rsid w:val="007E1227"/>
    <w:rsid w:val="007E2D52"/>
    <w:rsid w:val="007F344C"/>
    <w:rsid w:val="007F68CF"/>
    <w:rsid w:val="00800739"/>
    <w:rsid w:val="00811106"/>
    <w:rsid w:val="0081602A"/>
    <w:rsid w:val="008234D6"/>
    <w:rsid w:val="00827654"/>
    <w:rsid w:val="00831069"/>
    <w:rsid w:val="00833C26"/>
    <w:rsid w:val="008362A2"/>
    <w:rsid w:val="00842CAE"/>
    <w:rsid w:val="00866A51"/>
    <w:rsid w:val="00867765"/>
    <w:rsid w:val="00872D6B"/>
    <w:rsid w:val="008734AC"/>
    <w:rsid w:val="00877976"/>
    <w:rsid w:val="00882CBF"/>
    <w:rsid w:val="008869A4"/>
    <w:rsid w:val="00890844"/>
    <w:rsid w:val="00891056"/>
    <w:rsid w:val="008A0A9A"/>
    <w:rsid w:val="008A1FBE"/>
    <w:rsid w:val="008A32D0"/>
    <w:rsid w:val="008A64D2"/>
    <w:rsid w:val="008A7BF5"/>
    <w:rsid w:val="008B0CF7"/>
    <w:rsid w:val="008D44B6"/>
    <w:rsid w:val="008D45B2"/>
    <w:rsid w:val="008D5075"/>
    <w:rsid w:val="008D6135"/>
    <w:rsid w:val="008E33AF"/>
    <w:rsid w:val="008E410E"/>
    <w:rsid w:val="008F0A81"/>
    <w:rsid w:val="008F0E10"/>
    <w:rsid w:val="008F5A32"/>
    <w:rsid w:val="00924323"/>
    <w:rsid w:val="00926BA5"/>
    <w:rsid w:val="009273A5"/>
    <w:rsid w:val="00935913"/>
    <w:rsid w:val="00941A87"/>
    <w:rsid w:val="00943C3B"/>
    <w:rsid w:val="009457CA"/>
    <w:rsid w:val="00946185"/>
    <w:rsid w:val="009465F8"/>
    <w:rsid w:val="00946A8E"/>
    <w:rsid w:val="00951ABB"/>
    <w:rsid w:val="0095280C"/>
    <w:rsid w:val="0096230C"/>
    <w:rsid w:val="00984DDB"/>
    <w:rsid w:val="009872BD"/>
    <w:rsid w:val="00987C39"/>
    <w:rsid w:val="009914BC"/>
    <w:rsid w:val="009942B6"/>
    <w:rsid w:val="00995348"/>
    <w:rsid w:val="009A4608"/>
    <w:rsid w:val="009B26A6"/>
    <w:rsid w:val="009C5011"/>
    <w:rsid w:val="009D11C3"/>
    <w:rsid w:val="009D315A"/>
    <w:rsid w:val="009D578A"/>
    <w:rsid w:val="009D6F28"/>
    <w:rsid w:val="009E7BBA"/>
    <w:rsid w:val="00A21FC2"/>
    <w:rsid w:val="00A226EF"/>
    <w:rsid w:val="00A243BA"/>
    <w:rsid w:val="00A27509"/>
    <w:rsid w:val="00A37DF0"/>
    <w:rsid w:val="00A46E4A"/>
    <w:rsid w:val="00A55BC0"/>
    <w:rsid w:val="00A61457"/>
    <w:rsid w:val="00A66203"/>
    <w:rsid w:val="00A84771"/>
    <w:rsid w:val="00AA35B0"/>
    <w:rsid w:val="00AA3FD9"/>
    <w:rsid w:val="00AA7248"/>
    <w:rsid w:val="00AA77B2"/>
    <w:rsid w:val="00AB2EFB"/>
    <w:rsid w:val="00AC06CE"/>
    <w:rsid w:val="00AC43A2"/>
    <w:rsid w:val="00AC447F"/>
    <w:rsid w:val="00AC6277"/>
    <w:rsid w:val="00AC6EB2"/>
    <w:rsid w:val="00AD192B"/>
    <w:rsid w:val="00AD570A"/>
    <w:rsid w:val="00AE2183"/>
    <w:rsid w:val="00AE3FF3"/>
    <w:rsid w:val="00AE7CE7"/>
    <w:rsid w:val="00AF27D6"/>
    <w:rsid w:val="00AF55A1"/>
    <w:rsid w:val="00B02817"/>
    <w:rsid w:val="00B11884"/>
    <w:rsid w:val="00B144BF"/>
    <w:rsid w:val="00B1474A"/>
    <w:rsid w:val="00B25DD9"/>
    <w:rsid w:val="00B35D91"/>
    <w:rsid w:val="00B62C9D"/>
    <w:rsid w:val="00B64062"/>
    <w:rsid w:val="00B64B7E"/>
    <w:rsid w:val="00B65E5A"/>
    <w:rsid w:val="00B706C1"/>
    <w:rsid w:val="00B70D0E"/>
    <w:rsid w:val="00B72EE8"/>
    <w:rsid w:val="00B77F4D"/>
    <w:rsid w:val="00B92705"/>
    <w:rsid w:val="00B9558F"/>
    <w:rsid w:val="00B97E14"/>
    <w:rsid w:val="00BA4892"/>
    <w:rsid w:val="00BA5160"/>
    <w:rsid w:val="00BA79D0"/>
    <w:rsid w:val="00BC0D3F"/>
    <w:rsid w:val="00BD1EDD"/>
    <w:rsid w:val="00BD3935"/>
    <w:rsid w:val="00BD3ED5"/>
    <w:rsid w:val="00BE0626"/>
    <w:rsid w:val="00BE24E3"/>
    <w:rsid w:val="00BE6026"/>
    <w:rsid w:val="00C053C7"/>
    <w:rsid w:val="00C06136"/>
    <w:rsid w:val="00C242BC"/>
    <w:rsid w:val="00C27504"/>
    <w:rsid w:val="00C3093D"/>
    <w:rsid w:val="00C30ECC"/>
    <w:rsid w:val="00C3489F"/>
    <w:rsid w:val="00C41C04"/>
    <w:rsid w:val="00C508DA"/>
    <w:rsid w:val="00C56C19"/>
    <w:rsid w:val="00C65F7E"/>
    <w:rsid w:val="00C6723C"/>
    <w:rsid w:val="00C7184B"/>
    <w:rsid w:val="00C724F5"/>
    <w:rsid w:val="00C810D4"/>
    <w:rsid w:val="00C826EE"/>
    <w:rsid w:val="00C86A18"/>
    <w:rsid w:val="00C90C6C"/>
    <w:rsid w:val="00C944C9"/>
    <w:rsid w:val="00CA22AC"/>
    <w:rsid w:val="00CA39A3"/>
    <w:rsid w:val="00CA7465"/>
    <w:rsid w:val="00CB7329"/>
    <w:rsid w:val="00CC467A"/>
    <w:rsid w:val="00CC5392"/>
    <w:rsid w:val="00CD52D1"/>
    <w:rsid w:val="00CD7C60"/>
    <w:rsid w:val="00CE1075"/>
    <w:rsid w:val="00CE1409"/>
    <w:rsid w:val="00CE2186"/>
    <w:rsid w:val="00CF3CF3"/>
    <w:rsid w:val="00D00615"/>
    <w:rsid w:val="00D02C45"/>
    <w:rsid w:val="00D239EF"/>
    <w:rsid w:val="00D23A66"/>
    <w:rsid w:val="00D24B58"/>
    <w:rsid w:val="00D4007F"/>
    <w:rsid w:val="00D4154C"/>
    <w:rsid w:val="00D46541"/>
    <w:rsid w:val="00D61454"/>
    <w:rsid w:val="00D70DC3"/>
    <w:rsid w:val="00D746B2"/>
    <w:rsid w:val="00D8019C"/>
    <w:rsid w:val="00D80F2D"/>
    <w:rsid w:val="00D818DF"/>
    <w:rsid w:val="00D846AC"/>
    <w:rsid w:val="00D93BCA"/>
    <w:rsid w:val="00D957B7"/>
    <w:rsid w:val="00DA0B6B"/>
    <w:rsid w:val="00DA3521"/>
    <w:rsid w:val="00DA3E87"/>
    <w:rsid w:val="00DC1839"/>
    <w:rsid w:val="00DC5337"/>
    <w:rsid w:val="00DD2346"/>
    <w:rsid w:val="00DD36F8"/>
    <w:rsid w:val="00DD3E2F"/>
    <w:rsid w:val="00DD54E5"/>
    <w:rsid w:val="00DD7D01"/>
    <w:rsid w:val="00DE0EDB"/>
    <w:rsid w:val="00DE4629"/>
    <w:rsid w:val="00DE465F"/>
    <w:rsid w:val="00DF2615"/>
    <w:rsid w:val="00E009E9"/>
    <w:rsid w:val="00E023CD"/>
    <w:rsid w:val="00E17176"/>
    <w:rsid w:val="00E172F6"/>
    <w:rsid w:val="00E275E8"/>
    <w:rsid w:val="00E30A54"/>
    <w:rsid w:val="00E368D2"/>
    <w:rsid w:val="00E372A1"/>
    <w:rsid w:val="00E37E01"/>
    <w:rsid w:val="00E37FD7"/>
    <w:rsid w:val="00E44C29"/>
    <w:rsid w:val="00E516C8"/>
    <w:rsid w:val="00E66716"/>
    <w:rsid w:val="00E7056D"/>
    <w:rsid w:val="00E7150A"/>
    <w:rsid w:val="00E72CCC"/>
    <w:rsid w:val="00E741F9"/>
    <w:rsid w:val="00E802B9"/>
    <w:rsid w:val="00E85341"/>
    <w:rsid w:val="00EB18B2"/>
    <w:rsid w:val="00EB479E"/>
    <w:rsid w:val="00EB4937"/>
    <w:rsid w:val="00EC06E1"/>
    <w:rsid w:val="00EC26A9"/>
    <w:rsid w:val="00EC2EBB"/>
    <w:rsid w:val="00EC4AA8"/>
    <w:rsid w:val="00EC75E8"/>
    <w:rsid w:val="00ED17C0"/>
    <w:rsid w:val="00EE7D03"/>
    <w:rsid w:val="00F05AD6"/>
    <w:rsid w:val="00F143F8"/>
    <w:rsid w:val="00F418BC"/>
    <w:rsid w:val="00F418FA"/>
    <w:rsid w:val="00F46DF1"/>
    <w:rsid w:val="00F54D10"/>
    <w:rsid w:val="00F55CD6"/>
    <w:rsid w:val="00F8086E"/>
    <w:rsid w:val="00F93ADA"/>
    <w:rsid w:val="00FA3787"/>
    <w:rsid w:val="00FB190E"/>
    <w:rsid w:val="00FB7810"/>
    <w:rsid w:val="00FC38F4"/>
    <w:rsid w:val="00FC44C1"/>
    <w:rsid w:val="00FD10E8"/>
    <w:rsid w:val="00FD2FF4"/>
    <w:rsid w:val="00FD554F"/>
    <w:rsid w:val="00FE339A"/>
    <w:rsid w:val="00FF1BD6"/>
    <w:rsid w:val="00FF3931"/>
    <w:rsid w:val="00FF472E"/>
    <w:rsid w:val="00FF6D98"/>
    <w:rsid w:val="0AB7C881"/>
    <w:rsid w:val="0B316C6D"/>
    <w:rsid w:val="0BFE7C34"/>
    <w:rsid w:val="197B8FF3"/>
    <w:rsid w:val="1ACD3871"/>
    <w:rsid w:val="1C6BE577"/>
    <w:rsid w:val="1E03CA1A"/>
    <w:rsid w:val="1EC233F9"/>
    <w:rsid w:val="21725D0A"/>
    <w:rsid w:val="22B53273"/>
    <w:rsid w:val="246C3D9C"/>
    <w:rsid w:val="25E1C54A"/>
    <w:rsid w:val="26320DCC"/>
    <w:rsid w:val="2673AB8C"/>
    <w:rsid w:val="2D62F415"/>
    <w:rsid w:val="3335E66E"/>
    <w:rsid w:val="3D51A729"/>
    <w:rsid w:val="45109845"/>
    <w:rsid w:val="453E216B"/>
    <w:rsid w:val="47968558"/>
    <w:rsid w:val="4FA1CEE2"/>
    <w:rsid w:val="4FED6890"/>
    <w:rsid w:val="5657DDC6"/>
    <w:rsid w:val="58E31AED"/>
    <w:rsid w:val="5D6FB8C7"/>
    <w:rsid w:val="615BFFA6"/>
    <w:rsid w:val="6448B23A"/>
    <w:rsid w:val="64D01E6E"/>
    <w:rsid w:val="6C43E45B"/>
    <w:rsid w:val="6DC17520"/>
    <w:rsid w:val="708E7BD5"/>
    <w:rsid w:val="73617065"/>
    <w:rsid w:val="758FF82F"/>
    <w:rsid w:val="7ADC58E0"/>
    <w:rsid w:val="7D37025E"/>
    <w:rsid w:val="7DB2EC0A"/>
    <w:rsid w:val="7DF162ED"/>
    <w:rsid w:val="7DF901A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1650D"/>
  <w15:chartTrackingRefBased/>
  <w15:docId w15:val="{F75A2A05-5415-42CD-9FCB-66D0C8228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2D1"/>
    <w:pPr>
      <w:spacing w:after="120" w:line="264" w:lineRule="auto"/>
    </w:pPr>
    <w:rPr>
      <w:rFonts w:ascii="Roboto" w:hAnsi="Roboto"/>
      <w:color w:val="002554"/>
      <w:sz w:val="22"/>
      <w:szCs w:val="22"/>
    </w:rPr>
  </w:style>
  <w:style w:type="paragraph" w:styleId="Heading1">
    <w:name w:val="heading 1"/>
    <w:basedOn w:val="Normal"/>
    <w:next w:val="Normal"/>
    <w:link w:val="Heading1Char"/>
    <w:uiPriority w:val="9"/>
    <w:qFormat/>
    <w:rsid w:val="005B491A"/>
    <w:pPr>
      <w:keepNext/>
      <w:keepLines/>
      <w:spacing w:after="0" w:line="266" w:lineRule="auto"/>
      <w:outlineLvl w:val="0"/>
    </w:pPr>
    <w:rPr>
      <w:rFonts w:eastAsiaTheme="majorEastAsia" w:cstheme="majorBidi"/>
      <w:b/>
      <w:bCs/>
      <w:sz w:val="40"/>
      <w:szCs w:val="40"/>
    </w:rPr>
  </w:style>
  <w:style w:type="paragraph" w:styleId="Heading2">
    <w:name w:val="heading 2"/>
    <w:basedOn w:val="Normal"/>
    <w:next w:val="Normal"/>
    <w:link w:val="Heading2Char"/>
    <w:uiPriority w:val="9"/>
    <w:unhideWhenUsed/>
    <w:qFormat/>
    <w:rsid w:val="001055BC"/>
    <w:pPr>
      <w:numPr>
        <w:numId w:val="14"/>
      </w:numPr>
      <w:spacing w:before="240"/>
      <w:ind w:hanging="720"/>
      <w:outlineLvl w:val="1"/>
    </w:pPr>
    <w:rPr>
      <w:b/>
      <w:bCs/>
      <w:sz w:val="36"/>
      <w:szCs w:val="36"/>
    </w:rPr>
  </w:style>
  <w:style w:type="paragraph" w:styleId="Heading3">
    <w:name w:val="heading 3"/>
    <w:basedOn w:val="ListParagraph"/>
    <w:next w:val="Normal"/>
    <w:link w:val="Heading3Char"/>
    <w:uiPriority w:val="9"/>
    <w:unhideWhenUsed/>
    <w:qFormat/>
    <w:rsid w:val="00DD54E5"/>
    <w:pPr>
      <w:numPr>
        <w:numId w:val="0"/>
      </w:numPr>
      <w:spacing w:before="120" w:after="120"/>
      <w:ind w:left="992" w:hanging="992"/>
      <w:outlineLvl w:val="2"/>
    </w:pPr>
    <w:rPr>
      <w:b/>
      <w:bCs/>
      <w:sz w:val="24"/>
      <w:szCs w:val="24"/>
    </w:rPr>
  </w:style>
  <w:style w:type="paragraph" w:styleId="Heading4">
    <w:name w:val="heading 4"/>
    <w:basedOn w:val="Normal"/>
    <w:next w:val="Normal"/>
    <w:link w:val="Heading4Char"/>
    <w:uiPriority w:val="9"/>
    <w:semiHidden/>
    <w:unhideWhenUsed/>
    <w:qFormat/>
    <w:rsid w:val="00D84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4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4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4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4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4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91A"/>
    <w:rPr>
      <w:rFonts w:ascii="Roboto" w:eastAsiaTheme="majorEastAsia" w:hAnsi="Roboto" w:cstheme="majorBidi"/>
      <w:b/>
      <w:bCs/>
      <w:color w:val="002554"/>
      <w:sz w:val="40"/>
      <w:szCs w:val="40"/>
    </w:rPr>
  </w:style>
  <w:style w:type="character" w:customStyle="1" w:styleId="Heading2Char">
    <w:name w:val="Heading 2 Char"/>
    <w:basedOn w:val="DefaultParagraphFont"/>
    <w:link w:val="Heading2"/>
    <w:uiPriority w:val="9"/>
    <w:rsid w:val="001055BC"/>
    <w:rPr>
      <w:rFonts w:ascii="Roboto" w:hAnsi="Roboto"/>
      <w:b/>
      <w:bCs/>
      <w:color w:val="002554"/>
      <w:sz w:val="36"/>
      <w:szCs w:val="36"/>
    </w:rPr>
  </w:style>
  <w:style w:type="character" w:customStyle="1" w:styleId="Heading3Char">
    <w:name w:val="Heading 3 Char"/>
    <w:basedOn w:val="DefaultParagraphFont"/>
    <w:link w:val="Heading3"/>
    <w:uiPriority w:val="9"/>
    <w:rsid w:val="00DD54E5"/>
    <w:rPr>
      <w:rFonts w:ascii="Roboto" w:hAnsi="Roboto"/>
      <w:b/>
      <w:bCs/>
      <w:color w:val="002554"/>
    </w:rPr>
  </w:style>
  <w:style w:type="character" w:customStyle="1" w:styleId="Heading4Char">
    <w:name w:val="Heading 4 Char"/>
    <w:basedOn w:val="DefaultParagraphFont"/>
    <w:link w:val="Heading4"/>
    <w:uiPriority w:val="9"/>
    <w:semiHidden/>
    <w:rsid w:val="00D84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4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4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4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4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46AC"/>
    <w:rPr>
      <w:rFonts w:eastAsiaTheme="majorEastAsia" w:cstheme="majorBidi"/>
      <w:color w:val="272727" w:themeColor="text1" w:themeTint="D8"/>
    </w:rPr>
  </w:style>
  <w:style w:type="paragraph" w:styleId="Title">
    <w:name w:val="Title"/>
    <w:basedOn w:val="Normal"/>
    <w:next w:val="Normal"/>
    <w:link w:val="TitleChar"/>
    <w:uiPriority w:val="10"/>
    <w:qFormat/>
    <w:rsid w:val="00D84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4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46AC"/>
    <w:pPr>
      <w:spacing w:before="160"/>
      <w:jc w:val="center"/>
    </w:pPr>
    <w:rPr>
      <w:i/>
      <w:iCs/>
      <w:color w:val="404040" w:themeColor="text1" w:themeTint="BF"/>
    </w:rPr>
  </w:style>
  <w:style w:type="character" w:customStyle="1" w:styleId="QuoteChar">
    <w:name w:val="Quote Char"/>
    <w:basedOn w:val="DefaultParagraphFont"/>
    <w:link w:val="Quote"/>
    <w:uiPriority w:val="29"/>
    <w:rsid w:val="00D846AC"/>
    <w:rPr>
      <w:i/>
      <w:iCs/>
      <w:color w:val="404040" w:themeColor="text1" w:themeTint="BF"/>
    </w:rPr>
  </w:style>
  <w:style w:type="paragraph" w:styleId="ListParagraph">
    <w:name w:val="List Paragraph"/>
    <w:basedOn w:val="Normal"/>
    <w:uiPriority w:val="34"/>
    <w:qFormat/>
    <w:rsid w:val="005742BA"/>
    <w:pPr>
      <w:numPr>
        <w:numId w:val="20"/>
      </w:numPr>
      <w:spacing w:after="60"/>
      <w:ind w:left="425" w:hanging="357"/>
    </w:pPr>
  </w:style>
  <w:style w:type="character" w:styleId="IntenseEmphasis">
    <w:name w:val="Intense Emphasis"/>
    <w:basedOn w:val="DefaultParagraphFont"/>
    <w:uiPriority w:val="21"/>
    <w:qFormat/>
    <w:rsid w:val="00D846AC"/>
    <w:rPr>
      <w:i/>
      <w:iCs/>
      <w:color w:val="0F4761" w:themeColor="accent1" w:themeShade="BF"/>
    </w:rPr>
  </w:style>
  <w:style w:type="paragraph" w:styleId="IntenseQuote">
    <w:name w:val="Intense Quote"/>
    <w:basedOn w:val="Normal"/>
    <w:next w:val="Normal"/>
    <w:link w:val="IntenseQuoteChar"/>
    <w:uiPriority w:val="30"/>
    <w:qFormat/>
    <w:rsid w:val="00D84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46AC"/>
    <w:rPr>
      <w:i/>
      <w:iCs/>
      <w:color w:val="0F4761" w:themeColor="accent1" w:themeShade="BF"/>
    </w:rPr>
  </w:style>
  <w:style w:type="character" w:styleId="IntenseReference">
    <w:name w:val="Intense Reference"/>
    <w:basedOn w:val="DefaultParagraphFont"/>
    <w:uiPriority w:val="32"/>
    <w:qFormat/>
    <w:rsid w:val="00D846AC"/>
    <w:rPr>
      <w:b/>
      <w:bCs/>
      <w:smallCaps/>
      <w:color w:val="0F4761" w:themeColor="accent1" w:themeShade="BF"/>
      <w:spacing w:val="5"/>
    </w:rPr>
  </w:style>
  <w:style w:type="character" w:styleId="Hyperlink">
    <w:name w:val="Hyperlink"/>
    <w:basedOn w:val="DefaultParagraphFont"/>
    <w:uiPriority w:val="99"/>
    <w:unhideWhenUsed/>
    <w:rsid w:val="00D846AC"/>
    <w:rPr>
      <w:color w:val="467886" w:themeColor="hyperlink"/>
      <w:u w:val="single"/>
    </w:rPr>
  </w:style>
  <w:style w:type="character" w:styleId="UnresolvedMention">
    <w:name w:val="Unresolved Mention"/>
    <w:basedOn w:val="DefaultParagraphFont"/>
    <w:uiPriority w:val="99"/>
    <w:semiHidden/>
    <w:unhideWhenUsed/>
    <w:rsid w:val="00D846AC"/>
    <w:rPr>
      <w:color w:val="605E5C"/>
      <w:shd w:val="clear" w:color="auto" w:fill="E1DFDD"/>
    </w:rPr>
  </w:style>
  <w:style w:type="paragraph" w:styleId="Header">
    <w:name w:val="header"/>
    <w:basedOn w:val="Normal"/>
    <w:link w:val="HeaderChar"/>
    <w:uiPriority w:val="99"/>
    <w:unhideWhenUsed/>
    <w:rsid w:val="005B49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91A"/>
  </w:style>
  <w:style w:type="paragraph" w:styleId="Footer">
    <w:name w:val="footer"/>
    <w:basedOn w:val="Normal"/>
    <w:link w:val="FooterChar"/>
    <w:uiPriority w:val="99"/>
    <w:unhideWhenUsed/>
    <w:rsid w:val="005B49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91A"/>
  </w:style>
  <w:style w:type="table" w:styleId="TableGrid">
    <w:name w:val="Table Grid"/>
    <w:basedOn w:val="TableNormal"/>
    <w:uiPriority w:val="39"/>
    <w:rsid w:val="00CD5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A7328"/>
    <w:rPr>
      <w:sz w:val="16"/>
      <w:szCs w:val="16"/>
    </w:rPr>
  </w:style>
  <w:style w:type="paragraph" w:styleId="CommentText">
    <w:name w:val="annotation text"/>
    <w:basedOn w:val="Normal"/>
    <w:link w:val="CommentTextChar"/>
    <w:uiPriority w:val="99"/>
    <w:unhideWhenUsed/>
    <w:rsid w:val="003A7328"/>
    <w:pPr>
      <w:spacing w:line="240" w:lineRule="auto"/>
    </w:pPr>
    <w:rPr>
      <w:sz w:val="20"/>
      <w:szCs w:val="20"/>
    </w:rPr>
  </w:style>
  <w:style w:type="character" w:customStyle="1" w:styleId="CommentTextChar">
    <w:name w:val="Comment Text Char"/>
    <w:basedOn w:val="DefaultParagraphFont"/>
    <w:link w:val="CommentText"/>
    <w:uiPriority w:val="99"/>
    <w:rsid w:val="003A7328"/>
    <w:rPr>
      <w:rFonts w:ascii="Roboto" w:hAnsi="Roboto"/>
      <w:color w:val="002554"/>
      <w:sz w:val="20"/>
      <w:szCs w:val="20"/>
    </w:rPr>
  </w:style>
  <w:style w:type="paragraph" w:styleId="CommentSubject">
    <w:name w:val="annotation subject"/>
    <w:basedOn w:val="CommentText"/>
    <w:next w:val="CommentText"/>
    <w:link w:val="CommentSubjectChar"/>
    <w:uiPriority w:val="99"/>
    <w:semiHidden/>
    <w:unhideWhenUsed/>
    <w:rsid w:val="003A7328"/>
    <w:rPr>
      <w:b/>
      <w:bCs/>
    </w:rPr>
  </w:style>
  <w:style w:type="character" w:customStyle="1" w:styleId="CommentSubjectChar">
    <w:name w:val="Comment Subject Char"/>
    <w:basedOn w:val="CommentTextChar"/>
    <w:link w:val="CommentSubject"/>
    <w:uiPriority w:val="99"/>
    <w:semiHidden/>
    <w:rsid w:val="003A7328"/>
    <w:rPr>
      <w:rFonts w:ascii="Roboto" w:hAnsi="Roboto"/>
      <w:b/>
      <w:bCs/>
      <w:color w:val="002554"/>
      <w:sz w:val="20"/>
      <w:szCs w:val="20"/>
    </w:rPr>
  </w:style>
  <w:style w:type="paragraph" w:styleId="Revision">
    <w:name w:val="Revision"/>
    <w:hidden/>
    <w:uiPriority w:val="99"/>
    <w:semiHidden/>
    <w:rsid w:val="00E72CCC"/>
    <w:pPr>
      <w:spacing w:after="0" w:line="240" w:lineRule="auto"/>
    </w:pPr>
    <w:rPr>
      <w:rFonts w:ascii="Roboto" w:hAnsi="Roboto"/>
      <w:color w:val="002554"/>
      <w:sz w:val="22"/>
      <w:szCs w:val="22"/>
    </w:rPr>
  </w:style>
  <w:style w:type="paragraph" w:styleId="FootnoteText">
    <w:name w:val="footnote text"/>
    <w:basedOn w:val="Normal"/>
    <w:link w:val="FootnoteTextChar"/>
    <w:uiPriority w:val="99"/>
    <w:semiHidden/>
    <w:unhideWhenUsed/>
    <w:rsid w:val="009B26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6A6"/>
    <w:rPr>
      <w:rFonts w:ascii="Roboto" w:hAnsi="Roboto"/>
      <w:color w:val="002554"/>
      <w:sz w:val="20"/>
      <w:szCs w:val="20"/>
    </w:rPr>
  </w:style>
  <w:style w:type="character" w:styleId="FootnoteReference">
    <w:name w:val="footnote reference"/>
    <w:basedOn w:val="DefaultParagraphFont"/>
    <w:uiPriority w:val="99"/>
    <w:semiHidden/>
    <w:unhideWhenUsed/>
    <w:rsid w:val="009B26A6"/>
    <w:rPr>
      <w:vertAlign w:val="superscript"/>
    </w:rPr>
  </w:style>
  <w:style w:type="character" w:styleId="Mention">
    <w:name w:val="Mention"/>
    <w:basedOn w:val="DefaultParagraphFont"/>
    <w:uiPriority w:val="99"/>
    <w:unhideWhenUsed/>
    <w:rsid w:val="004D769E"/>
    <w:rPr>
      <w:color w:val="2B579A"/>
      <w:shd w:val="clear" w:color="auto" w:fill="E1DFDD"/>
    </w:rPr>
  </w:style>
  <w:style w:type="paragraph" w:customStyle="1" w:styleId="Heading11">
    <w:name w:val="Heading 1.1"/>
    <w:basedOn w:val="Heading3"/>
    <w:link w:val="Heading11Char"/>
    <w:qFormat/>
    <w:rsid w:val="00941A87"/>
    <w:pPr>
      <w:spacing w:before="240"/>
      <w:ind w:left="425" w:hanging="425"/>
    </w:pPr>
    <w:rPr>
      <w:sz w:val="28"/>
      <w:szCs w:val="28"/>
    </w:rPr>
  </w:style>
  <w:style w:type="character" w:customStyle="1" w:styleId="Heading11Char">
    <w:name w:val="Heading 1.1 Char"/>
    <w:basedOn w:val="Heading3Char"/>
    <w:link w:val="Heading11"/>
    <w:rsid w:val="00941A87"/>
    <w:rPr>
      <w:rFonts w:ascii="Roboto" w:hAnsi="Roboto"/>
      <w:b/>
      <w:bCs/>
      <w:color w:val="002554"/>
      <w:sz w:val="28"/>
      <w:szCs w:val="28"/>
    </w:rPr>
  </w:style>
  <w:style w:type="paragraph" w:customStyle="1" w:styleId="breadcrumb-item">
    <w:name w:val="breadcrumb-item"/>
    <w:basedOn w:val="Normal"/>
    <w:rsid w:val="00842CAE"/>
    <w:pPr>
      <w:spacing w:before="100" w:beforeAutospacing="1" w:after="100" w:afterAutospacing="1" w:line="240" w:lineRule="auto"/>
    </w:pPr>
    <w:rPr>
      <w:rFonts w:ascii="Times New Roman" w:eastAsia="Times New Roman" w:hAnsi="Times New Roman" w:cs="Times New Roman"/>
      <w:color w:val="auto"/>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mrc.gov.au/research-policy/ethics/national-statement-ethical-conduct-human-research"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aic.gov.au/privacy/australian-privacy-principles" TargetMode="External"/><Relationship Id="rId17" Type="http://schemas.openxmlformats.org/officeDocument/2006/relationships/hyperlink" Target="https://aus01.safelinks.protection.outlook.com/?url=https%3A%2F%2Fwww.ourwatch.org.au%2Fcontact&amp;data=05%7C02%7Clisa.evans%40ourwatch.org.au%7C4a8de5bdfb6e4a99738808de78e9597a%7Ca6ae3a687fd14af4b167b069647fb080%7C0%7C0%7C639081140981456378%7CUnknown%7CTWFpbGZsb3d8eyJFbXB0eU1hcGkiOnRydWUsIlYiOiIwLjAuMDAwMCIsIlAiOiJXaW4zMiIsIkFOIjoiTWFpbCIsIldUIjoyfQ%3D%3D%7C0%7C%7C%7C&amp;sdata=eYZeYtEVRdL0AQNMTnRIHCMDutllMyaCdPTkIhEChE8%3D&amp;reserved=0" TargetMode="External"/><Relationship Id="rId2" Type="http://schemas.openxmlformats.org/officeDocument/2006/relationships/customXml" Target="../customXml/item2.xml"/><Relationship Id="rId16" Type="http://schemas.openxmlformats.org/officeDocument/2006/relationships/hyperlink" Target="https://www.acnc.gov.au/for-charities/manage-your-charity/governance-hub/governance-toolkit/governance-toolkit-safeguarding-vulnerable-peopl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hildsafety.gov.au/resources/national-principles-child-safe-organisation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dustry.gov.au/publications/guidance-for-ai-ado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Gapproval xmlns="0e2109a4-8d3e-414c-ada9-c5e56f9e71b8">true</DGapproval>
    <Comments xmlns="0e2109a4-8d3e-414c-ada9-c5e56f9e71b8" xsi:nil="true"/>
    <TaxCatchAll xmlns="2bd8b66a-37d4-48e3-9212-190680a2a0f8" xsi:nil="true"/>
    <lcf76f155ced4ddcb4097134ff3c332f xmlns="0e2109a4-8d3e-414c-ada9-c5e56f9e71b8">
      <Terms xmlns="http://schemas.microsoft.com/office/infopath/2007/PartnerControls"/>
    </lcf76f155ced4ddcb4097134ff3c332f>
    <_Flow_SignoffStatus xmlns="0e2109a4-8d3e-414c-ada9-c5e56f9e71b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70B54670BC36B4D939C526AF91960B8" ma:contentTypeVersion="22" ma:contentTypeDescription="Create a new document." ma:contentTypeScope="" ma:versionID="4e8e5f8b128c495514e2e53c1b71f83e">
  <xsd:schema xmlns:xsd="http://www.w3.org/2001/XMLSchema" xmlns:xs="http://www.w3.org/2001/XMLSchema" xmlns:p="http://schemas.microsoft.com/office/2006/metadata/properties" xmlns:ns2="2bd8b66a-37d4-48e3-9212-190680a2a0f8" xmlns:ns3="0e2109a4-8d3e-414c-ada9-c5e56f9e71b8" targetNamespace="http://schemas.microsoft.com/office/2006/metadata/properties" ma:root="true" ma:fieldsID="1508f6f2cb72468f615b1e427d4356b5" ns2:_="" ns3:_="">
    <xsd:import namespace="2bd8b66a-37d4-48e3-9212-190680a2a0f8"/>
    <xsd:import namespace="0e2109a4-8d3e-414c-ada9-c5e56f9e71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_Flow_SignoffStatus" minOccurs="0"/>
                <xsd:element ref="ns3:Comments" minOccurs="0"/>
                <xsd:element ref="ns3:MediaServiceAutoKeyPoints" minOccurs="0"/>
                <xsd:element ref="ns3:MediaServiceKeyPoints" minOccurs="0"/>
                <xsd:element ref="ns3:DGapprova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8b66a-37d4-48e3-9212-190680a2a0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ddd927bb-d626-49c7-bdc5-10e992277e20}" ma:internalName="TaxCatchAll" ma:showField="CatchAllData" ma:web="2bd8b66a-37d4-48e3-9212-190680a2a0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2109a4-8d3e-414c-ada9-c5e56f9e71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Flow_SignoffStatus" ma:index="12" nillable="true" ma:displayName="Sign-off status" ma:internalName="_x0024_Resources_x003a_core_x002c_Signoff_Status_x003b_">
      <xsd:simpleType>
        <xsd:restriction base="dms:Text"/>
      </xsd:simpleType>
    </xsd:element>
    <xsd:element name="Comments" ma:index="13" nillable="true" ma:displayName="Comments" ma:format="Dropdown" ma:internalName="Comments">
      <xsd:simpleType>
        <xsd:restriction base="dms:Text">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DGapproval" ma:index="16" nillable="true" ma:displayName="DG approval" ma:default="1" ma:format="Dropdown" ma:internalName="DGapproval">
      <xsd:simpleType>
        <xsd:restriction base="dms:Boolea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48c6f5f-df8e-4631-88e7-6cf327a6d2c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5DAAE-FAFF-477E-87FC-FCDE377CDCB3}">
  <ds:schemaRefs>
    <ds:schemaRef ds:uri="http://schemas.microsoft.com/sharepoint/v3/contenttype/forms"/>
  </ds:schemaRefs>
</ds:datastoreItem>
</file>

<file path=customXml/itemProps2.xml><?xml version="1.0" encoding="utf-8"?>
<ds:datastoreItem xmlns:ds="http://schemas.openxmlformats.org/officeDocument/2006/customXml" ds:itemID="{D8216988-6F4C-48CE-A110-F7FA48DA8687}">
  <ds:schemaRefs>
    <ds:schemaRef ds:uri="http://schemas.microsoft.com/office/2006/metadata/properties"/>
    <ds:schemaRef ds:uri="http://schemas.microsoft.com/office/infopath/2007/PartnerControls"/>
    <ds:schemaRef ds:uri="0e2109a4-8d3e-414c-ada9-c5e56f9e71b8"/>
    <ds:schemaRef ds:uri="2bd8b66a-37d4-48e3-9212-190680a2a0f8"/>
  </ds:schemaRefs>
</ds:datastoreItem>
</file>

<file path=customXml/itemProps3.xml><?xml version="1.0" encoding="utf-8"?>
<ds:datastoreItem xmlns:ds="http://schemas.openxmlformats.org/officeDocument/2006/customXml" ds:itemID="{035FA457-F4B3-43E5-BABE-B118AEB25079}">
  <ds:schemaRefs>
    <ds:schemaRef ds:uri="http://schemas.openxmlformats.org/officeDocument/2006/bibliography"/>
  </ds:schemaRefs>
</ds:datastoreItem>
</file>

<file path=customXml/itemProps4.xml><?xml version="1.0" encoding="utf-8"?>
<ds:datastoreItem xmlns:ds="http://schemas.openxmlformats.org/officeDocument/2006/customXml" ds:itemID="{EEDE3AFA-A7B4-40AB-B501-B87A4E8F9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8b66a-37d4-48e3-9212-190680a2a0f8"/>
    <ds:schemaRef ds:uri="0e2109a4-8d3e-414c-ada9-c5e56f9e7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1254</Words>
  <Characters>6926</Characters>
  <Application>Microsoft Office Word</Application>
  <DocSecurity>0</DocSecurity>
  <Lines>130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Evans</dc:creator>
  <cp:keywords/>
  <dc:description/>
  <cp:lastModifiedBy>Catalina Sinclair</cp:lastModifiedBy>
  <cp:revision>6</cp:revision>
  <dcterms:created xsi:type="dcterms:W3CDTF">2026-03-10T00:41:00Z</dcterms:created>
  <dcterms:modified xsi:type="dcterms:W3CDTF">2026-03-16T00:14:00Z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0x010100770B54670BC36B4D939C526AF91960B8</vt:lpwstr>
  </property>
  <property fmtid="{D5CDD505-2E9C-101B-9397-08002B2CF9AE}" pid="3" name="MediaServiceImageTags">
    <vt:lpwstr/>
  </property>
</Properties>
</file>