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290A1A" w14:textId="0598E4C3" w:rsidR="004A732E" w:rsidRPr="004A732E" w:rsidRDefault="00AA5B89" w:rsidP="00722FE5">
      <w:pPr>
        <w:pStyle w:val="Heading1"/>
        <w:spacing w:after="360" w:line="216" w:lineRule="auto"/>
        <w:ind w:left="1134" w:right="1134"/>
      </w:pPr>
      <w:r>
        <w:rPr>
          <w:noProof/>
        </w:rPr>
        <w:drawing>
          <wp:anchor distT="0" distB="0" distL="114300" distR="114300" simplePos="0" relativeHeight="251659269" behindDoc="0" locked="1" layoutInCell="1" allowOverlap="1" wp14:anchorId="558CC4F6" wp14:editId="1DAF617A">
            <wp:simplePos x="0" y="0"/>
            <wp:positionH relativeFrom="page">
              <wp:posOffset>0</wp:posOffset>
            </wp:positionH>
            <wp:positionV relativeFrom="page">
              <wp:posOffset>0</wp:posOffset>
            </wp:positionV>
            <wp:extent cx="7563600" cy="10702800"/>
            <wp:effectExtent l="0" t="0" r="0" b="3810"/>
            <wp:wrapNone/>
            <wp:docPr id="8" name="Graphic 8" descr="Cover graphic: Tracking progress in prevention - Our Watch - End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Cover graphic: Tracking progress in prevention - Our Watch - End violence against Women and Their Children"/>
                    <pic:cNvPicPr/>
                  </pic:nvPicPr>
                  <pic:blipFill>
                    <a:blip r:embed="rId11">
                      <a:extLst>
                        <a:ext uri="{96DAC541-7B7A-43D3-8B79-37D633B846F1}">
                          <asvg:svgBlip xmlns:asvg="http://schemas.microsoft.com/office/drawing/2016/SVG/main" r:embed="rId12"/>
                        </a:ext>
                      </a:extLst>
                    </a:blip>
                    <a:stretch>
                      <a:fillRect/>
                    </a:stretch>
                  </pic:blipFill>
                  <pic:spPr>
                    <a:xfrm>
                      <a:off x="0" y="0"/>
                      <a:ext cx="7563600" cy="10702800"/>
                    </a:xfrm>
                    <a:prstGeom prst="rect">
                      <a:avLst/>
                    </a:prstGeom>
                  </pic:spPr>
                </pic:pic>
              </a:graphicData>
            </a:graphic>
            <wp14:sizeRelH relativeFrom="margin">
              <wp14:pctWidth>0</wp14:pctWidth>
            </wp14:sizeRelH>
            <wp14:sizeRelV relativeFrom="margin">
              <wp14:pctHeight>0</wp14:pctHeight>
            </wp14:sizeRelV>
          </wp:anchor>
        </w:drawing>
      </w:r>
      <w:r w:rsidR="00722FE5">
        <w:t>Tracking p</w:t>
      </w:r>
      <w:r w:rsidR="004A732E" w:rsidRPr="004A732E">
        <w:t>rogress in prevention</w:t>
      </w:r>
    </w:p>
    <w:p w14:paraId="75EFB8B5" w14:textId="05C4093B" w:rsidR="00722FE5" w:rsidRDefault="00722FE5">
      <w:pPr>
        <w:pStyle w:val="OWCoversubtitle"/>
      </w:pPr>
      <w:r w:rsidRPr="00722FE5">
        <w:t xml:space="preserve">A national monitoring report on </w:t>
      </w:r>
      <w:r w:rsidR="000863F5">
        <w:br/>
      </w:r>
      <w:r w:rsidR="31480AF3">
        <w:t>tracking</w:t>
      </w:r>
      <w:r>
        <w:t xml:space="preserve"> </w:t>
      </w:r>
      <w:r w:rsidRPr="00722FE5">
        <w:t>progress towards the primary prevention of</w:t>
      </w:r>
      <w:r w:rsidR="000863F5">
        <w:t xml:space="preserve"> </w:t>
      </w:r>
      <w:r w:rsidRPr="00722FE5">
        <w:t>violence against women and</w:t>
      </w:r>
      <w:r w:rsidR="000863F5">
        <w:t> </w:t>
      </w:r>
      <w:r w:rsidRPr="00722FE5">
        <w:t>their children in Australia</w:t>
      </w:r>
    </w:p>
    <w:p w14:paraId="45ACEF4E" w14:textId="77777777" w:rsidR="004A732E" w:rsidRPr="004A732E" w:rsidRDefault="004A732E" w:rsidP="004A732E">
      <w:pPr>
        <w:pStyle w:val="BodyText"/>
      </w:pPr>
    </w:p>
    <w:p w14:paraId="1EAD13EF" w14:textId="77777777" w:rsidR="004A732E" w:rsidRDefault="004A732E">
      <w:pPr>
        <w:pStyle w:val="Heading2TOCheading"/>
        <w:sectPr w:rsidR="004A732E" w:rsidSect="008F2074">
          <w:headerReference w:type="even" r:id="rId13"/>
          <w:footerReference w:type="even" r:id="rId14"/>
          <w:footnotePr>
            <w:numFmt w:val="lowerRoman"/>
          </w:footnotePr>
          <w:endnotePr>
            <w:numFmt w:val="decimal"/>
          </w:endnotePr>
          <w:pgSz w:w="11906" w:h="16838" w:code="9"/>
          <w:pgMar w:top="1418" w:right="1418" w:bottom="1418" w:left="1418" w:header="454" w:footer="454" w:gutter="0"/>
          <w:pgNumType w:fmt="lowerRoman" w:start="1"/>
          <w:cols w:space="720"/>
          <w:noEndnote/>
        </w:sectPr>
      </w:pPr>
    </w:p>
    <w:p w14:paraId="413A2718" w14:textId="77777777" w:rsidR="008846C8" w:rsidRDefault="008846C8" w:rsidP="008846C8">
      <w:pPr>
        <w:pStyle w:val="BodyText"/>
        <w:spacing w:after="10700"/>
      </w:pPr>
    </w:p>
    <w:p w14:paraId="3E6F3E7F" w14:textId="5D2DCDB9" w:rsidR="008846C8" w:rsidRDefault="008846C8" w:rsidP="008846C8">
      <w:pPr>
        <w:pStyle w:val="BodyText"/>
      </w:pPr>
      <w:r>
        <w:t>© Our Watch 2020</w:t>
      </w:r>
    </w:p>
    <w:p w14:paraId="71885719" w14:textId="6A932191" w:rsidR="008846C8" w:rsidRDefault="008846C8" w:rsidP="008846C8">
      <w:pPr>
        <w:pStyle w:val="BodyText"/>
      </w:pPr>
      <w:r>
        <w:t>Published by Our Watch</w:t>
      </w:r>
      <w:r>
        <w:br/>
        <w:t>GPO Box 24229, Melbourne VIC 3001</w:t>
      </w:r>
      <w:r>
        <w:br/>
        <w:t>www.ourwatch.org.au</w:t>
      </w:r>
    </w:p>
    <w:p w14:paraId="1682592A" w14:textId="77777777" w:rsidR="008846C8" w:rsidRDefault="008846C8" w:rsidP="008846C8">
      <w:pPr>
        <w:pStyle w:val="BodyText"/>
        <w:spacing w:after="60"/>
      </w:pPr>
      <w:r>
        <w:t>Suggested citation:</w:t>
      </w:r>
    </w:p>
    <w:p w14:paraId="46DB2F88" w14:textId="61873148" w:rsidR="008846C8" w:rsidRPr="008846C8" w:rsidRDefault="008846C8" w:rsidP="008846C8">
      <w:pPr>
        <w:pStyle w:val="BodyText"/>
      </w:pPr>
      <w:r>
        <w:t xml:space="preserve">Our Watch (2020) </w:t>
      </w:r>
      <w:r w:rsidRPr="008846C8">
        <w:rPr>
          <w:rStyle w:val="Emphasis"/>
        </w:rPr>
        <w:t>Tracking progress in prevention: A national monitoring report on progress towards the primary prevention of violence against women and their children in Australia</w:t>
      </w:r>
      <w:r>
        <w:t>, Our Watch, Melbourne, Australia.</w:t>
      </w:r>
      <w:r w:rsidRPr="008846C8">
        <w:br w:type="page"/>
      </w:r>
    </w:p>
    <w:p w14:paraId="752FCFB1" w14:textId="535A361F" w:rsidR="00790783" w:rsidRPr="00790783" w:rsidRDefault="00790783" w:rsidP="00790783">
      <w:pPr>
        <w:pStyle w:val="Heading2frontmatter"/>
      </w:pPr>
      <w:r w:rsidRPr="00790783">
        <w:lastRenderedPageBreak/>
        <w:t>Acknowledgement of Country</w:t>
      </w:r>
    </w:p>
    <w:p w14:paraId="463FB4A2" w14:textId="77777777" w:rsidR="00790783" w:rsidRDefault="00790783" w:rsidP="00790783">
      <w:pPr>
        <w:pStyle w:val="BodyText"/>
      </w:pPr>
      <w:r w:rsidRPr="0071774C">
        <w:t>Our</w:t>
      </w:r>
      <w:r>
        <w:t xml:space="preserve"> </w:t>
      </w:r>
      <w:r w:rsidRPr="0071774C">
        <w:t>Watch</w:t>
      </w:r>
      <w:r>
        <w:t xml:space="preserve"> </w:t>
      </w:r>
      <w:r w:rsidRPr="0071774C">
        <w:t>acknowledges</w:t>
      </w:r>
      <w:r>
        <w:t xml:space="preserve"> </w:t>
      </w:r>
      <w:r w:rsidRPr="0071774C">
        <w:t>and</w:t>
      </w:r>
      <w:r>
        <w:t xml:space="preserve"> </w:t>
      </w:r>
      <w:r w:rsidRPr="0071774C">
        <w:t>pays</w:t>
      </w:r>
      <w:r>
        <w:t xml:space="preserve"> </w:t>
      </w:r>
      <w:r w:rsidRPr="0071774C">
        <w:t>our</w:t>
      </w:r>
      <w:r>
        <w:t xml:space="preserve"> </w:t>
      </w:r>
      <w:r w:rsidRPr="0071774C">
        <w:t>respects</w:t>
      </w:r>
      <w:r>
        <w:t xml:space="preserve"> </w:t>
      </w:r>
      <w:r w:rsidRPr="0071774C">
        <w:t>to</w:t>
      </w:r>
      <w:r>
        <w:t xml:space="preserve"> </w:t>
      </w:r>
      <w:r w:rsidRPr="0071774C">
        <w:t>the</w:t>
      </w:r>
      <w:r>
        <w:t xml:space="preserve"> </w:t>
      </w:r>
      <w:r w:rsidRPr="0071774C">
        <w:t>traditional</w:t>
      </w:r>
      <w:r>
        <w:t xml:space="preserve"> </w:t>
      </w:r>
      <w:r w:rsidRPr="0071774C">
        <w:t>owners</w:t>
      </w:r>
      <w:r>
        <w:t xml:space="preserve"> </w:t>
      </w:r>
      <w:r w:rsidRPr="0071774C">
        <w:t>of</w:t>
      </w:r>
      <w:r>
        <w:t xml:space="preserve"> </w:t>
      </w:r>
      <w:r w:rsidRPr="0071774C">
        <w:t>the</w:t>
      </w:r>
      <w:r>
        <w:t xml:space="preserve"> </w:t>
      </w:r>
      <w:r w:rsidRPr="0071774C">
        <w:t>land</w:t>
      </w:r>
      <w:r>
        <w:t xml:space="preserve"> </w:t>
      </w:r>
      <w:r w:rsidRPr="0071774C">
        <w:t>on</w:t>
      </w:r>
      <w:r>
        <w:t xml:space="preserve"> </w:t>
      </w:r>
      <w:r w:rsidRPr="0071774C">
        <w:t>which</w:t>
      </w:r>
      <w:r>
        <w:t xml:space="preserve"> </w:t>
      </w:r>
      <w:r w:rsidRPr="0071774C">
        <w:t>our</w:t>
      </w:r>
      <w:r>
        <w:t xml:space="preserve"> </w:t>
      </w:r>
      <w:r w:rsidRPr="0071774C">
        <w:t>office</w:t>
      </w:r>
      <w:r>
        <w:t xml:space="preserve"> </w:t>
      </w:r>
      <w:r w:rsidRPr="0071774C">
        <w:t>is</w:t>
      </w:r>
      <w:r>
        <w:t xml:space="preserve"> </w:t>
      </w:r>
      <w:r w:rsidRPr="0071774C">
        <w:t>located,</w:t>
      </w:r>
      <w:r>
        <w:t xml:space="preserve"> </w:t>
      </w:r>
      <w:r w:rsidRPr="0071774C">
        <w:t>the</w:t>
      </w:r>
      <w:r>
        <w:t xml:space="preserve"> </w:t>
      </w:r>
      <w:r w:rsidRPr="007E654A">
        <w:t>Wurundjeri</w:t>
      </w:r>
      <w:r>
        <w:t xml:space="preserve"> </w:t>
      </w:r>
      <w:r w:rsidRPr="0071774C">
        <w:t>people</w:t>
      </w:r>
      <w:r>
        <w:t xml:space="preserve"> </w:t>
      </w:r>
      <w:r w:rsidRPr="0071774C">
        <w:t>of</w:t>
      </w:r>
      <w:r>
        <w:t xml:space="preserve"> </w:t>
      </w:r>
      <w:r w:rsidRPr="0071774C">
        <w:t>the</w:t>
      </w:r>
      <w:r>
        <w:t xml:space="preserve"> </w:t>
      </w:r>
      <w:r w:rsidRPr="0071774C">
        <w:t>Kulin</w:t>
      </w:r>
      <w:r>
        <w:t xml:space="preserve"> </w:t>
      </w:r>
      <w:r w:rsidRPr="0071774C">
        <w:t>Nation.</w:t>
      </w:r>
    </w:p>
    <w:p w14:paraId="15018418" w14:textId="77777777" w:rsidR="00790783" w:rsidRDefault="00790783" w:rsidP="00790783">
      <w:pPr>
        <w:pStyle w:val="BodyText"/>
      </w:pPr>
      <w:r>
        <w:t>As a national organisation we also acknowledge the traditional owners and custodians of country across Australia and pay our respects to them, their cultures and their Elders past, present and future.</w:t>
      </w:r>
    </w:p>
    <w:p w14:paraId="25FF2A60" w14:textId="77777777" w:rsidR="004724DD" w:rsidRPr="004724DD" w:rsidRDefault="004724DD" w:rsidP="004724DD">
      <w:pPr>
        <w:pStyle w:val="BodyText"/>
      </w:pPr>
      <w:bookmarkStart w:id="0" w:name="_Toc34915284"/>
      <w:r w:rsidRPr="004724DD">
        <w:br w:type="page"/>
      </w:r>
    </w:p>
    <w:p w14:paraId="76354D01" w14:textId="5A666A0C" w:rsidR="00790783" w:rsidRPr="00790783" w:rsidRDefault="00790783" w:rsidP="00790783">
      <w:pPr>
        <w:pStyle w:val="Heading2frontmatter"/>
        <w:spacing w:before="400"/>
      </w:pPr>
      <w:r w:rsidRPr="00790783">
        <w:lastRenderedPageBreak/>
        <w:t>Acknowledgements</w:t>
      </w:r>
      <w:bookmarkEnd w:id="0"/>
    </w:p>
    <w:p w14:paraId="75D819B8" w14:textId="77777777" w:rsidR="00790783" w:rsidRDefault="00790783" w:rsidP="00790783">
      <w:pPr>
        <w:pStyle w:val="BodyText"/>
      </w:pPr>
      <w:r w:rsidRPr="0071774C">
        <w:t>This</w:t>
      </w:r>
      <w:r>
        <w:t xml:space="preserve"> </w:t>
      </w:r>
      <w:r w:rsidRPr="0071774C">
        <w:t>report</w:t>
      </w:r>
      <w:r>
        <w:t xml:space="preserve"> </w:t>
      </w:r>
      <w:r w:rsidRPr="0071774C">
        <w:t>was</w:t>
      </w:r>
      <w:r>
        <w:t xml:space="preserve"> </w:t>
      </w:r>
      <w:r w:rsidRPr="0071774C">
        <w:t>researched</w:t>
      </w:r>
      <w:r>
        <w:t xml:space="preserve"> </w:t>
      </w:r>
      <w:r w:rsidRPr="0071774C">
        <w:t>and</w:t>
      </w:r>
      <w:r>
        <w:t xml:space="preserve"> </w:t>
      </w:r>
      <w:r w:rsidRPr="0071774C">
        <w:t>written</w:t>
      </w:r>
      <w:r>
        <w:t xml:space="preserve"> </w:t>
      </w:r>
      <w:r w:rsidRPr="0071774C">
        <w:t>by</w:t>
      </w:r>
      <w:r>
        <w:t xml:space="preserve"> </w:t>
      </w:r>
      <w:r w:rsidRPr="0071774C">
        <w:t>Anna</w:t>
      </w:r>
      <w:r>
        <w:t xml:space="preserve"> </w:t>
      </w:r>
      <w:r w:rsidRPr="0071774C">
        <w:t>Trembath,</w:t>
      </w:r>
      <w:r>
        <w:t xml:space="preserve"> </w:t>
      </w:r>
      <w:r w:rsidRPr="0071774C">
        <w:t>Melalie</w:t>
      </w:r>
      <w:r>
        <w:t xml:space="preserve"> </w:t>
      </w:r>
      <w:r w:rsidRPr="0071774C">
        <w:t>Collie</w:t>
      </w:r>
      <w:r>
        <w:t xml:space="preserve"> </w:t>
      </w:r>
      <w:r w:rsidRPr="0071774C">
        <w:t>and</w:t>
      </w:r>
      <w:r>
        <w:t xml:space="preserve"> </w:t>
      </w:r>
      <w:r w:rsidRPr="0071774C">
        <w:t>Dr</w:t>
      </w:r>
      <w:r>
        <w:t xml:space="preserve"> </w:t>
      </w:r>
      <w:r w:rsidRPr="0071774C">
        <w:t>Emma</w:t>
      </w:r>
      <w:r>
        <w:t xml:space="preserve"> </w:t>
      </w:r>
      <w:r w:rsidRPr="0071774C">
        <w:t>Partridge</w:t>
      </w:r>
      <w:r>
        <w:t xml:space="preserve"> </w:t>
      </w:r>
      <w:r w:rsidRPr="0071774C">
        <w:t>of</w:t>
      </w:r>
      <w:r>
        <w:t xml:space="preserve"> </w:t>
      </w:r>
      <w:r w:rsidRPr="0071774C">
        <w:t>Our</w:t>
      </w:r>
      <w:r>
        <w:t xml:space="preserve"> </w:t>
      </w:r>
      <w:r w:rsidRPr="0071774C">
        <w:t>Watch.</w:t>
      </w:r>
      <w:r>
        <w:t xml:space="preserve"> </w:t>
      </w:r>
      <w:r w:rsidRPr="0071774C">
        <w:t>Other</w:t>
      </w:r>
      <w:r>
        <w:t xml:space="preserve"> </w:t>
      </w:r>
      <w:r w:rsidRPr="0071774C">
        <w:t>Our</w:t>
      </w:r>
      <w:r>
        <w:t xml:space="preserve"> </w:t>
      </w:r>
      <w:r w:rsidRPr="0071774C">
        <w:t>Watch</w:t>
      </w:r>
      <w:r>
        <w:t xml:space="preserve"> </w:t>
      </w:r>
      <w:r w:rsidRPr="0071774C">
        <w:t>staff,</w:t>
      </w:r>
      <w:r>
        <w:t xml:space="preserve"> </w:t>
      </w:r>
      <w:r w:rsidRPr="0071774C">
        <w:t>consultants</w:t>
      </w:r>
      <w:r>
        <w:t xml:space="preserve"> </w:t>
      </w:r>
      <w:r w:rsidRPr="0071774C">
        <w:t>and</w:t>
      </w:r>
      <w:r>
        <w:t xml:space="preserve"> </w:t>
      </w:r>
      <w:r w:rsidRPr="0071774C">
        <w:t>interns</w:t>
      </w:r>
      <w:r>
        <w:t xml:space="preserve"> </w:t>
      </w:r>
      <w:r w:rsidRPr="0071774C">
        <w:t>provided</w:t>
      </w:r>
      <w:r>
        <w:t xml:space="preserve"> </w:t>
      </w:r>
      <w:r w:rsidRPr="0071774C">
        <w:t>strategic</w:t>
      </w:r>
      <w:r>
        <w:t xml:space="preserve"> </w:t>
      </w:r>
      <w:r w:rsidRPr="0071774C">
        <w:t>guidance</w:t>
      </w:r>
      <w:r>
        <w:t xml:space="preserve"> </w:t>
      </w:r>
      <w:r w:rsidRPr="0071774C">
        <w:t>or</w:t>
      </w:r>
      <w:r>
        <w:t xml:space="preserve"> </w:t>
      </w:r>
      <w:r w:rsidRPr="0071774C">
        <w:t>researched,</w:t>
      </w:r>
      <w:r>
        <w:t xml:space="preserve"> </w:t>
      </w:r>
      <w:r w:rsidRPr="0071774C">
        <w:t>drafted</w:t>
      </w:r>
      <w:r>
        <w:t xml:space="preserve"> </w:t>
      </w:r>
      <w:r w:rsidRPr="0071774C">
        <w:t>or</w:t>
      </w:r>
      <w:r>
        <w:t xml:space="preserve"> </w:t>
      </w:r>
      <w:r w:rsidRPr="0071774C">
        <w:t>reviewed</w:t>
      </w:r>
      <w:r>
        <w:t xml:space="preserve"> </w:t>
      </w:r>
      <w:r w:rsidRPr="0071774C">
        <w:t>particular</w:t>
      </w:r>
      <w:r>
        <w:t xml:space="preserve"> </w:t>
      </w:r>
      <w:r w:rsidRPr="0071774C">
        <w:t>sections.</w:t>
      </w:r>
      <w:r>
        <w:t xml:space="preserve"> </w:t>
      </w:r>
      <w:r w:rsidRPr="0071774C">
        <w:t>We</w:t>
      </w:r>
      <w:r>
        <w:t xml:space="preserve"> </w:t>
      </w:r>
      <w:r w:rsidRPr="0071774C">
        <w:t>thank</w:t>
      </w:r>
      <w:r>
        <w:t xml:space="preserve"> </w:t>
      </w:r>
      <w:r w:rsidRPr="0071774C">
        <w:t>Erin</w:t>
      </w:r>
      <w:r>
        <w:t xml:space="preserve"> </w:t>
      </w:r>
      <w:r w:rsidRPr="0071774C">
        <w:t>Gillen,</w:t>
      </w:r>
      <w:r>
        <w:t xml:space="preserve"> </w:t>
      </w:r>
      <w:r w:rsidRPr="0071774C">
        <w:t>Louise</w:t>
      </w:r>
      <w:r>
        <w:t xml:space="preserve"> </w:t>
      </w:r>
      <w:r w:rsidRPr="0071774C">
        <w:t>Greenstock,</w:t>
      </w:r>
      <w:r>
        <w:t xml:space="preserve"> </w:t>
      </w:r>
      <w:r w:rsidRPr="0071774C">
        <w:t>Kim</w:t>
      </w:r>
      <w:r>
        <w:t xml:space="preserve"> </w:t>
      </w:r>
      <w:r w:rsidRPr="0071774C">
        <w:t>Henderson,</w:t>
      </w:r>
      <w:r>
        <w:t xml:space="preserve"> </w:t>
      </w:r>
      <w:r w:rsidRPr="0071774C">
        <w:t>Dr</w:t>
      </w:r>
      <w:r>
        <w:t xml:space="preserve"> </w:t>
      </w:r>
      <w:r w:rsidRPr="0071774C">
        <w:t>Elise</w:t>
      </w:r>
      <w:r>
        <w:t xml:space="preserve"> </w:t>
      </w:r>
      <w:r w:rsidRPr="0071774C">
        <w:t>Holland,</w:t>
      </w:r>
      <w:r>
        <w:t xml:space="preserve"> </w:t>
      </w:r>
      <w:r w:rsidRPr="0071774C">
        <w:t>Sarah</w:t>
      </w:r>
      <w:r>
        <w:t xml:space="preserve"> </w:t>
      </w:r>
      <w:r w:rsidRPr="0071774C">
        <w:t>Kearney,</w:t>
      </w:r>
      <w:r>
        <w:t xml:space="preserve"> </w:t>
      </w:r>
      <w:r w:rsidRPr="0071774C">
        <w:t>Maeve</w:t>
      </w:r>
      <w:r>
        <w:t xml:space="preserve"> </w:t>
      </w:r>
      <w:r w:rsidRPr="0071774C">
        <w:t>Kennedy,</w:t>
      </w:r>
      <w:r>
        <w:t xml:space="preserve"> </w:t>
      </w:r>
      <w:r w:rsidRPr="0071774C">
        <w:t>Rashmi</w:t>
      </w:r>
      <w:r>
        <w:t xml:space="preserve"> </w:t>
      </w:r>
      <w:r w:rsidRPr="0071774C">
        <w:t>Kumar,</w:t>
      </w:r>
      <w:r>
        <w:t xml:space="preserve"> </w:t>
      </w:r>
      <w:r w:rsidRPr="0071774C">
        <w:t>Karla</w:t>
      </w:r>
      <w:r>
        <w:t xml:space="preserve"> </w:t>
      </w:r>
      <w:r w:rsidRPr="0071774C">
        <w:t>McGrady,</w:t>
      </w:r>
      <w:r>
        <w:t xml:space="preserve"> </w:t>
      </w:r>
      <w:r w:rsidRPr="0071774C">
        <w:t>Grace</w:t>
      </w:r>
      <w:r>
        <w:t xml:space="preserve"> </w:t>
      </w:r>
      <w:r w:rsidRPr="0071774C">
        <w:t>Milne,</w:t>
      </w:r>
      <w:r>
        <w:t xml:space="preserve"> </w:t>
      </w:r>
      <w:r w:rsidRPr="0071774C">
        <w:t>Catherine</w:t>
      </w:r>
      <w:r>
        <w:t xml:space="preserve"> </w:t>
      </w:r>
      <w:r w:rsidRPr="0071774C">
        <w:t>Ortega-Sandow,</w:t>
      </w:r>
      <w:r>
        <w:t xml:space="preserve"> </w:t>
      </w:r>
      <w:r w:rsidRPr="0071774C">
        <w:t>Ciaran</w:t>
      </w:r>
      <w:r>
        <w:t xml:space="preserve"> </w:t>
      </w:r>
      <w:r w:rsidRPr="0071774C">
        <w:t>Pierce,</w:t>
      </w:r>
      <w:r>
        <w:t xml:space="preserve"> </w:t>
      </w:r>
      <w:r w:rsidRPr="0071774C">
        <w:t>Nicki</w:t>
      </w:r>
      <w:r>
        <w:t xml:space="preserve"> </w:t>
      </w:r>
      <w:r w:rsidRPr="0071774C">
        <w:t>Russell,</w:t>
      </w:r>
      <w:r>
        <w:t xml:space="preserve"> </w:t>
      </w:r>
      <w:r w:rsidRPr="0071774C">
        <w:t>Anna</w:t>
      </w:r>
      <w:r>
        <w:t xml:space="preserve"> </w:t>
      </w:r>
      <w:r w:rsidRPr="0071774C">
        <w:t>Saw,</w:t>
      </w:r>
      <w:r>
        <w:t xml:space="preserve"> </w:t>
      </w:r>
      <w:r w:rsidRPr="0071774C">
        <w:t>Anna</w:t>
      </w:r>
      <w:r>
        <w:t xml:space="preserve"> </w:t>
      </w:r>
      <w:r w:rsidRPr="0071774C">
        <w:t>Stewart,</w:t>
      </w:r>
      <w:r>
        <w:t xml:space="preserve"> </w:t>
      </w:r>
      <w:r w:rsidRPr="0071774C">
        <w:t>Lanie</w:t>
      </w:r>
      <w:r>
        <w:t xml:space="preserve"> </w:t>
      </w:r>
      <w:r w:rsidRPr="0071774C">
        <w:t>Stockman,</w:t>
      </w:r>
      <w:r>
        <w:t xml:space="preserve"> </w:t>
      </w:r>
      <w:r w:rsidRPr="0071774C">
        <w:t>Shannon</w:t>
      </w:r>
      <w:r>
        <w:t xml:space="preserve"> </w:t>
      </w:r>
      <w:r w:rsidRPr="0071774C">
        <w:t>Stuart,</w:t>
      </w:r>
      <w:r>
        <w:t xml:space="preserve"> </w:t>
      </w:r>
      <w:r w:rsidRPr="0071774C">
        <w:t>Shane</w:t>
      </w:r>
      <w:r>
        <w:t xml:space="preserve"> </w:t>
      </w:r>
      <w:r w:rsidRPr="0071774C">
        <w:t>Tas,</w:t>
      </w:r>
      <w:r>
        <w:t xml:space="preserve"> </w:t>
      </w:r>
      <w:r w:rsidRPr="0071774C">
        <w:t>Jane</w:t>
      </w:r>
      <w:r>
        <w:t xml:space="preserve"> </w:t>
      </w:r>
      <w:r w:rsidRPr="0071774C">
        <w:t>Torney</w:t>
      </w:r>
      <w:r>
        <w:t xml:space="preserve"> </w:t>
      </w:r>
      <w:r w:rsidRPr="0071774C">
        <w:t>and</w:t>
      </w:r>
      <w:r>
        <w:t xml:space="preserve"> </w:t>
      </w:r>
      <w:r w:rsidRPr="0071774C">
        <w:t>Claire</w:t>
      </w:r>
      <w:r>
        <w:t xml:space="preserve"> </w:t>
      </w:r>
      <w:r w:rsidRPr="0071774C">
        <w:t>Varley</w:t>
      </w:r>
      <w:r>
        <w:t xml:space="preserve"> </w:t>
      </w:r>
      <w:r w:rsidRPr="0071774C">
        <w:t>for</w:t>
      </w:r>
      <w:r>
        <w:t xml:space="preserve"> </w:t>
      </w:r>
      <w:r w:rsidRPr="0071774C">
        <w:t>their</w:t>
      </w:r>
      <w:r>
        <w:t xml:space="preserve"> </w:t>
      </w:r>
      <w:r w:rsidRPr="0071774C">
        <w:t>contributions.</w:t>
      </w:r>
    </w:p>
    <w:p w14:paraId="7E5F9982" w14:textId="77777777" w:rsidR="00790783" w:rsidRDefault="00790783" w:rsidP="00790783">
      <w:pPr>
        <w:pStyle w:val="BodyText"/>
      </w:pPr>
      <w:r w:rsidRPr="0071774C">
        <w:t>Our</w:t>
      </w:r>
      <w:r>
        <w:t xml:space="preserve"> </w:t>
      </w:r>
      <w:r w:rsidRPr="0071774C">
        <w:t>Watch</w:t>
      </w:r>
      <w:r>
        <w:t xml:space="preserve"> </w:t>
      </w:r>
      <w:r w:rsidRPr="0071774C">
        <w:t>also</w:t>
      </w:r>
      <w:r>
        <w:t xml:space="preserve"> </w:t>
      </w:r>
      <w:r w:rsidRPr="0071774C">
        <w:t>thanks:</w:t>
      </w:r>
    </w:p>
    <w:p w14:paraId="3490FF32" w14:textId="77777777" w:rsidR="00790783" w:rsidRDefault="00790783" w:rsidP="00790783">
      <w:pPr>
        <w:pStyle w:val="BodyText"/>
      </w:pPr>
      <w:r w:rsidRPr="0071774C">
        <w:t>The</w:t>
      </w:r>
      <w:r>
        <w:t xml:space="preserve"> </w:t>
      </w:r>
      <w:r w:rsidRPr="0071774C">
        <w:t>project</w:t>
      </w:r>
      <w:r>
        <w:t xml:space="preserve"> </w:t>
      </w:r>
      <w:r w:rsidRPr="0071774C">
        <w:t>Advisory</w:t>
      </w:r>
      <w:r>
        <w:t xml:space="preserve"> </w:t>
      </w:r>
      <w:r w:rsidRPr="0071774C">
        <w:t>Group</w:t>
      </w:r>
      <w:r>
        <w:t xml:space="preserve"> </w:t>
      </w:r>
      <w:r w:rsidRPr="0071774C">
        <w:t>for</w:t>
      </w:r>
      <w:r>
        <w:t xml:space="preserve"> </w:t>
      </w:r>
      <w:r w:rsidRPr="0071774C">
        <w:t>the</w:t>
      </w:r>
      <w:r>
        <w:t xml:space="preserve"> </w:t>
      </w:r>
      <w:r w:rsidRPr="0071774C">
        <w:t>expert</w:t>
      </w:r>
      <w:r>
        <w:t xml:space="preserve"> </w:t>
      </w:r>
      <w:r w:rsidRPr="0071774C">
        <w:t>guidance</w:t>
      </w:r>
      <w:r>
        <w:t xml:space="preserve"> </w:t>
      </w:r>
      <w:r w:rsidRPr="0071774C">
        <w:t>and</w:t>
      </w:r>
      <w:r>
        <w:t xml:space="preserve"> </w:t>
      </w:r>
      <w:r w:rsidRPr="0071774C">
        <w:t>contributions</w:t>
      </w:r>
      <w:r>
        <w:t xml:space="preserve"> </w:t>
      </w:r>
      <w:r w:rsidRPr="0071774C">
        <w:t>they</w:t>
      </w:r>
      <w:r>
        <w:t xml:space="preserve"> </w:t>
      </w:r>
      <w:r w:rsidRPr="0071774C">
        <w:t>provided</w:t>
      </w:r>
      <w:r>
        <w:t xml:space="preserve"> </w:t>
      </w:r>
      <w:r w:rsidRPr="0071774C">
        <w:t>throughout</w:t>
      </w:r>
      <w:r>
        <w:t xml:space="preserve"> </w:t>
      </w:r>
      <w:r w:rsidRPr="0071774C">
        <w:t>the</w:t>
      </w:r>
      <w:r>
        <w:t xml:space="preserve"> </w:t>
      </w:r>
      <w:r w:rsidRPr="0071774C">
        <w:t>development</w:t>
      </w:r>
      <w:r>
        <w:t xml:space="preserve"> </w:t>
      </w:r>
      <w:r w:rsidRPr="0071774C">
        <w:t>of</w:t>
      </w:r>
      <w:r>
        <w:t xml:space="preserve"> </w:t>
      </w:r>
      <w:r w:rsidRPr="0071774C">
        <w:t>this</w:t>
      </w:r>
      <w:r>
        <w:t xml:space="preserve"> </w:t>
      </w:r>
      <w:r w:rsidRPr="0071774C">
        <w:t>report:</w:t>
      </w:r>
    </w:p>
    <w:p w14:paraId="399AFB74" w14:textId="77777777" w:rsidR="00790783" w:rsidRPr="0071774C" w:rsidRDefault="00790783" w:rsidP="00790783">
      <w:pPr>
        <w:pStyle w:val="OWBullet1"/>
      </w:pPr>
      <w:r w:rsidRPr="0071774C">
        <w:t>Rachael</w:t>
      </w:r>
      <w:r>
        <w:t xml:space="preserve"> </w:t>
      </w:r>
      <w:r w:rsidRPr="0071774C">
        <w:t>Cavanagh</w:t>
      </w:r>
    </w:p>
    <w:p w14:paraId="09AD6643" w14:textId="77777777" w:rsidR="00790783" w:rsidRPr="0071774C" w:rsidRDefault="00790783" w:rsidP="00790783">
      <w:pPr>
        <w:pStyle w:val="OWBullet1"/>
      </w:pPr>
      <w:r w:rsidRPr="0071774C">
        <w:t>Jasmin</w:t>
      </w:r>
      <w:r>
        <w:t xml:space="preserve"> </w:t>
      </w:r>
      <w:r w:rsidRPr="0071774C">
        <w:t>Chen</w:t>
      </w:r>
    </w:p>
    <w:p w14:paraId="5C38D900" w14:textId="77777777" w:rsidR="00790783" w:rsidRPr="0071774C" w:rsidRDefault="00790783" w:rsidP="00790783">
      <w:pPr>
        <w:pStyle w:val="OWBullet1"/>
      </w:pPr>
      <w:r w:rsidRPr="0071774C">
        <w:t>Bonney</w:t>
      </w:r>
      <w:r>
        <w:t xml:space="preserve"> </w:t>
      </w:r>
      <w:r w:rsidRPr="0071774C">
        <w:t>Corbin</w:t>
      </w:r>
    </w:p>
    <w:p w14:paraId="0BE9CBD7" w14:textId="77777777" w:rsidR="00790783" w:rsidRPr="0071774C" w:rsidRDefault="00790783" w:rsidP="00790783">
      <w:pPr>
        <w:pStyle w:val="OWBullet1"/>
      </w:pPr>
      <w:r w:rsidRPr="0071774C">
        <w:t>Dr</w:t>
      </w:r>
      <w:r>
        <w:t xml:space="preserve"> </w:t>
      </w:r>
      <w:r w:rsidRPr="0071774C">
        <w:t>Kristin</w:t>
      </w:r>
      <w:r>
        <w:t xml:space="preserve"> </w:t>
      </w:r>
      <w:r w:rsidRPr="0071774C">
        <w:t>Diemer</w:t>
      </w:r>
    </w:p>
    <w:p w14:paraId="233DADBB" w14:textId="77777777" w:rsidR="00790783" w:rsidRPr="0071774C" w:rsidRDefault="00790783" w:rsidP="00790783">
      <w:pPr>
        <w:pStyle w:val="OWBullet1"/>
      </w:pPr>
      <w:r w:rsidRPr="0071774C">
        <w:t>Jen</w:t>
      </w:r>
      <w:r>
        <w:t xml:space="preserve"> </w:t>
      </w:r>
      <w:r w:rsidRPr="0071774C">
        <w:t>Hargrave</w:t>
      </w:r>
    </w:p>
    <w:p w14:paraId="103EA25F" w14:textId="77777777" w:rsidR="00790783" w:rsidRPr="0071774C" w:rsidRDefault="00790783" w:rsidP="00790783">
      <w:pPr>
        <w:pStyle w:val="OWBullet1"/>
      </w:pPr>
      <w:r w:rsidRPr="0071774C">
        <w:t>Eleanor</w:t>
      </w:r>
      <w:r>
        <w:t xml:space="preserve"> </w:t>
      </w:r>
      <w:r w:rsidRPr="0071774C">
        <w:t>Jackson</w:t>
      </w:r>
    </w:p>
    <w:p w14:paraId="4DE7DC45" w14:textId="77777777" w:rsidR="00790783" w:rsidRPr="0071774C" w:rsidRDefault="00790783" w:rsidP="00790783">
      <w:pPr>
        <w:pStyle w:val="OWBullet1"/>
      </w:pPr>
      <w:r w:rsidRPr="0071774C">
        <w:t>Loksee</w:t>
      </w:r>
      <w:r>
        <w:t xml:space="preserve"> </w:t>
      </w:r>
      <w:r w:rsidRPr="0071774C">
        <w:t>Leung</w:t>
      </w:r>
    </w:p>
    <w:p w14:paraId="52FA2107" w14:textId="77777777" w:rsidR="00790783" w:rsidRPr="0071774C" w:rsidRDefault="00790783" w:rsidP="00790783">
      <w:pPr>
        <w:pStyle w:val="OWBullet1"/>
      </w:pPr>
      <w:r w:rsidRPr="0071774C">
        <w:t>Stacey</w:t>
      </w:r>
      <w:r>
        <w:t xml:space="preserve"> </w:t>
      </w:r>
      <w:r w:rsidRPr="0071774C">
        <w:t>Ong</w:t>
      </w:r>
    </w:p>
    <w:p w14:paraId="60D1DAD7" w14:textId="3786F69B" w:rsidR="00790783" w:rsidRDefault="00790783" w:rsidP="00790783">
      <w:pPr>
        <w:pStyle w:val="OWBullet1"/>
      </w:pPr>
      <w:r w:rsidRPr="0071774C">
        <w:t>Associate</w:t>
      </w:r>
      <w:r>
        <w:t xml:space="preserve"> </w:t>
      </w:r>
      <w:r w:rsidRPr="0071774C">
        <w:t>Professor</w:t>
      </w:r>
      <w:r>
        <w:t xml:space="preserve"> </w:t>
      </w:r>
      <w:r w:rsidRPr="0071774C">
        <w:t>Anastasia</w:t>
      </w:r>
      <w:r>
        <w:t xml:space="preserve"> </w:t>
      </w:r>
      <w:r w:rsidRPr="0071774C">
        <w:t>Powell</w:t>
      </w:r>
    </w:p>
    <w:p w14:paraId="4FAF74EB" w14:textId="08043859" w:rsidR="00EC5EEB" w:rsidRPr="0071774C" w:rsidRDefault="00EC5EEB" w:rsidP="00790783">
      <w:pPr>
        <w:pStyle w:val="OWBullet1"/>
      </w:pPr>
      <w:r>
        <w:t>Ni</w:t>
      </w:r>
      <w:r w:rsidR="00F01802">
        <w:t>cki Russell</w:t>
      </w:r>
    </w:p>
    <w:p w14:paraId="6DC54704" w14:textId="77777777" w:rsidR="00790783" w:rsidRDefault="00790783" w:rsidP="00790783">
      <w:pPr>
        <w:pStyle w:val="OWBullet1"/>
      </w:pPr>
      <w:r w:rsidRPr="0071774C">
        <w:t>Regina</w:t>
      </w:r>
      <w:r>
        <w:t xml:space="preserve"> </w:t>
      </w:r>
      <w:r w:rsidRPr="0071774C">
        <w:t>Quiazon.</w:t>
      </w:r>
    </w:p>
    <w:p w14:paraId="44424749" w14:textId="726E331E" w:rsidR="00790783" w:rsidRDefault="00901058" w:rsidP="00901058">
      <w:pPr>
        <w:pStyle w:val="OWBodytextafterlist"/>
      </w:pPr>
      <w:r w:rsidRPr="00901058">
        <w:t>Dr Kate Fitz-Gibbon, Director of the Monash Gender and Family Violence Prevention Centre and Associate Professor of Criminology in the School of Social Sciences at Monash University for formally reviewing substantial parts of this report</w:t>
      </w:r>
      <w:r w:rsidR="00790783" w:rsidRPr="0071774C">
        <w:t>,</w:t>
      </w:r>
      <w:r w:rsidR="00790783">
        <w:t xml:space="preserve"> </w:t>
      </w:r>
      <w:r w:rsidR="00790783" w:rsidRPr="0071774C">
        <w:t>and</w:t>
      </w:r>
      <w:r w:rsidR="00790783">
        <w:t xml:space="preserve"> </w:t>
      </w:r>
      <w:r w:rsidR="00790783" w:rsidRPr="0071774C">
        <w:t>the</w:t>
      </w:r>
      <w:r w:rsidR="00153DAC">
        <w:rPr>
          <w:rFonts w:ascii="Calibri" w:hAnsi="Calibri"/>
          <w:i/>
          <w:iCs/>
        </w:rPr>
        <w:t xml:space="preserve"> </w:t>
      </w:r>
      <w:r w:rsidR="00153DAC" w:rsidRPr="003974E9">
        <w:t xml:space="preserve">National Centre for Crime and Justice Statistics team at the Australian Bureau of Statistics </w:t>
      </w:r>
      <w:r w:rsidR="00A06759">
        <w:t>for reviewing</w:t>
      </w:r>
      <w:r w:rsidR="00153DAC" w:rsidRPr="003974E9">
        <w:t xml:space="preserve"> sections of the report that make reference to data from the Personal Safety Survey.</w:t>
      </w:r>
    </w:p>
    <w:p w14:paraId="3DB58579" w14:textId="142336AB" w:rsidR="00790783" w:rsidRDefault="00790783" w:rsidP="00790783">
      <w:pPr>
        <w:pStyle w:val="BodyText"/>
      </w:pPr>
      <w:r w:rsidRPr="0071774C">
        <w:t>Marie</w:t>
      </w:r>
      <w:r>
        <w:t xml:space="preserve"> </w:t>
      </w:r>
      <w:r w:rsidRPr="0071774C">
        <w:t>Stopes</w:t>
      </w:r>
      <w:r>
        <w:t xml:space="preserve"> </w:t>
      </w:r>
      <w:r w:rsidRPr="0071774C">
        <w:t>Australia,</w:t>
      </w:r>
      <w:r>
        <w:t xml:space="preserve"> </w:t>
      </w:r>
      <w:r w:rsidRPr="0071774C">
        <w:t>researchers</w:t>
      </w:r>
      <w:r>
        <w:t xml:space="preserve"> </w:t>
      </w:r>
      <w:r w:rsidRPr="0071774C">
        <w:t>at</w:t>
      </w:r>
      <w:r>
        <w:t xml:space="preserve"> </w:t>
      </w:r>
      <w:r w:rsidRPr="0071774C">
        <w:t>the</w:t>
      </w:r>
      <w:r>
        <w:t xml:space="preserve"> </w:t>
      </w:r>
      <w:r w:rsidRPr="0071774C">
        <w:t>Monash</w:t>
      </w:r>
      <w:r>
        <w:t xml:space="preserve"> </w:t>
      </w:r>
      <w:r w:rsidRPr="0071774C">
        <w:t>Gender</w:t>
      </w:r>
      <w:r>
        <w:t xml:space="preserve"> </w:t>
      </w:r>
      <w:r w:rsidRPr="0071774C">
        <w:t>and</w:t>
      </w:r>
      <w:r>
        <w:t xml:space="preserve"> </w:t>
      </w:r>
      <w:r w:rsidRPr="0071774C">
        <w:t>Family</w:t>
      </w:r>
      <w:r>
        <w:t xml:space="preserve"> </w:t>
      </w:r>
      <w:r w:rsidRPr="0071774C">
        <w:t>Violence</w:t>
      </w:r>
      <w:r>
        <w:t xml:space="preserve"> </w:t>
      </w:r>
      <w:r w:rsidRPr="0071774C">
        <w:t>Prevention</w:t>
      </w:r>
      <w:r>
        <w:t xml:space="preserve"> </w:t>
      </w:r>
      <w:r w:rsidRPr="0071774C">
        <w:t>Centre,</w:t>
      </w:r>
      <w:r>
        <w:t xml:space="preserve"> </w:t>
      </w:r>
      <w:r w:rsidRPr="0071774C">
        <w:t>the</w:t>
      </w:r>
      <w:r>
        <w:t xml:space="preserve"> </w:t>
      </w:r>
      <w:r w:rsidRPr="0071774C">
        <w:t>Disability</w:t>
      </w:r>
      <w:r>
        <w:t xml:space="preserve"> </w:t>
      </w:r>
      <w:r w:rsidRPr="0071774C">
        <w:t>and</w:t>
      </w:r>
      <w:r>
        <w:t xml:space="preserve"> </w:t>
      </w:r>
      <w:r w:rsidRPr="0071774C">
        <w:t>Health</w:t>
      </w:r>
      <w:r>
        <w:t xml:space="preserve"> </w:t>
      </w:r>
      <w:r w:rsidRPr="0071774C">
        <w:t>Unit</w:t>
      </w:r>
      <w:r>
        <w:t xml:space="preserve"> </w:t>
      </w:r>
      <w:r w:rsidRPr="0071774C">
        <w:t>and</w:t>
      </w:r>
      <w:r>
        <w:t xml:space="preserve"> </w:t>
      </w:r>
      <w:r w:rsidRPr="0071774C">
        <w:t>Melbourne</w:t>
      </w:r>
      <w:r>
        <w:t xml:space="preserve"> </w:t>
      </w:r>
      <w:r w:rsidRPr="0071774C">
        <w:t>Disability</w:t>
      </w:r>
      <w:r>
        <w:t xml:space="preserve"> Institute </w:t>
      </w:r>
      <w:r w:rsidRPr="0071774C">
        <w:t>at</w:t>
      </w:r>
      <w:r>
        <w:t xml:space="preserve"> </w:t>
      </w:r>
      <w:r w:rsidRPr="0071774C">
        <w:t>the</w:t>
      </w:r>
      <w:r>
        <w:t xml:space="preserve"> </w:t>
      </w:r>
      <w:r w:rsidRPr="0071774C">
        <w:t>University</w:t>
      </w:r>
      <w:r>
        <w:t xml:space="preserve"> </w:t>
      </w:r>
      <w:r w:rsidRPr="0071774C">
        <w:t>of</w:t>
      </w:r>
      <w:r>
        <w:t xml:space="preserve"> </w:t>
      </w:r>
      <w:r w:rsidRPr="0071774C">
        <w:t>Melbourne,</w:t>
      </w:r>
      <w:r>
        <w:t xml:space="preserve"> </w:t>
      </w:r>
      <w:r w:rsidRPr="0071774C">
        <w:t>and</w:t>
      </w:r>
      <w:r>
        <w:t xml:space="preserve"> </w:t>
      </w:r>
      <w:r w:rsidRPr="0071774C">
        <w:t>the</w:t>
      </w:r>
      <w:r>
        <w:t xml:space="preserve"> </w:t>
      </w:r>
      <w:r w:rsidRPr="0071774C">
        <w:t>Centre</w:t>
      </w:r>
      <w:r>
        <w:t xml:space="preserve"> of </w:t>
      </w:r>
      <w:r w:rsidRPr="0071774C">
        <w:t>Research</w:t>
      </w:r>
      <w:r>
        <w:t xml:space="preserve"> </w:t>
      </w:r>
      <w:r w:rsidRPr="0071774C">
        <w:t>Excellence</w:t>
      </w:r>
      <w:r>
        <w:t xml:space="preserve"> </w:t>
      </w:r>
      <w:r w:rsidRPr="0071774C">
        <w:t>in</w:t>
      </w:r>
      <w:r>
        <w:t xml:space="preserve"> </w:t>
      </w:r>
      <w:r w:rsidRPr="0071774C">
        <w:t>Disability</w:t>
      </w:r>
      <w:r>
        <w:t xml:space="preserve"> </w:t>
      </w:r>
      <w:r w:rsidRPr="0071774C">
        <w:t>and</w:t>
      </w:r>
      <w:r>
        <w:t xml:space="preserve"> </w:t>
      </w:r>
      <w:r w:rsidRPr="0071774C">
        <w:t>Health,</w:t>
      </w:r>
      <w:r>
        <w:t xml:space="preserve"> </w:t>
      </w:r>
      <w:r w:rsidRPr="0071774C">
        <w:t>for</w:t>
      </w:r>
      <w:r>
        <w:t xml:space="preserve"> </w:t>
      </w:r>
      <w:r w:rsidRPr="0071774C">
        <w:t>contributing</w:t>
      </w:r>
      <w:r>
        <w:t xml:space="preserve"> </w:t>
      </w:r>
      <w:r w:rsidRPr="0071774C">
        <w:t>data</w:t>
      </w:r>
      <w:r>
        <w:t xml:space="preserve"> </w:t>
      </w:r>
      <w:r w:rsidRPr="0071774C">
        <w:t>and</w:t>
      </w:r>
      <w:r>
        <w:t xml:space="preserve"> </w:t>
      </w:r>
      <w:r w:rsidRPr="0071774C">
        <w:t>data</w:t>
      </w:r>
      <w:r>
        <w:t xml:space="preserve"> </w:t>
      </w:r>
      <w:r w:rsidRPr="0071774C">
        <w:t>case</w:t>
      </w:r>
      <w:r>
        <w:t xml:space="preserve"> </w:t>
      </w:r>
      <w:r w:rsidRPr="0071774C">
        <w:t>studies.</w:t>
      </w:r>
    </w:p>
    <w:p w14:paraId="166C7A96" w14:textId="6752B1F3" w:rsidR="00790783" w:rsidRDefault="00790783" w:rsidP="00790783">
      <w:pPr>
        <w:pStyle w:val="BodyText"/>
      </w:pPr>
      <w:r w:rsidRPr="0071774C">
        <w:t>Our</w:t>
      </w:r>
      <w:r>
        <w:t xml:space="preserve"> </w:t>
      </w:r>
      <w:r w:rsidRPr="0071774C">
        <w:t>Watch</w:t>
      </w:r>
      <w:r>
        <w:t xml:space="preserve"> </w:t>
      </w:r>
      <w:r w:rsidRPr="0071774C">
        <w:t>recognises</w:t>
      </w:r>
      <w:r w:rsidR="00F01802">
        <w:t xml:space="preserve"> Criminology and Justice Studies at</w:t>
      </w:r>
      <w:r>
        <w:t xml:space="preserve"> </w:t>
      </w:r>
      <w:r w:rsidRPr="0071774C">
        <w:t>RMIT</w:t>
      </w:r>
      <w:r>
        <w:t xml:space="preserve"> </w:t>
      </w:r>
      <w:r w:rsidRPr="0071774C">
        <w:t>University</w:t>
      </w:r>
      <w:r>
        <w:t xml:space="preserve"> </w:t>
      </w:r>
      <w:r w:rsidRPr="0071774C">
        <w:t>for</w:t>
      </w:r>
      <w:r>
        <w:t xml:space="preserve"> </w:t>
      </w:r>
      <w:r w:rsidRPr="0071774C">
        <w:t>its</w:t>
      </w:r>
      <w:r>
        <w:t xml:space="preserve"> </w:t>
      </w:r>
      <w:r w:rsidRPr="0071774C">
        <w:t>generous</w:t>
      </w:r>
      <w:r>
        <w:t xml:space="preserve"> </w:t>
      </w:r>
      <w:r w:rsidRPr="0071774C">
        <w:t>support</w:t>
      </w:r>
      <w:r>
        <w:t xml:space="preserve"> </w:t>
      </w:r>
      <w:r w:rsidRPr="0071774C">
        <w:t>for</w:t>
      </w:r>
      <w:r>
        <w:t xml:space="preserve"> </w:t>
      </w:r>
      <w:r w:rsidRPr="0071774C">
        <w:t>early</w:t>
      </w:r>
      <w:r>
        <w:t xml:space="preserve"> </w:t>
      </w:r>
      <w:r w:rsidRPr="0071774C">
        <w:t>stages</w:t>
      </w:r>
      <w:r>
        <w:t xml:space="preserve"> </w:t>
      </w:r>
      <w:r w:rsidRPr="0071774C">
        <w:t>of</w:t>
      </w:r>
      <w:r>
        <w:t xml:space="preserve"> </w:t>
      </w:r>
      <w:r w:rsidRPr="0071774C">
        <w:t>this</w:t>
      </w:r>
      <w:r>
        <w:t xml:space="preserve"> </w:t>
      </w:r>
      <w:r w:rsidRPr="0071774C">
        <w:t>project.</w:t>
      </w:r>
    </w:p>
    <w:p w14:paraId="4457667D" w14:textId="7B176ACE" w:rsidR="004A732E" w:rsidRDefault="004A732E">
      <w:pPr>
        <w:pStyle w:val="Heading2TOCheading"/>
      </w:pPr>
      <w:r>
        <w:lastRenderedPageBreak/>
        <w:t>Contents</w:t>
      </w:r>
    </w:p>
    <w:p w14:paraId="1153478A" w14:textId="73DDEE10" w:rsidR="00F53B39" w:rsidRDefault="00D1152E">
      <w:pPr>
        <w:pStyle w:val="TOC1"/>
        <w:rPr>
          <w:rFonts w:asciiTheme="minorHAnsi" w:hAnsiTheme="minorHAnsi" w:cstheme="minorBidi"/>
          <w:b w:val="0"/>
          <w:bCs w:val="0"/>
          <w:noProof/>
          <w:color w:val="auto"/>
          <w:sz w:val="22"/>
          <w:szCs w:val="22"/>
          <w:lang w:val="en-AU"/>
        </w:rPr>
      </w:pPr>
      <w:r>
        <w:rPr>
          <w:b w:val="0"/>
          <w:color w:val="2B579A"/>
          <w:sz w:val="24"/>
          <w:shd w:val="clear" w:color="auto" w:fill="E6E6E6"/>
          <w:lang w:val="en-AU"/>
        </w:rPr>
        <w:fldChar w:fldCharType="begin"/>
      </w:r>
      <w:r>
        <w:rPr>
          <w:b w:val="0"/>
          <w:bCs w:val="0"/>
          <w:sz w:val="24"/>
          <w:lang w:val="en-AU"/>
        </w:rPr>
        <w:instrText xml:space="preserve"> TOC \h \z \t "Heading 2,1,Heading 3,2" </w:instrText>
      </w:r>
      <w:r>
        <w:rPr>
          <w:b w:val="0"/>
          <w:color w:val="2B579A"/>
          <w:sz w:val="24"/>
          <w:shd w:val="clear" w:color="auto" w:fill="E6E6E6"/>
          <w:lang w:val="en-AU"/>
        </w:rPr>
        <w:fldChar w:fldCharType="separate"/>
      </w:r>
      <w:hyperlink w:anchor="_Toc55053292" w:history="1">
        <w:r w:rsidR="00F53B39" w:rsidRPr="007B0C2C">
          <w:rPr>
            <w:rStyle w:val="Hyperlink"/>
            <w:noProof/>
          </w:rPr>
          <w:t>Executive summary</w:t>
        </w:r>
        <w:r w:rsidR="00F53B39">
          <w:rPr>
            <w:noProof/>
            <w:webHidden/>
          </w:rPr>
          <w:tab/>
        </w:r>
        <w:r w:rsidR="00F53B39">
          <w:rPr>
            <w:noProof/>
            <w:webHidden/>
          </w:rPr>
          <w:fldChar w:fldCharType="begin"/>
        </w:r>
        <w:r w:rsidR="00F53B39">
          <w:rPr>
            <w:noProof/>
            <w:webHidden/>
          </w:rPr>
          <w:instrText xml:space="preserve"> PAGEREF _Toc55053292 \h </w:instrText>
        </w:r>
        <w:r w:rsidR="00F53B39">
          <w:rPr>
            <w:noProof/>
            <w:webHidden/>
          </w:rPr>
        </w:r>
        <w:r w:rsidR="00F53B39">
          <w:rPr>
            <w:noProof/>
            <w:webHidden/>
          </w:rPr>
          <w:fldChar w:fldCharType="separate"/>
        </w:r>
        <w:r w:rsidR="00F53B39">
          <w:rPr>
            <w:noProof/>
            <w:webHidden/>
          </w:rPr>
          <w:t>1</w:t>
        </w:r>
        <w:r w:rsidR="00F53B39">
          <w:rPr>
            <w:noProof/>
            <w:webHidden/>
          </w:rPr>
          <w:fldChar w:fldCharType="end"/>
        </w:r>
      </w:hyperlink>
    </w:p>
    <w:p w14:paraId="42EC3F6A" w14:textId="64E2CCF7" w:rsidR="00F53B39" w:rsidRDefault="00360573">
      <w:pPr>
        <w:pStyle w:val="TOC2"/>
        <w:rPr>
          <w:rFonts w:cstheme="minorBidi"/>
          <w:noProof/>
          <w:color w:val="auto"/>
          <w:sz w:val="22"/>
          <w:szCs w:val="22"/>
        </w:rPr>
      </w:pPr>
      <w:hyperlink w:anchor="_Toc55053293" w:history="1">
        <w:r w:rsidR="00F53B39" w:rsidRPr="007B0C2C">
          <w:rPr>
            <w:rStyle w:val="Hyperlink"/>
            <w:noProof/>
          </w:rPr>
          <w:t>Background</w:t>
        </w:r>
        <w:r w:rsidR="00F53B39">
          <w:rPr>
            <w:noProof/>
            <w:webHidden/>
          </w:rPr>
          <w:tab/>
        </w:r>
        <w:r w:rsidR="00F53B39">
          <w:rPr>
            <w:noProof/>
            <w:webHidden/>
          </w:rPr>
          <w:fldChar w:fldCharType="begin"/>
        </w:r>
        <w:r w:rsidR="00F53B39">
          <w:rPr>
            <w:noProof/>
            <w:webHidden/>
          </w:rPr>
          <w:instrText xml:space="preserve"> PAGEREF _Toc55053293 \h </w:instrText>
        </w:r>
        <w:r w:rsidR="00F53B39">
          <w:rPr>
            <w:noProof/>
            <w:webHidden/>
          </w:rPr>
        </w:r>
        <w:r w:rsidR="00F53B39">
          <w:rPr>
            <w:noProof/>
            <w:webHidden/>
          </w:rPr>
          <w:fldChar w:fldCharType="separate"/>
        </w:r>
        <w:r w:rsidR="00F53B39">
          <w:rPr>
            <w:noProof/>
            <w:webHidden/>
          </w:rPr>
          <w:t>1</w:t>
        </w:r>
        <w:r w:rsidR="00F53B39">
          <w:rPr>
            <w:noProof/>
            <w:webHidden/>
          </w:rPr>
          <w:fldChar w:fldCharType="end"/>
        </w:r>
      </w:hyperlink>
    </w:p>
    <w:p w14:paraId="7C49ADE1" w14:textId="462AF5C5" w:rsidR="00F53B39" w:rsidRDefault="00360573">
      <w:pPr>
        <w:pStyle w:val="TOC2"/>
        <w:rPr>
          <w:rFonts w:cstheme="minorBidi"/>
          <w:noProof/>
          <w:color w:val="auto"/>
          <w:sz w:val="22"/>
          <w:szCs w:val="22"/>
        </w:rPr>
      </w:pPr>
      <w:hyperlink w:anchor="_Toc55053294" w:history="1">
        <w:r w:rsidR="00F53B39" w:rsidRPr="007B0C2C">
          <w:rPr>
            <w:rStyle w:val="Hyperlink"/>
            <w:noProof/>
          </w:rPr>
          <w:t>Implementing a new approach to monitoring progress towards prevention</w:t>
        </w:r>
        <w:r w:rsidR="00F53B39">
          <w:rPr>
            <w:noProof/>
            <w:webHidden/>
          </w:rPr>
          <w:tab/>
        </w:r>
        <w:r w:rsidR="00F53B39">
          <w:rPr>
            <w:noProof/>
            <w:webHidden/>
          </w:rPr>
          <w:fldChar w:fldCharType="begin"/>
        </w:r>
        <w:r w:rsidR="00F53B39">
          <w:rPr>
            <w:noProof/>
            <w:webHidden/>
          </w:rPr>
          <w:instrText xml:space="preserve"> PAGEREF _Toc55053294 \h </w:instrText>
        </w:r>
        <w:r w:rsidR="00F53B39">
          <w:rPr>
            <w:noProof/>
            <w:webHidden/>
          </w:rPr>
        </w:r>
        <w:r w:rsidR="00F53B39">
          <w:rPr>
            <w:noProof/>
            <w:webHidden/>
          </w:rPr>
          <w:fldChar w:fldCharType="separate"/>
        </w:r>
        <w:r w:rsidR="00F53B39">
          <w:rPr>
            <w:noProof/>
            <w:webHidden/>
          </w:rPr>
          <w:t>2</w:t>
        </w:r>
        <w:r w:rsidR="00F53B39">
          <w:rPr>
            <w:noProof/>
            <w:webHidden/>
          </w:rPr>
          <w:fldChar w:fldCharType="end"/>
        </w:r>
      </w:hyperlink>
    </w:p>
    <w:p w14:paraId="31A091EA" w14:textId="2BF7D055" w:rsidR="00F53B39" w:rsidRDefault="00360573">
      <w:pPr>
        <w:pStyle w:val="TOC2"/>
        <w:rPr>
          <w:rFonts w:cstheme="minorBidi"/>
          <w:noProof/>
          <w:color w:val="auto"/>
          <w:sz w:val="22"/>
          <w:szCs w:val="22"/>
        </w:rPr>
      </w:pPr>
      <w:hyperlink w:anchor="_Toc55053295" w:history="1">
        <w:r w:rsidR="00F53B39" w:rsidRPr="007B0C2C">
          <w:rPr>
            <w:rStyle w:val="Hyperlink"/>
            <w:noProof/>
          </w:rPr>
          <w:t>Key findings</w:t>
        </w:r>
        <w:r w:rsidR="00F53B39">
          <w:rPr>
            <w:noProof/>
            <w:webHidden/>
          </w:rPr>
          <w:tab/>
        </w:r>
        <w:r w:rsidR="00F53B39">
          <w:rPr>
            <w:noProof/>
            <w:webHidden/>
          </w:rPr>
          <w:fldChar w:fldCharType="begin"/>
        </w:r>
        <w:r w:rsidR="00F53B39">
          <w:rPr>
            <w:noProof/>
            <w:webHidden/>
          </w:rPr>
          <w:instrText xml:space="preserve"> PAGEREF _Toc55053295 \h </w:instrText>
        </w:r>
        <w:r w:rsidR="00F53B39">
          <w:rPr>
            <w:noProof/>
            <w:webHidden/>
          </w:rPr>
        </w:r>
        <w:r w:rsidR="00F53B39">
          <w:rPr>
            <w:noProof/>
            <w:webHidden/>
          </w:rPr>
          <w:fldChar w:fldCharType="separate"/>
        </w:r>
        <w:r w:rsidR="00F53B39">
          <w:rPr>
            <w:noProof/>
            <w:webHidden/>
          </w:rPr>
          <w:t>3</w:t>
        </w:r>
        <w:r w:rsidR="00F53B39">
          <w:rPr>
            <w:noProof/>
            <w:webHidden/>
          </w:rPr>
          <w:fldChar w:fldCharType="end"/>
        </w:r>
      </w:hyperlink>
    </w:p>
    <w:p w14:paraId="780A9D8A" w14:textId="76B302A0" w:rsidR="00F53B39" w:rsidRDefault="00360573">
      <w:pPr>
        <w:pStyle w:val="TOC2"/>
        <w:rPr>
          <w:rFonts w:cstheme="minorBidi"/>
          <w:noProof/>
          <w:color w:val="auto"/>
          <w:sz w:val="22"/>
          <w:szCs w:val="22"/>
        </w:rPr>
      </w:pPr>
      <w:hyperlink w:anchor="_Toc55053296" w:history="1">
        <w:r w:rsidR="00F53B39" w:rsidRPr="007B0C2C">
          <w:rPr>
            <w:rStyle w:val="Hyperlink"/>
            <w:noProof/>
          </w:rPr>
          <w:t>Implications of the findings for next steps and future priorities</w:t>
        </w:r>
        <w:r w:rsidR="00F53B39">
          <w:rPr>
            <w:noProof/>
            <w:webHidden/>
          </w:rPr>
          <w:tab/>
        </w:r>
        <w:r w:rsidR="00F53B39">
          <w:rPr>
            <w:noProof/>
            <w:webHidden/>
          </w:rPr>
          <w:fldChar w:fldCharType="begin"/>
        </w:r>
        <w:r w:rsidR="00F53B39">
          <w:rPr>
            <w:noProof/>
            <w:webHidden/>
          </w:rPr>
          <w:instrText xml:space="preserve"> PAGEREF _Toc55053296 \h </w:instrText>
        </w:r>
        <w:r w:rsidR="00F53B39">
          <w:rPr>
            <w:noProof/>
            <w:webHidden/>
          </w:rPr>
        </w:r>
        <w:r w:rsidR="00F53B39">
          <w:rPr>
            <w:noProof/>
            <w:webHidden/>
          </w:rPr>
          <w:fldChar w:fldCharType="separate"/>
        </w:r>
        <w:r w:rsidR="00F53B39">
          <w:rPr>
            <w:noProof/>
            <w:webHidden/>
          </w:rPr>
          <w:t>5</w:t>
        </w:r>
        <w:r w:rsidR="00F53B39">
          <w:rPr>
            <w:noProof/>
            <w:webHidden/>
          </w:rPr>
          <w:fldChar w:fldCharType="end"/>
        </w:r>
      </w:hyperlink>
    </w:p>
    <w:p w14:paraId="4A4AA7AD" w14:textId="650AC6A3" w:rsidR="00F53B39" w:rsidRDefault="00360573">
      <w:pPr>
        <w:pStyle w:val="TOC1"/>
        <w:rPr>
          <w:rFonts w:asciiTheme="minorHAnsi" w:hAnsiTheme="minorHAnsi" w:cstheme="minorBidi"/>
          <w:b w:val="0"/>
          <w:bCs w:val="0"/>
          <w:noProof/>
          <w:color w:val="auto"/>
          <w:sz w:val="22"/>
          <w:szCs w:val="22"/>
          <w:lang w:val="en-AU"/>
        </w:rPr>
      </w:pPr>
      <w:hyperlink w:anchor="_Toc55053297" w:history="1">
        <w:r w:rsidR="00F53B39" w:rsidRPr="007B0C2C">
          <w:rPr>
            <w:rStyle w:val="Hyperlink"/>
            <w:noProof/>
          </w:rPr>
          <w:t>Introduction</w:t>
        </w:r>
        <w:r w:rsidR="00F53B39">
          <w:rPr>
            <w:noProof/>
            <w:webHidden/>
          </w:rPr>
          <w:tab/>
        </w:r>
        <w:r w:rsidR="00F53B39">
          <w:rPr>
            <w:noProof/>
            <w:webHidden/>
          </w:rPr>
          <w:fldChar w:fldCharType="begin"/>
        </w:r>
        <w:r w:rsidR="00F53B39">
          <w:rPr>
            <w:noProof/>
            <w:webHidden/>
          </w:rPr>
          <w:instrText xml:space="preserve"> PAGEREF _Toc55053297 \h </w:instrText>
        </w:r>
        <w:r w:rsidR="00F53B39">
          <w:rPr>
            <w:noProof/>
            <w:webHidden/>
          </w:rPr>
        </w:r>
        <w:r w:rsidR="00F53B39">
          <w:rPr>
            <w:noProof/>
            <w:webHidden/>
          </w:rPr>
          <w:fldChar w:fldCharType="separate"/>
        </w:r>
        <w:r w:rsidR="00F53B39">
          <w:rPr>
            <w:noProof/>
            <w:webHidden/>
          </w:rPr>
          <w:t>7</w:t>
        </w:r>
        <w:r w:rsidR="00F53B39">
          <w:rPr>
            <w:noProof/>
            <w:webHidden/>
          </w:rPr>
          <w:fldChar w:fldCharType="end"/>
        </w:r>
      </w:hyperlink>
    </w:p>
    <w:p w14:paraId="2D0F6B18" w14:textId="0E019C58" w:rsidR="00F53B39" w:rsidRDefault="00360573">
      <w:pPr>
        <w:pStyle w:val="TOC2"/>
        <w:rPr>
          <w:rFonts w:cstheme="minorBidi"/>
          <w:noProof/>
          <w:color w:val="auto"/>
          <w:sz w:val="22"/>
          <w:szCs w:val="22"/>
        </w:rPr>
      </w:pPr>
      <w:hyperlink w:anchor="_Toc55053298" w:history="1">
        <w:r w:rsidR="00F53B39" w:rsidRPr="007B0C2C">
          <w:rPr>
            <w:rStyle w:val="Hyperlink"/>
            <w:noProof/>
          </w:rPr>
          <w:t>Scope</w:t>
        </w:r>
        <w:r w:rsidR="00F53B39">
          <w:rPr>
            <w:noProof/>
            <w:webHidden/>
          </w:rPr>
          <w:tab/>
        </w:r>
        <w:r w:rsidR="00F53B39">
          <w:rPr>
            <w:noProof/>
            <w:webHidden/>
          </w:rPr>
          <w:fldChar w:fldCharType="begin"/>
        </w:r>
        <w:r w:rsidR="00F53B39">
          <w:rPr>
            <w:noProof/>
            <w:webHidden/>
          </w:rPr>
          <w:instrText xml:space="preserve"> PAGEREF _Toc55053298 \h </w:instrText>
        </w:r>
        <w:r w:rsidR="00F53B39">
          <w:rPr>
            <w:noProof/>
            <w:webHidden/>
          </w:rPr>
        </w:r>
        <w:r w:rsidR="00F53B39">
          <w:rPr>
            <w:noProof/>
            <w:webHidden/>
          </w:rPr>
          <w:fldChar w:fldCharType="separate"/>
        </w:r>
        <w:r w:rsidR="00F53B39">
          <w:rPr>
            <w:noProof/>
            <w:webHidden/>
          </w:rPr>
          <w:t>8</w:t>
        </w:r>
        <w:r w:rsidR="00F53B39">
          <w:rPr>
            <w:noProof/>
            <w:webHidden/>
          </w:rPr>
          <w:fldChar w:fldCharType="end"/>
        </w:r>
      </w:hyperlink>
    </w:p>
    <w:p w14:paraId="438C49FD" w14:textId="2FA292FF" w:rsidR="00F53B39" w:rsidRDefault="00360573">
      <w:pPr>
        <w:pStyle w:val="TOC2"/>
        <w:rPr>
          <w:rFonts w:cstheme="minorBidi"/>
          <w:noProof/>
          <w:color w:val="auto"/>
          <w:sz w:val="22"/>
          <w:szCs w:val="22"/>
        </w:rPr>
      </w:pPr>
      <w:hyperlink w:anchor="_Toc55053299" w:history="1">
        <w:r w:rsidR="00F53B39" w:rsidRPr="007B0C2C">
          <w:rPr>
            <w:rStyle w:val="Hyperlink"/>
            <w:noProof/>
          </w:rPr>
          <w:t>How to read this report</w:t>
        </w:r>
        <w:r w:rsidR="00F53B39">
          <w:rPr>
            <w:noProof/>
            <w:webHidden/>
          </w:rPr>
          <w:tab/>
        </w:r>
        <w:r w:rsidR="00F53B39">
          <w:rPr>
            <w:noProof/>
            <w:webHidden/>
          </w:rPr>
          <w:fldChar w:fldCharType="begin"/>
        </w:r>
        <w:r w:rsidR="00F53B39">
          <w:rPr>
            <w:noProof/>
            <w:webHidden/>
          </w:rPr>
          <w:instrText xml:space="preserve"> PAGEREF _Toc55053299 \h </w:instrText>
        </w:r>
        <w:r w:rsidR="00F53B39">
          <w:rPr>
            <w:noProof/>
            <w:webHidden/>
          </w:rPr>
        </w:r>
        <w:r w:rsidR="00F53B39">
          <w:rPr>
            <w:noProof/>
            <w:webHidden/>
          </w:rPr>
          <w:fldChar w:fldCharType="separate"/>
        </w:r>
        <w:r w:rsidR="00F53B39">
          <w:rPr>
            <w:noProof/>
            <w:webHidden/>
          </w:rPr>
          <w:t>9</w:t>
        </w:r>
        <w:r w:rsidR="00F53B39">
          <w:rPr>
            <w:noProof/>
            <w:webHidden/>
          </w:rPr>
          <w:fldChar w:fldCharType="end"/>
        </w:r>
      </w:hyperlink>
    </w:p>
    <w:p w14:paraId="77FF59AE" w14:textId="5499767A" w:rsidR="00F53B39" w:rsidRDefault="00360573">
      <w:pPr>
        <w:pStyle w:val="TOC2"/>
        <w:rPr>
          <w:rFonts w:cstheme="minorBidi"/>
          <w:noProof/>
          <w:color w:val="auto"/>
          <w:sz w:val="22"/>
          <w:szCs w:val="22"/>
        </w:rPr>
      </w:pPr>
      <w:hyperlink w:anchor="_Toc55053300" w:history="1">
        <w:r w:rsidR="00F53B39" w:rsidRPr="007B0C2C">
          <w:rPr>
            <w:rStyle w:val="Hyperlink"/>
            <w:noProof/>
          </w:rPr>
          <w:t>Methodology</w:t>
        </w:r>
        <w:r w:rsidR="00F53B39">
          <w:rPr>
            <w:noProof/>
            <w:webHidden/>
          </w:rPr>
          <w:tab/>
        </w:r>
        <w:r w:rsidR="00F53B39">
          <w:rPr>
            <w:noProof/>
            <w:webHidden/>
          </w:rPr>
          <w:fldChar w:fldCharType="begin"/>
        </w:r>
        <w:r w:rsidR="00F53B39">
          <w:rPr>
            <w:noProof/>
            <w:webHidden/>
          </w:rPr>
          <w:instrText xml:space="preserve"> PAGEREF _Toc55053300 \h </w:instrText>
        </w:r>
        <w:r w:rsidR="00F53B39">
          <w:rPr>
            <w:noProof/>
            <w:webHidden/>
          </w:rPr>
        </w:r>
        <w:r w:rsidR="00F53B39">
          <w:rPr>
            <w:noProof/>
            <w:webHidden/>
          </w:rPr>
          <w:fldChar w:fldCharType="separate"/>
        </w:r>
        <w:r w:rsidR="00F53B39">
          <w:rPr>
            <w:noProof/>
            <w:webHidden/>
          </w:rPr>
          <w:t>9</w:t>
        </w:r>
        <w:r w:rsidR="00F53B39">
          <w:rPr>
            <w:noProof/>
            <w:webHidden/>
          </w:rPr>
          <w:fldChar w:fldCharType="end"/>
        </w:r>
      </w:hyperlink>
    </w:p>
    <w:p w14:paraId="1A206232" w14:textId="04F13C33" w:rsidR="00F53B39" w:rsidRDefault="00360573">
      <w:pPr>
        <w:pStyle w:val="TOC2"/>
        <w:rPr>
          <w:rFonts w:cstheme="minorBidi"/>
          <w:noProof/>
          <w:color w:val="auto"/>
          <w:sz w:val="22"/>
          <w:szCs w:val="22"/>
        </w:rPr>
      </w:pPr>
      <w:hyperlink w:anchor="_Toc55053301" w:history="1">
        <w:r w:rsidR="00F53B39" w:rsidRPr="007B0C2C">
          <w:rPr>
            <w:rStyle w:val="Hyperlink"/>
            <w:noProof/>
          </w:rPr>
          <w:t>Context and further reading</w:t>
        </w:r>
        <w:r w:rsidR="00F53B39">
          <w:rPr>
            <w:noProof/>
            <w:webHidden/>
          </w:rPr>
          <w:tab/>
        </w:r>
        <w:r w:rsidR="00F53B39">
          <w:rPr>
            <w:noProof/>
            <w:webHidden/>
          </w:rPr>
          <w:fldChar w:fldCharType="begin"/>
        </w:r>
        <w:r w:rsidR="00F53B39">
          <w:rPr>
            <w:noProof/>
            <w:webHidden/>
          </w:rPr>
          <w:instrText xml:space="preserve"> PAGEREF _Toc55053301 \h </w:instrText>
        </w:r>
        <w:r w:rsidR="00F53B39">
          <w:rPr>
            <w:noProof/>
            <w:webHidden/>
          </w:rPr>
        </w:r>
        <w:r w:rsidR="00F53B39">
          <w:rPr>
            <w:noProof/>
            <w:webHidden/>
          </w:rPr>
          <w:fldChar w:fldCharType="separate"/>
        </w:r>
        <w:r w:rsidR="00F53B39">
          <w:rPr>
            <w:noProof/>
            <w:webHidden/>
          </w:rPr>
          <w:t>11</w:t>
        </w:r>
        <w:r w:rsidR="00F53B39">
          <w:rPr>
            <w:noProof/>
            <w:webHidden/>
          </w:rPr>
          <w:fldChar w:fldCharType="end"/>
        </w:r>
      </w:hyperlink>
    </w:p>
    <w:p w14:paraId="6763E6E9" w14:textId="1C9202D4" w:rsidR="00F53B39" w:rsidRDefault="00360573">
      <w:pPr>
        <w:pStyle w:val="TOC1"/>
        <w:rPr>
          <w:rFonts w:asciiTheme="minorHAnsi" w:hAnsiTheme="minorHAnsi" w:cstheme="minorBidi"/>
          <w:b w:val="0"/>
          <w:bCs w:val="0"/>
          <w:noProof/>
          <w:color w:val="auto"/>
          <w:sz w:val="22"/>
          <w:szCs w:val="22"/>
          <w:lang w:val="en-AU"/>
        </w:rPr>
      </w:pPr>
      <w:hyperlink w:anchor="_Toc55053302" w:history="1">
        <w:r w:rsidR="00F53B39" w:rsidRPr="007B0C2C">
          <w:rPr>
            <w:rStyle w:val="Hyperlink"/>
            <w:noProof/>
          </w:rPr>
          <w:t>Section 1: Quality primary prevention infrastructure: the foundations of change</w:t>
        </w:r>
        <w:r w:rsidR="00F53B39">
          <w:rPr>
            <w:noProof/>
            <w:webHidden/>
          </w:rPr>
          <w:tab/>
        </w:r>
        <w:r w:rsidR="00F53B39">
          <w:rPr>
            <w:noProof/>
            <w:webHidden/>
          </w:rPr>
          <w:fldChar w:fldCharType="begin"/>
        </w:r>
        <w:r w:rsidR="00F53B39">
          <w:rPr>
            <w:noProof/>
            <w:webHidden/>
          </w:rPr>
          <w:instrText xml:space="preserve"> PAGEREF _Toc55053302 \h </w:instrText>
        </w:r>
        <w:r w:rsidR="00F53B39">
          <w:rPr>
            <w:noProof/>
            <w:webHidden/>
          </w:rPr>
        </w:r>
        <w:r w:rsidR="00F53B39">
          <w:rPr>
            <w:noProof/>
            <w:webHidden/>
          </w:rPr>
          <w:fldChar w:fldCharType="separate"/>
        </w:r>
        <w:r w:rsidR="00F53B39">
          <w:rPr>
            <w:noProof/>
            <w:webHidden/>
          </w:rPr>
          <w:t>12</w:t>
        </w:r>
        <w:r w:rsidR="00F53B39">
          <w:rPr>
            <w:noProof/>
            <w:webHidden/>
          </w:rPr>
          <w:fldChar w:fldCharType="end"/>
        </w:r>
      </w:hyperlink>
    </w:p>
    <w:p w14:paraId="7E9E752C" w14:textId="6AF6E14F" w:rsidR="00F53B39" w:rsidRDefault="00360573">
      <w:pPr>
        <w:pStyle w:val="TOC2"/>
        <w:rPr>
          <w:rFonts w:cstheme="minorBidi"/>
          <w:noProof/>
          <w:color w:val="auto"/>
          <w:sz w:val="22"/>
          <w:szCs w:val="22"/>
        </w:rPr>
      </w:pPr>
      <w:hyperlink w:anchor="_Toc55053303" w:history="1">
        <w:r w:rsidR="00F53B39" w:rsidRPr="007B0C2C">
          <w:rPr>
            <w:rStyle w:val="Hyperlink"/>
            <w:noProof/>
          </w:rPr>
          <w:t>Methodology for this section</w:t>
        </w:r>
        <w:r w:rsidR="00F53B39">
          <w:rPr>
            <w:noProof/>
            <w:webHidden/>
          </w:rPr>
          <w:tab/>
        </w:r>
        <w:r w:rsidR="00F53B39">
          <w:rPr>
            <w:noProof/>
            <w:webHidden/>
          </w:rPr>
          <w:fldChar w:fldCharType="begin"/>
        </w:r>
        <w:r w:rsidR="00F53B39">
          <w:rPr>
            <w:noProof/>
            <w:webHidden/>
          </w:rPr>
          <w:instrText xml:space="preserve"> PAGEREF _Toc55053303 \h </w:instrText>
        </w:r>
        <w:r w:rsidR="00F53B39">
          <w:rPr>
            <w:noProof/>
            <w:webHidden/>
          </w:rPr>
        </w:r>
        <w:r w:rsidR="00F53B39">
          <w:rPr>
            <w:noProof/>
            <w:webHidden/>
          </w:rPr>
          <w:fldChar w:fldCharType="separate"/>
        </w:r>
        <w:r w:rsidR="00F53B39">
          <w:rPr>
            <w:noProof/>
            <w:webHidden/>
          </w:rPr>
          <w:t>13</w:t>
        </w:r>
        <w:r w:rsidR="00F53B39">
          <w:rPr>
            <w:noProof/>
            <w:webHidden/>
          </w:rPr>
          <w:fldChar w:fldCharType="end"/>
        </w:r>
      </w:hyperlink>
    </w:p>
    <w:p w14:paraId="200214D8" w14:textId="6160A76C" w:rsidR="00F53B39" w:rsidRDefault="00360573">
      <w:pPr>
        <w:pStyle w:val="TOC2"/>
        <w:rPr>
          <w:rFonts w:cstheme="minorBidi"/>
          <w:noProof/>
          <w:color w:val="auto"/>
          <w:sz w:val="22"/>
          <w:szCs w:val="22"/>
        </w:rPr>
      </w:pPr>
      <w:hyperlink w:anchor="_Toc55053304" w:history="1">
        <w:r w:rsidR="00F53B39" w:rsidRPr="007B0C2C">
          <w:rPr>
            <w:rStyle w:val="Hyperlink"/>
            <w:noProof/>
          </w:rPr>
          <w:t>Domain 1: Political and civil society leadership</w:t>
        </w:r>
        <w:r w:rsidR="00F53B39">
          <w:rPr>
            <w:noProof/>
            <w:webHidden/>
          </w:rPr>
          <w:tab/>
        </w:r>
        <w:r w:rsidR="00F53B39">
          <w:rPr>
            <w:noProof/>
            <w:webHidden/>
          </w:rPr>
          <w:fldChar w:fldCharType="begin"/>
        </w:r>
        <w:r w:rsidR="00F53B39">
          <w:rPr>
            <w:noProof/>
            <w:webHidden/>
          </w:rPr>
          <w:instrText xml:space="preserve"> PAGEREF _Toc55053304 \h </w:instrText>
        </w:r>
        <w:r w:rsidR="00F53B39">
          <w:rPr>
            <w:noProof/>
            <w:webHidden/>
          </w:rPr>
        </w:r>
        <w:r w:rsidR="00F53B39">
          <w:rPr>
            <w:noProof/>
            <w:webHidden/>
          </w:rPr>
          <w:fldChar w:fldCharType="separate"/>
        </w:r>
        <w:r w:rsidR="00F53B39">
          <w:rPr>
            <w:noProof/>
            <w:webHidden/>
          </w:rPr>
          <w:t>14</w:t>
        </w:r>
        <w:r w:rsidR="00F53B39">
          <w:rPr>
            <w:noProof/>
            <w:webHidden/>
          </w:rPr>
          <w:fldChar w:fldCharType="end"/>
        </w:r>
      </w:hyperlink>
    </w:p>
    <w:p w14:paraId="0AE65FB0" w14:textId="5ADCD40C" w:rsidR="00F53B39" w:rsidRDefault="00360573">
      <w:pPr>
        <w:pStyle w:val="TOC2"/>
        <w:rPr>
          <w:rFonts w:cstheme="minorBidi"/>
          <w:noProof/>
          <w:color w:val="auto"/>
          <w:sz w:val="22"/>
          <w:szCs w:val="22"/>
        </w:rPr>
      </w:pPr>
      <w:hyperlink w:anchor="_Toc55053305" w:history="1">
        <w:r w:rsidR="00F53B39" w:rsidRPr="007B0C2C">
          <w:rPr>
            <w:rStyle w:val="Hyperlink"/>
            <w:noProof/>
          </w:rPr>
          <w:t>Domain 2: Policy and legislative reform</w:t>
        </w:r>
        <w:r w:rsidR="00F53B39">
          <w:rPr>
            <w:noProof/>
            <w:webHidden/>
          </w:rPr>
          <w:tab/>
        </w:r>
        <w:r w:rsidR="00F53B39">
          <w:rPr>
            <w:noProof/>
            <w:webHidden/>
          </w:rPr>
          <w:fldChar w:fldCharType="begin"/>
        </w:r>
        <w:r w:rsidR="00F53B39">
          <w:rPr>
            <w:noProof/>
            <w:webHidden/>
          </w:rPr>
          <w:instrText xml:space="preserve"> PAGEREF _Toc55053305 \h </w:instrText>
        </w:r>
        <w:r w:rsidR="00F53B39">
          <w:rPr>
            <w:noProof/>
            <w:webHidden/>
          </w:rPr>
        </w:r>
        <w:r w:rsidR="00F53B39">
          <w:rPr>
            <w:noProof/>
            <w:webHidden/>
          </w:rPr>
          <w:fldChar w:fldCharType="separate"/>
        </w:r>
        <w:r w:rsidR="00F53B39">
          <w:rPr>
            <w:noProof/>
            <w:webHidden/>
          </w:rPr>
          <w:t>27</w:t>
        </w:r>
        <w:r w:rsidR="00F53B39">
          <w:rPr>
            <w:noProof/>
            <w:webHidden/>
          </w:rPr>
          <w:fldChar w:fldCharType="end"/>
        </w:r>
      </w:hyperlink>
    </w:p>
    <w:p w14:paraId="42F1A5C6" w14:textId="5A01151A" w:rsidR="00F53B39" w:rsidRDefault="00360573">
      <w:pPr>
        <w:pStyle w:val="TOC2"/>
        <w:rPr>
          <w:rFonts w:cstheme="minorBidi"/>
          <w:noProof/>
          <w:color w:val="auto"/>
          <w:sz w:val="22"/>
          <w:szCs w:val="22"/>
        </w:rPr>
      </w:pPr>
      <w:hyperlink w:anchor="_Toc55053306" w:history="1">
        <w:r w:rsidR="00F53B39" w:rsidRPr="007B0C2C">
          <w:rPr>
            <w:rStyle w:val="Hyperlink"/>
            <w:noProof/>
          </w:rPr>
          <w:t>Domain 3: An expert workforce</w:t>
        </w:r>
        <w:r w:rsidR="00F53B39">
          <w:rPr>
            <w:noProof/>
            <w:webHidden/>
          </w:rPr>
          <w:tab/>
        </w:r>
        <w:r w:rsidR="00F53B39">
          <w:rPr>
            <w:noProof/>
            <w:webHidden/>
          </w:rPr>
          <w:fldChar w:fldCharType="begin"/>
        </w:r>
        <w:r w:rsidR="00F53B39">
          <w:rPr>
            <w:noProof/>
            <w:webHidden/>
          </w:rPr>
          <w:instrText xml:space="preserve"> PAGEREF _Toc55053306 \h </w:instrText>
        </w:r>
        <w:r w:rsidR="00F53B39">
          <w:rPr>
            <w:noProof/>
            <w:webHidden/>
          </w:rPr>
        </w:r>
        <w:r w:rsidR="00F53B39">
          <w:rPr>
            <w:noProof/>
            <w:webHidden/>
          </w:rPr>
          <w:fldChar w:fldCharType="separate"/>
        </w:r>
        <w:r w:rsidR="00F53B39">
          <w:rPr>
            <w:noProof/>
            <w:webHidden/>
          </w:rPr>
          <w:t>35</w:t>
        </w:r>
        <w:r w:rsidR="00F53B39">
          <w:rPr>
            <w:noProof/>
            <w:webHidden/>
          </w:rPr>
          <w:fldChar w:fldCharType="end"/>
        </w:r>
      </w:hyperlink>
    </w:p>
    <w:p w14:paraId="4B7177AB" w14:textId="05FAEFB7" w:rsidR="00F53B39" w:rsidRDefault="00360573">
      <w:pPr>
        <w:pStyle w:val="TOC2"/>
        <w:rPr>
          <w:rFonts w:cstheme="minorBidi"/>
          <w:noProof/>
          <w:color w:val="auto"/>
          <w:sz w:val="22"/>
          <w:szCs w:val="22"/>
        </w:rPr>
      </w:pPr>
      <w:hyperlink w:anchor="_Toc55053307" w:history="1">
        <w:r w:rsidR="00F53B39" w:rsidRPr="007B0C2C">
          <w:rPr>
            <w:rStyle w:val="Hyperlink"/>
            <w:noProof/>
          </w:rPr>
          <w:t>Domain 4: Mechanisms for coordination, collaboration and quality assurance</w:t>
        </w:r>
        <w:r w:rsidR="00F53B39">
          <w:rPr>
            <w:noProof/>
            <w:webHidden/>
          </w:rPr>
          <w:tab/>
        </w:r>
        <w:r w:rsidR="00F53B39">
          <w:rPr>
            <w:noProof/>
            <w:webHidden/>
          </w:rPr>
          <w:fldChar w:fldCharType="begin"/>
        </w:r>
        <w:r w:rsidR="00F53B39">
          <w:rPr>
            <w:noProof/>
            <w:webHidden/>
          </w:rPr>
          <w:instrText xml:space="preserve"> PAGEREF _Toc55053307 \h </w:instrText>
        </w:r>
        <w:r w:rsidR="00F53B39">
          <w:rPr>
            <w:noProof/>
            <w:webHidden/>
          </w:rPr>
        </w:r>
        <w:r w:rsidR="00F53B39">
          <w:rPr>
            <w:noProof/>
            <w:webHidden/>
          </w:rPr>
          <w:fldChar w:fldCharType="separate"/>
        </w:r>
        <w:r w:rsidR="00F53B39">
          <w:rPr>
            <w:noProof/>
            <w:webHidden/>
          </w:rPr>
          <w:t>49</w:t>
        </w:r>
        <w:r w:rsidR="00F53B39">
          <w:rPr>
            <w:noProof/>
            <w:webHidden/>
          </w:rPr>
          <w:fldChar w:fldCharType="end"/>
        </w:r>
      </w:hyperlink>
    </w:p>
    <w:p w14:paraId="5B08B3AF" w14:textId="3BB95C9E" w:rsidR="00F53B39" w:rsidRDefault="00360573">
      <w:pPr>
        <w:pStyle w:val="TOC2"/>
        <w:rPr>
          <w:rFonts w:cstheme="minorBidi"/>
          <w:noProof/>
          <w:color w:val="auto"/>
          <w:sz w:val="22"/>
          <w:szCs w:val="22"/>
        </w:rPr>
      </w:pPr>
      <w:hyperlink w:anchor="_Toc55053308" w:history="1">
        <w:r w:rsidR="00F53B39" w:rsidRPr="007B0C2C">
          <w:rPr>
            <w:rStyle w:val="Hyperlink"/>
            <w:noProof/>
          </w:rPr>
          <w:t>Domain 5: Monitoring, reporting and evaluation frameworks</w:t>
        </w:r>
        <w:r w:rsidR="00F53B39">
          <w:rPr>
            <w:noProof/>
            <w:webHidden/>
          </w:rPr>
          <w:tab/>
        </w:r>
        <w:r w:rsidR="00F53B39">
          <w:rPr>
            <w:noProof/>
            <w:webHidden/>
          </w:rPr>
          <w:fldChar w:fldCharType="begin"/>
        </w:r>
        <w:r w:rsidR="00F53B39">
          <w:rPr>
            <w:noProof/>
            <w:webHidden/>
          </w:rPr>
          <w:instrText xml:space="preserve"> PAGEREF _Toc55053308 \h </w:instrText>
        </w:r>
        <w:r w:rsidR="00F53B39">
          <w:rPr>
            <w:noProof/>
            <w:webHidden/>
          </w:rPr>
        </w:r>
        <w:r w:rsidR="00F53B39">
          <w:rPr>
            <w:noProof/>
            <w:webHidden/>
          </w:rPr>
          <w:fldChar w:fldCharType="separate"/>
        </w:r>
        <w:r w:rsidR="00F53B39">
          <w:rPr>
            <w:noProof/>
            <w:webHidden/>
          </w:rPr>
          <w:t>55</w:t>
        </w:r>
        <w:r w:rsidR="00F53B39">
          <w:rPr>
            <w:noProof/>
            <w:webHidden/>
          </w:rPr>
          <w:fldChar w:fldCharType="end"/>
        </w:r>
      </w:hyperlink>
    </w:p>
    <w:p w14:paraId="77E2353C" w14:textId="369B4DD9" w:rsidR="00F53B39" w:rsidRDefault="00360573">
      <w:pPr>
        <w:pStyle w:val="TOC2"/>
        <w:rPr>
          <w:rFonts w:cstheme="minorBidi"/>
          <w:noProof/>
          <w:color w:val="auto"/>
          <w:sz w:val="22"/>
          <w:szCs w:val="22"/>
        </w:rPr>
      </w:pPr>
      <w:hyperlink w:anchor="_Toc55053309" w:history="1">
        <w:r w:rsidR="00F53B39" w:rsidRPr="007B0C2C">
          <w:rPr>
            <w:rStyle w:val="Hyperlink"/>
            <w:noProof/>
          </w:rPr>
          <w:t>Domain 6: Quality primary prevention programming</w:t>
        </w:r>
        <w:r w:rsidR="00F53B39">
          <w:rPr>
            <w:noProof/>
            <w:webHidden/>
          </w:rPr>
          <w:tab/>
        </w:r>
        <w:r w:rsidR="00F53B39">
          <w:rPr>
            <w:noProof/>
            <w:webHidden/>
          </w:rPr>
          <w:fldChar w:fldCharType="begin"/>
        </w:r>
        <w:r w:rsidR="00F53B39">
          <w:rPr>
            <w:noProof/>
            <w:webHidden/>
          </w:rPr>
          <w:instrText xml:space="preserve"> PAGEREF _Toc55053309 \h </w:instrText>
        </w:r>
        <w:r w:rsidR="00F53B39">
          <w:rPr>
            <w:noProof/>
            <w:webHidden/>
          </w:rPr>
        </w:r>
        <w:r w:rsidR="00F53B39">
          <w:rPr>
            <w:noProof/>
            <w:webHidden/>
          </w:rPr>
          <w:fldChar w:fldCharType="separate"/>
        </w:r>
        <w:r w:rsidR="00F53B39">
          <w:rPr>
            <w:noProof/>
            <w:webHidden/>
          </w:rPr>
          <w:t>60</w:t>
        </w:r>
        <w:r w:rsidR="00F53B39">
          <w:rPr>
            <w:noProof/>
            <w:webHidden/>
          </w:rPr>
          <w:fldChar w:fldCharType="end"/>
        </w:r>
      </w:hyperlink>
    </w:p>
    <w:p w14:paraId="3C2137E2" w14:textId="5435C3DF" w:rsidR="00F53B39" w:rsidRDefault="00360573">
      <w:pPr>
        <w:pStyle w:val="TOC2"/>
        <w:rPr>
          <w:rFonts w:cstheme="minorBidi"/>
          <w:noProof/>
          <w:color w:val="auto"/>
          <w:sz w:val="22"/>
          <w:szCs w:val="22"/>
        </w:rPr>
      </w:pPr>
      <w:hyperlink w:anchor="_Toc55053310" w:history="1">
        <w:r w:rsidR="00F53B39" w:rsidRPr="007B0C2C">
          <w:rPr>
            <w:rStyle w:val="Hyperlink"/>
            <w:noProof/>
          </w:rPr>
          <w:t>Conclusion</w:t>
        </w:r>
        <w:r w:rsidR="00F53B39">
          <w:rPr>
            <w:noProof/>
            <w:webHidden/>
          </w:rPr>
          <w:tab/>
        </w:r>
        <w:r w:rsidR="00F53B39">
          <w:rPr>
            <w:noProof/>
            <w:webHidden/>
          </w:rPr>
          <w:fldChar w:fldCharType="begin"/>
        </w:r>
        <w:r w:rsidR="00F53B39">
          <w:rPr>
            <w:noProof/>
            <w:webHidden/>
          </w:rPr>
          <w:instrText xml:space="preserve"> PAGEREF _Toc55053310 \h </w:instrText>
        </w:r>
        <w:r w:rsidR="00F53B39">
          <w:rPr>
            <w:noProof/>
            <w:webHidden/>
          </w:rPr>
        </w:r>
        <w:r w:rsidR="00F53B39">
          <w:rPr>
            <w:noProof/>
            <w:webHidden/>
          </w:rPr>
          <w:fldChar w:fldCharType="separate"/>
        </w:r>
        <w:r w:rsidR="00F53B39">
          <w:rPr>
            <w:noProof/>
            <w:webHidden/>
          </w:rPr>
          <w:t>66</w:t>
        </w:r>
        <w:r w:rsidR="00F53B39">
          <w:rPr>
            <w:noProof/>
            <w:webHidden/>
          </w:rPr>
          <w:fldChar w:fldCharType="end"/>
        </w:r>
      </w:hyperlink>
    </w:p>
    <w:p w14:paraId="6169A0F5" w14:textId="6B27B2CF" w:rsidR="00F53B39" w:rsidRDefault="00360573">
      <w:pPr>
        <w:pStyle w:val="TOC1"/>
        <w:rPr>
          <w:rFonts w:asciiTheme="minorHAnsi" w:hAnsiTheme="minorHAnsi" w:cstheme="minorBidi"/>
          <w:b w:val="0"/>
          <w:bCs w:val="0"/>
          <w:noProof/>
          <w:color w:val="auto"/>
          <w:sz w:val="22"/>
          <w:szCs w:val="22"/>
          <w:lang w:val="en-AU"/>
        </w:rPr>
      </w:pPr>
      <w:hyperlink w:anchor="_Toc55053311" w:history="1">
        <w:r w:rsidR="00F53B39" w:rsidRPr="007B0C2C">
          <w:rPr>
            <w:rStyle w:val="Hyperlink"/>
            <w:noProof/>
          </w:rPr>
          <w:t xml:space="preserve">Section 2 Part A: Medium- to long-term outcomes: Change to the </w:t>
        </w:r>
        <w:r w:rsidR="00F53B39">
          <w:rPr>
            <w:rStyle w:val="Hyperlink"/>
            <w:noProof/>
          </w:rPr>
          <w:br/>
        </w:r>
        <w:r w:rsidR="00F53B39" w:rsidRPr="007B0C2C">
          <w:rPr>
            <w:rStyle w:val="Hyperlink"/>
            <w:noProof/>
          </w:rPr>
          <w:t>gendered drivers, intersecting drivers and reinforcing factors</w:t>
        </w:r>
        <w:r w:rsidR="00F53B39">
          <w:rPr>
            <w:noProof/>
            <w:webHidden/>
          </w:rPr>
          <w:tab/>
        </w:r>
        <w:r w:rsidR="00F53B39">
          <w:rPr>
            <w:noProof/>
            <w:webHidden/>
          </w:rPr>
          <w:fldChar w:fldCharType="begin"/>
        </w:r>
        <w:r w:rsidR="00F53B39">
          <w:rPr>
            <w:noProof/>
            <w:webHidden/>
          </w:rPr>
          <w:instrText xml:space="preserve"> PAGEREF _Toc55053311 \h </w:instrText>
        </w:r>
        <w:r w:rsidR="00F53B39">
          <w:rPr>
            <w:noProof/>
            <w:webHidden/>
          </w:rPr>
        </w:r>
        <w:r w:rsidR="00F53B39">
          <w:rPr>
            <w:noProof/>
            <w:webHidden/>
          </w:rPr>
          <w:fldChar w:fldCharType="separate"/>
        </w:r>
        <w:r w:rsidR="00F53B39">
          <w:rPr>
            <w:noProof/>
            <w:webHidden/>
          </w:rPr>
          <w:t>67</w:t>
        </w:r>
        <w:r w:rsidR="00F53B39">
          <w:rPr>
            <w:noProof/>
            <w:webHidden/>
          </w:rPr>
          <w:fldChar w:fldCharType="end"/>
        </w:r>
      </w:hyperlink>
    </w:p>
    <w:p w14:paraId="2C50B843" w14:textId="63B005AD" w:rsidR="00F53B39" w:rsidRDefault="00360573">
      <w:pPr>
        <w:pStyle w:val="TOC2"/>
        <w:rPr>
          <w:rFonts w:cstheme="minorBidi"/>
          <w:noProof/>
          <w:color w:val="auto"/>
          <w:sz w:val="22"/>
          <w:szCs w:val="22"/>
        </w:rPr>
      </w:pPr>
      <w:hyperlink w:anchor="_Toc55053312" w:history="1">
        <w:r w:rsidR="00F53B39" w:rsidRPr="007B0C2C">
          <w:rPr>
            <w:rStyle w:val="Hyperlink"/>
            <w:noProof/>
          </w:rPr>
          <w:t>Gendered driver: Condoning of violence against women</w:t>
        </w:r>
        <w:r w:rsidR="00F53B39">
          <w:rPr>
            <w:noProof/>
            <w:webHidden/>
          </w:rPr>
          <w:tab/>
        </w:r>
        <w:r w:rsidR="00F53B39">
          <w:rPr>
            <w:noProof/>
            <w:webHidden/>
          </w:rPr>
          <w:fldChar w:fldCharType="begin"/>
        </w:r>
        <w:r w:rsidR="00F53B39">
          <w:rPr>
            <w:noProof/>
            <w:webHidden/>
          </w:rPr>
          <w:instrText xml:space="preserve"> PAGEREF _Toc55053312 \h </w:instrText>
        </w:r>
        <w:r w:rsidR="00F53B39">
          <w:rPr>
            <w:noProof/>
            <w:webHidden/>
          </w:rPr>
        </w:r>
        <w:r w:rsidR="00F53B39">
          <w:rPr>
            <w:noProof/>
            <w:webHidden/>
          </w:rPr>
          <w:fldChar w:fldCharType="separate"/>
        </w:r>
        <w:r w:rsidR="00F53B39">
          <w:rPr>
            <w:noProof/>
            <w:webHidden/>
          </w:rPr>
          <w:t>68</w:t>
        </w:r>
        <w:r w:rsidR="00F53B39">
          <w:rPr>
            <w:noProof/>
            <w:webHidden/>
          </w:rPr>
          <w:fldChar w:fldCharType="end"/>
        </w:r>
      </w:hyperlink>
    </w:p>
    <w:p w14:paraId="2FB9B357" w14:textId="0042EB0F" w:rsidR="00F53B39" w:rsidRDefault="00360573">
      <w:pPr>
        <w:pStyle w:val="TOC2"/>
        <w:rPr>
          <w:rFonts w:cstheme="minorBidi"/>
          <w:noProof/>
          <w:color w:val="auto"/>
          <w:sz w:val="22"/>
          <w:szCs w:val="22"/>
        </w:rPr>
      </w:pPr>
      <w:hyperlink w:anchor="_Toc55053313" w:history="1">
        <w:r w:rsidR="00F53B39" w:rsidRPr="007B0C2C">
          <w:rPr>
            <w:rStyle w:val="Hyperlink"/>
            <w:noProof/>
          </w:rPr>
          <w:t>Gendered driver: Rigid gender roles and stereotyped constructions of masculinity and femininity</w:t>
        </w:r>
        <w:r w:rsidR="00F53B39">
          <w:rPr>
            <w:noProof/>
            <w:webHidden/>
          </w:rPr>
          <w:tab/>
        </w:r>
        <w:r w:rsidR="00F53B39">
          <w:rPr>
            <w:noProof/>
            <w:webHidden/>
          </w:rPr>
          <w:fldChar w:fldCharType="begin"/>
        </w:r>
        <w:r w:rsidR="00F53B39">
          <w:rPr>
            <w:noProof/>
            <w:webHidden/>
          </w:rPr>
          <w:instrText xml:space="preserve"> PAGEREF _Toc55053313 \h </w:instrText>
        </w:r>
        <w:r w:rsidR="00F53B39">
          <w:rPr>
            <w:noProof/>
            <w:webHidden/>
          </w:rPr>
        </w:r>
        <w:r w:rsidR="00F53B39">
          <w:rPr>
            <w:noProof/>
            <w:webHidden/>
          </w:rPr>
          <w:fldChar w:fldCharType="separate"/>
        </w:r>
        <w:r w:rsidR="00F53B39">
          <w:rPr>
            <w:noProof/>
            <w:webHidden/>
          </w:rPr>
          <w:t>98</w:t>
        </w:r>
        <w:r w:rsidR="00F53B39">
          <w:rPr>
            <w:noProof/>
            <w:webHidden/>
          </w:rPr>
          <w:fldChar w:fldCharType="end"/>
        </w:r>
      </w:hyperlink>
    </w:p>
    <w:p w14:paraId="0221D1A6" w14:textId="238B045C" w:rsidR="00F53B39" w:rsidRDefault="00360573">
      <w:pPr>
        <w:pStyle w:val="TOC2"/>
        <w:rPr>
          <w:rFonts w:cstheme="minorBidi"/>
          <w:noProof/>
          <w:color w:val="auto"/>
          <w:sz w:val="22"/>
          <w:szCs w:val="22"/>
        </w:rPr>
      </w:pPr>
      <w:hyperlink w:anchor="_Toc55053314" w:history="1">
        <w:r w:rsidR="00F53B39" w:rsidRPr="007B0C2C">
          <w:rPr>
            <w:rStyle w:val="Hyperlink"/>
            <w:noProof/>
          </w:rPr>
          <w:t>Gendered driver: Men’s control of decision</w:t>
        </w:r>
        <w:r w:rsidR="00F53B39" w:rsidRPr="007B0C2C">
          <w:rPr>
            <w:rStyle w:val="Hyperlink"/>
            <w:rFonts w:ascii="Cambria Math" w:hAnsi="Cambria Math" w:cs="Cambria Math"/>
            <w:noProof/>
          </w:rPr>
          <w:t>‑</w:t>
        </w:r>
        <w:r w:rsidR="00F53B39" w:rsidRPr="007B0C2C">
          <w:rPr>
            <w:rStyle w:val="Hyperlink"/>
            <w:noProof/>
          </w:rPr>
          <w:t xml:space="preserve">making and limits to women’s </w:t>
        </w:r>
        <w:r w:rsidR="00F53B39">
          <w:rPr>
            <w:rStyle w:val="Hyperlink"/>
            <w:noProof/>
          </w:rPr>
          <w:br/>
        </w:r>
        <w:r w:rsidR="00F53B39" w:rsidRPr="007B0C2C">
          <w:rPr>
            <w:rStyle w:val="Hyperlink"/>
            <w:noProof/>
          </w:rPr>
          <w:t>independence in public life and relationships</w:t>
        </w:r>
        <w:r w:rsidR="00F53B39">
          <w:rPr>
            <w:noProof/>
            <w:webHidden/>
          </w:rPr>
          <w:tab/>
        </w:r>
        <w:r w:rsidR="00F53B39">
          <w:rPr>
            <w:noProof/>
            <w:webHidden/>
          </w:rPr>
          <w:fldChar w:fldCharType="begin"/>
        </w:r>
        <w:r w:rsidR="00F53B39">
          <w:rPr>
            <w:noProof/>
            <w:webHidden/>
          </w:rPr>
          <w:instrText xml:space="preserve"> PAGEREF _Toc55053314 \h </w:instrText>
        </w:r>
        <w:r w:rsidR="00F53B39">
          <w:rPr>
            <w:noProof/>
            <w:webHidden/>
          </w:rPr>
        </w:r>
        <w:r w:rsidR="00F53B39">
          <w:rPr>
            <w:noProof/>
            <w:webHidden/>
          </w:rPr>
          <w:fldChar w:fldCharType="separate"/>
        </w:r>
        <w:r w:rsidR="00F53B39">
          <w:rPr>
            <w:noProof/>
            <w:webHidden/>
          </w:rPr>
          <w:t>134</w:t>
        </w:r>
        <w:r w:rsidR="00F53B39">
          <w:rPr>
            <w:noProof/>
            <w:webHidden/>
          </w:rPr>
          <w:fldChar w:fldCharType="end"/>
        </w:r>
      </w:hyperlink>
    </w:p>
    <w:p w14:paraId="667473E4" w14:textId="2121683A" w:rsidR="00F53B39" w:rsidRDefault="00360573">
      <w:pPr>
        <w:pStyle w:val="TOC2"/>
        <w:rPr>
          <w:rFonts w:cstheme="minorBidi"/>
          <w:noProof/>
          <w:color w:val="auto"/>
          <w:sz w:val="22"/>
          <w:szCs w:val="22"/>
        </w:rPr>
      </w:pPr>
      <w:hyperlink w:anchor="_Toc55053315" w:history="1">
        <w:r w:rsidR="00F53B39" w:rsidRPr="007B0C2C">
          <w:rPr>
            <w:rStyle w:val="Hyperlink"/>
            <w:noProof/>
          </w:rPr>
          <w:t>Gendered driver: Men’s control of decision</w:t>
        </w:r>
        <w:r w:rsidR="00F53B39" w:rsidRPr="007B0C2C">
          <w:rPr>
            <w:rStyle w:val="Hyperlink"/>
            <w:rFonts w:ascii="Cambria Math" w:hAnsi="Cambria Math" w:cs="Cambria Math"/>
            <w:noProof/>
          </w:rPr>
          <w:t>‑</w:t>
        </w:r>
        <w:r w:rsidR="00F53B39" w:rsidRPr="007B0C2C">
          <w:rPr>
            <w:rStyle w:val="Hyperlink"/>
            <w:noProof/>
          </w:rPr>
          <w:t>making and limits to women’s independence in public life and relationships</w:t>
        </w:r>
        <w:r w:rsidR="00F53B39">
          <w:rPr>
            <w:noProof/>
            <w:webHidden/>
          </w:rPr>
          <w:tab/>
        </w:r>
        <w:r w:rsidR="00F53B39">
          <w:rPr>
            <w:noProof/>
            <w:webHidden/>
          </w:rPr>
          <w:fldChar w:fldCharType="begin"/>
        </w:r>
        <w:r w:rsidR="00F53B39">
          <w:rPr>
            <w:noProof/>
            <w:webHidden/>
          </w:rPr>
          <w:instrText xml:space="preserve"> PAGEREF _Toc55053315 \h </w:instrText>
        </w:r>
        <w:r w:rsidR="00F53B39">
          <w:rPr>
            <w:noProof/>
            <w:webHidden/>
          </w:rPr>
        </w:r>
        <w:r w:rsidR="00F53B39">
          <w:rPr>
            <w:noProof/>
            <w:webHidden/>
          </w:rPr>
          <w:fldChar w:fldCharType="separate"/>
        </w:r>
        <w:r w:rsidR="00F53B39">
          <w:rPr>
            <w:noProof/>
            <w:webHidden/>
          </w:rPr>
          <w:t>175</w:t>
        </w:r>
        <w:r w:rsidR="00F53B39">
          <w:rPr>
            <w:noProof/>
            <w:webHidden/>
          </w:rPr>
          <w:fldChar w:fldCharType="end"/>
        </w:r>
      </w:hyperlink>
    </w:p>
    <w:p w14:paraId="1C8EE094" w14:textId="5FA53EE1" w:rsidR="00F53B39" w:rsidRDefault="00360573">
      <w:pPr>
        <w:pStyle w:val="TOC2"/>
        <w:rPr>
          <w:rFonts w:cstheme="minorBidi"/>
          <w:noProof/>
          <w:color w:val="auto"/>
          <w:sz w:val="22"/>
          <w:szCs w:val="22"/>
        </w:rPr>
      </w:pPr>
      <w:hyperlink w:anchor="_Toc55053316" w:history="1">
        <w:r w:rsidR="00F53B39" w:rsidRPr="007B0C2C">
          <w:rPr>
            <w:rStyle w:val="Hyperlink"/>
            <w:noProof/>
          </w:rPr>
          <w:t>Gendered driver: Male peer relations that emphasise aggression and disrespect towards women</w:t>
        </w:r>
        <w:r w:rsidR="00F53B39">
          <w:rPr>
            <w:noProof/>
            <w:webHidden/>
          </w:rPr>
          <w:tab/>
        </w:r>
        <w:r w:rsidR="00F53B39">
          <w:rPr>
            <w:noProof/>
            <w:webHidden/>
          </w:rPr>
          <w:fldChar w:fldCharType="begin"/>
        </w:r>
        <w:r w:rsidR="00F53B39">
          <w:rPr>
            <w:noProof/>
            <w:webHidden/>
          </w:rPr>
          <w:instrText xml:space="preserve"> PAGEREF _Toc55053316 \h </w:instrText>
        </w:r>
        <w:r w:rsidR="00F53B39">
          <w:rPr>
            <w:noProof/>
            <w:webHidden/>
          </w:rPr>
        </w:r>
        <w:r w:rsidR="00F53B39">
          <w:rPr>
            <w:noProof/>
            <w:webHidden/>
          </w:rPr>
          <w:fldChar w:fldCharType="separate"/>
        </w:r>
        <w:r w:rsidR="00F53B39">
          <w:rPr>
            <w:noProof/>
            <w:webHidden/>
          </w:rPr>
          <w:t>191</w:t>
        </w:r>
        <w:r w:rsidR="00F53B39">
          <w:rPr>
            <w:noProof/>
            <w:webHidden/>
          </w:rPr>
          <w:fldChar w:fldCharType="end"/>
        </w:r>
      </w:hyperlink>
    </w:p>
    <w:p w14:paraId="304A43B7" w14:textId="0421640F" w:rsidR="00F53B39" w:rsidRDefault="00360573">
      <w:pPr>
        <w:pStyle w:val="TOC2"/>
        <w:rPr>
          <w:rFonts w:cstheme="minorBidi"/>
          <w:noProof/>
          <w:color w:val="auto"/>
          <w:sz w:val="22"/>
          <w:szCs w:val="22"/>
        </w:rPr>
      </w:pPr>
      <w:hyperlink w:anchor="_Toc55053317" w:history="1">
        <w:r w:rsidR="00F53B39" w:rsidRPr="007B0C2C">
          <w:rPr>
            <w:rStyle w:val="Hyperlink"/>
            <w:noProof/>
          </w:rPr>
          <w:t>Intersecting drivers of violence (other forms of oppression and discrimination)</w:t>
        </w:r>
        <w:r w:rsidR="00F53B39">
          <w:rPr>
            <w:noProof/>
            <w:webHidden/>
          </w:rPr>
          <w:tab/>
        </w:r>
        <w:r w:rsidR="00F53B39">
          <w:rPr>
            <w:noProof/>
            <w:webHidden/>
          </w:rPr>
          <w:fldChar w:fldCharType="begin"/>
        </w:r>
        <w:r w:rsidR="00F53B39">
          <w:rPr>
            <w:noProof/>
            <w:webHidden/>
          </w:rPr>
          <w:instrText xml:space="preserve"> PAGEREF _Toc55053317 \h </w:instrText>
        </w:r>
        <w:r w:rsidR="00F53B39">
          <w:rPr>
            <w:noProof/>
            <w:webHidden/>
          </w:rPr>
        </w:r>
        <w:r w:rsidR="00F53B39">
          <w:rPr>
            <w:noProof/>
            <w:webHidden/>
          </w:rPr>
          <w:fldChar w:fldCharType="separate"/>
        </w:r>
        <w:r w:rsidR="00F53B39">
          <w:rPr>
            <w:noProof/>
            <w:webHidden/>
          </w:rPr>
          <w:t>196</w:t>
        </w:r>
        <w:r w:rsidR="00F53B39">
          <w:rPr>
            <w:noProof/>
            <w:webHidden/>
          </w:rPr>
          <w:fldChar w:fldCharType="end"/>
        </w:r>
      </w:hyperlink>
    </w:p>
    <w:p w14:paraId="2C1494EE" w14:textId="4147CB02" w:rsidR="00F53B39" w:rsidRDefault="00360573">
      <w:pPr>
        <w:pStyle w:val="TOC2"/>
        <w:rPr>
          <w:rFonts w:cstheme="minorBidi"/>
          <w:noProof/>
          <w:color w:val="auto"/>
          <w:sz w:val="22"/>
          <w:szCs w:val="22"/>
        </w:rPr>
      </w:pPr>
      <w:hyperlink w:anchor="_Toc55053318" w:history="1">
        <w:r w:rsidR="00F53B39" w:rsidRPr="007B0C2C">
          <w:rPr>
            <w:rStyle w:val="Hyperlink"/>
            <w:noProof/>
          </w:rPr>
          <w:t>Reinforcing factor: Condoning of violence in general</w:t>
        </w:r>
        <w:r w:rsidR="00F53B39">
          <w:rPr>
            <w:noProof/>
            <w:webHidden/>
          </w:rPr>
          <w:tab/>
        </w:r>
        <w:r w:rsidR="00F53B39">
          <w:rPr>
            <w:noProof/>
            <w:webHidden/>
          </w:rPr>
          <w:fldChar w:fldCharType="begin"/>
        </w:r>
        <w:r w:rsidR="00F53B39">
          <w:rPr>
            <w:noProof/>
            <w:webHidden/>
          </w:rPr>
          <w:instrText xml:space="preserve"> PAGEREF _Toc55053318 \h </w:instrText>
        </w:r>
        <w:r w:rsidR="00F53B39">
          <w:rPr>
            <w:noProof/>
            <w:webHidden/>
          </w:rPr>
        </w:r>
        <w:r w:rsidR="00F53B39">
          <w:rPr>
            <w:noProof/>
            <w:webHidden/>
          </w:rPr>
          <w:fldChar w:fldCharType="separate"/>
        </w:r>
        <w:r w:rsidR="00F53B39">
          <w:rPr>
            <w:noProof/>
            <w:webHidden/>
          </w:rPr>
          <w:t>221</w:t>
        </w:r>
        <w:r w:rsidR="00F53B39">
          <w:rPr>
            <w:noProof/>
            <w:webHidden/>
          </w:rPr>
          <w:fldChar w:fldCharType="end"/>
        </w:r>
      </w:hyperlink>
    </w:p>
    <w:p w14:paraId="2CA232F2" w14:textId="33D33196" w:rsidR="00F53B39" w:rsidRDefault="00360573">
      <w:pPr>
        <w:pStyle w:val="TOC2"/>
        <w:rPr>
          <w:rFonts w:cstheme="minorBidi"/>
          <w:noProof/>
          <w:color w:val="auto"/>
          <w:sz w:val="22"/>
          <w:szCs w:val="22"/>
        </w:rPr>
      </w:pPr>
      <w:hyperlink w:anchor="_Toc55053319" w:history="1">
        <w:r w:rsidR="00F53B39" w:rsidRPr="007B0C2C">
          <w:rPr>
            <w:rStyle w:val="Hyperlink"/>
            <w:noProof/>
          </w:rPr>
          <w:t>Reinforcing factor: Experience of, and exposure to, violence</w:t>
        </w:r>
        <w:r w:rsidR="00F53B39">
          <w:rPr>
            <w:noProof/>
            <w:webHidden/>
          </w:rPr>
          <w:tab/>
        </w:r>
        <w:r w:rsidR="00F53B39">
          <w:rPr>
            <w:noProof/>
            <w:webHidden/>
          </w:rPr>
          <w:fldChar w:fldCharType="begin"/>
        </w:r>
        <w:r w:rsidR="00F53B39">
          <w:rPr>
            <w:noProof/>
            <w:webHidden/>
          </w:rPr>
          <w:instrText xml:space="preserve"> PAGEREF _Toc55053319 \h </w:instrText>
        </w:r>
        <w:r w:rsidR="00F53B39">
          <w:rPr>
            <w:noProof/>
            <w:webHidden/>
          </w:rPr>
        </w:r>
        <w:r w:rsidR="00F53B39">
          <w:rPr>
            <w:noProof/>
            <w:webHidden/>
          </w:rPr>
          <w:fldChar w:fldCharType="separate"/>
        </w:r>
        <w:r w:rsidR="00F53B39">
          <w:rPr>
            <w:noProof/>
            <w:webHidden/>
          </w:rPr>
          <w:t>225</w:t>
        </w:r>
        <w:r w:rsidR="00F53B39">
          <w:rPr>
            <w:noProof/>
            <w:webHidden/>
          </w:rPr>
          <w:fldChar w:fldCharType="end"/>
        </w:r>
      </w:hyperlink>
    </w:p>
    <w:p w14:paraId="65894880" w14:textId="50AEA100" w:rsidR="00F53B39" w:rsidRDefault="00360573">
      <w:pPr>
        <w:pStyle w:val="TOC2"/>
        <w:rPr>
          <w:rFonts w:cstheme="minorBidi"/>
          <w:noProof/>
          <w:color w:val="auto"/>
          <w:sz w:val="22"/>
          <w:szCs w:val="22"/>
        </w:rPr>
      </w:pPr>
      <w:hyperlink w:anchor="_Toc55053320" w:history="1">
        <w:r w:rsidR="00F53B39" w:rsidRPr="007B0C2C">
          <w:rPr>
            <w:rStyle w:val="Hyperlink"/>
            <w:noProof/>
          </w:rPr>
          <w:t xml:space="preserve">Reinforcing factor: Weakening of pro-social behaviour, especially harmful </w:t>
        </w:r>
        <w:r w:rsidR="00F53B39">
          <w:rPr>
            <w:rStyle w:val="Hyperlink"/>
            <w:noProof/>
          </w:rPr>
          <w:br/>
        </w:r>
        <w:r w:rsidR="00F53B39" w:rsidRPr="007B0C2C">
          <w:rPr>
            <w:rStyle w:val="Hyperlink"/>
            <w:noProof/>
          </w:rPr>
          <w:t>use of alcohol</w:t>
        </w:r>
        <w:r w:rsidR="00F53B39">
          <w:rPr>
            <w:noProof/>
            <w:webHidden/>
          </w:rPr>
          <w:tab/>
        </w:r>
        <w:r w:rsidR="00F53B39">
          <w:rPr>
            <w:noProof/>
            <w:webHidden/>
          </w:rPr>
          <w:fldChar w:fldCharType="begin"/>
        </w:r>
        <w:r w:rsidR="00F53B39">
          <w:rPr>
            <w:noProof/>
            <w:webHidden/>
          </w:rPr>
          <w:instrText xml:space="preserve"> PAGEREF _Toc55053320 \h </w:instrText>
        </w:r>
        <w:r w:rsidR="00F53B39">
          <w:rPr>
            <w:noProof/>
            <w:webHidden/>
          </w:rPr>
        </w:r>
        <w:r w:rsidR="00F53B39">
          <w:rPr>
            <w:noProof/>
            <w:webHidden/>
          </w:rPr>
          <w:fldChar w:fldCharType="separate"/>
        </w:r>
        <w:r w:rsidR="00F53B39">
          <w:rPr>
            <w:noProof/>
            <w:webHidden/>
          </w:rPr>
          <w:t>233</w:t>
        </w:r>
        <w:r w:rsidR="00F53B39">
          <w:rPr>
            <w:noProof/>
            <w:webHidden/>
          </w:rPr>
          <w:fldChar w:fldCharType="end"/>
        </w:r>
      </w:hyperlink>
    </w:p>
    <w:p w14:paraId="5EAF477E" w14:textId="5624189D" w:rsidR="00F53B39" w:rsidRDefault="00360573">
      <w:pPr>
        <w:pStyle w:val="TOC2"/>
        <w:rPr>
          <w:rFonts w:cstheme="minorBidi"/>
          <w:noProof/>
          <w:color w:val="auto"/>
          <w:sz w:val="22"/>
          <w:szCs w:val="22"/>
        </w:rPr>
      </w:pPr>
      <w:hyperlink w:anchor="_Toc55053321" w:history="1">
        <w:r w:rsidR="00F53B39" w:rsidRPr="007B0C2C">
          <w:rPr>
            <w:rStyle w:val="Hyperlink"/>
            <w:noProof/>
          </w:rPr>
          <w:t xml:space="preserve">Reinforcing factor: Backlash factors (when male dominance, power or status </w:t>
        </w:r>
        <w:r w:rsidR="00F53B39">
          <w:rPr>
            <w:rStyle w:val="Hyperlink"/>
            <w:noProof/>
          </w:rPr>
          <w:br/>
        </w:r>
        <w:r w:rsidR="00F53B39" w:rsidRPr="007B0C2C">
          <w:rPr>
            <w:rStyle w:val="Hyperlink"/>
            <w:noProof/>
          </w:rPr>
          <w:t>is challenged)</w:t>
        </w:r>
        <w:r w:rsidR="00F53B39">
          <w:rPr>
            <w:noProof/>
            <w:webHidden/>
          </w:rPr>
          <w:tab/>
        </w:r>
        <w:r w:rsidR="00F53B39">
          <w:rPr>
            <w:noProof/>
            <w:webHidden/>
          </w:rPr>
          <w:fldChar w:fldCharType="begin"/>
        </w:r>
        <w:r w:rsidR="00F53B39">
          <w:rPr>
            <w:noProof/>
            <w:webHidden/>
          </w:rPr>
          <w:instrText xml:space="preserve"> PAGEREF _Toc55053321 \h </w:instrText>
        </w:r>
        <w:r w:rsidR="00F53B39">
          <w:rPr>
            <w:noProof/>
            <w:webHidden/>
          </w:rPr>
        </w:r>
        <w:r w:rsidR="00F53B39">
          <w:rPr>
            <w:noProof/>
            <w:webHidden/>
          </w:rPr>
          <w:fldChar w:fldCharType="separate"/>
        </w:r>
        <w:r w:rsidR="00F53B39">
          <w:rPr>
            <w:noProof/>
            <w:webHidden/>
          </w:rPr>
          <w:t>238</w:t>
        </w:r>
        <w:r w:rsidR="00F53B39">
          <w:rPr>
            <w:noProof/>
            <w:webHidden/>
          </w:rPr>
          <w:fldChar w:fldCharType="end"/>
        </w:r>
      </w:hyperlink>
    </w:p>
    <w:p w14:paraId="05568352" w14:textId="6BA232FB" w:rsidR="00F53B39" w:rsidRDefault="00360573">
      <w:pPr>
        <w:pStyle w:val="TOC1"/>
        <w:rPr>
          <w:rFonts w:asciiTheme="minorHAnsi" w:hAnsiTheme="minorHAnsi" w:cstheme="minorBidi"/>
          <w:b w:val="0"/>
          <w:bCs w:val="0"/>
          <w:noProof/>
          <w:color w:val="auto"/>
          <w:sz w:val="22"/>
          <w:szCs w:val="22"/>
          <w:lang w:val="en-AU"/>
        </w:rPr>
      </w:pPr>
      <w:hyperlink w:anchor="_Toc55053322" w:history="1">
        <w:r w:rsidR="00F53B39" w:rsidRPr="007B0C2C">
          <w:rPr>
            <w:rStyle w:val="Hyperlink"/>
            <w:noProof/>
          </w:rPr>
          <w:t>Section 2 Part B: Long-term change: Prevalence of violence against women</w:t>
        </w:r>
        <w:r w:rsidR="00F53B39">
          <w:rPr>
            <w:noProof/>
            <w:webHidden/>
          </w:rPr>
          <w:tab/>
        </w:r>
        <w:r w:rsidR="00F53B39">
          <w:rPr>
            <w:noProof/>
            <w:webHidden/>
          </w:rPr>
          <w:fldChar w:fldCharType="begin"/>
        </w:r>
        <w:r w:rsidR="00F53B39">
          <w:rPr>
            <w:noProof/>
            <w:webHidden/>
          </w:rPr>
          <w:instrText xml:space="preserve"> PAGEREF _Toc55053322 \h </w:instrText>
        </w:r>
        <w:r w:rsidR="00F53B39">
          <w:rPr>
            <w:noProof/>
            <w:webHidden/>
          </w:rPr>
        </w:r>
        <w:r w:rsidR="00F53B39">
          <w:rPr>
            <w:noProof/>
            <w:webHidden/>
          </w:rPr>
          <w:fldChar w:fldCharType="separate"/>
        </w:r>
        <w:r w:rsidR="00F53B39">
          <w:rPr>
            <w:noProof/>
            <w:webHidden/>
          </w:rPr>
          <w:t>242</w:t>
        </w:r>
        <w:r w:rsidR="00F53B39">
          <w:rPr>
            <w:noProof/>
            <w:webHidden/>
          </w:rPr>
          <w:fldChar w:fldCharType="end"/>
        </w:r>
      </w:hyperlink>
    </w:p>
    <w:p w14:paraId="62F88C65" w14:textId="2BB27792" w:rsidR="00F53B39" w:rsidRDefault="00360573">
      <w:pPr>
        <w:pStyle w:val="TOC2"/>
        <w:rPr>
          <w:rFonts w:cstheme="minorBidi"/>
          <w:noProof/>
          <w:color w:val="auto"/>
          <w:sz w:val="22"/>
          <w:szCs w:val="22"/>
        </w:rPr>
      </w:pPr>
      <w:hyperlink w:anchor="_Toc55053323" w:history="1">
        <w:r w:rsidR="00F53B39" w:rsidRPr="007B0C2C">
          <w:rPr>
            <w:rStyle w:val="Hyperlink"/>
            <w:noProof/>
          </w:rPr>
          <w:t xml:space="preserve">A focus on short-term prevalence data, with lifetime prevalence as a baseline </w:t>
        </w:r>
        <w:r w:rsidR="00F53B39">
          <w:rPr>
            <w:rStyle w:val="Hyperlink"/>
            <w:noProof/>
          </w:rPr>
          <w:br/>
        </w:r>
        <w:r w:rsidR="00F53B39" w:rsidRPr="007B0C2C">
          <w:rPr>
            <w:rStyle w:val="Hyperlink"/>
            <w:noProof/>
          </w:rPr>
          <w:t>for longer-term monitoring</w:t>
        </w:r>
        <w:r w:rsidR="00F53B39">
          <w:rPr>
            <w:noProof/>
            <w:webHidden/>
          </w:rPr>
          <w:tab/>
        </w:r>
        <w:r w:rsidR="00F53B39">
          <w:rPr>
            <w:noProof/>
            <w:webHidden/>
          </w:rPr>
          <w:fldChar w:fldCharType="begin"/>
        </w:r>
        <w:r w:rsidR="00F53B39">
          <w:rPr>
            <w:noProof/>
            <w:webHidden/>
          </w:rPr>
          <w:instrText xml:space="preserve"> PAGEREF _Toc55053323 \h </w:instrText>
        </w:r>
        <w:r w:rsidR="00F53B39">
          <w:rPr>
            <w:noProof/>
            <w:webHidden/>
          </w:rPr>
        </w:r>
        <w:r w:rsidR="00F53B39">
          <w:rPr>
            <w:noProof/>
            <w:webHidden/>
          </w:rPr>
          <w:fldChar w:fldCharType="separate"/>
        </w:r>
        <w:r w:rsidR="00F53B39">
          <w:rPr>
            <w:noProof/>
            <w:webHidden/>
          </w:rPr>
          <w:t>242</w:t>
        </w:r>
        <w:r w:rsidR="00F53B39">
          <w:rPr>
            <w:noProof/>
            <w:webHidden/>
          </w:rPr>
          <w:fldChar w:fldCharType="end"/>
        </w:r>
      </w:hyperlink>
    </w:p>
    <w:p w14:paraId="742EF3F4" w14:textId="67DC54E5" w:rsidR="00F53B39" w:rsidRDefault="00360573">
      <w:pPr>
        <w:pStyle w:val="TOC2"/>
        <w:rPr>
          <w:rFonts w:cstheme="minorBidi"/>
          <w:noProof/>
          <w:color w:val="auto"/>
          <w:sz w:val="22"/>
          <w:szCs w:val="22"/>
        </w:rPr>
      </w:pPr>
      <w:hyperlink w:anchor="_Toc55053324" w:history="1">
        <w:r w:rsidR="00F53B39" w:rsidRPr="007B0C2C">
          <w:rPr>
            <w:rStyle w:val="Hyperlink"/>
            <w:noProof/>
          </w:rPr>
          <w:t>Twelve-month prevalence</w:t>
        </w:r>
        <w:r w:rsidR="00F53B39">
          <w:rPr>
            <w:noProof/>
            <w:webHidden/>
          </w:rPr>
          <w:tab/>
        </w:r>
        <w:r w:rsidR="00F53B39">
          <w:rPr>
            <w:noProof/>
            <w:webHidden/>
          </w:rPr>
          <w:fldChar w:fldCharType="begin"/>
        </w:r>
        <w:r w:rsidR="00F53B39">
          <w:rPr>
            <w:noProof/>
            <w:webHidden/>
          </w:rPr>
          <w:instrText xml:space="preserve"> PAGEREF _Toc55053324 \h </w:instrText>
        </w:r>
        <w:r w:rsidR="00F53B39">
          <w:rPr>
            <w:noProof/>
            <w:webHidden/>
          </w:rPr>
        </w:r>
        <w:r w:rsidR="00F53B39">
          <w:rPr>
            <w:noProof/>
            <w:webHidden/>
          </w:rPr>
          <w:fldChar w:fldCharType="separate"/>
        </w:r>
        <w:r w:rsidR="00F53B39">
          <w:rPr>
            <w:noProof/>
            <w:webHidden/>
          </w:rPr>
          <w:t>250</w:t>
        </w:r>
        <w:r w:rsidR="00F53B39">
          <w:rPr>
            <w:noProof/>
            <w:webHidden/>
          </w:rPr>
          <w:fldChar w:fldCharType="end"/>
        </w:r>
      </w:hyperlink>
    </w:p>
    <w:p w14:paraId="4851BBBF" w14:textId="41D8882B" w:rsidR="00F53B39" w:rsidRDefault="00360573">
      <w:pPr>
        <w:pStyle w:val="TOC2"/>
        <w:rPr>
          <w:rFonts w:cstheme="minorBidi"/>
          <w:noProof/>
          <w:color w:val="auto"/>
          <w:sz w:val="22"/>
          <w:szCs w:val="22"/>
        </w:rPr>
      </w:pPr>
      <w:hyperlink w:anchor="_Toc55053325" w:history="1">
        <w:r w:rsidR="00F53B39" w:rsidRPr="007B0C2C">
          <w:rPr>
            <w:rStyle w:val="Hyperlink"/>
            <w:noProof/>
          </w:rPr>
          <w:t xml:space="preserve">Lifetime prevalence: Proportions of women subject to various forms of violence </w:t>
        </w:r>
        <w:r w:rsidR="00F53B39">
          <w:rPr>
            <w:rStyle w:val="Hyperlink"/>
            <w:noProof/>
          </w:rPr>
          <w:br/>
        </w:r>
        <w:r w:rsidR="00F53B39" w:rsidRPr="007B0C2C">
          <w:rPr>
            <w:rStyle w:val="Hyperlink"/>
            <w:noProof/>
          </w:rPr>
          <w:t>at least once during their lifetime since age 15</w:t>
        </w:r>
        <w:r w:rsidR="00F53B39">
          <w:rPr>
            <w:noProof/>
            <w:webHidden/>
          </w:rPr>
          <w:tab/>
        </w:r>
        <w:r w:rsidR="00F53B39">
          <w:rPr>
            <w:noProof/>
            <w:webHidden/>
          </w:rPr>
          <w:fldChar w:fldCharType="begin"/>
        </w:r>
        <w:r w:rsidR="00F53B39">
          <w:rPr>
            <w:noProof/>
            <w:webHidden/>
          </w:rPr>
          <w:instrText xml:space="preserve"> PAGEREF _Toc55053325 \h </w:instrText>
        </w:r>
        <w:r w:rsidR="00F53B39">
          <w:rPr>
            <w:noProof/>
            <w:webHidden/>
          </w:rPr>
        </w:r>
        <w:r w:rsidR="00F53B39">
          <w:rPr>
            <w:noProof/>
            <w:webHidden/>
          </w:rPr>
          <w:fldChar w:fldCharType="separate"/>
        </w:r>
        <w:r w:rsidR="00F53B39">
          <w:rPr>
            <w:noProof/>
            <w:webHidden/>
          </w:rPr>
          <w:t>277</w:t>
        </w:r>
        <w:r w:rsidR="00F53B39">
          <w:rPr>
            <w:noProof/>
            <w:webHidden/>
          </w:rPr>
          <w:fldChar w:fldCharType="end"/>
        </w:r>
      </w:hyperlink>
    </w:p>
    <w:p w14:paraId="029C5BA4" w14:textId="4C02BCF3" w:rsidR="00F53B39" w:rsidRDefault="00360573">
      <w:pPr>
        <w:pStyle w:val="TOC1"/>
        <w:rPr>
          <w:rFonts w:asciiTheme="minorHAnsi" w:hAnsiTheme="minorHAnsi" w:cstheme="minorBidi"/>
          <w:b w:val="0"/>
          <w:bCs w:val="0"/>
          <w:noProof/>
          <w:color w:val="auto"/>
          <w:sz w:val="22"/>
          <w:szCs w:val="22"/>
          <w:lang w:val="en-AU"/>
        </w:rPr>
      </w:pPr>
      <w:hyperlink w:anchor="_Toc55053326" w:history="1">
        <w:r w:rsidR="00F53B39" w:rsidRPr="007B0C2C">
          <w:rPr>
            <w:rStyle w:val="Hyperlink"/>
            <w:noProof/>
          </w:rPr>
          <w:t>Conclusion and ways forward</w:t>
        </w:r>
        <w:r w:rsidR="00F53B39">
          <w:rPr>
            <w:noProof/>
            <w:webHidden/>
          </w:rPr>
          <w:tab/>
        </w:r>
        <w:r w:rsidR="00F53B39">
          <w:rPr>
            <w:noProof/>
            <w:webHidden/>
          </w:rPr>
          <w:fldChar w:fldCharType="begin"/>
        </w:r>
        <w:r w:rsidR="00F53B39">
          <w:rPr>
            <w:noProof/>
            <w:webHidden/>
          </w:rPr>
          <w:instrText xml:space="preserve"> PAGEREF _Toc55053326 \h </w:instrText>
        </w:r>
        <w:r w:rsidR="00F53B39">
          <w:rPr>
            <w:noProof/>
            <w:webHidden/>
          </w:rPr>
        </w:r>
        <w:r w:rsidR="00F53B39">
          <w:rPr>
            <w:noProof/>
            <w:webHidden/>
          </w:rPr>
          <w:fldChar w:fldCharType="separate"/>
        </w:r>
        <w:r w:rsidR="00F53B39">
          <w:rPr>
            <w:noProof/>
            <w:webHidden/>
          </w:rPr>
          <w:t>288</w:t>
        </w:r>
        <w:r w:rsidR="00F53B39">
          <w:rPr>
            <w:noProof/>
            <w:webHidden/>
          </w:rPr>
          <w:fldChar w:fldCharType="end"/>
        </w:r>
      </w:hyperlink>
    </w:p>
    <w:p w14:paraId="43746078" w14:textId="4B5F9B44" w:rsidR="00F53B39" w:rsidRDefault="00360573">
      <w:pPr>
        <w:pStyle w:val="TOC2"/>
        <w:rPr>
          <w:rFonts w:cstheme="minorBidi"/>
          <w:noProof/>
          <w:color w:val="auto"/>
          <w:sz w:val="22"/>
          <w:szCs w:val="22"/>
        </w:rPr>
      </w:pPr>
      <w:hyperlink w:anchor="_Toc55053327" w:history="1">
        <w:r w:rsidR="00F53B39" w:rsidRPr="007B0C2C">
          <w:rPr>
            <w:rStyle w:val="Hyperlink"/>
            <w:noProof/>
          </w:rPr>
          <w:t>Suggested directions forward from this first national prevention monitoring report</w:t>
        </w:r>
        <w:r w:rsidR="00F53B39">
          <w:rPr>
            <w:noProof/>
            <w:webHidden/>
          </w:rPr>
          <w:tab/>
        </w:r>
        <w:r w:rsidR="00F53B39">
          <w:rPr>
            <w:noProof/>
            <w:webHidden/>
          </w:rPr>
          <w:fldChar w:fldCharType="begin"/>
        </w:r>
        <w:r w:rsidR="00F53B39">
          <w:rPr>
            <w:noProof/>
            <w:webHidden/>
          </w:rPr>
          <w:instrText xml:space="preserve"> PAGEREF _Toc55053327 \h </w:instrText>
        </w:r>
        <w:r w:rsidR="00F53B39">
          <w:rPr>
            <w:noProof/>
            <w:webHidden/>
          </w:rPr>
        </w:r>
        <w:r w:rsidR="00F53B39">
          <w:rPr>
            <w:noProof/>
            <w:webHidden/>
          </w:rPr>
          <w:fldChar w:fldCharType="separate"/>
        </w:r>
        <w:r w:rsidR="00F53B39">
          <w:rPr>
            <w:noProof/>
            <w:webHidden/>
          </w:rPr>
          <w:t>288</w:t>
        </w:r>
        <w:r w:rsidR="00F53B39">
          <w:rPr>
            <w:noProof/>
            <w:webHidden/>
          </w:rPr>
          <w:fldChar w:fldCharType="end"/>
        </w:r>
      </w:hyperlink>
    </w:p>
    <w:p w14:paraId="62A5B6C8" w14:textId="3C9E61A7" w:rsidR="00F53B39" w:rsidRDefault="00360573">
      <w:pPr>
        <w:pStyle w:val="TOC2"/>
        <w:rPr>
          <w:rFonts w:cstheme="minorBidi"/>
          <w:noProof/>
          <w:color w:val="auto"/>
          <w:sz w:val="22"/>
          <w:szCs w:val="22"/>
        </w:rPr>
      </w:pPr>
      <w:hyperlink w:anchor="_Toc55053328" w:history="1">
        <w:r w:rsidR="00F53B39" w:rsidRPr="007B0C2C">
          <w:rPr>
            <w:rStyle w:val="Hyperlink"/>
            <w:noProof/>
          </w:rPr>
          <w:t>Considerations for the process of future primary prevention monitoring</w:t>
        </w:r>
        <w:r w:rsidR="00F53B39">
          <w:rPr>
            <w:noProof/>
            <w:webHidden/>
          </w:rPr>
          <w:tab/>
        </w:r>
        <w:r w:rsidR="00F53B39">
          <w:rPr>
            <w:noProof/>
            <w:webHidden/>
          </w:rPr>
          <w:fldChar w:fldCharType="begin"/>
        </w:r>
        <w:r w:rsidR="00F53B39">
          <w:rPr>
            <w:noProof/>
            <w:webHidden/>
          </w:rPr>
          <w:instrText xml:space="preserve"> PAGEREF _Toc55053328 \h </w:instrText>
        </w:r>
        <w:r w:rsidR="00F53B39">
          <w:rPr>
            <w:noProof/>
            <w:webHidden/>
          </w:rPr>
        </w:r>
        <w:r w:rsidR="00F53B39">
          <w:rPr>
            <w:noProof/>
            <w:webHidden/>
          </w:rPr>
          <w:fldChar w:fldCharType="separate"/>
        </w:r>
        <w:r w:rsidR="00F53B39">
          <w:rPr>
            <w:noProof/>
            <w:webHidden/>
          </w:rPr>
          <w:t>289</w:t>
        </w:r>
        <w:r w:rsidR="00F53B39">
          <w:rPr>
            <w:noProof/>
            <w:webHidden/>
          </w:rPr>
          <w:fldChar w:fldCharType="end"/>
        </w:r>
      </w:hyperlink>
    </w:p>
    <w:p w14:paraId="0A6209AD" w14:textId="76154A6A" w:rsidR="00F53B39" w:rsidRDefault="00360573">
      <w:pPr>
        <w:pStyle w:val="TOC1"/>
        <w:rPr>
          <w:rFonts w:asciiTheme="minorHAnsi" w:hAnsiTheme="minorHAnsi" w:cstheme="minorBidi"/>
          <w:b w:val="0"/>
          <w:bCs w:val="0"/>
          <w:noProof/>
          <w:color w:val="auto"/>
          <w:sz w:val="22"/>
          <w:szCs w:val="22"/>
          <w:lang w:val="en-AU"/>
        </w:rPr>
      </w:pPr>
      <w:hyperlink w:anchor="_Toc55053329" w:history="1">
        <w:r w:rsidR="00F53B39" w:rsidRPr="007B0C2C">
          <w:rPr>
            <w:rStyle w:val="Hyperlink"/>
            <w:noProof/>
          </w:rPr>
          <w:t>Appendix A: Methodology and limitations</w:t>
        </w:r>
        <w:r w:rsidR="00F53B39">
          <w:rPr>
            <w:noProof/>
            <w:webHidden/>
          </w:rPr>
          <w:tab/>
        </w:r>
        <w:r w:rsidR="00F53B39">
          <w:rPr>
            <w:noProof/>
            <w:webHidden/>
          </w:rPr>
          <w:fldChar w:fldCharType="begin"/>
        </w:r>
        <w:r w:rsidR="00F53B39">
          <w:rPr>
            <w:noProof/>
            <w:webHidden/>
          </w:rPr>
          <w:instrText xml:space="preserve"> PAGEREF _Toc55053329 \h </w:instrText>
        </w:r>
        <w:r w:rsidR="00F53B39">
          <w:rPr>
            <w:noProof/>
            <w:webHidden/>
          </w:rPr>
        </w:r>
        <w:r w:rsidR="00F53B39">
          <w:rPr>
            <w:noProof/>
            <w:webHidden/>
          </w:rPr>
          <w:fldChar w:fldCharType="separate"/>
        </w:r>
        <w:r w:rsidR="00F53B39">
          <w:rPr>
            <w:noProof/>
            <w:webHidden/>
          </w:rPr>
          <w:t>290</w:t>
        </w:r>
        <w:r w:rsidR="00F53B39">
          <w:rPr>
            <w:noProof/>
            <w:webHidden/>
          </w:rPr>
          <w:fldChar w:fldCharType="end"/>
        </w:r>
      </w:hyperlink>
    </w:p>
    <w:p w14:paraId="6E19DE5A" w14:textId="5E5AE8BE" w:rsidR="00F53B39" w:rsidRDefault="00360573">
      <w:pPr>
        <w:pStyle w:val="TOC2"/>
        <w:rPr>
          <w:rFonts w:cstheme="minorBidi"/>
          <w:noProof/>
          <w:color w:val="auto"/>
          <w:sz w:val="22"/>
          <w:szCs w:val="22"/>
        </w:rPr>
      </w:pPr>
      <w:hyperlink w:anchor="_Toc55053330" w:history="1">
        <w:r w:rsidR="00F53B39" w:rsidRPr="007B0C2C">
          <w:rPr>
            <w:rStyle w:val="Hyperlink"/>
            <w:noProof/>
          </w:rPr>
          <w:t xml:space="preserve">Quality primary prevention infrastructure: the foundations of change – an overview </w:t>
        </w:r>
        <w:r w:rsidR="00F53B39">
          <w:rPr>
            <w:rStyle w:val="Hyperlink"/>
            <w:noProof/>
          </w:rPr>
          <w:br/>
        </w:r>
        <w:r w:rsidR="00F53B39" w:rsidRPr="007B0C2C">
          <w:rPr>
            <w:rStyle w:val="Hyperlink"/>
            <w:noProof/>
          </w:rPr>
          <w:t>of the measures investigated, methodology used and limitations</w:t>
        </w:r>
        <w:r w:rsidR="00F53B39">
          <w:rPr>
            <w:noProof/>
            <w:webHidden/>
          </w:rPr>
          <w:tab/>
        </w:r>
        <w:r w:rsidR="00F53B39">
          <w:rPr>
            <w:noProof/>
            <w:webHidden/>
          </w:rPr>
          <w:fldChar w:fldCharType="begin"/>
        </w:r>
        <w:r w:rsidR="00F53B39">
          <w:rPr>
            <w:noProof/>
            <w:webHidden/>
          </w:rPr>
          <w:instrText xml:space="preserve"> PAGEREF _Toc55053330 \h </w:instrText>
        </w:r>
        <w:r w:rsidR="00F53B39">
          <w:rPr>
            <w:noProof/>
            <w:webHidden/>
          </w:rPr>
        </w:r>
        <w:r w:rsidR="00F53B39">
          <w:rPr>
            <w:noProof/>
            <w:webHidden/>
          </w:rPr>
          <w:fldChar w:fldCharType="separate"/>
        </w:r>
        <w:r w:rsidR="00F53B39">
          <w:rPr>
            <w:noProof/>
            <w:webHidden/>
          </w:rPr>
          <w:t>290</w:t>
        </w:r>
        <w:r w:rsidR="00F53B39">
          <w:rPr>
            <w:noProof/>
            <w:webHidden/>
          </w:rPr>
          <w:fldChar w:fldCharType="end"/>
        </w:r>
      </w:hyperlink>
    </w:p>
    <w:p w14:paraId="71741ED9" w14:textId="041DE6F6" w:rsidR="00F53B39" w:rsidRDefault="00360573">
      <w:pPr>
        <w:pStyle w:val="TOC2"/>
        <w:rPr>
          <w:rFonts w:cstheme="minorBidi"/>
          <w:noProof/>
          <w:color w:val="auto"/>
          <w:sz w:val="22"/>
          <w:szCs w:val="22"/>
        </w:rPr>
      </w:pPr>
      <w:hyperlink w:anchor="_Toc55053331" w:history="1">
        <w:r w:rsidR="00F53B39" w:rsidRPr="007B0C2C">
          <w:rPr>
            <w:rStyle w:val="Hyperlink"/>
            <w:noProof/>
          </w:rPr>
          <w:t xml:space="preserve">Adjustments made compared to the </w:t>
        </w:r>
        <w:r w:rsidR="00F53B39" w:rsidRPr="007B0C2C">
          <w:rPr>
            <w:rStyle w:val="Hyperlink"/>
            <w:i/>
            <w:noProof/>
          </w:rPr>
          <w:t xml:space="preserve">Counting on change </w:t>
        </w:r>
        <w:r w:rsidR="00F53B39" w:rsidRPr="007B0C2C">
          <w:rPr>
            <w:rStyle w:val="Hyperlink"/>
            <w:noProof/>
          </w:rPr>
          <w:t>monitoring guide</w:t>
        </w:r>
        <w:r w:rsidR="00F53B39">
          <w:rPr>
            <w:noProof/>
            <w:webHidden/>
          </w:rPr>
          <w:tab/>
        </w:r>
        <w:r w:rsidR="00F53B39">
          <w:rPr>
            <w:noProof/>
            <w:webHidden/>
          </w:rPr>
          <w:fldChar w:fldCharType="begin"/>
        </w:r>
        <w:r w:rsidR="00F53B39">
          <w:rPr>
            <w:noProof/>
            <w:webHidden/>
          </w:rPr>
          <w:instrText xml:space="preserve"> PAGEREF _Toc55053331 \h </w:instrText>
        </w:r>
        <w:r w:rsidR="00F53B39">
          <w:rPr>
            <w:noProof/>
            <w:webHidden/>
          </w:rPr>
        </w:r>
        <w:r w:rsidR="00F53B39">
          <w:rPr>
            <w:noProof/>
            <w:webHidden/>
          </w:rPr>
          <w:fldChar w:fldCharType="separate"/>
        </w:r>
        <w:r w:rsidR="00F53B39">
          <w:rPr>
            <w:noProof/>
            <w:webHidden/>
          </w:rPr>
          <w:t>297</w:t>
        </w:r>
        <w:r w:rsidR="00F53B39">
          <w:rPr>
            <w:noProof/>
            <w:webHidden/>
          </w:rPr>
          <w:fldChar w:fldCharType="end"/>
        </w:r>
      </w:hyperlink>
    </w:p>
    <w:p w14:paraId="0ED06A4A" w14:textId="2632EB83" w:rsidR="00F53B39" w:rsidRDefault="00360573">
      <w:pPr>
        <w:pStyle w:val="TOC1"/>
        <w:rPr>
          <w:rFonts w:asciiTheme="minorHAnsi" w:hAnsiTheme="minorHAnsi" w:cstheme="minorBidi"/>
          <w:b w:val="0"/>
          <w:bCs w:val="0"/>
          <w:noProof/>
          <w:color w:val="auto"/>
          <w:sz w:val="22"/>
          <w:szCs w:val="22"/>
          <w:lang w:val="en-AU"/>
        </w:rPr>
      </w:pPr>
      <w:hyperlink w:anchor="_Toc55053332" w:history="1">
        <w:r w:rsidR="00F53B39" w:rsidRPr="007B0C2C">
          <w:rPr>
            <w:rStyle w:val="Hyperlink"/>
            <w:noProof/>
          </w:rPr>
          <w:t xml:space="preserve">Appendix B: A selection of family violence related courses at </w:t>
        </w:r>
        <w:r w:rsidR="00F53B39">
          <w:rPr>
            <w:rStyle w:val="Hyperlink"/>
            <w:noProof/>
          </w:rPr>
          <w:br/>
        </w:r>
        <w:r w:rsidR="00F53B39" w:rsidRPr="007B0C2C">
          <w:rPr>
            <w:rStyle w:val="Hyperlink"/>
            <w:noProof/>
          </w:rPr>
          <w:t>Australian universities</w:t>
        </w:r>
        <w:r w:rsidR="00F53B39">
          <w:rPr>
            <w:noProof/>
            <w:webHidden/>
          </w:rPr>
          <w:tab/>
        </w:r>
        <w:r w:rsidR="00F53B39">
          <w:rPr>
            <w:noProof/>
            <w:webHidden/>
          </w:rPr>
          <w:fldChar w:fldCharType="begin"/>
        </w:r>
        <w:r w:rsidR="00F53B39">
          <w:rPr>
            <w:noProof/>
            <w:webHidden/>
          </w:rPr>
          <w:instrText xml:space="preserve"> PAGEREF _Toc55053332 \h </w:instrText>
        </w:r>
        <w:r w:rsidR="00F53B39">
          <w:rPr>
            <w:noProof/>
            <w:webHidden/>
          </w:rPr>
        </w:r>
        <w:r w:rsidR="00F53B39">
          <w:rPr>
            <w:noProof/>
            <w:webHidden/>
          </w:rPr>
          <w:fldChar w:fldCharType="separate"/>
        </w:r>
        <w:r w:rsidR="00F53B39">
          <w:rPr>
            <w:noProof/>
            <w:webHidden/>
          </w:rPr>
          <w:t>302</w:t>
        </w:r>
        <w:r w:rsidR="00F53B39">
          <w:rPr>
            <w:noProof/>
            <w:webHidden/>
          </w:rPr>
          <w:fldChar w:fldCharType="end"/>
        </w:r>
      </w:hyperlink>
    </w:p>
    <w:p w14:paraId="6C8A4B4F" w14:textId="64A35B46" w:rsidR="00F53B39" w:rsidRDefault="00360573">
      <w:pPr>
        <w:pStyle w:val="TOC1"/>
        <w:rPr>
          <w:rFonts w:asciiTheme="minorHAnsi" w:hAnsiTheme="minorHAnsi" w:cstheme="minorBidi"/>
          <w:b w:val="0"/>
          <w:bCs w:val="0"/>
          <w:noProof/>
          <w:color w:val="auto"/>
          <w:sz w:val="22"/>
          <w:szCs w:val="22"/>
          <w:lang w:val="en-AU"/>
        </w:rPr>
      </w:pPr>
      <w:hyperlink w:anchor="_Toc55053333" w:history="1">
        <w:r w:rsidR="00F53B39" w:rsidRPr="007B0C2C">
          <w:rPr>
            <w:rStyle w:val="Hyperlink"/>
            <w:noProof/>
          </w:rPr>
          <w:t>Appendix C: Time-limited advisory groups linked to the National Plan</w:t>
        </w:r>
        <w:r w:rsidR="00F53B39">
          <w:rPr>
            <w:noProof/>
            <w:webHidden/>
          </w:rPr>
          <w:tab/>
        </w:r>
        <w:r w:rsidR="00F53B39">
          <w:rPr>
            <w:noProof/>
            <w:webHidden/>
          </w:rPr>
          <w:fldChar w:fldCharType="begin"/>
        </w:r>
        <w:r w:rsidR="00F53B39">
          <w:rPr>
            <w:noProof/>
            <w:webHidden/>
          </w:rPr>
          <w:instrText xml:space="preserve"> PAGEREF _Toc55053333 \h </w:instrText>
        </w:r>
        <w:r w:rsidR="00F53B39">
          <w:rPr>
            <w:noProof/>
            <w:webHidden/>
          </w:rPr>
        </w:r>
        <w:r w:rsidR="00F53B39">
          <w:rPr>
            <w:noProof/>
            <w:webHidden/>
          </w:rPr>
          <w:fldChar w:fldCharType="separate"/>
        </w:r>
        <w:r w:rsidR="00F53B39">
          <w:rPr>
            <w:noProof/>
            <w:webHidden/>
          </w:rPr>
          <w:t>304</w:t>
        </w:r>
        <w:r w:rsidR="00F53B39">
          <w:rPr>
            <w:noProof/>
            <w:webHidden/>
          </w:rPr>
          <w:fldChar w:fldCharType="end"/>
        </w:r>
      </w:hyperlink>
    </w:p>
    <w:p w14:paraId="1077F8E8" w14:textId="606BB229" w:rsidR="00F53B39" w:rsidRDefault="00360573">
      <w:pPr>
        <w:pStyle w:val="TOC1"/>
        <w:rPr>
          <w:rFonts w:asciiTheme="minorHAnsi" w:hAnsiTheme="minorHAnsi" w:cstheme="minorBidi"/>
          <w:b w:val="0"/>
          <w:bCs w:val="0"/>
          <w:noProof/>
          <w:color w:val="auto"/>
          <w:sz w:val="22"/>
          <w:szCs w:val="22"/>
          <w:lang w:val="en-AU"/>
        </w:rPr>
      </w:pPr>
      <w:hyperlink w:anchor="_Toc55053334" w:history="1">
        <w:r w:rsidR="00F53B39" w:rsidRPr="007B0C2C">
          <w:rPr>
            <w:rStyle w:val="Hyperlink"/>
            <w:noProof/>
          </w:rPr>
          <w:t>Appendix D: Number of initiatives tagged under Fourth Action Plan primary prevention priority actions (National priority 1: Primary prevention is key)</w:t>
        </w:r>
        <w:r w:rsidR="00F53B39">
          <w:rPr>
            <w:noProof/>
            <w:webHidden/>
          </w:rPr>
          <w:tab/>
        </w:r>
        <w:r w:rsidR="00F53B39">
          <w:rPr>
            <w:noProof/>
            <w:webHidden/>
          </w:rPr>
          <w:fldChar w:fldCharType="begin"/>
        </w:r>
        <w:r w:rsidR="00F53B39">
          <w:rPr>
            <w:noProof/>
            <w:webHidden/>
          </w:rPr>
          <w:instrText xml:space="preserve"> PAGEREF _Toc55053334 \h </w:instrText>
        </w:r>
        <w:r w:rsidR="00F53B39">
          <w:rPr>
            <w:noProof/>
            <w:webHidden/>
          </w:rPr>
        </w:r>
        <w:r w:rsidR="00F53B39">
          <w:rPr>
            <w:noProof/>
            <w:webHidden/>
          </w:rPr>
          <w:fldChar w:fldCharType="separate"/>
        </w:r>
        <w:r w:rsidR="00F53B39">
          <w:rPr>
            <w:noProof/>
            <w:webHidden/>
          </w:rPr>
          <w:t>305</w:t>
        </w:r>
        <w:r w:rsidR="00F53B39">
          <w:rPr>
            <w:noProof/>
            <w:webHidden/>
          </w:rPr>
          <w:fldChar w:fldCharType="end"/>
        </w:r>
      </w:hyperlink>
    </w:p>
    <w:p w14:paraId="6594A2A3" w14:textId="54BDB5A9" w:rsidR="00F53B39" w:rsidRDefault="00360573">
      <w:pPr>
        <w:pStyle w:val="TOC1"/>
        <w:rPr>
          <w:rFonts w:asciiTheme="minorHAnsi" w:hAnsiTheme="minorHAnsi" w:cstheme="minorBidi"/>
          <w:b w:val="0"/>
          <w:bCs w:val="0"/>
          <w:noProof/>
          <w:color w:val="auto"/>
          <w:sz w:val="22"/>
          <w:szCs w:val="22"/>
          <w:lang w:val="en-AU"/>
        </w:rPr>
      </w:pPr>
      <w:hyperlink w:anchor="_Toc55053335" w:history="1">
        <w:r w:rsidR="00F53B39" w:rsidRPr="007B0C2C">
          <w:rPr>
            <w:rStyle w:val="Hyperlink"/>
            <w:noProof/>
          </w:rPr>
          <w:t>Appendix E: Text-equivalent descriptions of selected figures</w:t>
        </w:r>
        <w:r w:rsidR="00F53B39">
          <w:rPr>
            <w:noProof/>
            <w:webHidden/>
          </w:rPr>
          <w:tab/>
        </w:r>
        <w:r w:rsidR="00F53B39">
          <w:rPr>
            <w:noProof/>
            <w:webHidden/>
          </w:rPr>
          <w:fldChar w:fldCharType="begin"/>
        </w:r>
        <w:r w:rsidR="00F53B39">
          <w:rPr>
            <w:noProof/>
            <w:webHidden/>
          </w:rPr>
          <w:instrText xml:space="preserve"> PAGEREF _Toc55053335 \h </w:instrText>
        </w:r>
        <w:r w:rsidR="00F53B39">
          <w:rPr>
            <w:noProof/>
            <w:webHidden/>
          </w:rPr>
        </w:r>
        <w:r w:rsidR="00F53B39">
          <w:rPr>
            <w:noProof/>
            <w:webHidden/>
          </w:rPr>
          <w:fldChar w:fldCharType="separate"/>
        </w:r>
        <w:r w:rsidR="00F53B39">
          <w:rPr>
            <w:noProof/>
            <w:webHidden/>
          </w:rPr>
          <w:t>306</w:t>
        </w:r>
        <w:r w:rsidR="00F53B39">
          <w:rPr>
            <w:noProof/>
            <w:webHidden/>
          </w:rPr>
          <w:fldChar w:fldCharType="end"/>
        </w:r>
      </w:hyperlink>
    </w:p>
    <w:p w14:paraId="12303690" w14:textId="7166442D" w:rsidR="00F53B39" w:rsidRDefault="00360573">
      <w:pPr>
        <w:pStyle w:val="TOC1"/>
        <w:rPr>
          <w:rFonts w:asciiTheme="minorHAnsi" w:hAnsiTheme="minorHAnsi" w:cstheme="minorBidi"/>
          <w:b w:val="0"/>
          <w:bCs w:val="0"/>
          <w:noProof/>
          <w:color w:val="auto"/>
          <w:sz w:val="22"/>
          <w:szCs w:val="22"/>
          <w:lang w:val="en-AU"/>
        </w:rPr>
      </w:pPr>
      <w:hyperlink w:anchor="_Toc55053336" w:history="1">
        <w:r w:rsidR="00F53B39" w:rsidRPr="007B0C2C">
          <w:rPr>
            <w:rStyle w:val="Hyperlink"/>
            <w:noProof/>
          </w:rPr>
          <w:t>General references</w:t>
        </w:r>
        <w:r w:rsidR="00F53B39">
          <w:rPr>
            <w:noProof/>
            <w:webHidden/>
          </w:rPr>
          <w:tab/>
        </w:r>
        <w:r w:rsidR="00F53B39">
          <w:rPr>
            <w:noProof/>
            <w:webHidden/>
          </w:rPr>
          <w:fldChar w:fldCharType="begin"/>
        </w:r>
        <w:r w:rsidR="00F53B39">
          <w:rPr>
            <w:noProof/>
            <w:webHidden/>
          </w:rPr>
          <w:instrText xml:space="preserve"> PAGEREF _Toc55053336 \h </w:instrText>
        </w:r>
        <w:r w:rsidR="00F53B39">
          <w:rPr>
            <w:noProof/>
            <w:webHidden/>
          </w:rPr>
        </w:r>
        <w:r w:rsidR="00F53B39">
          <w:rPr>
            <w:noProof/>
            <w:webHidden/>
          </w:rPr>
          <w:fldChar w:fldCharType="separate"/>
        </w:r>
        <w:r w:rsidR="00F53B39">
          <w:rPr>
            <w:noProof/>
            <w:webHidden/>
          </w:rPr>
          <w:t>310</w:t>
        </w:r>
        <w:r w:rsidR="00F53B39">
          <w:rPr>
            <w:noProof/>
            <w:webHidden/>
          </w:rPr>
          <w:fldChar w:fldCharType="end"/>
        </w:r>
      </w:hyperlink>
    </w:p>
    <w:p w14:paraId="5EA9E2A4" w14:textId="6B2002DE" w:rsidR="00F53B39" w:rsidRDefault="00360573">
      <w:pPr>
        <w:pStyle w:val="TOC1"/>
        <w:rPr>
          <w:rFonts w:asciiTheme="minorHAnsi" w:hAnsiTheme="minorHAnsi" w:cstheme="minorBidi"/>
          <w:b w:val="0"/>
          <w:bCs w:val="0"/>
          <w:noProof/>
          <w:color w:val="auto"/>
          <w:sz w:val="22"/>
          <w:szCs w:val="22"/>
          <w:lang w:val="en-AU"/>
        </w:rPr>
      </w:pPr>
      <w:hyperlink w:anchor="_Toc55053337" w:history="1">
        <w:r w:rsidR="00F53B39" w:rsidRPr="007B0C2C">
          <w:rPr>
            <w:rStyle w:val="Hyperlink"/>
            <w:noProof/>
          </w:rPr>
          <w:t>Endnotes</w:t>
        </w:r>
        <w:r w:rsidR="00F53B39">
          <w:rPr>
            <w:noProof/>
            <w:webHidden/>
          </w:rPr>
          <w:tab/>
        </w:r>
        <w:r w:rsidR="00F53B39">
          <w:rPr>
            <w:noProof/>
            <w:webHidden/>
          </w:rPr>
          <w:fldChar w:fldCharType="begin"/>
        </w:r>
        <w:r w:rsidR="00F53B39">
          <w:rPr>
            <w:noProof/>
            <w:webHidden/>
          </w:rPr>
          <w:instrText xml:space="preserve"> PAGEREF _Toc55053337 \h </w:instrText>
        </w:r>
        <w:r w:rsidR="00F53B39">
          <w:rPr>
            <w:noProof/>
            <w:webHidden/>
          </w:rPr>
        </w:r>
        <w:r w:rsidR="00F53B39">
          <w:rPr>
            <w:noProof/>
            <w:webHidden/>
          </w:rPr>
          <w:fldChar w:fldCharType="separate"/>
        </w:r>
        <w:r w:rsidR="00F53B39">
          <w:rPr>
            <w:noProof/>
            <w:webHidden/>
          </w:rPr>
          <w:t>313</w:t>
        </w:r>
        <w:r w:rsidR="00F53B39">
          <w:rPr>
            <w:noProof/>
            <w:webHidden/>
          </w:rPr>
          <w:fldChar w:fldCharType="end"/>
        </w:r>
      </w:hyperlink>
    </w:p>
    <w:p w14:paraId="4C696B9A" w14:textId="36688D7D" w:rsidR="004A732E" w:rsidRDefault="00D1152E" w:rsidP="008F1CA3">
      <w:pPr>
        <w:pStyle w:val="BodyText"/>
      </w:pPr>
      <w:r>
        <w:rPr>
          <w:color w:val="2B579A"/>
          <w:shd w:val="clear" w:color="auto" w:fill="E6E6E6"/>
        </w:rPr>
        <w:fldChar w:fldCharType="end"/>
      </w:r>
    </w:p>
    <w:p w14:paraId="09C48382" w14:textId="77777777" w:rsidR="004A732E" w:rsidRDefault="004A732E" w:rsidP="004A732E">
      <w:pPr>
        <w:pStyle w:val="BodyText"/>
      </w:pPr>
    </w:p>
    <w:p w14:paraId="4794CAAD" w14:textId="77777777" w:rsidR="004A732E" w:rsidRDefault="004A732E" w:rsidP="004A732E">
      <w:pPr>
        <w:pStyle w:val="BodyText"/>
        <w:sectPr w:rsidR="004A732E" w:rsidSect="008F2074">
          <w:headerReference w:type="even" r:id="rId15"/>
          <w:footerReference w:type="default" r:id="rId16"/>
          <w:footnotePr>
            <w:numFmt w:val="lowerRoman"/>
          </w:footnotePr>
          <w:endnotePr>
            <w:numFmt w:val="decimal"/>
          </w:endnotePr>
          <w:pgSz w:w="11906" w:h="16838" w:code="9"/>
          <w:pgMar w:top="1418" w:right="1418" w:bottom="1418" w:left="1418" w:header="454" w:footer="454" w:gutter="0"/>
          <w:pgNumType w:fmt="lowerRoman"/>
          <w:cols w:space="720"/>
          <w:noEndnote/>
        </w:sectPr>
      </w:pPr>
    </w:p>
    <w:p w14:paraId="5D213E89" w14:textId="2F270B38" w:rsidR="002C2EC7" w:rsidRPr="00790783" w:rsidRDefault="006337B0" w:rsidP="00790783">
      <w:pPr>
        <w:pStyle w:val="Heading2"/>
        <w:rPr>
          <w:rStyle w:val="OWCharacterHibiscus"/>
        </w:rPr>
      </w:pPr>
      <w:bookmarkStart w:id="1" w:name="_Toc55053292"/>
      <w:r>
        <w:rPr>
          <w:noProof/>
          <w:color w:val="702652" w:themeColor="accent4"/>
          <w:shd w:val="clear" w:color="auto" w:fill="E6E6E6"/>
          <w:lang w:val="en-US" w:eastAsia="en-US"/>
        </w:rPr>
        <w:lastRenderedPageBreak/>
        <w:drawing>
          <wp:anchor distT="0" distB="0" distL="114300" distR="114300" simplePos="0" relativeHeight="251658242" behindDoc="1" locked="1" layoutInCell="1" allowOverlap="1" wp14:anchorId="07E62D74" wp14:editId="6D7794F9">
            <wp:simplePos x="900113" y="852488"/>
            <wp:positionH relativeFrom="page">
              <wp:align>left</wp:align>
            </wp:positionH>
            <wp:positionV relativeFrom="page">
              <wp:align>top</wp:align>
            </wp:positionV>
            <wp:extent cx="7563600" cy="9726120"/>
            <wp:effectExtent l="0" t="0" r="0" b="8890"/>
            <wp:wrapNone/>
            <wp:docPr id="10" name="Picture 10" descr="Decor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ction start hibiscus.png"/>
                    <pic:cNvPicPr/>
                  </pic:nvPicPr>
                  <pic:blipFill>
                    <a:blip r:embed="rId17"/>
                    <a:stretch>
                      <a:fillRect/>
                    </a:stretch>
                  </pic:blipFill>
                  <pic:spPr>
                    <a:xfrm>
                      <a:off x="0" y="0"/>
                      <a:ext cx="7563600" cy="9726120"/>
                    </a:xfrm>
                    <a:prstGeom prst="rect">
                      <a:avLst/>
                    </a:prstGeom>
                  </pic:spPr>
                </pic:pic>
              </a:graphicData>
            </a:graphic>
            <wp14:sizeRelH relativeFrom="margin">
              <wp14:pctWidth>0</wp14:pctWidth>
            </wp14:sizeRelH>
            <wp14:sizeRelV relativeFrom="margin">
              <wp14:pctHeight>0</wp14:pctHeight>
            </wp14:sizeRelV>
          </wp:anchor>
        </w:drawing>
      </w:r>
      <w:r w:rsidR="002C2EC7" w:rsidRPr="00790783">
        <w:rPr>
          <w:rStyle w:val="OWCharacterHibiscus"/>
        </w:rPr>
        <w:t>Executive summary</w:t>
      </w:r>
      <w:bookmarkEnd w:id="1"/>
    </w:p>
    <w:p w14:paraId="5F68FEA6" w14:textId="77777777" w:rsidR="002C2EC7" w:rsidRPr="005172C9" w:rsidRDefault="002C2EC7" w:rsidP="006337B0">
      <w:pPr>
        <w:pStyle w:val="Heading3"/>
        <w:pageBreakBefore w:val="0"/>
        <w:rPr>
          <w:rStyle w:val="OWCharacterHibiscus"/>
        </w:rPr>
      </w:pPr>
      <w:bookmarkStart w:id="2" w:name="_Toc55053293"/>
      <w:r w:rsidRPr="005172C9">
        <w:rPr>
          <w:rStyle w:val="OWCharacterHibiscus"/>
        </w:rPr>
        <w:t>Background</w:t>
      </w:r>
      <w:bookmarkEnd w:id="2"/>
    </w:p>
    <w:p w14:paraId="59FE059D" w14:textId="77777777" w:rsidR="002C2EC7" w:rsidRPr="007E654A" w:rsidRDefault="002C2EC7" w:rsidP="00790783">
      <w:pPr>
        <w:pStyle w:val="BodyText"/>
      </w:pPr>
      <w:r w:rsidRPr="00ED4674">
        <w:rPr>
          <w:rStyle w:val="Emphasis"/>
        </w:rPr>
        <w:t>Change the story: Australia’s shared framework for the primary prevention of violence against women and their children</w:t>
      </w:r>
      <w:r w:rsidRPr="0071774C">
        <w:rPr>
          <w:rStyle w:val="EndnoteReference"/>
          <w:sz w:val="22"/>
          <w:szCs w:val="22"/>
        </w:rPr>
        <w:endnoteReference w:id="2"/>
      </w:r>
      <w:r>
        <w:rPr>
          <w:sz w:val="22"/>
          <w:szCs w:val="22"/>
        </w:rPr>
        <w:t xml:space="preserve"> </w:t>
      </w:r>
      <w:r w:rsidRPr="007E654A">
        <w:t xml:space="preserve">identifies gender inequality as setting the necessary social context in which violence against women occurs. The framework demonstrates that there are </w:t>
      </w:r>
      <w:r w:rsidRPr="00043276">
        <w:t>particular expression</w:t>
      </w:r>
      <w:r w:rsidRPr="007E654A">
        <w:t xml:space="preserve">s or manifestations of gender inequality that are most consistently associated with higher levels of violence against women. These are referred to in </w:t>
      </w:r>
      <w:r w:rsidRPr="00525643">
        <w:rPr>
          <w:rStyle w:val="Emphasis"/>
        </w:rPr>
        <w:t>Change the story</w:t>
      </w:r>
      <w:r w:rsidRPr="007E654A">
        <w:t xml:space="preserve"> as the ‘gendered drivers’ of violence against women, and comprise:</w:t>
      </w:r>
    </w:p>
    <w:p w14:paraId="012A33AD" w14:textId="77777777" w:rsidR="002C2EC7" w:rsidRPr="004A33F9" w:rsidRDefault="002C2EC7" w:rsidP="00790783">
      <w:pPr>
        <w:pStyle w:val="OWBullet1"/>
      </w:pPr>
      <w:r w:rsidRPr="004A33F9">
        <w:t>condoning of violence against women</w:t>
      </w:r>
    </w:p>
    <w:p w14:paraId="4B0D2CF1" w14:textId="4B27BCBE" w:rsidR="002C2EC7" w:rsidRPr="004A33F9" w:rsidRDefault="002C2EC7" w:rsidP="00790783">
      <w:pPr>
        <w:pStyle w:val="OWBullet1"/>
      </w:pPr>
      <w:r w:rsidRPr="004A33F9">
        <w:t>men’s control of decision-making and limits to women’s independence in public life and</w:t>
      </w:r>
      <w:r w:rsidR="00544E70">
        <w:t> </w:t>
      </w:r>
      <w:r w:rsidRPr="004A33F9">
        <w:t>relationships</w:t>
      </w:r>
    </w:p>
    <w:p w14:paraId="53820320" w14:textId="77777777" w:rsidR="002C2EC7" w:rsidRPr="004A33F9" w:rsidRDefault="002C2EC7" w:rsidP="00790783">
      <w:pPr>
        <w:pStyle w:val="OWBullet1"/>
      </w:pPr>
      <w:r w:rsidRPr="004A33F9">
        <w:t>rigid gender roles and stereotyped constructions of masculinity and femininity</w:t>
      </w:r>
    </w:p>
    <w:p w14:paraId="3DBEC54E" w14:textId="77777777" w:rsidR="002C2EC7" w:rsidRPr="004A33F9" w:rsidRDefault="002C2EC7" w:rsidP="00790783">
      <w:pPr>
        <w:pStyle w:val="OWBullet1"/>
      </w:pPr>
      <w:r w:rsidRPr="004A33F9">
        <w:t>male peer relations that emphasise aggression and disrespect towards women.</w:t>
      </w:r>
    </w:p>
    <w:p w14:paraId="5AA423A4" w14:textId="77777777" w:rsidR="002C2EC7" w:rsidRPr="007E654A" w:rsidRDefault="002C2EC7" w:rsidP="00790783">
      <w:pPr>
        <w:pStyle w:val="OWBodytextafterlist"/>
      </w:pPr>
      <w:r w:rsidRPr="007E654A">
        <w:t>These gendered drivers arise from unequal and discriminatory institutional, social and economic structures, social and cultural norms, and organisational, community, family and relationship practices. Together, these structures, norms and practices create environments in which women and men are not considered equal, and violence against women is both more likely to happen, and more likely to be tolerated and even condoned.</w:t>
      </w:r>
    </w:p>
    <w:p w14:paraId="65F83067" w14:textId="77777777" w:rsidR="002C2EC7" w:rsidRDefault="002C2EC7" w:rsidP="00790783">
      <w:pPr>
        <w:pStyle w:val="BodyText"/>
      </w:pPr>
      <w:r w:rsidRPr="00525643">
        <w:rPr>
          <w:rStyle w:val="Emphasis"/>
        </w:rPr>
        <w:t>Change the story</w:t>
      </w:r>
      <w:r>
        <w:t xml:space="preserve"> </w:t>
      </w:r>
      <w:r w:rsidRPr="0071774C">
        <w:t>makes</w:t>
      </w:r>
      <w:r>
        <w:t xml:space="preserve"> </w:t>
      </w:r>
      <w:r w:rsidRPr="0071774C">
        <w:t>clear</w:t>
      </w:r>
      <w:r>
        <w:t xml:space="preserve"> </w:t>
      </w:r>
      <w:r w:rsidRPr="0071774C">
        <w:t>that</w:t>
      </w:r>
      <w:r>
        <w:t xml:space="preserve"> </w:t>
      </w:r>
      <w:r w:rsidRPr="0071774C">
        <w:t>because</w:t>
      </w:r>
      <w:r>
        <w:t xml:space="preserve"> </w:t>
      </w:r>
      <w:r w:rsidRPr="0071774C">
        <w:t>violence</w:t>
      </w:r>
      <w:r>
        <w:t xml:space="preserve"> </w:t>
      </w:r>
      <w:r w:rsidRPr="0071774C">
        <w:t>against</w:t>
      </w:r>
      <w:r>
        <w:t xml:space="preserve"> </w:t>
      </w:r>
      <w:r w:rsidRPr="0071774C">
        <w:t>women</w:t>
      </w:r>
      <w:r>
        <w:t xml:space="preserve"> </w:t>
      </w:r>
      <w:r w:rsidRPr="0071774C">
        <w:t>has</w:t>
      </w:r>
      <w:r>
        <w:t xml:space="preserve"> </w:t>
      </w:r>
      <w:r w:rsidRPr="0071774C">
        <w:t>multiple,</w:t>
      </w:r>
      <w:r>
        <w:t xml:space="preserve"> </w:t>
      </w:r>
      <w:r w:rsidRPr="0071774C">
        <w:t>interrelated</w:t>
      </w:r>
      <w:r>
        <w:t xml:space="preserve"> </w:t>
      </w:r>
      <w:r w:rsidRPr="0071774C">
        <w:t>drivers,</w:t>
      </w:r>
      <w:r>
        <w:t xml:space="preserve"> </w:t>
      </w:r>
      <w:r w:rsidRPr="0071774C">
        <w:t>which</w:t>
      </w:r>
      <w:r>
        <w:t xml:space="preserve"> </w:t>
      </w:r>
      <w:r w:rsidRPr="0071774C">
        <w:t>are</w:t>
      </w:r>
      <w:r>
        <w:t xml:space="preserve"> </w:t>
      </w:r>
      <w:r w:rsidRPr="0071774C">
        <w:t>located</w:t>
      </w:r>
      <w:r>
        <w:t xml:space="preserve"> </w:t>
      </w:r>
      <w:r w:rsidRPr="0071774C">
        <w:t>at</w:t>
      </w:r>
      <w:r>
        <w:t xml:space="preserve"> </w:t>
      </w:r>
      <w:r w:rsidRPr="0071774C">
        <w:t>–</w:t>
      </w:r>
      <w:r>
        <w:t xml:space="preserve"> </w:t>
      </w:r>
      <w:r w:rsidRPr="0071774C">
        <w:t>and</w:t>
      </w:r>
      <w:r>
        <w:t xml:space="preserve"> </w:t>
      </w:r>
      <w:r w:rsidRPr="0071774C">
        <w:t>find</w:t>
      </w:r>
      <w:r>
        <w:t xml:space="preserve"> </w:t>
      </w:r>
      <w:r w:rsidRPr="0071774C">
        <w:t>expression</w:t>
      </w:r>
      <w:r>
        <w:t xml:space="preserve"> </w:t>
      </w:r>
      <w:r w:rsidRPr="0071774C">
        <w:t>across</w:t>
      </w:r>
      <w:r>
        <w:t xml:space="preserve"> </w:t>
      </w:r>
      <w:r w:rsidRPr="0071774C">
        <w:t>–</w:t>
      </w:r>
      <w:r>
        <w:t xml:space="preserve"> </w:t>
      </w:r>
      <w:r w:rsidRPr="0071774C">
        <w:t>every</w:t>
      </w:r>
      <w:r>
        <w:t xml:space="preserve"> </w:t>
      </w:r>
      <w:r w:rsidRPr="0071774C">
        <w:t>level</w:t>
      </w:r>
      <w:r>
        <w:t xml:space="preserve"> </w:t>
      </w:r>
      <w:r w:rsidRPr="0071774C">
        <w:t>of</w:t>
      </w:r>
      <w:r>
        <w:t xml:space="preserve"> </w:t>
      </w:r>
      <w:r w:rsidRPr="0071774C">
        <w:t>society,</w:t>
      </w:r>
      <w:r>
        <w:t xml:space="preserve"> </w:t>
      </w:r>
      <w:r w:rsidRPr="0071774C">
        <w:t>preventing</w:t>
      </w:r>
      <w:r>
        <w:t xml:space="preserve"> </w:t>
      </w:r>
      <w:r w:rsidRPr="0071774C">
        <w:t>this</w:t>
      </w:r>
      <w:r>
        <w:t xml:space="preserve"> </w:t>
      </w:r>
      <w:r w:rsidRPr="0071774C">
        <w:t>violence</w:t>
      </w:r>
      <w:r>
        <w:t xml:space="preserve"> </w:t>
      </w:r>
      <w:r w:rsidRPr="0071774C">
        <w:t>requires</w:t>
      </w:r>
      <w:r>
        <w:t xml:space="preserve"> </w:t>
      </w:r>
      <w:r w:rsidRPr="0071774C">
        <w:t>a</w:t>
      </w:r>
      <w:r>
        <w:t xml:space="preserve"> </w:t>
      </w:r>
      <w:r w:rsidRPr="0071774C">
        <w:t>holistic,</w:t>
      </w:r>
      <w:r>
        <w:t xml:space="preserve"> </w:t>
      </w:r>
      <w:r w:rsidRPr="0071774C">
        <w:t>multi-layered</w:t>
      </w:r>
      <w:r>
        <w:t xml:space="preserve"> </w:t>
      </w:r>
      <w:r w:rsidRPr="0071774C">
        <w:t>approach.</w:t>
      </w:r>
      <w:r>
        <w:t xml:space="preserve"> </w:t>
      </w:r>
      <w:r w:rsidRPr="0071774C">
        <w:t>For</w:t>
      </w:r>
      <w:r>
        <w:t xml:space="preserve"> </w:t>
      </w:r>
      <w:r w:rsidRPr="0071774C">
        <w:t>primary</w:t>
      </w:r>
      <w:r>
        <w:t xml:space="preserve"> </w:t>
      </w:r>
      <w:r w:rsidRPr="0071774C">
        <w:t>prevention</w:t>
      </w:r>
      <w:r>
        <w:t xml:space="preserve"> </w:t>
      </w:r>
      <w:r w:rsidRPr="0071774C">
        <w:t>to</w:t>
      </w:r>
      <w:r>
        <w:t xml:space="preserve"> </w:t>
      </w:r>
      <w:r w:rsidRPr="0071774C">
        <w:t>be</w:t>
      </w:r>
      <w:r>
        <w:t xml:space="preserve"> </w:t>
      </w:r>
      <w:r w:rsidRPr="0071774C">
        <w:t>successful,</w:t>
      </w:r>
      <w:r>
        <w:t xml:space="preserve"> </w:t>
      </w:r>
      <w:r w:rsidRPr="0071774C">
        <w:t>it</w:t>
      </w:r>
      <w:r>
        <w:t xml:space="preserve"> </w:t>
      </w:r>
      <w:r w:rsidRPr="0071774C">
        <w:t>requires</w:t>
      </w:r>
      <w:r>
        <w:t xml:space="preserve"> </w:t>
      </w:r>
      <w:r w:rsidRPr="0071774C">
        <w:t>a</w:t>
      </w:r>
      <w:r>
        <w:t xml:space="preserve"> </w:t>
      </w:r>
      <w:r w:rsidRPr="0071774C">
        <w:t>large-scale</w:t>
      </w:r>
      <w:r>
        <w:t xml:space="preserve"> </w:t>
      </w:r>
      <w:r w:rsidRPr="0071774C">
        <w:t>effort,</w:t>
      </w:r>
      <w:r>
        <w:t xml:space="preserve"> </w:t>
      </w:r>
      <w:r w:rsidRPr="0071774C">
        <w:t>engaging</w:t>
      </w:r>
      <w:r>
        <w:t xml:space="preserve"> </w:t>
      </w:r>
      <w:r w:rsidRPr="0071774C">
        <w:t>the</w:t>
      </w:r>
      <w:r>
        <w:t xml:space="preserve"> </w:t>
      </w:r>
      <w:r w:rsidRPr="0071774C">
        <w:t>largest</w:t>
      </w:r>
      <w:r>
        <w:t xml:space="preserve"> </w:t>
      </w:r>
      <w:r w:rsidRPr="0071774C">
        <w:t>possible</w:t>
      </w:r>
      <w:r>
        <w:t xml:space="preserve"> </w:t>
      </w:r>
      <w:r w:rsidRPr="0071774C">
        <w:t>number</w:t>
      </w:r>
      <w:r>
        <w:t xml:space="preserve"> </w:t>
      </w:r>
      <w:r w:rsidRPr="0071774C">
        <w:t>of</w:t>
      </w:r>
      <w:r>
        <w:t xml:space="preserve"> </w:t>
      </w:r>
      <w:r w:rsidRPr="0071774C">
        <w:t>people</w:t>
      </w:r>
      <w:r>
        <w:t xml:space="preserve"> </w:t>
      </w:r>
      <w:r w:rsidRPr="0071774C">
        <w:t>and</w:t>
      </w:r>
      <w:r>
        <w:t xml:space="preserve"> </w:t>
      </w:r>
      <w:r w:rsidRPr="0071774C">
        <w:t>organisations.</w:t>
      </w:r>
      <w:r>
        <w:t xml:space="preserve"> </w:t>
      </w:r>
      <w:r w:rsidRPr="0071774C">
        <w:t>It</w:t>
      </w:r>
      <w:r>
        <w:t xml:space="preserve"> </w:t>
      </w:r>
      <w:r w:rsidRPr="0071774C">
        <w:t>needs</w:t>
      </w:r>
      <w:r>
        <w:t xml:space="preserve"> </w:t>
      </w:r>
      <w:r w:rsidRPr="0071774C">
        <w:t>a</w:t>
      </w:r>
      <w:r>
        <w:t xml:space="preserve"> </w:t>
      </w:r>
      <w:r w:rsidRPr="0071774C">
        <w:t>shared,</w:t>
      </w:r>
      <w:r>
        <w:t xml:space="preserve"> </w:t>
      </w:r>
      <w:r w:rsidRPr="0071774C">
        <w:t>national</w:t>
      </w:r>
      <w:r>
        <w:t xml:space="preserve"> </w:t>
      </w:r>
      <w:r w:rsidRPr="0071774C">
        <w:t>approach</w:t>
      </w:r>
      <w:r>
        <w:t xml:space="preserve"> </w:t>
      </w:r>
      <w:r w:rsidRPr="0071774C">
        <w:t>comprising</w:t>
      </w:r>
      <w:r>
        <w:t xml:space="preserve"> </w:t>
      </w:r>
      <w:r w:rsidRPr="0071774C">
        <w:t>multiple,</w:t>
      </w:r>
      <w:r>
        <w:t xml:space="preserve"> </w:t>
      </w:r>
      <w:r w:rsidRPr="0071774C">
        <w:t>mutually</w:t>
      </w:r>
      <w:r>
        <w:t xml:space="preserve"> </w:t>
      </w:r>
      <w:r w:rsidRPr="0071774C">
        <w:t>reinforcing</w:t>
      </w:r>
      <w:r>
        <w:t xml:space="preserve"> </w:t>
      </w:r>
      <w:r w:rsidRPr="0071774C">
        <w:t>efforts</w:t>
      </w:r>
      <w:r>
        <w:t xml:space="preserve"> </w:t>
      </w:r>
      <w:r w:rsidRPr="0071774C">
        <w:t>that</w:t>
      </w:r>
      <w:r>
        <w:t xml:space="preserve"> </w:t>
      </w:r>
      <w:r w:rsidRPr="0071774C">
        <w:t>together:</w:t>
      </w:r>
    </w:p>
    <w:p w14:paraId="7D65D9D9" w14:textId="77777777" w:rsidR="002C2EC7" w:rsidRPr="004A33F9" w:rsidRDefault="002C2EC7" w:rsidP="00790783">
      <w:pPr>
        <w:pStyle w:val="OWBullet1"/>
      </w:pPr>
      <w:r w:rsidRPr="004A33F9">
        <w:t>address the multiple gendered drivers and reinforcing factors of violence</w:t>
      </w:r>
    </w:p>
    <w:p w14:paraId="47635264" w14:textId="77777777" w:rsidR="002C2EC7" w:rsidRPr="004A33F9" w:rsidRDefault="002C2EC7" w:rsidP="00790783">
      <w:pPr>
        <w:pStyle w:val="OWBullet1"/>
      </w:pPr>
      <w:r w:rsidRPr="004A33F9">
        <w:t>use a range of different strategies and levers for change</w:t>
      </w:r>
    </w:p>
    <w:p w14:paraId="485CAA35" w14:textId="35CEA7CE" w:rsidR="002C2EC7" w:rsidRPr="004A33F9" w:rsidRDefault="002C2EC7" w:rsidP="00790783">
      <w:pPr>
        <w:pStyle w:val="OWBullet1"/>
      </w:pPr>
      <w:r w:rsidRPr="004A33F9">
        <w:t>are implemented in different settings, across the life course, and using a variety of</w:t>
      </w:r>
      <w:r w:rsidR="00544E70">
        <w:t> </w:t>
      </w:r>
      <w:r w:rsidRPr="004A33F9">
        <w:t>techniques</w:t>
      </w:r>
    </w:p>
    <w:p w14:paraId="25FA91F7" w14:textId="5FD0C1EF" w:rsidR="002C2EC7" w:rsidRPr="004A33F9" w:rsidRDefault="002C2EC7" w:rsidP="00790783">
      <w:pPr>
        <w:pStyle w:val="OWBullet1"/>
      </w:pPr>
      <w:r w:rsidRPr="004A33F9">
        <w:t>target change at different levels – individual and interpersonal, organisational and</w:t>
      </w:r>
      <w:r w:rsidR="00544E70">
        <w:t> </w:t>
      </w:r>
      <w:r w:rsidRPr="004A33F9">
        <w:t>community, system and institutional, and societal.</w:t>
      </w:r>
    </w:p>
    <w:p w14:paraId="18BE7AFD" w14:textId="4DBB3FE8" w:rsidR="002C2EC7" w:rsidRPr="005172C9" w:rsidRDefault="002C2EC7" w:rsidP="006337B0">
      <w:pPr>
        <w:pStyle w:val="Heading3"/>
        <w:rPr>
          <w:rStyle w:val="OWCharacterHibiscus"/>
        </w:rPr>
      </w:pPr>
      <w:bookmarkStart w:id="3" w:name="_Toc55053294"/>
      <w:r w:rsidRPr="005172C9">
        <w:rPr>
          <w:rStyle w:val="OWCharacterHibiscus"/>
        </w:rPr>
        <w:lastRenderedPageBreak/>
        <w:t>Implementing a new approach to monitoring progress towards prevention</w:t>
      </w:r>
      <w:bookmarkEnd w:id="3"/>
    </w:p>
    <w:p w14:paraId="5E80EF9C" w14:textId="6C37D0EE" w:rsidR="002C2EC7" w:rsidRDefault="002C2EC7" w:rsidP="00790783">
      <w:pPr>
        <w:pStyle w:val="BodyText"/>
      </w:pPr>
      <w:r w:rsidRPr="0071774C">
        <w:t>Because</w:t>
      </w:r>
      <w:r>
        <w:t xml:space="preserve"> </w:t>
      </w:r>
      <w:r w:rsidRPr="0071774C">
        <w:t>the</w:t>
      </w:r>
      <w:r>
        <w:t xml:space="preserve"> </w:t>
      </w:r>
      <w:r w:rsidRPr="0071774C">
        <w:t>drivers</w:t>
      </w:r>
      <w:r>
        <w:t xml:space="preserve"> </w:t>
      </w:r>
      <w:r w:rsidRPr="0071774C">
        <w:t>of</w:t>
      </w:r>
      <w:r>
        <w:t xml:space="preserve"> </w:t>
      </w:r>
      <w:r w:rsidRPr="0071774C">
        <w:t>violence</w:t>
      </w:r>
      <w:r>
        <w:t xml:space="preserve"> </w:t>
      </w:r>
      <w:r w:rsidRPr="0071774C">
        <w:t>are</w:t>
      </w:r>
      <w:r>
        <w:t xml:space="preserve"> </w:t>
      </w:r>
      <w:r w:rsidRPr="0071774C">
        <w:t>complex,</w:t>
      </w:r>
      <w:r>
        <w:t xml:space="preserve"> </w:t>
      </w:r>
      <w:r w:rsidRPr="0071774C">
        <w:t>and</w:t>
      </w:r>
      <w:r>
        <w:t xml:space="preserve"> </w:t>
      </w:r>
      <w:r w:rsidRPr="0071774C">
        <w:t>the</w:t>
      </w:r>
      <w:r>
        <w:t xml:space="preserve"> </w:t>
      </w:r>
      <w:r w:rsidRPr="0071774C">
        <w:t>elements</w:t>
      </w:r>
      <w:r>
        <w:t xml:space="preserve"> </w:t>
      </w:r>
      <w:r w:rsidRPr="0071774C">
        <w:t>necessary</w:t>
      </w:r>
      <w:r>
        <w:t xml:space="preserve"> </w:t>
      </w:r>
      <w:r w:rsidRPr="0071774C">
        <w:t>for</w:t>
      </w:r>
      <w:r>
        <w:t xml:space="preserve"> </w:t>
      </w:r>
      <w:r w:rsidRPr="0071774C">
        <w:t>a</w:t>
      </w:r>
      <w:r>
        <w:t xml:space="preserve"> </w:t>
      </w:r>
      <w:r w:rsidRPr="0071774C">
        <w:t>successful</w:t>
      </w:r>
      <w:r>
        <w:t xml:space="preserve"> </w:t>
      </w:r>
      <w:r w:rsidRPr="0071774C">
        <w:t>primary</w:t>
      </w:r>
      <w:r>
        <w:t xml:space="preserve"> </w:t>
      </w:r>
      <w:r w:rsidRPr="0071774C">
        <w:t>prevention</w:t>
      </w:r>
      <w:r>
        <w:t xml:space="preserve"> </w:t>
      </w:r>
      <w:r w:rsidRPr="0071774C">
        <w:t>approach</w:t>
      </w:r>
      <w:r>
        <w:t xml:space="preserve"> </w:t>
      </w:r>
      <w:r w:rsidRPr="0071774C">
        <w:t>are</w:t>
      </w:r>
      <w:r>
        <w:t xml:space="preserve"> </w:t>
      </w:r>
      <w:r w:rsidRPr="0071774C">
        <w:t>multiple</w:t>
      </w:r>
      <w:r>
        <w:t xml:space="preserve"> </w:t>
      </w:r>
      <w:r w:rsidRPr="0071774C">
        <w:t>and</w:t>
      </w:r>
      <w:r>
        <w:t xml:space="preserve"> </w:t>
      </w:r>
      <w:r w:rsidRPr="0071774C">
        <w:t>varied,</w:t>
      </w:r>
      <w:r>
        <w:t xml:space="preserve"> </w:t>
      </w:r>
      <w:r w:rsidRPr="0071774C">
        <w:t>monitoring</w:t>
      </w:r>
      <w:r>
        <w:t xml:space="preserve"> </w:t>
      </w:r>
      <w:r w:rsidRPr="0071774C">
        <w:t>the</w:t>
      </w:r>
      <w:r>
        <w:t xml:space="preserve"> </w:t>
      </w:r>
      <w:r w:rsidRPr="0071774C">
        <w:t>progress</w:t>
      </w:r>
      <w:r>
        <w:t xml:space="preserve"> </w:t>
      </w:r>
      <w:r w:rsidRPr="0071774C">
        <w:t>of</w:t>
      </w:r>
      <w:r>
        <w:t xml:space="preserve"> </w:t>
      </w:r>
      <w:r w:rsidRPr="0071774C">
        <w:t>prevention</w:t>
      </w:r>
      <w:r>
        <w:t xml:space="preserve"> </w:t>
      </w:r>
      <w:r w:rsidRPr="0071774C">
        <w:t>at</w:t>
      </w:r>
      <w:r>
        <w:t xml:space="preserve"> </w:t>
      </w:r>
      <w:r w:rsidRPr="0071774C">
        <w:t>a</w:t>
      </w:r>
      <w:r>
        <w:t xml:space="preserve"> </w:t>
      </w:r>
      <w:r w:rsidRPr="0071774C">
        <w:t>national,</w:t>
      </w:r>
      <w:r>
        <w:t xml:space="preserve"> </w:t>
      </w:r>
      <w:r w:rsidRPr="0071774C">
        <w:t>population</w:t>
      </w:r>
      <w:r>
        <w:t xml:space="preserve"> </w:t>
      </w:r>
      <w:r w:rsidRPr="0071774C">
        <w:t>level</w:t>
      </w:r>
      <w:r>
        <w:t xml:space="preserve"> </w:t>
      </w:r>
      <w:r w:rsidRPr="0071774C">
        <w:t>is</w:t>
      </w:r>
      <w:r>
        <w:t xml:space="preserve"> </w:t>
      </w:r>
      <w:r w:rsidRPr="0071774C">
        <w:t>not</w:t>
      </w:r>
      <w:r>
        <w:t xml:space="preserve"> </w:t>
      </w:r>
      <w:r w:rsidRPr="0071774C">
        <w:t>straightforward.</w:t>
      </w:r>
      <w:r>
        <w:t xml:space="preserve"> </w:t>
      </w:r>
      <w:r w:rsidRPr="0071774C">
        <w:t>It</w:t>
      </w:r>
      <w:r>
        <w:t xml:space="preserve"> </w:t>
      </w:r>
      <w:r w:rsidRPr="0071774C">
        <w:t>is</w:t>
      </w:r>
      <w:r>
        <w:t xml:space="preserve"> </w:t>
      </w:r>
      <w:r w:rsidRPr="0071774C">
        <w:t>not</w:t>
      </w:r>
      <w:r>
        <w:t xml:space="preserve"> </w:t>
      </w:r>
      <w:r w:rsidRPr="0071774C">
        <w:t>as</w:t>
      </w:r>
      <w:r>
        <w:t xml:space="preserve"> </w:t>
      </w:r>
      <w:r w:rsidRPr="0071774C">
        <w:t>simple</w:t>
      </w:r>
      <w:r>
        <w:t xml:space="preserve"> </w:t>
      </w:r>
      <w:r w:rsidRPr="0071774C">
        <w:t>as</w:t>
      </w:r>
      <w:r>
        <w:t xml:space="preserve"> </w:t>
      </w:r>
      <w:r w:rsidRPr="0071774C">
        <w:t>monitoring</w:t>
      </w:r>
      <w:r>
        <w:t xml:space="preserve"> </w:t>
      </w:r>
      <w:r w:rsidRPr="0071774C">
        <w:t>prevalence</w:t>
      </w:r>
      <w:r>
        <w:t xml:space="preserve"> </w:t>
      </w:r>
      <w:r w:rsidRPr="0071774C">
        <w:t>rates</w:t>
      </w:r>
      <w:r>
        <w:t xml:space="preserve"> </w:t>
      </w:r>
      <w:r w:rsidRPr="0071774C">
        <w:t>or</w:t>
      </w:r>
      <w:r>
        <w:t xml:space="preserve"> </w:t>
      </w:r>
      <w:r w:rsidRPr="0071774C">
        <w:t>tracking</w:t>
      </w:r>
      <w:r>
        <w:t xml:space="preserve"> </w:t>
      </w:r>
      <w:r w:rsidRPr="0071774C">
        <w:t>changes</w:t>
      </w:r>
      <w:r>
        <w:t xml:space="preserve"> </w:t>
      </w:r>
      <w:r w:rsidRPr="0071774C">
        <w:t>in</w:t>
      </w:r>
      <w:r>
        <w:t xml:space="preserve"> </w:t>
      </w:r>
      <w:r w:rsidRPr="0071774C">
        <w:t>individual</w:t>
      </w:r>
      <w:r>
        <w:t xml:space="preserve"> </w:t>
      </w:r>
      <w:r w:rsidRPr="0071774C">
        <w:t>attitudes</w:t>
      </w:r>
      <w:r>
        <w:t xml:space="preserve"> </w:t>
      </w:r>
      <w:r w:rsidRPr="0071774C">
        <w:t>towards</w:t>
      </w:r>
      <w:r>
        <w:t xml:space="preserve"> </w:t>
      </w:r>
      <w:r w:rsidRPr="0071774C">
        <w:t>violence</w:t>
      </w:r>
      <w:r>
        <w:t xml:space="preserve"> </w:t>
      </w:r>
      <w:r w:rsidRPr="0071774C">
        <w:t>or</w:t>
      </w:r>
      <w:r>
        <w:t xml:space="preserve"> </w:t>
      </w:r>
      <w:r w:rsidRPr="0071774C">
        <w:t>gender</w:t>
      </w:r>
      <w:r>
        <w:t xml:space="preserve"> </w:t>
      </w:r>
      <w:r w:rsidRPr="0071774C">
        <w:t>equality.</w:t>
      </w:r>
      <w:r>
        <w:t xml:space="preserve"> </w:t>
      </w:r>
      <w:r w:rsidRPr="0071774C">
        <w:t>Rather,</w:t>
      </w:r>
      <w:r>
        <w:t xml:space="preserve"> </w:t>
      </w:r>
      <w:r w:rsidRPr="0071774C">
        <w:t>it</w:t>
      </w:r>
      <w:r>
        <w:t xml:space="preserve"> </w:t>
      </w:r>
      <w:r w:rsidRPr="0071774C">
        <w:t>requires</w:t>
      </w:r>
      <w:r>
        <w:t xml:space="preserve"> </w:t>
      </w:r>
      <w:r w:rsidRPr="0071774C">
        <w:t>a</w:t>
      </w:r>
      <w:r>
        <w:t xml:space="preserve"> </w:t>
      </w:r>
      <w:r w:rsidRPr="0071774C">
        <w:t>series</w:t>
      </w:r>
      <w:r>
        <w:t xml:space="preserve"> </w:t>
      </w:r>
      <w:r w:rsidRPr="0071774C">
        <w:t>of</w:t>
      </w:r>
      <w:r>
        <w:t xml:space="preserve"> </w:t>
      </w:r>
      <w:r w:rsidRPr="0071774C">
        <w:t>measures</w:t>
      </w:r>
      <w:r>
        <w:t xml:space="preserve"> </w:t>
      </w:r>
      <w:r w:rsidRPr="0071774C">
        <w:t>and</w:t>
      </w:r>
      <w:r>
        <w:t xml:space="preserve"> </w:t>
      </w:r>
      <w:r w:rsidRPr="0071774C">
        <w:t>indicators</w:t>
      </w:r>
      <w:r>
        <w:t xml:space="preserve"> </w:t>
      </w:r>
      <w:r w:rsidRPr="0071774C">
        <w:t>that</w:t>
      </w:r>
      <w:r>
        <w:t xml:space="preserve"> </w:t>
      </w:r>
      <w:r w:rsidRPr="0071774C">
        <w:t>can</w:t>
      </w:r>
      <w:r>
        <w:t xml:space="preserve"> </w:t>
      </w:r>
      <w:r w:rsidRPr="0071774C">
        <w:t>help</w:t>
      </w:r>
      <w:r>
        <w:t xml:space="preserve"> </w:t>
      </w:r>
      <w:r w:rsidRPr="0071774C">
        <w:t>assess</w:t>
      </w:r>
      <w:r>
        <w:t xml:space="preserve"> </w:t>
      </w:r>
      <w:r w:rsidRPr="0071774C">
        <w:t>changes</w:t>
      </w:r>
      <w:r>
        <w:t xml:space="preserve"> </w:t>
      </w:r>
      <w:r w:rsidRPr="0071774C">
        <w:t>to</w:t>
      </w:r>
      <w:r>
        <w:t xml:space="preserve"> </w:t>
      </w:r>
      <w:r w:rsidRPr="0071774C">
        <w:t>the</w:t>
      </w:r>
      <w:r>
        <w:t xml:space="preserve"> </w:t>
      </w:r>
      <w:r w:rsidRPr="0071774C">
        <w:t>complex</w:t>
      </w:r>
      <w:r>
        <w:t xml:space="preserve"> </w:t>
      </w:r>
      <w:r w:rsidRPr="0071774C">
        <w:t>and</w:t>
      </w:r>
      <w:r>
        <w:t xml:space="preserve"> </w:t>
      </w:r>
      <w:r w:rsidRPr="0071774C">
        <w:t>interrelated</w:t>
      </w:r>
      <w:r>
        <w:t xml:space="preserve"> </w:t>
      </w:r>
      <w:r w:rsidRPr="0071774C">
        <w:t>sets</w:t>
      </w:r>
      <w:r>
        <w:t xml:space="preserve"> </w:t>
      </w:r>
      <w:r w:rsidRPr="0071774C">
        <w:t>of</w:t>
      </w:r>
      <w:r>
        <w:t xml:space="preserve"> </w:t>
      </w:r>
      <w:r w:rsidRPr="0071774C">
        <w:t>social</w:t>
      </w:r>
      <w:r>
        <w:t xml:space="preserve"> </w:t>
      </w:r>
      <w:r w:rsidRPr="0071774C">
        <w:t>norms,</w:t>
      </w:r>
      <w:r>
        <w:t xml:space="preserve"> </w:t>
      </w:r>
      <w:r w:rsidRPr="0071774C">
        <w:t>practices,</w:t>
      </w:r>
      <w:r>
        <w:t xml:space="preserve"> </w:t>
      </w:r>
      <w:r w:rsidRPr="0071774C">
        <w:t>systems</w:t>
      </w:r>
      <w:r>
        <w:t xml:space="preserve"> </w:t>
      </w:r>
      <w:r w:rsidRPr="0071774C">
        <w:t>and</w:t>
      </w:r>
      <w:r>
        <w:t xml:space="preserve"> </w:t>
      </w:r>
      <w:r w:rsidRPr="0071774C">
        <w:t>structures</w:t>
      </w:r>
      <w:r>
        <w:t xml:space="preserve"> </w:t>
      </w:r>
      <w:r w:rsidRPr="0071774C">
        <w:t>that</w:t>
      </w:r>
      <w:r>
        <w:t xml:space="preserve"> </w:t>
      </w:r>
      <w:r w:rsidRPr="0071774C">
        <w:t>together</w:t>
      </w:r>
      <w:r>
        <w:t xml:space="preserve"> </w:t>
      </w:r>
      <w:r w:rsidRPr="0071774C">
        <w:t>drive</w:t>
      </w:r>
      <w:r>
        <w:t xml:space="preserve"> </w:t>
      </w:r>
      <w:r w:rsidRPr="0071774C">
        <w:t>and</w:t>
      </w:r>
      <w:r>
        <w:t xml:space="preserve"> </w:t>
      </w:r>
      <w:r w:rsidRPr="0071774C">
        <w:t>reinforce</w:t>
      </w:r>
      <w:r>
        <w:t xml:space="preserve"> </w:t>
      </w:r>
      <w:r w:rsidRPr="0071774C">
        <w:t>violence</w:t>
      </w:r>
      <w:r>
        <w:t xml:space="preserve"> </w:t>
      </w:r>
      <w:r w:rsidRPr="0071774C">
        <w:t>against</w:t>
      </w:r>
      <w:r>
        <w:t xml:space="preserve"> </w:t>
      </w:r>
      <w:r w:rsidRPr="0071774C">
        <w:t>women,</w:t>
      </w:r>
      <w:r>
        <w:t xml:space="preserve"> </w:t>
      </w:r>
      <w:r w:rsidRPr="0071774C">
        <w:t>and</w:t>
      </w:r>
      <w:r>
        <w:t xml:space="preserve"> </w:t>
      </w:r>
      <w:r w:rsidRPr="0071774C">
        <w:t>perpetuate</w:t>
      </w:r>
      <w:r>
        <w:t xml:space="preserve"> </w:t>
      </w:r>
      <w:r w:rsidRPr="0071774C">
        <w:t>gender</w:t>
      </w:r>
      <w:r>
        <w:t xml:space="preserve"> </w:t>
      </w:r>
      <w:r w:rsidRPr="0071774C">
        <w:t>inequality.</w:t>
      </w:r>
      <w:r>
        <w:t xml:space="preserve"> </w:t>
      </w:r>
      <w:r w:rsidRPr="0071774C">
        <w:t>While</w:t>
      </w:r>
      <w:r>
        <w:t xml:space="preserve"> </w:t>
      </w:r>
      <w:r w:rsidRPr="0071774C">
        <w:t>prevention</w:t>
      </w:r>
      <w:r>
        <w:t xml:space="preserve"> </w:t>
      </w:r>
      <w:r w:rsidRPr="0071774C">
        <w:t>ultimately</w:t>
      </w:r>
      <w:r>
        <w:t xml:space="preserve"> </w:t>
      </w:r>
      <w:r w:rsidRPr="0071774C">
        <w:t>aims</w:t>
      </w:r>
      <w:r>
        <w:t xml:space="preserve"> </w:t>
      </w:r>
      <w:r w:rsidRPr="0071774C">
        <w:t>to</w:t>
      </w:r>
      <w:r>
        <w:t xml:space="preserve"> </w:t>
      </w:r>
      <w:r w:rsidRPr="0071774C">
        <w:t>deliver</w:t>
      </w:r>
      <w:r>
        <w:t xml:space="preserve"> </w:t>
      </w:r>
      <w:r w:rsidRPr="0071774C">
        <w:t>a</w:t>
      </w:r>
      <w:r>
        <w:t xml:space="preserve"> </w:t>
      </w:r>
      <w:r w:rsidRPr="0071774C">
        <w:t>future</w:t>
      </w:r>
      <w:r>
        <w:t xml:space="preserve"> </w:t>
      </w:r>
      <w:r w:rsidRPr="0071774C">
        <w:t>free</w:t>
      </w:r>
      <w:r>
        <w:t xml:space="preserve"> </w:t>
      </w:r>
      <w:r w:rsidRPr="0071774C">
        <w:t>from</w:t>
      </w:r>
      <w:r>
        <w:t xml:space="preserve"> </w:t>
      </w:r>
      <w:r w:rsidRPr="0071774C">
        <w:t>violence</w:t>
      </w:r>
      <w:r>
        <w:t xml:space="preserve"> </w:t>
      </w:r>
      <w:r w:rsidRPr="0071774C">
        <w:t>against</w:t>
      </w:r>
      <w:r>
        <w:t xml:space="preserve"> </w:t>
      </w:r>
      <w:r w:rsidRPr="0071774C">
        <w:t>women,</w:t>
      </w:r>
      <w:r>
        <w:t xml:space="preserve"> </w:t>
      </w:r>
      <w:r w:rsidRPr="0071774C">
        <w:t>monitoring</w:t>
      </w:r>
      <w:r>
        <w:t xml:space="preserve"> </w:t>
      </w:r>
      <w:r w:rsidRPr="0071774C">
        <w:t>progress</w:t>
      </w:r>
      <w:r>
        <w:t xml:space="preserve"> </w:t>
      </w:r>
      <w:r w:rsidRPr="0071774C">
        <w:t>towards</w:t>
      </w:r>
      <w:r>
        <w:t xml:space="preserve"> </w:t>
      </w:r>
      <w:r w:rsidRPr="0071774C">
        <w:t>this</w:t>
      </w:r>
      <w:r>
        <w:t xml:space="preserve"> </w:t>
      </w:r>
      <w:r w:rsidRPr="0071774C">
        <w:t>ambitious</w:t>
      </w:r>
      <w:r>
        <w:t xml:space="preserve"> </w:t>
      </w:r>
      <w:r w:rsidRPr="0071774C">
        <w:t>long-term</w:t>
      </w:r>
      <w:r>
        <w:t xml:space="preserve"> </w:t>
      </w:r>
      <w:r w:rsidRPr="0071774C">
        <w:t>goal</w:t>
      </w:r>
      <w:r>
        <w:t xml:space="preserve"> </w:t>
      </w:r>
      <w:r w:rsidRPr="0071774C">
        <w:t>requires</w:t>
      </w:r>
      <w:r>
        <w:t xml:space="preserve"> </w:t>
      </w:r>
      <w:r w:rsidRPr="0071774C">
        <w:t>periodic</w:t>
      </w:r>
      <w:r>
        <w:t xml:space="preserve"> </w:t>
      </w:r>
      <w:r w:rsidRPr="0071774C">
        <w:t>assessments</w:t>
      </w:r>
      <w:r>
        <w:t xml:space="preserve"> </w:t>
      </w:r>
      <w:r w:rsidRPr="0071774C">
        <w:t>of</w:t>
      </w:r>
      <w:r w:rsidR="00851841">
        <w:t> </w:t>
      </w:r>
      <w:r w:rsidRPr="0071774C">
        <w:t>change</w:t>
      </w:r>
      <w:r>
        <w:t xml:space="preserve"> </w:t>
      </w:r>
      <w:r w:rsidRPr="0071774C">
        <w:t>along</w:t>
      </w:r>
      <w:r>
        <w:t xml:space="preserve"> </w:t>
      </w:r>
      <w:r w:rsidRPr="0071774C">
        <w:t>the</w:t>
      </w:r>
      <w:r>
        <w:t xml:space="preserve"> </w:t>
      </w:r>
      <w:r w:rsidRPr="0071774C">
        <w:t>way;</w:t>
      </w:r>
      <w:r>
        <w:t xml:space="preserve"> </w:t>
      </w:r>
      <w:r w:rsidRPr="0071774C">
        <w:t>a</w:t>
      </w:r>
      <w:r>
        <w:t xml:space="preserve"> </w:t>
      </w:r>
      <w:r w:rsidRPr="0071774C">
        <w:t>means</w:t>
      </w:r>
      <w:r>
        <w:t xml:space="preserve"> </w:t>
      </w:r>
      <w:r w:rsidRPr="0071774C">
        <w:t>of</w:t>
      </w:r>
      <w:r>
        <w:t xml:space="preserve"> </w:t>
      </w:r>
      <w:r w:rsidRPr="0071774C">
        <w:t>measuring</w:t>
      </w:r>
      <w:r>
        <w:t xml:space="preserve"> </w:t>
      </w:r>
      <w:r w:rsidRPr="0071774C">
        <w:t>the</w:t>
      </w:r>
      <w:r>
        <w:t xml:space="preserve"> </w:t>
      </w:r>
      <w:r w:rsidRPr="0071774C">
        <w:t>smaller</w:t>
      </w:r>
      <w:r>
        <w:t xml:space="preserve"> </w:t>
      </w:r>
      <w:r w:rsidRPr="0071774C">
        <w:t>steps</w:t>
      </w:r>
      <w:r>
        <w:t xml:space="preserve"> </w:t>
      </w:r>
      <w:r w:rsidRPr="0071774C">
        <w:t>and</w:t>
      </w:r>
      <w:r>
        <w:t xml:space="preserve"> </w:t>
      </w:r>
      <w:r w:rsidRPr="0071774C">
        <w:t>shorter-term</w:t>
      </w:r>
      <w:r>
        <w:t xml:space="preserve"> </w:t>
      </w:r>
      <w:r w:rsidRPr="0071774C">
        <w:t>achievements</w:t>
      </w:r>
      <w:r>
        <w:t xml:space="preserve"> </w:t>
      </w:r>
      <w:r w:rsidRPr="0071774C">
        <w:t>that</w:t>
      </w:r>
      <w:r>
        <w:t xml:space="preserve"> </w:t>
      </w:r>
      <w:r w:rsidRPr="0071774C">
        <w:t>indicate</w:t>
      </w:r>
      <w:r>
        <w:t xml:space="preserve"> </w:t>
      </w:r>
      <w:r w:rsidRPr="0071774C">
        <w:t>we</w:t>
      </w:r>
      <w:r>
        <w:t xml:space="preserve"> </w:t>
      </w:r>
      <w:r w:rsidRPr="0071774C">
        <w:t>are</w:t>
      </w:r>
      <w:r>
        <w:t xml:space="preserve"> </w:t>
      </w:r>
      <w:r w:rsidRPr="0071774C">
        <w:t>heading</w:t>
      </w:r>
      <w:r>
        <w:t xml:space="preserve"> </w:t>
      </w:r>
      <w:r w:rsidRPr="0071774C">
        <w:t>in</w:t>
      </w:r>
      <w:r>
        <w:t xml:space="preserve"> </w:t>
      </w:r>
      <w:r w:rsidRPr="0071774C">
        <w:t>the</w:t>
      </w:r>
      <w:r>
        <w:t xml:space="preserve"> </w:t>
      </w:r>
      <w:r w:rsidRPr="0071774C">
        <w:t>right</w:t>
      </w:r>
      <w:r>
        <w:t xml:space="preserve"> </w:t>
      </w:r>
      <w:r w:rsidRPr="0071774C">
        <w:t>direction.</w:t>
      </w:r>
    </w:p>
    <w:p w14:paraId="13751A40" w14:textId="77777777" w:rsidR="002C2EC7" w:rsidRDefault="002C2EC7" w:rsidP="00790783">
      <w:pPr>
        <w:pStyle w:val="BodyText"/>
      </w:pPr>
      <w:r w:rsidRPr="0071774C">
        <w:t>In</w:t>
      </w:r>
      <w:r>
        <w:t xml:space="preserve"> </w:t>
      </w:r>
      <w:r w:rsidRPr="0071774C">
        <w:t>2017,</w:t>
      </w:r>
      <w:r>
        <w:t xml:space="preserve"> </w:t>
      </w:r>
      <w:r w:rsidRPr="0071774C">
        <w:t>Our</w:t>
      </w:r>
      <w:r>
        <w:t xml:space="preserve"> </w:t>
      </w:r>
      <w:r w:rsidRPr="0071774C">
        <w:t>Watch</w:t>
      </w:r>
      <w:r>
        <w:t xml:space="preserve"> </w:t>
      </w:r>
      <w:r w:rsidRPr="0071774C">
        <w:t>and</w:t>
      </w:r>
      <w:r>
        <w:t xml:space="preserve"> </w:t>
      </w:r>
      <w:r w:rsidRPr="0071774C">
        <w:t>partners</w:t>
      </w:r>
      <w:r>
        <w:t xml:space="preserve"> </w:t>
      </w:r>
      <w:r w:rsidRPr="0071774C">
        <w:t>released</w:t>
      </w:r>
      <w:r>
        <w:t xml:space="preserve"> </w:t>
      </w:r>
      <w:r w:rsidRPr="00525643">
        <w:rPr>
          <w:rStyle w:val="Emphasis"/>
        </w:rPr>
        <w:t>Counting on change: a guide to prevention monitoring</w:t>
      </w:r>
      <w:r w:rsidRPr="0071774C">
        <w:rPr>
          <w:rStyle w:val="EndnoteReference"/>
        </w:rPr>
        <w:endnoteReference w:id="3"/>
      </w:r>
      <w:r>
        <w:rPr>
          <w:vertAlign w:val="superscript"/>
        </w:rPr>
        <w:t xml:space="preserve"> </w:t>
      </w:r>
      <w:r w:rsidRPr="0071774C">
        <w:t>as</w:t>
      </w:r>
      <w:r>
        <w:t xml:space="preserve"> </w:t>
      </w:r>
      <w:r w:rsidRPr="0071774C">
        <w:t>a</w:t>
      </w:r>
      <w:r>
        <w:t xml:space="preserve"> </w:t>
      </w:r>
      <w:r w:rsidRPr="0071774C">
        <w:t>companion</w:t>
      </w:r>
      <w:r>
        <w:t xml:space="preserve"> </w:t>
      </w:r>
      <w:r w:rsidRPr="0071774C">
        <w:t>document</w:t>
      </w:r>
      <w:r>
        <w:t xml:space="preserve"> </w:t>
      </w:r>
      <w:r w:rsidRPr="0071774C">
        <w:t>to</w:t>
      </w:r>
      <w:r>
        <w:t xml:space="preserve"> </w:t>
      </w:r>
      <w:r w:rsidRPr="00525643">
        <w:rPr>
          <w:rStyle w:val="Emphasis"/>
        </w:rPr>
        <w:t>Change the story</w:t>
      </w:r>
      <w:r w:rsidRPr="0042228B">
        <w:t>.</w:t>
      </w:r>
      <w:r w:rsidRPr="0042228B">
        <w:rPr>
          <w:rStyle w:val="EndnoteReference"/>
        </w:rPr>
        <w:endnoteReference w:id="4"/>
      </w:r>
      <w:r w:rsidRPr="00525643">
        <w:rPr>
          <w:rStyle w:val="Emphasis"/>
        </w:rPr>
        <w:t xml:space="preserve"> Counting on change</w:t>
      </w:r>
      <w:r>
        <w:t xml:space="preserve"> </w:t>
      </w:r>
      <w:r w:rsidRPr="0071774C">
        <w:t>identified</w:t>
      </w:r>
      <w:r>
        <w:t xml:space="preserve"> </w:t>
      </w:r>
      <w:r w:rsidRPr="0071774C">
        <w:t>indicators</w:t>
      </w:r>
      <w:r>
        <w:t xml:space="preserve"> </w:t>
      </w:r>
      <w:r w:rsidRPr="0071774C">
        <w:t>aligned</w:t>
      </w:r>
      <w:r>
        <w:t xml:space="preserve"> </w:t>
      </w:r>
      <w:r w:rsidRPr="0071774C">
        <w:t>with:</w:t>
      </w:r>
    </w:p>
    <w:p w14:paraId="0E7CD648" w14:textId="66F4A3DD" w:rsidR="002C2EC7" w:rsidRDefault="002C2EC7" w:rsidP="00790783">
      <w:pPr>
        <w:pStyle w:val="OWNumberdigit"/>
      </w:pPr>
      <w:r w:rsidRPr="00525643">
        <w:rPr>
          <w:rStyle w:val="Emphasis"/>
        </w:rPr>
        <w:t>Short-term or process-level change:</w:t>
      </w:r>
      <w:r>
        <w:t xml:space="preserve"> </w:t>
      </w:r>
      <w:r w:rsidRPr="0071774C">
        <w:t>the</w:t>
      </w:r>
      <w:r>
        <w:t xml:space="preserve"> </w:t>
      </w:r>
      <w:r w:rsidRPr="0071774C">
        <w:t>efforts</w:t>
      </w:r>
      <w:r>
        <w:t xml:space="preserve"> </w:t>
      </w:r>
      <w:r w:rsidRPr="0071774C">
        <w:t>that</w:t>
      </w:r>
      <w:r>
        <w:t xml:space="preserve"> </w:t>
      </w:r>
      <w:r w:rsidRPr="0071774C">
        <w:t>are</w:t>
      </w:r>
      <w:r>
        <w:t xml:space="preserve"> </w:t>
      </w:r>
      <w:r w:rsidRPr="0071774C">
        <w:t>being</w:t>
      </w:r>
      <w:r>
        <w:t xml:space="preserve"> </w:t>
      </w:r>
      <w:r w:rsidRPr="0071774C">
        <w:t>made</w:t>
      </w:r>
      <w:r>
        <w:t xml:space="preserve"> </w:t>
      </w:r>
      <w:r w:rsidRPr="0071774C">
        <w:t>to</w:t>
      </w:r>
      <w:r>
        <w:t xml:space="preserve"> </w:t>
      </w:r>
      <w:r w:rsidRPr="0071774C">
        <w:t>prevent</w:t>
      </w:r>
      <w:r>
        <w:t xml:space="preserve"> </w:t>
      </w:r>
      <w:r w:rsidRPr="0071774C">
        <w:t>violence</w:t>
      </w:r>
      <w:r>
        <w:t xml:space="preserve"> </w:t>
      </w:r>
      <w:r w:rsidRPr="0071774C">
        <w:t>against</w:t>
      </w:r>
      <w:r>
        <w:t xml:space="preserve"> </w:t>
      </w:r>
      <w:r w:rsidRPr="0071774C">
        <w:t>women,</w:t>
      </w:r>
      <w:r>
        <w:t xml:space="preserve"> </w:t>
      </w:r>
      <w:r w:rsidRPr="0071774C">
        <w:t>and</w:t>
      </w:r>
      <w:r>
        <w:t xml:space="preserve"> </w:t>
      </w:r>
      <w:r w:rsidRPr="0071774C">
        <w:t>the</w:t>
      </w:r>
      <w:r>
        <w:t xml:space="preserve"> </w:t>
      </w:r>
      <w:r w:rsidRPr="0071774C">
        <w:t>‘infrastructure’,</w:t>
      </w:r>
      <w:r>
        <w:t xml:space="preserve"> </w:t>
      </w:r>
      <w:r w:rsidRPr="0071774C">
        <w:t>or</w:t>
      </w:r>
      <w:r>
        <w:t xml:space="preserve"> </w:t>
      </w:r>
      <w:r w:rsidRPr="0071774C">
        <w:t>systems,</w:t>
      </w:r>
      <w:r>
        <w:t xml:space="preserve"> </w:t>
      </w:r>
      <w:r w:rsidRPr="0071774C">
        <w:t>structures</w:t>
      </w:r>
      <w:r>
        <w:t xml:space="preserve"> </w:t>
      </w:r>
      <w:r w:rsidRPr="0071774C">
        <w:t>and</w:t>
      </w:r>
      <w:r>
        <w:t xml:space="preserve"> </w:t>
      </w:r>
      <w:r w:rsidRPr="0071774C">
        <w:t>human</w:t>
      </w:r>
      <w:r>
        <w:t xml:space="preserve"> </w:t>
      </w:r>
      <w:r w:rsidRPr="0071774C">
        <w:t>capacities</w:t>
      </w:r>
      <w:r>
        <w:t xml:space="preserve"> </w:t>
      </w:r>
      <w:r w:rsidRPr="0071774C">
        <w:t>that</w:t>
      </w:r>
      <w:r>
        <w:t xml:space="preserve"> </w:t>
      </w:r>
      <w:r w:rsidRPr="0071774C">
        <w:t>are</w:t>
      </w:r>
      <w:r>
        <w:t xml:space="preserve"> </w:t>
      </w:r>
      <w:r w:rsidRPr="0071774C">
        <w:t>being</w:t>
      </w:r>
      <w:r>
        <w:t xml:space="preserve"> </w:t>
      </w:r>
      <w:r w:rsidRPr="0071774C">
        <w:t>built</w:t>
      </w:r>
      <w:r>
        <w:t xml:space="preserve"> </w:t>
      </w:r>
      <w:r w:rsidRPr="0071774C">
        <w:t>and</w:t>
      </w:r>
      <w:r>
        <w:t xml:space="preserve"> </w:t>
      </w:r>
      <w:r w:rsidRPr="0071774C">
        <w:t>developed</w:t>
      </w:r>
      <w:r>
        <w:t xml:space="preserve"> </w:t>
      </w:r>
      <w:r w:rsidRPr="0071774C">
        <w:t>to</w:t>
      </w:r>
      <w:r>
        <w:t xml:space="preserve"> </w:t>
      </w:r>
      <w:r w:rsidRPr="0071774C">
        <w:t>support</w:t>
      </w:r>
      <w:r>
        <w:t xml:space="preserve"> </w:t>
      </w:r>
      <w:r w:rsidRPr="0071774C">
        <w:t>those</w:t>
      </w:r>
      <w:r>
        <w:t xml:space="preserve"> </w:t>
      </w:r>
      <w:r w:rsidRPr="0071774C">
        <w:t>primary</w:t>
      </w:r>
      <w:r>
        <w:t xml:space="preserve"> </w:t>
      </w:r>
      <w:r w:rsidRPr="0071774C">
        <w:t>prevention</w:t>
      </w:r>
      <w:r>
        <w:t xml:space="preserve"> </w:t>
      </w:r>
      <w:r w:rsidRPr="0071774C">
        <w:t>efforts.</w:t>
      </w:r>
      <w:r>
        <w:t xml:space="preserve"> </w:t>
      </w:r>
      <w:r w:rsidRPr="0071774C">
        <w:t>(In</w:t>
      </w:r>
      <w:r>
        <w:t xml:space="preserve"> </w:t>
      </w:r>
      <w:r w:rsidRPr="0071774C">
        <w:t>this</w:t>
      </w:r>
      <w:r>
        <w:t xml:space="preserve"> </w:t>
      </w:r>
      <w:r w:rsidRPr="0071774C">
        <w:t>report,</w:t>
      </w:r>
      <w:r>
        <w:t xml:space="preserve"> </w:t>
      </w:r>
      <w:r w:rsidRPr="0071774C">
        <w:t>we</w:t>
      </w:r>
      <w:r>
        <w:t xml:space="preserve"> </w:t>
      </w:r>
      <w:r w:rsidRPr="0071774C">
        <w:t>refer</w:t>
      </w:r>
      <w:r>
        <w:t xml:space="preserve"> </w:t>
      </w:r>
      <w:r w:rsidRPr="0071774C">
        <w:t>to</w:t>
      </w:r>
      <w:r>
        <w:t xml:space="preserve"> </w:t>
      </w:r>
      <w:r w:rsidRPr="0071774C">
        <w:t>these</w:t>
      </w:r>
      <w:r>
        <w:t xml:space="preserve"> </w:t>
      </w:r>
      <w:r w:rsidRPr="0071774C">
        <w:t>as</w:t>
      </w:r>
      <w:r>
        <w:t xml:space="preserve"> </w:t>
      </w:r>
      <w:r w:rsidRPr="0071774C">
        <w:t>the</w:t>
      </w:r>
      <w:r>
        <w:t xml:space="preserve"> </w:t>
      </w:r>
      <w:r w:rsidRPr="0071774C">
        <w:t>‘prevention</w:t>
      </w:r>
      <w:r>
        <w:t xml:space="preserve"> </w:t>
      </w:r>
      <w:r w:rsidRPr="0071774C">
        <w:t>foundations’,</w:t>
      </w:r>
      <w:r>
        <w:t xml:space="preserve"> </w:t>
      </w:r>
      <w:r w:rsidRPr="0071774C">
        <w:t>which</w:t>
      </w:r>
      <w:r>
        <w:t xml:space="preserve"> </w:t>
      </w:r>
      <w:r w:rsidRPr="0071774C">
        <w:t>are</w:t>
      </w:r>
      <w:r>
        <w:t xml:space="preserve"> </w:t>
      </w:r>
      <w:r w:rsidRPr="0071774C">
        <w:t>the</w:t>
      </w:r>
      <w:r>
        <w:t xml:space="preserve"> </w:t>
      </w:r>
      <w:r w:rsidRPr="0071774C">
        <w:t>focus</w:t>
      </w:r>
      <w:r>
        <w:t xml:space="preserve"> </w:t>
      </w:r>
      <w:r w:rsidRPr="0071774C">
        <w:t>of</w:t>
      </w:r>
      <w:r>
        <w:t xml:space="preserve"> </w:t>
      </w:r>
      <w:r w:rsidR="007E52B0">
        <w:t>S</w:t>
      </w:r>
      <w:r>
        <w:t>ection</w:t>
      </w:r>
      <w:r w:rsidR="007E52B0">
        <w:t> 1</w:t>
      </w:r>
      <w:r w:rsidRPr="0071774C">
        <w:t>).</w:t>
      </w:r>
    </w:p>
    <w:p w14:paraId="66353124" w14:textId="388A3667" w:rsidR="002C2EC7" w:rsidRDefault="002C2EC7" w:rsidP="00790783">
      <w:pPr>
        <w:pStyle w:val="OWNumberdigit"/>
      </w:pPr>
      <w:r w:rsidRPr="00525643">
        <w:rPr>
          <w:rStyle w:val="Emphasis"/>
        </w:rPr>
        <w:t xml:space="preserve">Medium-term </w:t>
      </w:r>
      <w:r w:rsidR="007E52B0">
        <w:rPr>
          <w:rStyle w:val="Emphasis"/>
        </w:rPr>
        <w:t xml:space="preserve">to long-term </w:t>
      </w:r>
      <w:r w:rsidRPr="00525643">
        <w:rPr>
          <w:rStyle w:val="Emphasis"/>
        </w:rPr>
        <w:t xml:space="preserve">outcomes: </w:t>
      </w:r>
      <w:r w:rsidRPr="0071774C">
        <w:t>positive</w:t>
      </w:r>
      <w:r>
        <w:t xml:space="preserve"> </w:t>
      </w:r>
      <w:r w:rsidRPr="0071774C">
        <w:t>change</w:t>
      </w:r>
      <w:r>
        <w:t xml:space="preserve"> </w:t>
      </w:r>
      <w:r w:rsidRPr="0071774C">
        <w:t>to</w:t>
      </w:r>
      <w:r>
        <w:t xml:space="preserve"> </w:t>
      </w:r>
      <w:r w:rsidRPr="0071774C">
        <w:t>the</w:t>
      </w:r>
      <w:r>
        <w:t xml:space="preserve"> </w:t>
      </w:r>
      <w:r w:rsidRPr="0071774C">
        <w:t>gendered</w:t>
      </w:r>
      <w:r>
        <w:t xml:space="preserve"> </w:t>
      </w:r>
      <w:r w:rsidRPr="0071774C">
        <w:t>drivers</w:t>
      </w:r>
      <w:r>
        <w:t xml:space="preserve"> </w:t>
      </w:r>
      <w:r w:rsidRPr="0071774C">
        <w:t>and</w:t>
      </w:r>
      <w:r>
        <w:t xml:space="preserve"> </w:t>
      </w:r>
      <w:r w:rsidRPr="0071774C">
        <w:t>reinforcing</w:t>
      </w:r>
      <w:r>
        <w:t xml:space="preserve"> </w:t>
      </w:r>
      <w:r w:rsidRPr="0071774C">
        <w:t>factors</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as</w:t>
      </w:r>
      <w:r>
        <w:t xml:space="preserve"> </w:t>
      </w:r>
      <w:r w:rsidRPr="0071774C">
        <w:t>measured</w:t>
      </w:r>
      <w:r>
        <w:t xml:space="preserve"> </w:t>
      </w:r>
      <w:r w:rsidRPr="0071774C">
        <w:t>at</w:t>
      </w:r>
      <w:r>
        <w:t xml:space="preserve"> </w:t>
      </w:r>
      <w:r w:rsidRPr="0071774C">
        <w:t>a</w:t>
      </w:r>
      <w:r>
        <w:t xml:space="preserve"> </w:t>
      </w:r>
      <w:r w:rsidRPr="0071774C">
        <w:t>whole-of-population</w:t>
      </w:r>
      <w:r>
        <w:t xml:space="preserve"> </w:t>
      </w:r>
      <w:r w:rsidRPr="0071774C">
        <w:t>level.</w:t>
      </w:r>
      <w:r w:rsidR="007E52B0">
        <w:t xml:space="preserve"> These </w:t>
      </w:r>
      <w:r w:rsidR="007E52B0" w:rsidRPr="0071774C">
        <w:t>are</w:t>
      </w:r>
      <w:r w:rsidR="007E52B0">
        <w:t xml:space="preserve"> </w:t>
      </w:r>
      <w:r w:rsidR="007E52B0" w:rsidRPr="0071774C">
        <w:t>the</w:t>
      </w:r>
      <w:r w:rsidR="007E52B0">
        <w:t xml:space="preserve"> </w:t>
      </w:r>
      <w:r w:rsidR="007E52B0" w:rsidRPr="0071774C">
        <w:t>focus</w:t>
      </w:r>
      <w:r w:rsidR="007E52B0">
        <w:t xml:space="preserve"> </w:t>
      </w:r>
      <w:r w:rsidR="007E52B0" w:rsidRPr="0071774C">
        <w:t>of</w:t>
      </w:r>
      <w:r w:rsidR="007E52B0">
        <w:t xml:space="preserve"> Section 2 Part A of this report.</w:t>
      </w:r>
    </w:p>
    <w:p w14:paraId="21AB19A2" w14:textId="705CFE82" w:rsidR="002C2EC7" w:rsidRDefault="002C2EC7" w:rsidP="00790783">
      <w:pPr>
        <w:pStyle w:val="OWNumberdigit"/>
      </w:pPr>
      <w:r w:rsidRPr="00525643">
        <w:rPr>
          <w:rStyle w:val="Emphasis"/>
        </w:rPr>
        <w:t xml:space="preserve">Long-term </w:t>
      </w:r>
      <w:r w:rsidR="007E52B0">
        <w:rPr>
          <w:rStyle w:val="Emphasis"/>
        </w:rPr>
        <w:t>change</w:t>
      </w:r>
      <w:r w:rsidRPr="00525643">
        <w:rPr>
          <w:rStyle w:val="Emphasis"/>
        </w:rPr>
        <w:t>:</w:t>
      </w:r>
      <w:r>
        <w:t xml:space="preserve"> </w:t>
      </w:r>
      <w:r w:rsidRPr="0071774C">
        <w:t>reductions</w:t>
      </w:r>
      <w:r>
        <w:t xml:space="preserve"> </w:t>
      </w:r>
      <w:r w:rsidRPr="0071774C">
        <w:t>i</w:t>
      </w:r>
      <w:r w:rsidRPr="00525643">
        <w:t>n popul</w:t>
      </w:r>
      <w:r w:rsidRPr="0071774C">
        <w:t>ation-level</w:t>
      </w:r>
      <w:r>
        <w:t xml:space="preserve"> </w:t>
      </w:r>
      <w:r w:rsidRPr="0071774C">
        <w:t>prevalence</w:t>
      </w:r>
      <w:r>
        <w:t xml:space="preserve"> </w:t>
      </w:r>
      <w:r w:rsidRPr="0071774C">
        <w:t>rates</w:t>
      </w:r>
      <w:r>
        <w:t xml:space="preserve"> </w:t>
      </w:r>
      <w:r w:rsidRPr="0071774C">
        <w:t>of</w:t>
      </w:r>
      <w:r>
        <w:t xml:space="preserve"> </w:t>
      </w:r>
      <w:r w:rsidRPr="0071774C">
        <w:t>violence</w:t>
      </w:r>
      <w:r>
        <w:t xml:space="preserve"> </w:t>
      </w:r>
      <w:r w:rsidRPr="0071774C">
        <w:t>against</w:t>
      </w:r>
      <w:r>
        <w:t xml:space="preserve"> </w:t>
      </w:r>
      <w:r w:rsidRPr="0071774C">
        <w:t>women</w:t>
      </w:r>
      <w:r w:rsidR="007E52B0">
        <w:t>, which are the focus of</w:t>
      </w:r>
      <w:r>
        <w:t xml:space="preserve"> </w:t>
      </w:r>
      <w:r w:rsidR="007E52B0">
        <w:t>S</w:t>
      </w:r>
      <w:r w:rsidRPr="00962F6B">
        <w:t>ection</w:t>
      </w:r>
      <w:r>
        <w:t xml:space="preserve"> </w:t>
      </w:r>
      <w:r w:rsidR="007E52B0">
        <w:t>2 Part B</w:t>
      </w:r>
      <w:r>
        <w:t xml:space="preserve"> of this report</w:t>
      </w:r>
      <w:r w:rsidRPr="0071774C">
        <w:t>.</w:t>
      </w:r>
    </w:p>
    <w:p w14:paraId="3C031060" w14:textId="77777777" w:rsidR="002C2EC7" w:rsidRDefault="002C2EC7" w:rsidP="00790783">
      <w:pPr>
        <w:pStyle w:val="OWBodytextafterlist"/>
      </w:pPr>
      <w:r w:rsidRPr="00525643">
        <w:rPr>
          <w:rStyle w:val="Emphasis"/>
        </w:rPr>
        <w:t>Counting on change</w:t>
      </w:r>
      <w:r w:rsidRPr="0042228B">
        <w:rPr>
          <w:rStyle w:val="EndnoteReference"/>
          <w:sz w:val="22"/>
          <w:szCs w:val="22"/>
        </w:rPr>
        <w:endnoteReference w:id="5"/>
      </w:r>
      <w:r>
        <w:rPr>
          <w:sz w:val="22"/>
          <w:szCs w:val="22"/>
        </w:rPr>
        <w:t xml:space="preserve"> </w:t>
      </w:r>
      <w:r w:rsidRPr="0071774C">
        <w:t>identified</w:t>
      </w:r>
      <w:r>
        <w:t xml:space="preserve"> </w:t>
      </w:r>
      <w:r w:rsidRPr="0071774C">
        <w:t>indicators</w:t>
      </w:r>
      <w:r>
        <w:t xml:space="preserve"> </w:t>
      </w:r>
      <w:r w:rsidRPr="0071774C">
        <w:t>and</w:t>
      </w:r>
      <w:r>
        <w:t xml:space="preserve"> </w:t>
      </w:r>
      <w:r w:rsidRPr="0071774C">
        <w:t>potential</w:t>
      </w:r>
      <w:r>
        <w:t xml:space="preserve"> </w:t>
      </w:r>
      <w:r w:rsidRPr="0071774C">
        <w:t>data</w:t>
      </w:r>
      <w:r>
        <w:t xml:space="preserve"> </w:t>
      </w:r>
      <w:r w:rsidRPr="0071774C">
        <w:t>sources</w:t>
      </w:r>
      <w:r>
        <w:t xml:space="preserve"> </w:t>
      </w:r>
      <w:r w:rsidRPr="0071774C">
        <w:t>to</w:t>
      </w:r>
      <w:r>
        <w:t xml:space="preserve"> </w:t>
      </w:r>
      <w:r w:rsidRPr="0071774C">
        <w:t>enable</w:t>
      </w:r>
      <w:r>
        <w:t xml:space="preserve"> </w:t>
      </w:r>
      <w:r w:rsidRPr="0071774C">
        <w:t>measurement</w:t>
      </w:r>
      <w:r>
        <w:t xml:space="preserve"> </w:t>
      </w:r>
      <w:r w:rsidRPr="0071774C">
        <w:t>aligned</w:t>
      </w:r>
      <w:r>
        <w:t xml:space="preserve"> </w:t>
      </w:r>
      <w:r w:rsidRPr="0071774C">
        <w:t>with</w:t>
      </w:r>
      <w:r>
        <w:t xml:space="preserve"> </w:t>
      </w:r>
      <w:r w:rsidRPr="0071774C">
        <w:t>medium-</w:t>
      </w:r>
      <w:r>
        <w:t xml:space="preserve"> </w:t>
      </w:r>
      <w:r w:rsidRPr="0071774C">
        <w:t>and</w:t>
      </w:r>
      <w:r>
        <w:t xml:space="preserve"> </w:t>
      </w:r>
      <w:r w:rsidRPr="0071774C">
        <w:t>long-term</w:t>
      </w:r>
      <w:r>
        <w:t xml:space="preserve"> </w:t>
      </w:r>
      <w:r w:rsidRPr="0071774C">
        <w:t>outcomes.</w:t>
      </w:r>
      <w:r>
        <w:t xml:space="preserve"> </w:t>
      </w:r>
      <w:r w:rsidRPr="0071774C">
        <w:t>It</w:t>
      </w:r>
      <w:r>
        <w:t xml:space="preserve"> </w:t>
      </w:r>
      <w:r w:rsidRPr="0071774C">
        <w:t>gave</w:t>
      </w:r>
      <w:r>
        <w:t xml:space="preserve"> </w:t>
      </w:r>
      <w:r w:rsidRPr="0071774C">
        <w:t>priority</w:t>
      </w:r>
      <w:r>
        <w:t xml:space="preserve"> </w:t>
      </w:r>
      <w:r w:rsidRPr="0071774C">
        <w:t>to</w:t>
      </w:r>
      <w:r>
        <w:t xml:space="preserve"> </w:t>
      </w:r>
      <w:r w:rsidRPr="0071774C">
        <w:t>data</w:t>
      </w:r>
      <w:r>
        <w:t xml:space="preserve"> </w:t>
      </w:r>
      <w:r w:rsidRPr="0071774C">
        <w:t>sources</w:t>
      </w:r>
      <w:r>
        <w:t xml:space="preserve"> </w:t>
      </w:r>
      <w:r w:rsidRPr="0071774C">
        <w:t>that</w:t>
      </w:r>
      <w:r>
        <w:t xml:space="preserve"> </w:t>
      </w:r>
      <w:r w:rsidRPr="0071774C">
        <w:t>allow</w:t>
      </w:r>
      <w:r>
        <w:t xml:space="preserve"> </w:t>
      </w:r>
      <w:r w:rsidRPr="0071774C">
        <w:t>for</w:t>
      </w:r>
      <w:r>
        <w:t xml:space="preserve"> </w:t>
      </w:r>
      <w:r w:rsidRPr="0071774C">
        <w:t>the</w:t>
      </w:r>
      <w:r>
        <w:rPr>
          <w:color w:val="0078D4"/>
        </w:rPr>
        <w:t xml:space="preserve"> </w:t>
      </w:r>
      <w:r w:rsidRPr="0071774C">
        <w:t>quantification</w:t>
      </w:r>
      <w:r>
        <w:t xml:space="preserve"> </w:t>
      </w:r>
      <w:r w:rsidRPr="0071774C">
        <w:t>of</w:t>
      </w:r>
      <w:r>
        <w:t xml:space="preserve"> </w:t>
      </w:r>
      <w:r w:rsidRPr="0071774C">
        <w:t>change</w:t>
      </w:r>
      <w:r>
        <w:t xml:space="preserve"> </w:t>
      </w:r>
      <w:r w:rsidRPr="0071774C">
        <w:t>over</w:t>
      </w:r>
      <w:r>
        <w:t xml:space="preserve"> </w:t>
      </w:r>
      <w:r w:rsidRPr="0071774C">
        <w:t>time,</w:t>
      </w:r>
      <w:r>
        <w:t xml:space="preserve"> </w:t>
      </w:r>
      <w:r w:rsidRPr="0071774C">
        <w:t>are</w:t>
      </w:r>
      <w:r>
        <w:t xml:space="preserve"> </w:t>
      </w:r>
      <w:r w:rsidRPr="0071774C">
        <w:t>rigorous,</w:t>
      </w:r>
      <w:r>
        <w:t xml:space="preserve"> </w:t>
      </w:r>
      <w:r w:rsidRPr="0071774C">
        <w:t>and</w:t>
      </w:r>
      <w:r>
        <w:t xml:space="preserve"> </w:t>
      </w:r>
      <w:r w:rsidRPr="0071774C">
        <w:t>are</w:t>
      </w:r>
      <w:r>
        <w:t xml:space="preserve"> </w:t>
      </w:r>
      <w:r w:rsidRPr="0071774C">
        <w:t>representative</w:t>
      </w:r>
      <w:r>
        <w:t xml:space="preserve"> </w:t>
      </w:r>
      <w:r w:rsidRPr="0071774C">
        <w:t>of</w:t>
      </w:r>
      <w:r>
        <w:t xml:space="preserve"> </w:t>
      </w:r>
      <w:r w:rsidRPr="0071774C">
        <w:t>the</w:t>
      </w:r>
      <w:r>
        <w:t xml:space="preserve"> </w:t>
      </w:r>
      <w:r w:rsidRPr="0071774C">
        <w:t>Australian</w:t>
      </w:r>
      <w:r>
        <w:t xml:space="preserve"> </w:t>
      </w:r>
      <w:r w:rsidRPr="0071774C">
        <w:t>population.</w:t>
      </w:r>
    </w:p>
    <w:p w14:paraId="5C981960" w14:textId="77777777" w:rsidR="002C2EC7" w:rsidRDefault="002C2EC7" w:rsidP="00790783">
      <w:pPr>
        <w:pStyle w:val="BodyText"/>
      </w:pPr>
      <w:r w:rsidRPr="0071774C">
        <w:t>This</w:t>
      </w:r>
      <w:r>
        <w:t xml:space="preserve"> </w:t>
      </w:r>
      <w:r w:rsidRPr="0071774C">
        <w:t>report</w:t>
      </w:r>
      <w:r>
        <w:t xml:space="preserve"> </w:t>
      </w:r>
      <w:r w:rsidRPr="0071774C">
        <w:t>operationalises</w:t>
      </w:r>
      <w:r>
        <w:t xml:space="preserve"> </w:t>
      </w:r>
      <w:r w:rsidRPr="00525643">
        <w:rPr>
          <w:rStyle w:val="Emphasis"/>
        </w:rPr>
        <w:t>Counting on change</w:t>
      </w:r>
      <w:r>
        <w:t xml:space="preserve"> </w:t>
      </w:r>
      <w:r w:rsidRPr="0071774C">
        <w:t>by</w:t>
      </w:r>
      <w:r>
        <w:t xml:space="preserve"> </w:t>
      </w:r>
      <w:r w:rsidRPr="0071774C">
        <w:t>presenting</w:t>
      </w:r>
      <w:r>
        <w:t xml:space="preserve"> </w:t>
      </w:r>
      <w:r w:rsidRPr="0071774C">
        <w:t>a</w:t>
      </w:r>
      <w:r>
        <w:t xml:space="preserve"> </w:t>
      </w:r>
      <w:r w:rsidRPr="0071774C">
        <w:t>picture</w:t>
      </w:r>
      <w:r>
        <w:t xml:space="preserve"> </w:t>
      </w:r>
      <w:r w:rsidRPr="0071774C">
        <w:t>of</w:t>
      </w:r>
      <w:r>
        <w:t xml:space="preserve"> </w:t>
      </w:r>
      <w:r w:rsidRPr="0071774C">
        <w:t>the</w:t>
      </w:r>
      <w:r>
        <w:t xml:space="preserve"> </w:t>
      </w:r>
      <w:r w:rsidRPr="0071774C">
        <w:t>current</w:t>
      </w:r>
      <w:r>
        <w:t xml:space="preserve"> </w:t>
      </w:r>
      <w:r w:rsidRPr="0071774C">
        <w:t>state</w:t>
      </w:r>
      <w:r>
        <w:t xml:space="preserve"> </w:t>
      </w:r>
      <w:r w:rsidRPr="0071774C">
        <w:t>(baseline)</w:t>
      </w:r>
      <w:r>
        <w:t xml:space="preserve"> </w:t>
      </w:r>
      <w:r w:rsidRPr="0071774C">
        <w:t>of</w:t>
      </w:r>
      <w:r>
        <w:t xml:space="preserve"> </w:t>
      </w:r>
      <w:r w:rsidRPr="0071774C">
        <w:t>progress</w:t>
      </w:r>
      <w:r>
        <w:t xml:space="preserve"> </w:t>
      </w:r>
      <w:r w:rsidRPr="0071774C">
        <w:t>towards</w:t>
      </w:r>
      <w:r>
        <w:t xml:space="preserve"> </w:t>
      </w:r>
      <w:r w:rsidRPr="0071774C">
        <w:t>primary</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and</w:t>
      </w:r>
      <w:r>
        <w:t xml:space="preserve"> </w:t>
      </w:r>
      <w:r w:rsidRPr="0071774C">
        <w:t>their</w:t>
      </w:r>
      <w:r>
        <w:t xml:space="preserve"> </w:t>
      </w:r>
      <w:r w:rsidRPr="0071774C">
        <w:t>children</w:t>
      </w:r>
      <w:r>
        <w:t xml:space="preserve"> </w:t>
      </w:r>
      <w:r w:rsidRPr="0071774C">
        <w:t>in</w:t>
      </w:r>
      <w:r>
        <w:t xml:space="preserve"> </w:t>
      </w:r>
      <w:r w:rsidRPr="0071774C">
        <w:t>Australia</w:t>
      </w:r>
      <w:r>
        <w:t xml:space="preserve"> </w:t>
      </w:r>
      <w:r w:rsidRPr="0071774C">
        <w:t>and,</w:t>
      </w:r>
      <w:r>
        <w:t xml:space="preserve"> </w:t>
      </w:r>
      <w:r w:rsidRPr="0071774C">
        <w:t>where</w:t>
      </w:r>
      <w:r>
        <w:t xml:space="preserve"> </w:t>
      </w:r>
      <w:r w:rsidRPr="0071774C">
        <w:t>possible,</w:t>
      </w:r>
      <w:r>
        <w:t xml:space="preserve"> </w:t>
      </w:r>
      <w:r w:rsidRPr="0071774C">
        <w:t>analysing</w:t>
      </w:r>
      <w:r>
        <w:t xml:space="preserve"> </w:t>
      </w:r>
      <w:r w:rsidRPr="0071774C">
        <w:t>the</w:t>
      </w:r>
      <w:r>
        <w:t xml:space="preserve"> </w:t>
      </w:r>
      <w:r w:rsidRPr="0071774C">
        <w:t>degree,</w:t>
      </w:r>
      <w:r>
        <w:t xml:space="preserve"> </w:t>
      </w:r>
      <w:r w:rsidRPr="0071774C">
        <w:t>nature</w:t>
      </w:r>
      <w:r>
        <w:t xml:space="preserve"> </w:t>
      </w:r>
      <w:r w:rsidRPr="0071774C">
        <w:t>and</w:t>
      </w:r>
      <w:r>
        <w:t xml:space="preserve"> </w:t>
      </w:r>
      <w:r w:rsidRPr="0071774C">
        <w:t>process</w:t>
      </w:r>
      <w:r>
        <w:t xml:space="preserve"> </w:t>
      </w:r>
      <w:r w:rsidRPr="0071774C">
        <w:t>of</w:t>
      </w:r>
      <w:r>
        <w:t xml:space="preserve"> </w:t>
      </w:r>
      <w:r w:rsidRPr="0071774C">
        <w:t>change</w:t>
      </w:r>
      <w:r>
        <w:t xml:space="preserve"> </w:t>
      </w:r>
      <w:r w:rsidRPr="0071774C">
        <w:t>over</w:t>
      </w:r>
      <w:r>
        <w:t xml:space="preserve"> </w:t>
      </w:r>
      <w:r w:rsidRPr="0071774C">
        <w:t>this</w:t>
      </w:r>
      <w:r>
        <w:t xml:space="preserve"> </w:t>
      </w:r>
      <w:r w:rsidRPr="0071774C">
        <w:t>decade.</w:t>
      </w:r>
    </w:p>
    <w:p w14:paraId="5212644C" w14:textId="77777777" w:rsidR="002C2EC7" w:rsidRPr="005172C9" w:rsidRDefault="002C2EC7" w:rsidP="006337B0">
      <w:pPr>
        <w:pStyle w:val="Heading3"/>
        <w:rPr>
          <w:rStyle w:val="OWCharacterHibiscus"/>
        </w:rPr>
      </w:pPr>
      <w:bookmarkStart w:id="4" w:name="_Key_findings"/>
      <w:bookmarkStart w:id="5" w:name="_Ref48828061"/>
      <w:bookmarkStart w:id="6" w:name="_Toc55053295"/>
      <w:bookmarkEnd w:id="4"/>
      <w:r w:rsidRPr="005172C9">
        <w:rPr>
          <w:rStyle w:val="OWCharacterHibiscus"/>
        </w:rPr>
        <w:lastRenderedPageBreak/>
        <w:t>Key findings</w:t>
      </w:r>
      <w:bookmarkEnd w:id="5"/>
      <w:bookmarkEnd w:id="6"/>
    </w:p>
    <w:p w14:paraId="269E8B15" w14:textId="77777777" w:rsidR="002C2EC7" w:rsidRDefault="002C2EC7" w:rsidP="00790783">
      <w:pPr>
        <w:pStyle w:val="BodyText"/>
      </w:pPr>
      <w:r w:rsidRPr="0071774C">
        <w:t>The</w:t>
      </w:r>
      <w:r>
        <w:t xml:space="preserve"> </w:t>
      </w:r>
      <w:r w:rsidRPr="0071774C">
        <w:t>report</w:t>
      </w:r>
      <w:r>
        <w:t xml:space="preserve"> </w:t>
      </w:r>
      <w:r w:rsidRPr="0071774C">
        <w:t>finds</w:t>
      </w:r>
      <w:r>
        <w:t xml:space="preserve"> </w:t>
      </w:r>
      <w:r w:rsidRPr="0071774C">
        <w:t>that</w:t>
      </w:r>
      <w:r>
        <w:t xml:space="preserve"> </w:t>
      </w:r>
      <w:r w:rsidRPr="0071774C">
        <w:t>progress</w:t>
      </w:r>
      <w:r>
        <w:t xml:space="preserve"> </w:t>
      </w:r>
      <w:r w:rsidRPr="0071774C">
        <w:t>across</w:t>
      </w:r>
      <w:r>
        <w:t xml:space="preserve"> </w:t>
      </w:r>
      <w:r w:rsidRPr="0071774C">
        <w:t>the</w:t>
      </w:r>
      <w:r>
        <w:t xml:space="preserve"> </w:t>
      </w:r>
      <w:r w:rsidRPr="0071774C">
        <w:t>past</w:t>
      </w:r>
      <w:r>
        <w:t xml:space="preserve"> </w:t>
      </w:r>
      <w:r w:rsidRPr="0071774C">
        <w:t>decade</w:t>
      </w:r>
      <w:r>
        <w:t xml:space="preserve"> </w:t>
      </w:r>
      <w:r w:rsidRPr="0071774C">
        <w:t>includes:</w:t>
      </w:r>
    </w:p>
    <w:p w14:paraId="2B4A6572" w14:textId="77777777" w:rsidR="002C2EC7" w:rsidRDefault="002C2EC7" w:rsidP="00790783">
      <w:pPr>
        <w:pStyle w:val="OWBullet1"/>
      </w:pPr>
      <w:r w:rsidRPr="0071774C">
        <w:t>Visible</w:t>
      </w:r>
      <w:r>
        <w:t xml:space="preserve"> </w:t>
      </w:r>
      <w:r w:rsidRPr="0071774C">
        <w:t>political</w:t>
      </w:r>
      <w:r>
        <w:t xml:space="preserve"> </w:t>
      </w:r>
      <w:r w:rsidRPr="0071774C">
        <w:t>and</w:t>
      </w:r>
      <w:r>
        <w:t xml:space="preserve"> </w:t>
      </w:r>
      <w:r w:rsidRPr="0071774C">
        <w:t>civil</w:t>
      </w:r>
      <w:r>
        <w:t xml:space="preserve"> </w:t>
      </w:r>
      <w:r w:rsidRPr="0071774C">
        <w:t>society</w:t>
      </w:r>
      <w:r>
        <w:t xml:space="preserve"> </w:t>
      </w:r>
      <w:r w:rsidRPr="0071774C">
        <w:t>leadership</w:t>
      </w:r>
      <w:r>
        <w:t xml:space="preserve"> </w:t>
      </w:r>
      <w:r w:rsidRPr="0071774C">
        <w:t>creating</w:t>
      </w:r>
      <w:r>
        <w:t xml:space="preserve"> </w:t>
      </w:r>
      <w:r w:rsidRPr="0071774C">
        <w:t>an</w:t>
      </w:r>
      <w:r>
        <w:t xml:space="preserve"> </w:t>
      </w:r>
      <w:r w:rsidRPr="0071774C">
        <w:t>enabling</w:t>
      </w:r>
      <w:r>
        <w:t xml:space="preserve"> </w:t>
      </w:r>
      <w:r w:rsidRPr="0071774C">
        <w:t>environment</w:t>
      </w:r>
      <w:r>
        <w:t xml:space="preserve"> </w:t>
      </w:r>
      <w:r w:rsidRPr="0071774C">
        <w:t>for</w:t>
      </w:r>
      <w:r>
        <w:t xml:space="preserve"> </w:t>
      </w:r>
      <w:r w:rsidRPr="0071774C">
        <w:t>progress</w:t>
      </w:r>
      <w:r>
        <w:t xml:space="preserve"> </w:t>
      </w:r>
      <w:r w:rsidRPr="0071774C">
        <w:t>towards</w:t>
      </w:r>
      <w:r>
        <w:t xml:space="preserve"> </w:t>
      </w:r>
      <w:r w:rsidRPr="0071774C">
        <w:t>the</w:t>
      </w:r>
      <w:r>
        <w:t xml:space="preserve"> </w:t>
      </w:r>
      <w:r w:rsidRPr="0071774C">
        <w:t>nationwide</w:t>
      </w:r>
      <w:r>
        <w:t xml:space="preserve"> </w:t>
      </w:r>
      <w:r w:rsidRPr="0071774C">
        <w:t>cultural</w:t>
      </w:r>
      <w:r>
        <w:t xml:space="preserve"> </w:t>
      </w:r>
      <w:r w:rsidRPr="0071774C">
        <w:t>and</w:t>
      </w:r>
      <w:r>
        <w:t xml:space="preserve"> </w:t>
      </w:r>
      <w:r w:rsidRPr="0071774C">
        <w:t>systematic</w:t>
      </w:r>
      <w:r>
        <w:t xml:space="preserve"> </w:t>
      </w:r>
      <w:r w:rsidRPr="0071774C">
        <w:t>change</w:t>
      </w:r>
      <w:r>
        <w:t xml:space="preserve"> </w:t>
      </w:r>
      <w:r w:rsidRPr="0071774C">
        <w:t>needed</w:t>
      </w:r>
      <w:r>
        <w:t xml:space="preserve"> </w:t>
      </w:r>
      <w:r w:rsidRPr="0071774C">
        <w:t>to</w:t>
      </w:r>
      <w:r>
        <w:t xml:space="preserve"> </w:t>
      </w:r>
      <w:r w:rsidRPr="0071774C">
        <w:t>prevent</w:t>
      </w:r>
      <w:r>
        <w:t xml:space="preserve"> </w:t>
      </w:r>
      <w:r w:rsidRPr="0071774C">
        <w:t>violence</w:t>
      </w:r>
      <w:r>
        <w:t xml:space="preserve"> </w:t>
      </w:r>
      <w:r w:rsidRPr="0071774C">
        <w:t>against</w:t>
      </w:r>
      <w:r>
        <w:t xml:space="preserve"> </w:t>
      </w:r>
      <w:r w:rsidRPr="0071774C">
        <w:t>women.</w:t>
      </w:r>
    </w:p>
    <w:p w14:paraId="60227E75" w14:textId="77777777" w:rsidR="002C2EC7" w:rsidRDefault="002C2EC7" w:rsidP="00790783">
      <w:pPr>
        <w:pStyle w:val="OWBullet1"/>
      </w:pPr>
      <w:r w:rsidRPr="0071774C">
        <w:t>Policy</w:t>
      </w:r>
      <w:r>
        <w:t xml:space="preserve"> </w:t>
      </w:r>
      <w:r w:rsidRPr="0071774C">
        <w:t>reform</w:t>
      </w:r>
      <w:r>
        <w:t xml:space="preserve"> </w:t>
      </w:r>
      <w:r w:rsidRPr="0071774C">
        <w:t>across</w:t>
      </w:r>
      <w:r>
        <w:t xml:space="preserve"> </w:t>
      </w:r>
      <w:r w:rsidRPr="0071774C">
        <w:t>the</w:t>
      </w:r>
      <w:r>
        <w:t xml:space="preserve"> </w:t>
      </w:r>
      <w:r w:rsidRPr="0071774C">
        <w:t>country,</w:t>
      </w:r>
      <w:r>
        <w:t xml:space="preserve"> </w:t>
      </w:r>
      <w:r w:rsidRPr="0071774C">
        <w:t>with</w:t>
      </w:r>
      <w:r>
        <w:t xml:space="preserve"> the </w:t>
      </w:r>
      <w:r w:rsidRPr="0071774C">
        <w:t>Commonwealth</w:t>
      </w:r>
      <w:r>
        <w:t xml:space="preserve"> </w:t>
      </w:r>
      <w:r w:rsidRPr="0071774C">
        <w:t>and</w:t>
      </w:r>
      <w:r>
        <w:t xml:space="preserve"> </w:t>
      </w:r>
      <w:r w:rsidRPr="0071774C">
        <w:t>most</w:t>
      </w:r>
      <w:r>
        <w:t xml:space="preserve"> </w:t>
      </w:r>
      <w:r w:rsidRPr="0071774C">
        <w:t>state/territory</w:t>
      </w:r>
      <w:r>
        <w:t xml:space="preserve"> </w:t>
      </w:r>
      <w:r w:rsidRPr="0071774C">
        <w:t>governments</w:t>
      </w:r>
      <w:r>
        <w:t xml:space="preserve"> </w:t>
      </w:r>
      <w:r w:rsidRPr="0071774C">
        <w:t>identifying</w:t>
      </w:r>
      <w:r>
        <w:t xml:space="preserve"> </w:t>
      </w:r>
      <w:r w:rsidRPr="0071774C">
        <w:t>primary</w:t>
      </w:r>
      <w:r>
        <w:t xml:space="preserve"> </w:t>
      </w:r>
      <w:r w:rsidRPr="0071774C">
        <w:t>prevention</w:t>
      </w:r>
      <w:r>
        <w:t xml:space="preserve"> </w:t>
      </w:r>
      <w:r w:rsidRPr="0071774C">
        <w:t>as</w:t>
      </w:r>
      <w:r>
        <w:t xml:space="preserve"> </w:t>
      </w:r>
      <w:r w:rsidRPr="0071774C">
        <w:t>a</w:t>
      </w:r>
      <w:r>
        <w:t xml:space="preserve"> </w:t>
      </w:r>
      <w:r w:rsidRPr="0071774C">
        <w:t>priority</w:t>
      </w:r>
      <w:r>
        <w:t xml:space="preserve"> </w:t>
      </w:r>
      <w:r w:rsidRPr="0071774C">
        <w:t>in</w:t>
      </w:r>
      <w:r>
        <w:t xml:space="preserve"> </w:t>
      </w:r>
      <w:r w:rsidRPr="0071774C">
        <w:t>policies</w:t>
      </w:r>
      <w:r>
        <w:t xml:space="preserve"> </w:t>
      </w:r>
      <w:r w:rsidRPr="0071774C">
        <w:t>related</w:t>
      </w:r>
      <w:r>
        <w:t xml:space="preserve"> </w:t>
      </w:r>
      <w:r w:rsidRPr="0071774C">
        <w:t>to</w:t>
      </w:r>
      <w:r>
        <w:t xml:space="preserve"> </w:t>
      </w:r>
      <w:r w:rsidRPr="0071774C">
        <w:t>violence</w:t>
      </w:r>
      <w:r>
        <w:t xml:space="preserve"> </w:t>
      </w:r>
      <w:r w:rsidRPr="0071774C">
        <w:t>against</w:t>
      </w:r>
      <w:r>
        <w:t xml:space="preserve"> </w:t>
      </w:r>
      <w:r w:rsidRPr="0071774C">
        <w:t>women,</w:t>
      </w:r>
      <w:r>
        <w:t xml:space="preserve"> </w:t>
      </w:r>
      <w:r w:rsidRPr="0071774C">
        <w:t>domestic</w:t>
      </w:r>
      <w:r>
        <w:t xml:space="preserve"> </w:t>
      </w:r>
      <w:r w:rsidRPr="0071774C">
        <w:t>and</w:t>
      </w:r>
      <w:r>
        <w:t xml:space="preserve"> </w:t>
      </w:r>
      <w:r w:rsidRPr="0071774C">
        <w:t>family</w:t>
      </w:r>
      <w:r>
        <w:t xml:space="preserve"> </w:t>
      </w:r>
      <w:r w:rsidRPr="0071774C">
        <w:t>violence,</w:t>
      </w:r>
      <w:r>
        <w:t xml:space="preserve"> </w:t>
      </w:r>
      <w:r w:rsidRPr="0071774C">
        <w:t>and/or</w:t>
      </w:r>
      <w:r>
        <w:t xml:space="preserve"> </w:t>
      </w:r>
      <w:r w:rsidRPr="0071774C">
        <w:t>sexual</w:t>
      </w:r>
      <w:r>
        <w:t xml:space="preserve"> </w:t>
      </w:r>
      <w:r w:rsidRPr="0071774C">
        <w:t>violence,</w:t>
      </w:r>
      <w:r>
        <w:t xml:space="preserve"> </w:t>
      </w:r>
      <w:r w:rsidRPr="0071774C">
        <w:t>and</w:t>
      </w:r>
      <w:r>
        <w:t xml:space="preserve"> </w:t>
      </w:r>
      <w:r w:rsidRPr="0071774C">
        <w:t>some</w:t>
      </w:r>
      <w:r>
        <w:t xml:space="preserve"> </w:t>
      </w:r>
      <w:r w:rsidRPr="0071774C">
        <w:t>beginning</w:t>
      </w:r>
      <w:r>
        <w:t xml:space="preserve"> </w:t>
      </w:r>
      <w:r w:rsidRPr="0071774C">
        <w:t>to</w:t>
      </w:r>
      <w:r>
        <w:t xml:space="preserve"> </w:t>
      </w:r>
      <w:r w:rsidRPr="0071774C">
        <w:t>allocate</w:t>
      </w:r>
      <w:r>
        <w:t xml:space="preserve"> </w:t>
      </w:r>
      <w:r w:rsidRPr="0071774C">
        <w:t>specific</w:t>
      </w:r>
      <w:r>
        <w:t xml:space="preserve"> </w:t>
      </w:r>
      <w:r w:rsidRPr="0071774C">
        <w:t>funding</w:t>
      </w:r>
      <w:r>
        <w:t xml:space="preserve"> </w:t>
      </w:r>
      <w:r w:rsidRPr="0071774C">
        <w:t>to</w:t>
      </w:r>
      <w:r>
        <w:t xml:space="preserve"> </w:t>
      </w:r>
      <w:r w:rsidRPr="0071774C">
        <w:t>prevention</w:t>
      </w:r>
      <w:r>
        <w:t xml:space="preserve"> </w:t>
      </w:r>
      <w:r w:rsidRPr="0071774C">
        <w:t>programs,</w:t>
      </w:r>
      <w:r>
        <w:t xml:space="preserve"> </w:t>
      </w:r>
      <w:r w:rsidRPr="0071774C">
        <w:t>approaches</w:t>
      </w:r>
      <w:r>
        <w:t xml:space="preserve"> </w:t>
      </w:r>
      <w:r w:rsidRPr="0071774C">
        <w:t>and</w:t>
      </w:r>
      <w:r>
        <w:t xml:space="preserve"> </w:t>
      </w:r>
      <w:r w:rsidRPr="0071774C">
        <w:t>initiatives.</w:t>
      </w:r>
    </w:p>
    <w:p w14:paraId="265A499D" w14:textId="77777777" w:rsidR="002C2EC7" w:rsidRDefault="002C2EC7" w:rsidP="00790783">
      <w:pPr>
        <w:pStyle w:val="OWBullet1"/>
        <w:rPr>
          <w:lang w:eastAsia="en-GB"/>
        </w:rPr>
      </w:pPr>
      <w:r w:rsidRPr="0071774C">
        <w:rPr>
          <w:lang w:eastAsia="en-GB"/>
        </w:rPr>
        <w:t>Prevention</w:t>
      </w:r>
      <w:r>
        <w:rPr>
          <w:lang w:eastAsia="en-GB"/>
        </w:rPr>
        <w:t xml:space="preserve"> </w:t>
      </w:r>
      <w:r w:rsidRPr="0071774C">
        <w:rPr>
          <w:lang w:eastAsia="en-GB"/>
        </w:rPr>
        <w:t>programming,</w:t>
      </w:r>
      <w:r>
        <w:rPr>
          <w:lang w:eastAsia="en-GB"/>
        </w:rPr>
        <w:t xml:space="preserve"> </w:t>
      </w:r>
      <w:r w:rsidRPr="0071774C">
        <w:rPr>
          <w:lang w:eastAsia="en-GB"/>
        </w:rPr>
        <w:t>with</w:t>
      </w:r>
      <w:r>
        <w:rPr>
          <w:lang w:eastAsia="en-GB"/>
        </w:rPr>
        <w:t xml:space="preserve"> </w:t>
      </w:r>
      <w:r w:rsidRPr="0071774C">
        <w:rPr>
          <w:lang w:eastAsia="en-GB"/>
        </w:rPr>
        <w:t>proven</w:t>
      </w:r>
      <w:r>
        <w:rPr>
          <w:lang w:eastAsia="en-GB"/>
        </w:rPr>
        <w:t xml:space="preserve"> </w:t>
      </w:r>
      <w:r w:rsidRPr="0071774C">
        <w:rPr>
          <w:lang w:eastAsia="en-GB"/>
        </w:rPr>
        <w:t>and</w:t>
      </w:r>
      <w:r>
        <w:rPr>
          <w:lang w:eastAsia="en-GB"/>
        </w:rPr>
        <w:t xml:space="preserve"> </w:t>
      </w:r>
      <w:r w:rsidRPr="0071774C">
        <w:rPr>
          <w:lang w:eastAsia="en-GB"/>
        </w:rPr>
        <w:t>promising</w:t>
      </w:r>
      <w:r>
        <w:rPr>
          <w:lang w:eastAsia="en-GB"/>
        </w:rPr>
        <w:t xml:space="preserve"> </w:t>
      </w:r>
      <w:r w:rsidRPr="0071774C">
        <w:rPr>
          <w:lang w:eastAsia="en-GB"/>
        </w:rPr>
        <w:t>techniques</w:t>
      </w:r>
      <w:r>
        <w:rPr>
          <w:lang w:eastAsia="en-GB"/>
        </w:rPr>
        <w:t xml:space="preserve"> </w:t>
      </w:r>
      <w:r w:rsidRPr="0071774C">
        <w:rPr>
          <w:lang w:eastAsia="en-GB"/>
        </w:rPr>
        <w:t>being</w:t>
      </w:r>
      <w:r>
        <w:rPr>
          <w:lang w:eastAsia="en-GB"/>
        </w:rPr>
        <w:t xml:space="preserve"> </w:t>
      </w:r>
      <w:r w:rsidRPr="0071774C">
        <w:rPr>
          <w:lang w:eastAsia="en-GB"/>
        </w:rPr>
        <w:t>implemented</w:t>
      </w:r>
      <w:r>
        <w:rPr>
          <w:lang w:eastAsia="en-GB"/>
        </w:rPr>
        <w:t xml:space="preserve"> </w:t>
      </w:r>
      <w:r w:rsidRPr="0071774C">
        <w:rPr>
          <w:lang w:eastAsia="en-GB"/>
        </w:rPr>
        <w:t>across</w:t>
      </w:r>
      <w:r>
        <w:rPr>
          <w:lang w:eastAsia="en-GB"/>
        </w:rPr>
        <w:t xml:space="preserve"> </w:t>
      </w:r>
      <w:r w:rsidRPr="0071774C">
        <w:rPr>
          <w:lang w:eastAsia="en-GB"/>
        </w:rPr>
        <w:t>a</w:t>
      </w:r>
      <w:r>
        <w:rPr>
          <w:lang w:eastAsia="en-GB"/>
        </w:rPr>
        <w:t xml:space="preserve"> </w:t>
      </w:r>
      <w:r w:rsidRPr="0071774C">
        <w:rPr>
          <w:lang w:eastAsia="en-GB"/>
        </w:rPr>
        <w:t>range</w:t>
      </w:r>
      <w:r>
        <w:rPr>
          <w:lang w:eastAsia="en-GB"/>
        </w:rPr>
        <w:t xml:space="preserve"> </w:t>
      </w:r>
      <w:r w:rsidRPr="0071774C">
        <w:rPr>
          <w:lang w:eastAsia="en-GB"/>
        </w:rPr>
        <w:t>of</w:t>
      </w:r>
      <w:r>
        <w:rPr>
          <w:lang w:eastAsia="en-GB"/>
        </w:rPr>
        <w:t xml:space="preserve"> </w:t>
      </w:r>
      <w:r w:rsidRPr="0071774C">
        <w:rPr>
          <w:lang w:eastAsia="en-GB"/>
        </w:rPr>
        <w:t>settings</w:t>
      </w:r>
      <w:r>
        <w:rPr>
          <w:lang w:eastAsia="en-GB"/>
        </w:rPr>
        <w:t xml:space="preserve"> </w:t>
      </w:r>
      <w:r w:rsidRPr="0071774C">
        <w:rPr>
          <w:lang w:eastAsia="en-GB"/>
        </w:rPr>
        <w:t>to</w:t>
      </w:r>
      <w:r>
        <w:rPr>
          <w:lang w:eastAsia="en-GB"/>
        </w:rPr>
        <w:t xml:space="preserve"> </w:t>
      </w:r>
      <w:r w:rsidRPr="0071774C">
        <w:rPr>
          <w:lang w:eastAsia="en-GB"/>
        </w:rPr>
        <w:t>prevent</w:t>
      </w:r>
      <w:r>
        <w:rPr>
          <w:lang w:eastAsia="en-GB"/>
        </w:rPr>
        <w:t xml:space="preserve"> </w:t>
      </w:r>
      <w:r w:rsidRPr="0071774C">
        <w:rPr>
          <w:lang w:eastAsia="en-GB"/>
        </w:rPr>
        <w:t>violence</w:t>
      </w:r>
      <w:r>
        <w:rPr>
          <w:lang w:eastAsia="en-GB"/>
        </w:rPr>
        <w:t xml:space="preserve"> </w:t>
      </w:r>
      <w:r w:rsidRPr="0071774C">
        <w:rPr>
          <w:lang w:eastAsia="en-GB"/>
        </w:rPr>
        <w:t>against</w:t>
      </w:r>
      <w:r>
        <w:rPr>
          <w:lang w:eastAsia="en-GB"/>
        </w:rPr>
        <w:t xml:space="preserve"> </w:t>
      </w:r>
      <w:r w:rsidRPr="0071774C">
        <w:rPr>
          <w:lang w:eastAsia="en-GB"/>
        </w:rPr>
        <w:t>women.</w:t>
      </w:r>
    </w:p>
    <w:p w14:paraId="70C6D038" w14:textId="4DF17D7D" w:rsidR="002C2EC7" w:rsidRDefault="002D6623" w:rsidP="00790783">
      <w:pPr>
        <w:pStyle w:val="OWBullet1"/>
      </w:pPr>
      <w:r w:rsidRPr="00D00F71">
        <w:rPr>
          <w:lang w:eastAsia="en-GB"/>
        </w:rPr>
        <w:t>An emerging</w:t>
      </w:r>
      <w:r w:rsidR="002C2EC7" w:rsidRPr="00D00F71">
        <w:rPr>
          <w:lang w:eastAsia="en-GB"/>
        </w:rPr>
        <w:t xml:space="preserve"> multiskilled, primary prevention workforce, playing a critical role </w:t>
      </w:r>
      <w:r w:rsidR="002C2EC7" w:rsidRPr="00D00F71">
        <w:t>in</w:t>
      </w:r>
      <w:r w:rsidR="008B769D">
        <w:t xml:space="preserve"> </w:t>
      </w:r>
      <w:r w:rsidR="002C2EC7" w:rsidRPr="0071774C">
        <w:t>both</w:t>
      </w:r>
      <w:r w:rsidR="002C2EC7">
        <w:t xml:space="preserve"> </w:t>
      </w:r>
      <w:r w:rsidR="002C2EC7" w:rsidRPr="0071774C">
        <w:t>implementing</w:t>
      </w:r>
      <w:r w:rsidR="002C2EC7">
        <w:t xml:space="preserve"> </w:t>
      </w:r>
      <w:r w:rsidR="002C2EC7" w:rsidRPr="0071774C">
        <w:t>prevention</w:t>
      </w:r>
      <w:r w:rsidR="002C2EC7">
        <w:t xml:space="preserve"> </w:t>
      </w:r>
      <w:r w:rsidR="002C2EC7" w:rsidRPr="0071774C">
        <w:t>initiatives</w:t>
      </w:r>
      <w:r w:rsidR="002C2EC7">
        <w:t xml:space="preserve"> </w:t>
      </w:r>
      <w:r w:rsidR="002C2EC7" w:rsidRPr="0071774C">
        <w:t>and</w:t>
      </w:r>
      <w:r w:rsidR="002C2EC7">
        <w:t xml:space="preserve"> </w:t>
      </w:r>
      <w:r w:rsidR="002C2EC7" w:rsidRPr="0071774C">
        <w:t>building</w:t>
      </w:r>
      <w:r w:rsidR="002C2EC7">
        <w:t xml:space="preserve"> </w:t>
      </w:r>
      <w:r w:rsidR="002C2EC7" w:rsidRPr="0071774C">
        <w:t>the</w:t>
      </w:r>
      <w:r w:rsidR="002C2EC7">
        <w:t xml:space="preserve"> </w:t>
      </w:r>
      <w:r w:rsidR="002C2EC7" w:rsidRPr="0071774C">
        <w:t>capacity</w:t>
      </w:r>
      <w:r w:rsidR="002C2EC7">
        <w:t xml:space="preserve"> </w:t>
      </w:r>
      <w:r w:rsidR="002C2EC7" w:rsidRPr="0071774C">
        <w:t>of</w:t>
      </w:r>
      <w:r w:rsidR="002C2EC7">
        <w:t xml:space="preserve"> </w:t>
      </w:r>
      <w:r w:rsidR="002C2EC7" w:rsidRPr="0071774C">
        <w:t>others</w:t>
      </w:r>
      <w:r w:rsidR="002C2EC7">
        <w:t xml:space="preserve"> </w:t>
      </w:r>
      <w:r w:rsidR="002C2EC7" w:rsidRPr="0071774C">
        <w:t>to</w:t>
      </w:r>
      <w:r w:rsidR="002C2EC7">
        <w:t xml:space="preserve"> </w:t>
      </w:r>
      <w:r w:rsidR="002C2EC7" w:rsidRPr="0071774C">
        <w:t>contribute</w:t>
      </w:r>
      <w:r w:rsidR="002C2EC7">
        <w:t xml:space="preserve"> </w:t>
      </w:r>
      <w:r w:rsidR="002C2EC7" w:rsidRPr="0071774C">
        <w:t>to</w:t>
      </w:r>
      <w:r w:rsidR="008B769D">
        <w:t> </w:t>
      </w:r>
      <w:r w:rsidR="002C2EC7" w:rsidRPr="0071774C">
        <w:t>a</w:t>
      </w:r>
      <w:r w:rsidR="002C2EC7">
        <w:t xml:space="preserve"> </w:t>
      </w:r>
      <w:r w:rsidR="002C2EC7" w:rsidRPr="0071774C">
        <w:t>shared,</w:t>
      </w:r>
      <w:r w:rsidR="002C2EC7">
        <w:t xml:space="preserve"> </w:t>
      </w:r>
      <w:r w:rsidR="002C2EC7" w:rsidRPr="0071774C">
        <w:t>national</w:t>
      </w:r>
      <w:r w:rsidR="002C2EC7">
        <w:t xml:space="preserve"> </w:t>
      </w:r>
      <w:r w:rsidR="002C2EC7" w:rsidRPr="0071774C">
        <w:t>approach.</w:t>
      </w:r>
    </w:p>
    <w:p w14:paraId="344E1023" w14:textId="77777777" w:rsidR="008B769D" w:rsidRDefault="008B769D" w:rsidP="008B769D">
      <w:pPr>
        <w:pStyle w:val="OWBullet1"/>
      </w:pPr>
      <w:r w:rsidRPr="0071774C">
        <w:rPr>
          <w:lang w:eastAsia="en-GB"/>
        </w:rPr>
        <w:t>Organisations</w:t>
      </w:r>
      <w:r>
        <w:rPr>
          <w:lang w:eastAsia="en-GB"/>
        </w:rPr>
        <w:t xml:space="preserve"> </w:t>
      </w:r>
      <w:r w:rsidRPr="0071774C">
        <w:rPr>
          <w:lang w:eastAsia="en-GB"/>
        </w:rPr>
        <w:t>established</w:t>
      </w:r>
      <w:r>
        <w:rPr>
          <w:lang w:eastAsia="en-GB"/>
        </w:rPr>
        <w:t xml:space="preserve"> </w:t>
      </w:r>
      <w:r w:rsidRPr="0071774C">
        <w:rPr>
          <w:lang w:eastAsia="en-GB"/>
        </w:rPr>
        <w:t>under</w:t>
      </w:r>
      <w:r>
        <w:rPr>
          <w:lang w:eastAsia="en-GB"/>
        </w:rPr>
        <w:t xml:space="preserve"> </w:t>
      </w:r>
      <w:r w:rsidRPr="0071774C">
        <w:rPr>
          <w:lang w:eastAsia="en-GB"/>
        </w:rPr>
        <w:t>the</w:t>
      </w:r>
      <w:r>
        <w:rPr>
          <w:lang w:eastAsia="en-GB"/>
        </w:rPr>
        <w:t xml:space="preserve"> </w:t>
      </w:r>
      <w:r w:rsidRPr="00486BC0">
        <w:rPr>
          <w:i/>
          <w:lang w:eastAsia="en-GB"/>
        </w:rPr>
        <w:t>National Plan to Reduce Violence against Women and their Children 2010–2022</w:t>
      </w:r>
      <w:r w:rsidRPr="00870EBE">
        <w:rPr>
          <w:lang w:eastAsia="en-GB"/>
        </w:rPr>
        <w:t xml:space="preserve"> (the National Plan)</w:t>
      </w:r>
      <w:r w:rsidRPr="0071774C">
        <w:rPr>
          <w:lang w:eastAsia="en-GB"/>
        </w:rPr>
        <w:t>,</w:t>
      </w:r>
      <w:r>
        <w:rPr>
          <w:lang w:eastAsia="en-GB"/>
        </w:rPr>
        <w:t xml:space="preserve"> </w:t>
      </w:r>
      <w:r w:rsidRPr="0071774C">
        <w:rPr>
          <w:lang w:eastAsia="en-GB"/>
        </w:rPr>
        <w:t>peak</w:t>
      </w:r>
      <w:r>
        <w:rPr>
          <w:lang w:eastAsia="en-GB"/>
        </w:rPr>
        <w:t xml:space="preserve"> </w:t>
      </w:r>
      <w:r w:rsidRPr="0071774C">
        <w:rPr>
          <w:lang w:eastAsia="en-GB"/>
        </w:rPr>
        <w:t>bodies,</w:t>
      </w:r>
      <w:r>
        <w:rPr>
          <w:lang w:eastAsia="en-GB"/>
        </w:rPr>
        <w:t xml:space="preserve"> </w:t>
      </w:r>
      <w:r w:rsidRPr="0071774C">
        <w:rPr>
          <w:lang w:eastAsia="en-GB"/>
        </w:rPr>
        <w:t>women’s</w:t>
      </w:r>
      <w:r>
        <w:rPr>
          <w:lang w:eastAsia="en-GB"/>
        </w:rPr>
        <w:t xml:space="preserve"> </w:t>
      </w:r>
      <w:r w:rsidRPr="0071774C">
        <w:rPr>
          <w:lang w:eastAsia="en-GB"/>
        </w:rPr>
        <w:t>health</w:t>
      </w:r>
      <w:r>
        <w:rPr>
          <w:lang w:eastAsia="en-GB"/>
        </w:rPr>
        <w:t xml:space="preserve"> </w:t>
      </w:r>
      <w:r w:rsidRPr="0071774C">
        <w:rPr>
          <w:lang w:eastAsia="en-GB"/>
        </w:rPr>
        <w:t>and</w:t>
      </w:r>
      <w:r>
        <w:rPr>
          <w:lang w:eastAsia="en-GB"/>
        </w:rPr>
        <w:t xml:space="preserve"> </w:t>
      </w:r>
      <w:r w:rsidRPr="0071774C">
        <w:rPr>
          <w:lang w:eastAsia="en-GB"/>
        </w:rPr>
        <w:t>gender</w:t>
      </w:r>
      <w:r>
        <w:rPr>
          <w:lang w:eastAsia="en-GB"/>
        </w:rPr>
        <w:t xml:space="preserve"> </w:t>
      </w:r>
      <w:r w:rsidRPr="0071774C">
        <w:rPr>
          <w:lang w:eastAsia="en-GB"/>
        </w:rPr>
        <w:t>equality</w:t>
      </w:r>
      <w:r>
        <w:rPr>
          <w:lang w:eastAsia="en-GB"/>
        </w:rPr>
        <w:t xml:space="preserve"> </w:t>
      </w:r>
      <w:r w:rsidRPr="0071774C">
        <w:rPr>
          <w:lang w:eastAsia="en-GB"/>
        </w:rPr>
        <w:t>organisations</w:t>
      </w:r>
      <w:r>
        <w:rPr>
          <w:lang w:eastAsia="en-GB"/>
        </w:rPr>
        <w:t xml:space="preserve"> </w:t>
      </w:r>
      <w:r w:rsidRPr="0071774C">
        <w:rPr>
          <w:lang w:eastAsia="en-GB"/>
        </w:rPr>
        <w:t>continuing</w:t>
      </w:r>
      <w:r>
        <w:rPr>
          <w:lang w:eastAsia="en-GB"/>
        </w:rPr>
        <w:t xml:space="preserve"> </w:t>
      </w:r>
      <w:r w:rsidRPr="0071774C">
        <w:rPr>
          <w:lang w:eastAsia="en-GB"/>
        </w:rPr>
        <w:t>to</w:t>
      </w:r>
      <w:r>
        <w:rPr>
          <w:lang w:eastAsia="en-GB"/>
        </w:rPr>
        <w:t xml:space="preserve"> </w:t>
      </w:r>
      <w:r w:rsidRPr="0071774C">
        <w:rPr>
          <w:lang w:eastAsia="en-GB"/>
        </w:rPr>
        <w:t>play</w:t>
      </w:r>
      <w:r>
        <w:rPr>
          <w:lang w:eastAsia="en-GB"/>
        </w:rPr>
        <w:t xml:space="preserve"> </w:t>
      </w:r>
      <w:r w:rsidRPr="0071774C">
        <w:rPr>
          <w:lang w:eastAsia="en-GB"/>
        </w:rPr>
        <w:t>an</w:t>
      </w:r>
      <w:r>
        <w:rPr>
          <w:lang w:eastAsia="en-GB"/>
        </w:rPr>
        <w:t xml:space="preserve"> </w:t>
      </w:r>
      <w:r w:rsidRPr="0071774C">
        <w:rPr>
          <w:lang w:eastAsia="en-GB"/>
        </w:rPr>
        <w:t>essential</w:t>
      </w:r>
      <w:r>
        <w:rPr>
          <w:lang w:eastAsia="en-GB"/>
        </w:rPr>
        <w:t xml:space="preserve"> </w:t>
      </w:r>
      <w:r w:rsidRPr="0071774C">
        <w:rPr>
          <w:lang w:eastAsia="en-GB"/>
        </w:rPr>
        <w:t>role</w:t>
      </w:r>
      <w:r>
        <w:rPr>
          <w:lang w:eastAsia="en-GB"/>
        </w:rPr>
        <w:t xml:space="preserve"> </w:t>
      </w:r>
      <w:r w:rsidRPr="0071774C">
        <w:rPr>
          <w:lang w:eastAsia="en-GB"/>
        </w:rPr>
        <w:t>by</w:t>
      </w:r>
      <w:r>
        <w:rPr>
          <w:lang w:eastAsia="en-GB"/>
        </w:rPr>
        <w:t xml:space="preserve"> </w:t>
      </w:r>
      <w:r w:rsidRPr="0071774C">
        <w:rPr>
          <w:lang w:eastAsia="en-GB"/>
        </w:rPr>
        <w:t>developing</w:t>
      </w:r>
      <w:r>
        <w:rPr>
          <w:lang w:eastAsia="en-GB"/>
        </w:rPr>
        <w:t xml:space="preserve"> </w:t>
      </w:r>
      <w:r w:rsidRPr="0071774C">
        <w:rPr>
          <w:lang w:eastAsia="en-GB"/>
        </w:rPr>
        <w:t>shared</w:t>
      </w:r>
      <w:r>
        <w:rPr>
          <w:lang w:eastAsia="en-GB"/>
        </w:rPr>
        <w:t xml:space="preserve"> </w:t>
      </w:r>
      <w:r w:rsidRPr="0071774C">
        <w:rPr>
          <w:lang w:eastAsia="en-GB"/>
        </w:rPr>
        <w:t>frameworks,</w:t>
      </w:r>
      <w:r>
        <w:rPr>
          <w:lang w:eastAsia="en-GB"/>
        </w:rPr>
        <w:t xml:space="preserve"> </w:t>
      </w:r>
      <w:r w:rsidRPr="0071774C">
        <w:rPr>
          <w:lang w:eastAsia="en-GB"/>
        </w:rPr>
        <w:t>conducting</w:t>
      </w:r>
      <w:r>
        <w:rPr>
          <w:lang w:eastAsia="en-GB"/>
        </w:rPr>
        <w:t xml:space="preserve"> </w:t>
      </w:r>
      <w:r w:rsidRPr="0071774C">
        <w:rPr>
          <w:lang w:eastAsia="en-GB"/>
        </w:rPr>
        <w:t>research,</w:t>
      </w:r>
      <w:r>
        <w:rPr>
          <w:lang w:eastAsia="en-GB"/>
        </w:rPr>
        <w:t xml:space="preserve"> </w:t>
      </w:r>
      <w:r w:rsidRPr="0071774C">
        <w:rPr>
          <w:lang w:eastAsia="en-GB"/>
        </w:rPr>
        <w:t>coordinating</w:t>
      </w:r>
      <w:r>
        <w:rPr>
          <w:lang w:eastAsia="en-GB"/>
        </w:rPr>
        <w:t xml:space="preserve"> </w:t>
      </w:r>
      <w:r w:rsidRPr="0071774C">
        <w:rPr>
          <w:lang w:eastAsia="en-GB"/>
        </w:rPr>
        <w:t>efforts</w:t>
      </w:r>
      <w:r>
        <w:rPr>
          <w:lang w:eastAsia="en-GB"/>
        </w:rPr>
        <w:t xml:space="preserve"> </w:t>
      </w:r>
      <w:r w:rsidRPr="0071774C">
        <w:rPr>
          <w:lang w:eastAsia="en-GB"/>
        </w:rPr>
        <w:t>and</w:t>
      </w:r>
      <w:r>
        <w:rPr>
          <w:lang w:eastAsia="en-GB"/>
        </w:rPr>
        <w:t xml:space="preserve"> </w:t>
      </w:r>
      <w:r w:rsidRPr="0071774C">
        <w:rPr>
          <w:lang w:eastAsia="en-GB"/>
        </w:rPr>
        <w:t>sharing</w:t>
      </w:r>
      <w:r>
        <w:rPr>
          <w:lang w:eastAsia="en-GB"/>
        </w:rPr>
        <w:t xml:space="preserve"> </w:t>
      </w:r>
      <w:r w:rsidRPr="0071774C">
        <w:rPr>
          <w:lang w:eastAsia="en-GB"/>
        </w:rPr>
        <w:t>resources.</w:t>
      </w:r>
    </w:p>
    <w:p w14:paraId="1E57DF6D" w14:textId="77777777" w:rsidR="002C2EC7" w:rsidRPr="0071774C" w:rsidRDefault="002C2EC7" w:rsidP="00790783">
      <w:pPr>
        <w:pStyle w:val="OWBullet1"/>
      </w:pPr>
      <w:r w:rsidRPr="0071774C">
        <w:t>Civil</w:t>
      </w:r>
      <w:r>
        <w:t xml:space="preserve"> </w:t>
      </w:r>
      <w:r w:rsidRPr="0071774C">
        <w:t>society</w:t>
      </w:r>
      <w:r>
        <w:t xml:space="preserve"> </w:t>
      </w:r>
      <w:r w:rsidRPr="0071774C">
        <w:t>advocacy</w:t>
      </w:r>
      <w:r>
        <w:t xml:space="preserve"> </w:t>
      </w:r>
      <w:r w:rsidRPr="0071774C">
        <w:t>groups</w:t>
      </w:r>
      <w:r>
        <w:t xml:space="preserve"> </w:t>
      </w:r>
      <w:r w:rsidRPr="0071774C">
        <w:t>and</w:t>
      </w:r>
      <w:r>
        <w:t xml:space="preserve"> </w:t>
      </w:r>
      <w:r w:rsidRPr="0071774C">
        <w:t>specialist</w:t>
      </w:r>
      <w:r>
        <w:t xml:space="preserve"> </w:t>
      </w:r>
      <w:r w:rsidRPr="0071774C">
        <w:t>organisations</w:t>
      </w:r>
      <w:r>
        <w:t xml:space="preserve"> </w:t>
      </w:r>
      <w:r w:rsidRPr="0071774C">
        <w:t>making</w:t>
      </w:r>
      <w:r>
        <w:t xml:space="preserve"> </w:t>
      </w:r>
      <w:r w:rsidRPr="0071774C">
        <w:t>significant</w:t>
      </w:r>
      <w:r>
        <w:t xml:space="preserve"> </w:t>
      </w:r>
      <w:r w:rsidRPr="0071774C">
        <w:t>efforts</w:t>
      </w:r>
      <w:r>
        <w:t xml:space="preserve"> </w:t>
      </w:r>
      <w:r w:rsidRPr="0071774C">
        <w:t>to</w:t>
      </w:r>
      <w:r>
        <w:t xml:space="preserve"> </w:t>
      </w:r>
      <w:r w:rsidRPr="0071774C">
        <w:t>address</w:t>
      </w:r>
      <w:r>
        <w:t xml:space="preserve"> </w:t>
      </w:r>
      <w:r w:rsidRPr="0071774C">
        <w:t>the</w:t>
      </w:r>
      <w:r>
        <w:t xml:space="preserve"> </w:t>
      </w:r>
      <w:r w:rsidRPr="0071774C">
        <w:t>multiple</w:t>
      </w:r>
      <w:r>
        <w:t xml:space="preserve"> </w:t>
      </w:r>
      <w:r w:rsidRPr="0071774C">
        <w:t>and</w:t>
      </w:r>
      <w:r>
        <w:t xml:space="preserve"> </w:t>
      </w:r>
      <w:r w:rsidRPr="0071774C">
        <w:t>intersecting</w:t>
      </w:r>
      <w:r>
        <w:t xml:space="preserve"> </w:t>
      </w:r>
      <w:r w:rsidRPr="0071774C">
        <w:t>forms</w:t>
      </w:r>
      <w:r>
        <w:t xml:space="preserve"> </w:t>
      </w:r>
      <w:r w:rsidRPr="0071774C">
        <w:t>of</w:t>
      </w:r>
      <w:r>
        <w:t xml:space="preserve"> </w:t>
      </w:r>
      <w:r w:rsidRPr="0071774C">
        <w:t>discrimination</w:t>
      </w:r>
      <w:r>
        <w:t xml:space="preserve"> </w:t>
      </w:r>
      <w:r w:rsidRPr="0071774C">
        <w:t>that</w:t>
      </w:r>
      <w:r>
        <w:t xml:space="preserve"> </w:t>
      </w:r>
      <w:r w:rsidRPr="0071774C">
        <w:t>drive</w:t>
      </w:r>
      <w:r>
        <w:t xml:space="preserve"> </w:t>
      </w:r>
      <w:r w:rsidRPr="0071774C">
        <w:t>violence</w:t>
      </w:r>
      <w:r>
        <w:t xml:space="preserve"> </w:t>
      </w:r>
      <w:r w:rsidRPr="0071774C">
        <w:t>against</w:t>
      </w:r>
      <w:r>
        <w:t xml:space="preserve"> </w:t>
      </w:r>
      <w:r w:rsidRPr="0071774C">
        <w:t>women,</w:t>
      </w:r>
      <w:r>
        <w:t xml:space="preserve"> </w:t>
      </w:r>
      <w:r w:rsidRPr="0071774C">
        <w:t>and</w:t>
      </w:r>
      <w:r>
        <w:t xml:space="preserve"> </w:t>
      </w:r>
      <w:r w:rsidRPr="0071774C">
        <w:t>to</w:t>
      </w:r>
      <w:r>
        <w:t xml:space="preserve"> </w:t>
      </w:r>
      <w:r w:rsidRPr="0071774C">
        <w:t>bring</w:t>
      </w:r>
      <w:r>
        <w:t xml:space="preserve"> </w:t>
      </w:r>
      <w:r w:rsidRPr="0071774C">
        <w:t>these</w:t>
      </w:r>
      <w:r>
        <w:t xml:space="preserve"> </w:t>
      </w:r>
      <w:r w:rsidRPr="0071774C">
        <w:t>issues</w:t>
      </w:r>
      <w:r>
        <w:t xml:space="preserve"> </w:t>
      </w:r>
      <w:r w:rsidRPr="0071774C">
        <w:t>to</w:t>
      </w:r>
      <w:r>
        <w:t xml:space="preserve"> </w:t>
      </w:r>
      <w:r w:rsidRPr="0071774C">
        <w:t>public</w:t>
      </w:r>
      <w:r>
        <w:t xml:space="preserve"> </w:t>
      </w:r>
      <w:r w:rsidRPr="0071774C">
        <w:t>attention.</w:t>
      </w:r>
    </w:p>
    <w:p w14:paraId="2C230E3F" w14:textId="77777777" w:rsidR="002C2EC7" w:rsidRPr="0071774C" w:rsidRDefault="002C2EC7" w:rsidP="00790783">
      <w:pPr>
        <w:pStyle w:val="OWBullet1"/>
        <w:rPr>
          <w:lang w:eastAsia="en-GB"/>
        </w:rPr>
      </w:pPr>
      <w:r w:rsidRPr="0071774C">
        <w:rPr>
          <w:lang w:eastAsia="en-GB"/>
        </w:rPr>
        <w:t>Critical</w:t>
      </w:r>
      <w:r>
        <w:rPr>
          <w:lang w:eastAsia="en-GB"/>
        </w:rPr>
        <w:t xml:space="preserve"> </w:t>
      </w:r>
      <w:r w:rsidRPr="0071774C">
        <w:rPr>
          <w:lang w:eastAsia="en-GB"/>
        </w:rPr>
        <w:t>investments</w:t>
      </w:r>
      <w:r>
        <w:rPr>
          <w:lang w:eastAsia="en-GB"/>
        </w:rPr>
        <w:t xml:space="preserve"> </w:t>
      </w:r>
      <w:r w:rsidRPr="0071774C">
        <w:rPr>
          <w:lang w:eastAsia="en-GB"/>
        </w:rPr>
        <w:t>in</w:t>
      </w:r>
      <w:r>
        <w:rPr>
          <w:lang w:eastAsia="en-GB"/>
        </w:rPr>
        <w:t xml:space="preserve"> </w:t>
      </w:r>
      <w:r w:rsidRPr="0071774C">
        <w:rPr>
          <w:lang w:eastAsia="en-GB"/>
        </w:rPr>
        <w:t>the</w:t>
      </w:r>
      <w:r>
        <w:rPr>
          <w:lang w:eastAsia="en-GB"/>
        </w:rPr>
        <w:t xml:space="preserve"> </w:t>
      </w:r>
      <w:r w:rsidRPr="0071774C">
        <w:rPr>
          <w:lang w:eastAsia="en-GB"/>
        </w:rPr>
        <w:t>development</w:t>
      </w:r>
      <w:r>
        <w:rPr>
          <w:lang w:eastAsia="en-GB"/>
        </w:rPr>
        <w:t xml:space="preserve"> </w:t>
      </w:r>
      <w:r w:rsidRPr="0071774C">
        <w:rPr>
          <w:lang w:eastAsia="en-GB"/>
        </w:rPr>
        <w:t>and</w:t>
      </w:r>
      <w:r>
        <w:rPr>
          <w:lang w:eastAsia="en-GB"/>
        </w:rPr>
        <w:t xml:space="preserve"> </w:t>
      </w:r>
      <w:r w:rsidRPr="0071774C">
        <w:rPr>
          <w:lang w:eastAsia="en-GB"/>
        </w:rPr>
        <w:t>implementation</w:t>
      </w:r>
      <w:r>
        <w:rPr>
          <w:lang w:eastAsia="en-GB"/>
        </w:rPr>
        <w:t xml:space="preserve"> </w:t>
      </w:r>
      <w:r w:rsidRPr="0071774C">
        <w:rPr>
          <w:lang w:eastAsia="en-GB"/>
        </w:rPr>
        <w:t>of</w:t>
      </w:r>
      <w:r>
        <w:rPr>
          <w:lang w:eastAsia="en-GB"/>
        </w:rPr>
        <w:t xml:space="preserve"> </w:t>
      </w:r>
      <w:r w:rsidRPr="0071774C">
        <w:rPr>
          <w:lang w:eastAsia="en-GB"/>
        </w:rPr>
        <w:t>monitoring</w:t>
      </w:r>
      <w:r>
        <w:rPr>
          <w:lang w:eastAsia="en-GB"/>
        </w:rPr>
        <w:t xml:space="preserve"> </w:t>
      </w:r>
      <w:r w:rsidRPr="0071774C">
        <w:rPr>
          <w:lang w:eastAsia="en-GB"/>
        </w:rPr>
        <w:t>guides,</w:t>
      </w:r>
      <w:r>
        <w:rPr>
          <w:lang w:eastAsia="en-GB"/>
        </w:rPr>
        <w:t xml:space="preserve"> </w:t>
      </w:r>
      <w:r w:rsidRPr="0071774C">
        <w:rPr>
          <w:lang w:eastAsia="en-GB"/>
        </w:rPr>
        <w:t>national</w:t>
      </w:r>
      <w:r>
        <w:rPr>
          <w:lang w:eastAsia="en-GB"/>
        </w:rPr>
        <w:t xml:space="preserve"> </w:t>
      </w:r>
      <w:r w:rsidRPr="0071774C">
        <w:rPr>
          <w:lang w:eastAsia="en-GB"/>
        </w:rPr>
        <w:t>research</w:t>
      </w:r>
      <w:r>
        <w:rPr>
          <w:lang w:eastAsia="en-GB"/>
        </w:rPr>
        <w:t xml:space="preserve"> </w:t>
      </w:r>
      <w:r w:rsidRPr="0071774C">
        <w:rPr>
          <w:lang w:eastAsia="en-GB"/>
        </w:rPr>
        <w:t>agendas</w:t>
      </w:r>
      <w:r>
        <w:rPr>
          <w:lang w:eastAsia="en-GB"/>
        </w:rPr>
        <w:t xml:space="preserve"> </w:t>
      </w:r>
      <w:r w:rsidRPr="0071774C">
        <w:rPr>
          <w:lang w:eastAsia="en-GB"/>
        </w:rPr>
        <w:t>and</w:t>
      </w:r>
      <w:r>
        <w:rPr>
          <w:lang w:eastAsia="en-GB"/>
        </w:rPr>
        <w:t xml:space="preserve"> </w:t>
      </w:r>
      <w:r w:rsidRPr="0071774C">
        <w:rPr>
          <w:lang w:eastAsia="en-GB"/>
        </w:rPr>
        <w:t>shared</w:t>
      </w:r>
      <w:r>
        <w:rPr>
          <w:lang w:eastAsia="en-GB"/>
        </w:rPr>
        <w:t xml:space="preserve"> </w:t>
      </w:r>
      <w:r w:rsidRPr="0071774C">
        <w:rPr>
          <w:lang w:eastAsia="en-GB"/>
        </w:rPr>
        <w:t>data</w:t>
      </w:r>
      <w:r>
        <w:rPr>
          <w:lang w:eastAsia="en-GB"/>
        </w:rPr>
        <w:t xml:space="preserve"> </w:t>
      </w:r>
      <w:r w:rsidRPr="0071774C">
        <w:rPr>
          <w:lang w:eastAsia="en-GB"/>
        </w:rPr>
        <w:t>platforms</w:t>
      </w:r>
      <w:r>
        <w:rPr>
          <w:lang w:eastAsia="en-GB"/>
        </w:rPr>
        <w:t xml:space="preserve"> </w:t>
      </w:r>
      <w:r w:rsidRPr="0071774C">
        <w:rPr>
          <w:lang w:eastAsia="en-GB"/>
        </w:rPr>
        <w:t>–</w:t>
      </w:r>
      <w:r>
        <w:rPr>
          <w:lang w:eastAsia="en-GB"/>
        </w:rPr>
        <w:t xml:space="preserve"> </w:t>
      </w:r>
      <w:r w:rsidRPr="0071774C">
        <w:rPr>
          <w:lang w:eastAsia="en-GB"/>
        </w:rPr>
        <w:t>helping</w:t>
      </w:r>
      <w:r>
        <w:rPr>
          <w:lang w:eastAsia="en-GB"/>
        </w:rPr>
        <w:t xml:space="preserve"> </w:t>
      </w:r>
      <w:r w:rsidRPr="0071774C">
        <w:rPr>
          <w:lang w:eastAsia="en-GB"/>
        </w:rPr>
        <w:t>to</w:t>
      </w:r>
      <w:r>
        <w:rPr>
          <w:lang w:eastAsia="en-GB"/>
        </w:rPr>
        <w:t xml:space="preserve"> </w:t>
      </w:r>
      <w:r w:rsidRPr="0071774C">
        <w:rPr>
          <w:lang w:eastAsia="en-GB"/>
        </w:rPr>
        <w:t>ensure</w:t>
      </w:r>
      <w:r>
        <w:rPr>
          <w:lang w:eastAsia="en-GB"/>
        </w:rPr>
        <w:t xml:space="preserve"> </w:t>
      </w:r>
      <w:r w:rsidRPr="0071774C">
        <w:rPr>
          <w:lang w:eastAsia="en-GB"/>
        </w:rPr>
        <w:t>that</w:t>
      </w:r>
      <w:r>
        <w:rPr>
          <w:lang w:eastAsia="en-GB"/>
        </w:rPr>
        <w:t xml:space="preserve"> </w:t>
      </w:r>
      <w:r w:rsidRPr="0071774C">
        <w:rPr>
          <w:lang w:eastAsia="en-GB"/>
        </w:rPr>
        <w:t>progress</w:t>
      </w:r>
      <w:r>
        <w:rPr>
          <w:lang w:eastAsia="en-GB"/>
        </w:rPr>
        <w:t xml:space="preserve"> </w:t>
      </w:r>
      <w:r w:rsidRPr="0071774C">
        <w:rPr>
          <w:lang w:eastAsia="en-GB"/>
        </w:rPr>
        <w:t>towards</w:t>
      </w:r>
      <w:r>
        <w:rPr>
          <w:lang w:eastAsia="en-GB"/>
        </w:rPr>
        <w:t xml:space="preserve"> </w:t>
      </w:r>
      <w:r w:rsidRPr="0071774C">
        <w:rPr>
          <w:lang w:eastAsia="en-GB"/>
        </w:rPr>
        <w:t>prevention</w:t>
      </w:r>
      <w:r>
        <w:rPr>
          <w:lang w:eastAsia="en-GB"/>
        </w:rPr>
        <w:t xml:space="preserve"> </w:t>
      </w:r>
      <w:r w:rsidRPr="0071774C">
        <w:rPr>
          <w:lang w:eastAsia="en-GB"/>
        </w:rPr>
        <w:t>can</w:t>
      </w:r>
      <w:r>
        <w:rPr>
          <w:lang w:eastAsia="en-GB"/>
        </w:rPr>
        <w:t xml:space="preserve"> </w:t>
      </w:r>
      <w:r w:rsidRPr="0071774C">
        <w:rPr>
          <w:lang w:eastAsia="en-GB"/>
        </w:rPr>
        <w:t>be</w:t>
      </w:r>
      <w:r>
        <w:rPr>
          <w:lang w:eastAsia="en-GB"/>
        </w:rPr>
        <w:t xml:space="preserve"> </w:t>
      </w:r>
      <w:r w:rsidRPr="0071774C">
        <w:rPr>
          <w:lang w:eastAsia="en-GB"/>
        </w:rPr>
        <w:t>monitored</w:t>
      </w:r>
      <w:r>
        <w:rPr>
          <w:lang w:eastAsia="en-GB"/>
        </w:rPr>
        <w:t xml:space="preserve"> </w:t>
      </w:r>
      <w:r w:rsidRPr="0071774C">
        <w:rPr>
          <w:lang w:eastAsia="en-GB"/>
        </w:rPr>
        <w:t>over</w:t>
      </w:r>
      <w:r>
        <w:rPr>
          <w:lang w:eastAsia="en-GB"/>
        </w:rPr>
        <w:t xml:space="preserve"> </w:t>
      </w:r>
      <w:r w:rsidRPr="0071774C">
        <w:rPr>
          <w:lang w:eastAsia="en-GB"/>
        </w:rPr>
        <w:t>the</w:t>
      </w:r>
      <w:r>
        <w:rPr>
          <w:lang w:eastAsia="en-GB"/>
        </w:rPr>
        <w:t xml:space="preserve"> </w:t>
      </w:r>
      <w:r w:rsidRPr="0071774C">
        <w:rPr>
          <w:lang w:eastAsia="en-GB"/>
        </w:rPr>
        <w:t>long</w:t>
      </w:r>
      <w:r>
        <w:rPr>
          <w:lang w:eastAsia="en-GB"/>
        </w:rPr>
        <w:t xml:space="preserve"> </w:t>
      </w:r>
      <w:r w:rsidRPr="0071774C">
        <w:rPr>
          <w:lang w:eastAsia="en-GB"/>
        </w:rPr>
        <w:t>term.</w:t>
      </w:r>
    </w:p>
    <w:p w14:paraId="57E662D3" w14:textId="77777777" w:rsidR="002C2EC7" w:rsidRDefault="002C2EC7" w:rsidP="00790783">
      <w:pPr>
        <w:pStyle w:val="OWBullet1"/>
      </w:pPr>
      <w:r w:rsidRPr="0071774C">
        <w:rPr>
          <w:lang w:eastAsia="en-GB"/>
        </w:rPr>
        <w:t>Commitments</w:t>
      </w:r>
      <w:r>
        <w:t xml:space="preserve"> </w:t>
      </w:r>
      <w:r w:rsidRPr="0071774C">
        <w:t>to</w:t>
      </w:r>
      <w:r>
        <w:t xml:space="preserve"> </w:t>
      </w:r>
      <w:r w:rsidRPr="0071774C">
        <w:t>national</w:t>
      </w:r>
      <w:r>
        <w:t xml:space="preserve"> </w:t>
      </w:r>
      <w:r w:rsidRPr="0071774C">
        <w:t>data</w:t>
      </w:r>
      <w:r>
        <w:t xml:space="preserve"> </w:t>
      </w:r>
      <w:r w:rsidRPr="0071774C">
        <w:t>collection,</w:t>
      </w:r>
      <w:r>
        <w:t xml:space="preserve"> </w:t>
      </w:r>
      <w:r w:rsidRPr="0071774C">
        <w:t>monitoring,</w:t>
      </w:r>
      <w:r>
        <w:t xml:space="preserve"> </w:t>
      </w:r>
      <w:r w:rsidRPr="0071774C">
        <w:t>management</w:t>
      </w:r>
      <w:r>
        <w:t xml:space="preserve"> </w:t>
      </w:r>
      <w:r w:rsidRPr="0071774C">
        <w:t>and</w:t>
      </w:r>
      <w:r>
        <w:t xml:space="preserve"> </w:t>
      </w:r>
      <w:r w:rsidRPr="0071774C">
        <w:t>dissemination,</w:t>
      </w:r>
      <w:r>
        <w:t xml:space="preserve"> </w:t>
      </w:r>
      <w:r w:rsidRPr="0071774C">
        <w:t>and</w:t>
      </w:r>
      <w:r>
        <w:t xml:space="preserve"> </w:t>
      </w:r>
      <w:r w:rsidRPr="0071774C">
        <w:t>efforts</w:t>
      </w:r>
      <w:r>
        <w:t xml:space="preserve"> </w:t>
      </w:r>
      <w:r w:rsidRPr="0071774C">
        <w:t>being</w:t>
      </w:r>
      <w:r>
        <w:t xml:space="preserve"> </w:t>
      </w:r>
      <w:r w:rsidRPr="0071774C">
        <w:t>made</w:t>
      </w:r>
      <w:r>
        <w:t xml:space="preserve"> </w:t>
      </w:r>
      <w:r w:rsidRPr="0071774C">
        <w:t>to</w:t>
      </w:r>
      <w:r>
        <w:t xml:space="preserve"> </w:t>
      </w:r>
      <w:r w:rsidRPr="0071774C">
        <w:t>strengthen</w:t>
      </w:r>
      <w:r>
        <w:t xml:space="preserve"> </w:t>
      </w:r>
      <w:r w:rsidRPr="0071774C">
        <w:t>whole-of-population</w:t>
      </w:r>
      <w:r>
        <w:t xml:space="preserve"> </w:t>
      </w:r>
      <w:r w:rsidRPr="0071774C">
        <w:t>data</w:t>
      </w:r>
      <w:r>
        <w:t xml:space="preserve"> </w:t>
      </w:r>
      <w:r w:rsidRPr="0071774C">
        <w:t>by</w:t>
      </w:r>
      <w:r>
        <w:t xml:space="preserve"> </w:t>
      </w:r>
      <w:r w:rsidRPr="0071774C">
        <w:t>addressing</w:t>
      </w:r>
      <w:r>
        <w:t xml:space="preserve"> </w:t>
      </w:r>
      <w:r w:rsidRPr="0071774C">
        <w:t>omissions</w:t>
      </w:r>
      <w:r>
        <w:t xml:space="preserve"> </w:t>
      </w:r>
      <w:r w:rsidRPr="0071774C">
        <w:t>and</w:t>
      </w:r>
      <w:r>
        <w:t xml:space="preserve"> </w:t>
      </w:r>
      <w:r w:rsidRPr="0071774C">
        <w:t>methodological</w:t>
      </w:r>
      <w:r>
        <w:t xml:space="preserve"> </w:t>
      </w:r>
      <w:r w:rsidRPr="0071774C">
        <w:t>limitations.</w:t>
      </w:r>
      <w:r>
        <w:t xml:space="preserve"> </w:t>
      </w:r>
      <w:r w:rsidRPr="0071774C">
        <w:t>These</w:t>
      </w:r>
      <w:r>
        <w:t xml:space="preserve"> </w:t>
      </w:r>
      <w:r w:rsidRPr="0071774C">
        <w:t>improvements</w:t>
      </w:r>
      <w:r>
        <w:t xml:space="preserve"> </w:t>
      </w:r>
      <w:r w:rsidRPr="0071774C">
        <w:t>will</w:t>
      </w:r>
      <w:r>
        <w:t xml:space="preserve"> </w:t>
      </w:r>
      <w:r w:rsidRPr="0071774C">
        <w:t>enable</w:t>
      </w:r>
      <w:r>
        <w:t xml:space="preserve"> </w:t>
      </w:r>
      <w:r w:rsidRPr="0071774C">
        <w:t>a</w:t>
      </w:r>
      <w:r>
        <w:t xml:space="preserve"> </w:t>
      </w:r>
      <w:r w:rsidRPr="0071774C">
        <w:t>more</w:t>
      </w:r>
      <w:r>
        <w:t xml:space="preserve"> </w:t>
      </w:r>
      <w:r w:rsidRPr="0071774C">
        <w:t>nuanced</w:t>
      </w:r>
      <w:r>
        <w:t xml:space="preserve"> </w:t>
      </w:r>
      <w:r w:rsidRPr="0071774C">
        <w:t>understanding</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and</w:t>
      </w:r>
      <w:r>
        <w:t xml:space="preserve"> </w:t>
      </w:r>
      <w:r w:rsidRPr="0071774C">
        <w:t>help</w:t>
      </w:r>
      <w:r>
        <w:t xml:space="preserve"> </w:t>
      </w:r>
      <w:r w:rsidRPr="0071774C">
        <w:t>guide</w:t>
      </w:r>
      <w:r>
        <w:t xml:space="preserve"> </w:t>
      </w:r>
      <w:r w:rsidRPr="0071774C">
        <w:t>more</w:t>
      </w:r>
      <w:r>
        <w:t xml:space="preserve"> </w:t>
      </w:r>
      <w:r w:rsidRPr="0071774C">
        <w:t>effective</w:t>
      </w:r>
      <w:r>
        <w:t xml:space="preserve"> </w:t>
      </w:r>
      <w:r w:rsidRPr="0071774C">
        <w:t>action</w:t>
      </w:r>
      <w:r>
        <w:t xml:space="preserve"> </w:t>
      </w:r>
      <w:r w:rsidRPr="0071774C">
        <w:t>to</w:t>
      </w:r>
      <w:r>
        <w:t xml:space="preserve"> </w:t>
      </w:r>
      <w:r w:rsidRPr="0071774C">
        <w:t>address</w:t>
      </w:r>
      <w:r>
        <w:t xml:space="preserve"> </w:t>
      </w:r>
      <w:r w:rsidRPr="0071774C">
        <w:t>the</w:t>
      </w:r>
      <w:r>
        <w:t xml:space="preserve"> </w:t>
      </w:r>
      <w:r w:rsidRPr="0071774C">
        <w:t>drivers</w:t>
      </w:r>
      <w:r>
        <w:t xml:space="preserve"> </w:t>
      </w:r>
      <w:r w:rsidRPr="0071774C">
        <w:t>of</w:t>
      </w:r>
      <w:r>
        <w:t xml:space="preserve"> </w:t>
      </w:r>
      <w:r w:rsidRPr="0071774C">
        <w:t>this</w:t>
      </w:r>
      <w:r>
        <w:t xml:space="preserve"> </w:t>
      </w:r>
      <w:r w:rsidRPr="0071774C">
        <w:t>violence.</w:t>
      </w:r>
    </w:p>
    <w:p w14:paraId="3C6A0D9F" w14:textId="77777777" w:rsidR="002C2EC7" w:rsidRDefault="002C2EC7" w:rsidP="00790783">
      <w:pPr>
        <w:pStyle w:val="OWBodytextafterlist"/>
      </w:pPr>
      <w:r w:rsidRPr="0071774C">
        <w:t>Progressive</w:t>
      </w:r>
      <w:r>
        <w:t xml:space="preserve"> </w:t>
      </w:r>
      <w:r w:rsidRPr="0071774C">
        <w:t>shifts</w:t>
      </w:r>
      <w:r>
        <w:t xml:space="preserve"> </w:t>
      </w:r>
      <w:r w:rsidRPr="0071774C">
        <w:t>in</w:t>
      </w:r>
      <w:r>
        <w:t xml:space="preserve"> </w:t>
      </w:r>
      <w:r w:rsidRPr="0071774C">
        <w:t>some</w:t>
      </w:r>
      <w:r>
        <w:t xml:space="preserve"> </w:t>
      </w:r>
      <w:r w:rsidRPr="0071774C">
        <w:t>attitudes,</w:t>
      </w:r>
      <w:r>
        <w:t xml:space="preserve"> </w:t>
      </w:r>
      <w:r w:rsidRPr="0071774C">
        <w:t>have</w:t>
      </w:r>
      <w:r>
        <w:t xml:space="preserve"> </w:t>
      </w:r>
      <w:r w:rsidRPr="0071774C">
        <w:t>also</w:t>
      </w:r>
      <w:r>
        <w:t xml:space="preserve"> </w:t>
      </w:r>
      <w:r w:rsidRPr="0071774C">
        <w:t>taken</w:t>
      </w:r>
      <w:r>
        <w:t xml:space="preserve"> </w:t>
      </w:r>
      <w:r w:rsidRPr="0071774C">
        <w:t>place,</w:t>
      </w:r>
      <w:r>
        <w:t xml:space="preserve"> </w:t>
      </w:r>
      <w:r w:rsidRPr="0071774C">
        <w:t>such</w:t>
      </w:r>
      <w:r>
        <w:t xml:space="preserve"> </w:t>
      </w:r>
      <w:r w:rsidRPr="0071774C">
        <w:t>as:</w:t>
      </w:r>
    </w:p>
    <w:p w14:paraId="4B9965DA" w14:textId="77777777" w:rsidR="002C2EC7" w:rsidRPr="0071774C" w:rsidRDefault="002C2EC7" w:rsidP="00790783">
      <w:pPr>
        <w:pStyle w:val="OWBullet1"/>
      </w:pPr>
      <w:r w:rsidRPr="0071774C">
        <w:t>A</w:t>
      </w:r>
      <w:r>
        <w:t xml:space="preserve"> </w:t>
      </w:r>
      <w:r w:rsidRPr="0071774C">
        <w:t>reduction</w:t>
      </w:r>
      <w:r>
        <w:t xml:space="preserve"> </w:t>
      </w:r>
      <w:r w:rsidRPr="0071774C">
        <w:t>in</w:t>
      </w:r>
      <w:r>
        <w:t xml:space="preserve"> </w:t>
      </w:r>
      <w:r w:rsidRPr="0071774C">
        <w:t>the</w:t>
      </w:r>
      <w:r>
        <w:t xml:space="preserve"> </w:t>
      </w:r>
      <w:r w:rsidRPr="0071774C">
        <w:t>proportion</w:t>
      </w:r>
      <w:r>
        <w:t xml:space="preserve"> </w:t>
      </w:r>
      <w:r w:rsidRPr="0071774C">
        <w:t>of</w:t>
      </w:r>
      <w:r>
        <w:t xml:space="preserve"> </w:t>
      </w:r>
      <w:r w:rsidRPr="0071774C">
        <w:t>Australians</w:t>
      </w:r>
      <w:r>
        <w:t xml:space="preserve"> </w:t>
      </w:r>
      <w:r w:rsidRPr="0071774C">
        <w:t>whose</w:t>
      </w:r>
      <w:r>
        <w:t xml:space="preserve"> </w:t>
      </w:r>
      <w:r w:rsidRPr="0071774C">
        <w:t>attitudes</w:t>
      </w:r>
      <w:r>
        <w:t xml:space="preserve"> </w:t>
      </w:r>
      <w:r w:rsidRPr="0071774C">
        <w:t>condone</w:t>
      </w:r>
      <w:r>
        <w:t xml:space="preserve"> </w:t>
      </w:r>
      <w:r w:rsidRPr="0071774C">
        <w:t>or</w:t>
      </w:r>
      <w:r>
        <w:t xml:space="preserve"> </w:t>
      </w:r>
      <w:r w:rsidRPr="0071774C">
        <w:t>accept</w:t>
      </w:r>
      <w:r>
        <w:t xml:space="preserve"> </w:t>
      </w:r>
      <w:r w:rsidRPr="0071774C">
        <w:t>violence</w:t>
      </w:r>
      <w:r>
        <w:t xml:space="preserve"> </w:t>
      </w:r>
      <w:r w:rsidRPr="0071774C">
        <w:t>against</w:t>
      </w:r>
      <w:r>
        <w:t xml:space="preserve"> </w:t>
      </w:r>
      <w:r w:rsidRPr="0071774C">
        <w:t>women</w:t>
      </w:r>
      <w:r>
        <w:t xml:space="preserve"> </w:t>
      </w:r>
      <w:r w:rsidRPr="0071774C">
        <w:t>(particularly</w:t>
      </w:r>
      <w:r>
        <w:t xml:space="preserve"> </w:t>
      </w:r>
      <w:r w:rsidRPr="0071774C">
        <w:t>since</w:t>
      </w:r>
      <w:r>
        <w:t xml:space="preserve"> </w:t>
      </w:r>
      <w:r w:rsidRPr="0071774C">
        <w:t>2013).</w:t>
      </w:r>
    </w:p>
    <w:p w14:paraId="56E534E9" w14:textId="77777777" w:rsidR="002C2EC7" w:rsidRDefault="002C2EC7" w:rsidP="00790783">
      <w:pPr>
        <w:pStyle w:val="OWBullet1"/>
      </w:pPr>
      <w:r w:rsidRPr="0071774C">
        <w:t>An</w:t>
      </w:r>
      <w:r>
        <w:t xml:space="preserve"> </w:t>
      </w:r>
      <w:r w:rsidRPr="0071774C">
        <w:t>improvement</w:t>
      </w:r>
      <w:r>
        <w:t xml:space="preserve"> </w:t>
      </w:r>
      <w:r w:rsidRPr="0071774C">
        <w:t>in</w:t>
      </w:r>
      <w:r>
        <w:t xml:space="preserve"> </w:t>
      </w:r>
      <w:r w:rsidRPr="0071774C">
        <w:t>attitudes</w:t>
      </w:r>
      <w:r>
        <w:t xml:space="preserve"> </w:t>
      </w:r>
      <w:r w:rsidRPr="0071774C">
        <w:t>towards</w:t>
      </w:r>
      <w:r>
        <w:t xml:space="preserve"> </w:t>
      </w:r>
      <w:r w:rsidRPr="0071774C">
        <w:t>women’s</w:t>
      </w:r>
      <w:r>
        <w:t xml:space="preserve"> </w:t>
      </w:r>
      <w:r w:rsidRPr="0071774C">
        <w:t>engagement</w:t>
      </w:r>
      <w:r>
        <w:t xml:space="preserve"> </w:t>
      </w:r>
      <w:r w:rsidRPr="0071774C">
        <w:t>in</w:t>
      </w:r>
      <w:r>
        <w:t xml:space="preserve"> </w:t>
      </w:r>
      <w:r w:rsidRPr="0071774C">
        <w:t>public</w:t>
      </w:r>
      <w:r>
        <w:t xml:space="preserve"> </w:t>
      </w:r>
      <w:r w:rsidRPr="0071774C">
        <w:t>life,</w:t>
      </w:r>
      <w:r>
        <w:t xml:space="preserve"> </w:t>
      </w:r>
      <w:r w:rsidRPr="0071774C">
        <w:t>with</w:t>
      </w:r>
      <w:r>
        <w:t xml:space="preserve"> </w:t>
      </w:r>
      <w:r w:rsidRPr="0071774C">
        <w:t>increased</w:t>
      </w:r>
      <w:r>
        <w:t xml:space="preserve"> </w:t>
      </w:r>
      <w:r w:rsidRPr="0071774C">
        <w:t>support</w:t>
      </w:r>
      <w:r>
        <w:t xml:space="preserve"> </w:t>
      </w:r>
      <w:r w:rsidRPr="0071774C">
        <w:t>for</w:t>
      </w:r>
      <w:r>
        <w:t xml:space="preserve"> </w:t>
      </w:r>
      <w:r w:rsidRPr="0071774C">
        <w:t>a</w:t>
      </w:r>
      <w:r>
        <w:t xml:space="preserve"> </w:t>
      </w:r>
      <w:r w:rsidRPr="0071774C">
        <w:t>broadening</w:t>
      </w:r>
      <w:r>
        <w:t xml:space="preserve"> </w:t>
      </w:r>
      <w:r w:rsidRPr="0071774C">
        <w:t>of</w:t>
      </w:r>
      <w:r>
        <w:t xml:space="preserve"> </w:t>
      </w:r>
      <w:r w:rsidRPr="0071774C">
        <w:t>the</w:t>
      </w:r>
      <w:r>
        <w:t xml:space="preserve"> </w:t>
      </w:r>
      <w:r w:rsidRPr="0071774C">
        <w:t>roles</w:t>
      </w:r>
      <w:r>
        <w:t xml:space="preserve"> </w:t>
      </w:r>
      <w:r w:rsidRPr="0071774C">
        <w:t>available</w:t>
      </w:r>
      <w:r>
        <w:t xml:space="preserve"> </w:t>
      </w:r>
      <w:r w:rsidRPr="0071774C">
        <w:t>to</w:t>
      </w:r>
      <w:r>
        <w:t xml:space="preserve"> </w:t>
      </w:r>
      <w:r w:rsidRPr="0071774C">
        <w:t>women,</w:t>
      </w:r>
      <w:r>
        <w:t xml:space="preserve"> </w:t>
      </w:r>
      <w:r w:rsidRPr="0071774C">
        <w:t>and</w:t>
      </w:r>
      <w:r>
        <w:t xml:space="preserve"> </w:t>
      </w:r>
      <w:r w:rsidRPr="0071774C">
        <w:t>greater</w:t>
      </w:r>
      <w:r>
        <w:t xml:space="preserve"> </w:t>
      </w:r>
      <w:r w:rsidRPr="0071774C">
        <w:t>acceptance</w:t>
      </w:r>
      <w:r>
        <w:t xml:space="preserve"> </w:t>
      </w:r>
      <w:r w:rsidRPr="0071774C">
        <w:t>of</w:t>
      </w:r>
      <w:r>
        <w:t xml:space="preserve"> </w:t>
      </w:r>
      <w:r w:rsidRPr="0071774C">
        <w:t>women’s</w:t>
      </w:r>
      <w:r>
        <w:t xml:space="preserve"> </w:t>
      </w:r>
      <w:r w:rsidRPr="0071774C">
        <w:t>full</w:t>
      </w:r>
      <w:r>
        <w:t xml:space="preserve"> </w:t>
      </w:r>
      <w:r w:rsidRPr="0071774C">
        <w:t>participation</w:t>
      </w:r>
      <w:r>
        <w:t xml:space="preserve"> </w:t>
      </w:r>
      <w:r w:rsidRPr="0071774C">
        <w:t>in</w:t>
      </w:r>
      <w:r>
        <w:t xml:space="preserve"> </w:t>
      </w:r>
      <w:r w:rsidRPr="0071774C">
        <w:t>the</w:t>
      </w:r>
      <w:r>
        <w:t xml:space="preserve"> </w:t>
      </w:r>
      <w:r w:rsidRPr="0071774C">
        <w:t>workforce.</w:t>
      </w:r>
    </w:p>
    <w:p w14:paraId="322BAAE2" w14:textId="77777777" w:rsidR="002C2EC7" w:rsidRDefault="002C2EC7" w:rsidP="00790783">
      <w:pPr>
        <w:pStyle w:val="OWBodytextafterlist"/>
      </w:pPr>
      <w:r w:rsidRPr="0071774C">
        <w:t>Some</w:t>
      </w:r>
      <w:r>
        <w:t xml:space="preserve"> </w:t>
      </w:r>
      <w:r w:rsidRPr="0071774C">
        <w:t>positive</w:t>
      </w:r>
      <w:r>
        <w:t xml:space="preserve"> </w:t>
      </w:r>
      <w:r w:rsidRPr="0071774C">
        <w:t>progress</w:t>
      </w:r>
      <w:r>
        <w:t xml:space="preserve"> </w:t>
      </w:r>
      <w:r w:rsidRPr="0071774C">
        <w:t>towards</w:t>
      </w:r>
      <w:r>
        <w:t xml:space="preserve"> </w:t>
      </w:r>
      <w:r w:rsidRPr="0071774C">
        <w:t>gender</w:t>
      </w:r>
      <w:r>
        <w:t xml:space="preserve"> </w:t>
      </w:r>
      <w:r w:rsidRPr="0071774C">
        <w:t>equality</w:t>
      </w:r>
      <w:r>
        <w:t xml:space="preserve"> </w:t>
      </w:r>
      <w:r w:rsidRPr="0071774C">
        <w:t>generally</w:t>
      </w:r>
      <w:r>
        <w:t xml:space="preserve"> </w:t>
      </w:r>
      <w:r w:rsidRPr="0071774C">
        <w:t>has</w:t>
      </w:r>
      <w:r>
        <w:t xml:space="preserve"> </w:t>
      </w:r>
      <w:r w:rsidRPr="0071774C">
        <w:t>also</w:t>
      </w:r>
      <w:r>
        <w:t xml:space="preserve"> </w:t>
      </w:r>
      <w:r w:rsidRPr="0071774C">
        <w:t>occurred,</w:t>
      </w:r>
      <w:r>
        <w:t xml:space="preserve"> </w:t>
      </w:r>
      <w:r w:rsidRPr="0071774C">
        <w:t>including:</w:t>
      </w:r>
    </w:p>
    <w:p w14:paraId="50476A94" w14:textId="77777777" w:rsidR="002C2EC7" w:rsidRPr="0071774C" w:rsidRDefault="002C2EC7" w:rsidP="00790783">
      <w:pPr>
        <w:pStyle w:val="OWBullet1"/>
      </w:pPr>
      <w:r w:rsidRPr="0071774C">
        <w:t>Increased</w:t>
      </w:r>
      <w:r>
        <w:t xml:space="preserve"> </w:t>
      </w:r>
      <w:r w:rsidRPr="0071774C">
        <w:t>paid</w:t>
      </w:r>
      <w:r>
        <w:t xml:space="preserve"> </w:t>
      </w:r>
      <w:r w:rsidRPr="0071774C">
        <w:t>hours</w:t>
      </w:r>
      <w:r>
        <w:t xml:space="preserve"> </w:t>
      </w:r>
      <w:r w:rsidRPr="0071774C">
        <w:t>of</w:t>
      </w:r>
      <w:r>
        <w:t xml:space="preserve"> </w:t>
      </w:r>
      <w:r w:rsidRPr="0071774C">
        <w:t>work</w:t>
      </w:r>
      <w:r>
        <w:t xml:space="preserve"> </w:t>
      </w:r>
      <w:r w:rsidRPr="0071774C">
        <w:t>for</w:t>
      </w:r>
      <w:r>
        <w:t xml:space="preserve"> </w:t>
      </w:r>
      <w:r w:rsidRPr="0071774C">
        <w:t>women.</w:t>
      </w:r>
    </w:p>
    <w:p w14:paraId="5ED09EBC" w14:textId="77777777" w:rsidR="002C2EC7" w:rsidRPr="0071774C" w:rsidRDefault="002C2EC7" w:rsidP="00790783">
      <w:pPr>
        <w:pStyle w:val="OWBullet1"/>
      </w:pPr>
      <w:r w:rsidRPr="0071774C">
        <w:t>Increased</w:t>
      </w:r>
      <w:r>
        <w:t xml:space="preserve"> </w:t>
      </w:r>
      <w:r w:rsidRPr="0071774C">
        <w:t>representation</w:t>
      </w:r>
      <w:r>
        <w:t xml:space="preserve"> </w:t>
      </w:r>
      <w:r w:rsidRPr="0071774C">
        <w:t>of</w:t>
      </w:r>
      <w:r>
        <w:t xml:space="preserve"> </w:t>
      </w:r>
      <w:r w:rsidRPr="0071774C">
        <w:t>women</w:t>
      </w:r>
      <w:r>
        <w:t xml:space="preserve"> </w:t>
      </w:r>
      <w:r w:rsidRPr="0071774C">
        <w:t>in</w:t>
      </w:r>
      <w:r>
        <w:t xml:space="preserve"> </w:t>
      </w:r>
      <w:r w:rsidRPr="0071774C">
        <w:t>the</w:t>
      </w:r>
      <w:r>
        <w:t xml:space="preserve"> </w:t>
      </w:r>
      <w:r w:rsidRPr="0071774C">
        <w:t>public</w:t>
      </w:r>
      <w:r>
        <w:t xml:space="preserve"> </w:t>
      </w:r>
      <w:r w:rsidRPr="0071774C">
        <w:t>and</w:t>
      </w:r>
      <w:r>
        <w:t xml:space="preserve"> </w:t>
      </w:r>
      <w:r w:rsidRPr="0071774C">
        <w:t>private</w:t>
      </w:r>
      <w:r>
        <w:t xml:space="preserve"> </w:t>
      </w:r>
      <w:r w:rsidRPr="0071774C">
        <w:t>sectors.</w:t>
      </w:r>
    </w:p>
    <w:p w14:paraId="04666C84" w14:textId="77777777" w:rsidR="002C2EC7" w:rsidRPr="0071774C" w:rsidRDefault="002C2EC7" w:rsidP="00790783">
      <w:pPr>
        <w:pStyle w:val="OWBullet1"/>
      </w:pPr>
      <w:r w:rsidRPr="0071774C">
        <w:t>Gains</w:t>
      </w:r>
      <w:r>
        <w:t xml:space="preserve"> </w:t>
      </w:r>
      <w:r w:rsidRPr="0071774C">
        <w:t>in</w:t>
      </w:r>
      <w:r>
        <w:t xml:space="preserve"> </w:t>
      </w:r>
      <w:r w:rsidRPr="0071774C">
        <w:t>the</w:t>
      </w:r>
      <w:r>
        <w:t xml:space="preserve"> </w:t>
      </w:r>
      <w:r w:rsidRPr="0071774C">
        <w:t>representation</w:t>
      </w:r>
      <w:r>
        <w:t xml:space="preserve"> </w:t>
      </w:r>
      <w:r w:rsidRPr="0071774C">
        <w:t>of</w:t>
      </w:r>
      <w:r>
        <w:t xml:space="preserve"> </w:t>
      </w:r>
      <w:r w:rsidRPr="0071774C">
        <w:t>women</w:t>
      </w:r>
      <w:r>
        <w:t xml:space="preserve"> </w:t>
      </w:r>
      <w:r w:rsidRPr="0071774C">
        <w:t>in</w:t>
      </w:r>
      <w:r>
        <w:t xml:space="preserve"> </w:t>
      </w:r>
      <w:r w:rsidRPr="0071774C">
        <w:t>middle</w:t>
      </w:r>
      <w:r>
        <w:t xml:space="preserve"> </w:t>
      </w:r>
      <w:r w:rsidRPr="0071774C">
        <w:t>management</w:t>
      </w:r>
      <w:r>
        <w:t xml:space="preserve"> </w:t>
      </w:r>
      <w:r w:rsidRPr="0071774C">
        <w:t>roles.</w:t>
      </w:r>
    </w:p>
    <w:p w14:paraId="685DABBD" w14:textId="0175E91D" w:rsidR="002C2EC7" w:rsidRDefault="002C2EC7" w:rsidP="00790783">
      <w:pPr>
        <w:pStyle w:val="OWBullet1"/>
      </w:pPr>
      <w:r w:rsidRPr="0071774C">
        <w:t>To</w:t>
      </w:r>
      <w:r>
        <w:t xml:space="preserve"> </w:t>
      </w:r>
      <w:r w:rsidRPr="0071774C">
        <w:t>some</w:t>
      </w:r>
      <w:r>
        <w:t xml:space="preserve"> </w:t>
      </w:r>
      <w:r w:rsidRPr="0071774C">
        <w:t>degree,</w:t>
      </w:r>
      <w:r>
        <w:t xml:space="preserve"> </w:t>
      </w:r>
      <w:r w:rsidRPr="0071774C">
        <w:t>increased</w:t>
      </w:r>
      <w:r>
        <w:t xml:space="preserve"> </w:t>
      </w:r>
      <w:r w:rsidRPr="0071774C">
        <w:t>representation</w:t>
      </w:r>
      <w:r>
        <w:t xml:space="preserve"> </w:t>
      </w:r>
      <w:r w:rsidRPr="0071774C">
        <w:t>of</w:t>
      </w:r>
      <w:r>
        <w:t xml:space="preserve"> </w:t>
      </w:r>
      <w:r w:rsidRPr="0071774C">
        <w:t>women</w:t>
      </w:r>
      <w:r>
        <w:t xml:space="preserve"> </w:t>
      </w:r>
      <w:r w:rsidRPr="0071774C">
        <w:t>in</w:t>
      </w:r>
      <w:r>
        <w:t xml:space="preserve"> </w:t>
      </w:r>
      <w:r w:rsidRPr="0071774C">
        <w:t>occupations</w:t>
      </w:r>
      <w:r>
        <w:t xml:space="preserve"> </w:t>
      </w:r>
      <w:r w:rsidRPr="0071774C">
        <w:t>previously</w:t>
      </w:r>
      <w:r>
        <w:t xml:space="preserve"> </w:t>
      </w:r>
      <w:r w:rsidRPr="0071774C">
        <w:t>seen</w:t>
      </w:r>
      <w:r>
        <w:t xml:space="preserve"> </w:t>
      </w:r>
      <w:r w:rsidRPr="0071774C">
        <w:t>as</w:t>
      </w:r>
      <w:r w:rsidR="00851841">
        <w:t> </w:t>
      </w:r>
      <w:r w:rsidRPr="0071774C">
        <w:t>‘masculine’</w:t>
      </w:r>
      <w:r>
        <w:t xml:space="preserve"> </w:t>
      </w:r>
      <w:r w:rsidRPr="0071774C">
        <w:t>or</w:t>
      </w:r>
      <w:r>
        <w:t xml:space="preserve"> </w:t>
      </w:r>
      <w:r w:rsidRPr="0071774C">
        <w:t>‘men’s</w:t>
      </w:r>
      <w:r>
        <w:t xml:space="preserve"> </w:t>
      </w:r>
      <w:r w:rsidRPr="0071774C">
        <w:t>work’.</w:t>
      </w:r>
    </w:p>
    <w:p w14:paraId="6C925CCE" w14:textId="77777777" w:rsidR="002C2EC7" w:rsidRDefault="002C2EC7" w:rsidP="00790783">
      <w:pPr>
        <w:pStyle w:val="OWBodytextafterlist"/>
      </w:pPr>
      <w:r w:rsidRPr="0071774C">
        <w:lastRenderedPageBreak/>
        <w:t>This</w:t>
      </w:r>
      <w:r>
        <w:t xml:space="preserve"> </w:t>
      </w:r>
      <w:r w:rsidRPr="0071774C">
        <w:t>report</w:t>
      </w:r>
      <w:r>
        <w:t xml:space="preserve"> </w:t>
      </w:r>
      <w:r w:rsidRPr="0071774C">
        <w:t>also</w:t>
      </w:r>
      <w:r>
        <w:t xml:space="preserve"> </w:t>
      </w:r>
      <w:r w:rsidRPr="0071774C">
        <w:t>identifies</w:t>
      </w:r>
      <w:r>
        <w:t xml:space="preserve"> </w:t>
      </w:r>
      <w:r w:rsidRPr="0071774C">
        <w:t>gaps</w:t>
      </w:r>
      <w:r>
        <w:t xml:space="preserve"> </w:t>
      </w:r>
      <w:r w:rsidRPr="0071774C">
        <w:t>in</w:t>
      </w:r>
      <w:r>
        <w:t xml:space="preserve"> </w:t>
      </w:r>
      <w:r w:rsidRPr="0071774C">
        <w:t>current</w:t>
      </w:r>
      <w:r>
        <w:t xml:space="preserve"> </w:t>
      </w:r>
      <w:r w:rsidRPr="0071774C">
        <w:t>approaches,</w:t>
      </w:r>
      <w:r>
        <w:t xml:space="preserve"> </w:t>
      </w:r>
      <w:r w:rsidRPr="0071774C">
        <w:t>including:</w:t>
      </w:r>
    </w:p>
    <w:p w14:paraId="45FF414C" w14:textId="77777777" w:rsidR="002C2EC7" w:rsidRDefault="002C2EC7" w:rsidP="00790783">
      <w:pPr>
        <w:pStyle w:val="OWBullet1"/>
      </w:pPr>
      <w:r w:rsidRPr="0071774C">
        <w:t>Relatively</w:t>
      </w:r>
      <w:r>
        <w:t xml:space="preserve"> </w:t>
      </w:r>
      <w:r w:rsidRPr="0071774C">
        <w:t>less</w:t>
      </w:r>
      <w:r>
        <w:t xml:space="preserve"> </w:t>
      </w:r>
      <w:r w:rsidRPr="0071774C">
        <w:t>investment</w:t>
      </w:r>
      <w:r>
        <w:t xml:space="preserve"> </w:t>
      </w:r>
      <w:r w:rsidRPr="0071774C">
        <w:t>in,</w:t>
      </w:r>
      <w:r>
        <w:t xml:space="preserve"> </w:t>
      </w:r>
      <w:r w:rsidRPr="0071774C">
        <w:t>and</w:t>
      </w:r>
      <w:r>
        <w:t xml:space="preserve"> </w:t>
      </w:r>
      <w:r w:rsidRPr="0071774C">
        <w:t>attention</w:t>
      </w:r>
      <w:r>
        <w:t xml:space="preserve"> </w:t>
      </w:r>
      <w:r w:rsidRPr="0071774C">
        <w:t>to,</w:t>
      </w:r>
      <w:r>
        <w:t xml:space="preserve"> </w:t>
      </w:r>
      <w:r w:rsidRPr="0071774C">
        <w:t>prevention</w:t>
      </w:r>
      <w:r>
        <w:t xml:space="preserve"> </w:t>
      </w:r>
      <w:r w:rsidRPr="0071774C">
        <w:t>interventions</w:t>
      </w:r>
      <w:r>
        <w:t xml:space="preserve"> </w:t>
      </w:r>
      <w:r w:rsidRPr="0071774C">
        <w:t>that</w:t>
      </w:r>
      <w:r>
        <w:t xml:space="preserve"> </w:t>
      </w:r>
      <w:r w:rsidRPr="0071774C">
        <w:t>contribute</w:t>
      </w:r>
      <w:r>
        <w:t xml:space="preserve"> </w:t>
      </w:r>
      <w:r w:rsidRPr="0071774C">
        <w:t>to</w:t>
      </w:r>
      <w:r>
        <w:t xml:space="preserve"> </w:t>
      </w:r>
      <w:r w:rsidRPr="0071774C">
        <w:t>broad</w:t>
      </w:r>
      <w:r>
        <w:t xml:space="preserve"> </w:t>
      </w:r>
      <w:r w:rsidRPr="0071774C">
        <w:t>and</w:t>
      </w:r>
      <w:r>
        <w:t xml:space="preserve"> </w:t>
      </w:r>
      <w:r w:rsidRPr="0071774C">
        <w:t>deep</w:t>
      </w:r>
      <w:r>
        <w:t xml:space="preserve"> </w:t>
      </w:r>
      <w:r w:rsidRPr="0071774C">
        <w:t>changes</w:t>
      </w:r>
      <w:r>
        <w:t xml:space="preserve"> </w:t>
      </w:r>
      <w:r w:rsidRPr="0071774C">
        <w:t>across</w:t>
      </w:r>
      <w:r>
        <w:t xml:space="preserve"> </w:t>
      </w:r>
      <w:r w:rsidRPr="0071774C">
        <w:t>society</w:t>
      </w:r>
      <w:r>
        <w:t xml:space="preserve"> </w:t>
      </w:r>
      <w:r w:rsidRPr="0071774C">
        <w:t>–</w:t>
      </w:r>
      <w:r>
        <w:t xml:space="preserve"> </w:t>
      </w:r>
      <w:r w:rsidRPr="0071774C">
        <w:t>changes</w:t>
      </w:r>
      <w:r>
        <w:t xml:space="preserve"> </w:t>
      </w:r>
      <w:r w:rsidRPr="0071774C">
        <w:t>at</w:t>
      </w:r>
      <w:r>
        <w:t xml:space="preserve"> </w:t>
      </w:r>
      <w:r w:rsidRPr="0071774C">
        <w:t>the</w:t>
      </w:r>
      <w:r>
        <w:t xml:space="preserve"> </w:t>
      </w:r>
      <w:r w:rsidRPr="0071774C">
        <w:t>community</w:t>
      </w:r>
      <w:r>
        <w:t xml:space="preserve"> </w:t>
      </w:r>
      <w:r w:rsidRPr="0071774C">
        <w:t>level,</w:t>
      </w:r>
      <w:r>
        <w:t xml:space="preserve"> </w:t>
      </w:r>
      <w:r w:rsidRPr="0071774C">
        <w:t>changes</w:t>
      </w:r>
      <w:r>
        <w:t xml:space="preserve"> </w:t>
      </w:r>
      <w:r w:rsidRPr="0071774C">
        <w:t>to</w:t>
      </w:r>
      <w:r>
        <w:t xml:space="preserve"> </w:t>
      </w:r>
      <w:r w:rsidRPr="0071774C">
        <w:t>social</w:t>
      </w:r>
      <w:r>
        <w:t xml:space="preserve"> </w:t>
      </w:r>
      <w:r w:rsidRPr="0071774C">
        <w:t>norms,</w:t>
      </w:r>
      <w:r>
        <w:t xml:space="preserve"> </w:t>
      </w:r>
      <w:r w:rsidRPr="0071774C">
        <w:t>changes</w:t>
      </w:r>
      <w:r>
        <w:t xml:space="preserve"> </w:t>
      </w:r>
      <w:r w:rsidRPr="0071774C">
        <w:t>in</w:t>
      </w:r>
      <w:r>
        <w:t xml:space="preserve"> </w:t>
      </w:r>
      <w:r w:rsidRPr="0071774C">
        <w:t>organisations,</w:t>
      </w:r>
      <w:r>
        <w:t xml:space="preserve"> </w:t>
      </w:r>
      <w:r w:rsidRPr="0071774C">
        <w:t>and</w:t>
      </w:r>
      <w:r>
        <w:t xml:space="preserve"> </w:t>
      </w:r>
      <w:r w:rsidRPr="0071774C">
        <w:t>broader</w:t>
      </w:r>
      <w:r>
        <w:t xml:space="preserve"> </w:t>
      </w:r>
      <w:r w:rsidRPr="0071774C">
        <w:t>structural</w:t>
      </w:r>
      <w:r>
        <w:t xml:space="preserve"> </w:t>
      </w:r>
      <w:r w:rsidRPr="0071774C">
        <w:t>and</w:t>
      </w:r>
      <w:r>
        <w:t xml:space="preserve"> </w:t>
      </w:r>
      <w:r w:rsidRPr="0071774C">
        <w:t>systemic</w:t>
      </w:r>
      <w:r>
        <w:t xml:space="preserve"> </w:t>
      </w:r>
      <w:r w:rsidRPr="0071774C">
        <w:t>change.</w:t>
      </w:r>
    </w:p>
    <w:p w14:paraId="6C78E131" w14:textId="77777777" w:rsidR="002C2EC7" w:rsidRDefault="002C2EC7" w:rsidP="00790783">
      <w:pPr>
        <w:pStyle w:val="OWBullet1"/>
      </w:pPr>
      <w:r w:rsidRPr="0071774C">
        <w:t>National</w:t>
      </w:r>
      <w:r>
        <w:t xml:space="preserve"> </w:t>
      </w:r>
      <w:r w:rsidRPr="0071774C">
        <w:t>implementation</w:t>
      </w:r>
      <w:r>
        <w:t xml:space="preserve"> </w:t>
      </w:r>
      <w:r w:rsidRPr="0071774C">
        <w:t>efforts</w:t>
      </w:r>
      <w:r>
        <w:t xml:space="preserve"> </w:t>
      </w:r>
      <w:r w:rsidRPr="0071774C">
        <w:t>not</w:t>
      </w:r>
      <w:r>
        <w:t xml:space="preserve"> </w:t>
      </w:r>
      <w:r w:rsidRPr="0071774C">
        <w:t>yet</w:t>
      </w:r>
      <w:r>
        <w:t xml:space="preserve"> </w:t>
      </w:r>
      <w:r w:rsidRPr="0071774C">
        <w:t>having</w:t>
      </w:r>
      <w:r>
        <w:t xml:space="preserve"> </w:t>
      </w:r>
      <w:r w:rsidRPr="0071774C">
        <w:t>translated</w:t>
      </w:r>
      <w:r>
        <w:t xml:space="preserve"> </w:t>
      </w:r>
      <w:r w:rsidRPr="0071774C">
        <w:t>into</w:t>
      </w:r>
      <w:r>
        <w:t xml:space="preserve"> </w:t>
      </w:r>
      <w:r w:rsidRPr="0071774C">
        <w:t>mutually</w:t>
      </w:r>
      <w:r>
        <w:t xml:space="preserve"> </w:t>
      </w:r>
      <w:r w:rsidRPr="0071774C">
        <w:t>reinforcing</w:t>
      </w:r>
      <w:r>
        <w:t xml:space="preserve"> </w:t>
      </w:r>
      <w:r w:rsidRPr="0071774C">
        <w:t>activities</w:t>
      </w:r>
      <w:r>
        <w:t xml:space="preserve"> </w:t>
      </w:r>
      <w:r w:rsidRPr="0071774C">
        <w:t>(either</w:t>
      </w:r>
      <w:r>
        <w:t xml:space="preserve"> </w:t>
      </w:r>
      <w:r w:rsidRPr="0071774C">
        <w:t>simultaneously</w:t>
      </w:r>
      <w:r>
        <w:t xml:space="preserve"> </w:t>
      </w:r>
      <w:r w:rsidRPr="0071774C">
        <w:t>or</w:t>
      </w:r>
      <w:r>
        <w:t xml:space="preserve"> </w:t>
      </w:r>
      <w:r w:rsidRPr="0071774C">
        <w:t>sequentially)</w:t>
      </w:r>
      <w:r>
        <w:t xml:space="preserve"> </w:t>
      </w:r>
      <w:r w:rsidRPr="0071774C">
        <w:t>across</w:t>
      </w:r>
      <w:r>
        <w:t xml:space="preserve"> </w:t>
      </w:r>
      <w:r w:rsidRPr="0071774C">
        <w:t>all</w:t>
      </w:r>
      <w:r>
        <w:t xml:space="preserve"> </w:t>
      </w:r>
      <w:r w:rsidRPr="0071774C">
        <w:t>levels</w:t>
      </w:r>
      <w:r>
        <w:t xml:space="preserve"> </w:t>
      </w:r>
      <w:r w:rsidRPr="0071774C">
        <w:t>of</w:t>
      </w:r>
      <w:r>
        <w:t xml:space="preserve"> </w:t>
      </w:r>
      <w:r w:rsidRPr="0071774C">
        <w:t>society.</w:t>
      </w:r>
    </w:p>
    <w:p w14:paraId="7463F3CF" w14:textId="77777777" w:rsidR="002C2EC7" w:rsidRDefault="002C2EC7" w:rsidP="00790783">
      <w:pPr>
        <w:pStyle w:val="OWBullet1"/>
      </w:pPr>
      <w:r w:rsidRPr="0071774C">
        <w:t>Insufficient</w:t>
      </w:r>
      <w:r>
        <w:t xml:space="preserve"> </w:t>
      </w:r>
      <w:r w:rsidRPr="0071774C">
        <w:t>development</w:t>
      </w:r>
      <w:r>
        <w:t xml:space="preserve"> </w:t>
      </w:r>
      <w:r w:rsidRPr="0071774C">
        <w:t>of</w:t>
      </w:r>
      <w:r>
        <w:t xml:space="preserve"> </w:t>
      </w:r>
      <w:r w:rsidRPr="0071774C">
        <w:t>appropriate</w:t>
      </w:r>
      <w:r>
        <w:t xml:space="preserve"> </w:t>
      </w:r>
      <w:r w:rsidRPr="0071774C">
        <w:t>and</w:t>
      </w:r>
      <w:r>
        <w:t xml:space="preserve"> </w:t>
      </w:r>
      <w:r w:rsidRPr="0071774C">
        <w:t>shared</w:t>
      </w:r>
      <w:r>
        <w:t xml:space="preserve"> </w:t>
      </w:r>
      <w:r w:rsidRPr="0071774C">
        <w:t>evaluative</w:t>
      </w:r>
      <w:r>
        <w:t xml:space="preserve"> </w:t>
      </w:r>
      <w:r w:rsidRPr="0071774C">
        <w:t>practice</w:t>
      </w:r>
      <w:r>
        <w:t xml:space="preserve"> </w:t>
      </w:r>
      <w:r w:rsidRPr="0071774C">
        <w:t>that</w:t>
      </w:r>
      <w:r>
        <w:t xml:space="preserve"> </w:t>
      </w:r>
      <w:r w:rsidRPr="0071774C">
        <w:t>would</w:t>
      </w:r>
      <w:r>
        <w:t xml:space="preserve"> </w:t>
      </w:r>
      <w:r w:rsidRPr="0071774C">
        <w:t>assess</w:t>
      </w:r>
      <w:r>
        <w:t xml:space="preserve"> </w:t>
      </w:r>
      <w:r w:rsidRPr="0071774C">
        <w:t>the</w:t>
      </w:r>
      <w:r>
        <w:t xml:space="preserve"> </w:t>
      </w:r>
      <w:r w:rsidRPr="0071774C">
        <w:t>collaborative</w:t>
      </w:r>
      <w:r>
        <w:t xml:space="preserve"> </w:t>
      </w:r>
      <w:r w:rsidRPr="0071774C">
        <w:t>impact</w:t>
      </w:r>
      <w:r>
        <w:t xml:space="preserve"> </w:t>
      </w:r>
      <w:r w:rsidRPr="0071774C">
        <w:t>and</w:t>
      </w:r>
      <w:r>
        <w:t xml:space="preserve"> </w:t>
      </w:r>
      <w:r w:rsidRPr="0071774C">
        <w:t>shared</w:t>
      </w:r>
      <w:r>
        <w:t xml:space="preserve"> </w:t>
      </w:r>
      <w:r w:rsidRPr="0071774C">
        <w:t>effectiveness</w:t>
      </w:r>
      <w:r>
        <w:t xml:space="preserve"> </w:t>
      </w:r>
      <w:r w:rsidRPr="0071774C">
        <w:t>of</w:t>
      </w:r>
      <w:r>
        <w:t xml:space="preserve"> </w:t>
      </w:r>
      <w:r w:rsidRPr="0071774C">
        <w:t>prevention</w:t>
      </w:r>
      <w:r>
        <w:t xml:space="preserve"> </w:t>
      </w:r>
      <w:r w:rsidRPr="0071774C">
        <w:t>activity.</w:t>
      </w:r>
    </w:p>
    <w:p w14:paraId="398D3254" w14:textId="0F3EA303" w:rsidR="002C2EC7" w:rsidRDefault="002C2EC7" w:rsidP="00790783">
      <w:pPr>
        <w:pStyle w:val="OWBodytextafterlist"/>
      </w:pPr>
      <w:r w:rsidRPr="0071774C">
        <w:t>At</w:t>
      </w:r>
      <w:r>
        <w:t xml:space="preserve"> </w:t>
      </w:r>
      <w:r w:rsidRPr="0071774C">
        <w:t>the</w:t>
      </w:r>
      <w:r>
        <w:t xml:space="preserve"> </w:t>
      </w:r>
      <w:r w:rsidRPr="0071774C">
        <w:t>same</w:t>
      </w:r>
      <w:r>
        <w:t xml:space="preserve"> </w:t>
      </w:r>
      <w:r w:rsidRPr="0071774C">
        <w:t>time,</w:t>
      </w:r>
      <w:r>
        <w:t xml:space="preserve"> </w:t>
      </w:r>
      <w:r w:rsidRPr="0071774C">
        <w:t>this</w:t>
      </w:r>
      <w:r>
        <w:t xml:space="preserve"> </w:t>
      </w:r>
      <w:r w:rsidRPr="0071774C">
        <w:t>report</w:t>
      </w:r>
      <w:r>
        <w:t xml:space="preserve"> </w:t>
      </w:r>
      <w:r w:rsidRPr="0071774C">
        <w:t>demonstrates</w:t>
      </w:r>
      <w:r>
        <w:t xml:space="preserve"> </w:t>
      </w:r>
      <w:r w:rsidRPr="0071774C">
        <w:t>that</w:t>
      </w:r>
      <w:r>
        <w:t xml:space="preserve"> </w:t>
      </w:r>
      <w:r w:rsidRPr="0071774C">
        <w:t>change</w:t>
      </w:r>
      <w:r>
        <w:t xml:space="preserve"> </w:t>
      </w:r>
      <w:r w:rsidRPr="0071774C">
        <w:t>is</w:t>
      </w:r>
      <w:r>
        <w:t xml:space="preserve"> </w:t>
      </w:r>
      <w:r w:rsidRPr="0071774C">
        <w:t>not</w:t>
      </w:r>
      <w:r>
        <w:t xml:space="preserve"> </w:t>
      </w:r>
      <w:r w:rsidRPr="0071774C">
        <w:t>linear,</w:t>
      </w:r>
      <w:r>
        <w:t xml:space="preserve"> </w:t>
      </w:r>
      <w:r w:rsidRPr="0071774C">
        <w:t>that</w:t>
      </w:r>
      <w:r>
        <w:t xml:space="preserve"> </w:t>
      </w:r>
      <w:r w:rsidRPr="0071774C">
        <w:t>social</w:t>
      </w:r>
      <w:r>
        <w:t xml:space="preserve"> </w:t>
      </w:r>
      <w:r w:rsidRPr="0071774C">
        <w:t>population-level</w:t>
      </w:r>
      <w:r>
        <w:t xml:space="preserve"> </w:t>
      </w:r>
      <w:r w:rsidRPr="0071774C">
        <w:t>social</w:t>
      </w:r>
      <w:r>
        <w:t xml:space="preserve"> </w:t>
      </w:r>
      <w:r w:rsidRPr="0071774C">
        <w:t>change</w:t>
      </w:r>
      <w:r>
        <w:t xml:space="preserve"> </w:t>
      </w:r>
      <w:r w:rsidRPr="0071774C">
        <w:t>happens</w:t>
      </w:r>
      <w:r>
        <w:t xml:space="preserve"> </w:t>
      </w:r>
      <w:r w:rsidRPr="0071774C">
        <w:t>slowly,</w:t>
      </w:r>
      <w:r>
        <w:t xml:space="preserve"> </w:t>
      </w:r>
      <w:r w:rsidRPr="0071774C">
        <w:t>and</w:t>
      </w:r>
      <w:r>
        <w:t xml:space="preserve"> </w:t>
      </w:r>
      <w:r w:rsidRPr="0071774C">
        <w:t>that</w:t>
      </w:r>
      <w:r>
        <w:t xml:space="preserve"> </w:t>
      </w:r>
      <w:r w:rsidRPr="0071774C">
        <w:t>we</w:t>
      </w:r>
      <w:r>
        <w:t xml:space="preserve"> </w:t>
      </w:r>
      <w:r w:rsidRPr="0071774C">
        <w:t>have</w:t>
      </w:r>
      <w:r>
        <w:t xml:space="preserve"> </w:t>
      </w:r>
      <w:r w:rsidRPr="0071774C">
        <w:t>to</w:t>
      </w:r>
      <w:r>
        <w:t xml:space="preserve"> </w:t>
      </w:r>
      <w:r w:rsidRPr="0071774C">
        <w:t>continue</w:t>
      </w:r>
      <w:r>
        <w:t xml:space="preserve"> </w:t>
      </w:r>
      <w:r w:rsidRPr="0071774C">
        <w:t>to</w:t>
      </w:r>
      <w:r>
        <w:t xml:space="preserve"> </w:t>
      </w:r>
      <w:r w:rsidRPr="0071774C">
        <w:t>address</w:t>
      </w:r>
      <w:r>
        <w:t xml:space="preserve"> </w:t>
      </w:r>
      <w:r w:rsidRPr="0071774C">
        <w:t>the</w:t>
      </w:r>
      <w:r>
        <w:t xml:space="preserve"> </w:t>
      </w:r>
      <w:r w:rsidR="003D6970">
        <w:t>various forms of</w:t>
      </w:r>
      <w:r w:rsidR="000F610C">
        <w:t xml:space="preserve"> resistance</w:t>
      </w:r>
      <w:r w:rsidR="003D6970">
        <w:t xml:space="preserve"> and</w:t>
      </w:r>
      <w:r>
        <w:t xml:space="preserve"> </w:t>
      </w:r>
      <w:r w:rsidRPr="0071774C">
        <w:t>‘backlash’</w:t>
      </w:r>
      <w:r>
        <w:t xml:space="preserve"> </w:t>
      </w:r>
      <w:r w:rsidRPr="0071774C">
        <w:t>common</w:t>
      </w:r>
      <w:r>
        <w:t xml:space="preserve"> </w:t>
      </w:r>
      <w:r w:rsidRPr="0071774C">
        <w:t>to</w:t>
      </w:r>
      <w:r>
        <w:t xml:space="preserve"> </w:t>
      </w:r>
      <w:r w:rsidRPr="0071774C">
        <w:t>all</w:t>
      </w:r>
      <w:r>
        <w:t xml:space="preserve"> </w:t>
      </w:r>
      <w:r w:rsidRPr="0071774C">
        <w:t>efforts</w:t>
      </w:r>
      <w:r>
        <w:t xml:space="preserve"> </w:t>
      </w:r>
      <w:r w:rsidRPr="0071774C">
        <w:t>that</w:t>
      </w:r>
      <w:r>
        <w:t xml:space="preserve"> </w:t>
      </w:r>
      <w:r w:rsidRPr="0071774C">
        <w:t>challenge</w:t>
      </w:r>
      <w:r>
        <w:t xml:space="preserve"> </w:t>
      </w:r>
      <w:r w:rsidRPr="0071774C">
        <w:t>existing</w:t>
      </w:r>
      <w:r>
        <w:t xml:space="preserve"> </w:t>
      </w:r>
      <w:r w:rsidRPr="0071774C">
        <w:t>power</w:t>
      </w:r>
      <w:r>
        <w:t xml:space="preserve"> </w:t>
      </w:r>
      <w:r w:rsidRPr="0071774C">
        <w:t>dynamics.</w:t>
      </w:r>
      <w:r w:rsidRPr="0071774C">
        <w:rPr>
          <w:rStyle w:val="EndnoteReference"/>
        </w:rPr>
        <w:endnoteReference w:id="6"/>
      </w:r>
      <w:r>
        <w:t xml:space="preserve"> </w:t>
      </w:r>
      <w:r w:rsidRPr="0071774C">
        <w:t>The</w:t>
      </w:r>
      <w:r>
        <w:t xml:space="preserve"> </w:t>
      </w:r>
      <w:r w:rsidRPr="0071774C">
        <w:t>need</w:t>
      </w:r>
      <w:r>
        <w:t xml:space="preserve"> </w:t>
      </w:r>
      <w:r w:rsidRPr="0071774C">
        <w:t>to</w:t>
      </w:r>
      <w:r>
        <w:t xml:space="preserve"> </w:t>
      </w:r>
      <w:r w:rsidRPr="0071774C">
        <w:t>address</w:t>
      </w:r>
      <w:r>
        <w:t xml:space="preserve"> </w:t>
      </w:r>
      <w:r w:rsidRPr="0071774C">
        <w:t>these</w:t>
      </w:r>
      <w:r>
        <w:t xml:space="preserve"> </w:t>
      </w:r>
      <w:r w:rsidRPr="0071774C">
        <w:t>gaps</w:t>
      </w:r>
      <w:r>
        <w:t xml:space="preserve"> </w:t>
      </w:r>
      <w:r w:rsidRPr="0071774C">
        <w:t>in</w:t>
      </w:r>
      <w:r>
        <w:t xml:space="preserve"> </w:t>
      </w:r>
      <w:r w:rsidRPr="0071774C">
        <w:t>our</w:t>
      </w:r>
      <w:r>
        <w:t xml:space="preserve"> </w:t>
      </w:r>
      <w:r w:rsidRPr="0071774C">
        <w:t>current</w:t>
      </w:r>
      <w:r>
        <w:t xml:space="preserve"> </w:t>
      </w:r>
      <w:r w:rsidRPr="0071774C">
        <w:t>approach</w:t>
      </w:r>
      <w:r>
        <w:t xml:space="preserve"> </w:t>
      </w:r>
      <w:r w:rsidRPr="0071774C">
        <w:t>is</w:t>
      </w:r>
      <w:r>
        <w:t xml:space="preserve"> </w:t>
      </w:r>
      <w:r w:rsidRPr="0071774C">
        <w:t>evidenced</w:t>
      </w:r>
      <w:r>
        <w:t xml:space="preserve"> </w:t>
      </w:r>
      <w:r w:rsidRPr="0071774C">
        <w:t>by</w:t>
      </w:r>
      <w:r>
        <w:t xml:space="preserve"> </w:t>
      </w:r>
      <w:r w:rsidRPr="0071774C">
        <w:t>the</w:t>
      </w:r>
      <w:r>
        <w:t xml:space="preserve"> </w:t>
      </w:r>
      <w:r w:rsidRPr="0071774C">
        <w:t>report’s</w:t>
      </w:r>
      <w:r>
        <w:t xml:space="preserve"> </w:t>
      </w:r>
      <w:r w:rsidRPr="0071774C">
        <w:t>findings</w:t>
      </w:r>
      <w:r>
        <w:t xml:space="preserve"> </w:t>
      </w:r>
      <w:r w:rsidRPr="0071774C">
        <w:t>of</w:t>
      </w:r>
      <w:r>
        <w:t xml:space="preserve"> </w:t>
      </w:r>
      <w:r w:rsidRPr="0071774C">
        <w:t>limited</w:t>
      </w:r>
      <w:r>
        <w:t xml:space="preserve"> </w:t>
      </w:r>
      <w:r w:rsidRPr="0071774C">
        <w:t>progress</w:t>
      </w:r>
      <w:r>
        <w:t xml:space="preserve"> </w:t>
      </w:r>
      <w:r w:rsidRPr="0071774C">
        <w:t>against</w:t>
      </w:r>
      <w:r>
        <w:t xml:space="preserve"> </w:t>
      </w:r>
      <w:r w:rsidRPr="0071774C">
        <w:t>a</w:t>
      </w:r>
      <w:r>
        <w:t xml:space="preserve"> </w:t>
      </w:r>
      <w:r w:rsidRPr="0071774C">
        <w:t>range</w:t>
      </w:r>
      <w:r>
        <w:t xml:space="preserve"> </w:t>
      </w:r>
      <w:r w:rsidRPr="0071774C">
        <w:t>of</w:t>
      </w:r>
      <w:r>
        <w:t xml:space="preserve"> </w:t>
      </w:r>
      <w:r w:rsidRPr="0071774C">
        <w:t>indicators,</w:t>
      </w:r>
      <w:r>
        <w:t xml:space="preserve"> </w:t>
      </w:r>
      <w:r w:rsidRPr="0071774C">
        <w:t>including:</w:t>
      </w:r>
    </w:p>
    <w:p w14:paraId="78D08A2B" w14:textId="77777777" w:rsidR="002C2EC7" w:rsidRPr="0071774C" w:rsidRDefault="002C2EC7" w:rsidP="00790783">
      <w:pPr>
        <w:pStyle w:val="OWBullet1"/>
      </w:pPr>
      <w:r>
        <w:t>o</w:t>
      </w:r>
      <w:r w:rsidRPr="0071774C">
        <w:t>nly</w:t>
      </w:r>
      <w:r>
        <w:t xml:space="preserve"> </w:t>
      </w:r>
      <w:r w:rsidRPr="0071774C">
        <w:t>modest</w:t>
      </w:r>
      <w:r>
        <w:t xml:space="preserve"> </w:t>
      </w:r>
      <w:r w:rsidRPr="0071774C">
        <w:t>improvements</w:t>
      </w:r>
      <w:r>
        <w:t xml:space="preserve"> </w:t>
      </w:r>
      <w:r w:rsidRPr="0071774C">
        <w:t>in</w:t>
      </w:r>
      <w:r>
        <w:t xml:space="preserve"> </w:t>
      </w:r>
      <w:r w:rsidRPr="0071774C">
        <w:t>women’s</w:t>
      </w:r>
      <w:r>
        <w:t xml:space="preserve"> </w:t>
      </w:r>
      <w:r w:rsidRPr="0071774C">
        <w:t>decision-making</w:t>
      </w:r>
      <w:r>
        <w:t xml:space="preserve"> </w:t>
      </w:r>
      <w:r w:rsidRPr="0071774C">
        <w:t>power</w:t>
      </w:r>
    </w:p>
    <w:p w14:paraId="735182A9" w14:textId="48A9FE4A" w:rsidR="002C2EC7" w:rsidRPr="0071774C" w:rsidRDefault="002C2EC7" w:rsidP="00790783">
      <w:pPr>
        <w:pStyle w:val="OWBullet1"/>
      </w:pPr>
      <w:r>
        <w:t>l</w:t>
      </w:r>
      <w:r w:rsidRPr="0071774C">
        <w:t>ittle</w:t>
      </w:r>
      <w:r>
        <w:t xml:space="preserve"> </w:t>
      </w:r>
      <w:r w:rsidRPr="0071774C">
        <w:t>evidence</w:t>
      </w:r>
      <w:r>
        <w:t xml:space="preserve"> </w:t>
      </w:r>
      <w:r w:rsidRPr="0071774C">
        <w:t>of</w:t>
      </w:r>
      <w:r>
        <w:t xml:space="preserve"> </w:t>
      </w:r>
      <w:r w:rsidRPr="0071774C">
        <w:t>substantial</w:t>
      </w:r>
      <w:r>
        <w:t xml:space="preserve"> </w:t>
      </w:r>
      <w:r w:rsidRPr="0071774C">
        <w:t>change</w:t>
      </w:r>
      <w:r>
        <w:t xml:space="preserve"> </w:t>
      </w:r>
      <w:r w:rsidRPr="0071774C">
        <w:t>in</w:t>
      </w:r>
      <w:r>
        <w:t xml:space="preserve"> </w:t>
      </w:r>
      <w:r w:rsidRPr="0071774C">
        <w:t>the</w:t>
      </w:r>
      <w:r>
        <w:t xml:space="preserve"> </w:t>
      </w:r>
      <w:r w:rsidRPr="0071774C">
        <w:t>rate</w:t>
      </w:r>
      <w:r>
        <w:t xml:space="preserve"> </w:t>
      </w:r>
      <w:r w:rsidRPr="0071774C">
        <w:t>of</w:t>
      </w:r>
      <w:r>
        <w:t xml:space="preserve"> </w:t>
      </w:r>
      <w:r w:rsidRPr="0071774C">
        <w:t>men</w:t>
      </w:r>
      <w:r>
        <w:t xml:space="preserve"> </w:t>
      </w:r>
      <w:r w:rsidRPr="0071774C">
        <w:t>taking</w:t>
      </w:r>
      <w:r>
        <w:t xml:space="preserve"> </w:t>
      </w:r>
      <w:r w:rsidRPr="0071774C">
        <w:t>up</w:t>
      </w:r>
      <w:r>
        <w:t xml:space="preserve"> </w:t>
      </w:r>
      <w:r w:rsidRPr="0071774C">
        <w:t>caring</w:t>
      </w:r>
      <w:r>
        <w:t xml:space="preserve"> </w:t>
      </w:r>
      <w:r w:rsidRPr="0071774C">
        <w:t>roles</w:t>
      </w:r>
      <w:r>
        <w:t xml:space="preserve"> </w:t>
      </w:r>
      <w:r w:rsidRPr="0071774C">
        <w:t>in</w:t>
      </w:r>
      <w:r>
        <w:t xml:space="preserve"> </w:t>
      </w:r>
      <w:r w:rsidRPr="0071774C">
        <w:t>the</w:t>
      </w:r>
      <w:r>
        <w:t xml:space="preserve"> </w:t>
      </w:r>
      <w:r w:rsidRPr="0071774C">
        <w:t>home</w:t>
      </w:r>
      <w:r>
        <w:t xml:space="preserve"> </w:t>
      </w:r>
      <w:r w:rsidRPr="0071774C">
        <w:t>or</w:t>
      </w:r>
      <w:r>
        <w:t xml:space="preserve"> </w:t>
      </w:r>
      <w:r w:rsidRPr="0071774C">
        <w:t>workforce</w:t>
      </w:r>
    </w:p>
    <w:p w14:paraId="190E9518" w14:textId="77777777" w:rsidR="002C2EC7" w:rsidRPr="0071774C" w:rsidRDefault="002C2EC7" w:rsidP="00790783">
      <w:pPr>
        <w:pStyle w:val="OWBullet1"/>
      </w:pPr>
      <w:r>
        <w:t>m</w:t>
      </w:r>
      <w:r w:rsidRPr="0071774C">
        <w:t>en’s</w:t>
      </w:r>
      <w:r>
        <w:t xml:space="preserve"> </w:t>
      </w:r>
      <w:r w:rsidRPr="0071774C">
        <w:t>continued</w:t>
      </w:r>
      <w:r>
        <w:t xml:space="preserve"> </w:t>
      </w:r>
      <w:r w:rsidRPr="0071774C">
        <w:t>dominance</w:t>
      </w:r>
      <w:r>
        <w:t xml:space="preserve"> </w:t>
      </w:r>
      <w:r w:rsidRPr="0071774C">
        <w:t>of</w:t>
      </w:r>
      <w:r>
        <w:t xml:space="preserve"> </w:t>
      </w:r>
      <w:r w:rsidRPr="0071774C">
        <w:t>leadership</w:t>
      </w:r>
      <w:r>
        <w:t xml:space="preserve"> </w:t>
      </w:r>
      <w:r w:rsidRPr="0071774C">
        <w:t>positions</w:t>
      </w:r>
      <w:r>
        <w:t xml:space="preserve"> </w:t>
      </w:r>
      <w:r w:rsidRPr="0071774C">
        <w:t>in</w:t>
      </w:r>
      <w:r>
        <w:t xml:space="preserve"> </w:t>
      </w:r>
      <w:r w:rsidRPr="0071774C">
        <w:t>public</w:t>
      </w:r>
      <w:r>
        <w:t xml:space="preserve"> </w:t>
      </w:r>
      <w:r w:rsidRPr="0071774C">
        <w:t>life</w:t>
      </w:r>
    </w:p>
    <w:p w14:paraId="5F7A6B65" w14:textId="77777777" w:rsidR="002C2EC7" w:rsidRPr="0071774C" w:rsidRDefault="002C2EC7" w:rsidP="00790783">
      <w:pPr>
        <w:pStyle w:val="OWBullet1"/>
      </w:pPr>
      <w:r>
        <w:t>o</w:t>
      </w:r>
      <w:r w:rsidRPr="0071774C">
        <w:t>ngoing</w:t>
      </w:r>
      <w:r>
        <w:t xml:space="preserve"> </w:t>
      </w:r>
      <w:r w:rsidRPr="0071774C">
        <w:t>economic</w:t>
      </w:r>
      <w:r>
        <w:t xml:space="preserve"> </w:t>
      </w:r>
      <w:r w:rsidRPr="0071774C">
        <w:t>inequality</w:t>
      </w:r>
      <w:r>
        <w:t xml:space="preserve"> </w:t>
      </w:r>
      <w:r w:rsidRPr="0071774C">
        <w:t>for</w:t>
      </w:r>
      <w:r>
        <w:t xml:space="preserve"> </w:t>
      </w:r>
      <w:r w:rsidRPr="0071774C">
        <w:t>women,</w:t>
      </w:r>
      <w:r>
        <w:t xml:space="preserve"> </w:t>
      </w:r>
      <w:r w:rsidRPr="0071774C">
        <w:t>manifesting</w:t>
      </w:r>
      <w:r>
        <w:t xml:space="preserve"> </w:t>
      </w:r>
      <w:r w:rsidRPr="0071774C">
        <w:t>in</w:t>
      </w:r>
      <w:r>
        <w:t xml:space="preserve"> </w:t>
      </w:r>
      <w:r w:rsidRPr="0071774C">
        <w:t>the</w:t>
      </w:r>
      <w:r>
        <w:t xml:space="preserve"> </w:t>
      </w:r>
      <w:r w:rsidRPr="0071774C">
        <w:t>gender</w:t>
      </w:r>
      <w:r>
        <w:t xml:space="preserve"> </w:t>
      </w:r>
      <w:r w:rsidRPr="0071774C">
        <w:t>pay</w:t>
      </w:r>
      <w:r>
        <w:t xml:space="preserve"> </w:t>
      </w:r>
      <w:r w:rsidRPr="0071774C">
        <w:t>gap</w:t>
      </w:r>
      <w:r>
        <w:t xml:space="preserve"> </w:t>
      </w:r>
      <w:r w:rsidRPr="0071774C">
        <w:t>and</w:t>
      </w:r>
      <w:r>
        <w:t xml:space="preserve"> </w:t>
      </w:r>
      <w:r w:rsidRPr="0071774C">
        <w:t>superannuation</w:t>
      </w:r>
      <w:r>
        <w:t xml:space="preserve"> </w:t>
      </w:r>
      <w:r w:rsidRPr="0071774C">
        <w:t>gap</w:t>
      </w:r>
    </w:p>
    <w:p w14:paraId="7676EBF0" w14:textId="7F964766" w:rsidR="002C2EC7" w:rsidRDefault="002C2EC7" w:rsidP="00790783">
      <w:pPr>
        <w:pStyle w:val="OWBullet1"/>
      </w:pPr>
      <w:r>
        <w:t>m</w:t>
      </w:r>
      <w:r w:rsidRPr="0071774C">
        <w:t>any</w:t>
      </w:r>
      <w:r>
        <w:t xml:space="preserve"> </w:t>
      </w:r>
      <w:r w:rsidRPr="0071774C">
        <w:t>women</w:t>
      </w:r>
      <w:r>
        <w:t xml:space="preserve"> </w:t>
      </w:r>
      <w:r w:rsidRPr="0071774C">
        <w:t>continuing</w:t>
      </w:r>
      <w:r>
        <w:t xml:space="preserve"> </w:t>
      </w:r>
      <w:r w:rsidRPr="0071774C">
        <w:t>to</w:t>
      </w:r>
      <w:r>
        <w:t xml:space="preserve"> </w:t>
      </w:r>
      <w:r w:rsidRPr="0071774C">
        <w:t>experience</w:t>
      </w:r>
      <w:r>
        <w:t xml:space="preserve"> </w:t>
      </w:r>
      <w:r w:rsidRPr="0071774C">
        <w:t>discrimination</w:t>
      </w:r>
      <w:r>
        <w:t xml:space="preserve"> </w:t>
      </w:r>
      <w:r w:rsidR="00220986">
        <w:t xml:space="preserve">and oppression </w:t>
      </w:r>
      <w:r w:rsidRPr="0071774C">
        <w:t>on</w:t>
      </w:r>
      <w:r>
        <w:t xml:space="preserve"> </w:t>
      </w:r>
      <w:r w:rsidRPr="0071774C">
        <w:t>the</w:t>
      </w:r>
      <w:r>
        <w:t xml:space="preserve"> </w:t>
      </w:r>
      <w:r w:rsidRPr="0071774C">
        <w:t>basis</w:t>
      </w:r>
      <w:r>
        <w:t xml:space="preserve"> </w:t>
      </w:r>
      <w:r w:rsidRPr="0071774C">
        <w:t>of</w:t>
      </w:r>
      <w:r w:rsidR="00220986">
        <w:t> </w:t>
      </w:r>
      <w:r w:rsidRPr="0071774C">
        <w:t>race,</w:t>
      </w:r>
      <w:r>
        <w:t xml:space="preserve"> </w:t>
      </w:r>
      <w:r w:rsidRPr="0071774C">
        <w:t>religion,</w:t>
      </w:r>
      <w:r>
        <w:t xml:space="preserve"> </w:t>
      </w:r>
      <w:r w:rsidRPr="0071774C">
        <w:t>Indigeneity,</w:t>
      </w:r>
      <w:r>
        <w:t xml:space="preserve"> </w:t>
      </w:r>
      <w:r w:rsidRPr="0071774C">
        <w:t>disability,</w:t>
      </w:r>
      <w:r>
        <w:t xml:space="preserve"> </w:t>
      </w:r>
      <w:r w:rsidRPr="0071774C">
        <w:t>sexuality,</w:t>
      </w:r>
      <w:r>
        <w:t xml:space="preserve"> </w:t>
      </w:r>
      <w:r w:rsidRPr="0071774C">
        <w:t>migration,</w:t>
      </w:r>
      <w:r>
        <w:t xml:space="preserve"> </w:t>
      </w:r>
      <w:r w:rsidRPr="0071774C">
        <w:t>lone</w:t>
      </w:r>
      <w:r>
        <w:t xml:space="preserve"> </w:t>
      </w:r>
      <w:r w:rsidRPr="0071774C">
        <w:t>parenthood</w:t>
      </w:r>
      <w:r>
        <w:t xml:space="preserve"> </w:t>
      </w:r>
      <w:r w:rsidRPr="0071774C">
        <w:t>and</w:t>
      </w:r>
      <w:r>
        <w:t xml:space="preserve"> </w:t>
      </w:r>
      <w:r w:rsidRPr="0071774C">
        <w:t>socioeconomic</w:t>
      </w:r>
      <w:r>
        <w:t xml:space="preserve"> </w:t>
      </w:r>
      <w:r w:rsidRPr="0071774C">
        <w:t>status.</w:t>
      </w:r>
    </w:p>
    <w:p w14:paraId="4B4645C1" w14:textId="77777777" w:rsidR="002C2EC7" w:rsidRDefault="002C2EC7" w:rsidP="00790783">
      <w:pPr>
        <w:pStyle w:val="OWBodytextafterlist"/>
      </w:pPr>
      <w:r w:rsidRPr="0071774C">
        <w:t>In</w:t>
      </w:r>
      <w:r>
        <w:t xml:space="preserve"> </w:t>
      </w:r>
      <w:r w:rsidRPr="0071774C">
        <w:t>the</w:t>
      </w:r>
      <w:r>
        <w:t xml:space="preserve"> </w:t>
      </w:r>
      <w:r w:rsidRPr="0071774C">
        <w:t>attitudinal</w:t>
      </w:r>
      <w:r>
        <w:t xml:space="preserve"> </w:t>
      </w:r>
      <w:r w:rsidRPr="0071774C">
        <w:t>data,</w:t>
      </w:r>
      <w:r>
        <w:t xml:space="preserve"> </w:t>
      </w:r>
      <w:r w:rsidRPr="0071774C">
        <w:t>there</w:t>
      </w:r>
      <w:r>
        <w:t xml:space="preserve"> </w:t>
      </w:r>
      <w:r w:rsidRPr="0071774C">
        <w:t>are</w:t>
      </w:r>
      <w:r>
        <w:t xml:space="preserve"> </w:t>
      </w:r>
      <w:r w:rsidRPr="0071774C">
        <w:t>also</w:t>
      </w:r>
      <w:r>
        <w:t xml:space="preserve"> </w:t>
      </w:r>
      <w:r w:rsidRPr="0071774C">
        <w:t>some</w:t>
      </w:r>
      <w:r>
        <w:t xml:space="preserve"> </w:t>
      </w:r>
      <w:r w:rsidRPr="0071774C">
        <w:t>concerning</w:t>
      </w:r>
      <w:r>
        <w:t xml:space="preserve"> </w:t>
      </w:r>
      <w:r w:rsidRPr="0071774C">
        <w:t>signs</w:t>
      </w:r>
      <w:r>
        <w:t xml:space="preserve"> </w:t>
      </w:r>
      <w:r w:rsidRPr="0071774C">
        <w:t>of</w:t>
      </w:r>
      <w:r>
        <w:t xml:space="preserve"> </w:t>
      </w:r>
      <w:r w:rsidRPr="0071774C">
        <w:t>limited</w:t>
      </w:r>
      <w:r>
        <w:t xml:space="preserve"> </w:t>
      </w:r>
      <w:r w:rsidRPr="0071774C">
        <w:t>improvement</w:t>
      </w:r>
      <w:r>
        <w:t xml:space="preserve"> </w:t>
      </w:r>
      <w:r w:rsidRPr="0071774C">
        <w:t>in</w:t>
      </w:r>
      <w:r>
        <w:t xml:space="preserve"> </w:t>
      </w:r>
      <w:r w:rsidRPr="0071774C">
        <w:t>some</w:t>
      </w:r>
      <w:r>
        <w:t xml:space="preserve"> </w:t>
      </w:r>
      <w:r w:rsidRPr="0071774C">
        <w:t>areas,</w:t>
      </w:r>
      <w:r>
        <w:t xml:space="preserve"> </w:t>
      </w:r>
      <w:r w:rsidRPr="0071774C">
        <w:t>for</w:t>
      </w:r>
      <w:r>
        <w:t xml:space="preserve"> </w:t>
      </w:r>
      <w:r w:rsidRPr="0071774C">
        <w:t>example:</w:t>
      </w:r>
    </w:p>
    <w:p w14:paraId="61EEE8C9" w14:textId="1A6AE678" w:rsidR="002C2EC7" w:rsidRPr="0071774C" w:rsidRDefault="002C2EC7" w:rsidP="00790783">
      <w:pPr>
        <w:pStyle w:val="OWBullet1"/>
      </w:pPr>
      <w:r w:rsidRPr="0071774C">
        <w:t>Australians</w:t>
      </w:r>
      <w:r>
        <w:t xml:space="preserve"> </w:t>
      </w:r>
      <w:r w:rsidRPr="0071774C">
        <w:t>are</w:t>
      </w:r>
      <w:r>
        <w:t xml:space="preserve"> </w:t>
      </w:r>
      <w:r w:rsidRPr="0071774C">
        <w:t>less</w:t>
      </w:r>
      <w:r>
        <w:t xml:space="preserve"> </w:t>
      </w:r>
      <w:r w:rsidRPr="0071774C">
        <w:t>likely</w:t>
      </w:r>
      <w:r>
        <w:t xml:space="preserve"> </w:t>
      </w:r>
      <w:r w:rsidRPr="0071774C">
        <w:t>to</w:t>
      </w:r>
      <w:r>
        <w:t xml:space="preserve"> </w:t>
      </w:r>
      <w:r w:rsidRPr="0071774C">
        <w:t>recognise</w:t>
      </w:r>
      <w:r>
        <w:t xml:space="preserve"> </w:t>
      </w:r>
      <w:r w:rsidRPr="0071774C">
        <w:t>non-physical</w:t>
      </w:r>
      <w:r>
        <w:t xml:space="preserve"> </w:t>
      </w:r>
      <w:r w:rsidRPr="0071774C">
        <w:t>forms</w:t>
      </w:r>
      <w:r>
        <w:t xml:space="preserve"> </w:t>
      </w:r>
      <w:r w:rsidRPr="0071774C">
        <w:t>of</w:t>
      </w:r>
      <w:r>
        <w:t xml:space="preserve"> </w:t>
      </w:r>
      <w:r w:rsidRPr="0071774C">
        <w:t>violence</w:t>
      </w:r>
      <w:r>
        <w:t xml:space="preserve"> </w:t>
      </w:r>
      <w:r w:rsidRPr="0071774C">
        <w:t>than</w:t>
      </w:r>
      <w:r>
        <w:t xml:space="preserve"> </w:t>
      </w:r>
      <w:r w:rsidRPr="0071774C">
        <w:t>physical</w:t>
      </w:r>
      <w:r>
        <w:t xml:space="preserve"> </w:t>
      </w:r>
      <w:r w:rsidRPr="0071774C">
        <w:t>forms.</w:t>
      </w:r>
    </w:p>
    <w:p w14:paraId="25654189" w14:textId="77777777" w:rsidR="002C2EC7" w:rsidRPr="0071774C" w:rsidRDefault="002C2EC7" w:rsidP="00790783">
      <w:pPr>
        <w:pStyle w:val="OWBullet1"/>
      </w:pPr>
      <w:r w:rsidRPr="0071774C">
        <w:t>There</w:t>
      </w:r>
      <w:r>
        <w:t xml:space="preserve"> </w:t>
      </w:r>
      <w:r w:rsidRPr="0071774C">
        <w:t>is</w:t>
      </w:r>
      <w:r>
        <w:t xml:space="preserve"> </w:t>
      </w:r>
      <w:r w:rsidRPr="0071774C">
        <w:t>a</w:t>
      </w:r>
      <w:r>
        <w:t xml:space="preserve"> </w:t>
      </w:r>
      <w:r w:rsidRPr="0071774C">
        <w:t>persistent</w:t>
      </w:r>
      <w:r>
        <w:t xml:space="preserve"> </w:t>
      </w:r>
      <w:r w:rsidRPr="0071774C">
        <w:t>mistrust</w:t>
      </w:r>
      <w:r>
        <w:t xml:space="preserve"> </w:t>
      </w:r>
      <w:r w:rsidRPr="0071774C">
        <w:t>of</w:t>
      </w:r>
      <w:r>
        <w:t xml:space="preserve"> </w:t>
      </w:r>
      <w:r w:rsidRPr="0071774C">
        <w:t>women’s</w:t>
      </w:r>
      <w:r>
        <w:t xml:space="preserve"> </w:t>
      </w:r>
      <w:r w:rsidRPr="0071774C">
        <w:t>reports</w:t>
      </w:r>
      <w:r>
        <w:t xml:space="preserve"> </w:t>
      </w:r>
      <w:r w:rsidRPr="0071774C">
        <w:t>of</w:t>
      </w:r>
      <w:r>
        <w:t xml:space="preserve"> </w:t>
      </w:r>
      <w:r w:rsidRPr="0071774C">
        <w:t>violence</w:t>
      </w:r>
      <w:r>
        <w:t xml:space="preserve"> </w:t>
      </w:r>
      <w:r w:rsidRPr="0071774C">
        <w:t>–</w:t>
      </w:r>
      <w:r>
        <w:t xml:space="preserve"> </w:t>
      </w:r>
      <w:r w:rsidRPr="0071774C">
        <w:t>evidenced,</w:t>
      </w:r>
      <w:r>
        <w:t xml:space="preserve"> </w:t>
      </w:r>
      <w:r w:rsidRPr="0071774C">
        <w:t>for</w:t>
      </w:r>
      <w:r>
        <w:t xml:space="preserve"> </w:t>
      </w:r>
      <w:r w:rsidRPr="0071774C">
        <w:t>example,</w:t>
      </w:r>
      <w:r>
        <w:t xml:space="preserve"> </w:t>
      </w:r>
      <w:r w:rsidRPr="0071774C">
        <w:t>by</w:t>
      </w:r>
      <w:r>
        <w:t xml:space="preserve"> </w:t>
      </w:r>
      <w:r w:rsidRPr="0071774C">
        <w:t>the</w:t>
      </w:r>
      <w:r>
        <w:t xml:space="preserve"> </w:t>
      </w:r>
      <w:r w:rsidRPr="0071774C">
        <w:t>proportion</w:t>
      </w:r>
      <w:r>
        <w:t xml:space="preserve"> </w:t>
      </w:r>
      <w:r w:rsidRPr="0071774C">
        <w:t>who</w:t>
      </w:r>
      <w:r>
        <w:t xml:space="preserve"> </w:t>
      </w:r>
      <w:r w:rsidRPr="0071774C">
        <w:t>believe</w:t>
      </w:r>
      <w:r>
        <w:t xml:space="preserve"> </w:t>
      </w:r>
      <w:r w:rsidRPr="0071774C">
        <w:t>that</w:t>
      </w:r>
      <w:r>
        <w:t xml:space="preserve"> </w:t>
      </w:r>
      <w:r w:rsidRPr="0071774C">
        <w:t>women</w:t>
      </w:r>
      <w:r>
        <w:t xml:space="preserve"> </w:t>
      </w:r>
      <w:r w:rsidRPr="0071774C">
        <w:t>going</w:t>
      </w:r>
      <w:r>
        <w:t xml:space="preserve"> </w:t>
      </w:r>
      <w:r w:rsidRPr="0071774C">
        <w:t>through</w:t>
      </w:r>
      <w:r>
        <w:t xml:space="preserve"> </w:t>
      </w:r>
      <w:r w:rsidRPr="0071774C">
        <w:t>custody</w:t>
      </w:r>
      <w:r>
        <w:t xml:space="preserve"> </w:t>
      </w:r>
      <w:r w:rsidRPr="0071774C">
        <w:t>disputes</w:t>
      </w:r>
      <w:r>
        <w:t xml:space="preserve"> </w:t>
      </w:r>
      <w:r w:rsidRPr="0071774C">
        <w:t>often</w:t>
      </w:r>
      <w:r>
        <w:t xml:space="preserve"> </w:t>
      </w:r>
      <w:r w:rsidRPr="0071774C">
        <w:t>make</w:t>
      </w:r>
      <w:r>
        <w:t xml:space="preserve"> </w:t>
      </w:r>
      <w:r w:rsidRPr="0071774C">
        <w:t>up</w:t>
      </w:r>
      <w:r>
        <w:t xml:space="preserve"> </w:t>
      </w:r>
      <w:r w:rsidRPr="0071774C">
        <w:t>or</w:t>
      </w:r>
      <w:r>
        <w:t xml:space="preserve"> </w:t>
      </w:r>
      <w:r w:rsidRPr="0071774C">
        <w:t>exaggerate</w:t>
      </w:r>
      <w:r>
        <w:t xml:space="preserve"> </w:t>
      </w:r>
      <w:r w:rsidRPr="0071774C">
        <w:t>claims</w:t>
      </w:r>
      <w:r>
        <w:t xml:space="preserve"> </w:t>
      </w:r>
      <w:r w:rsidRPr="0071774C">
        <w:t>of</w:t>
      </w:r>
      <w:r>
        <w:t xml:space="preserve"> </w:t>
      </w:r>
      <w:r w:rsidRPr="0071774C">
        <w:t>domestic</w:t>
      </w:r>
      <w:r>
        <w:t xml:space="preserve"> </w:t>
      </w:r>
      <w:r w:rsidRPr="0071774C">
        <w:t>violence.</w:t>
      </w:r>
    </w:p>
    <w:p w14:paraId="388FE86E" w14:textId="77777777" w:rsidR="002C2EC7" w:rsidRPr="0071774C" w:rsidRDefault="002C2EC7" w:rsidP="00790783">
      <w:pPr>
        <w:pStyle w:val="OWBullet1"/>
      </w:pPr>
      <w:r w:rsidRPr="0071774C">
        <w:t>A</w:t>
      </w:r>
      <w:r>
        <w:t xml:space="preserve"> </w:t>
      </w:r>
      <w:r w:rsidRPr="0071774C">
        <w:t>concerning</w:t>
      </w:r>
      <w:r>
        <w:t xml:space="preserve"> </w:t>
      </w:r>
      <w:r w:rsidRPr="0071774C">
        <w:t>proportion</w:t>
      </w:r>
      <w:r>
        <w:t xml:space="preserve"> </w:t>
      </w:r>
      <w:r w:rsidRPr="0071774C">
        <w:t>of</w:t>
      </w:r>
      <w:r>
        <w:t xml:space="preserve"> </w:t>
      </w:r>
      <w:r w:rsidRPr="0071774C">
        <w:t>people</w:t>
      </w:r>
      <w:r>
        <w:t xml:space="preserve"> </w:t>
      </w:r>
      <w:r w:rsidRPr="0071774C">
        <w:t>hold</w:t>
      </w:r>
      <w:r>
        <w:t xml:space="preserve"> </w:t>
      </w:r>
      <w:r w:rsidRPr="0071774C">
        <w:t>attitudes</w:t>
      </w:r>
      <w:r>
        <w:t xml:space="preserve"> </w:t>
      </w:r>
      <w:r w:rsidRPr="0071774C">
        <w:t>which</w:t>
      </w:r>
      <w:r>
        <w:t xml:space="preserve"> </w:t>
      </w:r>
      <w:r w:rsidRPr="0071774C">
        <w:t>disregard</w:t>
      </w:r>
      <w:r>
        <w:t xml:space="preserve"> </w:t>
      </w:r>
      <w:r w:rsidRPr="0071774C">
        <w:t>the</w:t>
      </w:r>
      <w:r>
        <w:t xml:space="preserve"> </w:t>
      </w:r>
      <w:r w:rsidRPr="0071774C">
        <w:t>need</w:t>
      </w:r>
      <w:r>
        <w:t xml:space="preserve"> </w:t>
      </w:r>
      <w:r w:rsidRPr="0071774C">
        <w:t>for</w:t>
      </w:r>
      <w:r>
        <w:t xml:space="preserve"> </w:t>
      </w:r>
      <w:r w:rsidRPr="0071774C">
        <w:t>sexual</w:t>
      </w:r>
      <w:r>
        <w:t xml:space="preserve"> </w:t>
      </w:r>
      <w:r w:rsidRPr="0071774C">
        <w:t>consent</w:t>
      </w:r>
      <w:r>
        <w:t xml:space="preserve"> </w:t>
      </w:r>
      <w:r w:rsidRPr="0071774C">
        <w:t>in</w:t>
      </w:r>
      <w:r>
        <w:t xml:space="preserve"> </w:t>
      </w:r>
      <w:r w:rsidRPr="0071774C">
        <w:t>sexual</w:t>
      </w:r>
      <w:r>
        <w:t xml:space="preserve"> </w:t>
      </w:r>
      <w:r w:rsidRPr="0071774C">
        <w:t>relations.</w:t>
      </w:r>
    </w:p>
    <w:p w14:paraId="03D49EA1" w14:textId="2890418B" w:rsidR="002C2EC7" w:rsidRDefault="002C2EC7" w:rsidP="00790783">
      <w:pPr>
        <w:pStyle w:val="OWBullet1"/>
      </w:pPr>
      <w:r w:rsidRPr="0071774C">
        <w:t>Many</w:t>
      </w:r>
      <w:r>
        <w:t xml:space="preserve"> </w:t>
      </w:r>
      <w:r w:rsidRPr="0071774C">
        <w:t>men</w:t>
      </w:r>
      <w:r>
        <w:t xml:space="preserve"> </w:t>
      </w:r>
      <w:r w:rsidRPr="0071774C">
        <w:t>continue</w:t>
      </w:r>
      <w:r>
        <w:t xml:space="preserve"> </w:t>
      </w:r>
      <w:r w:rsidRPr="0071774C">
        <w:t>to</w:t>
      </w:r>
      <w:r>
        <w:t xml:space="preserve"> </w:t>
      </w:r>
      <w:r w:rsidRPr="0071774C">
        <w:t>be</w:t>
      </w:r>
      <w:r>
        <w:t xml:space="preserve"> </w:t>
      </w:r>
      <w:r w:rsidRPr="0071774C">
        <w:t>influenced</w:t>
      </w:r>
      <w:r>
        <w:t xml:space="preserve"> </w:t>
      </w:r>
      <w:r w:rsidRPr="0071774C">
        <w:t>by</w:t>
      </w:r>
      <w:r>
        <w:t xml:space="preserve"> </w:t>
      </w:r>
      <w:r w:rsidRPr="0071774C">
        <w:t>the</w:t>
      </w:r>
      <w:r>
        <w:t xml:space="preserve"> </w:t>
      </w:r>
      <w:r w:rsidRPr="0071774C">
        <w:t>implicit</w:t>
      </w:r>
      <w:r>
        <w:t xml:space="preserve"> </w:t>
      </w:r>
      <w:r w:rsidRPr="0071774C">
        <w:t>or</w:t>
      </w:r>
      <w:r>
        <w:t xml:space="preserve"> </w:t>
      </w:r>
      <w:r w:rsidRPr="0071774C">
        <w:t>explicit</w:t>
      </w:r>
      <w:r>
        <w:t xml:space="preserve"> </w:t>
      </w:r>
      <w:r w:rsidRPr="0071774C">
        <w:t>expectations</w:t>
      </w:r>
      <w:r>
        <w:t xml:space="preserve"> </w:t>
      </w:r>
      <w:r w:rsidRPr="0071774C">
        <w:t>of</w:t>
      </w:r>
      <w:r>
        <w:t xml:space="preserve"> </w:t>
      </w:r>
      <w:r w:rsidRPr="0071774C">
        <w:t>their</w:t>
      </w:r>
      <w:r>
        <w:t xml:space="preserve"> </w:t>
      </w:r>
      <w:r w:rsidRPr="0071774C">
        <w:t>male</w:t>
      </w:r>
      <w:r>
        <w:t xml:space="preserve"> </w:t>
      </w:r>
      <w:r w:rsidRPr="0071774C">
        <w:t>peers.</w:t>
      </w:r>
      <w:r>
        <w:t xml:space="preserve"> </w:t>
      </w:r>
      <w:r w:rsidRPr="0071774C">
        <w:t>Such</w:t>
      </w:r>
      <w:r>
        <w:t xml:space="preserve"> </w:t>
      </w:r>
      <w:r w:rsidRPr="0071774C">
        <w:t>perceptions</w:t>
      </w:r>
      <w:r>
        <w:t xml:space="preserve"> </w:t>
      </w:r>
      <w:r w:rsidRPr="0071774C">
        <w:t>may</w:t>
      </w:r>
      <w:r>
        <w:t xml:space="preserve"> </w:t>
      </w:r>
      <w:r w:rsidRPr="0071774C">
        <w:t>encourage</w:t>
      </w:r>
      <w:r>
        <w:t xml:space="preserve"> </w:t>
      </w:r>
      <w:r w:rsidRPr="0071774C">
        <w:t>sexist</w:t>
      </w:r>
      <w:r>
        <w:t xml:space="preserve"> </w:t>
      </w:r>
      <w:r w:rsidRPr="0071774C">
        <w:t>behaviour</w:t>
      </w:r>
      <w:r>
        <w:t xml:space="preserve"> </w:t>
      </w:r>
      <w:r w:rsidRPr="0071774C">
        <w:t>within</w:t>
      </w:r>
      <w:r>
        <w:t xml:space="preserve"> </w:t>
      </w:r>
      <w:r w:rsidRPr="0071774C">
        <w:t>male</w:t>
      </w:r>
      <w:r>
        <w:t xml:space="preserve"> </w:t>
      </w:r>
      <w:r w:rsidRPr="0071774C">
        <w:t>peer</w:t>
      </w:r>
      <w:r>
        <w:t xml:space="preserve"> </w:t>
      </w:r>
      <w:r w:rsidRPr="0071774C">
        <w:t>groups</w:t>
      </w:r>
      <w:r>
        <w:t xml:space="preserve"> </w:t>
      </w:r>
      <w:r w:rsidRPr="0071774C">
        <w:t>and</w:t>
      </w:r>
      <w:r>
        <w:t xml:space="preserve"> </w:t>
      </w:r>
      <w:r w:rsidRPr="0071774C">
        <w:t>may</w:t>
      </w:r>
      <w:r>
        <w:t xml:space="preserve"> </w:t>
      </w:r>
      <w:r w:rsidRPr="0071774C">
        <w:t>also</w:t>
      </w:r>
      <w:r>
        <w:t xml:space="preserve"> </w:t>
      </w:r>
      <w:r w:rsidRPr="0071774C">
        <w:t>inhibit</w:t>
      </w:r>
      <w:r>
        <w:t xml:space="preserve"> </w:t>
      </w:r>
      <w:r w:rsidRPr="0071774C">
        <w:t>men</w:t>
      </w:r>
      <w:r>
        <w:t xml:space="preserve"> </w:t>
      </w:r>
      <w:r w:rsidRPr="0071774C">
        <w:t>from</w:t>
      </w:r>
      <w:r>
        <w:t xml:space="preserve"> </w:t>
      </w:r>
      <w:r w:rsidRPr="0071774C">
        <w:t>taking</w:t>
      </w:r>
      <w:r>
        <w:t xml:space="preserve"> </w:t>
      </w:r>
      <w:r w:rsidRPr="0071774C">
        <w:t>positive</w:t>
      </w:r>
      <w:r>
        <w:t xml:space="preserve"> </w:t>
      </w:r>
      <w:r w:rsidRPr="0071774C">
        <w:t>bystander</w:t>
      </w:r>
      <w:r>
        <w:t xml:space="preserve"> </w:t>
      </w:r>
      <w:r w:rsidRPr="0071774C">
        <w:t>action</w:t>
      </w:r>
      <w:r>
        <w:t xml:space="preserve"> </w:t>
      </w:r>
      <w:r w:rsidRPr="0071774C">
        <w:t>by</w:t>
      </w:r>
      <w:r>
        <w:t xml:space="preserve"> </w:t>
      </w:r>
      <w:r w:rsidRPr="0071774C">
        <w:t>calling</w:t>
      </w:r>
      <w:r>
        <w:t xml:space="preserve"> </w:t>
      </w:r>
      <w:r w:rsidRPr="0071774C">
        <w:t>out</w:t>
      </w:r>
      <w:r>
        <w:t xml:space="preserve"> </w:t>
      </w:r>
      <w:r w:rsidRPr="0071774C">
        <w:t>such</w:t>
      </w:r>
      <w:r>
        <w:t xml:space="preserve"> </w:t>
      </w:r>
      <w:r w:rsidRPr="0071774C">
        <w:t>behaviour</w:t>
      </w:r>
      <w:r>
        <w:t xml:space="preserve"> </w:t>
      </w:r>
      <w:r w:rsidRPr="0071774C">
        <w:t>among</w:t>
      </w:r>
      <w:r>
        <w:t xml:space="preserve"> </w:t>
      </w:r>
      <w:r w:rsidRPr="0071774C">
        <w:t>their</w:t>
      </w:r>
      <w:r>
        <w:t xml:space="preserve"> </w:t>
      </w:r>
      <w:r w:rsidRPr="0071774C">
        <w:t>peers.</w:t>
      </w:r>
    </w:p>
    <w:p w14:paraId="412F4365" w14:textId="5AD604BE" w:rsidR="00C94603" w:rsidRPr="006C6CFA" w:rsidRDefault="0098250E" w:rsidP="006C6CFA">
      <w:pPr>
        <w:pStyle w:val="OWBullet1"/>
        <w:rPr>
          <w:rFonts w:ascii="Times New Roman" w:eastAsia="Times New Roman" w:hAnsi="Times New Roman" w:cs="Times New Roman"/>
        </w:rPr>
      </w:pPr>
      <w:r>
        <w:rPr>
          <w:rFonts w:eastAsia="Times New Roman"/>
        </w:rPr>
        <w:t>A</w:t>
      </w:r>
      <w:r w:rsidRPr="0098250E">
        <w:rPr>
          <w:rFonts w:eastAsia="Times New Roman"/>
        </w:rPr>
        <w:t xml:space="preserve"> correlation between attitudes supportive of violence against women and other types of discriminatory attitudes, such as racism.</w:t>
      </w:r>
    </w:p>
    <w:p w14:paraId="0ED631BA" w14:textId="6FAEE6A5" w:rsidR="002C2EC7" w:rsidRPr="005172C9" w:rsidRDefault="002C2EC7" w:rsidP="00790783">
      <w:pPr>
        <w:pStyle w:val="Heading3"/>
        <w:rPr>
          <w:rStyle w:val="OWCharacterHibiscus"/>
        </w:rPr>
      </w:pPr>
      <w:bookmarkStart w:id="7" w:name="_Toc55053296"/>
      <w:r w:rsidRPr="005172C9">
        <w:rPr>
          <w:rStyle w:val="OWCharacterHibiscus"/>
        </w:rPr>
        <w:lastRenderedPageBreak/>
        <w:t>Implications of the findings for next steps and</w:t>
      </w:r>
      <w:r w:rsidR="006337B0">
        <w:rPr>
          <w:rStyle w:val="OWCharacterHibiscus"/>
        </w:rPr>
        <w:t> </w:t>
      </w:r>
      <w:r w:rsidRPr="005172C9">
        <w:rPr>
          <w:rStyle w:val="OWCharacterHibiscus"/>
        </w:rPr>
        <w:t>future priorities</w:t>
      </w:r>
      <w:bookmarkEnd w:id="7"/>
    </w:p>
    <w:p w14:paraId="1A5F0207" w14:textId="40C0E7F6" w:rsidR="00047B49" w:rsidRPr="00965887" w:rsidRDefault="00D2123F" w:rsidP="008123A4">
      <w:pPr>
        <w:pStyle w:val="BodyText"/>
      </w:pPr>
      <w:r w:rsidRPr="01905DC2">
        <w:rPr>
          <w:rStyle w:val="normaltextrun"/>
          <w:rFonts w:ascii="Calibri" w:hAnsi="Calibri"/>
        </w:rPr>
        <w:t xml:space="preserve">Australia is currently responding to a global pandemic. </w:t>
      </w:r>
      <w:r w:rsidR="009B7E00" w:rsidRPr="01905DC2">
        <w:rPr>
          <w:rStyle w:val="normaltextrun"/>
          <w:rFonts w:ascii="Calibri" w:hAnsi="Calibri"/>
        </w:rPr>
        <w:t>E</w:t>
      </w:r>
      <w:r w:rsidRPr="01905DC2">
        <w:rPr>
          <w:rStyle w:val="normaltextrun"/>
          <w:rFonts w:ascii="Calibri" w:hAnsi="Calibri"/>
        </w:rPr>
        <w:t xml:space="preserve">xperience from past </w:t>
      </w:r>
      <w:r w:rsidR="005D702E" w:rsidRPr="01905DC2">
        <w:rPr>
          <w:rStyle w:val="normaltextrun"/>
          <w:rFonts w:ascii="Calibri" w:hAnsi="Calibri"/>
        </w:rPr>
        <w:t>crises</w:t>
      </w:r>
      <w:r w:rsidRPr="01905DC2">
        <w:rPr>
          <w:rStyle w:val="normaltextrun"/>
          <w:rFonts w:ascii="Calibri" w:hAnsi="Calibri"/>
        </w:rPr>
        <w:t xml:space="preserve"> and disasters around the world is that progress in gender equality and the elimination of violence against women tends to backslide, both during the crisis and for a long time after.</w:t>
      </w:r>
      <w:r w:rsidR="00965887">
        <w:rPr>
          <w:rStyle w:val="EndnoteReference"/>
          <w:rFonts w:ascii="Calibri" w:hAnsi="Calibri"/>
        </w:rPr>
        <w:endnoteReference w:id="7"/>
      </w:r>
      <w:r w:rsidRPr="01905DC2">
        <w:rPr>
          <w:rStyle w:val="normaltextrun"/>
          <w:rFonts w:ascii="Calibri" w:hAnsi="Calibri"/>
        </w:rPr>
        <w:t xml:space="preserve"> There are indications that this is occurring during the current pandemic</w:t>
      </w:r>
      <w:r w:rsidR="001C7044">
        <w:rPr>
          <w:rStyle w:val="normaltextrun"/>
          <w:rFonts w:ascii="Calibri" w:hAnsi="Calibri"/>
        </w:rPr>
        <w:t>.</w:t>
      </w:r>
      <w:r w:rsidR="00965887">
        <w:rPr>
          <w:rStyle w:val="EndnoteReference"/>
          <w:rFonts w:ascii="Calibri" w:hAnsi="Calibri"/>
        </w:rPr>
        <w:endnoteReference w:id="8"/>
      </w:r>
    </w:p>
    <w:p w14:paraId="2336E146" w14:textId="14E75EFE" w:rsidR="006C5FB9" w:rsidRDefault="00D2123F" w:rsidP="008123A4">
      <w:pPr>
        <w:pStyle w:val="BodyText"/>
      </w:pPr>
      <w:r>
        <w:rPr>
          <w:rStyle w:val="normaltextrun"/>
          <w:rFonts w:ascii="Calibri" w:hAnsi="Calibri"/>
          <w:color w:val="414042"/>
        </w:rPr>
        <w:t>In this context, this monitoring report has additional applications, providing stakeholders with a ‘pre</w:t>
      </w:r>
      <w:r w:rsidR="00A94DF4">
        <w:rPr>
          <w:rStyle w:val="normaltextrun"/>
          <w:rFonts w:ascii="Calibri" w:hAnsi="Calibri"/>
          <w:color w:val="414042"/>
        </w:rPr>
        <w:t>-</w:t>
      </w:r>
      <w:r>
        <w:rPr>
          <w:rStyle w:val="normaltextrun"/>
          <w:rFonts w:ascii="Calibri" w:hAnsi="Calibri"/>
          <w:color w:val="414042"/>
        </w:rPr>
        <w:t xml:space="preserve">COVID-19’ baseline and solid foundations for tracking the consequences of the pandemic for primary prevention and gender equality. It can also </w:t>
      </w:r>
      <w:r w:rsidR="00762A34">
        <w:rPr>
          <w:rStyle w:val="normaltextrun"/>
          <w:rFonts w:ascii="Calibri" w:hAnsi="Calibri"/>
          <w:color w:val="414042"/>
        </w:rPr>
        <w:t xml:space="preserve">be used to </w:t>
      </w:r>
      <w:r>
        <w:rPr>
          <w:rStyle w:val="normaltextrun"/>
          <w:rFonts w:ascii="Calibri" w:hAnsi="Calibri"/>
          <w:color w:val="414042"/>
        </w:rPr>
        <w:t xml:space="preserve">inform </w:t>
      </w:r>
      <w:r w:rsidR="00762A34">
        <w:rPr>
          <w:rStyle w:val="normaltextrun"/>
          <w:rFonts w:ascii="Calibri" w:hAnsi="Calibri"/>
          <w:color w:val="414042"/>
        </w:rPr>
        <w:t xml:space="preserve">policy and </w:t>
      </w:r>
      <w:r>
        <w:rPr>
          <w:rStyle w:val="normaltextrun"/>
          <w:rFonts w:ascii="Calibri" w:hAnsi="Calibri"/>
          <w:color w:val="414042"/>
        </w:rPr>
        <w:t xml:space="preserve">investment </w:t>
      </w:r>
      <w:r w:rsidR="00762A34">
        <w:rPr>
          <w:rStyle w:val="normaltextrun"/>
          <w:rFonts w:ascii="Calibri" w:hAnsi="Calibri"/>
          <w:color w:val="414042"/>
        </w:rPr>
        <w:t xml:space="preserve">decisions </w:t>
      </w:r>
      <w:r>
        <w:rPr>
          <w:rStyle w:val="normaltextrun"/>
          <w:rFonts w:ascii="Calibri" w:hAnsi="Calibri"/>
          <w:color w:val="414042"/>
        </w:rPr>
        <w:t xml:space="preserve">as Australia </w:t>
      </w:r>
      <w:r w:rsidR="00783AE7">
        <w:rPr>
          <w:rStyle w:val="normaltextrun"/>
          <w:rFonts w:ascii="Calibri" w:hAnsi="Calibri"/>
          <w:color w:val="414042"/>
        </w:rPr>
        <w:t>navigates</w:t>
      </w:r>
      <w:r>
        <w:rPr>
          <w:rStyle w:val="normaltextrun"/>
          <w:rFonts w:ascii="Calibri" w:hAnsi="Calibri"/>
          <w:color w:val="414042"/>
        </w:rPr>
        <w:t xml:space="preserve"> the post-crisis recovery phase</w:t>
      </w:r>
      <w:r w:rsidR="006C5FB9">
        <w:rPr>
          <w:rStyle w:val="normaltextrun"/>
          <w:rFonts w:ascii="Calibri" w:hAnsi="Calibri"/>
          <w:color w:val="414042"/>
        </w:rPr>
        <w:t>. T</w:t>
      </w:r>
      <w:r w:rsidR="006C5FB9">
        <w:t xml:space="preserve">he recommendations below provide opportunities to build prevention approaches into the work that governments across Australia are undertaking across </w:t>
      </w:r>
      <w:r w:rsidR="006C5FB9" w:rsidRPr="008241C2">
        <w:t xml:space="preserve">social policy, </w:t>
      </w:r>
      <w:r w:rsidR="000E1889">
        <w:t xml:space="preserve">in </w:t>
      </w:r>
      <w:r w:rsidR="006C5FB9" w:rsidRPr="008241C2">
        <w:t xml:space="preserve">public health planning, and </w:t>
      </w:r>
      <w:r w:rsidR="007D0E17">
        <w:t xml:space="preserve">through </w:t>
      </w:r>
      <w:r w:rsidR="006C5FB9" w:rsidRPr="008241C2">
        <w:t>economic measures.</w:t>
      </w:r>
      <w:r w:rsidR="006C5FB9">
        <w:t xml:space="preserve"> </w:t>
      </w:r>
      <w:r w:rsidR="006C5FB9" w:rsidRPr="008241C2">
        <w:t>Beyond addressing the immediate impacts of the crisis on women,</w:t>
      </w:r>
      <w:r w:rsidR="006C5FB9">
        <w:t xml:space="preserve"> </w:t>
      </w:r>
      <w:r w:rsidR="004A01C7">
        <w:t xml:space="preserve">all </w:t>
      </w:r>
      <w:r w:rsidR="006C5FB9" w:rsidRPr="008241C2">
        <w:t>governments</w:t>
      </w:r>
      <w:r w:rsidR="006C5FB9">
        <w:t xml:space="preserve"> </w:t>
      </w:r>
      <w:r w:rsidR="006C5FB9" w:rsidRPr="008241C2">
        <w:t xml:space="preserve">have an opportunity to address the </w:t>
      </w:r>
      <w:r w:rsidR="007D0E17">
        <w:t xml:space="preserve">underlying </w:t>
      </w:r>
      <w:r w:rsidR="006C5FB9" w:rsidRPr="008241C2">
        <w:t>drivers of violence against women and support</w:t>
      </w:r>
      <w:r w:rsidR="006C5FB9">
        <w:t xml:space="preserve"> </w:t>
      </w:r>
      <w:r w:rsidR="006C5FB9" w:rsidRPr="008241C2">
        <w:t xml:space="preserve">primary prevention by </w:t>
      </w:r>
      <w:r w:rsidR="004A01C7">
        <w:t>embedding</w:t>
      </w:r>
      <w:r w:rsidR="006C5FB9" w:rsidRPr="008241C2">
        <w:t xml:space="preserve"> gender equality in crisis response and recovery planning and actions.</w:t>
      </w:r>
    </w:p>
    <w:p w14:paraId="4A3E58A1" w14:textId="3937003C" w:rsidR="002C2EC7" w:rsidRDefault="002C2EC7" w:rsidP="006337B0">
      <w:pPr>
        <w:pStyle w:val="BodyText"/>
        <w:spacing w:after="60" w:line="238" w:lineRule="auto"/>
      </w:pPr>
      <w:r w:rsidRPr="0071774C">
        <w:t>This</w:t>
      </w:r>
      <w:r>
        <w:t xml:space="preserve"> </w:t>
      </w:r>
      <w:r w:rsidRPr="0071774C">
        <w:t>report</w:t>
      </w:r>
      <w:r>
        <w:t xml:space="preserve"> </w:t>
      </w:r>
      <w:r w:rsidRPr="0071774C">
        <w:t>suggests</w:t>
      </w:r>
      <w:r>
        <w:t xml:space="preserve"> </w:t>
      </w:r>
      <w:r w:rsidRPr="0071774C">
        <w:t>that</w:t>
      </w:r>
      <w:r>
        <w:t xml:space="preserve"> </w:t>
      </w:r>
      <w:r w:rsidRPr="0071774C">
        <w:t>priorities</w:t>
      </w:r>
      <w:r>
        <w:t xml:space="preserve"> </w:t>
      </w:r>
      <w:r w:rsidRPr="0071774C">
        <w:t>for</w:t>
      </w:r>
      <w:r>
        <w:t xml:space="preserve"> </w:t>
      </w:r>
      <w:r w:rsidRPr="0071774C">
        <w:t>the</w:t>
      </w:r>
      <w:r>
        <w:t xml:space="preserve"> </w:t>
      </w:r>
      <w:r w:rsidRPr="0071774C">
        <w:t>next</w:t>
      </w:r>
      <w:r>
        <w:t xml:space="preserve"> </w:t>
      </w:r>
      <w:r w:rsidRPr="0071774C">
        <w:t>phase</w:t>
      </w:r>
      <w:r>
        <w:t xml:space="preserve"> </w:t>
      </w:r>
      <w:r w:rsidRPr="0071774C">
        <w:t>of</w:t>
      </w:r>
      <w:r>
        <w:t xml:space="preserve"> </w:t>
      </w:r>
      <w:r w:rsidRPr="0071774C">
        <w:t>this</w:t>
      </w:r>
      <w:r>
        <w:t xml:space="preserve"> </w:t>
      </w:r>
      <w:r w:rsidRPr="0071774C">
        <w:t>work</w:t>
      </w:r>
      <w:r>
        <w:t xml:space="preserve"> </w:t>
      </w:r>
      <w:r w:rsidRPr="0071774C">
        <w:t>include:</w:t>
      </w:r>
    </w:p>
    <w:p w14:paraId="54DAEAD5" w14:textId="60EE94C0" w:rsidR="002C2EC7" w:rsidRPr="0071774C" w:rsidRDefault="002C2EC7" w:rsidP="006337B0">
      <w:pPr>
        <w:pStyle w:val="OWBullet1"/>
        <w:spacing w:after="40" w:line="238" w:lineRule="auto"/>
      </w:pPr>
      <w:r w:rsidRPr="0071774C">
        <w:t>A</w:t>
      </w:r>
      <w:r>
        <w:t xml:space="preserve"> </w:t>
      </w:r>
      <w:r w:rsidRPr="0071774C">
        <w:t>greater</w:t>
      </w:r>
      <w:r>
        <w:t xml:space="preserve"> </w:t>
      </w:r>
      <w:r w:rsidRPr="0071774C">
        <w:t>focus</w:t>
      </w:r>
      <w:r>
        <w:t xml:space="preserve"> </w:t>
      </w:r>
      <w:r w:rsidRPr="0071774C">
        <w:t>on</w:t>
      </w:r>
      <w:r>
        <w:t xml:space="preserve"> </w:t>
      </w:r>
      <w:r w:rsidRPr="0071774C">
        <w:t>actions</w:t>
      </w:r>
      <w:r>
        <w:t xml:space="preserve"> </w:t>
      </w:r>
      <w:r w:rsidRPr="0071774C">
        <w:t>to</w:t>
      </w:r>
      <w:r>
        <w:rPr>
          <w:lang w:eastAsia="en-GB"/>
        </w:rPr>
        <w:t xml:space="preserve"> </w:t>
      </w:r>
      <w:r w:rsidRPr="0071774C">
        <w:rPr>
          <w:lang w:eastAsia="en-GB"/>
        </w:rPr>
        <w:t>drive</w:t>
      </w:r>
      <w:r>
        <w:rPr>
          <w:lang w:eastAsia="en-GB"/>
        </w:rPr>
        <w:t xml:space="preserve"> </w:t>
      </w:r>
      <w:r w:rsidRPr="0071774C">
        <w:rPr>
          <w:lang w:eastAsia="en-GB"/>
        </w:rPr>
        <w:t>institutional,</w:t>
      </w:r>
      <w:r>
        <w:rPr>
          <w:lang w:eastAsia="en-GB"/>
        </w:rPr>
        <w:t xml:space="preserve"> </w:t>
      </w:r>
      <w:r w:rsidRPr="0071774C">
        <w:rPr>
          <w:lang w:eastAsia="en-GB"/>
        </w:rPr>
        <w:t>systemic</w:t>
      </w:r>
      <w:r>
        <w:rPr>
          <w:lang w:eastAsia="en-GB"/>
        </w:rPr>
        <w:t xml:space="preserve"> </w:t>
      </w:r>
      <w:r w:rsidRPr="0071774C">
        <w:rPr>
          <w:lang w:eastAsia="en-GB"/>
        </w:rPr>
        <w:t>and</w:t>
      </w:r>
      <w:r>
        <w:rPr>
          <w:lang w:eastAsia="en-GB"/>
        </w:rPr>
        <w:t xml:space="preserve"> </w:t>
      </w:r>
      <w:r w:rsidRPr="0071774C">
        <w:rPr>
          <w:lang w:eastAsia="en-GB"/>
        </w:rPr>
        <w:t>structural</w:t>
      </w:r>
      <w:r>
        <w:rPr>
          <w:lang w:eastAsia="en-GB"/>
        </w:rPr>
        <w:t xml:space="preserve"> </w:t>
      </w:r>
      <w:r w:rsidRPr="0071774C">
        <w:rPr>
          <w:lang w:eastAsia="en-GB"/>
        </w:rPr>
        <w:t>change,</w:t>
      </w:r>
      <w:r>
        <w:rPr>
          <w:lang w:eastAsia="en-GB"/>
        </w:rPr>
        <w:t xml:space="preserve"> </w:t>
      </w:r>
      <w:r w:rsidRPr="0071774C">
        <w:rPr>
          <w:lang w:eastAsia="en-GB"/>
        </w:rPr>
        <w:t>including</w:t>
      </w:r>
      <w:r>
        <w:rPr>
          <w:lang w:eastAsia="en-GB"/>
        </w:rPr>
        <w:t xml:space="preserve"> </w:t>
      </w:r>
      <w:r w:rsidRPr="0071774C">
        <w:t>strengthening</w:t>
      </w:r>
      <w:r>
        <w:t xml:space="preserve"> </w:t>
      </w:r>
      <w:r w:rsidRPr="0071774C">
        <w:t>the</w:t>
      </w:r>
      <w:r>
        <w:t xml:space="preserve"> </w:t>
      </w:r>
      <w:r w:rsidRPr="0071774C">
        <w:t>gender</w:t>
      </w:r>
      <w:r>
        <w:t xml:space="preserve"> </w:t>
      </w:r>
      <w:r w:rsidRPr="0071774C">
        <w:t>policy</w:t>
      </w:r>
      <w:r>
        <w:t xml:space="preserve"> </w:t>
      </w:r>
      <w:r w:rsidRPr="0071774C">
        <w:t>machinery</w:t>
      </w:r>
      <w:r>
        <w:t xml:space="preserve"> </w:t>
      </w:r>
      <w:r w:rsidRPr="0071774C">
        <w:t>of</w:t>
      </w:r>
      <w:r>
        <w:t xml:space="preserve"> government</w:t>
      </w:r>
      <w:r w:rsidR="3568E5BC">
        <w:t>s</w:t>
      </w:r>
      <w:r w:rsidRPr="0071774C">
        <w:t>.</w:t>
      </w:r>
    </w:p>
    <w:p w14:paraId="6D6FDF1E" w14:textId="77777777" w:rsidR="002C2EC7" w:rsidRPr="0071774C" w:rsidRDefault="002C2EC7" w:rsidP="006337B0">
      <w:pPr>
        <w:pStyle w:val="OWBullet1"/>
        <w:spacing w:after="40" w:line="238" w:lineRule="auto"/>
        <w:rPr>
          <w:lang w:eastAsia="en-GB"/>
        </w:rPr>
      </w:pPr>
      <w:r w:rsidRPr="0071774C">
        <w:rPr>
          <w:lang w:eastAsia="en-GB"/>
        </w:rPr>
        <w:t>Increased</w:t>
      </w:r>
      <w:r>
        <w:rPr>
          <w:lang w:eastAsia="en-GB"/>
        </w:rPr>
        <w:t xml:space="preserve"> </w:t>
      </w:r>
      <w:r w:rsidRPr="0071774C">
        <w:rPr>
          <w:lang w:eastAsia="en-GB"/>
        </w:rPr>
        <w:t>investment</w:t>
      </w:r>
      <w:r>
        <w:rPr>
          <w:lang w:eastAsia="en-GB"/>
        </w:rPr>
        <w:t xml:space="preserve"> </w:t>
      </w:r>
      <w:r w:rsidRPr="0071774C">
        <w:rPr>
          <w:lang w:eastAsia="en-GB"/>
        </w:rPr>
        <w:t>in,</w:t>
      </w:r>
      <w:r>
        <w:rPr>
          <w:lang w:eastAsia="en-GB"/>
        </w:rPr>
        <w:t xml:space="preserve"> </w:t>
      </w:r>
      <w:r w:rsidRPr="0071774C">
        <w:rPr>
          <w:lang w:eastAsia="en-GB"/>
        </w:rPr>
        <w:t>and</w:t>
      </w:r>
      <w:r>
        <w:rPr>
          <w:lang w:eastAsia="en-GB"/>
        </w:rPr>
        <w:t xml:space="preserve"> </w:t>
      </w:r>
      <w:r w:rsidRPr="0071774C">
        <w:rPr>
          <w:lang w:eastAsia="en-GB"/>
        </w:rPr>
        <w:t>focus</w:t>
      </w:r>
      <w:r>
        <w:rPr>
          <w:lang w:eastAsia="en-GB"/>
        </w:rPr>
        <w:t xml:space="preserve"> </w:t>
      </w:r>
      <w:r w:rsidRPr="0071774C">
        <w:rPr>
          <w:lang w:eastAsia="en-GB"/>
        </w:rPr>
        <w:t>on,</w:t>
      </w:r>
      <w:r>
        <w:rPr>
          <w:lang w:eastAsia="en-GB"/>
        </w:rPr>
        <w:t xml:space="preserve"> </w:t>
      </w:r>
      <w:r w:rsidRPr="0071774C">
        <w:rPr>
          <w:lang w:eastAsia="en-GB"/>
        </w:rPr>
        <w:t>evaluation</w:t>
      </w:r>
      <w:r>
        <w:rPr>
          <w:lang w:eastAsia="en-GB"/>
        </w:rPr>
        <w:t xml:space="preserve"> </w:t>
      </w:r>
      <w:r w:rsidRPr="0071774C">
        <w:rPr>
          <w:lang w:eastAsia="en-GB"/>
        </w:rPr>
        <w:t>frameworks</w:t>
      </w:r>
      <w:r>
        <w:rPr>
          <w:lang w:eastAsia="en-GB"/>
        </w:rPr>
        <w:t xml:space="preserve"> </w:t>
      </w:r>
      <w:r w:rsidRPr="0071774C">
        <w:rPr>
          <w:lang w:eastAsia="en-GB"/>
        </w:rPr>
        <w:t>and</w:t>
      </w:r>
      <w:r>
        <w:rPr>
          <w:lang w:eastAsia="en-GB"/>
        </w:rPr>
        <w:t xml:space="preserve"> </w:t>
      </w:r>
      <w:r w:rsidRPr="0071774C">
        <w:rPr>
          <w:lang w:eastAsia="en-GB"/>
        </w:rPr>
        <w:t>strategies</w:t>
      </w:r>
      <w:r>
        <w:rPr>
          <w:lang w:eastAsia="en-GB"/>
        </w:rPr>
        <w:t xml:space="preserve"> </w:t>
      </w:r>
      <w:r w:rsidRPr="0071774C">
        <w:rPr>
          <w:lang w:eastAsia="en-GB"/>
        </w:rPr>
        <w:t>to</w:t>
      </w:r>
      <w:r>
        <w:rPr>
          <w:lang w:eastAsia="en-GB"/>
        </w:rPr>
        <w:t xml:space="preserve"> </w:t>
      </w:r>
      <w:r w:rsidRPr="0071774C">
        <w:rPr>
          <w:lang w:eastAsia="en-GB"/>
        </w:rPr>
        <w:t>evaluate</w:t>
      </w:r>
      <w:r>
        <w:rPr>
          <w:lang w:eastAsia="en-GB"/>
        </w:rPr>
        <w:t xml:space="preserve"> </w:t>
      </w:r>
      <w:r w:rsidRPr="0071774C">
        <w:rPr>
          <w:lang w:eastAsia="en-GB"/>
        </w:rPr>
        <w:t>collective</w:t>
      </w:r>
      <w:r>
        <w:rPr>
          <w:lang w:eastAsia="en-GB"/>
        </w:rPr>
        <w:t xml:space="preserve"> </w:t>
      </w:r>
      <w:r w:rsidRPr="0071774C">
        <w:rPr>
          <w:lang w:eastAsia="en-GB"/>
        </w:rPr>
        <w:t>and</w:t>
      </w:r>
      <w:r>
        <w:rPr>
          <w:lang w:eastAsia="en-GB"/>
        </w:rPr>
        <w:t xml:space="preserve"> </w:t>
      </w:r>
      <w:r w:rsidRPr="0071774C">
        <w:rPr>
          <w:lang w:eastAsia="en-GB"/>
        </w:rPr>
        <w:t>coordinated</w:t>
      </w:r>
      <w:r>
        <w:rPr>
          <w:lang w:eastAsia="en-GB"/>
        </w:rPr>
        <w:t xml:space="preserve"> </w:t>
      </w:r>
      <w:r w:rsidRPr="0071774C">
        <w:rPr>
          <w:lang w:eastAsia="en-GB"/>
        </w:rPr>
        <w:t>primary</w:t>
      </w:r>
      <w:r>
        <w:rPr>
          <w:lang w:eastAsia="en-GB"/>
        </w:rPr>
        <w:t xml:space="preserve"> </w:t>
      </w:r>
      <w:r w:rsidRPr="0071774C">
        <w:rPr>
          <w:lang w:eastAsia="en-GB"/>
        </w:rPr>
        <w:t>prevention</w:t>
      </w:r>
      <w:r>
        <w:rPr>
          <w:lang w:eastAsia="en-GB"/>
        </w:rPr>
        <w:t xml:space="preserve"> </w:t>
      </w:r>
      <w:r w:rsidRPr="0071774C">
        <w:rPr>
          <w:lang w:eastAsia="en-GB"/>
        </w:rPr>
        <w:t>impact</w:t>
      </w:r>
      <w:r>
        <w:rPr>
          <w:lang w:eastAsia="en-GB"/>
        </w:rPr>
        <w:t xml:space="preserve"> </w:t>
      </w:r>
      <w:r w:rsidRPr="0071774C">
        <w:rPr>
          <w:lang w:eastAsia="en-GB"/>
        </w:rPr>
        <w:t>across</w:t>
      </w:r>
      <w:r>
        <w:rPr>
          <w:lang w:eastAsia="en-GB"/>
        </w:rPr>
        <w:t xml:space="preserve"> </w:t>
      </w:r>
      <w:r w:rsidRPr="0071774C">
        <w:rPr>
          <w:lang w:eastAsia="en-GB"/>
        </w:rPr>
        <w:t>Australia.</w:t>
      </w:r>
    </w:p>
    <w:p w14:paraId="77CF77C2" w14:textId="77777777" w:rsidR="002C2EC7" w:rsidRPr="0071774C" w:rsidRDefault="002C2EC7" w:rsidP="006337B0">
      <w:pPr>
        <w:pStyle w:val="OWBullet1"/>
        <w:spacing w:after="40" w:line="238" w:lineRule="auto"/>
        <w:rPr>
          <w:lang w:eastAsia="en-GB"/>
        </w:rPr>
      </w:pPr>
      <w:r w:rsidRPr="0071774C">
        <w:rPr>
          <w:lang w:eastAsia="en-GB"/>
        </w:rPr>
        <w:t>Development</w:t>
      </w:r>
      <w:r>
        <w:rPr>
          <w:lang w:eastAsia="en-GB"/>
        </w:rPr>
        <w:t xml:space="preserve"> </w:t>
      </w:r>
      <w:r w:rsidRPr="0071774C">
        <w:rPr>
          <w:lang w:eastAsia="en-GB"/>
        </w:rPr>
        <w:t>of</w:t>
      </w:r>
      <w:r>
        <w:rPr>
          <w:lang w:eastAsia="en-GB"/>
        </w:rPr>
        <w:t xml:space="preserve"> </w:t>
      </w:r>
      <w:r w:rsidRPr="0071774C">
        <w:rPr>
          <w:lang w:eastAsia="en-GB"/>
        </w:rPr>
        <w:t>a</w:t>
      </w:r>
      <w:r>
        <w:rPr>
          <w:lang w:eastAsia="en-GB"/>
        </w:rPr>
        <w:t xml:space="preserve"> </w:t>
      </w:r>
      <w:r w:rsidRPr="0071774C">
        <w:rPr>
          <w:lang w:eastAsia="en-GB"/>
        </w:rPr>
        <w:t>deeper</w:t>
      </w:r>
      <w:r>
        <w:rPr>
          <w:lang w:eastAsia="en-GB"/>
        </w:rPr>
        <w:t xml:space="preserve"> </w:t>
      </w:r>
      <w:r w:rsidRPr="0071774C">
        <w:rPr>
          <w:lang w:eastAsia="en-GB"/>
        </w:rPr>
        <w:t>and</w:t>
      </w:r>
      <w:r>
        <w:rPr>
          <w:lang w:eastAsia="en-GB"/>
        </w:rPr>
        <w:t xml:space="preserve"> </w:t>
      </w:r>
      <w:r w:rsidRPr="0071774C">
        <w:rPr>
          <w:lang w:eastAsia="en-GB"/>
        </w:rPr>
        <w:t>broader</w:t>
      </w:r>
      <w:r>
        <w:rPr>
          <w:lang w:eastAsia="en-GB"/>
        </w:rPr>
        <w:t xml:space="preserve"> </w:t>
      </w:r>
      <w:r w:rsidRPr="0071774C">
        <w:rPr>
          <w:lang w:eastAsia="en-GB"/>
        </w:rPr>
        <w:t>understanding</w:t>
      </w:r>
      <w:r>
        <w:rPr>
          <w:lang w:eastAsia="en-GB"/>
        </w:rPr>
        <w:t xml:space="preserve"> </w:t>
      </w:r>
      <w:r w:rsidRPr="0071774C">
        <w:rPr>
          <w:lang w:eastAsia="en-GB"/>
        </w:rPr>
        <w:t>of</w:t>
      </w:r>
      <w:r>
        <w:rPr>
          <w:lang w:eastAsia="en-GB"/>
        </w:rPr>
        <w:t xml:space="preserve"> </w:t>
      </w:r>
      <w:r w:rsidRPr="0071774C">
        <w:rPr>
          <w:lang w:eastAsia="en-GB"/>
        </w:rPr>
        <w:t>what</w:t>
      </w:r>
      <w:r>
        <w:rPr>
          <w:lang w:eastAsia="en-GB"/>
        </w:rPr>
        <w:t xml:space="preserve"> </w:t>
      </w:r>
      <w:r w:rsidRPr="0071774C">
        <w:rPr>
          <w:lang w:eastAsia="en-GB"/>
        </w:rPr>
        <w:t>constitutes</w:t>
      </w:r>
      <w:r>
        <w:rPr>
          <w:lang w:eastAsia="en-GB"/>
        </w:rPr>
        <w:t xml:space="preserve"> </w:t>
      </w:r>
      <w:r w:rsidRPr="0071774C">
        <w:rPr>
          <w:lang w:eastAsia="en-GB"/>
        </w:rPr>
        <w:t>research</w:t>
      </w:r>
      <w:r>
        <w:rPr>
          <w:lang w:eastAsia="en-GB"/>
        </w:rPr>
        <w:t xml:space="preserve"> </w:t>
      </w:r>
      <w:r w:rsidRPr="0071774C">
        <w:rPr>
          <w:lang w:eastAsia="en-GB"/>
        </w:rPr>
        <w:t>and</w:t>
      </w:r>
      <w:r>
        <w:rPr>
          <w:lang w:eastAsia="en-GB"/>
        </w:rPr>
        <w:t xml:space="preserve"> </w:t>
      </w:r>
      <w:r w:rsidRPr="0071774C">
        <w:rPr>
          <w:lang w:eastAsia="en-GB"/>
        </w:rPr>
        <w:t>evidence</w:t>
      </w:r>
      <w:r>
        <w:rPr>
          <w:lang w:eastAsia="en-GB"/>
        </w:rPr>
        <w:t xml:space="preserve"> </w:t>
      </w:r>
      <w:r w:rsidRPr="0071774C">
        <w:rPr>
          <w:lang w:eastAsia="en-GB"/>
        </w:rPr>
        <w:t>in</w:t>
      </w:r>
      <w:r>
        <w:rPr>
          <w:lang w:eastAsia="en-GB"/>
        </w:rPr>
        <w:t xml:space="preserve"> </w:t>
      </w:r>
      <w:r w:rsidRPr="0071774C">
        <w:rPr>
          <w:lang w:eastAsia="en-GB"/>
        </w:rPr>
        <w:t>primary</w:t>
      </w:r>
      <w:r>
        <w:rPr>
          <w:lang w:eastAsia="en-GB"/>
        </w:rPr>
        <w:t xml:space="preserve"> </w:t>
      </w:r>
      <w:r w:rsidRPr="0071774C">
        <w:rPr>
          <w:lang w:eastAsia="en-GB"/>
        </w:rPr>
        <w:t>prevention,</w:t>
      </w:r>
      <w:r>
        <w:rPr>
          <w:lang w:eastAsia="en-GB"/>
        </w:rPr>
        <w:t xml:space="preserve"> </w:t>
      </w:r>
      <w:r w:rsidRPr="0071774C">
        <w:rPr>
          <w:lang w:eastAsia="en-GB"/>
        </w:rPr>
        <w:t>and</w:t>
      </w:r>
      <w:r>
        <w:rPr>
          <w:lang w:eastAsia="en-GB"/>
        </w:rPr>
        <w:t xml:space="preserve"> </w:t>
      </w:r>
      <w:r w:rsidRPr="0071774C">
        <w:rPr>
          <w:lang w:eastAsia="en-GB"/>
        </w:rPr>
        <w:t>how</w:t>
      </w:r>
      <w:r>
        <w:rPr>
          <w:lang w:eastAsia="en-GB"/>
        </w:rPr>
        <w:t xml:space="preserve"> </w:t>
      </w:r>
      <w:r w:rsidRPr="0071774C">
        <w:rPr>
          <w:lang w:eastAsia="en-GB"/>
        </w:rPr>
        <w:t>different</w:t>
      </w:r>
      <w:r>
        <w:rPr>
          <w:lang w:eastAsia="en-GB"/>
        </w:rPr>
        <w:t xml:space="preserve"> </w:t>
      </w:r>
      <w:r w:rsidRPr="0071774C">
        <w:rPr>
          <w:lang w:eastAsia="en-GB"/>
        </w:rPr>
        <w:t>types</w:t>
      </w:r>
      <w:r>
        <w:rPr>
          <w:lang w:eastAsia="en-GB"/>
        </w:rPr>
        <w:t xml:space="preserve"> </w:t>
      </w:r>
      <w:r w:rsidRPr="0071774C">
        <w:rPr>
          <w:lang w:eastAsia="en-GB"/>
        </w:rPr>
        <w:t>of</w:t>
      </w:r>
      <w:r>
        <w:rPr>
          <w:lang w:eastAsia="en-GB"/>
        </w:rPr>
        <w:t xml:space="preserve"> </w:t>
      </w:r>
      <w:r w:rsidRPr="0071774C">
        <w:rPr>
          <w:lang w:eastAsia="en-GB"/>
        </w:rPr>
        <w:t>evidence</w:t>
      </w:r>
      <w:r>
        <w:rPr>
          <w:lang w:eastAsia="en-GB"/>
        </w:rPr>
        <w:t xml:space="preserve"> </w:t>
      </w:r>
      <w:r w:rsidRPr="0071774C">
        <w:rPr>
          <w:lang w:eastAsia="en-GB"/>
        </w:rPr>
        <w:t>will</w:t>
      </w:r>
      <w:r>
        <w:rPr>
          <w:lang w:eastAsia="en-GB"/>
        </w:rPr>
        <w:t xml:space="preserve"> </w:t>
      </w:r>
      <w:r w:rsidRPr="0071774C">
        <w:rPr>
          <w:lang w:eastAsia="en-GB"/>
        </w:rPr>
        <w:t>be</w:t>
      </w:r>
      <w:r>
        <w:rPr>
          <w:lang w:eastAsia="en-GB"/>
        </w:rPr>
        <w:t xml:space="preserve"> </w:t>
      </w:r>
      <w:r w:rsidRPr="0071774C">
        <w:rPr>
          <w:lang w:eastAsia="en-GB"/>
        </w:rPr>
        <w:t>collected</w:t>
      </w:r>
      <w:r>
        <w:rPr>
          <w:lang w:eastAsia="en-GB"/>
        </w:rPr>
        <w:t xml:space="preserve"> </w:t>
      </w:r>
      <w:r w:rsidRPr="0071774C">
        <w:rPr>
          <w:lang w:eastAsia="en-GB"/>
        </w:rPr>
        <w:t>and</w:t>
      </w:r>
      <w:r>
        <w:rPr>
          <w:lang w:eastAsia="en-GB"/>
        </w:rPr>
        <w:t xml:space="preserve"> </w:t>
      </w:r>
      <w:r w:rsidRPr="0071774C">
        <w:rPr>
          <w:lang w:eastAsia="en-GB"/>
        </w:rPr>
        <w:t>reported</w:t>
      </w:r>
      <w:r>
        <w:rPr>
          <w:lang w:eastAsia="en-GB"/>
        </w:rPr>
        <w:t xml:space="preserve"> </w:t>
      </w:r>
      <w:r w:rsidRPr="0071774C">
        <w:rPr>
          <w:lang w:eastAsia="en-GB"/>
        </w:rPr>
        <w:t>on</w:t>
      </w:r>
      <w:r>
        <w:rPr>
          <w:lang w:eastAsia="en-GB"/>
        </w:rPr>
        <w:t xml:space="preserve"> </w:t>
      </w:r>
      <w:r w:rsidRPr="0071774C">
        <w:rPr>
          <w:lang w:eastAsia="en-GB"/>
        </w:rPr>
        <w:t>by</w:t>
      </w:r>
      <w:r>
        <w:rPr>
          <w:lang w:eastAsia="en-GB"/>
        </w:rPr>
        <w:t xml:space="preserve"> </w:t>
      </w:r>
      <w:r w:rsidRPr="0071774C">
        <w:rPr>
          <w:lang w:eastAsia="en-GB"/>
        </w:rPr>
        <w:t>various</w:t>
      </w:r>
      <w:r>
        <w:rPr>
          <w:lang w:eastAsia="en-GB"/>
        </w:rPr>
        <w:t xml:space="preserve"> </w:t>
      </w:r>
      <w:r w:rsidRPr="0071774C">
        <w:rPr>
          <w:lang w:eastAsia="en-GB"/>
        </w:rPr>
        <w:t>stakeholders.</w:t>
      </w:r>
    </w:p>
    <w:p w14:paraId="6D324309" w14:textId="77777777" w:rsidR="002C2EC7" w:rsidRPr="0071774C" w:rsidRDefault="002C2EC7" w:rsidP="006337B0">
      <w:pPr>
        <w:pStyle w:val="OWBullet1"/>
        <w:spacing w:after="40" w:line="238" w:lineRule="auto"/>
        <w:rPr>
          <w:lang w:eastAsia="en-GB"/>
        </w:rPr>
      </w:pPr>
      <w:r w:rsidRPr="0071774C">
        <w:rPr>
          <w:lang w:eastAsia="en-GB"/>
        </w:rPr>
        <w:t>A</w:t>
      </w:r>
      <w:r>
        <w:rPr>
          <w:lang w:eastAsia="en-GB"/>
        </w:rPr>
        <w:t xml:space="preserve"> </w:t>
      </w:r>
      <w:r w:rsidRPr="0071774C">
        <w:rPr>
          <w:lang w:eastAsia="en-GB"/>
        </w:rPr>
        <w:t>stronger</w:t>
      </w:r>
      <w:r>
        <w:rPr>
          <w:lang w:eastAsia="en-GB"/>
        </w:rPr>
        <w:t xml:space="preserve"> </w:t>
      </w:r>
      <w:r w:rsidRPr="0071774C">
        <w:rPr>
          <w:lang w:eastAsia="en-GB"/>
        </w:rPr>
        <w:t>focus</w:t>
      </w:r>
      <w:r>
        <w:rPr>
          <w:lang w:eastAsia="en-GB"/>
        </w:rPr>
        <w:t xml:space="preserve"> </w:t>
      </w:r>
      <w:r w:rsidRPr="0071774C">
        <w:rPr>
          <w:lang w:eastAsia="en-GB"/>
        </w:rPr>
        <w:t>on</w:t>
      </w:r>
      <w:r>
        <w:rPr>
          <w:lang w:eastAsia="en-GB"/>
        </w:rPr>
        <w:t xml:space="preserve"> </w:t>
      </w:r>
      <w:r w:rsidRPr="0071774C">
        <w:rPr>
          <w:lang w:eastAsia="en-GB"/>
        </w:rPr>
        <w:t>masculinity</w:t>
      </w:r>
      <w:r>
        <w:rPr>
          <w:lang w:eastAsia="en-GB"/>
        </w:rPr>
        <w:t xml:space="preserve"> </w:t>
      </w:r>
      <w:r w:rsidRPr="0071774C">
        <w:rPr>
          <w:lang w:eastAsia="en-GB"/>
        </w:rPr>
        <w:t>–</w:t>
      </w:r>
      <w:r>
        <w:rPr>
          <w:lang w:eastAsia="en-GB"/>
        </w:rPr>
        <w:t xml:space="preserve"> </w:t>
      </w:r>
      <w:r w:rsidRPr="0071774C">
        <w:rPr>
          <w:lang w:eastAsia="en-GB"/>
        </w:rPr>
        <w:t>in</w:t>
      </w:r>
      <w:r>
        <w:rPr>
          <w:lang w:eastAsia="en-GB"/>
        </w:rPr>
        <w:t xml:space="preserve"> </w:t>
      </w:r>
      <w:r w:rsidRPr="0071774C">
        <w:rPr>
          <w:lang w:eastAsia="en-GB"/>
        </w:rPr>
        <w:t>particular,</w:t>
      </w:r>
      <w:r>
        <w:rPr>
          <w:lang w:eastAsia="en-GB"/>
        </w:rPr>
        <w:t xml:space="preserve"> </w:t>
      </w:r>
      <w:r w:rsidRPr="0071774C">
        <w:rPr>
          <w:lang w:eastAsia="en-GB"/>
        </w:rPr>
        <w:t>an</w:t>
      </w:r>
      <w:r>
        <w:rPr>
          <w:lang w:eastAsia="en-GB"/>
        </w:rPr>
        <w:t xml:space="preserve"> </w:t>
      </w:r>
      <w:r w:rsidRPr="0071774C">
        <w:rPr>
          <w:lang w:eastAsia="en-GB"/>
        </w:rPr>
        <w:t>expansion</w:t>
      </w:r>
      <w:r>
        <w:rPr>
          <w:lang w:eastAsia="en-GB"/>
        </w:rPr>
        <w:t xml:space="preserve"> </w:t>
      </w:r>
      <w:r w:rsidRPr="0071774C">
        <w:rPr>
          <w:lang w:eastAsia="en-GB"/>
        </w:rPr>
        <w:t>of</w:t>
      </w:r>
      <w:r>
        <w:rPr>
          <w:lang w:eastAsia="en-GB"/>
        </w:rPr>
        <w:t xml:space="preserve"> </w:t>
      </w:r>
      <w:r w:rsidRPr="0071774C">
        <w:rPr>
          <w:lang w:eastAsia="en-GB"/>
        </w:rPr>
        <w:t>prevention</w:t>
      </w:r>
      <w:r>
        <w:rPr>
          <w:lang w:eastAsia="en-GB"/>
        </w:rPr>
        <w:t xml:space="preserve"> </w:t>
      </w:r>
      <w:r w:rsidRPr="0071774C">
        <w:rPr>
          <w:lang w:eastAsia="en-GB"/>
        </w:rPr>
        <w:t>initiatives</w:t>
      </w:r>
      <w:r>
        <w:rPr>
          <w:lang w:eastAsia="en-GB"/>
        </w:rPr>
        <w:t xml:space="preserve"> </w:t>
      </w:r>
      <w:r w:rsidRPr="0071774C">
        <w:rPr>
          <w:lang w:eastAsia="en-GB"/>
        </w:rPr>
        <w:t>that</w:t>
      </w:r>
      <w:r>
        <w:rPr>
          <w:lang w:eastAsia="en-GB"/>
        </w:rPr>
        <w:t xml:space="preserve"> </w:t>
      </w:r>
      <w:r w:rsidRPr="0071774C">
        <w:rPr>
          <w:lang w:eastAsia="en-GB"/>
        </w:rPr>
        <w:t>challenge</w:t>
      </w:r>
      <w:r>
        <w:rPr>
          <w:lang w:eastAsia="en-GB"/>
        </w:rPr>
        <w:t xml:space="preserve"> </w:t>
      </w:r>
      <w:r w:rsidRPr="0071774C">
        <w:rPr>
          <w:lang w:eastAsia="en-GB"/>
        </w:rPr>
        <w:t>rigid</w:t>
      </w:r>
      <w:r>
        <w:rPr>
          <w:lang w:eastAsia="en-GB"/>
        </w:rPr>
        <w:t xml:space="preserve"> </w:t>
      </w:r>
      <w:r w:rsidRPr="0071774C">
        <w:rPr>
          <w:lang w:eastAsia="en-GB"/>
        </w:rPr>
        <w:t>attachment</w:t>
      </w:r>
      <w:r>
        <w:rPr>
          <w:lang w:eastAsia="en-GB"/>
        </w:rPr>
        <w:t xml:space="preserve"> </w:t>
      </w:r>
      <w:r w:rsidRPr="0071774C">
        <w:rPr>
          <w:lang w:eastAsia="en-GB"/>
        </w:rPr>
        <w:t>to</w:t>
      </w:r>
      <w:r>
        <w:rPr>
          <w:lang w:eastAsia="en-GB"/>
        </w:rPr>
        <w:t xml:space="preserve"> </w:t>
      </w:r>
      <w:r w:rsidRPr="0071774C">
        <w:rPr>
          <w:lang w:eastAsia="en-GB"/>
        </w:rPr>
        <w:t>dominant</w:t>
      </w:r>
      <w:r>
        <w:rPr>
          <w:lang w:eastAsia="en-GB"/>
        </w:rPr>
        <w:t xml:space="preserve"> </w:t>
      </w:r>
      <w:r w:rsidRPr="0071774C">
        <w:rPr>
          <w:lang w:eastAsia="en-GB"/>
        </w:rPr>
        <w:t>norms</w:t>
      </w:r>
      <w:r>
        <w:rPr>
          <w:lang w:eastAsia="en-GB"/>
        </w:rPr>
        <w:t xml:space="preserve"> </w:t>
      </w:r>
      <w:r w:rsidRPr="0071774C">
        <w:rPr>
          <w:lang w:eastAsia="en-GB"/>
        </w:rPr>
        <w:t>of</w:t>
      </w:r>
      <w:r>
        <w:rPr>
          <w:lang w:eastAsia="en-GB"/>
        </w:rPr>
        <w:t xml:space="preserve"> </w:t>
      </w:r>
      <w:r w:rsidRPr="0071774C">
        <w:rPr>
          <w:lang w:eastAsia="en-GB"/>
        </w:rPr>
        <w:t>masculinity</w:t>
      </w:r>
      <w:r>
        <w:rPr>
          <w:lang w:eastAsia="en-GB"/>
        </w:rPr>
        <w:t xml:space="preserve"> </w:t>
      </w:r>
      <w:r w:rsidRPr="0071774C">
        <w:rPr>
          <w:lang w:eastAsia="en-GB"/>
        </w:rPr>
        <w:t>and</w:t>
      </w:r>
      <w:r>
        <w:rPr>
          <w:lang w:eastAsia="en-GB"/>
        </w:rPr>
        <w:t xml:space="preserve"> </w:t>
      </w:r>
      <w:r w:rsidRPr="0071774C">
        <w:rPr>
          <w:lang w:eastAsia="en-GB"/>
        </w:rPr>
        <w:t>disrupt</w:t>
      </w:r>
      <w:r>
        <w:rPr>
          <w:lang w:eastAsia="en-GB"/>
        </w:rPr>
        <w:t xml:space="preserve"> </w:t>
      </w:r>
      <w:r w:rsidRPr="0071774C">
        <w:rPr>
          <w:lang w:eastAsia="en-GB"/>
        </w:rPr>
        <w:t>male</w:t>
      </w:r>
      <w:r>
        <w:rPr>
          <w:lang w:eastAsia="en-GB"/>
        </w:rPr>
        <w:t xml:space="preserve"> </w:t>
      </w:r>
      <w:r w:rsidRPr="0071774C">
        <w:rPr>
          <w:lang w:eastAsia="en-GB"/>
        </w:rPr>
        <w:t>peer</w:t>
      </w:r>
      <w:r>
        <w:rPr>
          <w:lang w:eastAsia="en-GB"/>
        </w:rPr>
        <w:t xml:space="preserve"> </w:t>
      </w:r>
      <w:r w:rsidRPr="0071774C">
        <w:rPr>
          <w:lang w:eastAsia="en-GB"/>
        </w:rPr>
        <w:t>relations</w:t>
      </w:r>
      <w:r>
        <w:rPr>
          <w:lang w:eastAsia="en-GB"/>
        </w:rPr>
        <w:t xml:space="preserve"> </w:t>
      </w:r>
      <w:r w:rsidRPr="0071774C">
        <w:rPr>
          <w:lang w:eastAsia="en-GB"/>
        </w:rPr>
        <w:t>and</w:t>
      </w:r>
      <w:r>
        <w:rPr>
          <w:lang w:eastAsia="en-GB"/>
        </w:rPr>
        <w:t xml:space="preserve"> </w:t>
      </w:r>
      <w:r w:rsidRPr="0071774C">
        <w:rPr>
          <w:lang w:eastAsia="en-GB"/>
        </w:rPr>
        <w:t>expressions</w:t>
      </w:r>
      <w:r>
        <w:rPr>
          <w:lang w:eastAsia="en-GB"/>
        </w:rPr>
        <w:t xml:space="preserve"> </w:t>
      </w:r>
      <w:r w:rsidRPr="0071774C">
        <w:rPr>
          <w:lang w:eastAsia="en-GB"/>
        </w:rPr>
        <w:t>of</w:t>
      </w:r>
      <w:r>
        <w:rPr>
          <w:lang w:eastAsia="en-GB"/>
        </w:rPr>
        <w:t xml:space="preserve"> </w:t>
      </w:r>
      <w:r w:rsidRPr="0071774C">
        <w:rPr>
          <w:lang w:eastAsia="en-GB"/>
        </w:rPr>
        <w:t>masculinity</w:t>
      </w:r>
      <w:r>
        <w:rPr>
          <w:lang w:eastAsia="en-GB"/>
        </w:rPr>
        <w:t xml:space="preserve"> </w:t>
      </w:r>
      <w:r w:rsidRPr="0071774C">
        <w:rPr>
          <w:lang w:eastAsia="en-GB"/>
        </w:rPr>
        <w:t>that</w:t>
      </w:r>
      <w:r>
        <w:rPr>
          <w:lang w:eastAsia="en-GB"/>
        </w:rPr>
        <w:t xml:space="preserve"> </w:t>
      </w:r>
      <w:r w:rsidRPr="0071774C">
        <w:rPr>
          <w:lang w:eastAsia="en-GB"/>
        </w:rPr>
        <w:t>normalise</w:t>
      </w:r>
      <w:r>
        <w:rPr>
          <w:lang w:eastAsia="en-GB"/>
        </w:rPr>
        <w:t xml:space="preserve"> </w:t>
      </w:r>
      <w:r w:rsidRPr="0071774C">
        <w:rPr>
          <w:lang w:eastAsia="en-GB"/>
        </w:rPr>
        <w:t>aggression,</w:t>
      </w:r>
      <w:r>
        <w:rPr>
          <w:lang w:eastAsia="en-GB"/>
        </w:rPr>
        <w:t xml:space="preserve"> </w:t>
      </w:r>
      <w:r w:rsidRPr="0071774C">
        <w:rPr>
          <w:lang w:eastAsia="en-GB"/>
        </w:rPr>
        <w:t>disrespect</w:t>
      </w:r>
      <w:r>
        <w:rPr>
          <w:lang w:eastAsia="en-GB"/>
        </w:rPr>
        <w:t xml:space="preserve"> </w:t>
      </w:r>
      <w:r w:rsidRPr="0071774C">
        <w:rPr>
          <w:lang w:eastAsia="en-GB"/>
        </w:rPr>
        <w:t>and</w:t>
      </w:r>
      <w:r>
        <w:rPr>
          <w:lang w:eastAsia="en-GB"/>
        </w:rPr>
        <w:t xml:space="preserve"> </w:t>
      </w:r>
      <w:r w:rsidRPr="0071774C">
        <w:rPr>
          <w:lang w:eastAsia="en-GB"/>
        </w:rPr>
        <w:t>hostility</w:t>
      </w:r>
      <w:r>
        <w:rPr>
          <w:lang w:eastAsia="en-GB"/>
        </w:rPr>
        <w:t xml:space="preserve"> </w:t>
      </w:r>
      <w:r w:rsidRPr="0071774C">
        <w:rPr>
          <w:lang w:eastAsia="en-GB"/>
        </w:rPr>
        <w:t>towards</w:t>
      </w:r>
      <w:r>
        <w:rPr>
          <w:lang w:eastAsia="en-GB"/>
        </w:rPr>
        <w:t xml:space="preserve"> </w:t>
      </w:r>
      <w:r w:rsidRPr="0071774C">
        <w:rPr>
          <w:lang w:eastAsia="en-GB"/>
        </w:rPr>
        <w:t>women,</w:t>
      </w:r>
      <w:r>
        <w:rPr>
          <w:lang w:eastAsia="en-GB"/>
        </w:rPr>
        <w:t xml:space="preserve"> </w:t>
      </w:r>
      <w:r w:rsidRPr="0071774C">
        <w:rPr>
          <w:lang w:eastAsia="en-GB"/>
        </w:rPr>
        <w:t>and</w:t>
      </w:r>
      <w:r>
        <w:rPr>
          <w:lang w:eastAsia="en-GB"/>
        </w:rPr>
        <w:t xml:space="preserve"> </w:t>
      </w:r>
      <w:r w:rsidRPr="0071774C">
        <w:rPr>
          <w:lang w:eastAsia="en-GB"/>
        </w:rPr>
        <w:t>power</w:t>
      </w:r>
      <w:r>
        <w:rPr>
          <w:lang w:eastAsia="en-GB"/>
        </w:rPr>
        <w:t xml:space="preserve"> </w:t>
      </w:r>
      <w:r w:rsidRPr="0071774C">
        <w:rPr>
          <w:lang w:eastAsia="en-GB"/>
        </w:rPr>
        <w:t>and</w:t>
      </w:r>
      <w:r>
        <w:rPr>
          <w:lang w:eastAsia="en-GB"/>
        </w:rPr>
        <w:t xml:space="preserve"> </w:t>
      </w:r>
      <w:r w:rsidRPr="0071774C">
        <w:rPr>
          <w:lang w:eastAsia="en-GB"/>
        </w:rPr>
        <w:t>control</w:t>
      </w:r>
      <w:r>
        <w:rPr>
          <w:lang w:eastAsia="en-GB"/>
        </w:rPr>
        <w:t xml:space="preserve"> </w:t>
      </w:r>
      <w:r w:rsidRPr="0071774C">
        <w:rPr>
          <w:lang w:eastAsia="en-GB"/>
        </w:rPr>
        <w:t>over</w:t>
      </w:r>
      <w:r>
        <w:rPr>
          <w:lang w:eastAsia="en-GB"/>
        </w:rPr>
        <w:t xml:space="preserve"> </w:t>
      </w:r>
      <w:r w:rsidRPr="0071774C">
        <w:rPr>
          <w:lang w:eastAsia="en-GB"/>
        </w:rPr>
        <w:t>women.</w:t>
      </w:r>
    </w:p>
    <w:p w14:paraId="3C42B053" w14:textId="77777777" w:rsidR="002C2EC7" w:rsidRPr="0071774C" w:rsidRDefault="002C2EC7" w:rsidP="006337B0">
      <w:pPr>
        <w:pStyle w:val="OWBullet1"/>
        <w:spacing w:after="40" w:line="238" w:lineRule="auto"/>
      </w:pPr>
      <w:r w:rsidRPr="0071774C">
        <w:rPr>
          <w:rFonts w:eastAsia="Calibri"/>
        </w:rPr>
        <w:t>Increased</w:t>
      </w:r>
      <w:r>
        <w:rPr>
          <w:rFonts w:eastAsia="Calibri"/>
        </w:rPr>
        <w:t xml:space="preserve"> </w:t>
      </w:r>
      <w:r w:rsidRPr="0071774C">
        <w:rPr>
          <w:rFonts w:eastAsia="Calibri"/>
        </w:rPr>
        <w:t>actions</w:t>
      </w:r>
      <w:r>
        <w:rPr>
          <w:rFonts w:eastAsia="Calibri"/>
        </w:rPr>
        <w:t xml:space="preserve"> </w:t>
      </w:r>
      <w:r w:rsidRPr="0071774C">
        <w:rPr>
          <w:rFonts w:eastAsia="Calibri"/>
        </w:rPr>
        <w:t>to</w:t>
      </w:r>
      <w:r>
        <w:rPr>
          <w:rFonts w:eastAsia="Calibri"/>
        </w:rPr>
        <w:t xml:space="preserve"> </w:t>
      </w:r>
      <w:r w:rsidRPr="0071774C">
        <w:rPr>
          <w:rFonts w:eastAsia="Calibri"/>
        </w:rPr>
        <w:t>support</w:t>
      </w:r>
      <w:r>
        <w:rPr>
          <w:rFonts w:eastAsia="Calibri"/>
        </w:rPr>
        <w:t xml:space="preserve"> </w:t>
      </w:r>
      <w:r w:rsidRPr="0071774C">
        <w:rPr>
          <w:rFonts w:eastAsia="Calibri"/>
        </w:rPr>
        <w:t>systemic</w:t>
      </w:r>
      <w:r>
        <w:rPr>
          <w:rFonts w:eastAsia="Calibri"/>
        </w:rPr>
        <w:t xml:space="preserve"> </w:t>
      </w:r>
      <w:r w:rsidRPr="0071774C">
        <w:rPr>
          <w:rFonts w:eastAsia="Calibri"/>
        </w:rPr>
        <w:t>reform</w:t>
      </w:r>
      <w:r>
        <w:rPr>
          <w:rFonts w:eastAsia="Calibri"/>
        </w:rPr>
        <w:t xml:space="preserve"> </w:t>
      </w:r>
      <w:r w:rsidRPr="0071774C">
        <w:rPr>
          <w:rFonts w:eastAsia="Calibri"/>
        </w:rPr>
        <w:t>which</w:t>
      </w:r>
      <w:r>
        <w:rPr>
          <w:rFonts w:eastAsia="Calibri"/>
        </w:rPr>
        <w:t xml:space="preserve"> </w:t>
      </w:r>
      <w:r w:rsidRPr="0071774C">
        <w:rPr>
          <w:rFonts w:eastAsia="Calibri"/>
        </w:rPr>
        <w:t>addresses</w:t>
      </w:r>
      <w:r>
        <w:rPr>
          <w:rFonts w:eastAsia="Calibri"/>
        </w:rPr>
        <w:t xml:space="preserve"> </w:t>
      </w:r>
      <w:r w:rsidRPr="0071774C">
        <w:rPr>
          <w:rFonts w:eastAsia="Calibri"/>
        </w:rPr>
        <w:t>intersecting</w:t>
      </w:r>
      <w:r>
        <w:rPr>
          <w:rFonts w:eastAsia="Calibri"/>
        </w:rPr>
        <w:t xml:space="preserve"> </w:t>
      </w:r>
      <w:r w:rsidRPr="0071774C">
        <w:rPr>
          <w:rFonts w:eastAsia="Calibri"/>
        </w:rPr>
        <w:t>forms</w:t>
      </w:r>
      <w:r>
        <w:rPr>
          <w:rFonts w:eastAsia="Calibri"/>
        </w:rPr>
        <w:t xml:space="preserve"> </w:t>
      </w:r>
      <w:r w:rsidRPr="0071774C">
        <w:rPr>
          <w:rFonts w:eastAsia="Calibri"/>
        </w:rPr>
        <w:t>of</w:t>
      </w:r>
      <w:r>
        <w:rPr>
          <w:rFonts w:eastAsia="Calibri"/>
        </w:rPr>
        <w:t xml:space="preserve"> </w:t>
      </w:r>
      <w:r w:rsidRPr="0071774C">
        <w:rPr>
          <w:rFonts w:eastAsia="Calibri"/>
        </w:rPr>
        <w:t>discrimination</w:t>
      </w:r>
      <w:r>
        <w:rPr>
          <w:rFonts w:eastAsia="Calibri"/>
        </w:rPr>
        <w:t xml:space="preserve"> </w:t>
      </w:r>
      <w:r w:rsidRPr="0071774C">
        <w:rPr>
          <w:rFonts w:eastAsia="Calibri"/>
        </w:rPr>
        <w:t>and</w:t>
      </w:r>
      <w:r>
        <w:rPr>
          <w:rFonts w:eastAsia="Calibri"/>
        </w:rPr>
        <w:t xml:space="preserve"> </w:t>
      </w:r>
      <w:r w:rsidRPr="0071774C">
        <w:rPr>
          <w:rFonts w:eastAsia="Calibri"/>
        </w:rPr>
        <w:t>inequality</w:t>
      </w:r>
      <w:r>
        <w:rPr>
          <w:rFonts w:eastAsia="Calibri"/>
        </w:rPr>
        <w:t xml:space="preserve"> </w:t>
      </w:r>
      <w:r w:rsidRPr="0071774C">
        <w:rPr>
          <w:rFonts w:eastAsia="Calibri"/>
        </w:rPr>
        <w:t>–</w:t>
      </w:r>
      <w:r>
        <w:rPr>
          <w:rFonts w:eastAsia="Calibri"/>
        </w:rPr>
        <w:t xml:space="preserve"> </w:t>
      </w:r>
      <w:r w:rsidRPr="0071774C">
        <w:rPr>
          <w:rFonts w:eastAsia="Calibri"/>
        </w:rPr>
        <w:t>such</w:t>
      </w:r>
      <w:r>
        <w:rPr>
          <w:rFonts w:eastAsia="Calibri"/>
        </w:rPr>
        <w:t xml:space="preserve"> </w:t>
      </w:r>
      <w:r w:rsidRPr="0071774C">
        <w:rPr>
          <w:rFonts w:eastAsia="Calibri"/>
        </w:rPr>
        <w:t>as</w:t>
      </w:r>
      <w:r>
        <w:rPr>
          <w:rFonts w:eastAsia="Calibri"/>
        </w:rPr>
        <w:t xml:space="preserve"> </w:t>
      </w:r>
      <w:r w:rsidRPr="0071774C">
        <w:rPr>
          <w:rFonts w:eastAsia="Calibri"/>
        </w:rPr>
        <w:t>racism</w:t>
      </w:r>
      <w:r>
        <w:rPr>
          <w:rFonts w:eastAsia="Calibri"/>
        </w:rPr>
        <w:t xml:space="preserve"> </w:t>
      </w:r>
      <w:r w:rsidRPr="0071774C">
        <w:rPr>
          <w:rFonts w:eastAsia="Calibri"/>
        </w:rPr>
        <w:t>or</w:t>
      </w:r>
      <w:r>
        <w:rPr>
          <w:rFonts w:eastAsia="Calibri"/>
        </w:rPr>
        <w:t xml:space="preserve"> </w:t>
      </w:r>
      <w:r w:rsidRPr="0071774C">
        <w:rPr>
          <w:rFonts w:eastAsia="Calibri"/>
        </w:rPr>
        <w:t>ableism</w:t>
      </w:r>
      <w:r>
        <w:rPr>
          <w:rFonts w:eastAsia="Calibri"/>
        </w:rPr>
        <w:t xml:space="preserve"> </w:t>
      </w:r>
      <w:r w:rsidRPr="0071774C">
        <w:rPr>
          <w:rFonts w:eastAsia="Calibri"/>
        </w:rPr>
        <w:t>–</w:t>
      </w:r>
      <w:r>
        <w:rPr>
          <w:rFonts w:eastAsia="Calibri"/>
        </w:rPr>
        <w:t xml:space="preserve"> </w:t>
      </w:r>
      <w:r w:rsidRPr="0071774C">
        <w:rPr>
          <w:rFonts w:eastAsia="Calibri"/>
        </w:rPr>
        <w:t>that</w:t>
      </w:r>
      <w:r>
        <w:rPr>
          <w:rFonts w:eastAsia="Calibri"/>
        </w:rPr>
        <w:t xml:space="preserve"> </w:t>
      </w:r>
      <w:r w:rsidRPr="0071774C">
        <w:rPr>
          <w:rFonts w:eastAsia="Calibri"/>
        </w:rPr>
        <w:t>play</w:t>
      </w:r>
      <w:r>
        <w:rPr>
          <w:rFonts w:eastAsia="Calibri"/>
        </w:rPr>
        <w:t xml:space="preserve"> </w:t>
      </w:r>
      <w:r w:rsidRPr="0071774C">
        <w:rPr>
          <w:rFonts w:eastAsia="Calibri"/>
        </w:rPr>
        <w:t>a</w:t>
      </w:r>
      <w:r>
        <w:rPr>
          <w:rFonts w:eastAsia="Calibri"/>
        </w:rPr>
        <w:t xml:space="preserve"> </w:t>
      </w:r>
      <w:r w:rsidRPr="0071774C">
        <w:rPr>
          <w:rFonts w:eastAsia="Calibri"/>
        </w:rPr>
        <w:t>role</w:t>
      </w:r>
      <w:r>
        <w:rPr>
          <w:rFonts w:eastAsia="Calibri"/>
        </w:rPr>
        <w:t xml:space="preserve"> </w:t>
      </w:r>
      <w:r w:rsidRPr="0071774C">
        <w:rPr>
          <w:rFonts w:eastAsia="Calibri"/>
        </w:rPr>
        <w:t>in</w:t>
      </w:r>
      <w:r>
        <w:rPr>
          <w:rFonts w:eastAsia="Calibri"/>
        </w:rPr>
        <w:t xml:space="preserve"> </w:t>
      </w:r>
      <w:r w:rsidRPr="0071774C">
        <w:rPr>
          <w:rFonts w:eastAsia="Calibri"/>
        </w:rPr>
        <w:t>driving</w:t>
      </w:r>
      <w:r>
        <w:rPr>
          <w:rFonts w:eastAsia="Calibri"/>
        </w:rPr>
        <w:t xml:space="preserve"> </w:t>
      </w:r>
      <w:r w:rsidRPr="0071774C">
        <w:rPr>
          <w:rFonts w:eastAsia="Calibri"/>
        </w:rPr>
        <w:t>violence</w:t>
      </w:r>
      <w:r>
        <w:rPr>
          <w:rFonts w:eastAsia="Calibri"/>
        </w:rPr>
        <w:t xml:space="preserve"> </w:t>
      </w:r>
      <w:r w:rsidRPr="0071774C">
        <w:rPr>
          <w:rFonts w:eastAsia="Calibri"/>
        </w:rPr>
        <w:t>against</w:t>
      </w:r>
      <w:r>
        <w:rPr>
          <w:rFonts w:eastAsia="Calibri"/>
        </w:rPr>
        <w:t xml:space="preserve"> </w:t>
      </w:r>
      <w:r w:rsidRPr="0071774C">
        <w:rPr>
          <w:rFonts w:eastAsia="Calibri"/>
        </w:rPr>
        <w:t>women.</w:t>
      </w:r>
    </w:p>
    <w:p w14:paraId="657323F6" w14:textId="402E11D5" w:rsidR="002C2EC7" w:rsidRDefault="002C2EC7" w:rsidP="006337B0">
      <w:pPr>
        <w:pStyle w:val="OWBullet1"/>
        <w:spacing w:line="238" w:lineRule="auto"/>
      </w:pPr>
      <w:r w:rsidRPr="0071774C">
        <w:rPr>
          <w:rFonts w:eastAsia="Calibri"/>
        </w:rPr>
        <w:t>Embedding</w:t>
      </w:r>
      <w:r>
        <w:rPr>
          <w:rFonts w:eastAsia="Calibri"/>
        </w:rPr>
        <w:t xml:space="preserve"> </w:t>
      </w:r>
      <w:r w:rsidRPr="0071774C">
        <w:rPr>
          <w:rFonts w:eastAsia="Calibri"/>
        </w:rPr>
        <w:t>a</w:t>
      </w:r>
      <w:r>
        <w:rPr>
          <w:rFonts w:eastAsia="Calibri"/>
        </w:rPr>
        <w:t xml:space="preserve"> </w:t>
      </w:r>
      <w:r w:rsidRPr="0071774C">
        <w:rPr>
          <w:rFonts w:eastAsia="Calibri"/>
        </w:rPr>
        <w:t>gendered</w:t>
      </w:r>
      <w:r>
        <w:rPr>
          <w:rFonts w:eastAsia="Calibri"/>
        </w:rPr>
        <w:t xml:space="preserve"> </w:t>
      </w:r>
      <w:r w:rsidRPr="0071774C">
        <w:rPr>
          <w:rFonts w:eastAsia="Calibri"/>
        </w:rPr>
        <w:t>approach</w:t>
      </w:r>
      <w:r>
        <w:rPr>
          <w:rFonts w:eastAsia="Calibri"/>
        </w:rPr>
        <w:t xml:space="preserve"> </w:t>
      </w:r>
      <w:r w:rsidRPr="0071774C">
        <w:rPr>
          <w:rFonts w:eastAsia="Calibri"/>
        </w:rPr>
        <w:t>into</w:t>
      </w:r>
      <w:r>
        <w:rPr>
          <w:rFonts w:eastAsia="Calibri"/>
        </w:rPr>
        <w:t xml:space="preserve"> </w:t>
      </w:r>
      <w:r w:rsidRPr="0071774C">
        <w:rPr>
          <w:rFonts w:eastAsia="Calibri"/>
        </w:rPr>
        <w:t>work</w:t>
      </w:r>
      <w:r>
        <w:rPr>
          <w:rFonts w:eastAsia="Calibri"/>
        </w:rPr>
        <w:t xml:space="preserve"> </w:t>
      </w:r>
      <w:r w:rsidRPr="0071774C">
        <w:rPr>
          <w:rFonts w:eastAsia="Calibri"/>
        </w:rPr>
        <w:t>to</w:t>
      </w:r>
      <w:r>
        <w:rPr>
          <w:rFonts w:eastAsia="Calibri"/>
        </w:rPr>
        <w:t xml:space="preserve"> </w:t>
      </w:r>
      <w:r w:rsidRPr="0071774C">
        <w:rPr>
          <w:rFonts w:eastAsia="Calibri"/>
        </w:rPr>
        <w:t>address</w:t>
      </w:r>
      <w:r w:rsidR="00D45B14">
        <w:rPr>
          <w:rFonts w:eastAsia="Calibri"/>
        </w:rPr>
        <w:t xml:space="preserve"> </w:t>
      </w:r>
      <w:r w:rsidR="00D45B14" w:rsidRPr="00D45B14">
        <w:rPr>
          <w:rFonts w:eastAsia="Calibri"/>
        </w:rPr>
        <w:t>all forms of</w:t>
      </w:r>
      <w:r>
        <w:rPr>
          <w:rFonts w:eastAsia="Calibri"/>
        </w:rPr>
        <w:t xml:space="preserve"> </w:t>
      </w:r>
      <w:r w:rsidRPr="0071774C">
        <w:rPr>
          <w:rFonts w:eastAsia="Calibri"/>
        </w:rPr>
        <w:t>inequality</w:t>
      </w:r>
      <w:r>
        <w:rPr>
          <w:rFonts w:eastAsia="Calibri"/>
        </w:rPr>
        <w:t xml:space="preserve"> </w:t>
      </w:r>
      <w:r w:rsidRPr="0071774C">
        <w:rPr>
          <w:rFonts w:eastAsia="Calibri"/>
        </w:rPr>
        <w:t>and</w:t>
      </w:r>
      <w:r>
        <w:rPr>
          <w:rFonts w:eastAsia="Calibri"/>
        </w:rPr>
        <w:t xml:space="preserve"> </w:t>
      </w:r>
      <w:r w:rsidRPr="0071774C">
        <w:rPr>
          <w:rFonts w:eastAsia="Calibri"/>
        </w:rPr>
        <w:t>discrimination</w:t>
      </w:r>
      <w:r>
        <w:rPr>
          <w:rFonts w:eastAsia="Calibri"/>
        </w:rPr>
        <w:t xml:space="preserve"> </w:t>
      </w:r>
      <w:r w:rsidRPr="0071774C">
        <w:rPr>
          <w:rFonts w:eastAsia="Calibri"/>
        </w:rPr>
        <w:t>across</w:t>
      </w:r>
      <w:r>
        <w:rPr>
          <w:rFonts w:eastAsia="Calibri"/>
        </w:rPr>
        <w:t xml:space="preserve"> </w:t>
      </w:r>
      <w:r w:rsidRPr="0071774C">
        <w:rPr>
          <w:rFonts w:eastAsia="Calibri"/>
        </w:rPr>
        <w:t>all</w:t>
      </w:r>
      <w:r>
        <w:rPr>
          <w:rFonts w:eastAsia="Calibri"/>
        </w:rPr>
        <w:t xml:space="preserve"> </w:t>
      </w:r>
      <w:r w:rsidRPr="0071774C">
        <w:rPr>
          <w:rFonts w:eastAsia="Calibri"/>
        </w:rPr>
        <w:t>social</w:t>
      </w:r>
      <w:r>
        <w:rPr>
          <w:rFonts w:eastAsia="Calibri"/>
        </w:rPr>
        <w:t xml:space="preserve"> </w:t>
      </w:r>
      <w:r w:rsidRPr="0071774C">
        <w:rPr>
          <w:rFonts w:eastAsia="Calibri"/>
        </w:rPr>
        <w:t>policy</w:t>
      </w:r>
      <w:r>
        <w:rPr>
          <w:rFonts w:eastAsia="Calibri"/>
        </w:rPr>
        <w:t xml:space="preserve"> </w:t>
      </w:r>
      <w:r w:rsidRPr="0071774C">
        <w:rPr>
          <w:rFonts w:eastAsia="Calibri"/>
        </w:rPr>
        <w:t>areas.</w:t>
      </w:r>
    </w:p>
    <w:p w14:paraId="0D377CF8" w14:textId="77777777" w:rsidR="002C2EC7" w:rsidRDefault="002C2EC7" w:rsidP="006337B0">
      <w:pPr>
        <w:pStyle w:val="OWBodytextafterlist"/>
        <w:spacing w:before="120" w:after="60" w:line="238" w:lineRule="auto"/>
      </w:pPr>
      <w:r w:rsidRPr="0071774C">
        <w:t>The</w:t>
      </w:r>
      <w:r>
        <w:t xml:space="preserve"> </w:t>
      </w:r>
      <w:r w:rsidRPr="0071774C">
        <w:t>report</w:t>
      </w:r>
      <w:r>
        <w:t xml:space="preserve"> </w:t>
      </w:r>
      <w:r w:rsidRPr="0071774C">
        <w:t>also</w:t>
      </w:r>
      <w:r>
        <w:t xml:space="preserve"> </w:t>
      </w:r>
      <w:r w:rsidRPr="0071774C">
        <w:t>draws</w:t>
      </w:r>
      <w:r>
        <w:t xml:space="preserve"> </w:t>
      </w:r>
      <w:r w:rsidRPr="0071774C">
        <w:t>attention</w:t>
      </w:r>
      <w:r>
        <w:t xml:space="preserve"> </w:t>
      </w:r>
      <w:r w:rsidRPr="0071774C">
        <w:t>to</w:t>
      </w:r>
      <w:r>
        <w:t xml:space="preserve"> </w:t>
      </w:r>
      <w:r w:rsidRPr="0071774C">
        <w:t>the</w:t>
      </w:r>
      <w:r>
        <w:t xml:space="preserve"> </w:t>
      </w:r>
      <w:r w:rsidRPr="0071774C">
        <w:t>need</w:t>
      </w:r>
      <w:r>
        <w:t xml:space="preserve"> </w:t>
      </w:r>
      <w:r w:rsidRPr="0071774C">
        <w:t>to</w:t>
      </w:r>
      <w:r>
        <w:t xml:space="preserve"> </w:t>
      </w:r>
      <w:r w:rsidRPr="0071774C">
        <w:t>continue</w:t>
      </w:r>
      <w:r>
        <w:t xml:space="preserve"> </w:t>
      </w:r>
      <w:r w:rsidRPr="0071774C">
        <w:t>building</w:t>
      </w:r>
      <w:r>
        <w:t xml:space="preserve"> </w:t>
      </w:r>
      <w:r w:rsidRPr="0071774C">
        <w:t>and</w:t>
      </w:r>
      <w:r>
        <w:t xml:space="preserve"> </w:t>
      </w:r>
      <w:r w:rsidRPr="0071774C">
        <w:t>extending</w:t>
      </w:r>
      <w:r>
        <w:t xml:space="preserve"> </w:t>
      </w:r>
      <w:r w:rsidRPr="0071774C">
        <w:t>a</w:t>
      </w:r>
      <w:r>
        <w:t xml:space="preserve"> </w:t>
      </w:r>
      <w:r w:rsidRPr="0071774C">
        <w:t>strong</w:t>
      </w:r>
      <w:r>
        <w:t xml:space="preserve"> </w:t>
      </w:r>
      <w:r w:rsidRPr="0071774C">
        <w:t>prevention</w:t>
      </w:r>
      <w:r>
        <w:t xml:space="preserve"> </w:t>
      </w:r>
      <w:r w:rsidRPr="0071774C">
        <w:t>infrastructure,</w:t>
      </w:r>
      <w:r>
        <w:t xml:space="preserve"> </w:t>
      </w:r>
      <w:r w:rsidRPr="0071774C">
        <w:t>including</w:t>
      </w:r>
      <w:r>
        <w:t xml:space="preserve"> </w:t>
      </w:r>
      <w:r w:rsidRPr="0071774C">
        <w:t>by:</w:t>
      </w:r>
    </w:p>
    <w:p w14:paraId="24C1FF73" w14:textId="77777777" w:rsidR="002C2EC7" w:rsidRDefault="002C2EC7" w:rsidP="006337B0">
      <w:pPr>
        <w:pStyle w:val="OWBullet1"/>
        <w:spacing w:after="40" w:line="238" w:lineRule="auto"/>
      </w:pPr>
      <w:r w:rsidRPr="0071774C">
        <w:rPr>
          <w:lang w:eastAsia="en-GB"/>
        </w:rPr>
        <w:t>Undertaking</w:t>
      </w:r>
      <w:r>
        <w:rPr>
          <w:lang w:eastAsia="en-GB"/>
        </w:rPr>
        <w:t xml:space="preserve"> </w:t>
      </w:r>
      <w:r w:rsidRPr="0071774C">
        <w:rPr>
          <w:lang w:eastAsia="en-GB"/>
        </w:rPr>
        <w:t>ongoing,</w:t>
      </w:r>
      <w:r>
        <w:rPr>
          <w:lang w:eastAsia="en-GB"/>
        </w:rPr>
        <w:t xml:space="preserve"> </w:t>
      </w:r>
      <w:r w:rsidRPr="0071774C">
        <w:rPr>
          <w:lang w:eastAsia="en-GB"/>
        </w:rPr>
        <w:t>periodic</w:t>
      </w:r>
      <w:r>
        <w:rPr>
          <w:lang w:eastAsia="en-GB"/>
        </w:rPr>
        <w:t xml:space="preserve"> </w:t>
      </w:r>
      <w:r w:rsidRPr="0071774C">
        <w:rPr>
          <w:lang w:eastAsia="en-GB"/>
        </w:rPr>
        <w:t>national</w:t>
      </w:r>
      <w:r>
        <w:rPr>
          <w:lang w:eastAsia="en-GB"/>
        </w:rPr>
        <w:t xml:space="preserve"> </w:t>
      </w:r>
      <w:r w:rsidRPr="0071774C">
        <w:rPr>
          <w:lang w:eastAsia="en-GB"/>
        </w:rPr>
        <w:t>monitoring</w:t>
      </w:r>
      <w:r>
        <w:rPr>
          <w:lang w:eastAsia="en-GB"/>
        </w:rPr>
        <w:t xml:space="preserve"> </w:t>
      </w:r>
      <w:r w:rsidRPr="0071774C">
        <w:rPr>
          <w:lang w:eastAsia="en-GB"/>
        </w:rPr>
        <w:t>of</w:t>
      </w:r>
      <w:r>
        <w:rPr>
          <w:lang w:eastAsia="en-GB"/>
        </w:rPr>
        <w:t xml:space="preserve"> </w:t>
      </w:r>
      <w:r w:rsidRPr="0071774C">
        <w:rPr>
          <w:lang w:eastAsia="en-GB"/>
        </w:rPr>
        <w:t>progress</w:t>
      </w:r>
      <w:r>
        <w:rPr>
          <w:lang w:eastAsia="en-GB"/>
        </w:rPr>
        <w:t xml:space="preserve"> </w:t>
      </w:r>
      <w:r w:rsidRPr="0071774C">
        <w:rPr>
          <w:lang w:eastAsia="en-GB"/>
        </w:rPr>
        <w:t>towards</w:t>
      </w:r>
      <w:r>
        <w:rPr>
          <w:lang w:eastAsia="en-GB"/>
        </w:rPr>
        <w:t xml:space="preserve"> </w:t>
      </w:r>
      <w:r w:rsidRPr="0071774C">
        <w:rPr>
          <w:lang w:eastAsia="en-GB"/>
        </w:rPr>
        <w:t>prevention</w:t>
      </w:r>
      <w:r>
        <w:rPr>
          <w:lang w:eastAsia="en-GB"/>
        </w:rPr>
        <w:t xml:space="preserve"> </w:t>
      </w:r>
      <w:r w:rsidRPr="0071774C">
        <w:rPr>
          <w:lang w:eastAsia="en-GB"/>
        </w:rPr>
        <w:t>–</w:t>
      </w:r>
      <w:r>
        <w:rPr>
          <w:lang w:eastAsia="en-GB"/>
        </w:rPr>
        <w:t xml:space="preserve"> </w:t>
      </w:r>
      <w:r w:rsidRPr="0071774C">
        <w:rPr>
          <w:lang w:eastAsia="en-GB"/>
        </w:rPr>
        <w:t>including</w:t>
      </w:r>
      <w:r>
        <w:rPr>
          <w:lang w:eastAsia="en-GB"/>
        </w:rPr>
        <w:t xml:space="preserve"> </w:t>
      </w:r>
      <w:r w:rsidRPr="0071774C">
        <w:rPr>
          <w:lang w:eastAsia="en-GB"/>
        </w:rPr>
        <w:t>e</w:t>
      </w:r>
      <w:r w:rsidRPr="0071774C">
        <w:t>stablishing</w:t>
      </w:r>
      <w:r>
        <w:t xml:space="preserve"> </w:t>
      </w:r>
      <w:r w:rsidRPr="0071774C">
        <w:t>a</w:t>
      </w:r>
      <w:r>
        <w:t xml:space="preserve"> </w:t>
      </w:r>
      <w:r w:rsidRPr="0071774C">
        <w:t>coordinating</w:t>
      </w:r>
      <w:r>
        <w:t xml:space="preserve"> </w:t>
      </w:r>
      <w:r w:rsidRPr="0071774C">
        <w:t>body</w:t>
      </w:r>
      <w:r>
        <w:t xml:space="preserve"> </w:t>
      </w:r>
      <w:r w:rsidRPr="0071774C">
        <w:t>or</w:t>
      </w:r>
      <w:r>
        <w:t xml:space="preserve"> </w:t>
      </w:r>
      <w:r w:rsidRPr="0071774C">
        <w:t>mechanism</w:t>
      </w:r>
      <w:r>
        <w:t xml:space="preserve"> </w:t>
      </w:r>
      <w:r w:rsidRPr="0071774C">
        <w:t>to</w:t>
      </w:r>
      <w:r>
        <w:t xml:space="preserve"> </w:t>
      </w:r>
      <w:r w:rsidRPr="0071774C">
        <w:t>undertake</w:t>
      </w:r>
      <w:r>
        <w:t xml:space="preserve"> </w:t>
      </w:r>
      <w:r w:rsidRPr="0071774C">
        <w:t>this</w:t>
      </w:r>
      <w:r>
        <w:t xml:space="preserve"> </w:t>
      </w:r>
      <w:r w:rsidRPr="0071774C">
        <w:t>monitoring</w:t>
      </w:r>
      <w:r>
        <w:t xml:space="preserve"> </w:t>
      </w:r>
      <w:r w:rsidRPr="0071774C">
        <w:t>and</w:t>
      </w:r>
      <w:r>
        <w:t xml:space="preserve"> </w:t>
      </w:r>
      <w:r w:rsidRPr="0071774C">
        <w:t>analysis</w:t>
      </w:r>
      <w:r>
        <w:t xml:space="preserve"> </w:t>
      </w:r>
      <w:r w:rsidRPr="0071774C">
        <w:t>on</w:t>
      </w:r>
      <w:r>
        <w:t xml:space="preserve"> </w:t>
      </w:r>
      <w:r w:rsidRPr="0071774C">
        <w:t>an</w:t>
      </w:r>
      <w:r>
        <w:t xml:space="preserve"> </w:t>
      </w:r>
      <w:r w:rsidRPr="0071774C">
        <w:t>ongoing</w:t>
      </w:r>
      <w:r>
        <w:t xml:space="preserve"> </w:t>
      </w:r>
      <w:r w:rsidRPr="0071774C">
        <w:t>basis.</w:t>
      </w:r>
    </w:p>
    <w:p w14:paraId="4171B1F3" w14:textId="77777777" w:rsidR="002C2EC7" w:rsidRDefault="002C2EC7" w:rsidP="006337B0">
      <w:pPr>
        <w:pStyle w:val="OWBullet1"/>
        <w:spacing w:after="40" w:line="238" w:lineRule="auto"/>
        <w:rPr>
          <w:rFonts w:eastAsia="Calibri"/>
        </w:rPr>
      </w:pPr>
      <w:r w:rsidRPr="0071774C">
        <w:rPr>
          <w:rFonts w:eastAsia="Calibri"/>
        </w:rPr>
        <w:t>Implementing</w:t>
      </w:r>
      <w:r>
        <w:rPr>
          <w:rFonts w:eastAsia="Calibri"/>
        </w:rPr>
        <w:t xml:space="preserve"> </w:t>
      </w:r>
      <w:r w:rsidRPr="0071774C">
        <w:rPr>
          <w:rFonts w:eastAsia="Calibri"/>
        </w:rPr>
        <w:t>a</w:t>
      </w:r>
      <w:r>
        <w:rPr>
          <w:rFonts w:eastAsia="Calibri"/>
        </w:rPr>
        <w:t xml:space="preserve"> </w:t>
      </w:r>
      <w:r w:rsidRPr="0071774C">
        <w:rPr>
          <w:rFonts w:eastAsia="Calibri"/>
        </w:rPr>
        <w:t>national</w:t>
      </w:r>
      <w:r>
        <w:rPr>
          <w:rFonts w:eastAsia="Calibri"/>
        </w:rPr>
        <w:t xml:space="preserve"> </w:t>
      </w:r>
      <w:r w:rsidRPr="0071774C">
        <w:rPr>
          <w:rFonts w:eastAsia="Calibri"/>
        </w:rPr>
        <w:t>workforce</w:t>
      </w:r>
      <w:r>
        <w:rPr>
          <w:rFonts w:eastAsia="Calibri"/>
        </w:rPr>
        <w:t xml:space="preserve"> </w:t>
      </w:r>
      <w:r w:rsidRPr="0071774C">
        <w:rPr>
          <w:rFonts w:eastAsia="Calibri"/>
        </w:rPr>
        <w:t>development</w:t>
      </w:r>
      <w:r>
        <w:rPr>
          <w:rFonts w:eastAsia="Calibri"/>
        </w:rPr>
        <w:t xml:space="preserve"> </w:t>
      </w:r>
      <w:r w:rsidRPr="0071774C">
        <w:rPr>
          <w:rFonts w:eastAsia="Calibri"/>
        </w:rPr>
        <w:t>strategy,</w:t>
      </w:r>
      <w:r>
        <w:rPr>
          <w:rFonts w:eastAsia="Calibri"/>
        </w:rPr>
        <w:t xml:space="preserve"> </w:t>
      </w:r>
      <w:r w:rsidRPr="0071774C">
        <w:rPr>
          <w:rFonts w:eastAsia="Calibri"/>
        </w:rPr>
        <w:t>including</w:t>
      </w:r>
      <w:r>
        <w:rPr>
          <w:rFonts w:eastAsia="Calibri"/>
        </w:rPr>
        <w:t xml:space="preserve"> </w:t>
      </w:r>
      <w:r w:rsidRPr="0071774C">
        <w:rPr>
          <w:rFonts w:eastAsia="Calibri"/>
        </w:rPr>
        <w:t>processes</w:t>
      </w:r>
      <w:r>
        <w:rPr>
          <w:rFonts w:eastAsia="Calibri"/>
        </w:rPr>
        <w:t xml:space="preserve"> </w:t>
      </w:r>
      <w:r w:rsidRPr="0071774C">
        <w:rPr>
          <w:rFonts w:eastAsia="Calibri"/>
        </w:rPr>
        <w:t>for</w:t>
      </w:r>
      <w:r>
        <w:rPr>
          <w:rFonts w:eastAsia="Calibri"/>
        </w:rPr>
        <w:t xml:space="preserve"> </w:t>
      </w:r>
      <w:r w:rsidRPr="0071774C">
        <w:rPr>
          <w:rFonts w:eastAsia="Calibri"/>
        </w:rPr>
        <w:t>coordination</w:t>
      </w:r>
      <w:r>
        <w:rPr>
          <w:rFonts w:eastAsia="Calibri"/>
        </w:rPr>
        <w:t xml:space="preserve"> </w:t>
      </w:r>
      <w:r w:rsidRPr="0071774C">
        <w:rPr>
          <w:rFonts w:eastAsia="Calibri"/>
        </w:rPr>
        <w:t>and</w:t>
      </w:r>
      <w:r>
        <w:rPr>
          <w:rFonts w:eastAsia="Calibri"/>
        </w:rPr>
        <w:t xml:space="preserve"> </w:t>
      </w:r>
      <w:r w:rsidRPr="0071774C">
        <w:rPr>
          <w:rFonts w:eastAsia="Calibri"/>
        </w:rPr>
        <w:t>mechanisms</w:t>
      </w:r>
      <w:r>
        <w:rPr>
          <w:rFonts w:eastAsia="Calibri"/>
        </w:rPr>
        <w:t xml:space="preserve"> </w:t>
      </w:r>
      <w:r w:rsidRPr="0071774C">
        <w:rPr>
          <w:rFonts w:eastAsia="Calibri"/>
        </w:rPr>
        <w:t>to</w:t>
      </w:r>
      <w:r>
        <w:rPr>
          <w:rFonts w:eastAsia="Calibri"/>
        </w:rPr>
        <w:t xml:space="preserve"> </w:t>
      </w:r>
      <w:r w:rsidRPr="0071774C">
        <w:rPr>
          <w:rFonts w:eastAsia="Calibri"/>
        </w:rPr>
        <w:t>bring</w:t>
      </w:r>
      <w:r>
        <w:rPr>
          <w:rFonts w:eastAsia="Calibri"/>
        </w:rPr>
        <w:t xml:space="preserve"> </w:t>
      </w:r>
      <w:r w:rsidRPr="0071774C">
        <w:rPr>
          <w:rFonts w:eastAsia="Calibri"/>
        </w:rPr>
        <w:t>together</w:t>
      </w:r>
      <w:r>
        <w:rPr>
          <w:rFonts w:eastAsia="Calibri"/>
        </w:rPr>
        <w:t xml:space="preserve"> </w:t>
      </w:r>
      <w:r w:rsidRPr="0071774C">
        <w:rPr>
          <w:rFonts w:eastAsia="Calibri"/>
        </w:rPr>
        <w:t>key</w:t>
      </w:r>
      <w:r>
        <w:rPr>
          <w:rFonts w:eastAsia="Calibri"/>
        </w:rPr>
        <w:t xml:space="preserve"> </w:t>
      </w:r>
      <w:r w:rsidRPr="0071774C">
        <w:rPr>
          <w:rFonts w:eastAsia="Calibri"/>
        </w:rPr>
        <w:t>stakeholders</w:t>
      </w:r>
      <w:r>
        <w:rPr>
          <w:rFonts w:eastAsia="Calibri"/>
        </w:rPr>
        <w:t xml:space="preserve"> </w:t>
      </w:r>
      <w:r w:rsidRPr="0071774C">
        <w:rPr>
          <w:rFonts w:eastAsia="Calibri"/>
        </w:rPr>
        <w:t>to</w:t>
      </w:r>
      <w:r>
        <w:rPr>
          <w:rFonts w:eastAsia="Calibri"/>
        </w:rPr>
        <w:t xml:space="preserve"> </w:t>
      </w:r>
      <w:r w:rsidRPr="0071774C">
        <w:rPr>
          <w:rFonts w:eastAsia="Calibri"/>
        </w:rPr>
        <w:t>inform</w:t>
      </w:r>
      <w:r>
        <w:rPr>
          <w:rFonts w:eastAsia="Calibri"/>
        </w:rPr>
        <w:t xml:space="preserve"> </w:t>
      </w:r>
      <w:r w:rsidRPr="0071774C">
        <w:rPr>
          <w:rFonts w:eastAsia="Calibri"/>
        </w:rPr>
        <w:t>and</w:t>
      </w:r>
      <w:r>
        <w:rPr>
          <w:rFonts w:eastAsia="Calibri"/>
        </w:rPr>
        <w:t xml:space="preserve"> </w:t>
      </w:r>
      <w:r w:rsidRPr="0071774C">
        <w:rPr>
          <w:rFonts w:eastAsia="Calibri"/>
        </w:rPr>
        <w:t>contribute</w:t>
      </w:r>
      <w:r>
        <w:rPr>
          <w:rFonts w:eastAsia="Calibri"/>
        </w:rPr>
        <w:t xml:space="preserve"> </w:t>
      </w:r>
      <w:r w:rsidRPr="0071774C">
        <w:rPr>
          <w:rFonts w:eastAsia="Calibri"/>
        </w:rPr>
        <w:t>to</w:t>
      </w:r>
      <w:r>
        <w:rPr>
          <w:rFonts w:eastAsia="Calibri"/>
        </w:rPr>
        <w:t xml:space="preserve"> </w:t>
      </w:r>
      <w:r w:rsidRPr="0071774C">
        <w:rPr>
          <w:rFonts w:eastAsia="Calibri"/>
        </w:rPr>
        <w:t>the</w:t>
      </w:r>
      <w:r>
        <w:rPr>
          <w:rFonts w:eastAsia="Calibri"/>
        </w:rPr>
        <w:t xml:space="preserve"> </w:t>
      </w:r>
      <w:r w:rsidRPr="0071774C">
        <w:rPr>
          <w:rFonts w:eastAsia="Calibri"/>
        </w:rPr>
        <w:t>development</w:t>
      </w:r>
      <w:r>
        <w:rPr>
          <w:rFonts w:eastAsia="Calibri"/>
        </w:rPr>
        <w:t xml:space="preserve"> </w:t>
      </w:r>
      <w:r w:rsidRPr="0071774C">
        <w:rPr>
          <w:rFonts w:eastAsia="Calibri"/>
        </w:rPr>
        <w:t>of</w:t>
      </w:r>
      <w:r>
        <w:rPr>
          <w:rFonts w:eastAsia="Calibri"/>
        </w:rPr>
        <w:t xml:space="preserve"> </w:t>
      </w:r>
      <w:r w:rsidRPr="0071774C">
        <w:rPr>
          <w:rFonts w:eastAsia="Calibri"/>
        </w:rPr>
        <w:t>the</w:t>
      </w:r>
      <w:r>
        <w:rPr>
          <w:rFonts w:eastAsia="Calibri"/>
        </w:rPr>
        <w:t xml:space="preserve"> </w:t>
      </w:r>
      <w:r w:rsidRPr="0071774C">
        <w:rPr>
          <w:rFonts w:eastAsia="Calibri"/>
        </w:rPr>
        <w:t>primary</w:t>
      </w:r>
      <w:r>
        <w:rPr>
          <w:rFonts w:eastAsia="Calibri"/>
        </w:rPr>
        <w:t xml:space="preserve"> </w:t>
      </w:r>
      <w:r w:rsidRPr="0071774C">
        <w:rPr>
          <w:rFonts w:eastAsia="Calibri"/>
        </w:rPr>
        <w:t>prevention</w:t>
      </w:r>
      <w:r>
        <w:rPr>
          <w:rFonts w:eastAsia="Calibri"/>
        </w:rPr>
        <w:t xml:space="preserve"> </w:t>
      </w:r>
      <w:r w:rsidRPr="0071774C">
        <w:rPr>
          <w:rFonts w:eastAsia="Calibri"/>
        </w:rPr>
        <w:t>workforce.</w:t>
      </w:r>
    </w:p>
    <w:p w14:paraId="41C48295" w14:textId="77777777" w:rsidR="002C2EC7" w:rsidRDefault="002C2EC7" w:rsidP="008123A4">
      <w:pPr>
        <w:pStyle w:val="OWBullet1"/>
        <w:keepLines/>
        <w:spacing w:after="40" w:line="238" w:lineRule="auto"/>
        <w:rPr>
          <w:lang w:eastAsia="en-GB"/>
        </w:rPr>
      </w:pPr>
      <w:r w:rsidRPr="0071774C">
        <w:rPr>
          <w:lang w:eastAsia="en-GB"/>
        </w:rPr>
        <w:lastRenderedPageBreak/>
        <w:t>Moving</w:t>
      </w:r>
      <w:r>
        <w:rPr>
          <w:lang w:eastAsia="en-GB"/>
        </w:rPr>
        <w:t xml:space="preserve"> </w:t>
      </w:r>
      <w:r w:rsidRPr="0071774C">
        <w:rPr>
          <w:lang w:eastAsia="en-GB"/>
        </w:rPr>
        <w:t>towards</w:t>
      </w:r>
      <w:r>
        <w:rPr>
          <w:lang w:eastAsia="en-GB"/>
        </w:rPr>
        <w:t xml:space="preserve"> </w:t>
      </w:r>
      <w:r w:rsidRPr="0071774C">
        <w:rPr>
          <w:lang w:eastAsia="en-GB"/>
        </w:rPr>
        <w:t>longer-term</w:t>
      </w:r>
      <w:r>
        <w:rPr>
          <w:lang w:eastAsia="en-GB"/>
        </w:rPr>
        <w:t xml:space="preserve"> </w:t>
      </w:r>
      <w:r w:rsidRPr="0071774C">
        <w:rPr>
          <w:lang w:eastAsia="en-GB"/>
        </w:rPr>
        <w:t>and</w:t>
      </w:r>
      <w:r>
        <w:rPr>
          <w:lang w:eastAsia="en-GB"/>
        </w:rPr>
        <w:t xml:space="preserve"> </w:t>
      </w:r>
      <w:r w:rsidRPr="0071774C">
        <w:rPr>
          <w:lang w:eastAsia="en-GB"/>
        </w:rPr>
        <w:t>ongoing</w:t>
      </w:r>
      <w:r>
        <w:rPr>
          <w:lang w:eastAsia="en-GB"/>
        </w:rPr>
        <w:t xml:space="preserve"> </w:t>
      </w:r>
      <w:r w:rsidRPr="0071774C">
        <w:rPr>
          <w:lang w:eastAsia="en-GB"/>
        </w:rPr>
        <w:t>funding</w:t>
      </w:r>
      <w:r>
        <w:rPr>
          <w:lang w:eastAsia="en-GB"/>
        </w:rPr>
        <w:t xml:space="preserve"> </w:t>
      </w:r>
      <w:r w:rsidRPr="0071774C">
        <w:rPr>
          <w:lang w:eastAsia="en-GB"/>
        </w:rPr>
        <w:t>for</w:t>
      </w:r>
      <w:r>
        <w:rPr>
          <w:lang w:eastAsia="en-GB"/>
        </w:rPr>
        <w:t xml:space="preserve"> </w:t>
      </w:r>
      <w:r w:rsidRPr="0071774C">
        <w:rPr>
          <w:lang w:eastAsia="en-GB"/>
        </w:rPr>
        <w:t>primary</w:t>
      </w:r>
      <w:r>
        <w:rPr>
          <w:lang w:eastAsia="en-GB"/>
        </w:rPr>
        <w:t xml:space="preserve"> </w:t>
      </w:r>
      <w:r w:rsidRPr="0071774C">
        <w:rPr>
          <w:lang w:eastAsia="en-GB"/>
        </w:rPr>
        <w:t>prevention</w:t>
      </w:r>
      <w:r>
        <w:rPr>
          <w:lang w:eastAsia="en-GB"/>
        </w:rPr>
        <w:t xml:space="preserve"> </w:t>
      </w:r>
      <w:r w:rsidRPr="0071774C">
        <w:rPr>
          <w:lang w:eastAsia="en-GB"/>
        </w:rPr>
        <w:t>programs</w:t>
      </w:r>
      <w:r>
        <w:rPr>
          <w:lang w:eastAsia="en-GB"/>
        </w:rPr>
        <w:t xml:space="preserve"> </w:t>
      </w:r>
      <w:r w:rsidRPr="0071774C">
        <w:rPr>
          <w:lang w:eastAsia="en-GB"/>
        </w:rPr>
        <w:t>and</w:t>
      </w:r>
      <w:r>
        <w:rPr>
          <w:lang w:eastAsia="en-GB"/>
        </w:rPr>
        <w:t xml:space="preserve"> </w:t>
      </w:r>
      <w:r w:rsidRPr="0071774C">
        <w:rPr>
          <w:lang w:eastAsia="en-GB"/>
        </w:rPr>
        <w:t>activities,</w:t>
      </w:r>
      <w:r>
        <w:rPr>
          <w:lang w:eastAsia="en-GB"/>
        </w:rPr>
        <w:t xml:space="preserve"> </w:t>
      </w:r>
      <w:r w:rsidRPr="0071774C">
        <w:rPr>
          <w:lang w:eastAsia="en-GB"/>
        </w:rPr>
        <w:t>so</w:t>
      </w:r>
      <w:r>
        <w:rPr>
          <w:lang w:eastAsia="en-GB"/>
        </w:rPr>
        <w:t xml:space="preserve"> </w:t>
      </w:r>
      <w:r w:rsidRPr="0071774C">
        <w:rPr>
          <w:lang w:eastAsia="en-GB"/>
        </w:rPr>
        <w:t>that</w:t>
      </w:r>
      <w:r>
        <w:rPr>
          <w:lang w:eastAsia="en-GB"/>
        </w:rPr>
        <w:t xml:space="preserve"> </w:t>
      </w:r>
      <w:r w:rsidRPr="0071774C">
        <w:rPr>
          <w:lang w:eastAsia="en-GB"/>
        </w:rPr>
        <w:t>funding</w:t>
      </w:r>
      <w:r>
        <w:rPr>
          <w:lang w:eastAsia="en-GB"/>
        </w:rPr>
        <w:t xml:space="preserve"> </w:t>
      </w:r>
      <w:r w:rsidRPr="0071774C">
        <w:rPr>
          <w:lang w:eastAsia="en-GB"/>
        </w:rPr>
        <w:t>terms</w:t>
      </w:r>
      <w:r>
        <w:rPr>
          <w:lang w:eastAsia="en-GB"/>
        </w:rPr>
        <w:t xml:space="preserve"> </w:t>
      </w:r>
      <w:r w:rsidRPr="0071774C">
        <w:rPr>
          <w:lang w:eastAsia="en-GB"/>
        </w:rPr>
        <w:t>reflect</w:t>
      </w:r>
      <w:r>
        <w:rPr>
          <w:lang w:eastAsia="en-GB"/>
        </w:rPr>
        <w:t xml:space="preserve"> </w:t>
      </w:r>
      <w:r w:rsidRPr="0071774C">
        <w:rPr>
          <w:lang w:eastAsia="en-GB"/>
        </w:rPr>
        <w:t>the</w:t>
      </w:r>
      <w:r>
        <w:rPr>
          <w:lang w:eastAsia="en-GB"/>
        </w:rPr>
        <w:t xml:space="preserve"> </w:t>
      </w:r>
      <w:r w:rsidRPr="0071774C">
        <w:rPr>
          <w:lang w:eastAsia="en-GB"/>
        </w:rPr>
        <w:t>time</w:t>
      </w:r>
      <w:r>
        <w:rPr>
          <w:lang w:eastAsia="en-GB"/>
        </w:rPr>
        <w:t xml:space="preserve"> </w:t>
      </w:r>
      <w:r w:rsidRPr="0071774C">
        <w:rPr>
          <w:lang w:eastAsia="en-GB"/>
        </w:rPr>
        <w:t>periods</w:t>
      </w:r>
      <w:r>
        <w:rPr>
          <w:lang w:eastAsia="en-GB"/>
        </w:rPr>
        <w:t xml:space="preserve"> </w:t>
      </w:r>
      <w:r w:rsidRPr="0071774C">
        <w:rPr>
          <w:lang w:eastAsia="en-GB"/>
        </w:rPr>
        <w:t>of</w:t>
      </w:r>
      <w:r>
        <w:rPr>
          <w:lang w:eastAsia="en-GB"/>
        </w:rPr>
        <w:t xml:space="preserve"> </w:t>
      </w:r>
      <w:r w:rsidRPr="0071774C">
        <w:rPr>
          <w:lang w:eastAsia="en-GB"/>
        </w:rPr>
        <w:t>the</w:t>
      </w:r>
      <w:r>
        <w:rPr>
          <w:lang w:eastAsia="en-GB"/>
        </w:rPr>
        <w:t xml:space="preserve"> </w:t>
      </w:r>
      <w:r w:rsidRPr="0071774C">
        <w:rPr>
          <w:lang w:eastAsia="en-GB"/>
        </w:rPr>
        <w:t>frameworks</w:t>
      </w:r>
      <w:r>
        <w:rPr>
          <w:lang w:eastAsia="en-GB"/>
        </w:rPr>
        <w:t xml:space="preserve"> </w:t>
      </w:r>
      <w:r w:rsidRPr="0071774C">
        <w:rPr>
          <w:lang w:eastAsia="en-GB"/>
        </w:rPr>
        <w:t>and</w:t>
      </w:r>
      <w:r>
        <w:rPr>
          <w:lang w:eastAsia="en-GB"/>
        </w:rPr>
        <w:t xml:space="preserve"> </w:t>
      </w:r>
      <w:r w:rsidRPr="0071774C">
        <w:rPr>
          <w:lang w:eastAsia="en-GB"/>
        </w:rPr>
        <w:t>plans</w:t>
      </w:r>
      <w:r>
        <w:rPr>
          <w:lang w:eastAsia="en-GB"/>
        </w:rPr>
        <w:t xml:space="preserve"> </w:t>
      </w:r>
      <w:r w:rsidRPr="0071774C">
        <w:rPr>
          <w:lang w:eastAsia="en-GB"/>
        </w:rPr>
        <w:t>under</w:t>
      </w:r>
      <w:r>
        <w:rPr>
          <w:lang w:eastAsia="en-GB"/>
        </w:rPr>
        <w:t xml:space="preserve"> </w:t>
      </w:r>
      <w:r w:rsidRPr="0071774C">
        <w:rPr>
          <w:lang w:eastAsia="en-GB"/>
        </w:rPr>
        <w:t>which</w:t>
      </w:r>
      <w:r>
        <w:rPr>
          <w:lang w:eastAsia="en-GB"/>
        </w:rPr>
        <w:t xml:space="preserve"> </w:t>
      </w:r>
      <w:r w:rsidRPr="0071774C">
        <w:rPr>
          <w:lang w:eastAsia="en-GB"/>
        </w:rPr>
        <w:t>they</w:t>
      </w:r>
      <w:r>
        <w:rPr>
          <w:lang w:eastAsia="en-GB"/>
        </w:rPr>
        <w:t xml:space="preserve"> </w:t>
      </w:r>
      <w:r w:rsidRPr="0071774C">
        <w:rPr>
          <w:lang w:eastAsia="en-GB"/>
        </w:rPr>
        <w:t>are</w:t>
      </w:r>
      <w:r>
        <w:rPr>
          <w:lang w:eastAsia="en-GB"/>
        </w:rPr>
        <w:t xml:space="preserve"> </w:t>
      </w:r>
      <w:r w:rsidRPr="0071774C">
        <w:rPr>
          <w:lang w:eastAsia="en-GB"/>
        </w:rPr>
        <w:t>funded</w:t>
      </w:r>
      <w:r>
        <w:rPr>
          <w:lang w:eastAsia="en-GB"/>
        </w:rPr>
        <w:t xml:space="preserve"> </w:t>
      </w:r>
      <w:r w:rsidRPr="0071774C">
        <w:rPr>
          <w:lang w:eastAsia="en-GB"/>
        </w:rPr>
        <w:t>(such</w:t>
      </w:r>
      <w:r>
        <w:rPr>
          <w:lang w:eastAsia="en-GB"/>
        </w:rPr>
        <w:t xml:space="preserve"> </w:t>
      </w:r>
      <w:r w:rsidRPr="0071774C">
        <w:rPr>
          <w:lang w:eastAsia="en-GB"/>
        </w:rPr>
        <w:t>as</w:t>
      </w:r>
      <w:r>
        <w:rPr>
          <w:lang w:eastAsia="en-GB"/>
        </w:rPr>
        <w:t xml:space="preserve"> </w:t>
      </w:r>
      <w:r w:rsidRPr="0071774C">
        <w:rPr>
          <w:lang w:eastAsia="en-GB"/>
        </w:rPr>
        <w:t>the</w:t>
      </w:r>
      <w:r>
        <w:rPr>
          <w:lang w:eastAsia="en-GB"/>
        </w:rPr>
        <w:t xml:space="preserve"> </w:t>
      </w:r>
      <w:r w:rsidRPr="0071774C">
        <w:rPr>
          <w:lang w:eastAsia="en-GB"/>
        </w:rPr>
        <w:t>12-year</w:t>
      </w:r>
      <w:r>
        <w:rPr>
          <w:lang w:eastAsia="en-GB"/>
        </w:rPr>
        <w:t xml:space="preserve"> </w:t>
      </w:r>
      <w:r w:rsidRPr="0071774C">
        <w:rPr>
          <w:lang w:eastAsia="en-GB"/>
        </w:rPr>
        <w:t>period</w:t>
      </w:r>
      <w:r>
        <w:rPr>
          <w:lang w:eastAsia="en-GB"/>
        </w:rPr>
        <w:t xml:space="preserve"> </w:t>
      </w:r>
      <w:r w:rsidRPr="0071774C">
        <w:rPr>
          <w:lang w:eastAsia="en-GB"/>
        </w:rPr>
        <w:t>covered</w:t>
      </w:r>
      <w:r>
        <w:rPr>
          <w:lang w:eastAsia="en-GB"/>
        </w:rPr>
        <w:t xml:space="preserve"> </w:t>
      </w:r>
      <w:r w:rsidRPr="0071774C">
        <w:rPr>
          <w:lang w:eastAsia="en-GB"/>
        </w:rPr>
        <w:t>by</w:t>
      </w:r>
      <w:r>
        <w:rPr>
          <w:lang w:eastAsia="en-GB"/>
        </w:rPr>
        <w:t xml:space="preserve"> </w:t>
      </w:r>
      <w:r w:rsidRPr="0071774C">
        <w:rPr>
          <w:lang w:eastAsia="en-GB"/>
        </w:rPr>
        <w:t>the</w:t>
      </w:r>
      <w:r>
        <w:rPr>
          <w:lang w:eastAsia="en-GB"/>
        </w:rPr>
        <w:t xml:space="preserve"> </w:t>
      </w:r>
      <w:r w:rsidRPr="0071774C">
        <w:rPr>
          <w:lang w:eastAsia="en-GB"/>
        </w:rPr>
        <w:t>current</w:t>
      </w:r>
      <w:r>
        <w:rPr>
          <w:lang w:eastAsia="en-GB"/>
        </w:rPr>
        <w:t xml:space="preserve"> </w:t>
      </w:r>
      <w:r w:rsidRPr="0071774C">
        <w:rPr>
          <w:lang w:eastAsia="en-GB"/>
        </w:rPr>
        <w:t>National</w:t>
      </w:r>
      <w:r>
        <w:rPr>
          <w:lang w:eastAsia="en-GB"/>
        </w:rPr>
        <w:t xml:space="preserve"> </w:t>
      </w:r>
      <w:r w:rsidRPr="0071774C">
        <w:rPr>
          <w:lang w:eastAsia="en-GB"/>
        </w:rPr>
        <w:t>Plan),</w:t>
      </w:r>
      <w:r>
        <w:rPr>
          <w:lang w:eastAsia="en-GB"/>
        </w:rPr>
        <w:t xml:space="preserve"> </w:t>
      </w:r>
      <w:r w:rsidRPr="0071774C">
        <w:rPr>
          <w:lang w:eastAsia="en-GB"/>
        </w:rPr>
        <w:t>in</w:t>
      </w:r>
      <w:r>
        <w:rPr>
          <w:lang w:eastAsia="en-GB"/>
        </w:rPr>
        <w:t xml:space="preserve"> </w:t>
      </w:r>
      <w:r w:rsidRPr="0071774C">
        <w:rPr>
          <w:lang w:eastAsia="en-GB"/>
        </w:rPr>
        <w:t>order</w:t>
      </w:r>
      <w:r>
        <w:rPr>
          <w:lang w:eastAsia="en-GB"/>
        </w:rPr>
        <w:t xml:space="preserve"> </w:t>
      </w:r>
      <w:r w:rsidRPr="0071774C">
        <w:rPr>
          <w:lang w:eastAsia="en-GB"/>
        </w:rPr>
        <w:t>to</w:t>
      </w:r>
      <w:r>
        <w:rPr>
          <w:lang w:eastAsia="en-GB"/>
        </w:rPr>
        <w:t xml:space="preserve"> </w:t>
      </w:r>
      <w:r w:rsidRPr="0071774C">
        <w:rPr>
          <w:lang w:eastAsia="en-GB"/>
        </w:rPr>
        <w:t>support</w:t>
      </w:r>
      <w:r>
        <w:rPr>
          <w:lang w:eastAsia="en-GB"/>
        </w:rPr>
        <w:t xml:space="preserve"> </w:t>
      </w:r>
      <w:r w:rsidRPr="0071774C">
        <w:rPr>
          <w:lang w:eastAsia="en-GB"/>
        </w:rPr>
        <w:t>the</w:t>
      </w:r>
      <w:r>
        <w:rPr>
          <w:lang w:eastAsia="en-GB"/>
        </w:rPr>
        <w:t xml:space="preserve"> </w:t>
      </w:r>
      <w:r w:rsidRPr="0071774C">
        <w:rPr>
          <w:lang w:eastAsia="en-GB"/>
        </w:rPr>
        <w:t>sustained</w:t>
      </w:r>
      <w:r>
        <w:rPr>
          <w:lang w:eastAsia="en-GB"/>
        </w:rPr>
        <w:t xml:space="preserve"> </w:t>
      </w:r>
      <w:r w:rsidRPr="0071774C">
        <w:rPr>
          <w:lang w:eastAsia="en-GB"/>
        </w:rPr>
        <w:t>long-term</w:t>
      </w:r>
      <w:r>
        <w:rPr>
          <w:lang w:eastAsia="en-GB"/>
        </w:rPr>
        <w:t xml:space="preserve"> </w:t>
      </w:r>
      <w:r w:rsidRPr="0071774C">
        <w:rPr>
          <w:lang w:eastAsia="en-GB"/>
        </w:rPr>
        <w:t>work</w:t>
      </w:r>
      <w:r>
        <w:rPr>
          <w:lang w:eastAsia="en-GB"/>
        </w:rPr>
        <w:t xml:space="preserve"> </w:t>
      </w:r>
      <w:r w:rsidRPr="0071774C">
        <w:rPr>
          <w:lang w:eastAsia="en-GB"/>
        </w:rPr>
        <w:t>that</w:t>
      </w:r>
      <w:r>
        <w:rPr>
          <w:lang w:eastAsia="en-GB"/>
        </w:rPr>
        <w:t xml:space="preserve"> </w:t>
      </w:r>
      <w:r w:rsidRPr="0071774C">
        <w:rPr>
          <w:lang w:eastAsia="en-GB"/>
        </w:rPr>
        <w:t>these</w:t>
      </w:r>
      <w:r>
        <w:rPr>
          <w:lang w:eastAsia="en-GB"/>
        </w:rPr>
        <w:t xml:space="preserve"> </w:t>
      </w:r>
      <w:r w:rsidRPr="0071774C">
        <w:rPr>
          <w:lang w:eastAsia="en-GB"/>
        </w:rPr>
        <w:t>plans</w:t>
      </w:r>
      <w:r>
        <w:rPr>
          <w:lang w:eastAsia="en-GB"/>
        </w:rPr>
        <w:t xml:space="preserve"> </w:t>
      </w:r>
      <w:r w:rsidRPr="0071774C">
        <w:rPr>
          <w:lang w:eastAsia="en-GB"/>
        </w:rPr>
        <w:t>recognise</w:t>
      </w:r>
      <w:r>
        <w:rPr>
          <w:lang w:eastAsia="en-GB"/>
        </w:rPr>
        <w:t xml:space="preserve"> </w:t>
      </w:r>
      <w:r w:rsidRPr="0071774C">
        <w:rPr>
          <w:lang w:eastAsia="en-GB"/>
        </w:rPr>
        <w:t>to</w:t>
      </w:r>
      <w:r>
        <w:rPr>
          <w:lang w:eastAsia="en-GB"/>
        </w:rPr>
        <w:t xml:space="preserve"> </w:t>
      </w:r>
      <w:r w:rsidRPr="0071774C">
        <w:rPr>
          <w:lang w:eastAsia="en-GB"/>
        </w:rPr>
        <w:t>be</w:t>
      </w:r>
      <w:r>
        <w:rPr>
          <w:lang w:eastAsia="en-GB"/>
        </w:rPr>
        <w:t xml:space="preserve"> </w:t>
      </w:r>
      <w:r w:rsidRPr="0071774C">
        <w:rPr>
          <w:lang w:eastAsia="en-GB"/>
        </w:rPr>
        <w:t>necessary</w:t>
      </w:r>
      <w:r>
        <w:rPr>
          <w:lang w:eastAsia="en-GB"/>
        </w:rPr>
        <w:t xml:space="preserve"> </w:t>
      </w:r>
      <w:r w:rsidRPr="0071774C">
        <w:rPr>
          <w:lang w:eastAsia="en-GB"/>
        </w:rPr>
        <w:t>to</w:t>
      </w:r>
      <w:r>
        <w:rPr>
          <w:lang w:eastAsia="en-GB"/>
        </w:rPr>
        <w:t xml:space="preserve"> </w:t>
      </w:r>
      <w:r w:rsidRPr="0071774C">
        <w:rPr>
          <w:lang w:eastAsia="en-GB"/>
        </w:rPr>
        <w:t>prevent</w:t>
      </w:r>
      <w:r>
        <w:rPr>
          <w:lang w:eastAsia="en-GB"/>
        </w:rPr>
        <w:t xml:space="preserve"> </w:t>
      </w:r>
      <w:r w:rsidRPr="0071774C">
        <w:rPr>
          <w:lang w:eastAsia="en-GB"/>
        </w:rPr>
        <w:t>violence</w:t>
      </w:r>
      <w:r>
        <w:rPr>
          <w:lang w:eastAsia="en-GB"/>
        </w:rPr>
        <w:t xml:space="preserve"> </w:t>
      </w:r>
      <w:r w:rsidRPr="0071774C">
        <w:rPr>
          <w:lang w:eastAsia="en-GB"/>
        </w:rPr>
        <w:t>against</w:t>
      </w:r>
      <w:r>
        <w:rPr>
          <w:lang w:eastAsia="en-GB"/>
        </w:rPr>
        <w:t xml:space="preserve"> </w:t>
      </w:r>
      <w:r w:rsidRPr="0071774C">
        <w:rPr>
          <w:lang w:eastAsia="en-GB"/>
        </w:rPr>
        <w:t>women.</w:t>
      </w:r>
    </w:p>
    <w:p w14:paraId="2AD256A9" w14:textId="44089329" w:rsidR="002C2EC7" w:rsidRPr="0071774C" w:rsidRDefault="002C2EC7" w:rsidP="006337B0">
      <w:pPr>
        <w:pStyle w:val="OWBullet1"/>
        <w:spacing w:after="40" w:line="238" w:lineRule="auto"/>
        <w:rPr>
          <w:rFonts w:eastAsia="Calibri"/>
        </w:rPr>
      </w:pPr>
      <w:r w:rsidRPr="0071774C">
        <w:rPr>
          <w:rFonts w:eastAsia="Calibri"/>
        </w:rPr>
        <w:t>Increased</w:t>
      </w:r>
      <w:r>
        <w:rPr>
          <w:rFonts w:eastAsia="Calibri"/>
        </w:rPr>
        <w:t xml:space="preserve"> </w:t>
      </w:r>
      <w:r w:rsidRPr="0071774C">
        <w:rPr>
          <w:rFonts w:eastAsia="Calibri"/>
        </w:rPr>
        <w:t>attention</w:t>
      </w:r>
      <w:r>
        <w:rPr>
          <w:rFonts w:eastAsia="Calibri"/>
        </w:rPr>
        <w:t xml:space="preserve"> </w:t>
      </w:r>
      <w:r w:rsidRPr="0071774C">
        <w:rPr>
          <w:rFonts w:eastAsia="Calibri"/>
        </w:rPr>
        <w:t>to,</w:t>
      </w:r>
      <w:r>
        <w:rPr>
          <w:rFonts w:eastAsia="Calibri"/>
        </w:rPr>
        <w:t xml:space="preserve"> </w:t>
      </w:r>
      <w:r w:rsidRPr="0071774C">
        <w:rPr>
          <w:rFonts w:eastAsia="Calibri"/>
        </w:rPr>
        <w:t>and</w:t>
      </w:r>
      <w:r>
        <w:rPr>
          <w:rFonts w:eastAsia="Calibri"/>
        </w:rPr>
        <w:t xml:space="preserve"> </w:t>
      </w:r>
      <w:r w:rsidRPr="0071774C">
        <w:rPr>
          <w:rFonts w:eastAsia="Calibri"/>
        </w:rPr>
        <w:t>investment</w:t>
      </w:r>
      <w:r>
        <w:rPr>
          <w:rFonts w:eastAsia="Calibri"/>
        </w:rPr>
        <w:t xml:space="preserve"> </w:t>
      </w:r>
      <w:r w:rsidRPr="0071774C">
        <w:rPr>
          <w:rFonts w:eastAsia="Calibri"/>
        </w:rPr>
        <w:t>in,</w:t>
      </w:r>
      <w:r>
        <w:rPr>
          <w:rFonts w:eastAsia="Calibri"/>
        </w:rPr>
        <w:t xml:space="preserve"> </w:t>
      </w:r>
      <w:r w:rsidRPr="0071774C">
        <w:rPr>
          <w:rFonts w:eastAsia="Calibri"/>
        </w:rPr>
        <w:t>transforming</w:t>
      </w:r>
      <w:r>
        <w:rPr>
          <w:rFonts w:eastAsia="Calibri"/>
        </w:rPr>
        <w:t xml:space="preserve"> </w:t>
      </w:r>
      <w:r w:rsidRPr="0071774C">
        <w:rPr>
          <w:rFonts w:eastAsia="Calibri"/>
        </w:rPr>
        <w:t>systemic</w:t>
      </w:r>
      <w:r>
        <w:rPr>
          <w:rFonts w:eastAsia="Calibri"/>
        </w:rPr>
        <w:t xml:space="preserve"> </w:t>
      </w:r>
      <w:r w:rsidRPr="0071774C">
        <w:rPr>
          <w:rFonts w:eastAsia="Calibri"/>
        </w:rPr>
        <w:t>and</w:t>
      </w:r>
      <w:r>
        <w:rPr>
          <w:rFonts w:eastAsia="Calibri"/>
        </w:rPr>
        <w:t xml:space="preserve"> </w:t>
      </w:r>
      <w:r w:rsidRPr="0071774C">
        <w:rPr>
          <w:rFonts w:eastAsia="Calibri"/>
        </w:rPr>
        <w:t>structural</w:t>
      </w:r>
      <w:r>
        <w:rPr>
          <w:rFonts w:eastAsia="Calibri"/>
        </w:rPr>
        <w:t xml:space="preserve"> </w:t>
      </w:r>
      <w:r w:rsidRPr="0071774C">
        <w:rPr>
          <w:rFonts w:eastAsia="Calibri"/>
        </w:rPr>
        <w:t>forms</w:t>
      </w:r>
      <w:r>
        <w:rPr>
          <w:rFonts w:eastAsia="Calibri"/>
        </w:rPr>
        <w:t xml:space="preserve"> </w:t>
      </w:r>
      <w:r w:rsidRPr="0071774C">
        <w:rPr>
          <w:rFonts w:eastAsia="Calibri"/>
        </w:rPr>
        <w:t>of</w:t>
      </w:r>
      <w:r w:rsidR="00511A05">
        <w:rPr>
          <w:rFonts w:eastAsia="Calibri"/>
        </w:rPr>
        <w:t> oppression</w:t>
      </w:r>
      <w:r>
        <w:rPr>
          <w:rFonts w:eastAsia="Calibri"/>
        </w:rPr>
        <w:t xml:space="preserve"> </w:t>
      </w:r>
      <w:r w:rsidRPr="0071774C">
        <w:rPr>
          <w:rFonts w:eastAsia="Calibri"/>
        </w:rPr>
        <w:t>and</w:t>
      </w:r>
      <w:r>
        <w:rPr>
          <w:rFonts w:eastAsia="Calibri"/>
        </w:rPr>
        <w:t xml:space="preserve"> </w:t>
      </w:r>
      <w:r w:rsidRPr="0071774C">
        <w:rPr>
          <w:rFonts w:eastAsia="Calibri"/>
        </w:rPr>
        <w:t>discrimination</w:t>
      </w:r>
      <w:r>
        <w:rPr>
          <w:rFonts w:eastAsia="Calibri"/>
        </w:rPr>
        <w:t xml:space="preserve"> </w:t>
      </w:r>
      <w:r w:rsidRPr="0071774C">
        <w:rPr>
          <w:rFonts w:eastAsia="Calibri"/>
        </w:rPr>
        <w:t>that</w:t>
      </w:r>
      <w:r>
        <w:rPr>
          <w:rFonts w:eastAsia="Calibri"/>
        </w:rPr>
        <w:t xml:space="preserve"> </w:t>
      </w:r>
      <w:r w:rsidRPr="0071774C">
        <w:rPr>
          <w:rFonts w:eastAsia="Calibri"/>
        </w:rPr>
        <w:t>intersect</w:t>
      </w:r>
      <w:r>
        <w:rPr>
          <w:rFonts w:eastAsia="Calibri"/>
        </w:rPr>
        <w:t xml:space="preserve"> </w:t>
      </w:r>
      <w:r w:rsidRPr="0071774C">
        <w:rPr>
          <w:rFonts w:eastAsia="Calibri"/>
        </w:rPr>
        <w:t>with</w:t>
      </w:r>
      <w:r>
        <w:rPr>
          <w:rFonts w:eastAsia="Calibri"/>
        </w:rPr>
        <w:t xml:space="preserve"> </w:t>
      </w:r>
      <w:r w:rsidRPr="0071774C">
        <w:rPr>
          <w:rFonts w:eastAsia="Calibri"/>
        </w:rPr>
        <w:t>sexism</w:t>
      </w:r>
      <w:r>
        <w:rPr>
          <w:rFonts w:eastAsia="Calibri"/>
        </w:rPr>
        <w:t xml:space="preserve"> </w:t>
      </w:r>
      <w:r w:rsidRPr="0071774C">
        <w:rPr>
          <w:rFonts w:eastAsia="Calibri"/>
        </w:rPr>
        <w:t>and</w:t>
      </w:r>
      <w:r>
        <w:rPr>
          <w:rFonts w:eastAsia="Calibri"/>
        </w:rPr>
        <w:t xml:space="preserve"> </w:t>
      </w:r>
      <w:r w:rsidRPr="0071774C">
        <w:rPr>
          <w:rFonts w:eastAsia="Calibri"/>
        </w:rPr>
        <w:t>gender</w:t>
      </w:r>
      <w:r>
        <w:rPr>
          <w:rFonts w:eastAsia="Calibri"/>
        </w:rPr>
        <w:t xml:space="preserve"> </w:t>
      </w:r>
      <w:r w:rsidRPr="0071774C">
        <w:rPr>
          <w:rFonts w:eastAsia="Calibri"/>
        </w:rPr>
        <w:t>inequality,</w:t>
      </w:r>
      <w:r>
        <w:rPr>
          <w:rFonts w:eastAsia="Calibri"/>
        </w:rPr>
        <w:t xml:space="preserve"> </w:t>
      </w:r>
      <w:r w:rsidRPr="0071774C">
        <w:rPr>
          <w:rFonts w:eastAsia="Calibri"/>
        </w:rPr>
        <w:t>to</w:t>
      </w:r>
      <w:r w:rsidR="00511A05">
        <w:rPr>
          <w:rFonts w:eastAsia="Calibri"/>
        </w:rPr>
        <w:t> </w:t>
      </w:r>
      <w:r w:rsidRPr="0071774C">
        <w:rPr>
          <w:rFonts w:eastAsia="Calibri"/>
        </w:rPr>
        <w:t>ensure</w:t>
      </w:r>
      <w:r>
        <w:rPr>
          <w:rFonts w:eastAsia="Calibri"/>
        </w:rPr>
        <w:t xml:space="preserve"> </w:t>
      </w:r>
      <w:r w:rsidRPr="0071774C">
        <w:rPr>
          <w:rFonts w:eastAsia="Calibri"/>
        </w:rPr>
        <w:t>prevention</w:t>
      </w:r>
      <w:r>
        <w:rPr>
          <w:rFonts w:eastAsia="Calibri"/>
        </w:rPr>
        <w:t xml:space="preserve"> </w:t>
      </w:r>
      <w:r w:rsidRPr="0071774C">
        <w:rPr>
          <w:rFonts w:eastAsia="Calibri"/>
        </w:rPr>
        <w:t>works</w:t>
      </w:r>
      <w:r>
        <w:rPr>
          <w:rFonts w:eastAsia="Calibri"/>
        </w:rPr>
        <w:t xml:space="preserve"> </w:t>
      </w:r>
      <w:r w:rsidRPr="0071774C">
        <w:rPr>
          <w:rFonts w:eastAsia="Calibri"/>
        </w:rPr>
        <w:t>for</w:t>
      </w:r>
      <w:r>
        <w:rPr>
          <w:rFonts w:eastAsia="Calibri"/>
        </w:rPr>
        <w:t xml:space="preserve"> </w:t>
      </w:r>
      <w:r w:rsidRPr="0071774C">
        <w:rPr>
          <w:rFonts w:eastAsia="Calibri"/>
        </w:rPr>
        <w:t>all</w:t>
      </w:r>
      <w:r>
        <w:rPr>
          <w:rFonts w:eastAsia="Calibri"/>
        </w:rPr>
        <w:t xml:space="preserve"> </w:t>
      </w:r>
      <w:r w:rsidRPr="0071774C">
        <w:rPr>
          <w:rFonts w:eastAsia="Calibri"/>
        </w:rPr>
        <w:t>women.</w:t>
      </w:r>
    </w:p>
    <w:p w14:paraId="625364A3" w14:textId="55ABCABC" w:rsidR="002C2EC7" w:rsidRPr="0071774C" w:rsidRDefault="002C2EC7" w:rsidP="006337B0">
      <w:pPr>
        <w:pStyle w:val="OWBullet1"/>
        <w:spacing w:after="40" w:line="238" w:lineRule="auto"/>
        <w:rPr>
          <w:rFonts w:eastAsia="Calibri"/>
        </w:rPr>
      </w:pPr>
      <w:r w:rsidRPr="0071774C">
        <w:rPr>
          <w:rFonts w:eastAsia="Calibri"/>
        </w:rPr>
        <w:t>Establishing</w:t>
      </w:r>
      <w:r>
        <w:rPr>
          <w:rFonts w:eastAsia="Calibri"/>
        </w:rPr>
        <w:t xml:space="preserve"> </w:t>
      </w:r>
      <w:r w:rsidRPr="0071774C">
        <w:rPr>
          <w:rFonts w:eastAsia="Calibri"/>
        </w:rPr>
        <w:t>and</w:t>
      </w:r>
      <w:r>
        <w:rPr>
          <w:rFonts w:eastAsia="Calibri"/>
        </w:rPr>
        <w:t xml:space="preserve"> </w:t>
      </w:r>
      <w:r w:rsidRPr="0071774C">
        <w:rPr>
          <w:rFonts w:eastAsia="Calibri"/>
        </w:rPr>
        <w:t>strengthening</w:t>
      </w:r>
      <w:r>
        <w:rPr>
          <w:rFonts w:eastAsia="Calibri"/>
        </w:rPr>
        <w:t xml:space="preserve"> </w:t>
      </w:r>
      <w:r w:rsidRPr="0071774C">
        <w:rPr>
          <w:rFonts w:eastAsia="Calibri"/>
        </w:rPr>
        <w:t>policy,</w:t>
      </w:r>
      <w:r>
        <w:rPr>
          <w:rFonts w:eastAsia="Calibri"/>
        </w:rPr>
        <w:t xml:space="preserve"> </w:t>
      </w:r>
      <w:r w:rsidRPr="0071774C">
        <w:rPr>
          <w:rFonts w:eastAsia="Calibri"/>
        </w:rPr>
        <w:t>governance</w:t>
      </w:r>
      <w:r>
        <w:rPr>
          <w:rFonts w:eastAsia="Calibri"/>
        </w:rPr>
        <w:t xml:space="preserve"> </w:t>
      </w:r>
      <w:r w:rsidRPr="0071774C">
        <w:rPr>
          <w:rFonts w:eastAsia="Calibri"/>
        </w:rPr>
        <w:t>and</w:t>
      </w:r>
      <w:r>
        <w:rPr>
          <w:rFonts w:eastAsia="Calibri"/>
        </w:rPr>
        <w:t xml:space="preserve"> </w:t>
      </w:r>
      <w:r w:rsidRPr="0071774C">
        <w:rPr>
          <w:rFonts w:eastAsia="Calibri"/>
        </w:rPr>
        <w:t>coordination</w:t>
      </w:r>
      <w:r>
        <w:rPr>
          <w:rFonts w:eastAsia="Calibri"/>
        </w:rPr>
        <w:t xml:space="preserve"> </w:t>
      </w:r>
      <w:r w:rsidRPr="0071774C">
        <w:rPr>
          <w:rFonts w:eastAsia="Calibri"/>
        </w:rPr>
        <w:t>mechanisms</w:t>
      </w:r>
      <w:r>
        <w:rPr>
          <w:rFonts w:eastAsia="Calibri"/>
        </w:rPr>
        <w:t xml:space="preserve"> </w:t>
      </w:r>
      <w:r w:rsidRPr="0071774C">
        <w:rPr>
          <w:rFonts w:eastAsia="Calibri"/>
        </w:rPr>
        <w:t>across</w:t>
      </w:r>
      <w:r w:rsidR="00511A05">
        <w:rPr>
          <w:rFonts w:eastAsia="Calibri"/>
        </w:rPr>
        <w:t> </w:t>
      </w:r>
      <w:r w:rsidRPr="0071774C">
        <w:rPr>
          <w:rFonts w:eastAsia="Calibri"/>
        </w:rPr>
        <w:t>portfolios,</w:t>
      </w:r>
      <w:r>
        <w:rPr>
          <w:rFonts w:eastAsia="Calibri"/>
        </w:rPr>
        <w:t xml:space="preserve"> </w:t>
      </w:r>
      <w:r w:rsidRPr="0071774C">
        <w:rPr>
          <w:rFonts w:eastAsia="Calibri"/>
        </w:rPr>
        <w:t>within</w:t>
      </w:r>
      <w:r>
        <w:rPr>
          <w:rFonts w:eastAsia="Calibri"/>
        </w:rPr>
        <w:t xml:space="preserve"> </w:t>
      </w:r>
      <w:r w:rsidRPr="0071774C">
        <w:rPr>
          <w:rFonts w:eastAsia="Calibri"/>
        </w:rPr>
        <w:t>jurisdictions,</w:t>
      </w:r>
      <w:r>
        <w:rPr>
          <w:rFonts w:eastAsia="Calibri"/>
        </w:rPr>
        <w:t xml:space="preserve"> </w:t>
      </w:r>
      <w:r w:rsidRPr="0071774C">
        <w:rPr>
          <w:rFonts w:eastAsia="Calibri"/>
        </w:rPr>
        <w:t>and</w:t>
      </w:r>
      <w:r>
        <w:rPr>
          <w:rFonts w:eastAsia="Calibri"/>
        </w:rPr>
        <w:t xml:space="preserve"> </w:t>
      </w:r>
      <w:r w:rsidRPr="0071774C">
        <w:rPr>
          <w:rFonts w:eastAsia="Calibri"/>
        </w:rPr>
        <w:t>between</w:t>
      </w:r>
      <w:r>
        <w:rPr>
          <w:rFonts w:eastAsia="Calibri"/>
        </w:rPr>
        <w:t xml:space="preserve"> </w:t>
      </w:r>
      <w:r w:rsidRPr="0071774C">
        <w:rPr>
          <w:rFonts w:eastAsia="Calibri"/>
        </w:rPr>
        <w:t>levels</w:t>
      </w:r>
      <w:r>
        <w:rPr>
          <w:rFonts w:eastAsia="Calibri"/>
        </w:rPr>
        <w:t xml:space="preserve"> </w:t>
      </w:r>
      <w:r w:rsidRPr="0071774C">
        <w:rPr>
          <w:rFonts w:eastAsia="Calibri"/>
        </w:rPr>
        <w:t>of</w:t>
      </w:r>
      <w:r>
        <w:rPr>
          <w:rFonts w:eastAsia="Calibri"/>
        </w:rPr>
        <w:t xml:space="preserve"> </w:t>
      </w:r>
      <w:r w:rsidRPr="0071774C">
        <w:rPr>
          <w:rFonts w:eastAsia="Calibri"/>
        </w:rPr>
        <w:t>government,</w:t>
      </w:r>
      <w:r>
        <w:rPr>
          <w:rFonts w:eastAsia="Calibri"/>
        </w:rPr>
        <w:t xml:space="preserve"> </w:t>
      </w:r>
      <w:r w:rsidRPr="0071774C">
        <w:rPr>
          <w:rFonts w:eastAsia="Calibri"/>
        </w:rPr>
        <w:t>to</w:t>
      </w:r>
      <w:r>
        <w:rPr>
          <w:rFonts w:eastAsia="Calibri"/>
        </w:rPr>
        <w:t xml:space="preserve"> </w:t>
      </w:r>
      <w:r w:rsidRPr="0071774C">
        <w:rPr>
          <w:rFonts w:eastAsia="Calibri"/>
        </w:rPr>
        <w:t>support</w:t>
      </w:r>
      <w:r>
        <w:rPr>
          <w:rFonts w:eastAsia="Calibri"/>
        </w:rPr>
        <w:t xml:space="preserve"> </w:t>
      </w:r>
      <w:r w:rsidRPr="0071774C">
        <w:rPr>
          <w:rFonts w:eastAsia="Calibri"/>
        </w:rPr>
        <w:t>coordinated,</w:t>
      </w:r>
      <w:r>
        <w:rPr>
          <w:rFonts w:eastAsia="Calibri"/>
        </w:rPr>
        <w:t xml:space="preserve"> </w:t>
      </w:r>
      <w:r w:rsidRPr="0071774C">
        <w:rPr>
          <w:rFonts w:eastAsia="Calibri"/>
        </w:rPr>
        <w:t>holistic</w:t>
      </w:r>
      <w:r>
        <w:rPr>
          <w:rFonts w:eastAsia="Calibri"/>
        </w:rPr>
        <w:t xml:space="preserve"> </w:t>
      </w:r>
      <w:r w:rsidRPr="0071774C">
        <w:rPr>
          <w:rFonts w:eastAsia="Calibri"/>
        </w:rPr>
        <w:t>and</w:t>
      </w:r>
      <w:r>
        <w:rPr>
          <w:rFonts w:eastAsia="Calibri"/>
        </w:rPr>
        <w:t xml:space="preserve"> </w:t>
      </w:r>
      <w:r w:rsidRPr="0071774C">
        <w:rPr>
          <w:rFonts w:eastAsia="Calibri"/>
        </w:rPr>
        <w:t>more</w:t>
      </w:r>
      <w:r>
        <w:rPr>
          <w:rFonts w:eastAsia="Calibri"/>
        </w:rPr>
        <w:t xml:space="preserve"> </w:t>
      </w:r>
      <w:r w:rsidRPr="0071774C">
        <w:rPr>
          <w:rFonts w:eastAsia="Calibri"/>
        </w:rPr>
        <w:t>effective</w:t>
      </w:r>
      <w:r>
        <w:rPr>
          <w:rFonts w:eastAsia="Calibri"/>
        </w:rPr>
        <w:t xml:space="preserve"> </w:t>
      </w:r>
      <w:r w:rsidRPr="0071774C">
        <w:rPr>
          <w:rFonts w:eastAsia="Calibri"/>
        </w:rPr>
        <w:t>efforts</w:t>
      </w:r>
      <w:r>
        <w:rPr>
          <w:rFonts w:eastAsia="Calibri"/>
        </w:rPr>
        <w:t xml:space="preserve"> </w:t>
      </w:r>
      <w:r w:rsidRPr="0071774C">
        <w:rPr>
          <w:rFonts w:eastAsia="Calibri"/>
        </w:rPr>
        <w:t>across</w:t>
      </w:r>
      <w:r>
        <w:rPr>
          <w:rFonts w:eastAsia="Calibri"/>
        </w:rPr>
        <w:t xml:space="preserve"> </w:t>
      </w:r>
      <w:r w:rsidRPr="0071774C">
        <w:rPr>
          <w:rFonts w:eastAsia="Calibri"/>
        </w:rPr>
        <w:t>the</w:t>
      </w:r>
      <w:r>
        <w:rPr>
          <w:rFonts w:eastAsia="Calibri"/>
        </w:rPr>
        <w:t xml:space="preserve"> </w:t>
      </w:r>
      <w:r w:rsidRPr="0071774C">
        <w:rPr>
          <w:rFonts w:eastAsia="Calibri"/>
        </w:rPr>
        <w:t>country.</w:t>
      </w:r>
    </w:p>
    <w:p w14:paraId="3448B9DA" w14:textId="4480C434" w:rsidR="002C2EC7" w:rsidRDefault="002C2EC7" w:rsidP="006337B0">
      <w:pPr>
        <w:pStyle w:val="OWBullet1"/>
        <w:spacing w:after="50" w:line="238" w:lineRule="auto"/>
        <w:rPr>
          <w:rFonts w:eastAsia="Calibri"/>
        </w:rPr>
      </w:pPr>
      <w:r w:rsidRPr="0071774C">
        <w:rPr>
          <w:rFonts w:eastAsia="Calibri"/>
        </w:rPr>
        <w:t>Responding</w:t>
      </w:r>
      <w:r>
        <w:rPr>
          <w:rFonts w:eastAsia="Calibri"/>
        </w:rPr>
        <w:t xml:space="preserve"> </w:t>
      </w:r>
      <w:r w:rsidRPr="0071774C">
        <w:rPr>
          <w:rFonts w:eastAsia="Calibri"/>
        </w:rPr>
        <w:t>to</w:t>
      </w:r>
      <w:r>
        <w:rPr>
          <w:rFonts w:eastAsia="Calibri"/>
        </w:rPr>
        <w:t xml:space="preserve"> </w:t>
      </w:r>
      <w:r w:rsidRPr="0071774C">
        <w:rPr>
          <w:rFonts w:eastAsia="Calibri"/>
        </w:rPr>
        <w:t>the</w:t>
      </w:r>
      <w:r>
        <w:rPr>
          <w:rFonts w:eastAsia="Calibri"/>
        </w:rPr>
        <w:t xml:space="preserve"> </w:t>
      </w:r>
      <w:r w:rsidRPr="0071774C">
        <w:rPr>
          <w:rFonts w:eastAsia="Calibri"/>
        </w:rPr>
        <w:t>correlation</w:t>
      </w:r>
      <w:r>
        <w:rPr>
          <w:rFonts w:eastAsia="Calibri"/>
        </w:rPr>
        <w:t xml:space="preserve"> </w:t>
      </w:r>
      <w:r w:rsidRPr="0071774C">
        <w:rPr>
          <w:rFonts w:eastAsia="Calibri"/>
        </w:rPr>
        <w:t>between</w:t>
      </w:r>
      <w:r>
        <w:rPr>
          <w:rFonts w:eastAsia="Calibri"/>
        </w:rPr>
        <w:t xml:space="preserve"> </w:t>
      </w:r>
      <w:r w:rsidRPr="0071774C">
        <w:rPr>
          <w:rFonts w:eastAsia="Calibri"/>
        </w:rPr>
        <w:t>attitudes</w:t>
      </w:r>
      <w:r>
        <w:rPr>
          <w:rFonts w:eastAsia="Calibri"/>
        </w:rPr>
        <w:t xml:space="preserve"> </w:t>
      </w:r>
      <w:r w:rsidRPr="0071774C">
        <w:rPr>
          <w:rFonts w:eastAsia="Calibri"/>
        </w:rPr>
        <w:t>supportive</w:t>
      </w:r>
      <w:r>
        <w:rPr>
          <w:rFonts w:eastAsia="Calibri"/>
        </w:rPr>
        <w:t xml:space="preserve"> </w:t>
      </w:r>
      <w:r w:rsidRPr="0071774C">
        <w:rPr>
          <w:rFonts w:eastAsia="Calibri"/>
        </w:rPr>
        <w:t>of</w:t>
      </w:r>
      <w:r>
        <w:rPr>
          <w:rFonts w:eastAsia="Calibri"/>
        </w:rPr>
        <w:t xml:space="preserve"> </w:t>
      </w:r>
      <w:r w:rsidRPr="0071774C">
        <w:rPr>
          <w:rFonts w:eastAsia="Calibri"/>
        </w:rPr>
        <w:t>violence</w:t>
      </w:r>
      <w:r>
        <w:rPr>
          <w:rFonts w:eastAsia="Calibri"/>
        </w:rPr>
        <w:t xml:space="preserve"> </w:t>
      </w:r>
      <w:r w:rsidRPr="0071774C">
        <w:rPr>
          <w:rFonts w:eastAsia="Calibri"/>
        </w:rPr>
        <w:t>against</w:t>
      </w:r>
      <w:r>
        <w:rPr>
          <w:rFonts w:eastAsia="Calibri"/>
        </w:rPr>
        <w:t xml:space="preserve"> </w:t>
      </w:r>
      <w:r w:rsidRPr="0071774C">
        <w:rPr>
          <w:rFonts w:eastAsia="Calibri"/>
        </w:rPr>
        <w:t>women</w:t>
      </w:r>
      <w:r>
        <w:rPr>
          <w:rFonts w:eastAsia="Calibri"/>
        </w:rPr>
        <w:t xml:space="preserve"> </w:t>
      </w:r>
      <w:r w:rsidRPr="0071774C">
        <w:rPr>
          <w:rFonts w:eastAsia="Calibri"/>
        </w:rPr>
        <w:t>and</w:t>
      </w:r>
      <w:r>
        <w:rPr>
          <w:rFonts w:eastAsia="Calibri"/>
        </w:rPr>
        <w:t xml:space="preserve"> </w:t>
      </w:r>
      <w:r w:rsidRPr="0071774C">
        <w:rPr>
          <w:rFonts w:eastAsia="Calibri"/>
        </w:rPr>
        <w:t>other</w:t>
      </w:r>
      <w:r>
        <w:rPr>
          <w:rFonts w:eastAsia="Calibri"/>
        </w:rPr>
        <w:t xml:space="preserve"> </w:t>
      </w:r>
      <w:r w:rsidRPr="0071774C">
        <w:rPr>
          <w:rFonts w:eastAsia="Calibri"/>
        </w:rPr>
        <w:t>types</w:t>
      </w:r>
      <w:r>
        <w:rPr>
          <w:rFonts w:eastAsia="Calibri"/>
        </w:rPr>
        <w:t xml:space="preserve"> </w:t>
      </w:r>
      <w:r w:rsidRPr="0071774C">
        <w:rPr>
          <w:rFonts w:eastAsia="Calibri"/>
        </w:rPr>
        <w:t>of</w:t>
      </w:r>
      <w:r>
        <w:rPr>
          <w:rFonts w:eastAsia="Calibri"/>
        </w:rPr>
        <w:t xml:space="preserve"> </w:t>
      </w:r>
      <w:r w:rsidRPr="0071774C">
        <w:rPr>
          <w:rFonts w:eastAsia="Calibri"/>
        </w:rPr>
        <w:t>discriminatory</w:t>
      </w:r>
      <w:r>
        <w:rPr>
          <w:rFonts w:eastAsia="Calibri"/>
        </w:rPr>
        <w:t xml:space="preserve"> </w:t>
      </w:r>
      <w:r w:rsidRPr="0071774C">
        <w:rPr>
          <w:rFonts w:eastAsia="Calibri"/>
        </w:rPr>
        <w:t>attitudes,</w:t>
      </w:r>
      <w:r>
        <w:rPr>
          <w:rFonts w:eastAsia="Calibri"/>
        </w:rPr>
        <w:t xml:space="preserve"> </w:t>
      </w:r>
      <w:r w:rsidRPr="0071774C">
        <w:rPr>
          <w:rFonts w:eastAsia="Calibri"/>
        </w:rPr>
        <w:t>such</w:t>
      </w:r>
      <w:r>
        <w:rPr>
          <w:rFonts w:eastAsia="Calibri"/>
        </w:rPr>
        <w:t xml:space="preserve"> </w:t>
      </w:r>
      <w:r w:rsidRPr="0071774C">
        <w:rPr>
          <w:rFonts w:eastAsia="Calibri"/>
        </w:rPr>
        <w:t>as</w:t>
      </w:r>
      <w:r>
        <w:rPr>
          <w:rFonts w:eastAsia="Calibri"/>
        </w:rPr>
        <w:t xml:space="preserve"> </w:t>
      </w:r>
      <w:r w:rsidRPr="0071774C">
        <w:rPr>
          <w:rFonts w:eastAsia="Calibri"/>
        </w:rPr>
        <w:t>racism.</w:t>
      </w:r>
      <w:r>
        <w:rPr>
          <w:rFonts w:eastAsia="Calibri"/>
        </w:rPr>
        <w:t xml:space="preserve"> </w:t>
      </w:r>
      <w:r w:rsidRPr="0071774C">
        <w:rPr>
          <w:rFonts w:eastAsia="Calibri"/>
        </w:rPr>
        <w:t>The</w:t>
      </w:r>
      <w:r>
        <w:rPr>
          <w:rFonts w:eastAsia="Calibri"/>
        </w:rPr>
        <w:t xml:space="preserve"> </w:t>
      </w:r>
      <w:r w:rsidRPr="0071774C">
        <w:rPr>
          <w:rFonts w:eastAsia="Calibri"/>
        </w:rPr>
        <w:t>persistence</w:t>
      </w:r>
      <w:r>
        <w:rPr>
          <w:rFonts w:eastAsia="Calibri"/>
        </w:rPr>
        <w:t xml:space="preserve"> </w:t>
      </w:r>
      <w:r w:rsidRPr="0071774C">
        <w:rPr>
          <w:rFonts w:eastAsia="Calibri"/>
        </w:rPr>
        <w:t>of</w:t>
      </w:r>
      <w:r>
        <w:rPr>
          <w:rFonts w:eastAsia="Calibri"/>
        </w:rPr>
        <w:t xml:space="preserve"> </w:t>
      </w:r>
      <w:r w:rsidRPr="0071774C">
        <w:rPr>
          <w:rFonts w:eastAsia="Calibri"/>
        </w:rPr>
        <w:t>these</w:t>
      </w:r>
      <w:r>
        <w:rPr>
          <w:rFonts w:eastAsia="Calibri"/>
        </w:rPr>
        <w:t xml:space="preserve"> </w:t>
      </w:r>
      <w:r w:rsidRPr="0071774C">
        <w:rPr>
          <w:rFonts w:eastAsia="Calibri"/>
        </w:rPr>
        <w:t>is</w:t>
      </w:r>
      <w:r>
        <w:rPr>
          <w:rFonts w:eastAsia="Calibri"/>
        </w:rPr>
        <w:t xml:space="preserve"> </w:t>
      </w:r>
      <w:r w:rsidRPr="0071774C">
        <w:rPr>
          <w:rFonts w:eastAsia="Calibri"/>
        </w:rPr>
        <w:t>of</w:t>
      </w:r>
      <w:r w:rsidR="0067238B">
        <w:rPr>
          <w:rFonts w:eastAsia="Calibri"/>
        </w:rPr>
        <w:t xml:space="preserve"> </w:t>
      </w:r>
      <w:r w:rsidRPr="0071774C">
        <w:rPr>
          <w:rFonts w:eastAsia="Calibri"/>
        </w:rPr>
        <w:t>significant</w:t>
      </w:r>
      <w:r>
        <w:rPr>
          <w:rFonts w:eastAsia="Calibri"/>
        </w:rPr>
        <w:t xml:space="preserve"> </w:t>
      </w:r>
      <w:r w:rsidRPr="0071774C">
        <w:rPr>
          <w:rFonts w:eastAsia="Calibri"/>
        </w:rPr>
        <w:t>concern,</w:t>
      </w:r>
      <w:r>
        <w:rPr>
          <w:rFonts w:eastAsia="Calibri"/>
        </w:rPr>
        <w:t xml:space="preserve"> </w:t>
      </w:r>
      <w:r w:rsidRPr="0071774C">
        <w:rPr>
          <w:rFonts w:eastAsia="Calibri"/>
        </w:rPr>
        <w:t>and</w:t>
      </w:r>
      <w:r>
        <w:rPr>
          <w:rFonts w:eastAsia="Calibri"/>
        </w:rPr>
        <w:t xml:space="preserve"> </w:t>
      </w:r>
      <w:r w:rsidRPr="0071774C">
        <w:rPr>
          <w:rFonts w:eastAsia="Calibri"/>
        </w:rPr>
        <w:t>calls</w:t>
      </w:r>
      <w:r>
        <w:rPr>
          <w:rFonts w:eastAsia="Calibri"/>
        </w:rPr>
        <w:t xml:space="preserve"> </w:t>
      </w:r>
      <w:r w:rsidRPr="0071774C">
        <w:rPr>
          <w:rFonts w:eastAsia="Calibri"/>
        </w:rPr>
        <w:t>for</w:t>
      </w:r>
      <w:r>
        <w:rPr>
          <w:rFonts w:eastAsia="Calibri"/>
        </w:rPr>
        <w:t xml:space="preserve"> </w:t>
      </w:r>
      <w:r w:rsidRPr="0071774C">
        <w:rPr>
          <w:rFonts w:eastAsia="Calibri"/>
        </w:rPr>
        <w:t>greater</w:t>
      </w:r>
      <w:r>
        <w:rPr>
          <w:rFonts w:eastAsia="Calibri"/>
        </w:rPr>
        <w:t xml:space="preserve"> </w:t>
      </w:r>
      <w:r w:rsidRPr="0071774C">
        <w:rPr>
          <w:rFonts w:eastAsia="Calibri"/>
        </w:rPr>
        <w:t>leadership,</w:t>
      </w:r>
      <w:r>
        <w:rPr>
          <w:rFonts w:eastAsia="Calibri"/>
        </w:rPr>
        <w:t xml:space="preserve"> </w:t>
      </w:r>
      <w:r w:rsidRPr="0071774C">
        <w:rPr>
          <w:rFonts w:eastAsia="Calibri"/>
        </w:rPr>
        <w:t>investment</w:t>
      </w:r>
      <w:r>
        <w:rPr>
          <w:rFonts w:eastAsia="Calibri"/>
        </w:rPr>
        <w:t xml:space="preserve"> </w:t>
      </w:r>
      <w:r w:rsidRPr="0071774C">
        <w:rPr>
          <w:rFonts w:eastAsia="Calibri"/>
        </w:rPr>
        <w:t>and</w:t>
      </w:r>
      <w:r>
        <w:rPr>
          <w:rFonts w:eastAsia="Calibri"/>
        </w:rPr>
        <w:t xml:space="preserve"> </w:t>
      </w:r>
      <w:r w:rsidRPr="0071774C">
        <w:rPr>
          <w:rFonts w:eastAsia="Calibri"/>
        </w:rPr>
        <w:t>action.</w:t>
      </w:r>
      <w:r>
        <w:rPr>
          <w:rFonts w:eastAsia="Calibri"/>
        </w:rPr>
        <w:t xml:space="preserve"> </w:t>
      </w:r>
      <w:r w:rsidR="0067238B" w:rsidRPr="0067238B">
        <w:rPr>
          <w:rFonts w:eastAsia="Calibri"/>
        </w:rPr>
        <w:t>Preventing violence against women who experience multiple forms of oppression requires a greater focus on structural and systemic reform, in order to address all forms of oppression and discrimination.</w:t>
      </w:r>
    </w:p>
    <w:p w14:paraId="7DCDA1ED" w14:textId="6C0EC3FE" w:rsidR="002C2EC7" w:rsidRPr="00790783" w:rsidRDefault="006337B0" w:rsidP="00790783">
      <w:pPr>
        <w:pStyle w:val="Heading2"/>
        <w:rPr>
          <w:rStyle w:val="OWCharacterHibiscus"/>
        </w:rPr>
      </w:pPr>
      <w:bookmarkStart w:id="8" w:name="_Toc55053297"/>
      <w:bookmarkStart w:id="9" w:name="_Toc32897310"/>
      <w:bookmarkStart w:id="10" w:name="_Toc33450747"/>
      <w:bookmarkStart w:id="11" w:name="_Toc34915301"/>
      <w:r>
        <w:rPr>
          <w:noProof/>
          <w:color w:val="702652" w:themeColor="accent4"/>
          <w:shd w:val="clear" w:color="auto" w:fill="E6E6E6"/>
          <w:lang w:val="en-US" w:eastAsia="en-US"/>
        </w:rPr>
        <w:lastRenderedPageBreak/>
        <w:drawing>
          <wp:anchor distT="0" distB="0" distL="114300" distR="114300" simplePos="0" relativeHeight="251658243" behindDoc="1" locked="1" layoutInCell="1" allowOverlap="1" wp14:anchorId="0D81DE0A" wp14:editId="2FC3268A">
            <wp:simplePos x="0" y="0"/>
            <wp:positionH relativeFrom="page">
              <wp:align>left</wp:align>
            </wp:positionH>
            <wp:positionV relativeFrom="page">
              <wp:align>top</wp:align>
            </wp:positionV>
            <wp:extent cx="7563600" cy="9725760"/>
            <wp:effectExtent l="0" t="0" r="0" b="8890"/>
            <wp:wrapNone/>
            <wp:docPr id="11" name="Picture 1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ction start hibiscus.png"/>
                    <pic:cNvPicPr/>
                  </pic:nvPicPr>
                  <pic:blipFill>
                    <a:blip r:embed="rId17"/>
                    <a:stretch>
                      <a:fillRect/>
                    </a:stretch>
                  </pic:blipFill>
                  <pic:spPr>
                    <a:xfrm>
                      <a:off x="0" y="0"/>
                      <a:ext cx="7563600" cy="9725760"/>
                    </a:xfrm>
                    <a:prstGeom prst="rect">
                      <a:avLst/>
                    </a:prstGeom>
                  </pic:spPr>
                </pic:pic>
              </a:graphicData>
            </a:graphic>
            <wp14:sizeRelH relativeFrom="margin">
              <wp14:pctWidth>0</wp14:pctWidth>
            </wp14:sizeRelH>
            <wp14:sizeRelV relativeFrom="margin">
              <wp14:pctHeight>0</wp14:pctHeight>
            </wp14:sizeRelV>
          </wp:anchor>
        </w:drawing>
      </w:r>
      <w:r w:rsidR="002C2EC7" w:rsidRPr="00790783">
        <w:rPr>
          <w:rStyle w:val="OWCharacterHibiscus"/>
        </w:rPr>
        <w:t>Introduction</w:t>
      </w:r>
      <w:bookmarkEnd w:id="8"/>
    </w:p>
    <w:p w14:paraId="54C9F636" w14:textId="77777777" w:rsidR="002C2EC7" w:rsidRPr="007E654A" w:rsidRDefault="002C2EC7" w:rsidP="00790783">
      <w:pPr>
        <w:pStyle w:val="BodyText"/>
      </w:pPr>
      <w:r w:rsidRPr="00525643">
        <w:rPr>
          <w:rStyle w:val="Emphasis"/>
        </w:rPr>
        <w:t>Change the story: Australia’s shared framework for the primary prevention of violence against women and their children</w:t>
      </w:r>
      <w:r w:rsidRPr="0071774C">
        <w:rPr>
          <w:rStyle w:val="EndnoteReference"/>
        </w:rPr>
        <w:endnoteReference w:id="9"/>
      </w:r>
      <w:r>
        <w:t xml:space="preserve"> </w:t>
      </w:r>
      <w:r w:rsidRPr="007E654A">
        <w:t xml:space="preserve">identifies gender inequality as setting the necessary social context in which violence against women occurs. The framework demonstrates that there are </w:t>
      </w:r>
      <w:r w:rsidRPr="00043276">
        <w:t>particular expressions</w:t>
      </w:r>
      <w:r w:rsidRPr="007E654A">
        <w:t xml:space="preserve"> or manifestations of gender inequality that are most consistently associated with higher levels of violence against women. These are referred to in </w:t>
      </w:r>
      <w:r w:rsidRPr="00525643">
        <w:rPr>
          <w:rStyle w:val="Emphasis"/>
        </w:rPr>
        <w:t>Change the story</w:t>
      </w:r>
      <w:r w:rsidRPr="007E654A">
        <w:t xml:space="preserve"> as the ‘gendered drivers’ of violence against women, and comprise:</w:t>
      </w:r>
    </w:p>
    <w:p w14:paraId="62F74BDC" w14:textId="77777777" w:rsidR="002C2EC7" w:rsidRPr="007E654A" w:rsidRDefault="002C2EC7" w:rsidP="00790783">
      <w:pPr>
        <w:pStyle w:val="OWBullet1"/>
      </w:pPr>
      <w:r w:rsidRPr="007E654A">
        <w:t>condoning of violence against women</w:t>
      </w:r>
    </w:p>
    <w:p w14:paraId="44261362" w14:textId="47C2964C" w:rsidR="002C2EC7" w:rsidRPr="007E654A" w:rsidRDefault="002C2EC7" w:rsidP="00790783">
      <w:pPr>
        <w:pStyle w:val="OWBullet1"/>
      </w:pPr>
      <w:r w:rsidRPr="007E654A">
        <w:t>men’s control of decision-making and limits to women’s independence in public life and</w:t>
      </w:r>
      <w:r w:rsidR="00851841">
        <w:t> </w:t>
      </w:r>
      <w:r w:rsidRPr="007E654A">
        <w:t>relationships</w:t>
      </w:r>
    </w:p>
    <w:p w14:paraId="03C275FD" w14:textId="77777777" w:rsidR="002C2EC7" w:rsidRPr="007E654A" w:rsidRDefault="002C2EC7" w:rsidP="00790783">
      <w:pPr>
        <w:pStyle w:val="OWBullet1"/>
      </w:pPr>
      <w:r w:rsidRPr="007E654A">
        <w:t>rigid gender roles and stereotyped constructions of masculinity and femininity</w:t>
      </w:r>
    </w:p>
    <w:p w14:paraId="56352727" w14:textId="77777777" w:rsidR="002C2EC7" w:rsidRPr="007E654A" w:rsidRDefault="002C2EC7" w:rsidP="00790783">
      <w:pPr>
        <w:pStyle w:val="OWBullet1"/>
      </w:pPr>
      <w:r w:rsidRPr="007E654A">
        <w:t>male peer relations that emphasise aggression and disrespect towards women.</w:t>
      </w:r>
    </w:p>
    <w:p w14:paraId="502BDE81" w14:textId="77777777" w:rsidR="002C2EC7" w:rsidRPr="007E654A" w:rsidRDefault="002C2EC7" w:rsidP="00790783">
      <w:pPr>
        <w:pStyle w:val="OWBodytextafterlist"/>
      </w:pPr>
      <w:r w:rsidRPr="007E654A">
        <w:t>These gendered drivers arise from unequal and discriminatory institutional, social and economic structures, social and cultural norms, and organisational, community, family and relationship practices. Together, these structures, norms and practices create environments in which women and men are not considered equal, and violence against women is both more likely to happen, and more likely to be tolerated and even condoned.</w:t>
      </w:r>
    </w:p>
    <w:p w14:paraId="3E03E4D0" w14:textId="77777777" w:rsidR="002C2EC7" w:rsidRPr="007E654A" w:rsidRDefault="002C2EC7" w:rsidP="00790783">
      <w:pPr>
        <w:pStyle w:val="BodyText"/>
      </w:pPr>
      <w:r w:rsidRPr="00525643">
        <w:rPr>
          <w:rStyle w:val="Emphasis"/>
        </w:rPr>
        <w:t>Change the story</w:t>
      </w:r>
      <w:r w:rsidRPr="007E654A">
        <w:t xml:space="preserve"> makes clear that because violence against women has multiple, interrelated drivers, which are located at – and find expression across – every level of society, preventing this violence requires a holistic, multi-layered approach. For primary prevention to be successful, it requires a large-scale effort, engaging the largest possible number of people and organisations. It needs a shared, national approach comprising multiple, mutually reinforcing efforts that together:</w:t>
      </w:r>
    </w:p>
    <w:p w14:paraId="366DD342" w14:textId="77777777" w:rsidR="002C2EC7" w:rsidRDefault="002C2EC7" w:rsidP="00790783">
      <w:pPr>
        <w:pStyle w:val="OWBullet1"/>
      </w:pPr>
      <w:r w:rsidRPr="0071774C">
        <w:t>address</w:t>
      </w:r>
      <w:r>
        <w:t xml:space="preserve"> </w:t>
      </w:r>
      <w:r w:rsidRPr="0071774C">
        <w:t>the</w:t>
      </w:r>
      <w:r>
        <w:t xml:space="preserve"> </w:t>
      </w:r>
      <w:r w:rsidRPr="0071774C">
        <w:t>multiple</w:t>
      </w:r>
      <w:r>
        <w:t xml:space="preserve"> </w:t>
      </w:r>
      <w:r w:rsidRPr="0071774C">
        <w:t>gendered</w:t>
      </w:r>
      <w:r>
        <w:t xml:space="preserve"> </w:t>
      </w:r>
      <w:r w:rsidRPr="0071774C">
        <w:t>drivers</w:t>
      </w:r>
      <w:r>
        <w:t xml:space="preserve"> </w:t>
      </w:r>
      <w:r w:rsidRPr="0071774C">
        <w:t>and</w:t>
      </w:r>
      <w:r>
        <w:t xml:space="preserve"> </w:t>
      </w:r>
      <w:r w:rsidRPr="0071774C">
        <w:t>reinforcing</w:t>
      </w:r>
      <w:r>
        <w:t xml:space="preserve"> </w:t>
      </w:r>
      <w:r w:rsidRPr="0071774C">
        <w:t>factors</w:t>
      </w:r>
      <w:r>
        <w:t xml:space="preserve"> </w:t>
      </w:r>
      <w:r w:rsidRPr="0071774C">
        <w:t>of</w:t>
      </w:r>
      <w:r>
        <w:t xml:space="preserve"> </w:t>
      </w:r>
      <w:r w:rsidRPr="0071774C">
        <w:t>violence</w:t>
      </w:r>
    </w:p>
    <w:p w14:paraId="2E4E60B2" w14:textId="77777777" w:rsidR="002C2EC7" w:rsidRDefault="002C2EC7" w:rsidP="00790783">
      <w:pPr>
        <w:pStyle w:val="OWBullet1"/>
      </w:pPr>
      <w:r w:rsidRPr="0071774C">
        <w:t>use</w:t>
      </w:r>
      <w:r>
        <w:t xml:space="preserve"> </w:t>
      </w:r>
      <w:r w:rsidRPr="0071774C">
        <w:t>a</w:t>
      </w:r>
      <w:r>
        <w:t xml:space="preserve"> </w:t>
      </w:r>
      <w:r w:rsidRPr="0071774C">
        <w:t>range</w:t>
      </w:r>
      <w:r>
        <w:t xml:space="preserve"> </w:t>
      </w:r>
      <w:r w:rsidRPr="0071774C">
        <w:t>of</w:t>
      </w:r>
      <w:r>
        <w:t xml:space="preserve"> </w:t>
      </w:r>
      <w:r w:rsidRPr="0071774C">
        <w:t>different</w:t>
      </w:r>
      <w:r>
        <w:t xml:space="preserve"> </w:t>
      </w:r>
      <w:r w:rsidRPr="0071774C">
        <w:t>strategies</w:t>
      </w:r>
      <w:r>
        <w:t xml:space="preserve"> </w:t>
      </w:r>
      <w:r w:rsidRPr="0071774C">
        <w:t>and</w:t>
      </w:r>
      <w:r>
        <w:t xml:space="preserve"> </w:t>
      </w:r>
      <w:r w:rsidRPr="0071774C">
        <w:t>levers</w:t>
      </w:r>
      <w:r>
        <w:t xml:space="preserve"> </w:t>
      </w:r>
      <w:r w:rsidRPr="0071774C">
        <w:t>for</w:t>
      </w:r>
      <w:r>
        <w:t xml:space="preserve"> </w:t>
      </w:r>
      <w:r w:rsidRPr="0071774C">
        <w:t>change</w:t>
      </w:r>
    </w:p>
    <w:p w14:paraId="0FE05EB7" w14:textId="614E63E3" w:rsidR="002C2EC7" w:rsidRDefault="002C2EC7" w:rsidP="00790783">
      <w:pPr>
        <w:pStyle w:val="OWBullet1"/>
      </w:pPr>
      <w:r w:rsidRPr="0071774C">
        <w:t>are</w:t>
      </w:r>
      <w:r>
        <w:t xml:space="preserve"> </w:t>
      </w:r>
      <w:r w:rsidRPr="0071774C">
        <w:t>implemented</w:t>
      </w:r>
      <w:r>
        <w:t xml:space="preserve"> </w:t>
      </w:r>
      <w:r w:rsidRPr="0071774C">
        <w:t>in</w:t>
      </w:r>
      <w:r>
        <w:t xml:space="preserve"> </w:t>
      </w:r>
      <w:r w:rsidRPr="0071774C">
        <w:t>different</w:t>
      </w:r>
      <w:r>
        <w:t xml:space="preserve"> </w:t>
      </w:r>
      <w:r w:rsidRPr="0071774C">
        <w:t>settings,</w:t>
      </w:r>
      <w:r>
        <w:t xml:space="preserve"> </w:t>
      </w:r>
      <w:r w:rsidRPr="0071774C">
        <w:t>across</w:t>
      </w:r>
      <w:r>
        <w:t xml:space="preserve"> </w:t>
      </w:r>
      <w:r w:rsidRPr="0071774C">
        <w:t>the</w:t>
      </w:r>
      <w:r>
        <w:t xml:space="preserve"> </w:t>
      </w:r>
      <w:r w:rsidRPr="0071774C">
        <w:t>life</w:t>
      </w:r>
      <w:r>
        <w:t xml:space="preserve"> </w:t>
      </w:r>
      <w:r w:rsidRPr="0071774C">
        <w:t>course,</w:t>
      </w:r>
      <w:r>
        <w:t xml:space="preserve"> </w:t>
      </w:r>
      <w:r w:rsidRPr="0071774C">
        <w:t>and</w:t>
      </w:r>
      <w:r>
        <w:t xml:space="preserve"> </w:t>
      </w:r>
      <w:r w:rsidRPr="0071774C">
        <w:t>using</w:t>
      </w:r>
      <w:r>
        <w:t xml:space="preserve"> </w:t>
      </w:r>
      <w:r w:rsidRPr="0071774C">
        <w:t>a</w:t>
      </w:r>
      <w:r>
        <w:t xml:space="preserve"> </w:t>
      </w:r>
      <w:r w:rsidRPr="0071774C">
        <w:t>variety</w:t>
      </w:r>
      <w:r>
        <w:t xml:space="preserve"> </w:t>
      </w:r>
      <w:r w:rsidRPr="0071774C">
        <w:t>of</w:t>
      </w:r>
      <w:r w:rsidR="00851841">
        <w:t> </w:t>
      </w:r>
      <w:r w:rsidRPr="0071774C">
        <w:t>techniques</w:t>
      </w:r>
    </w:p>
    <w:p w14:paraId="2D9E41FD" w14:textId="038F7E78" w:rsidR="002C2EC7" w:rsidRDefault="002C2EC7" w:rsidP="00790783">
      <w:pPr>
        <w:pStyle w:val="OWBullet1"/>
      </w:pPr>
      <w:r w:rsidRPr="0071774C">
        <w:t>target</w:t>
      </w:r>
      <w:r>
        <w:t xml:space="preserve"> </w:t>
      </w:r>
      <w:r w:rsidRPr="0071774C">
        <w:t>change</w:t>
      </w:r>
      <w:r>
        <w:t xml:space="preserve"> </w:t>
      </w:r>
      <w:r w:rsidRPr="0071774C">
        <w:t>at</w:t>
      </w:r>
      <w:r>
        <w:t xml:space="preserve"> </w:t>
      </w:r>
      <w:r w:rsidRPr="0071774C">
        <w:t>different</w:t>
      </w:r>
      <w:r>
        <w:t xml:space="preserve"> </w:t>
      </w:r>
      <w:r w:rsidRPr="0071774C">
        <w:t>levels</w:t>
      </w:r>
      <w:r>
        <w:t xml:space="preserve"> </w:t>
      </w:r>
      <w:r w:rsidRPr="0071774C">
        <w:t>–</w:t>
      </w:r>
      <w:r>
        <w:t xml:space="preserve"> </w:t>
      </w:r>
      <w:r w:rsidRPr="0071774C">
        <w:t>individual</w:t>
      </w:r>
      <w:r>
        <w:t xml:space="preserve"> </w:t>
      </w:r>
      <w:r w:rsidRPr="0071774C">
        <w:t>and</w:t>
      </w:r>
      <w:r>
        <w:t xml:space="preserve"> </w:t>
      </w:r>
      <w:r w:rsidRPr="0071774C">
        <w:t>interpersonal,</w:t>
      </w:r>
      <w:r>
        <w:t xml:space="preserve"> </w:t>
      </w:r>
      <w:r w:rsidRPr="0071774C">
        <w:t>organisational</w:t>
      </w:r>
      <w:r>
        <w:t xml:space="preserve"> </w:t>
      </w:r>
      <w:r w:rsidRPr="0071774C">
        <w:t>and</w:t>
      </w:r>
      <w:r w:rsidR="00851841">
        <w:t> </w:t>
      </w:r>
      <w:r w:rsidRPr="0071774C">
        <w:t>community,</w:t>
      </w:r>
      <w:r>
        <w:t xml:space="preserve"> </w:t>
      </w:r>
      <w:r w:rsidRPr="0071774C">
        <w:t>system</w:t>
      </w:r>
      <w:r>
        <w:t xml:space="preserve"> </w:t>
      </w:r>
      <w:r w:rsidRPr="0071774C">
        <w:t>and</w:t>
      </w:r>
      <w:r>
        <w:t xml:space="preserve"> </w:t>
      </w:r>
      <w:r w:rsidRPr="0071774C">
        <w:t>institutional,</w:t>
      </w:r>
      <w:r>
        <w:t xml:space="preserve"> </w:t>
      </w:r>
      <w:r w:rsidRPr="0071774C">
        <w:t>and</w:t>
      </w:r>
      <w:r>
        <w:t xml:space="preserve"> </w:t>
      </w:r>
      <w:r w:rsidRPr="0071774C">
        <w:t>societal.</w:t>
      </w:r>
    </w:p>
    <w:p w14:paraId="3827729B" w14:textId="77777777" w:rsidR="006337B0" w:rsidRPr="006337B0" w:rsidRDefault="006337B0" w:rsidP="006337B0">
      <w:pPr>
        <w:pStyle w:val="BodyText"/>
      </w:pPr>
      <w:r w:rsidRPr="006337B0">
        <w:br w:type="page"/>
      </w:r>
    </w:p>
    <w:p w14:paraId="2B564088" w14:textId="40B3ED11" w:rsidR="002C2EC7" w:rsidRDefault="002C2EC7" w:rsidP="00790783">
      <w:pPr>
        <w:pStyle w:val="OWBodytextafterlist"/>
      </w:pPr>
      <w:r w:rsidRPr="0071774C">
        <w:lastRenderedPageBreak/>
        <w:t>Because</w:t>
      </w:r>
      <w:r>
        <w:t xml:space="preserve"> </w:t>
      </w:r>
      <w:r w:rsidRPr="0071774C">
        <w:t>the</w:t>
      </w:r>
      <w:r>
        <w:t xml:space="preserve"> </w:t>
      </w:r>
      <w:r w:rsidRPr="0071774C">
        <w:t>drivers</w:t>
      </w:r>
      <w:r>
        <w:t xml:space="preserve"> </w:t>
      </w:r>
      <w:r w:rsidRPr="0071774C">
        <w:t>of</w:t>
      </w:r>
      <w:r>
        <w:t xml:space="preserve"> </w:t>
      </w:r>
      <w:r w:rsidRPr="0071774C">
        <w:t>violence</w:t>
      </w:r>
      <w:r>
        <w:t xml:space="preserve"> </w:t>
      </w:r>
      <w:r w:rsidRPr="0071774C">
        <w:t>are</w:t>
      </w:r>
      <w:r>
        <w:t xml:space="preserve"> </w:t>
      </w:r>
      <w:r w:rsidRPr="0071774C">
        <w:t>complex,</w:t>
      </w:r>
      <w:r>
        <w:t xml:space="preserve"> </w:t>
      </w:r>
      <w:r w:rsidRPr="0071774C">
        <w:t>and</w:t>
      </w:r>
      <w:r>
        <w:t xml:space="preserve"> </w:t>
      </w:r>
      <w:r w:rsidRPr="0071774C">
        <w:t>the</w:t>
      </w:r>
      <w:r>
        <w:t xml:space="preserve"> </w:t>
      </w:r>
      <w:r w:rsidRPr="0071774C">
        <w:t>elements</w:t>
      </w:r>
      <w:r>
        <w:t xml:space="preserve"> </w:t>
      </w:r>
      <w:r w:rsidRPr="0071774C">
        <w:t>necessary</w:t>
      </w:r>
      <w:r>
        <w:t xml:space="preserve"> </w:t>
      </w:r>
      <w:r w:rsidRPr="0071774C">
        <w:t>for</w:t>
      </w:r>
      <w:r>
        <w:t xml:space="preserve"> </w:t>
      </w:r>
      <w:r w:rsidRPr="0071774C">
        <w:t>a</w:t>
      </w:r>
      <w:r>
        <w:t xml:space="preserve"> </w:t>
      </w:r>
      <w:r w:rsidRPr="0071774C">
        <w:t>successful</w:t>
      </w:r>
      <w:r>
        <w:t xml:space="preserve"> </w:t>
      </w:r>
      <w:r w:rsidRPr="0071774C">
        <w:t>primary</w:t>
      </w:r>
      <w:r>
        <w:t xml:space="preserve"> </w:t>
      </w:r>
      <w:r w:rsidRPr="0071774C">
        <w:t>prevention</w:t>
      </w:r>
      <w:r>
        <w:t xml:space="preserve"> </w:t>
      </w:r>
      <w:r w:rsidRPr="0071774C">
        <w:t>approach</w:t>
      </w:r>
      <w:r>
        <w:t xml:space="preserve"> </w:t>
      </w:r>
      <w:r w:rsidRPr="0071774C">
        <w:t>are</w:t>
      </w:r>
      <w:r>
        <w:t xml:space="preserve"> </w:t>
      </w:r>
      <w:r w:rsidRPr="0071774C">
        <w:t>multiple</w:t>
      </w:r>
      <w:r>
        <w:t xml:space="preserve"> </w:t>
      </w:r>
      <w:r w:rsidRPr="0071774C">
        <w:t>and</w:t>
      </w:r>
      <w:r>
        <w:t xml:space="preserve"> </w:t>
      </w:r>
      <w:r w:rsidRPr="0071774C">
        <w:t>varied,</w:t>
      </w:r>
      <w:r>
        <w:t xml:space="preserve"> </w:t>
      </w:r>
      <w:r w:rsidRPr="0071774C">
        <w:t>monitoring</w:t>
      </w:r>
      <w:r>
        <w:t xml:space="preserve"> </w:t>
      </w:r>
      <w:r w:rsidRPr="0071774C">
        <w:t>the</w:t>
      </w:r>
      <w:r>
        <w:t xml:space="preserve"> </w:t>
      </w:r>
      <w:r w:rsidRPr="0071774C">
        <w:t>progress</w:t>
      </w:r>
      <w:r>
        <w:t xml:space="preserve"> </w:t>
      </w:r>
      <w:r w:rsidRPr="0071774C">
        <w:t>of</w:t>
      </w:r>
      <w:r>
        <w:t xml:space="preserve"> </w:t>
      </w:r>
      <w:r w:rsidRPr="0071774C">
        <w:t>prevention</w:t>
      </w:r>
      <w:r>
        <w:t xml:space="preserve"> </w:t>
      </w:r>
      <w:r w:rsidRPr="0071774C">
        <w:t>at</w:t>
      </w:r>
      <w:r>
        <w:t xml:space="preserve"> </w:t>
      </w:r>
      <w:r w:rsidRPr="0071774C">
        <w:t>a</w:t>
      </w:r>
      <w:r>
        <w:t xml:space="preserve"> </w:t>
      </w:r>
      <w:r w:rsidRPr="0071774C">
        <w:t>national,</w:t>
      </w:r>
      <w:r>
        <w:t xml:space="preserve"> </w:t>
      </w:r>
      <w:r w:rsidRPr="0071774C">
        <w:t>population</w:t>
      </w:r>
      <w:r>
        <w:t xml:space="preserve"> </w:t>
      </w:r>
      <w:r w:rsidRPr="0071774C">
        <w:t>level</w:t>
      </w:r>
      <w:r>
        <w:t xml:space="preserve"> </w:t>
      </w:r>
      <w:r w:rsidRPr="0071774C">
        <w:t>is</w:t>
      </w:r>
      <w:r>
        <w:t xml:space="preserve"> </w:t>
      </w:r>
      <w:r w:rsidRPr="0071774C">
        <w:t>not</w:t>
      </w:r>
      <w:r>
        <w:t xml:space="preserve"> </w:t>
      </w:r>
      <w:r w:rsidRPr="0071774C">
        <w:t>straightforward.</w:t>
      </w:r>
      <w:r>
        <w:t xml:space="preserve"> </w:t>
      </w:r>
      <w:r w:rsidRPr="0071774C">
        <w:t>It</w:t>
      </w:r>
      <w:r>
        <w:t xml:space="preserve"> </w:t>
      </w:r>
      <w:r w:rsidRPr="0071774C">
        <w:t>is</w:t>
      </w:r>
      <w:r>
        <w:t xml:space="preserve"> </w:t>
      </w:r>
      <w:r w:rsidRPr="0071774C">
        <w:t>not</w:t>
      </w:r>
      <w:r>
        <w:t xml:space="preserve"> </w:t>
      </w:r>
      <w:r w:rsidRPr="0071774C">
        <w:t>as</w:t>
      </w:r>
      <w:r>
        <w:t xml:space="preserve"> </w:t>
      </w:r>
      <w:r w:rsidRPr="0071774C">
        <w:t>simple</w:t>
      </w:r>
      <w:r>
        <w:t xml:space="preserve"> </w:t>
      </w:r>
      <w:r w:rsidRPr="0071774C">
        <w:t>as</w:t>
      </w:r>
      <w:r>
        <w:t xml:space="preserve"> </w:t>
      </w:r>
      <w:r w:rsidRPr="0071774C">
        <w:t>monitoring</w:t>
      </w:r>
      <w:r>
        <w:t xml:space="preserve"> </w:t>
      </w:r>
      <w:r w:rsidRPr="0071774C">
        <w:t>prevalence</w:t>
      </w:r>
      <w:r>
        <w:t xml:space="preserve"> </w:t>
      </w:r>
      <w:r w:rsidRPr="0071774C">
        <w:t>rates</w:t>
      </w:r>
      <w:r>
        <w:t xml:space="preserve"> </w:t>
      </w:r>
      <w:r w:rsidRPr="0071774C">
        <w:t>or</w:t>
      </w:r>
      <w:r>
        <w:t xml:space="preserve"> </w:t>
      </w:r>
      <w:r w:rsidRPr="0071774C">
        <w:t>tracking</w:t>
      </w:r>
      <w:r>
        <w:t xml:space="preserve"> </w:t>
      </w:r>
      <w:r w:rsidRPr="0071774C">
        <w:t>changes</w:t>
      </w:r>
      <w:r>
        <w:t xml:space="preserve"> </w:t>
      </w:r>
      <w:r w:rsidRPr="0071774C">
        <w:t>in</w:t>
      </w:r>
      <w:r>
        <w:t xml:space="preserve"> </w:t>
      </w:r>
      <w:r w:rsidRPr="0071774C">
        <w:t>individual</w:t>
      </w:r>
      <w:r>
        <w:t xml:space="preserve"> </w:t>
      </w:r>
      <w:r w:rsidRPr="0071774C">
        <w:t>attitudes</w:t>
      </w:r>
      <w:r>
        <w:t xml:space="preserve"> </w:t>
      </w:r>
      <w:r w:rsidRPr="0071774C">
        <w:t>towards</w:t>
      </w:r>
      <w:r>
        <w:t xml:space="preserve"> </w:t>
      </w:r>
      <w:r w:rsidRPr="0071774C">
        <w:t>violence</w:t>
      </w:r>
      <w:r>
        <w:t xml:space="preserve"> </w:t>
      </w:r>
      <w:r w:rsidRPr="0071774C">
        <w:t>or</w:t>
      </w:r>
      <w:r>
        <w:t xml:space="preserve"> </w:t>
      </w:r>
      <w:r w:rsidRPr="0071774C">
        <w:t>gender</w:t>
      </w:r>
      <w:r>
        <w:t xml:space="preserve"> </w:t>
      </w:r>
      <w:r w:rsidRPr="0071774C">
        <w:t>equality.</w:t>
      </w:r>
      <w:r>
        <w:t xml:space="preserve"> </w:t>
      </w:r>
      <w:r w:rsidRPr="0071774C">
        <w:t>Rather,</w:t>
      </w:r>
      <w:r>
        <w:t xml:space="preserve"> </w:t>
      </w:r>
      <w:r w:rsidRPr="0071774C">
        <w:t>it</w:t>
      </w:r>
      <w:r>
        <w:t xml:space="preserve"> </w:t>
      </w:r>
      <w:r w:rsidRPr="0071774C">
        <w:t>requires</w:t>
      </w:r>
      <w:r>
        <w:t xml:space="preserve"> </w:t>
      </w:r>
      <w:r w:rsidRPr="0071774C">
        <w:t>a</w:t>
      </w:r>
      <w:r>
        <w:t xml:space="preserve"> </w:t>
      </w:r>
      <w:r w:rsidRPr="0071774C">
        <w:t>series</w:t>
      </w:r>
      <w:r>
        <w:t xml:space="preserve"> </w:t>
      </w:r>
      <w:r w:rsidRPr="0071774C">
        <w:t>of</w:t>
      </w:r>
      <w:r>
        <w:t xml:space="preserve"> </w:t>
      </w:r>
      <w:r w:rsidRPr="0071774C">
        <w:t>measures</w:t>
      </w:r>
      <w:r>
        <w:t xml:space="preserve"> </w:t>
      </w:r>
      <w:r w:rsidRPr="0071774C">
        <w:t>and</w:t>
      </w:r>
      <w:r>
        <w:t xml:space="preserve"> </w:t>
      </w:r>
      <w:r w:rsidRPr="0071774C">
        <w:t>indicators</w:t>
      </w:r>
      <w:r>
        <w:t xml:space="preserve"> </w:t>
      </w:r>
      <w:r w:rsidRPr="0071774C">
        <w:t>that</w:t>
      </w:r>
      <w:r>
        <w:t xml:space="preserve"> </w:t>
      </w:r>
      <w:r w:rsidRPr="0071774C">
        <w:t>can</w:t>
      </w:r>
      <w:r>
        <w:t xml:space="preserve"> </w:t>
      </w:r>
      <w:r w:rsidRPr="0071774C">
        <w:t>help</w:t>
      </w:r>
      <w:r>
        <w:t xml:space="preserve"> </w:t>
      </w:r>
      <w:r w:rsidRPr="0071774C">
        <w:t>assess</w:t>
      </w:r>
      <w:r>
        <w:t xml:space="preserve"> </w:t>
      </w:r>
      <w:r w:rsidRPr="0071774C">
        <w:t>changes</w:t>
      </w:r>
      <w:r>
        <w:t xml:space="preserve"> </w:t>
      </w:r>
      <w:r w:rsidRPr="0071774C">
        <w:t>to</w:t>
      </w:r>
      <w:r>
        <w:t xml:space="preserve"> </w:t>
      </w:r>
      <w:r w:rsidRPr="0071774C">
        <w:t>the</w:t>
      </w:r>
      <w:r>
        <w:t xml:space="preserve"> </w:t>
      </w:r>
      <w:r w:rsidRPr="0071774C">
        <w:t>complex</w:t>
      </w:r>
      <w:r>
        <w:t xml:space="preserve"> </w:t>
      </w:r>
      <w:r w:rsidRPr="0071774C">
        <w:t>and</w:t>
      </w:r>
      <w:r>
        <w:t xml:space="preserve"> </w:t>
      </w:r>
      <w:r w:rsidRPr="0071774C">
        <w:t>interrelated</w:t>
      </w:r>
      <w:r>
        <w:t xml:space="preserve"> </w:t>
      </w:r>
      <w:r w:rsidRPr="0071774C">
        <w:t>sets</w:t>
      </w:r>
      <w:r>
        <w:t xml:space="preserve"> </w:t>
      </w:r>
      <w:r w:rsidRPr="0071774C">
        <w:t>of</w:t>
      </w:r>
      <w:r>
        <w:t xml:space="preserve"> </w:t>
      </w:r>
      <w:r w:rsidRPr="0071774C">
        <w:t>social</w:t>
      </w:r>
      <w:r>
        <w:t xml:space="preserve"> </w:t>
      </w:r>
      <w:r w:rsidRPr="0071774C">
        <w:t>norms,</w:t>
      </w:r>
      <w:r>
        <w:t xml:space="preserve"> </w:t>
      </w:r>
      <w:r w:rsidRPr="0071774C">
        <w:t>practices,</w:t>
      </w:r>
      <w:r>
        <w:t xml:space="preserve"> </w:t>
      </w:r>
      <w:r w:rsidRPr="0071774C">
        <w:t>systems</w:t>
      </w:r>
      <w:r>
        <w:t xml:space="preserve"> </w:t>
      </w:r>
      <w:r w:rsidRPr="0071774C">
        <w:t>and</w:t>
      </w:r>
      <w:r>
        <w:t xml:space="preserve"> </w:t>
      </w:r>
      <w:r w:rsidRPr="0071774C">
        <w:t>structures</w:t>
      </w:r>
      <w:r>
        <w:t xml:space="preserve"> </w:t>
      </w:r>
      <w:r w:rsidRPr="0071774C">
        <w:t>that</w:t>
      </w:r>
      <w:r>
        <w:t xml:space="preserve"> </w:t>
      </w:r>
      <w:r w:rsidRPr="0071774C">
        <w:t>together</w:t>
      </w:r>
      <w:r>
        <w:t xml:space="preserve"> </w:t>
      </w:r>
      <w:r w:rsidRPr="0071774C">
        <w:t>drive</w:t>
      </w:r>
      <w:r>
        <w:t xml:space="preserve"> </w:t>
      </w:r>
      <w:r w:rsidRPr="0071774C">
        <w:t>and</w:t>
      </w:r>
      <w:r>
        <w:t xml:space="preserve"> </w:t>
      </w:r>
      <w:r w:rsidRPr="0071774C">
        <w:t>reinforce</w:t>
      </w:r>
      <w:r>
        <w:t xml:space="preserve"> </w:t>
      </w:r>
      <w:r w:rsidRPr="0071774C">
        <w:t>violence</w:t>
      </w:r>
      <w:r>
        <w:t xml:space="preserve"> </w:t>
      </w:r>
      <w:r w:rsidRPr="0071774C">
        <w:t>against</w:t>
      </w:r>
      <w:r>
        <w:t xml:space="preserve"> </w:t>
      </w:r>
      <w:r w:rsidRPr="0071774C">
        <w:t>women,</w:t>
      </w:r>
      <w:r>
        <w:t xml:space="preserve"> </w:t>
      </w:r>
      <w:r w:rsidRPr="0071774C">
        <w:t>and</w:t>
      </w:r>
      <w:r>
        <w:t xml:space="preserve"> </w:t>
      </w:r>
      <w:r w:rsidRPr="0071774C">
        <w:t>perpetuate</w:t>
      </w:r>
      <w:r>
        <w:t xml:space="preserve"> </w:t>
      </w:r>
      <w:r w:rsidRPr="0071774C">
        <w:t>gender</w:t>
      </w:r>
      <w:r>
        <w:t xml:space="preserve"> </w:t>
      </w:r>
      <w:r w:rsidRPr="0071774C">
        <w:t>inequality.</w:t>
      </w:r>
      <w:r>
        <w:t xml:space="preserve"> </w:t>
      </w:r>
      <w:r w:rsidRPr="0071774C">
        <w:t>While</w:t>
      </w:r>
      <w:r>
        <w:t xml:space="preserve"> </w:t>
      </w:r>
      <w:r w:rsidRPr="0071774C">
        <w:t>prevention</w:t>
      </w:r>
      <w:r>
        <w:t xml:space="preserve"> </w:t>
      </w:r>
      <w:r w:rsidRPr="0071774C">
        <w:t>ultimately</w:t>
      </w:r>
      <w:r>
        <w:t xml:space="preserve"> </w:t>
      </w:r>
      <w:r w:rsidRPr="0071774C">
        <w:t>aims</w:t>
      </w:r>
      <w:r>
        <w:t xml:space="preserve"> </w:t>
      </w:r>
      <w:r w:rsidRPr="0071774C">
        <w:t>to</w:t>
      </w:r>
      <w:r>
        <w:t xml:space="preserve"> </w:t>
      </w:r>
      <w:r w:rsidRPr="0071774C">
        <w:t>deliver</w:t>
      </w:r>
      <w:r>
        <w:t xml:space="preserve"> </w:t>
      </w:r>
      <w:r w:rsidRPr="0071774C">
        <w:t>a</w:t>
      </w:r>
      <w:r>
        <w:t xml:space="preserve"> </w:t>
      </w:r>
      <w:r w:rsidRPr="0071774C">
        <w:t>future</w:t>
      </w:r>
      <w:r>
        <w:t xml:space="preserve"> </w:t>
      </w:r>
      <w:r w:rsidRPr="0071774C">
        <w:t>free</w:t>
      </w:r>
      <w:r>
        <w:t xml:space="preserve"> </w:t>
      </w:r>
      <w:r w:rsidRPr="0071774C">
        <w:t>from</w:t>
      </w:r>
      <w:r>
        <w:t xml:space="preserve"> </w:t>
      </w:r>
      <w:r w:rsidRPr="0071774C">
        <w:t>violence</w:t>
      </w:r>
      <w:r>
        <w:t xml:space="preserve"> </w:t>
      </w:r>
      <w:r w:rsidRPr="0071774C">
        <w:t>against</w:t>
      </w:r>
      <w:r>
        <w:t xml:space="preserve"> </w:t>
      </w:r>
      <w:r w:rsidRPr="0071774C">
        <w:t>women,</w:t>
      </w:r>
      <w:r>
        <w:t xml:space="preserve"> </w:t>
      </w:r>
      <w:r w:rsidRPr="0071774C">
        <w:t>monitoring</w:t>
      </w:r>
      <w:r>
        <w:t xml:space="preserve"> </w:t>
      </w:r>
      <w:r w:rsidRPr="0071774C">
        <w:t>progress</w:t>
      </w:r>
      <w:r>
        <w:t xml:space="preserve"> </w:t>
      </w:r>
      <w:r w:rsidRPr="0071774C">
        <w:t>towards</w:t>
      </w:r>
      <w:r>
        <w:t xml:space="preserve"> </w:t>
      </w:r>
      <w:r w:rsidRPr="0071774C">
        <w:t>this</w:t>
      </w:r>
      <w:r>
        <w:t xml:space="preserve"> </w:t>
      </w:r>
      <w:r w:rsidRPr="0071774C">
        <w:t>ambitious</w:t>
      </w:r>
      <w:r>
        <w:t xml:space="preserve"> </w:t>
      </w:r>
      <w:r w:rsidRPr="0071774C">
        <w:t>long-term</w:t>
      </w:r>
      <w:r>
        <w:t xml:space="preserve"> </w:t>
      </w:r>
      <w:r w:rsidRPr="0071774C">
        <w:t>goal</w:t>
      </w:r>
      <w:r>
        <w:t xml:space="preserve"> </w:t>
      </w:r>
      <w:r w:rsidRPr="0071774C">
        <w:t>requires</w:t>
      </w:r>
      <w:r>
        <w:t xml:space="preserve"> </w:t>
      </w:r>
      <w:r w:rsidRPr="0071774C">
        <w:t>periodic</w:t>
      </w:r>
      <w:r>
        <w:t xml:space="preserve"> </w:t>
      </w:r>
      <w:r w:rsidRPr="0071774C">
        <w:t>assessments</w:t>
      </w:r>
      <w:r>
        <w:t xml:space="preserve"> </w:t>
      </w:r>
      <w:r w:rsidRPr="0071774C">
        <w:t>of</w:t>
      </w:r>
      <w:r w:rsidR="00851841">
        <w:t> </w:t>
      </w:r>
      <w:r w:rsidRPr="0071774C">
        <w:t>change</w:t>
      </w:r>
      <w:r>
        <w:t xml:space="preserve"> </w:t>
      </w:r>
      <w:r w:rsidRPr="0071774C">
        <w:t>along</w:t>
      </w:r>
      <w:r>
        <w:t xml:space="preserve"> </w:t>
      </w:r>
      <w:r w:rsidRPr="0071774C">
        <w:t>the</w:t>
      </w:r>
      <w:r>
        <w:t xml:space="preserve"> </w:t>
      </w:r>
      <w:r w:rsidRPr="0071774C">
        <w:t>way;</w:t>
      </w:r>
      <w:r>
        <w:t xml:space="preserve"> </w:t>
      </w:r>
      <w:r w:rsidRPr="0071774C">
        <w:t>a</w:t>
      </w:r>
      <w:r>
        <w:t xml:space="preserve"> </w:t>
      </w:r>
      <w:r w:rsidRPr="0071774C">
        <w:t>means</w:t>
      </w:r>
      <w:r>
        <w:t xml:space="preserve"> </w:t>
      </w:r>
      <w:r w:rsidRPr="0071774C">
        <w:t>of</w:t>
      </w:r>
      <w:r>
        <w:t xml:space="preserve"> </w:t>
      </w:r>
      <w:r w:rsidRPr="0071774C">
        <w:t>measuring</w:t>
      </w:r>
      <w:r>
        <w:t xml:space="preserve"> </w:t>
      </w:r>
      <w:r w:rsidRPr="0071774C">
        <w:t>the</w:t>
      </w:r>
      <w:r>
        <w:t xml:space="preserve"> </w:t>
      </w:r>
      <w:r w:rsidRPr="0071774C">
        <w:t>smaller</w:t>
      </w:r>
      <w:r>
        <w:t xml:space="preserve"> </w:t>
      </w:r>
      <w:r w:rsidRPr="0071774C">
        <w:t>steps</w:t>
      </w:r>
      <w:r>
        <w:t xml:space="preserve"> </w:t>
      </w:r>
      <w:r w:rsidRPr="0071774C">
        <w:t>and</w:t>
      </w:r>
      <w:r>
        <w:t xml:space="preserve"> </w:t>
      </w:r>
      <w:r w:rsidRPr="0071774C">
        <w:t>shorter</w:t>
      </w:r>
      <w:r>
        <w:t xml:space="preserve"> </w:t>
      </w:r>
      <w:r w:rsidRPr="0071774C">
        <w:t>term</w:t>
      </w:r>
      <w:r>
        <w:t xml:space="preserve"> </w:t>
      </w:r>
      <w:r w:rsidRPr="0071774C">
        <w:t>achievements</w:t>
      </w:r>
      <w:r>
        <w:t xml:space="preserve"> </w:t>
      </w:r>
      <w:r w:rsidRPr="0071774C">
        <w:t>that</w:t>
      </w:r>
      <w:r>
        <w:t xml:space="preserve"> </w:t>
      </w:r>
      <w:r w:rsidRPr="0071774C">
        <w:t>indicate</w:t>
      </w:r>
      <w:r>
        <w:t xml:space="preserve"> </w:t>
      </w:r>
      <w:r w:rsidRPr="0071774C">
        <w:t>we</w:t>
      </w:r>
      <w:r>
        <w:t xml:space="preserve"> </w:t>
      </w:r>
      <w:r w:rsidRPr="0071774C">
        <w:t>are</w:t>
      </w:r>
      <w:r>
        <w:t xml:space="preserve"> </w:t>
      </w:r>
      <w:r w:rsidRPr="0071774C">
        <w:t>heading</w:t>
      </w:r>
      <w:r>
        <w:t xml:space="preserve"> </w:t>
      </w:r>
      <w:r w:rsidRPr="0071774C">
        <w:t>in</w:t>
      </w:r>
      <w:r>
        <w:t xml:space="preserve"> </w:t>
      </w:r>
      <w:r w:rsidRPr="0071774C">
        <w:t>the</w:t>
      </w:r>
      <w:r>
        <w:t xml:space="preserve"> </w:t>
      </w:r>
      <w:r w:rsidRPr="0071774C">
        <w:t>right</w:t>
      </w:r>
      <w:r>
        <w:t xml:space="preserve"> </w:t>
      </w:r>
      <w:r w:rsidRPr="0071774C">
        <w:t>direction.</w:t>
      </w:r>
    </w:p>
    <w:p w14:paraId="26F66F09" w14:textId="77777777" w:rsidR="002C2EC7" w:rsidRDefault="002C2EC7" w:rsidP="00790783">
      <w:pPr>
        <w:pStyle w:val="BodyText"/>
      </w:pPr>
      <w:r w:rsidRPr="0071774C">
        <w:t>In</w:t>
      </w:r>
      <w:r>
        <w:t xml:space="preserve"> </w:t>
      </w:r>
      <w:r w:rsidRPr="0071774C">
        <w:t>2017,</w:t>
      </w:r>
      <w:r>
        <w:t xml:space="preserve"> </w:t>
      </w:r>
      <w:r w:rsidRPr="0071774C">
        <w:t>Our</w:t>
      </w:r>
      <w:r>
        <w:t xml:space="preserve"> </w:t>
      </w:r>
      <w:r w:rsidRPr="0071774C">
        <w:t>Watch</w:t>
      </w:r>
      <w:r>
        <w:t xml:space="preserve"> </w:t>
      </w:r>
      <w:r w:rsidRPr="0071774C">
        <w:t>and</w:t>
      </w:r>
      <w:r>
        <w:t xml:space="preserve"> </w:t>
      </w:r>
      <w:r w:rsidRPr="0071774C">
        <w:t>partners</w:t>
      </w:r>
      <w:r>
        <w:t xml:space="preserve"> </w:t>
      </w:r>
      <w:r w:rsidRPr="0071774C">
        <w:t>released</w:t>
      </w:r>
      <w:r>
        <w:t xml:space="preserve"> </w:t>
      </w:r>
      <w:r w:rsidRPr="00525643">
        <w:rPr>
          <w:rStyle w:val="Emphasis"/>
        </w:rPr>
        <w:t>Counting on change: a guide to prevention monitoring</w:t>
      </w:r>
      <w:r w:rsidRPr="0071774C">
        <w:rPr>
          <w:rStyle w:val="EndnoteReference"/>
        </w:rPr>
        <w:endnoteReference w:id="10"/>
      </w:r>
      <w:r>
        <w:rPr>
          <w:vertAlign w:val="superscript"/>
        </w:rPr>
        <w:t xml:space="preserve"> </w:t>
      </w:r>
      <w:r w:rsidRPr="0071774C">
        <w:t>as</w:t>
      </w:r>
      <w:r>
        <w:t xml:space="preserve"> </w:t>
      </w:r>
      <w:r w:rsidRPr="0071774C">
        <w:t>a</w:t>
      </w:r>
      <w:r>
        <w:t xml:space="preserve"> </w:t>
      </w:r>
      <w:r w:rsidRPr="0071774C">
        <w:t>companion</w:t>
      </w:r>
      <w:r>
        <w:t xml:space="preserve"> </w:t>
      </w:r>
      <w:r w:rsidRPr="0071774C">
        <w:t>document</w:t>
      </w:r>
      <w:r>
        <w:t xml:space="preserve"> </w:t>
      </w:r>
      <w:r w:rsidRPr="0071774C">
        <w:t>to</w:t>
      </w:r>
      <w:r>
        <w:t xml:space="preserve"> </w:t>
      </w:r>
      <w:r w:rsidRPr="00525643">
        <w:rPr>
          <w:rStyle w:val="Emphasis"/>
        </w:rPr>
        <w:t>Change the story.</w:t>
      </w:r>
      <w:r w:rsidRPr="001C684D">
        <w:rPr>
          <w:rStyle w:val="EndnoteReference"/>
        </w:rPr>
        <w:endnoteReference w:id="11"/>
      </w:r>
      <w:r w:rsidRPr="00525643">
        <w:rPr>
          <w:rStyle w:val="Emphasis"/>
        </w:rPr>
        <w:t xml:space="preserve"> Counting on change</w:t>
      </w:r>
      <w:r>
        <w:t xml:space="preserve"> </w:t>
      </w:r>
      <w:r w:rsidRPr="0071774C">
        <w:t>identified</w:t>
      </w:r>
      <w:r>
        <w:t xml:space="preserve"> </w:t>
      </w:r>
      <w:r w:rsidRPr="0071774C">
        <w:t>indicators</w:t>
      </w:r>
      <w:r>
        <w:t xml:space="preserve"> </w:t>
      </w:r>
      <w:r w:rsidRPr="0071774C">
        <w:t>aligned</w:t>
      </w:r>
      <w:r>
        <w:t xml:space="preserve"> </w:t>
      </w:r>
      <w:r w:rsidRPr="0071774C">
        <w:t>with:</w:t>
      </w:r>
    </w:p>
    <w:p w14:paraId="570E66A3" w14:textId="41AA5E9D" w:rsidR="002C2EC7" w:rsidRPr="007E52B0" w:rsidRDefault="002C2EC7" w:rsidP="002C2EC7">
      <w:pPr>
        <w:pStyle w:val="OWNumberdigit"/>
        <w:numPr>
          <w:ilvl w:val="0"/>
          <w:numId w:val="6"/>
        </w:numPr>
      </w:pPr>
      <w:r w:rsidRPr="00525643">
        <w:rPr>
          <w:rStyle w:val="Emphasis"/>
        </w:rPr>
        <w:t>Short-term or process-level change:</w:t>
      </w:r>
      <w:r>
        <w:t xml:space="preserve"> </w:t>
      </w:r>
      <w:r w:rsidRPr="0071774C">
        <w:t>the</w:t>
      </w:r>
      <w:r>
        <w:t xml:space="preserve"> </w:t>
      </w:r>
      <w:r w:rsidRPr="0071774C">
        <w:t>efforts</w:t>
      </w:r>
      <w:r>
        <w:t xml:space="preserve"> </w:t>
      </w:r>
      <w:r w:rsidRPr="0071774C">
        <w:t>that</w:t>
      </w:r>
      <w:r>
        <w:t xml:space="preserve"> </w:t>
      </w:r>
      <w:r w:rsidRPr="0071774C">
        <w:t>are</w:t>
      </w:r>
      <w:r>
        <w:t xml:space="preserve"> </w:t>
      </w:r>
      <w:r w:rsidRPr="0071774C">
        <w:t>being</w:t>
      </w:r>
      <w:r>
        <w:t xml:space="preserve"> </w:t>
      </w:r>
      <w:r w:rsidRPr="0071774C">
        <w:t>made</w:t>
      </w:r>
      <w:r>
        <w:t xml:space="preserve"> </w:t>
      </w:r>
      <w:r w:rsidRPr="0071774C">
        <w:t>to</w:t>
      </w:r>
      <w:r>
        <w:t xml:space="preserve"> </w:t>
      </w:r>
      <w:r w:rsidRPr="0071774C">
        <w:t>prevent</w:t>
      </w:r>
      <w:r>
        <w:t xml:space="preserve"> </w:t>
      </w:r>
      <w:r w:rsidRPr="0071774C">
        <w:t>violence</w:t>
      </w:r>
      <w:r>
        <w:t xml:space="preserve"> </w:t>
      </w:r>
      <w:r w:rsidRPr="0071774C">
        <w:t>against</w:t>
      </w:r>
      <w:r>
        <w:t xml:space="preserve"> </w:t>
      </w:r>
      <w:r w:rsidRPr="0071774C">
        <w:t>women,</w:t>
      </w:r>
      <w:r>
        <w:t xml:space="preserve"> </w:t>
      </w:r>
      <w:r w:rsidRPr="0071774C">
        <w:t>and</w:t>
      </w:r>
      <w:r>
        <w:t xml:space="preserve"> </w:t>
      </w:r>
      <w:r w:rsidRPr="0071774C">
        <w:t>the</w:t>
      </w:r>
      <w:r>
        <w:t xml:space="preserve"> </w:t>
      </w:r>
      <w:r w:rsidRPr="0071774C">
        <w:t>‘infrastructure’,</w:t>
      </w:r>
      <w:r>
        <w:t xml:space="preserve"> </w:t>
      </w:r>
      <w:r w:rsidRPr="0071774C">
        <w:t>or</w:t>
      </w:r>
      <w:r>
        <w:t xml:space="preserve"> </w:t>
      </w:r>
      <w:r w:rsidRPr="0071774C">
        <w:t>systems,</w:t>
      </w:r>
      <w:r>
        <w:t xml:space="preserve"> </w:t>
      </w:r>
      <w:r w:rsidRPr="0071774C">
        <w:t>structures</w:t>
      </w:r>
      <w:r>
        <w:t xml:space="preserve"> </w:t>
      </w:r>
      <w:r w:rsidRPr="0071774C">
        <w:t>and</w:t>
      </w:r>
      <w:r>
        <w:t xml:space="preserve"> </w:t>
      </w:r>
      <w:r w:rsidRPr="0071774C">
        <w:t>human</w:t>
      </w:r>
      <w:r>
        <w:t xml:space="preserve"> </w:t>
      </w:r>
      <w:r w:rsidRPr="0071774C">
        <w:t>capacities</w:t>
      </w:r>
      <w:r>
        <w:t xml:space="preserve"> </w:t>
      </w:r>
      <w:r w:rsidRPr="0071774C">
        <w:t>that</w:t>
      </w:r>
      <w:r>
        <w:t xml:space="preserve"> </w:t>
      </w:r>
      <w:r w:rsidRPr="0071774C">
        <w:t>are</w:t>
      </w:r>
      <w:r>
        <w:t xml:space="preserve"> </w:t>
      </w:r>
      <w:r w:rsidRPr="0071774C">
        <w:t>being</w:t>
      </w:r>
      <w:r>
        <w:t xml:space="preserve"> </w:t>
      </w:r>
      <w:r w:rsidRPr="0071774C">
        <w:t>built</w:t>
      </w:r>
      <w:r>
        <w:t xml:space="preserve"> </w:t>
      </w:r>
      <w:r w:rsidRPr="0071774C">
        <w:t>and</w:t>
      </w:r>
      <w:r>
        <w:t xml:space="preserve"> </w:t>
      </w:r>
      <w:r w:rsidRPr="0071774C">
        <w:t>developed</w:t>
      </w:r>
      <w:r>
        <w:t xml:space="preserve"> </w:t>
      </w:r>
      <w:r w:rsidRPr="0071774C">
        <w:t>to</w:t>
      </w:r>
      <w:r>
        <w:t xml:space="preserve"> </w:t>
      </w:r>
      <w:r w:rsidRPr="0071774C">
        <w:t>support</w:t>
      </w:r>
      <w:r>
        <w:t xml:space="preserve"> </w:t>
      </w:r>
      <w:r w:rsidRPr="0071774C">
        <w:t>those</w:t>
      </w:r>
      <w:r>
        <w:t xml:space="preserve"> </w:t>
      </w:r>
      <w:r w:rsidRPr="0071774C">
        <w:t>primary</w:t>
      </w:r>
      <w:r>
        <w:t xml:space="preserve"> </w:t>
      </w:r>
      <w:r w:rsidRPr="0071774C">
        <w:t>prevention</w:t>
      </w:r>
      <w:r>
        <w:t xml:space="preserve"> </w:t>
      </w:r>
      <w:r w:rsidRPr="0071774C">
        <w:t>efforts.</w:t>
      </w:r>
      <w:r>
        <w:t xml:space="preserve"> </w:t>
      </w:r>
      <w:r w:rsidRPr="0071774C">
        <w:t>(In</w:t>
      </w:r>
      <w:r>
        <w:t xml:space="preserve"> </w:t>
      </w:r>
      <w:r w:rsidRPr="0071774C">
        <w:t>this</w:t>
      </w:r>
      <w:r>
        <w:t xml:space="preserve"> </w:t>
      </w:r>
      <w:r w:rsidRPr="0071774C">
        <w:t>report,</w:t>
      </w:r>
      <w:r>
        <w:t xml:space="preserve"> </w:t>
      </w:r>
      <w:r w:rsidRPr="0071774C">
        <w:t>we</w:t>
      </w:r>
      <w:r>
        <w:t xml:space="preserve"> </w:t>
      </w:r>
      <w:r w:rsidRPr="0071774C">
        <w:t>refer</w:t>
      </w:r>
      <w:r>
        <w:t xml:space="preserve"> </w:t>
      </w:r>
      <w:r w:rsidRPr="0071774C">
        <w:t>to</w:t>
      </w:r>
      <w:r>
        <w:t xml:space="preserve"> </w:t>
      </w:r>
      <w:r w:rsidRPr="0071774C">
        <w:t>these</w:t>
      </w:r>
      <w:r>
        <w:t xml:space="preserve"> </w:t>
      </w:r>
      <w:r w:rsidRPr="0071774C">
        <w:t>as</w:t>
      </w:r>
      <w:r>
        <w:t xml:space="preserve"> </w:t>
      </w:r>
      <w:r w:rsidRPr="0071774C">
        <w:t>the</w:t>
      </w:r>
      <w:r>
        <w:t xml:space="preserve"> </w:t>
      </w:r>
      <w:r w:rsidRPr="0071774C">
        <w:t>‘prevention</w:t>
      </w:r>
      <w:r>
        <w:t xml:space="preserve"> </w:t>
      </w:r>
      <w:r w:rsidRPr="0071774C">
        <w:t>foundations’,</w:t>
      </w:r>
      <w:r>
        <w:t xml:space="preserve"> </w:t>
      </w:r>
      <w:r w:rsidRPr="0071774C">
        <w:t>which</w:t>
      </w:r>
      <w:r>
        <w:t xml:space="preserve"> </w:t>
      </w:r>
      <w:r w:rsidRPr="0071774C">
        <w:t>are</w:t>
      </w:r>
      <w:r>
        <w:t xml:space="preserve"> </w:t>
      </w:r>
      <w:r w:rsidRPr="0071774C">
        <w:t>the</w:t>
      </w:r>
      <w:r>
        <w:t xml:space="preserve"> </w:t>
      </w:r>
      <w:r w:rsidRPr="0071774C">
        <w:t>focus</w:t>
      </w:r>
      <w:r>
        <w:t xml:space="preserve"> </w:t>
      </w:r>
      <w:r w:rsidRPr="0071774C">
        <w:t>of</w:t>
      </w:r>
      <w:r>
        <w:t xml:space="preserve"> </w:t>
      </w:r>
      <w:r w:rsidR="007E52B0">
        <w:t>S</w:t>
      </w:r>
      <w:r w:rsidRPr="007E52B0">
        <w:t>ection</w:t>
      </w:r>
      <w:r w:rsidR="007E52B0">
        <w:t> 1</w:t>
      </w:r>
      <w:r w:rsidRPr="007E52B0">
        <w:t>).</w:t>
      </w:r>
    </w:p>
    <w:p w14:paraId="5E846829" w14:textId="1B2C11AB" w:rsidR="002C2EC7" w:rsidRDefault="002C2EC7" w:rsidP="00790783">
      <w:pPr>
        <w:pStyle w:val="OWNumberdigit"/>
      </w:pPr>
      <w:r w:rsidRPr="00525643">
        <w:rPr>
          <w:rStyle w:val="Emphasis"/>
        </w:rPr>
        <w:t xml:space="preserve">Medium-term </w:t>
      </w:r>
      <w:r w:rsidR="007E52B0">
        <w:rPr>
          <w:rStyle w:val="Emphasis"/>
        </w:rPr>
        <w:t xml:space="preserve">to long-term </w:t>
      </w:r>
      <w:r w:rsidRPr="00525643">
        <w:rPr>
          <w:rStyle w:val="Emphasis"/>
        </w:rPr>
        <w:t xml:space="preserve">outcomes: </w:t>
      </w:r>
      <w:r w:rsidRPr="0071774C">
        <w:t>positive</w:t>
      </w:r>
      <w:r>
        <w:t xml:space="preserve"> </w:t>
      </w:r>
      <w:r w:rsidRPr="0071774C">
        <w:t>change</w:t>
      </w:r>
      <w:r>
        <w:t xml:space="preserve"> </w:t>
      </w:r>
      <w:r w:rsidRPr="0071774C">
        <w:t>to</w:t>
      </w:r>
      <w:r>
        <w:t xml:space="preserve"> </w:t>
      </w:r>
      <w:r w:rsidRPr="0071774C">
        <w:t>the</w:t>
      </w:r>
      <w:r>
        <w:t xml:space="preserve"> </w:t>
      </w:r>
      <w:r w:rsidRPr="0071774C">
        <w:t>gendered</w:t>
      </w:r>
      <w:r>
        <w:t xml:space="preserve"> </w:t>
      </w:r>
      <w:r w:rsidRPr="0071774C">
        <w:t>drivers</w:t>
      </w:r>
      <w:r>
        <w:t xml:space="preserve"> </w:t>
      </w:r>
      <w:r w:rsidRPr="0071774C">
        <w:t>and</w:t>
      </w:r>
      <w:r>
        <w:t xml:space="preserve"> </w:t>
      </w:r>
      <w:r w:rsidRPr="0071774C">
        <w:t>reinforcing</w:t>
      </w:r>
      <w:r>
        <w:t xml:space="preserve"> </w:t>
      </w:r>
      <w:r w:rsidRPr="0071774C">
        <w:t>factors</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as</w:t>
      </w:r>
      <w:r>
        <w:t xml:space="preserve"> </w:t>
      </w:r>
      <w:r w:rsidRPr="0071774C">
        <w:t>measured</w:t>
      </w:r>
      <w:r>
        <w:t xml:space="preserve"> </w:t>
      </w:r>
      <w:r w:rsidRPr="0071774C">
        <w:t>at</w:t>
      </w:r>
      <w:r>
        <w:t xml:space="preserve"> </w:t>
      </w:r>
      <w:r w:rsidRPr="0071774C">
        <w:t>a</w:t>
      </w:r>
      <w:r>
        <w:t xml:space="preserve"> </w:t>
      </w:r>
      <w:r w:rsidRPr="0071774C">
        <w:t>whole-of-population</w:t>
      </w:r>
      <w:r>
        <w:t xml:space="preserve"> </w:t>
      </w:r>
      <w:r w:rsidRPr="0071774C">
        <w:t>level.</w:t>
      </w:r>
      <w:r w:rsidR="007E52B0">
        <w:t xml:space="preserve"> These </w:t>
      </w:r>
      <w:r w:rsidR="007E52B0" w:rsidRPr="0071774C">
        <w:t>are</w:t>
      </w:r>
      <w:r w:rsidR="007E52B0">
        <w:t xml:space="preserve"> </w:t>
      </w:r>
      <w:r w:rsidR="007E52B0" w:rsidRPr="0071774C">
        <w:t>the</w:t>
      </w:r>
      <w:r w:rsidR="007E52B0">
        <w:t xml:space="preserve"> </w:t>
      </w:r>
      <w:r w:rsidR="007E52B0" w:rsidRPr="0071774C">
        <w:t>focus</w:t>
      </w:r>
      <w:r w:rsidR="007E52B0">
        <w:t xml:space="preserve"> </w:t>
      </w:r>
      <w:r w:rsidR="007E52B0" w:rsidRPr="0071774C">
        <w:t>of</w:t>
      </w:r>
      <w:r w:rsidR="007E52B0">
        <w:t xml:space="preserve"> S</w:t>
      </w:r>
      <w:r w:rsidR="007E52B0" w:rsidRPr="0071774C">
        <w:t>ection</w:t>
      </w:r>
      <w:r w:rsidR="007E52B0">
        <w:t xml:space="preserve"> 2 Part A </w:t>
      </w:r>
      <w:r w:rsidR="007E52B0" w:rsidRPr="0071774C">
        <w:t>of</w:t>
      </w:r>
      <w:r w:rsidR="007E52B0">
        <w:t xml:space="preserve"> </w:t>
      </w:r>
      <w:r w:rsidR="007E52B0" w:rsidRPr="0071774C">
        <w:t>this</w:t>
      </w:r>
      <w:r w:rsidR="007E52B0">
        <w:t xml:space="preserve"> </w:t>
      </w:r>
      <w:r w:rsidR="007E52B0" w:rsidRPr="0071774C">
        <w:t>report</w:t>
      </w:r>
      <w:r w:rsidR="007E52B0">
        <w:t>.</w:t>
      </w:r>
    </w:p>
    <w:p w14:paraId="189CCAC8" w14:textId="2BC66097" w:rsidR="002C2EC7" w:rsidRDefault="002C2EC7" w:rsidP="00790783">
      <w:pPr>
        <w:pStyle w:val="OWNumberdigit"/>
      </w:pPr>
      <w:r w:rsidRPr="00525643">
        <w:rPr>
          <w:rStyle w:val="Emphasis"/>
        </w:rPr>
        <w:t xml:space="preserve">Long-term </w:t>
      </w:r>
      <w:r w:rsidR="007E52B0">
        <w:rPr>
          <w:rStyle w:val="Emphasis"/>
        </w:rPr>
        <w:t>change</w:t>
      </w:r>
      <w:r w:rsidRPr="00525643">
        <w:rPr>
          <w:rStyle w:val="Emphasis"/>
        </w:rPr>
        <w:t>:</w:t>
      </w:r>
      <w:r>
        <w:t xml:space="preserve"> </w:t>
      </w:r>
      <w:r w:rsidRPr="0071774C">
        <w:t>reductions</w:t>
      </w:r>
      <w:r>
        <w:t xml:space="preserve"> </w:t>
      </w:r>
      <w:r w:rsidRPr="0071774C">
        <w:t>in</w:t>
      </w:r>
      <w:r w:rsidRPr="00525643">
        <w:t xml:space="preserve"> </w:t>
      </w:r>
      <w:r w:rsidRPr="0071774C">
        <w:t>population-level</w:t>
      </w:r>
      <w:r>
        <w:t xml:space="preserve"> </w:t>
      </w:r>
      <w:r w:rsidRPr="0071774C">
        <w:t>prevalence</w:t>
      </w:r>
      <w:r>
        <w:t xml:space="preserve"> </w:t>
      </w:r>
      <w:r w:rsidRPr="0071774C">
        <w:t>rates</w:t>
      </w:r>
      <w:r>
        <w:t xml:space="preserve"> </w:t>
      </w:r>
      <w:r w:rsidRPr="0071774C">
        <w:t>of</w:t>
      </w:r>
      <w:r>
        <w:t xml:space="preserve"> </w:t>
      </w:r>
      <w:r w:rsidRPr="0071774C">
        <w:t>violence</w:t>
      </w:r>
      <w:r>
        <w:t xml:space="preserve"> </w:t>
      </w:r>
      <w:r w:rsidRPr="0071774C">
        <w:t>against</w:t>
      </w:r>
      <w:r>
        <w:t xml:space="preserve"> </w:t>
      </w:r>
      <w:r w:rsidRPr="0071774C">
        <w:t>women</w:t>
      </w:r>
      <w:r w:rsidR="007E52B0">
        <w:t xml:space="preserve">, which </w:t>
      </w:r>
      <w:r w:rsidR="007E52B0" w:rsidRPr="0071774C">
        <w:t>are</w:t>
      </w:r>
      <w:r w:rsidR="007E52B0">
        <w:t xml:space="preserve"> </w:t>
      </w:r>
      <w:r w:rsidR="007E52B0" w:rsidRPr="0071774C">
        <w:t>the</w:t>
      </w:r>
      <w:r w:rsidR="007E52B0">
        <w:t xml:space="preserve"> </w:t>
      </w:r>
      <w:r w:rsidR="007E52B0" w:rsidRPr="0071774C">
        <w:t>focus</w:t>
      </w:r>
      <w:r w:rsidR="007E52B0">
        <w:t xml:space="preserve"> </w:t>
      </w:r>
      <w:r w:rsidR="007E52B0" w:rsidRPr="0071774C">
        <w:t>of</w:t>
      </w:r>
      <w:r w:rsidR="007E52B0">
        <w:t xml:space="preserve"> S</w:t>
      </w:r>
      <w:r w:rsidR="007E52B0" w:rsidRPr="0071774C">
        <w:t>ection</w:t>
      </w:r>
      <w:r w:rsidR="007E52B0">
        <w:t xml:space="preserve"> 2 Part B </w:t>
      </w:r>
      <w:r w:rsidR="007E52B0" w:rsidRPr="0071774C">
        <w:t>of</w:t>
      </w:r>
      <w:r w:rsidR="007E52B0">
        <w:t xml:space="preserve"> </w:t>
      </w:r>
      <w:r w:rsidR="007E52B0" w:rsidRPr="0071774C">
        <w:t>this</w:t>
      </w:r>
      <w:r w:rsidR="007E52B0">
        <w:t xml:space="preserve"> </w:t>
      </w:r>
      <w:r w:rsidR="007E52B0" w:rsidRPr="0071774C">
        <w:t>report</w:t>
      </w:r>
      <w:r w:rsidR="007E52B0">
        <w:t>.</w:t>
      </w:r>
    </w:p>
    <w:p w14:paraId="1CC3B895" w14:textId="797BEFD3" w:rsidR="002C2EC7" w:rsidRDefault="002C2EC7" w:rsidP="001F6D74">
      <w:pPr>
        <w:pStyle w:val="OWBodytextafterlist"/>
      </w:pPr>
      <w:r w:rsidRPr="0071774C">
        <w:t>This</w:t>
      </w:r>
      <w:r>
        <w:t xml:space="preserve"> </w:t>
      </w:r>
      <w:r w:rsidRPr="0071774C">
        <w:t>report</w:t>
      </w:r>
      <w:r>
        <w:t xml:space="preserve"> </w:t>
      </w:r>
      <w:r w:rsidRPr="0071774C">
        <w:t>operationalises</w:t>
      </w:r>
      <w:r>
        <w:t xml:space="preserve"> </w:t>
      </w:r>
      <w:r w:rsidRPr="00525643">
        <w:rPr>
          <w:rStyle w:val="Emphasis"/>
        </w:rPr>
        <w:t>Counting on change</w:t>
      </w:r>
      <w:r>
        <w:t xml:space="preserve"> </w:t>
      </w:r>
      <w:r w:rsidRPr="0071774C">
        <w:t>by</w:t>
      </w:r>
      <w:r>
        <w:t xml:space="preserve"> </w:t>
      </w:r>
      <w:r w:rsidRPr="0071774C">
        <w:t>presenting</w:t>
      </w:r>
      <w:r>
        <w:t xml:space="preserve"> </w:t>
      </w:r>
      <w:r w:rsidRPr="0071774C">
        <w:t>a</w:t>
      </w:r>
      <w:r>
        <w:t xml:space="preserve"> </w:t>
      </w:r>
      <w:r w:rsidRPr="0071774C">
        <w:t>picture</w:t>
      </w:r>
      <w:r>
        <w:t xml:space="preserve"> </w:t>
      </w:r>
      <w:r w:rsidRPr="0071774C">
        <w:t>of</w:t>
      </w:r>
      <w:r>
        <w:t xml:space="preserve"> </w:t>
      </w:r>
      <w:r w:rsidRPr="0071774C">
        <w:t>the</w:t>
      </w:r>
      <w:r>
        <w:t xml:space="preserve"> </w:t>
      </w:r>
      <w:r w:rsidRPr="0071774C">
        <w:t>current</w:t>
      </w:r>
      <w:r>
        <w:t xml:space="preserve"> </w:t>
      </w:r>
      <w:r w:rsidRPr="0071774C">
        <w:t>state</w:t>
      </w:r>
      <w:r>
        <w:t xml:space="preserve"> </w:t>
      </w:r>
      <w:r w:rsidRPr="0071774C">
        <w:t>(baseline)</w:t>
      </w:r>
      <w:r>
        <w:t xml:space="preserve"> </w:t>
      </w:r>
      <w:r w:rsidRPr="0071774C">
        <w:t>of</w:t>
      </w:r>
      <w:r>
        <w:t xml:space="preserve"> </w:t>
      </w:r>
      <w:r w:rsidRPr="0071774C">
        <w:t>progress</w:t>
      </w:r>
      <w:r>
        <w:t xml:space="preserve"> </w:t>
      </w:r>
      <w:r w:rsidRPr="0071774C">
        <w:t>towards</w:t>
      </w:r>
      <w:r>
        <w:t xml:space="preserve"> </w:t>
      </w:r>
      <w:r w:rsidRPr="0071774C">
        <w:t>primary</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in</w:t>
      </w:r>
      <w:r>
        <w:t xml:space="preserve"> </w:t>
      </w:r>
      <w:r w:rsidRPr="0071774C">
        <w:t>Australia</w:t>
      </w:r>
      <w:r>
        <w:t xml:space="preserve"> </w:t>
      </w:r>
      <w:r w:rsidRPr="0071774C">
        <w:t>and,</w:t>
      </w:r>
      <w:r>
        <w:t xml:space="preserve"> </w:t>
      </w:r>
      <w:r w:rsidRPr="0071774C">
        <w:t>where</w:t>
      </w:r>
      <w:r>
        <w:t xml:space="preserve"> </w:t>
      </w:r>
      <w:r w:rsidRPr="0071774C">
        <w:t>possible,</w:t>
      </w:r>
      <w:r>
        <w:t xml:space="preserve"> </w:t>
      </w:r>
      <w:r w:rsidRPr="0071774C">
        <w:t>analysing</w:t>
      </w:r>
      <w:r>
        <w:t xml:space="preserve"> </w:t>
      </w:r>
      <w:r w:rsidRPr="0071774C">
        <w:t>the</w:t>
      </w:r>
      <w:r>
        <w:t xml:space="preserve"> </w:t>
      </w:r>
      <w:r w:rsidRPr="0071774C">
        <w:t>degree,</w:t>
      </w:r>
      <w:r>
        <w:t xml:space="preserve"> </w:t>
      </w:r>
      <w:r w:rsidRPr="0071774C">
        <w:t>nature</w:t>
      </w:r>
      <w:r>
        <w:t xml:space="preserve"> </w:t>
      </w:r>
      <w:r w:rsidRPr="0071774C">
        <w:t>and</w:t>
      </w:r>
      <w:r>
        <w:t xml:space="preserve"> </w:t>
      </w:r>
      <w:r w:rsidRPr="0071774C">
        <w:t>process</w:t>
      </w:r>
      <w:r>
        <w:t xml:space="preserve"> </w:t>
      </w:r>
      <w:r w:rsidRPr="0071774C">
        <w:t>of</w:t>
      </w:r>
      <w:r>
        <w:t xml:space="preserve"> </w:t>
      </w:r>
      <w:r w:rsidRPr="0071774C">
        <w:t>change</w:t>
      </w:r>
      <w:r>
        <w:t xml:space="preserve"> </w:t>
      </w:r>
      <w:r w:rsidRPr="0071774C">
        <w:t>over</w:t>
      </w:r>
      <w:r>
        <w:t xml:space="preserve"> </w:t>
      </w:r>
      <w:r w:rsidRPr="0071774C">
        <w:t>this</w:t>
      </w:r>
      <w:r>
        <w:t xml:space="preserve"> </w:t>
      </w:r>
      <w:r w:rsidRPr="0071774C">
        <w:t>decade.</w:t>
      </w:r>
    </w:p>
    <w:p w14:paraId="1B8CE839" w14:textId="77777777" w:rsidR="002C2EC7" w:rsidRPr="005172C9" w:rsidRDefault="002C2EC7" w:rsidP="006337B0">
      <w:pPr>
        <w:pStyle w:val="Heading3"/>
        <w:pageBreakBefore w:val="0"/>
        <w:rPr>
          <w:rStyle w:val="OWCharacterHibiscus"/>
        </w:rPr>
      </w:pPr>
      <w:bookmarkStart w:id="12" w:name="_Toc55053298"/>
      <w:r w:rsidRPr="005172C9">
        <w:rPr>
          <w:rStyle w:val="OWCharacterHibiscus"/>
        </w:rPr>
        <w:t>Scope</w:t>
      </w:r>
      <w:bookmarkEnd w:id="9"/>
      <w:bookmarkEnd w:id="10"/>
      <w:bookmarkEnd w:id="11"/>
      <w:bookmarkEnd w:id="12"/>
    </w:p>
    <w:p w14:paraId="026A21FC" w14:textId="376511CC" w:rsidR="008B769D" w:rsidRPr="005F7E6E" w:rsidRDefault="008B769D" w:rsidP="005F7E6E">
      <w:pPr>
        <w:pStyle w:val="BodyText"/>
        <w:jc w:val="both"/>
      </w:pPr>
      <w:r w:rsidRPr="00486BC0">
        <w:t>This first report tracking progress in the primary prevention of violence against women</w:t>
      </w:r>
      <w:r>
        <w:t xml:space="preserve"> </w:t>
      </w:r>
      <w:r w:rsidRPr="00486BC0">
        <w:t xml:space="preserve">focuses on change over a significant decade in Australia’s recent history – 2009 to 2019. This scope deliberately corresponds to the decade in which Australia has had a </w:t>
      </w:r>
      <w:r w:rsidRPr="00486BC0">
        <w:rPr>
          <w:rStyle w:val="Emphasis"/>
        </w:rPr>
        <w:t>National Plan to Reduce Violence against Women and their Children</w:t>
      </w:r>
      <w:r w:rsidRPr="00486BC0">
        <w:t xml:space="preserve"> </w:t>
      </w:r>
      <w:r w:rsidRPr="00486BC0">
        <w:rPr>
          <w:rStyle w:val="Emphasis"/>
        </w:rPr>
        <w:t>2010–2022</w:t>
      </w:r>
      <w:r w:rsidRPr="00486BC0">
        <w:t xml:space="preserve"> (the National Plan), and the decade during which momentum towards effective primary prevention has been building. The focus in this first report is less upon quantitative assessment of change based on narro</w:t>
      </w:r>
      <w:r>
        <w:t>w data points, and more about establishing a picture of social phenomena and their patterns of change or consistency in the decade under consideration, taking into account multiple points of comparable data wherever possible.</w:t>
      </w:r>
    </w:p>
    <w:p w14:paraId="5DCC1DFF" w14:textId="77777777" w:rsidR="002C2EC7" w:rsidRPr="005172C9" w:rsidRDefault="002C2EC7" w:rsidP="00790783">
      <w:pPr>
        <w:pStyle w:val="Heading3"/>
        <w:rPr>
          <w:rStyle w:val="OWCharacterHibiscus"/>
        </w:rPr>
      </w:pPr>
      <w:bookmarkStart w:id="13" w:name="_Toc55053299"/>
      <w:r w:rsidRPr="005172C9">
        <w:rPr>
          <w:rStyle w:val="OWCharacterHibiscus"/>
        </w:rPr>
        <w:lastRenderedPageBreak/>
        <w:t>How to read this report</w:t>
      </w:r>
      <w:bookmarkEnd w:id="13"/>
    </w:p>
    <w:p w14:paraId="7AA7B8F1" w14:textId="352D397F" w:rsidR="002C2EC7" w:rsidRDefault="002C2EC7" w:rsidP="00790783">
      <w:pPr>
        <w:pStyle w:val="BodyText"/>
      </w:pPr>
      <w:r w:rsidRPr="00D00F71">
        <w:t xml:space="preserve">This report is in two </w:t>
      </w:r>
      <w:r w:rsidR="00B15595" w:rsidRPr="00D00F71">
        <w:t>sections</w:t>
      </w:r>
      <w:r w:rsidRPr="00D00F71">
        <w:t xml:space="preserve">. Section </w:t>
      </w:r>
      <w:r w:rsidR="007E52B0" w:rsidRPr="00D00F71">
        <w:t>1</w:t>
      </w:r>
      <w:r w:rsidRPr="00D00F71">
        <w:t>, Quality primary prevention infrastructure: the foundations of change, c</w:t>
      </w:r>
      <w:r w:rsidRPr="007E52B0">
        <w:t>o</w:t>
      </w:r>
      <w:r w:rsidRPr="0071774C">
        <w:t>nsiders</w:t>
      </w:r>
      <w:r>
        <w:t xml:space="preserve"> </w:t>
      </w:r>
      <w:r w:rsidRPr="0071774C">
        <w:t>how</w:t>
      </w:r>
      <w:r>
        <w:t xml:space="preserve"> </w:t>
      </w:r>
      <w:r w:rsidRPr="0071774C">
        <w:t>and</w:t>
      </w:r>
      <w:r>
        <w:t xml:space="preserve"> </w:t>
      </w:r>
      <w:r w:rsidRPr="0071774C">
        <w:t>where</w:t>
      </w:r>
      <w:r>
        <w:t xml:space="preserve"> </w:t>
      </w:r>
      <w:r w:rsidRPr="0071774C">
        <w:t>the</w:t>
      </w:r>
      <w:r>
        <w:t xml:space="preserve"> </w:t>
      </w:r>
      <w:r w:rsidRPr="0071774C">
        <w:t>foundations</w:t>
      </w:r>
      <w:r>
        <w:t xml:space="preserve"> </w:t>
      </w:r>
      <w:r w:rsidRPr="0071774C">
        <w:t>to</w:t>
      </w:r>
      <w:r>
        <w:t xml:space="preserve"> </w:t>
      </w:r>
      <w:r w:rsidRPr="0071774C">
        <w:t>support</w:t>
      </w:r>
      <w:r>
        <w:t xml:space="preserve"> </w:t>
      </w:r>
      <w:r w:rsidRPr="0071774C">
        <w:t>primary</w:t>
      </w:r>
      <w:r>
        <w:t xml:space="preserve"> </w:t>
      </w:r>
      <w:r w:rsidRPr="0071774C">
        <w:t>prevention</w:t>
      </w:r>
      <w:r>
        <w:t xml:space="preserve"> </w:t>
      </w:r>
      <w:r w:rsidRPr="0071774C">
        <w:t>have</w:t>
      </w:r>
      <w:r>
        <w:t xml:space="preserve"> </w:t>
      </w:r>
      <w:r w:rsidRPr="0071774C">
        <w:t>developed</w:t>
      </w:r>
      <w:r>
        <w:t xml:space="preserve"> </w:t>
      </w:r>
      <w:r w:rsidRPr="0071774C">
        <w:t>over</w:t>
      </w:r>
      <w:r>
        <w:t xml:space="preserve"> </w:t>
      </w:r>
      <w:r w:rsidRPr="0071774C">
        <w:t>the</w:t>
      </w:r>
      <w:r>
        <w:t xml:space="preserve"> </w:t>
      </w:r>
      <w:r w:rsidRPr="0071774C">
        <w:t>decade</w:t>
      </w:r>
      <w:r>
        <w:t xml:space="preserve"> </w:t>
      </w:r>
      <w:r w:rsidRPr="0071774C">
        <w:t>between</w:t>
      </w:r>
      <w:r>
        <w:t xml:space="preserve"> </w:t>
      </w:r>
      <w:r w:rsidRPr="0071774C">
        <w:t>2009</w:t>
      </w:r>
      <w:r>
        <w:t xml:space="preserve"> </w:t>
      </w:r>
      <w:r w:rsidRPr="0071774C">
        <w:t>and</w:t>
      </w:r>
      <w:r>
        <w:t xml:space="preserve"> </w:t>
      </w:r>
      <w:r w:rsidRPr="0071774C">
        <w:t>2019.</w:t>
      </w:r>
      <w:r>
        <w:t xml:space="preserve"> </w:t>
      </w:r>
      <w:r w:rsidRPr="0071774C">
        <w:t>Understanding</w:t>
      </w:r>
      <w:r>
        <w:t xml:space="preserve"> </w:t>
      </w:r>
      <w:r w:rsidRPr="0071774C">
        <w:t>and</w:t>
      </w:r>
      <w:r>
        <w:t xml:space="preserve"> </w:t>
      </w:r>
      <w:r w:rsidRPr="0071774C">
        <w:t>measuring</w:t>
      </w:r>
      <w:r>
        <w:t xml:space="preserve"> </w:t>
      </w:r>
      <w:r w:rsidRPr="0071774C">
        <w:t>progress</w:t>
      </w:r>
      <w:r>
        <w:t xml:space="preserve"> </w:t>
      </w:r>
      <w:r w:rsidRPr="0071774C">
        <w:t>in</w:t>
      </w:r>
      <w:r>
        <w:t xml:space="preserve"> </w:t>
      </w:r>
      <w:r w:rsidRPr="0071774C">
        <w:t>the</w:t>
      </w:r>
      <w:r>
        <w:t xml:space="preserve"> </w:t>
      </w:r>
      <w:r w:rsidRPr="0071774C">
        <w:t>development</w:t>
      </w:r>
      <w:r>
        <w:t xml:space="preserve"> </w:t>
      </w:r>
      <w:r w:rsidRPr="0071774C">
        <w:t>of,</w:t>
      </w:r>
      <w:r>
        <w:t xml:space="preserve"> </w:t>
      </w:r>
      <w:r w:rsidRPr="0071774C">
        <w:t>and</w:t>
      </w:r>
      <w:r>
        <w:t xml:space="preserve"> </w:t>
      </w:r>
      <w:r w:rsidRPr="0071774C">
        <w:t>investment</w:t>
      </w:r>
      <w:r>
        <w:t xml:space="preserve"> </w:t>
      </w:r>
      <w:r w:rsidRPr="0071774C">
        <w:t>in,</w:t>
      </w:r>
      <w:r>
        <w:t xml:space="preserve"> </w:t>
      </w:r>
      <w:r w:rsidRPr="0071774C">
        <w:t>prevention</w:t>
      </w:r>
      <w:r>
        <w:t xml:space="preserve"> </w:t>
      </w:r>
      <w:r w:rsidRPr="0071774C">
        <w:t>infrastructure</w:t>
      </w:r>
      <w:r>
        <w:t xml:space="preserve"> </w:t>
      </w:r>
      <w:r w:rsidRPr="0071774C">
        <w:t>and</w:t>
      </w:r>
      <w:r w:rsidR="00851841">
        <w:t> </w:t>
      </w:r>
      <w:r w:rsidRPr="0071774C">
        <w:t>programming</w:t>
      </w:r>
      <w:r>
        <w:t xml:space="preserve"> </w:t>
      </w:r>
      <w:r w:rsidRPr="0071774C">
        <w:t>is</w:t>
      </w:r>
      <w:r>
        <w:t xml:space="preserve"> </w:t>
      </w:r>
      <w:r w:rsidRPr="0071774C">
        <w:t>critically</w:t>
      </w:r>
      <w:r>
        <w:t xml:space="preserve"> </w:t>
      </w:r>
      <w:r w:rsidRPr="0071774C">
        <w:t>important</w:t>
      </w:r>
      <w:r>
        <w:t xml:space="preserve"> in telling us </w:t>
      </w:r>
      <w:r w:rsidRPr="0071774C">
        <w:t>whether</w:t>
      </w:r>
      <w:r>
        <w:t xml:space="preserve"> </w:t>
      </w:r>
      <w:r w:rsidRPr="0071774C">
        <w:t>Australia</w:t>
      </w:r>
      <w:r>
        <w:t xml:space="preserve"> </w:t>
      </w:r>
      <w:r w:rsidRPr="0071774C">
        <w:t>is</w:t>
      </w:r>
      <w:r>
        <w:t xml:space="preserve"> </w:t>
      </w:r>
      <w:r w:rsidRPr="0071774C">
        <w:t>heading</w:t>
      </w:r>
      <w:r>
        <w:t xml:space="preserve"> </w:t>
      </w:r>
      <w:r w:rsidRPr="0071774C">
        <w:t>in</w:t>
      </w:r>
      <w:r>
        <w:t xml:space="preserve"> </w:t>
      </w:r>
      <w:r w:rsidRPr="0071774C">
        <w:t>the</w:t>
      </w:r>
      <w:r>
        <w:t xml:space="preserve"> </w:t>
      </w:r>
      <w:r w:rsidRPr="0071774C">
        <w:t>right</w:t>
      </w:r>
      <w:r>
        <w:t xml:space="preserve"> </w:t>
      </w:r>
      <w:r w:rsidRPr="0071774C">
        <w:t>direction</w:t>
      </w:r>
      <w:r>
        <w:t xml:space="preserve"> </w:t>
      </w:r>
      <w:r w:rsidRPr="0071774C">
        <w:t>to</w:t>
      </w:r>
      <w:r>
        <w:t xml:space="preserve"> </w:t>
      </w:r>
      <w:r w:rsidRPr="0071774C">
        <w:t>ultimately</w:t>
      </w:r>
      <w:r>
        <w:t xml:space="preserve"> </w:t>
      </w:r>
      <w:r w:rsidRPr="0071774C">
        <w:t>reduce</w:t>
      </w:r>
      <w:r>
        <w:t xml:space="preserve"> </w:t>
      </w:r>
      <w:r w:rsidRPr="0071774C">
        <w:t>prevalence</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The</w:t>
      </w:r>
      <w:r>
        <w:t xml:space="preserve"> </w:t>
      </w:r>
      <w:r w:rsidRPr="0071774C">
        <w:t>findings</w:t>
      </w:r>
      <w:r>
        <w:t xml:space="preserve"> </w:t>
      </w:r>
      <w:r w:rsidRPr="0071774C">
        <w:t>of</w:t>
      </w:r>
      <w:r>
        <w:t xml:space="preserve"> </w:t>
      </w:r>
      <w:r w:rsidRPr="0071774C">
        <w:t>this</w:t>
      </w:r>
      <w:r>
        <w:t xml:space="preserve"> </w:t>
      </w:r>
      <w:r w:rsidRPr="0071774C">
        <w:t>section</w:t>
      </w:r>
      <w:r>
        <w:t xml:space="preserve"> </w:t>
      </w:r>
      <w:r w:rsidRPr="0071774C">
        <w:t>provide</w:t>
      </w:r>
      <w:r>
        <w:t xml:space="preserve"> </w:t>
      </w:r>
      <w:r w:rsidRPr="0071774C">
        <w:t>important</w:t>
      </w:r>
      <w:r>
        <w:t xml:space="preserve"> </w:t>
      </w:r>
      <w:r w:rsidRPr="0071774C">
        <w:t>context</w:t>
      </w:r>
      <w:r>
        <w:t xml:space="preserve"> </w:t>
      </w:r>
      <w:r w:rsidRPr="0071774C">
        <w:t>for</w:t>
      </w:r>
      <w:r>
        <w:t xml:space="preserve"> </w:t>
      </w:r>
      <w:r w:rsidRPr="0071774C">
        <w:t>understanding</w:t>
      </w:r>
      <w:r>
        <w:t xml:space="preserve"> </w:t>
      </w:r>
      <w:r w:rsidRPr="0071774C">
        <w:t>how</w:t>
      </w:r>
      <w:r>
        <w:t xml:space="preserve"> </w:t>
      </w:r>
      <w:r w:rsidRPr="0071774C">
        <w:t>and</w:t>
      </w:r>
      <w:r>
        <w:t xml:space="preserve"> </w:t>
      </w:r>
      <w:r w:rsidRPr="0071774C">
        <w:t>where</w:t>
      </w:r>
      <w:r>
        <w:t xml:space="preserve"> </w:t>
      </w:r>
      <w:r w:rsidRPr="0071774C">
        <w:t>our</w:t>
      </w:r>
      <w:r>
        <w:t xml:space="preserve"> </w:t>
      </w:r>
      <w:r w:rsidRPr="0071774C">
        <w:t>foundational</w:t>
      </w:r>
      <w:r>
        <w:t xml:space="preserve"> </w:t>
      </w:r>
      <w:r w:rsidRPr="0071774C">
        <w:t>efforts</w:t>
      </w:r>
      <w:r>
        <w:t xml:space="preserve"> </w:t>
      </w:r>
      <w:r w:rsidRPr="0071774C">
        <w:t>are</w:t>
      </w:r>
      <w:r>
        <w:t xml:space="preserve"> </w:t>
      </w:r>
      <w:r w:rsidRPr="0071774C">
        <w:t>supporting</w:t>
      </w:r>
      <w:r>
        <w:t xml:space="preserve"> </w:t>
      </w:r>
      <w:r w:rsidRPr="0071774C">
        <w:t>medium-</w:t>
      </w:r>
      <w:r>
        <w:t xml:space="preserve"> </w:t>
      </w:r>
      <w:r w:rsidRPr="0071774C">
        <w:t>and</w:t>
      </w:r>
      <w:r>
        <w:t xml:space="preserve"> </w:t>
      </w:r>
      <w:r w:rsidRPr="0071774C">
        <w:t>long-term</w:t>
      </w:r>
      <w:r>
        <w:t xml:space="preserve"> </w:t>
      </w:r>
      <w:r w:rsidRPr="0071774C">
        <w:t>change</w:t>
      </w:r>
      <w:r>
        <w:t xml:space="preserve"> </w:t>
      </w:r>
      <w:r w:rsidRPr="0071774C">
        <w:t>to</w:t>
      </w:r>
      <w:r>
        <w:t xml:space="preserve"> </w:t>
      </w:r>
      <w:r w:rsidRPr="0071774C">
        <w:t>prevent</w:t>
      </w:r>
      <w:r>
        <w:t xml:space="preserve"> </w:t>
      </w:r>
      <w:r w:rsidRPr="0071774C">
        <w:t>violence</w:t>
      </w:r>
      <w:r>
        <w:t xml:space="preserve"> </w:t>
      </w:r>
      <w:r w:rsidRPr="0071774C">
        <w:t>against</w:t>
      </w:r>
      <w:r>
        <w:t xml:space="preserve"> </w:t>
      </w:r>
      <w:r w:rsidRPr="0071774C">
        <w:t>women.</w:t>
      </w:r>
      <w:r>
        <w:t xml:space="preserve"> </w:t>
      </w:r>
      <w:r w:rsidRPr="0071774C">
        <w:t>An</w:t>
      </w:r>
      <w:r>
        <w:t xml:space="preserve"> </w:t>
      </w:r>
      <w:r w:rsidRPr="0071774C">
        <w:t>assessment</w:t>
      </w:r>
      <w:r>
        <w:t xml:space="preserve"> </w:t>
      </w:r>
      <w:r w:rsidRPr="0071774C">
        <w:t>of</w:t>
      </w:r>
      <w:r>
        <w:t xml:space="preserve"> </w:t>
      </w:r>
      <w:r w:rsidRPr="0071774C">
        <w:t>progress</w:t>
      </w:r>
      <w:r>
        <w:t xml:space="preserve"> </w:t>
      </w:r>
      <w:r w:rsidRPr="0071774C">
        <w:t>against</w:t>
      </w:r>
      <w:r>
        <w:t xml:space="preserve"> </w:t>
      </w:r>
      <w:r w:rsidRPr="0071774C">
        <w:t>medium</w:t>
      </w:r>
      <w:r>
        <w:t xml:space="preserve">- </w:t>
      </w:r>
      <w:r w:rsidRPr="0071774C">
        <w:t>to</w:t>
      </w:r>
      <w:r>
        <w:t xml:space="preserve"> </w:t>
      </w:r>
      <w:r w:rsidRPr="0071774C">
        <w:t>long-term</w:t>
      </w:r>
      <w:r>
        <w:t xml:space="preserve"> </w:t>
      </w:r>
      <w:r w:rsidRPr="0071774C">
        <w:t>change</w:t>
      </w:r>
      <w:r>
        <w:t xml:space="preserve"> </w:t>
      </w:r>
      <w:r w:rsidRPr="0071774C">
        <w:t>measures</w:t>
      </w:r>
      <w:r>
        <w:t xml:space="preserve"> </w:t>
      </w:r>
      <w:r w:rsidRPr="0071774C">
        <w:t>is</w:t>
      </w:r>
      <w:r>
        <w:t xml:space="preserve"> </w:t>
      </w:r>
      <w:r w:rsidRPr="0071774C">
        <w:t>the</w:t>
      </w:r>
      <w:r>
        <w:t xml:space="preserve"> </w:t>
      </w:r>
      <w:r w:rsidRPr="0071774C">
        <w:t>focus</w:t>
      </w:r>
      <w:r>
        <w:t xml:space="preserve"> </w:t>
      </w:r>
      <w:r w:rsidRPr="0071774C">
        <w:t>of</w:t>
      </w:r>
      <w:r>
        <w:t xml:space="preserve"> </w:t>
      </w:r>
      <w:r w:rsidR="007E52B0">
        <w:t>S</w:t>
      </w:r>
      <w:r w:rsidRPr="0071774C">
        <w:t>ection</w:t>
      </w:r>
      <w:r>
        <w:t xml:space="preserve"> </w:t>
      </w:r>
      <w:r w:rsidR="007E52B0">
        <w:t>2</w:t>
      </w:r>
      <w:r w:rsidRPr="0071774C">
        <w:t>.</w:t>
      </w:r>
    </w:p>
    <w:p w14:paraId="0F6EF8AE" w14:textId="4A591911" w:rsidR="002C2EC7" w:rsidRDefault="002C2EC7" w:rsidP="00790783">
      <w:pPr>
        <w:pStyle w:val="BodyText"/>
      </w:pPr>
      <w:r w:rsidRPr="0071774C">
        <w:t>You</w:t>
      </w:r>
      <w:r>
        <w:t xml:space="preserve"> </w:t>
      </w:r>
      <w:r w:rsidRPr="0071774C">
        <w:t>may</w:t>
      </w:r>
      <w:r>
        <w:t xml:space="preserve"> </w:t>
      </w:r>
      <w:r w:rsidRPr="0071774C">
        <w:t>wish</w:t>
      </w:r>
      <w:r>
        <w:t xml:space="preserve"> </w:t>
      </w:r>
      <w:r w:rsidRPr="0071774C">
        <w:t>to</w:t>
      </w:r>
      <w:r>
        <w:t xml:space="preserve"> </w:t>
      </w:r>
      <w:r w:rsidRPr="0071774C">
        <w:t>read</w:t>
      </w:r>
      <w:r>
        <w:t xml:space="preserve"> </w:t>
      </w:r>
      <w:r w:rsidRPr="0071774C">
        <w:t>only</w:t>
      </w:r>
      <w:r>
        <w:t xml:space="preserve"> </w:t>
      </w:r>
      <w:r w:rsidRPr="0071774C">
        <w:t>one</w:t>
      </w:r>
      <w:r>
        <w:t xml:space="preserve"> </w:t>
      </w:r>
      <w:r w:rsidRPr="0071774C">
        <w:t>section</w:t>
      </w:r>
      <w:r>
        <w:t xml:space="preserve"> </w:t>
      </w:r>
      <w:r w:rsidRPr="0071774C">
        <w:t>or</w:t>
      </w:r>
      <w:r>
        <w:t xml:space="preserve"> </w:t>
      </w:r>
      <w:r w:rsidRPr="0071774C">
        <w:t>subsection</w:t>
      </w:r>
      <w:r>
        <w:t xml:space="preserve"> </w:t>
      </w:r>
      <w:r w:rsidRPr="0071774C">
        <w:t>of</w:t>
      </w:r>
      <w:r>
        <w:t xml:space="preserve"> </w:t>
      </w:r>
      <w:r w:rsidRPr="0071774C">
        <w:t>this</w:t>
      </w:r>
      <w:r>
        <w:t xml:space="preserve"> </w:t>
      </w:r>
      <w:r w:rsidRPr="0071774C">
        <w:t>report</w:t>
      </w:r>
      <w:r>
        <w:t xml:space="preserve"> </w:t>
      </w:r>
      <w:r w:rsidRPr="0071774C">
        <w:t>in</w:t>
      </w:r>
      <w:r>
        <w:t xml:space="preserve"> </w:t>
      </w:r>
      <w:r w:rsidRPr="0071774C">
        <w:t>order</w:t>
      </w:r>
      <w:r>
        <w:t xml:space="preserve"> </w:t>
      </w:r>
      <w:r w:rsidRPr="0071774C">
        <w:t>to</w:t>
      </w:r>
      <w:r>
        <w:t xml:space="preserve"> </w:t>
      </w:r>
      <w:r w:rsidRPr="0071774C">
        <w:t>gain</w:t>
      </w:r>
      <w:r>
        <w:t xml:space="preserve"> </w:t>
      </w:r>
      <w:r w:rsidRPr="0071774C">
        <w:t>an</w:t>
      </w:r>
      <w:r>
        <w:t xml:space="preserve"> </w:t>
      </w:r>
      <w:r w:rsidRPr="0071774C">
        <w:t>understanding</w:t>
      </w:r>
      <w:r>
        <w:t xml:space="preserve"> </w:t>
      </w:r>
      <w:r w:rsidRPr="0071774C">
        <w:t>of</w:t>
      </w:r>
      <w:r>
        <w:t xml:space="preserve"> </w:t>
      </w:r>
      <w:r w:rsidRPr="0071774C">
        <w:t>a</w:t>
      </w:r>
      <w:r>
        <w:t xml:space="preserve"> </w:t>
      </w:r>
      <w:r w:rsidRPr="0071774C">
        <w:t>particular</w:t>
      </w:r>
      <w:r>
        <w:t xml:space="preserve"> </w:t>
      </w:r>
      <w:r w:rsidRPr="0071774C">
        <w:t>area</w:t>
      </w:r>
      <w:r>
        <w:t xml:space="preserve"> </w:t>
      </w:r>
      <w:r w:rsidRPr="0071774C">
        <w:t>of</w:t>
      </w:r>
      <w:r>
        <w:t xml:space="preserve"> </w:t>
      </w:r>
      <w:r w:rsidRPr="0071774C">
        <w:t>interest.</w:t>
      </w:r>
      <w:r>
        <w:t xml:space="preserve"> </w:t>
      </w:r>
      <w:r w:rsidRPr="0071774C">
        <w:t>For</w:t>
      </w:r>
      <w:r>
        <w:t xml:space="preserve"> </w:t>
      </w:r>
      <w:r w:rsidRPr="0071774C">
        <w:t>this</w:t>
      </w:r>
      <w:r>
        <w:t xml:space="preserve"> </w:t>
      </w:r>
      <w:r w:rsidRPr="0071774C">
        <w:t>reason,</w:t>
      </w:r>
      <w:r>
        <w:t xml:space="preserve"> </w:t>
      </w:r>
      <w:r w:rsidRPr="0071774C">
        <w:t>individual</w:t>
      </w:r>
      <w:r>
        <w:t xml:space="preserve"> </w:t>
      </w:r>
      <w:r w:rsidRPr="0071774C">
        <w:t>sections</w:t>
      </w:r>
      <w:r>
        <w:t xml:space="preserve"> </w:t>
      </w:r>
      <w:r w:rsidRPr="0071774C">
        <w:t>are</w:t>
      </w:r>
      <w:r>
        <w:t xml:space="preserve"> </w:t>
      </w:r>
      <w:r w:rsidRPr="0071774C">
        <w:t>available</w:t>
      </w:r>
      <w:r>
        <w:t xml:space="preserve"> </w:t>
      </w:r>
      <w:r w:rsidRPr="0071774C">
        <w:t>for</w:t>
      </w:r>
      <w:r>
        <w:t xml:space="preserve"> </w:t>
      </w:r>
      <w:r w:rsidRPr="0071774C">
        <w:t>download.</w:t>
      </w:r>
      <w:r>
        <w:t xml:space="preserve"> </w:t>
      </w:r>
      <w:r w:rsidRPr="0071774C">
        <w:t>Alternatively,</w:t>
      </w:r>
      <w:r>
        <w:t xml:space="preserve"> </w:t>
      </w:r>
      <w:r w:rsidRPr="0071774C">
        <w:t>you</w:t>
      </w:r>
      <w:r>
        <w:t xml:space="preserve"> </w:t>
      </w:r>
      <w:r w:rsidRPr="0071774C">
        <w:t>may</w:t>
      </w:r>
      <w:r>
        <w:t xml:space="preserve"> </w:t>
      </w:r>
      <w:r w:rsidRPr="0071774C">
        <w:t>be</w:t>
      </w:r>
      <w:r>
        <w:t xml:space="preserve"> </w:t>
      </w:r>
      <w:r w:rsidRPr="0071774C">
        <w:t>primarily</w:t>
      </w:r>
      <w:r>
        <w:t xml:space="preserve"> </w:t>
      </w:r>
      <w:r w:rsidRPr="0071774C">
        <w:t>interested</w:t>
      </w:r>
      <w:r>
        <w:t xml:space="preserve"> </w:t>
      </w:r>
      <w:r w:rsidRPr="0071774C">
        <w:t>in</w:t>
      </w:r>
      <w:r>
        <w:t xml:space="preserve"> </w:t>
      </w:r>
      <w:r w:rsidRPr="0071774C">
        <w:t>the</w:t>
      </w:r>
      <w:r>
        <w:t xml:space="preserve"> </w:t>
      </w:r>
      <w:r w:rsidRPr="0071774C">
        <w:t>overarching</w:t>
      </w:r>
      <w:r>
        <w:t xml:space="preserve"> </w:t>
      </w:r>
      <w:r w:rsidRPr="0071774C">
        <w:t>analysis</w:t>
      </w:r>
      <w:r>
        <w:t xml:space="preserve"> </w:t>
      </w:r>
      <w:r w:rsidRPr="0071774C">
        <w:t>of</w:t>
      </w:r>
      <w:r>
        <w:t xml:space="preserve"> </w:t>
      </w:r>
      <w:r w:rsidRPr="0071774C">
        <w:t>findings</w:t>
      </w:r>
      <w:r>
        <w:t xml:space="preserve"> </w:t>
      </w:r>
      <w:r w:rsidRPr="0071774C">
        <w:t>for</w:t>
      </w:r>
      <w:r>
        <w:t xml:space="preserve"> </w:t>
      </w:r>
      <w:r w:rsidRPr="0071774C">
        <w:t>each</w:t>
      </w:r>
      <w:r>
        <w:t xml:space="preserve"> </w:t>
      </w:r>
      <w:r w:rsidRPr="0071774C">
        <w:t>monitoring</w:t>
      </w:r>
      <w:r>
        <w:t xml:space="preserve"> </w:t>
      </w:r>
      <w:r w:rsidRPr="0071774C">
        <w:t>domain</w:t>
      </w:r>
      <w:r>
        <w:t xml:space="preserve"> </w:t>
      </w:r>
      <w:r w:rsidRPr="0071774C">
        <w:t>–</w:t>
      </w:r>
      <w:r>
        <w:t xml:space="preserve"> </w:t>
      </w:r>
      <w:r w:rsidRPr="0071774C">
        <w:t>in</w:t>
      </w:r>
      <w:r>
        <w:t xml:space="preserve"> </w:t>
      </w:r>
      <w:r w:rsidRPr="0071774C">
        <w:t>which</w:t>
      </w:r>
      <w:r>
        <w:t xml:space="preserve"> </w:t>
      </w:r>
      <w:r w:rsidRPr="0071774C">
        <w:t>case,</w:t>
      </w:r>
      <w:r>
        <w:t xml:space="preserve"> </w:t>
      </w:r>
      <w:r w:rsidRPr="0071774C">
        <w:t>see</w:t>
      </w:r>
      <w:r>
        <w:t xml:space="preserve"> </w:t>
      </w:r>
      <w:r w:rsidRPr="0071774C">
        <w:t>the</w:t>
      </w:r>
      <w:r>
        <w:t xml:space="preserve"> </w:t>
      </w:r>
      <w:r w:rsidRPr="0071774C">
        <w:t>‘summary</w:t>
      </w:r>
      <w:r>
        <w:t xml:space="preserve"> </w:t>
      </w:r>
      <w:r w:rsidRPr="0071774C">
        <w:t>of</w:t>
      </w:r>
      <w:r>
        <w:t xml:space="preserve"> </w:t>
      </w:r>
      <w:r w:rsidRPr="0071774C">
        <w:t>key</w:t>
      </w:r>
      <w:r>
        <w:t xml:space="preserve"> </w:t>
      </w:r>
      <w:r w:rsidRPr="0071774C">
        <w:t>findings’</w:t>
      </w:r>
      <w:r>
        <w:t xml:space="preserve"> </w:t>
      </w:r>
      <w:r w:rsidRPr="0071774C">
        <w:t>at</w:t>
      </w:r>
      <w:r>
        <w:t xml:space="preserve"> </w:t>
      </w:r>
      <w:r w:rsidRPr="0071774C">
        <w:t>the</w:t>
      </w:r>
      <w:r>
        <w:t xml:space="preserve"> </w:t>
      </w:r>
      <w:r w:rsidRPr="0071774C">
        <w:t>beginning</w:t>
      </w:r>
      <w:r>
        <w:t xml:space="preserve"> </w:t>
      </w:r>
      <w:r w:rsidRPr="0071774C">
        <w:t>of</w:t>
      </w:r>
      <w:r>
        <w:t xml:space="preserve"> </w:t>
      </w:r>
      <w:r w:rsidRPr="0071774C">
        <w:t>each</w:t>
      </w:r>
      <w:r>
        <w:t xml:space="preserve"> </w:t>
      </w:r>
      <w:r w:rsidRPr="0071774C">
        <w:t>domain.</w:t>
      </w:r>
    </w:p>
    <w:p w14:paraId="2F46D9E5" w14:textId="77777777" w:rsidR="002C2EC7" w:rsidRPr="005172C9" w:rsidRDefault="002C2EC7" w:rsidP="006337B0">
      <w:pPr>
        <w:pStyle w:val="Heading3"/>
        <w:pageBreakBefore w:val="0"/>
        <w:rPr>
          <w:rStyle w:val="OWCharacterHibiscus"/>
        </w:rPr>
      </w:pPr>
      <w:bookmarkStart w:id="14" w:name="_Toc55053300"/>
      <w:r w:rsidRPr="005172C9">
        <w:rPr>
          <w:rStyle w:val="OWCharacterHibiscus"/>
        </w:rPr>
        <w:t>Methodology</w:t>
      </w:r>
      <w:bookmarkEnd w:id="14"/>
    </w:p>
    <w:p w14:paraId="4C21DFE3" w14:textId="116CECEA" w:rsidR="002C2EC7" w:rsidRPr="000E30A0" w:rsidRDefault="002C2EC7" w:rsidP="00790783">
      <w:pPr>
        <w:pStyle w:val="Heading4"/>
        <w:spacing w:before="160"/>
        <w:rPr>
          <w:rStyle w:val="OWCharacterHibiscus"/>
        </w:rPr>
      </w:pPr>
      <w:r w:rsidRPr="000E30A0">
        <w:rPr>
          <w:rStyle w:val="OWCharacterHibiscus"/>
        </w:rPr>
        <w:t xml:space="preserve">Section </w:t>
      </w:r>
      <w:r w:rsidR="007E52B0">
        <w:rPr>
          <w:rStyle w:val="OWCharacterHibiscus"/>
        </w:rPr>
        <w:t>1</w:t>
      </w:r>
    </w:p>
    <w:p w14:paraId="4A96DC0F" w14:textId="39A557D9" w:rsidR="002C2EC7" w:rsidRDefault="002C2EC7" w:rsidP="00790783">
      <w:pPr>
        <w:pStyle w:val="BodyText"/>
      </w:pPr>
      <w:r w:rsidRPr="0071774C">
        <w:t>The</w:t>
      </w:r>
      <w:r>
        <w:t xml:space="preserve"> </w:t>
      </w:r>
      <w:r w:rsidRPr="0071774C">
        <w:t>first</w:t>
      </w:r>
      <w:r>
        <w:t xml:space="preserve"> </w:t>
      </w:r>
      <w:r w:rsidRPr="0071774C">
        <w:t>section</w:t>
      </w:r>
      <w:r>
        <w:t xml:space="preserve"> </w:t>
      </w:r>
      <w:r w:rsidRPr="0071774C">
        <w:t>of</w:t>
      </w:r>
      <w:r>
        <w:t xml:space="preserve"> </w:t>
      </w:r>
      <w:r w:rsidRPr="0071774C">
        <w:t>the</w:t>
      </w:r>
      <w:r>
        <w:t xml:space="preserve"> </w:t>
      </w:r>
      <w:r w:rsidRPr="0071774C">
        <w:t>monitoring</w:t>
      </w:r>
      <w:r>
        <w:t xml:space="preserve"> </w:t>
      </w:r>
      <w:r w:rsidRPr="0071774C">
        <w:t>report</w:t>
      </w:r>
      <w:r>
        <w:t xml:space="preserve"> </w:t>
      </w:r>
      <w:r w:rsidRPr="0071774C">
        <w:t>outlines</w:t>
      </w:r>
      <w:r>
        <w:t xml:space="preserve"> </w:t>
      </w:r>
      <w:r w:rsidRPr="0071774C">
        <w:t>emerging</w:t>
      </w:r>
      <w:r>
        <w:t xml:space="preserve"> </w:t>
      </w:r>
      <w:r w:rsidRPr="0071774C">
        <w:t>insights</w:t>
      </w:r>
      <w:r>
        <w:t xml:space="preserve"> </w:t>
      </w:r>
      <w:r w:rsidRPr="0071774C">
        <w:t>into</w:t>
      </w:r>
      <w:r>
        <w:t xml:space="preserve"> </w:t>
      </w:r>
      <w:r w:rsidRPr="0071774C">
        <w:t>how</w:t>
      </w:r>
      <w:r>
        <w:t xml:space="preserve"> </w:t>
      </w:r>
      <w:r w:rsidRPr="0071774C">
        <w:t>and</w:t>
      </w:r>
      <w:r>
        <w:t xml:space="preserve"> </w:t>
      </w:r>
      <w:r w:rsidRPr="0071774C">
        <w:t>where</w:t>
      </w:r>
      <w:r>
        <w:t xml:space="preserve"> </w:t>
      </w:r>
      <w:r w:rsidRPr="0071774C">
        <w:t>the</w:t>
      </w:r>
      <w:r>
        <w:t xml:space="preserve"> </w:t>
      </w:r>
      <w:r w:rsidRPr="0071774C">
        <w:t>foundations</w:t>
      </w:r>
      <w:r>
        <w:t xml:space="preserve"> </w:t>
      </w:r>
      <w:r w:rsidRPr="0071774C">
        <w:t>to</w:t>
      </w:r>
      <w:r>
        <w:t xml:space="preserve"> </w:t>
      </w:r>
      <w:r w:rsidRPr="0071774C">
        <w:t>support</w:t>
      </w:r>
      <w:r>
        <w:t xml:space="preserve"> </w:t>
      </w:r>
      <w:r w:rsidRPr="0071774C">
        <w:t>primary</w:t>
      </w:r>
      <w:r>
        <w:t xml:space="preserve"> </w:t>
      </w:r>
      <w:r w:rsidRPr="0071774C">
        <w:t>prevention</w:t>
      </w:r>
      <w:r>
        <w:t xml:space="preserve"> </w:t>
      </w:r>
      <w:r w:rsidRPr="0071774C">
        <w:t>have</w:t>
      </w:r>
      <w:r>
        <w:t xml:space="preserve"> </w:t>
      </w:r>
      <w:r w:rsidRPr="0071774C">
        <w:t>developed</w:t>
      </w:r>
      <w:r>
        <w:t xml:space="preserve"> </w:t>
      </w:r>
      <w:r w:rsidRPr="0071774C">
        <w:t>over</w:t>
      </w:r>
      <w:r>
        <w:t xml:space="preserve"> </w:t>
      </w:r>
      <w:r w:rsidRPr="0071774C">
        <w:t>the</w:t>
      </w:r>
      <w:r>
        <w:t xml:space="preserve"> </w:t>
      </w:r>
      <w:r w:rsidRPr="0071774C">
        <w:t>decade</w:t>
      </w:r>
      <w:r>
        <w:t xml:space="preserve"> </w:t>
      </w:r>
      <w:r w:rsidRPr="0071774C">
        <w:t>between</w:t>
      </w:r>
      <w:r>
        <w:t xml:space="preserve"> </w:t>
      </w:r>
      <w:r w:rsidRPr="0071774C">
        <w:t>2009</w:t>
      </w:r>
      <w:r>
        <w:t xml:space="preserve"> </w:t>
      </w:r>
      <w:r w:rsidRPr="0071774C">
        <w:t>and</w:t>
      </w:r>
      <w:r>
        <w:t xml:space="preserve"> </w:t>
      </w:r>
      <w:r w:rsidRPr="0071774C">
        <w:t>2019.</w:t>
      </w:r>
      <w:r>
        <w:t xml:space="preserve"> </w:t>
      </w:r>
      <w:r w:rsidR="00984085" w:rsidRPr="0071774C">
        <w:t>This</w:t>
      </w:r>
      <w:r w:rsidR="00984085">
        <w:t xml:space="preserve"> </w:t>
      </w:r>
      <w:r w:rsidR="00984085" w:rsidRPr="0071774C">
        <w:t>section</w:t>
      </w:r>
      <w:r w:rsidR="00984085">
        <w:t xml:space="preserve"> </w:t>
      </w:r>
      <w:r w:rsidR="00984085" w:rsidRPr="0071774C">
        <w:t>provides</w:t>
      </w:r>
      <w:r w:rsidR="00984085">
        <w:t xml:space="preserve"> </w:t>
      </w:r>
      <w:r w:rsidR="00984085" w:rsidRPr="0071774C">
        <w:t>insight</w:t>
      </w:r>
      <w:r w:rsidR="00984085">
        <w:t xml:space="preserve"> </w:t>
      </w:r>
      <w:r w:rsidR="00984085" w:rsidRPr="0071774C">
        <w:t>into</w:t>
      </w:r>
      <w:r w:rsidR="00984085">
        <w:t xml:space="preserve"> </w:t>
      </w:r>
      <w:r w:rsidR="00984085" w:rsidRPr="0071774C">
        <w:t>the</w:t>
      </w:r>
      <w:r w:rsidR="00984085">
        <w:t xml:space="preserve"> </w:t>
      </w:r>
      <w:r w:rsidR="00984085" w:rsidRPr="0071774C">
        <w:t>current</w:t>
      </w:r>
      <w:r w:rsidR="00984085">
        <w:t xml:space="preserve"> </w:t>
      </w:r>
      <w:r w:rsidR="00984085" w:rsidRPr="0071774C">
        <w:t>context</w:t>
      </w:r>
      <w:r w:rsidR="00984085">
        <w:t xml:space="preserve"> </w:t>
      </w:r>
      <w:r w:rsidR="00984085" w:rsidRPr="0071774C">
        <w:t>of</w:t>
      </w:r>
      <w:r w:rsidR="00984085">
        <w:t xml:space="preserve"> </w:t>
      </w:r>
      <w:r w:rsidR="00984085" w:rsidRPr="0071774C">
        <w:t>reform,</w:t>
      </w:r>
      <w:r w:rsidR="00984085">
        <w:t xml:space="preserve"> </w:t>
      </w:r>
      <w:r w:rsidR="00984085" w:rsidRPr="0071774C">
        <w:t>particularly</w:t>
      </w:r>
      <w:r w:rsidR="00984085">
        <w:t xml:space="preserve"> </w:t>
      </w:r>
      <w:r w:rsidR="00984085" w:rsidRPr="0071774C">
        <w:t>in</w:t>
      </w:r>
      <w:r w:rsidR="00984085">
        <w:t xml:space="preserve"> </w:t>
      </w:r>
      <w:r w:rsidR="00984085" w:rsidRPr="0071774C">
        <w:t>relation</w:t>
      </w:r>
      <w:r w:rsidR="00984085">
        <w:t xml:space="preserve"> </w:t>
      </w:r>
      <w:r w:rsidR="00984085" w:rsidRPr="0071774C">
        <w:t>to</w:t>
      </w:r>
      <w:r w:rsidR="00984085">
        <w:t xml:space="preserve"> </w:t>
      </w:r>
      <w:r w:rsidR="00984085" w:rsidRPr="0071774C">
        <w:t>institutional,</w:t>
      </w:r>
      <w:r w:rsidR="00984085">
        <w:t xml:space="preserve"> </w:t>
      </w:r>
      <w:r w:rsidR="00984085" w:rsidRPr="0071774C">
        <w:t>organisational</w:t>
      </w:r>
      <w:r w:rsidR="00984085">
        <w:t xml:space="preserve"> </w:t>
      </w:r>
      <w:r w:rsidR="00984085" w:rsidRPr="0071774C">
        <w:t>and</w:t>
      </w:r>
      <w:r w:rsidR="00984085">
        <w:t xml:space="preserve"> </w:t>
      </w:r>
      <w:r w:rsidR="00984085" w:rsidRPr="0071774C">
        <w:t>structural</w:t>
      </w:r>
      <w:r w:rsidR="00984085">
        <w:t xml:space="preserve"> </w:t>
      </w:r>
      <w:r w:rsidR="00984085" w:rsidRPr="0071774C">
        <w:t>reforms</w:t>
      </w:r>
      <w:r w:rsidR="00984085">
        <w:t xml:space="preserve"> </w:t>
      </w:r>
      <w:r w:rsidR="00984085" w:rsidRPr="0071774C">
        <w:t>that</w:t>
      </w:r>
      <w:r w:rsidR="00984085">
        <w:t xml:space="preserve"> </w:t>
      </w:r>
      <w:r w:rsidR="00984085" w:rsidRPr="0071774C">
        <w:t>we</w:t>
      </w:r>
      <w:r w:rsidR="00984085">
        <w:t xml:space="preserve"> </w:t>
      </w:r>
      <w:r w:rsidR="00984085" w:rsidRPr="0071774C">
        <w:t>know</w:t>
      </w:r>
      <w:r w:rsidR="00984085">
        <w:t xml:space="preserve"> </w:t>
      </w:r>
      <w:r w:rsidR="00984085" w:rsidRPr="0071774C">
        <w:t>are</w:t>
      </w:r>
      <w:r w:rsidR="00984085">
        <w:t xml:space="preserve"> </w:t>
      </w:r>
      <w:r w:rsidR="00984085" w:rsidRPr="0071774C">
        <w:t>necessary</w:t>
      </w:r>
      <w:r w:rsidR="00984085">
        <w:t xml:space="preserve"> </w:t>
      </w:r>
      <w:r w:rsidR="00984085" w:rsidRPr="0071774C">
        <w:t>to</w:t>
      </w:r>
      <w:r w:rsidR="00984085">
        <w:t xml:space="preserve"> </w:t>
      </w:r>
      <w:r w:rsidR="00984085" w:rsidRPr="0071774C">
        <w:t>provide</w:t>
      </w:r>
      <w:r w:rsidR="00984085">
        <w:t xml:space="preserve"> </w:t>
      </w:r>
      <w:r w:rsidR="00984085" w:rsidRPr="0071774C">
        <w:t>the</w:t>
      </w:r>
      <w:r w:rsidR="00984085">
        <w:t xml:space="preserve"> </w:t>
      </w:r>
      <w:r w:rsidR="00984085" w:rsidRPr="0071774C">
        <w:t>foundations</w:t>
      </w:r>
      <w:r w:rsidR="00984085">
        <w:t xml:space="preserve"> </w:t>
      </w:r>
      <w:r w:rsidR="00984085" w:rsidRPr="0071774C">
        <w:t>for</w:t>
      </w:r>
      <w:r w:rsidR="00984085">
        <w:t xml:space="preserve"> </w:t>
      </w:r>
      <w:r w:rsidR="00984085" w:rsidRPr="0071774C">
        <w:t>long</w:t>
      </w:r>
      <w:r w:rsidR="00984085">
        <w:t>-</w:t>
      </w:r>
      <w:r w:rsidR="00984085" w:rsidRPr="0071774C">
        <w:t>term</w:t>
      </w:r>
      <w:r w:rsidR="00984085">
        <w:t xml:space="preserve"> </w:t>
      </w:r>
      <w:r w:rsidR="00984085" w:rsidRPr="0071774C">
        <w:t>change.</w:t>
      </w:r>
      <w:r w:rsidR="00984085">
        <w:t xml:space="preserve"> T</w:t>
      </w:r>
      <w:r w:rsidRPr="0071774C">
        <w:t>his</w:t>
      </w:r>
      <w:r>
        <w:t xml:space="preserve"> </w:t>
      </w:r>
      <w:r w:rsidRPr="0071774C">
        <w:t>section</w:t>
      </w:r>
      <w:r>
        <w:t xml:space="preserve"> </w:t>
      </w:r>
      <w:r w:rsidRPr="0071774C">
        <w:t>is</w:t>
      </w:r>
      <w:r>
        <w:t xml:space="preserve"> </w:t>
      </w:r>
      <w:r w:rsidRPr="0071774C">
        <w:t>not</w:t>
      </w:r>
      <w:r>
        <w:t xml:space="preserve"> </w:t>
      </w:r>
      <w:r w:rsidRPr="0071774C">
        <w:t>a</w:t>
      </w:r>
      <w:r>
        <w:t xml:space="preserve"> </w:t>
      </w:r>
      <w:r w:rsidRPr="0071774C">
        <w:t>comprehensive</w:t>
      </w:r>
      <w:r>
        <w:t xml:space="preserve"> </w:t>
      </w:r>
      <w:r w:rsidRPr="0071774C">
        <w:t>mapping,</w:t>
      </w:r>
      <w:r>
        <w:t xml:space="preserve"> </w:t>
      </w:r>
      <w:r w:rsidRPr="0071774C">
        <w:t>nor</w:t>
      </w:r>
      <w:r>
        <w:t xml:space="preserve"> </w:t>
      </w:r>
      <w:r w:rsidRPr="0071774C">
        <w:t>does</w:t>
      </w:r>
      <w:r>
        <w:t xml:space="preserve"> </w:t>
      </w:r>
      <w:r w:rsidRPr="0071774C">
        <w:t>it</w:t>
      </w:r>
      <w:r>
        <w:t xml:space="preserve"> </w:t>
      </w:r>
      <w:r w:rsidRPr="0071774C">
        <w:t>attempt</w:t>
      </w:r>
      <w:r>
        <w:t xml:space="preserve"> </w:t>
      </w:r>
      <w:r w:rsidRPr="0071774C">
        <w:t>to</w:t>
      </w:r>
      <w:r>
        <w:t xml:space="preserve"> </w:t>
      </w:r>
      <w:r w:rsidRPr="0071774C">
        <w:t>gather</w:t>
      </w:r>
      <w:r>
        <w:t xml:space="preserve"> </w:t>
      </w:r>
      <w:r w:rsidRPr="0071774C">
        <w:t>data</w:t>
      </w:r>
      <w:r>
        <w:t xml:space="preserve"> </w:t>
      </w:r>
      <w:r w:rsidRPr="0071774C">
        <w:t>on</w:t>
      </w:r>
      <w:r>
        <w:t xml:space="preserve"> </w:t>
      </w:r>
      <w:r w:rsidRPr="0071774C">
        <w:t>all</w:t>
      </w:r>
      <w:r>
        <w:t xml:space="preserve"> </w:t>
      </w:r>
      <w:r w:rsidRPr="0071774C">
        <w:t>the</w:t>
      </w:r>
      <w:r>
        <w:t xml:space="preserve"> </w:t>
      </w:r>
      <w:r w:rsidRPr="0071774C">
        <w:t>possible</w:t>
      </w:r>
      <w:r>
        <w:t xml:space="preserve"> </w:t>
      </w:r>
      <w:r w:rsidRPr="0071774C">
        <w:t>measures</w:t>
      </w:r>
      <w:r>
        <w:t xml:space="preserve"> </w:t>
      </w:r>
      <w:r w:rsidRPr="0071774C">
        <w:t>outlined</w:t>
      </w:r>
      <w:r>
        <w:t xml:space="preserve"> </w:t>
      </w:r>
      <w:r w:rsidRPr="0071774C">
        <w:t>in</w:t>
      </w:r>
      <w:r>
        <w:t xml:space="preserve"> </w:t>
      </w:r>
      <w:r w:rsidRPr="00525643">
        <w:rPr>
          <w:rStyle w:val="Emphasis"/>
        </w:rPr>
        <w:t>Counting on change</w:t>
      </w:r>
      <w:r w:rsidRPr="0071774C">
        <w:t>.</w:t>
      </w:r>
      <w:r>
        <w:t xml:space="preserve"> </w:t>
      </w:r>
      <w:r w:rsidRPr="0071774C">
        <w:t>Rather,</w:t>
      </w:r>
      <w:r>
        <w:t xml:space="preserve"> </w:t>
      </w:r>
      <w:r w:rsidRPr="0071774C">
        <w:t>drawing</w:t>
      </w:r>
      <w:r>
        <w:t xml:space="preserve"> </w:t>
      </w:r>
      <w:r w:rsidRPr="0071774C">
        <w:t>on</w:t>
      </w:r>
      <w:r>
        <w:t xml:space="preserve"> primary and secondary </w:t>
      </w:r>
      <w:r w:rsidRPr="0071774C">
        <w:t>qualitative</w:t>
      </w:r>
      <w:r>
        <w:t xml:space="preserve"> </w:t>
      </w:r>
      <w:r w:rsidRPr="0071774C">
        <w:t>and</w:t>
      </w:r>
      <w:r>
        <w:t xml:space="preserve"> </w:t>
      </w:r>
      <w:r w:rsidRPr="0071774C">
        <w:t>quantitative</w:t>
      </w:r>
      <w:r>
        <w:t xml:space="preserve"> </w:t>
      </w:r>
      <w:r w:rsidRPr="0071774C">
        <w:t>data</w:t>
      </w:r>
      <w:r>
        <w:t xml:space="preserve">, </w:t>
      </w:r>
      <w:r w:rsidRPr="0071774C">
        <w:t>it</w:t>
      </w:r>
      <w:r>
        <w:t xml:space="preserve"> </w:t>
      </w:r>
      <w:r w:rsidRPr="0071774C">
        <w:t>paints</w:t>
      </w:r>
      <w:r>
        <w:t xml:space="preserve"> </w:t>
      </w:r>
      <w:r w:rsidRPr="0071774C">
        <w:t>an</w:t>
      </w:r>
      <w:r>
        <w:t xml:space="preserve"> </w:t>
      </w:r>
      <w:r w:rsidRPr="0071774C">
        <w:t>emerging</w:t>
      </w:r>
      <w:r>
        <w:t xml:space="preserve"> </w:t>
      </w:r>
      <w:r w:rsidRPr="0071774C">
        <w:t>picture</w:t>
      </w:r>
      <w:r>
        <w:t xml:space="preserve"> </w:t>
      </w:r>
      <w:r w:rsidRPr="0071774C">
        <w:t>of</w:t>
      </w:r>
      <w:r>
        <w:t xml:space="preserve"> </w:t>
      </w:r>
      <w:r w:rsidRPr="0071774C">
        <w:t>how</w:t>
      </w:r>
      <w:r>
        <w:t xml:space="preserve"> </w:t>
      </w:r>
      <w:r w:rsidRPr="0071774C">
        <w:t>and</w:t>
      </w:r>
      <w:r>
        <w:t xml:space="preserve"> </w:t>
      </w:r>
      <w:r w:rsidRPr="0071774C">
        <w:t>where</w:t>
      </w:r>
      <w:r>
        <w:t xml:space="preserve"> </w:t>
      </w:r>
      <w:r w:rsidRPr="0071774C">
        <w:t>primary</w:t>
      </w:r>
      <w:r>
        <w:t xml:space="preserve"> </w:t>
      </w:r>
      <w:r w:rsidRPr="0071774C">
        <w:t>prevention</w:t>
      </w:r>
      <w:r>
        <w:t xml:space="preserve"> </w:t>
      </w:r>
      <w:r w:rsidRPr="0071774C">
        <w:t>infrastructure</w:t>
      </w:r>
      <w:r>
        <w:t xml:space="preserve"> </w:t>
      </w:r>
      <w:r w:rsidRPr="0071774C">
        <w:t>has</w:t>
      </w:r>
      <w:r>
        <w:t xml:space="preserve"> </w:t>
      </w:r>
      <w:r w:rsidRPr="0071774C">
        <w:t>developed</w:t>
      </w:r>
      <w:r>
        <w:t xml:space="preserve"> </w:t>
      </w:r>
      <w:r w:rsidRPr="0071774C">
        <w:t>in</w:t>
      </w:r>
      <w:r>
        <w:t xml:space="preserve"> </w:t>
      </w:r>
      <w:r w:rsidRPr="0071774C">
        <w:t>this</w:t>
      </w:r>
      <w:r>
        <w:t xml:space="preserve"> </w:t>
      </w:r>
      <w:r w:rsidRPr="0071774C">
        <w:t>period,</w:t>
      </w:r>
      <w:r>
        <w:t xml:space="preserve"> </w:t>
      </w:r>
      <w:r w:rsidRPr="0071774C">
        <w:t>and</w:t>
      </w:r>
      <w:r>
        <w:t xml:space="preserve"> </w:t>
      </w:r>
      <w:r w:rsidRPr="0071774C">
        <w:t>how</w:t>
      </w:r>
      <w:r>
        <w:t xml:space="preserve"> </w:t>
      </w:r>
      <w:r w:rsidRPr="0071774C">
        <w:t>and</w:t>
      </w:r>
      <w:r>
        <w:t xml:space="preserve"> </w:t>
      </w:r>
      <w:r w:rsidRPr="0071774C">
        <w:t>where</w:t>
      </w:r>
      <w:r>
        <w:t xml:space="preserve"> </w:t>
      </w:r>
      <w:r w:rsidRPr="0071774C">
        <w:t>these</w:t>
      </w:r>
      <w:r>
        <w:t xml:space="preserve"> </w:t>
      </w:r>
      <w:r w:rsidRPr="0071774C">
        <w:t>elements</w:t>
      </w:r>
      <w:r>
        <w:t xml:space="preserve"> </w:t>
      </w:r>
      <w:r w:rsidRPr="0071774C">
        <w:t>of</w:t>
      </w:r>
      <w:r>
        <w:t xml:space="preserve"> </w:t>
      </w:r>
      <w:r w:rsidRPr="0071774C">
        <w:t>infrastructure</w:t>
      </w:r>
      <w:r>
        <w:t xml:space="preserve"> </w:t>
      </w:r>
      <w:r w:rsidRPr="0071774C">
        <w:t>reinforce</w:t>
      </w:r>
      <w:r>
        <w:t xml:space="preserve"> </w:t>
      </w:r>
      <w:r w:rsidRPr="0071774C">
        <w:t>and</w:t>
      </w:r>
      <w:r w:rsidR="001F6D74">
        <w:t> </w:t>
      </w:r>
      <w:r w:rsidRPr="0071774C">
        <w:t>support</w:t>
      </w:r>
      <w:r>
        <w:t xml:space="preserve"> </w:t>
      </w:r>
      <w:r w:rsidRPr="0071774C">
        <w:t>each</w:t>
      </w:r>
      <w:r>
        <w:t xml:space="preserve"> </w:t>
      </w:r>
      <w:r w:rsidRPr="0071774C">
        <w:t>other.</w:t>
      </w:r>
      <w:r>
        <w:t xml:space="preserve"> It </w:t>
      </w:r>
      <w:r w:rsidRPr="0071774C">
        <w:t>does</w:t>
      </w:r>
      <w:r>
        <w:t xml:space="preserve"> </w:t>
      </w:r>
      <w:r w:rsidRPr="0071774C">
        <w:t>not</w:t>
      </w:r>
      <w:r>
        <w:t xml:space="preserve"> </w:t>
      </w:r>
      <w:r w:rsidRPr="0071774C">
        <w:t>attempt</w:t>
      </w:r>
      <w:r>
        <w:t xml:space="preserve"> </w:t>
      </w:r>
      <w:r w:rsidRPr="0071774C">
        <w:t>to</w:t>
      </w:r>
      <w:r>
        <w:t xml:space="preserve"> </w:t>
      </w:r>
      <w:r w:rsidRPr="0071774C">
        <w:t>make</w:t>
      </w:r>
      <w:r>
        <w:t xml:space="preserve"> </w:t>
      </w:r>
      <w:r w:rsidRPr="0071774C">
        <w:t>a</w:t>
      </w:r>
      <w:r>
        <w:t xml:space="preserve"> </w:t>
      </w:r>
      <w:r w:rsidRPr="0071774C">
        <w:t>definitive</w:t>
      </w:r>
      <w:r>
        <w:t xml:space="preserve"> </w:t>
      </w:r>
      <w:r w:rsidRPr="0071774C">
        <w:t>quantitative</w:t>
      </w:r>
      <w:r>
        <w:t xml:space="preserve"> </w:t>
      </w:r>
      <w:r w:rsidRPr="0071774C">
        <w:t>assessment</w:t>
      </w:r>
      <w:r>
        <w:t xml:space="preserve"> </w:t>
      </w:r>
      <w:r w:rsidRPr="0071774C">
        <w:t>of</w:t>
      </w:r>
      <w:r w:rsidR="001F6D74">
        <w:t> </w:t>
      </w:r>
      <w:r w:rsidRPr="0071774C">
        <w:t>change</w:t>
      </w:r>
      <w:r>
        <w:t xml:space="preserve"> </w:t>
      </w:r>
      <w:r w:rsidRPr="0071774C">
        <w:t>between</w:t>
      </w:r>
      <w:r>
        <w:t xml:space="preserve"> </w:t>
      </w:r>
      <w:r w:rsidRPr="0071774C">
        <w:t>2009</w:t>
      </w:r>
      <w:r>
        <w:t xml:space="preserve"> </w:t>
      </w:r>
      <w:r w:rsidRPr="0071774C">
        <w:t>and</w:t>
      </w:r>
      <w:r>
        <w:t xml:space="preserve"> </w:t>
      </w:r>
      <w:r w:rsidRPr="0071774C">
        <w:t>2019,</w:t>
      </w:r>
      <w:r>
        <w:t xml:space="preserve"> </w:t>
      </w:r>
      <w:r w:rsidRPr="0071774C">
        <w:t>as</w:t>
      </w:r>
      <w:r>
        <w:t xml:space="preserve"> </w:t>
      </w:r>
      <w:r w:rsidRPr="0071774C">
        <w:t>comparative</w:t>
      </w:r>
      <w:r>
        <w:t xml:space="preserve"> </w:t>
      </w:r>
      <w:r w:rsidRPr="0071774C">
        <w:t>data</w:t>
      </w:r>
      <w:r>
        <w:t xml:space="preserve"> </w:t>
      </w:r>
      <w:r w:rsidRPr="0071774C">
        <w:t>for</w:t>
      </w:r>
      <w:r>
        <w:t xml:space="preserve"> </w:t>
      </w:r>
      <w:r w:rsidRPr="0071774C">
        <w:t>these</w:t>
      </w:r>
      <w:r>
        <w:t xml:space="preserve"> </w:t>
      </w:r>
      <w:r w:rsidRPr="0071774C">
        <w:t>two</w:t>
      </w:r>
      <w:r>
        <w:t xml:space="preserve"> </w:t>
      </w:r>
      <w:r w:rsidRPr="0071774C">
        <w:t>particular</w:t>
      </w:r>
      <w:r>
        <w:t xml:space="preserve"> </w:t>
      </w:r>
      <w:r w:rsidRPr="0071774C">
        <w:t>points</w:t>
      </w:r>
      <w:r>
        <w:t xml:space="preserve"> </w:t>
      </w:r>
      <w:r w:rsidRPr="0071774C">
        <w:t>in</w:t>
      </w:r>
      <w:r>
        <w:t xml:space="preserve"> </w:t>
      </w:r>
      <w:r w:rsidRPr="0071774C">
        <w:t>the</w:t>
      </w:r>
      <w:r>
        <w:t xml:space="preserve"> </w:t>
      </w:r>
      <w:r w:rsidRPr="0071774C">
        <w:t>decade</w:t>
      </w:r>
      <w:r>
        <w:t xml:space="preserve"> </w:t>
      </w:r>
      <w:r w:rsidRPr="0071774C">
        <w:t>is</w:t>
      </w:r>
      <w:r>
        <w:t xml:space="preserve"> </w:t>
      </w:r>
      <w:r w:rsidRPr="0071774C">
        <w:t>not</w:t>
      </w:r>
      <w:r>
        <w:t xml:space="preserve"> </w:t>
      </w:r>
      <w:r w:rsidRPr="0071774C">
        <w:t>available</w:t>
      </w:r>
      <w:r>
        <w:t xml:space="preserve"> </w:t>
      </w:r>
      <w:r w:rsidRPr="0071774C">
        <w:t>for</w:t>
      </w:r>
      <w:r>
        <w:t xml:space="preserve"> </w:t>
      </w:r>
      <w:r w:rsidRPr="0071774C">
        <w:t>all</w:t>
      </w:r>
      <w:r>
        <w:t xml:space="preserve"> </w:t>
      </w:r>
      <w:r w:rsidR="00D41D52">
        <w:t>measures</w:t>
      </w:r>
      <w:r w:rsidR="4DEB0DF4">
        <w:t xml:space="preserve">, and </w:t>
      </w:r>
      <w:r>
        <w:t>this is too short a period to measure change on some of the indicators</w:t>
      </w:r>
      <w:r w:rsidR="09B48D53">
        <w:t>.</w:t>
      </w:r>
      <w:r>
        <w:t xml:space="preserve"> </w:t>
      </w:r>
      <w:r w:rsidRPr="0071774C">
        <w:t>Rather</w:t>
      </w:r>
      <w:r>
        <w:t xml:space="preserve">, </w:t>
      </w:r>
      <w:r w:rsidRPr="0071774C">
        <w:t>the</w:t>
      </w:r>
      <w:r>
        <w:t xml:space="preserve"> </w:t>
      </w:r>
      <w:r w:rsidRPr="0071774C">
        <w:t>aim</w:t>
      </w:r>
      <w:r>
        <w:t xml:space="preserve"> </w:t>
      </w:r>
      <w:r w:rsidRPr="0071774C">
        <w:t>is</w:t>
      </w:r>
      <w:r>
        <w:t xml:space="preserve"> </w:t>
      </w:r>
      <w:r w:rsidRPr="0071774C">
        <w:t>to</w:t>
      </w:r>
      <w:r>
        <w:t xml:space="preserve"> </w:t>
      </w:r>
      <w:r w:rsidRPr="0071774C">
        <w:t>paint</w:t>
      </w:r>
      <w:r>
        <w:t xml:space="preserve"> </w:t>
      </w:r>
      <w:r w:rsidRPr="0071774C">
        <w:t>a</w:t>
      </w:r>
      <w:r>
        <w:t xml:space="preserve"> </w:t>
      </w:r>
      <w:r w:rsidRPr="0071774C">
        <w:t>picture</w:t>
      </w:r>
      <w:r>
        <w:t xml:space="preserve"> </w:t>
      </w:r>
      <w:r w:rsidRPr="0071774C">
        <w:t>of</w:t>
      </w:r>
      <w:r>
        <w:t xml:space="preserve"> </w:t>
      </w:r>
      <w:r w:rsidRPr="0071774C">
        <w:t>how</w:t>
      </w:r>
      <w:r>
        <w:t xml:space="preserve"> </w:t>
      </w:r>
      <w:r w:rsidRPr="0071774C">
        <w:t>the</w:t>
      </w:r>
      <w:r>
        <w:t xml:space="preserve"> </w:t>
      </w:r>
      <w:r w:rsidRPr="0071774C">
        <w:t>foundations</w:t>
      </w:r>
      <w:r>
        <w:t xml:space="preserve"> </w:t>
      </w:r>
      <w:r w:rsidRPr="0071774C">
        <w:t>for</w:t>
      </w:r>
      <w:r>
        <w:t xml:space="preserve"> </w:t>
      </w:r>
      <w:r w:rsidRPr="0071774C">
        <w:t>prevention</w:t>
      </w:r>
      <w:r>
        <w:t xml:space="preserve"> </w:t>
      </w:r>
      <w:r w:rsidRPr="0071774C">
        <w:t>have</w:t>
      </w:r>
      <w:r>
        <w:t xml:space="preserve"> </w:t>
      </w:r>
      <w:r w:rsidRPr="0071774C">
        <w:t>been</w:t>
      </w:r>
      <w:r>
        <w:t xml:space="preserve"> </w:t>
      </w:r>
      <w:r w:rsidRPr="0071774C">
        <w:t>developing</w:t>
      </w:r>
      <w:r>
        <w:t xml:space="preserve"> </w:t>
      </w:r>
      <w:r w:rsidRPr="0071774C">
        <w:t>over</w:t>
      </w:r>
      <w:r>
        <w:t xml:space="preserve"> </w:t>
      </w:r>
      <w:r w:rsidRPr="0071774C">
        <w:t>this</w:t>
      </w:r>
      <w:r>
        <w:t xml:space="preserve"> </w:t>
      </w:r>
      <w:r w:rsidRPr="0071774C">
        <w:t>decade</w:t>
      </w:r>
      <w:r>
        <w:t xml:space="preserve"> </w:t>
      </w:r>
      <w:r w:rsidRPr="0071774C">
        <w:t>and</w:t>
      </w:r>
      <w:r>
        <w:t xml:space="preserve"> </w:t>
      </w:r>
      <w:r w:rsidRPr="0071774C">
        <w:t>present</w:t>
      </w:r>
      <w:r>
        <w:t xml:space="preserve"> </w:t>
      </w:r>
      <w:r w:rsidRPr="0071774C">
        <w:t>a</w:t>
      </w:r>
      <w:r>
        <w:t xml:space="preserve"> </w:t>
      </w:r>
      <w:r w:rsidRPr="0071774C">
        <w:t>baseline</w:t>
      </w:r>
      <w:r>
        <w:t xml:space="preserve"> </w:t>
      </w:r>
      <w:r w:rsidRPr="0071774C">
        <w:t>for</w:t>
      </w:r>
      <w:r>
        <w:t xml:space="preserve"> </w:t>
      </w:r>
      <w:r w:rsidRPr="0071774C">
        <w:t>future</w:t>
      </w:r>
      <w:r>
        <w:t xml:space="preserve"> </w:t>
      </w:r>
      <w:r w:rsidRPr="0071774C">
        <w:t>monitoring</w:t>
      </w:r>
      <w:r>
        <w:t xml:space="preserve"> </w:t>
      </w:r>
      <w:r w:rsidRPr="0071774C">
        <w:t>reports</w:t>
      </w:r>
      <w:r>
        <w:t xml:space="preserve"> </w:t>
      </w:r>
      <w:r w:rsidRPr="0071774C">
        <w:t>to</w:t>
      </w:r>
      <w:r>
        <w:t xml:space="preserve"> </w:t>
      </w:r>
      <w:r w:rsidRPr="0071774C">
        <w:t>refer</w:t>
      </w:r>
      <w:r>
        <w:t xml:space="preserve"> </w:t>
      </w:r>
      <w:r w:rsidRPr="0071774C">
        <w:t>to.</w:t>
      </w:r>
    </w:p>
    <w:p w14:paraId="18850810" w14:textId="6A7784FF" w:rsidR="002C2EC7" w:rsidRDefault="002C2EC7" w:rsidP="00790783">
      <w:pPr>
        <w:pStyle w:val="BodyText"/>
      </w:pPr>
      <w:r w:rsidRPr="0071774C">
        <w:t>For</w:t>
      </w:r>
      <w:r>
        <w:t xml:space="preserve"> </w:t>
      </w:r>
      <w:r w:rsidR="007E52B0">
        <w:t>S</w:t>
      </w:r>
      <w:r w:rsidRPr="0071774C">
        <w:t>ection</w:t>
      </w:r>
      <w:r>
        <w:t xml:space="preserve"> </w:t>
      </w:r>
      <w:r w:rsidR="007E52B0">
        <w:t>1</w:t>
      </w:r>
      <w:r w:rsidRPr="0071774C">
        <w:t>,</w:t>
      </w:r>
      <w:r>
        <w:t xml:space="preserve"> </w:t>
      </w:r>
      <w:r w:rsidRPr="0071774C">
        <w:t>the</w:t>
      </w:r>
      <w:r>
        <w:t xml:space="preserve"> </w:t>
      </w:r>
      <w:r w:rsidRPr="0071774C">
        <w:t>measures</w:t>
      </w:r>
      <w:r>
        <w:t xml:space="preserve"> </w:t>
      </w:r>
      <w:r w:rsidRPr="0071774C">
        <w:t>proposed</w:t>
      </w:r>
      <w:r>
        <w:t xml:space="preserve"> </w:t>
      </w:r>
      <w:r w:rsidRPr="0071774C">
        <w:t>in</w:t>
      </w:r>
      <w:r>
        <w:t xml:space="preserve"> </w:t>
      </w:r>
      <w:r w:rsidRPr="00525643">
        <w:rPr>
          <w:rStyle w:val="Emphasis"/>
        </w:rPr>
        <w:t>Counting on change</w:t>
      </w:r>
      <w:r>
        <w:t xml:space="preserve"> </w:t>
      </w:r>
      <w:r w:rsidRPr="0071774C">
        <w:t>provided</w:t>
      </w:r>
      <w:r>
        <w:t xml:space="preserve"> </w:t>
      </w:r>
      <w:r w:rsidRPr="0071774C">
        <w:t>an</w:t>
      </w:r>
      <w:r>
        <w:t xml:space="preserve"> </w:t>
      </w:r>
      <w:r w:rsidRPr="0071774C">
        <w:t>appropriate</w:t>
      </w:r>
      <w:r>
        <w:t xml:space="preserve"> </w:t>
      </w:r>
      <w:r w:rsidRPr="0071774C">
        <w:t>starting</w:t>
      </w:r>
      <w:r>
        <w:t xml:space="preserve"> </w:t>
      </w:r>
      <w:r w:rsidRPr="0071774C">
        <w:t>point</w:t>
      </w:r>
      <w:r>
        <w:t xml:space="preserve"> </w:t>
      </w:r>
      <w:r w:rsidRPr="0071774C">
        <w:t>to</w:t>
      </w:r>
      <w:r>
        <w:t xml:space="preserve"> </w:t>
      </w:r>
      <w:r w:rsidRPr="0071774C">
        <w:t>guide</w:t>
      </w:r>
      <w:r>
        <w:t xml:space="preserve"> </w:t>
      </w:r>
      <w:r w:rsidRPr="0071774C">
        <w:t>the</w:t>
      </w:r>
      <w:r>
        <w:t xml:space="preserve"> </w:t>
      </w:r>
      <w:r w:rsidRPr="0071774C">
        <w:t>collection</w:t>
      </w:r>
      <w:r>
        <w:t xml:space="preserve"> </w:t>
      </w:r>
      <w:r w:rsidRPr="0071774C">
        <w:t>of</w:t>
      </w:r>
      <w:r>
        <w:t xml:space="preserve"> </w:t>
      </w:r>
      <w:r w:rsidRPr="0071774C">
        <w:t>primary</w:t>
      </w:r>
      <w:r>
        <w:t xml:space="preserve"> </w:t>
      </w:r>
      <w:r w:rsidRPr="0071774C">
        <w:t>and</w:t>
      </w:r>
      <w:r>
        <w:t xml:space="preserve"> </w:t>
      </w:r>
      <w:r w:rsidRPr="0071774C">
        <w:t>secondary</w:t>
      </w:r>
      <w:r>
        <w:t xml:space="preserve"> </w:t>
      </w:r>
      <w:r w:rsidRPr="0071774C">
        <w:t>data</w:t>
      </w:r>
      <w:r>
        <w:t xml:space="preserve"> </w:t>
      </w:r>
      <w:r w:rsidRPr="0071774C">
        <w:t>and</w:t>
      </w:r>
      <w:r>
        <w:t xml:space="preserve"> </w:t>
      </w:r>
      <w:r w:rsidRPr="0071774C">
        <w:t>a</w:t>
      </w:r>
      <w:r>
        <w:t xml:space="preserve"> </w:t>
      </w:r>
      <w:r w:rsidRPr="0071774C">
        <w:t>checkpoint</w:t>
      </w:r>
      <w:r>
        <w:t xml:space="preserve"> </w:t>
      </w:r>
      <w:r w:rsidRPr="0071774C">
        <w:t>for</w:t>
      </w:r>
      <w:r>
        <w:t xml:space="preserve"> </w:t>
      </w:r>
      <w:r w:rsidRPr="0071774C">
        <w:t>collecting</w:t>
      </w:r>
      <w:r>
        <w:t xml:space="preserve"> </w:t>
      </w:r>
      <w:r w:rsidRPr="0071774C">
        <w:t>data</w:t>
      </w:r>
      <w:r>
        <w:t xml:space="preserve"> </w:t>
      </w:r>
      <w:r w:rsidRPr="0071774C">
        <w:t>that</w:t>
      </w:r>
      <w:r>
        <w:t xml:space="preserve"> </w:t>
      </w:r>
      <w:r w:rsidRPr="0071774C">
        <w:t>was</w:t>
      </w:r>
      <w:r>
        <w:t xml:space="preserve"> </w:t>
      </w:r>
      <w:r w:rsidRPr="0071774C">
        <w:t>relevant</w:t>
      </w:r>
      <w:r>
        <w:t xml:space="preserve"> </w:t>
      </w:r>
      <w:r w:rsidRPr="0071774C">
        <w:t>and</w:t>
      </w:r>
      <w:r>
        <w:t xml:space="preserve"> </w:t>
      </w:r>
      <w:r w:rsidRPr="0071774C">
        <w:t>pertinent</w:t>
      </w:r>
      <w:r>
        <w:t xml:space="preserve"> </w:t>
      </w:r>
      <w:r w:rsidRPr="0071774C">
        <w:t>to</w:t>
      </w:r>
      <w:r>
        <w:t xml:space="preserve"> </w:t>
      </w:r>
      <w:r w:rsidRPr="0071774C">
        <w:t>the</w:t>
      </w:r>
      <w:r>
        <w:t xml:space="preserve"> </w:t>
      </w:r>
      <w:r w:rsidRPr="0071774C">
        <w:t>infrastructure</w:t>
      </w:r>
      <w:r>
        <w:t xml:space="preserve"> </w:t>
      </w:r>
      <w:r w:rsidRPr="0071774C">
        <w:t>domains</w:t>
      </w:r>
      <w:r>
        <w:t xml:space="preserve"> </w:t>
      </w:r>
      <w:r w:rsidRPr="0071774C">
        <w:t>outlined</w:t>
      </w:r>
      <w:r>
        <w:t xml:space="preserve"> </w:t>
      </w:r>
      <w:r w:rsidRPr="0071774C">
        <w:t>in</w:t>
      </w:r>
      <w:r>
        <w:t xml:space="preserve"> </w:t>
      </w:r>
      <w:r w:rsidR="6B614619" w:rsidRPr="001DE8F9">
        <w:rPr>
          <w:rStyle w:val="Emphasis"/>
          <w:i w:val="0"/>
          <w:iCs w:val="0"/>
        </w:rPr>
        <w:t>it</w:t>
      </w:r>
      <w:r w:rsidRPr="0071774C">
        <w:t>.</w:t>
      </w:r>
      <w:r>
        <w:t xml:space="preserve"> </w:t>
      </w:r>
      <w:r w:rsidRPr="0071774C">
        <w:t>Analysis</w:t>
      </w:r>
      <w:r>
        <w:t xml:space="preserve"> </w:t>
      </w:r>
      <w:r w:rsidRPr="0071774C">
        <w:t>of</w:t>
      </w:r>
      <w:r>
        <w:t xml:space="preserve"> </w:t>
      </w:r>
      <w:r w:rsidRPr="0071774C">
        <w:t>data</w:t>
      </w:r>
      <w:r>
        <w:t xml:space="preserve"> </w:t>
      </w:r>
      <w:r w:rsidRPr="0071774C">
        <w:t>was</w:t>
      </w:r>
      <w:r>
        <w:t xml:space="preserve"> </w:t>
      </w:r>
      <w:r w:rsidRPr="0071774C">
        <w:t>framed</w:t>
      </w:r>
      <w:r>
        <w:t xml:space="preserve"> </w:t>
      </w:r>
      <w:r w:rsidRPr="0071774C">
        <w:t>by</w:t>
      </w:r>
      <w:r>
        <w:t xml:space="preserve"> </w:t>
      </w:r>
      <w:r w:rsidRPr="0071774C">
        <w:t>these</w:t>
      </w:r>
      <w:r>
        <w:t xml:space="preserve"> </w:t>
      </w:r>
      <w:r w:rsidRPr="0071774C">
        <w:t>measures</w:t>
      </w:r>
      <w:r>
        <w:t xml:space="preserve">, </w:t>
      </w:r>
      <w:r w:rsidRPr="0071774C">
        <w:t>and</w:t>
      </w:r>
      <w:r>
        <w:t xml:space="preserve"> </w:t>
      </w:r>
      <w:r w:rsidRPr="0071774C">
        <w:t>key</w:t>
      </w:r>
      <w:r>
        <w:t xml:space="preserve"> </w:t>
      </w:r>
      <w:r w:rsidRPr="0071774C">
        <w:t>findings</w:t>
      </w:r>
      <w:r>
        <w:t xml:space="preserve"> </w:t>
      </w:r>
      <w:r w:rsidRPr="0071774C">
        <w:t>are</w:t>
      </w:r>
      <w:r>
        <w:t xml:space="preserve"> </w:t>
      </w:r>
      <w:r w:rsidRPr="0071774C">
        <w:t>presented</w:t>
      </w:r>
      <w:r>
        <w:t xml:space="preserve"> </w:t>
      </w:r>
      <w:r w:rsidRPr="0071774C">
        <w:t>with</w:t>
      </w:r>
      <w:r>
        <w:t xml:space="preserve"> </w:t>
      </w:r>
      <w:r w:rsidRPr="0071774C">
        <w:t>these</w:t>
      </w:r>
      <w:r>
        <w:t xml:space="preserve"> </w:t>
      </w:r>
      <w:r w:rsidRPr="0071774C">
        <w:t>measures</w:t>
      </w:r>
      <w:r>
        <w:t xml:space="preserve"> </w:t>
      </w:r>
      <w:r w:rsidRPr="0071774C">
        <w:t>in</w:t>
      </w:r>
      <w:r>
        <w:t xml:space="preserve"> </w:t>
      </w:r>
      <w:r w:rsidRPr="0071774C">
        <w:t>mind.</w:t>
      </w:r>
      <w:r>
        <w:t xml:space="preserve"> </w:t>
      </w:r>
      <w:r w:rsidRPr="0071774C">
        <w:t>This</w:t>
      </w:r>
      <w:r>
        <w:t xml:space="preserve"> </w:t>
      </w:r>
      <w:r w:rsidRPr="0071774C">
        <w:t>process</w:t>
      </w:r>
      <w:r>
        <w:t xml:space="preserve"> </w:t>
      </w:r>
      <w:r w:rsidRPr="0071774C">
        <w:t>was</w:t>
      </w:r>
      <w:r>
        <w:t xml:space="preserve"> </w:t>
      </w:r>
      <w:r w:rsidRPr="0071774C">
        <w:t>also</w:t>
      </w:r>
      <w:r>
        <w:t xml:space="preserve"> </w:t>
      </w:r>
      <w:r w:rsidRPr="0071774C">
        <w:t>useful</w:t>
      </w:r>
      <w:r>
        <w:t xml:space="preserve"> </w:t>
      </w:r>
      <w:r w:rsidRPr="0071774C">
        <w:t>in</w:t>
      </w:r>
      <w:r>
        <w:t xml:space="preserve"> </w:t>
      </w:r>
      <w:r w:rsidRPr="0071774C">
        <w:t>highlighting</w:t>
      </w:r>
      <w:r>
        <w:t xml:space="preserve"> </w:t>
      </w:r>
      <w:r w:rsidRPr="0071774C">
        <w:t>where</w:t>
      </w:r>
      <w:r>
        <w:t xml:space="preserve"> </w:t>
      </w:r>
      <w:r w:rsidRPr="0071774C">
        <w:t>appropriate</w:t>
      </w:r>
      <w:r>
        <w:t xml:space="preserve"> </w:t>
      </w:r>
      <w:r w:rsidRPr="0071774C">
        <w:t>evidence</w:t>
      </w:r>
      <w:r>
        <w:t xml:space="preserve"> </w:t>
      </w:r>
      <w:r w:rsidRPr="0071774C">
        <w:t>does</w:t>
      </w:r>
      <w:r>
        <w:t xml:space="preserve"> </w:t>
      </w:r>
      <w:r w:rsidRPr="0071774C">
        <w:t>and</w:t>
      </w:r>
      <w:r>
        <w:t xml:space="preserve"> </w:t>
      </w:r>
      <w:r w:rsidRPr="0071774C">
        <w:t>does</w:t>
      </w:r>
      <w:r>
        <w:t xml:space="preserve"> </w:t>
      </w:r>
      <w:r w:rsidRPr="0071774C">
        <w:t>not</w:t>
      </w:r>
      <w:r>
        <w:t xml:space="preserve"> </w:t>
      </w:r>
      <w:r w:rsidRPr="0071774C">
        <w:t>exist.</w:t>
      </w:r>
      <w:r>
        <w:t xml:space="preserve"> </w:t>
      </w:r>
      <w:r w:rsidRPr="0071774C">
        <w:t>Additional</w:t>
      </w:r>
      <w:r>
        <w:t xml:space="preserve"> </w:t>
      </w:r>
      <w:r w:rsidRPr="0071774C">
        <w:t>detail</w:t>
      </w:r>
      <w:r>
        <w:t xml:space="preserve"> </w:t>
      </w:r>
      <w:r w:rsidRPr="0071774C">
        <w:t>was</w:t>
      </w:r>
      <w:r>
        <w:t xml:space="preserve"> </w:t>
      </w:r>
      <w:r w:rsidRPr="0071774C">
        <w:t>added</w:t>
      </w:r>
      <w:r>
        <w:t xml:space="preserve"> </w:t>
      </w:r>
      <w:r w:rsidRPr="0071774C">
        <w:t>to</w:t>
      </w:r>
      <w:r>
        <w:t xml:space="preserve"> </w:t>
      </w:r>
      <w:r w:rsidRPr="0071774C">
        <w:t>ensure</w:t>
      </w:r>
      <w:r>
        <w:t xml:space="preserve"> </w:t>
      </w:r>
      <w:r w:rsidRPr="0071774C">
        <w:t>incremental</w:t>
      </w:r>
      <w:r>
        <w:t xml:space="preserve"> </w:t>
      </w:r>
      <w:r w:rsidRPr="0071774C">
        <w:t>successes</w:t>
      </w:r>
      <w:r>
        <w:t xml:space="preserve"> </w:t>
      </w:r>
      <w:r w:rsidRPr="0071774C">
        <w:t>could</w:t>
      </w:r>
      <w:r>
        <w:t xml:space="preserve"> </w:t>
      </w:r>
      <w:r w:rsidRPr="0071774C">
        <w:t>also</w:t>
      </w:r>
      <w:r>
        <w:t xml:space="preserve"> </w:t>
      </w:r>
      <w:r w:rsidRPr="0071774C">
        <w:t>be</w:t>
      </w:r>
      <w:r>
        <w:t xml:space="preserve"> </w:t>
      </w:r>
      <w:r w:rsidRPr="0071774C">
        <w:t>captured.</w:t>
      </w:r>
      <w:r>
        <w:t xml:space="preserve"> </w:t>
      </w:r>
      <w:r w:rsidRPr="0071774C">
        <w:t>One</w:t>
      </w:r>
      <w:r>
        <w:t xml:space="preserve"> </w:t>
      </w:r>
      <w:r w:rsidRPr="0071774C">
        <w:t>limitation</w:t>
      </w:r>
      <w:r>
        <w:t xml:space="preserve"> </w:t>
      </w:r>
      <w:r w:rsidRPr="0071774C">
        <w:t>of</w:t>
      </w:r>
      <w:r>
        <w:t xml:space="preserve"> </w:t>
      </w:r>
      <w:r w:rsidRPr="0071774C">
        <w:t>the</w:t>
      </w:r>
      <w:r>
        <w:t xml:space="preserve"> </w:t>
      </w:r>
      <w:r w:rsidRPr="0071774C">
        <w:t>methodology</w:t>
      </w:r>
      <w:r>
        <w:t xml:space="preserve"> </w:t>
      </w:r>
      <w:r w:rsidRPr="0071774C">
        <w:t>used</w:t>
      </w:r>
      <w:r>
        <w:t xml:space="preserve"> </w:t>
      </w:r>
      <w:r w:rsidRPr="0071774C">
        <w:t>in</w:t>
      </w:r>
      <w:r w:rsidR="00851841">
        <w:t> </w:t>
      </w:r>
      <w:r w:rsidRPr="0071774C">
        <w:t>this</w:t>
      </w:r>
      <w:r>
        <w:t xml:space="preserve"> </w:t>
      </w:r>
      <w:r w:rsidRPr="0071774C">
        <w:t>section</w:t>
      </w:r>
      <w:r>
        <w:t xml:space="preserve"> </w:t>
      </w:r>
      <w:r w:rsidRPr="0071774C">
        <w:t>is</w:t>
      </w:r>
      <w:r>
        <w:t xml:space="preserve"> </w:t>
      </w:r>
      <w:r w:rsidRPr="0071774C">
        <w:t>that</w:t>
      </w:r>
      <w:r>
        <w:t xml:space="preserve"> </w:t>
      </w:r>
      <w:r w:rsidRPr="0071774C">
        <w:t>the</w:t>
      </w:r>
      <w:r>
        <w:t xml:space="preserve"> </w:t>
      </w:r>
      <w:r w:rsidRPr="0071774C">
        <w:t>search</w:t>
      </w:r>
      <w:r>
        <w:t xml:space="preserve"> </w:t>
      </w:r>
      <w:r w:rsidRPr="0071774C">
        <w:t>strategies</w:t>
      </w:r>
      <w:r>
        <w:t xml:space="preserve"> </w:t>
      </w:r>
      <w:r w:rsidRPr="0071774C">
        <w:t>relied</w:t>
      </w:r>
      <w:r>
        <w:t xml:space="preserve"> </w:t>
      </w:r>
      <w:r w:rsidRPr="0071774C">
        <w:t>heavily</w:t>
      </w:r>
      <w:r>
        <w:t xml:space="preserve"> </w:t>
      </w:r>
      <w:r w:rsidRPr="0071774C">
        <w:t>on</w:t>
      </w:r>
      <w:r>
        <w:t xml:space="preserve"> </w:t>
      </w:r>
      <w:r w:rsidRPr="0071774C">
        <w:t>publicly</w:t>
      </w:r>
      <w:r>
        <w:t xml:space="preserve"> </w:t>
      </w:r>
      <w:r w:rsidRPr="0071774C">
        <w:t>available</w:t>
      </w:r>
      <w:r>
        <w:t xml:space="preserve"> </w:t>
      </w:r>
      <w:r w:rsidRPr="0071774C">
        <w:t>information.</w:t>
      </w:r>
      <w:r>
        <w:t xml:space="preserve"> </w:t>
      </w:r>
      <w:r w:rsidRPr="0071774C">
        <w:t>To</w:t>
      </w:r>
      <w:r w:rsidR="00851841">
        <w:t> </w:t>
      </w:r>
      <w:r w:rsidRPr="0071774C">
        <w:t>help</w:t>
      </w:r>
      <w:r>
        <w:t xml:space="preserve"> </w:t>
      </w:r>
      <w:r w:rsidRPr="0071774C">
        <w:t>address</w:t>
      </w:r>
      <w:r>
        <w:t xml:space="preserve"> </w:t>
      </w:r>
      <w:r w:rsidRPr="0071774C">
        <w:t>this</w:t>
      </w:r>
      <w:r>
        <w:t xml:space="preserve"> </w:t>
      </w:r>
      <w:r w:rsidRPr="0071774C">
        <w:t>limitation,</w:t>
      </w:r>
      <w:r>
        <w:t xml:space="preserve"> </w:t>
      </w:r>
      <w:r w:rsidRPr="0071774C">
        <w:t>data</w:t>
      </w:r>
      <w:r>
        <w:t xml:space="preserve"> </w:t>
      </w:r>
      <w:r w:rsidRPr="0071774C">
        <w:t>from</w:t>
      </w:r>
      <w:r>
        <w:t xml:space="preserve"> </w:t>
      </w:r>
      <w:r w:rsidRPr="0071774C">
        <w:t>desktop</w:t>
      </w:r>
      <w:r>
        <w:t xml:space="preserve"> </w:t>
      </w:r>
      <w:r w:rsidRPr="0071774C">
        <w:t>searches</w:t>
      </w:r>
      <w:r>
        <w:t xml:space="preserve"> </w:t>
      </w:r>
      <w:r w:rsidRPr="0071774C">
        <w:t>was</w:t>
      </w:r>
      <w:r>
        <w:t xml:space="preserve"> </w:t>
      </w:r>
      <w:r w:rsidRPr="0071774C">
        <w:t>combined</w:t>
      </w:r>
      <w:r>
        <w:t xml:space="preserve"> </w:t>
      </w:r>
      <w:r w:rsidRPr="0071774C">
        <w:t>with</w:t>
      </w:r>
      <w:r>
        <w:t xml:space="preserve"> </w:t>
      </w:r>
      <w:r w:rsidRPr="0071774C">
        <w:t>survey</w:t>
      </w:r>
      <w:r>
        <w:t xml:space="preserve"> </w:t>
      </w:r>
      <w:r w:rsidRPr="0071774C">
        <w:t>data.</w:t>
      </w:r>
      <w:r>
        <w:t xml:space="preserve"> </w:t>
      </w:r>
      <w:r w:rsidRPr="0071774C">
        <w:t>Suggestions</w:t>
      </w:r>
      <w:r>
        <w:t xml:space="preserve"> </w:t>
      </w:r>
      <w:r w:rsidRPr="0071774C">
        <w:t>for</w:t>
      </w:r>
      <w:r>
        <w:t xml:space="preserve"> </w:t>
      </w:r>
      <w:r w:rsidRPr="0071774C">
        <w:t>further</w:t>
      </w:r>
      <w:r>
        <w:t xml:space="preserve"> </w:t>
      </w:r>
      <w:r w:rsidRPr="0071774C">
        <w:lastRenderedPageBreak/>
        <w:t>refinement</w:t>
      </w:r>
      <w:r>
        <w:t xml:space="preserve"> </w:t>
      </w:r>
      <w:r w:rsidRPr="0071774C">
        <w:t>in</w:t>
      </w:r>
      <w:r>
        <w:t xml:space="preserve"> </w:t>
      </w:r>
      <w:r w:rsidRPr="0071774C">
        <w:t>future</w:t>
      </w:r>
      <w:r>
        <w:t xml:space="preserve"> </w:t>
      </w:r>
      <w:r w:rsidRPr="0071774C">
        <w:t>monitoring</w:t>
      </w:r>
      <w:r>
        <w:t xml:space="preserve"> </w:t>
      </w:r>
      <w:r w:rsidRPr="0071774C">
        <w:t>efforts</w:t>
      </w:r>
      <w:r>
        <w:t xml:space="preserve"> </w:t>
      </w:r>
      <w:r w:rsidRPr="0071774C">
        <w:t>have</w:t>
      </w:r>
      <w:r>
        <w:t xml:space="preserve"> </w:t>
      </w:r>
      <w:r w:rsidRPr="0071774C">
        <w:t>been</w:t>
      </w:r>
      <w:r>
        <w:t xml:space="preserve"> </w:t>
      </w:r>
      <w:r w:rsidRPr="0071774C">
        <w:t>made</w:t>
      </w:r>
      <w:r>
        <w:t xml:space="preserve"> </w:t>
      </w:r>
      <w:r w:rsidRPr="0071774C">
        <w:t>throughout</w:t>
      </w:r>
      <w:r>
        <w:t xml:space="preserve"> </w:t>
      </w:r>
      <w:r w:rsidRPr="0071774C">
        <w:t>the</w:t>
      </w:r>
      <w:r>
        <w:t xml:space="preserve"> </w:t>
      </w:r>
      <w:r w:rsidRPr="0071774C">
        <w:t>report.</w:t>
      </w:r>
      <w:r>
        <w:t xml:space="preserve"> </w:t>
      </w:r>
      <w:r w:rsidRPr="0071774C">
        <w:t>Additional</w:t>
      </w:r>
      <w:r>
        <w:t xml:space="preserve"> </w:t>
      </w:r>
      <w:r w:rsidRPr="0071774C">
        <w:t>methodological</w:t>
      </w:r>
      <w:r>
        <w:t xml:space="preserve"> </w:t>
      </w:r>
      <w:r w:rsidRPr="0071774C">
        <w:t>caveats</w:t>
      </w:r>
      <w:r>
        <w:t xml:space="preserve"> </w:t>
      </w:r>
      <w:r w:rsidRPr="0071774C">
        <w:t>and</w:t>
      </w:r>
      <w:r>
        <w:t xml:space="preserve"> </w:t>
      </w:r>
      <w:r w:rsidRPr="0071774C">
        <w:t>limitations</w:t>
      </w:r>
      <w:r>
        <w:t xml:space="preserve"> </w:t>
      </w:r>
      <w:r w:rsidRPr="0071774C">
        <w:t>are</w:t>
      </w:r>
      <w:r>
        <w:t xml:space="preserve"> </w:t>
      </w:r>
      <w:r w:rsidRPr="0071774C">
        <w:t>recorded</w:t>
      </w:r>
      <w:r>
        <w:t xml:space="preserve"> </w:t>
      </w:r>
      <w:r w:rsidRPr="0071774C">
        <w:t>throughout</w:t>
      </w:r>
      <w:r>
        <w:t xml:space="preserve"> </w:t>
      </w:r>
      <w:r w:rsidRPr="0071774C">
        <w:t>the</w:t>
      </w:r>
      <w:r>
        <w:t xml:space="preserve"> </w:t>
      </w:r>
      <w:r w:rsidRPr="0071774C">
        <w:t>report</w:t>
      </w:r>
      <w:r>
        <w:t xml:space="preserve"> </w:t>
      </w:r>
      <w:r w:rsidRPr="0071774C">
        <w:t>and</w:t>
      </w:r>
      <w:r>
        <w:t xml:space="preserve"> </w:t>
      </w:r>
      <w:r w:rsidRPr="0071774C">
        <w:t>in</w:t>
      </w:r>
      <w:r>
        <w:t xml:space="preserve"> </w:t>
      </w:r>
      <w:r w:rsidRPr="0071774C">
        <w:t>Appendix</w:t>
      </w:r>
      <w:r>
        <w:t xml:space="preserve"> </w:t>
      </w:r>
      <w:r w:rsidRPr="0071774C">
        <w:t>A</w:t>
      </w:r>
      <w:r>
        <w:t>: Methodology and limitations</w:t>
      </w:r>
      <w:r w:rsidRPr="0071774C">
        <w:t>.</w:t>
      </w:r>
    </w:p>
    <w:p w14:paraId="429314C5" w14:textId="3E7DC149" w:rsidR="002C2EC7" w:rsidRDefault="002C2EC7" w:rsidP="00790783">
      <w:pPr>
        <w:pStyle w:val="BodyText"/>
      </w:pPr>
      <w:r w:rsidRPr="0071774C">
        <w:t>The</w:t>
      </w:r>
      <w:r>
        <w:t xml:space="preserve"> </w:t>
      </w:r>
      <w:r w:rsidRPr="0071774C">
        <w:t>findings</w:t>
      </w:r>
      <w:r>
        <w:t xml:space="preserve"> </w:t>
      </w:r>
      <w:r w:rsidRPr="0071774C">
        <w:t>of</w:t>
      </w:r>
      <w:r>
        <w:t xml:space="preserve"> </w:t>
      </w:r>
      <w:r w:rsidRPr="0071774C">
        <w:t>this</w:t>
      </w:r>
      <w:r>
        <w:t xml:space="preserve"> </w:t>
      </w:r>
      <w:r w:rsidRPr="0071774C">
        <w:t>first</w:t>
      </w:r>
      <w:r>
        <w:t xml:space="preserve"> </w:t>
      </w:r>
      <w:r w:rsidRPr="0071774C">
        <w:t>section</w:t>
      </w:r>
      <w:r>
        <w:t xml:space="preserve"> </w:t>
      </w:r>
      <w:r w:rsidRPr="0071774C">
        <w:t>of</w:t>
      </w:r>
      <w:r>
        <w:t xml:space="preserve"> </w:t>
      </w:r>
      <w:r w:rsidRPr="0071774C">
        <w:t>the</w:t>
      </w:r>
      <w:r>
        <w:t xml:space="preserve"> </w:t>
      </w:r>
      <w:r w:rsidRPr="0071774C">
        <w:t>report</w:t>
      </w:r>
      <w:r>
        <w:t xml:space="preserve"> </w:t>
      </w:r>
      <w:r w:rsidRPr="0071774C">
        <w:t>provide</w:t>
      </w:r>
      <w:r>
        <w:t xml:space="preserve"> </w:t>
      </w:r>
      <w:r w:rsidRPr="0071774C">
        <w:t>important</w:t>
      </w:r>
      <w:r>
        <w:t xml:space="preserve"> </w:t>
      </w:r>
      <w:r w:rsidRPr="0071774C">
        <w:t>context</w:t>
      </w:r>
      <w:r>
        <w:t xml:space="preserve"> </w:t>
      </w:r>
      <w:r w:rsidRPr="0071774C">
        <w:t>for</w:t>
      </w:r>
      <w:r>
        <w:t xml:space="preserve"> </w:t>
      </w:r>
      <w:r w:rsidRPr="0071774C">
        <w:t>interpreting</w:t>
      </w:r>
      <w:r>
        <w:t xml:space="preserve"> </w:t>
      </w:r>
      <w:r w:rsidRPr="0071774C">
        <w:t>the</w:t>
      </w:r>
      <w:r w:rsidR="006C6CFA">
        <w:t> </w:t>
      </w:r>
      <w:r w:rsidRPr="0071774C">
        <w:t>findings</w:t>
      </w:r>
      <w:r>
        <w:t xml:space="preserve"> </w:t>
      </w:r>
      <w:r w:rsidRPr="0071774C">
        <w:t>in</w:t>
      </w:r>
      <w:r>
        <w:t xml:space="preserve"> </w:t>
      </w:r>
      <w:r w:rsidR="0044154C">
        <w:t>S</w:t>
      </w:r>
      <w:r w:rsidRPr="0071774C">
        <w:t>ection</w:t>
      </w:r>
      <w:r>
        <w:t xml:space="preserve"> </w:t>
      </w:r>
      <w:r w:rsidR="0044154C">
        <w:t>2</w:t>
      </w:r>
      <w:r w:rsidRPr="0071774C">
        <w:t>.</w:t>
      </w:r>
    </w:p>
    <w:p w14:paraId="1F90A3EF" w14:textId="17BBE9F5" w:rsidR="002C2EC7" w:rsidRPr="000E30A0" w:rsidRDefault="002C2EC7" w:rsidP="00790783">
      <w:pPr>
        <w:pStyle w:val="Heading4"/>
        <w:rPr>
          <w:rStyle w:val="OWCharacterHibiscus"/>
        </w:rPr>
      </w:pPr>
      <w:r w:rsidRPr="000E30A0">
        <w:rPr>
          <w:rStyle w:val="OWCharacterHibiscus"/>
        </w:rPr>
        <w:t xml:space="preserve">Section </w:t>
      </w:r>
      <w:r w:rsidR="0044154C">
        <w:rPr>
          <w:rStyle w:val="OWCharacterHibiscus"/>
        </w:rPr>
        <w:t>2</w:t>
      </w:r>
    </w:p>
    <w:p w14:paraId="0AEDBD8D" w14:textId="68EF60AC" w:rsidR="002C2EC7" w:rsidRDefault="002C2EC7" w:rsidP="00790783">
      <w:pPr>
        <w:pStyle w:val="BodyText"/>
      </w:pPr>
      <w:r w:rsidRPr="0071774C">
        <w:t>Section</w:t>
      </w:r>
      <w:r>
        <w:t xml:space="preserve"> </w:t>
      </w:r>
      <w:r w:rsidR="0044154C">
        <w:t>2</w:t>
      </w:r>
      <w:r>
        <w:t xml:space="preserve"> </w:t>
      </w:r>
      <w:r w:rsidRPr="0071774C">
        <w:t>provides</w:t>
      </w:r>
      <w:r>
        <w:t xml:space="preserve"> </w:t>
      </w:r>
      <w:r w:rsidRPr="0071774C">
        <w:t>an</w:t>
      </w:r>
      <w:r>
        <w:t xml:space="preserve"> </w:t>
      </w:r>
      <w:r w:rsidRPr="0071774C">
        <w:t>assessment</w:t>
      </w:r>
      <w:r>
        <w:t xml:space="preserve"> </w:t>
      </w:r>
      <w:r w:rsidRPr="0071774C">
        <w:t>of</w:t>
      </w:r>
      <w:r>
        <w:t xml:space="preserve"> </w:t>
      </w:r>
      <w:r w:rsidRPr="0071774C">
        <w:t>progress</w:t>
      </w:r>
      <w:r>
        <w:t xml:space="preserve"> </w:t>
      </w:r>
      <w:r w:rsidRPr="0071774C">
        <w:t>against</w:t>
      </w:r>
      <w:r>
        <w:t xml:space="preserve"> </w:t>
      </w:r>
      <w:r w:rsidRPr="0071774C">
        <w:t>medium</w:t>
      </w:r>
      <w:r>
        <w:t xml:space="preserve">- </w:t>
      </w:r>
      <w:r w:rsidRPr="0071774C">
        <w:t>to</w:t>
      </w:r>
      <w:r>
        <w:t xml:space="preserve"> </w:t>
      </w:r>
      <w:r w:rsidRPr="0071774C">
        <w:t>long-term</w:t>
      </w:r>
      <w:r>
        <w:t xml:space="preserve"> </w:t>
      </w:r>
      <w:r w:rsidRPr="0071774C">
        <w:t>change</w:t>
      </w:r>
      <w:r>
        <w:t xml:space="preserve"> </w:t>
      </w:r>
      <w:r w:rsidRPr="0071774C">
        <w:t>measures.</w:t>
      </w:r>
      <w:r>
        <w:t xml:space="preserve"> </w:t>
      </w:r>
      <w:r w:rsidRPr="0071774C">
        <w:t>It</w:t>
      </w:r>
      <w:r>
        <w:t xml:space="preserve"> </w:t>
      </w:r>
      <w:r w:rsidRPr="0071774C">
        <w:t>analyses</w:t>
      </w:r>
      <w:r>
        <w:t xml:space="preserve"> </w:t>
      </w:r>
      <w:r w:rsidRPr="0071774C">
        <w:t>a</w:t>
      </w:r>
      <w:r>
        <w:t xml:space="preserve"> </w:t>
      </w:r>
      <w:r w:rsidRPr="0071774C">
        <w:t>wide</w:t>
      </w:r>
      <w:r>
        <w:t xml:space="preserve"> </w:t>
      </w:r>
      <w:r w:rsidRPr="0071774C">
        <w:t>array</w:t>
      </w:r>
      <w:r>
        <w:t xml:space="preserve"> </w:t>
      </w:r>
      <w:r w:rsidRPr="0071774C">
        <w:t>of</w:t>
      </w:r>
      <w:r>
        <w:t xml:space="preserve"> </w:t>
      </w:r>
      <w:r w:rsidRPr="0071774C">
        <w:t>primarily</w:t>
      </w:r>
      <w:r>
        <w:t xml:space="preserve"> </w:t>
      </w:r>
      <w:r w:rsidRPr="0071774C">
        <w:t>population-level,</w:t>
      </w:r>
      <w:r>
        <w:t xml:space="preserve"> </w:t>
      </w:r>
      <w:r w:rsidRPr="0071774C">
        <w:t>publicly</w:t>
      </w:r>
      <w:r>
        <w:t xml:space="preserve"> </w:t>
      </w:r>
      <w:r w:rsidRPr="0071774C">
        <w:t>available,</w:t>
      </w:r>
      <w:r>
        <w:t xml:space="preserve"> </w:t>
      </w:r>
      <w:r w:rsidRPr="0071774C">
        <w:t>quantitative</w:t>
      </w:r>
      <w:r>
        <w:t xml:space="preserve"> </w:t>
      </w:r>
      <w:r w:rsidRPr="0071774C">
        <w:t>datasets</w:t>
      </w:r>
      <w:r>
        <w:t xml:space="preserve"> </w:t>
      </w:r>
      <w:r w:rsidRPr="0071774C">
        <w:t>against</w:t>
      </w:r>
      <w:r>
        <w:t xml:space="preserve"> </w:t>
      </w:r>
      <w:r w:rsidRPr="0071774C">
        <w:t>a</w:t>
      </w:r>
      <w:r>
        <w:t xml:space="preserve"> </w:t>
      </w:r>
      <w:r w:rsidRPr="0071774C">
        <w:t>sophisticated</w:t>
      </w:r>
      <w:r>
        <w:t xml:space="preserve"> </w:t>
      </w:r>
      <w:r w:rsidRPr="0071774C">
        <w:t>framework</w:t>
      </w:r>
      <w:r>
        <w:t xml:space="preserve"> </w:t>
      </w:r>
      <w:r w:rsidRPr="0071774C">
        <w:t>of</w:t>
      </w:r>
      <w:r>
        <w:t xml:space="preserve"> </w:t>
      </w:r>
      <w:r w:rsidRPr="0071774C">
        <w:t>indicators.</w:t>
      </w:r>
      <w:r>
        <w:t xml:space="preserve"> </w:t>
      </w:r>
      <w:r w:rsidRPr="0071774C">
        <w:t>These</w:t>
      </w:r>
      <w:r>
        <w:t xml:space="preserve"> </w:t>
      </w:r>
      <w:r w:rsidRPr="0071774C">
        <w:t>indicators</w:t>
      </w:r>
      <w:r>
        <w:t xml:space="preserve"> </w:t>
      </w:r>
      <w:r w:rsidRPr="0071774C">
        <w:t>were</w:t>
      </w:r>
      <w:r w:rsidR="006C6CFA">
        <w:t> </w:t>
      </w:r>
      <w:r w:rsidRPr="0071774C">
        <w:t>designed</w:t>
      </w:r>
      <w:r>
        <w:t xml:space="preserve"> </w:t>
      </w:r>
      <w:r w:rsidRPr="0071774C">
        <w:t>to</w:t>
      </w:r>
      <w:r>
        <w:t xml:space="preserve"> </w:t>
      </w:r>
      <w:r w:rsidRPr="0071774C">
        <w:t>align</w:t>
      </w:r>
      <w:r>
        <w:t xml:space="preserve"> </w:t>
      </w:r>
      <w:r w:rsidRPr="0071774C">
        <w:t>with</w:t>
      </w:r>
      <w:r>
        <w:t xml:space="preserve"> </w:t>
      </w:r>
      <w:r w:rsidRPr="0071774C">
        <w:t>the</w:t>
      </w:r>
      <w:r>
        <w:t xml:space="preserve"> </w:t>
      </w:r>
      <w:r w:rsidRPr="0071774C">
        <w:t>multiple</w:t>
      </w:r>
      <w:r>
        <w:t xml:space="preserve"> </w:t>
      </w:r>
      <w:r w:rsidRPr="0071774C">
        <w:t>facets</w:t>
      </w:r>
      <w:r>
        <w:t xml:space="preserve"> </w:t>
      </w:r>
      <w:r w:rsidRPr="0071774C">
        <w:t>of</w:t>
      </w:r>
      <w:r>
        <w:t xml:space="preserve"> </w:t>
      </w:r>
      <w:r w:rsidRPr="0071774C">
        <w:t>population-level</w:t>
      </w:r>
      <w:r>
        <w:t xml:space="preserve"> </w:t>
      </w:r>
      <w:r w:rsidRPr="0071774C">
        <w:t>change</w:t>
      </w:r>
      <w:r>
        <w:t xml:space="preserve"> </w:t>
      </w:r>
      <w:r w:rsidRPr="0071774C">
        <w:t>we</w:t>
      </w:r>
      <w:r>
        <w:t xml:space="preserve"> </w:t>
      </w:r>
      <w:r w:rsidRPr="0071774C">
        <w:t>expect</w:t>
      </w:r>
      <w:r>
        <w:t xml:space="preserve"> </w:t>
      </w:r>
      <w:r w:rsidRPr="0071774C">
        <w:t>to</w:t>
      </w:r>
      <w:r>
        <w:t xml:space="preserve"> </w:t>
      </w:r>
      <w:r w:rsidRPr="0071774C">
        <w:t>see</w:t>
      </w:r>
      <w:r w:rsidR="006C6CFA">
        <w:t> </w:t>
      </w:r>
      <w:r w:rsidRPr="0071774C">
        <w:t>along</w:t>
      </w:r>
      <w:r>
        <w:t xml:space="preserve"> </w:t>
      </w:r>
      <w:r w:rsidRPr="0071774C">
        <w:t>the</w:t>
      </w:r>
      <w:r>
        <w:t xml:space="preserve"> </w:t>
      </w:r>
      <w:r w:rsidRPr="0071774C">
        <w:t>journey</w:t>
      </w:r>
      <w:r>
        <w:t xml:space="preserve"> </w:t>
      </w:r>
      <w:r w:rsidRPr="0071774C">
        <w:t>to</w:t>
      </w:r>
      <w:r>
        <w:t xml:space="preserve"> </w:t>
      </w:r>
      <w:r w:rsidRPr="0071774C">
        <w:t>large-scale</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The</w:t>
      </w:r>
      <w:r>
        <w:t xml:space="preserve"> </w:t>
      </w:r>
      <w:r w:rsidRPr="0071774C">
        <w:t>approach</w:t>
      </w:r>
      <w:r>
        <w:t xml:space="preserve"> </w:t>
      </w:r>
      <w:r w:rsidRPr="0071774C">
        <w:t>in</w:t>
      </w:r>
      <w:r w:rsidR="006C6CFA">
        <w:t> </w:t>
      </w:r>
      <w:r w:rsidRPr="0071774C">
        <w:t>this</w:t>
      </w:r>
      <w:r>
        <w:t xml:space="preserve"> </w:t>
      </w:r>
      <w:r w:rsidRPr="0071774C">
        <w:t>section</w:t>
      </w:r>
      <w:r>
        <w:t xml:space="preserve"> </w:t>
      </w:r>
      <w:r w:rsidRPr="0071774C">
        <w:t>is</w:t>
      </w:r>
      <w:r>
        <w:t xml:space="preserve"> </w:t>
      </w:r>
      <w:r w:rsidRPr="0071774C">
        <w:t>to</w:t>
      </w:r>
      <w:r>
        <w:t xml:space="preserve"> </w:t>
      </w:r>
      <w:r w:rsidRPr="0071774C">
        <w:t>descriptively</w:t>
      </w:r>
      <w:r>
        <w:t xml:space="preserve"> </w:t>
      </w:r>
      <w:r w:rsidRPr="0071774C">
        <w:t>analyse</w:t>
      </w:r>
      <w:r>
        <w:t xml:space="preserve"> </w:t>
      </w:r>
      <w:r w:rsidRPr="0071774C">
        <w:t>the</w:t>
      </w:r>
      <w:r>
        <w:t xml:space="preserve"> </w:t>
      </w:r>
      <w:r w:rsidRPr="0071774C">
        <w:t>statistical</w:t>
      </w:r>
      <w:r>
        <w:t xml:space="preserve"> </w:t>
      </w:r>
      <w:r w:rsidRPr="0071774C">
        <w:t>or</w:t>
      </w:r>
      <w:r>
        <w:t xml:space="preserve"> </w:t>
      </w:r>
      <w:r w:rsidRPr="0071774C">
        <w:t>quantitative</w:t>
      </w:r>
      <w:r>
        <w:t xml:space="preserve"> </w:t>
      </w:r>
      <w:r w:rsidRPr="0071774C">
        <w:t>evidence</w:t>
      </w:r>
      <w:r>
        <w:t xml:space="preserve"> </w:t>
      </w:r>
      <w:r w:rsidRPr="0071774C">
        <w:t>against</w:t>
      </w:r>
      <w:r>
        <w:t xml:space="preserve"> </w:t>
      </w:r>
      <w:r w:rsidRPr="0071774C">
        <w:t>each</w:t>
      </w:r>
      <w:r>
        <w:t xml:space="preserve"> </w:t>
      </w:r>
      <w:r w:rsidRPr="0071774C">
        <w:t>individual</w:t>
      </w:r>
      <w:r>
        <w:t xml:space="preserve"> </w:t>
      </w:r>
      <w:r w:rsidRPr="0071774C">
        <w:t>indicator,</w:t>
      </w:r>
      <w:r>
        <w:t xml:space="preserve"> </w:t>
      </w:r>
      <w:r w:rsidRPr="0071774C">
        <w:t>and</w:t>
      </w:r>
      <w:r>
        <w:t xml:space="preserve"> </w:t>
      </w:r>
      <w:r w:rsidRPr="0071774C">
        <w:t>then</w:t>
      </w:r>
      <w:r>
        <w:t xml:space="preserve"> </w:t>
      </w:r>
      <w:r w:rsidRPr="0071774C">
        <w:t>to</w:t>
      </w:r>
      <w:r>
        <w:t xml:space="preserve"> </w:t>
      </w:r>
      <w:r w:rsidRPr="0071774C">
        <w:t>qualitatively</w:t>
      </w:r>
      <w:r>
        <w:t xml:space="preserve"> </w:t>
      </w:r>
      <w:r w:rsidRPr="0071774C">
        <w:t>analyse</w:t>
      </w:r>
      <w:r>
        <w:t xml:space="preserve"> </w:t>
      </w:r>
      <w:r w:rsidRPr="0071774C">
        <w:t>findings</w:t>
      </w:r>
      <w:r>
        <w:t xml:space="preserve"> </w:t>
      </w:r>
      <w:r w:rsidRPr="0071774C">
        <w:t>across</w:t>
      </w:r>
      <w:r>
        <w:t xml:space="preserve"> </w:t>
      </w:r>
      <w:r w:rsidRPr="0071774C">
        <w:t>a</w:t>
      </w:r>
      <w:r>
        <w:t xml:space="preserve"> </w:t>
      </w:r>
      <w:r w:rsidRPr="0071774C">
        <w:t>suite</w:t>
      </w:r>
      <w:r>
        <w:t xml:space="preserve"> </w:t>
      </w:r>
      <w:r w:rsidRPr="0071774C">
        <w:t>of</w:t>
      </w:r>
      <w:r>
        <w:t xml:space="preserve"> </w:t>
      </w:r>
      <w:r w:rsidRPr="0071774C">
        <w:t>indicators</w:t>
      </w:r>
      <w:r>
        <w:t xml:space="preserve"> </w:t>
      </w:r>
      <w:r w:rsidRPr="0071774C">
        <w:t>to</w:t>
      </w:r>
      <w:r w:rsidR="00851841">
        <w:t> </w:t>
      </w:r>
      <w:r w:rsidRPr="0071774C">
        <w:t>form</w:t>
      </w:r>
      <w:r>
        <w:t xml:space="preserve"> </w:t>
      </w:r>
      <w:r w:rsidRPr="0071774C">
        <w:t>an</w:t>
      </w:r>
      <w:r>
        <w:t xml:space="preserve"> </w:t>
      </w:r>
      <w:r w:rsidRPr="0071774C">
        <w:t>overall</w:t>
      </w:r>
      <w:r>
        <w:t xml:space="preserve"> </w:t>
      </w:r>
      <w:r w:rsidRPr="0071774C">
        <w:t>picture</w:t>
      </w:r>
      <w:r>
        <w:t xml:space="preserve"> </w:t>
      </w:r>
      <w:r w:rsidRPr="0071774C">
        <w:t>of</w:t>
      </w:r>
      <w:r>
        <w:t xml:space="preserve"> </w:t>
      </w:r>
      <w:r w:rsidRPr="0071774C">
        <w:t>progress.</w:t>
      </w:r>
    </w:p>
    <w:p w14:paraId="5D8D86C3" w14:textId="072DEF06" w:rsidR="002C2EC7" w:rsidRDefault="002C2EC7" w:rsidP="00790783">
      <w:pPr>
        <w:pStyle w:val="BodyText"/>
      </w:pPr>
      <w:r w:rsidRPr="0071774C">
        <w:t>In</w:t>
      </w:r>
      <w:r>
        <w:t xml:space="preserve"> </w:t>
      </w:r>
      <w:r w:rsidR="0044154C">
        <w:t>S</w:t>
      </w:r>
      <w:r w:rsidRPr="0071774C">
        <w:t>ection</w:t>
      </w:r>
      <w:r>
        <w:t xml:space="preserve"> </w:t>
      </w:r>
      <w:r w:rsidR="0044154C">
        <w:t>2</w:t>
      </w:r>
      <w:r w:rsidRPr="0071774C">
        <w:t>,</w:t>
      </w:r>
      <w:r>
        <w:t xml:space="preserve"> </w:t>
      </w:r>
      <w:r w:rsidRPr="0071774C">
        <w:t>wherever</w:t>
      </w:r>
      <w:r>
        <w:t xml:space="preserve"> </w:t>
      </w:r>
      <w:r w:rsidRPr="0071774C">
        <w:t>possible,</w:t>
      </w:r>
      <w:r>
        <w:t xml:space="preserve"> </w:t>
      </w:r>
      <w:r w:rsidRPr="0071774C">
        <w:t>the</w:t>
      </w:r>
      <w:r>
        <w:t xml:space="preserve"> </w:t>
      </w:r>
      <w:r w:rsidRPr="0071774C">
        <w:t>report</w:t>
      </w:r>
      <w:r>
        <w:t xml:space="preserve"> </w:t>
      </w:r>
      <w:r w:rsidRPr="0071774C">
        <w:t>compares</w:t>
      </w:r>
      <w:r>
        <w:t xml:space="preserve"> </w:t>
      </w:r>
      <w:r w:rsidRPr="0071774C">
        <w:t>two</w:t>
      </w:r>
      <w:r>
        <w:t xml:space="preserve"> </w:t>
      </w:r>
      <w:r w:rsidRPr="0071774C">
        <w:t>data</w:t>
      </w:r>
      <w:r>
        <w:t xml:space="preserve"> </w:t>
      </w:r>
      <w:r w:rsidRPr="0071774C">
        <w:t>points</w:t>
      </w:r>
      <w:r>
        <w:t xml:space="preserve"> </w:t>
      </w:r>
      <w:r w:rsidRPr="0071774C">
        <w:t>within</w:t>
      </w:r>
      <w:r>
        <w:t xml:space="preserve"> </w:t>
      </w:r>
      <w:r w:rsidRPr="0071774C">
        <w:t>the</w:t>
      </w:r>
      <w:r>
        <w:t xml:space="preserve"> </w:t>
      </w:r>
      <w:r w:rsidRPr="0071774C">
        <w:t>decade</w:t>
      </w:r>
      <w:r>
        <w:t xml:space="preserve"> </w:t>
      </w:r>
      <w:r w:rsidRPr="0071774C">
        <w:t>under</w:t>
      </w:r>
      <w:r>
        <w:t xml:space="preserve"> </w:t>
      </w:r>
      <w:r w:rsidRPr="0071774C">
        <w:t>consideration</w:t>
      </w:r>
      <w:r>
        <w:t xml:space="preserve">, </w:t>
      </w:r>
      <w:r w:rsidRPr="0071774C">
        <w:t>in</w:t>
      </w:r>
      <w:r>
        <w:t xml:space="preserve"> </w:t>
      </w:r>
      <w:r w:rsidRPr="0071774C">
        <w:t>order</w:t>
      </w:r>
      <w:r>
        <w:t xml:space="preserve"> </w:t>
      </w:r>
      <w:r w:rsidRPr="0071774C">
        <w:t>to</w:t>
      </w:r>
      <w:r>
        <w:t xml:space="preserve"> </w:t>
      </w:r>
      <w:r w:rsidRPr="0071774C">
        <w:t>make</w:t>
      </w:r>
      <w:r>
        <w:t xml:space="preserve"> </w:t>
      </w:r>
      <w:r w:rsidRPr="0071774C">
        <w:t>some</w:t>
      </w:r>
      <w:r>
        <w:t xml:space="preserve"> </w:t>
      </w:r>
      <w:r w:rsidRPr="0071774C">
        <w:t>assessment</w:t>
      </w:r>
      <w:r>
        <w:t xml:space="preserve"> </w:t>
      </w:r>
      <w:r w:rsidRPr="0071774C">
        <w:t>of</w:t>
      </w:r>
      <w:r>
        <w:t xml:space="preserve"> </w:t>
      </w:r>
      <w:r w:rsidRPr="0071774C">
        <w:t>the</w:t>
      </w:r>
      <w:r>
        <w:t xml:space="preserve"> </w:t>
      </w:r>
      <w:r w:rsidRPr="0071774C">
        <w:t>degree</w:t>
      </w:r>
      <w:r>
        <w:t xml:space="preserve"> </w:t>
      </w:r>
      <w:r w:rsidRPr="0071774C">
        <w:t>of</w:t>
      </w:r>
      <w:r>
        <w:t xml:space="preserve"> </w:t>
      </w:r>
      <w:r w:rsidRPr="0071774C">
        <w:t>change</w:t>
      </w:r>
      <w:r>
        <w:t xml:space="preserve"> </w:t>
      </w:r>
      <w:r w:rsidRPr="0071774C">
        <w:t>to</w:t>
      </w:r>
      <w:r>
        <w:t xml:space="preserve"> </w:t>
      </w:r>
      <w:r w:rsidRPr="0071774C">
        <w:t>date.</w:t>
      </w:r>
      <w:r>
        <w:t xml:space="preserve"> </w:t>
      </w:r>
      <w:r w:rsidRPr="0071774C">
        <w:t>However,</w:t>
      </w:r>
      <w:r>
        <w:t xml:space="preserve"> </w:t>
      </w:r>
      <w:r w:rsidRPr="0071774C">
        <w:t>there</w:t>
      </w:r>
      <w:r>
        <w:t xml:space="preserve"> </w:t>
      </w:r>
      <w:r w:rsidRPr="0071774C">
        <w:t>are</w:t>
      </w:r>
      <w:r>
        <w:t xml:space="preserve"> </w:t>
      </w:r>
      <w:r w:rsidRPr="0071774C">
        <w:t>several</w:t>
      </w:r>
      <w:r>
        <w:t xml:space="preserve"> </w:t>
      </w:r>
      <w:r w:rsidRPr="0071774C">
        <w:t>caveats</w:t>
      </w:r>
      <w:r>
        <w:t xml:space="preserve"> </w:t>
      </w:r>
      <w:r w:rsidRPr="0071774C">
        <w:t>to</w:t>
      </w:r>
      <w:r>
        <w:t xml:space="preserve"> </w:t>
      </w:r>
      <w:r w:rsidRPr="0071774C">
        <w:t>the</w:t>
      </w:r>
      <w:r>
        <w:t xml:space="preserve"> </w:t>
      </w:r>
      <w:r w:rsidRPr="0071774C">
        <w:t>assessment</w:t>
      </w:r>
      <w:r>
        <w:t xml:space="preserve"> </w:t>
      </w:r>
      <w:r w:rsidRPr="0071774C">
        <w:t>of</w:t>
      </w:r>
      <w:r>
        <w:t xml:space="preserve"> </w:t>
      </w:r>
      <w:r w:rsidRPr="0071774C">
        <w:t>change</w:t>
      </w:r>
      <w:r>
        <w:t xml:space="preserve"> </w:t>
      </w:r>
      <w:r w:rsidRPr="0071774C">
        <w:t>over</w:t>
      </w:r>
      <w:r>
        <w:t xml:space="preserve"> </w:t>
      </w:r>
      <w:r w:rsidRPr="0071774C">
        <w:t>time</w:t>
      </w:r>
      <w:r>
        <w:t xml:space="preserve"> </w:t>
      </w:r>
      <w:r w:rsidRPr="0071774C">
        <w:t>made</w:t>
      </w:r>
      <w:r>
        <w:t xml:space="preserve"> </w:t>
      </w:r>
      <w:r w:rsidRPr="0071774C">
        <w:t>in</w:t>
      </w:r>
      <w:r>
        <w:t xml:space="preserve"> </w:t>
      </w:r>
      <w:r w:rsidRPr="0071774C">
        <w:t>this</w:t>
      </w:r>
      <w:r>
        <w:t xml:space="preserve"> </w:t>
      </w:r>
      <w:r w:rsidRPr="0071774C">
        <w:t>report:</w:t>
      </w:r>
    </w:p>
    <w:p w14:paraId="1977DE0E" w14:textId="4BCEDB8C" w:rsidR="002C2EC7" w:rsidRDefault="002C2EC7" w:rsidP="0053206C">
      <w:pPr>
        <w:pStyle w:val="OWNumberdigit"/>
        <w:numPr>
          <w:ilvl w:val="0"/>
          <w:numId w:val="52"/>
        </w:numPr>
      </w:pPr>
      <w:r w:rsidRPr="0071774C">
        <w:t>Where</w:t>
      </w:r>
      <w:r>
        <w:t xml:space="preserve"> there </w:t>
      </w:r>
      <w:r w:rsidRPr="0071774C">
        <w:t>is</w:t>
      </w:r>
      <w:r>
        <w:t xml:space="preserve"> </w:t>
      </w:r>
      <w:r w:rsidRPr="0071774C">
        <w:t>more</w:t>
      </w:r>
      <w:r>
        <w:t xml:space="preserve"> </w:t>
      </w:r>
      <w:r w:rsidRPr="0071774C">
        <w:t>than</w:t>
      </w:r>
      <w:r>
        <w:t xml:space="preserve"> </w:t>
      </w:r>
      <w:r w:rsidRPr="0071774C">
        <w:t>one</w:t>
      </w:r>
      <w:r>
        <w:t xml:space="preserve"> </w:t>
      </w:r>
      <w:r w:rsidRPr="0071774C">
        <w:t>wave</w:t>
      </w:r>
      <w:r>
        <w:t xml:space="preserve"> </w:t>
      </w:r>
      <w:r w:rsidRPr="0071774C">
        <w:t>of</w:t>
      </w:r>
      <w:r>
        <w:t xml:space="preserve"> </w:t>
      </w:r>
      <w:r w:rsidRPr="0071774C">
        <w:t>data</w:t>
      </w:r>
      <w:r>
        <w:t xml:space="preserve"> </w:t>
      </w:r>
      <w:r w:rsidRPr="0071774C">
        <w:t>available</w:t>
      </w:r>
      <w:r>
        <w:t xml:space="preserve"> </w:t>
      </w:r>
      <w:r w:rsidRPr="0071774C">
        <w:t>for</w:t>
      </w:r>
      <w:r>
        <w:t xml:space="preserve"> </w:t>
      </w:r>
      <w:r w:rsidRPr="0071774C">
        <w:t>a</w:t>
      </w:r>
      <w:r>
        <w:t xml:space="preserve"> </w:t>
      </w:r>
      <w:r w:rsidRPr="0071774C">
        <w:t>particular</w:t>
      </w:r>
      <w:r>
        <w:t xml:space="preserve"> </w:t>
      </w:r>
      <w:r w:rsidRPr="0071774C">
        <w:t>dataset</w:t>
      </w:r>
      <w:r>
        <w:t xml:space="preserve"> </w:t>
      </w:r>
      <w:r w:rsidRPr="0071774C">
        <w:t>within</w:t>
      </w:r>
      <w:r>
        <w:t xml:space="preserve"> </w:t>
      </w:r>
      <w:r w:rsidRPr="0071774C">
        <w:t>the</w:t>
      </w:r>
      <w:r>
        <w:t xml:space="preserve"> </w:t>
      </w:r>
      <w:r w:rsidRPr="0071774C">
        <w:t>2009</w:t>
      </w:r>
      <w:r>
        <w:t xml:space="preserve"> </w:t>
      </w:r>
      <w:r w:rsidRPr="0071774C">
        <w:t>to</w:t>
      </w:r>
      <w:r>
        <w:t xml:space="preserve"> </w:t>
      </w:r>
      <w:r w:rsidRPr="0071774C">
        <w:t>2019</w:t>
      </w:r>
      <w:r>
        <w:t xml:space="preserve"> </w:t>
      </w:r>
      <w:r w:rsidRPr="0071774C">
        <w:t>period,</w:t>
      </w:r>
      <w:r>
        <w:t xml:space="preserve"> </w:t>
      </w:r>
      <w:r w:rsidRPr="0071774C">
        <w:t>these</w:t>
      </w:r>
      <w:r>
        <w:t xml:space="preserve"> </w:t>
      </w:r>
      <w:r w:rsidRPr="0071774C">
        <w:t>occur</w:t>
      </w:r>
      <w:r>
        <w:t xml:space="preserve"> </w:t>
      </w:r>
      <w:r w:rsidRPr="0071774C">
        <w:t>at</w:t>
      </w:r>
      <w:r>
        <w:t xml:space="preserve"> </w:t>
      </w:r>
      <w:r w:rsidRPr="0071774C">
        <w:t>different</w:t>
      </w:r>
      <w:r>
        <w:t xml:space="preserve"> </w:t>
      </w:r>
      <w:r w:rsidRPr="0071774C">
        <w:t>intervals</w:t>
      </w:r>
      <w:r>
        <w:t xml:space="preserve"> </w:t>
      </w:r>
      <w:r w:rsidRPr="0071774C">
        <w:t>and</w:t>
      </w:r>
      <w:r>
        <w:t xml:space="preserve"> </w:t>
      </w:r>
      <w:r w:rsidRPr="0071774C">
        <w:t>at</w:t>
      </w:r>
      <w:r>
        <w:t xml:space="preserve"> </w:t>
      </w:r>
      <w:r w:rsidRPr="0071774C">
        <w:t>different</w:t>
      </w:r>
      <w:r>
        <w:t xml:space="preserve"> </w:t>
      </w:r>
      <w:r w:rsidRPr="0071774C">
        <w:t>points</w:t>
      </w:r>
      <w:r>
        <w:t xml:space="preserve"> </w:t>
      </w:r>
      <w:r w:rsidRPr="0071774C">
        <w:t>in</w:t>
      </w:r>
      <w:r>
        <w:t xml:space="preserve"> </w:t>
      </w:r>
      <w:r w:rsidRPr="0071774C">
        <w:t>time</w:t>
      </w:r>
      <w:r>
        <w:t xml:space="preserve"> </w:t>
      </w:r>
      <w:r w:rsidRPr="0071774C">
        <w:t>(for</w:t>
      </w:r>
      <w:r w:rsidR="00851841">
        <w:t> </w:t>
      </w:r>
      <w:r w:rsidRPr="0071774C">
        <w:t>example,</w:t>
      </w:r>
      <w:r>
        <w:t xml:space="preserve"> </w:t>
      </w:r>
      <w:r w:rsidRPr="0071774C">
        <w:t>the</w:t>
      </w:r>
      <w:r>
        <w:t xml:space="preserve"> </w:t>
      </w:r>
      <w:r w:rsidRPr="0071774C">
        <w:t>Personal</w:t>
      </w:r>
      <w:r>
        <w:t xml:space="preserve"> </w:t>
      </w:r>
      <w:r w:rsidRPr="0071774C">
        <w:t>Safety</w:t>
      </w:r>
      <w:r>
        <w:t xml:space="preserve"> </w:t>
      </w:r>
      <w:r w:rsidRPr="0071774C">
        <w:t>Survey</w:t>
      </w:r>
      <w:r>
        <w:t xml:space="preserve"> (PSS) </w:t>
      </w:r>
      <w:r w:rsidRPr="0071774C">
        <w:t>in</w:t>
      </w:r>
      <w:r>
        <w:t xml:space="preserve"> </w:t>
      </w:r>
      <w:r w:rsidRPr="0071774C">
        <w:t>2012</w:t>
      </w:r>
      <w:r>
        <w:t xml:space="preserve"> </w:t>
      </w:r>
      <w:r w:rsidRPr="0071774C">
        <w:t>and</w:t>
      </w:r>
      <w:r>
        <w:t xml:space="preserve"> </w:t>
      </w:r>
      <w:r w:rsidRPr="0071774C">
        <w:t>2016,</w:t>
      </w:r>
      <w:r>
        <w:t xml:space="preserve"> </w:t>
      </w:r>
      <w:r w:rsidRPr="0071774C">
        <w:t>and</w:t>
      </w:r>
      <w:r>
        <w:t xml:space="preserve"> </w:t>
      </w:r>
      <w:r w:rsidRPr="0071774C">
        <w:t>the</w:t>
      </w:r>
      <w:r>
        <w:t xml:space="preserve"> </w:t>
      </w:r>
      <w:r w:rsidRPr="0071774C">
        <w:t>National</w:t>
      </w:r>
      <w:r>
        <w:t xml:space="preserve"> </w:t>
      </w:r>
      <w:r w:rsidRPr="0071774C">
        <w:t>Community</w:t>
      </w:r>
      <w:r>
        <w:t xml:space="preserve"> </w:t>
      </w:r>
      <w:r w:rsidRPr="0071774C">
        <w:t>Attitudes</w:t>
      </w:r>
      <w:r>
        <w:t xml:space="preserve"> towards Violence against Women </w:t>
      </w:r>
      <w:r w:rsidRPr="0071774C">
        <w:t>Survey</w:t>
      </w:r>
      <w:r>
        <w:t xml:space="preserve"> (NCAS) </w:t>
      </w:r>
      <w:r w:rsidRPr="0071774C">
        <w:t>in</w:t>
      </w:r>
      <w:r>
        <w:t xml:space="preserve"> </w:t>
      </w:r>
      <w:r w:rsidRPr="0071774C">
        <w:t>2009,</w:t>
      </w:r>
      <w:r>
        <w:t xml:space="preserve"> </w:t>
      </w:r>
      <w:r w:rsidRPr="0071774C">
        <w:t>2013</w:t>
      </w:r>
      <w:r>
        <w:t xml:space="preserve"> </w:t>
      </w:r>
      <w:r w:rsidRPr="0071774C">
        <w:t>and</w:t>
      </w:r>
      <w:r>
        <w:t xml:space="preserve"> </w:t>
      </w:r>
      <w:r w:rsidRPr="0071774C">
        <w:t>2017).</w:t>
      </w:r>
      <w:r>
        <w:t xml:space="preserve"> </w:t>
      </w:r>
      <w:r w:rsidRPr="0071774C">
        <w:t>As</w:t>
      </w:r>
      <w:r>
        <w:t xml:space="preserve"> </w:t>
      </w:r>
      <w:r w:rsidRPr="0071774C">
        <w:t>such,</w:t>
      </w:r>
      <w:r>
        <w:t xml:space="preserve"> </w:t>
      </w:r>
      <w:r w:rsidRPr="0071774C">
        <w:t>even</w:t>
      </w:r>
      <w:r>
        <w:t xml:space="preserve"> </w:t>
      </w:r>
      <w:r w:rsidRPr="0071774C">
        <w:t>with</w:t>
      </w:r>
      <w:r>
        <w:t xml:space="preserve"> </w:t>
      </w:r>
      <w:r w:rsidRPr="0071774C">
        <w:t>data</w:t>
      </w:r>
      <w:r>
        <w:t xml:space="preserve"> </w:t>
      </w:r>
      <w:r w:rsidRPr="0071774C">
        <w:t>allowing</w:t>
      </w:r>
      <w:r>
        <w:t xml:space="preserve"> </w:t>
      </w:r>
      <w:r w:rsidRPr="0071774C">
        <w:t>the</w:t>
      </w:r>
      <w:r>
        <w:t xml:space="preserve"> </w:t>
      </w:r>
      <w:r w:rsidRPr="0071774C">
        <w:t>tracking</w:t>
      </w:r>
      <w:r>
        <w:t xml:space="preserve"> </w:t>
      </w:r>
      <w:r w:rsidRPr="0071774C">
        <w:t>of</w:t>
      </w:r>
      <w:r>
        <w:t xml:space="preserve"> </w:t>
      </w:r>
      <w:r w:rsidRPr="0071774C">
        <w:t>change</w:t>
      </w:r>
      <w:r>
        <w:t xml:space="preserve"> </w:t>
      </w:r>
      <w:r w:rsidRPr="0071774C">
        <w:t>over</w:t>
      </w:r>
      <w:r>
        <w:t xml:space="preserve"> </w:t>
      </w:r>
      <w:r w:rsidRPr="0071774C">
        <w:t>time,</w:t>
      </w:r>
      <w:r>
        <w:t xml:space="preserve"> </w:t>
      </w:r>
      <w:r w:rsidRPr="0071774C">
        <w:t>available</w:t>
      </w:r>
      <w:r>
        <w:t xml:space="preserve"> </w:t>
      </w:r>
      <w:r w:rsidRPr="0071774C">
        <w:t>data</w:t>
      </w:r>
      <w:r>
        <w:t xml:space="preserve"> </w:t>
      </w:r>
      <w:r w:rsidRPr="0071774C">
        <w:t>does</w:t>
      </w:r>
      <w:r>
        <w:t xml:space="preserve"> </w:t>
      </w:r>
      <w:r w:rsidRPr="0071774C">
        <w:t>not</w:t>
      </w:r>
      <w:r>
        <w:t xml:space="preserve"> </w:t>
      </w:r>
      <w:r w:rsidRPr="0071774C">
        <w:t>lend</w:t>
      </w:r>
      <w:r>
        <w:t xml:space="preserve"> </w:t>
      </w:r>
      <w:r w:rsidRPr="0071774C">
        <w:t>itself</w:t>
      </w:r>
      <w:r>
        <w:t xml:space="preserve"> </w:t>
      </w:r>
      <w:r w:rsidRPr="0071774C">
        <w:t>to</w:t>
      </w:r>
      <w:r>
        <w:t xml:space="preserve"> </w:t>
      </w:r>
      <w:r w:rsidRPr="0071774C">
        <w:t>a</w:t>
      </w:r>
      <w:r>
        <w:t xml:space="preserve"> </w:t>
      </w:r>
      <w:r w:rsidRPr="0071774C">
        <w:t>definitive</w:t>
      </w:r>
      <w:r>
        <w:t xml:space="preserve"> </w:t>
      </w:r>
      <w:r w:rsidRPr="0071774C">
        <w:t>statement</w:t>
      </w:r>
      <w:r>
        <w:t xml:space="preserve"> </w:t>
      </w:r>
      <w:r w:rsidRPr="0071774C">
        <w:t>of</w:t>
      </w:r>
      <w:r>
        <w:t xml:space="preserve"> </w:t>
      </w:r>
      <w:r w:rsidRPr="0071774C">
        <w:t>ten</w:t>
      </w:r>
      <w:r>
        <w:t xml:space="preserve"> </w:t>
      </w:r>
      <w:r w:rsidRPr="0071774C">
        <w:t>years</w:t>
      </w:r>
      <w:r>
        <w:t xml:space="preserve"> </w:t>
      </w:r>
      <w:r w:rsidRPr="0071774C">
        <w:t>of</w:t>
      </w:r>
      <w:r>
        <w:t xml:space="preserve"> </w:t>
      </w:r>
      <w:r w:rsidRPr="0071774C">
        <w:t>change</w:t>
      </w:r>
      <w:r>
        <w:t xml:space="preserve"> </w:t>
      </w:r>
      <w:r w:rsidRPr="0071774C">
        <w:t>(that</w:t>
      </w:r>
      <w:r>
        <w:t xml:space="preserve"> </w:t>
      </w:r>
      <w:r w:rsidRPr="0071774C">
        <w:t>is,</w:t>
      </w:r>
      <w:r>
        <w:t xml:space="preserve"> by </w:t>
      </w:r>
      <w:r w:rsidRPr="0071774C">
        <w:t>comparing</w:t>
      </w:r>
      <w:r>
        <w:t xml:space="preserve"> </w:t>
      </w:r>
      <w:r w:rsidRPr="0071774C">
        <w:t>2009</w:t>
      </w:r>
      <w:r>
        <w:t xml:space="preserve"> </w:t>
      </w:r>
      <w:r w:rsidRPr="0071774C">
        <w:t>and</w:t>
      </w:r>
      <w:r>
        <w:t xml:space="preserve"> </w:t>
      </w:r>
      <w:r w:rsidRPr="0071774C">
        <w:t>2019).</w:t>
      </w:r>
      <w:r>
        <w:t xml:space="preserve"> </w:t>
      </w:r>
      <w:r w:rsidRPr="0071774C">
        <w:t>In</w:t>
      </w:r>
      <w:r>
        <w:t xml:space="preserve"> </w:t>
      </w:r>
      <w:r w:rsidRPr="0071774C">
        <w:t>many</w:t>
      </w:r>
      <w:r>
        <w:t xml:space="preserve"> </w:t>
      </w:r>
      <w:r w:rsidRPr="0071774C">
        <w:t>instances,</w:t>
      </w:r>
      <w:r>
        <w:t xml:space="preserve"> </w:t>
      </w:r>
      <w:r w:rsidRPr="0071774C">
        <w:t>such</w:t>
      </w:r>
      <w:r>
        <w:t xml:space="preserve"> </w:t>
      </w:r>
      <w:r w:rsidRPr="0071774C">
        <w:t>as</w:t>
      </w:r>
      <w:r>
        <w:t xml:space="preserve"> </w:t>
      </w:r>
      <w:r w:rsidRPr="0071774C">
        <w:t>with</w:t>
      </w:r>
      <w:r>
        <w:t xml:space="preserve"> </w:t>
      </w:r>
      <w:r w:rsidRPr="0071774C">
        <w:t>the</w:t>
      </w:r>
      <w:r>
        <w:t xml:space="preserve"> PSS</w:t>
      </w:r>
      <w:r w:rsidRPr="0071774C">
        <w:t>,</w:t>
      </w:r>
      <w:r>
        <w:t xml:space="preserve"> </w:t>
      </w:r>
      <w:r w:rsidRPr="0071774C">
        <w:t>we</w:t>
      </w:r>
      <w:r>
        <w:t xml:space="preserve"> </w:t>
      </w:r>
      <w:r w:rsidRPr="0071774C">
        <w:t>have</w:t>
      </w:r>
      <w:r>
        <w:t xml:space="preserve"> </w:t>
      </w:r>
      <w:r w:rsidRPr="0071774C">
        <w:t>only</w:t>
      </w:r>
      <w:r>
        <w:t xml:space="preserve"> </w:t>
      </w:r>
      <w:r w:rsidRPr="0071774C">
        <w:t>been</w:t>
      </w:r>
      <w:r>
        <w:t xml:space="preserve"> </w:t>
      </w:r>
      <w:r w:rsidRPr="0071774C">
        <w:t>able</w:t>
      </w:r>
      <w:r>
        <w:t xml:space="preserve"> </w:t>
      </w:r>
      <w:r w:rsidRPr="0071774C">
        <w:t>to</w:t>
      </w:r>
      <w:r>
        <w:t xml:space="preserve"> </w:t>
      </w:r>
      <w:r w:rsidRPr="0071774C">
        <w:t>examine</w:t>
      </w:r>
      <w:r>
        <w:t xml:space="preserve"> </w:t>
      </w:r>
      <w:r w:rsidRPr="0071774C">
        <w:t>a</w:t>
      </w:r>
      <w:r>
        <w:t xml:space="preserve"> </w:t>
      </w:r>
      <w:r w:rsidRPr="0071774C">
        <w:t>small</w:t>
      </w:r>
      <w:r>
        <w:t xml:space="preserve"> </w:t>
      </w:r>
      <w:r w:rsidRPr="0071774C">
        <w:t>number</w:t>
      </w:r>
      <w:r>
        <w:t xml:space="preserve"> </w:t>
      </w:r>
      <w:r w:rsidRPr="0071774C">
        <w:t>of</w:t>
      </w:r>
      <w:r>
        <w:t xml:space="preserve"> </w:t>
      </w:r>
      <w:r w:rsidRPr="0071774C">
        <w:t>years</w:t>
      </w:r>
      <w:r>
        <w:t xml:space="preserve"> </w:t>
      </w:r>
      <w:r w:rsidRPr="0071774C">
        <w:t>of</w:t>
      </w:r>
      <w:r>
        <w:t xml:space="preserve"> </w:t>
      </w:r>
      <w:r w:rsidRPr="0071774C">
        <w:t>change</w:t>
      </w:r>
      <w:r>
        <w:t xml:space="preserve"> </w:t>
      </w:r>
      <w:r w:rsidRPr="0071774C">
        <w:t>(2012</w:t>
      </w:r>
      <w:r>
        <w:t xml:space="preserve"> </w:t>
      </w:r>
      <w:r w:rsidRPr="0071774C">
        <w:t>compared</w:t>
      </w:r>
      <w:r>
        <w:t xml:space="preserve"> </w:t>
      </w:r>
      <w:r w:rsidRPr="0071774C">
        <w:t>with</w:t>
      </w:r>
      <w:r>
        <w:t xml:space="preserve"> </w:t>
      </w:r>
      <w:r w:rsidRPr="0071774C">
        <w:t>2016</w:t>
      </w:r>
      <w:r>
        <w:t xml:space="preserve"> </w:t>
      </w:r>
      <w:r w:rsidRPr="0071774C">
        <w:t>waves).</w:t>
      </w:r>
      <w:r>
        <w:t xml:space="preserve"> </w:t>
      </w:r>
      <w:r w:rsidRPr="0071774C">
        <w:t>This</w:t>
      </w:r>
      <w:r>
        <w:t xml:space="preserve"> </w:t>
      </w:r>
      <w:r w:rsidRPr="0071774C">
        <w:t>is</w:t>
      </w:r>
      <w:r>
        <w:t xml:space="preserve"> </w:t>
      </w:r>
      <w:r w:rsidRPr="0071774C">
        <w:t>not</w:t>
      </w:r>
      <w:r>
        <w:t xml:space="preserve"> </w:t>
      </w:r>
      <w:r w:rsidRPr="0071774C">
        <w:t>a</w:t>
      </w:r>
      <w:r>
        <w:t xml:space="preserve"> </w:t>
      </w:r>
      <w:r w:rsidRPr="0071774C">
        <w:t>long</w:t>
      </w:r>
      <w:r>
        <w:t xml:space="preserve"> </w:t>
      </w:r>
      <w:r w:rsidRPr="0071774C">
        <w:t>enough</w:t>
      </w:r>
      <w:r>
        <w:t xml:space="preserve"> </w:t>
      </w:r>
      <w:r w:rsidRPr="0071774C">
        <w:t>period</w:t>
      </w:r>
      <w:r>
        <w:t xml:space="preserve"> </w:t>
      </w:r>
      <w:r w:rsidRPr="0071774C">
        <w:t>to</w:t>
      </w:r>
      <w:r>
        <w:t xml:space="preserve"> </w:t>
      </w:r>
      <w:r w:rsidRPr="0071774C">
        <w:t>make</w:t>
      </w:r>
      <w:r>
        <w:t xml:space="preserve"> </w:t>
      </w:r>
      <w:r w:rsidRPr="0071774C">
        <w:t>a</w:t>
      </w:r>
      <w:r>
        <w:t xml:space="preserve"> </w:t>
      </w:r>
      <w:r w:rsidRPr="0071774C">
        <w:t>determination</w:t>
      </w:r>
      <w:r>
        <w:t xml:space="preserve"> </w:t>
      </w:r>
      <w:r w:rsidRPr="0071774C">
        <w:t>of</w:t>
      </w:r>
      <w:r>
        <w:t xml:space="preserve"> </w:t>
      </w:r>
      <w:r w:rsidRPr="0071774C">
        <w:t>a</w:t>
      </w:r>
      <w:r>
        <w:t xml:space="preserve"> </w:t>
      </w:r>
      <w:r w:rsidRPr="0071774C">
        <w:t>trend,</w:t>
      </w:r>
      <w:r>
        <w:t xml:space="preserve"> </w:t>
      </w:r>
      <w:r w:rsidRPr="0071774C">
        <w:t>and</w:t>
      </w:r>
      <w:r>
        <w:t xml:space="preserve"> </w:t>
      </w:r>
      <w:r w:rsidRPr="0071774C">
        <w:t>we</w:t>
      </w:r>
      <w:r>
        <w:t xml:space="preserve"> </w:t>
      </w:r>
      <w:r w:rsidRPr="0071774C">
        <w:t>would</w:t>
      </w:r>
      <w:r>
        <w:t xml:space="preserve"> </w:t>
      </w:r>
      <w:r w:rsidRPr="0071774C">
        <w:t>not</w:t>
      </w:r>
      <w:r>
        <w:t xml:space="preserve"> </w:t>
      </w:r>
      <w:r w:rsidRPr="0071774C">
        <w:t>expect</w:t>
      </w:r>
      <w:r>
        <w:t xml:space="preserve"> </w:t>
      </w:r>
      <w:r w:rsidRPr="0071774C">
        <w:t>to</w:t>
      </w:r>
      <w:r>
        <w:t xml:space="preserve"> </w:t>
      </w:r>
      <w:r w:rsidRPr="0071774C">
        <w:t>see</w:t>
      </w:r>
      <w:r>
        <w:t xml:space="preserve"> </w:t>
      </w:r>
      <w:r w:rsidRPr="0071774C">
        <w:t>statistically</w:t>
      </w:r>
      <w:r>
        <w:t xml:space="preserve"> </w:t>
      </w:r>
      <w:r w:rsidRPr="0071774C">
        <w:t>significant</w:t>
      </w:r>
      <w:r>
        <w:t xml:space="preserve"> </w:t>
      </w:r>
      <w:r w:rsidRPr="0071774C">
        <w:t>change</w:t>
      </w:r>
      <w:r>
        <w:t xml:space="preserve"> </w:t>
      </w:r>
      <w:r w:rsidRPr="0071774C">
        <w:t>to</w:t>
      </w:r>
      <w:r>
        <w:t xml:space="preserve"> </w:t>
      </w:r>
      <w:r w:rsidRPr="0071774C">
        <w:t>population-level</w:t>
      </w:r>
      <w:r>
        <w:t xml:space="preserve"> </w:t>
      </w:r>
      <w:r w:rsidRPr="0071774C">
        <w:t>markers</w:t>
      </w:r>
      <w:r>
        <w:t xml:space="preserve"> </w:t>
      </w:r>
      <w:r w:rsidRPr="0071774C">
        <w:t>in</w:t>
      </w:r>
      <w:r>
        <w:t xml:space="preserve"> </w:t>
      </w:r>
      <w:r w:rsidRPr="0071774C">
        <w:t>this</w:t>
      </w:r>
      <w:r>
        <w:t xml:space="preserve"> </w:t>
      </w:r>
      <w:r w:rsidRPr="0071774C">
        <w:t>time</w:t>
      </w:r>
      <w:r>
        <w:t xml:space="preserve"> </w:t>
      </w:r>
      <w:r w:rsidRPr="0071774C">
        <w:t>period</w:t>
      </w:r>
      <w:r>
        <w:t xml:space="preserve"> </w:t>
      </w:r>
      <w:r w:rsidRPr="0071774C">
        <w:t>in</w:t>
      </w:r>
      <w:r>
        <w:t xml:space="preserve"> </w:t>
      </w:r>
      <w:r w:rsidRPr="0071774C">
        <w:t>most</w:t>
      </w:r>
      <w:r>
        <w:t xml:space="preserve"> </w:t>
      </w:r>
      <w:r w:rsidRPr="0071774C">
        <w:t>cases.</w:t>
      </w:r>
      <w:r w:rsidR="00373D65">
        <w:t xml:space="preserve"> In other instances, </w:t>
      </w:r>
      <w:r w:rsidR="00D602D1">
        <w:t>changes to data collection tools (such as the addition of questions or changes to questions)</w:t>
      </w:r>
      <w:r w:rsidR="00E74921">
        <w:t xml:space="preserve"> also</w:t>
      </w:r>
      <w:r w:rsidR="00166ACD">
        <w:t xml:space="preserve"> result in data that is not comparable.</w:t>
      </w:r>
    </w:p>
    <w:p w14:paraId="268E7230" w14:textId="26A249E7" w:rsidR="002C2EC7" w:rsidRDefault="002C2EC7" w:rsidP="00790783">
      <w:pPr>
        <w:pStyle w:val="OWNumberdigit"/>
      </w:pPr>
      <w:r w:rsidRPr="0071774C">
        <w:t>The</w:t>
      </w:r>
      <w:r>
        <w:t xml:space="preserve"> </w:t>
      </w:r>
      <w:r w:rsidRPr="0071774C">
        <w:t>focus</w:t>
      </w:r>
      <w:r>
        <w:t xml:space="preserve"> </w:t>
      </w:r>
      <w:r w:rsidRPr="0071774C">
        <w:t>of</w:t>
      </w:r>
      <w:r>
        <w:t xml:space="preserve"> </w:t>
      </w:r>
      <w:r w:rsidRPr="00525643">
        <w:rPr>
          <w:rStyle w:val="Emphasis"/>
        </w:rPr>
        <w:t xml:space="preserve">Counting on change </w:t>
      </w:r>
      <w:r w:rsidRPr="0071774C">
        <w:t>was</w:t>
      </w:r>
      <w:r>
        <w:t xml:space="preserve"> </w:t>
      </w:r>
      <w:r w:rsidRPr="0071774C">
        <w:t>the</w:t>
      </w:r>
      <w:r>
        <w:t xml:space="preserve"> </w:t>
      </w:r>
      <w:r w:rsidRPr="0071774C">
        <w:t>identification</w:t>
      </w:r>
      <w:r>
        <w:t xml:space="preserve"> </w:t>
      </w:r>
      <w:r w:rsidRPr="0071774C">
        <w:t>of</w:t>
      </w:r>
      <w:r>
        <w:t xml:space="preserve"> </w:t>
      </w:r>
      <w:r w:rsidRPr="0071774C">
        <w:t>studies</w:t>
      </w:r>
      <w:r>
        <w:t xml:space="preserve"> </w:t>
      </w:r>
      <w:r w:rsidRPr="0071774C">
        <w:t>which</w:t>
      </w:r>
      <w:r>
        <w:t xml:space="preserve"> </w:t>
      </w:r>
      <w:r w:rsidRPr="0071774C">
        <w:t>are</w:t>
      </w:r>
      <w:r>
        <w:t xml:space="preserve"> </w:t>
      </w:r>
      <w:r w:rsidRPr="0071774C">
        <w:t>large,</w:t>
      </w:r>
      <w:r>
        <w:t xml:space="preserve"> </w:t>
      </w:r>
      <w:r w:rsidRPr="0071774C">
        <w:t>population-representative,</w:t>
      </w:r>
      <w:r>
        <w:t xml:space="preserve"> </w:t>
      </w:r>
      <w:r w:rsidRPr="0071774C">
        <w:t>and</w:t>
      </w:r>
      <w:r>
        <w:t xml:space="preserve"> </w:t>
      </w:r>
      <w:r w:rsidRPr="0071774C">
        <w:t>repeated</w:t>
      </w:r>
      <w:r>
        <w:t xml:space="preserve"> </w:t>
      </w:r>
      <w:r w:rsidRPr="0071774C">
        <w:t>at</w:t>
      </w:r>
      <w:r>
        <w:t xml:space="preserve"> </w:t>
      </w:r>
      <w:r w:rsidRPr="0071774C">
        <w:t>regular</w:t>
      </w:r>
      <w:r>
        <w:t xml:space="preserve"> </w:t>
      </w:r>
      <w:r w:rsidRPr="0071774C">
        <w:t>intervals</w:t>
      </w:r>
      <w:r>
        <w:t xml:space="preserve"> </w:t>
      </w:r>
      <w:r w:rsidRPr="0071774C">
        <w:t>in</w:t>
      </w:r>
      <w:r>
        <w:t xml:space="preserve"> </w:t>
      </w:r>
      <w:r w:rsidRPr="0071774C">
        <w:t>order</w:t>
      </w:r>
      <w:r>
        <w:t xml:space="preserve"> </w:t>
      </w:r>
      <w:r w:rsidRPr="0071774C">
        <w:t>to</w:t>
      </w:r>
      <w:r>
        <w:t xml:space="preserve"> </w:t>
      </w:r>
      <w:r w:rsidRPr="0071774C">
        <w:t>allow</w:t>
      </w:r>
      <w:r>
        <w:t xml:space="preserve"> </w:t>
      </w:r>
      <w:r w:rsidRPr="0071774C">
        <w:t>for</w:t>
      </w:r>
      <w:r>
        <w:t xml:space="preserve"> </w:t>
      </w:r>
      <w:r w:rsidRPr="0071774C">
        <w:t>tracking</w:t>
      </w:r>
      <w:r>
        <w:t xml:space="preserve"> </w:t>
      </w:r>
      <w:r w:rsidRPr="0071774C">
        <w:t>over</w:t>
      </w:r>
      <w:r>
        <w:t xml:space="preserve"> </w:t>
      </w:r>
      <w:r w:rsidRPr="0071774C">
        <w:t>time.</w:t>
      </w:r>
      <w:r>
        <w:t xml:space="preserve"> </w:t>
      </w:r>
      <w:r w:rsidRPr="0071774C">
        <w:t>However,</w:t>
      </w:r>
      <w:r>
        <w:t xml:space="preserve"> </w:t>
      </w:r>
      <w:r w:rsidRPr="0071774C">
        <w:t>we</w:t>
      </w:r>
      <w:r>
        <w:t xml:space="preserve"> </w:t>
      </w:r>
      <w:r w:rsidRPr="0071774C">
        <w:t>encountered</w:t>
      </w:r>
      <w:r>
        <w:t xml:space="preserve"> </w:t>
      </w:r>
      <w:r w:rsidRPr="0071774C">
        <w:t>limits</w:t>
      </w:r>
      <w:r>
        <w:t xml:space="preserve"> </w:t>
      </w:r>
      <w:r w:rsidRPr="0071774C">
        <w:t>to</w:t>
      </w:r>
      <w:r>
        <w:t xml:space="preserve"> </w:t>
      </w:r>
      <w:r w:rsidRPr="0071774C">
        <w:t>the</w:t>
      </w:r>
      <w:r>
        <w:t xml:space="preserve"> </w:t>
      </w:r>
      <w:r w:rsidRPr="0071774C">
        <w:t>availability</w:t>
      </w:r>
      <w:r>
        <w:t xml:space="preserve"> </w:t>
      </w:r>
      <w:r w:rsidRPr="0071774C">
        <w:t>of</w:t>
      </w:r>
      <w:r>
        <w:t xml:space="preserve"> </w:t>
      </w:r>
      <w:r w:rsidRPr="0071774C">
        <w:t>appropriate</w:t>
      </w:r>
      <w:r>
        <w:t xml:space="preserve"> </w:t>
      </w:r>
      <w:r w:rsidRPr="0071774C">
        <w:t>data</w:t>
      </w:r>
      <w:r>
        <w:t xml:space="preserve"> </w:t>
      </w:r>
      <w:r w:rsidRPr="0071774C">
        <w:t>against</w:t>
      </w:r>
      <w:r>
        <w:t xml:space="preserve"> </w:t>
      </w:r>
      <w:r w:rsidRPr="0071774C">
        <w:t>all</w:t>
      </w:r>
      <w:r>
        <w:t xml:space="preserve"> </w:t>
      </w:r>
      <w:r w:rsidRPr="0071774C">
        <w:t>indicators.</w:t>
      </w:r>
      <w:r>
        <w:t xml:space="preserve"> </w:t>
      </w:r>
      <w:r w:rsidRPr="0071774C">
        <w:t>For</w:t>
      </w:r>
      <w:r>
        <w:t xml:space="preserve"> </w:t>
      </w:r>
      <w:r w:rsidRPr="0071774C">
        <w:t>this</w:t>
      </w:r>
      <w:r>
        <w:t xml:space="preserve"> </w:t>
      </w:r>
      <w:r w:rsidRPr="0071774C">
        <w:t>reason,</w:t>
      </w:r>
      <w:r>
        <w:t xml:space="preserve"> </w:t>
      </w:r>
      <w:r w:rsidRPr="0071774C">
        <w:t>some</w:t>
      </w:r>
      <w:r>
        <w:t xml:space="preserve"> </w:t>
      </w:r>
      <w:r w:rsidRPr="0071774C">
        <w:t>single</w:t>
      </w:r>
      <w:r>
        <w:t xml:space="preserve"> </w:t>
      </w:r>
      <w:r w:rsidRPr="0071774C">
        <w:t>and</w:t>
      </w:r>
      <w:r>
        <w:t xml:space="preserve"> </w:t>
      </w:r>
      <w:r w:rsidRPr="0071774C">
        <w:t>smaller</w:t>
      </w:r>
      <w:r>
        <w:t xml:space="preserve"> </w:t>
      </w:r>
      <w:r w:rsidRPr="0071774C">
        <w:t>studies</w:t>
      </w:r>
      <w:r>
        <w:t xml:space="preserve"> </w:t>
      </w:r>
      <w:r w:rsidRPr="0071774C">
        <w:t>were</w:t>
      </w:r>
      <w:r>
        <w:t xml:space="preserve"> </w:t>
      </w:r>
      <w:r w:rsidRPr="0071774C">
        <w:t>also</w:t>
      </w:r>
      <w:r>
        <w:t xml:space="preserve"> </w:t>
      </w:r>
      <w:r w:rsidRPr="0071774C">
        <w:t>included,</w:t>
      </w:r>
      <w:r>
        <w:t xml:space="preserve"> </w:t>
      </w:r>
      <w:r w:rsidRPr="0071774C">
        <w:t>in</w:t>
      </w:r>
      <w:r>
        <w:t xml:space="preserve"> </w:t>
      </w:r>
      <w:r w:rsidRPr="0071774C">
        <w:t>order</w:t>
      </w:r>
      <w:r>
        <w:t xml:space="preserve"> to provide a more comprehensive </w:t>
      </w:r>
      <w:r w:rsidRPr="0071774C">
        <w:t>picture</w:t>
      </w:r>
      <w:r>
        <w:t xml:space="preserve"> </w:t>
      </w:r>
      <w:r w:rsidRPr="0071774C">
        <w:t>of</w:t>
      </w:r>
      <w:r>
        <w:t xml:space="preserve"> </w:t>
      </w:r>
      <w:r w:rsidRPr="0071774C">
        <w:t>where</w:t>
      </w:r>
      <w:r>
        <w:t xml:space="preserve"> </w:t>
      </w:r>
      <w:r w:rsidRPr="0071774C">
        <w:t>Australia</w:t>
      </w:r>
      <w:r>
        <w:t xml:space="preserve"> </w:t>
      </w:r>
      <w:r w:rsidRPr="0071774C">
        <w:t>stands</w:t>
      </w:r>
      <w:r>
        <w:t xml:space="preserve"> </w:t>
      </w:r>
      <w:r w:rsidRPr="0071774C">
        <w:t>with</w:t>
      </w:r>
      <w:r>
        <w:t xml:space="preserve"> </w:t>
      </w:r>
      <w:r w:rsidRPr="0071774C">
        <w:t>regard</w:t>
      </w:r>
      <w:r>
        <w:t xml:space="preserve"> </w:t>
      </w:r>
      <w:r w:rsidRPr="0071774C">
        <w:t>to</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in</w:t>
      </w:r>
      <w:r>
        <w:t xml:space="preserve"> </w:t>
      </w:r>
      <w:r w:rsidRPr="0071774C">
        <w:t>the</w:t>
      </w:r>
      <w:r>
        <w:t xml:space="preserve"> </w:t>
      </w:r>
      <w:r w:rsidRPr="0071774C">
        <w:t>decade</w:t>
      </w:r>
      <w:r>
        <w:t xml:space="preserve"> </w:t>
      </w:r>
      <w:r w:rsidRPr="0071774C">
        <w:t>in</w:t>
      </w:r>
      <w:r>
        <w:t xml:space="preserve"> </w:t>
      </w:r>
      <w:r w:rsidRPr="0071774C">
        <w:t>focus.</w:t>
      </w:r>
      <w:r>
        <w:t xml:space="preserve"> </w:t>
      </w:r>
      <w:r w:rsidRPr="0071774C">
        <w:t>A</w:t>
      </w:r>
      <w:r w:rsidR="00851841">
        <w:t> </w:t>
      </w:r>
      <w:r w:rsidRPr="0071774C">
        <w:t>single</w:t>
      </w:r>
      <w:r>
        <w:t xml:space="preserve"> </w:t>
      </w:r>
      <w:r w:rsidRPr="0071774C">
        <w:t>wave</w:t>
      </w:r>
      <w:r>
        <w:t xml:space="preserve"> </w:t>
      </w:r>
      <w:r w:rsidRPr="0071774C">
        <w:t>of</w:t>
      </w:r>
      <w:r>
        <w:t xml:space="preserve"> </w:t>
      </w:r>
      <w:r w:rsidRPr="0071774C">
        <w:t>data</w:t>
      </w:r>
      <w:r>
        <w:t xml:space="preserve"> </w:t>
      </w:r>
      <w:r w:rsidRPr="0071774C">
        <w:t>means</w:t>
      </w:r>
      <w:r>
        <w:t xml:space="preserve"> </w:t>
      </w:r>
      <w:r w:rsidRPr="0071774C">
        <w:t>that</w:t>
      </w:r>
      <w:r>
        <w:t xml:space="preserve"> </w:t>
      </w:r>
      <w:r w:rsidRPr="0071774C">
        <w:t>in</w:t>
      </w:r>
      <w:r>
        <w:t xml:space="preserve"> </w:t>
      </w:r>
      <w:r w:rsidRPr="0071774C">
        <w:t>those</w:t>
      </w:r>
      <w:r>
        <w:t xml:space="preserve"> </w:t>
      </w:r>
      <w:r w:rsidRPr="0071774C">
        <w:t>instances</w:t>
      </w:r>
      <w:r>
        <w:t xml:space="preserve"> </w:t>
      </w:r>
      <w:r w:rsidRPr="0071774C">
        <w:t>we</w:t>
      </w:r>
      <w:r>
        <w:t xml:space="preserve"> </w:t>
      </w:r>
      <w:r w:rsidRPr="0071774C">
        <w:t>can</w:t>
      </w:r>
      <w:r>
        <w:t xml:space="preserve"> </w:t>
      </w:r>
      <w:r w:rsidRPr="0071774C">
        <w:t>only</w:t>
      </w:r>
      <w:r>
        <w:t xml:space="preserve"> </w:t>
      </w:r>
      <w:r w:rsidRPr="0071774C">
        <w:t>identify</w:t>
      </w:r>
      <w:r>
        <w:t xml:space="preserve"> </w:t>
      </w:r>
      <w:r w:rsidRPr="0071774C">
        <w:t>a</w:t>
      </w:r>
      <w:r>
        <w:t xml:space="preserve"> </w:t>
      </w:r>
      <w:r w:rsidRPr="0071774C">
        <w:t>baseline</w:t>
      </w:r>
      <w:r>
        <w:t xml:space="preserve"> </w:t>
      </w:r>
      <w:r w:rsidRPr="0071774C">
        <w:t>rather</w:t>
      </w:r>
      <w:r>
        <w:t xml:space="preserve"> </w:t>
      </w:r>
      <w:r w:rsidRPr="0071774C">
        <w:t>than</w:t>
      </w:r>
      <w:r>
        <w:t xml:space="preserve"> </w:t>
      </w:r>
      <w:r w:rsidRPr="0071774C">
        <w:t>any</w:t>
      </w:r>
      <w:r>
        <w:t xml:space="preserve"> </w:t>
      </w:r>
      <w:r w:rsidRPr="0071774C">
        <w:t>change.</w:t>
      </w:r>
    </w:p>
    <w:p w14:paraId="41BF70A2" w14:textId="77777777" w:rsidR="002C2EC7" w:rsidRDefault="002C2EC7" w:rsidP="00790783">
      <w:pPr>
        <w:pStyle w:val="OWNumberdigit"/>
      </w:pPr>
      <w:r w:rsidRPr="0071774C">
        <w:t>Currency</w:t>
      </w:r>
      <w:r>
        <w:t xml:space="preserve"> </w:t>
      </w:r>
      <w:r w:rsidRPr="0071774C">
        <w:t>and</w:t>
      </w:r>
      <w:r>
        <w:t xml:space="preserve"> </w:t>
      </w:r>
      <w:r w:rsidRPr="0071774C">
        <w:t>availability</w:t>
      </w:r>
      <w:r>
        <w:t xml:space="preserve"> </w:t>
      </w:r>
      <w:r w:rsidRPr="0071774C">
        <w:t>of</w:t>
      </w:r>
      <w:r>
        <w:t xml:space="preserve"> </w:t>
      </w:r>
      <w:r w:rsidRPr="0071774C">
        <w:t>data:</w:t>
      </w:r>
      <w:r>
        <w:t xml:space="preserve"> </w:t>
      </w:r>
      <w:r w:rsidRPr="0071774C">
        <w:t>to</w:t>
      </w:r>
      <w:r>
        <w:t xml:space="preserve"> </w:t>
      </w:r>
      <w:r w:rsidRPr="0071774C">
        <w:t>the</w:t>
      </w:r>
      <w:r>
        <w:t xml:space="preserve"> </w:t>
      </w:r>
      <w:r w:rsidRPr="0071774C">
        <w:t>best</w:t>
      </w:r>
      <w:r>
        <w:t xml:space="preserve"> </w:t>
      </w:r>
      <w:r w:rsidRPr="0071774C">
        <w:t>of</w:t>
      </w:r>
      <w:r>
        <w:t xml:space="preserve"> </w:t>
      </w:r>
      <w:r w:rsidRPr="0071774C">
        <w:t>our</w:t>
      </w:r>
      <w:r>
        <w:t xml:space="preserve"> </w:t>
      </w:r>
      <w:r w:rsidRPr="0071774C">
        <w:t>knowledge,</w:t>
      </w:r>
      <w:r>
        <w:t xml:space="preserve"> </w:t>
      </w:r>
      <w:r w:rsidRPr="0071774C">
        <w:t>data</w:t>
      </w:r>
      <w:r>
        <w:t xml:space="preserve"> </w:t>
      </w:r>
      <w:r w:rsidRPr="0071774C">
        <w:t>from</w:t>
      </w:r>
      <w:r>
        <w:t xml:space="preserve"> </w:t>
      </w:r>
      <w:r w:rsidRPr="0071774C">
        <w:t>the</w:t>
      </w:r>
      <w:r>
        <w:t xml:space="preserve"> </w:t>
      </w:r>
      <w:r w:rsidRPr="0071774C">
        <w:t>major</w:t>
      </w:r>
      <w:r>
        <w:t xml:space="preserve"> </w:t>
      </w:r>
      <w:r w:rsidRPr="0071774C">
        <w:t>quantitative</w:t>
      </w:r>
      <w:r>
        <w:t xml:space="preserve"> </w:t>
      </w:r>
      <w:r w:rsidRPr="0071774C">
        <w:t>sources</w:t>
      </w:r>
      <w:r>
        <w:t xml:space="preserve"> </w:t>
      </w:r>
      <w:r w:rsidRPr="0071774C">
        <w:t>contained</w:t>
      </w:r>
      <w:r>
        <w:t xml:space="preserve"> </w:t>
      </w:r>
      <w:r w:rsidRPr="0071774C">
        <w:t>in</w:t>
      </w:r>
      <w:r>
        <w:t xml:space="preserve"> </w:t>
      </w:r>
      <w:r w:rsidRPr="0071774C">
        <w:t>this</w:t>
      </w:r>
      <w:r>
        <w:t xml:space="preserve"> </w:t>
      </w:r>
      <w:r w:rsidRPr="0071774C">
        <w:t>report</w:t>
      </w:r>
      <w:r>
        <w:t xml:space="preserve"> </w:t>
      </w:r>
      <w:r w:rsidRPr="0071774C">
        <w:t>is</w:t>
      </w:r>
      <w:r>
        <w:t xml:space="preserve"> </w:t>
      </w:r>
      <w:r w:rsidRPr="0071774C">
        <w:t>up</w:t>
      </w:r>
      <w:r>
        <w:t xml:space="preserve"> </w:t>
      </w:r>
      <w:r w:rsidRPr="0071774C">
        <w:t>to</w:t>
      </w:r>
      <w:r>
        <w:t xml:space="preserve"> </w:t>
      </w:r>
      <w:r w:rsidRPr="0071774C">
        <w:t>date</w:t>
      </w:r>
      <w:r>
        <w:t xml:space="preserve"> </w:t>
      </w:r>
      <w:r w:rsidRPr="0071774C">
        <w:t>as</w:t>
      </w:r>
      <w:r>
        <w:t xml:space="preserve"> </w:t>
      </w:r>
      <w:r w:rsidRPr="0071774C">
        <w:t>of</w:t>
      </w:r>
      <w:r>
        <w:t xml:space="preserve"> </w:t>
      </w:r>
      <w:r w:rsidRPr="0071774C">
        <w:t>15</w:t>
      </w:r>
      <w:r>
        <w:t xml:space="preserve"> </w:t>
      </w:r>
      <w:r w:rsidRPr="0071774C">
        <w:t>February</w:t>
      </w:r>
      <w:r>
        <w:t xml:space="preserve"> </w:t>
      </w:r>
      <w:r w:rsidRPr="0071774C">
        <w:t>2020.</w:t>
      </w:r>
      <w:r>
        <w:t xml:space="preserve"> </w:t>
      </w:r>
      <w:r w:rsidRPr="0071774C">
        <w:t>We</w:t>
      </w:r>
      <w:r>
        <w:t xml:space="preserve"> </w:t>
      </w:r>
      <w:r w:rsidRPr="0071774C">
        <w:t>recognise</w:t>
      </w:r>
      <w:r>
        <w:t xml:space="preserve"> </w:t>
      </w:r>
      <w:r w:rsidRPr="0071774C">
        <w:t>that</w:t>
      </w:r>
      <w:r>
        <w:t xml:space="preserve"> </w:t>
      </w:r>
      <w:r w:rsidRPr="0071774C">
        <w:t>certain</w:t>
      </w:r>
      <w:r>
        <w:t xml:space="preserve"> </w:t>
      </w:r>
      <w:r w:rsidRPr="0071774C">
        <w:t>datasets</w:t>
      </w:r>
      <w:r>
        <w:t xml:space="preserve"> </w:t>
      </w:r>
      <w:r w:rsidRPr="0071774C">
        <w:t>will</w:t>
      </w:r>
      <w:r>
        <w:t xml:space="preserve"> </w:t>
      </w:r>
      <w:r w:rsidRPr="0071774C">
        <w:t>have</w:t>
      </w:r>
      <w:r>
        <w:t xml:space="preserve"> </w:t>
      </w:r>
      <w:r w:rsidRPr="0071774C">
        <w:t>published</w:t>
      </w:r>
      <w:r>
        <w:t xml:space="preserve"> </w:t>
      </w:r>
      <w:r w:rsidRPr="0071774C">
        <w:t>new</w:t>
      </w:r>
      <w:r>
        <w:t xml:space="preserve"> </w:t>
      </w:r>
      <w:r w:rsidRPr="0071774C">
        <w:t>releases</w:t>
      </w:r>
      <w:r>
        <w:t xml:space="preserve"> </w:t>
      </w:r>
      <w:r w:rsidRPr="0071774C">
        <w:t>of</w:t>
      </w:r>
      <w:r>
        <w:t xml:space="preserve"> </w:t>
      </w:r>
      <w:r w:rsidRPr="0071774C">
        <w:t>data</w:t>
      </w:r>
      <w:r>
        <w:t xml:space="preserve"> </w:t>
      </w:r>
      <w:r w:rsidRPr="0071774C">
        <w:t>after</w:t>
      </w:r>
      <w:r>
        <w:t xml:space="preserve"> </w:t>
      </w:r>
      <w:r w:rsidRPr="0071774C">
        <w:t>this</w:t>
      </w:r>
      <w:r>
        <w:t xml:space="preserve"> </w:t>
      </w:r>
      <w:r w:rsidRPr="0071774C">
        <w:t>point.</w:t>
      </w:r>
      <w:r>
        <w:t xml:space="preserve"> </w:t>
      </w:r>
      <w:r w:rsidRPr="0071774C">
        <w:t>With</w:t>
      </w:r>
      <w:r>
        <w:t xml:space="preserve"> </w:t>
      </w:r>
      <w:r w:rsidRPr="0071774C">
        <w:t>a</w:t>
      </w:r>
      <w:r>
        <w:t xml:space="preserve"> </w:t>
      </w:r>
      <w:r w:rsidRPr="0071774C">
        <w:t>few</w:t>
      </w:r>
      <w:r>
        <w:t xml:space="preserve"> </w:t>
      </w:r>
      <w:r w:rsidRPr="0071774C">
        <w:t>minor</w:t>
      </w:r>
      <w:r>
        <w:t xml:space="preserve"> </w:t>
      </w:r>
      <w:r w:rsidRPr="0071774C">
        <w:t>exceptions,</w:t>
      </w:r>
      <w:r>
        <w:t xml:space="preserve"> </w:t>
      </w:r>
      <w:r w:rsidRPr="0071774C">
        <w:t>we</w:t>
      </w:r>
      <w:r>
        <w:t xml:space="preserve"> </w:t>
      </w:r>
      <w:r w:rsidRPr="0071774C">
        <w:t>have</w:t>
      </w:r>
      <w:r>
        <w:t xml:space="preserve"> </w:t>
      </w:r>
      <w:r w:rsidRPr="0071774C">
        <w:t>also</w:t>
      </w:r>
      <w:r>
        <w:t xml:space="preserve"> </w:t>
      </w:r>
      <w:r w:rsidRPr="0071774C">
        <w:t>only</w:t>
      </w:r>
      <w:r>
        <w:t xml:space="preserve"> </w:t>
      </w:r>
      <w:r w:rsidRPr="0071774C">
        <w:t>collated</w:t>
      </w:r>
      <w:r>
        <w:t xml:space="preserve"> </w:t>
      </w:r>
      <w:r w:rsidRPr="0071774C">
        <w:t>and</w:t>
      </w:r>
      <w:r>
        <w:t xml:space="preserve"> </w:t>
      </w:r>
      <w:r w:rsidRPr="0071774C">
        <w:t>analysed</w:t>
      </w:r>
      <w:r>
        <w:t xml:space="preserve"> </w:t>
      </w:r>
      <w:r w:rsidRPr="0071774C">
        <w:t>data</w:t>
      </w:r>
      <w:r>
        <w:t xml:space="preserve"> </w:t>
      </w:r>
      <w:r w:rsidRPr="0071774C">
        <w:t>made</w:t>
      </w:r>
      <w:r>
        <w:t xml:space="preserve"> </w:t>
      </w:r>
      <w:r w:rsidRPr="0071774C">
        <w:t>publicly</w:t>
      </w:r>
      <w:r>
        <w:t xml:space="preserve"> </w:t>
      </w:r>
      <w:r w:rsidRPr="0071774C">
        <w:t>available</w:t>
      </w:r>
      <w:r>
        <w:t xml:space="preserve"> </w:t>
      </w:r>
      <w:r w:rsidRPr="0071774C">
        <w:t>through</w:t>
      </w:r>
      <w:r>
        <w:t xml:space="preserve"> </w:t>
      </w:r>
      <w:r w:rsidRPr="0071774C">
        <w:t>publications</w:t>
      </w:r>
      <w:r>
        <w:t xml:space="preserve"> </w:t>
      </w:r>
      <w:r w:rsidRPr="0071774C">
        <w:t>and</w:t>
      </w:r>
      <w:r>
        <w:t xml:space="preserve"> </w:t>
      </w:r>
      <w:r w:rsidRPr="0071774C">
        <w:t>data</w:t>
      </w:r>
      <w:r>
        <w:t xml:space="preserve"> </w:t>
      </w:r>
      <w:r w:rsidRPr="0071774C">
        <w:t>tables.</w:t>
      </w:r>
    </w:p>
    <w:p w14:paraId="2A89EAAD" w14:textId="61094EAF" w:rsidR="00C52715" w:rsidRDefault="002C2EC7" w:rsidP="00691B07">
      <w:pPr>
        <w:pStyle w:val="OWBodytextlargespacebelow"/>
      </w:pPr>
      <w:r w:rsidRPr="0071774C">
        <w:lastRenderedPageBreak/>
        <w:t>In</w:t>
      </w:r>
      <w:r>
        <w:t xml:space="preserve"> </w:t>
      </w:r>
      <w:r w:rsidRPr="0071774C">
        <w:t>implementing</w:t>
      </w:r>
      <w:r>
        <w:t xml:space="preserve"> </w:t>
      </w:r>
      <w:r w:rsidRPr="0071774C">
        <w:t>the</w:t>
      </w:r>
      <w:r>
        <w:t xml:space="preserve"> </w:t>
      </w:r>
      <w:r w:rsidRPr="00525643">
        <w:rPr>
          <w:rStyle w:val="Emphasis"/>
        </w:rPr>
        <w:t xml:space="preserve">Counting on change </w:t>
      </w:r>
      <w:r w:rsidRPr="0071774C">
        <w:t>monitoring</w:t>
      </w:r>
      <w:r>
        <w:t xml:space="preserve"> </w:t>
      </w:r>
      <w:r w:rsidRPr="0071774C">
        <w:t>guide</w:t>
      </w:r>
      <w:r>
        <w:t xml:space="preserve"> </w:t>
      </w:r>
      <w:r w:rsidRPr="0071774C">
        <w:t>at</w:t>
      </w:r>
      <w:r>
        <w:t xml:space="preserve"> </w:t>
      </w:r>
      <w:r w:rsidRPr="0071774C">
        <w:t>a</w:t>
      </w:r>
      <w:r>
        <w:t xml:space="preserve"> </w:t>
      </w:r>
      <w:r w:rsidRPr="0071774C">
        <w:t>national</w:t>
      </w:r>
      <w:r>
        <w:t xml:space="preserve"> </w:t>
      </w:r>
      <w:r w:rsidRPr="0071774C">
        <w:t>level</w:t>
      </w:r>
      <w:r>
        <w:t xml:space="preserve"> </w:t>
      </w:r>
      <w:r w:rsidRPr="0071774C">
        <w:t>for</w:t>
      </w:r>
      <w:r>
        <w:t xml:space="preserve"> </w:t>
      </w:r>
      <w:r w:rsidRPr="0071774C">
        <w:t>the</w:t>
      </w:r>
      <w:r>
        <w:t xml:space="preserve"> </w:t>
      </w:r>
      <w:r w:rsidRPr="0071774C">
        <w:t>first</w:t>
      </w:r>
      <w:r>
        <w:t xml:space="preserve"> </w:t>
      </w:r>
      <w:r w:rsidRPr="0071774C">
        <w:t>time,</w:t>
      </w:r>
      <w:r>
        <w:t xml:space="preserve"> </w:t>
      </w:r>
      <w:r w:rsidRPr="0071774C">
        <w:t>we</w:t>
      </w:r>
      <w:r>
        <w:t xml:space="preserve"> </w:t>
      </w:r>
      <w:r w:rsidRPr="0071774C">
        <w:t>have</w:t>
      </w:r>
      <w:r>
        <w:t xml:space="preserve"> </w:t>
      </w:r>
      <w:r w:rsidRPr="0071774C">
        <w:t>learned</w:t>
      </w:r>
      <w:r>
        <w:t xml:space="preserve"> </w:t>
      </w:r>
      <w:r w:rsidRPr="0071774C">
        <w:t>a</w:t>
      </w:r>
      <w:r>
        <w:t xml:space="preserve"> </w:t>
      </w:r>
      <w:r w:rsidRPr="0071774C">
        <w:t>great</w:t>
      </w:r>
      <w:r>
        <w:t xml:space="preserve"> </w:t>
      </w:r>
      <w:r w:rsidRPr="0071774C">
        <w:t>deal</w:t>
      </w:r>
      <w:r>
        <w:t xml:space="preserve"> </w:t>
      </w:r>
      <w:r w:rsidRPr="0071774C">
        <w:t>about</w:t>
      </w:r>
      <w:r>
        <w:t xml:space="preserve"> </w:t>
      </w:r>
      <w:r w:rsidRPr="0071774C">
        <w:t>the</w:t>
      </w:r>
      <w:r>
        <w:t xml:space="preserve"> </w:t>
      </w:r>
      <w:r w:rsidRPr="0071774C">
        <w:t>process</w:t>
      </w:r>
      <w:r>
        <w:t xml:space="preserve"> </w:t>
      </w:r>
      <w:r w:rsidRPr="0071774C">
        <w:t>of</w:t>
      </w:r>
      <w:r>
        <w:t xml:space="preserve"> </w:t>
      </w:r>
      <w:r w:rsidRPr="0071774C">
        <w:t>population-level</w:t>
      </w:r>
      <w:r>
        <w:t xml:space="preserve"> </w:t>
      </w:r>
      <w:r w:rsidRPr="0071774C">
        <w:t>prevention</w:t>
      </w:r>
      <w:r>
        <w:t xml:space="preserve"> </w:t>
      </w:r>
      <w:r w:rsidRPr="0071774C">
        <w:t>monitoring.</w:t>
      </w:r>
      <w:r>
        <w:t xml:space="preserve"> </w:t>
      </w:r>
      <w:r w:rsidRPr="0071774C">
        <w:t>Where</w:t>
      </w:r>
      <w:r>
        <w:t xml:space="preserve"> </w:t>
      </w:r>
      <w:r w:rsidRPr="0071774C">
        <w:t>necessary,</w:t>
      </w:r>
      <w:r>
        <w:t xml:space="preserve"> </w:t>
      </w:r>
      <w:r w:rsidRPr="0071774C">
        <w:t>the</w:t>
      </w:r>
      <w:r>
        <w:t xml:space="preserve"> </w:t>
      </w:r>
      <w:r w:rsidRPr="0071774C">
        <w:t>project</w:t>
      </w:r>
      <w:r>
        <w:t xml:space="preserve"> </w:t>
      </w:r>
      <w:r w:rsidRPr="0071774C">
        <w:t>team</w:t>
      </w:r>
      <w:r>
        <w:t xml:space="preserve"> </w:t>
      </w:r>
      <w:r w:rsidRPr="0071774C">
        <w:t>refined,</w:t>
      </w:r>
      <w:r>
        <w:t xml:space="preserve"> </w:t>
      </w:r>
      <w:r w:rsidRPr="0071774C">
        <w:t>revised</w:t>
      </w:r>
      <w:r>
        <w:t xml:space="preserve"> </w:t>
      </w:r>
      <w:r w:rsidRPr="0071774C">
        <w:t>and</w:t>
      </w:r>
      <w:r>
        <w:t xml:space="preserve"> </w:t>
      </w:r>
      <w:r w:rsidRPr="0071774C">
        <w:t>further</w:t>
      </w:r>
      <w:r>
        <w:t xml:space="preserve"> </w:t>
      </w:r>
      <w:r w:rsidRPr="0071774C">
        <w:t>developed</w:t>
      </w:r>
      <w:r>
        <w:t xml:space="preserve"> </w:t>
      </w:r>
      <w:r w:rsidRPr="0071774C">
        <w:t>aspects</w:t>
      </w:r>
      <w:r>
        <w:t xml:space="preserve"> </w:t>
      </w:r>
      <w:r w:rsidRPr="0071774C">
        <w:t>of</w:t>
      </w:r>
      <w:r>
        <w:t xml:space="preserve"> </w:t>
      </w:r>
      <w:r w:rsidRPr="0071774C">
        <w:t>the</w:t>
      </w:r>
      <w:r>
        <w:t xml:space="preserve"> </w:t>
      </w:r>
      <w:r w:rsidRPr="00525643">
        <w:rPr>
          <w:rStyle w:val="Emphasis"/>
        </w:rPr>
        <w:t xml:space="preserve">Counting on change </w:t>
      </w:r>
      <w:r w:rsidRPr="0071774C">
        <w:t>guide.</w:t>
      </w:r>
      <w:r>
        <w:t xml:space="preserve"> </w:t>
      </w:r>
      <w:r w:rsidRPr="0071774C">
        <w:t>In</w:t>
      </w:r>
      <w:r>
        <w:t xml:space="preserve"> </w:t>
      </w:r>
      <w:r w:rsidRPr="0071774C">
        <w:t>Appendix</w:t>
      </w:r>
      <w:r>
        <w:t xml:space="preserve"> </w:t>
      </w:r>
      <w:r w:rsidRPr="0071774C">
        <w:t>A</w:t>
      </w:r>
      <w:r>
        <w:t>: Methodology and limitations</w:t>
      </w:r>
      <w:r w:rsidRPr="0071774C">
        <w:t>,</w:t>
      </w:r>
      <w:r>
        <w:t xml:space="preserve"> </w:t>
      </w:r>
      <w:r w:rsidRPr="0071774C">
        <w:t>we</w:t>
      </w:r>
      <w:r>
        <w:t xml:space="preserve"> </w:t>
      </w:r>
      <w:r w:rsidRPr="0071774C">
        <w:t>describe</w:t>
      </w:r>
      <w:r>
        <w:t xml:space="preserve"> </w:t>
      </w:r>
      <w:r w:rsidRPr="0071774C">
        <w:t>and</w:t>
      </w:r>
      <w:r>
        <w:t xml:space="preserve"> </w:t>
      </w:r>
      <w:r w:rsidRPr="0071774C">
        <w:t>provide</w:t>
      </w:r>
      <w:r>
        <w:t xml:space="preserve"> the </w:t>
      </w:r>
      <w:r w:rsidRPr="0071774C">
        <w:t>rationale</w:t>
      </w:r>
      <w:r>
        <w:t xml:space="preserve"> </w:t>
      </w:r>
      <w:r w:rsidRPr="0071774C">
        <w:t>for</w:t>
      </w:r>
      <w:r>
        <w:t xml:space="preserve"> </w:t>
      </w:r>
      <w:r w:rsidRPr="0071774C">
        <w:t>the</w:t>
      </w:r>
      <w:r>
        <w:t xml:space="preserve"> </w:t>
      </w:r>
      <w:r w:rsidRPr="0071774C">
        <w:t>adjustments</w:t>
      </w:r>
      <w:r>
        <w:t xml:space="preserve"> </w:t>
      </w:r>
      <w:r w:rsidRPr="0071774C">
        <w:t>made</w:t>
      </w:r>
      <w:r>
        <w:t xml:space="preserve"> </w:t>
      </w:r>
      <w:r w:rsidRPr="0071774C">
        <w:t>to</w:t>
      </w:r>
      <w:r>
        <w:t xml:space="preserve"> </w:t>
      </w:r>
      <w:r w:rsidRPr="0071774C">
        <w:t>the</w:t>
      </w:r>
      <w:r>
        <w:t xml:space="preserve"> </w:t>
      </w:r>
      <w:r w:rsidRPr="0071774C">
        <w:t>framework</w:t>
      </w:r>
      <w:r>
        <w:t xml:space="preserve"> </w:t>
      </w:r>
      <w:r w:rsidRPr="0071774C">
        <w:t>during</w:t>
      </w:r>
      <w:r>
        <w:t xml:space="preserve"> </w:t>
      </w:r>
      <w:r w:rsidRPr="0071774C">
        <w:t>the</w:t>
      </w:r>
      <w:r>
        <w:t xml:space="preserve"> </w:t>
      </w:r>
      <w:r w:rsidRPr="0071774C">
        <w:t>proje</w:t>
      </w:r>
      <w:r w:rsidRPr="00525643">
        <w:t>ct.</w:t>
      </w:r>
    </w:p>
    <w:tbl>
      <w:tblPr>
        <w:tblStyle w:val="Casestudyhibiscus"/>
        <w:tblW w:w="0" w:type="auto"/>
        <w:tblLook w:val="0600" w:firstRow="0" w:lastRow="0" w:firstColumn="0" w:lastColumn="0" w:noHBand="1" w:noVBand="1"/>
      </w:tblPr>
      <w:tblGrid>
        <w:gridCol w:w="9060"/>
      </w:tblGrid>
      <w:tr w:rsidR="00AA3078" w14:paraId="34BB8FB0" w14:textId="77777777" w:rsidTr="005720A2">
        <w:tc>
          <w:tcPr>
            <w:tcW w:w="9060" w:type="dxa"/>
          </w:tcPr>
          <w:p w14:paraId="713483EA" w14:textId="77777777" w:rsidR="00691B07" w:rsidRPr="00280E1E" w:rsidRDefault="00691B07" w:rsidP="00691B07">
            <w:pPr>
              <w:pStyle w:val="OWBoxheading"/>
            </w:pPr>
            <w:r w:rsidRPr="00280E1E">
              <w:t>A note on statistical significance</w:t>
            </w:r>
          </w:p>
          <w:p w14:paraId="34D399AF" w14:textId="5A70BE73" w:rsidR="00AA3078" w:rsidRDefault="00691B07" w:rsidP="00691B07">
            <w:pPr>
              <w:pStyle w:val="OWTablebodyleft"/>
            </w:pPr>
            <w:r>
              <w:t xml:space="preserve">Where a dataset has produced analysis of change over time for particular </w:t>
            </w:r>
            <w:r w:rsidR="51D48A30">
              <w:t>data</w:t>
            </w:r>
            <w:r w:rsidR="31F7C3B9">
              <w:t xml:space="preserve"> </w:t>
            </w:r>
            <w:r w:rsidR="51D48A30">
              <w:t>points</w:t>
            </w:r>
            <w:r>
              <w:t xml:space="preserve"> (or ‘timeseries analysis’</w:t>
            </w:r>
            <w:r w:rsidR="73213FD7">
              <w:t>) and</w:t>
            </w:r>
            <w:r>
              <w:t xml:space="preserve"> change between two or more time points has been identified through testing as statistically significant, that statistical significance has been noted in this report. Otherwise, we have not had the capacity to analyse raw data for statistical significance ourselves. In many instances in the time period under consideration, change has not been statistically significant. In other instances, where there has been evident change, we or the owners of the datasets have noted this change as considerable or meaningful; that is, it is of practical significance as a result of meaningful change to the social phenomena being studied within a particular indicator. To prevent confusion we have tried to avoid the use of the term ‘significant’ other than to indicate statistical significance.</w:t>
            </w:r>
          </w:p>
        </w:tc>
      </w:tr>
    </w:tbl>
    <w:p w14:paraId="7CA86765" w14:textId="405306CD" w:rsidR="002C2EC7" w:rsidRPr="005172C9" w:rsidRDefault="002C2EC7" w:rsidP="00544E70">
      <w:pPr>
        <w:pStyle w:val="Heading3"/>
        <w:pageBreakBefore w:val="0"/>
        <w:rPr>
          <w:rStyle w:val="OWCharacterHibiscus"/>
        </w:rPr>
      </w:pPr>
      <w:bookmarkStart w:id="15" w:name="_Toc55053301"/>
      <w:r w:rsidRPr="005172C9">
        <w:rPr>
          <w:rStyle w:val="OWCharacterHibiscus"/>
        </w:rPr>
        <w:t>Context and further reading</w:t>
      </w:r>
      <w:bookmarkEnd w:id="15"/>
    </w:p>
    <w:p w14:paraId="6393916A" w14:textId="2BD64128" w:rsidR="002C2EC7" w:rsidRDefault="002C2EC7" w:rsidP="00790783">
      <w:pPr>
        <w:pStyle w:val="BodyText"/>
      </w:pPr>
      <w:r w:rsidRPr="0071774C">
        <w:t>This</w:t>
      </w:r>
      <w:r>
        <w:t xml:space="preserve"> </w:t>
      </w:r>
      <w:r w:rsidRPr="0071774C">
        <w:t>report</w:t>
      </w:r>
      <w:r>
        <w:t xml:space="preserve"> </w:t>
      </w:r>
      <w:r w:rsidRPr="0071774C">
        <w:t>draws</w:t>
      </w:r>
      <w:r>
        <w:t xml:space="preserve"> </w:t>
      </w:r>
      <w:r w:rsidRPr="0071774C">
        <w:t>significantly</w:t>
      </w:r>
      <w:r>
        <w:t xml:space="preserve"> upon </w:t>
      </w:r>
      <w:r w:rsidRPr="0071774C">
        <w:t>previous</w:t>
      </w:r>
      <w:r>
        <w:t xml:space="preserve"> </w:t>
      </w:r>
      <w:r w:rsidRPr="0071774C">
        <w:t>Our</w:t>
      </w:r>
      <w:r>
        <w:t xml:space="preserve"> </w:t>
      </w:r>
      <w:r w:rsidRPr="0071774C">
        <w:t>Watch</w:t>
      </w:r>
      <w:r>
        <w:t xml:space="preserve"> </w:t>
      </w:r>
      <w:r w:rsidRPr="0071774C">
        <w:t>resources,</w:t>
      </w:r>
      <w:r>
        <w:t xml:space="preserve"> </w:t>
      </w:r>
      <w:r w:rsidRPr="0071774C">
        <w:t>which</w:t>
      </w:r>
      <w:r>
        <w:t xml:space="preserve"> </w:t>
      </w:r>
      <w:r w:rsidRPr="0071774C">
        <w:t>in</w:t>
      </w:r>
      <w:r>
        <w:t xml:space="preserve"> </w:t>
      </w:r>
      <w:r w:rsidRPr="0071774C">
        <w:t>turn</w:t>
      </w:r>
      <w:r>
        <w:t xml:space="preserve"> </w:t>
      </w:r>
      <w:r w:rsidRPr="0071774C">
        <w:t>draw</w:t>
      </w:r>
      <w:r>
        <w:t xml:space="preserve"> </w:t>
      </w:r>
      <w:r w:rsidRPr="0071774C">
        <w:t>extensively</w:t>
      </w:r>
      <w:r>
        <w:t xml:space="preserve"> </w:t>
      </w:r>
      <w:r w:rsidRPr="0071774C">
        <w:t>upon</w:t>
      </w:r>
      <w:r>
        <w:t xml:space="preserve"> </w:t>
      </w:r>
      <w:r w:rsidRPr="0071774C">
        <w:t>a</w:t>
      </w:r>
      <w:r>
        <w:t xml:space="preserve"> </w:t>
      </w:r>
      <w:r w:rsidRPr="0071774C">
        <w:t>large</w:t>
      </w:r>
      <w:r>
        <w:t xml:space="preserve"> </w:t>
      </w:r>
      <w:r w:rsidRPr="0071774C">
        <w:t>body</w:t>
      </w:r>
      <w:r>
        <w:t xml:space="preserve"> </w:t>
      </w:r>
      <w:r w:rsidRPr="0071774C">
        <w:t>of</w:t>
      </w:r>
      <w:r>
        <w:t xml:space="preserve"> </w:t>
      </w:r>
      <w:r w:rsidRPr="0071774C">
        <w:t>research</w:t>
      </w:r>
      <w:r>
        <w:t xml:space="preserve"> </w:t>
      </w:r>
      <w:r w:rsidRPr="0071774C">
        <w:t>and</w:t>
      </w:r>
      <w:r>
        <w:t xml:space="preserve"> </w:t>
      </w:r>
      <w:r w:rsidRPr="0071774C">
        <w:t>evaluation.</w:t>
      </w:r>
      <w:r>
        <w:t xml:space="preserve"> </w:t>
      </w:r>
      <w:r w:rsidRPr="0071774C">
        <w:t>We</w:t>
      </w:r>
      <w:r>
        <w:t xml:space="preserve"> </w:t>
      </w:r>
      <w:r w:rsidRPr="0071774C">
        <w:t>encourage</w:t>
      </w:r>
      <w:r>
        <w:t xml:space="preserve"> </w:t>
      </w:r>
      <w:r w:rsidRPr="0071774C">
        <w:t>readers</w:t>
      </w:r>
      <w:r>
        <w:t xml:space="preserve"> </w:t>
      </w:r>
      <w:r w:rsidRPr="0071774C">
        <w:t>to</w:t>
      </w:r>
      <w:r>
        <w:t xml:space="preserve"> </w:t>
      </w:r>
      <w:r w:rsidRPr="0071774C">
        <w:t>read</w:t>
      </w:r>
      <w:r>
        <w:t xml:space="preserve"> </w:t>
      </w:r>
      <w:r w:rsidRPr="0071774C">
        <w:t>this</w:t>
      </w:r>
      <w:r>
        <w:t xml:space="preserve"> </w:t>
      </w:r>
      <w:r w:rsidRPr="0071774C">
        <w:t>report</w:t>
      </w:r>
      <w:r>
        <w:t xml:space="preserve"> </w:t>
      </w:r>
      <w:r w:rsidRPr="0071774C">
        <w:t>alongside</w:t>
      </w:r>
      <w:r>
        <w:t xml:space="preserve"> </w:t>
      </w:r>
      <w:r w:rsidRPr="0071774C">
        <w:t>not</w:t>
      </w:r>
      <w:r>
        <w:t xml:space="preserve"> </w:t>
      </w:r>
      <w:r w:rsidRPr="0071774C">
        <w:t>only</w:t>
      </w:r>
      <w:r>
        <w:t xml:space="preserve"> </w:t>
      </w:r>
      <w:r w:rsidRPr="00525643">
        <w:rPr>
          <w:rStyle w:val="Emphasis"/>
        </w:rPr>
        <w:t>Counting on change</w:t>
      </w:r>
      <w:r w:rsidRPr="00525643">
        <w:t>, bu</w:t>
      </w:r>
      <w:r w:rsidRPr="0071774C">
        <w:t>t</w:t>
      </w:r>
      <w:r>
        <w:t xml:space="preserve"> </w:t>
      </w:r>
      <w:r w:rsidRPr="0071774C">
        <w:t>the</w:t>
      </w:r>
      <w:r>
        <w:t xml:space="preserve"> </w:t>
      </w:r>
      <w:r w:rsidRPr="0071774C">
        <w:t>various</w:t>
      </w:r>
      <w:r>
        <w:t xml:space="preserve"> </w:t>
      </w:r>
      <w:r w:rsidRPr="0071774C">
        <w:t>other</w:t>
      </w:r>
      <w:r>
        <w:t xml:space="preserve"> </w:t>
      </w:r>
      <w:r w:rsidRPr="0071774C">
        <w:t>Our</w:t>
      </w:r>
      <w:r>
        <w:t xml:space="preserve"> </w:t>
      </w:r>
      <w:r w:rsidRPr="0071774C">
        <w:t>Watch</w:t>
      </w:r>
      <w:r>
        <w:t xml:space="preserve"> </w:t>
      </w:r>
      <w:r w:rsidRPr="0071774C">
        <w:t>publications</w:t>
      </w:r>
      <w:r>
        <w:t xml:space="preserve"> </w:t>
      </w:r>
      <w:r w:rsidRPr="0071774C">
        <w:t>that</w:t>
      </w:r>
      <w:r>
        <w:t xml:space="preserve"> </w:t>
      </w:r>
      <w:r w:rsidRPr="0071774C">
        <w:t>explicate</w:t>
      </w:r>
      <w:r>
        <w:t xml:space="preserve"> </w:t>
      </w:r>
      <w:r w:rsidRPr="0071774C">
        <w:t>the</w:t>
      </w:r>
      <w:r>
        <w:t xml:space="preserve"> </w:t>
      </w:r>
      <w:r w:rsidRPr="0071774C">
        <w:t>underpinnings</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and</w:t>
      </w:r>
      <w:r>
        <w:t xml:space="preserve"> </w:t>
      </w:r>
      <w:r w:rsidRPr="0071774C">
        <w:t>set</w:t>
      </w:r>
      <w:r>
        <w:t xml:space="preserve"> out </w:t>
      </w:r>
      <w:r w:rsidRPr="0071774C">
        <w:t>the</w:t>
      </w:r>
      <w:r>
        <w:t xml:space="preserve"> </w:t>
      </w:r>
      <w:r w:rsidRPr="0071774C">
        <w:t>path</w:t>
      </w:r>
      <w:r>
        <w:t xml:space="preserve"> </w:t>
      </w:r>
      <w:r w:rsidRPr="0071774C">
        <w:t>for</w:t>
      </w:r>
      <w:r>
        <w:t xml:space="preserve"> </w:t>
      </w:r>
      <w:r w:rsidRPr="0071774C">
        <w:t>effective</w:t>
      </w:r>
      <w:r>
        <w:t xml:space="preserve"> </w:t>
      </w:r>
      <w:r w:rsidRPr="0071774C">
        <w:t>prevention,</w:t>
      </w:r>
      <w:r>
        <w:t xml:space="preserve"> </w:t>
      </w:r>
      <w:r w:rsidRPr="0071774C">
        <w:t>including:</w:t>
      </w:r>
    </w:p>
    <w:p w14:paraId="2F3E75F0" w14:textId="77777777" w:rsidR="002C2EC7" w:rsidRPr="0071774C" w:rsidRDefault="002C2EC7" w:rsidP="00790783">
      <w:pPr>
        <w:pStyle w:val="OWBullet1"/>
      </w:pPr>
      <w:r w:rsidRPr="00525643">
        <w:rPr>
          <w:rStyle w:val="Emphasis"/>
        </w:rPr>
        <w:t xml:space="preserve">Change the story: A shared framework for the primary prevention of violence against women and their children in Australia </w:t>
      </w:r>
      <w:r w:rsidRPr="0071774C">
        <w:t>(2015)</w:t>
      </w:r>
      <w:r w:rsidRPr="0071774C">
        <w:rPr>
          <w:rStyle w:val="EndnoteReference"/>
        </w:rPr>
        <w:endnoteReference w:id="12"/>
      </w:r>
    </w:p>
    <w:p w14:paraId="0A3F3748" w14:textId="11C89073" w:rsidR="002C2EC7" w:rsidRPr="0071774C" w:rsidRDefault="002C2EC7" w:rsidP="00790783">
      <w:pPr>
        <w:pStyle w:val="OWBullet1"/>
        <w:rPr>
          <w:rFonts w:cstheme="minorBidi"/>
          <w:i/>
        </w:rPr>
      </w:pPr>
      <w:r w:rsidRPr="00525643">
        <w:rPr>
          <w:rStyle w:val="Emphasis"/>
        </w:rPr>
        <w:t xml:space="preserve">Primary prevention of family violence against people from LGBTI communities </w:t>
      </w:r>
      <w:r w:rsidR="00595961">
        <w:rPr>
          <w:rFonts w:ascii="Calibri" w:eastAsia="Calibri" w:hAnsi="Calibri"/>
        </w:rPr>
        <w:t>–</w:t>
      </w:r>
      <w:r w:rsidR="2AC7C71E" w:rsidRPr="00525643">
        <w:rPr>
          <w:rStyle w:val="Emphasis"/>
        </w:rPr>
        <w:t xml:space="preserve"> </w:t>
      </w:r>
      <w:r w:rsidRPr="00525643">
        <w:rPr>
          <w:rStyle w:val="Emphasis"/>
        </w:rPr>
        <w:t>An</w:t>
      </w:r>
      <w:r w:rsidR="00851841">
        <w:rPr>
          <w:rStyle w:val="Emphasis"/>
        </w:rPr>
        <w:t> </w:t>
      </w:r>
      <w:r w:rsidRPr="00525643">
        <w:rPr>
          <w:rStyle w:val="Emphasis"/>
        </w:rPr>
        <w:t xml:space="preserve">analysis of existing research </w:t>
      </w:r>
      <w:r w:rsidRPr="0071774C">
        <w:t>(2017)</w:t>
      </w:r>
      <w:r w:rsidRPr="0071774C">
        <w:rPr>
          <w:rStyle w:val="EndnoteReference"/>
        </w:rPr>
        <w:endnoteReference w:id="13"/>
      </w:r>
    </w:p>
    <w:p w14:paraId="36387663" w14:textId="77777777" w:rsidR="002C2EC7" w:rsidRPr="0071774C" w:rsidRDefault="002C2EC7" w:rsidP="00790783">
      <w:pPr>
        <w:pStyle w:val="OWBullet1"/>
      </w:pPr>
      <w:r w:rsidRPr="00525643">
        <w:rPr>
          <w:rStyle w:val="Emphasis"/>
        </w:rPr>
        <w:t xml:space="preserve">Changing the picture: A national resource to support the prevention of violence against Aboriginal and Torres Strait Islander women and their children </w:t>
      </w:r>
      <w:r w:rsidRPr="0071774C">
        <w:t>(2018)</w:t>
      </w:r>
      <w:r w:rsidRPr="0071774C">
        <w:rPr>
          <w:rStyle w:val="EndnoteReference"/>
        </w:rPr>
        <w:endnoteReference w:id="14"/>
      </w:r>
    </w:p>
    <w:p w14:paraId="2F227468" w14:textId="77777777" w:rsidR="002C2EC7" w:rsidRPr="0071774C" w:rsidRDefault="002C2EC7" w:rsidP="00790783">
      <w:pPr>
        <w:pStyle w:val="OWBullet1"/>
      </w:pPr>
      <w:r w:rsidRPr="00525643">
        <w:rPr>
          <w:rStyle w:val="Emphasis"/>
        </w:rPr>
        <w:t xml:space="preserve">Men in focus: Unpacking masculinities and engaging men in the prevention of violence against women </w:t>
      </w:r>
      <w:r w:rsidRPr="0071774C">
        <w:t>(2019)</w:t>
      </w:r>
      <w:r w:rsidRPr="0071774C">
        <w:rPr>
          <w:rStyle w:val="EndnoteReference"/>
        </w:rPr>
        <w:endnoteReference w:id="15"/>
      </w:r>
    </w:p>
    <w:p w14:paraId="57D87559" w14:textId="77777777" w:rsidR="002C2EC7" w:rsidRDefault="002C2EC7" w:rsidP="00790783">
      <w:pPr>
        <w:pStyle w:val="OWBullet1"/>
      </w:pPr>
      <w:r w:rsidRPr="00525643">
        <w:rPr>
          <w:rStyle w:val="Emphasis"/>
        </w:rPr>
        <w:t xml:space="preserve">Change the story three years on: Reflections on uptake and impact, lessons learned and Our Watch’s ongoing work to embed and expand the evidence on prevention </w:t>
      </w:r>
      <w:r w:rsidRPr="0071774C">
        <w:t>(2019)</w:t>
      </w:r>
      <w:r w:rsidRPr="0071774C">
        <w:rPr>
          <w:rStyle w:val="EndnoteReference"/>
        </w:rPr>
        <w:endnoteReference w:id="16"/>
      </w:r>
    </w:p>
    <w:p w14:paraId="261AC0AF" w14:textId="77777777" w:rsidR="002C2EC7" w:rsidRPr="00F67E8B" w:rsidRDefault="002C2EC7" w:rsidP="00790783">
      <w:pPr>
        <w:pStyle w:val="BodyText"/>
      </w:pPr>
      <w:bookmarkStart w:id="16" w:name="_Toc41559707"/>
      <w:r w:rsidRPr="00F67E8B">
        <w:br w:type="page"/>
      </w:r>
    </w:p>
    <w:p w14:paraId="6B5EBBE2" w14:textId="70ECE473" w:rsidR="002C2EC7" w:rsidRPr="00FB7F22" w:rsidRDefault="00544E70" w:rsidP="00790783">
      <w:pPr>
        <w:pStyle w:val="Heading2"/>
        <w:rPr>
          <w:rStyle w:val="OWCharacterCharcoal"/>
        </w:rPr>
      </w:pPr>
      <w:bookmarkStart w:id="17" w:name="_Toc55053302"/>
      <w:r>
        <w:rPr>
          <w:noProof/>
          <w:color w:val="702652" w:themeColor="accent4"/>
          <w:shd w:val="clear" w:color="auto" w:fill="E6E6E6"/>
          <w:lang w:val="en-US" w:eastAsia="en-US"/>
        </w:rPr>
        <w:lastRenderedPageBreak/>
        <w:drawing>
          <wp:anchor distT="0" distB="0" distL="114300" distR="114300" simplePos="0" relativeHeight="251658244" behindDoc="1" locked="1" layoutInCell="1" allowOverlap="1" wp14:anchorId="3C5740D1" wp14:editId="7D180C4E">
            <wp:simplePos x="0" y="0"/>
            <wp:positionH relativeFrom="page">
              <wp:posOffset>0</wp:posOffset>
            </wp:positionH>
            <wp:positionV relativeFrom="page">
              <wp:posOffset>0</wp:posOffset>
            </wp:positionV>
            <wp:extent cx="7563600" cy="10699560"/>
            <wp:effectExtent l="0" t="0" r="0" b="6985"/>
            <wp:wrapNone/>
            <wp:docPr id="12" name="Picture 1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corative"/>
                    <pic:cNvPicPr/>
                  </pic:nvPicPr>
                  <pic:blipFill>
                    <a:blip r:embed="rId18"/>
                    <a:stretch>
                      <a:fillRect/>
                    </a:stretch>
                  </pic:blipFill>
                  <pic:spPr>
                    <a:xfrm>
                      <a:off x="0" y="0"/>
                      <a:ext cx="7563600" cy="10699560"/>
                    </a:xfrm>
                    <a:prstGeom prst="rect">
                      <a:avLst/>
                    </a:prstGeom>
                  </pic:spPr>
                </pic:pic>
              </a:graphicData>
            </a:graphic>
            <wp14:sizeRelH relativeFrom="margin">
              <wp14:pctWidth>0</wp14:pctWidth>
            </wp14:sizeRelH>
            <wp14:sizeRelV relativeFrom="margin">
              <wp14:pctHeight>0</wp14:pctHeight>
            </wp14:sizeRelV>
          </wp:anchor>
        </w:drawing>
      </w:r>
      <w:r w:rsidR="003F4F30">
        <w:rPr>
          <w:rStyle w:val="OWCharacterCharcoal"/>
        </w:rPr>
        <w:t xml:space="preserve">Section 1: </w:t>
      </w:r>
      <w:r w:rsidR="002C2EC7" w:rsidRPr="00FB7F22">
        <w:rPr>
          <w:rStyle w:val="OWCharacterCharcoal"/>
        </w:rPr>
        <w:t>Quality primary prevention infrastructure: the</w:t>
      </w:r>
      <w:r w:rsidR="003F4F30">
        <w:rPr>
          <w:rStyle w:val="OWCharacterCharcoal"/>
        </w:rPr>
        <w:t> </w:t>
      </w:r>
      <w:r w:rsidR="002C2EC7" w:rsidRPr="00FB7F22">
        <w:rPr>
          <w:rStyle w:val="OWCharacterCharcoal"/>
        </w:rPr>
        <w:t>foundations of</w:t>
      </w:r>
      <w:r w:rsidR="003F4F30">
        <w:rPr>
          <w:rStyle w:val="OWCharacterCharcoal"/>
        </w:rPr>
        <w:t xml:space="preserve"> </w:t>
      </w:r>
      <w:r w:rsidR="002C2EC7" w:rsidRPr="00FB7F22">
        <w:rPr>
          <w:rStyle w:val="OWCharacterCharcoal"/>
        </w:rPr>
        <w:t>change</w:t>
      </w:r>
      <w:bookmarkEnd w:id="16"/>
      <w:bookmarkEnd w:id="17"/>
    </w:p>
    <w:p w14:paraId="2C5AC3CA" w14:textId="39AE1132" w:rsidR="002C2EC7" w:rsidRDefault="002C2EC7" w:rsidP="00790783">
      <w:pPr>
        <w:pStyle w:val="BodyText"/>
      </w:pPr>
      <w:r>
        <w:t>High-q</w:t>
      </w:r>
      <w:r w:rsidRPr="0071774C">
        <w:t>uality</w:t>
      </w:r>
      <w:r>
        <w:t xml:space="preserve"> </w:t>
      </w:r>
      <w:r w:rsidRPr="0071774C">
        <w:t>infrastructure</w:t>
      </w:r>
      <w:r>
        <w:t xml:space="preserve"> for primary prevention </w:t>
      </w:r>
      <w:r w:rsidRPr="0071774C">
        <w:t>is</w:t>
      </w:r>
      <w:r>
        <w:t xml:space="preserve"> </w:t>
      </w:r>
      <w:r w:rsidRPr="0071774C">
        <w:t>the</w:t>
      </w:r>
      <w:r>
        <w:t xml:space="preserve"> </w:t>
      </w:r>
      <w:r w:rsidRPr="0071774C">
        <w:t>first</w:t>
      </w:r>
      <w:r>
        <w:t xml:space="preserve"> </w:t>
      </w:r>
      <w:r w:rsidRPr="0071774C">
        <w:t>step</w:t>
      </w:r>
      <w:r>
        <w:t xml:space="preserve"> </w:t>
      </w:r>
      <w:r w:rsidRPr="0071774C">
        <w:t>in</w:t>
      </w:r>
      <w:r>
        <w:t xml:space="preserve"> </w:t>
      </w:r>
      <w:r w:rsidRPr="0071774C">
        <w:t>creating</w:t>
      </w:r>
      <w:r>
        <w:t xml:space="preserve"> </w:t>
      </w:r>
      <w:r w:rsidRPr="0071774C">
        <w:t>the</w:t>
      </w:r>
      <w:r>
        <w:t xml:space="preserve"> </w:t>
      </w:r>
      <w:r w:rsidRPr="0071774C">
        <w:t>necessary</w:t>
      </w:r>
      <w:r>
        <w:t xml:space="preserve"> </w:t>
      </w:r>
      <w:r w:rsidRPr="0071774C">
        <w:t>systems,</w:t>
      </w:r>
      <w:r>
        <w:t xml:space="preserve"> </w:t>
      </w:r>
      <w:r w:rsidRPr="0071774C">
        <w:t>processes,</w:t>
      </w:r>
      <w:r>
        <w:t xml:space="preserve"> </w:t>
      </w:r>
      <w:r w:rsidRPr="0071774C">
        <w:t>activities,</w:t>
      </w:r>
      <w:r>
        <w:t xml:space="preserve"> </w:t>
      </w:r>
      <w:r w:rsidRPr="0071774C">
        <w:t>strategies</w:t>
      </w:r>
      <w:r>
        <w:t xml:space="preserve"> </w:t>
      </w:r>
      <w:r w:rsidRPr="0071774C">
        <w:t>and</w:t>
      </w:r>
      <w:r>
        <w:t xml:space="preserve"> </w:t>
      </w:r>
      <w:r w:rsidRPr="0071774C">
        <w:t>leadership</w:t>
      </w:r>
      <w:r>
        <w:t xml:space="preserve"> </w:t>
      </w:r>
      <w:r w:rsidRPr="0071774C">
        <w:t>to</w:t>
      </w:r>
      <w:r>
        <w:t xml:space="preserve"> </w:t>
      </w:r>
      <w:r w:rsidR="00BE1D49">
        <w:t>support ongoing,</w:t>
      </w:r>
      <w:r>
        <w:t xml:space="preserve"> </w:t>
      </w:r>
      <w:r w:rsidRPr="0071774C">
        <w:t>comprehensive</w:t>
      </w:r>
      <w:r>
        <w:t xml:space="preserve"> </w:t>
      </w:r>
      <w:r w:rsidRPr="0071774C">
        <w:t>action</w:t>
      </w:r>
      <w:r>
        <w:t xml:space="preserve"> </w:t>
      </w:r>
      <w:r w:rsidRPr="0071774C">
        <w:t>to</w:t>
      </w:r>
      <w:r>
        <w:t xml:space="preserve"> </w:t>
      </w:r>
      <w:r w:rsidRPr="0071774C">
        <w:t>prevent</w:t>
      </w:r>
      <w:r>
        <w:t xml:space="preserve"> </w:t>
      </w:r>
      <w:r w:rsidRPr="0071774C">
        <w:t>violence</w:t>
      </w:r>
      <w:r>
        <w:t xml:space="preserve"> </w:t>
      </w:r>
      <w:r w:rsidRPr="0071774C">
        <w:t>against</w:t>
      </w:r>
      <w:r>
        <w:t xml:space="preserve"> </w:t>
      </w:r>
      <w:r w:rsidRPr="0071774C">
        <w:t>women.</w:t>
      </w:r>
      <w:r>
        <w:t xml:space="preserve"> </w:t>
      </w:r>
      <w:r w:rsidRPr="0071774C">
        <w:t>The</w:t>
      </w:r>
      <w:r>
        <w:t xml:space="preserve"> </w:t>
      </w:r>
      <w:r w:rsidRPr="0071774C">
        <w:t>infrastructure</w:t>
      </w:r>
      <w:r>
        <w:t xml:space="preserve"> </w:t>
      </w:r>
      <w:r w:rsidRPr="0071774C">
        <w:t>required</w:t>
      </w:r>
      <w:r>
        <w:t xml:space="preserve"> includes</w:t>
      </w:r>
      <w:r w:rsidRPr="0071774C">
        <w:t>:</w:t>
      </w:r>
    </w:p>
    <w:p w14:paraId="3115EB6F" w14:textId="77777777" w:rsidR="002C2EC7" w:rsidRPr="0071774C" w:rsidRDefault="002C2EC7" w:rsidP="00790783">
      <w:pPr>
        <w:pStyle w:val="OWBullet1"/>
      </w:pPr>
      <w:r w:rsidRPr="0071774C">
        <w:t>political,</w:t>
      </w:r>
      <w:r>
        <w:t xml:space="preserve"> </w:t>
      </w:r>
      <w:r w:rsidRPr="0071774C">
        <w:t>sector-specific</w:t>
      </w:r>
      <w:r>
        <w:t xml:space="preserve"> </w:t>
      </w:r>
      <w:r w:rsidRPr="0071774C">
        <w:t>and</w:t>
      </w:r>
      <w:r>
        <w:t xml:space="preserve"> </w:t>
      </w:r>
      <w:r w:rsidRPr="0071774C">
        <w:t>civil</w:t>
      </w:r>
      <w:r>
        <w:t xml:space="preserve"> </w:t>
      </w:r>
      <w:r w:rsidRPr="0071774C">
        <w:t>society</w:t>
      </w:r>
      <w:r>
        <w:t xml:space="preserve"> </w:t>
      </w:r>
      <w:r w:rsidRPr="0071774C">
        <w:t>leadership</w:t>
      </w:r>
    </w:p>
    <w:p w14:paraId="30F5CD01" w14:textId="77777777" w:rsidR="002C2EC7" w:rsidRPr="0071774C" w:rsidRDefault="002C2EC7" w:rsidP="00790783">
      <w:pPr>
        <w:pStyle w:val="OWBullet1"/>
      </w:pPr>
      <w:r w:rsidRPr="0071774C">
        <w:t>policy</w:t>
      </w:r>
      <w:r>
        <w:t xml:space="preserve"> </w:t>
      </w:r>
      <w:r w:rsidRPr="0071774C">
        <w:t>and</w:t>
      </w:r>
      <w:r>
        <w:t xml:space="preserve"> </w:t>
      </w:r>
      <w:r w:rsidRPr="0071774C">
        <w:t>legislative</w:t>
      </w:r>
      <w:r>
        <w:t xml:space="preserve"> </w:t>
      </w:r>
      <w:r w:rsidRPr="0071774C">
        <w:t>reform</w:t>
      </w:r>
    </w:p>
    <w:p w14:paraId="60C6645F" w14:textId="77777777" w:rsidR="002C2EC7" w:rsidRPr="0071774C" w:rsidRDefault="002C2EC7" w:rsidP="00790783">
      <w:pPr>
        <w:pStyle w:val="OWBullet1"/>
      </w:pPr>
      <w:r w:rsidRPr="0071774C">
        <w:t>an</w:t>
      </w:r>
      <w:r>
        <w:t xml:space="preserve"> </w:t>
      </w:r>
      <w:r w:rsidRPr="0071774C">
        <w:t>expert</w:t>
      </w:r>
      <w:r>
        <w:t xml:space="preserve"> </w:t>
      </w:r>
      <w:r w:rsidRPr="0071774C">
        <w:t>workforce</w:t>
      </w:r>
    </w:p>
    <w:p w14:paraId="36057584" w14:textId="77777777" w:rsidR="002C2EC7" w:rsidRPr="0071774C" w:rsidRDefault="002C2EC7" w:rsidP="00790783">
      <w:pPr>
        <w:pStyle w:val="OWBullet1"/>
      </w:pPr>
      <w:r w:rsidRPr="0071774C">
        <w:t>mechanisms</w:t>
      </w:r>
      <w:r>
        <w:t xml:space="preserve"> </w:t>
      </w:r>
      <w:r w:rsidRPr="0071774C">
        <w:t>for</w:t>
      </w:r>
      <w:r>
        <w:t xml:space="preserve"> </w:t>
      </w:r>
      <w:r w:rsidRPr="0071774C">
        <w:t>coordination,</w:t>
      </w:r>
      <w:r>
        <w:t xml:space="preserve"> </w:t>
      </w:r>
      <w:r w:rsidRPr="0071774C">
        <w:t>collaboration</w:t>
      </w:r>
      <w:r>
        <w:t xml:space="preserve"> </w:t>
      </w:r>
      <w:r w:rsidRPr="0071774C">
        <w:t>and</w:t>
      </w:r>
      <w:r>
        <w:t xml:space="preserve"> </w:t>
      </w:r>
      <w:r w:rsidRPr="0071774C">
        <w:t>quality</w:t>
      </w:r>
      <w:r>
        <w:t xml:space="preserve"> </w:t>
      </w:r>
      <w:r w:rsidRPr="0071774C">
        <w:t>assurance</w:t>
      </w:r>
    </w:p>
    <w:p w14:paraId="0A7A1D1A" w14:textId="77777777" w:rsidR="002C2EC7" w:rsidRDefault="002C2EC7" w:rsidP="00790783">
      <w:pPr>
        <w:pStyle w:val="OWBullet1"/>
      </w:pPr>
      <w:r w:rsidRPr="0071774C">
        <w:t>shared</w:t>
      </w:r>
      <w:r>
        <w:t xml:space="preserve"> </w:t>
      </w:r>
      <w:r w:rsidRPr="0071774C">
        <w:t>monitoring,</w:t>
      </w:r>
      <w:r>
        <w:t xml:space="preserve"> </w:t>
      </w:r>
      <w:r w:rsidRPr="0071774C">
        <w:t>reporting</w:t>
      </w:r>
      <w:r>
        <w:t xml:space="preserve"> </w:t>
      </w:r>
      <w:r w:rsidRPr="0071774C">
        <w:t>and</w:t>
      </w:r>
      <w:r>
        <w:t xml:space="preserve"> </w:t>
      </w:r>
      <w:r w:rsidRPr="0071774C">
        <w:t>evaluation</w:t>
      </w:r>
      <w:r>
        <w:t xml:space="preserve"> </w:t>
      </w:r>
      <w:r w:rsidRPr="0071774C">
        <w:t>frameworks,</w:t>
      </w:r>
      <w:r>
        <w:t xml:space="preserve"> </w:t>
      </w:r>
      <w:r w:rsidRPr="0071774C">
        <w:t>and</w:t>
      </w:r>
    </w:p>
    <w:p w14:paraId="09BB2140" w14:textId="77777777" w:rsidR="002C2EC7" w:rsidRDefault="002C2EC7" w:rsidP="00790783">
      <w:pPr>
        <w:pStyle w:val="OWBullet1"/>
      </w:pPr>
      <w:r w:rsidRPr="0071774C">
        <w:t>quality</w:t>
      </w:r>
      <w:r>
        <w:t xml:space="preserve"> </w:t>
      </w:r>
      <w:r w:rsidRPr="0071774C">
        <w:t>primary</w:t>
      </w:r>
      <w:r>
        <w:t xml:space="preserve"> </w:t>
      </w:r>
      <w:r w:rsidRPr="0071774C">
        <w:t>prevention</w:t>
      </w:r>
      <w:r>
        <w:t xml:space="preserve"> programming</w:t>
      </w:r>
      <w:r w:rsidRPr="0071774C">
        <w:t>.</w:t>
      </w:r>
    </w:p>
    <w:p w14:paraId="6AF74D91" w14:textId="5037520A" w:rsidR="002C2EC7" w:rsidRDefault="002C2EC7" w:rsidP="00790783">
      <w:pPr>
        <w:pStyle w:val="OWBodytextafterlist"/>
      </w:pPr>
      <w:r w:rsidRPr="0071774C">
        <w:t>This</w:t>
      </w:r>
      <w:r>
        <w:t xml:space="preserve"> </w:t>
      </w:r>
      <w:r w:rsidRPr="0071774C">
        <w:t>section</w:t>
      </w:r>
      <w:r>
        <w:t xml:space="preserve"> </w:t>
      </w:r>
      <w:r w:rsidRPr="0071774C">
        <w:t>explores</w:t>
      </w:r>
      <w:r>
        <w:t xml:space="preserve"> </w:t>
      </w:r>
      <w:r w:rsidRPr="0071774C">
        <w:t>and</w:t>
      </w:r>
      <w:r>
        <w:t xml:space="preserve"> </w:t>
      </w:r>
      <w:r w:rsidRPr="0071774C">
        <w:t>provides</w:t>
      </w:r>
      <w:r>
        <w:t xml:space="preserve"> </w:t>
      </w:r>
      <w:r w:rsidRPr="0071774C">
        <w:t>early</w:t>
      </w:r>
      <w:r>
        <w:t xml:space="preserve"> </w:t>
      </w:r>
      <w:r w:rsidRPr="0071774C">
        <w:t>insight</w:t>
      </w:r>
      <w:r>
        <w:t xml:space="preserve"> </w:t>
      </w:r>
      <w:r w:rsidRPr="0071774C">
        <w:t>into</w:t>
      </w:r>
      <w:r>
        <w:t xml:space="preserve"> </w:t>
      </w:r>
      <w:r w:rsidRPr="0071774C">
        <w:t>how</w:t>
      </w:r>
      <w:r>
        <w:t xml:space="preserve"> </w:t>
      </w:r>
      <w:r w:rsidRPr="0071774C">
        <w:t>the</w:t>
      </w:r>
      <w:r w:rsidR="000B492C">
        <w:t xml:space="preserve"> </w:t>
      </w:r>
      <w:r w:rsidRPr="0071774C">
        <w:t>foundations</w:t>
      </w:r>
      <w:r>
        <w:t xml:space="preserve"> </w:t>
      </w:r>
      <w:r w:rsidRPr="0071774C">
        <w:t>for</w:t>
      </w:r>
      <w:r>
        <w:t xml:space="preserve"> </w:t>
      </w:r>
      <w:r w:rsidRPr="0071774C">
        <w:t>prevention</w:t>
      </w:r>
      <w:r>
        <w:t xml:space="preserve"> </w:t>
      </w:r>
      <w:r w:rsidRPr="0071774C">
        <w:t>in</w:t>
      </w:r>
      <w:r w:rsidR="00672880">
        <w:t> </w:t>
      </w:r>
      <w:r w:rsidRPr="0071774C">
        <w:t>the</w:t>
      </w:r>
      <w:r>
        <w:t xml:space="preserve"> </w:t>
      </w:r>
      <w:r w:rsidRPr="0071774C">
        <w:t>Australian</w:t>
      </w:r>
      <w:r>
        <w:t xml:space="preserve"> </w:t>
      </w:r>
      <w:r w:rsidRPr="0071774C">
        <w:t>context</w:t>
      </w:r>
      <w:r>
        <w:t xml:space="preserve"> </w:t>
      </w:r>
      <w:r w:rsidRPr="0071774C">
        <w:t>are</w:t>
      </w:r>
      <w:r>
        <w:t xml:space="preserve"> </w:t>
      </w:r>
      <w:r w:rsidRPr="0071774C">
        <w:t>developing</w:t>
      </w:r>
      <w:r>
        <w:t xml:space="preserve"> </w:t>
      </w:r>
      <w:r w:rsidRPr="0071774C">
        <w:t>across</w:t>
      </w:r>
      <w:r>
        <w:t xml:space="preserve"> </w:t>
      </w:r>
      <w:r w:rsidRPr="0071774C">
        <w:t>each</w:t>
      </w:r>
      <w:r>
        <w:t xml:space="preserve"> </w:t>
      </w:r>
      <w:r w:rsidRPr="0071774C">
        <w:t>of</w:t>
      </w:r>
      <w:r>
        <w:t xml:space="preserve"> </w:t>
      </w:r>
      <w:r w:rsidRPr="0071774C">
        <w:t>these</w:t>
      </w:r>
      <w:r>
        <w:t xml:space="preserve"> </w:t>
      </w:r>
      <w:r w:rsidRPr="0071774C">
        <w:t>six</w:t>
      </w:r>
      <w:r>
        <w:t xml:space="preserve"> </w:t>
      </w:r>
      <w:r w:rsidRPr="0071774C">
        <w:t>domains</w:t>
      </w:r>
      <w:r>
        <w:t xml:space="preserve"> </w:t>
      </w:r>
      <w:r w:rsidRPr="0071774C">
        <w:t>and</w:t>
      </w:r>
      <w:r>
        <w:t xml:space="preserve"> </w:t>
      </w:r>
      <w:r w:rsidRPr="0071774C">
        <w:t>makes</w:t>
      </w:r>
      <w:r>
        <w:t xml:space="preserve"> </w:t>
      </w:r>
      <w:r w:rsidRPr="0071774C">
        <w:t>suggestions</w:t>
      </w:r>
      <w:r>
        <w:t xml:space="preserve"> </w:t>
      </w:r>
      <w:r w:rsidRPr="0071774C">
        <w:t>for</w:t>
      </w:r>
      <w:r>
        <w:t xml:space="preserve"> </w:t>
      </w:r>
      <w:r w:rsidRPr="0071774C">
        <w:t>future</w:t>
      </w:r>
      <w:r>
        <w:t xml:space="preserve"> </w:t>
      </w:r>
      <w:r w:rsidRPr="0071774C">
        <w:t>monitoring</w:t>
      </w:r>
      <w:r>
        <w:t xml:space="preserve"> </w:t>
      </w:r>
      <w:r w:rsidRPr="0071774C">
        <w:t>of</w:t>
      </w:r>
      <w:r>
        <w:t xml:space="preserve"> </w:t>
      </w:r>
      <w:r w:rsidRPr="0071774C">
        <w:t>progress</w:t>
      </w:r>
      <w:r>
        <w:t xml:space="preserve"> </w:t>
      </w:r>
      <w:r w:rsidRPr="0071774C">
        <w:t>towards</w:t>
      </w:r>
      <w:r>
        <w:t xml:space="preserve"> </w:t>
      </w:r>
      <w:r w:rsidRPr="0071774C">
        <w:t>their</w:t>
      </w:r>
      <w:r>
        <w:t xml:space="preserve"> </w:t>
      </w:r>
      <w:r w:rsidRPr="0071774C">
        <w:t>full</w:t>
      </w:r>
      <w:r>
        <w:t xml:space="preserve"> </w:t>
      </w:r>
      <w:r w:rsidRPr="0071774C">
        <w:t>establishment.</w:t>
      </w:r>
      <w:r>
        <w:t xml:space="preserve"> </w:t>
      </w:r>
      <w:r w:rsidRPr="0071774C">
        <w:t>It</w:t>
      </w:r>
      <w:r>
        <w:t xml:space="preserve"> </w:t>
      </w:r>
      <w:r w:rsidRPr="0071774C">
        <w:t>captures</w:t>
      </w:r>
      <w:r>
        <w:t xml:space="preserve"> </w:t>
      </w:r>
      <w:r w:rsidRPr="0071774C">
        <w:t>emerging</w:t>
      </w:r>
      <w:r>
        <w:t xml:space="preserve"> </w:t>
      </w:r>
      <w:r w:rsidRPr="0071774C">
        <w:t>insights</w:t>
      </w:r>
      <w:r>
        <w:t xml:space="preserve"> </w:t>
      </w:r>
      <w:r w:rsidRPr="0071774C">
        <w:t>into</w:t>
      </w:r>
      <w:r>
        <w:t xml:space="preserve"> </w:t>
      </w:r>
      <w:r w:rsidRPr="0071774C">
        <w:t>how,</w:t>
      </w:r>
      <w:r>
        <w:t xml:space="preserve"> </w:t>
      </w:r>
      <w:r w:rsidRPr="0071774C">
        <w:t>where</w:t>
      </w:r>
      <w:r>
        <w:t xml:space="preserve"> </w:t>
      </w:r>
      <w:r w:rsidRPr="0071774C">
        <w:t>and</w:t>
      </w:r>
      <w:r>
        <w:t xml:space="preserve"> </w:t>
      </w:r>
      <w:r w:rsidRPr="0071774C">
        <w:t>to</w:t>
      </w:r>
      <w:r>
        <w:t xml:space="preserve"> </w:t>
      </w:r>
      <w:r w:rsidRPr="0071774C">
        <w:t>what</w:t>
      </w:r>
      <w:r>
        <w:t xml:space="preserve"> </w:t>
      </w:r>
      <w:r w:rsidRPr="0071774C">
        <w:t>extent</w:t>
      </w:r>
      <w:r>
        <w:t xml:space="preserve"> </w:t>
      </w:r>
      <w:r w:rsidRPr="0071774C">
        <w:t>the</w:t>
      </w:r>
      <w:r>
        <w:t xml:space="preserve"> </w:t>
      </w:r>
      <w:r w:rsidRPr="0071774C">
        <w:t>foundations</w:t>
      </w:r>
      <w:r>
        <w:t xml:space="preserve"> </w:t>
      </w:r>
      <w:r w:rsidRPr="0071774C">
        <w:t>to</w:t>
      </w:r>
      <w:r>
        <w:t xml:space="preserve"> </w:t>
      </w:r>
      <w:r w:rsidRPr="0071774C">
        <w:t>support</w:t>
      </w:r>
      <w:r>
        <w:t xml:space="preserve"> </w:t>
      </w:r>
      <w:r w:rsidRPr="0071774C">
        <w:t>primary</w:t>
      </w:r>
      <w:r>
        <w:t xml:space="preserve"> </w:t>
      </w:r>
      <w:r w:rsidRPr="0071774C">
        <w:t>prevention</w:t>
      </w:r>
      <w:r>
        <w:t xml:space="preserve"> </w:t>
      </w:r>
      <w:r w:rsidRPr="0071774C">
        <w:t>have</w:t>
      </w:r>
      <w:r>
        <w:t xml:space="preserve"> </w:t>
      </w:r>
      <w:r w:rsidRPr="0071774C">
        <w:t>developed</w:t>
      </w:r>
      <w:r>
        <w:t xml:space="preserve"> </w:t>
      </w:r>
      <w:r w:rsidRPr="0071774C">
        <w:t>over</w:t>
      </w:r>
      <w:r>
        <w:t xml:space="preserve"> </w:t>
      </w:r>
      <w:r w:rsidRPr="0071774C">
        <w:t>the</w:t>
      </w:r>
      <w:r>
        <w:t xml:space="preserve"> </w:t>
      </w:r>
      <w:r w:rsidRPr="0071774C">
        <w:t>decade</w:t>
      </w:r>
      <w:r>
        <w:t xml:space="preserve"> </w:t>
      </w:r>
      <w:r w:rsidRPr="0071774C">
        <w:t>between</w:t>
      </w:r>
      <w:r>
        <w:t xml:space="preserve"> </w:t>
      </w:r>
      <w:r w:rsidRPr="0071774C">
        <w:t>2009</w:t>
      </w:r>
      <w:r>
        <w:t xml:space="preserve"> </w:t>
      </w:r>
      <w:r w:rsidRPr="0071774C">
        <w:t>and</w:t>
      </w:r>
      <w:r>
        <w:t xml:space="preserve"> </w:t>
      </w:r>
      <w:r w:rsidRPr="0071774C">
        <w:t>2019,</w:t>
      </w:r>
      <w:r>
        <w:t xml:space="preserve"> </w:t>
      </w:r>
      <w:r w:rsidRPr="0071774C">
        <w:t>in</w:t>
      </w:r>
      <w:r>
        <w:t xml:space="preserve"> </w:t>
      </w:r>
      <w:r w:rsidRPr="0071774C">
        <w:t>order</w:t>
      </w:r>
      <w:r>
        <w:t xml:space="preserve"> </w:t>
      </w:r>
      <w:r w:rsidRPr="0071774C">
        <w:t>to</w:t>
      </w:r>
      <w:r>
        <w:t xml:space="preserve"> </w:t>
      </w:r>
      <w:r w:rsidRPr="0071774C">
        <w:t>support</w:t>
      </w:r>
      <w:r>
        <w:t xml:space="preserve"> </w:t>
      </w:r>
      <w:r w:rsidRPr="0071774C">
        <w:t>sustained</w:t>
      </w:r>
      <w:r>
        <w:t xml:space="preserve"> </w:t>
      </w:r>
      <w:r w:rsidRPr="0071774C">
        <w:t>change</w:t>
      </w:r>
      <w:r>
        <w:t xml:space="preserve"> </w:t>
      </w:r>
      <w:r w:rsidRPr="0071774C">
        <w:t>across</w:t>
      </w:r>
      <w:r>
        <w:t xml:space="preserve"> </w:t>
      </w:r>
      <w:r w:rsidRPr="0071774C">
        <w:t>institutions,</w:t>
      </w:r>
      <w:r>
        <w:t xml:space="preserve"> </w:t>
      </w:r>
      <w:r w:rsidRPr="0071774C">
        <w:t>systems,</w:t>
      </w:r>
      <w:r>
        <w:t xml:space="preserve"> </w:t>
      </w:r>
      <w:r w:rsidRPr="0071774C">
        <w:t>organi</w:t>
      </w:r>
      <w:r>
        <w:t>s</w:t>
      </w:r>
      <w:r w:rsidRPr="0071774C">
        <w:t>ations</w:t>
      </w:r>
      <w:r>
        <w:t xml:space="preserve"> </w:t>
      </w:r>
      <w:r w:rsidRPr="0071774C">
        <w:t>and</w:t>
      </w:r>
      <w:r>
        <w:t xml:space="preserve"> </w:t>
      </w:r>
      <w:r w:rsidRPr="0071774C">
        <w:t>communities</w:t>
      </w:r>
      <w:r>
        <w:t xml:space="preserve"> </w:t>
      </w:r>
      <w:r w:rsidRPr="0071774C">
        <w:t>in</w:t>
      </w:r>
      <w:r>
        <w:t xml:space="preserve"> </w:t>
      </w:r>
      <w:r w:rsidRPr="0071774C">
        <w:t>Australia.</w:t>
      </w:r>
    </w:p>
    <w:p w14:paraId="2C67B228" w14:textId="202F4B2F" w:rsidR="002C2EC7" w:rsidRDefault="002C2EC7" w:rsidP="00790783">
      <w:pPr>
        <w:pStyle w:val="BodyText"/>
      </w:pPr>
      <w:r w:rsidRPr="0071774C">
        <w:t>This</w:t>
      </w:r>
      <w:r>
        <w:t xml:space="preserve"> </w:t>
      </w:r>
      <w:r w:rsidRPr="0071774C">
        <w:t>section</w:t>
      </w:r>
      <w:r>
        <w:t xml:space="preserve"> </w:t>
      </w:r>
      <w:r w:rsidRPr="0071774C">
        <w:t>provides</w:t>
      </w:r>
      <w:r>
        <w:t xml:space="preserve"> </w:t>
      </w:r>
      <w:r w:rsidRPr="0071774C">
        <w:t>insight</w:t>
      </w:r>
      <w:r>
        <w:t xml:space="preserve"> </w:t>
      </w:r>
      <w:r w:rsidRPr="0071774C">
        <w:t>into</w:t>
      </w:r>
      <w:r>
        <w:t xml:space="preserve"> </w:t>
      </w:r>
      <w:r w:rsidRPr="0071774C">
        <w:t>the</w:t>
      </w:r>
      <w:r>
        <w:t xml:space="preserve"> </w:t>
      </w:r>
      <w:r w:rsidRPr="0071774C">
        <w:t>current</w:t>
      </w:r>
      <w:r>
        <w:t xml:space="preserve"> </w:t>
      </w:r>
      <w:r w:rsidRPr="0071774C">
        <w:t>context</w:t>
      </w:r>
      <w:r>
        <w:t xml:space="preserve"> </w:t>
      </w:r>
      <w:r w:rsidRPr="0071774C">
        <w:t>for</w:t>
      </w:r>
      <w:r>
        <w:t xml:space="preserve"> </w:t>
      </w:r>
      <w:r w:rsidRPr="0071774C">
        <w:t>reform,</w:t>
      </w:r>
      <w:r>
        <w:t xml:space="preserve"> </w:t>
      </w:r>
      <w:r w:rsidRPr="0071774C">
        <w:t>particularly</w:t>
      </w:r>
      <w:r>
        <w:t xml:space="preserve"> </w:t>
      </w:r>
      <w:r w:rsidRPr="0071774C">
        <w:t>in</w:t>
      </w:r>
      <w:r>
        <w:t xml:space="preserve"> </w:t>
      </w:r>
      <w:r w:rsidRPr="0071774C">
        <w:t>relation</w:t>
      </w:r>
      <w:r>
        <w:t xml:space="preserve"> </w:t>
      </w:r>
      <w:r w:rsidRPr="0071774C">
        <w:t>to</w:t>
      </w:r>
      <w:r>
        <w:t xml:space="preserve"> </w:t>
      </w:r>
      <w:r w:rsidRPr="0071774C">
        <w:t>the</w:t>
      </w:r>
      <w:r>
        <w:t xml:space="preserve"> </w:t>
      </w:r>
      <w:r w:rsidRPr="0071774C">
        <w:t>institutional,</w:t>
      </w:r>
      <w:r>
        <w:t xml:space="preserve"> </w:t>
      </w:r>
      <w:r w:rsidRPr="0071774C">
        <w:t>organisational</w:t>
      </w:r>
      <w:r>
        <w:t xml:space="preserve"> </w:t>
      </w:r>
      <w:r w:rsidRPr="0071774C">
        <w:t>and</w:t>
      </w:r>
      <w:r>
        <w:t xml:space="preserve"> </w:t>
      </w:r>
      <w:r w:rsidRPr="0071774C">
        <w:t>structural</w:t>
      </w:r>
      <w:r>
        <w:t xml:space="preserve"> </w:t>
      </w:r>
      <w:r w:rsidRPr="0071774C">
        <w:t>reforms</w:t>
      </w:r>
      <w:r>
        <w:t xml:space="preserve"> </w:t>
      </w:r>
      <w:r w:rsidRPr="0071774C">
        <w:t>that</w:t>
      </w:r>
      <w:r>
        <w:t xml:space="preserve"> </w:t>
      </w:r>
      <w:r w:rsidRPr="0071774C">
        <w:t>are</w:t>
      </w:r>
      <w:r>
        <w:t xml:space="preserve"> </w:t>
      </w:r>
      <w:r w:rsidRPr="0071774C">
        <w:t>necessary</w:t>
      </w:r>
      <w:r>
        <w:t xml:space="preserve"> </w:t>
      </w:r>
      <w:r w:rsidRPr="0071774C">
        <w:t>to</w:t>
      </w:r>
      <w:r>
        <w:t xml:space="preserve"> </w:t>
      </w:r>
      <w:r w:rsidRPr="0071774C">
        <w:t>provide</w:t>
      </w:r>
      <w:r>
        <w:t xml:space="preserve"> </w:t>
      </w:r>
      <w:r w:rsidRPr="0071774C">
        <w:t>the</w:t>
      </w:r>
      <w:r>
        <w:t xml:space="preserve"> </w:t>
      </w:r>
      <w:r w:rsidRPr="0071774C">
        <w:t>foundations</w:t>
      </w:r>
      <w:r>
        <w:t xml:space="preserve"> </w:t>
      </w:r>
      <w:r w:rsidRPr="0071774C">
        <w:t>for</w:t>
      </w:r>
      <w:r>
        <w:t xml:space="preserve"> </w:t>
      </w:r>
      <w:r w:rsidRPr="0071774C">
        <w:t>long</w:t>
      </w:r>
      <w:r>
        <w:t>-</w:t>
      </w:r>
      <w:r w:rsidRPr="0071774C">
        <w:t>term</w:t>
      </w:r>
      <w:r>
        <w:t xml:space="preserve"> </w:t>
      </w:r>
      <w:r w:rsidRPr="0071774C">
        <w:t>change.</w:t>
      </w:r>
    </w:p>
    <w:p w14:paraId="212A7363" w14:textId="68619C92" w:rsidR="002C2EC7" w:rsidRDefault="002C2EC7" w:rsidP="00790783">
      <w:pPr>
        <w:pStyle w:val="BodyText"/>
      </w:pPr>
      <w:r w:rsidRPr="0071774C">
        <w:t>While</w:t>
      </w:r>
      <w:r>
        <w:t xml:space="preserve"> </w:t>
      </w:r>
      <w:r w:rsidRPr="0071774C">
        <w:t>each</w:t>
      </w:r>
      <w:r>
        <w:t xml:space="preserve"> </w:t>
      </w:r>
      <w:r w:rsidRPr="0071774C">
        <w:t>of</w:t>
      </w:r>
      <w:r>
        <w:t xml:space="preserve"> </w:t>
      </w:r>
      <w:r w:rsidRPr="0071774C">
        <w:t>the</w:t>
      </w:r>
      <w:r>
        <w:t xml:space="preserve"> </w:t>
      </w:r>
      <w:r w:rsidRPr="0071774C">
        <w:t>six</w:t>
      </w:r>
      <w:r>
        <w:t xml:space="preserve"> </w:t>
      </w:r>
      <w:r w:rsidRPr="0071774C">
        <w:t>infrastructure</w:t>
      </w:r>
      <w:r>
        <w:t xml:space="preserve"> </w:t>
      </w:r>
      <w:r w:rsidRPr="0071774C">
        <w:t>domains</w:t>
      </w:r>
      <w:r>
        <w:t xml:space="preserve"> </w:t>
      </w:r>
      <w:r w:rsidRPr="0071774C">
        <w:t>is</w:t>
      </w:r>
      <w:r>
        <w:t xml:space="preserve"> </w:t>
      </w:r>
      <w:r w:rsidRPr="0071774C">
        <w:t>discussed</w:t>
      </w:r>
      <w:r>
        <w:t xml:space="preserve"> </w:t>
      </w:r>
      <w:r w:rsidRPr="0071774C">
        <w:t>individually,</w:t>
      </w:r>
      <w:r>
        <w:t xml:space="preserve"> </w:t>
      </w:r>
      <w:r w:rsidRPr="0071774C">
        <w:t>they</w:t>
      </w:r>
      <w:r>
        <w:t xml:space="preserve"> </w:t>
      </w:r>
      <w:r w:rsidRPr="0071774C">
        <w:t>are</w:t>
      </w:r>
      <w:r>
        <w:t xml:space="preserve"> </w:t>
      </w:r>
      <w:r w:rsidRPr="0071774C">
        <w:t>deeply</w:t>
      </w:r>
      <w:r>
        <w:t xml:space="preserve"> </w:t>
      </w:r>
      <w:r w:rsidRPr="0071774C">
        <w:t>interrelated,</w:t>
      </w:r>
      <w:r>
        <w:t xml:space="preserve"> </w:t>
      </w:r>
      <w:r w:rsidRPr="0071774C">
        <w:t>overlapping</w:t>
      </w:r>
      <w:r>
        <w:t xml:space="preserve"> </w:t>
      </w:r>
      <w:r w:rsidRPr="0071774C">
        <w:t>and</w:t>
      </w:r>
      <w:r>
        <w:t xml:space="preserve"> </w:t>
      </w:r>
      <w:r w:rsidRPr="0071774C">
        <w:t>at</w:t>
      </w:r>
      <w:r>
        <w:t xml:space="preserve"> </w:t>
      </w:r>
      <w:r w:rsidRPr="0071774C">
        <w:t>times</w:t>
      </w:r>
      <w:r>
        <w:t xml:space="preserve"> </w:t>
      </w:r>
      <w:r w:rsidRPr="0071774C">
        <w:t>interdependent.</w:t>
      </w:r>
      <w:r>
        <w:t xml:space="preserve"> </w:t>
      </w:r>
      <w:r w:rsidRPr="0071774C">
        <w:t>Progress</w:t>
      </w:r>
      <w:r>
        <w:t xml:space="preserve"> </w:t>
      </w:r>
      <w:r w:rsidRPr="0071774C">
        <w:t>in</w:t>
      </w:r>
      <w:r>
        <w:t xml:space="preserve"> </w:t>
      </w:r>
      <w:r w:rsidRPr="0071774C">
        <w:t>one</w:t>
      </w:r>
      <w:r>
        <w:t xml:space="preserve"> </w:t>
      </w:r>
      <w:r w:rsidRPr="0071774C">
        <w:t>domain</w:t>
      </w:r>
      <w:r>
        <w:t xml:space="preserve"> </w:t>
      </w:r>
      <w:r w:rsidRPr="0071774C">
        <w:t>may</w:t>
      </w:r>
      <w:r>
        <w:t xml:space="preserve"> </w:t>
      </w:r>
      <w:r w:rsidRPr="0071774C">
        <w:t>be</w:t>
      </w:r>
      <w:r>
        <w:t xml:space="preserve"> </w:t>
      </w:r>
      <w:r w:rsidRPr="0071774C">
        <w:t>supported</w:t>
      </w:r>
      <w:r>
        <w:t xml:space="preserve"> </w:t>
      </w:r>
      <w:r w:rsidRPr="0071774C">
        <w:t>or</w:t>
      </w:r>
      <w:r>
        <w:t xml:space="preserve"> </w:t>
      </w:r>
      <w:r w:rsidRPr="0071774C">
        <w:t>hindered</w:t>
      </w:r>
      <w:r>
        <w:t xml:space="preserve"> </w:t>
      </w:r>
      <w:r w:rsidRPr="0071774C">
        <w:t>b</w:t>
      </w:r>
      <w:r w:rsidRPr="00F67E8B">
        <w:t>y progress or inactivity in another. Analysis across the domains helps identify these relationships, for example by highlighting the role of leadership in ensuring coordination mechanisms are effective and efficient.</w:t>
      </w:r>
    </w:p>
    <w:p w14:paraId="3B01E4FB" w14:textId="77777777" w:rsidR="0017588F" w:rsidRPr="0017588F" w:rsidRDefault="0017588F" w:rsidP="0017588F">
      <w:pPr>
        <w:pStyle w:val="BodyText"/>
      </w:pPr>
      <w:r w:rsidRPr="0017588F">
        <w:br w:type="page"/>
      </w:r>
    </w:p>
    <w:p w14:paraId="7499620C" w14:textId="7A248837" w:rsidR="002C2EC7" w:rsidRPr="00F67E8B" w:rsidRDefault="00F516B1" w:rsidP="00790783">
      <w:pPr>
        <w:pStyle w:val="BodyText"/>
      </w:pPr>
      <w:r>
        <w:lastRenderedPageBreak/>
        <w:t>T</w:t>
      </w:r>
      <w:r w:rsidRPr="00F67E8B">
        <w:t xml:space="preserve">his section provides important context for interpreting the findings in </w:t>
      </w:r>
      <w:r w:rsidR="0044154C">
        <w:t>S</w:t>
      </w:r>
      <w:r w:rsidRPr="00F67E8B">
        <w:t xml:space="preserve">ection </w:t>
      </w:r>
      <w:r w:rsidR="0044154C">
        <w:t>2</w:t>
      </w:r>
      <w:r w:rsidRPr="00F67E8B">
        <w:t xml:space="preserve"> </w:t>
      </w:r>
      <w:r>
        <w:t>b</w:t>
      </w:r>
      <w:r w:rsidR="002C2EC7" w:rsidRPr="00F67E8B">
        <w:t>y</w:t>
      </w:r>
      <w:r w:rsidR="00E76834">
        <w:t xml:space="preserve"> providing insight into the </w:t>
      </w:r>
      <w:r w:rsidR="000F13E2">
        <w:t xml:space="preserve">establishment of </w:t>
      </w:r>
      <w:r w:rsidR="00106687">
        <w:t>infrastructure</w:t>
      </w:r>
      <w:r w:rsidR="00106687" w:rsidRPr="00F67E8B">
        <w:t xml:space="preserve"> </w:t>
      </w:r>
      <w:r w:rsidR="002F2B93">
        <w:t>to</w:t>
      </w:r>
      <w:r w:rsidR="002C2EC7" w:rsidRPr="00F67E8B">
        <w:t xml:space="preserve"> drive short- and medium-term change in the drivers and reinforcing factors for violence against women, and ultimately achieve a long-term reduction in prevalence rates.</w:t>
      </w:r>
    </w:p>
    <w:p w14:paraId="3B535255" w14:textId="77777777" w:rsidR="002C2EC7" w:rsidRPr="00FB7F22" w:rsidRDefault="002C2EC7" w:rsidP="0017588F">
      <w:pPr>
        <w:pStyle w:val="Heading3"/>
        <w:pageBreakBefore w:val="0"/>
        <w:rPr>
          <w:rStyle w:val="OWCharacterCharcoal"/>
        </w:rPr>
      </w:pPr>
      <w:bookmarkStart w:id="18" w:name="_Toc41559708"/>
      <w:bookmarkStart w:id="19" w:name="_Toc55053303"/>
      <w:r w:rsidRPr="00FB7F22">
        <w:rPr>
          <w:rStyle w:val="OWCharacterCharcoal"/>
        </w:rPr>
        <w:t>Methodology for this section</w:t>
      </w:r>
      <w:bookmarkEnd w:id="18"/>
      <w:bookmarkEnd w:id="19"/>
    </w:p>
    <w:p w14:paraId="068A56FB" w14:textId="589D20B9" w:rsidR="002C2EC7" w:rsidRPr="00187A71" w:rsidRDefault="002C2EC7" w:rsidP="00790783">
      <w:pPr>
        <w:pStyle w:val="BodyText"/>
      </w:pPr>
      <w:r w:rsidRPr="001162C4">
        <w:rPr>
          <w:rStyle w:val="Emphasis"/>
        </w:rPr>
        <w:t xml:space="preserve">Counting on change </w:t>
      </w:r>
      <w:r w:rsidRPr="0071774C">
        <w:t>identified</w:t>
      </w:r>
      <w:r>
        <w:t xml:space="preserve"> </w:t>
      </w:r>
      <w:r w:rsidRPr="0071774C">
        <w:t>some</w:t>
      </w:r>
      <w:r>
        <w:t xml:space="preserve"> </w:t>
      </w:r>
      <w:r w:rsidRPr="0071774C">
        <w:t>possible</w:t>
      </w:r>
      <w:r>
        <w:t xml:space="preserve"> </w:t>
      </w:r>
      <w:r w:rsidRPr="0071774C">
        <w:t>measures</w:t>
      </w:r>
      <w:r>
        <w:t xml:space="preserve"> </w:t>
      </w:r>
      <w:r w:rsidRPr="0071774C">
        <w:t>for</w:t>
      </w:r>
      <w:r>
        <w:t xml:space="preserve"> </w:t>
      </w:r>
      <w:r w:rsidRPr="0071774C">
        <w:t>assessing</w:t>
      </w:r>
      <w:r>
        <w:t xml:space="preserve"> </w:t>
      </w:r>
      <w:r w:rsidRPr="0071774C">
        <w:t>change</w:t>
      </w:r>
      <w:r>
        <w:t xml:space="preserve"> </w:t>
      </w:r>
      <w:r w:rsidRPr="0071774C">
        <w:t>to</w:t>
      </w:r>
      <w:r>
        <w:t xml:space="preserve"> </w:t>
      </w:r>
      <w:r w:rsidRPr="0071774C">
        <w:t>each</w:t>
      </w:r>
      <w:r>
        <w:t xml:space="preserve"> </w:t>
      </w:r>
      <w:r w:rsidRPr="0071774C">
        <w:t>foundational</w:t>
      </w:r>
      <w:r>
        <w:t xml:space="preserve"> </w:t>
      </w:r>
      <w:r w:rsidRPr="0071774C">
        <w:t>element</w:t>
      </w:r>
      <w:r>
        <w:t xml:space="preserve"> </w:t>
      </w:r>
      <w:r w:rsidRPr="0071774C">
        <w:t>or</w:t>
      </w:r>
      <w:r>
        <w:t xml:space="preserve"> </w:t>
      </w:r>
      <w:r w:rsidRPr="0071774C">
        <w:t>domain</w:t>
      </w:r>
      <w:r>
        <w:t xml:space="preserve"> </w:t>
      </w:r>
      <w:r w:rsidRPr="0071774C">
        <w:t>of</w:t>
      </w:r>
      <w:r>
        <w:t xml:space="preserve"> </w:t>
      </w:r>
      <w:r w:rsidRPr="0071774C">
        <w:t>prevention</w:t>
      </w:r>
      <w:r>
        <w:t xml:space="preserve"> </w:t>
      </w:r>
      <w:r w:rsidRPr="0071774C">
        <w:t>infrastructure.</w:t>
      </w:r>
      <w:r>
        <w:t xml:space="preserve"> </w:t>
      </w:r>
      <w:r w:rsidRPr="0071774C">
        <w:t>However,</w:t>
      </w:r>
      <w:r>
        <w:t xml:space="preserve"> </w:t>
      </w:r>
      <w:r w:rsidRPr="0071774C">
        <w:t>these</w:t>
      </w:r>
      <w:r>
        <w:t xml:space="preserve"> </w:t>
      </w:r>
      <w:r w:rsidRPr="0071774C">
        <w:t>were</w:t>
      </w:r>
      <w:r>
        <w:t xml:space="preserve"> </w:t>
      </w:r>
      <w:r w:rsidRPr="0071774C">
        <w:t>only</w:t>
      </w:r>
      <w:r>
        <w:t xml:space="preserve"> </w:t>
      </w:r>
      <w:r w:rsidRPr="0071774C">
        <w:t>briefly</w:t>
      </w:r>
      <w:r>
        <w:t xml:space="preserve"> </w:t>
      </w:r>
      <w:r w:rsidRPr="0071774C">
        <w:t>explored,</w:t>
      </w:r>
      <w:r>
        <w:t xml:space="preserve"> </w:t>
      </w:r>
      <w:r w:rsidRPr="0071774C">
        <w:t>leaving</w:t>
      </w:r>
      <w:r w:rsidRPr="00187A71">
        <w:t xml:space="preserve"> scope for further development of an approach to monitoring the development of this infrastructure.</w:t>
      </w:r>
    </w:p>
    <w:p w14:paraId="04379555" w14:textId="0ABB5BE7" w:rsidR="002C2EC7" w:rsidRDefault="002C2EC7" w:rsidP="00790783">
      <w:pPr>
        <w:pStyle w:val="BodyText"/>
      </w:pPr>
      <w:r w:rsidRPr="0071774C">
        <w:t>This</w:t>
      </w:r>
      <w:r>
        <w:t xml:space="preserve"> </w:t>
      </w:r>
      <w:r w:rsidRPr="0071774C">
        <w:t>project</w:t>
      </w:r>
      <w:r>
        <w:t xml:space="preserve"> </w:t>
      </w:r>
      <w:r w:rsidRPr="0071774C">
        <w:t>has</w:t>
      </w:r>
      <w:r>
        <w:t xml:space="preserve"> </w:t>
      </w:r>
      <w:r w:rsidRPr="0071774C">
        <w:t>‘operationalised’</w:t>
      </w:r>
      <w:r>
        <w:t xml:space="preserve"> </w:t>
      </w:r>
      <w:r w:rsidRPr="001162C4">
        <w:rPr>
          <w:rStyle w:val="Emphasis"/>
        </w:rPr>
        <w:t>Counting on change</w:t>
      </w:r>
      <w:r>
        <w:t>,</w:t>
      </w:r>
      <w:r w:rsidRPr="001162C4">
        <w:t xml:space="preserve"> b</w:t>
      </w:r>
      <w:r w:rsidRPr="0071774C">
        <w:t>ut</w:t>
      </w:r>
      <w:r>
        <w:t xml:space="preserve"> </w:t>
      </w:r>
      <w:r w:rsidRPr="0071774C">
        <w:t>further</w:t>
      </w:r>
      <w:r>
        <w:t xml:space="preserve"> </w:t>
      </w:r>
      <w:r w:rsidRPr="0071774C">
        <w:t>developed</w:t>
      </w:r>
      <w:r>
        <w:t xml:space="preserve"> </w:t>
      </w:r>
      <w:r w:rsidRPr="0071774C">
        <w:t>and</w:t>
      </w:r>
      <w:r>
        <w:t xml:space="preserve"> </w:t>
      </w:r>
      <w:r w:rsidRPr="0071774C">
        <w:t>refined</w:t>
      </w:r>
      <w:r>
        <w:t xml:space="preserve"> </w:t>
      </w:r>
      <w:r w:rsidRPr="0071774C">
        <w:t>the</w:t>
      </w:r>
      <w:r>
        <w:t xml:space="preserve"> </w:t>
      </w:r>
      <w:r w:rsidR="00571371" w:rsidRPr="0071774C">
        <w:t>method</w:t>
      </w:r>
      <w:r w:rsidRPr="0071774C">
        <w:t>.</w:t>
      </w:r>
      <w:r>
        <w:t xml:space="preserve"> </w:t>
      </w:r>
      <w:r w:rsidRPr="0071774C">
        <w:t>The</w:t>
      </w:r>
      <w:r>
        <w:t xml:space="preserve"> </w:t>
      </w:r>
      <w:r w:rsidRPr="0071774C">
        <w:t>project</w:t>
      </w:r>
      <w:r>
        <w:t xml:space="preserve"> </w:t>
      </w:r>
      <w:r w:rsidRPr="0071774C">
        <w:t>team</w:t>
      </w:r>
      <w:r>
        <w:t xml:space="preserve"> </w:t>
      </w:r>
      <w:r w:rsidRPr="0071774C">
        <w:t>carefully</w:t>
      </w:r>
      <w:r>
        <w:t xml:space="preserve"> </w:t>
      </w:r>
      <w:r w:rsidRPr="0071774C">
        <w:t>reconsidered</w:t>
      </w:r>
      <w:r>
        <w:t xml:space="preserve"> </w:t>
      </w:r>
      <w:r w:rsidRPr="0071774C">
        <w:t>the</w:t>
      </w:r>
      <w:r>
        <w:t xml:space="preserve"> </w:t>
      </w:r>
      <w:r w:rsidRPr="0071774C">
        <w:t>most</w:t>
      </w:r>
      <w:r>
        <w:t xml:space="preserve"> </w:t>
      </w:r>
      <w:r w:rsidRPr="0071774C">
        <w:t>appropriate</w:t>
      </w:r>
      <w:r>
        <w:t xml:space="preserve"> </w:t>
      </w:r>
      <w:r w:rsidRPr="0071774C">
        <w:t>ways</w:t>
      </w:r>
      <w:r>
        <w:t xml:space="preserve"> </w:t>
      </w:r>
      <w:r w:rsidRPr="0071774C">
        <w:t>to</w:t>
      </w:r>
      <w:r>
        <w:t xml:space="preserve"> </w:t>
      </w:r>
      <w:r w:rsidRPr="0071774C">
        <w:t>understand</w:t>
      </w:r>
      <w:r>
        <w:t xml:space="preserve"> </w:t>
      </w:r>
      <w:r w:rsidRPr="0071774C">
        <w:t>and</w:t>
      </w:r>
      <w:r>
        <w:t xml:space="preserve"> </w:t>
      </w:r>
      <w:r w:rsidRPr="0071774C">
        <w:t>track</w:t>
      </w:r>
      <w:r>
        <w:t xml:space="preserve"> </w:t>
      </w:r>
      <w:r w:rsidRPr="0071774C">
        <w:t>change,</w:t>
      </w:r>
      <w:r>
        <w:t xml:space="preserve"> </w:t>
      </w:r>
      <w:r w:rsidRPr="0071774C">
        <w:t>together</w:t>
      </w:r>
      <w:r>
        <w:t xml:space="preserve"> </w:t>
      </w:r>
      <w:r w:rsidRPr="0071774C">
        <w:t>with</w:t>
      </w:r>
      <w:r>
        <w:t xml:space="preserve"> </w:t>
      </w:r>
      <w:r w:rsidRPr="0071774C">
        <w:t>the</w:t>
      </w:r>
      <w:r>
        <w:t xml:space="preserve"> </w:t>
      </w:r>
      <w:r w:rsidRPr="0071774C">
        <w:t>feasibility</w:t>
      </w:r>
      <w:r>
        <w:t xml:space="preserve"> </w:t>
      </w:r>
      <w:r w:rsidRPr="0071774C">
        <w:t>of</w:t>
      </w:r>
      <w:r>
        <w:t xml:space="preserve"> </w:t>
      </w:r>
      <w:r w:rsidRPr="0071774C">
        <w:t>different</w:t>
      </w:r>
      <w:r>
        <w:t xml:space="preserve"> </w:t>
      </w:r>
      <w:r w:rsidRPr="0071774C">
        <w:t>options.</w:t>
      </w:r>
      <w:r>
        <w:t xml:space="preserve"> </w:t>
      </w:r>
      <w:r w:rsidRPr="0071774C">
        <w:t>As</w:t>
      </w:r>
      <w:r>
        <w:t xml:space="preserve"> </w:t>
      </w:r>
      <w:r w:rsidRPr="0071774C">
        <w:t>a</w:t>
      </w:r>
      <w:r>
        <w:t xml:space="preserve"> </w:t>
      </w:r>
      <w:r w:rsidRPr="0071774C">
        <w:t>result,</w:t>
      </w:r>
      <w:r>
        <w:t xml:space="preserve"> </w:t>
      </w:r>
      <w:r w:rsidRPr="0071774C">
        <w:t>the</w:t>
      </w:r>
      <w:r>
        <w:t xml:space="preserve"> </w:t>
      </w:r>
      <w:r w:rsidRPr="0071774C">
        <w:t>project</w:t>
      </w:r>
      <w:r>
        <w:t xml:space="preserve"> </w:t>
      </w:r>
      <w:r w:rsidRPr="0071774C">
        <w:t>did</w:t>
      </w:r>
      <w:r>
        <w:t xml:space="preserve"> </w:t>
      </w:r>
      <w:r w:rsidRPr="0071774C">
        <w:t>not</w:t>
      </w:r>
      <w:r>
        <w:t xml:space="preserve"> </w:t>
      </w:r>
      <w:r w:rsidRPr="0071774C">
        <w:t>attempt</w:t>
      </w:r>
      <w:r>
        <w:rPr>
          <w:color w:val="D13438"/>
        </w:rPr>
        <w:t xml:space="preserve"> </w:t>
      </w:r>
      <w:r w:rsidRPr="0071774C">
        <w:t>to</w:t>
      </w:r>
      <w:r>
        <w:t xml:space="preserve"> </w:t>
      </w:r>
      <w:r w:rsidRPr="0071774C">
        <w:t>collect</w:t>
      </w:r>
      <w:r>
        <w:t xml:space="preserve"> </w:t>
      </w:r>
      <w:r w:rsidRPr="0071774C">
        <w:t>data</w:t>
      </w:r>
      <w:r>
        <w:t xml:space="preserve"> </w:t>
      </w:r>
      <w:r w:rsidRPr="0071774C">
        <w:t>for</w:t>
      </w:r>
      <w:r>
        <w:t xml:space="preserve"> </w:t>
      </w:r>
      <w:r w:rsidRPr="0071774C">
        <w:t>every</w:t>
      </w:r>
      <w:r>
        <w:t xml:space="preserve"> </w:t>
      </w:r>
      <w:r w:rsidRPr="0071774C">
        <w:t>possible</w:t>
      </w:r>
      <w:r>
        <w:t xml:space="preserve"> </w:t>
      </w:r>
      <w:r w:rsidRPr="0071774C">
        <w:t>measure</w:t>
      </w:r>
      <w:r>
        <w:t xml:space="preserve"> </w:t>
      </w:r>
      <w:r w:rsidRPr="0071774C">
        <w:t>identified</w:t>
      </w:r>
      <w:r>
        <w:t xml:space="preserve"> </w:t>
      </w:r>
      <w:r w:rsidRPr="0071774C">
        <w:t>in</w:t>
      </w:r>
      <w:r>
        <w:t xml:space="preserve"> </w:t>
      </w:r>
      <w:r w:rsidRPr="001162C4">
        <w:rPr>
          <w:rStyle w:val="Emphasis"/>
        </w:rPr>
        <w:t>Counting on change</w:t>
      </w:r>
      <w:r>
        <w:t xml:space="preserve"> </w:t>
      </w:r>
      <w:r w:rsidRPr="0071774C">
        <w:t>but</w:t>
      </w:r>
      <w:r>
        <w:t xml:space="preserve"> </w:t>
      </w:r>
      <w:r w:rsidRPr="0071774C">
        <w:t>instead</w:t>
      </w:r>
      <w:r>
        <w:t xml:space="preserve"> </w:t>
      </w:r>
      <w:r w:rsidRPr="0071774C">
        <w:t>selected</w:t>
      </w:r>
      <w:r>
        <w:t xml:space="preserve"> </w:t>
      </w:r>
      <w:r w:rsidRPr="0071774C">
        <w:t>those</w:t>
      </w:r>
      <w:r>
        <w:t xml:space="preserve"> </w:t>
      </w:r>
      <w:r w:rsidRPr="0071774C">
        <w:t>measures</w:t>
      </w:r>
      <w:r>
        <w:t xml:space="preserve"> </w:t>
      </w:r>
      <w:r w:rsidRPr="0071774C">
        <w:t>–</w:t>
      </w:r>
      <w:r>
        <w:t xml:space="preserve"> </w:t>
      </w:r>
      <w:r w:rsidRPr="0071774C">
        <w:t>or</w:t>
      </w:r>
      <w:r>
        <w:t xml:space="preserve"> </w:t>
      </w:r>
      <w:r w:rsidRPr="0071774C">
        <w:t>parts</w:t>
      </w:r>
      <w:r>
        <w:t xml:space="preserve"> </w:t>
      </w:r>
      <w:r w:rsidRPr="0071774C">
        <w:t>of</w:t>
      </w:r>
      <w:r>
        <w:t xml:space="preserve"> </w:t>
      </w:r>
      <w:r w:rsidRPr="0071774C">
        <w:t>measures</w:t>
      </w:r>
      <w:r>
        <w:t xml:space="preserve"> </w:t>
      </w:r>
      <w:r w:rsidRPr="0071774C">
        <w:t>–</w:t>
      </w:r>
      <w:r>
        <w:t xml:space="preserve"> </w:t>
      </w:r>
      <w:r w:rsidRPr="0071774C">
        <w:t>for</w:t>
      </w:r>
      <w:r>
        <w:t xml:space="preserve"> </w:t>
      </w:r>
      <w:r w:rsidRPr="0071774C">
        <w:t>which</w:t>
      </w:r>
      <w:r>
        <w:t xml:space="preserve"> </w:t>
      </w:r>
      <w:r w:rsidRPr="0071774C">
        <w:t>data</w:t>
      </w:r>
      <w:r>
        <w:rPr>
          <w:color w:val="0078D4"/>
        </w:rPr>
        <w:t xml:space="preserve"> </w:t>
      </w:r>
      <w:r w:rsidRPr="0071774C">
        <w:t>could</w:t>
      </w:r>
      <w:r>
        <w:t xml:space="preserve"> </w:t>
      </w:r>
      <w:r w:rsidRPr="0071774C">
        <w:t>be</w:t>
      </w:r>
      <w:r>
        <w:t xml:space="preserve"> </w:t>
      </w:r>
      <w:r w:rsidRPr="0071774C">
        <w:t>collected</w:t>
      </w:r>
      <w:r>
        <w:t xml:space="preserve"> </w:t>
      </w:r>
      <w:r w:rsidRPr="0071774C">
        <w:t>or</w:t>
      </w:r>
      <w:r>
        <w:t xml:space="preserve"> </w:t>
      </w:r>
      <w:r w:rsidRPr="0071774C">
        <w:t>analysed</w:t>
      </w:r>
      <w:r>
        <w:t xml:space="preserve"> </w:t>
      </w:r>
      <w:r w:rsidRPr="0071774C">
        <w:t>within</w:t>
      </w:r>
      <w:r>
        <w:t xml:space="preserve"> </w:t>
      </w:r>
      <w:r w:rsidRPr="0071774C">
        <w:t>the</w:t>
      </w:r>
      <w:r>
        <w:t xml:space="preserve"> </w:t>
      </w:r>
      <w:r w:rsidRPr="0071774C">
        <w:t>time</w:t>
      </w:r>
      <w:r>
        <w:t xml:space="preserve"> </w:t>
      </w:r>
      <w:r w:rsidRPr="0071774C">
        <w:t>and</w:t>
      </w:r>
      <w:r>
        <w:t xml:space="preserve"> with the </w:t>
      </w:r>
      <w:r w:rsidRPr="0071774C">
        <w:t>resources</w:t>
      </w:r>
      <w:r>
        <w:t xml:space="preserve"> </w:t>
      </w:r>
      <w:r w:rsidRPr="0071774C">
        <w:t>available.</w:t>
      </w:r>
      <w:r>
        <w:t xml:space="preserve"> </w:t>
      </w:r>
      <w:r w:rsidRPr="0071774C">
        <w:t>During</w:t>
      </w:r>
      <w:r>
        <w:t xml:space="preserve"> </w:t>
      </w:r>
      <w:r w:rsidRPr="0071774C">
        <w:t>this</w:t>
      </w:r>
      <w:r>
        <w:t xml:space="preserve"> </w:t>
      </w:r>
      <w:r w:rsidRPr="0071774C">
        <w:t>process,</w:t>
      </w:r>
      <w:r>
        <w:t xml:space="preserve"> </w:t>
      </w:r>
      <w:r w:rsidRPr="0071774C">
        <w:t>additional</w:t>
      </w:r>
      <w:r>
        <w:t xml:space="preserve"> </w:t>
      </w:r>
      <w:r w:rsidRPr="0071774C">
        <w:t>data</w:t>
      </w:r>
      <w:r>
        <w:t xml:space="preserve"> </w:t>
      </w:r>
      <w:r w:rsidRPr="0071774C">
        <w:t>was</w:t>
      </w:r>
      <w:r>
        <w:t xml:space="preserve"> </w:t>
      </w:r>
      <w:r w:rsidRPr="0071774C">
        <w:t>also</w:t>
      </w:r>
      <w:r>
        <w:t xml:space="preserve"> </w:t>
      </w:r>
      <w:r w:rsidRPr="0071774C">
        <w:t>collected,</w:t>
      </w:r>
      <w:r>
        <w:t xml:space="preserve"> </w:t>
      </w:r>
      <w:r w:rsidRPr="0071774C">
        <w:t>some</w:t>
      </w:r>
      <w:r>
        <w:t xml:space="preserve"> </w:t>
      </w:r>
      <w:r w:rsidRPr="0071774C">
        <w:t>of</w:t>
      </w:r>
      <w:r>
        <w:t xml:space="preserve"> </w:t>
      </w:r>
      <w:r w:rsidRPr="0071774C">
        <w:t>which</w:t>
      </w:r>
      <w:r>
        <w:t xml:space="preserve"> </w:t>
      </w:r>
      <w:r w:rsidRPr="0071774C">
        <w:t>did</w:t>
      </w:r>
      <w:r>
        <w:t xml:space="preserve"> </w:t>
      </w:r>
      <w:r w:rsidRPr="0071774C">
        <w:t>not</w:t>
      </w:r>
      <w:r>
        <w:t xml:space="preserve"> </w:t>
      </w:r>
      <w:r w:rsidRPr="0071774C">
        <w:t>easily</w:t>
      </w:r>
      <w:r>
        <w:t xml:space="preserve"> </w:t>
      </w:r>
      <w:r w:rsidRPr="0071774C">
        <w:t>correspond</w:t>
      </w:r>
      <w:r>
        <w:t xml:space="preserve"> </w:t>
      </w:r>
      <w:r w:rsidRPr="0071774C">
        <w:t>to</w:t>
      </w:r>
      <w:r>
        <w:t xml:space="preserve"> </w:t>
      </w:r>
      <w:r w:rsidRPr="0071774C">
        <w:t>specific</w:t>
      </w:r>
      <w:r>
        <w:t xml:space="preserve"> </w:t>
      </w:r>
      <w:r w:rsidRPr="0071774C">
        <w:t>measures</w:t>
      </w:r>
      <w:r>
        <w:t xml:space="preserve"> </w:t>
      </w:r>
      <w:r w:rsidRPr="0071774C">
        <w:t>but</w:t>
      </w:r>
      <w:r>
        <w:t xml:space="preserve"> </w:t>
      </w:r>
      <w:r w:rsidRPr="0071774C">
        <w:t>proved</w:t>
      </w:r>
      <w:r>
        <w:t xml:space="preserve"> </w:t>
      </w:r>
      <w:r w:rsidRPr="0071774C">
        <w:t>useful</w:t>
      </w:r>
      <w:r>
        <w:t xml:space="preserve"> </w:t>
      </w:r>
      <w:r w:rsidRPr="0071774C">
        <w:t>in</w:t>
      </w:r>
      <w:r>
        <w:t xml:space="preserve"> </w:t>
      </w:r>
      <w:r w:rsidRPr="0071774C">
        <w:t>contributing</w:t>
      </w:r>
      <w:r>
        <w:t xml:space="preserve"> </w:t>
      </w:r>
      <w:r w:rsidRPr="0071774C">
        <w:t>to</w:t>
      </w:r>
      <w:r>
        <w:t xml:space="preserve"> </w:t>
      </w:r>
      <w:r w:rsidRPr="0071774C">
        <w:t>the</w:t>
      </w:r>
      <w:r>
        <w:t xml:space="preserve"> </w:t>
      </w:r>
      <w:r w:rsidRPr="0071774C">
        <w:t>overall</w:t>
      </w:r>
      <w:r>
        <w:t xml:space="preserve"> </w:t>
      </w:r>
      <w:r w:rsidRPr="0071774C">
        <w:t>domain</w:t>
      </w:r>
      <w:r>
        <w:t xml:space="preserve"> </w:t>
      </w:r>
      <w:r w:rsidRPr="0071774C">
        <w:t>findings.</w:t>
      </w:r>
    </w:p>
    <w:p w14:paraId="63688F8E" w14:textId="148AD6AC" w:rsidR="002C2EC7" w:rsidRDefault="002C2EC7" w:rsidP="00790783">
      <w:pPr>
        <w:pStyle w:val="BodyText"/>
      </w:pPr>
      <w:r w:rsidRPr="0071774C">
        <w:t>This</w:t>
      </w:r>
      <w:r>
        <w:t xml:space="preserve"> </w:t>
      </w:r>
      <w:r w:rsidRPr="0071774C">
        <w:t>gradual</w:t>
      </w:r>
      <w:r>
        <w:t xml:space="preserve"> </w:t>
      </w:r>
      <w:r w:rsidRPr="0071774C">
        <w:t>refinement</w:t>
      </w:r>
      <w:r>
        <w:t xml:space="preserve"> </w:t>
      </w:r>
      <w:r w:rsidRPr="0071774C">
        <w:t>of</w:t>
      </w:r>
      <w:r>
        <w:t xml:space="preserve"> </w:t>
      </w:r>
      <w:r w:rsidRPr="0071774C">
        <w:t>the</w:t>
      </w:r>
      <w:r>
        <w:t xml:space="preserve"> </w:t>
      </w:r>
      <w:r w:rsidRPr="0071774C">
        <w:t>methodology</w:t>
      </w:r>
      <w:r>
        <w:t xml:space="preserve"> </w:t>
      </w:r>
      <w:r w:rsidRPr="0071774C">
        <w:t>reflects</w:t>
      </w:r>
      <w:r>
        <w:t xml:space="preserve"> </w:t>
      </w:r>
      <w:r w:rsidRPr="0071774C">
        <w:t>the</w:t>
      </w:r>
      <w:r>
        <w:t xml:space="preserve"> </w:t>
      </w:r>
      <w:r w:rsidRPr="0071774C">
        <w:t>emerging</w:t>
      </w:r>
      <w:r>
        <w:t xml:space="preserve"> </w:t>
      </w:r>
      <w:r w:rsidRPr="0071774C">
        <w:t>nature</w:t>
      </w:r>
      <w:r>
        <w:t xml:space="preserve"> </w:t>
      </w:r>
      <w:r w:rsidRPr="0071774C">
        <w:t>of</w:t>
      </w:r>
      <w:r>
        <w:t xml:space="preserve"> </w:t>
      </w:r>
      <w:r w:rsidRPr="0071774C">
        <w:t>population-level</w:t>
      </w:r>
      <w:r>
        <w:t xml:space="preserve"> </w:t>
      </w:r>
      <w:r w:rsidRPr="0071774C">
        <w:t>primary</w:t>
      </w:r>
      <w:r>
        <w:t xml:space="preserve"> </w:t>
      </w:r>
      <w:r w:rsidRPr="0071774C">
        <w:t>prevention</w:t>
      </w:r>
      <w:r>
        <w:t xml:space="preserve"> </w:t>
      </w:r>
      <w:r w:rsidRPr="0071774C">
        <w:t>monitoring.</w:t>
      </w:r>
      <w:r>
        <w:t xml:space="preserve"> </w:t>
      </w:r>
      <w:r w:rsidRPr="0071774C">
        <w:t>This</w:t>
      </w:r>
      <w:r>
        <w:t xml:space="preserve"> </w:t>
      </w:r>
      <w:r w:rsidRPr="0071774C">
        <w:t>section</w:t>
      </w:r>
      <w:r>
        <w:t xml:space="preserve"> </w:t>
      </w:r>
      <w:r w:rsidRPr="0071774C">
        <w:t>provides</w:t>
      </w:r>
      <w:r>
        <w:t xml:space="preserve"> </w:t>
      </w:r>
      <w:r w:rsidRPr="0071774C">
        <w:t>a</w:t>
      </w:r>
      <w:r>
        <w:rPr>
          <w:color w:val="D13438"/>
        </w:rPr>
        <w:t xml:space="preserve"> </w:t>
      </w:r>
      <w:r w:rsidRPr="0071774C">
        <w:t>starting</w:t>
      </w:r>
      <w:r>
        <w:t xml:space="preserve"> </w:t>
      </w:r>
      <w:r w:rsidRPr="0071774C">
        <w:t>point</w:t>
      </w:r>
      <w:r>
        <w:t xml:space="preserve"> </w:t>
      </w:r>
      <w:r w:rsidRPr="0071774C">
        <w:t>and</w:t>
      </w:r>
      <w:r>
        <w:t xml:space="preserve"> </w:t>
      </w:r>
      <w:r w:rsidRPr="0071774C">
        <w:t>exemplar</w:t>
      </w:r>
      <w:r>
        <w:t xml:space="preserve"> </w:t>
      </w:r>
      <w:r w:rsidRPr="0071774C">
        <w:t>for</w:t>
      </w:r>
      <w:r>
        <w:t xml:space="preserve"> </w:t>
      </w:r>
      <w:r w:rsidRPr="0071774C">
        <w:t>how</w:t>
      </w:r>
      <w:r>
        <w:t xml:space="preserve"> </w:t>
      </w:r>
      <w:r w:rsidRPr="0071774C">
        <w:t>monitoring</w:t>
      </w:r>
      <w:r>
        <w:t xml:space="preserve"> </w:t>
      </w:r>
      <w:r w:rsidRPr="0071774C">
        <w:t>change</w:t>
      </w:r>
      <w:r>
        <w:t xml:space="preserve"> </w:t>
      </w:r>
      <w:r w:rsidRPr="0071774C">
        <w:t>towards</w:t>
      </w:r>
      <w:r>
        <w:t xml:space="preserve"> </w:t>
      </w:r>
      <w:r w:rsidRPr="0071774C">
        <w:t>process</w:t>
      </w:r>
      <w:r>
        <w:t xml:space="preserve"> </w:t>
      </w:r>
      <w:r w:rsidRPr="0071774C">
        <w:t>or</w:t>
      </w:r>
      <w:r>
        <w:t xml:space="preserve"> </w:t>
      </w:r>
      <w:r w:rsidRPr="0071774C">
        <w:t>infrastructure</w:t>
      </w:r>
      <w:r>
        <w:t xml:space="preserve"> </w:t>
      </w:r>
      <w:r w:rsidRPr="0071774C">
        <w:t>measures</w:t>
      </w:r>
      <w:r>
        <w:t xml:space="preserve"> </w:t>
      </w:r>
      <w:r w:rsidRPr="0071774C">
        <w:t>can</w:t>
      </w:r>
      <w:r>
        <w:t xml:space="preserve"> </w:t>
      </w:r>
      <w:r w:rsidRPr="0071774C">
        <w:t>be</w:t>
      </w:r>
      <w:r>
        <w:t xml:space="preserve"> </w:t>
      </w:r>
      <w:r w:rsidRPr="0071774C">
        <w:t>achieved</w:t>
      </w:r>
      <w:r>
        <w:t xml:space="preserve"> </w:t>
      </w:r>
      <w:r w:rsidRPr="0071774C">
        <w:t>and</w:t>
      </w:r>
      <w:r>
        <w:t xml:space="preserve"> </w:t>
      </w:r>
      <w:r w:rsidRPr="0071774C">
        <w:t>is</w:t>
      </w:r>
      <w:r>
        <w:t xml:space="preserve"> </w:t>
      </w:r>
      <w:r w:rsidRPr="0071774C">
        <w:t>intended</w:t>
      </w:r>
      <w:r>
        <w:t xml:space="preserve"> </w:t>
      </w:r>
      <w:r w:rsidRPr="0071774C">
        <w:t>to</w:t>
      </w:r>
      <w:r>
        <w:t xml:space="preserve"> </w:t>
      </w:r>
      <w:r w:rsidRPr="0071774C">
        <w:t>support</w:t>
      </w:r>
      <w:r>
        <w:t xml:space="preserve"> </w:t>
      </w:r>
      <w:r w:rsidRPr="0071774C">
        <w:t>the</w:t>
      </w:r>
      <w:r>
        <w:t xml:space="preserve"> </w:t>
      </w:r>
      <w:r w:rsidRPr="0071774C">
        <w:t>ongoing</w:t>
      </w:r>
      <w:r>
        <w:t xml:space="preserve"> </w:t>
      </w:r>
      <w:r w:rsidRPr="0071774C">
        <w:t>refinement</w:t>
      </w:r>
      <w:r>
        <w:t xml:space="preserve"> </w:t>
      </w:r>
      <w:r w:rsidRPr="0071774C">
        <w:t>and</w:t>
      </w:r>
      <w:r>
        <w:t xml:space="preserve"> </w:t>
      </w:r>
      <w:r w:rsidRPr="0071774C">
        <w:t>evolution</w:t>
      </w:r>
      <w:r>
        <w:t xml:space="preserve"> </w:t>
      </w:r>
      <w:r w:rsidRPr="0071774C">
        <w:t>of</w:t>
      </w:r>
      <w:r>
        <w:t xml:space="preserve"> </w:t>
      </w:r>
      <w:r w:rsidRPr="0071774C">
        <w:t>infrastructure</w:t>
      </w:r>
      <w:r>
        <w:t xml:space="preserve"> </w:t>
      </w:r>
      <w:r w:rsidRPr="0071774C">
        <w:t>measures</w:t>
      </w:r>
      <w:r>
        <w:t xml:space="preserve"> </w:t>
      </w:r>
      <w:r w:rsidRPr="0071774C">
        <w:t>that</w:t>
      </w:r>
      <w:r>
        <w:t xml:space="preserve"> </w:t>
      </w:r>
      <w:r w:rsidRPr="0071774C">
        <w:t>can</w:t>
      </w:r>
      <w:r>
        <w:t xml:space="preserve"> </w:t>
      </w:r>
      <w:r w:rsidRPr="0071774C">
        <w:t>guide</w:t>
      </w:r>
      <w:r>
        <w:t xml:space="preserve"> </w:t>
      </w:r>
      <w:r w:rsidRPr="0071774C">
        <w:t>monitoring</w:t>
      </w:r>
      <w:r>
        <w:t xml:space="preserve"> </w:t>
      </w:r>
      <w:r w:rsidRPr="0071774C">
        <w:t>into</w:t>
      </w:r>
      <w:r>
        <w:t xml:space="preserve"> </w:t>
      </w:r>
      <w:r w:rsidRPr="0071774C">
        <w:t>the</w:t>
      </w:r>
      <w:r>
        <w:t xml:space="preserve"> </w:t>
      </w:r>
      <w:r w:rsidRPr="0071774C">
        <w:t>future.</w:t>
      </w:r>
      <w:r>
        <w:t xml:space="preserve"> </w:t>
      </w:r>
      <w:r w:rsidRPr="00A62D44">
        <w:t>This</w:t>
      </w:r>
      <w:r>
        <w:t xml:space="preserve"> </w:t>
      </w:r>
      <w:r w:rsidRPr="00A62D44">
        <w:t>pragmatic</w:t>
      </w:r>
      <w:r>
        <w:t xml:space="preserve"> </w:t>
      </w:r>
      <w:r w:rsidRPr="00A62D44">
        <w:t>mixed</w:t>
      </w:r>
      <w:r>
        <w:t xml:space="preserve"> </w:t>
      </w:r>
      <w:r w:rsidRPr="00A62D44">
        <w:t>method</w:t>
      </w:r>
      <w:r>
        <w:t xml:space="preserve"> </w:t>
      </w:r>
      <w:r w:rsidRPr="00A62D44">
        <w:t>research</w:t>
      </w:r>
      <w:r>
        <w:t xml:space="preserve"> </w:t>
      </w:r>
      <w:r w:rsidRPr="00A62D44">
        <w:t>has</w:t>
      </w:r>
      <w:r>
        <w:t xml:space="preserve"> </w:t>
      </w:r>
      <w:r w:rsidRPr="00A62D44">
        <w:t>used</w:t>
      </w:r>
      <w:r>
        <w:t xml:space="preserve"> </w:t>
      </w:r>
      <w:r w:rsidRPr="00A62D44">
        <w:t>a</w:t>
      </w:r>
      <w:r>
        <w:t xml:space="preserve"> </w:t>
      </w:r>
      <w:r w:rsidRPr="00A62D44">
        <w:t>hybrid</w:t>
      </w:r>
      <w:r>
        <w:t xml:space="preserve"> </w:t>
      </w:r>
      <w:r w:rsidRPr="00A62D44">
        <w:t>approach</w:t>
      </w:r>
      <w:r>
        <w:t xml:space="preserve"> </w:t>
      </w:r>
      <w:r w:rsidRPr="00A62D44">
        <w:t>to</w:t>
      </w:r>
      <w:r>
        <w:t xml:space="preserve"> </w:t>
      </w:r>
      <w:r w:rsidRPr="00A62D44">
        <w:t>integrate</w:t>
      </w:r>
      <w:r>
        <w:t xml:space="preserve"> </w:t>
      </w:r>
      <w:r w:rsidRPr="00A62D44">
        <w:t>data</w:t>
      </w:r>
      <w:r>
        <w:t>-</w:t>
      </w:r>
      <w:r w:rsidRPr="00A62D44">
        <w:t>driven</w:t>
      </w:r>
      <w:r>
        <w:t xml:space="preserve"> </w:t>
      </w:r>
      <w:r w:rsidRPr="00A62D44">
        <w:t>and</w:t>
      </w:r>
      <w:r>
        <w:t xml:space="preserve"> </w:t>
      </w:r>
      <w:r w:rsidRPr="00A62D44">
        <w:t>theory</w:t>
      </w:r>
      <w:r>
        <w:t>-</w:t>
      </w:r>
      <w:r w:rsidRPr="00A62D44">
        <w:t>driven</w:t>
      </w:r>
      <w:r>
        <w:t xml:space="preserve"> </w:t>
      </w:r>
      <w:r w:rsidRPr="00A62D44">
        <w:t>analysis.</w:t>
      </w:r>
      <w:r>
        <w:t xml:space="preserve"> </w:t>
      </w:r>
      <w:r w:rsidRPr="00A62D44">
        <w:t>The</w:t>
      </w:r>
      <w:r>
        <w:t xml:space="preserve"> </w:t>
      </w:r>
      <w:r w:rsidRPr="00A62D44">
        <w:t>summaries</w:t>
      </w:r>
      <w:r>
        <w:t xml:space="preserve"> </w:t>
      </w:r>
      <w:r w:rsidRPr="00A62D44">
        <w:t>have</w:t>
      </w:r>
      <w:r>
        <w:t xml:space="preserve"> </w:t>
      </w:r>
      <w:r w:rsidRPr="00A62D44">
        <w:t>qualitatively</w:t>
      </w:r>
      <w:r>
        <w:t xml:space="preserve"> </w:t>
      </w:r>
      <w:r w:rsidRPr="00A62D44">
        <w:t>analysed</w:t>
      </w:r>
      <w:r>
        <w:t xml:space="preserve"> </w:t>
      </w:r>
      <w:r w:rsidRPr="00A62D44">
        <w:t>findings</w:t>
      </w:r>
      <w:r>
        <w:t xml:space="preserve"> </w:t>
      </w:r>
      <w:r w:rsidRPr="00A62D44">
        <w:t>drawn</w:t>
      </w:r>
      <w:r>
        <w:t xml:space="preserve"> </w:t>
      </w:r>
      <w:r w:rsidRPr="00A62D44">
        <w:t>together</w:t>
      </w:r>
      <w:r>
        <w:t xml:space="preserve"> </w:t>
      </w:r>
      <w:r w:rsidRPr="00A62D44">
        <w:t>from</w:t>
      </w:r>
      <w:r>
        <w:t xml:space="preserve"> </w:t>
      </w:r>
      <w:r w:rsidRPr="00A62D44">
        <w:t>a</w:t>
      </w:r>
      <w:r>
        <w:t xml:space="preserve"> </w:t>
      </w:r>
      <w:r w:rsidRPr="00A62D44">
        <w:t>combination</w:t>
      </w:r>
      <w:r>
        <w:t xml:space="preserve"> </w:t>
      </w:r>
      <w:r w:rsidRPr="00A62D44">
        <w:t>of</w:t>
      </w:r>
      <w:r>
        <w:t xml:space="preserve"> </w:t>
      </w:r>
      <w:r w:rsidRPr="00A62D44">
        <w:t>primary</w:t>
      </w:r>
      <w:r>
        <w:t xml:space="preserve"> </w:t>
      </w:r>
      <w:r w:rsidRPr="00A62D44">
        <w:t>research</w:t>
      </w:r>
      <w:r>
        <w:t xml:space="preserve"> </w:t>
      </w:r>
      <w:r w:rsidRPr="00A62D44">
        <w:t>collected</w:t>
      </w:r>
      <w:r>
        <w:t xml:space="preserve"> </w:t>
      </w:r>
      <w:r w:rsidRPr="00A62D44">
        <w:t>through</w:t>
      </w:r>
      <w:r>
        <w:t xml:space="preserve"> </w:t>
      </w:r>
      <w:r w:rsidRPr="00A62D44">
        <w:t>a</w:t>
      </w:r>
      <w:r>
        <w:t xml:space="preserve"> </w:t>
      </w:r>
      <w:r w:rsidR="005E05B0">
        <w:t>research</w:t>
      </w:r>
      <w:r>
        <w:t xml:space="preserve"> </w:t>
      </w:r>
      <w:r w:rsidRPr="00A62D44">
        <w:t>survey</w:t>
      </w:r>
      <w:r>
        <w:t xml:space="preserve"> </w:t>
      </w:r>
      <w:r w:rsidRPr="00A62D44">
        <w:t>and</w:t>
      </w:r>
      <w:r>
        <w:t xml:space="preserve"> </w:t>
      </w:r>
      <w:r w:rsidRPr="00A62D44">
        <w:t>two</w:t>
      </w:r>
      <w:r>
        <w:t xml:space="preserve"> </w:t>
      </w:r>
      <w:r w:rsidRPr="00A62D44">
        <w:t>semi-structured</w:t>
      </w:r>
      <w:r>
        <w:t xml:space="preserve"> </w:t>
      </w:r>
      <w:r w:rsidRPr="00A62D44">
        <w:t>interviews,</w:t>
      </w:r>
      <w:r>
        <w:t xml:space="preserve"> </w:t>
      </w:r>
      <w:r w:rsidRPr="00A62D44">
        <w:t>rapid</w:t>
      </w:r>
      <w:r>
        <w:t xml:space="preserve"> </w:t>
      </w:r>
      <w:r w:rsidRPr="00A62D44">
        <w:t>content</w:t>
      </w:r>
      <w:r>
        <w:t xml:space="preserve"> </w:t>
      </w:r>
      <w:r w:rsidRPr="00A62D44">
        <w:t>analysis</w:t>
      </w:r>
      <w:r>
        <w:t xml:space="preserve"> </w:t>
      </w:r>
      <w:r w:rsidRPr="00A62D44">
        <w:t>and</w:t>
      </w:r>
      <w:r>
        <w:t xml:space="preserve"> </w:t>
      </w:r>
      <w:r w:rsidRPr="00A62D44">
        <w:t>desktop</w:t>
      </w:r>
      <w:r>
        <w:t xml:space="preserve"> </w:t>
      </w:r>
      <w:r w:rsidRPr="00A62D44">
        <w:t>scans,</w:t>
      </w:r>
      <w:r>
        <w:t xml:space="preserve"> </w:t>
      </w:r>
      <w:r w:rsidRPr="00A62D44">
        <w:t>combined</w:t>
      </w:r>
      <w:r>
        <w:t xml:space="preserve"> </w:t>
      </w:r>
      <w:r w:rsidRPr="00A62D44">
        <w:t>with</w:t>
      </w:r>
      <w:r>
        <w:t xml:space="preserve"> </w:t>
      </w:r>
      <w:r w:rsidRPr="00A62D44">
        <w:t>secondary</w:t>
      </w:r>
      <w:r>
        <w:t xml:space="preserve"> </w:t>
      </w:r>
      <w:r w:rsidRPr="00A62D44">
        <w:t>data</w:t>
      </w:r>
      <w:r>
        <w:t xml:space="preserve"> </w:t>
      </w:r>
      <w:r w:rsidRPr="00A62D44">
        <w:t>from</w:t>
      </w:r>
      <w:r>
        <w:t xml:space="preserve"> </w:t>
      </w:r>
      <w:r w:rsidRPr="00A62D44">
        <w:t>a</w:t>
      </w:r>
      <w:r>
        <w:t xml:space="preserve"> </w:t>
      </w:r>
      <w:r w:rsidRPr="00A62D44">
        <w:t>variety</w:t>
      </w:r>
      <w:r>
        <w:t xml:space="preserve"> </w:t>
      </w:r>
      <w:r w:rsidRPr="00A62D44">
        <w:t>of</w:t>
      </w:r>
      <w:r>
        <w:t xml:space="preserve"> </w:t>
      </w:r>
      <w:r w:rsidRPr="00A62D44">
        <w:t>sources</w:t>
      </w:r>
      <w:r>
        <w:t xml:space="preserve">. </w:t>
      </w:r>
      <w:r w:rsidRPr="0071774C">
        <w:t>An</w:t>
      </w:r>
      <w:r w:rsidR="006C6CFA">
        <w:t> </w:t>
      </w:r>
      <w:r w:rsidRPr="0071774C">
        <w:t>overview</w:t>
      </w:r>
      <w:r>
        <w:t xml:space="preserve"> </w:t>
      </w:r>
      <w:r w:rsidRPr="0071774C">
        <w:t>of</w:t>
      </w:r>
      <w:r>
        <w:t xml:space="preserve"> </w:t>
      </w:r>
      <w:r w:rsidRPr="0071774C">
        <w:t>the</w:t>
      </w:r>
      <w:r>
        <w:t xml:space="preserve"> </w:t>
      </w:r>
      <w:r w:rsidRPr="0071774C">
        <w:t>methods</w:t>
      </w:r>
      <w:r>
        <w:t xml:space="preserve"> </w:t>
      </w:r>
      <w:r w:rsidRPr="0071774C">
        <w:t>used</w:t>
      </w:r>
      <w:r>
        <w:t xml:space="preserve"> </w:t>
      </w:r>
      <w:r w:rsidRPr="0071774C">
        <w:t>for</w:t>
      </w:r>
      <w:r>
        <w:t xml:space="preserve"> </w:t>
      </w:r>
      <w:r w:rsidRPr="0071774C">
        <w:t>each</w:t>
      </w:r>
      <w:r>
        <w:t xml:space="preserve"> </w:t>
      </w:r>
      <w:r w:rsidRPr="0071774C">
        <w:t>domain</w:t>
      </w:r>
      <w:r>
        <w:t xml:space="preserve"> </w:t>
      </w:r>
      <w:r w:rsidRPr="0071774C">
        <w:t>in</w:t>
      </w:r>
      <w:r>
        <w:t xml:space="preserve"> </w:t>
      </w:r>
      <w:r w:rsidR="0044154C">
        <w:t>S</w:t>
      </w:r>
      <w:r w:rsidRPr="0071774C">
        <w:t>ection</w:t>
      </w:r>
      <w:r>
        <w:t xml:space="preserve"> </w:t>
      </w:r>
      <w:r w:rsidR="0044154C">
        <w:t>1</w:t>
      </w:r>
      <w:r>
        <w:t xml:space="preserve"> </w:t>
      </w:r>
      <w:r w:rsidRPr="0071774C">
        <w:t>is</w:t>
      </w:r>
      <w:r>
        <w:t xml:space="preserve"> </w:t>
      </w:r>
      <w:r w:rsidRPr="0071774C">
        <w:t>provided</w:t>
      </w:r>
      <w:r>
        <w:t xml:space="preserve"> </w:t>
      </w:r>
      <w:r w:rsidRPr="0071774C">
        <w:t>in</w:t>
      </w:r>
      <w:r>
        <w:t xml:space="preserve"> </w:t>
      </w:r>
      <w:r w:rsidRPr="0071774C">
        <w:t>Appendix</w:t>
      </w:r>
      <w:r>
        <w:t xml:space="preserve"> </w:t>
      </w:r>
      <w:r w:rsidRPr="0071774C">
        <w:t>A</w:t>
      </w:r>
      <w:r>
        <w:t>: Methodology and limitations</w:t>
      </w:r>
      <w:r w:rsidRPr="0071774C">
        <w:t>.</w:t>
      </w:r>
    </w:p>
    <w:p w14:paraId="7989EEF2" w14:textId="77777777" w:rsidR="002C2EC7" w:rsidRPr="00FB7F22" w:rsidRDefault="002C2EC7" w:rsidP="00790783">
      <w:pPr>
        <w:pStyle w:val="Heading3"/>
        <w:rPr>
          <w:rStyle w:val="OWCharacterCharcoal"/>
        </w:rPr>
      </w:pPr>
      <w:bookmarkStart w:id="20" w:name="_Toc41559709"/>
      <w:bookmarkStart w:id="21" w:name="_Toc55053304"/>
      <w:r w:rsidRPr="00FB7F22">
        <w:rPr>
          <w:rStyle w:val="OWCharacterCharcoal"/>
        </w:rPr>
        <w:lastRenderedPageBreak/>
        <w:t>Domain 1: Political and civil society leadership</w:t>
      </w:r>
      <w:bookmarkEnd w:id="20"/>
      <w:r w:rsidRPr="00D8674A">
        <w:rPr>
          <w:rStyle w:val="OWSuperscriptCharcoallarge"/>
        </w:rPr>
        <w:footnoteReference w:id="2"/>
      </w:r>
      <w:bookmarkEnd w:id="21"/>
    </w:p>
    <w:p w14:paraId="3BA0A583" w14:textId="0F8D9D8E" w:rsidR="002C2EC7" w:rsidRDefault="002C2EC7" w:rsidP="00790783">
      <w:pPr>
        <w:pStyle w:val="BodyText"/>
      </w:pPr>
      <w:r w:rsidRPr="001162C4">
        <w:rPr>
          <w:rStyle w:val="Emphasis"/>
        </w:rPr>
        <w:t>Change the story</w:t>
      </w:r>
      <w:r w:rsidRPr="0042228B">
        <w:rPr>
          <w:rStyle w:val="EndnoteReference"/>
        </w:rPr>
        <w:endnoteReference w:id="17"/>
      </w:r>
      <w:r w:rsidRPr="001162C4">
        <w:t xml:space="preserve"> </w:t>
      </w:r>
      <w:r w:rsidRPr="0071774C">
        <w:t>states</w:t>
      </w:r>
      <w:r>
        <w:t xml:space="preserve"> </w:t>
      </w:r>
      <w:r w:rsidRPr="0071774C">
        <w:t>that</w:t>
      </w:r>
      <w:r>
        <w:t xml:space="preserve"> </w:t>
      </w:r>
      <w:r w:rsidRPr="0071774C">
        <w:t>everyone</w:t>
      </w:r>
      <w:r>
        <w:t xml:space="preserve"> </w:t>
      </w:r>
      <w:r w:rsidRPr="0071774C">
        <w:t>has</w:t>
      </w:r>
      <w:r>
        <w:t xml:space="preserve"> </w:t>
      </w:r>
      <w:r w:rsidRPr="0071774C">
        <w:t>a</w:t>
      </w:r>
      <w:r>
        <w:t xml:space="preserve"> </w:t>
      </w:r>
      <w:r w:rsidRPr="0071774C">
        <w:t>part</w:t>
      </w:r>
      <w:r>
        <w:t xml:space="preserve"> </w:t>
      </w:r>
      <w:r w:rsidRPr="0071774C">
        <w:t>to</w:t>
      </w:r>
      <w:r>
        <w:t xml:space="preserve"> </w:t>
      </w:r>
      <w:r w:rsidRPr="0071774C">
        <w:t>play</w:t>
      </w:r>
      <w:r>
        <w:t xml:space="preserve"> </w:t>
      </w:r>
      <w:r w:rsidRPr="0071774C">
        <w:t>in</w:t>
      </w:r>
      <w:r>
        <w:t xml:space="preserve"> </w:t>
      </w:r>
      <w:r w:rsidRPr="0071774C">
        <w:t>leading</w:t>
      </w:r>
      <w:r>
        <w:t xml:space="preserve"> </w:t>
      </w:r>
      <w:r w:rsidRPr="0071774C">
        <w:t>the</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in</w:t>
      </w:r>
      <w:r>
        <w:t xml:space="preserve"> </w:t>
      </w:r>
      <w:r w:rsidRPr="0071774C">
        <w:t>Australia</w:t>
      </w:r>
      <w:r>
        <w:t xml:space="preserve"> </w:t>
      </w:r>
      <w:r w:rsidRPr="0071774C">
        <w:t>–</w:t>
      </w:r>
      <w:r>
        <w:t xml:space="preserve"> </w:t>
      </w:r>
      <w:r w:rsidRPr="0071774C">
        <w:t>governments,</w:t>
      </w:r>
      <w:r>
        <w:t xml:space="preserve"> </w:t>
      </w:r>
      <w:r w:rsidRPr="0071774C">
        <w:t>organisations,</w:t>
      </w:r>
      <w:r>
        <w:t xml:space="preserve"> </w:t>
      </w:r>
      <w:r w:rsidRPr="0071774C">
        <w:t>sectors,</w:t>
      </w:r>
      <w:r>
        <w:t xml:space="preserve"> </w:t>
      </w:r>
      <w:r w:rsidRPr="0071774C">
        <w:t>civil</w:t>
      </w:r>
      <w:r>
        <w:t xml:space="preserve"> </w:t>
      </w:r>
      <w:r w:rsidRPr="0071774C">
        <w:t>society</w:t>
      </w:r>
      <w:r>
        <w:t xml:space="preserve"> </w:t>
      </w:r>
      <w:r w:rsidRPr="0071774C">
        <w:t>and</w:t>
      </w:r>
      <w:r w:rsidR="00D8674A">
        <w:t> </w:t>
      </w:r>
      <w:r w:rsidRPr="0071774C">
        <w:t>individuals.</w:t>
      </w:r>
      <w:r>
        <w:t xml:space="preserve"> </w:t>
      </w:r>
      <w:r w:rsidRPr="0071774C">
        <w:t>Collectively,</w:t>
      </w:r>
      <w:r>
        <w:t xml:space="preserve"> </w:t>
      </w:r>
      <w:r w:rsidRPr="0071774C">
        <w:t>leadership</w:t>
      </w:r>
      <w:r>
        <w:t xml:space="preserve"> </w:t>
      </w:r>
      <w:r w:rsidRPr="0071774C">
        <w:t>by</w:t>
      </w:r>
      <w:r>
        <w:t xml:space="preserve"> </w:t>
      </w:r>
      <w:r w:rsidRPr="0071774C">
        <w:t>each</w:t>
      </w:r>
      <w:r>
        <w:t xml:space="preserve"> </w:t>
      </w:r>
      <w:r w:rsidRPr="0071774C">
        <w:t>of</w:t>
      </w:r>
      <w:r>
        <w:t xml:space="preserve"> </w:t>
      </w:r>
      <w:r w:rsidRPr="0071774C">
        <w:t>these</w:t>
      </w:r>
      <w:r>
        <w:t xml:space="preserve"> </w:t>
      </w:r>
      <w:r w:rsidRPr="0071774C">
        <w:t>stakeholders</w:t>
      </w:r>
      <w:r>
        <w:t xml:space="preserve"> </w:t>
      </w:r>
      <w:r w:rsidRPr="0071774C">
        <w:t>creates</w:t>
      </w:r>
      <w:r>
        <w:t xml:space="preserve"> </w:t>
      </w:r>
      <w:r w:rsidRPr="0071774C">
        <w:t>an</w:t>
      </w:r>
      <w:r>
        <w:t xml:space="preserve"> </w:t>
      </w:r>
      <w:r w:rsidRPr="0071774C">
        <w:t>enabling</w:t>
      </w:r>
      <w:r>
        <w:t xml:space="preserve"> </w:t>
      </w:r>
      <w:r w:rsidRPr="0071774C">
        <w:t>environment</w:t>
      </w:r>
      <w:r>
        <w:t xml:space="preserve"> </w:t>
      </w:r>
      <w:r w:rsidRPr="0071774C">
        <w:t>that</w:t>
      </w:r>
      <w:r>
        <w:t xml:space="preserve"> </w:t>
      </w:r>
      <w:r w:rsidRPr="0071774C">
        <w:t>encourages</w:t>
      </w:r>
      <w:r>
        <w:t xml:space="preserve"> </w:t>
      </w:r>
      <w:r w:rsidRPr="0071774C">
        <w:t>and</w:t>
      </w:r>
      <w:r>
        <w:t xml:space="preserve"> </w:t>
      </w:r>
      <w:r w:rsidRPr="0071774C">
        <w:t>supports</w:t>
      </w:r>
      <w:r>
        <w:t xml:space="preserve"> </w:t>
      </w:r>
      <w:r w:rsidRPr="0071774C">
        <w:t>change</w:t>
      </w:r>
      <w:r>
        <w:t xml:space="preserve"> </w:t>
      </w:r>
      <w:r w:rsidRPr="0071774C">
        <w:t>and</w:t>
      </w:r>
      <w:r>
        <w:t xml:space="preserve"> </w:t>
      </w:r>
      <w:r w:rsidRPr="0071774C">
        <w:t>ensures</w:t>
      </w:r>
      <w:r>
        <w:t xml:space="preserve"> </w:t>
      </w:r>
      <w:r w:rsidRPr="0071774C">
        <w:t>it</w:t>
      </w:r>
      <w:r>
        <w:t xml:space="preserve"> is sustained </w:t>
      </w:r>
      <w:r w:rsidRPr="0071774C">
        <w:t>over</w:t>
      </w:r>
      <w:r>
        <w:t xml:space="preserve"> </w:t>
      </w:r>
      <w:r w:rsidRPr="0071774C">
        <w:t>time.</w:t>
      </w:r>
      <w:r>
        <w:t xml:space="preserve"> </w:t>
      </w:r>
      <w:r w:rsidRPr="0071774C">
        <w:t>This</w:t>
      </w:r>
      <w:r>
        <w:t xml:space="preserve"> </w:t>
      </w:r>
      <w:r w:rsidRPr="0071774C">
        <w:t>leadership</w:t>
      </w:r>
      <w:r>
        <w:rPr>
          <w:color w:val="D13438"/>
        </w:rPr>
        <w:t xml:space="preserve"> </w:t>
      </w:r>
      <w:r w:rsidRPr="0071774C">
        <w:t>helps</w:t>
      </w:r>
      <w:r>
        <w:t xml:space="preserve"> </w:t>
      </w:r>
      <w:r w:rsidRPr="0071774C">
        <w:t>to</w:t>
      </w:r>
      <w:r>
        <w:t xml:space="preserve"> </w:t>
      </w:r>
      <w:r w:rsidRPr="0071774C">
        <w:t>draw</w:t>
      </w:r>
      <w:r>
        <w:t xml:space="preserve"> </w:t>
      </w:r>
      <w:r w:rsidRPr="0071774C">
        <w:t>national</w:t>
      </w:r>
      <w:r>
        <w:t xml:space="preserve"> </w:t>
      </w:r>
      <w:r w:rsidRPr="0071774C">
        <w:t>attention</w:t>
      </w:r>
      <w:r>
        <w:t xml:space="preserve"> </w:t>
      </w:r>
      <w:r w:rsidRPr="0071774C">
        <w:t>to</w:t>
      </w:r>
      <w:r>
        <w:t xml:space="preserve"> </w:t>
      </w:r>
      <w:r w:rsidRPr="0071774C">
        <w:t>the</w:t>
      </w:r>
      <w:r>
        <w:t xml:space="preserve"> </w:t>
      </w:r>
      <w:r w:rsidRPr="0071774C">
        <w:t>importance</w:t>
      </w:r>
      <w:r>
        <w:t xml:space="preserve"> </w:t>
      </w:r>
      <w:r w:rsidRPr="0071774C">
        <w:t>of</w:t>
      </w:r>
      <w:r>
        <w:t xml:space="preserve"> </w:t>
      </w:r>
      <w:r w:rsidRPr="0071774C">
        <w:t>primary</w:t>
      </w:r>
      <w:r>
        <w:t xml:space="preserve"> </w:t>
      </w:r>
      <w:r w:rsidRPr="0071774C">
        <w:t>prevention,</w:t>
      </w:r>
      <w:r>
        <w:t xml:space="preserve"> </w:t>
      </w:r>
      <w:r w:rsidRPr="0071774C">
        <w:t>in</w:t>
      </w:r>
      <w:r w:rsidR="00D8674A">
        <w:t> </w:t>
      </w:r>
      <w:r w:rsidRPr="0071774C">
        <w:t>order</w:t>
      </w:r>
      <w:r>
        <w:t xml:space="preserve"> </w:t>
      </w:r>
      <w:r w:rsidRPr="0071774C">
        <w:t>to</w:t>
      </w:r>
      <w:r>
        <w:t xml:space="preserve"> </w:t>
      </w:r>
      <w:r w:rsidRPr="0071774C">
        <w:t>legitimise,</w:t>
      </w:r>
      <w:r>
        <w:t xml:space="preserve"> </w:t>
      </w:r>
      <w:r w:rsidRPr="0071774C">
        <w:t>support</w:t>
      </w:r>
      <w:r>
        <w:t xml:space="preserve"> </w:t>
      </w:r>
      <w:r w:rsidRPr="0071774C">
        <w:t>and</w:t>
      </w:r>
      <w:r>
        <w:t xml:space="preserve"> </w:t>
      </w:r>
      <w:r w:rsidRPr="0071774C">
        <w:t>motivate</w:t>
      </w:r>
      <w:r>
        <w:t xml:space="preserve"> </w:t>
      </w:r>
      <w:r w:rsidRPr="0071774C">
        <w:t>widespread</w:t>
      </w:r>
      <w:r>
        <w:rPr>
          <w:color w:val="D13438"/>
        </w:rPr>
        <w:t xml:space="preserve"> </w:t>
      </w:r>
      <w:r w:rsidRPr="0071774C">
        <w:t>participation</w:t>
      </w:r>
      <w:r>
        <w:t xml:space="preserve"> </w:t>
      </w:r>
      <w:r w:rsidRPr="0071774C">
        <w:t>by</w:t>
      </w:r>
      <w:r>
        <w:t xml:space="preserve"> </w:t>
      </w:r>
      <w:r w:rsidRPr="0071774C">
        <w:t>a</w:t>
      </w:r>
      <w:r>
        <w:t xml:space="preserve"> </w:t>
      </w:r>
      <w:r w:rsidRPr="0071774C">
        <w:t>range</w:t>
      </w:r>
      <w:r>
        <w:t xml:space="preserve"> </w:t>
      </w:r>
      <w:r w:rsidRPr="0071774C">
        <w:t>of</w:t>
      </w:r>
      <w:r>
        <w:t xml:space="preserve"> </w:t>
      </w:r>
      <w:r w:rsidRPr="0071774C">
        <w:t>stakeholders.</w:t>
      </w:r>
      <w:r>
        <w:t xml:space="preserve"> </w:t>
      </w:r>
      <w:r w:rsidRPr="0071774C">
        <w:t>Research</w:t>
      </w:r>
      <w:r>
        <w:t xml:space="preserve"> </w:t>
      </w:r>
      <w:r w:rsidRPr="0071774C">
        <w:t>has</w:t>
      </w:r>
      <w:r>
        <w:t xml:space="preserve"> </w:t>
      </w:r>
      <w:r w:rsidRPr="0071774C">
        <w:t>shown</w:t>
      </w:r>
      <w:r>
        <w:t xml:space="preserve"> </w:t>
      </w:r>
      <w:r w:rsidRPr="0071774C">
        <w:t>that</w:t>
      </w:r>
      <w:r>
        <w:t xml:space="preserve"> </w:t>
      </w:r>
      <w:r w:rsidRPr="0071774C">
        <w:t>leadership</w:t>
      </w:r>
      <w:r>
        <w:t xml:space="preserve"> </w:t>
      </w:r>
      <w:r w:rsidRPr="0071774C">
        <w:t>skill</w:t>
      </w:r>
      <w:r>
        <w:t xml:space="preserve"> </w:t>
      </w:r>
      <w:r w:rsidRPr="0071774C">
        <w:t>and</w:t>
      </w:r>
      <w:r>
        <w:t xml:space="preserve"> </w:t>
      </w:r>
      <w:r w:rsidRPr="0071774C">
        <w:t>capability</w:t>
      </w:r>
      <w:r>
        <w:t xml:space="preserve"> </w:t>
      </w:r>
      <w:r w:rsidRPr="0071774C">
        <w:t>should</w:t>
      </w:r>
      <w:r>
        <w:t xml:space="preserve"> </w:t>
      </w:r>
      <w:r w:rsidRPr="0071774C">
        <w:t>be</w:t>
      </w:r>
      <w:r>
        <w:t xml:space="preserve"> </w:t>
      </w:r>
      <w:r w:rsidRPr="0071774C">
        <w:t>measured</w:t>
      </w:r>
      <w:r>
        <w:t xml:space="preserve"> </w:t>
      </w:r>
      <w:r w:rsidRPr="0071774C">
        <w:t>by</w:t>
      </w:r>
      <w:r w:rsidR="00851841">
        <w:t> </w:t>
      </w:r>
      <w:r w:rsidRPr="0071774C">
        <w:t>its</w:t>
      </w:r>
      <w:r>
        <w:t xml:space="preserve"> </w:t>
      </w:r>
      <w:r w:rsidRPr="0071774C">
        <w:t>ability</w:t>
      </w:r>
      <w:r>
        <w:t xml:space="preserve"> </w:t>
      </w:r>
      <w:r w:rsidRPr="0071774C">
        <w:t>to</w:t>
      </w:r>
      <w:r>
        <w:t xml:space="preserve"> </w:t>
      </w:r>
      <w:r w:rsidRPr="0071774C">
        <w:t>achieve</w:t>
      </w:r>
      <w:r>
        <w:t xml:space="preserve"> </w:t>
      </w:r>
      <w:r w:rsidRPr="0071774C">
        <w:t>the</w:t>
      </w:r>
      <w:r>
        <w:t xml:space="preserve"> </w:t>
      </w:r>
      <w:r w:rsidRPr="0071774C">
        <w:t>social,</w:t>
      </w:r>
      <w:r>
        <w:t xml:space="preserve"> </w:t>
      </w:r>
      <w:r w:rsidRPr="0071774C">
        <w:t>legal,</w:t>
      </w:r>
      <w:r>
        <w:t xml:space="preserve"> </w:t>
      </w:r>
      <w:r w:rsidRPr="0071774C">
        <w:t>political</w:t>
      </w:r>
      <w:r>
        <w:t xml:space="preserve"> </w:t>
      </w:r>
      <w:r w:rsidRPr="0071774C">
        <w:t>and</w:t>
      </w:r>
      <w:r>
        <w:t xml:space="preserve"> </w:t>
      </w:r>
      <w:r w:rsidRPr="0071774C">
        <w:t>economic</w:t>
      </w:r>
      <w:r>
        <w:t xml:space="preserve"> </w:t>
      </w:r>
      <w:r w:rsidRPr="0071774C">
        <w:t>transformation</w:t>
      </w:r>
      <w:r>
        <w:t xml:space="preserve"> </w:t>
      </w:r>
      <w:r w:rsidRPr="0071774C">
        <w:t>required</w:t>
      </w:r>
      <w:r>
        <w:t xml:space="preserve"> </w:t>
      </w:r>
      <w:r w:rsidRPr="0071774C">
        <w:t>to</w:t>
      </w:r>
      <w:r>
        <w:t xml:space="preserve"> </w:t>
      </w:r>
      <w:r w:rsidRPr="0071774C">
        <w:t>prevent</w:t>
      </w:r>
      <w:r>
        <w:t xml:space="preserve"> </w:t>
      </w:r>
      <w:r w:rsidRPr="0071774C">
        <w:t>violence</w:t>
      </w:r>
      <w:r>
        <w:t xml:space="preserve"> </w:t>
      </w:r>
      <w:r w:rsidRPr="0071774C">
        <w:t>against</w:t>
      </w:r>
      <w:r>
        <w:t xml:space="preserve"> </w:t>
      </w:r>
      <w:r w:rsidRPr="0071774C">
        <w:t>women</w:t>
      </w:r>
      <w:r>
        <w:t>.</w:t>
      </w:r>
      <w:r w:rsidRPr="0071774C">
        <w:rPr>
          <w:rStyle w:val="EndnoteReference"/>
        </w:rPr>
        <w:endnoteReference w:id="18"/>
      </w:r>
      <w:r>
        <w:t xml:space="preserve"> </w:t>
      </w:r>
      <w:r w:rsidRPr="0071774C">
        <w:t>This</w:t>
      </w:r>
      <w:r>
        <w:t xml:space="preserve"> </w:t>
      </w:r>
      <w:r w:rsidRPr="0071774C">
        <w:t>requires</w:t>
      </w:r>
      <w:r>
        <w:t xml:space="preserve"> </w:t>
      </w:r>
      <w:r w:rsidRPr="0071774C">
        <w:t>leaders</w:t>
      </w:r>
      <w:r>
        <w:t xml:space="preserve"> </w:t>
      </w:r>
      <w:r w:rsidRPr="0071774C">
        <w:t>to</w:t>
      </w:r>
      <w:r>
        <w:t xml:space="preserve"> </w:t>
      </w:r>
      <w:r w:rsidRPr="0071774C">
        <w:t>recognise</w:t>
      </w:r>
      <w:r>
        <w:t xml:space="preserve"> </w:t>
      </w:r>
      <w:r w:rsidRPr="0071774C">
        <w:t>and</w:t>
      </w:r>
      <w:r>
        <w:t xml:space="preserve"> </w:t>
      </w:r>
      <w:r w:rsidRPr="0071774C">
        <w:t>reject</w:t>
      </w:r>
      <w:r>
        <w:t xml:space="preserve"> </w:t>
      </w:r>
      <w:r w:rsidRPr="0071774C">
        <w:t>gendered</w:t>
      </w:r>
      <w:r>
        <w:t xml:space="preserve"> </w:t>
      </w:r>
      <w:r w:rsidRPr="0071774C">
        <w:t>power</w:t>
      </w:r>
      <w:r>
        <w:t xml:space="preserve"> </w:t>
      </w:r>
      <w:r w:rsidRPr="0071774C">
        <w:t>relationships,</w:t>
      </w:r>
      <w:r>
        <w:t xml:space="preserve"> </w:t>
      </w:r>
      <w:r w:rsidRPr="0071774C">
        <w:t>and</w:t>
      </w:r>
      <w:r>
        <w:t xml:space="preserve"> </w:t>
      </w:r>
      <w:r w:rsidRPr="0071774C">
        <w:t>act</w:t>
      </w:r>
      <w:r>
        <w:rPr>
          <w:color w:val="D13438"/>
        </w:rPr>
        <w:t xml:space="preserve"> </w:t>
      </w:r>
      <w:r w:rsidRPr="0071774C">
        <w:t>to</w:t>
      </w:r>
      <w:r>
        <w:t xml:space="preserve"> </w:t>
      </w:r>
      <w:r w:rsidRPr="0071774C">
        <w:t>redistribute</w:t>
      </w:r>
      <w:r>
        <w:t xml:space="preserve"> </w:t>
      </w:r>
      <w:r w:rsidRPr="0071774C">
        <w:t>resources,</w:t>
      </w:r>
      <w:r>
        <w:t xml:space="preserve"> </w:t>
      </w:r>
      <w:r w:rsidRPr="0071774C">
        <w:t>power,</w:t>
      </w:r>
      <w:r>
        <w:t xml:space="preserve"> </w:t>
      </w:r>
      <w:r w:rsidRPr="0071774C">
        <w:t>authority</w:t>
      </w:r>
      <w:r>
        <w:t xml:space="preserve"> </w:t>
      </w:r>
      <w:r w:rsidRPr="0071774C">
        <w:t>and</w:t>
      </w:r>
      <w:r>
        <w:t xml:space="preserve"> </w:t>
      </w:r>
      <w:r w:rsidRPr="0071774C">
        <w:t>decision</w:t>
      </w:r>
      <w:r>
        <w:t>-</w:t>
      </w:r>
      <w:r w:rsidRPr="0071774C">
        <w:t>making</w:t>
      </w:r>
      <w:r>
        <w:t xml:space="preserve"> </w:t>
      </w:r>
      <w:r w:rsidRPr="0071774C">
        <w:t>more</w:t>
      </w:r>
      <w:r>
        <w:t xml:space="preserve"> </w:t>
      </w:r>
      <w:r w:rsidRPr="0071774C">
        <w:t>equall</w:t>
      </w:r>
      <w:r w:rsidR="002F720E">
        <w:t>y</w:t>
      </w:r>
      <w:r w:rsidRPr="0071774C">
        <w:t>.</w:t>
      </w:r>
    </w:p>
    <w:p w14:paraId="1CFA6623" w14:textId="2F59E576" w:rsidR="002C2EC7" w:rsidRDefault="002C2EC7" w:rsidP="00790783">
      <w:pPr>
        <w:pStyle w:val="BodyText"/>
      </w:pPr>
      <w:r w:rsidRPr="0071774C">
        <w:t>Many</w:t>
      </w:r>
      <w:r>
        <w:t xml:space="preserve"> </w:t>
      </w:r>
      <w:r w:rsidRPr="0071774C">
        <w:t>of</w:t>
      </w:r>
      <w:r>
        <w:t xml:space="preserve"> </w:t>
      </w:r>
      <w:r w:rsidRPr="0071774C">
        <w:t>the</w:t>
      </w:r>
      <w:r>
        <w:t xml:space="preserve"> </w:t>
      </w:r>
      <w:r w:rsidRPr="0071774C">
        <w:t>measures</w:t>
      </w:r>
      <w:r>
        <w:t xml:space="preserve"> </w:t>
      </w:r>
      <w:r w:rsidRPr="0071774C">
        <w:t>explored</w:t>
      </w:r>
      <w:r>
        <w:t xml:space="preserve"> </w:t>
      </w:r>
      <w:r w:rsidRPr="0071774C">
        <w:t>in</w:t>
      </w:r>
      <w:r>
        <w:t xml:space="preserve"> </w:t>
      </w:r>
      <w:r w:rsidRPr="0071774C">
        <w:t>this</w:t>
      </w:r>
      <w:r>
        <w:t xml:space="preserve"> </w:t>
      </w:r>
      <w:r w:rsidRPr="0071774C">
        <w:t>domain</w:t>
      </w:r>
      <w:r>
        <w:t xml:space="preserve"> </w:t>
      </w:r>
      <w:r w:rsidRPr="0071774C">
        <w:t>focus</w:t>
      </w:r>
      <w:r>
        <w:t xml:space="preserve"> </w:t>
      </w:r>
      <w:r w:rsidRPr="0071774C">
        <w:t>on</w:t>
      </w:r>
      <w:r>
        <w:t xml:space="preserve"> </w:t>
      </w:r>
      <w:r w:rsidRPr="0071774C">
        <w:t>public</w:t>
      </w:r>
      <w:r>
        <w:t xml:space="preserve"> </w:t>
      </w:r>
      <w:r w:rsidRPr="0071774C">
        <w:t>and</w:t>
      </w:r>
      <w:r>
        <w:t xml:space="preserve"> </w:t>
      </w:r>
      <w:r w:rsidRPr="0071774C">
        <w:t>visible</w:t>
      </w:r>
      <w:r>
        <w:t xml:space="preserve"> </w:t>
      </w:r>
      <w:r w:rsidRPr="0071774C">
        <w:t>forms</w:t>
      </w:r>
      <w:r>
        <w:t xml:space="preserve"> </w:t>
      </w:r>
      <w:r w:rsidRPr="0071774C">
        <w:t>of</w:t>
      </w:r>
      <w:r>
        <w:t xml:space="preserve"> </w:t>
      </w:r>
      <w:r w:rsidRPr="0071774C">
        <w:t>leadership</w:t>
      </w:r>
      <w:r>
        <w:t xml:space="preserve"> </w:t>
      </w:r>
      <w:r w:rsidRPr="0071774C">
        <w:t>from</w:t>
      </w:r>
      <w:r>
        <w:t xml:space="preserve"> </w:t>
      </w:r>
      <w:r w:rsidRPr="0071774C">
        <w:t>individuals,</w:t>
      </w:r>
      <w:r>
        <w:t xml:space="preserve"> </w:t>
      </w:r>
      <w:r w:rsidRPr="0071774C">
        <w:t>organisations</w:t>
      </w:r>
      <w:r>
        <w:t xml:space="preserve"> </w:t>
      </w:r>
      <w:r w:rsidRPr="0071774C">
        <w:t>and</w:t>
      </w:r>
      <w:r>
        <w:t xml:space="preserve"> </w:t>
      </w:r>
      <w:r w:rsidRPr="0071774C">
        <w:t>institutions</w:t>
      </w:r>
      <w:r>
        <w:t xml:space="preserve"> </w:t>
      </w:r>
      <w:r w:rsidRPr="0071774C">
        <w:t>with</w:t>
      </w:r>
      <w:r>
        <w:t xml:space="preserve"> </w:t>
      </w:r>
      <w:r w:rsidRPr="0071774C">
        <w:t>significant</w:t>
      </w:r>
      <w:r>
        <w:t xml:space="preserve"> </w:t>
      </w:r>
      <w:r w:rsidRPr="0071774C">
        <w:t>political,</w:t>
      </w:r>
      <w:r>
        <w:t xml:space="preserve"> </w:t>
      </w:r>
      <w:r w:rsidRPr="0071774C">
        <w:t>social</w:t>
      </w:r>
      <w:r>
        <w:t xml:space="preserve"> </w:t>
      </w:r>
      <w:r w:rsidRPr="0071774C">
        <w:t>or</w:t>
      </w:r>
      <w:r>
        <w:t xml:space="preserve"> </w:t>
      </w:r>
      <w:r w:rsidRPr="0071774C">
        <w:t>economic</w:t>
      </w:r>
      <w:r>
        <w:t xml:space="preserve"> </w:t>
      </w:r>
      <w:r w:rsidRPr="0071774C">
        <w:t>power.</w:t>
      </w:r>
      <w:r>
        <w:t xml:space="preserve"> </w:t>
      </w:r>
      <w:r w:rsidRPr="0071774C">
        <w:t>However,</w:t>
      </w:r>
      <w:r>
        <w:t xml:space="preserve"> </w:t>
      </w:r>
      <w:r w:rsidRPr="0071774C">
        <w:t>this</w:t>
      </w:r>
      <w:r>
        <w:t xml:space="preserve"> </w:t>
      </w:r>
      <w:r w:rsidRPr="0071774C">
        <w:t>is</w:t>
      </w:r>
      <w:r>
        <w:t xml:space="preserve"> </w:t>
      </w:r>
      <w:r w:rsidRPr="0071774C">
        <w:t>often</w:t>
      </w:r>
      <w:r>
        <w:t xml:space="preserve"> </w:t>
      </w:r>
      <w:r w:rsidRPr="0071774C">
        <w:t>the</w:t>
      </w:r>
      <w:r>
        <w:t xml:space="preserve"> </w:t>
      </w:r>
      <w:r w:rsidRPr="0071774C">
        <w:t>result</w:t>
      </w:r>
      <w:r>
        <w:t xml:space="preserve"> </w:t>
      </w:r>
      <w:r w:rsidRPr="0071774C">
        <w:t>of</w:t>
      </w:r>
      <w:r>
        <w:t xml:space="preserve"> </w:t>
      </w:r>
      <w:r w:rsidRPr="0071774C">
        <w:t>years</w:t>
      </w:r>
      <w:r>
        <w:t xml:space="preserve"> </w:t>
      </w:r>
      <w:r w:rsidRPr="0071774C">
        <w:t>of</w:t>
      </w:r>
      <w:r>
        <w:t xml:space="preserve"> </w:t>
      </w:r>
      <w:r w:rsidRPr="0071774C">
        <w:t>sustained</w:t>
      </w:r>
      <w:r>
        <w:t xml:space="preserve"> </w:t>
      </w:r>
      <w:r w:rsidRPr="0071774C">
        <w:t>grassroots</w:t>
      </w:r>
      <w:r>
        <w:t xml:space="preserve"> </w:t>
      </w:r>
      <w:r w:rsidRPr="0071774C">
        <w:t>activism</w:t>
      </w:r>
      <w:r>
        <w:t xml:space="preserve"> </w:t>
      </w:r>
      <w:r w:rsidRPr="0071774C">
        <w:t>and</w:t>
      </w:r>
      <w:r>
        <w:t xml:space="preserve"> </w:t>
      </w:r>
      <w:r w:rsidRPr="0071774C">
        <w:t>advocacy</w:t>
      </w:r>
      <w:r>
        <w:t xml:space="preserve"> </w:t>
      </w:r>
      <w:r w:rsidRPr="0071774C">
        <w:t>which</w:t>
      </w:r>
      <w:r>
        <w:t xml:space="preserve"> </w:t>
      </w:r>
      <w:r w:rsidRPr="0071774C">
        <w:t>builds</w:t>
      </w:r>
      <w:r>
        <w:t xml:space="preserve"> </w:t>
      </w:r>
      <w:r w:rsidRPr="0071774C">
        <w:t>buy-in</w:t>
      </w:r>
      <w:r>
        <w:t xml:space="preserve"> </w:t>
      </w:r>
      <w:r w:rsidRPr="0071774C">
        <w:t>and</w:t>
      </w:r>
      <w:r>
        <w:t xml:space="preserve"> </w:t>
      </w:r>
      <w:r w:rsidRPr="0071774C">
        <w:t>commitment</w:t>
      </w:r>
      <w:r>
        <w:t xml:space="preserve"> </w:t>
      </w:r>
      <w:r w:rsidRPr="0071774C">
        <w:t>at</w:t>
      </w:r>
      <w:r>
        <w:t xml:space="preserve"> </w:t>
      </w:r>
      <w:r w:rsidRPr="0071774C">
        <w:t>the</w:t>
      </w:r>
      <w:r>
        <w:t xml:space="preserve"> </w:t>
      </w:r>
      <w:r w:rsidRPr="0071774C">
        <w:t>leadership</w:t>
      </w:r>
      <w:r>
        <w:t xml:space="preserve"> </w:t>
      </w:r>
      <w:r w:rsidRPr="0071774C">
        <w:t>level</w:t>
      </w:r>
      <w:r>
        <w:t>.</w:t>
      </w:r>
      <w:r w:rsidRPr="0071774C">
        <w:rPr>
          <w:rStyle w:val="EndnoteReference"/>
        </w:rPr>
        <w:endnoteReference w:id="19"/>
      </w:r>
      <w:r>
        <w:t xml:space="preserve"> </w:t>
      </w:r>
      <w:r w:rsidR="00B1184A">
        <w:t>L</w:t>
      </w:r>
      <w:r w:rsidRPr="0071774C">
        <w:t>eadership</w:t>
      </w:r>
      <w:r>
        <w:t xml:space="preserve"> </w:t>
      </w:r>
      <w:r w:rsidRPr="0071774C">
        <w:t>can</w:t>
      </w:r>
      <w:r>
        <w:t xml:space="preserve"> </w:t>
      </w:r>
      <w:r w:rsidRPr="0071774C">
        <w:t>be</w:t>
      </w:r>
      <w:r>
        <w:t xml:space="preserve"> </w:t>
      </w:r>
      <w:r w:rsidRPr="0071774C">
        <w:t>formal</w:t>
      </w:r>
      <w:r>
        <w:t xml:space="preserve"> </w:t>
      </w:r>
      <w:r w:rsidRPr="0071774C">
        <w:t>and</w:t>
      </w:r>
      <w:r>
        <w:t xml:space="preserve"> </w:t>
      </w:r>
      <w:r w:rsidRPr="0071774C">
        <w:t>informal,</w:t>
      </w:r>
      <w:r>
        <w:t xml:space="preserve"> </w:t>
      </w:r>
      <w:r w:rsidRPr="0071774C">
        <w:t>public</w:t>
      </w:r>
      <w:r>
        <w:t xml:space="preserve"> </w:t>
      </w:r>
      <w:r w:rsidRPr="0071774C">
        <w:t>and</w:t>
      </w:r>
      <w:r>
        <w:t xml:space="preserve"> </w:t>
      </w:r>
      <w:r w:rsidRPr="0071774C">
        <w:t>private,</w:t>
      </w:r>
      <w:r>
        <w:t xml:space="preserve"> </w:t>
      </w:r>
      <w:r w:rsidRPr="0071774C">
        <w:t>hierarchical</w:t>
      </w:r>
      <w:r>
        <w:t xml:space="preserve"> </w:t>
      </w:r>
      <w:r w:rsidRPr="0071774C">
        <w:t>and</w:t>
      </w:r>
      <w:r>
        <w:t xml:space="preserve"> </w:t>
      </w:r>
      <w:r w:rsidRPr="0071774C">
        <w:t>distributed</w:t>
      </w:r>
      <w:r w:rsidR="00B1184A">
        <w:t xml:space="preserve"> and f</w:t>
      </w:r>
      <w:r w:rsidRPr="0071774C">
        <w:t>uture</w:t>
      </w:r>
      <w:r>
        <w:t xml:space="preserve"> </w:t>
      </w:r>
      <w:r w:rsidRPr="0071774C">
        <w:t>tracking</w:t>
      </w:r>
      <w:r>
        <w:t xml:space="preserve"> </w:t>
      </w:r>
      <w:r w:rsidRPr="0071774C">
        <w:t>reports</w:t>
      </w:r>
      <w:r>
        <w:t xml:space="preserve"> </w:t>
      </w:r>
      <w:r w:rsidRPr="0071774C">
        <w:t>could</w:t>
      </w:r>
      <w:r>
        <w:t xml:space="preserve"> </w:t>
      </w:r>
      <w:r w:rsidRPr="0071774C">
        <w:t>provide</w:t>
      </w:r>
      <w:r>
        <w:t xml:space="preserve"> </w:t>
      </w:r>
      <w:r w:rsidRPr="0071774C">
        <w:t>further</w:t>
      </w:r>
      <w:r>
        <w:t xml:space="preserve"> </w:t>
      </w:r>
      <w:r w:rsidRPr="0071774C">
        <w:t>insight</w:t>
      </w:r>
      <w:r>
        <w:t xml:space="preserve"> </w:t>
      </w:r>
      <w:r w:rsidRPr="0071774C">
        <w:t>into</w:t>
      </w:r>
      <w:r>
        <w:t xml:space="preserve"> </w:t>
      </w:r>
      <w:r w:rsidRPr="0071774C">
        <w:t>the</w:t>
      </w:r>
      <w:r>
        <w:t xml:space="preserve"> </w:t>
      </w:r>
      <w:r w:rsidRPr="0071774C">
        <w:t>ways</w:t>
      </w:r>
      <w:r>
        <w:t xml:space="preserve"> </w:t>
      </w:r>
      <w:r w:rsidRPr="0071774C">
        <w:t>in</w:t>
      </w:r>
      <w:r>
        <w:t xml:space="preserve"> </w:t>
      </w:r>
      <w:r w:rsidRPr="0071774C">
        <w:t>which</w:t>
      </w:r>
      <w:r>
        <w:t xml:space="preserve"> </w:t>
      </w:r>
      <w:r w:rsidRPr="0071774C">
        <w:t>different</w:t>
      </w:r>
      <w:r>
        <w:t xml:space="preserve"> </w:t>
      </w:r>
      <w:r w:rsidRPr="0071774C">
        <w:t>forms</w:t>
      </w:r>
      <w:r>
        <w:t xml:space="preserve"> </w:t>
      </w:r>
      <w:r w:rsidRPr="0071774C">
        <w:t>of</w:t>
      </w:r>
      <w:r>
        <w:t xml:space="preserve"> </w:t>
      </w:r>
      <w:r w:rsidRPr="0071774C">
        <w:t>leadership</w:t>
      </w:r>
      <w:r>
        <w:t xml:space="preserve"> </w:t>
      </w:r>
      <w:r w:rsidRPr="0071774C">
        <w:t>can</w:t>
      </w:r>
      <w:r>
        <w:t xml:space="preserve"> </w:t>
      </w:r>
      <w:r w:rsidRPr="0071774C">
        <w:t>support</w:t>
      </w:r>
      <w:r>
        <w:t xml:space="preserve"> </w:t>
      </w:r>
      <w:r w:rsidRPr="0071774C">
        <w:t>the</w:t>
      </w:r>
      <w:r>
        <w:t xml:space="preserve"> </w:t>
      </w:r>
      <w:r w:rsidRPr="0071774C">
        <w:t>foundations</w:t>
      </w:r>
      <w:r>
        <w:t xml:space="preserve"> </w:t>
      </w:r>
      <w:r w:rsidRPr="0071774C">
        <w:t>of</w:t>
      </w:r>
      <w:r>
        <w:t xml:space="preserve"> </w:t>
      </w:r>
      <w:r w:rsidRPr="0071774C">
        <w:t>prevention</w:t>
      </w:r>
      <w:r>
        <w:t xml:space="preserve"> </w:t>
      </w:r>
      <w:r w:rsidRPr="0071774C">
        <w:t>infrastructure.</w:t>
      </w:r>
      <w:r>
        <w:t xml:space="preserve"> </w:t>
      </w:r>
      <w:r w:rsidRPr="0071774C">
        <w:t>However,</w:t>
      </w:r>
      <w:r>
        <w:t xml:space="preserve"> </w:t>
      </w:r>
      <w:r w:rsidRPr="0071774C">
        <w:t>at</w:t>
      </w:r>
      <w:r>
        <w:t xml:space="preserve"> </w:t>
      </w:r>
      <w:r w:rsidRPr="0071774C">
        <w:t>present,</w:t>
      </w:r>
      <w:r>
        <w:t xml:space="preserve"> </w:t>
      </w:r>
      <w:r w:rsidRPr="0071774C">
        <w:t>the</w:t>
      </w:r>
      <w:r>
        <w:t xml:space="preserve"> </w:t>
      </w:r>
      <w:r w:rsidRPr="0071774C">
        <w:t>scope</w:t>
      </w:r>
      <w:r>
        <w:t xml:space="preserve"> </w:t>
      </w:r>
      <w:r w:rsidRPr="0071774C">
        <w:t>of</w:t>
      </w:r>
      <w:r>
        <w:t xml:space="preserve"> </w:t>
      </w:r>
      <w:r w:rsidRPr="0071774C">
        <w:t>this</w:t>
      </w:r>
      <w:r>
        <w:t xml:space="preserve"> </w:t>
      </w:r>
      <w:r w:rsidRPr="0071774C">
        <w:t>monitoring</w:t>
      </w:r>
      <w:r>
        <w:t xml:space="preserve"> </w:t>
      </w:r>
      <w:r w:rsidRPr="0071774C">
        <w:t>report</w:t>
      </w:r>
      <w:r>
        <w:t xml:space="preserve"> </w:t>
      </w:r>
      <w:r w:rsidRPr="0071774C">
        <w:t>has</w:t>
      </w:r>
      <w:r>
        <w:t xml:space="preserve"> </w:t>
      </w:r>
      <w:r w:rsidRPr="0071774C">
        <w:t>only</w:t>
      </w:r>
      <w:r>
        <w:t xml:space="preserve"> </w:t>
      </w:r>
      <w:r w:rsidRPr="0071774C">
        <w:t>allowed</w:t>
      </w:r>
      <w:r>
        <w:t xml:space="preserve"> </w:t>
      </w:r>
      <w:r w:rsidRPr="0071774C">
        <w:t>for</w:t>
      </w:r>
      <w:r>
        <w:t xml:space="preserve"> </w:t>
      </w:r>
      <w:r w:rsidRPr="0071774C">
        <w:t>the</w:t>
      </w:r>
      <w:r>
        <w:t xml:space="preserve"> </w:t>
      </w:r>
      <w:r w:rsidRPr="0071774C">
        <w:t>measurement</w:t>
      </w:r>
      <w:r>
        <w:t xml:space="preserve"> </w:t>
      </w:r>
      <w:r w:rsidRPr="0071774C">
        <w:t>of</w:t>
      </w:r>
      <w:r>
        <w:t xml:space="preserve"> </w:t>
      </w:r>
      <w:r w:rsidRPr="0071774C">
        <w:t>visible,</w:t>
      </w:r>
      <w:r>
        <w:t xml:space="preserve"> </w:t>
      </w:r>
      <w:r w:rsidRPr="0071774C">
        <w:t>and</w:t>
      </w:r>
      <w:r>
        <w:t xml:space="preserve"> </w:t>
      </w:r>
      <w:r w:rsidRPr="0071774C">
        <w:t>sometimes</w:t>
      </w:r>
      <w:r>
        <w:t xml:space="preserve"> </w:t>
      </w:r>
      <w:r w:rsidRPr="0071774C">
        <w:t>largely</w:t>
      </w:r>
      <w:r>
        <w:t xml:space="preserve"> </w:t>
      </w:r>
      <w:r w:rsidRPr="0071774C">
        <w:t>symbolic</w:t>
      </w:r>
      <w:r>
        <w:t xml:space="preserve">, </w:t>
      </w:r>
      <w:r w:rsidRPr="0071774C">
        <w:t>leadership.</w:t>
      </w:r>
      <w:r>
        <w:t xml:space="preserve"> </w:t>
      </w:r>
      <w:r w:rsidRPr="0071774C">
        <w:t>The</w:t>
      </w:r>
      <w:r>
        <w:t xml:space="preserve"> </w:t>
      </w:r>
      <w:r w:rsidRPr="0071774C">
        <w:t>discussion</w:t>
      </w:r>
      <w:r>
        <w:t xml:space="preserve"> </w:t>
      </w:r>
      <w:r w:rsidRPr="0071774C">
        <w:t>of</w:t>
      </w:r>
      <w:r>
        <w:t xml:space="preserve"> </w:t>
      </w:r>
      <w:r w:rsidRPr="0071774C">
        <w:t>progress</w:t>
      </w:r>
      <w:r>
        <w:t xml:space="preserve"> </w:t>
      </w:r>
      <w:r w:rsidRPr="0071774C">
        <w:t>in</w:t>
      </w:r>
      <w:r>
        <w:t xml:space="preserve"> </w:t>
      </w:r>
      <w:r w:rsidRPr="0071774C">
        <w:t>this</w:t>
      </w:r>
      <w:r>
        <w:t xml:space="preserve"> </w:t>
      </w:r>
      <w:r w:rsidRPr="0071774C">
        <w:t>domain</w:t>
      </w:r>
      <w:r>
        <w:t xml:space="preserve"> </w:t>
      </w:r>
      <w:r w:rsidRPr="0071774C">
        <w:t>identifies</w:t>
      </w:r>
      <w:r>
        <w:t xml:space="preserve"> </w:t>
      </w:r>
      <w:r w:rsidRPr="0071774C">
        <w:t>opportunities</w:t>
      </w:r>
      <w:r>
        <w:t xml:space="preserve"> </w:t>
      </w:r>
      <w:r w:rsidRPr="0071774C">
        <w:t>for</w:t>
      </w:r>
      <w:r>
        <w:t xml:space="preserve"> </w:t>
      </w:r>
      <w:r w:rsidRPr="0071774C">
        <w:t>expanded</w:t>
      </w:r>
      <w:r>
        <w:t xml:space="preserve"> </w:t>
      </w:r>
      <w:r w:rsidRPr="0071774C">
        <w:t>data</w:t>
      </w:r>
      <w:r>
        <w:t xml:space="preserve"> </w:t>
      </w:r>
      <w:r w:rsidRPr="0071774C">
        <w:t>collection</w:t>
      </w:r>
      <w:r>
        <w:t xml:space="preserve"> </w:t>
      </w:r>
      <w:r w:rsidRPr="0071774C">
        <w:t>to</w:t>
      </w:r>
      <w:r>
        <w:t xml:space="preserve"> </w:t>
      </w:r>
      <w:r w:rsidRPr="0071774C">
        <w:t>inform</w:t>
      </w:r>
      <w:r>
        <w:t xml:space="preserve"> </w:t>
      </w:r>
      <w:r w:rsidRPr="0071774C">
        <w:t>future</w:t>
      </w:r>
      <w:r>
        <w:t xml:space="preserve"> </w:t>
      </w:r>
      <w:r w:rsidRPr="0071774C">
        <w:t>monitoring</w:t>
      </w:r>
      <w:r>
        <w:t xml:space="preserve"> </w:t>
      </w:r>
      <w:r w:rsidRPr="0071774C">
        <w:t>reports.</w:t>
      </w:r>
    </w:p>
    <w:p w14:paraId="4D2D147F" w14:textId="77777777" w:rsidR="002C2EC7" w:rsidRPr="00FB7F22" w:rsidRDefault="002C2EC7" w:rsidP="00790783">
      <w:pPr>
        <w:pStyle w:val="Heading4"/>
        <w:rPr>
          <w:rStyle w:val="OWCharacterCharcoal"/>
        </w:rPr>
      </w:pPr>
      <w:bookmarkStart w:id="22" w:name="_Toc41559710"/>
      <w:r w:rsidRPr="00FB7F22">
        <w:rPr>
          <w:rStyle w:val="OWCharacterCharcoal"/>
        </w:rPr>
        <w:t>Political and civil society leadership: summary of findings</w:t>
      </w:r>
      <w:bookmarkEnd w:id="22"/>
    </w:p>
    <w:p w14:paraId="5578266D" w14:textId="77777777" w:rsidR="002C2EC7" w:rsidRDefault="002C2EC7" w:rsidP="00790783">
      <w:pPr>
        <w:pStyle w:val="BodyText"/>
      </w:pPr>
      <w:r w:rsidRPr="0071774C">
        <w:t>There</w:t>
      </w:r>
      <w:r>
        <w:t xml:space="preserve"> </w:t>
      </w:r>
      <w:r w:rsidRPr="0071774C">
        <w:t>is</w:t>
      </w:r>
      <w:r>
        <w:t xml:space="preserve"> </w:t>
      </w:r>
      <w:r w:rsidRPr="0071774C">
        <w:t>evidence</w:t>
      </w:r>
      <w:r>
        <w:t xml:space="preserve"> </w:t>
      </w:r>
      <w:r w:rsidRPr="0071774C">
        <w:t>that</w:t>
      </w:r>
      <w:r>
        <w:t xml:space="preserve"> </w:t>
      </w:r>
      <w:r w:rsidRPr="0071774C">
        <w:t>political</w:t>
      </w:r>
      <w:r>
        <w:t xml:space="preserve"> </w:t>
      </w:r>
      <w:r w:rsidRPr="0071774C">
        <w:t>and</w:t>
      </w:r>
      <w:r>
        <w:t xml:space="preserve"> </w:t>
      </w:r>
      <w:r w:rsidRPr="0071774C">
        <w:t>civil</w:t>
      </w:r>
      <w:r>
        <w:t xml:space="preserve"> </w:t>
      </w:r>
      <w:r w:rsidRPr="0071774C">
        <w:t>society</w:t>
      </w:r>
      <w:r>
        <w:t xml:space="preserve"> </w:t>
      </w:r>
      <w:r w:rsidRPr="0071774C">
        <w:t>leadership</w:t>
      </w:r>
      <w:r>
        <w:t xml:space="preserve"> </w:t>
      </w:r>
      <w:r w:rsidRPr="0071774C">
        <w:t>has</w:t>
      </w:r>
      <w:r>
        <w:t xml:space="preserve"> </w:t>
      </w:r>
      <w:r w:rsidRPr="0071774C">
        <w:t>been</w:t>
      </w:r>
      <w:r>
        <w:t xml:space="preserve"> </w:t>
      </w:r>
      <w:r w:rsidRPr="0071774C">
        <w:t>effective</w:t>
      </w:r>
      <w:r>
        <w:t xml:space="preserve"> </w:t>
      </w:r>
      <w:r w:rsidRPr="0071774C">
        <w:t>in</w:t>
      </w:r>
      <w:r>
        <w:t xml:space="preserve"> </w:t>
      </w:r>
      <w:r w:rsidRPr="0071774C">
        <w:t>in</w:t>
      </w:r>
      <w:r>
        <w:t xml:space="preserve">creasing </w:t>
      </w:r>
      <w:r w:rsidRPr="0071774C">
        <w:t>political</w:t>
      </w:r>
      <w:r>
        <w:t xml:space="preserve"> </w:t>
      </w:r>
      <w:r w:rsidRPr="0071774C">
        <w:t>discourse</w:t>
      </w:r>
      <w:r>
        <w:t xml:space="preserve"> </w:t>
      </w:r>
      <w:r w:rsidRPr="0071774C">
        <w:t>in</w:t>
      </w:r>
      <w:r>
        <w:t xml:space="preserve"> </w:t>
      </w:r>
      <w:r w:rsidRPr="0071774C">
        <w:t>relation</w:t>
      </w:r>
      <w:r>
        <w:t xml:space="preserve"> </w:t>
      </w:r>
      <w:r w:rsidRPr="0071774C">
        <w:t>to</w:t>
      </w:r>
      <w:r>
        <w:t xml:space="preserve"> </w:t>
      </w:r>
      <w:r w:rsidRPr="0071774C">
        <w:t>gender</w:t>
      </w:r>
      <w:r>
        <w:t xml:space="preserve"> </w:t>
      </w:r>
      <w:r w:rsidRPr="0071774C">
        <w:t>equality</w:t>
      </w:r>
      <w:r>
        <w:t xml:space="preserve"> </w:t>
      </w:r>
      <w:r w:rsidRPr="0071774C">
        <w:t>and</w:t>
      </w:r>
      <w:r>
        <w:t xml:space="preserve"> </w:t>
      </w:r>
      <w:r w:rsidRPr="0071774C">
        <w:t>violence</w:t>
      </w:r>
      <w:r>
        <w:t xml:space="preserve"> </w:t>
      </w:r>
      <w:r w:rsidRPr="0071774C">
        <w:t>against</w:t>
      </w:r>
      <w:r>
        <w:t xml:space="preserve"> </w:t>
      </w:r>
      <w:r w:rsidRPr="0071774C">
        <w:t>women.</w:t>
      </w:r>
      <w:r>
        <w:t xml:space="preserve"> </w:t>
      </w:r>
      <w:r w:rsidRPr="0071774C">
        <w:t>In</w:t>
      </w:r>
      <w:r>
        <w:t xml:space="preserve"> </w:t>
      </w:r>
      <w:r w:rsidRPr="0071774C">
        <w:t>some</w:t>
      </w:r>
      <w:r>
        <w:t xml:space="preserve"> </w:t>
      </w:r>
      <w:r w:rsidRPr="0071774C">
        <w:t>Australian</w:t>
      </w:r>
      <w:r>
        <w:t xml:space="preserve"> </w:t>
      </w:r>
      <w:r w:rsidRPr="0071774C">
        <w:t>parliaments,</w:t>
      </w:r>
      <w:r>
        <w:t xml:space="preserve"> </w:t>
      </w:r>
      <w:r w:rsidRPr="0071774C">
        <w:t>there</w:t>
      </w:r>
      <w:r>
        <w:t xml:space="preserve"> </w:t>
      </w:r>
      <w:r w:rsidRPr="0071774C">
        <w:t>have</w:t>
      </w:r>
      <w:r>
        <w:t xml:space="preserve"> </w:t>
      </w:r>
      <w:r w:rsidRPr="0071774C">
        <w:t>been</w:t>
      </w:r>
      <w:r>
        <w:t xml:space="preserve"> </w:t>
      </w:r>
      <w:r w:rsidRPr="0071774C">
        <w:t>increases</w:t>
      </w:r>
      <w:r>
        <w:t xml:space="preserve"> </w:t>
      </w:r>
      <w:r w:rsidRPr="0071774C">
        <w:t>in</w:t>
      </w:r>
      <w:r>
        <w:t xml:space="preserve"> </w:t>
      </w:r>
      <w:r w:rsidRPr="0071774C">
        <w:t>mentions</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and</w:t>
      </w:r>
      <w:r>
        <w:t xml:space="preserve"> </w:t>
      </w:r>
      <w:r w:rsidRPr="0071774C">
        <w:t>gender</w:t>
      </w:r>
      <w:r>
        <w:t xml:space="preserve"> </w:t>
      </w:r>
      <w:r w:rsidRPr="0071774C">
        <w:t>equality</w:t>
      </w:r>
      <w:r>
        <w:t xml:space="preserve"> </w:t>
      </w:r>
      <w:r w:rsidRPr="0071774C">
        <w:t>across</w:t>
      </w:r>
      <w:r>
        <w:t xml:space="preserve"> </w:t>
      </w:r>
      <w:r w:rsidRPr="0071774C">
        <w:t>the</w:t>
      </w:r>
      <w:r>
        <w:t xml:space="preserve"> </w:t>
      </w:r>
      <w:r w:rsidRPr="0071774C">
        <w:t>decade,</w:t>
      </w:r>
      <w:r>
        <w:t xml:space="preserve"> </w:t>
      </w:r>
      <w:r w:rsidRPr="0071774C">
        <w:t>often</w:t>
      </w:r>
      <w:r>
        <w:t xml:space="preserve"> </w:t>
      </w:r>
      <w:r w:rsidRPr="0071774C">
        <w:t>linked</w:t>
      </w:r>
      <w:r>
        <w:t xml:space="preserve"> </w:t>
      </w:r>
      <w:r w:rsidRPr="0071774C">
        <w:t>to</w:t>
      </w:r>
      <w:r>
        <w:t xml:space="preserve"> </w:t>
      </w:r>
      <w:r w:rsidRPr="0071774C">
        <w:t>observance</w:t>
      </w:r>
      <w:r>
        <w:t xml:space="preserve"> </w:t>
      </w:r>
      <w:r w:rsidRPr="0071774C">
        <w:t>days</w:t>
      </w:r>
      <w:r>
        <w:t xml:space="preserve"> </w:t>
      </w:r>
      <w:r w:rsidRPr="0071774C">
        <w:t>such</w:t>
      </w:r>
      <w:r>
        <w:t xml:space="preserve"> </w:t>
      </w:r>
      <w:r w:rsidRPr="0071774C">
        <w:t>as</w:t>
      </w:r>
      <w:r>
        <w:t xml:space="preserve"> </w:t>
      </w:r>
      <w:r w:rsidRPr="0071774C">
        <w:t>International</w:t>
      </w:r>
      <w:r>
        <w:t xml:space="preserve"> </w:t>
      </w:r>
      <w:r w:rsidRPr="0071774C">
        <w:t>Women’s</w:t>
      </w:r>
      <w:r>
        <w:t xml:space="preserve"> </w:t>
      </w:r>
      <w:r w:rsidRPr="0071774C">
        <w:t>Day</w:t>
      </w:r>
      <w:r>
        <w:t xml:space="preserve"> </w:t>
      </w:r>
      <w:r w:rsidRPr="0071774C">
        <w:t>and</w:t>
      </w:r>
      <w:r>
        <w:t xml:space="preserve"> the </w:t>
      </w:r>
      <w:r w:rsidRPr="0071774C">
        <w:t>International</w:t>
      </w:r>
      <w:r>
        <w:t xml:space="preserve"> </w:t>
      </w:r>
      <w:r w:rsidRPr="0071774C">
        <w:t>Day</w:t>
      </w:r>
      <w:r>
        <w:t xml:space="preserve"> </w:t>
      </w:r>
      <w:r w:rsidRPr="0071774C">
        <w:t>for</w:t>
      </w:r>
      <w:r>
        <w:t xml:space="preserve"> </w:t>
      </w:r>
      <w:r w:rsidRPr="0071774C">
        <w:t>the</w:t>
      </w:r>
      <w:r>
        <w:t xml:space="preserve"> </w:t>
      </w:r>
      <w:r w:rsidRPr="0071774C">
        <w:t>Elimination</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However,</w:t>
      </w:r>
      <w:r>
        <w:t xml:space="preserve"> </w:t>
      </w:r>
      <w:r w:rsidRPr="0071774C">
        <w:t>observance</w:t>
      </w:r>
      <w:r>
        <w:t xml:space="preserve"> </w:t>
      </w:r>
      <w:r w:rsidRPr="0071774C">
        <w:t>days</w:t>
      </w:r>
      <w:r>
        <w:t xml:space="preserve"> </w:t>
      </w:r>
      <w:r w:rsidRPr="0071774C">
        <w:t>that</w:t>
      </w:r>
      <w:r>
        <w:t xml:space="preserve"> </w:t>
      </w:r>
      <w:r w:rsidRPr="0071774C">
        <w:t>draw</w:t>
      </w:r>
      <w:r>
        <w:t xml:space="preserve"> </w:t>
      </w:r>
      <w:r w:rsidRPr="0071774C">
        <w:t>attention</w:t>
      </w:r>
      <w:r>
        <w:t xml:space="preserve"> </w:t>
      </w:r>
      <w:r w:rsidRPr="0071774C">
        <w:t>to</w:t>
      </w:r>
      <w:r>
        <w:t xml:space="preserve"> </w:t>
      </w:r>
      <w:r w:rsidRPr="0071774C">
        <w:t>other</w:t>
      </w:r>
      <w:r>
        <w:t xml:space="preserve"> </w:t>
      </w:r>
      <w:r w:rsidRPr="0071774C">
        <w:t>kinds</w:t>
      </w:r>
      <w:r>
        <w:t xml:space="preserve"> </w:t>
      </w:r>
      <w:r w:rsidRPr="0071774C">
        <w:t>of</w:t>
      </w:r>
      <w:r>
        <w:t xml:space="preserve"> </w:t>
      </w:r>
      <w:r w:rsidRPr="0071774C">
        <w:t>structural</w:t>
      </w:r>
      <w:r>
        <w:t xml:space="preserve"> </w:t>
      </w:r>
      <w:r w:rsidRPr="0071774C">
        <w:t>inequality</w:t>
      </w:r>
      <w:r>
        <w:t xml:space="preserve"> </w:t>
      </w:r>
      <w:r w:rsidRPr="0071774C">
        <w:t>and</w:t>
      </w:r>
      <w:r>
        <w:t xml:space="preserve"> </w:t>
      </w:r>
      <w:r w:rsidRPr="0071774C">
        <w:t>discrimination</w:t>
      </w:r>
      <w:r>
        <w:t xml:space="preserve"> </w:t>
      </w:r>
      <w:r w:rsidRPr="0071774C">
        <w:t>that</w:t>
      </w:r>
      <w:r>
        <w:t xml:space="preserve"> </w:t>
      </w:r>
      <w:r w:rsidRPr="0071774C">
        <w:t>intersect</w:t>
      </w:r>
      <w:r>
        <w:t xml:space="preserve"> </w:t>
      </w:r>
      <w:r w:rsidRPr="0071774C">
        <w:t>with</w:t>
      </w:r>
      <w:r>
        <w:t xml:space="preserve"> </w:t>
      </w:r>
      <w:r w:rsidRPr="0071774C">
        <w:t>gender</w:t>
      </w:r>
      <w:r>
        <w:t xml:space="preserve"> </w:t>
      </w:r>
      <w:r w:rsidRPr="0071774C">
        <w:t>inequality,</w:t>
      </w:r>
      <w:r>
        <w:t xml:space="preserve"> </w:t>
      </w:r>
      <w:r w:rsidRPr="0071774C">
        <w:t>such</w:t>
      </w:r>
      <w:r>
        <w:t xml:space="preserve"> </w:t>
      </w:r>
      <w:r w:rsidRPr="0071774C">
        <w:t>as</w:t>
      </w:r>
      <w:r>
        <w:t xml:space="preserve"> </w:t>
      </w:r>
      <w:r w:rsidRPr="0071774C">
        <w:t>Ochre</w:t>
      </w:r>
      <w:r>
        <w:t xml:space="preserve"> </w:t>
      </w:r>
      <w:r w:rsidRPr="0071774C">
        <w:t>Ribbon</w:t>
      </w:r>
      <w:r>
        <w:t xml:space="preserve"> </w:t>
      </w:r>
      <w:r w:rsidRPr="0071774C">
        <w:t>Week,</w:t>
      </w:r>
      <w:r>
        <w:t xml:space="preserve"> </w:t>
      </w:r>
      <w:r w:rsidRPr="0071774C">
        <w:t>receive</w:t>
      </w:r>
      <w:r>
        <w:t xml:space="preserve"> </w:t>
      </w:r>
      <w:r w:rsidRPr="0071774C">
        <w:t>comparatively</w:t>
      </w:r>
      <w:r>
        <w:t xml:space="preserve"> </w:t>
      </w:r>
      <w:r w:rsidRPr="0071774C">
        <w:t>fewer</w:t>
      </w:r>
      <w:r>
        <w:t xml:space="preserve"> </w:t>
      </w:r>
      <w:r w:rsidRPr="0071774C">
        <w:t>mentions.</w:t>
      </w:r>
      <w:r>
        <w:t xml:space="preserve"> </w:t>
      </w:r>
      <w:r w:rsidRPr="0071774C">
        <w:t>This</w:t>
      </w:r>
      <w:r>
        <w:t xml:space="preserve"> </w:t>
      </w:r>
      <w:r w:rsidRPr="0071774C">
        <w:t>suggests</w:t>
      </w:r>
      <w:r>
        <w:t xml:space="preserve"> </w:t>
      </w:r>
      <w:r w:rsidRPr="0071774C">
        <w:t>further</w:t>
      </w:r>
      <w:r>
        <w:t xml:space="preserve"> </w:t>
      </w:r>
      <w:r w:rsidRPr="0071774C">
        <w:t>opportunities</w:t>
      </w:r>
      <w:r>
        <w:t xml:space="preserve"> </w:t>
      </w:r>
      <w:r w:rsidRPr="0071774C">
        <w:t>for</w:t>
      </w:r>
      <w:r>
        <w:t xml:space="preserve"> </w:t>
      </w:r>
      <w:r w:rsidRPr="0071774C">
        <w:t>political</w:t>
      </w:r>
      <w:r>
        <w:t xml:space="preserve"> </w:t>
      </w:r>
      <w:r w:rsidRPr="0071774C">
        <w:t>and</w:t>
      </w:r>
      <w:r>
        <w:t xml:space="preserve"> </w:t>
      </w:r>
      <w:r w:rsidRPr="0071774C">
        <w:t>civil</w:t>
      </w:r>
      <w:r>
        <w:t xml:space="preserve"> </w:t>
      </w:r>
      <w:r w:rsidRPr="0071774C">
        <w:t>society</w:t>
      </w:r>
      <w:r>
        <w:t xml:space="preserve"> </w:t>
      </w:r>
      <w:r w:rsidRPr="0071774C">
        <w:t>leaders</w:t>
      </w:r>
      <w:r>
        <w:t xml:space="preserve"> </w:t>
      </w:r>
      <w:r w:rsidRPr="0071774C">
        <w:t>to</w:t>
      </w:r>
      <w:r>
        <w:t xml:space="preserve"> </w:t>
      </w:r>
      <w:r w:rsidRPr="0071774C">
        <w:t>expand</w:t>
      </w:r>
      <w:r>
        <w:t xml:space="preserve"> </w:t>
      </w:r>
      <w:r w:rsidRPr="0071774C">
        <w:t>their</w:t>
      </w:r>
      <w:r>
        <w:t xml:space="preserve"> </w:t>
      </w:r>
      <w:r w:rsidRPr="0071774C">
        <w:t>focus</w:t>
      </w:r>
      <w:r>
        <w:t xml:space="preserve"> </w:t>
      </w:r>
      <w:r w:rsidRPr="0071774C">
        <w:t>to</w:t>
      </w:r>
      <w:r>
        <w:t xml:space="preserve"> </w:t>
      </w:r>
      <w:r w:rsidRPr="0071774C">
        <w:t>include</w:t>
      </w:r>
      <w:r>
        <w:t xml:space="preserve"> </w:t>
      </w:r>
      <w:r w:rsidRPr="0071774C">
        <w:t>attention</w:t>
      </w:r>
      <w:r>
        <w:t xml:space="preserve"> </w:t>
      </w:r>
      <w:r w:rsidRPr="0071774C">
        <w:t>to</w:t>
      </w:r>
      <w:r>
        <w:t xml:space="preserve"> </w:t>
      </w:r>
      <w:r w:rsidRPr="0071774C">
        <w:t>these</w:t>
      </w:r>
      <w:r>
        <w:t xml:space="preserve"> </w:t>
      </w:r>
      <w:r w:rsidRPr="0071774C">
        <w:t>intersecting</w:t>
      </w:r>
      <w:r>
        <w:t xml:space="preserve"> </w:t>
      </w:r>
      <w:r w:rsidRPr="0071774C">
        <w:t>drivers</w:t>
      </w:r>
      <w:r>
        <w:t xml:space="preserve"> </w:t>
      </w:r>
      <w:r w:rsidRPr="0071774C">
        <w:t>of</w:t>
      </w:r>
      <w:r>
        <w:t xml:space="preserve"> </w:t>
      </w:r>
      <w:r w:rsidRPr="0071774C">
        <w:t>violence</w:t>
      </w:r>
      <w:r>
        <w:t xml:space="preserve"> </w:t>
      </w:r>
      <w:r w:rsidRPr="0071774C">
        <w:t>against</w:t>
      </w:r>
      <w:r>
        <w:t xml:space="preserve"> </w:t>
      </w:r>
      <w:r w:rsidRPr="0071774C">
        <w:t>women.</w:t>
      </w:r>
    </w:p>
    <w:p w14:paraId="7D66F8B6" w14:textId="5142B29F" w:rsidR="002C2EC7" w:rsidRDefault="002C2EC7" w:rsidP="00790783">
      <w:pPr>
        <w:pStyle w:val="BodyText"/>
      </w:pPr>
      <w:r w:rsidRPr="0071774C">
        <w:t>Increased</w:t>
      </w:r>
      <w:r>
        <w:t xml:space="preserve"> </w:t>
      </w:r>
      <w:r w:rsidRPr="0071774C">
        <w:t>leadership</w:t>
      </w:r>
      <w:r>
        <w:t xml:space="preserve"> </w:t>
      </w:r>
      <w:r w:rsidRPr="0071774C">
        <w:t>by</w:t>
      </w:r>
      <w:r>
        <w:t xml:space="preserve"> </w:t>
      </w:r>
      <w:r w:rsidRPr="0071774C">
        <w:t>public,</w:t>
      </w:r>
      <w:r>
        <w:t xml:space="preserve"> </w:t>
      </w:r>
      <w:r w:rsidRPr="0071774C">
        <w:t>private</w:t>
      </w:r>
      <w:r>
        <w:t xml:space="preserve"> </w:t>
      </w:r>
      <w:r w:rsidRPr="0071774C">
        <w:t>and</w:t>
      </w:r>
      <w:r>
        <w:t xml:space="preserve"> </w:t>
      </w:r>
      <w:r w:rsidRPr="0071774C">
        <w:t>not-for-profit</w:t>
      </w:r>
      <w:r>
        <w:t xml:space="preserve"> </w:t>
      </w:r>
      <w:r w:rsidRPr="0071774C">
        <w:t>organisations</w:t>
      </w:r>
      <w:r>
        <w:t xml:space="preserve"> </w:t>
      </w:r>
      <w:r w:rsidRPr="0071774C">
        <w:t>can</w:t>
      </w:r>
      <w:r>
        <w:t xml:space="preserve"> </w:t>
      </w:r>
      <w:r w:rsidRPr="0071774C">
        <w:t>also</w:t>
      </w:r>
      <w:r>
        <w:t xml:space="preserve"> </w:t>
      </w:r>
      <w:r w:rsidRPr="0071774C">
        <w:t>be</w:t>
      </w:r>
      <w:r>
        <w:t xml:space="preserve"> </w:t>
      </w:r>
      <w:r w:rsidRPr="0071774C">
        <w:t>seen</w:t>
      </w:r>
      <w:r>
        <w:t xml:space="preserve"> </w:t>
      </w:r>
      <w:r w:rsidRPr="0071774C">
        <w:t>across</w:t>
      </w:r>
      <w:r>
        <w:t xml:space="preserve"> </w:t>
      </w:r>
      <w:r w:rsidRPr="0071774C">
        <w:t>the</w:t>
      </w:r>
      <w:r>
        <w:t xml:space="preserve"> </w:t>
      </w:r>
      <w:r w:rsidRPr="0071774C">
        <w:t>decade.</w:t>
      </w:r>
      <w:r>
        <w:t xml:space="preserve"> </w:t>
      </w:r>
      <w:r w:rsidRPr="0071774C">
        <w:t>As</w:t>
      </w:r>
      <w:r>
        <w:t xml:space="preserve"> </w:t>
      </w:r>
      <w:r w:rsidRPr="0071774C">
        <w:t>an</w:t>
      </w:r>
      <w:r>
        <w:t xml:space="preserve"> </w:t>
      </w:r>
      <w:r w:rsidRPr="0071774C">
        <w:t>example,</w:t>
      </w:r>
      <w:r>
        <w:t xml:space="preserve"> </w:t>
      </w:r>
      <w:r w:rsidRPr="0071774C">
        <w:t>civil</w:t>
      </w:r>
      <w:r>
        <w:t xml:space="preserve"> </w:t>
      </w:r>
      <w:r w:rsidRPr="0071774C">
        <w:t>society</w:t>
      </w:r>
      <w:r>
        <w:t xml:space="preserve"> </w:t>
      </w:r>
      <w:r w:rsidRPr="0071774C">
        <w:t>activism</w:t>
      </w:r>
      <w:r>
        <w:t xml:space="preserve"> </w:t>
      </w:r>
      <w:r w:rsidRPr="0071774C">
        <w:t>from</w:t>
      </w:r>
      <w:r>
        <w:t xml:space="preserve"> </w:t>
      </w:r>
      <w:r w:rsidRPr="0071774C">
        <w:t>unions</w:t>
      </w:r>
      <w:r>
        <w:t xml:space="preserve"> </w:t>
      </w:r>
      <w:r w:rsidRPr="0071774C">
        <w:t>and</w:t>
      </w:r>
      <w:r>
        <w:t xml:space="preserve"> </w:t>
      </w:r>
      <w:r w:rsidRPr="0071774C">
        <w:t>women’s</w:t>
      </w:r>
      <w:r>
        <w:t xml:space="preserve"> </w:t>
      </w:r>
      <w:r w:rsidRPr="0071774C">
        <w:t>advocacy</w:t>
      </w:r>
      <w:r>
        <w:t xml:space="preserve"> </w:t>
      </w:r>
      <w:r w:rsidRPr="0071774C">
        <w:t>groups</w:t>
      </w:r>
      <w:r>
        <w:t xml:space="preserve"> </w:t>
      </w:r>
      <w:r w:rsidRPr="0071774C">
        <w:t>culminated</w:t>
      </w:r>
      <w:r>
        <w:t xml:space="preserve"> </w:t>
      </w:r>
      <w:r w:rsidRPr="0071774C">
        <w:t>in</w:t>
      </w:r>
      <w:r>
        <w:t xml:space="preserve"> </w:t>
      </w:r>
      <w:r w:rsidRPr="0071774C">
        <w:t>policy</w:t>
      </w:r>
      <w:r>
        <w:t xml:space="preserve"> </w:t>
      </w:r>
      <w:r w:rsidRPr="0071774C">
        <w:t>and</w:t>
      </w:r>
      <w:r>
        <w:t xml:space="preserve"> </w:t>
      </w:r>
      <w:r w:rsidRPr="0071774C">
        <w:t>legislation</w:t>
      </w:r>
      <w:r>
        <w:t xml:space="preserve"> </w:t>
      </w:r>
      <w:r w:rsidRPr="0071774C">
        <w:t>reform,</w:t>
      </w:r>
      <w:r>
        <w:t xml:space="preserve"> </w:t>
      </w:r>
      <w:r w:rsidRPr="0071774C">
        <w:t>establishing</w:t>
      </w:r>
      <w:r>
        <w:t xml:space="preserve"> </w:t>
      </w:r>
      <w:r w:rsidRPr="0071774C">
        <w:t>the</w:t>
      </w:r>
      <w:r>
        <w:t xml:space="preserve"> </w:t>
      </w:r>
      <w:r w:rsidRPr="0071774C">
        <w:t>Workplace</w:t>
      </w:r>
      <w:r>
        <w:t xml:space="preserve"> </w:t>
      </w:r>
      <w:r w:rsidRPr="0071774C">
        <w:t>Gender</w:t>
      </w:r>
      <w:r>
        <w:t xml:space="preserve"> </w:t>
      </w:r>
      <w:r w:rsidRPr="0071774C">
        <w:t>Equality</w:t>
      </w:r>
      <w:r>
        <w:t xml:space="preserve"> </w:t>
      </w:r>
      <w:r w:rsidRPr="0071774C">
        <w:t>Agency</w:t>
      </w:r>
      <w:r>
        <w:t xml:space="preserve"> </w:t>
      </w:r>
      <w:r w:rsidRPr="0071774C">
        <w:t>in</w:t>
      </w:r>
      <w:r>
        <w:t xml:space="preserve"> </w:t>
      </w:r>
      <w:r w:rsidRPr="0071774C">
        <w:t>2012</w:t>
      </w:r>
      <w:r>
        <w:t xml:space="preserve"> (formerly the Equal Opportunity for Women in the Workplace </w:t>
      </w:r>
      <w:r>
        <w:lastRenderedPageBreak/>
        <w:t>Agency),</w:t>
      </w:r>
      <w:r w:rsidRPr="00D8674A">
        <w:rPr>
          <w:rStyle w:val="OWSuperscript"/>
        </w:rPr>
        <w:footnoteReference w:id="3"/>
      </w:r>
      <w:r>
        <w:t xml:space="preserve"> </w:t>
      </w:r>
      <w:r w:rsidRPr="0071774C">
        <w:t>a</w:t>
      </w:r>
      <w:r>
        <w:t xml:space="preserve"> </w:t>
      </w:r>
      <w:r w:rsidRPr="0071774C">
        <w:t>statutory</w:t>
      </w:r>
      <w:r>
        <w:t xml:space="preserve"> </w:t>
      </w:r>
      <w:r w:rsidRPr="0071774C">
        <w:t>body</w:t>
      </w:r>
      <w:r>
        <w:t xml:space="preserve"> </w:t>
      </w:r>
      <w:r w:rsidRPr="0071774C">
        <w:t>with</w:t>
      </w:r>
      <w:r>
        <w:t xml:space="preserve"> </w:t>
      </w:r>
      <w:r w:rsidRPr="0071774C">
        <w:t>responsibilit</w:t>
      </w:r>
      <w:r>
        <w:t xml:space="preserve">y </w:t>
      </w:r>
      <w:r w:rsidRPr="0071774C">
        <w:t>for</w:t>
      </w:r>
      <w:r>
        <w:t xml:space="preserve"> </w:t>
      </w:r>
      <w:r w:rsidRPr="0071774C">
        <w:t>overseeing,</w:t>
      </w:r>
      <w:r>
        <w:t xml:space="preserve"> </w:t>
      </w:r>
      <w:r w:rsidRPr="0071774C">
        <w:t>promoting</w:t>
      </w:r>
      <w:r>
        <w:t xml:space="preserve"> </w:t>
      </w:r>
      <w:r w:rsidRPr="0071774C">
        <w:t>and</w:t>
      </w:r>
      <w:r>
        <w:t xml:space="preserve"> </w:t>
      </w:r>
      <w:r w:rsidRPr="0071774C">
        <w:t>reporting</w:t>
      </w:r>
      <w:r>
        <w:t xml:space="preserve"> </w:t>
      </w:r>
      <w:r w:rsidRPr="0071774C">
        <w:t>on</w:t>
      </w:r>
      <w:r w:rsidR="00851841">
        <w:t> </w:t>
      </w:r>
      <w:r w:rsidRPr="0071774C">
        <w:t>advancements</w:t>
      </w:r>
      <w:r>
        <w:t xml:space="preserve"> </w:t>
      </w:r>
      <w:r w:rsidRPr="0071774C">
        <w:t>in</w:t>
      </w:r>
      <w:r>
        <w:t xml:space="preserve"> </w:t>
      </w:r>
      <w:r w:rsidRPr="0071774C">
        <w:t>workplace</w:t>
      </w:r>
      <w:r>
        <w:t xml:space="preserve"> </w:t>
      </w:r>
      <w:r w:rsidRPr="0071774C">
        <w:t>gender</w:t>
      </w:r>
      <w:r>
        <w:t xml:space="preserve"> </w:t>
      </w:r>
      <w:r w:rsidRPr="0071774C">
        <w:t>equality</w:t>
      </w:r>
      <w:r>
        <w:t xml:space="preserve"> </w:t>
      </w:r>
      <w:r w:rsidRPr="0071774C">
        <w:t>across</w:t>
      </w:r>
      <w:r>
        <w:t xml:space="preserve"> </w:t>
      </w:r>
      <w:r w:rsidRPr="0071774C">
        <w:t>Australia.</w:t>
      </w:r>
      <w:r>
        <w:t xml:space="preserve"> </w:t>
      </w:r>
      <w:r w:rsidRPr="0071774C">
        <w:t>Many</w:t>
      </w:r>
      <w:r>
        <w:t xml:space="preserve"> </w:t>
      </w:r>
      <w:r w:rsidRPr="0071774C">
        <w:t>employers</w:t>
      </w:r>
      <w:r>
        <w:t xml:space="preserve"> </w:t>
      </w:r>
      <w:r w:rsidRPr="0071774C">
        <w:t>and</w:t>
      </w:r>
      <w:r>
        <w:t xml:space="preserve"> </w:t>
      </w:r>
      <w:r w:rsidRPr="0071774C">
        <w:t>organisational</w:t>
      </w:r>
      <w:r>
        <w:t xml:space="preserve"> </w:t>
      </w:r>
      <w:r w:rsidRPr="0071774C">
        <w:t>leaders</w:t>
      </w:r>
      <w:r>
        <w:t xml:space="preserve"> </w:t>
      </w:r>
      <w:r w:rsidRPr="0071774C">
        <w:t>have</w:t>
      </w:r>
      <w:r>
        <w:t xml:space="preserve"> </w:t>
      </w:r>
      <w:r w:rsidRPr="0071774C">
        <w:t>responded</w:t>
      </w:r>
      <w:r>
        <w:t xml:space="preserve"> </w:t>
      </w:r>
      <w:r w:rsidRPr="0071774C">
        <w:t>to</w:t>
      </w:r>
      <w:r>
        <w:t xml:space="preserve"> </w:t>
      </w:r>
      <w:r w:rsidRPr="0071774C">
        <w:t>these</w:t>
      </w:r>
      <w:r>
        <w:t xml:space="preserve"> </w:t>
      </w:r>
      <w:r w:rsidRPr="0071774C">
        <w:t>reporting</w:t>
      </w:r>
      <w:r>
        <w:t xml:space="preserve"> </w:t>
      </w:r>
      <w:r w:rsidRPr="0071774C">
        <w:t>requirements</w:t>
      </w:r>
      <w:r>
        <w:t xml:space="preserve"> </w:t>
      </w:r>
      <w:r w:rsidRPr="0071774C">
        <w:t>by</w:t>
      </w:r>
      <w:r>
        <w:t xml:space="preserve"> </w:t>
      </w:r>
      <w:r w:rsidRPr="0071774C">
        <w:t>implementing</w:t>
      </w:r>
      <w:r>
        <w:t xml:space="preserve"> </w:t>
      </w:r>
      <w:r w:rsidRPr="0071774C">
        <w:t>various</w:t>
      </w:r>
      <w:r>
        <w:t xml:space="preserve"> </w:t>
      </w:r>
      <w:r w:rsidRPr="0071774C">
        <w:t>measures,</w:t>
      </w:r>
      <w:r>
        <w:t xml:space="preserve"> </w:t>
      </w:r>
      <w:r w:rsidRPr="0071774C">
        <w:t>for</w:t>
      </w:r>
      <w:r>
        <w:t xml:space="preserve"> </w:t>
      </w:r>
      <w:r w:rsidRPr="0071774C">
        <w:t>example</w:t>
      </w:r>
      <w:r>
        <w:t xml:space="preserve"> </w:t>
      </w:r>
      <w:r w:rsidRPr="0071774C">
        <w:t>by</w:t>
      </w:r>
      <w:r>
        <w:t xml:space="preserve"> </w:t>
      </w:r>
      <w:r w:rsidRPr="0071774C">
        <w:t>adapting</w:t>
      </w:r>
      <w:r>
        <w:t xml:space="preserve"> </w:t>
      </w:r>
      <w:r w:rsidRPr="0071774C">
        <w:t>or</w:t>
      </w:r>
      <w:r>
        <w:t xml:space="preserve"> </w:t>
      </w:r>
      <w:r w:rsidRPr="0071774C">
        <w:t>broadening</w:t>
      </w:r>
      <w:r>
        <w:t xml:space="preserve"> </w:t>
      </w:r>
      <w:r w:rsidRPr="0071774C">
        <w:t>existing</w:t>
      </w:r>
      <w:r>
        <w:t xml:space="preserve"> </w:t>
      </w:r>
      <w:r w:rsidRPr="0071774C">
        <w:t>workplace</w:t>
      </w:r>
      <w:r>
        <w:t xml:space="preserve"> </w:t>
      </w:r>
      <w:r w:rsidRPr="0071774C">
        <w:t>provisions,</w:t>
      </w:r>
      <w:r>
        <w:t xml:space="preserve"> </w:t>
      </w:r>
      <w:r w:rsidRPr="0071774C">
        <w:t>such</w:t>
      </w:r>
      <w:r>
        <w:t xml:space="preserve"> </w:t>
      </w:r>
      <w:r w:rsidRPr="0071774C">
        <w:t>as</w:t>
      </w:r>
      <w:r>
        <w:t xml:space="preserve"> </w:t>
      </w:r>
      <w:r w:rsidRPr="0071774C">
        <w:t>specific</w:t>
      </w:r>
      <w:r>
        <w:t xml:space="preserve"> </w:t>
      </w:r>
      <w:r w:rsidRPr="0071774C">
        <w:t>leave</w:t>
      </w:r>
      <w:r>
        <w:t xml:space="preserve"> </w:t>
      </w:r>
      <w:r w:rsidRPr="0071774C">
        <w:t>entitlements.</w:t>
      </w:r>
      <w:r>
        <w:t xml:space="preserve"> </w:t>
      </w:r>
      <w:r w:rsidRPr="0071774C">
        <w:t>To</w:t>
      </w:r>
      <w:r>
        <w:t xml:space="preserve"> </w:t>
      </w:r>
      <w:r w:rsidRPr="0071774C">
        <w:t>date,</w:t>
      </w:r>
      <w:r>
        <w:t xml:space="preserve"> </w:t>
      </w:r>
      <w:r w:rsidRPr="0071774C">
        <w:t>the</w:t>
      </w:r>
      <w:r>
        <w:t xml:space="preserve"> </w:t>
      </w:r>
      <w:r w:rsidRPr="0071774C">
        <w:t>kinds</w:t>
      </w:r>
      <w:r>
        <w:t xml:space="preserve"> </w:t>
      </w:r>
      <w:r w:rsidRPr="0071774C">
        <w:t>of</w:t>
      </w:r>
      <w:r>
        <w:t xml:space="preserve"> </w:t>
      </w:r>
      <w:r w:rsidRPr="0071774C">
        <w:t>measures</w:t>
      </w:r>
      <w:r>
        <w:t xml:space="preserve"> </w:t>
      </w:r>
      <w:r w:rsidRPr="0071774C">
        <w:t>implemented</w:t>
      </w:r>
      <w:r>
        <w:t xml:space="preserve"> </w:t>
      </w:r>
      <w:r w:rsidRPr="0071774C">
        <w:t>tend</w:t>
      </w:r>
      <w:r>
        <w:t xml:space="preserve"> </w:t>
      </w:r>
      <w:r w:rsidRPr="0071774C">
        <w:t>to</w:t>
      </w:r>
      <w:r>
        <w:t xml:space="preserve"> </w:t>
      </w:r>
      <w:r w:rsidRPr="0071774C">
        <w:t>be</w:t>
      </w:r>
      <w:r>
        <w:t xml:space="preserve"> </w:t>
      </w:r>
      <w:r w:rsidRPr="0071774C">
        <w:t>those</w:t>
      </w:r>
      <w:r>
        <w:t xml:space="preserve"> </w:t>
      </w:r>
      <w:r w:rsidRPr="0071774C">
        <w:t>that</w:t>
      </w:r>
      <w:r>
        <w:t xml:space="preserve"> </w:t>
      </w:r>
      <w:r w:rsidRPr="0071774C">
        <w:t>involve</w:t>
      </w:r>
      <w:r>
        <w:t xml:space="preserve"> </w:t>
      </w:r>
      <w:r w:rsidRPr="0071774C">
        <w:t>changes</w:t>
      </w:r>
      <w:r>
        <w:t xml:space="preserve"> </w:t>
      </w:r>
      <w:r w:rsidRPr="0071774C">
        <w:t>to</w:t>
      </w:r>
      <w:r>
        <w:t xml:space="preserve"> </w:t>
      </w:r>
      <w:r w:rsidRPr="0071774C">
        <w:t>existing</w:t>
      </w:r>
      <w:r>
        <w:t xml:space="preserve"> </w:t>
      </w:r>
      <w:r w:rsidRPr="0071774C">
        <w:t>policies</w:t>
      </w:r>
      <w:r>
        <w:t xml:space="preserve"> </w:t>
      </w:r>
      <w:r w:rsidRPr="0071774C">
        <w:t>or</w:t>
      </w:r>
      <w:r>
        <w:t xml:space="preserve"> </w:t>
      </w:r>
      <w:r w:rsidRPr="0071774C">
        <w:t>procedures</w:t>
      </w:r>
      <w:r>
        <w:t xml:space="preserve"> </w:t>
      </w:r>
      <w:r w:rsidRPr="0071774C">
        <w:t>rather</w:t>
      </w:r>
      <w:r>
        <w:t xml:space="preserve"> </w:t>
      </w:r>
      <w:r w:rsidRPr="0071774C">
        <w:t>than</w:t>
      </w:r>
      <w:r>
        <w:t xml:space="preserve"> </w:t>
      </w:r>
      <w:r w:rsidRPr="0071774C">
        <w:t>those</w:t>
      </w:r>
      <w:r>
        <w:t xml:space="preserve"> </w:t>
      </w:r>
      <w:r w:rsidRPr="0071774C">
        <w:t>that</w:t>
      </w:r>
      <w:r>
        <w:t xml:space="preserve"> </w:t>
      </w:r>
      <w:r w:rsidRPr="0071774C">
        <w:t>require</w:t>
      </w:r>
      <w:r>
        <w:t xml:space="preserve"> </w:t>
      </w:r>
      <w:r w:rsidRPr="0071774C">
        <w:t>redistribution</w:t>
      </w:r>
      <w:r>
        <w:t xml:space="preserve"> </w:t>
      </w:r>
      <w:r w:rsidRPr="0071774C">
        <w:t>of</w:t>
      </w:r>
      <w:r>
        <w:t xml:space="preserve"> </w:t>
      </w:r>
      <w:r w:rsidRPr="0071774C">
        <w:t>resources</w:t>
      </w:r>
      <w:r>
        <w:t xml:space="preserve"> </w:t>
      </w:r>
      <w:r w:rsidRPr="0071774C">
        <w:t>or</w:t>
      </w:r>
      <w:r>
        <w:t xml:space="preserve"> </w:t>
      </w:r>
      <w:r w:rsidRPr="0071774C">
        <w:t>structural</w:t>
      </w:r>
      <w:r>
        <w:t xml:space="preserve"> </w:t>
      </w:r>
      <w:r w:rsidRPr="0071774C">
        <w:t>change.</w:t>
      </w:r>
      <w:r>
        <w:t xml:space="preserve"> </w:t>
      </w:r>
      <w:r w:rsidRPr="0071774C">
        <w:t>To</w:t>
      </w:r>
      <w:r>
        <w:t xml:space="preserve"> </w:t>
      </w:r>
      <w:r w:rsidRPr="0071774C">
        <w:t>increase</w:t>
      </w:r>
      <w:r>
        <w:t xml:space="preserve"> </w:t>
      </w:r>
      <w:r w:rsidRPr="0071774C">
        <w:t>impact,</w:t>
      </w:r>
      <w:r>
        <w:t xml:space="preserve"> </w:t>
      </w:r>
      <w:r w:rsidRPr="0071774C">
        <w:t>the</w:t>
      </w:r>
      <w:r>
        <w:t xml:space="preserve"> </w:t>
      </w:r>
      <w:r w:rsidRPr="0071774C">
        <w:t>next</w:t>
      </w:r>
      <w:r>
        <w:t xml:space="preserve"> </w:t>
      </w:r>
      <w:r w:rsidRPr="0071774C">
        <w:t>stage</w:t>
      </w:r>
      <w:r>
        <w:t xml:space="preserve"> </w:t>
      </w:r>
      <w:r w:rsidRPr="0071774C">
        <w:t>of</w:t>
      </w:r>
      <w:r>
        <w:t xml:space="preserve"> </w:t>
      </w:r>
      <w:r w:rsidRPr="0071774C">
        <w:t>organisational</w:t>
      </w:r>
      <w:r>
        <w:t xml:space="preserve"> </w:t>
      </w:r>
      <w:r w:rsidRPr="0071774C">
        <w:t>leadership</w:t>
      </w:r>
      <w:r>
        <w:t xml:space="preserve"> </w:t>
      </w:r>
      <w:r w:rsidRPr="0071774C">
        <w:t>requires</w:t>
      </w:r>
      <w:r>
        <w:t xml:space="preserve"> </w:t>
      </w:r>
      <w:r w:rsidRPr="0071774C">
        <w:t>actions</w:t>
      </w:r>
      <w:r>
        <w:t xml:space="preserve"> </w:t>
      </w:r>
      <w:r w:rsidRPr="0071774C">
        <w:t>involving</w:t>
      </w:r>
      <w:r>
        <w:t xml:space="preserve"> </w:t>
      </w:r>
      <w:r w:rsidRPr="0071774C">
        <w:t>greater</w:t>
      </w:r>
      <w:r>
        <w:t xml:space="preserve"> </w:t>
      </w:r>
      <w:r w:rsidRPr="0071774C">
        <w:t>effort</w:t>
      </w:r>
      <w:r>
        <w:t xml:space="preserve"> </w:t>
      </w:r>
      <w:r w:rsidRPr="0071774C">
        <w:t>and</w:t>
      </w:r>
      <w:r>
        <w:t xml:space="preserve"> </w:t>
      </w:r>
      <w:r w:rsidRPr="0071774C">
        <w:t>investment</w:t>
      </w:r>
      <w:r>
        <w:t xml:space="preserve"> </w:t>
      </w:r>
      <w:r w:rsidRPr="0071774C">
        <w:t>from</w:t>
      </w:r>
      <w:r>
        <w:t xml:space="preserve"> </w:t>
      </w:r>
      <w:r w:rsidRPr="0071774C">
        <w:t>organisations,</w:t>
      </w:r>
      <w:r>
        <w:t xml:space="preserve"> </w:t>
      </w:r>
      <w:r w:rsidRPr="0071774C">
        <w:t>and</w:t>
      </w:r>
      <w:r>
        <w:t xml:space="preserve"> </w:t>
      </w:r>
      <w:r w:rsidRPr="0071774C">
        <w:t>a</w:t>
      </w:r>
      <w:r>
        <w:t xml:space="preserve"> </w:t>
      </w:r>
      <w:r w:rsidRPr="0071774C">
        <w:t>greater</w:t>
      </w:r>
      <w:r>
        <w:t xml:space="preserve"> </w:t>
      </w:r>
      <w:r w:rsidRPr="0071774C">
        <w:t>redistribution</w:t>
      </w:r>
      <w:r>
        <w:t xml:space="preserve"> </w:t>
      </w:r>
      <w:r w:rsidRPr="0071774C">
        <w:t>of</w:t>
      </w:r>
      <w:r>
        <w:t xml:space="preserve"> </w:t>
      </w:r>
      <w:r w:rsidRPr="0071774C">
        <w:t>resources,</w:t>
      </w:r>
      <w:r>
        <w:t xml:space="preserve"> </w:t>
      </w:r>
      <w:r w:rsidRPr="0071774C">
        <w:t>for</w:t>
      </w:r>
      <w:r>
        <w:t xml:space="preserve"> </w:t>
      </w:r>
      <w:r w:rsidRPr="0071774C">
        <w:t>example</w:t>
      </w:r>
      <w:r>
        <w:t xml:space="preserve"> </w:t>
      </w:r>
      <w:r w:rsidRPr="0071774C">
        <w:t>employers</w:t>
      </w:r>
      <w:r>
        <w:t xml:space="preserve"> </w:t>
      </w:r>
      <w:r w:rsidRPr="0071774C">
        <w:t>ensuring</w:t>
      </w:r>
      <w:r>
        <w:t xml:space="preserve"> </w:t>
      </w:r>
      <w:r w:rsidRPr="0071774C">
        <w:t>equal</w:t>
      </w:r>
      <w:r>
        <w:t xml:space="preserve"> </w:t>
      </w:r>
      <w:r w:rsidRPr="0071774C">
        <w:t>pay</w:t>
      </w:r>
      <w:r>
        <w:t xml:space="preserve"> </w:t>
      </w:r>
      <w:r w:rsidRPr="0071774C">
        <w:t>for</w:t>
      </w:r>
      <w:r>
        <w:t xml:space="preserve"> </w:t>
      </w:r>
      <w:r w:rsidRPr="0071774C">
        <w:t>comparable</w:t>
      </w:r>
      <w:r>
        <w:t xml:space="preserve"> </w:t>
      </w:r>
      <w:r w:rsidRPr="0071774C">
        <w:t>work.</w:t>
      </w:r>
    </w:p>
    <w:p w14:paraId="72606B81" w14:textId="0A3AB1FF" w:rsidR="002C2EC7" w:rsidRDefault="002C2EC7" w:rsidP="00790783">
      <w:pPr>
        <w:pStyle w:val="Heading5"/>
      </w:pPr>
      <w:bookmarkStart w:id="23" w:name="_Toc41559711"/>
      <w:r w:rsidRPr="0071774C">
        <w:t>Public</w:t>
      </w:r>
      <w:r>
        <w:t xml:space="preserve"> </w:t>
      </w:r>
      <w:r w:rsidRPr="0071774C">
        <w:t>statements</w:t>
      </w:r>
      <w:r>
        <w:t xml:space="preserve"> </w:t>
      </w:r>
      <w:r w:rsidRPr="0071774C">
        <w:t>by</w:t>
      </w:r>
      <w:r>
        <w:t xml:space="preserve"> </w:t>
      </w:r>
      <w:r w:rsidRPr="0071774C">
        <w:t>political</w:t>
      </w:r>
      <w:r>
        <w:t xml:space="preserve"> </w:t>
      </w:r>
      <w:r w:rsidRPr="0071774C">
        <w:t>leaders,</w:t>
      </w:r>
      <w:r>
        <w:t xml:space="preserve"> </w:t>
      </w:r>
      <w:r w:rsidRPr="0071774C">
        <w:t>across</w:t>
      </w:r>
      <w:r>
        <w:t xml:space="preserve"> </w:t>
      </w:r>
      <w:r w:rsidRPr="0071774C">
        <w:t>the</w:t>
      </w:r>
      <w:r>
        <w:t xml:space="preserve"> </w:t>
      </w:r>
      <w:r w:rsidRPr="0071774C">
        <w:t>political</w:t>
      </w:r>
      <w:r>
        <w:t xml:space="preserve"> </w:t>
      </w:r>
      <w:r w:rsidRPr="0071774C">
        <w:t>spectrum</w:t>
      </w:r>
      <w:r>
        <w:t xml:space="preserve"> </w:t>
      </w:r>
      <w:r w:rsidRPr="0071774C">
        <w:t>and</w:t>
      </w:r>
      <w:r w:rsidR="00851841">
        <w:t> </w:t>
      </w:r>
      <w:r w:rsidRPr="0071774C">
        <w:t>at</w:t>
      </w:r>
      <w:r w:rsidR="00851841">
        <w:t> </w:t>
      </w:r>
      <w:r w:rsidRPr="0071774C">
        <w:t>different</w:t>
      </w:r>
      <w:r>
        <w:t xml:space="preserve"> </w:t>
      </w:r>
      <w:r w:rsidRPr="0071774C">
        <w:t>levels</w:t>
      </w:r>
      <w:r>
        <w:t xml:space="preserve"> </w:t>
      </w:r>
      <w:r w:rsidRPr="0071774C">
        <w:t>of</w:t>
      </w:r>
      <w:r>
        <w:t xml:space="preserve"> </w:t>
      </w:r>
      <w:r w:rsidRPr="0071774C">
        <w:t>government</w:t>
      </w:r>
      <w:bookmarkEnd w:id="23"/>
    </w:p>
    <w:p w14:paraId="78092AC5" w14:textId="70924070" w:rsidR="002C2EC7" w:rsidRPr="00384786" w:rsidRDefault="002C2EC7" w:rsidP="00790783">
      <w:pPr>
        <w:pStyle w:val="BodyText"/>
      </w:pPr>
      <w:r w:rsidRPr="00384786">
        <w:t>One way that leadership on the prevention of violence against women and the promotion of</w:t>
      </w:r>
      <w:r w:rsidR="00851841">
        <w:t> </w:t>
      </w:r>
      <w:r w:rsidRPr="00384786">
        <w:t>gender equality is demonstrated is through public statements made by political leaders, across the political spectrum and at different levels of government.</w:t>
      </w:r>
    </w:p>
    <w:p w14:paraId="12BAD1F6" w14:textId="36FE6722" w:rsidR="002C2EC7" w:rsidRDefault="002C2EC7" w:rsidP="00790783">
      <w:pPr>
        <w:pStyle w:val="BodyText"/>
      </w:pPr>
      <w:r w:rsidRPr="0071774C">
        <w:t>While</w:t>
      </w:r>
      <w:r>
        <w:t xml:space="preserve"> </w:t>
      </w:r>
      <w:r w:rsidR="007E24AD">
        <w:t xml:space="preserve">focusing </w:t>
      </w:r>
      <w:r w:rsidR="005B6A36">
        <w:t>o</w:t>
      </w:r>
      <w:r w:rsidR="007E24AD">
        <w:t xml:space="preserve">n public statements </w:t>
      </w:r>
      <w:r w:rsidRPr="0071774C">
        <w:t>does</w:t>
      </w:r>
      <w:r>
        <w:t xml:space="preserve"> </w:t>
      </w:r>
      <w:r w:rsidRPr="0071774C">
        <w:t>not</w:t>
      </w:r>
      <w:r>
        <w:t xml:space="preserve"> </w:t>
      </w:r>
      <w:r w:rsidRPr="0071774C">
        <w:t>measure</w:t>
      </w:r>
      <w:r>
        <w:t xml:space="preserve"> </w:t>
      </w:r>
      <w:r w:rsidRPr="0071774C">
        <w:t>action</w:t>
      </w:r>
      <w:r>
        <w:t xml:space="preserve"> </w:t>
      </w:r>
      <w:r w:rsidRPr="0071774C">
        <w:t>taken,</w:t>
      </w:r>
      <w:r>
        <w:t xml:space="preserve"> </w:t>
      </w:r>
      <w:r w:rsidRPr="0071774C">
        <w:t>it</w:t>
      </w:r>
      <w:r>
        <w:t xml:space="preserve"> </w:t>
      </w:r>
      <w:r w:rsidRPr="0071774C">
        <w:t>does</w:t>
      </w:r>
      <w:r>
        <w:t xml:space="preserve"> </w:t>
      </w:r>
      <w:r w:rsidRPr="0071774C">
        <w:t>provide</w:t>
      </w:r>
      <w:r>
        <w:t xml:space="preserve"> </w:t>
      </w:r>
      <w:r w:rsidRPr="0071774C">
        <w:t>an</w:t>
      </w:r>
      <w:r>
        <w:t xml:space="preserve"> </w:t>
      </w:r>
      <w:r w:rsidRPr="0071774C">
        <w:t>indication</w:t>
      </w:r>
      <w:r>
        <w:t xml:space="preserve"> </w:t>
      </w:r>
      <w:r w:rsidRPr="0071774C">
        <w:t>of</w:t>
      </w:r>
      <w:r>
        <w:t xml:space="preserve"> </w:t>
      </w:r>
      <w:r w:rsidRPr="0071774C">
        <w:t>the</w:t>
      </w:r>
      <w:r>
        <w:t xml:space="preserve"> </w:t>
      </w:r>
      <w:r w:rsidRPr="0071774C">
        <w:t>presence</w:t>
      </w:r>
      <w:r>
        <w:t xml:space="preserve"> </w:t>
      </w:r>
      <w:r w:rsidRPr="0071774C">
        <w:t>and</w:t>
      </w:r>
      <w:r>
        <w:t xml:space="preserve"> </w:t>
      </w:r>
      <w:r w:rsidRPr="0071774C">
        <w:t>prominence</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in</w:t>
      </w:r>
      <w:r>
        <w:t xml:space="preserve"> </w:t>
      </w:r>
      <w:r w:rsidRPr="0071774C">
        <w:t>political</w:t>
      </w:r>
      <w:r>
        <w:t xml:space="preserve"> </w:t>
      </w:r>
      <w:r w:rsidRPr="0071774C">
        <w:t>(or</w:t>
      </w:r>
      <w:r>
        <w:t xml:space="preserve"> </w:t>
      </w:r>
      <w:r w:rsidRPr="0071774C">
        <w:t>at</w:t>
      </w:r>
      <w:r>
        <w:t xml:space="preserve"> </w:t>
      </w:r>
      <w:r w:rsidRPr="0071774C">
        <w:t>least</w:t>
      </w:r>
      <w:r w:rsidR="006C6CFA">
        <w:t> </w:t>
      </w:r>
      <w:r w:rsidRPr="0071774C">
        <w:t>parliamentary)</w:t>
      </w:r>
      <w:r>
        <w:t xml:space="preserve"> </w:t>
      </w:r>
      <w:r w:rsidRPr="0071774C">
        <w:t>discourse.</w:t>
      </w:r>
      <w:r>
        <w:t xml:space="preserve"> </w:t>
      </w:r>
      <w:r w:rsidRPr="0071774C">
        <w:t>As</w:t>
      </w:r>
      <w:r>
        <w:t xml:space="preserve"> </w:t>
      </w:r>
      <w:r w:rsidRPr="0071774C">
        <w:t>such</w:t>
      </w:r>
      <w:r>
        <w:t xml:space="preserve">, </w:t>
      </w:r>
      <w:r w:rsidRPr="0071774C">
        <w:t>this</w:t>
      </w:r>
      <w:r>
        <w:t xml:space="preserve"> </w:t>
      </w:r>
      <w:r w:rsidRPr="0071774C">
        <w:t>measure</w:t>
      </w:r>
      <w:r>
        <w:t xml:space="preserve"> </w:t>
      </w:r>
      <w:r w:rsidRPr="0071774C">
        <w:t>can</w:t>
      </w:r>
      <w:r>
        <w:t xml:space="preserve"> </w:t>
      </w:r>
      <w:r w:rsidRPr="0071774C">
        <w:t>help</w:t>
      </w:r>
      <w:r>
        <w:t xml:space="preserve"> </w:t>
      </w:r>
      <w:r w:rsidRPr="0071774C">
        <w:t>identify</w:t>
      </w:r>
      <w:r>
        <w:t xml:space="preserve"> </w:t>
      </w:r>
      <w:r w:rsidRPr="0071774C">
        <w:t>the</w:t>
      </w:r>
      <w:r>
        <w:t xml:space="preserve"> </w:t>
      </w:r>
      <w:r w:rsidRPr="0071774C">
        <w:t>emergence</w:t>
      </w:r>
      <w:r>
        <w:t xml:space="preserve"> </w:t>
      </w:r>
      <w:r w:rsidRPr="0071774C">
        <w:t>of</w:t>
      </w:r>
      <w:r>
        <w:t xml:space="preserve"> </w:t>
      </w:r>
      <w:r w:rsidRPr="0071774C">
        <w:t>new</w:t>
      </w:r>
      <w:r>
        <w:t xml:space="preserve"> </w:t>
      </w:r>
      <w:r w:rsidRPr="0071774C">
        <w:t>trends</w:t>
      </w:r>
      <w:r>
        <w:t xml:space="preserve"> </w:t>
      </w:r>
      <w:r w:rsidRPr="0071774C">
        <w:t>in</w:t>
      </w:r>
      <w:r>
        <w:t xml:space="preserve"> </w:t>
      </w:r>
      <w:r w:rsidRPr="0071774C">
        <w:t>attention</w:t>
      </w:r>
      <w:r>
        <w:t xml:space="preserve"> </w:t>
      </w:r>
      <w:r w:rsidRPr="0071774C">
        <w:t>to</w:t>
      </w:r>
      <w:r>
        <w:t xml:space="preserve"> </w:t>
      </w:r>
      <w:r w:rsidRPr="0071774C">
        <w:t>the</w:t>
      </w:r>
      <w:r>
        <w:t xml:space="preserve"> </w:t>
      </w:r>
      <w:r w:rsidRPr="0071774C">
        <w:t>issue,</w:t>
      </w:r>
      <w:r>
        <w:t xml:space="preserve"> </w:t>
      </w:r>
      <w:r w:rsidRPr="0071774C">
        <w:t>which</w:t>
      </w:r>
      <w:r>
        <w:t xml:space="preserve"> </w:t>
      </w:r>
      <w:r w:rsidRPr="0071774C">
        <w:t>can</w:t>
      </w:r>
      <w:r>
        <w:t xml:space="preserve"> </w:t>
      </w:r>
      <w:r w:rsidRPr="0071774C">
        <w:t>be</w:t>
      </w:r>
      <w:r>
        <w:t xml:space="preserve"> </w:t>
      </w:r>
      <w:r w:rsidRPr="0071774C">
        <w:t>a</w:t>
      </w:r>
      <w:r>
        <w:t xml:space="preserve"> </w:t>
      </w:r>
      <w:r w:rsidRPr="0071774C">
        <w:t>precursor</w:t>
      </w:r>
      <w:r>
        <w:t xml:space="preserve"> </w:t>
      </w:r>
      <w:r w:rsidRPr="0071774C">
        <w:t>to</w:t>
      </w:r>
      <w:r>
        <w:t xml:space="preserve"> </w:t>
      </w:r>
      <w:r w:rsidRPr="0071774C">
        <w:t>action</w:t>
      </w:r>
      <w:r>
        <w:t xml:space="preserve"> </w:t>
      </w:r>
      <w:r w:rsidRPr="0071774C">
        <w:t>to</w:t>
      </w:r>
      <w:r>
        <w:t xml:space="preserve"> </w:t>
      </w:r>
      <w:r w:rsidRPr="0071774C">
        <w:t>address</w:t>
      </w:r>
      <w:r>
        <w:t xml:space="preserve"> </w:t>
      </w:r>
      <w:r w:rsidRPr="0071774C">
        <w:t>it.</w:t>
      </w:r>
    </w:p>
    <w:p w14:paraId="241590BA" w14:textId="03434DB9" w:rsidR="002C2EC7" w:rsidRDefault="002C2EC7" w:rsidP="00790783">
      <w:pPr>
        <w:pStyle w:val="BodyText"/>
      </w:pPr>
      <w:r w:rsidRPr="0071774C">
        <w:t>As</w:t>
      </w:r>
      <w:r>
        <w:t xml:space="preserve"> </w:t>
      </w:r>
      <w:r w:rsidRPr="0071774C">
        <w:t>a</w:t>
      </w:r>
      <w:r>
        <w:t xml:space="preserve"> </w:t>
      </w:r>
      <w:r w:rsidRPr="0071774C">
        <w:t>starting</w:t>
      </w:r>
      <w:r>
        <w:t xml:space="preserve"> </w:t>
      </w:r>
      <w:r w:rsidRPr="0071774C">
        <w:t>point,</w:t>
      </w:r>
      <w:r>
        <w:t xml:space="preserve"> </w:t>
      </w:r>
      <w:r w:rsidRPr="0071774C">
        <w:t>we</w:t>
      </w:r>
      <w:r>
        <w:t xml:space="preserve"> </w:t>
      </w:r>
      <w:r w:rsidRPr="0071774C">
        <w:t>measured</w:t>
      </w:r>
      <w:r>
        <w:t xml:space="preserve"> </w:t>
      </w:r>
      <w:r w:rsidRPr="0071774C">
        <w:t>the</w:t>
      </w:r>
      <w:r>
        <w:t xml:space="preserve"> </w:t>
      </w:r>
      <w:r w:rsidRPr="0071774C">
        <w:t>number</w:t>
      </w:r>
      <w:r>
        <w:t xml:space="preserve"> </w:t>
      </w:r>
      <w:r w:rsidRPr="0071774C">
        <w:t>of</w:t>
      </w:r>
      <w:r>
        <w:t xml:space="preserve"> </w:t>
      </w:r>
      <w:r w:rsidRPr="0071774C">
        <w:t>times</w:t>
      </w:r>
      <w:r>
        <w:t xml:space="preserve"> </w:t>
      </w:r>
      <w:r w:rsidRPr="0071774C">
        <w:t>public</w:t>
      </w:r>
      <w:r>
        <w:t xml:space="preserve"> </w:t>
      </w:r>
      <w:r w:rsidRPr="0071774C">
        <w:t>statements</w:t>
      </w:r>
      <w:r>
        <w:t xml:space="preserve"> </w:t>
      </w:r>
      <w:r w:rsidRPr="0071774C">
        <w:t>including</w:t>
      </w:r>
      <w:r>
        <w:t xml:space="preserve"> </w:t>
      </w:r>
      <w:r w:rsidRPr="0071774C">
        <w:t>keywords</w:t>
      </w:r>
      <w:r w:rsidR="00851841">
        <w:t> </w:t>
      </w:r>
      <w:r w:rsidRPr="0071774C">
        <w:t>linked</w:t>
      </w:r>
      <w:r>
        <w:t xml:space="preserve"> </w:t>
      </w:r>
      <w:r w:rsidRPr="0071774C">
        <w:t>to</w:t>
      </w:r>
      <w:r>
        <w:t xml:space="preserve"> </w:t>
      </w:r>
      <w:r w:rsidRPr="0071774C">
        <w:t>the</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were</w:t>
      </w:r>
      <w:r>
        <w:t xml:space="preserve"> </w:t>
      </w:r>
      <w:r w:rsidRPr="0071774C">
        <w:t>recorded</w:t>
      </w:r>
      <w:r>
        <w:t xml:space="preserve"> </w:t>
      </w:r>
      <w:r w:rsidRPr="0071774C">
        <w:t>within</w:t>
      </w:r>
      <w:r>
        <w:t xml:space="preserve"> </w:t>
      </w:r>
      <w:r w:rsidRPr="0071774C">
        <w:t>the</w:t>
      </w:r>
      <w:r>
        <w:t xml:space="preserve"> </w:t>
      </w:r>
      <w:r w:rsidRPr="0071774C">
        <w:t>Commonwealth</w:t>
      </w:r>
      <w:r>
        <w:t xml:space="preserve"> </w:t>
      </w:r>
      <w:r w:rsidRPr="0071774C">
        <w:t>Senate</w:t>
      </w:r>
      <w:r>
        <w:t xml:space="preserve"> </w:t>
      </w:r>
      <w:r w:rsidRPr="0071774C">
        <w:t>and</w:t>
      </w:r>
      <w:r>
        <w:t xml:space="preserve"> </w:t>
      </w:r>
      <w:r w:rsidRPr="0071774C">
        <w:t>House</w:t>
      </w:r>
      <w:r>
        <w:t xml:space="preserve"> </w:t>
      </w:r>
      <w:r w:rsidRPr="0071774C">
        <w:t>of</w:t>
      </w:r>
      <w:r>
        <w:t xml:space="preserve"> </w:t>
      </w:r>
      <w:r w:rsidRPr="0071774C">
        <w:t>Representatives,</w:t>
      </w:r>
      <w:r>
        <w:t xml:space="preserve"> </w:t>
      </w:r>
      <w:r w:rsidRPr="0071774C">
        <w:t>the</w:t>
      </w:r>
      <w:r>
        <w:t xml:space="preserve"> </w:t>
      </w:r>
      <w:r w:rsidRPr="0071774C">
        <w:t>Parliament</w:t>
      </w:r>
      <w:r>
        <w:t xml:space="preserve"> </w:t>
      </w:r>
      <w:r w:rsidRPr="0071774C">
        <w:t>of</w:t>
      </w:r>
      <w:r>
        <w:t xml:space="preserve"> </w:t>
      </w:r>
      <w:r w:rsidRPr="0071774C">
        <w:t>New</w:t>
      </w:r>
      <w:r>
        <w:t xml:space="preserve"> </w:t>
      </w:r>
      <w:r w:rsidRPr="0071774C">
        <w:t>South</w:t>
      </w:r>
      <w:r>
        <w:t xml:space="preserve"> </w:t>
      </w:r>
      <w:r w:rsidRPr="0071774C">
        <w:t>Wales</w:t>
      </w:r>
      <w:r>
        <w:t xml:space="preserve"> </w:t>
      </w:r>
      <w:r w:rsidRPr="0071774C">
        <w:t>and</w:t>
      </w:r>
      <w:r>
        <w:t xml:space="preserve"> </w:t>
      </w:r>
      <w:r w:rsidRPr="0071774C">
        <w:t>the</w:t>
      </w:r>
      <w:r>
        <w:t xml:space="preserve"> </w:t>
      </w:r>
      <w:r w:rsidRPr="0071774C">
        <w:t>Parliament</w:t>
      </w:r>
      <w:r>
        <w:t xml:space="preserve"> </w:t>
      </w:r>
      <w:r w:rsidRPr="0071774C">
        <w:t>of</w:t>
      </w:r>
      <w:r>
        <w:t xml:space="preserve"> </w:t>
      </w:r>
      <w:r w:rsidRPr="0071774C">
        <w:t>South</w:t>
      </w:r>
      <w:r>
        <w:t xml:space="preserve"> </w:t>
      </w:r>
      <w:r w:rsidRPr="0071774C">
        <w:t>Australia.</w:t>
      </w:r>
      <w:r>
        <w:t xml:space="preserve"> </w:t>
      </w:r>
      <w:r w:rsidRPr="0071774C">
        <w:t>These</w:t>
      </w:r>
      <w:r>
        <w:t xml:space="preserve"> </w:t>
      </w:r>
      <w:r w:rsidRPr="0071774C">
        <w:t>jurisdictions</w:t>
      </w:r>
      <w:r>
        <w:t xml:space="preserve"> </w:t>
      </w:r>
      <w:r w:rsidRPr="0071774C">
        <w:t>were</w:t>
      </w:r>
      <w:r>
        <w:t xml:space="preserve"> </w:t>
      </w:r>
      <w:r w:rsidRPr="0071774C">
        <w:t>chosen</w:t>
      </w:r>
      <w:r>
        <w:t xml:space="preserve"> </w:t>
      </w:r>
      <w:r w:rsidRPr="0071774C">
        <w:t>as</w:t>
      </w:r>
      <w:r>
        <w:t xml:space="preserve"> </w:t>
      </w:r>
      <w:r w:rsidRPr="0071774C">
        <w:t>a</w:t>
      </w:r>
      <w:r>
        <w:t xml:space="preserve"> </w:t>
      </w:r>
      <w:r w:rsidRPr="0071774C">
        <w:t>sample</w:t>
      </w:r>
      <w:r>
        <w:t xml:space="preserve"> </w:t>
      </w:r>
      <w:r w:rsidRPr="0071774C">
        <w:t>because</w:t>
      </w:r>
      <w:r>
        <w:t xml:space="preserve"> </w:t>
      </w:r>
      <w:r w:rsidRPr="0071774C">
        <w:t>they</w:t>
      </w:r>
      <w:r>
        <w:t xml:space="preserve"> </w:t>
      </w:r>
      <w:r w:rsidRPr="0071774C">
        <w:t>had</w:t>
      </w:r>
      <w:r>
        <w:t xml:space="preserve"> </w:t>
      </w:r>
      <w:r w:rsidRPr="0071774C">
        <w:t>the</w:t>
      </w:r>
      <w:r>
        <w:t xml:space="preserve"> </w:t>
      </w:r>
      <w:r w:rsidRPr="0071774C">
        <w:t>most</w:t>
      </w:r>
      <w:r>
        <w:t xml:space="preserve"> </w:t>
      </w:r>
      <w:r w:rsidRPr="0071774C">
        <w:t>comparable</w:t>
      </w:r>
      <w:r>
        <w:t xml:space="preserve"> </w:t>
      </w:r>
      <w:r w:rsidRPr="0071774C">
        <w:t>search</w:t>
      </w:r>
      <w:r>
        <w:t xml:space="preserve"> </w:t>
      </w:r>
      <w:r w:rsidRPr="0071774C">
        <w:t>functions</w:t>
      </w:r>
      <w:r>
        <w:t xml:space="preserve"> </w:t>
      </w:r>
      <w:r w:rsidRPr="0071774C">
        <w:t>(</w:t>
      </w:r>
      <w:r>
        <w:t xml:space="preserve">for the full methodology, </w:t>
      </w:r>
      <w:r w:rsidRPr="0071774C">
        <w:t>see</w:t>
      </w:r>
      <w:r>
        <w:t xml:space="preserve"> </w:t>
      </w:r>
      <w:r w:rsidRPr="0071774C">
        <w:t>Appendix</w:t>
      </w:r>
      <w:r>
        <w:t xml:space="preserve"> </w:t>
      </w:r>
      <w:r w:rsidRPr="0071774C">
        <w:t>A</w:t>
      </w:r>
      <w:r>
        <w:t>: Methodology and limitations</w:t>
      </w:r>
      <w:r w:rsidRPr="0071774C">
        <w:t>).</w:t>
      </w:r>
    </w:p>
    <w:p w14:paraId="6A5DF88C" w14:textId="390192B8" w:rsidR="002C2EC7" w:rsidRDefault="002C2EC7" w:rsidP="00790783">
      <w:pPr>
        <w:pStyle w:val="BodyText"/>
        <w:rPr>
          <w:sz w:val="22"/>
          <w:szCs w:val="22"/>
        </w:rPr>
      </w:pPr>
      <w:r w:rsidRPr="000A6957">
        <w:rPr>
          <w:bCs/>
        </w:rPr>
        <w:t>All</w:t>
      </w:r>
      <w:r w:rsidR="00CB4F48">
        <w:rPr>
          <w:bCs/>
        </w:rPr>
        <w:t xml:space="preserve"> three</w:t>
      </w:r>
      <w:r w:rsidRPr="000A6957">
        <w:rPr>
          <w:bCs/>
        </w:rPr>
        <w:t xml:space="preserve"> jurisdictions saw an increase in mentions of violence against women and primary prevention over the decade, with the lowest point being in 2009 across all jurisdictions, and</w:t>
      </w:r>
      <w:r w:rsidR="00851841">
        <w:rPr>
          <w:bCs/>
        </w:rPr>
        <w:t> </w:t>
      </w:r>
      <w:r w:rsidRPr="000A6957">
        <w:rPr>
          <w:bCs/>
        </w:rPr>
        <w:t>the highest number of mentions occurring in 2018 in the Commonwealth Parliament (see Figure 1), 2015 in the New South Wales Parliament (see Figure 2), and 2014 in the South Australian Parliament (see Figure 3).</w:t>
      </w:r>
      <w:r w:rsidRPr="000A6957">
        <w:t xml:space="preserve"> Across the three jurisdictions, use of the term ‘domestic violence’ also increased across the decade, with New South Wales and South Australia recording the most mentions in 2016, followed by the Commonwealth in 2018. The terms ‘gender equality’ and ‘gender pay gap’ also received their highest number of mentions between 2015 and 2018 across all jurisdictions. From 2013 onwards, Commonwealth mentions of ‘family violence’ and ‘domestic violence’ track along a similar trajectory, spiking</w:t>
      </w:r>
      <w:r w:rsidR="00851841">
        <w:t> </w:t>
      </w:r>
      <w:r w:rsidRPr="000A6957">
        <w:t xml:space="preserve">and dropping in parallel. During this time, the terms ‘violence against women’ and </w:t>
      </w:r>
      <w:r w:rsidRPr="000A6957">
        <w:lastRenderedPageBreak/>
        <w:t xml:space="preserve">‘gender equality’ also track along a similar trajectory to each other, with some peaks and troughs at the same time as mentions of domestic violence and family violence </w:t>
      </w:r>
      <w:r w:rsidR="000A6957">
        <w:t>(Figure 1</w:t>
      </w:r>
      <w:r w:rsidRPr="000A6957">
        <w:t>).</w:t>
      </w:r>
      <w:r w:rsidRPr="000A6957">
        <w:rPr>
          <w:rStyle w:val="EndnoteReference"/>
          <w:sz w:val="22"/>
          <w:szCs w:val="22"/>
        </w:rPr>
        <w:endnoteReference w:id="20"/>
      </w:r>
    </w:p>
    <w:p w14:paraId="32150FEA" w14:textId="3B9AD61E" w:rsidR="002C2EC7" w:rsidRDefault="002C2EC7" w:rsidP="000A6957">
      <w:pPr>
        <w:pStyle w:val="OWFigurecaption"/>
        <w:spacing w:after="240"/>
      </w:pPr>
      <w:bookmarkStart w:id="24" w:name="_Toc41440687"/>
      <w:r w:rsidRPr="0071774C">
        <w:t>Figure</w:t>
      </w:r>
      <w:r w:rsidR="0017588F">
        <w:t xml:space="preserve"> 1</w:t>
      </w:r>
      <w:r w:rsidRPr="0071774C">
        <w:rPr>
          <w:noProof/>
        </w:rPr>
        <w:t>:</w:t>
      </w:r>
      <w:r>
        <w:t xml:space="preserve"> </w:t>
      </w:r>
      <w:r w:rsidRPr="0071774C">
        <w:t>Commonwealth</w:t>
      </w:r>
      <w:r>
        <w:t xml:space="preserve"> </w:t>
      </w:r>
      <w:r w:rsidRPr="0071774C">
        <w:t>Parliament</w:t>
      </w:r>
      <w:r>
        <w:t xml:space="preserve"> </w:t>
      </w:r>
      <w:r w:rsidRPr="0071774C">
        <w:t>Hansard</w:t>
      </w:r>
      <w:r w:rsidRPr="001162C4">
        <w:rPr>
          <w:rStyle w:val="EndnoteReference"/>
        </w:rPr>
        <w:endnoteReference w:id="21"/>
      </w:r>
      <w:r w:rsidRPr="001162C4">
        <w:t xml:space="preserve"> </w:t>
      </w:r>
      <w:r w:rsidRPr="0071774C">
        <w:t>mentions</w:t>
      </w:r>
      <w:r>
        <w:t xml:space="preserve"> </w:t>
      </w:r>
      <w:r w:rsidRPr="0071774C">
        <w:t>by</w:t>
      </w:r>
      <w:r>
        <w:t xml:space="preserve"> </w:t>
      </w:r>
      <w:r w:rsidRPr="0071774C">
        <w:t>year</w:t>
      </w:r>
      <w:r>
        <w:t xml:space="preserve"> </w:t>
      </w:r>
      <w:r w:rsidRPr="0071774C">
        <w:t>for</w:t>
      </w:r>
      <w:r>
        <w:t xml:space="preserve"> </w:t>
      </w:r>
      <w:r w:rsidRPr="0071774C">
        <w:t>select</w:t>
      </w:r>
      <w:r>
        <w:t xml:space="preserve"> </w:t>
      </w:r>
      <w:r w:rsidRPr="0071774C">
        <w:t>search</w:t>
      </w:r>
      <w:r>
        <w:t xml:space="preserve"> </w:t>
      </w:r>
      <w:r w:rsidRPr="0071774C">
        <w:t>terms</w:t>
      </w:r>
      <w:bookmarkEnd w:id="24"/>
    </w:p>
    <w:p w14:paraId="6D1063EA" w14:textId="02867371" w:rsidR="002C2EC7" w:rsidRDefault="00623193" w:rsidP="00790783">
      <w:pPr>
        <w:pStyle w:val="OWFigureinline"/>
        <w:rPr>
          <w:noProof/>
          <w:sz w:val="22"/>
          <w:szCs w:val="22"/>
        </w:rPr>
      </w:pPr>
      <w:r>
        <w:rPr>
          <w:noProof/>
        </w:rPr>
        <w:drawing>
          <wp:inline distT="0" distB="0" distL="0" distR="0" wp14:anchorId="1311C635" wp14:editId="1EC97F3F">
            <wp:extent cx="5730874" cy="3724910"/>
            <wp:effectExtent l="0" t="0" r="3175" b="8890"/>
            <wp:docPr id="471653549" name="Picture 23" descr="Line graph. Follow the link below for the data table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53549" name="Picture 23" descr="Line graph. Follow the link below for the data table of this figure."/>
                    <pic:cNvPicPr/>
                  </pic:nvPicPr>
                  <pic:blipFill>
                    <a:blip r:embed="rId19">
                      <a:extLst>
                        <a:ext uri="{28A0092B-C50C-407E-A947-70E740481C1C}">
                          <a14:useLocalDpi xmlns:a14="http://schemas.microsoft.com/office/drawing/2010/main" val="0"/>
                        </a:ext>
                      </a:extLst>
                    </a:blip>
                    <a:stretch>
                      <a:fillRect/>
                    </a:stretch>
                  </pic:blipFill>
                  <pic:spPr>
                    <a:xfrm>
                      <a:off x="0" y="0"/>
                      <a:ext cx="5730874" cy="3724910"/>
                    </a:xfrm>
                    <a:prstGeom prst="rect">
                      <a:avLst/>
                    </a:prstGeom>
                  </pic:spPr>
                </pic:pic>
              </a:graphicData>
            </a:graphic>
          </wp:inline>
        </w:drawing>
      </w:r>
    </w:p>
    <w:p w14:paraId="19C8DA01" w14:textId="77777777" w:rsidR="000A6957" w:rsidRDefault="002C2EC7" w:rsidP="000A6957">
      <w:pPr>
        <w:pStyle w:val="OWFigurefootnote"/>
        <w:spacing w:after="80"/>
      </w:pPr>
      <w:bookmarkStart w:id="25" w:name="_Hlk8982282"/>
      <w:r w:rsidRPr="00384786">
        <w:t>Source</w:t>
      </w:r>
      <w:r w:rsidR="000A6957">
        <w:t>s</w:t>
      </w:r>
      <w:r w:rsidRPr="00384786">
        <w:t>:</w:t>
      </w:r>
    </w:p>
    <w:p w14:paraId="28D5F508" w14:textId="50E5800A" w:rsidR="002C2EC7" w:rsidRPr="00384786" w:rsidRDefault="002C2EC7" w:rsidP="000A6957">
      <w:pPr>
        <w:pStyle w:val="OWFigurefootnote"/>
        <w:spacing w:after="80"/>
      </w:pPr>
      <w:r w:rsidRPr="00384786">
        <w:t xml:space="preserve">Commonwealth, </w:t>
      </w:r>
      <w:r w:rsidRPr="00384786">
        <w:rPr>
          <w:rStyle w:val="Emphasis"/>
        </w:rPr>
        <w:t>Parliamentary Debates</w:t>
      </w:r>
      <w:r w:rsidRPr="00384786">
        <w:t>, House of Representatives, records from January 1</w:t>
      </w:r>
      <w:r w:rsidRPr="002C6D1A">
        <w:t>st</w:t>
      </w:r>
      <w:r w:rsidRPr="00384786">
        <w:t xml:space="preserve"> 2009 to</w:t>
      </w:r>
      <w:r w:rsidR="000F1A1D">
        <w:t> </w:t>
      </w:r>
      <w:r w:rsidRPr="00384786">
        <w:t>December 31</w:t>
      </w:r>
      <w:r w:rsidRPr="002C6D1A">
        <w:t>st</w:t>
      </w:r>
      <w:r w:rsidRPr="00384786">
        <w:t xml:space="preserve"> 2019, retrieved from</w:t>
      </w:r>
      <w:r w:rsidR="000F1A1D">
        <w:t xml:space="preserve"> </w:t>
      </w:r>
      <w:hyperlink r:id="rId20" w:history="1">
        <w:r w:rsidR="000F1A1D" w:rsidRPr="000F1A1D">
          <w:rPr>
            <w:rStyle w:val="Hyperlink"/>
          </w:rPr>
          <w:t>Parl</w:t>
        </w:r>
        <w:r w:rsidR="005C2A75">
          <w:rPr>
            <w:rStyle w:val="Hyperlink"/>
          </w:rPr>
          <w:t>Info</w:t>
        </w:r>
        <w:r w:rsidR="000F1A1D" w:rsidRPr="000F1A1D">
          <w:rPr>
            <w:rStyle w:val="Hyperlink"/>
          </w:rPr>
          <w:t xml:space="preserve"> Search</w:t>
        </w:r>
      </w:hyperlink>
    </w:p>
    <w:p w14:paraId="3325F279" w14:textId="0F6DE0E5" w:rsidR="002C2EC7" w:rsidRPr="00384786" w:rsidRDefault="002C2EC7" w:rsidP="000A6957">
      <w:pPr>
        <w:pStyle w:val="OWFigurefootnote"/>
        <w:spacing w:after="80"/>
      </w:pPr>
      <w:r w:rsidRPr="00384786">
        <w:t xml:space="preserve">Commonwealth, </w:t>
      </w:r>
      <w:r w:rsidRPr="00384786">
        <w:rPr>
          <w:rStyle w:val="Emphasis"/>
        </w:rPr>
        <w:t>Parliamentary Debates</w:t>
      </w:r>
      <w:r w:rsidRPr="00384786">
        <w:t>, Senate, records from January 1</w:t>
      </w:r>
      <w:r w:rsidRPr="002C6D1A">
        <w:t>st</w:t>
      </w:r>
      <w:r w:rsidRPr="00384786">
        <w:t xml:space="preserve"> 2009 to December 31</w:t>
      </w:r>
      <w:r w:rsidRPr="002C6D1A">
        <w:t>st</w:t>
      </w:r>
      <w:r w:rsidRPr="00384786">
        <w:t xml:space="preserve"> 2019, retrieved from </w:t>
      </w:r>
      <w:hyperlink r:id="rId21" w:history="1">
        <w:r w:rsidR="00492B47" w:rsidRPr="000F1A1D">
          <w:rPr>
            <w:rStyle w:val="Hyperlink"/>
          </w:rPr>
          <w:t>Parl</w:t>
        </w:r>
        <w:r w:rsidR="005C2A75">
          <w:rPr>
            <w:rStyle w:val="Hyperlink"/>
          </w:rPr>
          <w:t>Info</w:t>
        </w:r>
        <w:r w:rsidR="00492B47" w:rsidRPr="000F1A1D">
          <w:rPr>
            <w:rStyle w:val="Hyperlink"/>
          </w:rPr>
          <w:t xml:space="preserve"> Search</w:t>
        </w:r>
      </w:hyperlink>
    </w:p>
    <w:p w14:paraId="51D3D922" w14:textId="1D02C5E9" w:rsidR="002C2EC7" w:rsidRPr="00384786" w:rsidRDefault="002C2EC7" w:rsidP="00790783">
      <w:pPr>
        <w:pStyle w:val="OWFigurefootnote"/>
      </w:pPr>
      <w:r w:rsidRPr="00384786">
        <w:t xml:space="preserve">Commonwealth, </w:t>
      </w:r>
      <w:r w:rsidRPr="00384786">
        <w:rPr>
          <w:rStyle w:val="Emphasis"/>
        </w:rPr>
        <w:t>Parliamentary Inquiries</w:t>
      </w:r>
      <w:r w:rsidRPr="00384786">
        <w:t>, records from January 1</w:t>
      </w:r>
      <w:r w:rsidRPr="002C6D1A">
        <w:t>st</w:t>
      </w:r>
      <w:r w:rsidRPr="00384786">
        <w:t xml:space="preserve"> 2009 to December 31</w:t>
      </w:r>
      <w:r w:rsidRPr="002C6D1A">
        <w:t>st</w:t>
      </w:r>
      <w:r w:rsidRPr="00384786">
        <w:t xml:space="preserve"> 2009, retrieved from </w:t>
      </w:r>
      <w:bookmarkEnd w:id="25"/>
      <w:r w:rsidR="00492B47">
        <w:rPr>
          <w:color w:val="2B579A"/>
          <w:shd w:val="clear" w:color="auto" w:fill="E6E6E6"/>
        </w:rPr>
        <w:fldChar w:fldCharType="begin"/>
      </w:r>
      <w:r w:rsidR="00492B47">
        <w:instrText xml:space="preserve"> HYPERLINK "https://parlinfo.aph.gov.au/parlInfo/search/search.w3p;adv=yes" </w:instrText>
      </w:r>
      <w:r w:rsidR="00492B47">
        <w:rPr>
          <w:color w:val="2B579A"/>
          <w:shd w:val="clear" w:color="auto" w:fill="E6E6E6"/>
        </w:rPr>
        <w:fldChar w:fldCharType="separate"/>
      </w:r>
      <w:r w:rsidR="00492B47" w:rsidRPr="000F1A1D">
        <w:rPr>
          <w:rStyle w:val="Hyperlink"/>
        </w:rPr>
        <w:t>Par</w:t>
      </w:r>
      <w:r w:rsidR="005C2A75">
        <w:rPr>
          <w:rStyle w:val="Hyperlink"/>
        </w:rPr>
        <w:t>lInfo</w:t>
      </w:r>
      <w:r w:rsidR="00492B47" w:rsidRPr="000F1A1D">
        <w:rPr>
          <w:rStyle w:val="Hyperlink"/>
        </w:rPr>
        <w:t xml:space="preserve"> Search</w:t>
      </w:r>
      <w:r w:rsidR="00492B47">
        <w:rPr>
          <w:color w:val="2B579A"/>
          <w:shd w:val="clear" w:color="auto" w:fill="E6E6E6"/>
        </w:rPr>
        <w:fldChar w:fldCharType="end"/>
      </w:r>
    </w:p>
    <w:p w14:paraId="0310F08E" w14:textId="0E6F4AB2" w:rsidR="00AD366D" w:rsidRDefault="00360573" w:rsidP="00AD366D">
      <w:pPr>
        <w:pStyle w:val="BodyText"/>
      </w:pPr>
      <w:hyperlink w:anchor="Figure01AltText" w:history="1">
        <w:r w:rsidR="00AD366D" w:rsidRPr="00E83BB7">
          <w:rPr>
            <w:rStyle w:val="Hyperlink"/>
          </w:rPr>
          <w:t xml:space="preserve">Text-equivalent description of Figure </w:t>
        </w:r>
        <w:r w:rsidR="00AD366D">
          <w:rPr>
            <w:rStyle w:val="Hyperlink"/>
          </w:rPr>
          <w:t>1</w:t>
        </w:r>
        <w:r w:rsidR="00AD366D" w:rsidRPr="00E83BB7">
          <w:rPr>
            <w:rStyle w:val="Hyperlink"/>
          </w:rPr>
          <w:t xml:space="preserve"> in Appendi</w:t>
        </w:r>
        <w:r w:rsidR="00AD366D">
          <w:rPr>
            <w:rStyle w:val="Hyperlink"/>
          </w:rPr>
          <w:t>x E</w:t>
        </w:r>
      </w:hyperlink>
    </w:p>
    <w:p w14:paraId="473DCAA3" w14:textId="77A92171" w:rsidR="002C2EC7" w:rsidRPr="0071774C" w:rsidRDefault="002C2EC7" w:rsidP="000A6957">
      <w:pPr>
        <w:pStyle w:val="OWFigurecaption"/>
        <w:spacing w:after="240"/>
      </w:pPr>
      <w:bookmarkStart w:id="26" w:name="Figure01FollowOn"/>
      <w:r w:rsidRPr="0071774C">
        <w:lastRenderedPageBreak/>
        <w:t>Figure</w:t>
      </w:r>
      <w:r>
        <w:t xml:space="preserve"> </w:t>
      </w:r>
      <w:r w:rsidRPr="0071774C">
        <w:t>2</w:t>
      </w:r>
      <w:bookmarkEnd w:id="26"/>
      <w:r w:rsidRPr="0071774C">
        <w:t>:</w:t>
      </w:r>
      <w:r>
        <w:t xml:space="preserve"> </w:t>
      </w:r>
      <w:r w:rsidRPr="0071774C">
        <w:t>NSW</w:t>
      </w:r>
      <w:r>
        <w:t xml:space="preserve"> </w:t>
      </w:r>
      <w:r w:rsidRPr="0071774C">
        <w:t>Parliament</w:t>
      </w:r>
      <w:r>
        <w:t xml:space="preserve"> </w:t>
      </w:r>
      <w:r w:rsidRPr="0071774C">
        <w:t>Hansard</w:t>
      </w:r>
      <w:r w:rsidR="006613C2">
        <w:t xml:space="preserve"> </w:t>
      </w:r>
      <w:r w:rsidR="006613C2" w:rsidRPr="0071774C">
        <w:t>mentions</w:t>
      </w:r>
      <w:r w:rsidR="006613C2">
        <w:t xml:space="preserve"> </w:t>
      </w:r>
      <w:r w:rsidR="006613C2" w:rsidRPr="0071774C">
        <w:t>by</w:t>
      </w:r>
      <w:r w:rsidR="006613C2">
        <w:t xml:space="preserve"> </w:t>
      </w:r>
      <w:r w:rsidR="006613C2" w:rsidRPr="0071774C">
        <w:t>year</w:t>
      </w:r>
      <w:r w:rsidR="006613C2">
        <w:t xml:space="preserve"> </w:t>
      </w:r>
      <w:r w:rsidR="006613C2" w:rsidRPr="0071774C">
        <w:t>for</w:t>
      </w:r>
      <w:r w:rsidR="006613C2">
        <w:t xml:space="preserve"> </w:t>
      </w:r>
      <w:r w:rsidR="006613C2" w:rsidRPr="0071774C">
        <w:t>select</w:t>
      </w:r>
      <w:r w:rsidR="006613C2">
        <w:t xml:space="preserve"> </w:t>
      </w:r>
      <w:r w:rsidR="006613C2" w:rsidRPr="0071774C">
        <w:t>search</w:t>
      </w:r>
      <w:r w:rsidR="006613C2">
        <w:t xml:space="preserve"> </w:t>
      </w:r>
      <w:r w:rsidR="006613C2" w:rsidRPr="0071774C">
        <w:t>terms</w:t>
      </w:r>
      <w:r w:rsidRPr="001162C4">
        <w:rPr>
          <w:rStyle w:val="EndnoteReference"/>
        </w:rPr>
        <w:endnoteReference w:id="22"/>
      </w:r>
    </w:p>
    <w:p w14:paraId="2893AE86" w14:textId="09F75B4A" w:rsidR="002C2EC7" w:rsidRDefault="00623193" w:rsidP="00790783">
      <w:pPr>
        <w:pStyle w:val="OWFigureinline"/>
        <w:rPr>
          <w:noProof/>
          <w:sz w:val="22"/>
          <w:szCs w:val="22"/>
        </w:rPr>
      </w:pPr>
      <w:r>
        <w:rPr>
          <w:noProof/>
        </w:rPr>
        <w:drawing>
          <wp:inline distT="0" distB="0" distL="0" distR="0" wp14:anchorId="376EF767" wp14:editId="7DFCBC76">
            <wp:extent cx="5730874" cy="3724910"/>
            <wp:effectExtent l="0" t="0" r="3175" b="8890"/>
            <wp:docPr id="685168951" name="Picture 25" descr="Line graph. Follow the link below for the data table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68951" name="Picture 25" descr="Line graph. Follow the link below for the data table of this figure."/>
                    <pic:cNvPicPr/>
                  </pic:nvPicPr>
                  <pic:blipFill>
                    <a:blip r:embed="rId22">
                      <a:extLst>
                        <a:ext uri="{28A0092B-C50C-407E-A947-70E740481C1C}">
                          <a14:useLocalDpi xmlns:a14="http://schemas.microsoft.com/office/drawing/2010/main" val="0"/>
                        </a:ext>
                      </a:extLst>
                    </a:blip>
                    <a:stretch>
                      <a:fillRect/>
                    </a:stretch>
                  </pic:blipFill>
                  <pic:spPr>
                    <a:xfrm>
                      <a:off x="0" y="0"/>
                      <a:ext cx="5730874" cy="3724910"/>
                    </a:xfrm>
                    <a:prstGeom prst="rect">
                      <a:avLst/>
                    </a:prstGeom>
                  </pic:spPr>
                </pic:pic>
              </a:graphicData>
            </a:graphic>
          </wp:inline>
        </w:drawing>
      </w:r>
    </w:p>
    <w:p w14:paraId="4DEF1803" w14:textId="77777777" w:rsidR="000A6957" w:rsidRDefault="002C2EC7" w:rsidP="000A6957">
      <w:pPr>
        <w:pStyle w:val="OWFigurefootnote"/>
        <w:spacing w:after="80"/>
      </w:pPr>
      <w:r w:rsidRPr="00384786">
        <w:t>Source</w:t>
      </w:r>
      <w:r w:rsidR="000A6957">
        <w:t>s</w:t>
      </w:r>
      <w:r w:rsidRPr="00384786">
        <w:t>:</w:t>
      </w:r>
    </w:p>
    <w:p w14:paraId="449B2651" w14:textId="5E915A57" w:rsidR="002C2EC7" w:rsidRPr="00384786" w:rsidRDefault="002C2EC7" w:rsidP="000A6957">
      <w:pPr>
        <w:pStyle w:val="OWFigurefootnote"/>
        <w:spacing w:after="80"/>
      </w:pPr>
      <w:r w:rsidRPr="00384786">
        <w:t xml:space="preserve">New South Wales Government, </w:t>
      </w:r>
      <w:r w:rsidRPr="00384786">
        <w:rPr>
          <w:rStyle w:val="Emphasis"/>
        </w:rPr>
        <w:t>Parliamentary Debates</w:t>
      </w:r>
      <w:r w:rsidRPr="00384786">
        <w:t>, Legislative Assembly, records from January</w:t>
      </w:r>
      <w:r w:rsidR="002C6D1A">
        <w:t> </w:t>
      </w:r>
      <w:r w:rsidRPr="00384786">
        <w:t>1</w:t>
      </w:r>
      <w:r w:rsidRPr="002C6D1A">
        <w:t>st</w:t>
      </w:r>
      <w:r w:rsidRPr="00384786">
        <w:t xml:space="preserve"> 2019 to December 31</w:t>
      </w:r>
      <w:r w:rsidRPr="002C6D1A">
        <w:t>st</w:t>
      </w:r>
      <w:r w:rsidRPr="00384786">
        <w:t xml:space="preserve"> 2019, retrieved from</w:t>
      </w:r>
      <w:r w:rsidR="00492B47">
        <w:t xml:space="preserve"> </w:t>
      </w:r>
      <w:hyperlink r:id="rId23" w:anchor="/search" w:history="1">
        <w:r w:rsidR="00492B47" w:rsidRPr="00492B47">
          <w:rPr>
            <w:rStyle w:val="Hyperlink"/>
          </w:rPr>
          <w:t>Parliament of New South Wales Search</w:t>
        </w:r>
      </w:hyperlink>
    </w:p>
    <w:p w14:paraId="0F19D0E3" w14:textId="0943A6FB" w:rsidR="002C2EC7" w:rsidRPr="00384786" w:rsidRDefault="002C2EC7" w:rsidP="000A6957">
      <w:pPr>
        <w:pStyle w:val="OWFigurefootnote"/>
        <w:spacing w:after="80"/>
      </w:pPr>
      <w:r w:rsidRPr="00384786">
        <w:t xml:space="preserve">New South Wales Government, </w:t>
      </w:r>
      <w:r w:rsidRPr="00384786">
        <w:rPr>
          <w:rStyle w:val="Emphasis"/>
        </w:rPr>
        <w:t>Parliamentary Debates</w:t>
      </w:r>
      <w:r w:rsidRPr="00384786">
        <w:t>, Legislative Council, records from January 1</w:t>
      </w:r>
      <w:r w:rsidRPr="002C6D1A">
        <w:t>st</w:t>
      </w:r>
      <w:r w:rsidRPr="00384786">
        <w:t xml:space="preserve"> 2019 to December 31</w:t>
      </w:r>
      <w:r w:rsidRPr="002C6D1A">
        <w:t>st</w:t>
      </w:r>
      <w:r w:rsidRPr="00384786">
        <w:t xml:space="preserve"> 2019, retrieved from </w:t>
      </w:r>
      <w:hyperlink r:id="rId24" w:anchor="/search" w:history="1">
        <w:r w:rsidR="00492B47" w:rsidRPr="00492B47">
          <w:rPr>
            <w:rStyle w:val="Hyperlink"/>
          </w:rPr>
          <w:t>Parliament of New South Wales Search</w:t>
        </w:r>
      </w:hyperlink>
    </w:p>
    <w:p w14:paraId="4653A3A5" w14:textId="0369A9D4" w:rsidR="00AD366D" w:rsidRDefault="00360573" w:rsidP="00AD366D">
      <w:pPr>
        <w:pStyle w:val="OWBodytextlargespaceabove"/>
      </w:pPr>
      <w:hyperlink w:anchor="Figure02AltText" w:history="1">
        <w:r w:rsidR="00AD366D" w:rsidRPr="00E83BB7">
          <w:rPr>
            <w:rStyle w:val="Hyperlink"/>
          </w:rPr>
          <w:t xml:space="preserve">Text-equivalent description of Figure </w:t>
        </w:r>
        <w:r w:rsidR="00AD366D">
          <w:rPr>
            <w:rStyle w:val="Hyperlink"/>
          </w:rPr>
          <w:t>2</w:t>
        </w:r>
        <w:r w:rsidR="00AD366D" w:rsidRPr="00E83BB7">
          <w:rPr>
            <w:rStyle w:val="Hyperlink"/>
          </w:rPr>
          <w:t xml:space="preserve"> in Appendi</w:t>
        </w:r>
        <w:r w:rsidR="00AD366D">
          <w:rPr>
            <w:rStyle w:val="Hyperlink"/>
          </w:rPr>
          <w:t>x E</w:t>
        </w:r>
      </w:hyperlink>
    </w:p>
    <w:p w14:paraId="43805F57" w14:textId="77777777" w:rsidR="000A6957" w:rsidRPr="000A6957" w:rsidRDefault="000A6957" w:rsidP="000A6957">
      <w:pPr>
        <w:pStyle w:val="BodyText"/>
      </w:pPr>
      <w:r w:rsidRPr="000A6957">
        <w:br w:type="page"/>
      </w:r>
    </w:p>
    <w:p w14:paraId="6C6F57AC" w14:textId="71572D3F" w:rsidR="002C2EC7" w:rsidRDefault="002C2EC7" w:rsidP="000A6957">
      <w:pPr>
        <w:pStyle w:val="OWFigurecaption"/>
        <w:spacing w:after="240"/>
      </w:pPr>
      <w:bookmarkStart w:id="27" w:name="Figure02FollowOn"/>
      <w:r w:rsidRPr="0071774C">
        <w:lastRenderedPageBreak/>
        <w:t>Figure</w:t>
      </w:r>
      <w:r>
        <w:t xml:space="preserve"> </w:t>
      </w:r>
      <w:r w:rsidRPr="0071774C">
        <w:t>3</w:t>
      </w:r>
      <w:bookmarkEnd w:id="27"/>
      <w:r w:rsidRPr="0071774C">
        <w:t>:</w:t>
      </w:r>
      <w:r>
        <w:t xml:space="preserve"> </w:t>
      </w:r>
      <w:r w:rsidRPr="0071774C">
        <w:t>South</w:t>
      </w:r>
      <w:r>
        <w:t xml:space="preserve"> </w:t>
      </w:r>
      <w:r w:rsidRPr="0071774C">
        <w:t>Australian</w:t>
      </w:r>
      <w:r>
        <w:t xml:space="preserve"> </w:t>
      </w:r>
      <w:r w:rsidRPr="0071774C">
        <w:t>Parliament</w:t>
      </w:r>
      <w:r>
        <w:t xml:space="preserve"> </w:t>
      </w:r>
      <w:r w:rsidRPr="0071774C">
        <w:t>Hansard</w:t>
      </w:r>
      <w:r w:rsidR="006613C2">
        <w:t xml:space="preserve"> </w:t>
      </w:r>
      <w:r w:rsidR="006613C2" w:rsidRPr="0071774C">
        <w:t>mentions</w:t>
      </w:r>
      <w:r w:rsidR="006613C2">
        <w:t xml:space="preserve"> </w:t>
      </w:r>
      <w:r w:rsidR="006613C2" w:rsidRPr="0071774C">
        <w:t>by</w:t>
      </w:r>
      <w:r w:rsidR="006613C2">
        <w:t xml:space="preserve"> </w:t>
      </w:r>
      <w:r w:rsidR="006613C2" w:rsidRPr="0071774C">
        <w:t>year</w:t>
      </w:r>
      <w:r w:rsidR="006613C2">
        <w:t xml:space="preserve"> </w:t>
      </w:r>
      <w:r w:rsidR="006613C2" w:rsidRPr="0071774C">
        <w:t>for</w:t>
      </w:r>
      <w:r w:rsidR="006613C2">
        <w:t xml:space="preserve"> </w:t>
      </w:r>
      <w:r w:rsidR="006613C2" w:rsidRPr="0071774C">
        <w:t>select</w:t>
      </w:r>
      <w:r w:rsidR="006613C2">
        <w:t xml:space="preserve"> </w:t>
      </w:r>
      <w:r w:rsidR="006613C2" w:rsidRPr="0071774C">
        <w:t>search</w:t>
      </w:r>
      <w:r w:rsidR="006613C2">
        <w:t xml:space="preserve"> </w:t>
      </w:r>
      <w:r w:rsidR="006613C2" w:rsidRPr="0071774C">
        <w:t>terms</w:t>
      </w:r>
      <w:r w:rsidRPr="001162C4">
        <w:rPr>
          <w:rStyle w:val="EndnoteReference"/>
        </w:rPr>
        <w:endnoteReference w:id="23"/>
      </w:r>
    </w:p>
    <w:p w14:paraId="06835F11" w14:textId="2A3C76E7" w:rsidR="002C2EC7" w:rsidRDefault="00623193" w:rsidP="00790783">
      <w:pPr>
        <w:pStyle w:val="OWFigureinline"/>
        <w:rPr>
          <w:noProof/>
          <w:sz w:val="22"/>
          <w:szCs w:val="22"/>
        </w:rPr>
      </w:pPr>
      <w:r>
        <w:rPr>
          <w:noProof/>
        </w:rPr>
        <w:drawing>
          <wp:inline distT="0" distB="0" distL="0" distR="0" wp14:anchorId="1DC45515" wp14:editId="6216165D">
            <wp:extent cx="5730874" cy="3736975"/>
            <wp:effectExtent l="0" t="0" r="3175" b="0"/>
            <wp:docPr id="1304144048" name="Picture 27" descr="Line graph. Follow the link below for the data table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44048" name="Picture 27" descr="Line graph. Follow the link below for the data table of this figure."/>
                    <pic:cNvPicPr/>
                  </pic:nvPicPr>
                  <pic:blipFill>
                    <a:blip r:embed="rId25">
                      <a:extLst>
                        <a:ext uri="{28A0092B-C50C-407E-A947-70E740481C1C}">
                          <a14:useLocalDpi xmlns:a14="http://schemas.microsoft.com/office/drawing/2010/main" val="0"/>
                        </a:ext>
                      </a:extLst>
                    </a:blip>
                    <a:stretch>
                      <a:fillRect/>
                    </a:stretch>
                  </pic:blipFill>
                  <pic:spPr>
                    <a:xfrm>
                      <a:off x="0" y="0"/>
                      <a:ext cx="5730874" cy="3736975"/>
                    </a:xfrm>
                    <a:prstGeom prst="rect">
                      <a:avLst/>
                    </a:prstGeom>
                  </pic:spPr>
                </pic:pic>
              </a:graphicData>
            </a:graphic>
          </wp:inline>
        </w:drawing>
      </w:r>
    </w:p>
    <w:p w14:paraId="27273337" w14:textId="77777777" w:rsidR="000A6957" w:rsidRDefault="002C2EC7" w:rsidP="000A6957">
      <w:pPr>
        <w:pStyle w:val="OWFigurefootnote"/>
        <w:spacing w:after="80"/>
      </w:pPr>
      <w:r w:rsidRPr="00384786">
        <w:t>Source</w:t>
      </w:r>
      <w:r w:rsidR="000A6957">
        <w:t>s</w:t>
      </w:r>
      <w:r w:rsidRPr="00384786">
        <w:t>:</w:t>
      </w:r>
    </w:p>
    <w:p w14:paraId="78E2D322" w14:textId="07A4D7CD" w:rsidR="002C2EC7" w:rsidRPr="00384786" w:rsidRDefault="002C2EC7" w:rsidP="000A6957">
      <w:pPr>
        <w:pStyle w:val="OWFigurefootnote"/>
        <w:spacing w:after="80"/>
      </w:pPr>
      <w:r w:rsidRPr="00384786">
        <w:t xml:space="preserve">Government of South Australia, </w:t>
      </w:r>
      <w:r w:rsidRPr="00384786">
        <w:rPr>
          <w:rStyle w:val="Emphasis"/>
        </w:rPr>
        <w:t>Parliamentary Debates</w:t>
      </w:r>
      <w:r w:rsidRPr="00384786">
        <w:t xml:space="preserve">, Legislative Council, records from </w:t>
      </w:r>
      <w:r w:rsidR="00851841">
        <w:br/>
      </w:r>
      <w:r w:rsidRPr="00384786">
        <w:t>January 1</w:t>
      </w:r>
      <w:r w:rsidRPr="002C6D1A">
        <w:t>st</w:t>
      </w:r>
      <w:r w:rsidRPr="00384786">
        <w:t xml:space="preserve"> 2019 to December 31</w:t>
      </w:r>
      <w:r w:rsidRPr="002C6D1A">
        <w:t>st</w:t>
      </w:r>
      <w:r w:rsidRPr="00384786">
        <w:t xml:space="preserve"> 2019, retrieved from</w:t>
      </w:r>
      <w:r w:rsidR="00492B47">
        <w:t xml:space="preserve"> </w:t>
      </w:r>
      <w:hyperlink r:id="rId26" w:anchor="/search/0" w:history="1">
        <w:r w:rsidR="00492B47" w:rsidRPr="00492B47">
          <w:rPr>
            <w:rStyle w:val="Hyperlink"/>
          </w:rPr>
          <w:t>Parliament of South Australia Search</w:t>
        </w:r>
      </w:hyperlink>
    </w:p>
    <w:p w14:paraId="30CAB5E4" w14:textId="59F78646" w:rsidR="002C2EC7" w:rsidRPr="00384786" w:rsidRDefault="002C2EC7" w:rsidP="00790783">
      <w:pPr>
        <w:pStyle w:val="OWFigurefootnote"/>
      </w:pPr>
      <w:r w:rsidRPr="00384786">
        <w:t xml:space="preserve">Government of South Australia, </w:t>
      </w:r>
      <w:r w:rsidRPr="00384786">
        <w:rPr>
          <w:rStyle w:val="Emphasis"/>
        </w:rPr>
        <w:t>Parliamentary Debates</w:t>
      </w:r>
      <w:r w:rsidRPr="00384786">
        <w:t xml:space="preserve">, House of Assembly, records from </w:t>
      </w:r>
      <w:r w:rsidR="00851841">
        <w:br/>
      </w:r>
      <w:r w:rsidRPr="00384786">
        <w:t>January 1</w:t>
      </w:r>
      <w:r w:rsidRPr="002C6D1A">
        <w:t>st</w:t>
      </w:r>
      <w:r w:rsidRPr="00384786">
        <w:t xml:space="preserve"> 2019 to December 31</w:t>
      </w:r>
      <w:r w:rsidRPr="002C6D1A">
        <w:t>st</w:t>
      </w:r>
      <w:r w:rsidRPr="00384786">
        <w:t xml:space="preserve"> 2019, retrieved from</w:t>
      </w:r>
      <w:r w:rsidR="00492B47">
        <w:t xml:space="preserve"> </w:t>
      </w:r>
      <w:hyperlink r:id="rId27" w:anchor="/search/0" w:history="1">
        <w:r w:rsidR="00492B47" w:rsidRPr="00492B47">
          <w:rPr>
            <w:rStyle w:val="Hyperlink"/>
          </w:rPr>
          <w:t>Parliament of South Australia Search</w:t>
        </w:r>
      </w:hyperlink>
    </w:p>
    <w:p w14:paraId="22012EA8" w14:textId="07E70B1E" w:rsidR="00AD366D" w:rsidRDefault="00360573" w:rsidP="00AD366D">
      <w:pPr>
        <w:pStyle w:val="BodyText"/>
      </w:pPr>
      <w:hyperlink w:anchor="Figure03AltText" w:history="1">
        <w:r w:rsidR="00AD366D" w:rsidRPr="00E83BB7">
          <w:rPr>
            <w:rStyle w:val="Hyperlink"/>
          </w:rPr>
          <w:t xml:space="preserve">Text-equivalent description of Figure </w:t>
        </w:r>
        <w:r w:rsidR="00AD366D">
          <w:rPr>
            <w:rStyle w:val="Hyperlink"/>
          </w:rPr>
          <w:t>3</w:t>
        </w:r>
        <w:r w:rsidR="00AD366D" w:rsidRPr="00E83BB7">
          <w:rPr>
            <w:rStyle w:val="Hyperlink"/>
          </w:rPr>
          <w:t xml:space="preserve"> in Appendi</w:t>
        </w:r>
        <w:r w:rsidR="00AD366D">
          <w:rPr>
            <w:rStyle w:val="Hyperlink"/>
          </w:rPr>
          <w:t>x E</w:t>
        </w:r>
      </w:hyperlink>
    </w:p>
    <w:p w14:paraId="6BB0AD17" w14:textId="77777777" w:rsidR="002C2EC7" w:rsidRPr="001162C4" w:rsidRDefault="002C2EC7" w:rsidP="00790783">
      <w:pPr>
        <w:pStyle w:val="BodyText"/>
      </w:pPr>
      <w:r w:rsidRPr="001162C4">
        <w:br w:type="page"/>
      </w:r>
    </w:p>
    <w:tbl>
      <w:tblPr>
        <w:tblStyle w:val="Casestudycharcoal"/>
        <w:tblW w:w="9072" w:type="dxa"/>
        <w:tblCellMar>
          <w:top w:w="227" w:type="dxa"/>
          <w:bottom w:w="227" w:type="dxa"/>
        </w:tblCellMar>
        <w:tblLook w:val="0600" w:firstRow="0" w:lastRow="0" w:firstColumn="0" w:lastColumn="0" w:noHBand="1" w:noVBand="1"/>
      </w:tblPr>
      <w:tblGrid>
        <w:gridCol w:w="9072"/>
      </w:tblGrid>
      <w:tr w:rsidR="00CD4E17" w14:paraId="3F061F6D" w14:textId="77777777" w:rsidTr="01905DC2">
        <w:trPr>
          <w:cantSplit w:val="0"/>
        </w:trPr>
        <w:tc>
          <w:tcPr>
            <w:tcW w:w="9072" w:type="dxa"/>
          </w:tcPr>
          <w:p w14:paraId="08BF03D6" w14:textId="77777777" w:rsidR="00CD4E17" w:rsidRPr="00384786" w:rsidRDefault="00CD4E17" w:rsidP="00745297">
            <w:pPr>
              <w:pStyle w:val="OWBoxheading"/>
              <w:spacing w:before="0"/>
            </w:pPr>
            <w:bookmarkStart w:id="28" w:name="_Toc41559712"/>
            <w:bookmarkStart w:id="29" w:name="Figure03FollowOn"/>
            <w:r w:rsidRPr="00384786">
              <w:lastRenderedPageBreak/>
              <w:t>Case study: Public statements in Commonwealth parliament across one year</w:t>
            </w:r>
          </w:p>
          <w:bookmarkEnd w:id="28"/>
          <w:bookmarkEnd w:id="29"/>
          <w:p w14:paraId="2302E31D" w14:textId="77777777" w:rsidR="00CD4E17" w:rsidRDefault="00CD4E17" w:rsidP="00745297">
            <w:pPr>
              <w:pStyle w:val="OWTablebodyleft"/>
            </w:pPr>
            <w:r>
              <w:t xml:space="preserve">A </w:t>
            </w:r>
            <w:r w:rsidRPr="0042228B">
              <w:t>limitation</w:t>
            </w:r>
            <w:r>
              <w:t xml:space="preserve"> in the analysis of </w:t>
            </w:r>
            <w:r w:rsidRPr="0042228B">
              <w:t>public</w:t>
            </w:r>
            <w:r>
              <w:t xml:space="preserve"> </w:t>
            </w:r>
            <w:r w:rsidRPr="0042228B">
              <w:t>statements</w:t>
            </w:r>
            <w:r>
              <w:t xml:space="preserve"> </w:t>
            </w:r>
            <w:r w:rsidRPr="0042228B">
              <w:t>across</w:t>
            </w:r>
            <w:r>
              <w:t xml:space="preserve"> </w:t>
            </w:r>
            <w:r w:rsidRPr="0042228B">
              <w:t>multiple</w:t>
            </w:r>
            <w:r>
              <w:t xml:space="preserve"> </w:t>
            </w:r>
            <w:r w:rsidRPr="0042228B">
              <w:t>jurisdictions</w:t>
            </w:r>
            <w:r>
              <w:t xml:space="preserve"> </w:t>
            </w:r>
            <w:r w:rsidRPr="0042228B">
              <w:t>and</w:t>
            </w:r>
            <w:r>
              <w:t xml:space="preserve"> </w:t>
            </w:r>
            <w:r w:rsidRPr="0042228B">
              <w:t>over</w:t>
            </w:r>
            <w:r>
              <w:t> </w:t>
            </w:r>
            <w:r w:rsidRPr="0042228B">
              <w:t>time</w:t>
            </w:r>
            <w:r>
              <w:t xml:space="preserve"> </w:t>
            </w:r>
            <w:r w:rsidRPr="0042228B">
              <w:t>was</w:t>
            </w:r>
            <w:r>
              <w:t xml:space="preserve"> </w:t>
            </w:r>
            <w:r w:rsidRPr="0042228B">
              <w:t>the</w:t>
            </w:r>
            <w:r>
              <w:t xml:space="preserve"> </w:t>
            </w:r>
            <w:r w:rsidRPr="0042228B">
              <w:t>inability</w:t>
            </w:r>
            <w:r>
              <w:t xml:space="preserve"> </w:t>
            </w:r>
            <w:r w:rsidRPr="0042228B">
              <w:t>to</w:t>
            </w:r>
            <w:r>
              <w:t xml:space="preserve"> examine </w:t>
            </w:r>
            <w:r w:rsidRPr="0042228B">
              <w:t>the</w:t>
            </w:r>
            <w:r>
              <w:t xml:space="preserve"> </w:t>
            </w:r>
            <w:r w:rsidRPr="0042228B">
              <w:t>context</w:t>
            </w:r>
            <w:r>
              <w:t xml:space="preserve">s </w:t>
            </w:r>
            <w:r w:rsidRPr="0042228B">
              <w:t>in</w:t>
            </w:r>
            <w:r>
              <w:t xml:space="preserve"> </w:t>
            </w:r>
            <w:r w:rsidRPr="0042228B">
              <w:t>which</w:t>
            </w:r>
            <w:r>
              <w:t xml:space="preserve"> </w:t>
            </w:r>
            <w:r w:rsidRPr="0042228B">
              <w:t>searched</w:t>
            </w:r>
            <w:r>
              <w:t xml:space="preserve"> </w:t>
            </w:r>
            <w:r w:rsidRPr="0042228B">
              <w:t>terms</w:t>
            </w:r>
            <w:r>
              <w:t xml:space="preserve"> </w:t>
            </w:r>
            <w:r w:rsidRPr="0042228B">
              <w:t>were</w:t>
            </w:r>
            <w:r>
              <w:t xml:space="preserve"> </w:t>
            </w:r>
            <w:r w:rsidRPr="0042228B">
              <w:t>mentioned.</w:t>
            </w:r>
            <w:r>
              <w:t xml:space="preserve"> This </w:t>
            </w:r>
            <w:r w:rsidRPr="0042228B">
              <w:t>rapid</w:t>
            </w:r>
            <w:r>
              <w:t xml:space="preserve"> </w:t>
            </w:r>
            <w:r w:rsidRPr="0042228B">
              <w:t>content</w:t>
            </w:r>
            <w:r>
              <w:t xml:space="preserve"> </w:t>
            </w:r>
            <w:r w:rsidRPr="0042228B">
              <w:t>analysis</w:t>
            </w:r>
            <w:r>
              <w:t xml:space="preserve"> </w:t>
            </w:r>
            <w:r w:rsidRPr="0042228B">
              <w:t>of</w:t>
            </w:r>
            <w:r>
              <w:t xml:space="preserve"> </w:t>
            </w:r>
            <w:r w:rsidRPr="0042228B">
              <w:t>Commonwealth</w:t>
            </w:r>
            <w:r>
              <w:t xml:space="preserve"> </w:t>
            </w:r>
            <w:r w:rsidRPr="0042228B">
              <w:t>Hansard</w:t>
            </w:r>
            <w:r>
              <w:t xml:space="preserve"> in 2018 provides one example of a more contextual approach</w:t>
            </w:r>
            <w:r w:rsidRPr="0042228B">
              <w:t>.</w:t>
            </w:r>
          </w:p>
          <w:p w14:paraId="40CF961E" w14:textId="77777777" w:rsidR="00CD4E17" w:rsidRDefault="00CD4E17" w:rsidP="00745297">
            <w:pPr>
              <w:pStyle w:val="OWTablebodyleft"/>
            </w:pPr>
            <w:r w:rsidRPr="0042228B">
              <w:t>During</w:t>
            </w:r>
            <w:r>
              <w:t xml:space="preserve"> </w:t>
            </w:r>
            <w:r w:rsidRPr="0042228B">
              <w:t>2018,</w:t>
            </w:r>
            <w:r>
              <w:t xml:space="preserve"> </w:t>
            </w:r>
            <w:r w:rsidRPr="0042228B">
              <w:t>‘domestic</w:t>
            </w:r>
            <w:r>
              <w:t xml:space="preserve"> </w:t>
            </w:r>
            <w:r w:rsidRPr="0042228B">
              <w:t>violence’</w:t>
            </w:r>
            <w:r>
              <w:t xml:space="preserve"> </w:t>
            </w:r>
            <w:r w:rsidRPr="0042228B">
              <w:t>(617</w:t>
            </w:r>
            <w:r>
              <w:t xml:space="preserve"> </w:t>
            </w:r>
            <w:r w:rsidRPr="0042228B">
              <w:t>mentions)</w:t>
            </w:r>
            <w:r>
              <w:t xml:space="preserve"> </w:t>
            </w:r>
            <w:r w:rsidRPr="0042228B">
              <w:t>and</w:t>
            </w:r>
            <w:r>
              <w:t xml:space="preserve"> </w:t>
            </w:r>
            <w:r w:rsidRPr="0042228B">
              <w:t>‘family</w:t>
            </w:r>
            <w:r>
              <w:t xml:space="preserve"> </w:t>
            </w:r>
            <w:r w:rsidRPr="0042228B">
              <w:t>violence’</w:t>
            </w:r>
            <w:r>
              <w:t xml:space="preserve"> </w:t>
            </w:r>
            <w:r w:rsidRPr="0042228B">
              <w:t>(509</w:t>
            </w:r>
            <w:r>
              <w:t xml:space="preserve"> </w:t>
            </w:r>
            <w:r w:rsidRPr="0042228B">
              <w:t>mentions)</w:t>
            </w:r>
            <w:r>
              <w:t xml:space="preserve"> </w:t>
            </w:r>
            <w:r w:rsidRPr="0042228B">
              <w:t>were</w:t>
            </w:r>
            <w:r>
              <w:t xml:space="preserve"> </w:t>
            </w:r>
            <w:r w:rsidRPr="0042228B">
              <w:t>the</w:t>
            </w:r>
            <w:r>
              <w:t xml:space="preserve"> </w:t>
            </w:r>
            <w:r w:rsidRPr="0042228B">
              <w:t>most</w:t>
            </w:r>
            <w:r>
              <w:t xml:space="preserve"> </w:t>
            </w:r>
            <w:r w:rsidRPr="0042228B">
              <w:t>frequently</w:t>
            </w:r>
            <w:r>
              <w:t xml:space="preserve"> </w:t>
            </w:r>
            <w:r w:rsidRPr="0042228B">
              <w:t>mentioned</w:t>
            </w:r>
            <w:r>
              <w:t xml:space="preserve"> </w:t>
            </w:r>
            <w:r w:rsidRPr="0042228B">
              <w:t>of</w:t>
            </w:r>
            <w:r>
              <w:t xml:space="preserve"> </w:t>
            </w:r>
            <w:r w:rsidRPr="0042228B">
              <w:t>the</w:t>
            </w:r>
            <w:r>
              <w:t xml:space="preserve"> </w:t>
            </w:r>
            <w:r w:rsidRPr="0042228B">
              <w:t>searched</w:t>
            </w:r>
            <w:r>
              <w:t xml:space="preserve"> </w:t>
            </w:r>
            <w:r w:rsidRPr="0042228B">
              <w:t>keywords,</w:t>
            </w:r>
            <w:r>
              <w:t xml:space="preserve"> </w:t>
            </w:r>
            <w:r w:rsidRPr="0042228B">
              <w:t>followed</w:t>
            </w:r>
            <w:r>
              <w:t xml:space="preserve"> </w:t>
            </w:r>
            <w:r w:rsidRPr="0042228B">
              <w:t>by</w:t>
            </w:r>
            <w:r>
              <w:t xml:space="preserve"> </w:t>
            </w:r>
            <w:r w:rsidRPr="0042228B">
              <w:t>‘violence</w:t>
            </w:r>
            <w:r>
              <w:t xml:space="preserve"> </w:t>
            </w:r>
            <w:r w:rsidRPr="0042228B">
              <w:t>against</w:t>
            </w:r>
            <w:r>
              <w:t xml:space="preserve"> </w:t>
            </w:r>
            <w:r w:rsidRPr="0042228B">
              <w:t>women’,</w:t>
            </w:r>
            <w:r>
              <w:t xml:space="preserve"> </w:t>
            </w:r>
            <w:r w:rsidRPr="0042228B">
              <w:t>‘gender</w:t>
            </w:r>
            <w:r>
              <w:t xml:space="preserve"> </w:t>
            </w:r>
            <w:r w:rsidRPr="0042228B">
              <w:t>equality’</w:t>
            </w:r>
            <w:r>
              <w:t xml:space="preserve"> </w:t>
            </w:r>
            <w:r w:rsidRPr="0042228B">
              <w:t>and</w:t>
            </w:r>
            <w:r>
              <w:t xml:space="preserve"> </w:t>
            </w:r>
            <w:r w:rsidRPr="0042228B">
              <w:t>‘gender</w:t>
            </w:r>
            <w:r>
              <w:t xml:space="preserve"> </w:t>
            </w:r>
            <w:r w:rsidRPr="0042228B">
              <w:t>pay</w:t>
            </w:r>
            <w:r>
              <w:t xml:space="preserve"> </w:t>
            </w:r>
            <w:r w:rsidRPr="0042228B">
              <w:t>gap’.</w:t>
            </w:r>
            <w:r>
              <w:t xml:space="preserve"> </w:t>
            </w:r>
            <w:r w:rsidRPr="0042228B">
              <w:t>The</w:t>
            </w:r>
            <w:r>
              <w:t xml:space="preserve"> </w:t>
            </w:r>
            <w:r w:rsidRPr="0042228B">
              <w:t>term</w:t>
            </w:r>
            <w:r>
              <w:t xml:space="preserve">s </w:t>
            </w:r>
            <w:r w:rsidRPr="0042228B">
              <w:t>‘violence</w:t>
            </w:r>
            <w:r>
              <w:t xml:space="preserve"> </w:t>
            </w:r>
            <w:r w:rsidRPr="0042228B">
              <w:t>against</w:t>
            </w:r>
            <w:r>
              <w:t xml:space="preserve"> </w:t>
            </w:r>
            <w:r w:rsidRPr="0042228B">
              <w:t>women’</w:t>
            </w:r>
            <w:r>
              <w:t xml:space="preserve"> and </w:t>
            </w:r>
            <w:r w:rsidRPr="0042228B">
              <w:t>‘gender</w:t>
            </w:r>
            <w:r>
              <w:t xml:space="preserve"> </w:t>
            </w:r>
            <w:r w:rsidRPr="0042228B">
              <w:t>equality’</w:t>
            </w:r>
            <w:r>
              <w:t xml:space="preserve"> appeared </w:t>
            </w:r>
            <w:r w:rsidRPr="0042228B">
              <w:t>far</w:t>
            </w:r>
            <w:r>
              <w:t xml:space="preserve"> </w:t>
            </w:r>
            <w:r w:rsidRPr="0042228B">
              <w:t>less</w:t>
            </w:r>
            <w:r>
              <w:t xml:space="preserve"> </w:t>
            </w:r>
            <w:r w:rsidRPr="0042228B">
              <w:t>frequent</w:t>
            </w:r>
            <w:r>
              <w:t>ly (</w:t>
            </w:r>
            <w:r w:rsidRPr="0042228B">
              <w:t>28</w:t>
            </w:r>
            <w:r>
              <w:t xml:space="preserve"> </w:t>
            </w:r>
            <w:r w:rsidRPr="0042228B">
              <w:t>times</w:t>
            </w:r>
            <w:r>
              <w:t>)</w:t>
            </w:r>
            <w:r w:rsidRPr="0042228B">
              <w:t>.</w:t>
            </w:r>
          </w:p>
          <w:p w14:paraId="76BEDAC8" w14:textId="77777777" w:rsidR="00CD4E17" w:rsidRDefault="00CD4E17" w:rsidP="00745297">
            <w:pPr>
              <w:pStyle w:val="OWTablebodyleft"/>
            </w:pPr>
            <w:r w:rsidRPr="0042228B">
              <w:t>There</w:t>
            </w:r>
            <w:r>
              <w:t xml:space="preserve"> most common </w:t>
            </w:r>
            <w:r w:rsidRPr="0042228B">
              <w:t>contexts</w:t>
            </w:r>
            <w:r>
              <w:t xml:space="preserve"> </w:t>
            </w:r>
            <w:r w:rsidRPr="0042228B">
              <w:t>in</w:t>
            </w:r>
            <w:r>
              <w:t xml:space="preserve"> </w:t>
            </w:r>
            <w:r w:rsidRPr="0042228B">
              <w:t>which</w:t>
            </w:r>
            <w:r>
              <w:t xml:space="preserve"> </w:t>
            </w:r>
            <w:r w:rsidRPr="0042228B">
              <w:t>key</w:t>
            </w:r>
            <w:r>
              <w:t xml:space="preserve"> </w:t>
            </w:r>
            <w:r w:rsidRPr="0042228B">
              <w:t>terms</w:t>
            </w:r>
            <w:r>
              <w:t xml:space="preserve"> </w:t>
            </w:r>
            <w:r w:rsidRPr="0042228B">
              <w:t>appeared</w:t>
            </w:r>
            <w:r>
              <w:t xml:space="preserve"> were:</w:t>
            </w:r>
          </w:p>
          <w:p w14:paraId="12DC1B5A" w14:textId="77777777" w:rsidR="00CD4E17" w:rsidRDefault="00CD4E17" w:rsidP="00745297">
            <w:pPr>
              <w:pStyle w:val="OWTablebullet1"/>
              <w:rPr>
                <w:lang w:eastAsia="en-GB"/>
              </w:rPr>
            </w:pPr>
            <w:r>
              <w:rPr>
                <w:lang w:val="en-US" w:eastAsia="en-GB"/>
              </w:rPr>
              <w:t>p</w:t>
            </w:r>
            <w:r w:rsidRPr="0042228B">
              <w:rPr>
                <w:lang w:val="en-US" w:eastAsia="en-GB"/>
              </w:rPr>
              <w:t>assage</w:t>
            </w:r>
            <w:r>
              <w:rPr>
                <w:lang w:val="en-US" w:eastAsia="en-GB"/>
              </w:rPr>
              <w:t xml:space="preserve"> </w:t>
            </w:r>
            <w:r w:rsidRPr="0042228B">
              <w:rPr>
                <w:lang w:val="en-US" w:eastAsia="en-GB"/>
              </w:rPr>
              <w:t>of</w:t>
            </w:r>
            <w:r>
              <w:rPr>
                <w:lang w:val="en-US" w:eastAsia="en-GB"/>
              </w:rPr>
              <w:t xml:space="preserve"> </w:t>
            </w:r>
            <w:r w:rsidRPr="0042228B">
              <w:rPr>
                <w:lang w:val="en-US" w:eastAsia="en-GB"/>
              </w:rPr>
              <w:t>a</w:t>
            </w:r>
            <w:r>
              <w:rPr>
                <w:lang w:val="en-US" w:eastAsia="en-GB"/>
              </w:rPr>
              <w:t xml:space="preserve"> </w:t>
            </w:r>
            <w:r w:rsidRPr="0042228B">
              <w:rPr>
                <w:lang w:val="en-US" w:eastAsia="en-GB"/>
              </w:rPr>
              <w:t>Bill</w:t>
            </w:r>
            <w:r>
              <w:rPr>
                <w:lang w:val="en-US" w:eastAsia="en-GB"/>
              </w:rPr>
              <w:t xml:space="preserve"> </w:t>
            </w:r>
            <w:r w:rsidRPr="0042228B">
              <w:rPr>
                <w:lang w:val="en-US" w:eastAsia="en-GB"/>
              </w:rPr>
              <w:t>through</w:t>
            </w:r>
            <w:r>
              <w:rPr>
                <w:lang w:val="en-US" w:eastAsia="en-GB"/>
              </w:rPr>
              <w:t xml:space="preserve"> </w:t>
            </w:r>
            <w:r w:rsidRPr="0042228B">
              <w:rPr>
                <w:lang w:val="en-US" w:eastAsia="en-GB"/>
              </w:rPr>
              <w:t>the</w:t>
            </w:r>
            <w:r>
              <w:rPr>
                <w:lang w:val="en-US" w:eastAsia="en-GB"/>
              </w:rPr>
              <w:t xml:space="preserve"> </w:t>
            </w:r>
            <w:r w:rsidRPr="0042228B">
              <w:rPr>
                <w:lang w:val="en-US" w:eastAsia="en-GB"/>
              </w:rPr>
              <w:t>lower</w:t>
            </w:r>
            <w:r>
              <w:rPr>
                <w:lang w:val="en-US" w:eastAsia="en-GB"/>
              </w:rPr>
              <w:t xml:space="preserve"> </w:t>
            </w:r>
            <w:r w:rsidRPr="0042228B">
              <w:rPr>
                <w:lang w:val="en-US" w:eastAsia="en-GB"/>
              </w:rPr>
              <w:t>and</w:t>
            </w:r>
            <w:r>
              <w:rPr>
                <w:lang w:val="en-US" w:eastAsia="en-GB"/>
              </w:rPr>
              <w:t xml:space="preserve"> </w:t>
            </w:r>
            <w:r w:rsidRPr="0042228B">
              <w:rPr>
                <w:lang w:val="en-US" w:eastAsia="en-GB"/>
              </w:rPr>
              <w:t>upper</w:t>
            </w:r>
            <w:r>
              <w:rPr>
                <w:lang w:val="en-US" w:eastAsia="en-GB"/>
              </w:rPr>
              <w:t xml:space="preserve"> </w:t>
            </w:r>
            <w:r w:rsidRPr="0042228B">
              <w:rPr>
                <w:lang w:val="en-US" w:eastAsia="en-GB"/>
              </w:rPr>
              <w:t>house,</w:t>
            </w:r>
            <w:r>
              <w:rPr>
                <w:lang w:val="en-US" w:eastAsia="en-GB"/>
              </w:rPr>
              <w:t xml:space="preserve"> </w:t>
            </w:r>
            <w:r w:rsidRPr="0042228B">
              <w:rPr>
                <w:lang w:val="en-US" w:eastAsia="en-GB"/>
              </w:rPr>
              <w:t>including</w:t>
            </w:r>
            <w:r>
              <w:rPr>
                <w:lang w:val="en-US" w:eastAsia="en-GB"/>
              </w:rPr>
              <w:t xml:space="preserve"> </w:t>
            </w:r>
            <w:r w:rsidRPr="0042228B">
              <w:rPr>
                <w:lang w:val="en-US" w:eastAsia="en-GB"/>
              </w:rPr>
              <w:t>public</w:t>
            </w:r>
            <w:r>
              <w:rPr>
                <w:lang w:val="en-US" w:eastAsia="en-GB"/>
              </w:rPr>
              <w:t xml:space="preserve"> </w:t>
            </w:r>
            <w:r w:rsidRPr="0042228B">
              <w:rPr>
                <w:lang w:val="en-US" w:eastAsia="en-GB"/>
              </w:rPr>
              <w:t>hearings</w:t>
            </w:r>
            <w:r>
              <w:rPr>
                <w:lang w:val="en-US" w:eastAsia="en-GB"/>
              </w:rPr>
              <w:t xml:space="preserve"> </w:t>
            </w:r>
            <w:r w:rsidRPr="0042228B">
              <w:rPr>
                <w:lang w:val="en-US" w:eastAsia="en-GB"/>
              </w:rPr>
              <w:t>or</w:t>
            </w:r>
            <w:r>
              <w:rPr>
                <w:lang w:val="en-US" w:eastAsia="en-GB"/>
              </w:rPr>
              <w:t> </w:t>
            </w:r>
            <w:r w:rsidRPr="0042228B">
              <w:rPr>
                <w:lang w:val="en-US" w:eastAsia="en-GB"/>
              </w:rPr>
              <w:t>inquiries,</w:t>
            </w:r>
            <w:r>
              <w:rPr>
                <w:lang w:val="en-US" w:eastAsia="en-GB"/>
              </w:rPr>
              <w:t xml:space="preserve"> </w:t>
            </w:r>
            <w:r w:rsidRPr="0042228B">
              <w:rPr>
                <w:lang w:val="en-US" w:eastAsia="en-GB"/>
              </w:rPr>
              <w:t>second</w:t>
            </w:r>
            <w:r>
              <w:rPr>
                <w:lang w:val="en-US" w:eastAsia="en-GB"/>
              </w:rPr>
              <w:t xml:space="preserve"> </w:t>
            </w:r>
            <w:r w:rsidRPr="0042228B">
              <w:rPr>
                <w:lang w:val="en-US" w:eastAsia="en-GB"/>
              </w:rPr>
              <w:t>readings</w:t>
            </w:r>
            <w:r>
              <w:rPr>
                <w:lang w:val="en-US" w:eastAsia="en-GB"/>
              </w:rPr>
              <w:t xml:space="preserve"> </w:t>
            </w:r>
            <w:r w:rsidRPr="0042228B">
              <w:rPr>
                <w:lang w:val="en-US" w:eastAsia="en-GB"/>
              </w:rPr>
              <w:t>and</w:t>
            </w:r>
            <w:r>
              <w:rPr>
                <w:lang w:val="en-US" w:eastAsia="en-GB"/>
              </w:rPr>
              <w:t xml:space="preserve"> </w:t>
            </w:r>
            <w:r w:rsidRPr="0042228B">
              <w:rPr>
                <w:lang w:val="en-US" w:eastAsia="en-GB"/>
              </w:rPr>
              <w:t>parliamentary</w:t>
            </w:r>
            <w:r>
              <w:rPr>
                <w:lang w:val="en-US" w:eastAsia="en-GB"/>
              </w:rPr>
              <w:t xml:space="preserve"> </w:t>
            </w:r>
            <w:r w:rsidRPr="0042228B">
              <w:rPr>
                <w:lang w:val="en-US" w:eastAsia="en-GB"/>
              </w:rPr>
              <w:t>debate</w:t>
            </w:r>
          </w:p>
          <w:p w14:paraId="2112065E" w14:textId="77777777" w:rsidR="00CD4E17" w:rsidRDefault="00CD4E17" w:rsidP="00745297">
            <w:pPr>
              <w:pStyle w:val="OWTablebullet1"/>
              <w:rPr>
                <w:lang w:eastAsia="en-GB"/>
              </w:rPr>
            </w:pPr>
            <w:r>
              <w:rPr>
                <w:lang w:val="en-US" w:eastAsia="en-GB"/>
              </w:rPr>
              <w:t>p</w:t>
            </w:r>
            <w:r w:rsidRPr="0042228B">
              <w:rPr>
                <w:lang w:val="en-US" w:eastAsia="en-GB"/>
              </w:rPr>
              <w:t>rivate</w:t>
            </w:r>
            <w:r>
              <w:rPr>
                <w:lang w:val="en-US" w:eastAsia="en-GB"/>
              </w:rPr>
              <w:t xml:space="preserve"> </w:t>
            </w:r>
            <w:r w:rsidRPr="0042228B">
              <w:rPr>
                <w:lang w:val="en-US" w:eastAsia="en-GB"/>
              </w:rPr>
              <w:t>members’</w:t>
            </w:r>
            <w:r>
              <w:rPr>
                <w:lang w:val="en-US" w:eastAsia="en-GB"/>
              </w:rPr>
              <w:t xml:space="preserve"> </w:t>
            </w:r>
            <w:r w:rsidRPr="0042228B">
              <w:rPr>
                <w:lang w:val="en-US" w:eastAsia="en-GB"/>
              </w:rPr>
              <w:t>business</w:t>
            </w:r>
            <w:r>
              <w:rPr>
                <w:lang w:val="en-US" w:eastAsia="en-GB"/>
              </w:rPr>
              <w:t xml:space="preserve"> </w:t>
            </w:r>
            <w:r w:rsidRPr="0042228B">
              <w:rPr>
                <w:lang w:val="en-US" w:eastAsia="en-GB"/>
              </w:rPr>
              <w:t>and</w:t>
            </w:r>
            <w:r>
              <w:rPr>
                <w:lang w:val="en-US" w:eastAsia="en-GB"/>
              </w:rPr>
              <w:t xml:space="preserve"> </w:t>
            </w:r>
            <w:r w:rsidRPr="0042228B">
              <w:rPr>
                <w:lang w:val="en-US" w:eastAsia="en-GB"/>
              </w:rPr>
              <w:t>motions</w:t>
            </w:r>
            <w:r>
              <w:rPr>
                <w:lang w:val="en-US" w:eastAsia="en-GB"/>
              </w:rPr>
              <w:t xml:space="preserve"> </w:t>
            </w:r>
            <w:r w:rsidRPr="0042228B">
              <w:rPr>
                <w:lang w:val="en-US" w:eastAsia="en-GB"/>
              </w:rPr>
              <w:t>to</w:t>
            </w:r>
            <w:r>
              <w:rPr>
                <w:lang w:val="en-US" w:eastAsia="en-GB"/>
              </w:rPr>
              <w:t xml:space="preserve"> </w:t>
            </w:r>
            <w:r w:rsidRPr="0042228B">
              <w:rPr>
                <w:lang w:val="en-US" w:eastAsia="en-GB"/>
              </w:rPr>
              <w:t>acknowledge</w:t>
            </w:r>
            <w:r>
              <w:rPr>
                <w:lang w:val="en-US" w:eastAsia="en-GB"/>
              </w:rPr>
              <w:t xml:space="preserve"> </w:t>
            </w:r>
            <w:r w:rsidRPr="0042228B">
              <w:rPr>
                <w:lang w:val="en-US" w:eastAsia="en-GB"/>
              </w:rPr>
              <w:t>a</w:t>
            </w:r>
            <w:r>
              <w:rPr>
                <w:lang w:val="en-US" w:eastAsia="en-GB"/>
              </w:rPr>
              <w:t xml:space="preserve"> </w:t>
            </w:r>
            <w:r w:rsidRPr="0042228B">
              <w:rPr>
                <w:lang w:val="en-US" w:eastAsia="en-GB"/>
              </w:rPr>
              <w:t>significant</w:t>
            </w:r>
            <w:r>
              <w:rPr>
                <w:lang w:val="en-US" w:eastAsia="en-GB"/>
              </w:rPr>
              <w:t xml:space="preserve"> </w:t>
            </w:r>
            <w:r w:rsidRPr="0042228B">
              <w:rPr>
                <w:lang w:val="en-US" w:eastAsia="en-GB"/>
              </w:rPr>
              <w:t>day</w:t>
            </w:r>
            <w:r>
              <w:rPr>
                <w:lang w:val="en-US" w:eastAsia="en-GB"/>
              </w:rPr>
              <w:t xml:space="preserve"> </w:t>
            </w:r>
            <w:r w:rsidRPr="0042228B">
              <w:rPr>
                <w:lang w:val="en-US" w:eastAsia="en-GB"/>
              </w:rPr>
              <w:t>or</w:t>
            </w:r>
            <w:r>
              <w:rPr>
                <w:lang w:val="en-US" w:eastAsia="en-GB"/>
              </w:rPr>
              <w:t xml:space="preserve"> </w:t>
            </w:r>
            <w:r w:rsidRPr="0042228B">
              <w:rPr>
                <w:lang w:val="en-US" w:eastAsia="en-GB"/>
              </w:rPr>
              <w:t>in</w:t>
            </w:r>
            <w:r>
              <w:rPr>
                <w:lang w:val="en-US" w:eastAsia="en-GB"/>
              </w:rPr>
              <w:t xml:space="preserve"> </w:t>
            </w:r>
            <w:r w:rsidRPr="0042228B">
              <w:rPr>
                <w:lang w:val="en-US" w:eastAsia="en-GB"/>
              </w:rPr>
              <w:t>response</w:t>
            </w:r>
            <w:r>
              <w:rPr>
                <w:lang w:val="en-US" w:eastAsia="en-GB"/>
              </w:rPr>
              <w:t xml:space="preserve"> </w:t>
            </w:r>
            <w:r w:rsidRPr="0042228B">
              <w:rPr>
                <w:lang w:val="en-US" w:eastAsia="en-GB"/>
              </w:rPr>
              <w:t>to</w:t>
            </w:r>
            <w:r>
              <w:rPr>
                <w:lang w:val="en-US" w:eastAsia="en-GB"/>
              </w:rPr>
              <w:t xml:space="preserve"> </w:t>
            </w:r>
            <w:r w:rsidRPr="0042228B">
              <w:rPr>
                <w:lang w:val="en-US" w:eastAsia="en-GB"/>
              </w:rPr>
              <w:t>a</w:t>
            </w:r>
            <w:r>
              <w:rPr>
                <w:lang w:val="en-US" w:eastAsia="en-GB"/>
              </w:rPr>
              <w:t xml:space="preserve"> </w:t>
            </w:r>
            <w:r w:rsidRPr="0042228B">
              <w:rPr>
                <w:lang w:val="en-US" w:eastAsia="en-GB"/>
              </w:rPr>
              <w:t>specific</w:t>
            </w:r>
            <w:r>
              <w:rPr>
                <w:lang w:val="en-US" w:eastAsia="en-GB"/>
              </w:rPr>
              <w:t xml:space="preserve"> </w:t>
            </w:r>
            <w:r w:rsidRPr="0042228B">
              <w:rPr>
                <w:lang w:val="en-US" w:eastAsia="en-GB"/>
              </w:rPr>
              <w:t>incident</w:t>
            </w:r>
            <w:r>
              <w:rPr>
                <w:lang w:val="en-US" w:eastAsia="en-GB"/>
              </w:rPr>
              <w:t xml:space="preserve"> </w:t>
            </w:r>
            <w:r w:rsidRPr="0042228B">
              <w:rPr>
                <w:lang w:val="en-US" w:eastAsia="en-GB"/>
              </w:rPr>
              <w:t>of</w:t>
            </w:r>
            <w:r>
              <w:rPr>
                <w:lang w:val="en-US" w:eastAsia="en-GB"/>
              </w:rPr>
              <w:t xml:space="preserve"> </w:t>
            </w:r>
            <w:r w:rsidRPr="0042228B">
              <w:rPr>
                <w:lang w:val="en-US" w:eastAsia="en-GB"/>
              </w:rPr>
              <w:t>violence</w:t>
            </w:r>
            <w:r>
              <w:rPr>
                <w:lang w:val="en-US" w:eastAsia="en-GB"/>
              </w:rPr>
              <w:t xml:space="preserve"> </w:t>
            </w:r>
            <w:r w:rsidRPr="0042228B">
              <w:rPr>
                <w:lang w:val="en-US" w:eastAsia="en-GB"/>
              </w:rPr>
              <w:t>against</w:t>
            </w:r>
            <w:r>
              <w:rPr>
                <w:lang w:val="en-US" w:eastAsia="en-GB"/>
              </w:rPr>
              <w:t xml:space="preserve"> </w:t>
            </w:r>
            <w:r w:rsidRPr="0042228B">
              <w:rPr>
                <w:lang w:val="en-US" w:eastAsia="en-GB"/>
              </w:rPr>
              <w:t>women</w:t>
            </w:r>
          </w:p>
          <w:p w14:paraId="4B8B003E" w14:textId="77777777" w:rsidR="00CD4E17" w:rsidRDefault="00CD4E17" w:rsidP="00745297">
            <w:pPr>
              <w:pStyle w:val="OWTablebullet1"/>
              <w:rPr>
                <w:lang w:eastAsia="en-GB"/>
              </w:rPr>
            </w:pPr>
            <w:r>
              <w:rPr>
                <w:lang w:val="en-US" w:eastAsia="en-GB"/>
              </w:rPr>
              <w:t>q</w:t>
            </w:r>
            <w:r w:rsidRPr="0042228B">
              <w:rPr>
                <w:lang w:val="en-US" w:eastAsia="en-GB"/>
              </w:rPr>
              <w:t>uestions</w:t>
            </w:r>
            <w:r>
              <w:rPr>
                <w:lang w:val="en-US" w:eastAsia="en-GB"/>
              </w:rPr>
              <w:t xml:space="preserve"> </w:t>
            </w:r>
            <w:r w:rsidRPr="0042228B">
              <w:rPr>
                <w:lang w:val="en-US" w:eastAsia="en-GB"/>
              </w:rPr>
              <w:t>from</w:t>
            </w:r>
            <w:r>
              <w:rPr>
                <w:lang w:val="en-US" w:eastAsia="en-GB"/>
              </w:rPr>
              <w:t xml:space="preserve"> </w:t>
            </w:r>
            <w:r w:rsidRPr="0042228B">
              <w:rPr>
                <w:lang w:val="en-US" w:eastAsia="en-GB"/>
              </w:rPr>
              <w:t>parliamentarians</w:t>
            </w:r>
            <w:r>
              <w:rPr>
                <w:lang w:val="en-US" w:eastAsia="en-GB"/>
              </w:rPr>
              <w:t xml:space="preserve"> </w:t>
            </w:r>
            <w:r w:rsidRPr="0042228B">
              <w:rPr>
                <w:lang w:val="en-US" w:eastAsia="en-GB"/>
              </w:rPr>
              <w:t>about</w:t>
            </w:r>
            <w:r>
              <w:rPr>
                <w:lang w:val="en-US" w:eastAsia="en-GB"/>
              </w:rPr>
              <w:t xml:space="preserve"> </w:t>
            </w:r>
            <w:r w:rsidRPr="0042228B">
              <w:rPr>
                <w:lang w:val="en-US" w:eastAsia="en-GB"/>
              </w:rPr>
              <w:t>government</w:t>
            </w:r>
            <w:r>
              <w:rPr>
                <w:lang w:val="en-US" w:eastAsia="en-GB"/>
              </w:rPr>
              <w:t xml:space="preserve"> </w:t>
            </w:r>
            <w:r w:rsidRPr="0042228B">
              <w:rPr>
                <w:lang w:val="en-US" w:eastAsia="en-GB"/>
              </w:rPr>
              <w:t>policy</w:t>
            </w:r>
            <w:r>
              <w:rPr>
                <w:lang w:val="en-US" w:eastAsia="en-GB"/>
              </w:rPr>
              <w:t xml:space="preserve"> </w:t>
            </w:r>
            <w:r w:rsidRPr="0042228B">
              <w:rPr>
                <w:lang w:val="en-US" w:eastAsia="en-GB"/>
              </w:rPr>
              <w:t>and</w:t>
            </w:r>
            <w:r>
              <w:rPr>
                <w:lang w:val="en-US" w:eastAsia="en-GB"/>
              </w:rPr>
              <w:t xml:space="preserve"> </w:t>
            </w:r>
            <w:r w:rsidRPr="0042228B">
              <w:rPr>
                <w:lang w:val="en-US" w:eastAsia="en-GB"/>
              </w:rPr>
              <w:t>activity</w:t>
            </w:r>
          </w:p>
          <w:p w14:paraId="2E9517ED" w14:textId="77777777" w:rsidR="00CD4E17" w:rsidRDefault="00CD4E17" w:rsidP="00745297">
            <w:pPr>
              <w:pStyle w:val="OWTablebullet1"/>
              <w:rPr>
                <w:lang w:eastAsia="en-GB"/>
              </w:rPr>
            </w:pPr>
            <w:r>
              <w:rPr>
                <w:lang w:val="en-US" w:eastAsia="en-GB"/>
              </w:rPr>
              <w:t>c</w:t>
            </w:r>
            <w:r w:rsidRPr="0042228B">
              <w:rPr>
                <w:lang w:val="en-US" w:eastAsia="en-GB"/>
              </w:rPr>
              <w:t>onstituency</w:t>
            </w:r>
            <w:r>
              <w:rPr>
                <w:lang w:val="en-US" w:eastAsia="en-GB"/>
              </w:rPr>
              <w:t xml:space="preserve"> </w:t>
            </w:r>
            <w:r w:rsidRPr="0042228B">
              <w:rPr>
                <w:lang w:val="en-US" w:eastAsia="en-GB"/>
              </w:rPr>
              <w:t>statements,</w:t>
            </w:r>
            <w:r>
              <w:rPr>
                <w:lang w:val="en-US" w:eastAsia="en-GB"/>
              </w:rPr>
              <w:t xml:space="preserve"> </w:t>
            </w:r>
            <w:r w:rsidRPr="0042228B">
              <w:rPr>
                <w:lang w:val="en-US" w:eastAsia="en-GB"/>
              </w:rPr>
              <w:t>grievance</w:t>
            </w:r>
            <w:r>
              <w:rPr>
                <w:lang w:val="en-US" w:eastAsia="en-GB"/>
              </w:rPr>
              <w:t xml:space="preserve"> </w:t>
            </w:r>
            <w:r w:rsidRPr="0042228B">
              <w:rPr>
                <w:lang w:val="en-US" w:eastAsia="en-GB"/>
              </w:rPr>
              <w:t>debates,</w:t>
            </w:r>
            <w:r>
              <w:rPr>
                <w:lang w:val="en-US" w:eastAsia="en-GB"/>
              </w:rPr>
              <w:t xml:space="preserve"> </w:t>
            </w:r>
            <w:r w:rsidRPr="0042228B">
              <w:rPr>
                <w:lang w:val="en-US" w:eastAsia="en-GB"/>
              </w:rPr>
              <w:t>matters</w:t>
            </w:r>
            <w:r>
              <w:rPr>
                <w:lang w:val="en-US" w:eastAsia="en-GB"/>
              </w:rPr>
              <w:t xml:space="preserve"> </w:t>
            </w:r>
            <w:r w:rsidRPr="0042228B">
              <w:rPr>
                <w:lang w:val="en-US" w:eastAsia="en-GB"/>
              </w:rPr>
              <w:t>of</w:t>
            </w:r>
            <w:r>
              <w:rPr>
                <w:lang w:val="en-US" w:eastAsia="en-GB"/>
              </w:rPr>
              <w:t xml:space="preserve"> </w:t>
            </w:r>
            <w:r w:rsidRPr="0042228B">
              <w:rPr>
                <w:lang w:val="en-US" w:eastAsia="en-GB"/>
              </w:rPr>
              <w:t>public</w:t>
            </w:r>
            <w:r>
              <w:rPr>
                <w:lang w:val="en-US" w:eastAsia="en-GB"/>
              </w:rPr>
              <w:t xml:space="preserve"> </w:t>
            </w:r>
            <w:r w:rsidRPr="0042228B">
              <w:rPr>
                <w:lang w:val="en-US" w:eastAsia="en-GB"/>
              </w:rPr>
              <w:t>importance</w:t>
            </w:r>
            <w:r>
              <w:rPr>
                <w:lang w:val="en-US" w:eastAsia="en-GB"/>
              </w:rPr>
              <w:t xml:space="preserve"> </w:t>
            </w:r>
            <w:r w:rsidRPr="0042228B">
              <w:rPr>
                <w:lang w:val="en-US" w:eastAsia="en-GB"/>
              </w:rPr>
              <w:t>or</w:t>
            </w:r>
            <w:r>
              <w:rPr>
                <w:lang w:val="en-US" w:eastAsia="en-GB"/>
              </w:rPr>
              <w:t xml:space="preserve"> </w:t>
            </w:r>
            <w:r w:rsidRPr="0042228B">
              <w:rPr>
                <w:lang w:val="en-US" w:eastAsia="en-GB"/>
              </w:rPr>
              <w:t>presentation</w:t>
            </w:r>
            <w:r>
              <w:rPr>
                <w:lang w:val="en-US" w:eastAsia="en-GB"/>
              </w:rPr>
              <w:t xml:space="preserve"> </w:t>
            </w:r>
            <w:r w:rsidRPr="0042228B">
              <w:rPr>
                <w:lang w:val="en-US" w:eastAsia="en-GB"/>
              </w:rPr>
              <w:t>of</w:t>
            </w:r>
            <w:r>
              <w:rPr>
                <w:lang w:val="en-US" w:eastAsia="en-GB"/>
              </w:rPr>
              <w:t xml:space="preserve"> </w:t>
            </w:r>
            <w:r w:rsidRPr="0042228B">
              <w:rPr>
                <w:lang w:val="en-US" w:eastAsia="en-GB"/>
              </w:rPr>
              <w:t>petitions.</w:t>
            </w:r>
          </w:p>
          <w:p w14:paraId="28C3AAED" w14:textId="77777777" w:rsidR="00CD4E17" w:rsidRDefault="00CD4E17" w:rsidP="00745297">
            <w:pPr>
              <w:pStyle w:val="OWTablebodyleft"/>
            </w:pPr>
            <w:r w:rsidRPr="0042228B">
              <w:t>November</w:t>
            </w:r>
            <w:r>
              <w:t xml:space="preserve"> </w:t>
            </w:r>
            <w:r w:rsidRPr="0042228B">
              <w:t>2018</w:t>
            </w:r>
            <w:r>
              <w:t xml:space="preserve">, the month with the most mentions for all keywords, </w:t>
            </w:r>
            <w:r w:rsidRPr="0042228B">
              <w:t>saw</w:t>
            </w:r>
            <w:r>
              <w:t xml:space="preserve"> </w:t>
            </w:r>
            <w:r w:rsidRPr="0042228B">
              <w:t>activity</w:t>
            </w:r>
            <w:r>
              <w:t xml:space="preserve"> </w:t>
            </w:r>
            <w:r w:rsidRPr="0042228B">
              <w:t>across</w:t>
            </w:r>
            <w:r>
              <w:t xml:space="preserve"> </w:t>
            </w:r>
            <w:r w:rsidRPr="0042228B">
              <w:t>all</w:t>
            </w:r>
            <w:r>
              <w:t xml:space="preserve"> </w:t>
            </w:r>
            <w:r w:rsidRPr="0042228B">
              <w:t>these</w:t>
            </w:r>
            <w:r>
              <w:t xml:space="preserve"> </w:t>
            </w:r>
            <w:r w:rsidRPr="0042228B">
              <w:t>areas.</w:t>
            </w:r>
            <w:r>
              <w:t xml:space="preserve"> </w:t>
            </w:r>
            <w:r w:rsidRPr="0042228B">
              <w:t>International</w:t>
            </w:r>
            <w:r>
              <w:t xml:space="preserve"> </w:t>
            </w:r>
            <w:r w:rsidRPr="0042228B">
              <w:t>Day</w:t>
            </w:r>
            <w:r>
              <w:t xml:space="preserve"> </w:t>
            </w:r>
            <w:r w:rsidRPr="0042228B">
              <w:t>for</w:t>
            </w:r>
            <w:r>
              <w:t xml:space="preserve"> </w:t>
            </w:r>
            <w:r w:rsidRPr="0042228B">
              <w:t>the</w:t>
            </w:r>
            <w:r>
              <w:t xml:space="preserve"> </w:t>
            </w:r>
            <w:r w:rsidRPr="0042228B">
              <w:t>Elimination</w:t>
            </w:r>
            <w:r>
              <w:t xml:space="preserve"> </w:t>
            </w:r>
            <w:r w:rsidRPr="0042228B">
              <w:t>of</w:t>
            </w:r>
            <w:r>
              <w:t xml:space="preserve"> </w:t>
            </w:r>
            <w:r w:rsidRPr="0042228B">
              <w:t>Violence</w:t>
            </w:r>
            <w:r>
              <w:t xml:space="preserve"> </w:t>
            </w:r>
            <w:r w:rsidRPr="0042228B">
              <w:t>against</w:t>
            </w:r>
            <w:r>
              <w:t xml:space="preserve"> </w:t>
            </w:r>
            <w:r w:rsidRPr="0042228B">
              <w:t>Women</w:t>
            </w:r>
            <w:r>
              <w:t xml:space="preserve"> </w:t>
            </w:r>
            <w:r w:rsidRPr="0042228B">
              <w:t>(also</w:t>
            </w:r>
            <w:r>
              <w:t xml:space="preserve"> </w:t>
            </w:r>
            <w:r w:rsidRPr="0042228B">
              <w:t>known</w:t>
            </w:r>
            <w:r>
              <w:t xml:space="preserve"> </w:t>
            </w:r>
            <w:r w:rsidRPr="0042228B">
              <w:t>as</w:t>
            </w:r>
            <w:r>
              <w:t xml:space="preserve"> </w:t>
            </w:r>
            <w:r w:rsidRPr="0042228B">
              <w:t>White</w:t>
            </w:r>
            <w:r>
              <w:t xml:space="preserve"> </w:t>
            </w:r>
            <w:r w:rsidRPr="0042228B">
              <w:t>Ribbon</w:t>
            </w:r>
            <w:r>
              <w:t xml:space="preserve"> </w:t>
            </w:r>
            <w:r w:rsidRPr="0042228B">
              <w:t>Day)</w:t>
            </w:r>
            <w:r>
              <w:t xml:space="preserve"> </w:t>
            </w:r>
            <w:r w:rsidRPr="0042228B">
              <w:t>saw</w:t>
            </w:r>
            <w:r>
              <w:t xml:space="preserve"> </w:t>
            </w:r>
            <w:r w:rsidRPr="0042228B">
              <w:t>statements</w:t>
            </w:r>
            <w:r>
              <w:t xml:space="preserve"> </w:t>
            </w:r>
            <w:r w:rsidRPr="0042228B">
              <w:t>made</w:t>
            </w:r>
            <w:r>
              <w:t xml:space="preserve"> </w:t>
            </w:r>
            <w:r w:rsidRPr="0042228B">
              <w:t>by</w:t>
            </w:r>
            <w:r>
              <w:t xml:space="preserve"> </w:t>
            </w:r>
            <w:r w:rsidRPr="0042228B">
              <w:t>sixteen</w:t>
            </w:r>
            <w:r>
              <w:t xml:space="preserve"> </w:t>
            </w:r>
            <w:r w:rsidRPr="0042228B">
              <w:t>parliamentarians</w:t>
            </w:r>
            <w:r>
              <w:t xml:space="preserve"> </w:t>
            </w:r>
            <w:r w:rsidRPr="0042228B">
              <w:t>across</w:t>
            </w:r>
            <w:r>
              <w:t xml:space="preserve"> </w:t>
            </w:r>
            <w:r w:rsidRPr="0042228B">
              <w:t>both</w:t>
            </w:r>
            <w:r>
              <w:t xml:space="preserve"> </w:t>
            </w:r>
            <w:r w:rsidRPr="0042228B">
              <w:t>houses,</w:t>
            </w:r>
            <w:r>
              <w:t xml:space="preserve"> </w:t>
            </w:r>
            <w:r w:rsidRPr="0042228B">
              <w:t>including</w:t>
            </w:r>
            <w:r>
              <w:t xml:space="preserve"> </w:t>
            </w:r>
            <w:r w:rsidRPr="0042228B">
              <w:t>a</w:t>
            </w:r>
            <w:r>
              <w:t xml:space="preserve"> </w:t>
            </w:r>
            <w:r w:rsidRPr="0042228B">
              <w:t>motion</w:t>
            </w:r>
            <w:r>
              <w:t xml:space="preserve"> </w:t>
            </w:r>
            <w:r w:rsidRPr="0042228B">
              <w:t>that</w:t>
            </w:r>
            <w:r>
              <w:t xml:space="preserve"> </w:t>
            </w:r>
            <w:r w:rsidRPr="0042228B">
              <w:t>domestic</w:t>
            </w:r>
            <w:r>
              <w:t xml:space="preserve"> </w:t>
            </w:r>
            <w:r w:rsidRPr="0042228B">
              <w:t>and</w:t>
            </w:r>
            <w:r>
              <w:t xml:space="preserve"> </w:t>
            </w:r>
            <w:r w:rsidRPr="0042228B">
              <w:t>family</w:t>
            </w:r>
            <w:r>
              <w:t xml:space="preserve"> </w:t>
            </w:r>
            <w:r w:rsidRPr="0042228B">
              <w:t>violence</w:t>
            </w:r>
            <w:r>
              <w:t xml:space="preserve"> </w:t>
            </w:r>
            <w:r w:rsidRPr="0042228B">
              <w:t>be</w:t>
            </w:r>
            <w:r>
              <w:t xml:space="preserve"> </w:t>
            </w:r>
            <w:r w:rsidRPr="0042228B">
              <w:t>prioritised</w:t>
            </w:r>
            <w:r>
              <w:t xml:space="preserve"> </w:t>
            </w:r>
            <w:r w:rsidRPr="0042228B">
              <w:t>as</w:t>
            </w:r>
            <w:r>
              <w:t xml:space="preserve"> </w:t>
            </w:r>
            <w:r w:rsidRPr="0042228B">
              <w:t>a</w:t>
            </w:r>
            <w:r>
              <w:t xml:space="preserve"> </w:t>
            </w:r>
            <w:r w:rsidRPr="0042228B">
              <w:t>national</w:t>
            </w:r>
            <w:r>
              <w:t xml:space="preserve"> </w:t>
            </w:r>
            <w:r w:rsidRPr="0042228B">
              <w:t>security</w:t>
            </w:r>
            <w:r>
              <w:t xml:space="preserve"> </w:t>
            </w:r>
            <w:r w:rsidRPr="0042228B">
              <w:t>crisis.</w:t>
            </w:r>
            <w:r>
              <w:t xml:space="preserve"> November also saw </w:t>
            </w:r>
            <w:r w:rsidRPr="0042228B">
              <w:t>second</w:t>
            </w:r>
            <w:r>
              <w:t xml:space="preserve"> </w:t>
            </w:r>
            <w:r w:rsidRPr="0042228B">
              <w:t>readings</w:t>
            </w:r>
            <w:r>
              <w:t xml:space="preserve"> </w:t>
            </w:r>
            <w:r w:rsidRPr="0042228B">
              <w:t>in</w:t>
            </w:r>
            <w:r>
              <w:t xml:space="preserve"> </w:t>
            </w:r>
            <w:r w:rsidRPr="0042228B">
              <w:t>the</w:t>
            </w:r>
            <w:r>
              <w:t xml:space="preserve"> </w:t>
            </w:r>
            <w:r w:rsidRPr="0042228B">
              <w:t>lower</w:t>
            </w:r>
            <w:r>
              <w:t xml:space="preserve"> </w:t>
            </w:r>
            <w:r w:rsidRPr="0042228B">
              <w:t>or</w:t>
            </w:r>
            <w:r>
              <w:t xml:space="preserve"> </w:t>
            </w:r>
            <w:r w:rsidRPr="0042228B">
              <w:t>upper</w:t>
            </w:r>
            <w:r>
              <w:t xml:space="preserve"> </w:t>
            </w:r>
            <w:r w:rsidRPr="0042228B">
              <w:t>house</w:t>
            </w:r>
            <w:r>
              <w:t xml:space="preserve"> </w:t>
            </w:r>
            <w:r w:rsidRPr="0042228B">
              <w:t>for</w:t>
            </w:r>
            <w:r>
              <w:t xml:space="preserve"> various </w:t>
            </w:r>
            <w:r w:rsidRPr="0042228B">
              <w:t>Bills,</w:t>
            </w:r>
            <w:r>
              <w:t xml:space="preserve"> </w:t>
            </w:r>
            <w:r w:rsidRPr="0042228B">
              <w:t>including:</w:t>
            </w:r>
          </w:p>
          <w:p w14:paraId="7581190A" w14:textId="77777777" w:rsidR="00CD4E17" w:rsidRDefault="00CD4E17" w:rsidP="00745297">
            <w:pPr>
              <w:pStyle w:val="OWTablebullet1"/>
              <w:rPr>
                <w:lang w:eastAsia="en-GB"/>
              </w:rPr>
            </w:pPr>
            <w:r w:rsidRPr="0042228B">
              <w:rPr>
                <w:lang w:eastAsia="en-GB"/>
              </w:rPr>
              <w:t>Fair</w:t>
            </w:r>
            <w:r>
              <w:rPr>
                <w:lang w:eastAsia="en-GB"/>
              </w:rPr>
              <w:t xml:space="preserve"> </w:t>
            </w:r>
            <w:r w:rsidRPr="0042228B">
              <w:rPr>
                <w:lang w:eastAsia="en-GB"/>
              </w:rPr>
              <w:t>Work</w:t>
            </w:r>
            <w:r>
              <w:rPr>
                <w:lang w:eastAsia="en-GB"/>
              </w:rPr>
              <w:t xml:space="preserve"> </w:t>
            </w:r>
            <w:r w:rsidRPr="0042228B">
              <w:rPr>
                <w:lang w:eastAsia="en-GB"/>
              </w:rPr>
              <w:t>Amendment</w:t>
            </w:r>
            <w:r>
              <w:rPr>
                <w:lang w:eastAsia="en-GB"/>
              </w:rPr>
              <w:t xml:space="preserve"> </w:t>
            </w:r>
            <w:r w:rsidRPr="0042228B">
              <w:rPr>
                <w:lang w:eastAsia="en-GB"/>
              </w:rPr>
              <w:t>(Family</w:t>
            </w:r>
            <w:r>
              <w:rPr>
                <w:lang w:eastAsia="en-GB"/>
              </w:rPr>
              <w:t xml:space="preserve"> </w:t>
            </w:r>
            <w:r w:rsidRPr="0042228B">
              <w:rPr>
                <w:lang w:eastAsia="en-GB"/>
              </w:rPr>
              <w:t>and</w:t>
            </w:r>
            <w:r>
              <w:rPr>
                <w:lang w:eastAsia="en-GB"/>
              </w:rPr>
              <w:t xml:space="preserve"> </w:t>
            </w:r>
            <w:r w:rsidRPr="0042228B">
              <w:rPr>
                <w:lang w:eastAsia="en-GB"/>
              </w:rPr>
              <w:t>Domestic</w:t>
            </w:r>
            <w:r>
              <w:rPr>
                <w:lang w:eastAsia="en-GB"/>
              </w:rPr>
              <w:t xml:space="preserve"> </w:t>
            </w:r>
            <w:r w:rsidRPr="0042228B">
              <w:rPr>
                <w:lang w:eastAsia="en-GB"/>
              </w:rPr>
              <w:t>Violence</w:t>
            </w:r>
            <w:r>
              <w:rPr>
                <w:lang w:eastAsia="en-GB"/>
              </w:rPr>
              <w:t xml:space="preserve"> </w:t>
            </w:r>
            <w:r w:rsidRPr="0042228B">
              <w:rPr>
                <w:lang w:eastAsia="en-GB"/>
              </w:rPr>
              <w:t>Leave)</w:t>
            </w:r>
            <w:r>
              <w:rPr>
                <w:lang w:eastAsia="en-GB"/>
              </w:rPr>
              <w:t xml:space="preserve"> </w:t>
            </w:r>
            <w:r w:rsidRPr="0042228B">
              <w:rPr>
                <w:lang w:eastAsia="en-GB"/>
              </w:rPr>
              <w:t>Bill</w:t>
            </w:r>
            <w:r>
              <w:rPr>
                <w:lang w:eastAsia="en-GB"/>
              </w:rPr>
              <w:t xml:space="preserve"> </w:t>
            </w:r>
            <w:r w:rsidRPr="0042228B">
              <w:rPr>
                <w:lang w:eastAsia="en-GB"/>
              </w:rPr>
              <w:t>2018</w:t>
            </w:r>
          </w:p>
          <w:p w14:paraId="74AA97C1" w14:textId="77777777" w:rsidR="00CD4E17" w:rsidRDefault="00CD4E17" w:rsidP="00745297">
            <w:pPr>
              <w:pStyle w:val="OWTablebullet1"/>
              <w:rPr>
                <w:lang w:eastAsia="en-GB"/>
              </w:rPr>
            </w:pPr>
            <w:r w:rsidRPr="0042228B">
              <w:rPr>
                <w:lang w:val="en-US" w:eastAsia="en-GB"/>
              </w:rPr>
              <w:t>Social</w:t>
            </w:r>
            <w:r>
              <w:rPr>
                <w:lang w:val="en-US" w:eastAsia="en-GB"/>
              </w:rPr>
              <w:t xml:space="preserve"> </w:t>
            </w:r>
            <w:r w:rsidRPr="0042228B">
              <w:rPr>
                <w:lang w:val="en-US" w:eastAsia="en-GB"/>
              </w:rPr>
              <w:t>Services</w:t>
            </w:r>
            <w:r>
              <w:rPr>
                <w:lang w:val="en-US" w:eastAsia="en-GB"/>
              </w:rPr>
              <w:t xml:space="preserve"> </w:t>
            </w:r>
            <w:r w:rsidRPr="0042228B">
              <w:rPr>
                <w:lang w:val="en-US" w:eastAsia="en-GB"/>
              </w:rPr>
              <w:t>Legislation</w:t>
            </w:r>
            <w:r>
              <w:rPr>
                <w:lang w:val="en-US" w:eastAsia="en-GB"/>
              </w:rPr>
              <w:t xml:space="preserve"> </w:t>
            </w:r>
            <w:r w:rsidRPr="0042228B">
              <w:rPr>
                <w:lang w:val="en-US" w:eastAsia="en-GB"/>
              </w:rPr>
              <w:t>Amendment</w:t>
            </w:r>
            <w:r>
              <w:rPr>
                <w:lang w:val="en-US" w:eastAsia="en-GB"/>
              </w:rPr>
              <w:t xml:space="preserve"> </w:t>
            </w:r>
            <w:r w:rsidRPr="0042228B">
              <w:rPr>
                <w:lang w:val="en-US" w:eastAsia="en-GB"/>
              </w:rPr>
              <w:t>(Housing</w:t>
            </w:r>
            <w:r>
              <w:rPr>
                <w:lang w:val="en-US" w:eastAsia="en-GB"/>
              </w:rPr>
              <w:t xml:space="preserve"> </w:t>
            </w:r>
            <w:r w:rsidRPr="0042228B">
              <w:rPr>
                <w:lang w:val="en-US" w:eastAsia="en-GB"/>
              </w:rPr>
              <w:t>Affordability)</w:t>
            </w:r>
            <w:r>
              <w:rPr>
                <w:lang w:val="en-US" w:eastAsia="en-GB"/>
              </w:rPr>
              <w:t xml:space="preserve"> </w:t>
            </w:r>
            <w:r w:rsidRPr="0042228B">
              <w:rPr>
                <w:lang w:val="en-US" w:eastAsia="en-GB"/>
              </w:rPr>
              <w:t>Bill</w:t>
            </w:r>
            <w:r>
              <w:rPr>
                <w:lang w:val="en-US" w:eastAsia="en-GB"/>
              </w:rPr>
              <w:t xml:space="preserve"> </w:t>
            </w:r>
            <w:r w:rsidRPr="0042228B">
              <w:rPr>
                <w:lang w:val="en-US" w:eastAsia="en-GB"/>
              </w:rPr>
              <w:t>2018</w:t>
            </w:r>
          </w:p>
          <w:p w14:paraId="4F8CC285" w14:textId="77777777" w:rsidR="00CD4E17" w:rsidRDefault="00CD4E17" w:rsidP="00745297">
            <w:pPr>
              <w:pStyle w:val="OWTablebullet1"/>
              <w:rPr>
                <w:lang w:eastAsia="en-GB"/>
              </w:rPr>
            </w:pPr>
            <w:r w:rsidRPr="0042228B">
              <w:rPr>
                <w:lang w:val="en-US" w:eastAsia="en-GB"/>
              </w:rPr>
              <w:t>Federal</w:t>
            </w:r>
            <w:r>
              <w:rPr>
                <w:lang w:val="en-US" w:eastAsia="en-GB"/>
              </w:rPr>
              <w:t xml:space="preserve"> </w:t>
            </w:r>
            <w:r w:rsidRPr="0042228B">
              <w:rPr>
                <w:lang w:val="en-US" w:eastAsia="en-GB"/>
              </w:rPr>
              <w:t>Circuit</w:t>
            </w:r>
            <w:r>
              <w:rPr>
                <w:lang w:val="en-US" w:eastAsia="en-GB"/>
              </w:rPr>
              <w:t xml:space="preserve"> </w:t>
            </w:r>
            <w:r w:rsidRPr="0042228B">
              <w:rPr>
                <w:lang w:val="en-US" w:eastAsia="en-GB"/>
              </w:rPr>
              <w:t>and</w:t>
            </w:r>
            <w:r>
              <w:rPr>
                <w:lang w:val="en-US" w:eastAsia="en-GB"/>
              </w:rPr>
              <w:t xml:space="preserve"> </w:t>
            </w:r>
            <w:r w:rsidRPr="0042228B">
              <w:rPr>
                <w:lang w:val="en-US" w:eastAsia="en-GB"/>
              </w:rPr>
              <w:t>Family</w:t>
            </w:r>
            <w:r>
              <w:rPr>
                <w:lang w:val="en-US" w:eastAsia="en-GB"/>
              </w:rPr>
              <w:t xml:space="preserve"> </w:t>
            </w:r>
            <w:r w:rsidRPr="0042228B">
              <w:rPr>
                <w:lang w:val="en-US" w:eastAsia="en-GB"/>
              </w:rPr>
              <w:t>Court</w:t>
            </w:r>
            <w:r>
              <w:rPr>
                <w:lang w:val="en-US" w:eastAsia="en-GB"/>
              </w:rPr>
              <w:t xml:space="preserve"> </w:t>
            </w:r>
            <w:r w:rsidRPr="0042228B">
              <w:rPr>
                <w:lang w:val="en-US" w:eastAsia="en-GB"/>
              </w:rPr>
              <w:t>of</w:t>
            </w:r>
            <w:r>
              <w:rPr>
                <w:lang w:val="en-US" w:eastAsia="en-GB"/>
              </w:rPr>
              <w:t xml:space="preserve"> </w:t>
            </w:r>
            <w:r w:rsidRPr="0042228B">
              <w:rPr>
                <w:lang w:val="en-US" w:eastAsia="en-GB"/>
              </w:rPr>
              <w:t>Australia</w:t>
            </w:r>
            <w:r>
              <w:rPr>
                <w:lang w:val="en-US" w:eastAsia="en-GB"/>
              </w:rPr>
              <w:t xml:space="preserve"> </w:t>
            </w:r>
            <w:r w:rsidRPr="0042228B">
              <w:rPr>
                <w:lang w:val="en-US" w:eastAsia="en-GB"/>
              </w:rPr>
              <w:t>Bill</w:t>
            </w:r>
            <w:r>
              <w:rPr>
                <w:lang w:val="en-US" w:eastAsia="en-GB"/>
              </w:rPr>
              <w:t xml:space="preserve"> </w:t>
            </w:r>
            <w:r w:rsidRPr="0042228B">
              <w:rPr>
                <w:lang w:val="en-US" w:eastAsia="en-GB"/>
              </w:rPr>
              <w:t>2019</w:t>
            </w:r>
          </w:p>
          <w:p w14:paraId="660F4873" w14:textId="77777777" w:rsidR="00CD4E17" w:rsidRDefault="00CD4E17" w:rsidP="00745297">
            <w:pPr>
              <w:pStyle w:val="OWTablebullet1"/>
              <w:rPr>
                <w:lang w:eastAsia="en-GB"/>
              </w:rPr>
            </w:pPr>
            <w:r w:rsidRPr="0042228B">
              <w:rPr>
                <w:lang w:val="en-US" w:eastAsia="en-GB"/>
              </w:rPr>
              <w:t>Migration</w:t>
            </w:r>
            <w:r>
              <w:rPr>
                <w:lang w:val="en-US" w:eastAsia="en-GB"/>
              </w:rPr>
              <w:t xml:space="preserve"> </w:t>
            </w:r>
            <w:r w:rsidRPr="0042228B">
              <w:rPr>
                <w:lang w:val="en-US" w:eastAsia="en-GB"/>
              </w:rPr>
              <w:t>Amendment</w:t>
            </w:r>
            <w:r>
              <w:rPr>
                <w:lang w:val="en-US" w:eastAsia="en-GB"/>
              </w:rPr>
              <w:t xml:space="preserve"> </w:t>
            </w:r>
            <w:r w:rsidRPr="0042228B">
              <w:rPr>
                <w:lang w:val="en-US" w:eastAsia="en-GB"/>
              </w:rPr>
              <w:t>(Family</w:t>
            </w:r>
            <w:r>
              <w:rPr>
                <w:lang w:val="en-US" w:eastAsia="en-GB"/>
              </w:rPr>
              <w:t xml:space="preserve"> </w:t>
            </w:r>
            <w:r w:rsidRPr="0042228B">
              <w:rPr>
                <w:lang w:val="en-US" w:eastAsia="en-GB"/>
              </w:rPr>
              <w:t>Violence</w:t>
            </w:r>
            <w:r>
              <w:rPr>
                <w:lang w:val="en-US" w:eastAsia="en-GB"/>
              </w:rPr>
              <w:t xml:space="preserve"> </w:t>
            </w:r>
            <w:r w:rsidRPr="0042228B">
              <w:rPr>
                <w:lang w:val="en-US" w:eastAsia="en-GB"/>
              </w:rPr>
              <w:t>and</w:t>
            </w:r>
            <w:r>
              <w:rPr>
                <w:lang w:val="en-US" w:eastAsia="en-GB"/>
              </w:rPr>
              <w:t xml:space="preserve"> </w:t>
            </w:r>
            <w:r w:rsidRPr="0042228B">
              <w:rPr>
                <w:lang w:val="en-US" w:eastAsia="en-GB"/>
              </w:rPr>
              <w:t>Other</w:t>
            </w:r>
            <w:r>
              <w:rPr>
                <w:lang w:val="en-US" w:eastAsia="en-GB"/>
              </w:rPr>
              <w:t xml:space="preserve"> </w:t>
            </w:r>
            <w:r w:rsidRPr="0042228B">
              <w:rPr>
                <w:lang w:val="en-US" w:eastAsia="en-GB"/>
              </w:rPr>
              <w:t>Measures)</w:t>
            </w:r>
            <w:r>
              <w:rPr>
                <w:lang w:val="en-US" w:eastAsia="en-GB"/>
              </w:rPr>
              <w:t xml:space="preserve"> </w:t>
            </w:r>
            <w:r w:rsidRPr="0042228B">
              <w:rPr>
                <w:lang w:val="en-US" w:eastAsia="en-GB"/>
              </w:rPr>
              <w:t>Bill</w:t>
            </w:r>
            <w:r>
              <w:rPr>
                <w:lang w:val="en-US" w:eastAsia="en-GB"/>
              </w:rPr>
              <w:t xml:space="preserve"> </w:t>
            </w:r>
            <w:r w:rsidRPr="0042228B">
              <w:rPr>
                <w:lang w:val="en-US" w:eastAsia="en-GB"/>
              </w:rPr>
              <w:t>2016</w:t>
            </w:r>
          </w:p>
          <w:p w14:paraId="735B3F56" w14:textId="77777777" w:rsidR="00CD4E17" w:rsidRPr="0042228B" w:rsidRDefault="00CD4E17" w:rsidP="00745297">
            <w:pPr>
              <w:pStyle w:val="OWTablebullet1"/>
              <w:rPr>
                <w:lang w:eastAsia="en-GB"/>
              </w:rPr>
            </w:pPr>
            <w:r w:rsidRPr="0042228B">
              <w:rPr>
                <w:lang w:val="en-US" w:eastAsia="en-GB"/>
              </w:rPr>
              <w:t>Equal</w:t>
            </w:r>
            <w:r>
              <w:rPr>
                <w:lang w:val="en-US" w:eastAsia="en-GB"/>
              </w:rPr>
              <w:t xml:space="preserve"> </w:t>
            </w:r>
            <w:r w:rsidRPr="0042228B">
              <w:rPr>
                <w:lang w:val="en-US" w:eastAsia="en-GB"/>
              </w:rPr>
              <w:t>Pay</w:t>
            </w:r>
            <w:r>
              <w:rPr>
                <w:lang w:val="en-US" w:eastAsia="en-GB"/>
              </w:rPr>
              <w:t xml:space="preserve"> </w:t>
            </w:r>
            <w:r w:rsidRPr="0042228B">
              <w:rPr>
                <w:lang w:val="en-US" w:eastAsia="en-GB"/>
              </w:rPr>
              <w:t>Standard</w:t>
            </w:r>
            <w:r>
              <w:rPr>
                <w:lang w:val="en-US" w:eastAsia="en-GB"/>
              </w:rPr>
              <w:t xml:space="preserve"> </w:t>
            </w:r>
            <w:r w:rsidRPr="0042228B">
              <w:rPr>
                <w:lang w:val="en-US" w:eastAsia="en-GB"/>
              </w:rPr>
              <w:t>Bill</w:t>
            </w:r>
            <w:r>
              <w:rPr>
                <w:lang w:val="en-US" w:eastAsia="en-GB"/>
              </w:rPr>
              <w:t xml:space="preserve"> </w:t>
            </w:r>
            <w:r w:rsidRPr="0042228B">
              <w:rPr>
                <w:lang w:val="en-US" w:eastAsia="en-GB"/>
              </w:rPr>
              <w:t>2018</w:t>
            </w:r>
          </w:p>
          <w:p w14:paraId="0E99C519" w14:textId="77777777" w:rsidR="00CD4E17" w:rsidRPr="00C77022" w:rsidRDefault="00CD4E17" w:rsidP="00745297">
            <w:pPr>
              <w:pStyle w:val="OWTablebullet1"/>
              <w:rPr>
                <w:lang w:eastAsia="en-GB"/>
              </w:rPr>
            </w:pPr>
            <w:r w:rsidRPr="0042228B">
              <w:rPr>
                <w:lang w:val="en-US" w:eastAsia="en-GB"/>
              </w:rPr>
              <w:t>Corporations</w:t>
            </w:r>
            <w:r>
              <w:rPr>
                <w:lang w:val="en-US" w:eastAsia="en-GB"/>
              </w:rPr>
              <w:t xml:space="preserve"> </w:t>
            </w:r>
            <w:r w:rsidRPr="0042228B">
              <w:rPr>
                <w:lang w:val="en-US" w:eastAsia="en-GB"/>
              </w:rPr>
              <w:t>Amendment</w:t>
            </w:r>
            <w:r>
              <w:rPr>
                <w:lang w:val="en-US" w:eastAsia="en-GB"/>
              </w:rPr>
              <w:t xml:space="preserve"> </w:t>
            </w:r>
            <w:r w:rsidRPr="0042228B">
              <w:rPr>
                <w:lang w:val="en-US" w:eastAsia="en-GB"/>
              </w:rPr>
              <w:t>(Strengthening</w:t>
            </w:r>
            <w:r>
              <w:rPr>
                <w:lang w:val="en-US" w:eastAsia="en-GB"/>
              </w:rPr>
              <w:t xml:space="preserve"> </w:t>
            </w:r>
            <w:r w:rsidRPr="0042228B">
              <w:rPr>
                <w:lang w:val="en-US" w:eastAsia="en-GB"/>
              </w:rPr>
              <w:t>Protections</w:t>
            </w:r>
            <w:r>
              <w:rPr>
                <w:lang w:val="en-US" w:eastAsia="en-GB"/>
              </w:rPr>
              <w:t xml:space="preserve"> </w:t>
            </w:r>
            <w:r w:rsidRPr="0042228B">
              <w:rPr>
                <w:lang w:val="en-US" w:eastAsia="en-GB"/>
              </w:rPr>
              <w:t>for</w:t>
            </w:r>
            <w:r>
              <w:rPr>
                <w:lang w:val="en-US" w:eastAsia="en-GB"/>
              </w:rPr>
              <w:t xml:space="preserve"> </w:t>
            </w:r>
            <w:r w:rsidRPr="0042228B">
              <w:rPr>
                <w:lang w:val="en-US" w:eastAsia="en-GB"/>
              </w:rPr>
              <w:t>Employee</w:t>
            </w:r>
            <w:r>
              <w:rPr>
                <w:lang w:val="en-US" w:eastAsia="en-GB"/>
              </w:rPr>
              <w:t xml:space="preserve"> </w:t>
            </w:r>
            <w:r w:rsidRPr="0042228B">
              <w:rPr>
                <w:lang w:val="en-US" w:eastAsia="en-GB"/>
              </w:rPr>
              <w:t>Entitlements)</w:t>
            </w:r>
            <w:r>
              <w:rPr>
                <w:lang w:val="en-US" w:eastAsia="en-GB"/>
              </w:rPr>
              <w:t xml:space="preserve"> </w:t>
            </w:r>
            <w:r w:rsidRPr="0042228B">
              <w:rPr>
                <w:lang w:val="en-US" w:eastAsia="en-GB"/>
              </w:rPr>
              <w:t>Bill</w:t>
            </w:r>
            <w:r>
              <w:rPr>
                <w:lang w:val="en-US" w:eastAsia="en-GB"/>
              </w:rPr>
              <w:t xml:space="preserve"> </w:t>
            </w:r>
            <w:r w:rsidRPr="0042228B">
              <w:rPr>
                <w:lang w:val="en-US" w:eastAsia="en-GB"/>
              </w:rPr>
              <w:t>2018</w:t>
            </w:r>
          </w:p>
          <w:p w14:paraId="3C2B177D" w14:textId="77777777" w:rsidR="00CD4E17" w:rsidRDefault="00CD4E17" w:rsidP="00745297">
            <w:pPr>
              <w:pStyle w:val="OWTablebullet1"/>
              <w:rPr>
                <w:lang w:eastAsia="en-GB"/>
              </w:rPr>
            </w:pPr>
            <w:r w:rsidRPr="00C77022">
              <w:rPr>
                <w:lang w:val="en-US" w:eastAsia="en-GB"/>
              </w:rPr>
              <w:t>Fair</w:t>
            </w:r>
            <w:r>
              <w:rPr>
                <w:lang w:val="en-US" w:eastAsia="en-GB"/>
              </w:rPr>
              <w:t xml:space="preserve"> </w:t>
            </w:r>
            <w:r w:rsidRPr="00C77022">
              <w:rPr>
                <w:lang w:val="en-US" w:eastAsia="en-GB"/>
              </w:rPr>
              <w:t>Work</w:t>
            </w:r>
            <w:r>
              <w:rPr>
                <w:lang w:val="en-US" w:eastAsia="en-GB"/>
              </w:rPr>
              <w:t xml:space="preserve"> </w:t>
            </w:r>
            <w:r w:rsidRPr="00C77022">
              <w:rPr>
                <w:lang w:val="en-US" w:eastAsia="en-GB"/>
              </w:rPr>
              <w:t>Amendment</w:t>
            </w:r>
            <w:r>
              <w:rPr>
                <w:lang w:val="en-US" w:eastAsia="en-GB"/>
              </w:rPr>
              <w:t xml:space="preserve"> </w:t>
            </w:r>
            <w:r w:rsidRPr="00C77022">
              <w:rPr>
                <w:lang w:val="en-US" w:eastAsia="en-GB"/>
              </w:rPr>
              <w:t>(Restoring</w:t>
            </w:r>
            <w:r>
              <w:rPr>
                <w:lang w:val="en-US" w:eastAsia="en-GB"/>
              </w:rPr>
              <w:t xml:space="preserve"> </w:t>
            </w:r>
            <w:r w:rsidRPr="00C77022">
              <w:rPr>
                <w:lang w:val="en-US" w:eastAsia="en-GB"/>
              </w:rPr>
              <w:t>Penalty</w:t>
            </w:r>
            <w:r>
              <w:rPr>
                <w:lang w:val="en-US" w:eastAsia="en-GB"/>
              </w:rPr>
              <w:t xml:space="preserve"> </w:t>
            </w:r>
            <w:r w:rsidRPr="00C77022">
              <w:rPr>
                <w:lang w:val="en-US" w:eastAsia="en-GB"/>
              </w:rPr>
              <w:t>Rates)</w:t>
            </w:r>
            <w:r>
              <w:rPr>
                <w:lang w:val="en-US" w:eastAsia="en-GB"/>
              </w:rPr>
              <w:t xml:space="preserve"> </w:t>
            </w:r>
            <w:r w:rsidRPr="00C77022">
              <w:rPr>
                <w:lang w:val="en-US" w:eastAsia="en-GB"/>
              </w:rPr>
              <w:t>Bill</w:t>
            </w:r>
            <w:r>
              <w:rPr>
                <w:lang w:val="en-US" w:eastAsia="en-GB"/>
              </w:rPr>
              <w:t xml:space="preserve"> </w:t>
            </w:r>
            <w:r w:rsidRPr="00C77022">
              <w:rPr>
                <w:lang w:val="en-US" w:eastAsia="en-GB"/>
              </w:rPr>
              <w:t>2018</w:t>
            </w:r>
          </w:p>
          <w:p w14:paraId="5C30F438" w14:textId="77777777" w:rsidR="00CD4E17" w:rsidRDefault="00CD4E17" w:rsidP="00745297">
            <w:pPr>
              <w:pStyle w:val="OWTablebullet1"/>
              <w:rPr>
                <w:lang w:eastAsia="en-GB"/>
              </w:rPr>
            </w:pPr>
            <w:r w:rsidRPr="00C77022">
              <w:rPr>
                <w:lang w:val="en-US" w:eastAsia="en-GB"/>
              </w:rPr>
              <w:t>My</w:t>
            </w:r>
            <w:r>
              <w:rPr>
                <w:lang w:val="en-US" w:eastAsia="en-GB"/>
              </w:rPr>
              <w:t xml:space="preserve"> </w:t>
            </w:r>
            <w:r w:rsidRPr="00C77022">
              <w:rPr>
                <w:lang w:val="en-US" w:eastAsia="en-GB"/>
              </w:rPr>
              <w:t>Health</w:t>
            </w:r>
            <w:r>
              <w:rPr>
                <w:lang w:val="en-US" w:eastAsia="en-GB"/>
              </w:rPr>
              <w:t xml:space="preserve"> </w:t>
            </w:r>
            <w:r w:rsidRPr="00C77022">
              <w:rPr>
                <w:lang w:val="en-US" w:eastAsia="en-GB"/>
              </w:rPr>
              <w:t>Records</w:t>
            </w:r>
            <w:r>
              <w:rPr>
                <w:lang w:val="en-US" w:eastAsia="en-GB"/>
              </w:rPr>
              <w:t xml:space="preserve"> </w:t>
            </w:r>
            <w:r w:rsidRPr="00C77022">
              <w:rPr>
                <w:lang w:val="en-US" w:eastAsia="en-GB"/>
              </w:rPr>
              <w:t>Amendment</w:t>
            </w:r>
            <w:r>
              <w:rPr>
                <w:lang w:val="en-US" w:eastAsia="en-GB"/>
              </w:rPr>
              <w:t xml:space="preserve"> </w:t>
            </w:r>
            <w:r w:rsidRPr="00C77022">
              <w:rPr>
                <w:lang w:val="en-US" w:eastAsia="en-GB"/>
              </w:rPr>
              <w:t>(Strengthening</w:t>
            </w:r>
            <w:r>
              <w:rPr>
                <w:lang w:val="en-US" w:eastAsia="en-GB"/>
              </w:rPr>
              <w:t xml:space="preserve"> </w:t>
            </w:r>
            <w:r w:rsidRPr="00C77022">
              <w:rPr>
                <w:lang w:val="en-US" w:eastAsia="en-GB"/>
              </w:rPr>
              <w:t>Privacy)</w:t>
            </w:r>
            <w:r>
              <w:rPr>
                <w:lang w:val="en-US" w:eastAsia="en-GB"/>
              </w:rPr>
              <w:t xml:space="preserve"> </w:t>
            </w:r>
            <w:r w:rsidRPr="00C77022">
              <w:rPr>
                <w:lang w:val="en-US" w:eastAsia="en-GB"/>
              </w:rPr>
              <w:t>Bill</w:t>
            </w:r>
            <w:r>
              <w:rPr>
                <w:lang w:val="en-US" w:eastAsia="en-GB"/>
              </w:rPr>
              <w:t xml:space="preserve"> </w:t>
            </w:r>
            <w:r w:rsidRPr="00C77022">
              <w:rPr>
                <w:lang w:val="en-US" w:eastAsia="en-GB"/>
              </w:rPr>
              <w:t>2018</w:t>
            </w:r>
          </w:p>
          <w:p w14:paraId="5D15F211" w14:textId="77777777" w:rsidR="00CD4E17" w:rsidRDefault="00CD4E17" w:rsidP="00745297">
            <w:pPr>
              <w:pStyle w:val="OWTablebullet1"/>
              <w:rPr>
                <w:lang w:eastAsia="en-GB"/>
              </w:rPr>
            </w:pPr>
            <w:r w:rsidRPr="00C77022">
              <w:rPr>
                <w:lang w:val="en-US" w:eastAsia="en-GB"/>
              </w:rPr>
              <w:t>Sex</w:t>
            </w:r>
            <w:r>
              <w:rPr>
                <w:lang w:val="en-US" w:eastAsia="en-GB"/>
              </w:rPr>
              <w:t xml:space="preserve"> </w:t>
            </w:r>
            <w:r w:rsidRPr="00C77022">
              <w:rPr>
                <w:lang w:val="en-US" w:eastAsia="en-GB"/>
              </w:rPr>
              <w:t>Discrimination</w:t>
            </w:r>
            <w:r>
              <w:rPr>
                <w:lang w:val="en-US" w:eastAsia="en-GB"/>
              </w:rPr>
              <w:t xml:space="preserve"> </w:t>
            </w:r>
            <w:r w:rsidRPr="00C77022">
              <w:rPr>
                <w:lang w:val="en-US" w:eastAsia="en-GB"/>
              </w:rPr>
              <w:t>Amendment</w:t>
            </w:r>
            <w:r>
              <w:rPr>
                <w:lang w:val="en-US" w:eastAsia="en-GB"/>
              </w:rPr>
              <w:t xml:space="preserve"> </w:t>
            </w:r>
            <w:r w:rsidRPr="00C77022">
              <w:rPr>
                <w:lang w:val="en-US" w:eastAsia="en-GB"/>
              </w:rPr>
              <w:t>(Removing</w:t>
            </w:r>
            <w:r>
              <w:rPr>
                <w:lang w:val="en-US" w:eastAsia="en-GB"/>
              </w:rPr>
              <w:t xml:space="preserve"> </w:t>
            </w:r>
            <w:r w:rsidRPr="00C77022">
              <w:rPr>
                <w:lang w:val="en-US" w:eastAsia="en-GB"/>
              </w:rPr>
              <w:t>Discrimination</w:t>
            </w:r>
            <w:r>
              <w:rPr>
                <w:lang w:val="en-US" w:eastAsia="en-GB"/>
              </w:rPr>
              <w:t xml:space="preserve"> </w:t>
            </w:r>
            <w:r w:rsidRPr="00C77022">
              <w:rPr>
                <w:lang w:val="en-US" w:eastAsia="en-GB"/>
              </w:rPr>
              <w:t>Against</w:t>
            </w:r>
            <w:r>
              <w:rPr>
                <w:lang w:val="en-US" w:eastAsia="en-GB"/>
              </w:rPr>
              <w:t xml:space="preserve"> </w:t>
            </w:r>
            <w:r w:rsidRPr="00C77022">
              <w:rPr>
                <w:lang w:val="en-US" w:eastAsia="en-GB"/>
              </w:rPr>
              <w:t>Students)</w:t>
            </w:r>
            <w:r>
              <w:rPr>
                <w:lang w:val="en-US" w:eastAsia="en-GB"/>
              </w:rPr>
              <w:t xml:space="preserve"> </w:t>
            </w:r>
            <w:r w:rsidRPr="00C77022">
              <w:rPr>
                <w:lang w:val="en-US" w:eastAsia="en-GB"/>
              </w:rPr>
              <w:t>Bill</w:t>
            </w:r>
            <w:r>
              <w:rPr>
                <w:lang w:val="en-US" w:eastAsia="en-GB"/>
              </w:rPr>
              <w:t> </w:t>
            </w:r>
            <w:r w:rsidRPr="00C77022">
              <w:rPr>
                <w:lang w:val="en-US" w:eastAsia="en-GB"/>
              </w:rPr>
              <w:t>2018</w:t>
            </w:r>
            <w:r>
              <w:rPr>
                <w:lang w:val="en-US" w:eastAsia="en-GB"/>
              </w:rPr>
              <w:t>.</w:t>
            </w:r>
          </w:p>
          <w:p w14:paraId="2DF45B55" w14:textId="77777777" w:rsidR="00CD4E17" w:rsidRDefault="00CD4E17" w:rsidP="00745297">
            <w:pPr>
              <w:pStyle w:val="OWTablebodyleft"/>
            </w:pPr>
            <w:r w:rsidRPr="00C77022">
              <w:t>Specialist</w:t>
            </w:r>
            <w:r>
              <w:t xml:space="preserve"> </w:t>
            </w:r>
            <w:r w:rsidRPr="00C77022">
              <w:t>organisations</w:t>
            </w:r>
            <w:r>
              <w:t xml:space="preserve"> </w:t>
            </w:r>
            <w:r w:rsidRPr="00C77022">
              <w:t>and</w:t>
            </w:r>
            <w:r>
              <w:t xml:space="preserve"> e</w:t>
            </w:r>
            <w:r w:rsidRPr="00C77022">
              <w:t>xperts</w:t>
            </w:r>
            <w:r>
              <w:t xml:space="preserve"> </w:t>
            </w:r>
            <w:r w:rsidRPr="00C77022">
              <w:t>provided</w:t>
            </w:r>
            <w:r>
              <w:t xml:space="preserve"> </w:t>
            </w:r>
            <w:r w:rsidRPr="00C77022">
              <w:t>expertise</w:t>
            </w:r>
            <w:r>
              <w:t xml:space="preserve"> </w:t>
            </w:r>
            <w:r w:rsidRPr="00C77022">
              <w:t>to</w:t>
            </w:r>
            <w:r>
              <w:t xml:space="preserve"> </w:t>
            </w:r>
            <w:r w:rsidRPr="00C77022">
              <w:t>committees,</w:t>
            </w:r>
            <w:r>
              <w:t xml:space="preserve"> </w:t>
            </w:r>
            <w:r w:rsidRPr="00C77022">
              <w:t>including:</w:t>
            </w:r>
          </w:p>
          <w:p w14:paraId="1260879A" w14:textId="77777777" w:rsidR="00CD4E17" w:rsidRDefault="00CD4E17" w:rsidP="00745297">
            <w:pPr>
              <w:pStyle w:val="OWTablebullet1"/>
            </w:pPr>
            <w:r w:rsidRPr="00C77022">
              <w:rPr>
                <w:lang w:val="en-US"/>
              </w:rPr>
              <w:t>Select</w:t>
            </w:r>
            <w:r>
              <w:rPr>
                <w:lang w:val="en-US"/>
              </w:rPr>
              <w:t xml:space="preserve"> </w:t>
            </w:r>
            <w:r w:rsidRPr="00C77022">
              <w:rPr>
                <w:lang w:val="en-US"/>
              </w:rPr>
              <w:t>Committee</w:t>
            </w:r>
            <w:r>
              <w:rPr>
                <w:lang w:val="en-US"/>
              </w:rPr>
              <w:t xml:space="preserve"> </w:t>
            </w:r>
            <w:r w:rsidRPr="00C77022">
              <w:rPr>
                <w:lang w:val="en-US"/>
              </w:rPr>
              <w:t>on</w:t>
            </w:r>
            <w:r>
              <w:rPr>
                <w:lang w:val="en-US"/>
              </w:rPr>
              <w:t xml:space="preserve"> I</w:t>
            </w:r>
            <w:r w:rsidRPr="00C77022">
              <w:rPr>
                <w:lang w:val="en-US"/>
              </w:rPr>
              <w:t>ntergenerational</w:t>
            </w:r>
            <w:r>
              <w:rPr>
                <w:lang w:val="en-US"/>
              </w:rPr>
              <w:t xml:space="preserve"> W</w:t>
            </w:r>
            <w:r w:rsidRPr="00C77022">
              <w:rPr>
                <w:lang w:val="en-US"/>
              </w:rPr>
              <w:t>elfare</w:t>
            </w:r>
            <w:r>
              <w:rPr>
                <w:lang w:val="en-US"/>
              </w:rPr>
              <w:t xml:space="preserve"> D</w:t>
            </w:r>
            <w:r w:rsidRPr="00C77022">
              <w:rPr>
                <w:lang w:val="en-US"/>
              </w:rPr>
              <w:t>ependence</w:t>
            </w:r>
            <w:r>
              <w:rPr>
                <w:lang w:val="en-US"/>
              </w:rPr>
              <w:t>.</w:t>
            </w:r>
          </w:p>
          <w:p w14:paraId="1C3EC982" w14:textId="77777777" w:rsidR="00CD4E17" w:rsidRDefault="00CD4E17" w:rsidP="00745297">
            <w:pPr>
              <w:pStyle w:val="OWTablebullet1"/>
            </w:pPr>
            <w:r w:rsidRPr="00C77022">
              <w:rPr>
                <w:lang w:val="en-US"/>
              </w:rPr>
              <w:t>Legal</w:t>
            </w:r>
            <w:r>
              <w:rPr>
                <w:lang w:val="en-US"/>
              </w:rPr>
              <w:t xml:space="preserve"> </w:t>
            </w:r>
            <w:r w:rsidRPr="00C77022">
              <w:rPr>
                <w:lang w:val="en-US"/>
              </w:rPr>
              <w:t>and</w:t>
            </w:r>
            <w:r>
              <w:rPr>
                <w:lang w:val="en-US"/>
              </w:rPr>
              <w:t xml:space="preserve"> </w:t>
            </w:r>
            <w:r w:rsidRPr="00C77022">
              <w:rPr>
                <w:lang w:val="en-US"/>
              </w:rPr>
              <w:t>Constitutional</w:t>
            </w:r>
            <w:r>
              <w:rPr>
                <w:lang w:val="en-US"/>
              </w:rPr>
              <w:t xml:space="preserve"> </w:t>
            </w:r>
            <w:r w:rsidRPr="00C77022">
              <w:rPr>
                <w:lang w:val="en-US"/>
              </w:rPr>
              <w:t>Affairs</w:t>
            </w:r>
            <w:r>
              <w:rPr>
                <w:lang w:val="en-US"/>
              </w:rPr>
              <w:t xml:space="preserve"> </w:t>
            </w:r>
            <w:r w:rsidRPr="00C77022">
              <w:rPr>
                <w:lang w:val="en-US"/>
              </w:rPr>
              <w:t>Reference</w:t>
            </w:r>
            <w:r>
              <w:rPr>
                <w:lang w:val="en-US"/>
              </w:rPr>
              <w:t xml:space="preserve"> </w:t>
            </w:r>
            <w:r w:rsidRPr="00C77022">
              <w:rPr>
                <w:lang w:val="en-US"/>
              </w:rPr>
              <w:t>Committee</w:t>
            </w:r>
            <w:r>
              <w:rPr>
                <w:lang w:val="en-US"/>
              </w:rPr>
              <w:t xml:space="preserve"> </w:t>
            </w:r>
            <w:r w:rsidRPr="00C77022">
              <w:rPr>
                <w:lang w:val="en-US"/>
              </w:rPr>
              <w:t>on</w:t>
            </w:r>
            <w:r>
              <w:rPr>
                <w:lang w:val="en-US"/>
              </w:rPr>
              <w:t xml:space="preserve"> </w:t>
            </w:r>
            <w:r w:rsidRPr="00C77022">
              <w:rPr>
                <w:lang w:val="en-US"/>
              </w:rPr>
              <w:t>legislative</w:t>
            </w:r>
            <w:r>
              <w:rPr>
                <w:lang w:val="en-US"/>
              </w:rPr>
              <w:t xml:space="preserve"> </w:t>
            </w:r>
            <w:r w:rsidRPr="00C77022">
              <w:rPr>
                <w:lang w:val="en-US"/>
              </w:rPr>
              <w:t>exemptions</w:t>
            </w:r>
            <w:r>
              <w:rPr>
                <w:lang w:val="en-US"/>
              </w:rPr>
              <w:t xml:space="preserve"> </w:t>
            </w:r>
            <w:r w:rsidRPr="00C77022">
              <w:rPr>
                <w:lang w:val="en-US"/>
              </w:rPr>
              <w:t>that</w:t>
            </w:r>
            <w:r>
              <w:rPr>
                <w:lang w:val="en-US"/>
              </w:rPr>
              <w:t xml:space="preserve"> </w:t>
            </w:r>
            <w:r w:rsidRPr="00C77022">
              <w:rPr>
                <w:lang w:val="en-US"/>
              </w:rPr>
              <w:t>allow</w:t>
            </w:r>
            <w:r>
              <w:rPr>
                <w:lang w:val="en-US"/>
              </w:rPr>
              <w:t xml:space="preserve"> faith-</w:t>
            </w:r>
            <w:r w:rsidRPr="00C77022">
              <w:rPr>
                <w:lang w:val="en-US"/>
              </w:rPr>
              <w:t>based</w:t>
            </w:r>
            <w:r>
              <w:rPr>
                <w:lang w:val="en-US"/>
              </w:rPr>
              <w:t xml:space="preserve"> </w:t>
            </w:r>
            <w:r w:rsidRPr="00C77022">
              <w:rPr>
                <w:lang w:val="en-US"/>
              </w:rPr>
              <w:t>educational</w:t>
            </w:r>
            <w:r>
              <w:rPr>
                <w:lang w:val="en-US"/>
              </w:rPr>
              <w:t xml:space="preserve"> </w:t>
            </w:r>
            <w:r w:rsidRPr="00C77022">
              <w:rPr>
                <w:lang w:val="en-US"/>
              </w:rPr>
              <w:t>institutions</w:t>
            </w:r>
            <w:r>
              <w:rPr>
                <w:lang w:val="en-US"/>
              </w:rPr>
              <w:t xml:space="preserve"> </w:t>
            </w:r>
            <w:r w:rsidRPr="00C77022">
              <w:rPr>
                <w:lang w:val="en-US"/>
              </w:rPr>
              <w:t>to</w:t>
            </w:r>
            <w:r>
              <w:rPr>
                <w:lang w:val="en-US"/>
              </w:rPr>
              <w:t xml:space="preserve"> </w:t>
            </w:r>
            <w:r w:rsidRPr="00C77022">
              <w:rPr>
                <w:lang w:val="en-US"/>
              </w:rPr>
              <w:t>discriminate</w:t>
            </w:r>
            <w:r>
              <w:rPr>
                <w:lang w:val="en-US"/>
              </w:rPr>
              <w:t>.</w:t>
            </w:r>
          </w:p>
          <w:p w14:paraId="2FC53A4C" w14:textId="77777777" w:rsidR="00CD4E17" w:rsidRDefault="00CD4E17" w:rsidP="00745297">
            <w:pPr>
              <w:pStyle w:val="OWTablebullet1"/>
            </w:pPr>
            <w:r w:rsidRPr="00C77022">
              <w:rPr>
                <w:lang w:val="en-US"/>
              </w:rPr>
              <w:t>Legal</w:t>
            </w:r>
            <w:r>
              <w:rPr>
                <w:lang w:val="en-US"/>
              </w:rPr>
              <w:t xml:space="preserve"> </w:t>
            </w:r>
            <w:r w:rsidRPr="00C77022">
              <w:rPr>
                <w:lang w:val="en-US"/>
              </w:rPr>
              <w:t>and</w:t>
            </w:r>
            <w:r>
              <w:rPr>
                <w:lang w:val="en-US"/>
              </w:rPr>
              <w:t xml:space="preserve"> </w:t>
            </w:r>
            <w:r w:rsidRPr="00C77022">
              <w:rPr>
                <w:lang w:val="en-US"/>
              </w:rPr>
              <w:t>Constitutional</w:t>
            </w:r>
            <w:r>
              <w:rPr>
                <w:lang w:val="en-US"/>
              </w:rPr>
              <w:t xml:space="preserve"> </w:t>
            </w:r>
            <w:r w:rsidRPr="00C77022">
              <w:rPr>
                <w:lang w:val="en-US"/>
              </w:rPr>
              <w:t>Affairs</w:t>
            </w:r>
            <w:r>
              <w:rPr>
                <w:lang w:val="en-US"/>
              </w:rPr>
              <w:t xml:space="preserve"> </w:t>
            </w:r>
            <w:r w:rsidRPr="00C77022">
              <w:rPr>
                <w:lang w:val="en-US"/>
              </w:rPr>
              <w:t>Reference</w:t>
            </w:r>
            <w:r>
              <w:rPr>
                <w:lang w:val="en-US"/>
              </w:rPr>
              <w:t xml:space="preserve"> </w:t>
            </w:r>
            <w:r w:rsidRPr="00C77022">
              <w:rPr>
                <w:lang w:val="en-US"/>
              </w:rPr>
              <w:t>Committee</w:t>
            </w:r>
            <w:r>
              <w:rPr>
                <w:lang w:val="en-US"/>
              </w:rPr>
              <w:t xml:space="preserve"> </w:t>
            </w:r>
            <w:r w:rsidRPr="00C77022">
              <w:rPr>
                <w:lang w:val="en-US"/>
              </w:rPr>
              <w:t>inquiry</w:t>
            </w:r>
            <w:r>
              <w:rPr>
                <w:lang w:val="en-US"/>
              </w:rPr>
              <w:t xml:space="preserve"> </w:t>
            </w:r>
            <w:r w:rsidRPr="00C77022">
              <w:rPr>
                <w:lang w:val="en-US"/>
              </w:rPr>
              <w:t>into</w:t>
            </w:r>
            <w:r>
              <w:rPr>
                <w:lang w:val="en-US"/>
              </w:rPr>
              <w:t xml:space="preserve"> the </w:t>
            </w:r>
            <w:r w:rsidRPr="00C77022">
              <w:rPr>
                <w:lang w:val="en-US"/>
              </w:rPr>
              <w:t>practice</w:t>
            </w:r>
            <w:r>
              <w:rPr>
                <w:lang w:val="en-US"/>
              </w:rPr>
              <w:t xml:space="preserve"> </w:t>
            </w:r>
            <w:r w:rsidRPr="00C77022">
              <w:rPr>
                <w:lang w:val="en-US"/>
              </w:rPr>
              <w:t>of</w:t>
            </w:r>
            <w:r>
              <w:rPr>
                <w:lang w:val="en-US"/>
              </w:rPr>
              <w:t> </w:t>
            </w:r>
            <w:r w:rsidRPr="00C77022">
              <w:rPr>
                <w:lang w:val="en-US"/>
              </w:rPr>
              <w:t>dowry</w:t>
            </w:r>
            <w:r>
              <w:rPr>
                <w:lang w:val="en-US"/>
              </w:rPr>
              <w:t xml:space="preserve"> </w:t>
            </w:r>
            <w:r w:rsidRPr="00C77022">
              <w:rPr>
                <w:lang w:val="en-US"/>
              </w:rPr>
              <w:t>and</w:t>
            </w:r>
            <w:r>
              <w:rPr>
                <w:lang w:val="en-US"/>
              </w:rPr>
              <w:t xml:space="preserve"> </w:t>
            </w:r>
            <w:r w:rsidRPr="00C77022">
              <w:rPr>
                <w:lang w:val="en-US"/>
              </w:rPr>
              <w:t>the</w:t>
            </w:r>
            <w:r>
              <w:rPr>
                <w:lang w:val="en-US"/>
              </w:rPr>
              <w:t xml:space="preserve"> </w:t>
            </w:r>
            <w:r w:rsidRPr="00C77022">
              <w:rPr>
                <w:lang w:val="en-US"/>
              </w:rPr>
              <w:t>incidence</w:t>
            </w:r>
            <w:r>
              <w:rPr>
                <w:lang w:val="en-US"/>
              </w:rPr>
              <w:t xml:space="preserve"> </w:t>
            </w:r>
            <w:r w:rsidRPr="00C77022">
              <w:rPr>
                <w:lang w:val="en-US"/>
              </w:rPr>
              <w:t>of</w:t>
            </w:r>
            <w:r>
              <w:rPr>
                <w:lang w:val="en-US"/>
              </w:rPr>
              <w:t xml:space="preserve"> </w:t>
            </w:r>
            <w:r w:rsidRPr="00C77022">
              <w:rPr>
                <w:lang w:val="en-US"/>
              </w:rPr>
              <w:t>dowry</w:t>
            </w:r>
            <w:r>
              <w:rPr>
                <w:lang w:val="en-US"/>
              </w:rPr>
              <w:t xml:space="preserve"> </w:t>
            </w:r>
            <w:r w:rsidRPr="00C77022">
              <w:rPr>
                <w:lang w:val="en-US"/>
              </w:rPr>
              <w:t>abuse</w:t>
            </w:r>
            <w:r>
              <w:rPr>
                <w:lang w:val="en-US"/>
              </w:rPr>
              <w:t xml:space="preserve"> </w:t>
            </w:r>
            <w:r w:rsidRPr="00C77022">
              <w:rPr>
                <w:lang w:val="en-US"/>
              </w:rPr>
              <w:t>in</w:t>
            </w:r>
            <w:r>
              <w:rPr>
                <w:lang w:val="en-US"/>
              </w:rPr>
              <w:t xml:space="preserve"> </w:t>
            </w:r>
            <w:r w:rsidRPr="00C77022">
              <w:rPr>
                <w:lang w:val="en-US"/>
              </w:rPr>
              <w:t>Australia</w:t>
            </w:r>
            <w:r>
              <w:rPr>
                <w:lang w:val="en-US"/>
              </w:rPr>
              <w:t>.</w:t>
            </w:r>
          </w:p>
          <w:p w14:paraId="3C5A46AF" w14:textId="77777777" w:rsidR="00CD4E17" w:rsidRDefault="00CD4E17" w:rsidP="00CD4E17">
            <w:pPr>
              <w:pStyle w:val="OWTablebullet1"/>
              <w:ind w:left="284" w:hanging="284"/>
            </w:pPr>
            <w:r w:rsidRPr="000D3A6C">
              <w:rPr>
                <w:lang w:val="en-US"/>
              </w:rPr>
              <w:lastRenderedPageBreak/>
              <w:t>Legal</w:t>
            </w:r>
            <w:r>
              <w:rPr>
                <w:lang w:val="en-US"/>
              </w:rPr>
              <w:t xml:space="preserve"> </w:t>
            </w:r>
            <w:r w:rsidRPr="000D3A6C">
              <w:rPr>
                <w:lang w:val="en-US"/>
              </w:rPr>
              <w:t>and</w:t>
            </w:r>
            <w:r>
              <w:rPr>
                <w:lang w:val="en-US"/>
              </w:rPr>
              <w:t xml:space="preserve"> </w:t>
            </w:r>
            <w:r w:rsidRPr="000D3A6C">
              <w:rPr>
                <w:lang w:val="en-US"/>
              </w:rPr>
              <w:t>Constitutional</w:t>
            </w:r>
            <w:r>
              <w:rPr>
                <w:lang w:val="en-US"/>
              </w:rPr>
              <w:t xml:space="preserve"> </w:t>
            </w:r>
            <w:r w:rsidRPr="000D3A6C">
              <w:rPr>
                <w:lang w:val="en-US"/>
              </w:rPr>
              <w:t>Affairs</w:t>
            </w:r>
            <w:r>
              <w:rPr>
                <w:lang w:val="en-US"/>
              </w:rPr>
              <w:t xml:space="preserve"> </w:t>
            </w:r>
            <w:r w:rsidRPr="000D3A6C">
              <w:rPr>
                <w:lang w:val="en-US"/>
              </w:rPr>
              <w:t>Reference</w:t>
            </w:r>
            <w:r>
              <w:rPr>
                <w:lang w:val="en-US"/>
              </w:rPr>
              <w:t xml:space="preserve"> </w:t>
            </w:r>
            <w:r w:rsidRPr="000D3A6C">
              <w:rPr>
                <w:lang w:val="en-US"/>
              </w:rPr>
              <w:t>Committee</w:t>
            </w:r>
            <w:r>
              <w:rPr>
                <w:lang w:val="en-US"/>
              </w:rPr>
              <w:t xml:space="preserve"> </w:t>
            </w:r>
            <w:r w:rsidRPr="000D3A6C">
              <w:rPr>
                <w:lang w:val="en-US"/>
              </w:rPr>
              <w:t>inquiry</w:t>
            </w:r>
            <w:r>
              <w:rPr>
                <w:lang w:val="en-US"/>
              </w:rPr>
              <w:t xml:space="preserve"> </w:t>
            </w:r>
            <w:r w:rsidRPr="000D3A6C">
              <w:rPr>
                <w:lang w:val="en-US"/>
              </w:rPr>
              <w:t>into</w:t>
            </w:r>
            <w:r>
              <w:rPr>
                <w:lang w:val="en-US"/>
              </w:rPr>
              <w:t xml:space="preserve"> </w:t>
            </w:r>
            <w:r w:rsidRPr="000D3A6C">
              <w:rPr>
                <w:lang w:val="en-US"/>
              </w:rPr>
              <w:t>the</w:t>
            </w:r>
            <w:r>
              <w:rPr>
                <w:lang w:val="en-US"/>
              </w:rPr>
              <w:t xml:space="preserve"> </w:t>
            </w:r>
            <w:r w:rsidRPr="000D3A6C">
              <w:rPr>
                <w:lang w:val="en-US"/>
              </w:rPr>
              <w:t>Federal</w:t>
            </w:r>
            <w:r>
              <w:rPr>
                <w:lang w:val="en-US"/>
              </w:rPr>
              <w:t xml:space="preserve"> </w:t>
            </w:r>
            <w:r w:rsidRPr="000D3A6C">
              <w:rPr>
                <w:lang w:val="en-US"/>
              </w:rPr>
              <w:t>Circuit</w:t>
            </w:r>
            <w:r>
              <w:rPr>
                <w:lang w:val="en-US"/>
              </w:rPr>
              <w:t xml:space="preserve"> </w:t>
            </w:r>
            <w:r w:rsidRPr="000D3A6C">
              <w:rPr>
                <w:lang w:val="en-US"/>
              </w:rPr>
              <w:t>and</w:t>
            </w:r>
            <w:r>
              <w:rPr>
                <w:lang w:val="en-US"/>
              </w:rPr>
              <w:t xml:space="preserve"> </w:t>
            </w:r>
            <w:r w:rsidRPr="000D3A6C">
              <w:rPr>
                <w:lang w:val="en-US"/>
              </w:rPr>
              <w:t>Family</w:t>
            </w:r>
            <w:r>
              <w:rPr>
                <w:lang w:val="en-US"/>
              </w:rPr>
              <w:t xml:space="preserve"> </w:t>
            </w:r>
            <w:r w:rsidRPr="000D3A6C">
              <w:rPr>
                <w:lang w:val="en-US"/>
              </w:rPr>
              <w:t>Court</w:t>
            </w:r>
            <w:r>
              <w:rPr>
                <w:lang w:val="en-US"/>
              </w:rPr>
              <w:t xml:space="preserve"> </w:t>
            </w:r>
            <w:r w:rsidRPr="000D3A6C">
              <w:rPr>
                <w:lang w:val="en-US"/>
              </w:rPr>
              <w:t>Bill.</w:t>
            </w:r>
          </w:p>
          <w:p w14:paraId="6E566F94" w14:textId="77777777" w:rsidR="00CD4E17" w:rsidRDefault="00CD4E17" w:rsidP="00745297">
            <w:pPr>
              <w:pStyle w:val="OWTablebullet1"/>
            </w:pPr>
            <w:r w:rsidRPr="000D3A6C">
              <w:rPr>
                <w:lang w:val="en-US"/>
              </w:rPr>
              <w:t>Joint</w:t>
            </w:r>
            <w:r>
              <w:rPr>
                <w:lang w:val="en-US"/>
              </w:rPr>
              <w:t xml:space="preserve"> </w:t>
            </w:r>
            <w:r w:rsidRPr="000D3A6C">
              <w:rPr>
                <w:lang w:val="en-US"/>
              </w:rPr>
              <w:t>Standing</w:t>
            </w:r>
            <w:r>
              <w:rPr>
                <w:lang w:val="en-US"/>
              </w:rPr>
              <w:t xml:space="preserve"> </w:t>
            </w:r>
            <w:r w:rsidRPr="000D3A6C">
              <w:rPr>
                <w:lang w:val="en-US"/>
              </w:rPr>
              <w:t>Committee</w:t>
            </w:r>
            <w:r>
              <w:rPr>
                <w:lang w:val="en-US"/>
              </w:rPr>
              <w:t xml:space="preserve"> </w:t>
            </w:r>
            <w:r w:rsidRPr="000D3A6C">
              <w:rPr>
                <w:lang w:val="en-US"/>
              </w:rPr>
              <w:t>on</w:t>
            </w:r>
            <w:r>
              <w:rPr>
                <w:lang w:val="en-US"/>
              </w:rPr>
              <w:t xml:space="preserve"> </w:t>
            </w:r>
            <w:r w:rsidRPr="000D3A6C">
              <w:rPr>
                <w:lang w:val="en-US"/>
              </w:rPr>
              <w:t>Foreign</w:t>
            </w:r>
            <w:r>
              <w:rPr>
                <w:lang w:val="en-US"/>
              </w:rPr>
              <w:t xml:space="preserve"> </w:t>
            </w:r>
            <w:r w:rsidRPr="000D3A6C">
              <w:rPr>
                <w:lang w:val="en-US"/>
              </w:rPr>
              <w:t>Affairs,</w:t>
            </w:r>
            <w:r>
              <w:rPr>
                <w:lang w:val="en-US"/>
              </w:rPr>
              <w:t xml:space="preserve"> </w:t>
            </w:r>
            <w:r w:rsidRPr="000D3A6C">
              <w:rPr>
                <w:lang w:val="en-US"/>
              </w:rPr>
              <w:t>Defence</w:t>
            </w:r>
            <w:r>
              <w:rPr>
                <w:lang w:val="en-US"/>
              </w:rPr>
              <w:t xml:space="preserve"> </w:t>
            </w:r>
            <w:r w:rsidRPr="000D3A6C">
              <w:rPr>
                <w:lang w:val="en-US"/>
              </w:rPr>
              <w:t>and</w:t>
            </w:r>
            <w:r>
              <w:rPr>
                <w:lang w:val="en-US"/>
              </w:rPr>
              <w:t xml:space="preserve"> </w:t>
            </w:r>
            <w:r w:rsidRPr="000D3A6C">
              <w:rPr>
                <w:lang w:val="en-US"/>
              </w:rPr>
              <w:t>Trade</w:t>
            </w:r>
            <w:r>
              <w:rPr>
                <w:lang w:val="en-US"/>
              </w:rPr>
              <w:t xml:space="preserve"> </w:t>
            </w:r>
            <w:r w:rsidRPr="000D3A6C">
              <w:rPr>
                <w:lang w:val="en-US"/>
              </w:rPr>
              <w:t>inquiry</w:t>
            </w:r>
            <w:r>
              <w:rPr>
                <w:lang w:val="en-US"/>
              </w:rPr>
              <w:t xml:space="preserve"> </w:t>
            </w:r>
            <w:r w:rsidRPr="000D3A6C">
              <w:rPr>
                <w:lang w:val="en-US"/>
              </w:rPr>
              <w:t>into</w:t>
            </w:r>
            <w:r>
              <w:rPr>
                <w:lang w:val="en-US"/>
              </w:rPr>
              <w:t xml:space="preserve"> </w:t>
            </w:r>
            <w:r w:rsidRPr="000D3A6C">
              <w:rPr>
                <w:lang w:val="en-US"/>
              </w:rPr>
              <w:t>the</w:t>
            </w:r>
            <w:r>
              <w:rPr>
                <w:lang w:val="en-US"/>
              </w:rPr>
              <w:t xml:space="preserve"> </w:t>
            </w:r>
            <w:r w:rsidRPr="000D3A6C">
              <w:rPr>
                <w:lang w:val="en-US"/>
              </w:rPr>
              <w:t>strategic</w:t>
            </w:r>
            <w:r>
              <w:rPr>
                <w:lang w:val="en-US"/>
              </w:rPr>
              <w:t xml:space="preserve"> </w:t>
            </w:r>
            <w:r w:rsidRPr="000D3A6C">
              <w:rPr>
                <w:lang w:val="en-US"/>
              </w:rPr>
              <w:t>effectiveness</w:t>
            </w:r>
            <w:r>
              <w:rPr>
                <w:lang w:val="en-US"/>
              </w:rPr>
              <w:t xml:space="preserve"> </w:t>
            </w:r>
            <w:r w:rsidRPr="000D3A6C">
              <w:rPr>
                <w:lang w:val="en-US"/>
              </w:rPr>
              <w:t>and</w:t>
            </w:r>
            <w:r>
              <w:rPr>
                <w:lang w:val="en-US"/>
              </w:rPr>
              <w:t xml:space="preserve"> </w:t>
            </w:r>
            <w:r w:rsidRPr="000D3A6C">
              <w:rPr>
                <w:lang w:val="en-US"/>
              </w:rPr>
              <w:t>outcomes</w:t>
            </w:r>
            <w:r>
              <w:rPr>
                <w:lang w:val="en-US"/>
              </w:rPr>
              <w:t xml:space="preserve"> </w:t>
            </w:r>
            <w:r w:rsidRPr="000D3A6C">
              <w:rPr>
                <w:lang w:val="en-US"/>
              </w:rPr>
              <w:t>of</w:t>
            </w:r>
            <w:r>
              <w:rPr>
                <w:lang w:val="en-US"/>
              </w:rPr>
              <w:t xml:space="preserve"> </w:t>
            </w:r>
            <w:r w:rsidRPr="000D3A6C">
              <w:rPr>
                <w:lang w:val="en-US"/>
              </w:rPr>
              <w:t>Australia’s</w:t>
            </w:r>
            <w:r>
              <w:rPr>
                <w:lang w:val="en-US"/>
              </w:rPr>
              <w:t xml:space="preserve"> </w:t>
            </w:r>
            <w:r w:rsidRPr="000D3A6C">
              <w:rPr>
                <w:lang w:val="en-US"/>
              </w:rPr>
              <w:t>aid</w:t>
            </w:r>
            <w:r>
              <w:rPr>
                <w:lang w:val="en-US"/>
              </w:rPr>
              <w:t xml:space="preserve"> </w:t>
            </w:r>
            <w:r w:rsidRPr="000D3A6C">
              <w:rPr>
                <w:lang w:val="en-US"/>
              </w:rPr>
              <w:t>program</w:t>
            </w:r>
            <w:r>
              <w:rPr>
                <w:lang w:val="en-US"/>
              </w:rPr>
              <w:t xml:space="preserve"> </w:t>
            </w:r>
            <w:r w:rsidRPr="000D3A6C">
              <w:rPr>
                <w:lang w:val="en-US"/>
              </w:rPr>
              <w:t>in</w:t>
            </w:r>
            <w:r>
              <w:rPr>
                <w:lang w:val="en-US"/>
              </w:rPr>
              <w:t xml:space="preserve"> </w:t>
            </w:r>
            <w:r w:rsidRPr="000D3A6C">
              <w:rPr>
                <w:lang w:val="en-US"/>
              </w:rPr>
              <w:t>the</w:t>
            </w:r>
            <w:r>
              <w:rPr>
                <w:lang w:val="en-US"/>
              </w:rPr>
              <w:t xml:space="preserve"> </w:t>
            </w:r>
            <w:r w:rsidRPr="000D3A6C">
              <w:rPr>
                <w:lang w:val="en-US"/>
              </w:rPr>
              <w:t>Indo-Pacific</w:t>
            </w:r>
            <w:r w:rsidRPr="000D3A6C">
              <w:t>.</w:t>
            </w:r>
          </w:p>
          <w:p w14:paraId="05036FF7" w14:textId="77777777" w:rsidR="00CD4E17" w:rsidRDefault="00CD4E17" w:rsidP="00691B07">
            <w:pPr>
              <w:pStyle w:val="OWTablebodyleft"/>
              <w:spacing w:before="100"/>
            </w:pPr>
            <w:r w:rsidRPr="000D3A6C">
              <w:t>Questions</w:t>
            </w:r>
            <w:r>
              <w:t xml:space="preserve"> </w:t>
            </w:r>
            <w:r w:rsidRPr="000D3A6C">
              <w:t>were</w:t>
            </w:r>
            <w:r>
              <w:t xml:space="preserve"> </w:t>
            </w:r>
            <w:r w:rsidRPr="000D3A6C">
              <w:t>also</w:t>
            </w:r>
            <w:r>
              <w:t xml:space="preserve"> </w:t>
            </w:r>
            <w:r w:rsidRPr="000D3A6C">
              <w:t>put</w:t>
            </w:r>
            <w:r>
              <w:t xml:space="preserve"> </w:t>
            </w:r>
            <w:r w:rsidRPr="000D3A6C">
              <w:t>to</w:t>
            </w:r>
            <w:r>
              <w:t xml:space="preserve"> the </w:t>
            </w:r>
            <w:r w:rsidRPr="000D3A6C">
              <w:t>government</w:t>
            </w:r>
            <w:r>
              <w:t xml:space="preserve"> </w:t>
            </w:r>
            <w:r w:rsidRPr="000D3A6C">
              <w:t>on</w:t>
            </w:r>
            <w:r>
              <w:t xml:space="preserve"> </w:t>
            </w:r>
            <w:r w:rsidRPr="000D3A6C">
              <w:t>funding</w:t>
            </w:r>
            <w:r>
              <w:t xml:space="preserve"> </w:t>
            </w:r>
            <w:r w:rsidRPr="000D3A6C">
              <w:t>and</w:t>
            </w:r>
            <w:r>
              <w:t xml:space="preserve"> </w:t>
            </w:r>
            <w:r w:rsidRPr="000D3A6C">
              <w:t>policy,</w:t>
            </w:r>
            <w:r>
              <w:t xml:space="preserve"> </w:t>
            </w:r>
            <w:r w:rsidRPr="000D3A6C">
              <w:t>including</w:t>
            </w:r>
            <w:r>
              <w:t xml:space="preserve"> </w:t>
            </w:r>
            <w:r w:rsidRPr="000D3A6C">
              <w:t>progress</w:t>
            </w:r>
            <w:r>
              <w:t xml:space="preserve"> </w:t>
            </w:r>
            <w:r w:rsidRPr="000D3A6C">
              <w:t>of</w:t>
            </w:r>
            <w:r>
              <w:t xml:space="preserve"> </w:t>
            </w:r>
            <w:r w:rsidRPr="000D3A6C">
              <w:t>the</w:t>
            </w:r>
            <w:r>
              <w:t xml:space="preserve"> </w:t>
            </w:r>
            <w:r w:rsidRPr="005F7E6E">
              <w:rPr>
                <w:i/>
              </w:rPr>
              <w:t>National Plan to Reduce Violence against Women and their Children 2010–2022</w:t>
            </w:r>
            <w:r>
              <w:rPr>
                <w:i/>
              </w:rPr>
              <w:t xml:space="preserve"> </w:t>
            </w:r>
            <w:r>
              <w:t>(the National Plan)</w:t>
            </w:r>
            <w:r w:rsidRPr="000D3A6C">
              <w:t>.</w:t>
            </w:r>
          </w:p>
          <w:p w14:paraId="6FEAF91F" w14:textId="77777777" w:rsidR="00CD4E17" w:rsidRDefault="00CD4E17" w:rsidP="00745297">
            <w:pPr>
              <w:pStyle w:val="OWTablebodyleft"/>
            </w:pPr>
            <w:r w:rsidRPr="000D3A6C">
              <w:t>Outside</w:t>
            </w:r>
            <w:r>
              <w:t xml:space="preserve"> </w:t>
            </w:r>
            <w:r w:rsidRPr="000D3A6C">
              <w:t>November,</w:t>
            </w:r>
            <w:r>
              <w:t xml:space="preserve"> </w:t>
            </w:r>
            <w:r w:rsidRPr="000D3A6C">
              <w:t>other</w:t>
            </w:r>
            <w:r>
              <w:t xml:space="preserve"> events </w:t>
            </w:r>
            <w:r w:rsidRPr="000D3A6C">
              <w:t>prompted</w:t>
            </w:r>
            <w:r>
              <w:t xml:space="preserve"> </w:t>
            </w:r>
            <w:r w:rsidRPr="000D3A6C">
              <w:t>mention</w:t>
            </w:r>
            <w:r>
              <w:t xml:space="preserve"> </w:t>
            </w:r>
            <w:r w:rsidRPr="000D3A6C">
              <w:t>of</w:t>
            </w:r>
            <w:r>
              <w:t xml:space="preserve"> </w:t>
            </w:r>
            <w:r w:rsidRPr="000D3A6C">
              <w:t>the</w:t>
            </w:r>
            <w:r>
              <w:t xml:space="preserve"> </w:t>
            </w:r>
            <w:r w:rsidRPr="000D3A6C">
              <w:t>search</w:t>
            </w:r>
            <w:r>
              <w:t xml:space="preserve"> </w:t>
            </w:r>
            <w:r w:rsidRPr="000D3A6C">
              <w:t>terms.</w:t>
            </w:r>
            <w:r>
              <w:t xml:space="preserve"> </w:t>
            </w:r>
            <w:r w:rsidRPr="000D3A6C">
              <w:t>In</w:t>
            </w:r>
            <w:r>
              <w:t xml:space="preserve"> </w:t>
            </w:r>
            <w:r w:rsidRPr="000D3A6C">
              <w:t>March,</w:t>
            </w:r>
            <w:r>
              <w:t xml:space="preserve"> </w:t>
            </w:r>
            <w:r w:rsidRPr="000D3A6C">
              <w:t>International</w:t>
            </w:r>
            <w:r>
              <w:t xml:space="preserve"> </w:t>
            </w:r>
            <w:r w:rsidRPr="000D3A6C">
              <w:t>Women’s</w:t>
            </w:r>
            <w:r>
              <w:t xml:space="preserve"> </w:t>
            </w:r>
            <w:r w:rsidRPr="000D3A6C">
              <w:t>Day</w:t>
            </w:r>
            <w:r>
              <w:t xml:space="preserve"> </w:t>
            </w:r>
            <w:r w:rsidRPr="000D3A6C">
              <w:t>saw</w:t>
            </w:r>
            <w:r>
              <w:t xml:space="preserve"> </w:t>
            </w:r>
            <w:r w:rsidRPr="000D3A6C">
              <w:t>private</w:t>
            </w:r>
            <w:r>
              <w:t xml:space="preserve"> </w:t>
            </w:r>
            <w:r w:rsidRPr="000D3A6C">
              <w:t>members’</w:t>
            </w:r>
            <w:r>
              <w:t xml:space="preserve"> statements </w:t>
            </w:r>
            <w:r w:rsidRPr="000D3A6C">
              <w:t>calling</w:t>
            </w:r>
            <w:r>
              <w:t xml:space="preserve"> </w:t>
            </w:r>
            <w:r w:rsidRPr="000D3A6C">
              <w:t>for</w:t>
            </w:r>
            <w:r>
              <w:t xml:space="preserve"> </w:t>
            </w:r>
            <w:r w:rsidRPr="000D3A6C">
              <w:t>progress</w:t>
            </w:r>
            <w:r>
              <w:t xml:space="preserve"> </w:t>
            </w:r>
            <w:r w:rsidRPr="000D3A6C">
              <w:t>towards</w:t>
            </w:r>
            <w:r>
              <w:t xml:space="preserve"> </w:t>
            </w:r>
            <w:r w:rsidRPr="000D3A6C">
              <w:t>gender</w:t>
            </w:r>
            <w:r>
              <w:t xml:space="preserve"> </w:t>
            </w:r>
            <w:r w:rsidRPr="000D3A6C">
              <w:t>equality,</w:t>
            </w:r>
            <w:r>
              <w:t xml:space="preserve"> </w:t>
            </w:r>
            <w:r w:rsidRPr="000D3A6C">
              <w:t>several</w:t>
            </w:r>
            <w:r>
              <w:t xml:space="preserve"> of </w:t>
            </w:r>
            <w:r w:rsidRPr="000D3A6C">
              <w:t>which</w:t>
            </w:r>
            <w:r>
              <w:t xml:space="preserve"> </w:t>
            </w:r>
            <w:r w:rsidRPr="000D3A6C">
              <w:t>made</w:t>
            </w:r>
            <w:r>
              <w:t xml:space="preserve"> a link to </w:t>
            </w:r>
            <w:r w:rsidRPr="000D3A6C">
              <w:t>violence</w:t>
            </w:r>
            <w:r>
              <w:t xml:space="preserve"> </w:t>
            </w:r>
            <w:r w:rsidRPr="000D3A6C">
              <w:t>against</w:t>
            </w:r>
            <w:r>
              <w:t xml:space="preserve"> </w:t>
            </w:r>
            <w:r w:rsidRPr="000D3A6C">
              <w:t>women.</w:t>
            </w:r>
            <w:r>
              <w:t xml:space="preserve"> </w:t>
            </w:r>
            <w:r w:rsidRPr="000D3A6C">
              <w:t>However</w:t>
            </w:r>
            <w:r>
              <w:t xml:space="preserve"> </w:t>
            </w:r>
            <w:r w:rsidRPr="000D3A6C">
              <w:t>not</w:t>
            </w:r>
            <w:r>
              <w:t xml:space="preserve"> </w:t>
            </w:r>
            <w:r w:rsidRPr="000D3A6C">
              <w:t>all</w:t>
            </w:r>
            <w:r>
              <w:t xml:space="preserve"> </w:t>
            </w:r>
            <w:r w:rsidRPr="000D3A6C">
              <w:t>observance</w:t>
            </w:r>
            <w:r>
              <w:t xml:space="preserve"> </w:t>
            </w:r>
            <w:r w:rsidRPr="000D3A6C">
              <w:t>days</w:t>
            </w:r>
            <w:r>
              <w:t xml:space="preserve"> </w:t>
            </w:r>
            <w:r w:rsidRPr="000D3A6C">
              <w:t>relevant</w:t>
            </w:r>
            <w:r>
              <w:t xml:space="preserve"> </w:t>
            </w:r>
            <w:r w:rsidRPr="000D3A6C">
              <w:t>to</w:t>
            </w:r>
            <w:r>
              <w:t xml:space="preserve"> </w:t>
            </w:r>
            <w:r w:rsidRPr="000D3A6C">
              <w:t>gender</w:t>
            </w:r>
            <w:r>
              <w:t xml:space="preserve"> </w:t>
            </w:r>
            <w:r w:rsidRPr="000D3A6C">
              <w:t>equality</w:t>
            </w:r>
            <w:r>
              <w:t xml:space="preserve"> </w:t>
            </w:r>
            <w:r w:rsidRPr="000D3A6C">
              <w:t>and</w:t>
            </w:r>
            <w:r>
              <w:t xml:space="preserve"> </w:t>
            </w:r>
            <w:r w:rsidRPr="000D3A6C">
              <w:t>violence</w:t>
            </w:r>
            <w:r>
              <w:t xml:space="preserve"> </w:t>
            </w:r>
            <w:r w:rsidRPr="000D3A6C">
              <w:t>against</w:t>
            </w:r>
            <w:r>
              <w:t xml:space="preserve"> </w:t>
            </w:r>
            <w:r w:rsidRPr="000D3A6C">
              <w:t>women</w:t>
            </w:r>
            <w:r>
              <w:t xml:space="preserve"> </w:t>
            </w:r>
            <w:r w:rsidRPr="000D3A6C">
              <w:t>prompted</w:t>
            </w:r>
            <w:r>
              <w:t xml:space="preserve"> </w:t>
            </w:r>
            <w:r w:rsidRPr="000D3A6C">
              <w:t>increased</w:t>
            </w:r>
            <w:r>
              <w:t xml:space="preserve"> </w:t>
            </w:r>
            <w:r w:rsidRPr="000D3A6C">
              <w:t>mentions</w:t>
            </w:r>
            <w:r>
              <w:t xml:space="preserve"> </w:t>
            </w:r>
            <w:r w:rsidRPr="000D3A6C">
              <w:t>of</w:t>
            </w:r>
            <w:r>
              <w:t xml:space="preserve"> </w:t>
            </w:r>
            <w:r w:rsidRPr="000D3A6C">
              <w:t>the</w:t>
            </w:r>
            <w:r>
              <w:t xml:space="preserve"> </w:t>
            </w:r>
            <w:r w:rsidRPr="000D3A6C">
              <w:t>search</w:t>
            </w:r>
            <w:r>
              <w:t xml:space="preserve"> </w:t>
            </w:r>
            <w:r w:rsidRPr="000D3A6C">
              <w:t>terms.</w:t>
            </w:r>
            <w:r>
              <w:t xml:space="preserve"> </w:t>
            </w:r>
            <w:r w:rsidRPr="000D3A6C">
              <w:t>Human</w:t>
            </w:r>
            <w:r>
              <w:t xml:space="preserve"> </w:t>
            </w:r>
            <w:r w:rsidRPr="000D3A6C">
              <w:t>Rights</w:t>
            </w:r>
            <w:r>
              <w:t xml:space="preserve"> </w:t>
            </w:r>
            <w:r w:rsidRPr="000D3A6C">
              <w:t>Day,</w:t>
            </w:r>
            <w:r>
              <w:t xml:space="preserve"> </w:t>
            </w:r>
            <w:r w:rsidRPr="000D3A6C">
              <w:t>which</w:t>
            </w:r>
            <w:r>
              <w:t xml:space="preserve"> falls at </w:t>
            </w:r>
            <w:r w:rsidRPr="000D3A6C">
              <w:t>the</w:t>
            </w:r>
            <w:r>
              <w:t xml:space="preserve"> </w:t>
            </w:r>
            <w:r w:rsidRPr="000D3A6C">
              <w:t>end</w:t>
            </w:r>
            <w:r>
              <w:t xml:space="preserve"> </w:t>
            </w:r>
            <w:r w:rsidRPr="000D3A6C">
              <w:t>of</w:t>
            </w:r>
            <w:r>
              <w:t xml:space="preserve"> </w:t>
            </w:r>
            <w:r w:rsidRPr="000D3A6C">
              <w:t>the</w:t>
            </w:r>
            <w:r>
              <w:t xml:space="preserve"> </w:t>
            </w:r>
            <w:r w:rsidRPr="000D3A6C">
              <w:t>16</w:t>
            </w:r>
            <w:r>
              <w:t xml:space="preserve"> </w:t>
            </w:r>
            <w:r w:rsidRPr="000D3A6C">
              <w:t>Days</w:t>
            </w:r>
            <w:r>
              <w:t xml:space="preserve"> </w:t>
            </w:r>
            <w:r w:rsidRPr="000D3A6C">
              <w:t>of</w:t>
            </w:r>
            <w:r>
              <w:t xml:space="preserve"> </w:t>
            </w:r>
            <w:r w:rsidRPr="000D3A6C">
              <w:t>Activism</w:t>
            </w:r>
            <w:r>
              <w:t xml:space="preserve"> against Gender-based Violence</w:t>
            </w:r>
            <w:r w:rsidRPr="000D3A6C">
              <w:t>,</w:t>
            </w:r>
            <w:r>
              <w:t xml:space="preserve"> </w:t>
            </w:r>
            <w:r w:rsidRPr="000D3A6C">
              <w:t>received</w:t>
            </w:r>
            <w:r>
              <w:t xml:space="preserve"> </w:t>
            </w:r>
            <w:r w:rsidRPr="000D3A6C">
              <w:t>seven</w:t>
            </w:r>
            <w:r>
              <w:t xml:space="preserve"> </w:t>
            </w:r>
            <w:r w:rsidRPr="000D3A6C">
              <w:t>mentions,</w:t>
            </w:r>
            <w:r>
              <w:t xml:space="preserve"> </w:t>
            </w:r>
            <w:r w:rsidRPr="000D3A6C">
              <w:t>but</w:t>
            </w:r>
            <w:r>
              <w:t xml:space="preserve"> </w:t>
            </w:r>
            <w:r w:rsidRPr="000D3A6C">
              <w:t>less</w:t>
            </w:r>
            <w:r>
              <w:t xml:space="preserve"> </w:t>
            </w:r>
            <w:r w:rsidRPr="000D3A6C">
              <w:t>than</w:t>
            </w:r>
            <w:r>
              <w:t xml:space="preserve"> </w:t>
            </w:r>
            <w:r w:rsidRPr="000D3A6C">
              <w:t>half</w:t>
            </w:r>
            <w:r>
              <w:t xml:space="preserve"> </w:t>
            </w:r>
            <w:r w:rsidRPr="000D3A6C">
              <w:t>referred</w:t>
            </w:r>
            <w:r>
              <w:t xml:space="preserve"> </w:t>
            </w:r>
            <w:r w:rsidRPr="000D3A6C">
              <w:t>to</w:t>
            </w:r>
            <w:r>
              <w:t xml:space="preserve"> </w:t>
            </w:r>
            <w:r w:rsidRPr="000D3A6C">
              <w:t>women</w:t>
            </w:r>
            <w:r>
              <w:t xml:space="preserve"> </w:t>
            </w:r>
            <w:r w:rsidRPr="000D3A6C">
              <w:t>and</w:t>
            </w:r>
            <w:r>
              <w:t xml:space="preserve"> </w:t>
            </w:r>
            <w:r w:rsidRPr="000D3A6C">
              <w:t>only</w:t>
            </w:r>
            <w:r>
              <w:t xml:space="preserve"> </w:t>
            </w:r>
            <w:r w:rsidRPr="000D3A6C">
              <w:t>two</w:t>
            </w:r>
            <w:r>
              <w:t xml:space="preserve"> linked </w:t>
            </w:r>
            <w:r w:rsidRPr="000D3A6C">
              <w:t>human</w:t>
            </w:r>
            <w:r>
              <w:t xml:space="preserve"> </w:t>
            </w:r>
            <w:r w:rsidRPr="000D3A6C">
              <w:t>rights</w:t>
            </w:r>
            <w:r>
              <w:t xml:space="preserve"> to </w:t>
            </w:r>
            <w:r w:rsidRPr="000D3A6C">
              <w:t>violence</w:t>
            </w:r>
            <w:r>
              <w:t xml:space="preserve"> </w:t>
            </w:r>
            <w:r w:rsidRPr="000D3A6C">
              <w:t>against</w:t>
            </w:r>
            <w:r>
              <w:t xml:space="preserve"> </w:t>
            </w:r>
            <w:r w:rsidRPr="000D3A6C">
              <w:t>women.</w:t>
            </w:r>
            <w:r>
              <w:t xml:space="preserve"> </w:t>
            </w:r>
            <w:r w:rsidRPr="000D3A6C">
              <w:t>Ochre</w:t>
            </w:r>
            <w:r>
              <w:t xml:space="preserve"> </w:t>
            </w:r>
            <w:r w:rsidRPr="000D3A6C">
              <w:t>Ribbon</w:t>
            </w:r>
            <w:r>
              <w:t xml:space="preserve"> </w:t>
            </w:r>
            <w:r w:rsidRPr="000D3A6C">
              <w:t>Week</w:t>
            </w:r>
            <w:r>
              <w:t xml:space="preserve"> </w:t>
            </w:r>
            <w:r w:rsidRPr="000D3A6C">
              <w:t>–</w:t>
            </w:r>
            <w:r>
              <w:t xml:space="preserve"> </w:t>
            </w:r>
            <w:r w:rsidRPr="000D3A6C">
              <w:t>part</w:t>
            </w:r>
            <w:r>
              <w:t xml:space="preserve"> </w:t>
            </w:r>
            <w:r w:rsidRPr="000D3A6C">
              <w:t>of</w:t>
            </w:r>
            <w:r>
              <w:t xml:space="preserve"> </w:t>
            </w:r>
            <w:r w:rsidRPr="000D3A6C">
              <w:t>the</w:t>
            </w:r>
            <w:r>
              <w:t xml:space="preserve"> </w:t>
            </w:r>
            <w:r w:rsidRPr="000D3A6C">
              <w:t>Ochre</w:t>
            </w:r>
            <w:r>
              <w:t xml:space="preserve"> </w:t>
            </w:r>
            <w:r w:rsidRPr="000D3A6C">
              <w:t>Ribbon</w:t>
            </w:r>
            <w:r>
              <w:t xml:space="preserve"> </w:t>
            </w:r>
            <w:r w:rsidRPr="000D3A6C">
              <w:t>Campaign,</w:t>
            </w:r>
            <w:r>
              <w:t xml:space="preserve"> </w:t>
            </w:r>
            <w:r w:rsidRPr="000D3A6C">
              <w:t>which</w:t>
            </w:r>
            <w:r>
              <w:t xml:space="preserve"> </w:t>
            </w:r>
            <w:r w:rsidRPr="000D3A6C">
              <w:t>calls</w:t>
            </w:r>
            <w:r>
              <w:t xml:space="preserve"> </w:t>
            </w:r>
            <w:r w:rsidRPr="000D3A6C">
              <w:t>for</w:t>
            </w:r>
            <w:r>
              <w:t xml:space="preserve"> </w:t>
            </w:r>
            <w:r w:rsidRPr="000D3A6C">
              <w:t>action</w:t>
            </w:r>
            <w:r>
              <w:t xml:space="preserve"> </w:t>
            </w:r>
            <w:r w:rsidRPr="000D3A6C">
              <w:t>to</w:t>
            </w:r>
            <w:r>
              <w:t xml:space="preserve"> </w:t>
            </w:r>
            <w:r w:rsidRPr="000D3A6C">
              <w:t>end</w:t>
            </w:r>
            <w:r>
              <w:t xml:space="preserve"> </w:t>
            </w:r>
            <w:r w:rsidRPr="000D3A6C">
              <w:t>violence</w:t>
            </w:r>
            <w:r>
              <w:t xml:space="preserve"> </w:t>
            </w:r>
            <w:r w:rsidRPr="000D3A6C">
              <w:t>against</w:t>
            </w:r>
            <w:r>
              <w:t xml:space="preserve"> </w:t>
            </w:r>
            <w:r w:rsidRPr="000D3A6C">
              <w:t>Aboriginal</w:t>
            </w:r>
            <w:r>
              <w:t xml:space="preserve"> </w:t>
            </w:r>
            <w:r w:rsidRPr="000D3A6C">
              <w:t>and</w:t>
            </w:r>
            <w:r>
              <w:t xml:space="preserve"> </w:t>
            </w:r>
            <w:r w:rsidRPr="000D3A6C">
              <w:t>Torres</w:t>
            </w:r>
            <w:r>
              <w:t xml:space="preserve"> </w:t>
            </w:r>
            <w:r w:rsidRPr="000D3A6C">
              <w:t>Strait</w:t>
            </w:r>
            <w:r>
              <w:t xml:space="preserve"> </w:t>
            </w:r>
            <w:r w:rsidRPr="000D3A6C">
              <w:t>Islander</w:t>
            </w:r>
            <w:r>
              <w:t xml:space="preserve"> </w:t>
            </w:r>
            <w:r w:rsidRPr="000D3A6C">
              <w:t>people,</w:t>
            </w:r>
            <w:r>
              <w:t xml:space="preserve"> </w:t>
            </w:r>
            <w:r w:rsidRPr="000D3A6C">
              <w:t>especially</w:t>
            </w:r>
            <w:r>
              <w:t xml:space="preserve"> </w:t>
            </w:r>
            <w:r w:rsidRPr="000D3A6C">
              <w:t>women</w:t>
            </w:r>
            <w:r>
              <w:t xml:space="preserve"> </w:t>
            </w:r>
            <w:r w:rsidRPr="000D3A6C">
              <w:t>and</w:t>
            </w:r>
            <w:r>
              <w:t xml:space="preserve"> </w:t>
            </w:r>
            <w:r w:rsidRPr="000D3A6C">
              <w:t>children</w:t>
            </w:r>
            <w:r>
              <w:t xml:space="preserve"> </w:t>
            </w:r>
            <w:r w:rsidRPr="000D3A6C">
              <w:t>–</w:t>
            </w:r>
            <w:r>
              <w:t xml:space="preserve"> </w:t>
            </w:r>
            <w:r w:rsidRPr="000D3A6C">
              <w:t>was</w:t>
            </w:r>
            <w:r>
              <w:t xml:space="preserve"> </w:t>
            </w:r>
            <w:r w:rsidRPr="000D3A6C">
              <w:t>not</w:t>
            </w:r>
            <w:r>
              <w:t xml:space="preserve"> </w:t>
            </w:r>
            <w:r w:rsidRPr="000D3A6C">
              <w:t>mentioned</w:t>
            </w:r>
            <w:r>
              <w:t xml:space="preserve"> </w:t>
            </w:r>
            <w:r w:rsidRPr="000D3A6C">
              <w:t>in</w:t>
            </w:r>
            <w:r>
              <w:t xml:space="preserve"> </w:t>
            </w:r>
            <w:r w:rsidRPr="000D3A6C">
              <w:t>2018.</w:t>
            </w:r>
          </w:p>
          <w:p w14:paraId="2464026A" w14:textId="77777777" w:rsidR="00CD4E17" w:rsidRDefault="00CD4E17" w:rsidP="00745297">
            <w:pPr>
              <w:pStyle w:val="OWTablebodyleft"/>
            </w:pPr>
            <w:r>
              <w:t>T</w:t>
            </w:r>
            <w:r w:rsidRPr="000D3A6C">
              <w:t>here</w:t>
            </w:r>
            <w:r>
              <w:t xml:space="preserve"> were </w:t>
            </w:r>
            <w:r w:rsidRPr="000D3A6C">
              <w:t>seventy-one</w:t>
            </w:r>
            <w:r>
              <w:t xml:space="preserve"> </w:t>
            </w:r>
            <w:r w:rsidRPr="000D3A6C">
              <w:t>mentions</w:t>
            </w:r>
            <w:r>
              <w:t xml:space="preserve"> </w:t>
            </w:r>
            <w:r w:rsidRPr="000D3A6C">
              <w:t>of</w:t>
            </w:r>
            <w:r>
              <w:t xml:space="preserve"> </w:t>
            </w:r>
            <w:r w:rsidRPr="000D3A6C">
              <w:t>Aboriginal</w:t>
            </w:r>
            <w:r>
              <w:t xml:space="preserve"> </w:t>
            </w:r>
            <w:r w:rsidRPr="000D3A6C">
              <w:t>and</w:t>
            </w:r>
            <w:r>
              <w:t xml:space="preserve"> </w:t>
            </w:r>
            <w:r w:rsidRPr="000D3A6C">
              <w:t>Torres</w:t>
            </w:r>
            <w:r>
              <w:t xml:space="preserve"> </w:t>
            </w:r>
            <w:r w:rsidRPr="000D3A6C">
              <w:t>Strait</w:t>
            </w:r>
            <w:r>
              <w:t xml:space="preserve"> </w:t>
            </w:r>
            <w:r w:rsidRPr="000D3A6C">
              <w:t>Islander</w:t>
            </w:r>
            <w:r>
              <w:t xml:space="preserve"> </w:t>
            </w:r>
            <w:r w:rsidRPr="000D3A6C">
              <w:t>women</w:t>
            </w:r>
            <w:r>
              <w:t xml:space="preserve">, and while </w:t>
            </w:r>
            <w:r w:rsidRPr="000D3A6C">
              <w:t>some</w:t>
            </w:r>
            <w:r>
              <w:t xml:space="preserve"> were by </w:t>
            </w:r>
            <w:r w:rsidRPr="000D3A6C">
              <w:t>parliamentarians</w:t>
            </w:r>
            <w:r>
              <w:t xml:space="preserve"> </w:t>
            </w:r>
            <w:r w:rsidRPr="000D3A6C">
              <w:t>speaking</w:t>
            </w:r>
            <w:r>
              <w:t xml:space="preserve"> </w:t>
            </w:r>
            <w:r w:rsidRPr="000D3A6C">
              <w:t>about</w:t>
            </w:r>
            <w:r>
              <w:t xml:space="preserve"> </w:t>
            </w:r>
            <w:r w:rsidRPr="000D3A6C">
              <w:t>family</w:t>
            </w:r>
            <w:r>
              <w:t xml:space="preserve"> </w:t>
            </w:r>
            <w:r w:rsidRPr="000D3A6C">
              <w:t>violence,</w:t>
            </w:r>
            <w:r>
              <w:t xml:space="preserve"> most were </w:t>
            </w:r>
            <w:r w:rsidRPr="000D3A6C">
              <w:t>made</w:t>
            </w:r>
            <w:r>
              <w:t xml:space="preserve"> </w:t>
            </w:r>
            <w:r w:rsidRPr="000D3A6C">
              <w:t>by</w:t>
            </w:r>
            <w:r>
              <w:t xml:space="preserve"> </w:t>
            </w:r>
            <w:r w:rsidRPr="000D3A6C">
              <w:t>organisations</w:t>
            </w:r>
            <w:r>
              <w:t xml:space="preserve"> </w:t>
            </w:r>
            <w:r w:rsidRPr="000D3A6C">
              <w:t>and</w:t>
            </w:r>
            <w:r>
              <w:t xml:space="preserve"> </w:t>
            </w:r>
            <w:r w:rsidRPr="000D3A6C">
              <w:t>experts</w:t>
            </w:r>
            <w:r>
              <w:t xml:space="preserve"> </w:t>
            </w:r>
            <w:r w:rsidRPr="000D3A6C">
              <w:t>speaking</w:t>
            </w:r>
            <w:r>
              <w:t xml:space="preserve"> </w:t>
            </w:r>
            <w:r w:rsidRPr="000D3A6C">
              <w:t>at</w:t>
            </w:r>
            <w:r>
              <w:t xml:space="preserve"> </w:t>
            </w:r>
            <w:r w:rsidRPr="000D3A6C">
              <w:t>hearings</w:t>
            </w:r>
            <w:r>
              <w:t xml:space="preserve"> </w:t>
            </w:r>
            <w:r w:rsidRPr="000D3A6C">
              <w:t>and</w:t>
            </w:r>
            <w:r>
              <w:t xml:space="preserve"> </w:t>
            </w:r>
            <w:r w:rsidRPr="000D3A6C">
              <w:t>inquiries.</w:t>
            </w:r>
          </w:p>
          <w:p w14:paraId="2BBD6291" w14:textId="77777777" w:rsidR="00CD4E17" w:rsidRDefault="00CD4E17" w:rsidP="00745297">
            <w:pPr>
              <w:pStyle w:val="OWTablebodyleft"/>
            </w:pPr>
            <w:r w:rsidRPr="000D3A6C">
              <w:t>There</w:t>
            </w:r>
            <w:r>
              <w:t xml:space="preserve"> </w:t>
            </w:r>
            <w:r w:rsidRPr="000D3A6C">
              <w:t>were</w:t>
            </w:r>
            <w:r>
              <w:t xml:space="preserve"> </w:t>
            </w:r>
            <w:r w:rsidRPr="000D3A6C">
              <w:t>twenty-four</w:t>
            </w:r>
            <w:r>
              <w:t xml:space="preserve"> </w:t>
            </w:r>
            <w:r w:rsidRPr="000D3A6C">
              <w:t>mentions</w:t>
            </w:r>
            <w:r>
              <w:t xml:space="preserve"> </w:t>
            </w:r>
            <w:r w:rsidRPr="000D3A6C">
              <w:t>of</w:t>
            </w:r>
            <w:r>
              <w:t xml:space="preserve"> </w:t>
            </w:r>
            <w:r w:rsidRPr="000D3A6C">
              <w:t>women</w:t>
            </w:r>
            <w:r>
              <w:t xml:space="preserve"> </w:t>
            </w:r>
            <w:r w:rsidRPr="000D3A6C">
              <w:t>with</w:t>
            </w:r>
            <w:r>
              <w:t xml:space="preserve"> </w:t>
            </w:r>
            <w:r w:rsidRPr="000D3A6C">
              <w:t>disabilit</w:t>
            </w:r>
            <w:r>
              <w:t xml:space="preserve">y. Some were by </w:t>
            </w:r>
            <w:r w:rsidRPr="000D3A6C">
              <w:t>specialist</w:t>
            </w:r>
            <w:r>
              <w:t xml:space="preserve"> </w:t>
            </w:r>
            <w:r w:rsidRPr="000D3A6C">
              <w:t>organisations</w:t>
            </w:r>
            <w:r>
              <w:t xml:space="preserve"> </w:t>
            </w:r>
            <w:r w:rsidRPr="000D3A6C">
              <w:t>or</w:t>
            </w:r>
            <w:r>
              <w:t xml:space="preserve"> </w:t>
            </w:r>
            <w:r w:rsidRPr="000D3A6C">
              <w:t>experts</w:t>
            </w:r>
            <w:r>
              <w:t xml:space="preserve"> </w:t>
            </w:r>
            <w:r w:rsidRPr="000D3A6C">
              <w:t>at</w:t>
            </w:r>
            <w:r>
              <w:t xml:space="preserve"> </w:t>
            </w:r>
            <w:r w:rsidRPr="000D3A6C">
              <w:t>hearings</w:t>
            </w:r>
            <w:r>
              <w:t xml:space="preserve"> </w:t>
            </w:r>
            <w:r w:rsidRPr="000D3A6C">
              <w:t>or</w:t>
            </w:r>
            <w:r>
              <w:t xml:space="preserve"> </w:t>
            </w:r>
            <w:r w:rsidRPr="000D3A6C">
              <w:t>inquiries</w:t>
            </w:r>
            <w:r>
              <w:t xml:space="preserve"> </w:t>
            </w:r>
            <w:r w:rsidRPr="000D3A6C">
              <w:t>on</w:t>
            </w:r>
            <w:r>
              <w:t xml:space="preserve"> </w:t>
            </w:r>
            <w:r w:rsidRPr="000D3A6C">
              <w:t>the</w:t>
            </w:r>
            <w:r>
              <w:t xml:space="preserve"> </w:t>
            </w:r>
            <w:r w:rsidRPr="000D3A6C">
              <w:t>National</w:t>
            </w:r>
            <w:r>
              <w:t xml:space="preserve"> </w:t>
            </w:r>
            <w:r w:rsidRPr="000D3A6C">
              <w:t>Disability</w:t>
            </w:r>
            <w:r>
              <w:t xml:space="preserve"> </w:t>
            </w:r>
            <w:r w:rsidRPr="000D3A6C">
              <w:t>Insurance</w:t>
            </w:r>
            <w:r>
              <w:t xml:space="preserve"> </w:t>
            </w:r>
            <w:r w:rsidRPr="000D3A6C">
              <w:t>Scheme,</w:t>
            </w:r>
            <w:r>
              <w:t xml:space="preserve"> </w:t>
            </w:r>
            <w:r w:rsidRPr="000D3A6C">
              <w:t>intergenerational</w:t>
            </w:r>
            <w:r>
              <w:t xml:space="preserve"> </w:t>
            </w:r>
            <w:r w:rsidRPr="000D3A6C">
              <w:t>welfare</w:t>
            </w:r>
            <w:r>
              <w:t xml:space="preserve"> </w:t>
            </w:r>
            <w:r w:rsidRPr="000D3A6C">
              <w:t>dependence,</w:t>
            </w:r>
            <w:r>
              <w:t xml:space="preserve"> </w:t>
            </w:r>
            <w:r w:rsidRPr="000D3A6C">
              <w:t>and</w:t>
            </w:r>
            <w:r>
              <w:t xml:space="preserve"> </w:t>
            </w:r>
            <w:r w:rsidRPr="000D3A6C">
              <w:t>dowry-related</w:t>
            </w:r>
            <w:r>
              <w:t xml:space="preserve"> </w:t>
            </w:r>
            <w:r w:rsidRPr="000D3A6C">
              <w:t>abuse.</w:t>
            </w:r>
            <w:r>
              <w:t xml:space="preserve"> Others were in </w:t>
            </w:r>
            <w:r w:rsidRPr="000D3A6C">
              <w:t>second</w:t>
            </w:r>
            <w:r>
              <w:t xml:space="preserve"> </w:t>
            </w:r>
            <w:r w:rsidRPr="000D3A6C">
              <w:t>readings</w:t>
            </w:r>
            <w:r>
              <w:t xml:space="preserve"> </w:t>
            </w:r>
            <w:r w:rsidRPr="000D3A6C">
              <w:t>of</w:t>
            </w:r>
            <w:r>
              <w:t xml:space="preserve"> </w:t>
            </w:r>
            <w:r w:rsidRPr="000D3A6C">
              <w:t>Bills,</w:t>
            </w:r>
            <w:r>
              <w:t xml:space="preserve"> </w:t>
            </w:r>
            <w:r w:rsidRPr="000D3A6C">
              <w:t>such</w:t>
            </w:r>
            <w:r>
              <w:t xml:space="preserve"> </w:t>
            </w:r>
            <w:r w:rsidRPr="000D3A6C">
              <w:t>as</w:t>
            </w:r>
            <w:r>
              <w:t xml:space="preserve"> </w:t>
            </w:r>
            <w:r w:rsidRPr="000D3A6C">
              <w:t>the</w:t>
            </w:r>
            <w:r>
              <w:t xml:space="preserve"> </w:t>
            </w:r>
            <w:r w:rsidRPr="000D3A6C">
              <w:t>Family</w:t>
            </w:r>
            <w:r>
              <w:t xml:space="preserve"> </w:t>
            </w:r>
            <w:r w:rsidRPr="000D3A6C">
              <w:t>Law</w:t>
            </w:r>
            <w:r>
              <w:t xml:space="preserve"> </w:t>
            </w:r>
            <w:r w:rsidRPr="000D3A6C">
              <w:t>Amendment</w:t>
            </w:r>
            <w:r>
              <w:t xml:space="preserve"> </w:t>
            </w:r>
            <w:r w:rsidRPr="000D3A6C">
              <w:t>(Family</w:t>
            </w:r>
            <w:r>
              <w:t xml:space="preserve"> </w:t>
            </w:r>
            <w:r w:rsidRPr="000D3A6C">
              <w:t>Violence</w:t>
            </w:r>
            <w:r>
              <w:t xml:space="preserve"> </w:t>
            </w:r>
            <w:r w:rsidRPr="000D3A6C">
              <w:t>and</w:t>
            </w:r>
            <w:r>
              <w:t xml:space="preserve"> </w:t>
            </w:r>
            <w:r w:rsidRPr="000D3A6C">
              <w:t>Cross-examination</w:t>
            </w:r>
            <w:r>
              <w:t xml:space="preserve"> of Parties</w:t>
            </w:r>
            <w:r w:rsidRPr="000D3A6C">
              <w:t>),</w:t>
            </w:r>
            <w:r>
              <w:t xml:space="preserve"> </w:t>
            </w:r>
            <w:r w:rsidRPr="000D3A6C">
              <w:t>Fair</w:t>
            </w:r>
            <w:r>
              <w:t xml:space="preserve"> </w:t>
            </w:r>
            <w:r w:rsidRPr="000D3A6C">
              <w:t>Work</w:t>
            </w:r>
            <w:r>
              <w:t xml:space="preserve"> </w:t>
            </w:r>
            <w:r w:rsidRPr="000D3A6C">
              <w:t>Amendment</w:t>
            </w:r>
            <w:r>
              <w:t xml:space="preserve"> </w:t>
            </w:r>
            <w:r w:rsidRPr="000D3A6C">
              <w:t>(Family</w:t>
            </w:r>
            <w:r>
              <w:t xml:space="preserve"> </w:t>
            </w:r>
            <w:r w:rsidRPr="000D3A6C">
              <w:t>and</w:t>
            </w:r>
            <w:r>
              <w:t xml:space="preserve"> </w:t>
            </w:r>
            <w:r w:rsidRPr="000D3A6C">
              <w:t>Domestic</w:t>
            </w:r>
            <w:r>
              <w:t xml:space="preserve"> </w:t>
            </w:r>
            <w:r w:rsidRPr="000D3A6C">
              <w:t>Violence</w:t>
            </w:r>
            <w:r>
              <w:t xml:space="preserve"> </w:t>
            </w:r>
            <w:r w:rsidRPr="000D3A6C">
              <w:t>Leave),</w:t>
            </w:r>
            <w:r>
              <w:t xml:space="preserve"> </w:t>
            </w:r>
            <w:r w:rsidRPr="000D3A6C">
              <w:t>and</w:t>
            </w:r>
            <w:r>
              <w:t xml:space="preserve"> </w:t>
            </w:r>
            <w:r w:rsidRPr="000D3A6C">
              <w:t>Social</w:t>
            </w:r>
            <w:r>
              <w:t xml:space="preserve"> </w:t>
            </w:r>
            <w:r w:rsidRPr="000D3A6C">
              <w:t>Services</w:t>
            </w:r>
            <w:r>
              <w:t xml:space="preserve"> </w:t>
            </w:r>
            <w:r w:rsidRPr="000D3A6C">
              <w:t>and</w:t>
            </w:r>
            <w:r>
              <w:t xml:space="preserve"> </w:t>
            </w:r>
            <w:r w:rsidRPr="000D3A6C">
              <w:t>Other</w:t>
            </w:r>
            <w:r>
              <w:t xml:space="preserve"> </w:t>
            </w:r>
            <w:r w:rsidRPr="000D3A6C">
              <w:t>Legislation</w:t>
            </w:r>
            <w:r>
              <w:t xml:space="preserve"> </w:t>
            </w:r>
            <w:r w:rsidRPr="000D3A6C">
              <w:t>Amendment</w:t>
            </w:r>
            <w:r>
              <w:t xml:space="preserve"> </w:t>
            </w:r>
            <w:r w:rsidRPr="000D3A6C">
              <w:t>(Promoting</w:t>
            </w:r>
            <w:r>
              <w:t xml:space="preserve"> </w:t>
            </w:r>
            <w:r w:rsidRPr="000D3A6C">
              <w:t>Sustainable</w:t>
            </w:r>
            <w:r>
              <w:t xml:space="preserve"> </w:t>
            </w:r>
            <w:r w:rsidRPr="000D3A6C">
              <w:t>Welfare).</w:t>
            </w:r>
            <w:r>
              <w:t xml:space="preserve"> </w:t>
            </w:r>
            <w:r w:rsidRPr="000D3A6C">
              <w:t>The</w:t>
            </w:r>
            <w:r>
              <w:t xml:space="preserve"> </w:t>
            </w:r>
            <w:r w:rsidRPr="000D3A6C">
              <w:t>extent</w:t>
            </w:r>
            <w:r>
              <w:t xml:space="preserve"> </w:t>
            </w:r>
            <w:r w:rsidRPr="000D3A6C">
              <w:t>to</w:t>
            </w:r>
            <w:r>
              <w:t xml:space="preserve"> </w:t>
            </w:r>
            <w:r w:rsidRPr="000D3A6C">
              <w:t>which</w:t>
            </w:r>
            <w:r>
              <w:t xml:space="preserve"> </w:t>
            </w:r>
            <w:r w:rsidRPr="000D3A6C">
              <w:t>women</w:t>
            </w:r>
            <w:r>
              <w:t xml:space="preserve"> </w:t>
            </w:r>
            <w:r w:rsidRPr="000D3A6C">
              <w:t>with</w:t>
            </w:r>
            <w:r>
              <w:t xml:space="preserve"> </w:t>
            </w:r>
            <w:r w:rsidRPr="000D3A6C">
              <w:t>disability</w:t>
            </w:r>
            <w:r>
              <w:t xml:space="preserve"> feature in </w:t>
            </w:r>
            <w:r w:rsidRPr="000D3A6C">
              <w:t>parliamentary</w:t>
            </w:r>
            <w:r>
              <w:t xml:space="preserve"> </w:t>
            </w:r>
            <w:r w:rsidRPr="000D3A6C">
              <w:t>discourse</w:t>
            </w:r>
            <w:r>
              <w:t xml:space="preserve"> </w:t>
            </w:r>
            <w:r w:rsidRPr="000D3A6C">
              <w:t>can</w:t>
            </w:r>
            <w:r>
              <w:t xml:space="preserve"> </w:t>
            </w:r>
            <w:r w:rsidRPr="000D3A6C">
              <w:t>also</w:t>
            </w:r>
            <w:r>
              <w:t xml:space="preserve"> </w:t>
            </w:r>
            <w:r w:rsidRPr="000D3A6C">
              <w:t>be</w:t>
            </w:r>
            <w:r>
              <w:t xml:space="preserve"> </w:t>
            </w:r>
            <w:r w:rsidRPr="000D3A6C">
              <w:t>measured</w:t>
            </w:r>
            <w:r>
              <w:t xml:space="preserve"> </w:t>
            </w:r>
            <w:r w:rsidRPr="000D3A6C">
              <w:t>by</w:t>
            </w:r>
            <w:r>
              <w:t xml:space="preserve"> </w:t>
            </w:r>
            <w:r w:rsidRPr="000D3A6C">
              <w:t>the</w:t>
            </w:r>
            <w:r>
              <w:t xml:space="preserve"> </w:t>
            </w:r>
            <w:r w:rsidRPr="000D3A6C">
              <w:t>number</w:t>
            </w:r>
            <w:r>
              <w:t xml:space="preserve"> </w:t>
            </w:r>
            <w:r w:rsidRPr="000D3A6C">
              <w:t>of</w:t>
            </w:r>
            <w:r>
              <w:t xml:space="preserve"> </w:t>
            </w:r>
            <w:r w:rsidRPr="000D3A6C">
              <w:t>mentions</w:t>
            </w:r>
            <w:r>
              <w:t xml:space="preserve"> on </w:t>
            </w:r>
            <w:r w:rsidRPr="000D3A6C">
              <w:t>International</w:t>
            </w:r>
            <w:r>
              <w:t xml:space="preserve"> </w:t>
            </w:r>
            <w:r w:rsidRPr="000D3A6C">
              <w:t>Day</w:t>
            </w:r>
            <w:r>
              <w:t xml:space="preserve"> </w:t>
            </w:r>
            <w:r w:rsidRPr="000D3A6C">
              <w:t>of</w:t>
            </w:r>
            <w:r>
              <w:t xml:space="preserve"> </w:t>
            </w:r>
            <w:r w:rsidRPr="000D3A6C">
              <w:t>People</w:t>
            </w:r>
            <w:r>
              <w:t xml:space="preserve"> </w:t>
            </w:r>
            <w:r w:rsidRPr="000D3A6C">
              <w:t>with</w:t>
            </w:r>
            <w:r>
              <w:t xml:space="preserve"> </w:t>
            </w:r>
            <w:r w:rsidRPr="000D3A6C">
              <w:t>Disability</w:t>
            </w:r>
            <w:r>
              <w:t xml:space="preserve"> </w:t>
            </w:r>
            <w:r w:rsidRPr="000D3A6C">
              <w:t>(3</w:t>
            </w:r>
            <w:r>
              <w:t xml:space="preserve"> </w:t>
            </w:r>
            <w:r w:rsidRPr="000D3A6C">
              <w:t>December).</w:t>
            </w:r>
            <w:r>
              <w:t xml:space="preserve"> </w:t>
            </w:r>
            <w:r w:rsidRPr="000D3A6C">
              <w:t>Despite</w:t>
            </w:r>
            <w:r>
              <w:t xml:space="preserve"> </w:t>
            </w:r>
            <w:r w:rsidRPr="000D3A6C">
              <w:t>this</w:t>
            </w:r>
            <w:r>
              <w:t xml:space="preserve"> </w:t>
            </w:r>
            <w:r w:rsidRPr="000D3A6C">
              <w:t>being</w:t>
            </w:r>
            <w:r>
              <w:t xml:space="preserve"> </w:t>
            </w:r>
            <w:r w:rsidRPr="000D3A6C">
              <w:t>a</w:t>
            </w:r>
            <w:r>
              <w:t xml:space="preserve"> </w:t>
            </w:r>
            <w:r w:rsidRPr="000D3A6C">
              <w:t>day</w:t>
            </w:r>
            <w:r>
              <w:t xml:space="preserve"> </w:t>
            </w:r>
            <w:r w:rsidRPr="000D3A6C">
              <w:t>of</w:t>
            </w:r>
            <w:r>
              <w:t> </w:t>
            </w:r>
            <w:r w:rsidRPr="000D3A6C">
              <w:t>celebration,</w:t>
            </w:r>
            <w:r>
              <w:t xml:space="preserve"> </w:t>
            </w:r>
            <w:r w:rsidRPr="000D3A6C">
              <w:t>learning,</w:t>
            </w:r>
            <w:r>
              <w:t xml:space="preserve"> </w:t>
            </w:r>
            <w:r w:rsidRPr="000D3A6C">
              <w:t>optimism</w:t>
            </w:r>
            <w:r>
              <w:t xml:space="preserve"> </w:t>
            </w:r>
            <w:r w:rsidRPr="000D3A6C">
              <w:t>and</w:t>
            </w:r>
            <w:r>
              <w:t xml:space="preserve"> </w:t>
            </w:r>
            <w:r w:rsidRPr="000D3A6C">
              <w:t>action,</w:t>
            </w:r>
            <w:r>
              <w:t xml:space="preserve"> </w:t>
            </w:r>
            <w:r w:rsidRPr="000D3A6C">
              <w:t>it</w:t>
            </w:r>
            <w:r>
              <w:t xml:space="preserve"> </w:t>
            </w:r>
            <w:r w:rsidRPr="000D3A6C">
              <w:t>was</w:t>
            </w:r>
            <w:r>
              <w:t xml:space="preserve"> </w:t>
            </w:r>
            <w:r w:rsidRPr="000D3A6C">
              <w:t>mentioned</w:t>
            </w:r>
            <w:r>
              <w:t xml:space="preserve"> </w:t>
            </w:r>
            <w:r w:rsidRPr="000D3A6C">
              <w:t>only</w:t>
            </w:r>
            <w:r>
              <w:t xml:space="preserve"> </w:t>
            </w:r>
            <w:r w:rsidRPr="000D3A6C">
              <w:t>five</w:t>
            </w:r>
            <w:r>
              <w:t xml:space="preserve"> </w:t>
            </w:r>
            <w:r w:rsidRPr="000D3A6C">
              <w:t>times,</w:t>
            </w:r>
            <w:r>
              <w:t xml:space="preserve"> </w:t>
            </w:r>
            <w:r w:rsidRPr="000D3A6C">
              <w:t>four</w:t>
            </w:r>
            <w:r>
              <w:t xml:space="preserve"> of which </w:t>
            </w:r>
            <w:r w:rsidRPr="000D3A6C">
              <w:t>were</w:t>
            </w:r>
            <w:r>
              <w:t xml:space="preserve"> </w:t>
            </w:r>
            <w:r w:rsidRPr="000D3A6C">
              <w:t>by</w:t>
            </w:r>
            <w:r>
              <w:t xml:space="preserve"> </w:t>
            </w:r>
            <w:r w:rsidRPr="000D3A6C">
              <w:t>a</w:t>
            </w:r>
            <w:r>
              <w:t xml:space="preserve"> </w:t>
            </w:r>
            <w:r w:rsidRPr="000D3A6C">
              <w:t>single</w:t>
            </w:r>
            <w:r>
              <w:t xml:space="preserve"> </w:t>
            </w:r>
            <w:r w:rsidRPr="000D3A6C">
              <w:t>senator,</w:t>
            </w:r>
            <w:r>
              <w:t xml:space="preserve"> who did draw attention to </w:t>
            </w:r>
            <w:r w:rsidRPr="000D3A6C">
              <w:t>the</w:t>
            </w:r>
            <w:r>
              <w:t xml:space="preserve"> </w:t>
            </w:r>
            <w:r w:rsidRPr="000D3A6C">
              <w:t>disproportionate</w:t>
            </w:r>
            <w:r>
              <w:t xml:space="preserve"> </w:t>
            </w:r>
            <w:r w:rsidRPr="000D3A6C">
              <w:t>rates</w:t>
            </w:r>
            <w:r>
              <w:t xml:space="preserve"> </w:t>
            </w:r>
            <w:r w:rsidRPr="000D3A6C">
              <w:t>of</w:t>
            </w:r>
            <w:r>
              <w:t xml:space="preserve"> </w:t>
            </w:r>
            <w:r w:rsidRPr="000D3A6C">
              <w:t>violence,</w:t>
            </w:r>
            <w:r>
              <w:t xml:space="preserve"> </w:t>
            </w:r>
            <w:r w:rsidRPr="000D3A6C">
              <w:t>abuse</w:t>
            </w:r>
            <w:r>
              <w:t xml:space="preserve"> </w:t>
            </w:r>
            <w:r w:rsidRPr="000D3A6C">
              <w:t>and</w:t>
            </w:r>
            <w:r>
              <w:t xml:space="preserve"> </w:t>
            </w:r>
            <w:r w:rsidRPr="000D3A6C">
              <w:t>neglect</w:t>
            </w:r>
            <w:r>
              <w:t xml:space="preserve"> </w:t>
            </w:r>
            <w:r w:rsidRPr="000D3A6C">
              <w:t>experienced</w:t>
            </w:r>
            <w:r>
              <w:t xml:space="preserve"> </w:t>
            </w:r>
            <w:r w:rsidRPr="000D3A6C">
              <w:t>by</w:t>
            </w:r>
            <w:r>
              <w:t xml:space="preserve"> </w:t>
            </w:r>
            <w:r w:rsidRPr="000D3A6C">
              <w:t>people</w:t>
            </w:r>
            <w:r>
              <w:t xml:space="preserve"> </w:t>
            </w:r>
            <w:r w:rsidRPr="000D3A6C">
              <w:t>with</w:t>
            </w:r>
            <w:r>
              <w:t xml:space="preserve"> </w:t>
            </w:r>
            <w:r w:rsidRPr="000D3A6C">
              <w:t>disabilities.</w:t>
            </w:r>
          </w:p>
          <w:p w14:paraId="1B7B2826" w14:textId="77777777" w:rsidR="00CD4E17" w:rsidRDefault="00CD4E17" w:rsidP="00745297">
            <w:pPr>
              <w:pStyle w:val="OWTablebodyleft"/>
            </w:pPr>
            <w:r w:rsidRPr="000D3A6C">
              <w:t>Of</w:t>
            </w:r>
            <w:r>
              <w:t xml:space="preserve"> </w:t>
            </w:r>
            <w:r w:rsidRPr="000D3A6C">
              <w:t>the</w:t>
            </w:r>
            <w:r>
              <w:t xml:space="preserve"> </w:t>
            </w:r>
            <w:r w:rsidRPr="000D3A6C">
              <w:t>two</w:t>
            </w:r>
            <w:r>
              <w:t xml:space="preserve"> </w:t>
            </w:r>
            <w:r w:rsidRPr="000D3A6C">
              <w:t>mentions</w:t>
            </w:r>
            <w:r>
              <w:t xml:space="preserve"> </w:t>
            </w:r>
            <w:r w:rsidRPr="000D3A6C">
              <w:t>of</w:t>
            </w:r>
            <w:r>
              <w:t xml:space="preserve"> </w:t>
            </w:r>
            <w:r w:rsidRPr="000D3A6C">
              <w:t>trans</w:t>
            </w:r>
            <w:r>
              <w:t xml:space="preserve"> </w:t>
            </w:r>
            <w:r w:rsidRPr="000D3A6C">
              <w:t>women</w:t>
            </w:r>
            <w:r>
              <w:t xml:space="preserve"> </w:t>
            </w:r>
            <w:r w:rsidRPr="000D3A6C">
              <w:t>in</w:t>
            </w:r>
            <w:r>
              <w:t xml:space="preserve"> </w:t>
            </w:r>
            <w:r w:rsidRPr="000D3A6C">
              <w:t>2018,</w:t>
            </w:r>
            <w:r>
              <w:t xml:space="preserve"> </w:t>
            </w:r>
            <w:r w:rsidRPr="000D3A6C">
              <w:t>one</w:t>
            </w:r>
            <w:r>
              <w:t xml:space="preserve"> </w:t>
            </w:r>
            <w:r w:rsidRPr="000D3A6C">
              <w:t>of</w:t>
            </w:r>
            <w:r>
              <w:t xml:space="preserve"> </w:t>
            </w:r>
            <w:r w:rsidRPr="000D3A6C">
              <w:t>these</w:t>
            </w:r>
            <w:r>
              <w:t xml:space="preserve"> </w:t>
            </w:r>
            <w:r w:rsidRPr="000D3A6C">
              <w:t>was</w:t>
            </w:r>
            <w:r>
              <w:t xml:space="preserve"> </w:t>
            </w:r>
            <w:r w:rsidRPr="000D3A6C">
              <w:t>on</w:t>
            </w:r>
            <w:r>
              <w:t xml:space="preserve"> </w:t>
            </w:r>
            <w:r w:rsidRPr="000D3A6C">
              <w:t>Transgender</w:t>
            </w:r>
            <w:r>
              <w:t xml:space="preserve"> </w:t>
            </w:r>
            <w:r w:rsidRPr="000D3A6C">
              <w:t>Day</w:t>
            </w:r>
            <w:r>
              <w:t xml:space="preserve"> </w:t>
            </w:r>
            <w:r w:rsidRPr="000D3A6C">
              <w:t>of</w:t>
            </w:r>
            <w:r>
              <w:t xml:space="preserve"> </w:t>
            </w:r>
            <w:r w:rsidRPr="000D3A6C">
              <w:t>Remembrance</w:t>
            </w:r>
            <w:r>
              <w:t xml:space="preserve"> </w:t>
            </w:r>
            <w:r w:rsidRPr="000D3A6C">
              <w:t>(20</w:t>
            </w:r>
            <w:r>
              <w:t xml:space="preserve"> </w:t>
            </w:r>
            <w:r w:rsidRPr="000D3A6C">
              <w:t>November).</w:t>
            </w:r>
            <w:r>
              <w:t xml:space="preserve"> </w:t>
            </w:r>
            <w:r w:rsidRPr="000D3A6C">
              <w:t>There</w:t>
            </w:r>
            <w:r>
              <w:t xml:space="preserve"> </w:t>
            </w:r>
            <w:r w:rsidRPr="000D3A6C">
              <w:t>were</w:t>
            </w:r>
            <w:r>
              <w:t xml:space="preserve"> </w:t>
            </w:r>
            <w:r w:rsidRPr="000D3A6C">
              <w:t>significantly</w:t>
            </w:r>
            <w:r>
              <w:t xml:space="preserve"> </w:t>
            </w:r>
            <w:r w:rsidRPr="000D3A6C">
              <w:t>more</w:t>
            </w:r>
            <w:r>
              <w:t xml:space="preserve"> </w:t>
            </w:r>
            <w:r w:rsidRPr="000D3A6C">
              <w:t>mentions</w:t>
            </w:r>
            <w:r>
              <w:t xml:space="preserve"> </w:t>
            </w:r>
            <w:r w:rsidRPr="000D3A6C">
              <w:t>of</w:t>
            </w:r>
            <w:r>
              <w:t xml:space="preserve"> </w:t>
            </w:r>
            <w:r w:rsidRPr="000D3A6C">
              <w:t>the</w:t>
            </w:r>
            <w:r>
              <w:t xml:space="preserve"> </w:t>
            </w:r>
            <w:r w:rsidRPr="000D3A6C">
              <w:t>term</w:t>
            </w:r>
            <w:r>
              <w:t xml:space="preserve"> ‘</w:t>
            </w:r>
            <w:r w:rsidRPr="000D3A6C">
              <w:t>LGBTIQ</w:t>
            </w:r>
            <w:r>
              <w:t xml:space="preserve">’, mostly </w:t>
            </w:r>
            <w:r w:rsidRPr="000D3A6C">
              <w:t>during</w:t>
            </w:r>
            <w:r>
              <w:t xml:space="preserve"> </w:t>
            </w:r>
            <w:r w:rsidRPr="000D3A6C">
              <w:t>October</w:t>
            </w:r>
            <w:r>
              <w:t xml:space="preserve"> </w:t>
            </w:r>
            <w:r w:rsidRPr="000D3A6C">
              <w:t>and</w:t>
            </w:r>
            <w:r>
              <w:t xml:space="preserve"> </w:t>
            </w:r>
            <w:r w:rsidRPr="000D3A6C">
              <w:t>November,</w:t>
            </w:r>
            <w:r>
              <w:t xml:space="preserve"> </w:t>
            </w:r>
            <w:r w:rsidRPr="000D3A6C">
              <w:t>when</w:t>
            </w:r>
            <w:r>
              <w:t xml:space="preserve"> </w:t>
            </w:r>
            <w:r w:rsidRPr="000D3A6C">
              <w:t>specialist</w:t>
            </w:r>
            <w:r>
              <w:t xml:space="preserve"> </w:t>
            </w:r>
            <w:r w:rsidRPr="000D3A6C">
              <w:t>organisations</w:t>
            </w:r>
            <w:r>
              <w:t xml:space="preserve"> </w:t>
            </w:r>
            <w:r w:rsidRPr="000D3A6C">
              <w:t>and</w:t>
            </w:r>
            <w:r>
              <w:t xml:space="preserve"> </w:t>
            </w:r>
            <w:r w:rsidRPr="000D3A6C">
              <w:t>experts</w:t>
            </w:r>
            <w:r>
              <w:t xml:space="preserve"> </w:t>
            </w:r>
            <w:r w:rsidRPr="000D3A6C">
              <w:t>spoke</w:t>
            </w:r>
            <w:r>
              <w:t xml:space="preserve"> </w:t>
            </w:r>
            <w:r w:rsidRPr="000D3A6C">
              <w:t>at</w:t>
            </w:r>
            <w:r>
              <w:t xml:space="preserve"> </w:t>
            </w:r>
            <w:r w:rsidRPr="000D3A6C">
              <w:t>hearings</w:t>
            </w:r>
            <w:r>
              <w:t xml:space="preserve"> </w:t>
            </w:r>
            <w:r w:rsidRPr="000D3A6C">
              <w:t>and</w:t>
            </w:r>
            <w:r>
              <w:t xml:space="preserve"> </w:t>
            </w:r>
            <w:r w:rsidRPr="000D3A6C">
              <w:t>inquiries,</w:t>
            </w:r>
            <w:r>
              <w:t xml:space="preserve"> </w:t>
            </w:r>
            <w:r w:rsidRPr="000D3A6C">
              <w:t>including</w:t>
            </w:r>
            <w:r>
              <w:t xml:space="preserve"> </w:t>
            </w:r>
            <w:r w:rsidRPr="000D3A6C">
              <w:t>on</w:t>
            </w:r>
            <w:r>
              <w:t xml:space="preserve"> </w:t>
            </w:r>
            <w:r w:rsidRPr="000D3A6C">
              <w:t>constitutional</w:t>
            </w:r>
            <w:r>
              <w:t xml:space="preserve"> </w:t>
            </w:r>
            <w:r w:rsidRPr="000D3A6C">
              <w:t>recognition</w:t>
            </w:r>
            <w:r>
              <w:t xml:space="preserve"> </w:t>
            </w:r>
            <w:r w:rsidRPr="000D3A6C">
              <w:t>of</w:t>
            </w:r>
            <w:r>
              <w:t xml:space="preserve"> </w:t>
            </w:r>
            <w:r w:rsidRPr="000D3A6C">
              <w:t>Aboriginal</w:t>
            </w:r>
            <w:r>
              <w:t xml:space="preserve"> </w:t>
            </w:r>
            <w:r w:rsidRPr="000D3A6C">
              <w:t>and</w:t>
            </w:r>
            <w:r>
              <w:t xml:space="preserve"> </w:t>
            </w:r>
            <w:r w:rsidRPr="000D3A6C">
              <w:t>Torres</w:t>
            </w:r>
            <w:r>
              <w:t xml:space="preserve"> </w:t>
            </w:r>
            <w:r w:rsidRPr="000D3A6C">
              <w:t>Strait</w:t>
            </w:r>
            <w:r>
              <w:t xml:space="preserve"> </w:t>
            </w:r>
            <w:r w:rsidRPr="000D3A6C">
              <w:t>Islander</w:t>
            </w:r>
            <w:r>
              <w:t xml:space="preserve"> </w:t>
            </w:r>
            <w:r w:rsidRPr="000D3A6C">
              <w:t>people,</w:t>
            </w:r>
            <w:r>
              <w:t xml:space="preserve"> </w:t>
            </w:r>
            <w:r w:rsidRPr="000D3A6C">
              <w:t>intergenerational</w:t>
            </w:r>
            <w:r>
              <w:t xml:space="preserve"> </w:t>
            </w:r>
            <w:r w:rsidRPr="000D3A6C">
              <w:t>welfare</w:t>
            </w:r>
            <w:r>
              <w:t xml:space="preserve"> </w:t>
            </w:r>
            <w:r w:rsidRPr="000D3A6C">
              <w:t>dependence,</w:t>
            </w:r>
            <w:r>
              <w:t xml:space="preserve"> </w:t>
            </w:r>
            <w:r w:rsidRPr="000D3A6C">
              <w:t>and</w:t>
            </w:r>
            <w:r>
              <w:t xml:space="preserve"> </w:t>
            </w:r>
            <w:r w:rsidRPr="000D3A6C">
              <w:t>legislative</w:t>
            </w:r>
            <w:r>
              <w:t xml:space="preserve"> </w:t>
            </w:r>
            <w:r w:rsidRPr="000D3A6C">
              <w:t>exemptions</w:t>
            </w:r>
            <w:r>
              <w:t xml:space="preserve"> </w:t>
            </w:r>
            <w:r w:rsidRPr="000D3A6C">
              <w:t>for</w:t>
            </w:r>
            <w:r>
              <w:t xml:space="preserve"> </w:t>
            </w:r>
            <w:r w:rsidRPr="000D3A6C">
              <w:t>faith-based</w:t>
            </w:r>
            <w:r>
              <w:t xml:space="preserve"> </w:t>
            </w:r>
            <w:r w:rsidRPr="000D3A6C">
              <w:t>institutions</w:t>
            </w:r>
            <w:r>
              <w:t xml:space="preserve"> </w:t>
            </w:r>
            <w:r w:rsidRPr="000D3A6C">
              <w:t>in</w:t>
            </w:r>
            <w:r>
              <w:t xml:space="preserve"> </w:t>
            </w:r>
            <w:r w:rsidRPr="000D3A6C">
              <w:t>the</w:t>
            </w:r>
            <w:r>
              <w:t xml:space="preserve"> </w:t>
            </w:r>
            <w:r w:rsidRPr="000D3A6C">
              <w:t>context</w:t>
            </w:r>
            <w:r>
              <w:t xml:space="preserve"> </w:t>
            </w:r>
            <w:r w:rsidRPr="000D3A6C">
              <w:t>of</w:t>
            </w:r>
            <w:r>
              <w:t xml:space="preserve"> </w:t>
            </w:r>
            <w:r w:rsidRPr="000D3A6C">
              <w:t>the</w:t>
            </w:r>
            <w:r>
              <w:t xml:space="preserve"> </w:t>
            </w:r>
            <w:r w:rsidRPr="000D3A6C">
              <w:t>Religious</w:t>
            </w:r>
            <w:r>
              <w:t xml:space="preserve"> </w:t>
            </w:r>
            <w:r w:rsidRPr="000D3A6C">
              <w:t>Freedom</w:t>
            </w:r>
            <w:r>
              <w:t xml:space="preserve"> </w:t>
            </w:r>
            <w:r w:rsidRPr="000D3A6C">
              <w:t>Bills,</w:t>
            </w:r>
            <w:r>
              <w:t xml:space="preserve"> </w:t>
            </w:r>
            <w:r w:rsidRPr="000D3A6C">
              <w:t>as</w:t>
            </w:r>
            <w:r>
              <w:t xml:space="preserve"> </w:t>
            </w:r>
            <w:r w:rsidRPr="000D3A6C">
              <w:t>well</w:t>
            </w:r>
            <w:r>
              <w:t xml:space="preserve"> </w:t>
            </w:r>
            <w:r w:rsidRPr="000D3A6C">
              <w:t>as</w:t>
            </w:r>
            <w:r>
              <w:t xml:space="preserve"> in </w:t>
            </w:r>
            <w:r w:rsidRPr="000D3A6C">
              <w:t>debate</w:t>
            </w:r>
            <w:r>
              <w:t xml:space="preserve"> </w:t>
            </w:r>
            <w:r w:rsidRPr="000D3A6C">
              <w:t>on</w:t>
            </w:r>
            <w:r>
              <w:t xml:space="preserve"> </w:t>
            </w:r>
            <w:r w:rsidRPr="000D3A6C">
              <w:t>the</w:t>
            </w:r>
            <w:r>
              <w:t xml:space="preserve"> </w:t>
            </w:r>
            <w:r w:rsidRPr="000D3A6C">
              <w:t>Discrimination</w:t>
            </w:r>
            <w:r>
              <w:t xml:space="preserve"> </w:t>
            </w:r>
            <w:r w:rsidRPr="000D3A6C">
              <w:t>Free</w:t>
            </w:r>
            <w:r>
              <w:t xml:space="preserve"> </w:t>
            </w:r>
            <w:r w:rsidRPr="000D3A6C">
              <w:t>Schools</w:t>
            </w:r>
            <w:r>
              <w:t xml:space="preserve"> </w:t>
            </w:r>
            <w:r w:rsidRPr="000D3A6C">
              <w:t>Bill</w:t>
            </w:r>
            <w:r>
              <w:t xml:space="preserve"> </w:t>
            </w:r>
            <w:r w:rsidRPr="000D3A6C">
              <w:t>2018</w:t>
            </w:r>
            <w:r>
              <w:t xml:space="preserve"> </w:t>
            </w:r>
            <w:r w:rsidRPr="000D3A6C">
              <w:t>and</w:t>
            </w:r>
            <w:r>
              <w:t xml:space="preserve"> </w:t>
            </w:r>
            <w:r w:rsidRPr="000D3A6C">
              <w:t>Sex</w:t>
            </w:r>
            <w:r>
              <w:t xml:space="preserve"> </w:t>
            </w:r>
            <w:r w:rsidRPr="000D3A6C">
              <w:t>Discrimination</w:t>
            </w:r>
            <w:r>
              <w:t xml:space="preserve"> </w:t>
            </w:r>
            <w:r w:rsidRPr="000D3A6C">
              <w:t>Amendment</w:t>
            </w:r>
            <w:r>
              <w:t xml:space="preserve"> </w:t>
            </w:r>
            <w:r w:rsidRPr="000D3A6C">
              <w:t>(Removing</w:t>
            </w:r>
            <w:r>
              <w:t xml:space="preserve"> </w:t>
            </w:r>
            <w:r w:rsidRPr="000D3A6C">
              <w:t>Discrimination</w:t>
            </w:r>
            <w:r>
              <w:t xml:space="preserve"> </w:t>
            </w:r>
            <w:r w:rsidRPr="000D3A6C">
              <w:t>Against</w:t>
            </w:r>
            <w:r>
              <w:t xml:space="preserve"> </w:t>
            </w:r>
            <w:r w:rsidRPr="000D3A6C">
              <w:t>Students)</w:t>
            </w:r>
            <w:r>
              <w:t xml:space="preserve"> </w:t>
            </w:r>
            <w:r w:rsidRPr="000D3A6C">
              <w:t>Bill</w:t>
            </w:r>
            <w:r>
              <w:t xml:space="preserve"> </w:t>
            </w:r>
            <w:r w:rsidRPr="000D3A6C">
              <w:t>2018.</w:t>
            </w:r>
          </w:p>
          <w:p w14:paraId="5EBFFA9E" w14:textId="77777777" w:rsidR="00CD4E17" w:rsidRPr="00745297" w:rsidRDefault="00CD4E17" w:rsidP="00745297">
            <w:pPr>
              <w:pStyle w:val="OWTablebodyleft"/>
            </w:pPr>
            <w:r w:rsidRPr="000D3A6C">
              <w:t>Most</w:t>
            </w:r>
            <w:r>
              <w:t xml:space="preserve"> </w:t>
            </w:r>
            <w:r w:rsidRPr="000D3A6C">
              <w:t>of</w:t>
            </w:r>
            <w:r>
              <w:t xml:space="preserve"> </w:t>
            </w:r>
            <w:r w:rsidRPr="000D3A6C">
              <w:t>the</w:t>
            </w:r>
            <w:r>
              <w:t xml:space="preserve"> </w:t>
            </w:r>
            <w:r w:rsidRPr="000D3A6C">
              <w:t>mentions</w:t>
            </w:r>
            <w:r>
              <w:t xml:space="preserve"> </w:t>
            </w:r>
            <w:r w:rsidRPr="000D3A6C">
              <w:t>of</w:t>
            </w:r>
            <w:r>
              <w:t xml:space="preserve"> </w:t>
            </w:r>
            <w:r w:rsidRPr="000D3A6C">
              <w:t>migrant</w:t>
            </w:r>
            <w:r>
              <w:t xml:space="preserve"> </w:t>
            </w:r>
            <w:r w:rsidRPr="000D3A6C">
              <w:t>women</w:t>
            </w:r>
            <w:r>
              <w:t xml:space="preserve"> </w:t>
            </w:r>
            <w:r w:rsidRPr="000D3A6C">
              <w:t>(eleven)</w:t>
            </w:r>
            <w:r>
              <w:t xml:space="preserve"> </w:t>
            </w:r>
            <w:r w:rsidRPr="000D3A6C">
              <w:t>or</w:t>
            </w:r>
            <w:r>
              <w:t xml:space="preserve"> </w:t>
            </w:r>
            <w:r w:rsidRPr="000D3A6C">
              <w:t>refugee</w:t>
            </w:r>
            <w:r>
              <w:t xml:space="preserve"> </w:t>
            </w:r>
            <w:r w:rsidRPr="000D3A6C">
              <w:t>women</w:t>
            </w:r>
            <w:r>
              <w:t xml:space="preserve"> </w:t>
            </w:r>
            <w:r w:rsidRPr="000D3A6C">
              <w:t>(nine)</w:t>
            </w:r>
            <w:r>
              <w:t xml:space="preserve"> </w:t>
            </w:r>
            <w:r w:rsidRPr="000D3A6C">
              <w:t>were</w:t>
            </w:r>
            <w:r>
              <w:t xml:space="preserve"> </w:t>
            </w:r>
            <w:r w:rsidRPr="000D3A6C">
              <w:t>made</w:t>
            </w:r>
            <w:r>
              <w:t xml:space="preserve"> </w:t>
            </w:r>
            <w:r w:rsidRPr="000D3A6C">
              <w:t>by</w:t>
            </w:r>
            <w:r>
              <w:t xml:space="preserve"> </w:t>
            </w:r>
            <w:r w:rsidRPr="000D3A6C">
              <w:t>specialist</w:t>
            </w:r>
            <w:r>
              <w:t xml:space="preserve"> </w:t>
            </w:r>
            <w:r w:rsidRPr="000D3A6C">
              <w:t>organisations</w:t>
            </w:r>
            <w:r>
              <w:t xml:space="preserve"> </w:t>
            </w:r>
            <w:r w:rsidRPr="000D3A6C">
              <w:t>or</w:t>
            </w:r>
            <w:r>
              <w:t xml:space="preserve"> </w:t>
            </w:r>
            <w:r w:rsidRPr="000D3A6C">
              <w:t>experts</w:t>
            </w:r>
            <w:r>
              <w:t xml:space="preserve"> </w:t>
            </w:r>
            <w:r w:rsidRPr="000D3A6C">
              <w:t>speaking</w:t>
            </w:r>
            <w:r>
              <w:t xml:space="preserve"> </w:t>
            </w:r>
            <w:r w:rsidRPr="000D3A6C">
              <w:t>at</w:t>
            </w:r>
            <w:r>
              <w:t xml:space="preserve"> </w:t>
            </w:r>
            <w:r w:rsidRPr="000D3A6C">
              <w:t>hearings</w:t>
            </w:r>
            <w:r>
              <w:t xml:space="preserve"> </w:t>
            </w:r>
            <w:r w:rsidRPr="000D3A6C">
              <w:t>on</w:t>
            </w:r>
            <w:r>
              <w:t xml:space="preserve"> </w:t>
            </w:r>
            <w:r w:rsidRPr="000D3A6C">
              <w:t>topics</w:t>
            </w:r>
            <w:r>
              <w:t xml:space="preserve"> </w:t>
            </w:r>
            <w:r w:rsidRPr="000D3A6C">
              <w:t>including</w:t>
            </w:r>
            <w:r>
              <w:t xml:space="preserve"> </w:t>
            </w:r>
            <w:r w:rsidRPr="000D3A6C">
              <w:t>stillbirth</w:t>
            </w:r>
            <w:r>
              <w:t xml:space="preserve"> </w:t>
            </w:r>
            <w:r w:rsidRPr="000D3A6C">
              <w:t>research</w:t>
            </w:r>
            <w:r>
              <w:t xml:space="preserve"> </w:t>
            </w:r>
            <w:r w:rsidRPr="000D3A6C">
              <w:t>and</w:t>
            </w:r>
            <w:r>
              <w:t xml:space="preserve"> </w:t>
            </w:r>
            <w:r w:rsidRPr="000D3A6C">
              <w:t>education,</w:t>
            </w:r>
            <w:r>
              <w:t xml:space="preserve"> </w:t>
            </w:r>
            <w:r w:rsidRPr="000D3A6C">
              <w:t>dowry</w:t>
            </w:r>
            <w:r>
              <w:t xml:space="preserve"> </w:t>
            </w:r>
            <w:r w:rsidRPr="000D3A6C">
              <w:t>and</w:t>
            </w:r>
            <w:r>
              <w:t xml:space="preserve"> </w:t>
            </w:r>
            <w:r w:rsidRPr="000D3A6C">
              <w:t>dowry-related</w:t>
            </w:r>
            <w:r>
              <w:t xml:space="preserve"> </w:t>
            </w:r>
            <w:r w:rsidRPr="000D3A6C">
              <w:t>abuse,</w:t>
            </w:r>
            <w:r>
              <w:t xml:space="preserve"> </w:t>
            </w:r>
            <w:r w:rsidRPr="000D3A6C">
              <w:t>the</w:t>
            </w:r>
            <w:r>
              <w:t xml:space="preserve"> j</w:t>
            </w:r>
            <w:r w:rsidRPr="000D3A6C">
              <w:t>obactive</w:t>
            </w:r>
            <w:r>
              <w:t xml:space="preserve"> </w:t>
            </w:r>
            <w:r w:rsidRPr="000D3A6C">
              <w:lastRenderedPageBreak/>
              <w:t>program</w:t>
            </w:r>
            <w:r>
              <w:t xml:space="preserve"> </w:t>
            </w:r>
            <w:r w:rsidRPr="000D3A6C">
              <w:t>and</w:t>
            </w:r>
            <w:r>
              <w:t xml:space="preserve"> </w:t>
            </w:r>
            <w:r w:rsidRPr="000D3A6C">
              <w:t>the</w:t>
            </w:r>
            <w:r>
              <w:t xml:space="preserve"> </w:t>
            </w:r>
            <w:r w:rsidRPr="000D3A6C">
              <w:t>Social</w:t>
            </w:r>
            <w:r>
              <w:t xml:space="preserve"> </w:t>
            </w:r>
            <w:r w:rsidRPr="000D3A6C">
              <w:t>Services</w:t>
            </w:r>
            <w:r>
              <w:t xml:space="preserve"> </w:t>
            </w:r>
            <w:r w:rsidRPr="000D3A6C">
              <w:t>Legislation</w:t>
            </w:r>
            <w:r>
              <w:t xml:space="preserve"> </w:t>
            </w:r>
            <w:r w:rsidRPr="000D3A6C">
              <w:t>Amendment</w:t>
            </w:r>
            <w:r>
              <w:t xml:space="preserve"> </w:t>
            </w:r>
            <w:r w:rsidRPr="000D3A6C">
              <w:t>(Encouraging</w:t>
            </w:r>
            <w:r>
              <w:t xml:space="preserve"> </w:t>
            </w:r>
            <w:r w:rsidRPr="000D3A6C">
              <w:t>Self-sufficiency</w:t>
            </w:r>
            <w:r>
              <w:t xml:space="preserve"> </w:t>
            </w:r>
            <w:r w:rsidRPr="000D3A6C">
              <w:t>for</w:t>
            </w:r>
            <w:r>
              <w:t xml:space="preserve"> </w:t>
            </w:r>
            <w:r w:rsidRPr="000D3A6C">
              <w:t>Newly</w:t>
            </w:r>
            <w:r>
              <w:t xml:space="preserve"> </w:t>
            </w:r>
            <w:r w:rsidRPr="000D3A6C">
              <w:t>Arrived</w:t>
            </w:r>
            <w:r>
              <w:t xml:space="preserve"> </w:t>
            </w:r>
            <w:r w:rsidRPr="000D3A6C">
              <w:t>Migrants)</w:t>
            </w:r>
            <w:r>
              <w:t xml:space="preserve"> </w:t>
            </w:r>
            <w:r w:rsidRPr="000D3A6C">
              <w:t>Bill</w:t>
            </w:r>
            <w:r>
              <w:t xml:space="preserve"> </w:t>
            </w:r>
            <w:r w:rsidRPr="000D3A6C">
              <w:t>2018.</w:t>
            </w:r>
          </w:p>
          <w:p w14:paraId="05FE5DD0" w14:textId="77777777" w:rsidR="00CD4E17" w:rsidRDefault="00CD4E17" w:rsidP="00745297">
            <w:pPr>
              <w:pStyle w:val="OWTablebodyleft"/>
            </w:pPr>
            <w:r w:rsidRPr="000D3A6C">
              <w:t>Older</w:t>
            </w:r>
            <w:r>
              <w:t xml:space="preserve"> </w:t>
            </w:r>
            <w:r w:rsidRPr="000D3A6C">
              <w:t>women</w:t>
            </w:r>
            <w:r>
              <w:t xml:space="preserve"> </w:t>
            </w:r>
            <w:r w:rsidRPr="000D3A6C">
              <w:t>were</w:t>
            </w:r>
            <w:r>
              <w:t xml:space="preserve"> </w:t>
            </w:r>
            <w:r w:rsidRPr="000D3A6C">
              <w:t>mentioned</w:t>
            </w:r>
            <w:r>
              <w:t xml:space="preserve"> </w:t>
            </w:r>
            <w:r w:rsidRPr="000D3A6C">
              <w:t>fifty-three</w:t>
            </w:r>
            <w:r>
              <w:t xml:space="preserve"> </w:t>
            </w:r>
            <w:r w:rsidRPr="000D3A6C">
              <w:t>times.</w:t>
            </w:r>
            <w:r>
              <w:t xml:space="preserve"> </w:t>
            </w:r>
            <w:r w:rsidRPr="000D3A6C">
              <w:t>Many</w:t>
            </w:r>
            <w:r>
              <w:t xml:space="preserve"> </w:t>
            </w:r>
            <w:r w:rsidRPr="000D3A6C">
              <w:t>of</w:t>
            </w:r>
            <w:r>
              <w:t xml:space="preserve"> </w:t>
            </w:r>
            <w:r w:rsidRPr="000D3A6C">
              <w:t>these</w:t>
            </w:r>
            <w:r>
              <w:t xml:space="preserve"> </w:t>
            </w:r>
            <w:r w:rsidRPr="000D3A6C">
              <w:t>were</w:t>
            </w:r>
            <w:r>
              <w:t xml:space="preserve"> </w:t>
            </w:r>
            <w:r w:rsidRPr="000D3A6C">
              <w:t>in</w:t>
            </w:r>
            <w:r>
              <w:t xml:space="preserve"> </w:t>
            </w:r>
            <w:r w:rsidRPr="000D3A6C">
              <w:t>relation</w:t>
            </w:r>
            <w:r>
              <w:t xml:space="preserve"> </w:t>
            </w:r>
            <w:r w:rsidRPr="000D3A6C">
              <w:t>to</w:t>
            </w:r>
            <w:r>
              <w:t xml:space="preserve"> </w:t>
            </w:r>
            <w:r w:rsidRPr="000D3A6C">
              <w:t>housing</w:t>
            </w:r>
            <w:r>
              <w:t xml:space="preserve"> </w:t>
            </w:r>
            <w:r w:rsidRPr="000D3A6C">
              <w:t>and</w:t>
            </w:r>
            <w:r>
              <w:t xml:space="preserve"> </w:t>
            </w:r>
            <w:r w:rsidRPr="000D3A6C">
              <w:t>economic</w:t>
            </w:r>
            <w:r>
              <w:t xml:space="preserve"> </w:t>
            </w:r>
            <w:r w:rsidRPr="000D3A6C">
              <w:t>security.</w:t>
            </w:r>
            <w:r>
              <w:t xml:space="preserve"> </w:t>
            </w:r>
            <w:r w:rsidRPr="000D3A6C">
              <w:t>This</w:t>
            </w:r>
            <w:r>
              <w:t xml:space="preserve"> </w:t>
            </w:r>
            <w:r w:rsidRPr="000D3A6C">
              <w:t>included</w:t>
            </w:r>
            <w:r>
              <w:t xml:space="preserve"> </w:t>
            </w:r>
            <w:r w:rsidRPr="000D3A6C">
              <w:t>hearings</w:t>
            </w:r>
            <w:r>
              <w:t xml:space="preserve"> </w:t>
            </w:r>
            <w:r w:rsidRPr="000D3A6C">
              <w:t>on</w:t>
            </w:r>
            <w:r>
              <w:t xml:space="preserve"> </w:t>
            </w:r>
            <w:r w:rsidRPr="000D3A6C">
              <w:t>housing,</w:t>
            </w:r>
            <w:r>
              <w:t xml:space="preserve"> </w:t>
            </w:r>
            <w:r w:rsidRPr="000D3A6C">
              <w:t>future</w:t>
            </w:r>
            <w:r>
              <w:t xml:space="preserve"> </w:t>
            </w:r>
            <w:r w:rsidRPr="000D3A6C">
              <w:t>work</w:t>
            </w:r>
            <w:r>
              <w:t xml:space="preserve"> </w:t>
            </w:r>
            <w:r w:rsidRPr="000D3A6C">
              <w:t>and</w:t>
            </w:r>
            <w:r>
              <w:t xml:space="preserve"> </w:t>
            </w:r>
            <w:r w:rsidRPr="000D3A6C">
              <w:t>workers,</w:t>
            </w:r>
            <w:r>
              <w:t xml:space="preserve"> </w:t>
            </w:r>
            <w:r w:rsidRPr="000D3A6C">
              <w:t>quality</w:t>
            </w:r>
            <w:r>
              <w:t xml:space="preserve"> </w:t>
            </w:r>
            <w:r w:rsidRPr="000D3A6C">
              <w:t>of</w:t>
            </w:r>
            <w:r>
              <w:t xml:space="preserve"> </w:t>
            </w:r>
            <w:r w:rsidRPr="000D3A6C">
              <w:t>care</w:t>
            </w:r>
            <w:r>
              <w:t xml:space="preserve"> </w:t>
            </w:r>
            <w:r w:rsidRPr="000D3A6C">
              <w:t>in</w:t>
            </w:r>
            <w:r>
              <w:t xml:space="preserve"> </w:t>
            </w:r>
            <w:r w:rsidRPr="000D3A6C">
              <w:t>residential</w:t>
            </w:r>
            <w:r>
              <w:t xml:space="preserve"> </w:t>
            </w:r>
            <w:r w:rsidRPr="000D3A6C">
              <w:t>aged-care</w:t>
            </w:r>
            <w:r>
              <w:t xml:space="preserve"> </w:t>
            </w:r>
            <w:r w:rsidRPr="000D3A6C">
              <w:t>facilities</w:t>
            </w:r>
            <w:r>
              <w:t xml:space="preserve"> </w:t>
            </w:r>
            <w:r w:rsidRPr="000D3A6C">
              <w:t>and</w:t>
            </w:r>
            <w:r>
              <w:t xml:space="preserve"> </w:t>
            </w:r>
            <w:r w:rsidRPr="000D3A6C">
              <w:t>intergenerational</w:t>
            </w:r>
            <w:r>
              <w:t xml:space="preserve"> </w:t>
            </w:r>
            <w:r w:rsidRPr="000D3A6C">
              <w:t>welfare</w:t>
            </w:r>
            <w:r>
              <w:t xml:space="preserve"> </w:t>
            </w:r>
            <w:r w:rsidRPr="000D3A6C">
              <w:t>dependency</w:t>
            </w:r>
            <w:r>
              <w:t xml:space="preserve">, and debate on </w:t>
            </w:r>
            <w:r w:rsidRPr="000D3A6C">
              <w:t>the</w:t>
            </w:r>
            <w:r>
              <w:t xml:space="preserve"> </w:t>
            </w:r>
            <w:r w:rsidRPr="000D3A6C">
              <w:t>National</w:t>
            </w:r>
            <w:r>
              <w:t xml:space="preserve"> </w:t>
            </w:r>
            <w:r w:rsidRPr="000D3A6C">
              <w:t>Housing</w:t>
            </w:r>
            <w:r>
              <w:t xml:space="preserve"> </w:t>
            </w:r>
            <w:r w:rsidRPr="000D3A6C">
              <w:t>Finance</w:t>
            </w:r>
            <w:r>
              <w:t xml:space="preserve"> </w:t>
            </w:r>
            <w:r w:rsidRPr="000D3A6C">
              <w:t>and</w:t>
            </w:r>
            <w:r>
              <w:t xml:space="preserve"> </w:t>
            </w:r>
            <w:r w:rsidRPr="000D3A6C">
              <w:t>Investment</w:t>
            </w:r>
            <w:r>
              <w:t xml:space="preserve"> </w:t>
            </w:r>
            <w:r w:rsidRPr="000D3A6C">
              <w:t>Corporation</w:t>
            </w:r>
            <w:r>
              <w:t xml:space="preserve"> </w:t>
            </w:r>
            <w:r w:rsidRPr="000D3A6C">
              <w:t>Amendment</w:t>
            </w:r>
            <w:r>
              <w:t xml:space="preserve"> </w:t>
            </w:r>
            <w:r w:rsidRPr="000D3A6C">
              <w:t>Bill</w:t>
            </w:r>
            <w:r>
              <w:t xml:space="preserve"> </w:t>
            </w:r>
            <w:r w:rsidRPr="000D3A6C">
              <w:t>2019,</w:t>
            </w:r>
            <w:r>
              <w:t xml:space="preserve"> </w:t>
            </w:r>
            <w:r w:rsidRPr="000D3A6C">
              <w:t>which</w:t>
            </w:r>
            <w:r>
              <w:t xml:space="preserve"> </w:t>
            </w:r>
            <w:r w:rsidRPr="000D3A6C">
              <w:t>proposed</w:t>
            </w:r>
            <w:r>
              <w:t xml:space="preserve"> legislative </w:t>
            </w:r>
            <w:r w:rsidRPr="000D3A6C">
              <w:t>amendments</w:t>
            </w:r>
            <w:r>
              <w:t xml:space="preserve"> </w:t>
            </w:r>
            <w:r w:rsidRPr="000D3A6C">
              <w:t>regarding</w:t>
            </w:r>
            <w:r>
              <w:t xml:space="preserve"> </w:t>
            </w:r>
            <w:r w:rsidRPr="000D3A6C">
              <w:t>personal</w:t>
            </w:r>
            <w:r>
              <w:t xml:space="preserve"> </w:t>
            </w:r>
            <w:r w:rsidRPr="000D3A6C">
              <w:t>income</w:t>
            </w:r>
            <w:r>
              <w:t xml:space="preserve"> </w:t>
            </w:r>
            <w:r w:rsidRPr="000D3A6C">
              <w:t>tax,</w:t>
            </w:r>
            <w:r>
              <w:t xml:space="preserve"> </w:t>
            </w:r>
            <w:r w:rsidRPr="000D3A6C">
              <w:t>superannuation,</w:t>
            </w:r>
            <w:r>
              <w:t xml:space="preserve"> </w:t>
            </w:r>
            <w:r w:rsidRPr="000D3A6C">
              <w:t>national</w:t>
            </w:r>
            <w:r>
              <w:t xml:space="preserve"> </w:t>
            </w:r>
            <w:r w:rsidRPr="000D3A6C">
              <w:t>housing</w:t>
            </w:r>
            <w:r>
              <w:t xml:space="preserve"> </w:t>
            </w:r>
            <w:r w:rsidRPr="000D3A6C">
              <w:t>and</w:t>
            </w:r>
            <w:r>
              <w:t xml:space="preserve"> </w:t>
            </w:r>
            <w:r w:rsidRPr="000D3A6C">
              <w:t>the</w:t>
            </w:r>
            <w:r>
              <w:t xml:space="preserve"> </w:t>
            </w:r>
            <w:r w:rsidRPr="000D3A6C">
              <w:t>housing</w:t>
            </w:r>
            <w:r>
              <w:t xml:space="preserve"> </w:t>
            </w:r>
            <w:r w:rsidRPr="000D3A6C">
              <w:t>agreement,</w:t>
            </w:r>
            <w:r>
              <w:t xml:space="preserve"> </w:t>
            </w:r>
            <w:r w:rsidRPr="000D3A6C">
              <w:t>housing</w:t>
            </w:r>
            <w:r>
              <w:t xml:space="preserve"> </w:t>
            </w:r>
            <w:r w:rsidRPr="000D3A6C">
              <w:t>affordability</w:t>
            </w:r>
            <w:r>
              <w:t xml:space="preserve"> </w:t>
            </w:r>
            <w:r w:rsidRPr="000D3A6C">
              <w:t>and</w:t>
            </w:r>
            <w:r>
              <w:t xml:space="preserve"> </w:t>
            </w:r>
            <w:r w:rsidRPr="000D3A6C">
              <w:t>ending</w:t>
            </w:r>
            <w:r>
              <w:t xml:space="preserve"> </w:t>
            </w:r>
            <w:r w:rsidRPr="000D3A6C">
              <w:t>the</w:t>
            </w:r>
            <w:r>
              <w:t xml:space="preserve"> </w:t>
            </w:r>
            <w:r w:rsidRPr="000D3A6C">
              <w:t>poverty</w:t>
            </w:r>
            <w:r>
              <w:t xml:space="preserve"> </w:t>
            </w:r>
            <w:r w:rsidRPr="000D3A6C">
              <w:t>trap.</w:t>
            </w:r>
          </w:p>
          <w:p w14:paraId="0A61A2F2" w14:textId="728A0B89" w:rsidR="00CD4E17" w:rsidRDefault="00CD4E17" w:rsidP="00745297">
            <w:pPr>
              <w:pStyle w:val="OWTablebodyleft"/>
            </w:pPr>
            <w:r w:rsidRPr="00136C78">
              <w:t>Clear</w:t>
            </w:r>
            <w:r>
              <w:t xml:space="preserve"> </w:t>
            </w:r>
            <w:r w:rsidRPr="00136C78">
              <w:t>patterns</w:t>
            </w:r>
            <w:r>
              <w:t xml:space="preserve"> </w:t>
            </w:r>
            <w:r w:rsidRPr="00136C78">
              <w:t>emerged</w:t>
            </w:r>
            <w:r>
              <w:t xml:space="preserve"> </w:t>
            </w:r>
            <w:r w:rsidRPr="00136C78">
              <w:t>across</w:t>
            </w:r>
            <w:r>
              <w:t xml:space="preserve"> </w:t>
            </w:r>
            <w:r w:rsidRPr="00136C78">
              <w:t>the</w:t>
            </w:r>
            <w:r>
              <w:t xml:space="preserve"> </w:t>
            </w:r>
            <w:r w:rsidRPr="00136C78">
              <w:t>keyword</w:t>
            </w:r>
            <w:r>
              <w:t xml:space="preserve"> </w:t>
            </w:r>
            <w:r w:rsidRPr="00136C78">
              <w:t>mentions</w:t>
            </w:r>
            <w:r>
              <w:t xml:space="preserve">, </w:t>
            </w:r>
            <w:r w:rsidRPr="00136C78">
              <w:t>with</w:t>
            </w:r>
            <w:r>
              <w:t xml:space="preserve"> </w:t>
            </w:r>
            <w:r w:rsidRPr="00136C78">
              <w:t>certain</w:t>
            </w:r>
            <w:r>
              <w:t xml:space="preserve"> </w:t>
            </w:r>
            <w:r w:rsidRPr="00136C78">
              <w:t>parliamentarians</w:t>
            </w:r>
            <w:r>
              <w:t xml:space="preserve"> </w:t>
            </w:r>
            <w:r w:rsidRPr="00136C78">
              <w:t>featuring</w:t>
            </w:r>
            <w:r>
              <w:t xml:space="preserve"> </w:t>
            </w:r>
            <w:r w:rsidRPr="00136C78">
              <w:t>more</w:t>
            </w:r>
            <w:r>
              <w:t xml:space="preserve"> </w:t>
            </w:r>
            <w:r w:rsidRPr="00136C78">
              <w:t>than</w:t>
            </w:r>
            <w:r>
              <w:t xml:space="preserve"> </w:t>
            </w:r>
            <w:r w:rsidRPr="00136C78">
              <w:t>others.</w:t>
            </w:r>
            <w:r>
              <w:t xml:space="preserve"> </w:t>
            </w:r>
            <w:r w:rsidRPr="00136C78">
              <w:t>This</w:t>
            </w:r>
            <w:r>
              <w:t xml:space="preserve"> </w:t>
            </w:r>
            <w:r w:rsidRPr="00136C78">
              <w:t>included</w:t>
            </w:r>
            <w:r>
              <w:t xml:space="preserve"> those </w:t>
            </w:r>
            <w:r w:rsidRPr="00136C78">
              <w:t>who</w:t>
            </w:r>
            <w:r>
              <w:t xml:space="preserve"> moved </w:t>
            </w:r>
            <w:r w:rsidRPr="00136C78">
              <w:t>multiple</w:t>
            </w:r>
            <w:r>
              <w:t xml:space="preserve"> </w:t>
            </w:r>
            <w:r w:rsidRPr="00136C78">
              <w:t>motions</w:t>
            </w:r>
            <w:r>
              <w:t xml:space="preserve"> </w:t>
            </w:r>
            <w:r w:rsidRPr="00136C78">
              <w:t>on</w:t>
            </w:r>
            <w:r>
              <w:t xml:space="preserve"> </w:t>
            </w:r>
            <w:r w:rsidRPr="00136C78">
              <w:t>the</w:t>
            </w:r>
            <w:r>
              <w:t xml:space="preserve"> </w:t>
            </w:r>
            <w:r w:rsidRPr="00136C78">
              <w:t>same</w:t>
            </w:r>
            <w:r>
              <w:t xml:space="preserve"> </w:t>
            </w:r>
            <w:r w:rsidRPr="00136C78">
              <w:t>issue,</w:t>
            </w:r>
            <w:r>
              <w:t xml:space="preserve"> repeatedly urged </w:t>
            </w:r>
            <w:r w:rsidRPr="00136C78">
              <w:t>the</w:t>
            </w:r>
            <w:r>
              <w:t xml:space="preserve"> </w:t>
            </w:r>
            <w:r w:rsidRPr="00136C78">
              <w:t>government</w:t>
            </w:r>
            <w:r>
              <w:t xml:space="preserve"> </w:t>
            </w:r>
            <w:r w:rsidRPr="00136C78">
              <w:t>to</w:t>
            </w:r>
            <w:r>
              <w:t xml:space="preserve"> </w:t>
            </w:r>
            <w:r w:rsidRPr="00136C78">
              <w:t>apply</w:t>
            </w:r>
            <w:r>
              <w:t xml:space="preserve"> </w:t>
            </w:r>
            <w:r w:rsidRPr="00136C78">
              <w:t>a</w:t>
            </w:r>
            <w:r>
              <w:t xml:space="preserve"> </w:t>
            </w:r>
            <w:r w:rsidRPr="00136C78">
              <w:t>gender</w:t>
            </w:r>
            <w:r>
              <w:t xml:space="preserve"> </w:t>
            </w:r>
            <w:r w:rsidRPr="00136C78">
              <w:t>lens</w:t>
            </w:r>
            <w:r>
              <w:t xml:space="preserve"> </w:t>
            </w:r>
            <w:r w:rsidRPr="00136C78">
              <w:t>to</w:t>
            </w:r>
            <w:r>
              <w:t xml:space="preserve"> </w:t>
            </w:r>
            <w:r w:rsidRPr="00136C78">
              <w:t>policies</w:t>
            </w:r>
            <w:r>
              <w:t xml:space="preserve"> </w:t>
            </w:r>
            <w:r w:rsidRPr="00136C78">
              <w:t>or</w:t>
            </w:r>
            <w:r>
              <w:t xml:space="preserve"> </w:t>
            </w:r>
            <w:r w:rsidRPr="00136C78">
              <w:t>activities,</w:t>
            </w:r>
            <w:r>
              <w:t xml:space="preserve"> </w:t>
            </w:r>
            <w:r w:rsidRPr="00136C78">
              <w:t>and</w:t>
            </w:r>
            <w:r>
              <w:t xml:space="preserve"> </w:t>
            </w:r>
            <w:r w:rsidRPr="00136C78">
              <w:t>contribut</w:t>
            </w:r>
            <w:r>
              <w:t xml:space="preserve">ed </w:t>
            </w:r>
            <w:r w:rsidRPr="00136C78">
              <w:t>to</w:t>
            </w:r>
            <w:r>
              <w:t xml:space="preserve"> </w:t>
            </w:r>
            <w:r w:rsidRPr="00136C78">
              <w:t>debates</w:t>
            </w:r>
            <w:r>
              <w:t xml:space="preserve"> </w:t>
            </w:r>
            <w:r w:rsidRPr="00136C78">
              <w:t>on</w:t>
            </w:r>
            <w:r>
              <w:t xml:space="preserve"> </w:t>
            </w:r>
            <w:r w:rsidRPr="00136C78">
              <w:t>proposed</w:t>
            </w:r>
            <w:r>
              <w:t xml:space="preserve"> </w:t>
            </w:r>
            <w:r w:rsidRPr="00136C78">
              <w:t>Bills.</w:t>
            </w:r>
            <w:r>
              <w:t xml:space="preserve"> </w:t>
            </w:r>
            <w:r w:rsidRPr="00136C78">
              <w:t>These</w:t>
            </w:r>
            <w:r>
              <w:t xml:space="preserve"> MPs </w:t>
            </w:r>
            <w:r w:rsidRPr="00136C78">
              <w:t>tended</w:t>
            </w:r>
            <w:r>
              <w:t xml:space="preserve"> </w:t>
            </w:r>
            <w:r w:rsidRPr="00136C78">
              <w:t>to</w:t>
            </w:r>
            <w:r>
              <w:t xml:space="preserve"> </w:t>
            </w:r>
            <w:r w:rsidRPr="00136C78">
              <w:t>talk</w:t>
            </w:r>
            <w:r>
              <w:t xml:space="preserve"> </w:t>
            </w:r>
            <w:r w:rsidRPr="00136C78">
              <w:t>about</w:t>
            </w:r>
            <w:r>
              <w:t xml:space="preserve"> </w:t>
            </w:r>
            <w:r w:rsidRPr="00136C78">
              <w:t>the</w:t>
            </w:r>
            <w:r>
              <w:t xml:space="preserve"> </w:t>
            </w:r>
            <w:r w:rsidRPr="00136C78">
              <w:t>connection</w:t>
            </w:r>
            <w:r>
              <w:t xml:space="preserve"> </w:t>
            </w:r>
            <w:r w:rsidRPr="00136C78">
              <w:t>between</w:t>
            </w:r>
            <w:r>
              <w:t xml:space="preserve"> </w:t>
            </w:r>
            <w:r w:rsidRPr="00136C78">
              <w:t>‘gender</w:t>
            </w:r>
            <w:r>
              <w:t xml:space="preserve"> </w:t>
            </w:r>
            <w:r w:rsidRPr="00136C78">
              <w:t>equality’</w:t>
            </w:r>
            <w:r>
              <w:t xml:space="preserve"> </w:t>
            </w:r>
            <w:r w:rsidRPr="00136C78">
              <w:t>and</w:t>
            </w:r>
            <w:r>
              <w:t xml:space="preserve"> </w:t>
            </w:r>
            <w:r w:rsidRPr="00136C78">
              <w:t>‘violence</w:t>
            </w:r>
            <w:r>
              <w:t xml:space="preserve"> </w:t>
            </w:r>
            <w:r w:rsidRPr="00136C78">
              <w:t>against</w:t>
            </w:r>
            <w:r>
              <w:t xml:space="preserve"> </w:t>
            </w:r>
            <w:r w:rsidRPr="00136C78">
              <w:t>women’,</w:t>
            </w:r>
            <w:r>
              <w:t xml:space="preserve"> </w:t>
            </w:r>
            <w:r w:rsidRPr="00136C78">
              <w:t>and</w:t>
            </w:r>
            <w:r>
              <w:t xml:space="preserve"> </w:t>
            </w:r>
            <w:r w:rsidRPr="00136C78">
              <w:t>the</w:t>
            </w:r>
            <w:r>
              <w:t xml:space="preserve"> </w:t>
            </w:r>
            <w:r w:rsidRPr="00136C78">
              <w:t>differential</w:t>
            </w:r>
            <w:r>
              <w:t xml:space="preserve"> </w:t>
            </w:r>
            <w:r w:rsidRPr="00136C78">
              <w:t>impact</w:t>
            </w:r>
            <w:r>
              <w:t xml:space="preserve"> </w:t>
            </w:r>
            <w:r w:rsidRPr="00136C78">
              <w:t>of</w:t>
            </w:r>
            <w:r>
              <w:t xml:space="preserve"> </w:t>
            </w:r>
            <w:r w:rsidRPr="00136C78">
              <w:t>violence</w:t>
            </w:r>
            <w:r>
              <w:t xml:space="preserve"> </w:t>
            </w:r>
            <w:r w:rsidR="00B4570D">
              <w:t>among</w:t>
            </w:r>
            <w:r>
              <w:t xml:space="preserve"> </w:t>
            </w:r>
            <w:r w:rsidRPr="00136C78">
              <w:t>women.</w:t>
            </w:r>
            <w:r>
              <w:t xml:space="preserve"> </w:t>
            </w:r>
            <w:r w:rsidRPr="00136C78">
              <w:t>For</w:t>
            </w:r>
            <w:r>
              <w:t xml:space="preserve"> </w:t>
            </w:r>
            <w:r w:rsidRPr="00136C78">
              <w:t>instance,</w:t>
            </w:r>
            <w:r>
              <w:t xml:space="preserve"> </w:t>
            </w:r>
            <w:r w:rsidRPr="00136C78">
              <w:t>one</w:t>
            </w:r>
            <w:r>
              <w:t xml:space="preserve"> </w:t>
            </w:r>
            <w:r w:rsidRPr="00136C78">
              <w:t>senator</w:t>
            </w:r>
            <w:r>
              <w:t xml:space="preserve"> </w:t>
            </w:r>
            <w:r w:rsidRPr="00136C78">
              <w:t>moved</w:t>
            </w:r>
            <w:r>
              <w:t xml:space="preserve"> </w:t>
            </w:r>
            <w:r w:rsidRPr="00136C78">
              <w:t>a</w:t>
            </w:r>
            <w:r>
              <w:t xml:space="preserve"> </w:t>
            </w:r>
            <w:r w:rsidRPr="00136C78">
              <w:t>similar</w:t>
            </w:r>
            <w:r>
              <w:t xml:space="preserve"> </w:t>
            </w:r>
            <w:r w:rsidRPr="00136C78">
              <w:t>motion</w:t>
            </w:r>
            <w:r>
              <w:t xml:space="preserve"> </w:t>
            </w:r>
            <w:r w:rsidRPr="00136C78">
              <w:t>at</w:t>
            </w:r>
            <w:r>
              <w:t xml:space="preserve"> </w:t>
            </w:r>
            <w:r w:rsidRPr="00136C78">
              <w:t>each</w:t>
            </w:r>
            <w:r>
              <w:t xml:space="preserve"> </w:t>
            </w:r>
            <w:r w:rsidRPr="00136C78">
              <w:t>senate</w:t>
            </w:r>
            <w:r>
              <w:t xml:space="preserve"> </w:t>
            </w:r>
            <w:r w:rsidRPr="00136C78">
              <w:t>sitting</w:t>
            </w:r>
            <w:r>
              <w:t xml:space="preserve"> </w:t>
            </w:r>
            <w:r w:rsidRPr="00136C78">
              <w:t>over</w:t>
            </w:r>
            <w:r>
              <w:t xml:space="preserve"> </w:t>
            </w:r>
            <w:r w:rsidRPr="00136C78">
              <w:t>several</w:t>
            </w:r>
            <w:r>
              <w:t xml:space="preserve"> </w:t>
            </w:r>
            <w:r w:rsidRPr="00136C78">
              <w:t>months</w:t>
            </w:r>
            <w:r>
              <w:t xml:space="preserve"> </w:t>
            </w:r>
            <w:r w:rsidRPr="00136C78">
              <w:t>calling</w:t>
            </w:r>
            <w:r>
              <w:t xml:space="preserve"> </w:t>
            </w:r>
            <w:r w:rsidRPr="00136C78">
              <w:t>for</w:t>
            </w:r>
            <w:r>
              <w:t xml:space="preserve"> </w:t>
            </w:r>
            <w:r w:rsidRPr="00136C78">
              <w:t>domestic</w:t>
            </w:r>
            <w:r>
              <w:t xml:space="preserve"> </w:t>
            </w:r>
            <w:r w:rsidRPr="00136C78">
              <w:t>and</w:t>
            </w:r>
            <w:r>
              <w:t xml:space="preserve"> </w:t>
            </w:r>
            <w:r w:rsidRPr="00136C78">
              <w:t>family</w:t>
            </w:r>
            <w:r>
              <w:t xml:space="preserve"> </w:t>
            </w:r>
            <w:r w:rsidRPr="00136C78">
              <w:t>violence</w:t>
            </w:r>
            <w:r>
              <w:t xml:space="preserve"> </w:t>
            </w:r>
            <w:r w:rsidRPr="00136C78">
              <w:t>to</w:t>
            </w:r>
            <w:r>
              <w:t xml:space="preserve"> </w:t>
            </w:r>
            <w:r w:rsidRPr="00136C78">
              <w:t>be</w:t>
            </w:r>
            <w:r>
              <w:t xml:space="preserve"> </w:t>
            </w:r>
            <w:r w:rsidRPr="00136C78">
              <w:t>recognised</w:t>
            </w:r>
            <w:r>
              <w:t xml:space="preserve"> </w:t>
            </w:r>
            <w:r w:rsidRPr="00136C78">
              <w:t>as</w:t>
            </w:r>
            <w:r>
              <w:t xml:space="preserve"> </w:t>
            </w:r>
            <w:r w:rsidRPr="00136C78">
              <w:t>a</w:t>
            </w:r>
            <w:r>
              <w:t xml:space="preserve"> </w:t>
            </w:r>
            <w:r w:rsidRPr="00136C78">
              <w:t>national</w:t>
            </w:r>
            <w:r>
              <w:t xml:space="preserve"> </w:t>
            </w:r>
            <w:r w:rsidRPr="00136C78">
              <w:t>security</w:t>
            </w:r>
            <w:r>
              <w:t xml:space="preserve"> </w:t>
            </w:r>
            <w:r w:rsidRPr="00136C78">
              <w:t>crisis,</w:t>
            </w:r>
            <w:r>
              <w:t xml:space="preserve"> </w:t>
            </w:r>
            <w:r w:rsidRPr="00136C78">
              <w:t>not</w:t>
            </w:r>
            <w:r>
              <w:t xml:space="preserve">ing </w:t>
            </w:r>
            <w:r w:rsidRPr="00136C78">
              <w:t>the</w:t>
            </w:r>
            <w:r>
              <w:t xml:space="preserve"> </w:t>
            </w:r>
            <w:r w:rsidRPr="00136C78">
              <w:t>number</w:t>
            </w:r>
            <w:r>
              <w:t xml:space="preserve"> </w:t>
            </w:r>
            <w:r w:rsidRPr="00136C78">
              <w:t>of</w:t>
            </w:r>
            <w:r>
              <w:t xml:space="preserve"> </w:t>
            </w:r>
            <w:r w:rsidRPr="00136C78">
              <w:t>women</w:t>
            </w:r>
            <w:r>
              <w:t xml:space="preserve"> </w:t>
            </w:r>
            <w:r w:rsidRPr="00136C78">
              <w:t>who</w:t>
            </w:r>
            <w:r>
              <w:t xml:space="preserve"> </w:t>
            </w:r>
            <w:r w:rsidRPr="00136C78">
              <w:t>had</w:t>
            </w:r>
            <w:r>
              <w:t xml:space="preserve"> </w:t>
            </w:r>
            <w:r w:rsidRPr="00136C78">
              <w:t>been</w:t>
            </w:r>
            <w:r>
              <w:t xml:space="preserve"> </w:t>
            </w:r>
            <w:r w:rsidRPr="00136C78">
              <w:t>killed</w:t>
            </w:r>
            <w:r>
              <w:t xml:space="preserve"> </w:t>
            </w:r>
            <w:r w:rsidRPr="00136C78">
              <w:t>between</w:t>
            </w:r>
            <w:r>
              <w:t xml:space="preserve"> </w:t>
            </w:r>
            <w:r w:rsidRPr="00136C78">
              <w:t>each</w:t>
            </w:r>
            <w:r>
              <w:t xml:space="preserve"> </w:t>
            </w:r>
            <w:r w:rsidRPr="00136C78">
              <w:t>senate</w:t>
            </w:r>
            <w:r>
              <w:t xml:space="preserve"> </w:t>
            </w:r>
            <w:r w:rsidRPr="00136C78">
              <w:t>sitting</w:t>
            </w:r>
            <w:r>
              <w:t xml:space="preserve">, and </w:t>
            </w:r>
            <w:r w:rsidRPr="00136C78">
              <w:t>cit</w:t>
            </w:r>
            <w:r>
              <w:t xml:space="preserve">ing </w:t>
            </w:r>
            <w:r w:rsidRPr="00136C78">
              <w:t>figures</w:t>
            </w:r>
            <w:r>
              <w:t xml:space="preserve"> </w:t>
            </w:r>
            <w:r w:rsidRPr="00136C78">
              <w:t>from</w:t>
            </w:r>
            <w:r>
              <w:t xml:space="preserve"> Destroy the Joint’s </w:t>
            </w:r>
            <w:r w:rsidRPr="00136C78">
              <w:t>Counting</w:t>
            </w:r>
            <w:r>
              <w:t xml:space="preserve"> </w:t>
            </w:r>
            <w:r w:rsidRPr="00136C78">
              <w:t>Dead</w:t>
            </w:r>
            <w:r>
              <w:t xml:space="preserve"> </w:t>
            </w:r>
            <w:r w:rsidRPr="00136C78">
              <w:t>Women</w:t>
            </w:r>
            <w:r>
              <w:t xml:space="preserve"> </w:t>
            </w:r>
            <w:r w:rsidR="0095101B" w:rsidRPr="0095101B">
              <w:t>project</w:t>
            </w:r>
            <w:r>
              <w:t xml:space="preserve">, </w:t>
            </w:r>
            <w:r w:rsidRPr="00136C78">
              <w:t>a</w:t>
            </w:r>
            <w:r>
              <w:t xml:space="preserve"> </w:t>
            </w:r>
            <w:r w:rsidRPr="00136C78">
              <w:t>public</w:t>
            </w:r>
            <w:r>
              <w:t xml:space="preserve"> </w:t>
            </w:r>
            <w:r w:rsidRPr="00136C78">
              <w:t>account</w:t>
            </w:r>
            <w:r>
              <w:t xml:space="preserve"> </w:t>
            </w:r>
            <w:r w:rsidRPr="00136C78">
              <w:t>of</w:t>
            </w:r>
            <w:r>
              <w:t xml:space="preserve"> </w:t>
            </w:r>
            <w:r w:rsidRPr="00136C78">
              <w:t>women</w:t>
            </w:r>
            <w:r>
              <w:t xml:space="preserve"> </w:t>
            </w:r>
            <w:r w:rsidRPr="00136C78">
              <w:t>killed</w:t>
            </w:r>
            <w:r>
              <w:t xml:space="preserve"> </w:t>
            </w:r>
            <w:r w:rsidRPr="00136C78">
              <w:t>in</w:t>
            </w:r>
            <w:r>
              <w:t xml:space="preserve"> </w:t>
            </w:r>
            <w:r w:rsidRPr="00136C78">
              <w:t>Australia.</w:t>
            </w:r>
            <w:r>
              <w:t xml:space="preserve"> </w:t>
            </w:r>
            <w:r w:rsidRPr="00136C78">
              <w:t>Hansard</w:t>
            </w:r>
            <w:r>
              <w:t xml:space="preserve"> </w:t>
            </w:r>
            <w:r w:rsidRPr="00136C78">
              <w:t>recorded</w:t>
            </w:r>
            <w:r>
              <w:t xml:space="preserve"> </w:t>
            </w:r>
            <w:r w:rsidRPr="00136C78">
              <w:t>twelve</w:t>
            </w:r>
            <w:r>
              <w:t xml:space="preserve"> </w:t>
            </w:r>
            <w:r w:rsidRPr="00136C78">
              <w:t>mentions</w:t>
            </w:r>
            <w:r>
              <w:t xml:space="preserve"> </w:t>
            </w:r>
            <w:r w:rsidRPr="00136C78">
              <w:t>of</w:t>
            </w:r>
            <w:r>
              <w:t xml:space="preserve"> </w:t>
            </w:r>
            <w:r w:rsidRPr="00136C78">
              <w:t>this</w:t>
            </w:r>
            <w:r>
              <w:t xml:space="preserve"> </w:t>
            </w:r>
            <w:r w:rsidRPr="00136C78">
              <w:t>register</w:t>
            </w:r>
            <w:r>
              <w:t xml:space="preserve"> in 2018</w:t>
            </w:r>
            <w:r w:rsidRPr="00136C78">
              <w:t>.</w:t>
            </w:r>
          </w:p>
          <w:p w14:paraId="5EB4E219" w14:textId="77777777" w:rsidR="00CD4E17" w:rsidRDefault="00CD4E17" w:rsidP="00745297">
            <w:pPr>
              <w:pStyle w:val="OWTablebodyleft"/>
            </w:pPr>
            <w:r w:rsidRPr="00136C78">
              <w:t>Finally,</w:t>
            </w:r>
            <w:r>
              <w:t xml:space="preserve"> </w:t>
            </w:r>
            <w:r w:rsidRPr="00136C78">
              <w:t>mentions</w:t>
            </w:r>
            <w:r>
              <w:t xml:space="preserve"> </w:t>
            </w:r>
            <w:r w:rsidRPr="00136C78">
              <w:t>of</w:t>
            </w:r>
            <w:r>
              <w:t xml:space="preserve"> </w:t>
            </w:r>
            <w:r w:rsidRPr="00136C78">
              <w:t>some</w:t>
            </w:r>
            <w:r>
              <w:t xml:space="preserve"> </w:t>
            </w:r>
            <w:r w:rsidRPr="00136C78">
              <w:t>search</w:t>
            </w:r>
            <w:r>
              <w:t xml:space="preserve"> </w:t>
            </w:r>
            <w:r w:rsidRPr="00136C78">
              <w:t>terms</w:t>
            </w:r>
            <w:r>
              <w:t xml:space="preserve"> increased </w:t>
            </w:r>
            <w:r w:rsidRPr="00136C78">
              <w:t>directly</w:t>
            </w:r>
            <w:r>
              <w:t xml:space="preserve"> </w:t>
            </w:r>
            <w:r w:rsidRPr="00136C78">
              <w:t>following</w:t>
            </w:r>
            <w:r>
              <w:t xml:space="preserve"> femicides, in </w:t>
            </w:r>
            <w:r w:rsidRPr="00136C78">
              <w:t>private</w:t>
            </w:r>
            <w:r>
              <w:t xml:space="preserve"> </w:t>
            </w:r>
            <w:r w:rsidRPr="00136C78">
              <w:t>members’</w:t>
            </w:r>
            <w:r>
              <w:t xml:space="preserve"> </w:t>
            </w:r>
            <w:r w:rsidRPr="00136C78">
              <w:t>statements</w:t>
            </w:r>
            <w:r>
              <w:t xml:space="preserve"> </w:t>
            </w:r>
            <w:r w:rsidRPr="00136C78">
              <w:t>and</w:t>
            </w:r>
            <w:r>
              <w:t xml:space="preserve"> </w:t>
            </w:r>
            <w:r w:rsidRPr="00136C78">
              <w:t>grievance</w:t>
            </w:r>
            <w:r>
              <w:t xml:space="preserve"> </w:t>
            </w:r>
            <w:r w:rsidRPr="00136C78">
              <w:t>debates</w:t>
            </w:r>
            <w:r>
              <w:t xml:space="preserve">. Some </w:t>
            </w:r>
            <w:r w:rsidRPr="00136C78">
              <w:t>spoke</w:t>
            </w:r>
            <w:r>
              <w:t xml:space="preserve"> </w:t>
            </w:r>
            <w:r w:rsidRPr="00136C78">
              <w:t>of</w:t>
            </w:r>
            <w:r>
              <w:t xml:space="preserve"> </w:t>
            </w:r>
            <w:r w:rsidRPr="00136C78">
              <w:t>other</w:t>
            </w:r>
            <w:r>
              <w:t xml:space="preserve"> femicides </w:t>
            </w:r>
            <w:r w:rsidRPr="00136C78">
              <w:t>that</w:t>
            </w:r>
            <w:r>
              <w:t xml:space="preserve"> </w:t>
            </w:r>
            <w:r w:rsidRPr="00136C78">
              <w:t>had</w:t>
            </w:r>
            <w:r>
              <w:t xml:space="preserve"> </w:t>
            </w:r>
            <w:r w:rsidRPr="00136C78">
              <w:t>not</w:t>
            </w:r>
            <w:r>
              <w:t xml:space="preserve"> </w:t>
            </w:r>
            <w:r w:rsidRPr="00136C78">
              <w:t>received</w:t>
            </w:r>
            <w:r>
              <w:t xml:space="preserve"> </w:t>
            </w:r>
            <w:r w:rsidRPr="00136C78">
              <w:t>the</w:t>
            </w:r>
            <w:r>
              <w:t xml:space="preserve"> </w:t>
            </w:r>
            <w:r w:rsidRPr="00136C78">
              <w:t>same</w:t>
            </w:r>
            <w:r>
              <w:t xml:space="preserve"> </w:t>
            </w:r>
            <w:r w:rsidRPr="00136C78">
              <w:t>level</w:t>
            </w:r>
            <w:r>
              <w:t xml:space="preserve"> </w:t>
            </w:r>
            <w:r w:rsidRPr="00136C78">
              <w:t>of</w:t>
            </w:r>
            <w:r>
              <w:t xml:space="preserve"> </w:t>
            </w:r>
            <w:r w:rsidRPr="00136C78">
              <w:t>public/media</w:t>
            </w:r>
            <w:r>
              <w:t xml:space="preserve"> </w:t>
            </w:r>
            <w:r w:rsidRPr="00136C78">
              <w:t>attention</w:t>
            </w:r>
            <w:r>
              <w:t xml:space="preserve">, suggesting </w:t>
            </w:r>
            <w:r w:rsidRPr="00136C78">
              <w:t>a</w:t>
            </w:r>
            <w:r>
              <w:t xml:space="preserve"> </w:t>
            </w:r>
            <w:r w:rsidRPr="00136C78">
              <w:t>growing</w:t>
            </w:r>
            <w:r>
              <w:t xml:space="preserve"> </w:t>
            </w:r>
            <w:r w:rsidRPr="00136C78">
              <w:t>awareness</w:t>
            </w:r>
            <w:r>
              <w:t xml:space="preserve"> </w:t>
            </w:r>
            <w:r w:rsidRPr="00136C78">
              <w:t>of</w:t>
            </w:r>
            <w:r>
              <w:t xml:space="preserve"> </w:t>
            </w:r>
            <w:r w:rsidRPr="00136C78">
              <w:t>the</w:t>
            </w:r>
            <w:r>
              <w:t xml:space="preserve"> </w:t>
            </w:r>
            <w:r w:rsidRPr="00136C78">
              <w:t>ways</w:t>
            </w:r>
            <w:r>
              <w:t xml:space="preserve"> </w:t>
            </w:r>
            <w:r w:rsidRPr="00136C78">
              <w:t>in</w:t>
            </w:r>
            <w:r>
              <w:t xml:space="preserve"> </w:t>
            </w:r>
            <w:r w:rsidRPr="00136C78">
              <w:t>which</w:t>
            </w:r>
            <w:r>
              <w:t xml:space="preserve"> </w:t>
            </w:r>
            <w:r w:rsidRPr="00136C78">
              <w:t>racism</w:t>
            </w:r>
            <w:r>
              <w:t xml:space="preserve"> </w:t>
            </w:r>
            <w:r w:rsidRPr="00136C78">
              <w:t>and</w:t>
            </w:r>
            <w:r>
              <w:t xml:space="preserve"> </w:t>
            </w:r>
            <w:r w:rsidRPr="00136C78">
              <w:t>other</w:t>
            </w:r>
            <w:r>
              <w:t xml:space="preserve"> </w:t>
            </w:r>
            <w:r w:rsidRPr="00136C78">
              <w:t>kinds</w:t>
            </w:r>
            <w:r>
              <w:t xml:space="preserve"> </w:t>
            </w:r>
            <w:r w:rsidRPr="00136C78">
              <w:t>of</w:t>
            </w:r>
            <w:r>
              <w:t xml:space="preserve"> </w:t>
            </w:r>
            <w:r w:rsidRPr="00136C78">
              <w:t>bias</w:t>
            </w:r>
            <w:r>
              <w:t xml:space="preserve"> </w:t>
            </w:r>
            <w:r w:rsidRPr="00136C78">
              <w:t>can</w:t>
            </w:r>
            <w:r>
              <w:t xml:space="preserve"> </w:t>
            </w:r>
            <w:r w:rsidRPr="00136C78">
              <w:t>influence</w:t>
            </w:r>
            <w:r>
              <w:t xml:space="preserve"> </w:t>
            </w:r>
            <w:r w:rsidRPr="00136C78">
              <w:t>media</w:t>
            </w:r>
            <w:r>
              <w:t xml:space="preserve"> </w:t>
            </w:r>
            <w:r w:rsidRPr="00136C78">
              <w:t>reporting</w:t>
            </w:r>
            <w:r>
              <w:t xml:space="preserve"> </w:t>
            </w:r>
            <w:r w:rsidRPr="00136C78">
              <w:t>of</w:t>
            </w:r>
            <w:r>
              <w:t xml:space="preserve"> </w:t>
            </w:r>
            <w:r w:rsidRPr="00136C78">
              <w:t>violence</w:t>
            </w:r>
            <w:r>
              <w:t xml:space="preserve"> </w:t>
            </w:r>
            <w:r w:rsidRPr="00136C78">
              <w:t>against</w:t>
            </w:r>
            <w:r>
              <w:t xml:space="preserve"> </w:t>
            </w:r>
            <w:r w:rsidRPr="00136C78">
              <w:t>women.</w:t>
            </w:r>
            <w:r>
              <w:t xml:space="preserve"> </w:t>
            </w:r>
            <w:r w:rsidRPr="00136C78">
              <w:t>This</w:t>
            </w:r>
            <w:r>
              <w:t xml:space="preserve"> may be a response to growing calls </w:t>
            </w:r>
            <w:r w:rsidRPr="00136C78">
              <w:t>from</w:t>
            </w:r>
            <w:r>
              <w:t xml:space="preserve"> </w:t>
            </w:r>
            <w:r w:rsidRPr="00136C78">
              <w:t>civil</w:t>
            </w:r>
            <w:r>
              <w:t xml:space="preserve"> </w:t>
            </w:r>
            <w:r w:rsidRPr="00136C78">
              <w:t>society</w:t>
            </w:r>
            <w:r>
              <w:t xml:space="preserve"> for more </w:t>
            </w:r>
            <w:r w:rsidRPr="00136C78">
              <w:t>accountability</w:t>
            </w:r>
            <w:r>
              <w:t xml:space="preserve"> </w:t>
            </w:r>
            <w:r w:rsidRPr="00136C78">
              <w:t>in</w:t>
            </w:r>
            <w:r>
              <w:t xml:space="preserve"> </w:t>
            </w:r>
            <w:r w:rsidRPr="00136C78">
              <w:t>how</w:t>
            </w:r>
            <w:r>
              <w:t xml:space="preserve"> </w:t>
            </w:r>
            <w:r w:rsidRPr="00136C78">
              <w:t>violence</w:t>
            </w:r>
            <w:r>
              <w:t xml:space="preserve"> </w:t>
            </w:r>
            <w:r w:rsidRPr="00136C78">
              <w:t>against</w:t>
            </w:r>
            <w:r>
              <w:t xml:space="preserve"> </w:t>
            </w:r>
            <w:r w:rsidRPr="00136C78">
              <w:t>women</w:t>
            </w:r>
            <w:r>
              <w:t xml:space="preserve"> </w:t>
            </w:r>
            <w:r w:rsidRPr="00136C78">
              <w:t>is</w:t>
            </w:r>
            <w:r>
              <w:t xml:space="preserve"> </w:t>
            </w:r>
            <w:r w:rsidRPr="00136C78">
              <w:t>reported</w:t>
            </w:r>
            <w:r>
              <w:t>.</w:t>
            </w:r>
          </w:p>
          <w:p w14:paraId="5C52BE29" w14:textId="77777777" w:rsidR="00CD4E17" w:rsidRDefault="00CD4E17" w:rsidP="00745297">
            <w:pPr>
              <w:pStyle w:val="OWTablebodyleft"/>
            </w:pPr>
            <w:r w:rsidRPr="00136C78">
              <w:t>In</w:t>
            </w:r>
            <w:r>
              <w:t xml:space="preserve"> </w:t>
            </w:r>
            <w:r w:rsidRPr="00136C78">
              <w:t>the</w:t>
            </w:r>
            <w:r>
              <w:t xml:space="preserve"> </w:t>
            </w:r>
            <w:r w:rsidRPr="00136C78">
              <w:t>future,</w:t>
            </w:r>
            <w:r>
              <w:t xml:space="preserve"> </w:t>
            </w:r>
            <w:r w:rsidRPr="00136C78">
              <w:t>a</w:t>
            </w:r>
            <w:r>
              <w:t xml:space="preserve"> </w:t>
            </w:r>
            <w:r w:rsidRPr="00136C78">
              <w:t>similar</w:t>
            </w:r>
            <w:r>
              <w:t xml:space="preserve"> </w:t>
            </w:r>
            <w:r w:rsidRPr="00136C78">
              <w:t>case</w:t>
            </w:r>
            <w:r>
              <w:t xml:space="preserve"> </w:t>
            </w:r>
            <w:r w:rsidRPr="00136C78">
              <w:t>study</w:t>
            </w:r>
            <w:r>
              <w:t xml:space="preserve"> </w:t>
            </w:r>
            <w:r w:rsidRPr="00136C78">
              <w:t>might</w:t>
            </w:r>
            <w:r>
              <w:t xml:space="preserve"> </w:t>
            </w:r>
            <w:r w:rsidRPr="00136C78">
              <w:t>hope</w:t>
            </w:r>
            <w:r>
              <w:t xml:space="preserve"> </w:t>
            </w:r>
            <w:r w:rsidRPr="00136C78">
              <w:t>to</w:t>
            </w:r>
            <w:r>
              <w:t xml:space="preserve"> </w:t>
            </w:r>
            <w:r w:rsidRPr="00136C78">
              <w:t>see</w:t>
            </w:r>
            <w:r>
              <w:t xml:space="preserve"> </w:t>
            </w:r>
            <w:r w:rsidRPr="00136C78">
              <w:t>progress</w:t>
            </w:r>
            <w:r>
              <w:t xml:space="preserve"> </w:t>
            </w:r>
            <w:r w:rsidRPr="00136C78">
              <w:t>in</w:t>
            </w:r>
            <w:r>
              <w:t xml:space="preserve"> the following </w:t>
            </w:r>
            <w:r w:rsidRPr="00136C78">
              <w:t>areas:</w:t>
            </w:r>
          </w:p>
          <w:p w14:paraId="6D560601" w14:textId="77777777" w:rsidR="00CD4E17" w:rsidRPr="00136C78" w:rsidRDefault="00CD4E17" w:rsidP="00430EF6">
            <w:pPr>
              <w:pStyle w:val="OWTablebullet1"/>
              <w:spacing w:after="80"/>
              <w:ind w:left="284" w:hanging="284"/>
              <w:rPr>
                <w:lang w:eastAsia="en-GB"/>
              </w:rPr>
            </w:pPr>
            <w:r w:rsidRPr="00136C78">
              <w:rPr>
                <w:lang w:val="en-US" w:eastAsia="en-GB"/>
              </w:rPr>
              <w:t>Greater</w:t>
            </w:r>
            <w:r>
              <w:rPr>
                <w:lang w:val="en-US" w:eastAsia="en-GB"/>
              </w:rPr>
              <w:t xml:space="preserve"> </w:t>
            </w:r>
            <w:r w:rsidRPr="00136C78">
              <w:rPr>
                <w:lang w:val="en-US" w:eastAsia="en-GB"/>
              </w:rPr>
              <w:t>observance</w:t>
            </w:r>
            <w:r>
              <w:rPr>
                <w:lang w:val="en-US" w:eastAsia="en-GB"/>
              </w:rPr>
              <w:t xml:space="preserve"> </w:t>
            </w:r>
            <w:r w:rsidRPr="00136C78">
              <w:rPr>
                <w:lang w:val="en-US" w:eastAsia="en-GB"/>
              </w:rPr>
              <w:t>of</w:t>
            </w:r>
            <w:r>
              <w:rPr>
                <w:lang w:val="en-US" w:eastAsia="en-GB"/>
              </w:rPr>
              <w:t xml:space="preserve"> </w:t>
            </w:r>
            <w:r w:rsidRPr="00136C78">
              <w:rPr>
                <w:lang w:val="en-US" w:eastAsia="en-GB"/>
              </w:rPr>
              <w:t>days</w:t>
            </w:r>
            <w:r>
              <w:rPr>
                <w:lang w:val="en-US" w:eastAsia="en-GB"/>
              </w:rPr>
              <w:t xml:space="preserve"> </w:t>
            </w:r>
            <w:r w:rsidRPr="00136C78">
              <w:rPr>
                <w:lang w:val="en-US" w:eastAsia="en-GB"/>
              </w:rPr>
              <w:t>such</w:t>
            </w:r>
            <w:r>
              <w:rPr>
                <w:lang w:val="en-US" w:eastAsia="en-GB"/>
              </w:rPr>
              <w:t xml:space="preserve"> </w:t>
            </w:r>
            <w:r w:rsidRPr="00136C78">
              <w:rPr>
                <w:lang w:val="en-US" w:eastAsia="en-GB"/>
              </w:rPr>
              <w:t>as</w:t>
            </w:r>
            <w:r>
              <w:rPr>
                <w:lang w:val="en-US" w:eastAsia="en-GB"/>
              </w:rPr>
              <w:t xml:space="preserve"> </w:t>
            </w:r>
            <w:r w:rsidRPr="00136C78">
              <w:rPr>
                <w:lang w:val="en-US" w:eastAsia="en-GB"/>
              </w:rPr>
              <w:t>Ochre</w:t>
            </w:r>
            <w:r>
              <w:rPr>
                <w:lang w:val="en-US" w:eastAsia="en-GB"/>
              </w:rPr>
              <w:t xml:space="preserve"> </w:t>
            </w:r>
            <w:r w:rsidRPr="00136C78">
              <w:rPr>
                <w:lang w:val="en-US" w:eastAsia="en-GB"/>
              </w:rPr>
              <w:t>Ribbon</w:t>
            </w:r>
            <w:r>
              <w:rPr>
                <w:lang w:val="en-US" w:eastAsia="en-GB"/>
              </w:rPr>
              <w:t xml:space="preserve"> </w:t>
            </w:r>
            <w:r w:rsidRPr="00136C78">
              <w:rPr>
                <w:lang w:val="en-US" w:eastAsia="en-GB"/>
              </w:rPr>
              <w:t>Week,</w:t>
            </w:r>
            <w:r>
              <w:rPr>
                <w:lang w:val="en-US" w:eastAsia="en-GB"/>
              </w:rPr>
              <w:t xml:space="preserve"> </w:t>
            </w:r>
            <w:r w:rsidRPr="00136C78">
              <w:rPr>
                <w:lang w:val="en-US" w:eastAsia="en-GB"/>
              </w:rPr>
              <w:t>International</w:t>
            </w:r>
            <w:r>
              <w:rPr>
                <w:lang w:val="en-US" w:eastAsia="en-GB"/>
              </w:rPr>
              <w:t xml:space="preserve"> </w:t>
            </w:r>
            <w:r w:rsidRPr="00136C78">
              <w:rPr>
                <w:lang w:val="en-US" w:eastAsia="en-GB"/>
              </w:rPr>
              <w:t>Day</w:t>
            </w:r>
            <w:r>
              <w:rPr>
                <w:lang w:val="en-US" w:eastAsia="en-GB"/>
              </w:rPr>
              <w:t xml:space="preserve"> </w:t>
            </w:r>
            <w:r w:rsidRPr="00136C78">
              <w:rPr>
                <w:lang w:val="en-US" w:eastAsia="en-GB"/>
              </w:rPr>
              <w:t>for</w:t>
            </w:r>
            <w:r>
              <w:rPr>
                <w:lang w:val="en-US" w:eastAsia="en-GB"/>
              </w:rPr>
              <w:t xml:space="preserve"> </w:t>
            </w:r>
            <w:r w:rsidRPr="00136C78">
              <w:rPr>
                <w:lang w:val="en-US" w:eastAsia="en-GB"/>
              </w:rPr>
              <w:t>the</w:t>
            </w:r>
            <w:r>
              <w:rPr>
                <w:lang w:val="en-US" w:eastAsia="en-GB"/>
              </w:rPr>
              <w:t xml:space="preserve"> </w:t>
            </w:r>
            <w:r w:rsidRPr="00136C78">
              <w:rPr>
                <w:lang w:val="en-US" w:eastAsia="en-GB"/>
              </w:rPr>
              <w:t>Elimination</w:t>
            </w:r>
            <w:r>
              <w:rPr>
                <w:lang w:val="en-US" w:eastAsia="en-GB"/>
              </w:rPr>
              <w:t xml:space="preserve"> </w:t>
            </w:r>
            <w:r w:rsidRPr="00136C78">
              <w:rPr>
                <w:lang w:val="en-US" w:eastAsia="en-GB"/>
              </w:rPr>
              <w:t>of</w:t>
            </w:r>
            <w:r>
              <w:rPr>
                <w:lang w:val="en-US" w:eastAsia="en-GB"/>
              </w:rPr>
              <w:t xml:space="preserve"> </w:t>
            </w:r>
            <w:r w:rsidRPr="00136C78">
              <w:rPr>
                <w:lang w:val="en-US" w:eastAsia="en-GB"/>
              </w:rPr>
              <w:t>Racial</w:t>
            </w:r>
            <w:r>
              <w:rPr>
                <w:lang w:val="en-US" w:eastAsia="en-GB"/>
              </w:rPr>
              <w:t xml:space="preserve"> </w:t>
            </w:r>
            <w:r w:rsidRPr="00136C78">
              <w:rPr>
                <w:lang w:val="en-US" w:eastAsia="en-GB"/>
              </w:rPr>
              <w:t>Discrimination,</w:t>
            </w:r>
            <w:r>
              <w:rPr>
                <w:lang w:val="en-US" w:eastAsia="en-GB"/>
              </w:rPr>
              <w:t xml:space="preserve"> </w:t>
            </w:r>
            <w:r w:rsidRPr="00136C78">
              <w:rPr>
                <w:lang w:val="en-US" w:eastAsia="en-GB"/>
              </w:rPr>
              <w:t>Human</w:t>
            </w:r>
            <w:r>
              <w:rPr>
                <w:lang w:val="en-US" w:eastAsia="en-GB"/>
              </w:rPr>
              <w:t xml:space="preserve"> </w:t>
            </w:r>
            <w:r w:rsidRPr="00136C78">
              <w:rPr>
                <w:lang w:val="en-US" w:eastAsia="en-GB"/>
              </w:rPr>
              <w:t>Rights</w:t>
            </w:r>
            <w:r>
              <w:rPr>
                <w:lang w:val="en-US" w:eastAsia="en-GB"/>
              </w:rPr>
              <w:t xml:space="preserve"> </w:t>
            </w:r>
            <w:r w:rsidRPr="00136C78">
              <w:rPr>
                <w:lang w:val="en-US" w:eastAsia="en-GB"/>
              </w:rPr>
              <w:t>Day</w:t>
            </w:r>
            <w:r>
              <w:rPr>
                <w:lang w:val="en-US" w:eastAsia="en-GB"/>
              </w:rPr>
              <w:t xml:space="preserve">, </w:t>
            </w:r>
            <w:r w:rsidRPr="00136C78">
              <w:rPr>
                <w:lang w:val="en-US" w:eastAsia="en-GB"/>
              </w:rPr>
              <w:t>Transgender</w:t>
            </w:r>
            <w:r>
              <w:rPr>
                <w:lang w:val="en-US" w:eastAsia="en-GB"/>
              </w:rPr>
              <w:t xml:space="preserve"> </w:t>
            </w:r>
            <w:r w:rsidRPr="00136C78">
              <w:rPr>
                <w:lang w:val="en-US" w:eastAsia="en-GB"/>
              </w:rPr>
              <w:t>Day</w:t>
            </w:r>
            <w:r>
              <w:rPr>
                <w:lang w:val="en-US" w:eastAsia="en-GB"/>
              </w:rPr>
              <w:t xml:space="preserve"> </w:t>
            </w:r>
            <w:r w:rsidRPr="00136C78">
              <w:rPr>
                <w:lang w:val="en-US" w:eastAsia="en-GB"/>
              </w:rPr>
              <w:t>of</w:t>
            </w:r>
            <w:r>
              <w:rPr>
                <w:lang w:val="en-US" w:eastAsia="en-GB"/>
              </w:rPr>
              <w:t xml:space="preserve"> </w:t>
            </w:r>
            <w:r w:rsidRPr="00136C78">
              <w:rPr>
                <w:lang w:val="en-US" w:eastAsia="en-GB"/>
              </w:rPr>
              <w:t>Remembrance,</w:t>
            </w:r>
            <w:r>
              <w:rPr>
                <w:lang w:val="en-US" w:eastAsia="en-GB"/>
              </w:rPr>
              <w:t xml:space="preserve"> </w:t>
            </w:r>
            <w:r w:rsidRPr="00136C78">
              <w:rPr>
                <w:lang w:val="en-US" w:eastAsia="en-GB"/>
              </w:rPr>
              <w:t>International</w:t>
            </w:r>
            <w:r>
              <w:rPr>
                <w:lang w:val="en-US" w:eastAsia="en-GB"/>
              </w:rPr>
              <w:t xml:space="preserve"> </w:t>
            </w:r>
            <w:r w:rsidRPr="00136C78">
              <w:rPr>
                <w:lang w:val="en-US" w:eastAsia="en-GB"/>
              </w:rPr>
              <w:t>Day</w:t>
            </w:r>
            <w:r>
              <w:rPr>
                <w:lang w:val="en-US" w:eastAsia="en-GB"/>
              </w:rPr>
              <w:t xml:space="preserve"> </w:t>
            </w:r>
            <w:r w:rsidRPr="00136C78">
              <w:rPr>
                <w:lang w:val="en-US" w:eastAsia="en-GB"/>
              </w:rPr>
              <w:t>Against</w:t>
            </w:r>
            <w:r>
              <w:rPr>
                <w:lang w:val="en-US" w:eastAsia="en-GB"/>
              </w:rPr>
              <w:t xml:space="preserve"> </w:t>
            </w:r>
            <w:r w:rsidRPr="00136C78">
              <w:rPr>
                <w:lang w:val="en-US" w:eastAsia="en-GB"/>
              </w:rPr>
              <w:t>Homophobia,</w:t>
            </w:r>
            <w:r>
              <w:rPr>
                <w:lang w:val="en-US" w:eastAsia="en-GB"/>
              </w:rPr>
              <w:t xml:space="preserve"> </w:t>
            </w:r>
            <w:r w:rsidRPr="00136C78">
              <w:rPr>
                <w:lang w:val="en-US" w:eastAsia="en-GB"/>
              </w:rPr>
              <w:t>Transphobia</w:t>
            </w:r>
            <w:r>
              <w:rPr>
                <w:lang w:val="en-US" w:eastAsia="en-GB"/>
              </w:rPr>
              <w:t xml:space="preserve"> </w:t>
            </w:r>
            <w:r w:rsidRPr="00136C78">
              <w:rPr>
                <w:lang w:val="en-US" w:eastAsia="en-GB"/>
              </w:rPr>
              <w:t>and</w:t>
            </w:r>
            <w:r>
              <w:rPr>
                <w:lang w:val="en-US" w:eastAsia="en-GB"/>
              </w:rPr>
              <w:t xml:space="preserve"> </w:t>
            </w:r>
            <w:r w:rsidRPr="00136C78">
              <w:rPr>
                <w:lang w:val="en-US" w:eastAsia="en-GB"/>
              </w:rPr>
              <w:t>Biphobia,</w:t>
            </w:r>
            <w:r>
              <w:rPr>
                <w:lang w:val="en-US" w:eastAsia="en-GB"/>
              </w:rPr>
              <w:t xml:space="preserve"> </w:t>
            </w:r>
            <w:r w:rsidRPr="00136C78">
              <w:rPr>
                <w:lang w:val="en-US" w:eastAsia="en-GB"/>
              </w:rPr>
              <w:t>and</w:t>
            </w:r>
            <w:r>
              <w:rPr>
                <w:lang w:val="en-US" w:eastAsia="en-GB"/>
              </w:rPr>
              <w:t xml:space="preserve"> </w:t>
            </w:r>
            <w:r w:rsidRPr="00136C78">
              <w:rPr>
                <w:lang w:val="en-US" w:eastAsia="en-GB"/>
              </w:rPr>
              <w:t>International</w:t>
            </w:r>
            <w:r>
              <w:rPr>
                <w:lang w:val="en-US" w:eastAsia="en-GB"/>
              </w:rPr>
              <w:t xml:space="preserve"> </w:t>
            </w:r>
            <w:r w:rsidRPr="00136C78">
              <w:rPr>
                <w:lang w:val="en-US" w:eastAsia="en-GB"/>
              </w:rPr>
              <w:t>Day</w:t>
            </w:r>
            <w:r>
              <w:rPr>
                <w:lang w:val="en-US" w:eastAsia="en-GB"/>
              </w:rPr>
              <w:t xml:space="preserve"> </w:t>
            </w:r>
            <w:r w:rsidRPr="00136C78">
              <w:rPr>
                <w:lang w:val="en-US" w:eastAsia="en-GB"/>
              </w:rPr>
              <w:t>of</w:t>
            </w:r>
            <w:r>
              <w:rPr>
                <w:lang w:val="en-US" w:eastAsia="en-GB"/>
              </w:rPr>
              <w:t xml:space="preserve"> People </w:t>
            </w:r>
            <w:r w:rsidRPr="00136C78">
              <w:rPr>
                <w:lang w:val="en-US" w:eastAsia="en-GB"/>
              </w:rPr>
              <w:t>with</w:t>
            </w:r>
            <w:r>
              <w:rPr>
                <w:lang w:val="en-US" w:eastAsia="en-GB"/>
              </w:rPr>
              <w:t xml:space="preserve"> Disability</w:t>
            </w:r>
            <w:r w:rsidRPr="00136C78">
              <w:rPr>
                <w:lang w:val="en-US" w:eastAsia="en-GB"/>
              </w:rPr>
              <w:t>,</w:t>
            </w:r>
            <w:r>
              <w:rPr>
                <w:lang w:val="en-US" w:eastAsia="en-GB"/>
              </w:rPr>
              <w:t xml:space="preserve"> </w:t>
            </w:r>
            <w:r w:rsidRPr="00136C78">
              <w:rPr>
                <w:lang w:val="en-US" w:eastAsia="en-GB"/>
              </w:rPr>
              <w:t>including</w:t>
            </w:r>
            <w:r>
              <w:rPr>
                <w:lang w:val="en-US" w:eastAsia="en-GB"/>
              </w:rPr>
              <w:t xml:space="preserve"> </w:t>
            </w:r>
            <w:r w:rsidRPr="00136C78">
              <w:rPr>
                <w:lang w:val="en-US" w:eastAsia="en-GB"/>
              </w:rPr>
              <w:t>commitments</w:t>
            </w:r>
            <w:r>
              <w:rPr>
                <w:lang w:val="en-US" w:eastAsia="en-GB"/>
              </w:rPr>
              <w:t xml:space="preserve"> </w:t>
            </w:r>
            <w:r w:rsidRPr="00136C78">
              <w:rPr>
                <w:lang w:val="en-US" w:eastAsia="en-GB"/>
              </w:rPr>
              <w:t>towards</w:t>
            </w:r>
            <w:r>
              <w:rPr>
                <w:lang w:val="en-US" w:eastAsia="en-GB"/>
              </w:rPr>
              <w:t xml:space="preserve"> </w:t>
            </w:r>
            <w:r w:rsidRPr="00136C78">
              <w:rPr>
                <w:lang w:val="en-US" w:eastAsia="en-GB"/>
              </w:rPr>
              <w:t>ending</w:t>
            </w:r>
            <w:r>
              <w:rPr>
                <w:lang w:val="en-US" w:eastAsia="en-GB"/>
              </w:rPr>
              <w:t xml:space="preserve"> </w:t>
            </w:r>
            <w:r w:rsidRPr="00136C78">
              <w:rPr>
                <w:lang w:val="en-US" w:eastAsia="en-GB"/>
              </w:rPr>
              <w:t>all</w:t>
            </w:r>
            <w:r>
              <w:rPr>
                <w:lang w:val="en-US" w:eastAsia="en-GB"/>
              </w:rPr>
              <w:t xml:space="preserve"> </w:t>
            </w:r>
            <w:r w:rsidRPr="00136C78">
              <w:rPr>
                <w:lang w:val="en-US" w:eastAsia="en-GB"/>
              </w:rPr>
              <w:t>forms</w:t>
            </w:r>
            <w:r>
              <w:rPr>
                <w:lang w:val="en-US" w:eastAsia="en-GB"/>
              </w:rPr>
              <w:t xml:space="preserve"> </w:t>
            </w:r>
            <w:r w:rsidRPr="00136C78">
              <w:rPr>
                <w:lang w:val="en-US" w:eastAsia="en-GB"/>
              </w:rPr>
              <w:t>of</w:t>
            </w:r>
            <w:r>
              <w:rPr>
                <w:lang w:val="en-US" w:eastAsia="en-GB"/>
              </w:rPr>
              <w:t xml:space="preserve"> </w:t>
            </w:r>
            <w:r w:rsidRPr="00136C78">
              <w:rPr>
                <w:lang w:val="en-US" w:eastAsia="en-GB"/>
              </w:rPr>
              <w:t>discrimination</w:t>
            </w:r>
            <w:r>
              <w:rPr>
                <w:lang w:val="en-US" w:eastAsia="en-GB"/>
              </w:rPr>
              <w:t xml:space="preserve"> </w:t>
            </w:r>
            <w:r w:rsidRPr="00136C78">
              <w:rPr>
                <w:lang w:val="en-US" w:eastAsia="en-GB"/>
              </w:rPr>
              <w:t>and</w:t>
            </w:r>
            <w:r>
              <w:rPr>
                <w:lang w:val="en-US" w:eastAsia="en-GB"/>
              </w:rPr>
              <w:t xml:space="preserve"> </w:t>
            </w:r>
            <w:r w:rsidRPr="00136C78">
              <w:rPr>
                <w:lang w:val="en-US" w:eastAsia="en-GB"/>
              </w:rPr>
              <w:t>violence</w:t>
            </w:r>
            <w:r>
              <w:rPr>
                <w:lang w:val="en-US" w:eastAsia="en-GB"/>
              </w:rPr>
              <w:t>.</w:t>
            </w:r>
          </w:p>
          <w:p w14:paraId="18314FC6" w14:textId="77777777" w:rsidR="00CD4E17" w:rsidRPr="00136C78" w:rsidRDefault="00CD4E17" w:rsidP="00430EF6">
            <w:pPr>
              <w:pStyle w:val="OWTablebullet1"/>
              <w:spacing w:after="80"/>
              <w:ind w:left="284" w:hanging="284"/>
              <w:rPr>
                <w:lang w:eastAsia="en-GB"/>
              </w:rPr>
            </w:pPr>
            <w:r>
              <w:rPr>
                <w:lang w:val="en-US" w:eastAsia="en-GB"/>
              </w:rPr>
              <w:t xml:space="preserve">More frequent </w:t>
            </w:r>
            <w:r w:rsidRPr="00136C78">
              <w:rPr>
                <w:lang w:val="en-US" w:eastAsia="en-GB"/>
              </w:rPr>
              <w:t>mention</w:t>
            </w:r>
            <w:r>
              <w:rPr>
                <w:lang w:val="en-US" w:eastAsia="en-GB"/>
              </w:rPr>
              <w:t xml:space="preserve">s </w:t>
            </w:r>
            <w:r w:rsidRPr="00136C78">
              <w:rPr>
                <w:lang w:val="en-US" w:eastAsia="en-GB"/>
              </w:rPr>
              <w:t>of</w:t>
            </w:r>
            <w:r>
              <w:rPr>
                <w:lang w:val="en-US" w:eastAsia="en-GB"/>
              </w:rPr>
              <w:t xml:space="preserve"> </w:t>
            </w:r>
            <w:r w:rsidRPr="00136C78">
              <w:rPr>
                <w:lang w:val="en-US" w:eastAsia="en-GB"/>
              </w:rPr>
              <w:t>violence</w:t>
            </w:r>
            <w:r>
              <w:rPr>
                <w:lang w:val="en-US" w:eastAsia="en-GB"/>
              </w:rPr>
              <w:t xml:space="preserve"> </w:t>
            </w:r>
            <w:r w:rsidRPr="00136C78">
              <w:rPr>
                <w:lang w:val="en-US" w:eastAsia="en-GB"/>
              </w:rPr>
              <w:t>against</w:t>
            </w:r>
            <w:r>
              <w:rPr>
                <w:lang w:val="en-US" w:eastAsia="en-GB"/>
              </w:rPr>
              <w:t xml:space="preserve"> </w:t>
            </w:r>
            <w:r w:rsidRPr="00136C78">
              <w:rPr>
                <w:lang w:val="en-US" w:eastAsia="en-GB"/>
              </w:rPr>
              <w:t>women</w:t>
            </w:r>
            <w:r>
              <w:rPr>
                <w:lang w:val="en-US" w:eastAsia="en-GB"/>
              </w:rPr>
              <w:t xml:space="preserve"> </w:t>
            </w:r>
            <w:r w:rsidRPr="00136C78">
              <w:rPr>
                <w:lang w:val="en-US" w:eastAsia="en-GB"/>
              </w:rPr>
              <w:t>beyond</w:t>
            </w:r>
            <w:r>
              <w:rPr>
                <w:lang w:val="en-US" w:eastAsia="en-GB"/>
              </w:rPr>
              <w:t xml:space="preserve"> </w:t>
            </w:r>
            <w:r w:rsidRPr="00136C78">
              <w:rPr>
                <w:lang w:val="en-US" w:eastAsia="en-GB"/>
              </w:rPr>
              <w:t>observance</w:t>
            </w:r>
            <w:r>
              <w:rPr>
                <w:lang w:val="en-US" w:eastAsia="en-GB"/>
              </w:rPr>
              <w:t xml:space="preserve"> </w:t>
            </w:r>
            <w:r w:rsidRPr="00136C78">
              <w:rPr>
                <w:lang w:val="en-US" w:eastAsia="en-GB"/>
              </w:rPr>
              <w:t>days</w:t>
            </w:r>
            <w:r>
              <w:rPr>
                <w:lang w:val="en-US" w:eastAsia="en-GB"/>
              </w:rPr>
              <w:t xml:space="preserve">, </w:t>
            </w:r>
            <w:r w:rsidRPr="00136C78">
              <w:rPr>
                <w:lang w:val="en-US" w:eastAsia="en-GB"/>
              </w:rPr>
              <w:t>showing</w:t>
            </w:r>
            <w:r>
              <w:rPr>
                <w:lang w:val="en-US" w:eastAsia="en-GB"/>
              </w:rPr>
              <w:t xml:space="preserve"> </w:t>
            </w:r>
            <w:r w:rsidRPr="00136C78">
              <w:rPr>
                <w:lang w:val="en-US" w:eastAsia="en-GB"/>
              </w:rPr>
              <w:t>more</w:t>
            </w:r>
            <w:r>
              <w:rPr>
                <w:lang w:val="en-US" w:eastAsia="en-GB"/>
              </w:rPr>
              <w:t xml:space="preserve"> </w:t>
            </w:r>
            <w:r w:rsidRPr="00136C78">
              <w:rPr>
                <w:lang w:val="en-US" w:eastAsia="en-GB"/>
              </w:rPr>
              <w:t>sustained</w:t>
            </w:r>
            <w:r>
              <w:rPr>
                <w:lang w:val="en-US" w:eastAsia="en-GB"/>
              </w:rPr>
              <w:t xml:space="preserve"> </w:t>
            </w:r>
            <w:r w:rsidRPr="00136C78">
              <w:rPr>
                <w:lang w:val="en-US" w:eastAsia="en-GB"/>
              </w:rPr>
              <w:t>attention</w:t>
            </w:r>
            <w:r>
              <w:rPr>
                <w:lang w:val="en-US" w:eastAsia="en-GB"/>
              </w:rPr>
              <w:t xml:space="preserve"> </w:t>
            </w:r>
            <w:r w:rsidRPr="00136C78">
              <w:rPr>
                <w:lang w:val="en-US" w:eastAsia="en-GB"/>
              </w:rPr>
              <w:t>to</w:t>
            </w:r>
            <w:r>
              <w:rPr>
                <w:lang w:val="en-US" w:eastAsia="en-GB"/>
              </w:rPr>
              <w:t xml:space="preserve"> </w:t>
            </w:r>
            <w:r w:rsidRPr="00136C78">
              <w:rPr>
                <w:lang w:val="en-US" w:eastAsia="en-GB"/>
              </w:rPr>
              <w:t>the</w:t>
            </w:r>
            <w:r>
              <w:rPr>
                <w:lang w:val="en-US" w:eastAsia="en-GB"/>
              </w:rPr>
              <w:t xml:space="preserve"> </w:t>
            </w:r>
            <w:r w:rsidRPr="00136C78">
              <w:rPr>
                <w:lang w:val="en-US" w:eastAsia="en-GB"/>
              </w:rPr>
              <w:t>issue</w:t>
            </w:r>
            <w:r>
              <w:rPr>
                <w:lang w:val="en-US" w:eastAsia="en-GB"/>
              </w:rPr>
              <w:t>.</w:t>
            </w:r>
          </w:p>
          <w:p w14:paraId="36CE18B3" w14:textId="77777777" w:rsidR="00CD4E17" w:rsidRDefault="00CD4E17" w:rsidP="00430EF6">
            <w:pPr>
              <w:pStyle w:val="OWTablebullet1"/>
              <w:spacing w:after="80"/>
              <w:ind w:left="284" w:hanging="284"/>
              <w:rPr>
                <w:lang w:eastAsia="en-GB"/>
              </w:rPr>
            </w:pPr>
            <w:r w:rsidRPr="00136C78">
              <w:rPr>
                <w:lang w:val="en-US" w:eastAsia="en-GB"/>
              </w:rPr>
              <w:t>More</w:t>
            </w:r>
            <w:r>
              <w:rPr>
                <w:lang w:val="en-US" w:eastAsia="en-GB"/>
              </w:rPr>
              <w:t xml:space="preserve"> </w:t>
            </w:r>
            <w:r w:rsidRPr="00136C78">
              <w:rPr>
                <w:lang w:val="en-US" w:eastAsia="en-GB"/>
              </w:rPr>
              <w:t>parliamentarians</w:t>
            </w:r>
            <w:r>
              <w:rPr>
                <w:lang w:val="en-US" w:eastAsia="en-GB"/>
              </w:rPr>
              <w:t xml:space="preserve"> </w:t>
            </w:r>
            <w:r w:rsidRPr="00136C78">
              <w:rPr>
                <w:lang w:val="en-US" w:eastAsia="en-GB"/>
              </w:rPr>
              <w:t>across</w:t>
            </w:r>
            <w:r>
              <w:rPr>
                <w:lang w:val="en-US" w:eastAsia="en-GB"/>
              </w:rPr>
              <w:t xml:space="preserve"> </w:t>
            </w:r>
            <w:r w:rsidRPr="00136C78">
              <w:rPr>
                <w:lang w:val="en-US" w:eastAsia="en-GB"/>
              </w:rPr>
              <w:t>the</w:t>
            </w:r>
            <w:r>
              <w:rPr>
                <w:lang w:val="en-US" w:eastAsia="en-GB"/>
              </w:rPr>
              <w:t xml:space="preserve"> </w:t>
            </w:r>
            <w:r w:rsidRPr="00136C78">
              <w:rPr>
                <w:lang w:val="en-US" w:eastAsia="en-GB"/>
              </w:rPr>
              <w:t>political</w:t>
            </w:r>
            <w:r>
              <w:rPr>
                <w:lang w:val="en-US" w:eastAsia="en-GB"/>
              </w:rPr>
              <w:t xml:space="preserve"> </w:t>
            </w:r>
            <w:r w:rsidRPr="00136C78">
              <w:rPr>
                <w:lang w:val="en-US" w:eastAsia="en-GB"/>
              </w:rPr>
              <w:t>spectrum</w:t>
            </w:r>
            <w:r>
              <w:rPr>
                <w:lang w:val="en-US" w:eastAsia="en-GB"/>
              </w:rPr>
              <w:t xml:space="preserve"> </w:t>
            </w:r>
            <w:r w:rsidRPr="00136C78">
              <w:rPr>
                <w:lang w:val="en-US" w:eastAsia="en-GB"/>
              </w:rPr>
              <w:t>in</w:t>
            </w:r>
            <w:r>
              <w:rPr>
                <w:lang w:val="en-US" w:eastAsia="en-GB"/>
              </w:rPr>
              <w:t xml:space="preserve"> </w:t>
            </w:r>
            <w:r w:rsidRPr="00136C78">
              <w:rPr>
                <w:lang w:val="en-US" w:eastAsia="en-GB"/>
              </w:rPr>
              <w:t>both</w:t>
            </w:r>
            <w:r>
              <w:rPr>
                <w:lang w:val="en-US" w:eastAsia="en-GB"/>
              </w:rPr>
              <w:t xml:space="preserve"> </w:t>
            </w:r>
            <w:r w:rsidRPr="00136C78">
              <w:rPr>
                <w:lang w:val="en-US" w:eastAsia="en-GB"/>
              </w:rPr>
              <w:t>houses</w:t>
            </w:r>
            <w:r>
              <w:rPr>
                <w:lang w:val="en-US" w:eastAsia="en-GB"/>
              </w:rPr>
              <w:t xml:space="preserve"> </w:t>
            </w:r>
            <w:r w:rsidRPr="00136C78">
              <w:rPr>
                <w:lang w:val="en-US" w:eastAsia="en-GB"/>
              </w:rPr>
              <w:t>engaging</w:t>
            </w:r>
            <w:r>
              <w:rPr>
                <w:lang w:val="en-US" w:eastAsia="en-GB"/>
              </w:rPr>
              <w:t xml:space="preserve"> </w:t>
            </w:r>
            <w:r w:rsidRPr="00136C78">
              <w:rPr>
                <w:lang w:val="en-US" w:eastAsia="en-GB"/>
              </w:rPr>
              <w:t>in</w:t>
            </w:r>
            <w:r>
              <w:rPr>
                <w:lang w:val="en-US" w:eastAsia="en-GB"/>
              </w:rPr>
              <w:t> </w:t>
            </w:r>
            <w:r w:rsidRPr="00136C78">
              <w:rPr>
                <w:lang w:val="en-US" w:eastAsia="en-GB"/>
              </w:rPr>
              <w:t>this</w:t>
            </w:r>
            <w:r>
              <w:rPr>
                <w:lang w:val="en-US" w:eastAsia="en-GB"/>
              </w:rPr>
              <w:t xml:space="preserve"> </w:t>
            </w:r>
            <w:r w:rsidRPr="00136C78">
              <w:rPr>
                <w:lang w:val="en-US" w:eastAsia="en-GB"/>
              </w:rPr>
              <w:t>conversation</w:t>
            </w:r>
            <w:r>
              <w:rPr>
                <w:lang w:val="en-US" w:eastAsia="en-GB"/>
              </w:rPr>
              <w:t>.</w:t>
            </w:r>
          </w:p>
          <w:p w14:paraId="1B966698" w14:textId="77777777" w:rsidR="00CD4E17" w:rsidRPr="00136C78" w:rsidRDefault="00CD4E17" w:rsidP="00430EF6">
            <w:pPr>
              <w:pStyle w:val="OWTablebullet1"/>
              <w:spacing w:after="80"/>
              <w:ind w:left="284" w:hanging="284"/>
              <w:rPr>
                <w:lang w:eastAsia="en-GB"/>
              </w:rPr>
            </w:pPr>
            <w:r w:rsidRPr="00136C78">
              <w:rPr>
                <w:lang w:val="en-US" w:eastAsia="en-GB"/>
              </w:rPr>
              <w:t>A</w:t>
            </w:r>
            <w:r>
              <w:rPr>
                <w:lang w:val="en-US" w:eastAsia="en-GB"/>
              </w:rPr>
              <w:t xml:space="preserve"> </w:t>
            </w:r>
            <w:r w:rsidRPr="00136C78">
              <w:rPr>
                <w:lang w:val="en-US" w:eastAsia="en-GB"/>
              </w:rPr>
              <w:t>greater</w:t>
            </w:r>
            <w:r>
              <w:rPr>
                <w:lang w:val="en-US" w:eastAsia="en-GB"/>
              </w:rPr>
              <w:t xml:space="preserve"> </w:t>
            </w:r>
            <w:r w:rsidRPr="00136C78">
              <w:rPr>
                <w:lang w:val="en-US" w:eastAsia="en-GB"/>
              </w:rPr>
              <w:t>focus</w:t>
            </w:r>
            <w:r>
              <w:rPr>
                <w:lang w:val="en-US" w:eastAsia="en-GB"/>
              </w:rPr>
              <w:t xml:space="preserve"> </w:t>
            </w:r>
            <w:r w:rsidRPr="00136C78">
              <w:rPr>
                <w:lang w:val="en-US" w:eastAsia="en-GB"/>
              </w:rPr>
              <w:t>on</w:t>
            </w:r>
            <w:r>
              <w:rPr>
                <w:lang w:val="en-US" w:eastAsia="en-GB"/>
              </w:rPr>
              <w:t xml:space="preserve"> </w:t>
            </w:r>
            <w:r w:rsidRPr="00136C78">
              <w:rPr>
                <w:lang w:val="en-US" w:eastAsia="en-GB"/>
              </w:rPr>
              <w:t>systemic</w:t>
            </w:r>
            <w:r>
              <w:rPr>
                <w:lang w:val="en-US" w:eastAsia="en-GB"/>
              </w:rPr>
              <w:t xml:space="preserve"> </w:t>
            </w:r>
            <w:r w:rsidRPr="00136C78">
              <w:rPr>
                <w:lang w:val="en-US" w:eastAsia="en-GB"/>
              </w:rPr>
              <w:t>reform</w:t>
            </w:r>
            <w:r>
              <w:rPr>
                <w:lang w:val="en-US" w:eastAsia="en-GB"/>
              </w:rPr>
              <w:t xml:space="preserve"> </w:t>
            </w:r>
            <w:r w:rsidRPr="00F36F62">
              <w:rPr>
                <w:lang w:val="en-US" w:eastAsia="en-GB"/>
              </w:rPr>
              <w:t>across</w:t>
            </w:r>
            <w:r>
              <w:rPr>
                <w:lang w:val="en-US" w:eastAsia="en-GB"/>
              </w:rPr>
              <w:t xml:space="preserve"> </w:t>
            </w:r>
            <w:r w:rsidRPr="00F36F62">
              <w:rPr>
                <w:lang w:val="en-US" w:eastAsia="en-GB"/>
              </w:rPr>
              <w:t>a</w:t>
            </w:r>
            <w:r>
              <w:rPr>
                <w:lang w:val="en-US" w:eastAsia="en-GB"/>
              </w:rPr>
              <w:t xml:space="preserve"> </w:t>
            </w:r>
            <w:r w:rsidRPr="00F36F62">
              <w:rPr>
                <w:lang w:val="en-US" w:eastAsia="en-GB"/>
              </w:rPr>
              <w:t>broad</w:t>
            </w:r>
            <w:r>
              <w:rPr>
                <w:lang w:val="en-US" w:eastAsia="en-GB"/>
              </w:rPr>
              <w:t xml:space="preserve"> </w:t>
            </w:r>
            <w:r w:rsidRPr="00F36F62">
              <w:rPr>
                <w:lang w:val="en-US" w:eastAsia="en-GB"/>
              </w:rPr>
              <w:t>range</w:t>
            </w:r>
            <w:r>
              <w:rPr>
                <w:lang w:val="en-US" w:eastAsia="en-GB"/>
              </w:rPr>
              <w:t xml:space="preserve"> </w:t>
            </w:r>
            <w:r w:rsidRPr="00F36F62">
              <w:rPr>
                <w:lang w:val="en-US" w:eastAsia="en-GB"/>
              </w:rPr>
              <w:t>of</w:t>
            </w:r>
            <w:r>
              <w:rPr>
                <w:lang w:val="en-US" w:eastAsia="en-GB"/>
              </w:rPr>
              <w:t xml:space="preserve"> </w:t>
            </w:r>
            <w:r w:rsidRPr="00F36F62">
              <w:rPr>
                <w:lang w:val="en-US" w:eastAsia="en-GB"/>
              </w:rPr>
              <w:t>legislation</w:t>
            </w:r>
            <w:r>
              <w:rPr>
                <w:lang w:val="en-US" w:eastAsia="en-GB"/>
              </w:rPr>
              <w:t xml:space="preserve"> </w:t>
            </w:r>
            <w:r w:rsidRPr="00F36F62">
              <w:rPr>
                <w:lang w:val="en-US" w:eastAsia="en-GB"/>
              </w:rPr>
              <w:t>and</w:t>
            </w:r>
            <w:r>
              <w:rPr>
                <w:lang w:val="en-US" w:eastAsia="en-GB"/>
              </w:rPr>
              <w:t xml:space="preserve"> </w:t>
            </w:r>
            <w:r w:rsidRPr="00F36F62">
              <w:rPr>
                <w:lang w:val="en-US" w:eastAsia="en-GB"/>
              </w:rPr>
              <w:t>policy</w:t>
            </w:r>
            <w:r>
              <w:rPr>
                <w:lang w:val="en-US" w:eastAsia="en-GB"/>
              </w:rPr>
              <w:t xml:space="preserve"> </w:t>
            </w:r>
            <w:r w:rsidRPr="00136C78">
              <w:rPr>
                <w:lang w:val="en-US" w:eastAsia="en-GB"/>
              </w:rPr>
              <w:t>to</w:t>
            </w:r>
            <w:r>
              <w:rPr>
                <w:lang w:val="en-US" w:eastAsia="en-GB"/>
              </w:rPr>
              <w:t xml:space="preserve"> </w:t>
            </w:r>
            <w:r w:rsidRPr="00136C78">
              <w:rPr>
                <w:lang w:val="en-US" w:eastAsia="en-GB"/>
              </w:rPr>
              <w:t>address</w:t>
            </w:r>
            <w:r>
              <w:rPr>
                <w:lang w:val="en-US" w:eastAsia="en-GB"/>
              </w:rPr>
              <w:t xml:space="preserve"> </w:t>
            </w:r>
            <w:r w:rsidRPr="00136C78">
              <w:rPr>
                <w:lang w:val="en-US" w:eastAsia="en-GB"/>
              </w:rPr>
              <w:t>intersecting</w:t>
            </w:r>
            <w:r>
              <w:rPr>
                <w:lang w:val="en-US" w:eastAsia="en-GB"/>
              </w:rPr>
              <w:t xml:space="preserve"> </w:t>
            </w:r>
            <w:r w:rsidRPr="00136C78">
              <w:rPr>
                <w:lang w:val="en-US" w:eastAsia="en-GB"/>
              </w:rPr>
              <w:t>forms</w:t>
            </w:r>
            <w:r>
              <w:rPr>
                <w:lang w:val="en-US" w:eastAsia="en-GB"/>
              </w:rPr>
              <w:t xml:space="preserve"> </w:t>
            </w:r>
            <w:r w:rsidRPr="00136C78">
              <w:rPr>
                <w:lang w:val="en-US" w:eastAsia="en-GB"/>
              </w:rPr>
              <w:t>of</w:t>
            </w:r>
            <w:r>
              <w:rPr>
                <w:lang w:val="en-US" w:eastAsia="en-GB"/>
              </w:rPr>
              <w:t xml:space="preserve"> </w:t>
            </w:r>
            <w:r w:rsidRPr="00136C78">
              <w:rPr>
                <w:lang w:val="en-US" w:eastAsia="en-GB"/>
              </w:rPr>
              <w:t>discrimination</w:t>
            </w:r>
            <w:r>
              <w:rPr>
                <w:lang w:val="en-US" w:eastAsia="en-GB"/>
              </w:rPr>
              <w:t xml:space="preserve"> </w:t>
            </w:r>
            <w:r w:rsidRPr="00136C78">
              <w:rPr>
                <w:lang w:val="en-US" w:eastAsia="en-GB"/>
              </w:rPr>
              <w:t>affecting</w:t>
            </w:r>
            <w:r>
              <w:rPr>
                <w:lang w:val="en-US" w:eastAsia="en-GB"/>
              </w:rPr>
              <w:t xml:space="preserve"> </w:t>
            </w:r>
            <w:r w:rsidRPr="00136C78">
              <w:rPr>
                <w:lang w:val="en-US" w:eastAsia="en-GB"/>
              </w:rPr>
              <w:t>women</w:t>
            </w:r>
            <w:r>
              <w:rPr>
                <w:lang w:val="en-US" w:eastAsia="en-GB"/>
              </w:rPr>
              <w:t>.</w:t>
            </w:r>
          </w:p>
          <w:p w14:paraId="74AD7FA0" w14:textId="73EA8758" w:rsidR="00CD4E17" w:rsidRPr="00384786" w:rsidRDefault="00CD4E17" w:rsidP="00430EF6">
            <w:pPr>
              <w:pStyle w:val="OWTablebullet1"/>
            </w:pPr>
            <w:r w:rsidRPr="00136C78">
              <w:rPr>
                <w:lang w:val="en-US" w:eastAsia="en-GB"/>
              </w:rPr>
              <w:t>Continuing</w:t>
            </w:r>
            <w:r>
              <w:rPr>
                <w:lang w:val="en-US" w:eastAsia="en-GB"/>
              </w:rPr>
              <w:t xml:space="preserve"> </w:t>
            </w:r>
            <w:r w:rsidRPr="00136C78">
              <w:rPr>
                <w:lang w:val="en-US" w:eastAsia="en-GB"/>
              </w:rPr>
              <w:t>and</w:t>
            </w:r>
            <w:r>
              <w:rPr>
                <w:lang w:val="en-US" w:eastAsia="en-GB"/>
              </w:rPr>
              <w:t xml:space="preserve"> </w:t>
            </w:r>
            <w:r w:rsidRPr="00136C78">
              <w:rPr>
                <w:lang w:val="en-US" w:eastAsia="en-GB"/>
              </w:rPr>
              <w:t>increasing</w:t>
            </w:r>
            <w:r>
              <w:rPr>
                <w:lang w:val="en-US" w:eastAsia="en-GB"/>
              </w:rPr>
              <w:t xml:space="preserve"> </w:t>
            </w:r>
            <w:r w:rsidRPr="00136C78">
              <w:rPr>
                <w:lang w:val="en-US" w:eastAsia="en-GB"/>
              </w:rPr>
              <w:t>opportunities</w:t>
            </w:r>
            <w:r>
              <w:rPr>
                <w:lang w:val="en-US" w:eastAsia="en-GB"/>
              </w:rPr>
              <w:t xml:space="preserve"> </w:t>
            </w:r>
            <w:r w:rsidRPr="00136C78">
              <w:rPr>
                <w:lang w:val="en-US" w:eastAsia="en-GB"/>
              </w:rPr>
              <w:t>for</w:t>
            </w:r>
            <w:r>
              <w:rPr>
                <w:lang w:val="en-US" w:eastAsia="en-GB"/>
              </w:rPr>
              <w:t xml:space="preserve"> </w:t>
            </w:r>
            <w:r w:rsidRPr="00136C78">
              <w:rPr>
                <w:lang w:val="en-US" w:eastAsia="en-GB"/>
              </w:rPr>
              <w:t>civil</w:t>
            </w:r>
            <w:r>
              <w:rPr>
                <w:lang w:val="en-US" w:eastAsia="en-GB"/>
              </w:rPr>
              <w:t xml:space="preserve"> </w:t>
            </w:r>
            <w:r w:rsidRPr="00136C78">
              <w:rPr>
                <w:lang w:val="en-US" w:eastAsia="en-GB"/>
              </w:rPr>
              <w:t>society</w:t>
            </w:r>
            <w:r>
              <w:rPr>
                <w:lang w:val="en-US" w:eastAsia="en-GB"/>
              </w:rPr>
              <w:t xml:space="preserve"> </w:t>
            </w:r>
            <w:r w:rsidRPr="00136C78">
              <w:rPr>
                <w:lang w:val="en-US" w:eastAsia="en-GB"/>
              </w:rPr>
              <w:t>organisations</w:t>
            </w:r>
            <w:r>
              <w:rPr>
                <w:lang w:val="en-US" w:eastAsia="en-GB"/>
              </w:rPr>
              <w:t xml:space="preserve"> </w:t>
            </w:r>
            <w:r w:rsidRPr="00136C78">
              <w:rPr>
                <w:lang w:val="en-US" w:eastAsia="en-GB"/>
              </w:rPr>
              <w:t>and</w:t>
            </w:r>
            <w:r>
              <w:rPr>
                <w:lang w:val="en-US" w:eastAsia="en-GB"/>
              </w:rPr>
              <w:t xml:space="preserve"> </w:t>
            </w:r>
            <w:r w:rsidRPr="00136C78">
              <w:rPr>
                <w:lang w:val="en-US" w:eastAsia="en-GB"/>
              </w:rPr>
              <w:t>experts</w:t>
            </w:r>
            <w:r>
              <w:rPr>
                <w:lang w:val="en-US" w:eastAsia="en-GB"/>
              </w:rPr>
              <w:t xml:space="preserve"> </w:t>
            </w:r>
            <w:r w:rsidRPr="00136C78">
              <w:rPr>
                <w:lang w:val="en-US" w:eastAsia="en-GB"/>
              </w:rPr>
              <w:t>to</w:t>
            </w:r>
            <w:r>
              <w:rPr>
                <w:lang w:val="en-US" w:eastAsia="en-GB"/>
              </w:rPr>
              <w:t xml:space="preserve"> </w:t>
            </w:r>
            <w:r w:rsidRPr="00136C78">
              <w:rPr>
                <w:lang w:val="en-US" w:eastAsia="en-GB"/>
              </w:rPr>
              <w:t>contribute</w:t>
            </w:r>
            <w:r>
              <w:rPr>
                <w:lang w:val="en-US" w:eastAsia="en-GB"/>
              </w:rPr>
              <w:t xml:space="preserve"> </w:t>
            </w:r>
            <w:r w:rsidRPr="00136C78">
              <w:rPr>
                <w:lang w:val="en-US" w:eastAsia="en-GB"/>
              </w:rPr>
              <w:t>expertise</w:t>
            </w:r>
            <w:r>
              <w:rPr>
                <w:lang w:val="en-US" w:eastAsia="en-GB"/>
              </w:rPr>
              <w:t xml:space="preserve"> </w:t>
            </w:r>
            <w:r w:rsidRPr="00136C78">
              <w:rPr>
                <w:lang w:val="en-US" w:eastAsia="en-GB"/>
              </w:rPr>
              <w:t>to</w:t>
            </w:r>
            <w:r>
              <w:rPr>
                <w:lang w:val="en-US" w:eastAsia="en-GB"/>
              </w:rPr>
              <w:t xml:space="preserve"> </w:t>
            </w:r>
            <w:r w:rsidRPr="00136C78">
              <w:rPr>
                <w:lang w:val="en-US" w:eastAsia="en-GB"/>
              </w:rPr>
              <w:t>legislative</w:t>
            </w:r>
            <w:r>
              <w:rPr>
                <w:lang w:val="en-US" w:eastAsia="en-GB"/>
              </w:rPr>
              <w:t xml:space="preserve"> </w:t>
            </w:r>
            <w:r w:rsidRPr="00136C78">
              <w:rPr>
                <w:lang w:val="en-US" w:eastAsia="en-GB"/>
              </w:rPr>
              <w:t>and</w:t>
            </w:r>
            <w:r>
              <w:rPr>
                <w:lang w:val="en-US" w:eastAsia="en-GB"/>
              </w:rPr>
              <w:t xml:space="preserve"> </w:t>
            </w:r>
            <w:r w:rsidRPr="00136C78">
              <w:rPr>
                <w:lang w:val="en-US" w:eastAsia="en-GB"/>
              </w:rPr>
              <w:t>policy</w:t>
            </w:r>
            <w:r>
              <w:rPr>
                <w:lang w:val="en-US" w:eastAsia="en-GB"/>
              </w:rPr>
              <w:t xml:space="preserve"> </w:t>
            </w:r>
            <w:r w:rsidRPr="00136C78">
              <w:rPr>
                <w:lang w:val="en-US" w:eastAsia="en-GB"/>
              </w:rPr>
              <w:t>reform.</w:t>
            </w:r>
          </w:p>
        </w:tc>
      </w:tr>
      <w:tr w:rsidR="00430EF6" w14:paraId="2402BB6A" w14:textId="77777777" w:rsidTr="01905DC2">
        <w:tc>
          <w:tcPr>
            <w:tcW w:w="9072" w:type="dxa"/>
          </w:tcPr>
          <w:p w14:paraId="03F99D6C" w14:textId="77777777" w:rsidR="00430EF6" w:rsidRPr="003D6A9B" w:rsidRDefault="00430EF6" w:rsidP="00430EF6">
            <w:pPr>
              <w:pStyle w:val="OWBoxsourceline"/>
              <w:keepNext/>
              <w:pageBreakBefore/>
            </w:pPr>
            <w:r>
              <w:lastRenderedPageBreak/>
              <w:drawing>
                <wp:inline distT="0" distB="0" distL="0" distR="0" wp14:anchorId="4E1B2CA7" wp14:editId="7B3085A2">
                  <wp:extent cx="431640" cy="3960"/>
                  <wp:effectExtent l="0" t="0" r="0" b="0"/>
                  <wp:docPr id="314729770" name="Picture 1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8">
                            <a:extLst>
                              <a:ext uri="{28A0092B-C50C-407E-A947-70E740481C1C}">
                                <a14:useLocalDpi xmlns:a14="http://schemas.microsoft.com/office/drawing/2010/main" val="0"/>
                              </a:ext>
                            </a:extLst>
                          </a:blip>
                          <a:stretch>
                            <a:fillRect/>
                          </a:stretch>
                        </pic:blipFill>
                        <pic:spPr>
                          <a:xfrm>
                            <a:off x="0" y="0"/>
                            <a:ext cx="431640" cy="3960"/>
                          </a:xfrm>
                          <a:prstGeom prst="rect">
                            <a:avLst/>
                          </a:prstGeom>
                        </pic:spPr>
                      </pic:pic>
                    </a:graphicData>
                  </a:graphic>
                </wp:inline>
              </w:drawing>
            </w:r>
          </w:p>
          <w:p w14:paraId="1A18F7A1" w14:textId="77777777" w:rsidR="00430EF6" w:rsidRDefault="00430EF6" w:rsidP="00430EF6">
            <w:pPr>
              <w:pStyle w:val="OWBoxsource"/>
              <w:keepNext/>
            </w:pPr>
            <w:r>
              <w:t>Sources:</w:t>
            </w:r>
          </w:p>
          <w:p w14:paraId="4AE08DB9" w14:textId="45A22FA7" w:rsidR="00430EF6" w:rsidRDefault="00430EF6" w:rsidP="00430EF6">
            <w:pPr>
              <w:pStyle w:val="OWBoxsource"/>
              <w:spacing w:before="0"/>
            </w:pPr>
            <w:r>
              <w:t xml:space="preserve">Commonwealth, </w:t>
            </w:r>
            <w:r w:rsidRPr="00E82E3C">
              <w:rPr>
                <w:rStyle w:val="Emphasis"/>
              </w:rPr>
              <w:t>Parliamentary Debates</w:t>
            </w:r>
            <w:r w:rsidRPr="00E82E3C">
              <w:t xml:space="preserve">, </w:t>
            </w:r>
            <w:r>
              <w:t xml:space="preserve">House of Representatives, records from </w:t>
            </w:r>
            <w:r>
              <w:br/>
              <w:t>January 1</w:t>
            </w:r>
            <w:r w:rsidRPr="002C6D1A">
              <w:t>st</w:t>
            </w:r>
            <w:r>
              <w:t xml:space="preserve"> 2018 to December 31</w:t>
            </w:r>
            <w:r w:rsidRPr="002C6D1A">
              <w:t>st</w:t>
            </w:r>
            <w:r>
              <w:t xml:space="preserve"> 2018, retrieved from </w:t>
            </w:r>
            <w:hyperlink r:id="rId29" w:history="1">
              <w:r w:rsidRPr="000F1A1D">
                <w:rPr>
                  <w:rStyle w:val="Hyperlink"/>
                </w:rPr>
                <w:t>Parl</w:t>
              </w:r>
              <w:r>
                <w:rPr>
                  <w:rStyle w:val="Hyperlink"/>
                </w:rPr>
                <w:t>Info</w:t>
              </w:r>
              <w:r w:rsidRPr="000F1A1D">
                <w:rPr>
                  <w:rStyle w:val="Hyperlink"/>
                </w:rPr>
                <w:t xml:space="preserve"> Search</w:t>
              </w:r>
            </w:hyperlink>
          </w:p>
          <w:p w14:paraId="23A9CF8D" w14:textId="7A0AE485" w:rsidR="00430EF6" w:rsidRDefault="00430EF6" w:rsidP="00430EF6">
            <w:pPr>
              <w:pStyle w:val="OWBoxsource"/>
              <w:spacing w:before="0"/>
            </w:pPr>
            <w:r>
              <w:t xml:space="preserve">Commonwealth, </w:t>
            </w:r>
            <w:r w:rsidRPr="00E82E3C">
              <w:rPr>
                <w:rStyle w:val="Emphasis"/>
              </w:rPr>
              <w:t>Parliamentary Debates</w:t>
            </w:r>
            <w:r>
              <w:t>, Senate, records from January 1</w:t>
            </w:r>
            <w:r w:rsidRPr="002C6D1A">
              <w:t>st</w:t>
            </w:r>
            <w:r>
              <w:t xml:space="preserve"> 2018 to December</w:t>
            </w:r>
            <w:r w:rsidR="008123A4">
              <w:t> </w:t>
            </w:r>
            <w:r>
              <w:t>31</w:t>
            </w:r>
            <w:r w:rsidRPr="002C6D1A">
              <w:t>st</w:t>
            </w:r>
            <w:r>
              <w:t xml:space="preserve"> 2018, retrieved from </w:t>
            </w:r>
            <w:hyperlink r:id="rId30" w:history="1">
              <w:r w:rsidRPr="000F1A1D">
                <w:rPr>
                  <w:rStyle w:val="Hyperlink"/>
                </w:rPr>
                <w:t>Par</w:t>
              </w:r>
              <w:r>
                <w:rPr>
                  <w:rStyle w:val="Hyperlink"/>
                </w:rPr>
                <w:t>lInfo</w:t>
              </w:r>
              <w:r w:rsidRPr="000F1A1D">
                <w:rPr>
                  <w:rStyle w:val="Hyperlink"/>
                </w:rPr>
                <w:t xml:space="preserve"> Search</w:t>
              </w:r>
            </w:hyperlink>
          </w:p>
          <w:p w14:paraId="78099E16" w14:textId="0EEDADC4" w:rsidR="00430EF6" w:rsidRPr="00384786" w:rsidRDefault="00430EF6" w:rsidP="00A856D3">
            <w:pPr>
              <w:pStyle w:val="OWBoxsource"/>
              <w:spacing w:before="0"/>
            </w:pPr>
            <w:r>
              <w:t xml:space="preserve">Commonwealth, </w:t>
            </w:r>
            <w:r w:rsidRPr="00E82E3C">
              <w:rPr>
                <w:rStyle w:val="Emphasis"/>
              </w:rPr>
              <w:t>Parliamentary Inquiries</w:t>
            </w:r>
            <w:r w:rsidRPr="00E82E3C">
              <w:t xml:space="preserve">, </w:t>
            </w:r>
            <w:r>
              <w:t>records from January 1</w:t>
            </w:r>
            <w:r w:rsidRPr="002C6D1A">
              <w:t>st</w:t>
            </w:r>
            <w:r>
              <w:t xml:space="preserve"> 2018 to December 31</w:t>
            </w:r>
            <w:r w:rsidRPr="002C6D1A">
              <w:t>st</w:t>
            </w:r>
            <w:r>
              <w:t xml:space="preserve"> 2018, retrieved from </w:t>
            </w:r>
            <w:hyperlink r:id="rId31" w:history="1">
              <w:r w:rsidRPr="000F1A1D">
                <w:rPr>
                  <w:rStyle w:val="Hyperlink"/>
                </w:rPr>
                <w:t>Parl</w:t>
              </w:r>
              <w:r>
                <w:rPr>
                  <w:rStyle w:val="Hyperlink"/>
                </w:rPr>
                <w:t>Info</w:t>
              </w:r>
              <w:r w:rsidRPr="000F1A1D">
                <w:rPr>
                  <w:rStyle w:val="Hyperlink"/>
                </w:rPr>
                <w:t xml:space="preserve"> Search</w:t>
              </w:r>
            </w:hyperlink>
          </w:p>
        </w:tc>
      </w:tr>
    </w:tbl>
    <w:p w14:paraId="1EDC154D" w14:textId="7B646EA9" w:rsidR="002C2EC7" w:rsidRDefault="002C2EC7" w:rsidP="00790783">
      <w:pPr>
        <w:pStyle w:val="Heading5"/>
      </w:pPr>
      <w:bookmarkStart w:id="30" w:name="_Toc41559714"/>
      <w:r w:rsidRPr="0071774C">
        <w:t>Accompanying</w:t>
      </w:r>
      <w:r>
        <w:t xml:space="preserve"> </w:t>
      </w:r>
      <w:r w:rsidRPr="0071774C">
        <w:t>public</w:t>
      </w:r>
      <w:r>
        <w:t xml:space="preserve"> </w:t>
      </w:r>
      <w:r w:rsidRPr="0071774C">
        <w:t>commitments</w:t>
      </w:r>
      <w:r>
        <w:t xml:space="preserve"> </w:t>
      </w:r>
      <w:r w:rsidRPr="0071774C">
        <w:t>with</w:t>
      </w:r>
      <w:r>
        <w:t xml:space="preserve"> </w:t>
      </w:r>
      <w:r w:rsidRPr="0071774C">
        <w:t>commensurate</w:t>
      </w:r>
      <w:r>
        <w:t xml:space="preserve"> </w:t>
      </w:r>
      <w:r w:rsidRPr="0071774C">
        <w:t>investment</w:t>
      </w:r>
      <w:r w:rsidR="00745297">
        <w:br/>
      </w:r>
      <w:r w:rsidRPr="0071774C">
        <w:t>in</w:t>
      </w:r>
      <w:r>
        <w:t xml:space="preserve"> high-</w:t>
      </w:r>
      <w:r w:rsidRPr="0071774C">
        <w:t>quality</w:t>
      </w:r>
      <w:r>
        <w:t xml:space="preserve"> primary </w:t>
      </w:r>
      <w:r w:rsidRPr="0071774C">
        <w:t>prevention</w:t>
      </w:r>
      <w:r>
        <w:t xml:space="preserve"> </w:t>
      </w:r>
      <w:r w:rsidRPr="0071774C">
        <w:t>activities</w:t>
      </w:r>
      <w:r>
        <w:t xml:space="preserve"> </w:t>
      </w:r>
      <w:r w:rsidRPr="0071774C">
        <w:t>and</w:t>
      </w:r>
      <w:r>
        <w:t xml:space="preserve"> </w:t>
      </w:r>
      <w:r w:rsidRPr="0071774C">
        <w:t>actions</w:t>
      </w:r>
      <w:bookmarkEnd w:id="30"/>
    </w:p>
    <w:p w14:paraId="7C29E1BE" w14:textId="77777777" w:rsidR="002C2EC7" w:rsidRDefault="002C2EC7" w:rsidP="00790783">
      <w:pPr>
        <w:pStyle w:val="BodyText"/>
      </w:pPr>
      <w:r w:rsidRPr="0071774C">
        <w:t>One</w:t>
      </w:r>
      <w:r>
        <w:t xml:space="preserve"> </w:t>
      </w:r>
      <w:r w:rsidRPr="0071774C">
        <w:t>way</w:t>
      </w:r>
      <w:r>
        <w:t xml:space="preserve"> </w:t>
      </w:r>
      <w:r w:rsidRPr="0071774C">
        <w:t>that</w:t>
      </w:r>
      <w:r>
        <w:t xml:space="preserve"> </w:t>
      </w:r>
      <w:r w:rsidRPr="0071774C">
        <w:t>government,</w:t>
      </w:r>
      <w:r>
        <w:t xml:space="preserve"> </w:t>
      </w:r>
      <w:r w:rsidRPr="0071774C">
        <w:t>private</w:t>
      </w:r>
      <w:r>
        <w:t xml:space="preserve"> </w:t>
      </w:r>
      <w:r w:rsidRPr="0071774C">
        <w:t>and</w:t>
      </w:r>
      <w:r>
        <w:t xml:space="preserve"> </w:t>
      </w:r>
      <w:r w:rsidRPr="0071774C">
        <w:t>civil</w:t>
      </w:r>
      <w:r>
        <w:t xml:space="preserve"> </w:t>
      </w:r>
      <w:r w:rsidRPr="0071774C">
        <w:t>society</w:t>
      </w:r>
      <w:r>
        <w:t xml:space="preserve"> </w:t>
      </w:r>
      <w:r w:rsidRPr="0071774C">
        <w:t>organisations</w:t>
      </w:r>
      <w:r>
        <w:t xml:space="preserve"> </w:t>
      </w:r>
      <w:r w:rsidRPr="0071774C">
        <w:t>can</w:t>
      </w:r>
      <w:r>
        <w:t xml:space="preserve"> </w:t>
      </w:r>
      <w:r w:rsidRPr="0071774C">
        <w:t>make</w:t>
      </w:r>
      <w:r>
        <w:t xml:space="preserve"> </w:t>
      </w:r>
      <w:r w:rsidRPr="0071774C">
        <w:t>public</w:t>
      </w:r>
      <w:r>
        <w:t xml:space="preserve"> </w:t>
      </w:r>
      <w:r w:rsidRPr="0071774C">
        <w:t>statements</w:t>
      </w:r>
      <w:r>
        <w:t xml:space="preserve"> </w:t>
      </w:r>
      <w:r w:rsidRPr="0071774C">
        <w:t>or</w:t>
      </w:r>
      <w:r>
        <w:t xml:space="preserve"> </w:t>
      </w:r>
      <w:r w:rsidRPr="0071774C">
        <w:t>commitments</w:t>
      </w:r>
      <w:r>
        <w:t xml:space="preserve"> </w:t>
      </w:r>
      <w:r w:rsidRPr="0071774C">
        <w:t>towards</w:t>
      </w:r>
      <w:r>
        <w:t xml:space="preserve"> </w:t>
      </w:r>
      <w:r w:rsidRPr="0071774C">
        <w:t>gender</w:t>
      </w:r>
      <w:r>
        <w:t xml:space="preserve"> </w:t>
      </w:r>
      <w:r w:rsidRPr="0071774C">
        <w:t>equality</w:t>
      </w:r>
      <w:r>
        <w:t xml:space="preserve"> </w:t>
      </w:r>
      <w:r w:rsidRPr="0071774C">
        <w:t>and</w:t>
      </w:r>
      <w:r>
        <w:t xml:space="preserve"> </w:t>
      </w:r>
      <w:r w:rsidRPr="0071774C">
        <w:t>the</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is</w:t>
      </w:r>
      <w:r>
        <w:t xml:space="preserve"> </w:t>
      </w:r>
      <w:r w:rsidRPr="0071774C">
        <w:t>through</w:t>
      </w:r>
      <w:r>
        <w:t xml:space="preserve"> </w:t>
      </w:r>
      <w:r w:rsidRPr="0071774C">
        <w:t>signing</w:t>
      </w:r>
      <w:r>
        <w:t xml:space="preserve"> </w:t>
      </w:r>
      <w:r w:rsidRPr="0071774C">
        <w:t>on</w:t>
      </w:r>
      <w:r>
        <w:t xml:space="preserve"> </w:t>
      </w:r>
      <w:r w:rsidRPr="0071774C">
        <w:t>to</w:t>
      </w:r>
      <w:r>
        <w:t xml:space="preserve"> </w:t>
      </w:r>
      <w:r w:rsidRPr="0071774C">
        <w:t>formal</w:t>
      </w:r>
      <w:r>
        <w:t xml:space="preserve"> </w:t>
      </w:r>
      <w:r w:rsidRPr="0071774C">
        <w:t>programs.</w:t>
      </w:r>
      <w:r w:rsidRPr="00D8674A">
        <w:rPr>
          <w:rStyle w:val="OWSuperscript"/>
        </w:rPr>
        <w:footnoteReference w:id="4"/>
      </w:r>
      <w:r>
        <w:t xml:space="preserve"> </w:t>
      </w:r>
      <w:r w:rsidRPr="0071774C">
        <w:t>Between</w:t>
      </w:r>
      <w:r>
        <w:t xml:space="preserve"> </w:t>
      </w:r>
      <w:r w:rsidRPr="0071774C">
        <w:t>2009</w:t>
      </w:r>
      <w:r>
        <w:t xml:space="preserve"> </w:t>
      </w:r>
      <w:r w:rsidRPr="0071774C">
        <w:t>and</w:t>
      </w:r>
      <w:r>
        <w:t xml:space="preserve"> </w:t>
      </w:r>
      <w:r w:rsidRPr="0071774C">
        <w:t>2019,</w:t>
      </w:r>
      <w:r>
        <w:t xml:space="preserve"> </w:t>
      </w:r>
      <w:r w:rsidRPr="0071774C">
        <w:t>examples</w:t>
      </w:r>
      <w:r>
        <w:t xml:space="preserve"> </w:t>
      </w:r>
      <w:r w:rsidRPr="0071774C">
        <w:t>of</w:t>
      </w:r>
      <w:r>
        <w:t xml:space="preserve"> </w:t>
      </w:r>
      <w:r w:rsidRPr="0071774C">
        <w:t>these</w:t>
      </w:r>
      <w:r>
        <w:t xml:space="preserve"> </w:t>
      </w:r>
      <w:r w:rsidRPr="0071774C">
        <w:t>include:</w:t>
      </w:r>
    </w:p>
    <w:p w14:paraId="6DC62DC2" w14:textId="77777777" w:rsidR="002C2EC7" w:rsidRDefault="002C2EC7" w:rsidP="00790783">
      <w:pPr>
        <w:pStyle w:val="OWBullet1"/>
      </w:pPr>
      <w:r>
        <w:t>a</w:t>
      </w:r>
      <w:r w:rsidRPr="0071774C">
        <w:t>mbassador</w:t>
      </w:r>
      <w:r>
        <w:t xml:space="preserve"> </w:t>
      </w:r>
      <w:r w:rsidRPr="0071774C">
        <w:t>program</w:t>
      </w:r>
      <w:r>
        <w:t>s</w:t>
      </w:r>
      <w:r w:rsidRPr="0071774C">
        <w:t>,</w:t>
      </w:r>
      <w:r>
        <w:t xml:space="preserve"> </w:t>
      </w:r>
      <w:r w:rsidRPr="0071774C">
        <w:t>such</w:t>
      </w:r>
      <w:r>
        <w:t xml:space="preserve"> </w:t>
      </w:r>
      <w:r w:rsidRPr="0071774C">
        <w:t>as</w:t>
      </w:r>
      <w:r>
        <w:t xml:space="preserve"> </w:t>
      </w:r>
      <w:r w:rsidRPr="0071774C">
        <w:t>those</w:t>
      </w:r>
      <w:r>
        <w:t xml:space="preserve"> </w:t>
      </w:r>
      <w:r w:rsidRPr="0071774C">
        <w:t>run</w:t>
      </w:r>
      <w:r>
        <w:t xml:space="preserve"> </w:t>
      </w:r>
      <w:r w:rsidRPr="0071774C">
        <w:t>by</w:t>
      </w:r>
      <w:r>
        <w:t xml:space="preserve"> </w:t>
      </w:r>
      <w:r w:rsidRPr="0071774C">
        <w:t>Our</w:t>
      </w:r>
      <w:r>
        <w:t xml:space="preserve"> </w:t>
      </w:r>
      <w:r w:rsidRPr="0071774C">
        <w:t>Watch</w:t>
      </w:r>
      <w:r w:rsidRPr="0071774C">
        <w:rPr>
          <w:rStyle w:val="EndnoteReference"/>
          <w:szCs w:val="22"/>
        </w:rPr>
        <w:endnoteReference w:id="24"/>
      </w:r>
      <w:r>
        <w:t xml:space="preserve"> </w:t>
      </w:r>
      <w:r w:rsidRPr="0071774C">
        <w:t>and</w:t>
      </w:r>
      <w:r>
        <w:t xml:space="preserve"> </w:t>
      </w:r>
      <w:r w:rsidRPr="0071774C">
        <w:t>White</w:t>
      </w:r>
      <w:r>
        <w:t xml:space="preserve"> </w:t>
      </w:r>
      <w:r w:rsidRPr="0071774C">
        <w:t>Ribbon</w:t>
      </w:r>
      <w:r w:rsidRPr="0071774C">
        <w:rPr>
          <w:rStyle w:val="EndnoteReference"/>
          <w:szCs w:val="22"/>
        </w:rPr>
        <w:endnoteReference w:id="25"/>
      </w:r>
    </w:p>
    <w:p w14:paraId="66D64F81" w14:textId="1A4E1B23" w:rsidR="002C2EC7" w:rsidRDefault="002C2EC7" w:rsidP="00790783">
      <w:pPr>
        <w:pStyle w:val="OWBullet1"/>
      </w:pPr>
      <w:r>
        <w:t>a</w:t>
      </w:r>
      <w:r w:rsidRPr="0071774C">
        <w:t>dvocate</w:t>
      </w:r>
      <w:r>
        <w:t xml:space="preserve"> </w:t>
      </w:r>
      <w:r w:rsidRPr="0071774C">
        <w:t>or</w:t>
      </w:r>
      <w:r>
        <w:t xml:space="preserve"> </w:t>
      </w:r>
      <w:r w:rsidRPr="0071774C">
        <w:t>‘champion’</w:t>
      </w:r>
      <w:r>
        <w:t xml:space="preserve"> </w:t>
      </w:r>
      <w:r w:rsidRPr="0071774C">
        <w:t>programs,</w:t>
      </w:r>
      <w:r>
        <w:t xml:space="preserve"> </w:t>
      </w:r>
      <w:r w:rsidRPr="0071774C">
        <w:t>such</w:t>
      </w:r>
      <w:r>
        <w:t xml:space="preserve"> </w:t>
      </w:r>
      <w:r w:rsidRPr="0071774C">
        <w:t>as</w:t>
      </w:r>
      <w:r>
        <w:t xml:space="preserve"> </w:t>
      </w:r>
      <w:r w:rsidRPr="0071774C">
        <w:t>White</w:t>
      </w:r>
      <w:r>
        <w:t xml:space="preserve"> </w:t>
      </w:r>
      <w:r w:rsidRPr="0071774C">
        <w:t>Ribbon</w:t>
      </w:r>
      <w:r w:rsidRPr="0071774C">
        <w:rPr>
          <w:rStyle w:val="EndnoteReference"/>
          <w:szCs w:val="22"/>
        </w:rPr>
        <w:endnoteReference w:id="26"/>
      </w:r>
      <w:r>
        <w:t xml:space="preserve"> </w:t>
      </w:r>
      <w:r w:rsidRPr="0071774C">
        <w:t>and</w:t>
      </w:r>
      <w:r>
        <w:t xml:space="preserve"> </w:t>
      </w:r>
      <w:r w:rsidRPr="0071774C">
        <w:t>the</w:t>
      </w:r>
      <w:r>
        <w:t xml:space="preserve"> </w:t>
      </w:r>
      <w:r w:rsidRPr="0071774C">
        <w:t>Male</w:t>
      </w:r>
      <w:r>
        <w:t xml:space="preserve"> </w:t>
      </w:r>
      <w:r w:rsidRPr="0071774C">
        <w:t>Champions</w:t>
      </w:r>
      <w:r>
        <w:t xml:space="preserve"> </w:t>
      </w:r>
      <w:r w:rsidRPr="0071774C">
        <w:t>of</w:t>
      </w:r>
      <w:r w:rsidR="00745297">
        <w:t> </w:t>
      </w:r>
      <w:r w:rsidRPr="0071774C">
        <w:t>Change</w:t>
      </w:r>
      <w:r>
        <w:t xml:space="preserve"> </w:t>
      </w:r>
      <w:r w:rsidRPr="0071774C">
        <w:t>groups</w:t>
      </w:r>
      <w:r w:rsidRPr="0071774C">
        <w:rPr>
          <w:rStyle w:val="EndnoteReference"/>
          <w:szCs w:val="22"/>
        </w:rPr>
        <w:endnoteReference w:id="27"/>
      </w:r>
    </w:p>
    <w:p w14:paraId="46B4F496" w14:textId="77777777" w:rsidR="002C2EC7" w:rsidRDefault="002C2EC7" w:rsidP="00790783">
      <w:pPr>
        <w:pStyle w:val="OWBullet1"/>
      </w:pPr>
      <w:r>
        <w:t>a</w:t>
      </w:r>
      <w:r w:rsidRPr="0071774C">
        <w:t>cademic</w:t>
      </w:r>
      <w:r>
        <w:t xml:space="preserve"> </w:t>
      </w:r>
      <w:r w:rsidRPr="0071774C">
        <w:t>accreditation</w:t>
      </w:r>
      <w:r>
        <w:t xml:space="preserve"> </w:t>
      </w:r>
      <w:r w:rsidRPr="0071774C">
        <w:t>frameworks,</w:t>
      </w:r>
      <w:r>
        <w:t xml:space="preserve"> </w:t>
      </w:r>
      <w:r w:rsidRPr="0071774C">
        <w:t>such</w:t>
      </w:r>
      <w:r>
        <w:t xml:space="preserve"> </w:t>
      </w:r>
      <w:r w:rsidRPr="0071774C">
        <w:t>as</w:t>
      </w:r>
      <w:r>
        <w:t xml:space="preserve"> </w:t>
      </w:r>
      <w:r w:rsidRPr="0071774C">
        <w:t>the</w:t>
      </w:r>
      <w:r>
        <w:t xml:space="preserve"> </w:t>
      </w:r>
      <w:r w:rsidRPr="0071774C">
        <w:t>Athena</w:t>
      </w:r>
      <w:r>
        <w:t xml:space="preserve"> </w:t>
      </w:r>
      <w:r w:rsidRPr="0071774C">
        <w:t>SWAN</w:t>
      </w:r>
      <w:r>
        <w:t xml:space="preserve"> </w:t>
      </w:r>
      <w:r w:rsidRPr="0071774C">
        <w:t>Charter</w:t>
      </w:r>
      <w:r w:rsidRPr="0071774C">
        <w:rPr>
          <w:rStyle w:val="EndnoteReference"/>
          <w:szCs w:val="22"/>
        </w:rPr>
        <w:endnoteReference w:id="28"/>
      </w:r>
    </w:p>
    <w:p w14:paraId="2717E779" w14:textId="49A3AB3E" w:rsidR="002C2EC7" w:rsidRDefault="002C2EC7" w:rsidP="00790783">
      <w:pPr>
        <w:pStyle w:val="OWBullet1"/>
      </w:pPr>
      <w:r>
        <w:t>w</w:t>
      </w:r>
      <w:r w:rsidRPr="0071774C">
        <w:t>orkplace</w:t>
      </w:r>
      <w:r>
        <w:t xml:space="preserve"> </w:t>
      </w:r>
      <w:r w:rsidRPr="0071774C">
        <w:t>accreditation</w:t>
      </w:r>
      <w:r>
        <w:t xml:space="preserve"> </w:t>
      </w:r>
      <w:r w:rsidRPr="0071774C">
        <w:t>programs,</w:t>
      </w:r>
      <w:r>
        <w:t xml:space="preserve"> </w:t>
      </w:r>
      <w:r w:rsidRPr="0071774C">
        <w:t>such</w:t>
      </w:r>
      <w:r>
        <w:t xml:space="preserve"> </w:t>
      </w:r>
      <w:r w:rsidRPr="0071774C">
        <w:t>as</w:t>
      </w:r>
      <w:r>
        <w:t xml:space="preserve"> </w:t>
      </w:r>
      <w:r w:rsidRPr="0071774C">
        <w:t>the</w:t>
      </w:r>
      <w:r>
        <w:t xml:space="preserve"> </w:t>
      </w:r>
      <w:r w:rsidRPr="0071774C">
        <w:t>Rainbow</w:t>
      </w:r>
      <w:r>
        <w:t xml:space="preserve"> </w:t>
      </w:r>
      <w:r w:rsidRPr="0071774C">
        <w:t>Tick</w:t>
      </w:r>
      <w:r>
        <w:t>,</w:t>
      </w:r>
      <w:r w:rsidRPr="0071774C">
        <w:rPr>
          <w:rStyle w:val="EndnoteReference"/>
          <w:szCs w:val="22"/>
        </w:rPr>
        <w:endnoteReference w:id="29"/>
      </w:r>
      <w:r>
        <w:t xml:space="preserve"> </w:t>
      </w:r>
      <w:r w:rsidRPr="0071774C">
        <w:t>White</w:t>
      </w:r>
      <w:r>
        <w:t xml:space="preserve"> </w:t>
      </w:r>
      <w:r w:rsidRPr="0071774C">
        <w:t>Ribbon</w:t>
      </w:r>
      <w:r w:rsidRPr="0071774C">
        <w:rPr>
          <w:rStyle w:val="EndnoteReference"/>
          <w:szCs w:val="22"/>
        </w:rPr>
        <w:endnoteReference w:id="30"/>
      </w:r>
      <w:r>
        <w:t xml:space="preserve"> </w:t>
      </w:r>
      <w:r w:rsidRPr="0071774C">
        <w:t>or</w:t>
      </w:r>
      <w:r w:rsidR="00851841">
        <w:t> </w:t>
      </w:r>
      <w:r w:rsidRPr="0071774C">
        <w:t>5050</w:t>
      </w:r>
      <w:r w:rsidR="00851841">
        <w:t> </w:t>
      </w:r>
      <w:r w:rsidRPr="0071774C">
        <w:t>Vision</w:t>
      </w:r>
      <w:r w:rsidRPr="0071774C">
        <w:rPr>
          <w:rStyle w:val="EndnoteReference"/>
          <w:szCs w:val="22"/>
        </w:rPr>
        <w:endnoteReference w:id="31"/>
      </w:r>
      <w:r>
        <w:t xml:space="preserve"> </w:t>
      </w:r>
      <w:r w:rsidRPr="0071774C">
        <w:t>(Local</w:t>
      </w:r>
      <w:r>
        <w:t xml:space="preserve"> </w:t>
      </w:r>
      <w:r w:rsidRPr="0071774C">
        <w:t>Government</w:t>
      </w:r>
      <w:r>
        <w:t xml:space="preserve"> </w:t>
      </w:r>
      <w:r w:rsidRPr="0071774C">
        <w:t>Equity</w:t>
      </w:r>
      <w:r>
        <w:t xml:space="preserve"> </w:t>
      </w:r>
      <w:r w:rsidRPr="0071774C">
        <w:t>Program</w:t>
      </w:r>
      <w:r>
        <w:t xml:space="preserve"> </w:t>
      </w:r>
      <w:r w:rsidRPr="0071774C">
        <w:t>–</w:t>
      </w:r>
      <w:r>
        <w:t xml:space="preserve"> </w:t>
      </w:r>
      <w:r w:rsidRPr="0071774C">
        <w:t>no</w:t>
      </w:r>
      <w:r>
        <w:t xml:space="preserve"> </w:t>
      </w:r>
      <w:r w:rsidRPr="0071774C">
        <w:t>longer</w:t>
      </w:r>
      <w:r>
        <w:t xml:space="preserve"> </w:t>
      </w:r>
      <w:r w:rsidRPr="0071774C">
        <w:t>funded)</w:t>
      </w:r>
    </w:p>
    <w:p w14:paraId="5B17E3A6" w14:textId="754878C3" w:rsidR="002C2EC7" w:rsidRDefault="002C2EC7" w:rsidP="00790783">
      <w:pPr>
        <w:pStyle w:val="OWBullet1"/>
      </w:pPr>
      <w:r>
        <w:t>f</w:t>
      </w:r>
      <w:r w:rsidRPr="0071774C">
        <w:t>ormal</w:t>
      </w:r>
      <w:r>
        <w:t xml:space="preserve"> </w:t>
      </w:r>
      <w:r w:rsidRPr="0071774C">
        <w:t>workplace</w:t>
      </w:r>
      <w:r>
        <w:t xml:space="preserve"> </w:t>
      </w:r>
      <w:r w:rsidRPr="0071774C">
        <w:t>statements</w:t>
      </w:r>
      <w:r>
        <w:t xml:space="preserve"> </w:t>
      </w:r>
      <w:r w:rsidRPr="0071774C">
        <w:t>and</w:t>
      </w:r>
      <w:r>
        <w:t xml:space="preserve"> </w:t>
      </w:r>
      <w:r w:rsidRPr="0071774C">
        <w:t>commitment</w:t>
      </w:r>
      <w:r>
        <w:t xml:space="preserve">s </w:t>
      </w:r>
      <w:r w:rsidRPr="0071774C">
        <w:t>and</w:t>
      </w:r>
      <w:r>
        <w:t xml:space="preserve"> </w:t>
      </w:r>
      <w:r w:rsidRPr="0071774C">
        <w:t>non-accredited</w:t>
      </w:r>
      <w:r>
        <w:t xml:space="preserve"> </w:t>
      </w:r>
      <w:r w:rsidRPr="0071774C">
        <w:t>workplace</w:t>
      </w:r>
      <w:r>
        <w:t xml:space="preserve"> </w:t>
      </w:r>
      <w:r w:rsidRPr="0071774C">
        <w:t>programs</w:t>
      </w:r>
      <w:r>
        <w:t xml:space="preserve"> </w:t>
      </w:r>
      <w:r w:rsidRPr="0071774C">
        <w:t>such</w:t>
      </w:r>
      <w:r>
        <w:t xml:space="preserve"> </w:t>
      </w:r>
      <w:r w:rsidRPr="0071774C">
        <w:t>as</w:t>
      </w:r>
      <w:r>
        <w:t xml:space="preserve"> </w:t>
      </w:r>
      <w:r w:rsidRPr="0071774C">
        <w:t>Reconciliation</w:t>
      </w:r>
      <w:r>
        <w:t xml:space="preserve"> </w:t>
      </w:r>
      <w:r w:rsidRPr="0071774C">
        <w:t>Action</w:t>
      </w:r>
      <w:r>
        <w:t xml:space="preserve"> </w:t>
      </w:r>
      <w:r w:rsidRPr="0071774C">
        <w:t>Plans,</w:t>
      </w:r>
      <w:r>
        <w:t xml:space="preserve"> </w:t>
      </w:r>
      <w:r w:rsidRPr="0071774C">
        <w:t>Workplace</w:t>
      </w:r>
      <w:r>
        <w:t xml:space="preserve"> </w:t>
      </w:r>
      <w:r w:rsidRPr="0071774C">
        <w:t>Equality</w:t>
      </w:r>
      <w:r>
        <w:t xml:space="preserve"> </w:t>
      </w:r>
      <w:r w:rsidRPr="0071774C">
        <w:t>and</w:t>
      </w:r>
      <w:r>
        <w:t xml:space="preserve"> </w:t>
      </w:r>
      <w:r w:rsidRPr="0071774C">
        <w:t>Respect</w:t>
      </w:r>
      <w:r>
        <w:t xml:space="preserve"> </w:t>
      </w:r>
      <w:r w:rsidRPr="0071774C">
        <w:t>and</w:t>
      </w:r>
      <w:r w:rsidR="00851841">
        <w:t> </w:t>
      </w:r>
      <w:r w:rsidRPr="0071774C">
        <w:t>whole-of-school</w:t>
      </w:r>
      <w:r>
        <w:t xml:space="preserve"> </w:t>
      </w:r>
      <w:r w:rsidRPr="0071774C">
        <w:t>approaches</w:t>
      </w:r>
      <w:r>
        <w:t xml:space="preserve"> </w:t>
      </w:r>
      <w:r w:rsidRPr="0071774C">
        <w:t>to</w:t>
      </w:r>
      <w:r>
        <w:t xml:space="preserve"> r</w:t>
      </w:r>
      <w:r w:rsidRPr="0071774C">
        <w:t>espectful</w:t>
      </w:r>
      <w:r>
        <w:t xml:space="preserve"> r</w:t>
      </w:r>
      <w:r w:rsidRPr="0071774C">
        <w:t>elationships</w:t>
      </w:r>
      <w:r>
        <w:t xml:space="preserve"> e</w:t>
      </w:r>
      <w:r w:rsidRPr="0071774C">
        <w:t>ducation</w:t>
      </w:r>
      <w:r>
        <w:t>.</w:t>
      </w:r>
    </w:p>
    <w:p w14:paraId="3E853737" w14:textId="5CC18B16" w:rsidR="002C2EC7" w:rsidRDefault="002C2EC7" w:rsidP="00790783">
      <w:pPr>
        <w:pStyle w:val="OWBodytextafterlist"/>
      </w:pPr>
      <w:r w:rsidRPr="0071774C">
        <w:t>While</w:t>
      </w:r>
      <w:r>
        <w:t xml:space="preserve"> </w:t>
      </w:r>
      <w:r w:rsidRPr="0071774C">
        <w:t>the</w:t>
      </w:r>
      <w:r>
        <w:t xml:space="preserve"> </w:t>
      </w:r>
      <w:r w:rsidRPr="0071774C">
        <w:t>last</w:t>
      </w:r>
      <w:r>
        <w:t xml:space="preserve"> </w:t>
      </w:r>
      <w:r w:rsidRPr="0071774C">
        <w:t>decade</w:t>
      </w:r>
      <w:r>
        <w:t xml:space="preserve"> </w:t>
      </w:r>
      <w:r w:rsidRPr="0071774C">
        <w:t>has</w:t>
      </w:r>
      <w:r>
        <w:t xml:space="preserve"> </w:t>
      </w:r>
      <w:r w:rsidRPr="0071774C">
        <w:t>led</w:t>
      </w:r>
      <w:r>
        <w:t xml:space="preserve"> </w:t>
      </w:r>
      <w:r w:rsidRPr="0071774C">
        <w:t>to</w:t>
      </w:r>
      <w:r>
        <w:t xml:space="preserve"> </w:t>
      </w:r>
      <w:r w:rsidRPr="0071774C">
        <w:t>increased</w:t>
      </w:r>
      <w:r>
        <w:t xml:space="preserve"> </w:t>
      </w:r>
      <w:r w:rsidRPr="0071774C">
        <w:t>opportunities</w:t>
      </w:r>
      <w:r>
        <w:t xml:space="preserve"> </w:t>
      </w:r>
      <w:r w:rsidRPr="0071774C">
        <w:t>for</w:t>
      </w:r>
      <w:r>
        <w:t xml:space="preserve"> </w:t>
      </w:r>
      <w:r w:rsidRPr="0071774C">
        <w:t>organisations</w:t>
      </w:r>
      <w:r>
        <w:t xml:space="preserve"> </w:t>
      </w:r>
      <w:r w:rsidRPr="0071774C">
        <w:t>and</w:t>
      </w:r>
      <w:r>
        <w:t xml:space="preserve"> </w:t>
      </w:r>
      <w:r w:rsidRPr="0071774C">
        <w:t>individuals</w:t>
      </w:r>
      <w:r>
        <w:t xml:space="preserve"> </w:t>
      </w:r>
      <w:r w:rsidRPr="0071774C">
        <w:t>to</w:t>
      </w:r>
      <w:r w:rsidR="00851841">
        <w:t> </w:t>
      </w:r>
      <w:r w:rsidRPr="0071774C">
        <w:t>make</w:t>
      </w:r>
      <w:r>
        <w:t xml:space="preserve"> </w:t>
      </w:r>
      <w:r w:rsidRPr="0071774C">
        <w:t>a</w:t>
      </w:r>
      <w:r>
        <w:t xml:space="preserve"> </w:t>
      </w:r>
      <w:r w:rsidRPr="0071774C">
        <w:t>public</w:t>
      </w:r>
      <w:r>
        <w:t xml:space="preserve"> </w:t>
      </w:r>
      <w:r w:rsidRPr="0071774C">
        <w:t>commitment</w:t>
      </w:r>
      <w:r>
        <w:t xml:space="preserve"> </w:t>
      </w:r>
      <w:r w:rsidRPr="0071774C">
        <w:t>to</w:t>
      </w:r>
      <w:r>
        <w:t xml:space="preserve"> </w:t>
      </w:r>
      <w:r w:rsidRPr="0071774C">
        <w:t>the</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ED4674">
        <w:rPr>
          <w:rStyle w:val="Emphasis"/>
        </w:rPr>
        <w:t>Change the story</w:t>
      </w:r>
      <w:r>
        <w:t xml:space="preserve"> </w:t>
      </w:r>
      <w:r w:rsidRPr="0071774C">
        <w:t>indicates</w:t>
      </w:r>
      <w:r>
        <w:t xml:space="preserve"> </w:t>
      </w:r>
      <w:r w:rsidRPr="0071774C">
        <w:t>that</w:t>
      </w:r>
      <w:r>
        <w:t xml:space="preserve"> </w:t>
      </w:r>
      <w:r w:rsidRPr="0071774C">
        <w:t>to</w:t>
      </w:r>
      <w:r>
        <w:t xml:space="preserve"> </w:t>
      </w:r>
      <w:r w:rsidRPr="0071774C">
        <w:t>effect</w:t>
      </w:r>
      <w:r>
        <w:t xml:space="preserve"> </w:t>
      </w:r>
      <w:r w:rsidRPr="0071774C">
        <w:t>change,</w:t>
      </w:r>
      <w:r>
        <w:t xml:space="preserve"> </w:t>
      </w:r>
      <w:r w:rsidRPr="0071774C">
        <w:t>these</w:t>
      </w:r>
      <w:r>
        <w:t xml:space="preserve"> </w:t>
      </w:r>
      <w:r w:rsidRPr="0071774C">
        <w:t>commitments</w:t>
      </w:r>
      <w:r>
        <w:t xml:space="preserve"> </w:t>
      </w:r>
      <w:r w:rsidRPr="0071774C">
        <w:t>must</w:t>
      </w:r>
      <w:r>
        <w:t xml:space="preserve"> </w:t>
      </w:r>
      <w:r w:rsidRPr="0071774C">
        <w:t>be</w:t>
      </w:r>
      <w:r>
        <w:t xml:space="preserve"> </w:t>
      </w:r>
      <w:r w:rsidRPr="0071774C">
        <w:t>supported</w:t>
      </w:r>
      <w:r>
        <w:t xml:space="preserve"> </w:t>
      </w:r>
      <w:r w:rsidRPr="0071774C">
        <w:t>by</w:t>
      </w:r>
      <w:r>
        <w:t xml:space="preserve"> </w:t>
      </w:r>
      <w:r w:rsidRPr="0071774C">
        <w:t>meaningful</w:t>
      </w:r>
      <w:r>
        <w:t xml:space="preserve"> </w:t>
      </w:r>
      <w:r w:rsidRPr="0071774C">
        <w:t>actions</w:t>
      </w:r>
      <w:r>
        <w:t xml:space="preserve"> </w:t>
      </w:r>
      <w:r w:rsidRPr="0071774C">
        <w:t>and</w:t>
      </w:r>
      <w:r>
        <w:t xml:space="preserve"> </w:t>
      </w:r>
      <w:r w:rsidRPr="0071774C">
        <w:t>resource</w:t>
      </w:r>
      <w:r>
        <w:t xml:space="preserve"> </w:t>
      </w:r>
      <w:r w:rsidRPr="0071774C">
        <w:t>redistribution.</w:t>
      </w:r>
      <w:r>
        <w:t xml:space="preserve"> </w:t>
      </w:r>
      <w:r w:rsidRPr="0071774C">
        <w:t>Public</w:t>
      </w:r>
      <w:r>
        <w:t xml:space="preserve"> </w:t>
      </w:r>
      <w:r w:rsidRPr="0071774C">
        <w:t>statements</w:t>
      </w:r>
      <w:r>
        <w:t xml:space="preserve"> </w:t>
      </w:r>
      <w:r w:rsidRPr="0071774C">
        <w:t>should</w:t>
      </w:r>
      <w:r>
        <w:t xml:space="preserve"> </w:t>
      </w:r>
      <w:r w:rsidRPr="0071774C">
        <w:t>be</w:t>
      </w:r>
      <w:r>
        <w:t xml:space="preserve"> </w:t>
      </w:r>
      <w:r w:rsidRPr="0071774C">
        <w:t>reviewed</w:t>
      </w:r>
      <w:r>
        <w:t xml:space="preserve"> </w:t>
      </w:r>
      <w:r w:rsidRPr="0071774C">
        <w:t>alongside</w:t>
      </w:r>
      <w:r>
        <w:t xml:space="preserve"> </w:t>
      </w:r>
      <w:r w:rsidRPr="0071774C">
        <w:t>investment</w:t>
      </w:r>
      <w:r>
        <w:t xml:space="preserve"> </w:t>
      </w:r>
      <w:r w:rsidRPr="0071774C">
        <w:t>in</w:t>
      </w:r>
      <w:r>
        <w:t xml:space="preserve"> high-</w:t>
      </w:r>
      <w:r w:rsidRPr="0071774C">
        <w:t>quality</w:t>
      </w:r>
      <w:r>
        <w:t xml:space="preserve"> primary </w:t>
      </w:r>
      <w:r w:rsidRPr="0071774C">
        <w:t>prevention</w:t>
      </w:r>
      <w:r>
        <w:t xml:space="preserve"> </w:t>
      </w:r>
      <w:r w:rsidRPr="0071774C">
        <w:t>activities</w:t>
      </w:r>
      <w:r>
        <w:t xml:space="preserve"> </w:t>
      </w:r>
      <w:r w:rsidRPr="0071774C">
        <w:t>and</w:t>
      </w:r>
      <w:r>
        <w:t xml:space="preserve"> </w:t>
      </w:r>
      <w:r w:rsidRPr="0071774C">
        <w:t>actions</w:t>
      </w:r>
      <w:r>
        <w:t xml:space="preserve"> </w:t>
      </w:r>
      <w:r w:rsidRPr="0071774C">
        <w:t>to</w:t>
      </w:r>
      <w:r>
        <w:t xml:space="preserve"> </w:t>
      </w:r>
      <w:r w:rsidRPr="0071774C">
        <w:t>determine</w:t>
      </w:r>
      <w:r>
        <w:t xml:space="preserve"> </w:t>
      </w:r>
      <w:r w:rsidRPr="0071774C">
        <w:t>whether</w:t>
      </w:r>
      <w:r>
        <w:t xml:space="preserve"> the statements </w:t>
      </w:r>
      <w:r w:rsidRPr="0071774C">
        <w:t>have</w:t>
      </w:r>
      <w:r>
        <w:t xml:space="preserve"> </w:t>
      </w:r>
      <w:r w:rsidRPr="0071774C">
        <w:t>led</w:t>
      </w:r>
      <w:r>
        <w:t xml:space="preserve"> </w:t>
      </w:r>
      <w:r w:rsidRPr="0071774C">
        <w:t>to</w:t>
      </w:r>
      <w:r>
        <w:t xml:space="preserve"> </w:t>
      </w:r>
      <w:r w:rsidRPr="0071774C">
        <w:t>concrete</w:t>
      </w:r>
      <w:r>
        <w:t xml:space="preserve"> </w:t>
      </w:r>
      <w:r w:rsidRPr="0071774C">
        <w:t>action.</w:t>
      </w:r>
      <w:r>
        <w:t xml:space="preserve"> </w:t>
      </w:r>
      <w:r w:rsidRPr="0071774C">
        <w:t>Some</w:t>
      </w:r>
      <w:r>
        <w:t xml:space="preserve"> </w:t>
      </w:r>
      <w:r w:rsidRPr="0071774C">
        <w:t>such</w:t>
      </w:r>
      <w:r>
        <w:t xml:space="preserve"> </w:t>
      </w:r>
      <w:r w:rsidRPr="0071774C">
        <w:t>commitments</w:t>
      </w:r>
      <w:r>
        <w:t xml:space="preserve"> </w:t>
      </w:r>
      <w:r w:rsidRPr="0071774C">
        <w:t>are</w:t>
      </w:r>
      <w:r>
        <w:t xml:space="preserve"> </w:t>
      </w:r>
      <w:r w:rsidRPr="0071774C">
        <w:t>noted</w:t>
      </w:r>
      <w:r>
        <w:t xml:space="preserve"> </w:t>
      </w:r>
      <w:r w:rsidRPr="0071774C">
        <w:t>in</w:t>
      </w:r>
      <w:r>
        <w:t xml:space="preserve"> </w:t>
      </w:r>
      <w:r w:rsidRPr="0071774C">
        <w:t>the</w:t>
      </w:r>
      <w:r>
        <w:t xml:space="preserve"> </w:t>
      </w:r>
      <w:r w:rsidRPr="0071774C">
        <w:t>Policy</w:t>
      </w:r>
      <w:r>
        <w:t xml:space="preserve"> </w:t>
      </w:r>
      <w:r w:rsidRPr="0071774C">
        <w:t>and</w:t>
      </w:r>
      <w:r>
        <w:t xml:space="preserve"> </w:t>
      </w:r>
      <w:r w:rsidRPr="0071774C">
        <w:t>Legislative</w:t>
      </w:r>
      <w:r>
        <w:t xml:space="preserve"> </w:t>
      </w:r>
      <w:r w:rsidRPr="0071774C">
        <w:t>Reform</w:t>
      </w:r>
      <w:r>
        <w:t xml:space="preserve"> </w:t>
      </w:r>
      <w:r w:rsidRPr="0071774C">
        <w:t>and</w:t>
      </w:r>
      <w:r>
        <w:t xml:space="preserve"> </w:t>
      </w:r>
      <w:r w:rsidRPr="0071774C">
        <w:t>Quality</w:t>
      </w:r>
      <w:r>
        <w:t xml:space="preserve"> Primary </w:t>
      </w:r>
      <w:r w:rsidRPr="0071774C">
        <w:t>Prevention</w:t>
      </w:r>
      <w:r>
        <w:t xml:space="preserve"> </w:t>
      </w:r>
      <w:r w:rsidRPr="0071774C">
        <w:t>Programming</w:t>
      </w:r>
      <w:r>
        <w:t xml:space="preserve"> </w:t>
      </w:r>
      <w:r w:rsidRPr="0071774C">
        <w:t>sections</w:t>
      </w:r>
      <w:r>
        <w:t xml:space="preserve"> </w:t>
      </w:r>
      <w:r w:rsidRPr="0071774C">
        <w:t>of</w:t>
      </w:r>
      <w:r>
        <w:t xml:space="preserve"> </w:t>
      </w:r>
      <w:r w:rsidRPr="0071774C">
        <w:t>this</w:t>
      </w:r>
      <w:r>
        <w:t xml:space="preserve"> </w:t>
      </w:r>
      <w:r w:rsidRPr="0071774C">
        <w:t>report.</w:t>
      </w:r>
      <w:r>
        <w:t xml:space="preserve"> </w:t>
      </w:r>
      <w:r w:rsidRPr="0071774C">
        <w:t>Future</w:t>
      </w:r>
      <w:r>
        <w:t xml:space="preserve"> </w:t>
      </w:r>
      <w:r w:rsidRPr="0071774C">
        <w:t>monitoring</w:t>
      </w:r>
      <w:r>
        <w:t xml:space="preserve"> </w:t>
      </w:r>
      <w:r w:rsidRPr="0071774C">
        <w:t>reports</w:t>
      </w:r>
      <w:r>
        <w:t xml:space="preserve"> </w:t>
      </w:r>
      <w:r w:rsidRPr="0071774C">
        <w:t>could</w:t>
      </w:r>
      <w:r>
        <w:t xml:space="preserve"> </w:t>
      </w:r>
      <w:r w:rsidRPr="0071774C">
        <w:t>explore</w:t>
      </w:r>
      <w:r>
        <w:t xml:space="preserve"> </w:t>
      </w:r>
      <w:r w:rsidRPr="0071774C">
        <w:t>what</w:t>
      </w:r>
      <w:r>
        <w:t xml:space="preserve"> </w:t>
      </w:r>
      <w:r w:rsidRPr="0071774C">
        <w:t>kinds</w:t>
      </w:r>
      <w:r>
        <w:t xml:space="preserve"> </w:t>
      </w:r>
      <w:r w:rsidRPr="0071774C">
        <w:t>of</w:t>
      </w:r>
      <w:r>
        <w:t xml:space="preserve"> </w:t>
      </w:r>
      <w:r w:rsidRPr="0071774C">
        <w:t>leadership</w:t>
      </w:r>
      <w:r>
        <w:t xml:space="preserve"> </w:t>
      </w:r>
      <w:r w:rsidRPr="0071774C">
        <w:t>actions</w:t>
      </w:r>
      <w:r>
        <w:t xml:space="preserve"> </w:t>
      </w:r>
      <w:r w:rsidRPr="0071774C">
        <w:t>and</w:t>
      </w:r>
      <w:r>
        <w:t xml:space="preserve"> </w:t>
      </w:r>
      <w:r w:rsidRPr="0071774C">
        <w:t>styles</w:t>
      </w:r>
      <w:r>
        <w:t xml:space="preserve"> </w:t>
      </w:r>
      <w:r w:rsidRPr="0071774C">
        <w:t>are</w:t>
      </w:r>
      <w:r>
        <w:t xml:space="preserve"> </w:t>
      </w:r>
      <w:r w:rsidRPr="0071774C">
        <w:t>most</w:t>
      </w:r>
      <w:r>
        <w:t xml:space="preserve"> </w:t>
      </w:r>
      <w:r w:rsidRPr="0071774C">
        <w:t>likely</w:t>
      </w:r>
      <w:r>
        <w:t xml:space="preserve"> </w:t>
      </w:r>
      <w:r w:rsidRPr="0071774C">
        <w:t>to</w:t>
      </w:r>
      <w:r>
        <w:t xml:space="preserve"> </w:t>
      </w:r>
      <w:r w:rsidRPr="0071774C">
        <w:t>lead</w:t>
      </w:r>
      <w:r>
        <w:t xml:space="preserve"> </w:t>
      </w:r>
      <w:r w:rsidRPr="0071774C">
        <w:t>to</w:t>
      </w:r>
      <w:r>
        <w:t xml:space="preserve"> </w:t>
      </w:r>
      <w:r w:rsidRPr="0071774C">
        <w:t>transformative</w:t>
      </w:r>
      <w:r>
        <w:t xml:space="preserve"> </w:t>
      </w:r>
      <w:r w:rsidRPr="0071774C">
        <w:t>change</w:t>
      </w:r>
      <w:r>
        <w:t xml:space="preserve"> </w:t>
      </w:r>
      <w:r w:rsidRPr="0071774C">
        <w:t>to</w:t>
      </w:r>
      <w:r>
        <w:t xml:space="preserve"> </w:t>
      </w:r>
      <w:r w:rsidRPr="0071774C">
        <w:t>prevent</w:t>
      </w:r>
      <w:r>
        <w:t xml:space="preserve"> </w:t>
      </w:r>
      <w:r w:rsidRPr="0071774C">
        <w:t>violence</w:t>
      </w:r>
      <w:r>
        <w:t xml:space="preserve"> </w:t>
      </w:r>
      <w:r w:rsidRPr="0071774C">
        <w:t>against</w:t>
      </w:r>
      <w:r>
        <w:t xml:space="preserve"> </w:t>
      </w:r>
      <w:r w:rsidRPr="0071774C">
        <w:t>women.</w:t>
      </w:r>
    </w:p>
    <w:p w14:paraId="779C9546" w14:textId="77777777" w:rsidR="00A856D3" w:rsidRPr="00A856D3" w:rsidRDefault="00A856D3" w:rsidP="00A856D3">
      <w:pPr>
        <w:pStyle w:val="BodyText"/>
      </w:pPr>
      <w:bookmarkStart w:id="31" w:name="_Toc41559715"/>
      <w:r w:rsidRPr="00A856D3">
        <w:br w:type="page"/>
      </w:r>
    </w:p>
    <w:p w14:paraId="17A3FFA4" w14:textId="0D685BF6" w:rsidR="002C2EC7" w:rsidRDefault="002C2EC7" w:rsidP="006C6CFA">
      <w:pPr>
        <w:pStyle w:val="Heading5"/>
      </w:pPr>
      <w:r w:rsidRPr="0071774C">
        <w:lastRenderedPageBreak/>
        <w:t>Workplaces</w:t>
      </w:r>
      <w:r>
        <w:t xml:space="preserve"> </w:t>
      </w:r>
      <w:r w:rsidRPr="0071774C">
        <w:t>have</w:t>
      </w:r>
      <w:r>
        <w:t xml:space="preserve"> </w:t>
      </w:r>
      <w:r w:rsidRPr="0071774C">
        <w:t>domestic</w:t>
      </w:r>
      <w:r>
        <w:t xml:space="preserve"> </w:t>
      </w:r>
      <w:r w:rsidRPr="0071774C">
        <w:t>violence</w:t>
      </w:r>
      <w:r>
        <w:t xml:space="preserve"> </w:t>
      </w:r>
      <w:r w:rsidRPr="0071774C">
        <w:t>leave,</w:t>
      </w:r>
      <w:r>
        <w:t xml:space="preserve"> </w:t>
      </w:r>
      <w:r w:rsidRPr="0071774C">
        <w:t>parental</w:t>
      </w:r>
      <w:r>
        <w:t xml:space="preserve"> </w:t>
      </w:r>
      <w:r w:rsidRPr="0071774C">
        <w:t>leave</w:t>
      </w:r>
      <w:r>
        <w:t xml:space="preserve"> </w:t>
      </w:r>
      <w:r w:rsidRPr="0071774C">
        <w:t>and</w:t>
      </w:r>
      <w:r w:rsidR="006C6CFA">
        <w:t xml:space="preserve"> </w:t>
      </w:r>
      <w:r w:rsidRPr="0071774C">
        <w:t>flexible</w:t>
      </w:r>
      <w:r>
        <w:t xml:space="preserve"> </w:t>
      </w:r>
      <w:r w:rsidRPr="0071774C">
        <w:t>work</w:t>
      </w:r>
      <w:r w:rsidR="006C6CFA">
        <w:t> </w:t>
      </w:r>
      <w:r w:rsidRPr="0071774C">
        <w:t>provisions</w:t>
      </w:r>
      <w:bookmarkEnd w:id="31"/>
    </w:p>
    <w:p w14:paraId="0992F512" w14:textId="77777777" w:rsidR="002C2EC7" w:rsidRDefault="002C2EC7" w:rsidP="00790783">
      <w:pPr>
        <w:pStyle w:val="BodyText"/>
      </w:pPr>
      <w:r w:rsidRPr="0071774C">
        <w:t>Alongside</w:t>
      </w:r>
      <w:r>
        <w:t xml:space="preserve"> </w:t>
      </w:r>
      <w:r w:rsidRPr="0071774C">
        <w:t>public</w:t>
      </w:r>
      <w:r>
        <w:t xml:space="preserve"> </w:t>
      </w:r>
      <w:r w:rsidRPr="0071774C">
        <w:t>statements,</w:t>
      </w:r>
      <w:r>
        <w:t xml:space="preserve"> </w:t>
      </w:r>
      <w:r w:rsidRPr="0071774C">
        <w:t>the</w:t>
      </w:r>
      <w:r>
        <w:t xml:space="preserve"> </w:t>
      </w:r>
      <w:r w:rsidRPr="0071774C">
        <w:t>commitment</w:t>
      </w:r>
      <w:r>
        <w:t xml:space="preserve"> </w:t>
      </w:r>
      <w:r w:rsidRPr="0071774C">
        <w:t>of</w:t>
      </w:r>
      <w:r>
        <w:t xml:space="preserve"> </w:t>
      </w:r>
      <w:r w:rsidRPr="0071774C">
        <w:t>public</w:t>
      </w:r>
      <w:r>
        <w:t xml:space="preserve"> </w:t>
      </w:r>
      <w:r w:rsidRPr="0071774C">
        <w:t>and</w:t>
      </w:r>
      <w:r>
        <w:t xml:space="preserve"> </w:t>
      </w:r>
      <w:r w:rsidRPr="0071774C">
        <w:t>private</w:t>
      </w:r>
      <w:r>
        <w:t xml:space="preserve"> </w:t>
      </w:r>
      <w:r w:rsidRPr="0071774C">
        <w:t>sector</w:t>
      </w:r>
      <w:r>
        <w:t xml:space="preserve"> </w:t>
      </w:r>
      <w:r w:rsidRPr="0071774C">
        <w:t>institutions</w:t>
      </w:r>
      <w:r>
        <w:t xml:space="preserve"> </w:t>
      </w:r>
      <w:r w:rsidRPr="0071774C">
        <w:t>to</w:t>
      </w:r>
      <w:r>
        <w:t xml:space="preserve"> </w:t>
      </w:r>
      <w:r w:rsidRPr="0071774C">
        <w:t>integrating</w:t>
      </w:r>
      <w:r>
        <w:t xml:space="preserve"> </w:t>
      </w:r>
      <w:r w:rsidRPr="0071774C">
        <w:t>gender</w:t>
      </w:r>
      <w:r>
        <w:t xml:space="preserve"> </w:t>
      </w:r>
      <w:r w:rsidRPr="0071774C">
        <w:t>equality</w:t>
      </w:r>
      <w:r>
        <w:t xml:space="preserve"> </w:t>
      </w:r>
      <w:r w:rsidRPr="0071774C">
        <w:t>and</w:t>
      </w:r>
      <w:r>
        <w:t xml:space="preserve"> </w:t>
      </w:r>
      <w:r w:rsidRPr="0071774C">
        <w:t>the</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into</w:t>
      </w:r>
      <w:r>
        <w:t xml:space="preserve"> </w:t>
      </w:r>
      <w:r w:rsidRPr="0071774C">
        <w:t>their</w:t>
      </w:r>
      <w:r>
        <w:t xml:space="preserve"> </w:t>
      </w:r>
      <w:r w:rsidRPr="0071774C">
        <w:t>core</w:t>
      </w:r>
      <w:r>
        <w:t xml:space="preserve"> </w:t>
      </w:r>
      <w:r w:rsidRPr="0071774C">
        <w:t>business</w:t>
      </w:r>
      <w:r>
        <w:t xml:space="preserve"> </w:t>
      </w:r>
      <w:r w:rsidRPr="0071774C">
        <w:t>can</w:t>
      </w:r>
      <w:r>
        <w:t xml:space="preserve"> </w:t>
      </w:r>
      <w:r w:rsidRPr="0071774C">
        <w:t>be</w:t>
      </w:r>
      <w:r>
        <w:t xml:space="preserve"> </w:t>
      </w:r>
      <w:r w:rsidRPr="0071774C">
        <w:t>measured</w:t>
      </w:r>
      <w:r>
        <w:t xml:space="preserve"> </w:t>
      </w:r>
      <w:r w:rsidRPr="0071774C">
        <w:t>through</w:t>
      </w:r>
      <w:r>
        <w:t xml:space="preserve"> </w:t>
      </w:r>
      <w:r w:rsidRPr="0071774C">
        <w:t>practical</w:t>
      </w:r>
      <w:r>
        <w:t xml:space="preserve"> </w:t>
      </w:r>
      <w:r w:rsidRPr="0071774C">
        <w:t>actions.</w:t>
      </w:r>
    </w:p>
    <w:p w14:paraId="65D079BF" w14:textId="77777777" w:rsidR="002C2EC7" w:rsidRDefault="002C2EC7" w:rsidP="00790783">
      <w:pPr>
        <w:pStyle w:val="BodyText"/>
      </w:pPr>
      <w:r w:rsidRPr="0071774C">
        <w:t>This</w:t>
      </w:r>
      <w:r>
        <w:t xml:space="preserve"> </w:t>
      </w:r>
      <w:r w:rsidRPr="0071774C">
        <w:t>domain</w:t>
      </w:r>
      <w:r>
        <w:t xml:space="preserve"> </w:t>
      </w:r>
      <w:r w:rsidRPr="0071774C">
        <w:t>draws</w:t>
      </w:r>
      <w:r>
        <w:t xml:space="preserve"> </w:t>
      </w:r>
      <w:r w:rsidRPr="0071774C">
        <w:t>on</w:t>
      </w:r>
      <w:r>
        <w:t xml:space="preserve"> </w:t>
      </w:r>
      <w:r w:rsidRPr="0071774C">
        <w:t>data</w:t>
      </w:r>
      <w:r>
        <w:t xml:space="preserve"> </w:t>
      </w:r>
      <w:r w:rsidRPr="0071774C">
        <w:t>from</w:t>
      </w:r>
      <w:r>
        <w:t xml:space="preserve"> </w:t>
      </w:r>
      <w:r w:rsidRPr="0071774C">
        <w:t>the</w:t>
      </w:r>
      <w:r>
        <w:t xml:space="preserve"> </w:t>
      </w:r>
      <w:r w:rsidRPr="0071774C">
        <w:t>Workplace</w:t>
      </w:r>
      <w:r>
        <w:t xml:space="preserve"> </w:t>
      </w:r>
      <w:r w:rsidRPr="0071774C">
        <w:t>Gender</w:t>
      </w:r>
      <w:r>
        <w:t xml:space="preserve"> </w:t>
      </w:r>
      <w:r w:rsidRPr="0071774C">
        <w:t>Equality</w:t>
      </w:r>
      <w:r>
        <w:t xml:space="preserve"> </w:t>
      </w:r>
      <w:r w:rsidRPr="0071774C">
        <w:t>Agency</w:t>
      </w:r>
      <w:r>
        <w:t xml:space="preserve"> </w:t>
      </w:r>
      <w:r w:rsidRPr="0071774C">
        <w:t>(WGEA),</w:t>
      </w:r>
      <w:r w:rsidRPr="0071774C">
        <w:rPr>
          <w:rStyle w:val="EndnoteReference"/>
          <w:szCs w:val="22"/>
        </w:rPr>
        <w:endnoteReference w:id="32"/>
      </w:r>
      <w:r>
        <w:t xml:space="preserve"> </w:t>
      </w:r>
      <w:r w:rsidRPr="0071774C">
        <w:t>the</w:t>
      </w:r>
      <w:r>
        <w:t xml:space="preserve"> </w:t>
      </w:r>
      <w:r w:rsidRPr="0071774C">
        <w:t>statutory</w:t>
      </w:r>
      <w:r>
        <w:t xml:space="preserve"> </w:t>
      </w:r>
      <w:r w:rsidRPr="0071774C">
        <w:t>agency</w:t>
      </w:r>
      <w:r>
        <w:t xml:space="preserve"> </w:t>
      </w:r>
      <w:r w:rsidRPr="0071774C">
        <w:t>created</w:t>
      </w:r>
      <w:r>
        <w:t xml:space="preserve"> </w:t>
      </w:r>
      <w:r w:rsidRPr="0071774C">
        <w:t>by</w:t>
      </w:r>
      <w:r>
        <w:t xml:space="preserve"> </w:t>
      </w:r>
      <w:r w:rsidRPr="0071774C">
        <w:t>the</w:t>
      </w:r>
      <w:r>
        <w:t xml:space="preserve"> </w:t>
      </w:r>
      <w:r w:rsidRPr="00ED4674">
        <w:rPr>
          <w:rStyle w:val="Emphasis"/>
        </w:rPr>
        <w:t>Workplace Gender Equality Act 2012</w:t>
      </w:r>
      <w:r w:rsidRPr="0071774C">
        <w:t>.</w:t>
      </w:r>
      <w:r w:rsidRPr="0071774C">
        <w:rPr>
          <w:rStyle w:val="EndnoteReference"/>
          <w:szCs w:val="22"/>
        </w:rPr>
        <w:endnoteReference w:id="33"/>
      </w:r>
      <w:r>
        <w:rPr>
          <w:color w:val="D13438"/>
        </w:rPr>
        <w:t xml:space="preserve"> </w:t>
      </w:r>
      <w:r w:rsidRPr="0071774C">
        <w:t>This</w:t>
      </w:r>
      <w:r>
        <w:t xml:space="preserve"> </w:t>
      </w:r>
      <w:r w:rsidRPr="0071774C">
        <w:t>data</w:t>
      </w:r>
      <w:r>
        <w:t xml:space="preserve"> </w:t>
      </w:r>
      <w:r w:rsidRPr="0071774C">
        <w:t>provides</w:t>
      </w:r>
      <w:r>
        <w:t xml:space="preserve"> </w:t>
      </w:r>
      <w:r w:rsidRPr="0071774C">
        <w:t>insight</w:t>
      </w:r>
      <w:r>
        <w:t xml:space="preserve"> </w:t>
      </w:r>
      <w:r w:rsidRPr="0071774C">
        <w:t>into</w:t>
      </w:r>
      <w:r>
        <w:t xml:space="preserve"> </w:t>
      </w:r>
      <w:r w:rsidRPr="0071774C">
        <w:t>some</w:t>
      </w:r>
      <w:r>
        <w:t xml:space="preserve"> </w:t>
      </w:r>
      <w:r w:rsidRPr="0071774C">
        <w:t>of</w:t>
      </w:r>
      <w:r>
        <w:t xml:space="preserve"> </w:t>
      </w:r>
      <w:r w:rsidRPr="0071774C">
        <w:t>the</w:t>
      </w:r>
      <w:r>
        <w:t xml:space="preserve"> </w:t>
      </w:r>
      <w:r w:rsidRPr="0071774C">
        <w:t>efforts</w:t>
      </w:r>
      <w:r>
        <w:t xml:space="preserve"> </w:t>
      </w:r>
      <w:r w:rsidRPr="0071774C">
        <w:t>to</w:t>
      </w:r>
      <w:r>
        <w:t xml:space="preserve"> </w:t>
      </w:r>
      <w:r w:rsidRPr="0071774C">
        <w:t>embed</w:t>
      </w:r>
      <w:r>
        <w:t xml:space="preserve"> </w:t>
      </w:r>
      <w:r w:rsidRPr="0071774C">
        <w:t>gender</w:t>
      </w:r>
      <w:r>
        <w:t xml:space="preserve"> </w:t>
      </w:r>
      <w:r w:rsidRPr="0071774C">
        <w:t>equality</w:t>
      </w:r>
      <w:r>
        <w:t xml:space="preserve"> </w:t>
      </w:r>
      <w:r w:rsidRPr="0071774C">
        <w:t>actions</w:t>
      </w:r>
      <w:r>
        <w:t xml:space="preserve"> </w:t>
      </w:r>
      <w:r w:rsidRPr="0071774C">
        <w:t>in</w:t>
      </w:r>
      <w:r>
        <w:t xml:space="preserve"> </w:t>
      </w:r>
      <w:r w:rsidRPr="0071774C">
        <w:t>the</w:t>
      </w:r>
      <w:r>
        <w:t xml:space="preserve"> </w:t>
      </w:r>
      <w:r w:rsidRPr="0071774C">
        <w:t>daily</w:t>
      </w:r>
      <w:r>
        <w:t xml:space="preserve"> </w:t>
      </w:r>
      <w:r w:rsidRPr="0071774C">
        <w:t>work</w:t>
      </w:r>
      <w:r>
        <w:t xml:space="preserve"> </w:t>
      </w:r>
      <w:r w:rsidRPr="0071774C">
        <w:t>of</w:t>
      </w:r>
      <w:r>
        <w:t xml:space="preserve"> </w:t>
      </w:r>
      <w:r w:rsidRPr="0071774C">
        <w:t>non-public</w:t>
      </w:r>
      <w:r>
        <w:t xml:space="preserve"> </w:t>
      </w:r>
      <w:r w:rsidRPr="0071774C">
        <w:t>sector</w:t>
      </w:r>
      <w:r>
        <w:t xml:space="preserve"> </w:t>
      </w:r>
      <w:r w:rsidRPr="0071774C">
        <w:t>organisations</w:t>
      </w:r>
      <w:r>
        <w:t xml:space="preserve"> </w:t>
      </w:r>
      <w:r w:rsidRPr="0071774C">
        <w:t>with</w:t>
      </w:r>
      <w:r>
        <w:t xml:space="preserve"> </w:t>
      </w:r>
      <w:r w:rsidRPr="0071774C">
        <w:t>100</w:t>
      </w:r>
      <w:r>
        <w:t xml:space="preserve"> </w:t>
      </w:r>
      <w:r w:rsidRPr="0071774C">
        <w:t>or</w:t>
      </w:r>
      <w:r>
        <w:t xml:space="preserve"> </w:t>
      </w:r>
      <w:r w:rsidRPr="0071774C">
        <w:t>more</w:t>
      </w:r>
      <w:r>
        <w:t xml:space="preserve"> </w:t>
      </w:r>
      <w:r w:rsidRPr="0071774C">
        <w:t>employees.</w:t>
      </w:r>
      <w:r>
        <w:t xml:space="preserve"> </w:t>
      </w:r>
      <w:r w:rsidRPr="0071774C">
        <w:t>Alongside</w:t>
      </w:r>
      <w:r>
        <w:t xml:space="preserve"> </w:t>
      </w:r>
      <w:r w:rsidRPr="0071774C">
        <w:t>the</w:t>
      </w:r>
      <w:r>
        <w:t xml:space="preserve"> </w:t>
      </w:r>
      <w:r w:rsidRPr="0071774C">
        <w:t>WGEA</w:t>
      </w:r>
      <w:r>
        <w:t xml:space="preserve"> </w:t>
      </w:r>
      <w:r w:rsidRPr="0071774C">
        <w:t>data,</w:t>
      </w:r>
      <w:r>
        <w:t xml:space="preserve"> </w:t>
      </w:r>
      <w:r w:rsidRPr="0071774C">
        <w:t>information</w:t>
      </w:r>
      <w:r>
        <w:t xml:space="preserve"> </w:t>
      </w:r>
      <w:r w:rsidRPr="0071774C">
        <w:t>on</w:t>
      </w:r>
      <w:r>
        <w:t xml:space="preserve"> </w:t>
      </w:r>
      <w:r w:rsidRPr="0071774C">
        <w:t>public</w:t>
      </w:r>
      <w:r>
        <w:t xml:space="preserve"> </w:t>
      </w:r>
      <w:r w:rsidRPr="0071774C">
        <w:t>service</w:t>
      </w:r>
      <w:r>
        <w:t xml:space="preserve"> </w:t>
      </w:r>
      <w:r w:rsidRPr="0071774C">
        <w:t>entitlements</w:t>
      </w:r>
      <w:r>
        <w:t xml:space="preserve"> </w:t>
      </w:r>
      <w:r w:rsidRPr="0071774C">
        <w:t>gathered</w:t>
      </w:r>
      <w:r>
        <w:t xml:space="preserve"> </w:t>
      </w:r>
      <w:r w:rsidRPr="0071774C">
        <w:t>through</w:t>
      </w:r>
      <w:r>
        <w:t xml:space="preserve"> </w:t>
      </w:r>
      <w:r w:rsidRPr="0071774C">
        <w:t>a</w:t>
      </w:r>
      <w:r>
        <w:t xml:space="preserve"> </w:t>
      </w:r>
      <w:r w:rsidRPr="0071774C">
        <w:t>desktop</w:t>
      </w:r>
      <w:r>
        <w:t xml:space="preserve"> </w:t>
      </w:r>
      <w:r w:rsidRPr="0071774C">
        <w:t>scan</w:t>
      </w:r>
      <w:r>
        <w:t xml:space="preserve"> </w:t>
      </w:r>
      <w:r w:rsidRPr="0071774C">
        <w:t>of</w:t>
      </w:r>
      <w:r>
        <w:t xml:space="preserve"> </w:t>
      </w:r>
      <w:r w:rsidRPr="0071774C">
        <w:t>publicly</w:t>
      </w:r>
      <w:r>
        <w:t xml:space="preserve"> </w:t>
      </w:r>
      <w:r w:rsidRPr="0071774C">
        <w:t>available</w:t>
      </w:r>
      <w:r>
        <w:t xml:space="preserve"> </w:t>
      </w:r>
      <w:r w:rsidRPr="0071774C">
        <w:t>information</w:t>
      </w:r>
      <w:r>
        <w:t xml:space="preserve"> </w:t>
      </w:r>
      <w:r w:rsidRPr="0071774C">
        <w:t>from</w:t>
      </w:r>
      <w:r>
        <w:t xml:space="preserve"> </w:t>
      </w:r>
      <w:r w:rsidRPr="0071774C">
        <w:t>Commonwealth,</w:t>
      </w:r>
      <w:r>
        <w:t xml:space="preserve"> s</w:t>
      </w:r>
      <w:r w:rsidRPr="0071774C">
        <w:t>tate</w:t>
      </w:r>
      <w:r>
        <w:t xml:space="preserve"> </w:t>
      </w:r>
      <w:r w:rsidRPr="0071774C">
        <w:t>and</w:t>
      </w:r>
      <w:r>
        <w:t xml:space="preserve"> t</w:t>
      </w:r>
      <w:r w:rsidRPr="0071774C">
        <w:t>erritory</w:t>
      </w:r>
      <w:r>
        <w:t xml:space="preserve"> </w:t>
      </w:r>
      <w:r w:rsidRPr="0071774C">
        <w:t>employers</w:t>
      </w:r>
      <w:r>
        <w:t xml:space="preserve"> </w:t>
      </w:r>
      <w:r w:rsidRPr="0071774C">
        <w:t>has</w:t>
      </w:r>
      <w:r>
        <w:t xml:space="preserve"> </w:t>
      </w:r>
      <w:r w:rsidRPr="0071774C">
        <w:t>also</w:t>
      </w:r>
      <w:r>
        <w:t xml:space="preserve"> </w:t>
      </w:r>
      <w:r w:rsidRPr="0071774C">
        <w:t>been</w:t>
      </w:r>
      <w:r>
        <w:t xml:space="preserve"> </w:t>
      </w:r>
      <w:r w:rsidRPr="0071774C">
        <w:t>analysed.</w:t>
      </w:r>
    </w:p>
    <w:p w14:paraId="09DB75CC" w14:textId="77777777" w:rsidR="002C2EC7" w:rsidRDefault="002C2EC7" w:rsidP="00790783">
      <w:pPr>
        <w:pStyle w:val="Heading6"/>
      </w:pPr>
      <w:r w:rsidRPr="0071774C">
        <w:t>Domestic</w:t>
      </w:r>
      <w:r>
        <w:t xml:space="preserve"> </w:t>
      </w:r>
      <w:r w:rsidRPr="0071774C">
        <w:t>and</w:t>
      </w:r>
      <w:r>
        <w:t xml:space="preserve"> </w:t>
      </w:r>
      <w:r w:rsidRPr="0071774C">
        <w:t>family</w:t>
      </w:r>
      <w:r>
        <w:t xml:space="preserve"> </w:t>
      </w:r>
      <w:r w:rsidRPr="0071774C">
        <w:t>violence</w:t>
      </w:r>
      <w:r>
        <w:t xml:space="preserve"> </w:t>
      </w:r>
      <w:r w:rsidRPr="0071774C">
        <w:t>leave</w:t>
      </w:r>
    </w:p>
    <w:p w14:paraId="4342CBAE" w14:textId="72D1FCA0" w:rsidR="002C2EC7" w:rsidRDefault="002C2EC7" w:rsidP="00790783">
      <w:pPr>
        <w:pStyle w:val="BodyText"/>
      </w:pPr>
      <w:r w:rsidRPr="0071774C">
        <w:t>WGEA</w:t>
      </w:r>
      <w:r w:rsidRPr="0071774C">
        <w:rPr>
          <w:rStyle w:val="EndnoteReference"/>
          <w:szCs w:val="22"/>
        </w:rPr>
        <w:endnoteReference w:id="34"/>
      </w:r>
      <w:r>
        <w:t xml:space="preserve"> </w:t>
      </w:r>
      <w:r w:rsidRPr="0071774C">
        <w:t>data</w:t>
      </w:r>
      <w:r>
        <w:t xml:space="preserve"> </w:t>
      </w:r>
      <w:r w:rsidRPr="0071774C">
        <w:t>demonstrates</w:t>
      </w:r>
      <w:r>
        <w:t xml:space="preserve"> </w:t>
      </w:r>
      <w:r w:rsidRPr="0071774C">
        <w:t>an</w:t>
      </w:r>
      <w:r>
        <w:t xml:space="preserve"> </w:t>
      </w:r>
      <w:r w:rsidRPr="0071774C">
        <w:t>increase</w:t>
      </w:r>
      <w:r>
        <w:t xml:space="preserve"> </w:t>
      </w:r>
      <w:r w:rsidRPr="0071774C">
        <w:t>in</w:t>
      </w:r>
      <w:r>
        <w:t xml:space="preserve"> </w:t>
      </w:r>
      <w:r w:rsidRPr="0071774C">
        <w:t>the</w:t>
      </w:r>
      <w:r>
        <w:t xml:space="preserve"> </w:t>
      </w:r>
      <w:r w:rsidRPr="0071774C">
        <w:t>number</w:t>
      </w:r>
      <w:r>
        <w:t xml:space="preserve"> </w:t>
      </w:r>
      <w:r w:rsidRPr="0071774C">
        <w:t>of</w:t>
      </w:r>
      <w:r>
        <w:t xml:space="preserve"> </w:t>
      </w:r>
      <w:r w:rsidRPr="0071774C">
        <w:t>organisations</w:t>
      </w:r>
      <w:r>
        <w:t xml:space="preserve"> </w:t>
      </w:r>
      <w:r w:rsidRPr="0071774C">
        <w:t>that</w:t>
      </w:r>
      <w:r>
        <w:t xml:space="preserve"> </w:t>
      </w:r>
      <w:r w:rsidRPr="0071774C">
        <w:t>have</w:t>
      </w:r>
      <w:r>
        <w:t xml:space="preserve"> </w:t>
      </w:r>
      <w:r w:rsidRPr="0071774C">
        <w:t>implemented</w:t>
      </w:r>
      <w:r>
        <w:t xml:space="preserve"> </w:t>
      </w:r>
      <w:r w:rsidRPr="0071774C">
        <w:t>domestic</w:t>
      </w:r>
      <w:r>
        <w:t xml:space="preserve"> </w:t>
      </w:r>
      <w:r w:rsidRPr="0071774C">
        <w:t>and</w:t>
      </w:r>
      <w:r>
        <w:t xml:space="preserve"> </w:t>
      </w:r>
      <w:r w:rsidRPr="0071774C">
        <w:t>family</w:t>
      </w:r>
      <w:r>
        <w:t xml:space="preserve"> </w:t>
      </w:r>
      <w:r w:rsidRPr="0071774C">
        <w:t>violence</w:t>
      </w:r>
      <w:r>
        <w:t xml:space="preserve"> </w:t>
      </w:r>
      <w:r w:rsidRPr="0071774C">
        <w:t>leave</w:t>
      </w:r>
      <w:r>
        <w:t xml:space="preserve"> </w:t>
      </w:r>
      <w:r w:rsidRPr="0071774C">
        <w:t>policies</w:t>
      </w:r>
      <w:r>
        <w:t xml:space="preserve"> </w:t>
      </w:r>
      <w:r w:rsidRPr="0071774C">
        <w:t>and/or</w:t>
      </w:r>
      <w:r>
        <w:t xml:space="preserve"> </w:t>
      </w:r>
      <w:r w:rsidRPr="0071774C">
        <w:t>strategies</w:t>
      </w:r>
      <w:r>
        <w:t xml:space="preserve"> </w:t>
      </w:r>
      <w:r w:rsidRPr="0071774C">
        <w:t>for</w:t>
      </w:r>
      <w:r>
        <w:t xml:space="preserve"> </w:t>
      </w:r>
      <w:r w:rsidRPr="0071774C">
        <w:t>their</w:t>
      </w:r>
      <w:r>
        <w:t xml:space="preserve"> </w:t>
      </w:r>
      <w:r w:rsidRPr="0071774C">
        <w:t>employees</w:t>
      </w:r>
      <w:r>
        <w:t xml:space="preserve"> </w:t>
      </w:r>
      <w:r w:rsidRPr="0071774C">
        <w:t>across</w:t>
      </w:r>
      <w:r>
        <w:t xml:space="preserve"> </w:t>
      </w:r>
      <w:r w:rsidRPr="0071774C">
        <w:t>all</w:t>
      </w:r>
      <w:r>
        <w:t xml:space="preserve"> </w:t>
      </w:r>
      <w:r w:rsidRPr="0071774C">
        <w:t>industries</w:t>
      </w:r>
      <w:r>
        <w:t xml:space="preserve"> </w:t>
      </w:r>
      <w:r w:rsidRPr="0071774C">
        <w:t>and</w:t>
      </w:r>
      <w:r>
        <w:t xml:space="preserve"> </w:t>
      </w:r>
      <w:r w:rsidRPr="0071774C">
        <w:t>companies</w:t>
      </w:r>
      <w:r>
        <w:t xml:space="preserve"> </w:t>
      </w:r>
      <w:r w:rsidRPr="0071774C">
        <w:t>of</w:t>
      </w:r>
      <w:r>
        <w:t xml:space="preserve"> </w:t>
      </w:r>
      <w:r w:rsidRPr="0071774C">
        <w:t>all</w:t>
      </w:r>
      <w:r>
        <w:t xml:space="preserve"> </w:t>
      </w:r>
      <w:r w:rsidRPr="0071774C">
        <w:t>sizes</w:t>
      </w:r>
      <w:r>
        <w:t xml:space="preserve"> </w:t>
      </w:r>
      <w:r w:rsidRPr="0071774C">
        <w:t>since</w:t>
      </w:r>
      <w:r>
        <w:t xml:space="preserve"> </w:t>
      </w:r>
      <w:r w:rsidRPr="0071774C">
        <w:t>2014.</w:t>
      </w:r>
      <w:r>
        <w:t xml:space="preserve"> </w:t>
      </w:r>
      <w:r w:rsidRPr="0071774C">
        <w:t>In</w:t>
      </w:r>
      <w:r>
        <w:t xml:space="preserve"> </w:t>
      </w:r>
      <w:r w:rsidRPr="0071774C">
        <w:t>2019,</w:t>
      </w:r>
      <w:r>
        <w:t xml:space="preserve"> </w:t>
      </w:r>
      <w:r w:rsidRPr="0071774C">
        <w:t>60.2%</w:t>
      </w:r>
      <w:r>
        <w:t xml:space="preserve"> </w:t>
      </w:r>
      <w:r w:rsidRPr="0071774C">
        <w:t>of</w:t>
      </w:r>
      <w:r>
        <w:t xml:space="preserve"> </w:t>
      </w:r>
      <w:r w:rsidRPr="0071774C">
        <w:t>organisations</w:t>
      </w:r>
      <w:r>
        <w:t xml:space="preserve"> </w:t>
      </w:r>
      <w:r w:rsidRPr="0071774C">
        <w:t>reporting</w:t>
      </w:r>
      <w:r>
        <w:t xml:space="preserve"> </w:t>
      </w:r>
      <w:r w:rsidRPr="0071774C">
        <w:t>to</w:t>
      </w:r>
      <w:r>
        <w:t xml:space="preserve"> </w:t>
      </w:r>
      <w:r w:rsidRPr="0071774C">
        <w:t>WGEA</w:t>
      </w:r>
      <w:r>
        <w:t xml:space="preserve"> </w:t>
      </w:r>
      <w:r w:rsidRPr="0071774C">
        <w:t>indicated</w:t>
      </w:r>
      <w:r>
        <w:t xml:space="preserve"> that </w:t>
      </w:r>
      <w:r w:rsidRPr="0071774C">
        <w:t>they</w:t>
      </w:r>
      <w:r>
        <w:t xml:space="preserve"> </w:t>
      </w:r>
      <w:r w:rsidRPr="0071774C">
        <w:t>had</w:t>
      </w:r>
      <w:r>
        <w:t xml:space="preserve"> </w:t>
      </w:r>
      <w:r w:rsidRPr="0071774C">
        <w:t>implemented</w:t>
      </w:r>
      <w:r>
        <w:t xml:space="preserve"> </w:t>
      </w:r>
      <w:r w:rsidRPr="0071774C">
        <w:t>a</w:t>
      </w:r>
      <w:r>
        <w:t xml:space="preserve"> </w:t>
      </w:r>
      <w:r w:rsidRPr="0071774C">
        <w:t>formal</w:t>
      </w:r>
      <w:r>
        <w:t xml:space="preserve"> </w:t>
      </w:r>
      <w:r w:rsidRPr="0071774C">
        <w:t>policy</w:t>
      </w:r>
      <w:r>
        <w:t xml:space="preserve"> </w:t>
      </w:r>
      <w:r w:rsidRPr="0071774C">
        <w:t>or</w:t>
      </w:r>
      <w:r>
        <w:t xml:space="preserve"> </w:t>
      </w:r>
      <w:r w:rsidRPr="0071774C">
        <w:t>strategy</w:t>
      </w:r>
      <w:r>
        <w:t xml:space="preserve"> </w:t>
      </w:r>
      <w:r w:rsidRPr="0071774C">
        <w:t>to</w:t>
      </w:r>
      <w:r>
        <w:t xml:space="preserve"> </w:t>
      </w:r>
      <w:r w:rsidRPr="0071774C">
        <w:t>support</w:t>
      </w:r>
      <w:r>
        <w:t xml:space="preserve"> </w:t>
      </w:r>
      <w:r w:rsidRPr="0071774C">
        <w:t>employees</w:t>
      </w:r>
      <w:r>
        <w:t xml:space="preserve"> </w:t>
      </w:r>
      <w:r w:rsidRPr="0071774C">
        <w:t>who</w:t>
      </w:r>
      <w:r>
        <w:t xml:space="preserve"> </w:t>
      </w:r>
      <w:r w:rsidRPr="0071774C">
        <w:t>are</w:t>
      </w:r>
      <w:r>
        <w:t xml:space="preserve"> </w:t>
      </w:r>
      <w:r w:rsidRPr="0071774C">
        <w:t>experiencing</w:t>
      </w:r>
      <w:r>
        <w:t xml:space="preserve"> </w:t>
      </w:r>
      <w:r w:rsidRPr="0071774C">
        <w:t>family</w:t>
      </w:r>
      <w:r>
        <w:t xml:space="preserve"> </w:t>
      </w:r>
      <w:r w:rsidRPr="0071774C">
        <w:t>or</w:t>
      </w:r>
      <w:r>
        <w:t xml:space="preserve"> </w:t>
      </w:r>
      <w:r w:rsidRPr="0071774C">
        <w:t>domestic</w:t>
      </w:r>
      <w:r>
        <w:t xml:space="preserve"> </w:t>
      </w:r>
      <w:r w:rsidRPr="0071774C">
        <w:t>violence</w:t>
      </w:r>
      <w:r>
        <w:t xml:space="preserve"> </w:t>
      </w:r>
      <w:r w:rsidRPr="0071774C">
        <w:t>–</w:t>
      </w:r>
      <w:r>
        <w:t xml:space="preserve"> </w:t>
      </w:r>
      <w:r w:rsidRPr="0071774C">
        <w:t>an</w:t>
      </w:r>
      <w:r>
        <w:t xml:space="preserve"> </w:t>
      </w:r>
      <w:r w:rsidRPr="0071774C">
        <w:t>increase</w:t>
      </w:r>
      <w:r>
        <w:t xml:space="preserve"> </w:t>
      </w:r>
      <w:r w:rsidRPr="0071774C">
        <w:t>of</w:t>
      </w:r>
      <w:r>
        <w:t xml:space="preserve"> </w:t>
      </w:r>
      <w:r w:rsidRPr="0071774C">
        <w:t>2</w:t>
      </w:r>
      <w:r w:rsidR="00451FF8">
        <w:t>8</w:t>
      </w:r>
      <w:r w:rsidRPr="0071774C">
        <w:t>%</w:t>
      </w:r>
      <w:r>
        <w:t xml:space="preserve"> </w:t>
      </w:r>
      <w:r w:rsidRPr="0071774C">
        <w:t>since</w:t>
      </w:r>
      <w:r>
        <w:t xml:space="preserve"> </w:t>
      </w:r>
      <w:r w:rsidRPr="0071774C">
        <w:t>2014</w:t>
      </w:r>
      <w:r>
        <w:t>.</w:t>
      </w:r>
      <w:r w:rsidRPr="0071774C">
        <w:rPr>
          <w:rStyle w:val="EndnoteReference"/>
          <w:szCs w:val="22"/>
        </w:rPr>
        <w:endnoteReference w:id="35"/>
      </w:r>
      <w:r>
        <w:t xml:space="preserve"> </w:t>
      </w:r>
      <w:r w:rsidRPr="0071774C">
        <w:t>The</w:t>
      </w:r>
      <w:r>
        <w:t xml:space="preserve"> </w:t>
      </w:r>
      <w:r w:rsidRPr="0071774C">
        <w:t>most</w:t>
      </w:r>
      <w:r>
        <w:t xml:space="preserve"> </w:t>
      </w:r>
      <w:r w:rsidRPr="0071774C">
        <w:t>common</w:t>
      </w:r>
      <w:r>
        <w:t xml:space="preserve"> </w:t>
      </w:r>
      <w:r w:rsidRPr="0071774C">
        <w:t>measures</w:t>
      </w:r>
      <w:r>
        <w:t xml:space="preserve"> </w:t>
      </w:r>
      <w:r w:rsidRPr="0071774C">
        <w:t>offered</w:t>
      </w:r>
      <w:r>
        <w:t xml:space="preserve"> </w:t>
      </w:r>
      <w:r w:rsidRPr="0071774C">
        <w:t>by</w:t>
      </w:r>
      <w:r>
        <w:t xml:space="preserve"> </w:t>
      </w:r>
      <w:r w:rsidRPr="0071774C">
        <w:t>organisations</w:t>
      </w:r>
      <w:r>
        <w:t xml:space="preserve"> </w:t>
      </w:r>
      <w:r w:rsidRPr="0071774C">
        <w:t>to</w:t>
      </w:r>
      <w:r w:rsidR="008123A4">
        <w:t xml:space="preserve"> </w:t>
      </w:r>
      <w:r w:rsidRPr="0071774C">
        <w:t>staff</w:t>
      </w:r>
      <w:r w:rsidR="008123A4">
        <w:t> </w:t>
      </w:r>
      <w:r w:rsidRPr="0071774C">
        <w:t>who</w:t>
      </w:r>
      <w:r>
        <w:t xml:space="preserve"> </w:t>
      </w:r>
      <w:r w:rsidRPr="0071774C">
        <w:t>are</w:t>
      </w:r>
      <w:r>
        <w:t xml:space="preserve"> </w:t>
      </w:r>
      <w:r w:rsidRPr="0071774C">
        <w:t>experiencing</w:t>
      </w:r>
      <w:r>
        <w:t xml:space="preserve"> </w:t>
      </w:r>
      <w:r w:rsidRPr="0071774C">
        <w:t>domestic</w:t>
      </w:r>
      <w:r>
        <w:t xml:space="preserve"> </w:t>
      </w:r>
      <w:r w:rsidRPr="0071774C">
        <w:t>and</w:t>
      </w:r>
      <w:r>
        <w:t xml:space="preserve"> </w:t>
      </w:r>
      <w:r w:rsidRPr="0071774C">
        <w:t>family</w:t>
      </w:r>
      <w:r>
        <w:t xml:space="preserve"> </w:t>
      </w:r>
      <w:r w:rsidRPr="0071774C">
        <w:t>violence</w:t>
      </w:r>
      <w:r>
        <w:t xml:space="preserve"> </w:t>
      </w:r>
      <w:r w:rsidRPr="0071774C">
        <w:t>in</w:t>
      </w:r>
      <w:r>
        <w:t xml:space="preserve"> </w:t>
      </w:r>
      <w:r w:rsidRPr="0071774C">
        <w:t>2019</w:t>
      </w:r>
      <w:r>
        <w:t xml:space="preserve"> </w:t>
      </w:r>
      <w:r w:rsidRPr="0071774C">
        <w:t>were:</w:t>
      </w:r>
    </w:p>
    <w:p w14:paraId="748CB15E" w14:textId="77777777" w:rsidR="002C2EC7" w:rsidRDefault="002C2EC7" w:rsidP="00790783">
      <w:pPr>
        <w:pStyle w:val="OWBullet1"/>
      </w:pPr>
      <w:r w:rsidRPr="0071774C">
        <w:t>access</w:t>
      </w:r>
      <w:r>
        <w:t xml:space="preserve"> </w:t>
      </w:r>
      <w:r w:rsidRPr="0071774C">
        <w:t>to</w:t>
      </w:r>
      <w:r>
        <w:t xml:space="preserve"> </w:t>
      </w:r>
      <w:r w:rsidRPr="0071774C">
        <w:t>Employee</w:t>
      </w:r>
      <w:r>
        <w:t xml:space="preserve"> </w:t>
      </w:r>
      <w:r w:rsidRPr="0071774C">
        <w:t>Assistance</w:t>
      </w:r>
      <w:r>
        <w:t xml:space="preserve"> </w:t>
      </w:r>
      <w:r w:rsidRPr="0071774C">
        <w:t>Programs</w:t>
      </w:r>
      <w:r>
        <w:t xml:space="preserve"> </w:t>
      </w:r>
      <w:r w:rsidRPr="0071774C">
        <w:t>(EAP)</w:t>
      </w:r>
      <w:r>
        <w:t xml:space="preserve"> </w:t>
      </w:r>
      <w:r w:rsidRPr="0071774C">
        <w:t>(79.0%)</w:t>
      </w:r>
    </w:p>
    <w:p w14:paraId="547D5736" w14:textId="77777777" w:rsidR="002C2EC7" w:rsidRDefault="002C2EC7" w:rsidP="00790783">
      <w:pPr>
        <w:pStyle w:val="OWBullet1"/>
      </w:pPr>
      <w:r w:rsidRPr="0071774C">
        <w:t>access</w:t>
      </w:r>
      <w:r>
        <w:t xml:space="preserve"> </w:t>
      </w:r>
      <w:r w:rsidRPr="0071774C">
        <w:t>to</w:t>
      </w:r>
      <w:r>
        <w:t xml:space="preserve"> </w:t>
      </w:r>
      <w:r w:rsidRPr="0071774C">
        <w:t>any</w:t>
      </w:r>
      <w:r>
        <w:t xml:space="preserve"> </w:t>
      </w:r>
      <w:r w:rsidRPr="0071774C">
        <w:t>leave</w:t>
      </w:r>
      <w:r>
        <w:t xml:space="preserve"> </w:t>
      </w:r>
      <w:r w:rsidRPr="0071774C">
        <w:t>(78.1%)</w:t>
      </w:r>
    </w:p>
    <w:p w14:paraId="67879A64" w14:textId="77777777" w:rsidR="002C2EC7" w:rsidRDefault="002C2EC7" w:rsidP="00790783">
      <w:pPr>
        <w:pStyle w:val="OWBullet1"/>
      </w:pPr>
      <w:r w:rsidRPr="0071774C">
        <w:t>flexible</w:t>
      </w:r>
      <w:r>
        <w:t xml:space="preserve"> </w:t>
      </w:r>
      <w:r w:rsidRPr="0071774C">
        <w:t>working</w:t>
      </w:r>
      <w:r>
        <w:t xml:space="preserve"> </w:t>
      </w:r>
      <w:r w:rsidRPr="0071774C">
        <w:t>arrangements</w:t>
      </w:r>
      <w:r>
        <w:t xml:space="preserve"> </w:t>
      </w:r>
      <w:r w:rsidRPr="0071774C">
        <w:t>(73.6%).</w:t>
      </w:r>
    </w:p>
    <w:p w14:paraId="583ADE1F" w14:textId="699C2E0D" w:rsidR="002C2EC7" w:rsidRPr="0071774C" w:rsidRDefault="002C2EC7" w:rsidP="00745297">
      <w:pPr>
        <w:pStyle w:val="OWBodytextafterlist"/>
      </w:pPr>
      <w:r w:rsidRPr="0071774C">
        <w:t>The</w:t>
      </w:r>
      <w:r>
        <w:t xml:space="preserve"> </w:t>
      </w:r>
      <w:r w:rsidRPr="0071774C">
        <w:t>greatest</w:t>
      </w:r>
      <w:r>
        <w:t xml:space="preserve"> </w:t>
      </w:r>
      <w:r w:rsidRPr="0071774C">
        <w:t>change</w:t>
      </w:r>
      <w:r>
        <w:t xml:space="preserve"> </w:t>
      </w:r>
      <w:r w:rsidRPr="0071774C">
        <w:t>was</w:t>
      </w:r>
      <w:r>
        <w:t xml:space="preserve"> </w:t>
      </w:r>
      <w:r w:rsidRPr="0071774C">
        <w:t>seen</w:t>
      </w:r>
      <w:r>
        <w:t xml:space="preserve"> </w:t>
      </w:r>
      <w:r w:rsidRPr="0071774C">
        <w:t>with</w:t>
      </w:r>
      <w:r>
        <w:t xml:space="preserve"> </w:t>
      </w:r>
      <w:r w:rsidRPr="0071774C">
        <w:t>regard</w:t>
      </w:r>
      <w:r>
        <w:t xml:space="preserve"> </w:t>
      </w:r>
      <w:r w:rsidRPr="0071774C">
        <w:t>to</w:t>
      </w:r>
      <w:r>
        <w:t xml:space="preserve"> </w:t>
      </w:r>
      <w:r w:rsidRPr="0071774C">
        <w:t>staff</w:t>
      </w:r>
      <w:r>
        <w:t xml:space="preserve"> </w:t>
      </w:r>
      <w:r w:rsidRPr="0071774C">
        <w:t>being</w:t>
      </w:r>
      <w:r>
        <w:t xml:space="preserve"> </w:t>
      </w:r>
      <w:r w:rsidRPr="0071774C">
        <w:t>able</w:t>
      </w:r>
      <w:r>
        <w:t xml:space="preserve"> </w:t>
      </w:r>
      <w:r w:rsidRPr="0071774C">
        <w:t>to</w:t>
      </w:r>
      <w:r>
        <w:t xml:space="preserve"> </w:t>
      </w:r>
      <w:r w:rsidRPr="0071774C">
        <w:t>access</w:t>
      </w:r>
      <w:r>
        <w:t xml:space="preserve"> </w:t>
      </w:r>
      <w:r w:rsidRPr="0071774C">
        <w:t>leave</w:t>
      </w:r>
      <w:r>
        <w:t xml:space="preserve"> </w:t>
      </w:r>
      <w:r w:rsidRPr="0071774C">
        <w:t>for</w:t>
      </w:r>
      <w:r>
        <w:t xml:space="preserve"> </w:t>
      </w:r>
      <w:r w:rsidRPr="0071774C">
        <w:t>domestic</w:t>
      </w:r>
      <w:r>
        <w:t xml:space="preserve"> </w:t>
      </w:r>
      <w:r w:rsidRPr="0071774C">
        <w:t>and</w:t>
      </w:r>
      <w:r>
        <w:t xml:space="preserve"> </w:t>
      </w:r>
      <w:r w:rsidRPr="0071774C">
        <w:t>family</w:t>
      </w:r>
      <w:r>
        <w:t xml:space="preserve"> </w:t>
      </w:r>
      <w:r w:rsidRPr="0071774C">
        <w:t>violence</w:t>
      </w:r>
      <w:r>
        <w:t xml:space="preserve"> </w:t>
      </w:r>
      <w:r w:rsidRPr="0071774C">
        <w:t>reasons,</w:t>
      </w:r>
      <w:r>
        <w:t xml:space="preserve"> </w:t>
      </w:r>
      <w:r w:rsidRPr="0071774C">
        <w:t>with</w:t>
      </w:r>
      <w:r>
        <w:t xml:space="preserve"> </w:t>
      </w:r>
      <w:r w:rsidRPr="0071774C">
        <w:t>a</w:t>
      </w:r>
      <w:r>
        <w:t xml:space="preserve"> </w:t>
      </w:r>
      <w:r w:rsidRPr="0071774C">
        <w:t>29.</w:t>
      </w:r>
      <w:r w:rsidR="00127A1B">
        <w:t>5</w:t>
      </w:r>
      <w:r w:rsidRPr="0071774C">
        <w:t>%</w:t>
      </w:r>
      <w:r>
        <w:t xml:space="preserve"> </w:t>
      </w:r>
      <w:r w:rsidRPr="0071774C">
        <w:t>increase</w:t>
      </w:r>
      <w:r>
        <w:t xml:space="preserve"> </w:t>
      </w:r>
      <w:r w:rsidRPr="0071774C">
        <w:t>from</w:t>
      </w:r>
      <w:r>
        <w:t xml:space="preserve"> </w:t>
      </w:r>
      <w:r w:rsidRPr="0071774C">
        <w:t>2014</w:t>
      </w:r>
      <w:r>
        <w:t xml:space="preserve"> </w:t>
      </w:r>
      <w:r w:rsidRPr="0071774C">
        <w:t>to</w:t>
      </w:r>
      <w:r>
        <w:t xml:space="preserve"> </w:t>
      </w:r>
      <w:r w:rsidRPr="0071774C">
        <w:t>2019</w:t>
      </w:r>
      <w:r>
        <w:t xml:space="preserve"> </w:t>
      </w:r>
      <w:r w:rsidRPr="0071774C">
        <w:t>in</w:t>
      </w:r>
      <w:r>
        <w:t xml:space="preserve"> </w:t>
      </w:r>
      <w:r w:rsidRPr="0071774C">
        <w:t>the</w:t>
      </w:r>
      <w:r>
        <w:t xml:space="preserve"> </w:t>
      </w:r>
      <w:r w:rsidRPr="0071774C">
        <w:t>number</w:t>
      </w:r>
      <w:r>
        <w:t xml:space="preserve"> </w:t>
      </w:r>
      <w:r w:rsidRPr="0071774C">
        <w:t>of</w:t>
      </w:r>
      <w:r>
        <w:t xml:space="preserve"> </w:t>
      </w:r>
      <w:r w:rsidRPr="0071774C">
        <w:t>organisations</w:t>
      </w:r>
      <w:r>
        <w:t xml:space="preserve"> </w:t>
      </w:r>
      <w:r w:rsidRPr="0071774C">
        <w:t>offering</w:t>
      </w:r>
      <w:r>
        <w:t xml:space="preserve"> </w:t>
      </w:r>
      <w:r w:rsidRPr="0071774C">
        <w:t>this</w:t>
      </w:r>
      <w:r>
        <w:t xml:space="preserve"> </w:t>
      </w:r>
      <w:r w:rsidRPr="0071774C">
        <w:t>provision.</w:t>
      </w:r>
      <w:r>
        <w:t xml:space="preserve"> </w:t>
      </w:r>
      <w:r w:rsidRPr="0071774C">
        <w:t>The</w:t>
      </w:r>
      <w:r>
        <w:t xml:space="preserve"> </w:t>
      </w:r>
      <w:r w:rsidRPr="0071774C">
        <w:t>next</w:t>
      </w:r>
      <w:r>
        <w:t xml:space="preserve"> </w:t>
      </w:r>
      <w:r w:rsidRPr="0071774C">
        <w:t>most</w:t>
      </w:r>
      <w:r>
        <w:t xml:space="preserve"> </w:t>
      </w:r>
      <w:r w:rsidRPr="0071774C">
        <w:t>frequent</w:t>
      </w:r>
      <w:r>
        <w:t xml:space="preserve"> </w:t>
      </w:r>
      <w:r w:rsidRPr="0071774C">
        <w:t>change</w:t>
      </w:r>
      <w:r>
        <w:t xml:space="preserve"> </w:t>
      </w:r>
      <w:r w:rsidRPr="0071774C">
        <w:t>was</w:t>
      </w:r>
      <w:r>
        <w:t xml:space="preserve"> </w:t>
      </w:r>
      <w:r w:rsidRPr="0071774C">
        <w:t>in</w:t>
      </w:r>
      <w:r>
        <w:t xml:space="preserve"> </w:t>
      </w:r>
      <w:r w:rsidRPr="0071774C">
        <w:t>the</w:t>
      </w:r>
      <w:r>
        <w:t xml:space="preserve"> </w:t>
      </w:r>
      <w:r w:rsidRPr="0071774C">
        <w:t>number</w:t>
      </w:r>
      <w:r>
        <w:t xml:space="preserve"> </w:t>
      </w:r>
      <w:r w:rsidRPr="0071774C">
        <w:t>of</w:t>
      </w:r>
      <w:r>
        <w:t xml:space="preserve"> </w:t>
      </w:r>
      <w:r w:rsidRPr="0071774C">
        <w:t>organisations</w:t>
      </w:r>
      <w:r>
        <w:t xml:space="preserve"> </w:t>
      </w:r>
      <w:r w:rsidRPr="0071774C">
        <w:t>offering</w:t>
      </w:r>
      <w:r>
        <w:t xml:space="preserve"> </w:t>
      </w:r>
      <w:r w:rsidRPr="0071774C">
        <w:t>flexible</w:t>
      </w:r>
      <w:r>
        <w:t xml:space="preserve"> </w:t>
      </w:r>
      <w:r w:rsidRPr="0071774C">
        <w:t>work</w:t>
      </w:r>
      <w:r>
        <w:t xml:space="preserve"> </w:t>
      </w:r>
      <w:r w:rsidRPr="0071774C">
        <w:t>arrangements</w:t>
      </w:r>
      <w:r>
        <w:t xml:space="preserve"> </w:t>
      </w:r>
      <w:r w:rsidR="00763BD4">
        <w:t>a</w:t>
      </w:r>
      <w:r w:rsidR="00133D5E">
        <w:t xml:space="preserve">s a measure of support </w:t>
      </w:r>
      <w:r w:rsidRPr="0071774C">
        <w:t>in</w:t>
      </w:r>
      <w:r>
        <w:t xml:space="preserve"> </w:t>
      </w:r>
      <w:r w:rsidRPr="0071774C">
        <w:t>response</w:t>
      </w:r>
      <w:r>
        <w:t xml:space="preserve"> </w:t>
      </w:r>
      <w:r w:rsidRPr="0071774C">
        <w:t>to</w:t>
      </w:r>
      <w:r>
        <w:t xml:space="preserve"> </w:t>
      </w:r>
      <w:r w:rsidRPr="0071774C">
        <w:t>domestic</w:t>
      </w:r>
      <w:r>
        <w:t xml:space="preserve"> </w:t>
      </w:r>
      <w:r w:rsidRPr="0071774C">
        <w:t>and</w:t>
      </w:r>
      <w:r>
        <w:t xml:space="preserve"> </w:t>
      </w:r>
      <w:r w:rsidRPr="0071774C">
        <w:t>family</w:t>
      </w:r>
      <w:r>
        <w:t xml:space="preserve"> </w:t>
      </w:r>
      <w:r w:rsidRPr="0071774C">
        <w:t>violence</w:t>
      </w:r>
      <w:r>
        <w:t>,</w:t>
      </w:r>
      <w:r w:rsidRPr="0071774C">
        <w:rPr>
          <w:rStyle w:val="EndnoteReference"/>
          <w:szCs w:val="22"/>
        </w:rPr>
        <w:endnoteReference w:id="36"/>
      </w:r>
      <w:r>
        <w:t xml:space="preserve"> </w:t>
      </w:r>
      <w:r w:rsidRPr="0071774C">
        <w:t>with</w:t>
      </w:r>
      <w:r>
        <w:t xml:space="preserve"> </w:t>
      </w:r>
      <w:r w:rsidRPr="0071774C">
        <w:t>an</w:t>
      </w:r>
      <w:r>
        <w:t xml:space="preserve"> </w:t>
      </w:r>
      <w:r w:rsidRPr="0071774C">
        <w:t>increase</w:t>
      </w:r>
      <w:r>
        <w:t xml:space="preserve"> </w:t>
      </w:r>
      <w:r w:rsidRPr="0071774C">
        <w:t>of</w:t>
      </w:r>
      <w:r>
        <w:t xml:space="preserve"> </w:t>
      </w:r>
      <w:r w:rsidRPr="0071774C">
        <w:t>25%</w:t>
      </w:r>
      <w:r>
        <w:t xml:space="preserve"> </w:t>
      </w:r>
      <w:r w:rsidRPr="0071774C">
        <w:t>from</w:t>
      </w:r>
      <w:r>
        <w:t xml:space="preserve"> </w:t>
      </w:r>
      <w:r w:rsidRPr="0071774C">
        <w:t>2016</w:t>
      </w:r>
      <w:r>
        <w:t xml:space="preserve"> </w:t>
      </w:r>
      <w:r w:rsidRPr="0071774C">
        <w:t>to</w:t>
      </w:r>
      <w:r>
        <w:t xml:space="preserve"> </w:t>
      </w:r>
      <w:r w:rsidRPr="0071774C">
        <w:t>2019.</w:t>
      </w:r>
      <w:r>
        <w:t xml:space="preserve"> </w:t>
      </w:r>
      <w:r w:rsidRPr="0071774C">
        <w:t>In</w:t>
      </w:r>
      <w:r>
        <w:t xml:space="preserve"> </w:t>
      </w:r>
      <w:r w:rsidRPr="0071774C">
        <w:t>2019,</w:t>
      </w:r>
      <w:r>
        <w:t xml:space="preserve"> </w:t>
      </w:r>
      <w:r w:rsidRPr="0071774C">
        <w:t>the</w:t>
      </w:r>
      <w:r>
        <w:t xml:space="preserve"> </w:t>
      </w:r>
      <w:r w:rsidRPr="0071774C">
        <w:t>least</w:t>
      </w:r>
      <w:r>
        <w:t xml:space="preserve"> </w:t>
      </w:r>
      <w:r w:rsidRPr="0071774C">
        <w:t>common</w:t>
      </w:r>
      <w:r>
        <w:t xml:space="preserve"> </w:t>
      </w:r>
      <w:r w:rsidRPr="0071774C">
        <w:t>measures</w:t>
      </w:r>
      <w:r>
        <w:t xml:space="preserve"> </w:t>
      </w:r>
      <w:r w:rsidRPr="0071774C">
        <w:t>implemented</w:t>
      </w:r>
      <w:r>
        <w:t xml:space="preserve"> </w:t>
      </w:r>
      <w:r w:rsidRPr="0071774C">
        <w:t>by</w:t>
      </w:r>
      <w:r>
        <w:t xml:space="preserve"> </w:t>
      </w:r>
      <w:r w:rsidRPr="0071774C">
        <w:t>organisations</w:t>
      </w:r>
      <w:r>
        <w:t xml:space="preserve"> </w:t>
      </w:r>
      <w:r w:rsidRPr="0071774C">
        <w:t>were</w:t>
      </w:r>
      <w:r>
        <w:t xml:space="preserve"> </w:t>
      </w:r>
      <w:r w:rsidRPr="0071774C">
        <w:t>those</w:t>
      </w:r>
      <w:r>
        <w:t xml:space="preserve"> </w:t>
      </w:r>
      <w:r w:rsidRPr="0071774C">
        <w:t>requiring</w:t>
      </w:r>
      <w:r>
        <w:t xml:space="preserve"> </w:t>
      </w:r>
      <w:r w:rsidRPr="0071774C">
        <w:t>greater</w:t>
      </w:r>
      <w:r>
        <w:t xml:space="preserve"> </w:t>
      </w:r>
      <w:r w:rsidRPr="0071774C">
        <w:t>organisational</w:t>
      </w:r>
      <w:r>
        <w:t xml:space="preserve"> </w:t>
      </w:r>
      <w:r w:rsidRPr="0071774C">
        <w:t>investments</w:t>
      </w:r>
      <w:r>
        <w:t xml:space="preserve"> </w:t>
      </w:r>
      <w:r w:rsidRPr="0071774C">
        <w:t>(including</w:t>
      </w:r>
      <w:r>
        <w:t xml:space="preserve"> </w:t>
      </w:r>
      <w:r w:rsidRPr="0071774C">
        <w:t>financial</w:t>
      </w:r>
      <w:r>
        <w:t xml:space="preserve"> </w:t>
      </w:r>
      <w:r w:rsidRPr="0071774C">
        <w:t>investment,</w:t>
      </w:r>
      <w:r>
        <w:t xml:space="preserve"> </w:t>
      </w:r>
      <w:r w:rsidRPr="0071774C">
        <w:t>investment</w:t>
      </w:r>
      <w:r>
        <w:t xml:space="preserve"> </w:t>
      </w:r>
      <w:r w:rsidRPr="0071774C">
        <w:t>in</w:t>
      </w:r>
      <w:r>
        <w:t xml:space="preserve"> </w:t>
      </w:r>
      <w:r w:rsidRPr="0071774C">
        <w:t>specialised</w:t>
      </w:r>
      <w:r>
        <w:t xml:space="preserve"> </w:t>
      </w:r>
      <w:r w:rsidRPr="0071774C">
        <w:t>training</w:t>
      </w:r>
      <w:r>
        <w:t xml:space="preserve"> </w:t>
      </w:r>
      <w:r w:rsidRPr="0071774C">
        <w:t>for</w:t>
      </w:r>
      <w:r>
        <w:t xml:space="preserve"> </w:t>
      </w:r>
      <w:r w:rsidRPr="0071774C">
        <w:t>HR</w:t>
      </w:r>
      <w:r>
        <w:t xml:space="preserve"> </w:t>
      </w:r>
      <w:r w:rsidRPr="0071774C">
        <w:t>or</w:t>
      </w:r>
      <w:r>
        <w:t xml:space="preserve"> </w:t>
      </w:r>
      <w:r w:rsidRPr="0071774C">
        <w:t>development</w:t>
      </w:r>
      <w:r>
        <w:t xml:space="preserve"> </w:t>
      </w:r>
      <w:r w:rsidRPr="0071774C">
        <w:t>of</w:t>
      </w:r>
      <w:r>
        <w:t xml:space="preserve"> </w:t>
      </w:r>
      <w:r w:rsidRPr="0071774C">
        <w:t>new</w:t>
      </w:r>
      <w:r>
        <w:t xml:space="preserve"> </w:t>
      </w:r>
      <w:r w:rsidRPr="0071774C">
        <w:t>procedures).</w:t>
      </w:r>
      <w:r>
        <w:t xml:space="preserve"> </w:t>
      </w:r>
      <w:r w:rsidRPr="0071774C">
        <w:t>These</w:t>
      </w:r>
      <w:r>
        <w:t xml:space="preserve"> </w:t>
      </w:r>
      <w:r w:rsidRPr="0071774C">
        <w:t>included</w:t>
      </w:r>
      <w:r>
        <w:t xml:space="preserve"> </w:t>
      </w:r>
      <w:r w:rsidRPr="0071774C">
        <w:t>emergency</w:t>
      </w:r>
      <w:r>
        <w:t xml:space="preserve"> </w:t>
      </w:r>
      <w:r w:rsidRPr="0071774C">
        <w:t>accommodation</w:t>
      </w:r>
      <w:r>
        <w:t xml:space="preserve"> </w:t>
      </w:r>
      <w:r w:rsidRPr="0071774C">
        <w:t>assistance,</w:t>
      </w:r>
      <w:r>
        <w:t xml:space="preserve"> </w:t>
      </w:r>
      <w:r w:rsidRPr="0071774C">
        <w:t>workplace</w:t>
      </w:r>
      <w:r>
        <w:t xml:space="preserve"> </w:t>
      </w:r>
      <w:r w:rsidRPr="0071774C">
        <w:t>safety</w:t>
      </w:r>
      <w:r>
        <w:t xml:space="preserve"> </w:t>
      </w:r>
      <w:r w:rsidRPr="0071774C">
        <w:t>planning</w:t>
      </w:r>
      <w:r>
        <w:t xml:space="preserve"> </w:t>
      </w:r>
      <w:r w:rsidRPr="0071774C">
        <w:t>and</w:t>
      </w:r>
      <w:r>
        <w:t xml:space="preserve"> </w:t>
      </w:r>
      <w:r w:rsidRPr="0071774C">
        <w:t>medical</w:t>
      </w:r>
      <w:r>
        <w:t xml:space="preserve"> </w:t>
      </w:r>
      <w:r w:rsidRPr="0071774C">
        <w:t>services</w:t>
      </w:r>
      <w:r>
        <w:t xml:space="preserve"> </w:t>
      </w:r>
      <w:r w:rsidRPr="0071774C">
        <w:t>in</w:t>
      </w:r>
      <w:r>
        <w:t xml:space="preserve"> </w:t>
      </w:r>
      <w:r w:rsidRPr="0071774C">
        <w:t>response</w:t>
      </w:r>
      <w:r>
        <w:t xml:space="preserve"> </w:t>
      </w:r>
      <w:r w:rsidRPr="0071774C">
        <w:t>to</w:t>
      </w:r>
      <w:r>
        <w:t xml:space="preserve"> </w:t>
      </w:r>
      <w:r w:rsidRPr="0071774C">
        <w:t>staff</w:t>
      </w:r>
      <w:r>
        <w:t xml:space="preserve"> </w:t>
      </w:r>
      <w:r w:rsidRPr="0071774C">
        <w:t>members</w:t>
      </w:r>
      <w:r>
        <w:t xml:space="preserve"> </w:t>
      </w:r>
      <w:r w:rsidRPr="0071774C">
        <w:t>experiencing</w:t>
      </w:r>
      <w:r>
        <w:t xml:space="preserve"> </w:t>
      </w:r>
      <w:r w:rsidRPr="0071774C">
        <w:t>domestic</w:t>
      </w:r>
      <w:r>
        <w:t xml:space="preserve"> </w:t>
      </w:r>
      <w:r w:rsidRPr="0071774C">
        <w:t>and</w:t>
      </w:r>
      <w:r>
        <w:t xml:space="preserve"> </w:t>
      </w:r>
      <w:r w:rsidRPr="0071774C">
        <w:t>family</w:t>
      </w:r>
      <w:r>
        <w:t xml:space="preserve"> </w:t>
      </w:r>
      <w:r w:rsidRPr="0071774C">
        <w:t>violence</w:t>
      </w:r>
      <w:r>
        <w:t>.</w:t>
      </w:r>
      <w:r w:rsidRPr="0071774C">
        <w:rPr>
          <w:rStyle w:val="EndnoteReference"/>
          <w:szCs w:val="22"/>
        </w:rPr>
        <w:endnoteReference w:id="37"/>
      </w:r>
    </w:p>
    <w:p w14:paraId="65682566" w14:textId="77777777" w:rsidR="002C2EC7" w:rsidRDefault="002C2EC7" w:rsidP="00790783">
      <w:pPr>
        <w:pStyle w:val="BodyText"/>
      </w:pPr>
      <w:r w:rsidRPr="0071774C">
        <w:t>As</w:t>
      </w:r>
      <w:r>
        <w:t xml:space="preserve"> </w:t>
      </w:r>
      <w:r w:rsidRPr="0071774C">
        <w:t>the</w:t>
      </w:r>
      <w:r>
        <w:t xml:space="preserve"> </w:t>
      </w:r>
      <w:r w:rsidRPr="0071774C">
        <w:t>public</w:t>
      </w:r>
      <w:r>
        <w:t xml:space="preserve"> </w:t>
      </w:r>
      <w:r w:rsidRPr="0071774C">
        <w:t>sector</w:t>
      </w:r>
      <w:r>
        <w:t xml:space="preserve"> </w:t>
      </w:r>
      <w:r w:rsidRPr="0071774C">
        <w:t>does</w:t>
      </w:r>
      <w:r>
        <w:t xml:space="preserve"> </w:t>
      </w:r>
      <w:r w:rsidRPr="0071774C">
        <w:t>not</w:t>
      </w:r>
      <w:r>
        <w:t xml:space="preserve"> </w:t>
      </w:r>
      <w:r w:rsidRPr="0071774C">
        <w:t>report</w:t>
      </w:r>
      <w:r>
        <w:t xml:space="preserve"> </w:t>
      </w:r>
      <w:r w:rsidRPr="0071774C">
        <w:t>to</w:t>
      </w:r>
      <w:r>
        <w:t xml:space="preserve"> </w:t>
      </w:r>
      <w:r w:rsidRPr="0071774C">
        <w:t>the</w:t>
      </w:r>
      <w:r>
        <w:t xml:space="preserve"> WGEA</w:t>
      </w:r>
      <w:r w:rsidRPr="002F0FB1">
        <w:t>,</w:t>
      </w:r>
      <w:r>
        <w:t xml:space="preserve"> </w:t>
      </w:r>
      <w:r w:rsidRPr="002F0FB1">
        <w:t>the</w:t>
      </w:r>
      <w:r>
        <w:t xml:space="preserve"> following </w:t>
      </w:r>
      <w:r w:rsidRPr="002F0FB1">
        <w:t>data</w:t>
      </w:r>
      <w:r>
        <w:t xml:space="preserve"> </w:t>
      </w:r>
      <w:r w:rsidRPr="0071774C">
        <w:t>is</w:t>
      </w:r>
      <w:r>
        <w:t xml:space="preserve"> </w:t>
      </w:r>
      <w:r w:rsidRPr="0071774C">
        <w:t>not</w:t>
      </w:r>
      <w:r>
        <w:t xml:space="preserve"> </w:t>
      </w:r>
      <w:r w:rsidRPr="0071774C">
        <w:t>directly</w:t>
      </w:r>
      <w:r>
        <w:t xml:space="preserve"> </w:t>
      </w:r>
      <w:r w:rsidRPr="00A1118A">
        <w:t>comparable,</w:t>
      </w:r>
      <w:r>
        <w:t xml:space="preserve"> </w:t>
      </w:r>
      <w:r w:rsidRPr="00A1118A">
        <w:t>but</w:t>
      </w:r>
      <w:r>
        <w:t xml:space="preserve"> </w:t>
      </w:r>
      <w:r w:rsidRPr="00A1118A">
        <w:t>it</w:t>
      </w:r>
      <w:r>
        <w:t xml:space="preserve"> </w:t>
      </w:r>
      <w:r w:rsidRPr="00A1118A">
        <w:t>does</w:t>
      </w:r>
      <w:r>
        <w:t xml:space="preserve"> </w:t>
      </w:r>
      <w:r w:rsidRPr="00A1118A">
        <w:t>provide</w:t>
      </w:r>
      <w:r>
        <w:t xml:space="preserve"> </w:t>
      </w:r>
      <w:r w:rsidRPr="00A1118A">
        <w:t>some</w:t>
      </w:r>
      <w:r>
        <w:t xml:space="preserve"> </w:t>
      </w:r>
      <w:r w:rsidRPr="00A1118A">
        <w:t>insight</w:t>
      </w:r>
      <w:r>
        <w:t xml:space="preserve"> </w:t>
      </w:r>
      <w:r w:rsidRPr="00A1118A">
        <w:t>into</w:t>
      </w:r>
      <w:r>
        <w:t xml:space="preserve"> </w:t>
      </w:r>
      <w:r w:rsidRPr="00A1118A">
        <w:t>the</w:t>
      </w:r>
      <w:r>
        <w:t xml:space="preserve"> </w:t>
      </w:r>
      <w:r w:rsidRPr="00A1118A">
        <w:t>actions</w:t>
      </w:r>
      <w:r>
        <w:t xml:space="preserve"> </w:t>
      </w:r>
      <w:r w:rsidRPr="00A1118A">
        <w:t>taken</w:t>
      </w:r>
      <w:r>
        <w:t xml:space="preserve"> </w:t>
      </w:r>
      <w:r w:rsidRPr="00A1118A">
        <w:t>by</w:t>
      </w:r>
      <w:r>
        <w:t xml:space="preserve"> </w:t>
      </w:r>
      <w:r w:rsidRPr="00A1118A">
        <w:t>public</w:t>
      </w:r>
      <w:r>
        <w:t xml:space="preserve"> </w:t>
      </w:r>
      <w:r w:rsidRPr="00A1118A">
        <w:t>sector</w:t>
      </w:r>
      <w:r>
        <w:t xml:space="preserve"> </w:t>
      </w:r>
      <w:r w:rsidRPr="00A1118A">
        <w:t>employers.</w:t>
      </w:r>
      <w:r>
        <w:t xml:space="preserve"> </w:t>
      </w:r>
      <w:r w:rsidRPr="00A1118A">
        <w:t>The</w:t>
      </w:r>
      <w:r>
        <w:t xml:space="preserve"> </w:t>
      </w:r>
      <w:r w:rsidRPr="00A1118A">
        <w:t>following</w:t>
      </w:r>
      <w:r>
        <w:t xml:space="preserve"> </w:t>
      </w:r>
      <w:r w:rsidRPr="00A1118A">
        <w:t>analysis</w:t>
      </w:r>
      <w:r>
        <w:t xml:space="preserve"> </w:t>
      </w:r>
      <w:r w:rsidRPr="00A1118A">
        <w:t>is</w:t>
      </w:r>
      <w:r>
        <w:t xml:space="preserve"> </w:t>
      </w:r>
      <w:r w:rsidRPr="00A1118A">
        <w:t>based</w:t>
      </w:r>
      <w:r>
        <w:t xml:space="preserve"> </w:t>
      </w:r>
      <w:r w:rsidRPr="00A1118A">
        <w:t>on</w:t>
      </w:r>
      <w:r>
        <w:t xml:space="preserve"> </w:t>
      </w:r>
      <w:r w:rsidRPr="00A1118A">
        <w:t>enterprise</w:t>
      </w:r>
      <w:r>
        <w:t xml:space="preserve"> </w:t>
      </w:r>
      <w:r w:rsidRPr="00A1118A">
        <w:t>bargaining</w:t>
      </w:r>
      <w:r>
        <w:t xml:space="preserve"> </w:t>
      </w:r>
      <w:r w:rsidRPr="00A1118A">
        <w:t>agreements</w:t>
      </w:r>
      <w:r>
        <w:t xml:space="preserve"> </w:t>
      </w:r>
      <w:r w:rsidRPr="00A1118A">
        <w:t>and</w:t>
      </w:r>
      <w:r>
        <w:t xml:space="preserve"> </w:t>
      </w:r>
      <w:r w:rsidRPr="00A1118A">
        <w:t>human</w:t>
      </w:r>
      <w:r>
        <w:t xml:space="preserve"> </w:t>
      </w:r>
      <w:r w:rsidRPr="00A1118A">
        <w:t>resource</w:t>
      </w:r>
      <w:r>
        <w:t xml:space="preserve"> </w:t>
      </w:r>
      <w:r w:rsidRPr="00A1118A">
        <w:t>policy</w:t>
      </w:r>
      <w:r>
        <w:t xml:space="preserve"> </w:t>
      </w:r>
      <w:r w:rsidRPr="00A1118A">
        <w:t>document</w:t>
      </w:r>
      <w:r w:rsidRPr="004B02DE">
        <w:t>s</w:t>
      </w:r>
      <w:r>
        <w:t xml:space="preserve"> </w:t>
      </w:r>
      <w:r w:rsidRPr="004B02DE">
        <w:t>that</w:t>
      </w:r>
      <w:r>
        <w:t xml:space="preserve"> </w:t>
      </w:r>
      <w:r w:rsidRPr="00A1118A">
        <w:t>were</w:t>
      </w:r>
      <w:r>
        <w:t xml:space="preserve"> </w:t>
      </w:r>
      <w:r w:rsidRPr="004B02DE">
        <w:t>publicly</w:t>
      </w:r>
      <w:r>
        <w:t xml:space="preserve"> </w:t>
      </w:r>
      <w:r w:rsidRPr="004B02DE">
        <w:t>available</w:t>
      </w:r>
      <w:r>
        <w:t xml:space="preserve"> </w:t>
      </w:r>
      <w:r w:rsidRPr="004B02DE">
        <w:t>and</w:t>
      </w:r>
      <w:r>
        <w:t xml:space="preserve"> </w:t>
      </w:r>
      <w:r w:rsidRPr="00A1118A">
        <w:t>able</w:t>
      </w:r>
      <w:r>
        <w:t xml:space="preserve"> </w:t>
      </w:r>
      <w:r w:rsidRPr="00A1118A">
        <w:t>to</w:t>
      </w:r>
      <w:r>
        <w:t xml:space="preserve"> </w:t>
      </w:r>
      <w:r w:rsidRPr="00A1118A">
        <w:t>be</w:t>
      </w:r>
      <w:r>
        <w:t xml:space="preserve"> </w:t>
      </w:r>
      <w:r w:rsidRPr="00A1118A">
        <w:t>uncovered</w:t>
      </w:r>
      <w:r>
        <w:t xml:space="preserve"> </w:t>
      </w:r>
      <w:r w:rsidRPr="00A1118A">
        <w:t>during</w:t>
      </w:r>
      <w:r>
        <w:t xml:space="preserve"> </w:t>
      </w:r>
      <w:r w:rsidRPr="00A1118A">
        <w:t>a</w:t>
      </w:r>
      <w:r>
        <w:t xml:space="preserve"> </w:t>
      </w:r>
      <w:r w:rsidRPr="00A1118A">
        <w:t>desktop</w:t>
      </w:r>
      <w:r>
        <w:t xml:space="preserve"> </w:t>
      </w:r>
      <w:r w:rsidRPr="00A1118A">
        <w:t>search.</w:t>
      </w:r>
      <w:r>
        <w:t xml:space="preserve"> </w:t>
      </w:r>
      <w:r w:rsidRPr="00A1118A">
        <w:t>The</w:t>
      </w:r>
      <w:r>
        <w:t xml:space="preserve"> </w:t>
      </w:r>
      <w:r w:rsidRPr="00A1118A">
        <w:t>search</w:t>
      </w:r>
      <w:r>
        <w:t xml:space="preserve"> </w:t>
      </w:r>
      <w:r w:rsidRPr="00A1118A">
        <w:t>terms</w:t>
      </w:r>
      <w:r>
        <w:t xml:space="preserve"> </w:t>
      </w:r>
      <w:r w:rsidRPr="00A1118A">
        <w:t>limited</w:t>
      </w:r>
      <w:r>
        <w:t xml:space="preserve"> </w:t>
      </w:r>
      <w:r w:rsidRPr="00A1118A">
        <w:t>the</w:t>
      </w:r>
      <w:r>
        <w:t xml:space="preserve"> </w:t>
      </w:r>
      <w:r w:rsidRPr="00A1118A">
        <w:t>search</w:t>
      </w:r>
      <w:r>
        <w:t xml:space="preserve"> </w:t>
      </w:r>
      <w:r w:rsidRPr="00A1118A">
        <w:t>to</w:t>
      </w:r>
      <w:r>
        <w:t xml:space="preserve"> </w:t>
      </w:r>
      <w:r w:rsidRPr="00A1118A">
        <w:t>broad</w:t>
      </w:r>
      <w:r>
        <w:t xml:space="preserve"> </w:t>
      </w:r>
      <w:r w:rsidRPr="00A1118A">
        <w:t>policies</w:t>
      </w:r>
      <w:r>
        <w:t xml:space="preserve"> </w:t>
      </w:r>
      <w:r w:rsidRPr="00A1118A">
        <w:t>and</w:t>
      </w:r>
      <w:r>
        <w:t xml:space="preserve"> </w:t>
      </w:r>
      <w:r w:rsidRPr="00A1118A">
        <w:t>enterprise</w:t>
      </w:r>
      <w:r>
        <w:t xml:space="preserve"> </w:t>
      </w:r>
      <w:r w:rsidRPr="00A1118A">
        <w:t>bargaining</w:t>
      </w:r>
      <w:r>
        <w:t xml:space="preserve"> </w:t>
      </w:r>
      <w:r w:rsidRPr="00A1118A">
        <w:t>agreements</w:t>
      </w:r>
      <w:r>
        <w:t xml:space="preserve"> </w:t>
      </w:r>
      <w:r w:rsidRPr="004B02DE">
        <w:t>that</w:t>
      </w:r>
      <w:r>
        <w:t xml:space="preserve"> </w:t>
      </w:r>
      <w:r w:rsidRPr="00A1118A">
        <w:t>apply</w:t>
      </w:r>
      <w:r>
        <w:t xml:space="preserve"> </w:t>
      </w:r>
      <w:r w:rsidRPr="00A1118A">
        <w:t>to</w:t>
      </w:r>
      <w:r>
        <w:t xml:space="preserve"> </w:t>
      </w:r>
      <w:r w:rsidRPr="00A1118A">
        <w:t>the</w:t>
      </w:r>
      <w:r>
        <w:t xml:space="preserve"> </w:t>
      </w:r>
      <w:r w:rsidRPr="00A1118A">
        <w:t>entire</w:t>
      </w:r>
      <w:r>
        <w:t xml:space="preserve"> </w:t>
      </w:r>
      <w:r w:rsidRPr="00A1118A">
        <w:t>public</w:t>
      </w:r>
      <w:r>
        <w:t xml:space="preserve"> </w:t>
      </w:r>
      <w:r w:rsidRPr="00A1118A">
        <w:t>service</w:t>
      </w:r>
      <w:r>
        <w:t xml:space="preserve"> </w:t>
      </w:r>
      <w:r w:rsidRPr="004B02DE">
        <w:t>or</w:t>
      </w:r>
      <w:r>
        <w:t xml:space="preserve"> </w:t>
      </w:r>
      <w:r w:rsidRPr="004B02DE">
        <w:t>are</w:t>
      </w:r>
      <w:r>
        <w:t xml:space="preserve"> </w:t>
      </w:r>
      <w:r w:rsidRPr="004B02DE">
        <w:t>recommended</w:t>
      </w:r>
      <w:r>
        <w:t xml:space="preserve"> </w:t>
      </w:r>
      <w:r w:rsidRPr="004B02DE">
        <w:t>conditions</w:t>
      </w:r>
      <w:r>
        <w:t xml:space="preserve"> </w:t>
      </w:r>
      <w:r w:rsidRPr="004B02DE">
        <w:t>of</w:t>
      </w:r>
      <w:r>
        <w:t xml:space="preserve"> </w:t>
      </w:r>
      <w:r w:rsidRPr="004B02DE">
        <w:t>employment</w:t>
      </w:r>
      <w:r>
        <w:t xml:space="preserve"> </w:t>
      </w:r>
      <w:r w:rsidRPr="004B02DE">
        <w:t>for</w:t>
      </w:r>
      <w:r>
        <w:t xml:space="preserve"> </w:t>
      </w:r>
      <w:r w:rsidRPr="004B02DE">
        <w:t>agencies.</w:t>
      </w:r>
      <w:r>
        <w:t xml:space="preserve"> </w:t>
      </w:r>
      <w:r w:rsidRPr="00A1118A">
        <w:t>As</w:t>
      </w:r>
      <w:r>
        <w:t xml:space="preserve"> </w:t>
      </w:r>
      <w:r w:rsidRPr="00A1118A">
        <w:t>such,</w:t>
      </w:r>
      <w:r>
        <w:t xml:space="preserve"> </w:t>
      </w:r>
      <w:r w:rsidRPr="00A1118A">
        <w:t>more</w:t>
      </w:r>
      <w:r>
        <w:t xml:space="preserve"> </w:t>
      </w:r>
      <w:r w:rsidRPr="00A1118A">
        <w:t>specific</w:t>
      </w:r>
      <w:r>
        <w:t xml:space="preserve"> </w:t>
      </w:r>
      <w:r w:rsidRPr="00A1118A">
        <w:t>agreements</w:t>
      </w:r>
      <w:r>
        <w:t xml:space="preserve"> </w:t>
      </w:r>
      <w:r w:rsidRPr="00A1118A">
        <w:t>related</w:t>
      </w:r>
      <w:r>
        <w:t xml:space="preserve"> </w:t>
      </w:r>
      <w:r w:rsidRPr="00A1118A">
        <w:t>to</w:t>
      </w:r>
      <w:r>
        <w:t xml:space="preserve"> </w:t>
      </w:r>
      <w:r w:rsidRPr="00A1118A">
        <w:t>particular</w:t>
      </w:r>
      <w:r>
        <w:t xml:space="preserve"> </w:t>
      </w:r>
      <w:r w:rsidRPr="004B02DE">
        <w:t>agencies</w:t>
      </w:r>
      <w:r>
        <w:t xml:space="preserve"> </w:t>
      </w:r>
      <w:r w:rsidRPr="004B02DE">
        <w:t>or</w:t>
      </w:r>
      <w:r>
        <w:t xml:space="preserve"> </w:t>
      </w:r>
      <w:r w:rsidRPr="00A1118A">
        <w:t>departments</w:t>
      </w:r>
      <w:r>
        <w:t xml:space="preserve"> </w:t>
      </w:r>
      <w:r w:rsidRPr="00A1118A">
        <w:t>or</w:t>
      </w:r>
      <w:r>
        <w:t xml:space="preserve"> </w:t>
      </w:r>
      <w:r w:rsidRPr="00A1118A">
        <w:t>public</w:t>
      </w:r>
      <w:r>
        <w:t xml:space="preserve"> </w:t>
      </w:r>
      <w:r w:rsidRPr="00A1118A">
        <w:t>service</w:t>
      </w:r>
      <w:r>
        <w:t xml:space="preserve"> </w:t>
      </w:r>
      <w:r w:rsidRPr="00A1118A">
        <w:t>employers</w:t>
      </w:r>
      <w:r>
        <w:t xml:space="preserve"> </w:t>
      </w:r>
      <w:r w:rsidRPr="004B02DE">
        <w:t>(which</w:t>
      </w:r>
      <w:r>
        <w:t xml:space="preserve"> </w:t>
      </w:r>
      <w:r w:rsidRPr="004B02DE">
        <w:t>may</w:t>
      </w:r>
      <w:r>
        <w:t xml:space="preserve"> </w:t>
      </w:r>
      <w:r w:rsidRPr="004B02DE">
        <w:t>provide</w:t>
      </w:r>
      <w:r>
        <w:t xml:space="preserve"> </w:t>
      </w:r>
      <w:r w:rsidRPr="004B02DE">
        <w:t>additional</w:t>
      </w:r>
      <w:r>
        <w:t xml:space="preserve"> </w:t>
      </w:r>
      <w:r w:rsidRPr="004B02DE">
        <w:t>entitlements)</w:t>
      </w:r>
      <w:r>
        <w:t xml:space="preserve"> </w:t>
      </w:r>
      <w:r w:rsidRPr="00A1118A">
        <w:t>have</w:t>
      </w:r>
      <w:r>
        <w:t xml:space="preserve"> </w:t>
      </w:r>
      <w:r w:rsidRPr="00A1118A">
        <w:t>not</w:t>
      </w:r>
      <w:r>
        <w:t xml:space="preserve"> </w:t>
      </w:r>
      <w:r w:rsidRPr="00A1118A">
        <w:t>been</w:t>
      </w:r>
      <w:r>
        <w:t xml:space="preserve"> </w:t>
      </w:r>
      <w:r w:rsidRPr="00A1118A">
        <w:t>captured</w:t>
      </w:r>
      <w:r>
        <w:t xml:space="preserve"> </w:t>
      </w:r>
      <w:r w:rsidRPr="00A1118A">
        <w:t>in</w:t>
      </w:r>
      <w:r>
        <w:t xml:space="preserve"> </w:t>
      </w:r>
      <w:r w:rsidRPr="00A1118A">
        <w:t>the</w:t>
      </w:r>
      <w:r>
        <w:t xml:space="preserve"> </w:t>
      </w:r>
      <w:r w:rsidRPr="00A1118A">
        <w:t>discussion</w:t>
      </w:r>
      <w:r>
        <w:t xml:space="preserve"> </w:t>
      </w:r>
      <w:r w:rsidRPr="00A1118A">
        <w:t>below.</w:t>
      </w:r>
    </w:p>
    <w:p w14:paraId="676FA799" w14:textId="0F38FEDF" w:rsidR="002C2EC7" w:rsidRDefault="002C2EC7" w:rsidP="00790783">
      <w:pPr>
        <w:pStyle w:val="BodyText"/>
      </w:pPr>
      <w:r w:rsidRPr="00A1118A">
        <w:lastRenderedPageBreak/>
        <w:t>Across</w:t>
      </w:r>
      <w:r>
        <w:t xml:space="preserve"> </w:t>
      </w:r>
      <w:r w:rsidRPr="00A1118A">
        <w:t>the</w:t>
      </w:r>
      <w:r>
        <w:t xml:space="preserve"> </w:t>
      </w:r>
      <w:r w:rsidRPr="00A1118A">
        <w:t>Commonwealth,</w:t>
      </w:r>
      <w:r>
        <w:t xml:space="preserve"> </w:t>
      </w:r>
      <w:r w:rsidRPr="00A1118A">
        <w:t>states</w:t>
      </w:r>
      <w:r>
        <w:t xml:space="preserve"> </w:t>
      </w:r>
      <w:r w:rsidRPr="00A1118A">
        <w:t>and</w:t>
      </w:r>
      <w:r>
        <w:t xml:space="preserve"> </w:t>
      </w:r>
      <w:r w:rsidRPr="00A1118A">
        <w:t>territories,</w:t>
      </w:r>
      <w:r>
        <w:t xml:space="preserve"> </w:t>
      </w:r>
      <w:r w:rsidRPr="00A1118A">
        <w:t>a</w:t>
      </w:r>
      <w:r w:rsidRPr="00A1118A">
        <w:rPr>
          <w:bCs/>
        </w:rPr>
        <w:t>ll</w:t>
      </w:r>
      <w:r>
        <w:rPr>
          <w:bCs/>
        </w:rPr>
        <w:t xml:space="preserve"> </w:t>
      </w:r>
      <w:r w:rsidRPr="00A1118A">
        <w:rPr>
          <w:bCs/>
        </w:rPr>
        <w:t>jurisdictions</w:t>
      </w:r>
      <w:r>
        <w:rPr>
          <w:bCs/>
        </w:rPr>
        <w:t xml:space="preserve"> </w:t>
      </w:r>
      <w:r w:rsidRPr="00A1118A">
        <w:rPr>
          <w:bCs/>
        </w:rPr>
        <w:t>have</w:t>
      </w:r>
      <w:r>
        <w:rPr>
          <w:bCs/>
        </w:rPr>
        <w:t xml:space="preserve"> </w:t>
      </w:r>
      <w:r w:rsidRPr="00A1118A">
        <w:rPr>
          <w:bCs/>
        </w:rPr>
        <w:t>implemented</w:t>
      </w:r>
      <w:r>
        <w:rPr>
          <w:bCs/>
        </w:rPr>
        <w:t xml:space="preserve"> </w:t>
      </w:r>
      <w:r w:rsidRPr="00A1118A">
        <w:rPr>
          <w:bCs/>
        </w:rPr>
        <w:t>some</w:t>
      </w:r>
      <w:r>
        <w:rPr>
          <w:bCs/>
        </w:rPr>
        <w:t xml:space="preserve"> </w:t>
      </w:r>
      <w:r w:rsidRPr="00A1118A">
        <w:rPr>
          <w:bCs/>
        </w:rPr>
        <w:t>form</w:t>
      </w:r>
      <w:r>
        <w:rPr>
          <w:bCs/>
        </w:rPr>
        <w:t xml:space="preserve"> </w:t>
      </w:r>
      <w:r w:rsidRPr="00A1118A">
        <w:rPr>
          <w:bCs/>
        </w:rPr>
        <w:t>of</w:t>
      </w:r>
      <w:r>
        <w:rPr>
          <w:bCs/>
        </w:rPr>
        <w:t xml:space="preserve"> </w:t>
      </w:r>
      <w:r w:rsidRPr="00A1118A">
        <w:rPr>
          <w:bCs/>
        </w:rPr>
        <w:t>domestic</w:t>
      </w:r>
      <w:r>
        <w:rPr>
          <w:bCs/>
        </w:rPr>
        <w:t xml:space="preserve"> </w:t>
      </w:r>
      <w:r w:rsidRPr="00A1118A">
        <w:rPr>
          <w:bCs/>
        </w:rPr>
        <w:t>and</w:t>
      </w:r>
      <w:r>
        <w:rPr>
          <w:bCs/>
        </w:rPr>
        <w:t xml:space="preserve"> </w:t>
      </w:r>
      <w:r w:rsidRPr="00A1118A">
        <w:rPr>
          <w:bCs/>
        </w:rPr>
        <w:t>family</w:t>
      </w:r>
      <w:r>
        <w:rPr>
          <w:bCs/>
        </w:rPr>
        <w:t xml:space="preserve"> </w:t>
      </w:r>
      <w:r w:rsidRPr="00A1118A">
        <w:rPr>
          <w:bCs/>
        </w:rPr>
        <w:t>violence</w:t>
      </w:r>
      <w:r>
        <w:rPr>
          <w:bCs/>
        </w:rPr>
        <w:t xml:space="preserve"> </w:t>
      </w:r>
      <w:r w:rsidRPr="00A1118A">
        <w:rPr>
          <w:bCs/>
        </w:rPr>
        <w:t>leave</w:t>
      </w:r>
      <w:r>
        <w:rPr>
          <w:bCs/>
        </w:rPr>
        <w:t xml:space="preserve"> </w:t>
      </w:r>
      <w:r w:rsidRPr="00A1118A">
        <w:rPr>
          <w:bCs/>
        </w:rPr>
        <w:t>for</w:t>
      </w:r>
      <w:r>
        <w:rPr>
          <w:bCs/>
        </w:rPr>
        <w:t xml:space="preserve"> </w:t>
      </w:r>
      <w:r w:rsidRPr="00A1118A">
        <w:rPr>
          <w:bCs/>
        </w:rPr>
        <w:t>full-time</w:t>
      </w:r>
      <w:r>
        <w:rPr>
          <w:bCs/>
        </w:rPr>
        <w:t xml:space="preserve"> </w:t>
      </w:r>
      <w:r w:rsidRPr="00A1118A">
        <w:rPr>
          <w:bCs/>
        </w:rPr>
        <w:t>and</w:t>
      </w:r>
      <w:r>
        <w:rPr>
          <w:bCs/>
        </w:rPr>
        <w:t xml:space="preserve"> </w:t>
      </w:r>
      <w:r w:rsidRPr="00A1118A">
        <w:rPr>
          <w:bCs/>
        </w:rPr>
        <w:t>part-time</w:t>
      </w:r>
      <w:r>
        <w:rPr>
          <w:bCs/>
        </w:rPr>
        <w:t xml:space="preserve"> </w:t>
      </w:r>
      <w:r w:rsidRPr="00A1118A">
        <w:rPr>
          <w:bCs/>
        </w:rPr>
        <w:t>staff</w:t>
      </w:r>
      <w:r>
        <w:rPr>
          <w:bCs/>
        </w:rPr>
        <w:t xml:space="preserve"> </w:t>
      </w:r>
      <w:r w:rsidRPr="00A1118A">
        <w:rPr>
          <w:bCs/>
        </w:rPr>
        <w:t>since</w:t>
      </w:r>
      <w:r>
        <w:rPr>
          <w:bCs/>
        </w:rPr>
        <w:t xml:space="preserve"> </w:t>
      </w:r>
      <w:r w:rsidRPr="00A1118A">
        <w:rPr>
          <w:bCs/>
        </w:rPr>
        <w:t>2013.</w:t>
      </w:r>
      <w:r>
        <w:t xml:space="preserve"> </w:t>
      </w:r>
      <w:r w:rsidRPr="00A1118A">
        <w:t>Leave</w:t>
      </w:r>
      <w:r>
        <w:t xml:space="preserve"> </w:t>
      </w:r>
      <w:r w:rsidRPr="00A1118A">
        <w:rPr>
          <w:bCs/>
        </w:rPr>
        <w:t>amounts</w:t>
      </w:r>
      <w:r>
        <w:rPr>
          <w:bCs/>
        </w:rPr>
        <w:t xml:space="preserve"> </w:t>
      </w:r>
      <w:r w:rsidRPr="00A1118A">
        <w:rPr>
          <w:bCs/>
        </w:rPr>
        <w:t>and</w:t>
      </w:r>
      <w:r>
        <w:rPr>
          <w:bCs/>
        </w:rPr>
        <w:t xml:space="preserve"> </w:t>
      </w:r>
      <w:r w:rsidRPr="00A1118A">
        <w:rPr>
          <w:bCs/>
        </w:rPr>
        <w:t>pay</w:t>
      </w:r>
      <w:r>
        <w:rPr>
          <w:bCs/>
        </w:rPr>
        <w:t xml:space="preserve"> </w:t>
      </w:r>
      <w:r w:rsidRPr="00A1118A">
        <w:rPr>
          <w:bCs/>
        </w:rPr>
        <w:t>offerings</w:t>
      </w:r>
      <w:r>
        <w:rPr>
          <w:bCs/>
        </w:rPr>
        <w:t xml:space="preserve"> </w:t>
      </w:r>
      <w:r w:rsidRPr="00A1118A">
        <w:rPr>
          <w:bCs/>
        </w:rPr>
        <w:t>varied,</w:t>
      </w:r>
      <w:r>
        <w:rPr>
          <w:bCs/>
        </w:rPr>
        <w:t xml:space="preserve"> </w:t>
      </w:r>
      <w:r w:rsidRPr="00A1118A">
        <w:rPr>
          <w:bCs/>
        </w:rPr>
        <w:t>from</w:t>
      </w:r>
      <w:r>
        <w:rPr>
          <w:bCs/>
        </w:rPr>
        <w:t xml:space="preserve"> </w:t>
      </w:r>
      <w:r w:rsidRPr="00A1118A">
        <w:rPr>
          <w:bCs/>
        </w:rPr>
        <w:t>five</w:t>
      </w:r>
      <w:r>
        <w:rPr>
          <w:bCs/>
        </w:rPr>
        <w:t xml:space="preserve"> </w:t>
      </w:r>
      <w:r w:rsidRPr="00A1118A">
        <w:rPr>
          <w:bCs/>
        </w:rPr>
        <w:t>days</w:t>
      </w:r>
      <w:r>
        <w:rPr>
          <w:bCs/>
        </w:rPr>
        <w:t xml:space="preserve"> </w:t>
      </w:r>
      <w:r w:rsidRPr="00A1118A">
        <w:rPr>
          <w:bCs/>
        </w:rPr>
        <w:t>of</w:t>
      </w:r>
      <w:r>
        <w:rPr>
          <w:bCs/>
        </w:rPr>
        <w:t xml:space="preserve"> </w:t>
      </w:r>
      <w:r w:rsidRPr="00A1118A">
        <w:rPr>
          <w:bCs/>
        </w:rPr>
        <w:t>unpaid</w:t>
      </w:r>
      <w:r>
        <w:rPr>
          <w:bCs/>
        </w:rPr>
        <w:t xml:space="preserve"> </w:t>
      </w:r>
      <w:r w:rsidRPr="00A1118A">
        <w:rPr>
          <w:bCs/>
        </w:rPr>
        <w:t>leave</w:t>
      </w:r>
      <w:r>
        <w:rPr>
          <w:bCs/>
        </w:rPr>
        <w:t xml:space="preserve"> </w:t>
      </w:r>
      <w:r w:rsidRPr="00A1118A">
        <w:rPr>
          <w:bCs/>
        </w:rPr>
        <w:t>to</w:t>
      </w:r>
      <w:r>
        <w:rPr>
          <w:bCs/>
        </w:rPr>
        <w:t xml:space="preserve"> </w:t>
      </w:r>
      <w:r w:rsidRPr="00A1118A">
        <w:rPr>
          <w:bCs/>
        </w:rPr>
        <w:t>twenty</w:t>
      </w:r>
      <w:r>
        <w:rPr>
          <w:bCs/>
        </w:rPr>
        <w:t xml:space="preserve"> </w:t>
      </w:r>
      <w:r w:rsidRPr="00A1118A">
        <w:rPr>
          <w:bCs/>
        </w:rPr>
        <w:t>days</w:t>
      </w:r>
      <w:r>
        <w:rPr>
          <w:bCs/>
        </w:rPr>
        <w:t xml:space="preserve"> </w:t>
      </w:r>
      <w:r w:rsidRPr="00A1118A">
        <w:rPr>
          <w:bCs/>
        </w:rPr>
        <w:t>of</w:t>
      </w:r>
      <w:r>
        <w:rPr>
          <w:bCs/>
        </w:rPr>
        <w:t xml:space="preserve"> </w:t>
      </w:r>
      <w:r w:rsidRPr="00A1118A">
        <w:rPr>
          <w:bCs/>
        </w:rPr>
        <w:t>paid</w:t>
      </w:r>
      <w:r>
        <w:rPr>
          <w:bCs/>
        </w:rPr>
        <w:t xml:space="preserve"> </w:t>
      </w:r>
      <w:r w:rsidRPr="00A1118A">
        <w:rPr>
          <w:bCs/>
        </w:rPr>
        <w:t>leave,</w:t>
      </w:r>
      <w:r>
        <w:rPr>
          <w:bCs/>
        </w:rPr>
        <w:t xml:space="preserve"> </w:t>
      </w:r>
      <w:r w:rsidRPr="00A1118A">
        <w:rPr>
          <w:bCs/>
        </w:rPr>
        <w:t>with</w:t>
      </w:r>
      <w:r>
        <w:rPr>
          <w:bCs/>
        </w:rPr>
        <w:t xml:space="preserve"> </w:t>
      </w:r>
      <w:r w:rsidRPr="00A1118A">
        <w:rPr>
          <w:bCs/>
        </w:rPr>
        <w:t>casual</w:t>
      </w:r>
      <w:r>
        <w:rPr>
          <w:bCs/>
        </w:rPr>
        <w:t xml:space="preserve"> </w:t>
      </w:r>
      <w:r w:rsidRPr="00A1118A">
        <w:rPr>
          <w:bCs/>
        </w:rPr>
        <w:t>employees</w:t>
      </w:r>
      <w:r>
        <w:rPr>
          <w:bCs/>
        </w:rPr>
        <w:t xml:space="preserve"> </w:t>
      </w:r>
      <w:r w:rsidRPr="00A1118A">
        <w:rPr>
          <w:bCs/>
        </w:rPr>
        <w:t>and</w:t>
      </w:r>
      <w:r>
        <w:rPr>
          <w:bCs/>
        </w:rPr>
        <w:t xml:space="preserve"> </w:t>
      </w:r>
      <w:r w:rsidRPr="00A1118A">
        <w:rPr>
          <w:bCs/>
        </w:rPr>
        <w:t>employees</w:t>
      </w:r>
      <w:r>
        <w:rPr>
          <w:bCs/>
        </w:rPr>
        <w:t xml:space="preserve"> </w:t>
      </w:r>
      <w:r w:rsidRPr="00A1118A">
        <w:rPr>
          <w:bCs/>
        </w:rPr>
        <w:t>who</w:t>
      </w:r>
      <w:r>
        <w:rPr>
          <w:bCs/>
        </w:rPr>
        <w:t xml:space="preserve"> </w:t>
      </w:r>
      <w:r w:rsidRPr="00A1118A">
        <w:rPr>
          <w:bCs/>
        </w:rPr>
        <w:t>have</w:t>
      </w:r>
      <w:r>
        <w:rPr>
          <w:bCs/>
        </w:rPr>
        <w:t xml:space="preserve"> </w:t>
      </w:r>
      <w:r w:rsidRPr="00A1118A">
        <w:rPr>
          <w:bCs/>
        </w:rPr>
        <w:t>been</w:t>
      </w:r>
      <w:r>
        <w:rPr>
          <w:bCs/>
        </w:rPr>
        <w:t xml:space="preserve"> </w:t>
      </w:r>
      <w:r w:rsidRPr="00A1118A">
        <w:rPr>
          <w:bCs/>
        </w:rPr>
        <w:t>employed</w:t>
      </w:r>
      <w:r>
        <w:rPr>
          <w:bCs/>
        </w:rPr>
        <w:t xml:space="preserve"> </w:t>
      </w:r>
      <w:r w:rsidRPr="00A1118A">
        <w:rPr>
          <w:bCs/>
        </w:rPr>
        <w:t>for</w:t>
      </w:r>
      <w:r>
        <w:rPr>
          <w:bCs/>
        </w:rPr>
        <w:t xml:space="preserve"> </w:t>
      </w:r>
      <w:r w:rsidRPr="00A1118A">
        <w:rPr>
          <w:bCs/>
        </w:rPr>
        <w:t>less</w:t>
      </w:r>
      <w:r>
        <w:rPr>
          <w:bCs/>
        </w:rPr>
        <w:t xml:space="preserve"> </w:t>
      </w:r>
      <w:r w:rsidRPr="00A1118A">
        <w:rPr>
          <w:bCs/>
        </w:rPr>
        <w:t>than</w:t>
      </w:r>
      <w:r>
        <w:rPr>
          <w:bCs/>
        </w:rPr>
        <w:t xml:space="preserve"> </w:t>
      </w:r>
      <w:r w:rsidRPr="00A1118A">
        <w:rPr>
          <w:bCs/>
        </w:rPr>
        <w:t>12</w:t>
      </w:r>
      <w:r w:rsidR="00745297">
        <w:rPr>
          <w:bCs/>
        </w:rPr>
        <w:t> </w:t>
      </w:r>
      <w:r w:rsidRPr="00A1118A">
        <w:rPr>
          <w:bCs/>
        </w:rPr>
        <w:t>months</w:t>
      </w:r>
      <w:r>
        <w:rPr>
          <w:bCs/>
        </w:rPr>
        <w:t xml:space="preserve"> </w:t>
      </w:r>
      <w:r w:rsidRPr="00A1118A">
        <w:rPr>
          <w:bCs/>
        </w:rPr>
        <w:t>less</w:t>
      </w:r>
      <w:r>
        <w:rPr>
          <w:bCs/>
        </w:rPr>
        <w:t xml:space="preserve"> </w:t>
      </w:r>
      <w:r w:rsidRPr="00A1118A">
        <w:rPr>
          <w:bCs/>
        </w:rPr>
        <w:t>likely</w:t>
      </w:r>
      <w:r>
        <w:rPr>
          <w:bCs/>
        </w:rPr>
        <w:t xml:space="preserve"> </w:t>
      </w:r>
      <w:r w:rsidRPr="00A1118A">
        <w:rPr>
          <w:bCs/>
        </w:rPr>
        <w:t>to</w:t>
      </w:r>
      <w:r>
        <w:rPr>
          <w:bCs/>
        </w:rPr>
        <w:t xml:space="preserve"> </w:t>
      </w:r>
      <w:r w:rsidRPr="00A1118A">
        <w:rPr>
          <w:bCs/>
        </w:rPr>
        <w:t>have</w:t>
      </w:r>
      <w:r>
        <w:rPr>
          <w:bCs/>
        </w:rPr>
        <w:t xml:space="preserve"> </w:t>
      </w:r>
      <w:r w:rsidRPr="00A1118A">
        <w:rPr>
          <w:bCs/>
        </w:rPr>
        <w:t>access</w:t>
      </w:r>
      <w:r>
        <w:rPr>
          <w:bCs/>
        </w:rPr>
        <w:t xml:space="preserve"> </w:t>
      </w:r>
      <w:r w:rsidRPr="00A1118A">
        <w:rPr>
          <w:bCs/>
        </w:rPr>
        <w:t>to</w:t>
      </w:r>
      <w:r>
        <w:rPr>
          <w:bCs/>
        </w:rPr>
        <w:t xml:space="preserve"> </w:t>
      </w:r>
      <w:r w:rsidRPr="00A1118A">
        <w:rPr>
          <w:bCs/>
        </w:rPr>
        <w:t>paid</w:t>
      </w:r>
      <w:r>
        <w:rPr>
          <w:bCs/>
        </w:rPr>
        <w:t xml:space="preserve"> </w:t>
      </w:r>
      <w:r w:rsidRPr="00A1118A">
        <w:rPr>
          <w:bCs/>
        </w:rPr>
        <w:t>leave</w:t>
      </w:r>
      <w:r>
        <w:rPr>
          <w:bCs/>
        </w:rPr>
        <w:t xml:space="preserve"> </w:t>
      </w:r>
      <w:r w:rsidRPr="00A1118A">
        <w:rPr>
          <w:bCs/>
        </w:rPr>
        <w:t>when</w:t>
      </w:r>
      <w:r>
        <w:rPr>
          <w:bCs/>
        </w:rPr>
        <w:t xml:space="preserve"> </w:t>
      </w:r>
      <w:r w:rsidRPr="00A1118A">
        <w:rPr>
          <w:bCs/>
        </w:rPr>
        <w:t>compared</w:t>
      </w:r>
      <w:r>
        <w:rPr>
          <w:bCs/>
        </w:rPr>
        <w:t xml:space="preserve"> </w:t>
      </w:r>
      <w:r w:rsidRPr="00A1118A">
        <w:rPr>
          <w:bCs/>
        </w:rPr>
        <w:t>to</w:t>
      </w:r>
      <w:r>
        <w:rPr>
          <w:bCs/>
        </w:rPr>
        <w:t xml:space="preserve"> </w:t>
      </w:r>
      <w:r w:rsidRPr="00A1118A">
        <w:rPr>
          <w:bCs/>
        </w:rPr>
        <w:t>ongoing,</w:t>
      </w:r>
      <w:r>
        <w:rPr>
          <w:bCs/>
        </w:rPr>
        <w:t xml:space="preserve"> </w:t>
      </w:r>
      <w:r w:rsidRPr="00A1118A">
        <w:rPr>
          <w:bCs/>
        </w:rPr>
        <w:t>fixed</w:t>
      </w:r>
      <w:r>
        <w:rPr>
          <w:bCs/>
        </w:rPr>
        <w:t>-</w:t>
      </w:r>
      <w:r w:rsidRPr="00A1118A">
        <w:rPr>
          <w:bCs/>
        </w:rPr>
        <w:t>term</w:t>
      </w:r>
      <w:r>
        <w:rPr>
          <w:bCs/>
        </w:rPr>
        <w:t xml:space="preserve"> </w:t>
      </w:r>
      <w:r w:rsidRPr="00A1118A">
        <w:rPr>
          <w:bCs/>
        </w:rPr>
        <w:t>and/or</w:t>
      </w:r>
      <w:r>
        <w:rPr>
          <w:bCs/>
        </w:rPr>
        <w:t xml:space="preserve"> </w:t>
      </w:r>
      <w:r w:rsidRPr="00A1118A">
        <w:rPr>
          <w:bCs/>
        </w:rPr>
        <w:t>permanent</w:t>
      </w:r>
      <w:r>
        <w:rPr>
          <w:bCs/>
        </w:rPr>
        <w:t xml:space="preserve"> </w:t>
      </w:r>
      <w:r w:rsidRPr="00A1118A">
        <w:rPr>
          <w:bCs/>
        </w:rPr>
        <w:t>employees</w:t>
      </w:r>
      <w:r w:rsidRPr="00A1118A">
        <w:t>.</w:t>
      </w:r>
      <w:r>
        <w:t xml:space="preserve"> </w:t>
      </w:r>
      <w:r w:rsidRPr="00A1118A">
        <w:t>The</w:t>
      </w:r>
      <w:r>
        <w:t xml:space="preserve"> </w:t>
      </w:r>
      <w:r w:rsidRPr="00A1118A">
        <w:t>most</w:t>
      </w:r>
      <w:r>
        <w:t xml:space="preserve"> </w:t>
      </w:r>
      <w:r w:rsidRPr="00A1118A">
        <w:t>common</w:t>
      </w:r>
      <w:r>
        <w:t xml:space="preserve"> </w:t>
      </w:r>
      <w:r w:rsidRPr="00A1118A">
        <w:t>measures</w:t>
      </w:r>
      <w:r>
        <w:t xml:space="preserve"> </w:t>
      </w:r>
      <w:r w:rsidRPr="00A1118A">
        <w:t>offered</w:t>
      </w:r>
      <w:r>
        <w:t xml:space="preserve"> </w:t>
      </w:r>
      <w:r w:rsidRPr="00A1118A">
        <w:t>by</w:t>
      </w:r>
      <w:r>
        <w:t xml:space="preserve"> </w:t>
      </w:r>
      <w:r w:rsidRPr="00A1118A">
        <w:t>organisations</w:t>
      </w:r>
      <w:r>
        <w:t xml:space="preserve"> </w:t>
      </w:r>
      <w:r w:rsidRPr="00A1118A">
        <w:t>to</w:t>
      </w:r>
      <w:r>
        <w:t xml:space="preserve"> </w:t>
      </w:r>
      <w:r w:rsidRPr="00A1118A">
        <w:t>staff</w:t>
      </w:r>
      <w:r>
        <w:t xml:space="preserve"> </w:t>
      </w:r>
      <w:r w:rsidRPr="00A1118A">
        <w:t>experiencing</w:t>
      </w:r>
      <w:r>
        <w:t xml:space="preserve"> </w:t>
      </w:r>
      <w:r w:rsidRPr="00A1118A">
        <w:t>domestic</w:t>
      </w:r>
      <w:r>
        <w:t xml:space="preserve"> </w:t>
      </w:r>
      <w:r w:rsidRPr="00A1118A">
        <w:t>and</w:t>
      </w:r>
      <w:r>
        <w:t xml:space="preserve"> </w:t>
      </w:r>
      <w:r w:rsidRPr="00A1118A">
        <w:t>family</w:t>
      </w:r>
      <w:r>
        <w:t xml:space="preserve"> </w:t>
      </w:r>
      <w:r w:rsidRPr="00A1118A">
        <w:t>violence</w:t>
      </w:r>
      <w:r>
        <w:t xml:space="preserve"> </w:t>
      </w:r>
      <w:r w:rsidRPr="00A1118A">
        <w:t>were</w:t>
      </w:r>
      <w:r>
        <w:t xml:space="preserve"> </w:t>
      </w:r>
      <w:r w:rsidRPr="00A1118A">
        <w:t>flexible</w:t>
      </w:r>
      <w:r>
        <w:t xml:space="preserve"> </w:t>
      </w:r>
      <w:r w:rsidRPr="00A1118A">
        <w:t>work</w:t>
      </w:r>
      <w:r>
        <w:t xml:space="preserve"> </w:t>
      </w:r>
      <w:r w:rsidRPr="00A1118A">
        <w:t>arrangements</w:t>
      </w:r>
      <w:r>
        <w:t xml:space="preserve"> </w:t>
      </w:r>
      <w:r w:rsidRPr="00A1118A">
        <w:t>and</w:t>
      </w:r>
      <w:r>
        <w:t xml:space="preserve"> </w:t>
      </w:r>
      <w:r w:rsidRPr="00A1118A">
        <w:t>workplace</w:t>
      </w:r>
      <w:r>
        <w:t xml:space="preserve"> </w:t>
      </w:r>
      <w:r w:rsidRPr="00A1118A">
        <w:t>safety</w:t>
      </w:r>
      <w:r>
        <w:t xml:space="preserve"> </w:t>
      </w:r>
      <w:r w:rsidRPr="00A1118A">
        <w:t>measures.</w:t>
      </w:r>
      <w:r w:rsidRPr="00A1118A">
        <w:rPr>
          <w:rStyle w:val="EndnoteReference"/>
          <w:szCs w:val="22"/>
        </w:rPr>
        <w:endnoteReference w:id="38"/>
      </w:r>
    </w:p>
    <w:p w14:paraId="417D87DA" w14:textId="77777777" w:rsidR="002C2EC7" w:rsidRDefault="002C2EC7" w:rsidP="00790783">
      <w:pPr>
        <w:pStyle w:val="BodyText"/>
      </w:pPr>
      <w:r w:rsidRPr="0071774C">
        <w:t>It</w:t>
      </w:r>
      <w:r>
        <w:t xml:space="preserve"> </w:t>
      </w:r>
      <w:r w:rsidRPr="0071774C">
        <w:t>is</w:t>
      </w:r>
      <w:r>
        <w:t xml:space="preserve"> </w:t>
      </w:r>
      <w:r w:rsidRPr="0071774C">
        <w:t>likely</w:t>
      </w:r>
      <w:r>
        <w:t xml:space="preserve"> </w:t>
      </w:r>
      <w:r w:rsidRPr="0071774C">
        <w:t>that</w:t>
      </w:r>
      <w:r>
        <w:t xml:space="preserve"> </w:t>
      </w:r>
      <w:r w:rsidRPr="0071774C">
        <w:t>the</w:t>
      </w:r>
      <w:r>
        <w:t xml:space="preserve"> </w:t>
      </w:r>
      <w:r w:rsidRPr="0071774C">
        <w:t>number</w:t>
      </w:r>
      <w:r>
        <w:t xml:space="preserve"> </w:t>
      </w:r>
      <w:r w:rsidRPr="0071774C">
        <w:t>of</w:t>
      </w:r>
      <w:r>
        <w:t xml:space="preserve"> </w:t>
      </w:r>
      <w:r w:rsidRPr="0071774C">
        <w:t>organisations</w:t>
      </w:r>
      <w:r>
        <w:t xml:space="preserve"> </w:t>
      </w:r>
      <w:r w:rsidRPr="0071774C">
        <w:t>offering</w:t>
      </w:r>
      <w:r>
        <w:t xml:space="preserve"> </w:t>
      </w:r>
      <w:r w:rsidRPr="0071774C">
        <w:t>family</w:t>
      </w:r>
      <w:r>
        <w:t xml:space="preserve"> </w:t>
      </w:r>
      <w:r w:rsidRPr="0071774C">
        <w:t>and</w:t>
      </w:r>
      <w:r>
        <w:t xml:space="preserve"> </w:t>
      </w:r>
      <w:r w:rsidRPr="0071774C">
        <w:t>domestic</w:t>
      </w:r>
      <w:r>
        <w:t xml:space="preserve"> </w:t>
      </w:r>
      <w:r w:rsidRPr="0071774C">
        <w:t>violence</w:t>
      </w:r>
      <w:r>
        <w:t xml:space="preserve"> </w:t>
      </w:r>
      <w:r w:rsidRPr="0071774C">
        <w:t>leave</w:t>
      </w:r>
      <w:r>
        <w:t xml:space="preserve"> </w:t>
      </w:r>
      <w:r w:rsidRPr="0071774C">
        <w:t>to</w:t>
      </w:r>
      <w:r>
        <w:t xml:space="preserve"> </w:t>
      </w:r>
      <w:r w:rsidRPr="0071774C">
        <w:t>employees</w:t>
      </w:r>
      <w:r>
        <w:t xml:space="preserve"> </w:t>
      </w:r>
      <w:r w:rsidRPr="0071774C">
        <w:t>will</w:t>
      </w:r>
      <w:r>
        <w:t xml:space="preserve"> </w:t>
      </w:r>
      <w:r w:rsidRPr="0071774C">
        <w:t>increase</w:t>
      </w:r>
      <w:r>
        <w:t xml:space="preserve"> </w:t>
      </w:r>
      <w:r w:rsidRPr="0071774C">
        <w:t>in</w:t>
      </w:r>
      <w:r>
        <w:t xml:space="preserve"> </w:t>
      </w:r>
      <w:r w:rsidRPr="0071774C">
        <w:t>coming</w:t>
      </w:r>
      <w:r>
        <w:t xml:space="preserve"> </w:t>
      </w:r>
      <w:r w:rsidRPr="0071774C">
        <w:t>years</w:t>
      </w:r>
      <w:r>
        <w:t xml:space="preserve"> </w:t>
      </w:r>
      <w:r w:rsidRPr="0071774C">
        <w:t>as</w:t>
      </w:r>
      <w:r>
        <w:t xml:space="preserve"> </w:t>
      </w:r>
      <w:r w:rsidRPr="0071774C">
        <w:t>a</w:t>
      </w:r>
      <w:r>
        <w:t xml:space="preserve"> </w:t>
      </w:r>
      <w:r w:rsidRPr="0071774C">
        <w:t>result</w:t>
      </w:r>
      <w:r>
        <w:t xml:space="preserve"> </w:t>
      </w:r>
      <w:r w:rsidRPr="0071774C">
        <w:t>of</w:t>
      </w:r>
      <w:r>
        <w:t xml:space="preserve"> </w:t>
      </w:r>
      <w:r w:rsidRPr="0071774C">
        <w:t>the</w:t>
      </w:r>
      <w:r>
        <w:t xml:space="preserve"> </w:t>
      </w:r>
      <w:r w:rsidRPr="00ED4674">
        <w:rPr>
          <w:rStyle w:val="Emphasis"/>
        </w:rPr>
        <w:t>Fair Work Amendment (Family and Domestic Violence Leave) Act 2018</w:t>
      </w:r>
      <w:r w:rsidRPr="0071774C">
        <w:t>,</w:t>
      </w:r>
      <w:r>
        <w:t xml:space="preserve"> </w:t>
      </w:r>
      <w:r w:rsidRPr="0071774C">
        <w:t>which</w:t>
      </w:r>
      <w:r>
        <w:t xml:space="preserve"> </w:t>
      </w:r>
      <w:r w:rsidRPr="0071774C">
        <w:t>took</w:t>
      </w:r>
      <w:r>
        <w:t xml:space="preserve"> </w:t>
      </w:r>
      <w:r w:rsidRPr="0071774C">
        <w:t>effect</w:t>
      </w:r>
      <w:r>
        <w:t xml:space="preserve"> </w:t>
      </w:r>
      <w:r w:rsidRPr="0071774C">
        <w:t>in</w:t>
      </w:r>
      <w:r>
        <w:t xml:space="preserve"> </w:t>
      </w:r>
      <w:r w:rsidRPr="0071774C">
        <w:t>December</w:t>
      </w:r>
      <w:r>
        <w:t xml:space="preserve"> </w:t>
      </w:r>
      <w:r w:rsidRPr="0071774C">
        <w:t>2018.</w:t>
      </w:r>
      <w:r>
        <w:t xml:space="preserve"> </w:t>
      </w:r>
      <w:r w:rsidRPr="0071774C">
        <w:t>This</w:t>
      </w:r>
      <w:r>
        <w:t xml:space="preserve"> </w:t>
      </w:r>
      <w:r w:rsidRPr="0071774C">
        <w:t>act</w:t>
      </w:r>
      <w:r>
        <w:t xml:space="preserve"> </w:t>
      </w:r>
      <w:r w:rsidRPr="0071774C">
        <w:t>resulted</w:t>
      </w:r>
      <w:r>
        <w:t xml:space="preserve"> </w:t>
      </w:r>
      <w:r w:rsidRPr="0071774C">
        <w:t>in</w:t>
      </w:r>
      <w:r>
        <w:t xml:space="preserve"> </w:t>
      </w:r>
      <w:r w:rsidRPr="0071774C">
        <w:t>amendments</w:t>
      </w:r>
      <w:r>
        <w:t xml:space="preserve"> </w:t>
      </w:r>
      <w:r w:rsidRPr="0071774C">
        <w:t>to</w:t>
      </w:r>
      <w:r>
        <w:t xml:space="preserve"> </w:t>
      </w:r>
      <w:r w:rsidRPr="0071774C">
        <w:t>the</w:t>
      </w:r>
      <w:r>
        <w:t xml:space="preserve"> </w:t>
      </w:r>
      <w:r w:rsidRPr="00ED4674">
        <w:rPr>
          <w:rStyle w:val="Emphasis"/>
        </w:rPr>
        <w:t>Fair Work Act 2009</w:t>
      </w:r>
      <w:r>
        <w:t xml:space="preserve"> </w:t>
      </w:r>
      <w:r w:rsidRPr="0071774C">
        <w:t>(Cth),</w:t>
      </w:r>
      <w:r>
        <w:t xml:space="preserve"> </w:t>
      </w:r>
      <w:r w:rsidRPr="0071774C">
        <w:t>providing</w:t>
      </w:r>
      <w:r>
        <w:t xml:space="preserve"> </w:t>
      </w:r>
      <w:r w:rsidRPr="0071774C">
        <w:t>employees</w:t>
      </w:r>
      <w:r>
        <w:t xml:space="preserve"> </w:t>
      </w:r>
      <w:r w:rsidRPr="0071774C">
        <w:t>with</w:t>
      </w:r>
      <w:r>
        <w:t xml:space="preserve"> </w:t>
      </w:r>
      <w:r w:rsidRPr="0071774C">
        <w:t>a</w:t>
      </w:r>
      <w:r>
        <w:t xml:space="preserve"> </w:t>
      </w:r>
      <w:r w:rsidRPr="0071774C">
        <w:t>new</w:t>
      </w:r>
      <w:r>
        <w:t xml:space="preserve"> </w:t>
      </w:r>
      <w:r w:rsidRPr="0071774C">
        <w:t>entitlement</w:t>
      </w:r>
      <w:r>
        <w:t xml:space="preserve"> </w:t>
      </w:r>
      <w:r w:rsidRPr="0071774C">
        <w:t>of</w:t>
      </w:r>
      <w:r>
        <w:t xml:space="preserve"> </w:t>
      </w:r>
      <w:r w:rsidRPr="0071774C">
        <w:t>five</w:t>
      </w:r>
      <w:r>
        <w:t xml:space="preserve"> </w:t>
      </w:r>
      <w:r w:rsidRPr="0071774C">
        <w:t>days’</w:t>
      </w:r>
      <w:r>
        <w:t xml:space="preserve"> </w:t>
      </w:r>
      <w:r w:rsidRPr="0071774C">
        <w:t>unpaid</w:t>
      </w:r>
      <w:r>
        <w:t xml:space="preserve"> </w:t>
      </w:r>
      <w:r w:rsidRPr="0071774C">
        <w:t>family</w:t>
      </w:r>
      <w:r>
        <w:t xml:space="preserve"> </w:t>
      </w:r>
      <w:r w:rsidRPr="0071774C">
        <w:t>and</w:t>
      </w:r>
      <w:r>
        <w:t xml:space="preserve"> </w:t>
      </w:r>
      <w:r w:rsidRPr="0071774C">
        <w:t>domestic</w:t>
      </w:r>
      <w:r>
        <w:t xml:space="preserve"> </w:t>
      </w:r>
      <w:r w:rsidRPr="0071774C">
        <w:t>violence</w:t>
      </w:r>
      <w:r>
        <w:t xml:space="preserve"> </w:t>
      </w:r>
      <w:r w:rsidRPr="0071774C">
        <w:t>leave</w:t>
      </w:r>
      <w:r>
        <w:t xml:space="preserve"> </w:t>
      </w:r>
      <w:r w:rsidRPr="0071774C">
        <w:t>as</w:t>
      </w:r>
      <w:r>
        <w:t xml:space="preserve"> </w:t>
      </w:r>
      <w:r w:rsidRPr="0071774C">
        <w:t>part</w:t>
      </w:r>
      <w:r>
        <w:t xml:space="preserve"> </w:t>
      </w:r>
      <w:r w:rsidRPr="0071774C">
        <w:t>of</w:t>
      </w:r>
      <w:r>
        <w:t xml:space="preserve"> </w:t>
      </w:r>
      <w:r w:rsidRPr="0071774C">
        <w:t>the</w:t>
      </w:r>
      <w:r>
        <w:t xml:space="preserve"> </w:t>
      </w:r>
      <w:r w:rsidRPr="0071774C">
        <w:t>National</w:t>
      </w:r>
      <w:r>
        <w:t xml:space="preserve"> </w:t>
      </w:r>
      <w:r w:rsidRPr="0071774C">
        <w:t>Employment</w:t>
      </w:r>
      <w:r>
        <w:t xml:space="preserve"> </w:t>
      </w:r>
      <w:r w:rsidRPr="0071774C">
        <w:t>Standards.</w:t>
      </w:r>
    </w:p>
    <w:p w14:paraId="6D8090D0" w14:textId="656FD04A" w:rsidR="003F1310" w:rsidRDefault="003F1310" w:rsidP="003F1310">
      <w:pPr>
        <w:pStyle w:val="BodyText"/>
      </w:pPr>
      <w:r w:rsidRPr="0071774C">
        <w:t>Given</w:t>
      </w:r>
      <w:r>
        <w:t xml:space="preserve"> </w:t>
      </w:r>
      <w:r w:rsidRPr="0071774C">
        <w:t>that</w:t>
      </w:r>
      <w:r>
        <w:t xml:space="preserve"> </w:t>
      </w:r>
      <w:r w:rsidRPr="0071774C">
        <w:t>access</w:t>
      </w:r>
      <w:r>
        <w:t xml:space="preserve"> </w:t>
      </w:r>
      <w:r w:rsidRPr="0071774C">
        <w:t>to</w:t>
      </w:r>
      <w:r>
        <w:t xml:space="preserve"> </w:t>
      </w:r>
      <w:r w:rsidRPr="0071774C">
        <w:t>Employee</w:t>
      </w:r>
      <w:r>
        <w:t xml:space="preserve"> </w:t>
      </w:r>
      <w:r w:rsidRPr="0071774C">
        <w:t>Assistance</w:t>
      </w:r>
      <w:r>
        <w:t xml:space="preserve"> </w:t>
      </w:r>
      <w:r w:rsidRPr="0071774C">
        <w:t>Programs,</w:t>
      </w:r>
      <w:r>
        <w:t xml:space="preserve"> </w:t>
      </w:r>
      <w:r w:rsidRPr="0071774C">
        <w:t>employee</w:t>
      </w:r>
      <w:r>
        <w:t xml:space="preserve"> </w:t>
      </w:r>
      <w:r w:rsidRPr="0071774C">
        <w:t>leave</w:t>
      </w:r>
      <w:r>
        <w:t xml:space="preserve"> </w:t>
      </w:r>
      <w:r w:rsidRPr="0071774C">
        <w:t>and</w:t>
      </w:r>
      <w:r>
        <w:t xml:space="preserve"> </w:t>
      </w:r>
      <w:r w:rsidRPr="0071774C">
        <w:t>flexible</w:t>
      </w:r>
      <w:r>
        <w:t xml:space="preserve"> </w:t>
      </w:r>
      <w:r w:rsidRPr="0071774C">
        <w:t>work</w:t>
      </w:r>
      <w:r>
        <w:t xml:space="preserve"> </w:t>
      </w:r>
      <w:r w:rsidRPr="0071774C">
        <w:t>provisions</w:t>
      </w:r>
      <w:r>
        <w:t xml:space="preserve"> </w:t>
      </w:r>
      <w:r w:rsidRPr="0071774C">
        <w:t>are</w:t>
      </w:r>
      <w:r>
        <w:t xml:space="preserve"> </w:t>
      </w:r>
      <w:r w:rsidRPr="0071774C">
        <w:t>measures</w:t>
      </w:r>
      <w:r>
        <w:t xml:space="preserve"> </w:t>
      </w:r>
      <w:r w:rsidRPr="0071774C">
        <w:t>that</w:t>
      </w:r>
      <w:r>
        <w:t xml:space="preserve"> </w:t>
      </w:r>
      <w:r w:rsidRPr="0071774C">
        <w:t>are</w:t>
      </w:r>
      <w:r>
        <w:t xml:space="preserve"> </w:t>
      </w:r>
      <w:r w:rsidRPr="0071774C">
        <w:t>likely</w:t>
      </w:r>
      <w:r>
        <w:t xml:space="preserve"> </w:t>
      </w:r>
      <w:r w:rsidRPr="0071774C">
        <w:t>to</w:t>
      </w:r>
      <w:r>
        <w:t xml:space="preserve"> </w:t>
      </w:r>
      <w:r w:rsidRPr="0071774C">
        <w:t>be</w:t>
      </w:r>
      <w:r>
        <w:t xml:space="preserve"> </w:t>
      </w:r>
      <w:r w:rsidRPr="0071774C">
        <w:t>part</w:t>
      </w:r>
      <w:r>
        <w:t xml:space="preserve"> </w:t>
      </w:r>
      <w:r w:rsidRPr="0071774C">
        <w:t>of</w:t>
      </w:r>
      <w:r>
        <w:t xml:space="preserve"> </w:t>
      </w:r>
      <w:r w:rsidRPr="0071774C">
        <w:t>broader</w:t>
      </w:r>
      <w:r>
        <w:t xml:space="preserve"> </w:t>
      </w:r>
      <w:r w:rsidRPr="0071774C">
        <w:t>organisational</w:t>
      </w:r>
      <w:r>
        <w:t xml:space="preserve"> </w:t>
      </w:r>
      <w:r w:rsidRPr="0071774C">
        <w:t>policies</w:t>
      </w:r>
      <w:r>
        <w:t xml:space="preserve"> </w:t>
      </w:r>
      <w:r w:rsidRPr="0071774C">
        <w:t>and</w:t>
      </w:r>
      <w:r>
        <w:t xml:space="preserve"> </w:t>
      </w:r>
      <w:r w:rsidRPr="0071774C">
        <w:t>systems,</w:t>
      </w:r>
      <w:r>
        <w:t xml:space="preserve"> </w:t>
      </w:r>
      <w:r w:rsidRPr="0071774C">
        <w:t>it</w:t>
      </w:r>
      <w:r>
        <w:t xml:space="preserve"> </w:t>
      </w:r>
      <w:r w:rsidRPr="0071774C">
        <w:t>is</w:t>
      </w:r>
      <w:r>
        <w:t xml:space="preserve"> </w:t>
      </w:r>
      <w:r w:rsidRPr="0071774C">
        <w:t>possible</w:t>
      </w:r>
      <w:r>
        <w:t xml:space="preserve"> </w:t>
      </w:r>
      <w:r w:rsidRPr="0071774C">
        <w:t>that</w:t>
      </w:r>
      <w:r>
        <w:t xml:space="preserve"> </w:t>
      </w:r>
      <w:r w:rsidRPr="0071774C">
        <w:t>these</w:t>
      </w:r>
      <w:r>
        <w:t xml:space="preserve"> </w:t>
      </w:r>
      <w:r w:rsidRPr="0071774C">
        <w:t>gains</w:t>
      </w:r>
      <w:r>
        <w:t xml:space="preserve"> </w:t>
      </w:r>
      <w:r w:rsidRPr="0071774C">
        <w:t>have</w:t>
      </w:r>
      <w:r>
        <w:t xml:space="preserve"> </w:t>
      </w:r>
      <w:r w:rsidRPr="0071774C">
        <w:t>been</w:t>
      </w:r>
      <w:r>
        <w:t xml:space="preserve"> </w:t>
      </w:r>
      <w:r w:rsidRPr="0071774C">
        <w:t>made</w:t>
      </w:r>
      <w:r>
        <w:t xml:space="preserve"> </w:t>
      </w:r>
      <w:r w:rsidRPr="0071774C">
        <w:t>through</w:t>
      </w:r>
      <w:r>
        <w:t xml:space="preserve"> </w:t>
      </w:r>
      <w:r w:rsidRPr="0071774C">
        <w:t>the</w:t>
      </w:r>
      <w:r>
        <w:t xml:space="preserve"> </w:t>
      </w:r>
      <w:r w:rsidRPr="0071774C">
        <w:t>expansion</w:t>
      </w:r>
      <w:r>
        <w:t xml:space="preserve"> </w:t>
      </w:r>
      <w:r w:rsidRPr="0071774C">
        <w:t>of</w:t>
      </w:r>
      <w:r>
        <w:t xml:space="preserve"> </w:t>
      </w:r>
      <w:r w:rsidRPr="0071774C">
        <w:t>current</w:t>
      </w:r>
      <w:r>
        <w:t xml:space="preserve"> </w:t>
      </w:r>
      <w:r w:rsidRPr="0071774C">
        <w:t>employee</w:t>
      </w:r>
      <w:r>
        <w:t xml:space="preserve"> </w:t>
      </w:r>
      <w:r w:rsidRPr="0071774C">
        <w:t>entitlements,</w:t>
      </w:r>
      <w:r>
        <w:t xml:space="preserve"> </w:t>
      </w:r>
      <w:r w:rsidRPr="0071774C">
        <w:t>although</w:t>
      </w:r>
      <w:r>
        <w:t xml:space="preserve"> </w:t>
      </w:r>
      <w:r w:rsidRPr="0071774C">
        <w:t>further</w:t>
      </w:r>
      <w:r>
        <w:t xml:space="preserve"> </w:t>
      </w:r>
      <w:r w:rsidRPr="0071774C">
        <w:t>research</w:t>
      </w:r>
      <w:r>
        <w:t xml:space="preserve"> </w:t>
      </w:r>
      <w:r w:rsidRPr="0071774C">
        <w:t>is</w:t>
      </w:r>
      <w:r>
        <w:t xml:space="preserve"> </w:t>
      </w:r>
      <w:r w:rsidRPr="0071774C">
        <w:t>needed</w:t>
      </w:r>
      <w:r>
        <w:t xml:space="preserve"> </w:t>
      </w:r>
      <w:r w:rsidRPr="0071774C">
        <w:t>to</w:t>
      </w:r>
      <w:r>
        <w:t xml:space="preserve"> </w:t>
      </w:r>
      <w:r w:rsidRPr="0071774C">
        <w:t>confirm</w:t>
      </w:r>
      <w:r>
        <w:t xml:space="preserve"> </w:t>
      </w:r>
      <w:r w:rsidRPr="0071774C">
        <w:t>this.</w:t>
      </w:r>
      <w:r>
        <w:t xml:space="preserve"> </w:t>
      </w:r>
      <w:r w:rsidRPr="0071774C">
        <w:t>Future</w:t>
      </w:r>
      <w:r>
        <w:t xml:space="preserve"> </w:t>
      </w:r>
      <w:r w:rsidRPr="0071774C">
        <w:t>investigations</w:t>
      </w:r>
      <w:r>
        <w:t xml:space="preserve"> </w:t>
      </w:r>
      <w:r w:rsidRPr="0071774C">
        <w:t>might</w:t>
      </w:r>
      <w:r>
        <w:t xml:space="preserve"> </w:t>
      </w:r>
      <w:r w:rsidRPr="0071774C">
        <w:t>also</w:t>
      </w:r>
      <w:r>
        <w:t xml:space="preserve"> </w:t>
      </w:r>
      <w:r w:rsidRPr="0071774C">
        <w:t>analyse</w:t>
      </w:r>
      <w:r>
        <w:t xml:space="preserve"> </w:t>
      </w:r>
      <w:r w:rsidRPr="0071774C">
        <w:t>the</w:t>
      </w:r>
      <w:r>
        <w:t xml:space="preserve"> </w:t>
      </w:r>
      <w:r w:rsidRPr="0071774C">
        <w:t>extent</w:t>
      </w:r>
      <w:r>
        <w:t xml:space="preserve"> </w:t>
      </w:r>
      <w:r w:rsidRPr="0071774C">
        <w:t>to</w:t>
      </w:r>
      <w:r>
        <w:t xml:space="preserve"> </w:t>
      </w:r>
      <w:r w:rsidRPr="0071774C">
        <w:t>which</w:t>
      </w:r>
      <w:r>
        <w:t xml:space="preserve"> </w:t>
      </w:r>
      <w:r w:rsidRPr="0071774C">
        <w:t>these</w:t>
      </w:r>
      <w:r>
        <w:t xml:space="preserve"> </w:t>
      </w:r>
      <w:r w:rsidRPr="0071774C">
        <w:t>initiatives</w:t>
      </w:r>
      <w:r>
        <w:t xml:space="preserve"> </w:t>
      </w:r>
      <w:r w:rsidRPr="0071774C">
        <w:t>are</w:t>
      </w:r>
      <w:r>
        <w:t xml:space="preserve"> </w:t>
      </w:r>
      <w:r w:rsidRPr="0071774C">
        <w:t>safe</w:t>
      </w:r>
      <w:r>
        <w:t xml:space="preserve"> </w:t>
      </w:r>
      <w:r w:rsidRPr="0071774C">
        <w:t>and</w:t>
      </w:r>
      <w:r>
        <w:t xml:space="preserve"> </w:t>
      </w:r>
      <w:r w:rsidRPr="0071774C">
        <w:t>effective</w:t>
      </w:r>
      <w:r>
        <w:t xml:space="preserve"> </w:t>
      </w:r>
      <w:r w:rsidRPr="0071774C">
        <w:t>by</w:t>
      </w:r>
      <w:r>
        <w:t xml:space="preserve"> </w:t>
      </w:r>
      <w:r w:rsidRPr="0071774C">
        <w:t>investigating</w:t>
      </w:r>
      <w:r>
        <w:t xml:space="preserve"> </w:t>
      </w:r>
      <w:r w:rsidRPr="0071774C">
        <w:t>whether</w:t>
      </w:r>
      <w:r>
        <w:t xml:space="preserve"> </w:t>
      </w:r>
      <w:r w:rsidRPr="0071774C">
        <w:t>they</w:t>
      </w:r>
      <w:r>
        <w:t xml:space="preserve"> </w:t>
      </w:r>
      <w:r w:rsidRPr="0071774C">
        <w:t>have</w:t>
      </w:r>
      <w:r>
        <w:t xml:space="preserve"> </w:t>
      </w:r>
      <w:r w:rsidRPr="0071774C">
        <w:t>been</w:t>
      </w:r>
      <w:r>
        <w:t xml:space="preserve"> </w:t>
      </w:r>
      <w:r w:rsidRPr="0071774C">
        <w:t>accompanied</w:t>
      </w:r>
      <w:r>
        <w:t xml:space="preserve"> </w:t>
      </w:r>
      <w:r w:rsidRPr="0071774C">
        <w:t>by</w:t>
      </w:r>
      <w:r>
        <w:t xml:space="preserve"> </w:t>
      </w:r>
      <w:r w:rsidRPr="0071774C">
        <w:t>investment</w:t>
      </w:r>
      <w:r>
        <w:t xml:space="preserve"> </w:t>
      </w:r>
      <w:r w:rsidRPr="0071774C">
        <w:t>in</w:t>
      </w:r>
      <w:r>
        <w:t xml:space="preserve"> </w:t>
      </w:r>
      <w:r w:rsidRPr="0071774C">
        <w:t>training</w:t>
      </w:r>
      <w:r>
        <w:t xml:space="preserve"> </w:t>
      </w:r>
      <w:r w:rsidRPr="0071774C">
        <w:t>relevant</w:t>
      </w:r>
      <w:r>
        <w:t xml:space="preserve"> </w:t>
      </w:r>
      <w:r w:rsidRPr="0071774C">
        <w:t>staff</w:t>
      </w:r>
      <w:r>
        <w:t xml:space="preserve"> </w:t>
      </w:r>
      <w:r w:rsidRPr="0071774C">
        <w:t>(</w:t>
      </w:r>
      <w:r>
        <w:t xml:space="preserve">for example, </w:t>
      </w:r>
      <w:r w:rsidRPr="0071774C">
        <w:t>leaders,</w:t>
      </w:r>
      <w:r>
        <w:t xml:space="preserve"> </w:t>
      </w:r>
      <w:r w:rsidRPr="0071774C">
        <w:t>managers,</w:t>
      </w:r>
      <w:r>
        <w:t xml:space="preserve"> </w:t>
      </w:r>
      <w:r w:rsidRPr="0071774C">
        <w:t>human</w:t>
      </w:r>
      <w:r>
        <w:t xml:space="preserve"> </w:t>
      </w:r>
      <w:r w:rsidRPr="0071774C">
        <w:t>resource</w:t>
      </w:r>
      <w:r>
        <w:t xml:space="preserve"> </w:t>
      </w:r>
      <w:r w:rsidRPr="0071774C">
        <w:t>practitioners)</w:t>
      </w:r>
      <w:r>
        <w:t xml:space="preserve"> and </w:t>
      </w:r>
      <w:r w:rsidRPr="0071774C">
        <w:t>by</w:t>
      </w:r>
      <w:r>
        <w:t xml:space="preserve"> </w:t>
      </w:r>
      <w:r w:rsidRPr="0071774C">
        <w:t>effective</w:t>
      </w:r>
      <w:r>
        <w:t xml:space="preserve"> </w:t>
      </w:r>
      <w:r w:rsidRPr="0071774C">
        <w:t>and</w:t>
      </w:r>
      <w:r>
        <w:t xml:space="preserve"> </w:t>
      </w:r>
      <w:r w:rsidRPr="0071774C">
        <w:t>appropriate</w:t>
      </w:r>
      <w:r>
        <w:t xml:space="preserve"> </w:t>
      </w:r>
      <w:r w:rsidRPr="0071774C">
        <w:t>communication</w:t>
      </w:r>
      <w:r>
        <w:t xml:space="preserve"> </w:t>
      </w:r>
      <w:r w:rsidRPr="0071774C">
        <w:t>strategies</w:t>
      </w:r>
      <w:r>
        <w:t xml:space="preserve"> </w:t>
      </w:r>
      <w:r w:rsidRPr="0071774C">
        <w:t>for</w:t>
      </w:r>
      <w:r>
        <w:t xml:space="preserve"> </w:t>
      </w:r>
      <w:r w:rsidRPr="0071774C">
        <w:t>staff,</w:t>
      </w:r>
      <w:r>
        <w:t xml:space="preserve"> as well as </w:t>
      </w:r>
      <w:r w:rsidRPr="0071774C">
        <w:t>whether</w:t>
      </w:r>
      <w:r>
        <w:t xml:space="preserve"> </w:t>
      </w:r>
      <w:r w:rsidRPr="0071774C">
        <w:t>Employee</w:t>
      </w:r>
      <w:r>
        <w:t xml:space="preserve"> </w:t>
      </w:r>
      <w:r w:rsidRPr="0071774C">
        <w:t>Assistance</w:t>
      </w:r>
      <w:r>
        <w:t xml:space="preserve"> </w:t>
      </w:r>
      <w:r w:rsidRPr="0071774C">
        <w:t>Program</w:t>
      </w:r>
      <w:r>
        <w:t xml:space="preserve"> </w:t>
      </w:r>
      <w:r w:rsidRPr="0071774C">
        <w:t>Providers</w:t>
      </w:r>
      <w:r>
        <w:t xml:space="preserve"> </w:t>
      </w:r>
      <w:r w:rsidRPr="0071774C">
        <w:t>are</w:t>
      </w:r>
      <w:r>
        <w:t xml:space="preserve"> </w:t>
      </w:r>
      <w:r w:rsidRPr="0071774C">
        <w:t>working</w:t>
      </w:r>
      <w:r>
        <w:t xml:space="preserve"> </w:t>
      </w:r>
      <w:r w:rsidRPr="0071774C">
        <w:t>in</w:t>
      </w:r>
      <w:r>
        <w:t xml:space="preserve"> </w:t>
      </w:r>
      <w:r w:rsidRPr="0071774C">
        <w:t>partnership</w:t>
      </w:r>
      <w:r>
        <w:t xml:space="preserve"> </w:t>
      </w:r>
      <w:r w:rsidRPr="0071774C">
        <w:t>to</w:t>
      </w:r>
      <w:r>
        <w:t xml:space="preserve"> </w:t>
      </w:r>
      <w:r w:rsidRPr="0071774C">
        <w:t>create</w:t>
      </w:r>
      <w:r>
        <w:t xml:space="preserve"> </w:t>
      </w:r>
      <w:r w:rsidRPr="0071774C">
        <w:t>pathways</w:t>
      </w:r>
      <w:r>
        <w:t xml:space="preserve"> </w:t>
      </w:r>
      <w:r w:rsidRPr="0071774C">
        <w:t>to</w:t>
      </w:r>
      <w:r>
        <w:t xml:space="preserve"> </w:t>
      </w:r>
      <w:r w:rsidRPr="0071774C">
        <w:t>specialist</w:t>
      </w:r>
      <w:r>
        <w:t xml:space="preserve"> </w:t>
      </w:r>
      <w:r w:rsidRPr="0071774C">
        <w:t>family</w:t>
      </w:r>
      <w:r>
        <w:t xml:space="preserve"> </w:t>
      </w:r>
      <w:r w:rsidRPr="0071774C">
        <w:t>violence</w:t>
      </w:r>
      <w:r>
        <w:t xml:space="preserve"> </w:t>
      </w:r>
      <w:r w:rsidRPr="0071774C">
        <w:t>services</w:t>
      </w:r>
      <w:r>
        <w:t xml:space="preserve"> </w:t>
      </w:r>
      <w:r w:rsidRPr="0071774C">
        <w:t>where</w:t>
      </w:r>
      <w:r>
        <w:t xml:space="preserve"> </w:t>
      </w:r>
      <w:r w:rsidRPr="0071774C">
        <w:t>required.</w:t>
      </w:r>
    </w:p>
    <w:p w14:paraId="0C0B6C67" w14:textId="0FF638CA" w:rsidR="002C2EC7" w:rsidRPr="0017588F" w:rsidRDefault="002C2EC7" w:rsidP="00790783">
      <w:pPr>
        <w:pStyle w:val="Heading6"/>
      </w:pPr>
      <w:r w:rsidRPr="006E7302">
        <w:t>Primary and secondary carer</w:t>
      </w:r>
      <w:r w:rsidR="00BA1BDA">
        <w:t>’</w:t>
      </w:r>
      <w:r w:rsidRPr="006E7302">
        <w:t>s le</w:t>
      </w:r>
      <w:r w:rsidRPr="0017588F">
        <w:t>ave</w:t>
      </w:r>
    </w:p>
    <w:p w14:paraId="2D4A71B4" w14:textId="4F0FACE8" w:rsidR="002C2EC7" w:rsidRDefault="002C2EC7" w:rsidP="00790783">
      <w:pPr>
        <w:pStyle w:val="BodyText"/>
      </w:pPr>
      <w:r w:rsidRPr="0071774C">
        <w:t>Data</w:t>
      </w:r>
      <w:r>
        <w:t xml:space="preserve"> </w:t>
      </w:r>
      <w:r w:rsidRPr="0071774C">
        <w:t>collected</w:t>
      </w:r>
      <w:r>
        <w:t xml:space="preserve"> </w:t>
      </w:r>
      <w:r w:rsidRPr="0071774C">
        <w:t>by</w:t>
      </w:r>
      <w:r>
        <w:t xml:space="preserve"> </w:t>
      </w:r>
      <w:r w:rsidRPr="0071774C">
        <w:t>WGEA</w:t>
      </w:r>
      <w:r>
        <w:t xml:space="preserve"> </w:t>
      </w:r>
      <w:r w:rsidRPr="0071774C">
        <w:t>across</w:t>
      </w:r>
      <w:r>
        <w:t xml:space="preserve"> </w:t>
      </w:r>
      <w:r w:rsidRPr="0071774C">
        <w:t>all</w:t>
      </w:r>
      <w:r>
        <w:t xml:space="preserve"> </w:t>
      </w:r>
      <w:r w:rsidRPr="0071774C">
        <w:t>industries</w:t>
      </w:r>
      <w:r>
        <w:t xml:space="preserve"> </w:t>
      </w:r>
      <w:r w:rsidRPr="0071774C">
        <w:t>and</w:t>
      </w:r>
      <w:r>
        <w:t xml:space="preserve"> </w:t>
      </w:r>
      <w:r w:rsidRPr="0071774C">
        <w:t>companies</w:t>
      </w:r>
      <w:r>
        <w:t xml:space="preserve"> </w:t>
      </w:r>
      <w:r w:rsidRPr="0071774C">
        <w:t>of</w:t>
      </w:r>
      <w:r>
        <w:t xml:space="preserve"> </w:t>
      </w:r>
      <w:r w:rsidRPr="0071774C">
        <w:t>all</w:t>
      </w:r>
      <w:r>
        <w:t xml:space="preserve"> </w:t>
      </w:r>
      <w:r w:rsidRPr="0071774C">
        <w:t>sizes</w:t>
      </w:r>
      <w:r>
        <w:t xml:space="preserve"> </w:t>
      </w:r>
      <w:r w:rsidRPr="0071774C">
        <w:t>in</w:t>
      </w:r>
      <w:r>
        <w:t xml:space="preserve"> </w:t>
      </w:r>
      <w:r w:rsidRPr="0071774C">
        <w:t>2019</w:t>
      </w:r>
      <w:r>
        <w:t xml:space="preserve"> </w:t>
      </w:r>
      <w:r w:rsidRPr="0071774C">
        <w:t>shows</w:t>
      </w:r>
      <w:r>
        <w:t xml:space="preserve"> </w:t>
      </w:r>
      <w:r w:rsidRPr="0071774C">
        <w:t>that</w:t>
      </w:r>
      <w:r>
        <w:t xml:space="preserve"> </w:t>
      </w:r>
      <w:r w:rsidRPr="0071774C">
        <w:t>53.5%</w:t>
      </w:r>
      <w:r>
        <w:t xml:space="preserve"> </w:t>
      </w:r>
      <w:r w:rsidRPr="0071774C">
        <w:t>of</w:t>
      </w:r>
      <w:r>
        <w:t xml:space="preserve"> </w:t>
      </w:r>
      <w:r w:rsidRPr="0071774C">
        <w:t>employers</w:t>
      </w:r>
      <w:r>
        <w:t xml:space="preserve"> </w:t>
      </w:r>
      <w:r w:rsidRPr="0071774C">
        <w:t>had</w:t>
      </w:r>
      <w:r>
        <w:t xml:space="preserve"> </w:t>
      </w:r>
      <w:r w:rsidRPr="0071774C">
        <w:t>implemented</w:t>
      </w:r>
      <w:r>
        <w:t xml:space="preserve"> </w:t>
      </w:r>
      <w:r w:rsidRPr="0071774C">
        <w:t>a</w:t>
      </w:r>
      <w:r>
        <w:t xml:space="preserve"> </w:t>
      </w:r>
      <w:r w:rsidRPr="0071774C">
        <w:t>policy</w:t>
      </w:r>
      <w:r>
        <w:t xml:space="preserve"> </w:t>
      </w:r>
      <w:r w:rsidRPr="0071774C">
        <w:t>aimed</w:t>
      </w:r>
      <w:r>
        <w:t xml:space="preserve"> </w:t>
      </w:r>
      <w:r w:rsidRPr="0071774C">
        <w:t>at</w:t>
      </w:r>
      <w:r>
        <w:t xml:space="preserve"> </w:t>
      </w:r>
      <w:r w:rsidRPr="0071774C">
        <w:t>supporting</w:t>
      </w:r>
      <w:r>
        <w:t xml:space="preserve"> </w:t>
      </w:r>
      <w:r w:rsidRPr="0071774C">
        <w:t>employees</w:t>
      </w:r>
      <w:r>
        <w:t xml:space="preserve"> </w:t>
      </w:r>
      <w:r w:rsidRPr="0071774C">
        <w:t>with</w:t>
      </w:r>
      <w:r>
        <w:t xml:space="preserve"> </w:t>
      </w:r>
      <w:r w:rsidRPr="0071774C">
        <w:t>family</w:t>
      </w:r>
      <w:r>
        <w:t xml:space="preserve"> </w:t>
      </w:r>
      <w:r w:rsidRPr="0071774C">
        <w:t>or</w:t>
      </w:r>
      <w:r>
        <w:t xml:space="preserve"> </w:t>
      </w:r>
      <w:r w:rsidRPr="0071774C">
        <w:t>caring</w:t>
      </w:r>
      <w:r>
        <w:t xml:space="preserve"> </w:t>
      </w:r>
      <w:r w:rsidRPr="0071774C">
        <w:t>responsibilities,</w:t>
      </w:r>
      <w:r>
        <w:t xml:space="preserve"> </w:t>
      </w:r>
      <w:r w:rsidRPr="0071774C">
        <w:t>representing</w:t>
      </w:r>
      <w:r>
        <w:t xml:space="preserve"> </w:t>
      </w:r>
      <w:r w:rsidRPr="0071774C">
        <w:t>an</w:t>
      </w:r>
      <w:r>
        <w:t xml:space="preserve"> </w:t>
      </w:r>
      <w:r w:rsidRPr="0071774C">
        <w:t>8.</w:t>
      </w:r>
      <w:r w:rsidR="00625393">
        <w:t>3</w:t>
      </w:r>
      <w:r w:rsidRPr="0071774C">
        <w:t>%</w:t>
      </w:r>
      <w:r>
        <w:t xml:space="preserve"> </w:t>
      </w:r>
      <w:r w:rsidRPr="0071774C">
        <w:t>increase</w:t>
      </w:r>
      <w:r>
        <w:t xml:space="preserve"> </w:t>
      </w:r>
      <w:r w:rsidRPr="0071774C">
        <w:t>since</w:t>
      </w:r>
      <w:r>
        <w:t xml:space="preserve"> </w:t>
      </w:r>
      <w:r w:rsidRPr="0071774C">
        <w:t>2014.</w:t>
      </w:r>
      <w:r>
        <w:t xml:space="preserve"> </w:t>
      </w:r>
      <w:r w:rsidRPr="0071774C">
        <w:t>In</w:t>
      </w:r>
      <w:r>
        <w:t xml:space="preserve"> </w:t>
      </w:r>
      <w:r w:rsidRPr="0071774C">
        <w:t>2019,</w:t>
      </w:r>
      <w:r>
        <w:t xml:space="preserve"> </w:t>
      </w:r>
      <w:r w:rsidRPr="0071774C">
        <w:t>a</w:t>
      </w:r>
      <w:r>
        <w:t xml:space="preserve"> </w:t>
      </w:r>
      <w:r w:rsidRPr="0071774C">
        <w:t>further</w:t>
      </w:r>
      <w:r>
        <w:t xml:space="preserve"> </w:t>
      </w:r>
      <w:r w:rsidRPr="0071774C">
        <w:t>22%</w:t>
      </w:r>
      <w:r>
        <w:t xml:space="preserve"> </w:t>
      </w:r>
      <w:r w:rsidRPr="0071774C">
        <w:t>of</w:t>
      </w:r>
      <w:r>
        <w:t xml:space="preserve"> </w:t>
      </w:r>
      <w:r w:rsidRPr="0071774C">
        <w:t>employers</w:t>
      </w:r>
      <w:r>
        <w:t xml:space="preserve"> </w:t>
      </w:r>
      <w:r w:rsidRPr="0071774C">
        <w:t>had</w:t>
      </w:r>
      <w:r>
        <w:t xml:space="preserve"> </w:t>
      </w:r>
      <w:r w:rsidRPr="0071774C">
        <w:t>a</w:t>
      </w:r>
      <w:r>
        <w:t xml:space="preserve"> </w:t>
      </w:r>
      <w:r w:rsidRPr="0071774C">
        <w:t>strategy</w:t>
      </w:r>
      <w:r>
        <w:t xml:space="preserve"> </w:t>
      </w:r>
      <w:r w:rsidRPr="0071774C">
        <w:t>for</w:t>
      </w:r>
      <w:r>
        <w:t xml:space="preserve"> </w:t>
      </w:r>
      <w:r w:rsidRPr="0071774C">
        <w:t>supporting</w:t>
      </w:r>
      <w:r>
        <w:t xml:space="preserve"> </w:t>
      </w:r>
      <w:r w:rsidRPr="0071774C">
        <w:t>employees</w:t>
      </w:r>
      <w:r>
        <w:t xml:space="preserve"> </w:t>
      </w:r>
      <w:r w:rsidRPr="0071774C">
        <w:t>with</w:t>
      </w:r>
      <w:r>
        <w:t xml:space="preserve"> </w:t>
      </w:r>
      <w:r w:rsidRPr="0071774C">
        <w:t>family</w:t>
      </w:r>
      <w:r>
        <w:t xml:space="preserve"> </w:t>
      </w:r>
      <w:r w:rsidRPr="0071774C">
        <w:t>or</w:t>
      </w:r>
      <w:r>
        <w:t xml:space="preserve"> </w:t>
      </w:r>
      <w:r w:rsidRPr="0071774C">
        <w:t>caring</w:t>
      </w:r>
      <w:r>
        <w:t xml:space="preserve"> </w:t>
      </w:r>
      <w:r w:rsidRPr="0071774C">
        <w:t>responsibilities,</w:t>
      </w:r>
      <w:r>
        <w:t xml:space="preserve"> </w:t>
      </w:r>
      <w:r w:rsidRPr="0071774C">
        <w:t>representing</w:t>
      </w:r>
      <w:r>
        <w:t xml:space="preserve"> </w:t>
      </w:r>
      <w:r w:rsidRPr="0071774C">
        <w:t>an</w:t>
      </w:r>
      <w:r>
        <w:t xml:space="preserve"> </w:t>
      </w:r>
      <w:r w:rsidRPr="0071774C">
        <w:t>8.</w:t>
      </w:r>
      <w:r w:rsidR="001046C6">
        <w:t>8</w:t>
      </w:r>
      <w:r w:rsidRPr="0071774C">
        <w:t>%</w:t>
      </w:r>
      <w:r>
        <w:t xml:space="preserve"> </w:t>
      </w:r>
      <w:r w:rsidRPr="0071774C">
        <w:t>increase</w:t>
      </w:r>
      <w:r>
        <w:t xml:space="preserve"> </w:t>
      </w:r>
      <w:r w:rsidRPr="0071774C">
        <w:t>compared</w:t>
      </w:r>
      <w:r>
        <w:t xml:space="preserve"> </w:t>
      </w:r>
      <w:r w:rsidRPr="0071774C">
        <w:t>to</w:t>
      </w:r>
      <w:r>
        <w:t xml:space="preserve"> </w:t>
      </w:r>
      <w:r w:rsidRPr="0071774C">
        <w:t>2014</w:t>
      </w:r>
      <w:r>
        <w:t>.</w:t>
      </w:r>
      <w:r w:rsidRPr="0071774C">
        <w:rPr>
          <w:rStyle w:val="EndnoteReference"/>
          <w:szCs w:val="22"/>
        </w:rPr>
        <w:endnoteReference w:id="39"/>
      </w:r>
    </w:p>
    <w:p w14:paraId="1BF8C868" w14:textId="0B6DA59F" w:rsidR="002C2EC7" w:rsidRDefault="002C2EC7" w:rsidP="00790783">
      <w:pPr>
        <w:pStyle w:val="BodyText"/>
      </w:pPr>
      <w:r w:rsidRPr="0071774C">
        <w:t>Almost</w:t>
      </w:r>
      <w:r>
        <w:t xml:space="preserve"> </w:t>
      </w:r>
      <w:r w:rsidRPr="0071774C">
        <w:t>half</w:t>
      </w:r>
      <w:r>
        <w:t xml:space="preserve"> </w:t>
      </w:r>
      <w:r w:rsidRPr="0071774C">
        <w:t>of</w:t>
      </w:r>
      <w:r>
        <w:t xml:space="preserve"> </w:t>
      </w:r>
      <w:r w:rsidRPr="0071774C">
        <w:t>employers</w:t>
      </w:r>
      <w:r>
        <w:t xml:space="preserve"> </w:t>
      </w:r>
      <w:r w:rsidRPr="0071774C">
        <w:t>offered</w:t>
      </w:r>
      <w:r>
        <w:t xml:space="preserve"> </w:t>
      </w:r>
      <w:r w:rsidRPr="0071774C">
        <w:t>primary</w:t>
      </w:r>
      <w:r>
        <w:t xml:space="preserve"> </w:t>
      </w:r>
      <w:r w:rsidRPr="0071774C">
        <w:t>carer</w:t>
      </w:r>
      <w:r w:rsidR="00BA1BDA">
        <w:t>’</w:t>
      </w:r>
      <w:r w:rsidRPr="0071774C">
        <w:t>s</w:t>
      </w:r>
      <w:r>
        <w:t xml:space="preserve"> </w:t>
      </w:r>
      <w:r w:rsidRPr="0071774C">
        <w:t>leave</w:t>
      </w:r>
      <w:r>
        <w:t xml:space="preserve">, </w:t>
      </w:r>
      <w:r w:rsidRPr="0071774C">
        <w:t>with</w:t>
      </w:r>
      <w:r>
        <w:t xml:space="preserve"> </w:t>
      </w:r>
      <w:r w:rsidRPr="0071774C">
        <w:t>almost</w:t>
      </w:r>
      <w:r>
        <w:t xml:space="preserve"> </w:t>
      </w:r>
      <w:r w:rsidRPr="0071774C">
        <w:t>no</w:t>
      </w:r>
      <w:r>
        <w:t xml:space="preserve"> </w:t>
      </w:r>
      <w:r w:rsidRPr="0071774C">
        <w:t>change</w:t>
      </w:r>
      <w:r>
        <w:t xml:space="preserve"> </w:t>
      </w:r>
      <w:r w:rsidRPr="0071774C">
        <w:t>in</w:t>
      </w:r>
      <w:r>
        <w:t xml:space="preserve"> </w:t>
      </w:r>
      <w:r w:rsidRPr="0071774C">
        <w:t>this</w:t>
      </w:r>
      <w:r>
        <w:t xml:space="preserve"> </w:t>
      </w:r>
      <w:r w:rsidRPr="0071774C">
        <w:t>figure</w:t>
      </w:r>
      <w:r>
        <w:t xml:space="preserve"> </w:t>
      </w:r>
      <w:r w:rsidRPr="0071774C">
        <w:t>between</w:t>
      </w:r>
      <w:r>
        <w:t xml:space="preserve"> </w:t>
      </w:r>
      <w:r w:rsidRPr="0071774C">
        <w:t>2014</w:t>
      </w:r>
      <w:r>
        <w:t xml:space="preserve"> </w:t>
      </w:r>
      <w:r w:rsidRPr="0071774C">
        <w:t>and</w:t>
      </w:r>
      <w:r>
        <w:t xml:space="preserve"> </w:t>
      </w:r>
      <w:r w:rsidRPr="0071774C">
        <w:t>2019,</w:t>
      </w:r>
      <w:r>
        <w:t xml:space="preserve"> </w:t>
      </w:r>
      <w:r w:rsidRPr="0071774C">
        <w:t>and</w:t>
      </w:r>
      <w:r>
        <w:t xml:space="preserve"> with </w:t>
      </w:r>
      <w:r w:rsidRPr="0071774C">
        <w:t>the</w:t>
      </w:r>
      <w:r>
        <w:t xml:space="preserve"> </w:t>
      </w:r>
      <w:r w:rsidRPr="0071774C">
        <w:t>average</w:t>
      </w:r>
      <w:r>
        <w:t xml:space="preserve"> </w:t>
      </w:r>
      <w:r w:rsidRPr="0071774C">
        <w:t>number</w:t>
      </w:r>
      <w:r>
        <w:t xml:space="preserve"> </w:t>
      </w:r>
      <w:r w:rsidRPr="0071774C">
        <w:t>of</w:t>
      </w:r>
      <w:r>
        <w:t xml:space="preserve"> </w:t>
      </w:r>
      <w:r w:rsidRPr="0071774C">
        <w:t>weeks</w:t>
      </w:r>
      <w:r>
        <w:t xml:space="preserve"> </w:t>
      </w:r>
      <w:r w:rsidRPr="0071774C">
        <w:t>offered</w:t>
      </w:r>
      <w:r>
        <w:t xml:space="preserve"> </w:t>
      </w:r>
      <w:r w:rsidRPr="0071774C">
        <w:t>decreasing</w:t>
      </w:r>
      <w:r>
        <w:t xml:space="preserve"> </w:t>
      </w:r>
      <w:r w:rsidRPr="0071774C">
        <w:t>slightly</w:t>
      </w:r>
      <w:r>
        <w:t xml:space="preserve"> </w:t>
      </w:r>
      <w:r w:rsidRPr="0071774C">
        <w:t>from</w:t>
      </w:r>
      <w:r>
        <w:t xml:space="preserve"> </w:t>
      </w:r>
      <w:r w:rsidRPr="0071774C">
        <w:t>10.7</w:t>
      </w:r>
      <w:r>
        <w:t xml:space="preserve"> </w:t>
      </w:r>
      <w:r w:rsidRPr="0071774C">
        <w:t>to</w:t>
      </w:r>
      <w:r>
        <w:t xml:space="preserve"> </w:t>
      </w:r>
      <w:r w:rsidRPr="0071774C">
        <w:t>10.6.</w:t>
      </w:r>
      <w:r>
        <w:t xml:space="preserve"> </w:t>
      </w:r>
      <w:r w:rsidRPr="0071774C">
        <w:t>This</w:t>
      </w:r>
      <w:r>
        <w:t xml:space="preserve"> </w:t>
      </w:r>
      <w:r w:rsidRPr="0071774C">
        <w:t>period</w:t>
      </w:r>
      <w:r>
        <w:t xml:space="preserve"> </w:t>
      </w:r>
      <w:r w:rsidRPr="0071774C">
        <w:t>also</w:t>
      </w:r>
      <w:r>
        <w:t xml:space="preserve"> </w:t>
      </w:r>
      <w:r w:rsidRPr="0071774C">
        <w:t>saw</w:t>
      </w:r>
      <w:r>
        <w:t xml:space="preserve"> </w:t>
      </w:r>
      <w:r w:rsidRPr="0071774C">
        <w:t>a</w:t>
      </w:r>
      <w:r>
        <w:t xml:space="preserve"> </w:t>
      </w:r>
      <w:r w:rsidRPr="0071774C">
        <w:t>3.4%</w:t>
      </w:r>
      <w:r>
        <w:t xml:space="preserve"> </w:t>
      </w:r>
      <w:r w:rsidRPr="0071774C">
        <w:t>decrease</w:t>
      </w:r>
      <w:r>
        <w:t xml:space="preserve"> </w:t>
      </w:r>
      <w:r w:rsidRPr="0071774C">
        <w:t>in</w:t>
      </w:r>
      <w:r>
        <w:t xml:space="preserve"> </w:t>
      </w:r>
      <w:r w:rsidRPr="0071774C">
        <w:t>the</w:t>
      </w:r>
      <w:r>
        <w:t xml:space="preserve"> </w:t>
      </w:r>
      <w:r w:rsidRPr="0071774C">
        <w:t>number</w:t>
      </w:r>
      <w:r>
        <w:t xml:space="preserve"> </w:t>
      </w:r>
      <w:r w:rsidRPr="0071774C">
        <w:t>of</w:t>
      </w:r>
      <w:r>
        <w:t xml:space="preserve"> </w:t>
      </w:r>
      <w:r w:rsidRPr="0071774C">
        <w:t>employers</w:t>
      </w:r>
      <w:r>
        <w:t xml:space="preserve"> </w:t>
      </w:r>
      <w:r w:rsidRPr="0071774C">
        <w:t>offering</w:t>
      </w:r>
      <w:r>
        <w:t xml:space="preserve"> </w:t>
      </w:r>
      <w:r w:rsidRPr="0071774C">
        <w:t>lump</w:t>
      </w:r>
      <w:r>
        <w:t xml:space="preserve"> </w:t>
      </w:r>
      <w:r w:rsidRPr="0071774C">
        <w:t>sum</w:t>
      </w:r>
      <w:r>
        <w:t xml:space="preserve"> </w:t>
      </w:r>
      <w:r w:rsidRPr="0071774C">
        <w:t>payments</w:t>
      </w:r>
      <w:r>
        <w:t xml:space="preserve"> </w:t>
      </w:r>
      <w:r w:rsidRPr="0071774C">
        <w:t>to</w:t>
      </w:r>
      <w:r>
        <w:t xml:space="preserve"> </w:t>
      </w:r>
      <w:r w:rsidRPr="0071774C">
        <w:t>primary</w:t>
      </w:r>
      <w:r>
        <w:t xml:space="preserve"> </w:t>
      </w:r>
      <w:r w:rsidRPr="0071774C">
        <w:t>carers.</w:t>
      </w:r>
      <w:r>
        <w:t xml:space="preserve"> </w:t>
      </w:r>
      <w:r w:rsidRPr="0071774C">
        <w:t>In</w:t>
      </w:r>
      <w:r>
        <w:t xml:space="preserve"> </w:t>
      </w:r>
      <w:r w:rsidRPr="0071774C">
        <w:t>the</w:t>
      </w:r>
      <w:r>
        <w:t xml:space="preserve"> </w:t>
      </w:r>
      <w:r w:rsidRPr="0071774C">
        <w:t>same</w:t>
      </w:r>
      <w:r>
        <w:t xml:space="preserve"> </w:t>
      </w:r>
      <w:r w:rsidRPr="0071774C">
        <w:t>period,</w:t>
      </w:r>
      <w:r>
        <w:t xml:space="preserve"> </w:t>
      </w:r>
      <w:r w:rsidRPr="0071774C">
        <w:t>leave</w:t>
      </w:r>
      <w:r>
        <w:t xml:space="preserve"> </w:t>
      </w:r>
      <w:r w:rsidRPr="0071774C">
        <w:t>provisions</w:t>
      </w:r>
      <w:r>
        <w:t xml:space="preserve"> </w:t>
      </w:r>
      <w:r w:rsidRPr="0071774C">
        <w:t>offered</w:t>
      </w:r>
      <w:r>
        <w:t xml:space="preserve"> </w:t>
      </w:r>
      <w:r w:rsidRPr="0071774C">
        <w:t>to</w:t>
      </w:r>
      <w:r>
        <w:t xml:space="preserve"> </w:t>
      </w:r>
      <w:r w:rsidRPr="0071774C">
        <w:t>secondary</w:t>
      </w:r>
      <w:r>
        <w:t xml:space="preserve"> </w:t>
      </w:r>
      <w:r w:rsidRPr="0071774C">
        <w:t>carers</w:t>
      </w:r>
      <w:r>
        <w:t xml:space="preserve"> </w:t>
      </w:r>
      <w:r w:rsidRPr="0071774C">
        <w:t>increased</w:t>
      </w:r>
      <w:r>
        <w:t xml:space="preserve"> </w:t>
      </w:r>
      <w:r w:rsidRPr="0071774C">
        <w:t>slightly,</w:t>
      </w:r>
      <w:r>
        <w:t xml:space="preserve"> </w:t>
      </w:r>
      <w:r w:rsidRPr="0071774C">
        <w:t>although</w:t>
      </w:r>
      <w:r>
        <w:t xml:space="preserve"> </w:t>
      </w:r>
      <w:r w:rsidRPr="0071774C">
        <w:t>the</w:t>
      </w:r>
      <w:r>
        <w:t xml:space="preserve"> </w:t>
      </w:r>
      <w:r w:rsidRPr="0071774C">
        <w:t>proportion</w:t>
      </w:r>
      <w:r>
        <w:t xml:space="preserve"> </w:t>
      </w:r>
      <w:r w:rsidRPr="0071774C">
        <w:t>of</w:t>
      </w:r>
      <w:r>
        <w:t xml:space="preserve"> </w:t>
      </w:r>
      <w:r w:rsidRPr="0071774C">
        <w:t>organisations</w:t>
      </w:r>
      <w:r>
        <w:t xml:space="preserve"> </w:t>
      </w:r>
      <w:r w:rsidRPr="0071774C">
        <w:t>offering</w:t>
      </w:r>
      <w:r>
        <w:t xml:space="preserve"> </w:t>
      </w:r>
      <w:r w:rsidRPr="0071774C">
        <w:t>secondary</w:t>
      </w:r>
      <w:r>
        <w:t xml:space="preserve"> </w:t>
      </w:r>
      <w:r w:rsidRPr="0071774C">
        <w:t>carer</w:t>
      </w:r>
      <w:r w:rsidR="006C300F">
        <w:t>’s</w:t>
      </w:r>
      <w:r>
        <w:t xml:space="preserve"> </w:t>
      </w:r>
      <w:r w:rsidRPr="0071774C">
        <w:t>leave</w:t>
      </w:r>
      <w:r>
        <w:t xml:space="preserve"> </w:t>
      </w:r>
      <w:r w:rsidRPr="0071774C">
        <w:t>is</w:t>
      </w:r>
      <w:r>
        <w:t xml:space="preserve"> </w:t>
      </w:r>
      <w:r w:rsidRPr="0071774C">
        <w:t>less</w:t>
      </w:r>
      <w:r>
        <w:t xml:space="preserve"> </w:t>
      </w:r>
      <w:r w:rsidRPr="0071774C">
        <w:t>than</w:t>
      </w:r>
      <w:r>
        <w:t xml:space="preserve"> </w:t>
      </w:r>
      <w:r w:rsidRPr="0071774C">
        <w:t>half,</w:t>
      </w:r>
      <w:r>
        <w:t xml:space="preserve"> </w:t>
      </w:r>
      <w:r w:rsidRPr="0071774C">
        <w:t>at</w:t>
      </w:r>
      <w:r>
        <w:t xml:space="preserve"> </w:t>
      </w:r>
      <w:r w:rsidRPr="0071774C">
        <w:t>43.8%.</w:t>
      </w:r>
      <w:r>
        <w:t xml:space="preserve"> </w:t>
      </w:r>
      <w:r w:rsidRPr="0071774C">
        <w:t>In</w:t>
      </w:r>
      <w:r>
        <w:t xml:space="preserve"> </w:t>
      </w:r>
      <w:r w:rsidRPr="0071774C">
        <w:t>2019,</w:t>
      </w:r>
      <w:r>
        <w:t xml:space="preserve"> </w:t>
      </w:r>
      <w:r w:rsidRPr="0071774C">
        <w:t>the</w:t>
      </w:r>
      <w:r>
        <w:t xml:space="preserve"> </w:t>
      </w:r>
      <w:r w:rsidRPr="0071774C">
        <w:t>average</w:t>
      </w:r>
      <w:r>
        <w:t xml:space="preserve"> </w:t>
      </w:r>
      <w:r w:rsidRPr="0071774C">
        <w:t>number</w:t>
      </w:r>
      <w:r>
        <w:t xml:space="preserve"> </w:t>
      </w:r>
      <w:r w:rsidRPr="0071774C">
        <w:t>of</w:t>
      </w:r>
      <w:r>
        <w:t xml:space="preserve"> </w:t>
      </w:r>
      <w:r w:rsidRPr="0071774C">
        <w:t>weeks</w:t>
      </w:r>
      <w:r>
        <w:t xml:space="preserve">’ </w:t>
      </w:r>
      <w:r w:rsidRPr="0071774C">
        <w:t>leave</w:t>
      </w:r>
      <w:r>
        <w:t xml:space="preserve"> </w:t>
      </w:r>
      <w:r w:rsidRPr="0071774C">
        <w:t>offered</w:t>
      </w:r>
      <w:r>
        <w:t xml:space="preserve"> </w:t>
      </w:r>
      <w:r w:rsidRPr="0071774C">
        <w:t>to</w:t>
      </w:r>
      <w:r>
        <w:t xml:space="preserve"> </w:t>
      </w:r>
      <w:r w:rsidRPr="0071774C">
        <w:t>secondary</w:t>
      </w:r>
      <w:r>
        <w:t xml:space="preserve"> </w:t>
      </w:r>
      <w:r w:rsidRPr="0071774C">
        <w:t>carers</w:t>
      </w:r>
      <w:r>
        <w:t xml:space="preserve"> </w:t>
      </w:r>
      <w:r w:rsidRPr="0071774C">
        <w:t>was</w:t>
      </w:r>
      <w:r>
        <w:t xml:space="preserve"> </w:t>
      </w:r>
      <w:r w:rsidRPr="0071774C">
        <w:t>1.7</w:t>
      </w:r>
      <w:r>
        <w:t xml:space="preserve"> </w:t>
      </w:r>
      <w:r w:rsidRPr="0071774C">
        <w:t>weeks,</w:t>
      </w:r>
      <w:r>
        <w:t xml:space="preserve"> </w:t>
      </w:r>
      <w:r w:rsidRPr="0071774C">
        <w:t>a</w:t>
      </w:r>
      <w:r>
        <w:t xml:space="preserve"> </w:t>
      </w:r>
      <w:r w:rsidRPr="0071774C">
        <w:t>slight</w:t>
      </w:r>
      <w:r>
        <w:t xml:space="preserve"> </w:t>
      </w:r>
      <w:r w:rsidRPr="0071774C">
        <w:t>increase</w:t>
      </w:r>
      <w:r>
        <w:t xml:space="preserve"> </w:t>
      </w:r>
      <w:r w:rsidRPr="0071774C">
        <w:t>from</w:t>
      </w:r>
      <w:r>
        <w:t xml:space="preserve"> </w:t>
      </w:r>
      <w:r w:rsidRPr="0071774C">
        <w:t>1.5</w:t>
      </w:r>
      <w:r>
        <w:t xml:space="preserve"> </w:t>
      </w:r>
      <w:r w:rsidRPr="0071774C">
        <w:t>weeks</w:t>
      </w:r>
      <w:r>
        <w:t xml:space="preserve"> </w:t>
      </w:r>
      <w:r w:rsidRPr="0071774C">
        <w:t>in</w:t>
      </w:r>
      <w:r>
        <w:t xml:space="preserve"> </w:t>
      </w:r>
      <w:r w:rsidRPr="0071774C">
        <w:t>2014</w:t>
      </w:r>
      <w:r>
        <w:t>.</w:t>
      </w:r>
      <w:r w:rsidRPr="0071774C">
        <w:rPr>
          <w:rStyle w:val="EndnoteReference"/>
          <w:szCs w:val="22"/>
        </w:rPr>
        <w:endnoteReference w:id="40"/>
      </w:r>
    </w:p>
    <w:p w14:paraId="322CF23B" w14:textId="77777777" w:rsidR="002C2EC7" w:rsidRDefault="002C2EC7" w:rsidP="00790783">
      <w:pPr>
        <w:pStyle w:val="BodyText"/>
      </w:pPr>
      <w:r w:rsidRPr="00A1118A">
        <w:t>A</w:t>
      </w:r>
      <w:r>
        <w:t xml:space="preserve"> </w:t>
      </w:r>
      <w:r w:rsidRPr="00A1118A">
        <w:t>review</w:t>
      </w:r>
      <w:r>
        <w:t xml:space="preserve"> </w:t>
      </w:r>
      <w:r w:rsidRPr="00A1118A">
        <w:t>of</w:t>
      </w:r>
      <w:r>
        <w:t xml:space="preserve"> </w:t>
      </w:r>
      <w:r w:rsidRPr="00A1118A">
        <w:t>state,</w:t>
      </w:r>
      <w:r>
        <w:t xml:space="preserve"> </w:t>
      </w:r>
      <w:r w:rsidRPr="00A1118A">
        <w:t>territory</w:t>
      </w:r>
      <w:r>
        <w:t xml:space="preserve"> </w:t>
      </w:r>
      <w:r w:rsidRPr="00A1118A">
        <w:t>and</w:t>
      </w:r>
      <w:r>
        <w:t xml:space="preserve"> </w:t>
      </w:r>
      <w:r w:rsidRPr="00A1118A">
        <w:t>federal</w:t>
      </w:r>
      <w:r>
        <w:t xml:space="preserve"> </w:t>
      </w:r>
      <w:r w:rsidRPr="00A1118A">
        <w:t>public</w:t>
      </w:r>
      <w:r>
        <w:t xml:space="preserve"> </w:t>
      </w:r>
      <w:r w:rsidRPr="00A1118A">
        <w:t>sector</w:t>
      </w:r>
      <w:r>
        <w:t xml:space="preserve"> </w:t>
      </w:r>
      <w:r w:rsidRPr="00A1118A">
        <w:t>leave</w:t>
      </w:r>
      <w:r>
        <w:t xml:space="preserve"> </w:t>
      </w:r>
      <w:r w:rsidRPr="00A1118A">
        <w:t>provisions</w:t>
      </w:r>
      <w:r>
        <w:t xml:space="preserve"> </w:t>
      </w:r>
      <w:r w:rsidRPr="00A1118A">
        <w:t>reveals</w:t>
      </w:r>
      <w:r>
        <w:t xml:space="preserve"> </w:t>
      </w:r>
      <w:r w:rsidRPr="00A1118A">
        <w:t>that</w:t>
      </w:r>
      <w:r>
        <w:t xml:space="preserve"> </w:t>
      </w:r>
      <w:r w:rsidRPr="00A1118A">
        <w:t>public</w:t>
      </w:r>
      <w:r>
        <w:t xml:space="preserve"> </w:t>
      </w:r>
      <w:r w:rsidRPr="00A1118A">
        <w:t>sector</w:t>
      </w:r>
      <w:r>
        <w:t xml:space="preserve"> </w:t>
      </w:r>
      <w:r w:rsidRPr="00A1118A">
        <w:t>employers</w:t>
      </w:r>
      <w:r>
        <w:t xml:space="preserve"> </w:t>
      </w:r>
      <w:r w:rsidRPr="00A1118A">
        <w:t>had</w:t>
      </w:r>
      <w:r>
        <w:t xml:space="preserve"> </w:t>
      </w:r>
      <w:r w:rsidRPr="00A1118A">
        <w:t>all</w:t>
      </w:r>
      <w:r>
        <w:t xml:space="preserve"> </w:t>
      </w:r>
      <w:r w:rsidRPr="00A1118A">
        <w:t>implemented</w:t>
      </w:r>
      <w:r>
        <w:t xml:space="preserve"> </w:t>
      </w:r>
      <w:r w:rsidRPr="00A1118A">
        <w:t>some</w:t>
      </w:r>
      <w:r>
        <w:t xml:space="preserve"> </w:t>
      </w:r>
      <w:r w:rsidRPr="00A1118A">
        <w:t>form</w:t>
      </w:r>
      <w:r>
        <w:t xml:space="preserve"> </w:t>
      </w:r>
      <w:r w:rsidRPr="00A1118A">
        <w:t>of</w:t>
      </w:r>
      <w:r>
        <w:t xml:space="preserve"> </w:t>
      </w:r>
      <w:r w:rsidRPr="00A1118A">
        <w:t>parental</w:t>
      </w:r>
      <w:r>
        <w:t xml:space="preserve"> </w:t>
      </w:r>
      <w:r w:rsidRPr="00A1118A">
        <w:t>leave</w:t>
      </w:r>
      <w:r>
        <w:t xml:space="preserve"> </w:t>
      </w:r>
      <w:r w:rsidRPr="00A1118A">
        <w:t>for</w:t>
      </w:r>
      <w:r>
        <w:t xml:space="preserve"> </w:t>
      </w:r>
      <w:r w:rsidRPr="00A1118A">
        <w:t>primary</w:t>
      </w:r>
      <w:r>
        <w:t xml:space="preserve"> </w:t>
      </w:r>
      <w:r w:rsidRPr="00A1118A">
        <w:t>carers</w:t>
      </w:r>
      <w:r>
        <w:t xml:space="preserve"> </w:t>
      </w:r>
      <w:r w:rsidRPr="00A1118A">
        <w:t>since</w:t>
      </w:r>
      <w:r>
        <w:t xml:space="preserve"> </w:t>
      </w:r>
      <w:r w:rsidRPr="00A1118A">
        <w:t>2014.</w:t>
      </w:r>
      <w:r>
        <w:t xml:space="preserve"> </w:t>
      </w:r>
      <w:r w:rsidRPr="00A1118A">
        <w:t>However,</w:t>
      </w:r>
      <w:r>
        <w:t xml:space="preserve"> </w:t>
      </w:r>
      <w:r w:rsidRPr="00A1118A">
        <w:t>there</w:t>
      </w:r>
      <w:r>
        <w:t xml:space="preserve"> </w:t>
      </w:r>
      <w:r w:rsidRPr="00A1118A">
        <w:t>were</w:t>
      </w:r>
      <w:r>
        <w:t xml:space="preserve"> </w:t>
      </w:r>
      <w:r w:rsidRPr="00A1118A">
        <w:t>differences</w:t>
      </w:r>
      <w:r>
        <w:t xml:space="preserve"> </w:t>
      </w:r>
      <w:r w:rsidRPr="00A1118A">
        <w:t>in</w:t>
      </w:r>
      <w:r>
        <w:t xml:space="preserve"> </w:t>
      </w:r>
      <w:r w:rsidRPr="00A1118A">
        <w:t>the</w:t>
      </w:r>
      <w:r>
        <w:t xml:space="preserve"> </w:t>
      </w:r>
      <w:r w:rsidRPr="00A1118A">
        <w:t>amount</w:t>
      </w:r>
      <w:r>
        <w:t xml:space="preserve"> </w:t>
      </w:r>
      <w:r w:rsidRPr="00A1118A">
        <w:t>of</w:t>
      </w:r>
      <w:r>
        <w:t xml:space="preserve"> </w:t>
      </w:r>
      <w:r w:rsidRPr="00A1118A">
        <w:t>leave</w:t>
      </w:r>
      <w:r>
        <w:t xml:space="preserve"> </w:t>
      </w:r>
      <w:r w:rsidRPr="00A1118A">
        <w:t>on</w:t>
      </w:r>
      <w:r>
        <w:t xml:space="preserve"> </w:t>
      </w:r>
      <w:r w:rsidRPr="00A1118A">
        <w:t>offer</w:t>
      </w:r>
      <w:r>
        <w:t xml:space="preserve"> </w:t>
      </w:r>
      <w:r w:rsidRPr="00A1118A">
        <w:t>to</w:t>
      </w:r>
      <w:r>
        <w:t xml:space="preserve"> </w:t>
      </w:r>
      <w:r w:rsidRPr="00A1118A">
        <w:t>staff,</w:t>
      </w:r>
      <w:r>
        <w:t xml:space="preserve"> </w:t>
      </w:r>
      <w:r w:rsidRPr="00A1118A">
        <w:t>and</w:t>
      </w:r>
      <w:r>
        <w:t xml:space="preserve"> </w:t>
      </w:r>
      <w:r w:rsidRPr="00A1118A">
        <w:t>whether</w:t>
      </w:r>
      <w:r>
        <w:t xml:space="preserve"> </w:t>
      </w:r>
      <w:r w:rsidRPr="00A1118A">
        <w:t>this</w:t>
      </w:r>
      <w:r>
        <w:t xml:space="preserve"> </w:t>
      </w:r>
      <w:r w:rsidRPr="00A1118A">
        <w:t>was</w:t>
      </w:r>
      <w:r>
        <w:t xml:space="preserve"> </w:t>
      </w:r>
      <w:r w:rsidRPr="00A1118A">
        <w:t>paid</w:t>
      </w:r>
      <w:r>
        <w:t xml:space="preserve"> </w:t>
      </w:r>
      <w:r w:rsidRPr="00A1118A">
        <w:t>or</w:t>
      </w:r>
      <w:r>
        <w:t xml:space="preserve"> </w:t>
      </w:r>
      <w:r w:rsidRPr="00A1118A">
        <w:t>unpaid.</w:t>
      </w:r>
    </w:p>
    <w:p w14:paraId="0155A0F9" w14:textId="274C1A3D" w:rsidR="002C2EC7" w:rsidRDefault="002C2EC7" w:rsidP="00790783">
      <w:pPr>
        <w:pStyle w:val="BodyText"/>
      </w:pPr>
      <w:r w:rsidRPr="00A1118A">
        <w:t>In</w:t>
      </w:r>
      <w:r>
        <w:t xml:space="preserve"> </w:t>
      </w:r>
      <w:r w:rsidRPr="00A1118A">
        <w:t>2019,</w:t>
      </w:r>
      <w:r>
        <w:t xml:space="preserve"> </w:t>
      </w:r>
      <w:r w:rsidRPr="00A1118A">
        <w:t>the</w:t>
      </w:r>
      <w:r>
        <w:t xml:space="preserve"> </w:t>
      </w:r>
      <w:r w:rsidRPr="00A1118A">
        <w:t>minimum</w:t>
      </w:r>
      <w:r>
        <w:t xml:space="preserve"> </w:t>
      </w:r>
      <w:r w:rsidRPr="00A1118A">
        <w:t>amount</w:t>
      </w:r>
      <w:r>
        <w:t xml:space="preserve"> </w:t>
      </w:r>
      <w:r w:rsidRPr="00A1118A">
        <w:t>of</w:t>
      </w:r>
      <w:r>
        <w:t xml:space="preserve"> </w:t>
      </w:r>
      <w:r w:rsidRPr="00A1118A">
        <w:t>paid</w:t>
      </w:r>
      <w:r>
        <w:t xml:space="preserve"> </w:t>
      </w:r>
      <w:r w:rsidRPr="00A1118A">
        <w:t>leave</w:t>
      </w:r>
      <w:r>
        <w:t xml:space="preserve"> </w:t>
      </w:r>
      <w:r w:rsidRPr="00A1118A">
        <w:t>offered</w:t>
      </w:r>
      <w:r>
        <w:t xml:space="preserve"> </w:t>
      </w:r>
      <w:r w:rsidRPr="00A1118A">
        <w:t>to</w:t>
      </w:r>
      <w:r>
        <w:t xml:space="preserve"> </w:t>
      </w:r>
      <w:r w:rsidRPr="00A1118A">
        <w:t>primary</w:t>
      </w:r>
      <w:r>
        <w:t xml:space="preserve"> </w:t>
      </w:r>
      <w:r w:rsidRPr="00A1118A">
        <w:t>carers</w:t>
      </w:r>
      <w:r>
        <w:t xml:space="preserve"> </w:t>
      </w:r>
      <w:r w:rsidRPr="00A1118A">
        <w:t>was</w:t>
      </w:r>
      <w:r>
        <w:t xml:space="preserve"> </w:t>
      </w:r>
      <w:r w:rsidRPr="00A1118A">
        <w:t>12</w:t>
      </w:r>
      <w:r>
        <w:t xml:space="preserve"> </w:t>
      </w:r>
      <w:r w:rsidRPr="00A1118A">
        <w:t>weeks,</w:t>
      </w:r>
      <w:r>
        <w:t xml:space="preserve"> </w:t>
      </w:r>
      <w:r w:rsidRPr="00A1118A">
        <w:t>and</w:t>
      </w:r>
      <w:r>
        <w:t xml:space="preserve"> </w:t>
      </w:r>
      <w:r w:rsidRPr="00A1118A">
        <w:t>the</w:t>
      </w:r>
      <w:r>
        <w:t xml:space="preserve"> </w:t>
      </w:r>
      <w:r w:rsidRPr="00A1118A">
        <w:t>maximum</w:t>
      </w:r>
      <w:r>
        <w:t xml:space="preserve"> </w:t>
      </w:r>
      <w:r w:rsidRPr="00A1118A">
        <w:t>18</w:t>
      </w:r>
      <w:r>
        <w:t xml:space="preserve"> </w:t>
      </w:r>
      <w:r w:rsidRPr="00A1118A">
        <w:t>weeks</w:t>
      </w:r>
      <w:r w:rsidR="007E2F62">
        <w:t xml:space="preserve">. </w:t>
      </w:r>
      <w:r w:rsidRPr="00A1118A">
        <w:t>Six</w:t>
      </w:r>
      <w:r>
        <w:t xml:space="preserve"> </w:t>
      </w:r>
      <w:r w:rsidRPr="004B02DE">
        <w:t>of</w:t>
      </w:r>
      <w:r>
        <w:t xml:space="preserve"> </w:t>
      </w:r>
      <w:r w:rsidRPr="004B02DE">
        <w:t>the</w:t>
      </w:r>
      <w:r>
        <w:t xml:space="preserve"> </w:t>
      </w:r>
      <w:r w:rsidRPr="004B02DE">
        <w:t>nine</w:t>
      </w:r>
      <w:r>
        <w:t xml:space="preserve"> </w:t>
      </w:r>
      <w:r w:rsidRPr="00A1118A">
        <w:t>jurisdictions</w:t>
      </w:r>
      <w:r>
        <w:t xml:space="preserve"> </w:t>
      </w:r>
      <w:r w:rsidRPr="00A1118A">
        <w:t>reviewed</w:t>
      </w:r>
      <w:r>
        <w:t xml:space="preserve"> </w:t>
      </w:r>
      <w:r w:rsidRPr="00A1118A">
        <w:t>offered</w:t>
      </w:r>
      <w:r>
        <w:t xml:space="preserve"> </w:t>
      </w:r>
      <w:r w:rsidRPr="00A1118A">
        <w:t>18</w:t>
      </w:r>
      <w:r>
        <w:t xml:space="preserve"> </w:t>
      </w:r>
      <w:r w:rsidRPr="00A1118A">
        <w:t>weeks</w:t>
      </w:r>
      <w:r>
        <w:t xml:space="preserve"> </w:t>
      </w:r>
      <w:r w:rsidRPr="00A1118A">
        <w:t>paid</w:t>
      </w:r>
      <w:r>
        <w:t xml:space="preserve"> </w:t>
      </w:r>
      <w:r w:rsidRPr="00A1118A">
        <w:t>leave,</w:t>
      </w:r>
      <w:r>
        <w:t xml:space="preserve"> </w:t>
      </w:r>
      <w:r w:rsidRPr="00A1118A">
        <w:t>five</w:t>
      </w:r>
      <w:r>
        <w:t xml:space="preserve"> </w:t>
      </w:r>
      <w:r w:rsidRPr="00A1118A">
        <w:t>of</w:t>
      </w:r>
      <w:r>
        <w:t xml:space="preserve"> </w:t>
      </w:r>
      <w:r w:rsidRPr="00A1118A">
        <w:t>which</w:t>
      </w:r>
      <w:r>
        <w:t xml:space="preserve"> </w:t>
      </w:r>
      <w:r w:rsidRPr="00A1118A">
        <w:t>stipulated</w:t>
      </w:r>
      <w:r>
        <w:t xml:space="preserve"> </w:t>
      </w:r>
      <w:r w:rsidRPr="00A1118A">
        <w:t>that</w:t>
      </w:r>
      <w:r>
        <w:t xml:space="preserve"> </w:t>
      </w:r>
      <w:r w:rsidRPr="00A1118A">
        <w:t>access</w:t>
      </w:r>
      <w:r>
        <w:t xml:space="preserve"> </w:t>
      </w:r>
      <w:r w:rsidRPr="00A1118A">
        <w:t>to</w:t>
      </w:r>
      <w:r>
        <w:t xml:space="preserve"> </w:t>
      </w:r>
      <w:r w:rsidRPr="00A1118A">
        <w:t>paid</w:t>
      </w:r>
      <w:r>
        <w:t xml:space="preserve"> </w:t>
      </w:r>
      <w:r w:rsidRPr="00A1118A">
        <w:t>leave</w:t>
      </w:r>
      <w:r>
        <w:t xml:space="preserve"> </w:t>
      </w:r>
      <w:r w:rsidRPr="00A1118A">
        <w:t>was</w:t>
      </w:r>
      <w:r>
        <w:t xml:space="preserve"> </w:t>
      </w:r>
      <w:r w:rsidRPr="00A1118A">
        <w:t>dependent</w:t>
      </w:r>
      <w:r>
        <w:t xml:space="preserve"> </w:t>
      </w:r>
      <w:r w:rsidRPr="00A1118A">
        <w:t>on</w:t>
      </w:r>
      <w:r>
        <w:t xml:space="preserve"> </w:t>
      </w:r>
      <w:r w:rsidRPr="00A1118A">
        <w:t>a</w:t>
      </w:r>
      <w:r>
        <w:t xml:space="preserve"> </w:t>
      </w:r>
      <w:r w:rsidRPr="00A1118A">
        <w:t>minimum</w:t>
      </w:r>
      <w:r>
        <w:t xml:space="preserve"> </w:t>
      </w:r>
      <w:r w:rsidRPr="00A1118A">
        <w:t>12</w:t>
      </w:r>
      <w:r>
        <w:t xml:space="preserve"> </w:t>
      </w:r>
      <w:r w:rsidRPr="00A1118A">
        <w:t>months</w:t>
      </w:r>
      <w:r>
        <w:t xml:space="preserve"> </w:t>
      </w:r>
      <w:r w:rsidRPr="00A1118A">
        <w:t>of</w:t>
      </w:r>
      <w:r>
        <w:t xml:space="preserve"> </w:t>
      </w:r>
      <w:r w:rsidRPr="00A1118A">
        <w:lastRenderedPageBreak/>
        <w:t>continuous</w:t>
      </w:r>
      <w:r>
        <w:t xml:space="preserve"> </w:t>
      </w:r>
      <w:r w:rsidRPr="00A1118A">
        <w:t>service</w:t>
      </w:r>
      <w:r>
        <w:t>.</w:t>
      </w:r>
      <w:r w:rsidRPr="00A1118A">
        <w:rPr>
          <w:rStyle w:val="EndnoteReference"/>
          <w:szCs w:val="22"/>
        </w:rPr>
        <w:endnoteReference w:id="41"/>
      </w:r>
      <w:r>
        <w:t xml:space="preserve"> </w:t>
      </w:r>
      <w:r w:rsidRPr="00A1118A">
        <w:t>The</w:t>
      </w:r>
      <w:r>
        <w:t xml:space="preserve"> </w:t>
      </w:r>
      <w:r w:rsidRPr="00A1118A">
        <w:t>amounts</w:t>
      </w:r>
      <w:r>
        <w:t xml:space="preserve"> </w:t>
      </w:r>
      <w:r w:rsidRPr="00A1118A">
        <w:t>of</w:t>
      </w:r>
      <w:r>
        <w:t xml:space="preserve"> </w:t>
      </w:r>
      <w:r w:rsidRPr="00A1118A">
        <w:t>unpaid</w:t>
      </w:r>
      <w:r>
        <w:t xml:space="preserve"> </w:t>
      </w:r>
      <w:r w:rsidRPr="00A1118A">
        <w:t>leave</w:t>
      </w:r>
      <w:r>
        <w:t xml:space="preserve"> </w:t>
      </w:r>
      <w:r w:rsidRPr="00A1118A">
        <w:t>on</w:t>
      </w:r>
      <w:r>
        <w:t xml:space="preserve"> </w:t>
      </w:r>
      <w:r w:rsidRPr="00A1118A">
        <w:t>offer</w:t>
      </w:r>
      <w:r>
        <w:t xml:space="preserve"> </w:t>
      </w:r>
      <w:r w:rsidRPr="00A1118A">
        <w:t>to</w:t>
      </w:r>
      <w:r>
        <w:t xml:space="preserve"> </w:t>
      </w:r>
      <w:r w:rsidRPr="00A1118A">
        <w:t>employees</w:t>
      </w:r>
      <w:r>
        <w:t xml:space="preserve"> </w:t>
      </w:r>
      <w:r w:rsidRPr="00A1118A">
        <w:t>who</w:t>
      </w:r>
      <w:r>
        <w:t xml:space="preserve"> </w:t>
      </w:r>
      <w:r w:rsidRPr="00A1118A">
        <w:t>were</w:t>
      </w:r>
      <w:r>
        <w:t xml:space="preserve"> </w:t>
      </w:r>
      <w:r w:rsidRPr="00A1118A">
        <w:t>primary</w:t>
      </w:r>
      <w:r>
        <w:t xml:space="preserve"> </w:t>
      </w:r>
      <w:r w:rsidRPr="00A1118A">
        <w:t>carers</w:t>
      </w:r>
      <w:r>
        <w:t xml:space="preserve"> </w:t>
      </w:r>
      <w:r w:rsidRPr="00A1118A">
        <w:t>also</w:t>
      </w:r>
      <w:r>
        <w:t xml:space="preserve"> </w:t>
      </w:r>
      <w:r w:rsidRPr="00A1118A">
        <w:t>varied</w:t>
      </w:r>
      <w:r>
        <w:t xml:space="preserve"> </w:t>
      </w:r>
      <w:r w:rsidRPr="00A1118A">
        <w:t>across</w:t>
      </w:r>
      <w:r>
        <w:t xml:space="preserve"> </w:t>
      </w:r>
      <w:r w:rsidRPr="00A1118A">
        <w:t>public</w:t>
      </w:r>
      <w:r>
        <w:t xml:space="preserve"> </w:t>
      </w:r>
      <w:r w:rsidRPr="00A1118A">
        <w:t>sector</w:t>
      </w:r>
      <w:r>
        <w:t xml:space="preserve"> </w:t>
      </w:r>
      <w:r w:rsidRPr="00A1118A">
        <w:t>employers,</w:t>
      </w:r>
      <w:r>
        <w:t xml:space="preserve"> </w:t>
      </w:r>
      <w:r w:rsidRPr="00A1118A">
        <w:t>with</w:t>
      </w:r>
      <w:r>
        <w:t xml:space="preserve"> </w:t>
      </w:r>
      <w:r w:rsidRPr="00A1118A">
        <w:t>52</w:t>
      </w:r>
      <w:r>
        <w:t xml:space="preserve"> </w:t>
      </w:r>
      <w:r w:rsidRPr="00A1118A">
        <w:t>weeks</w:t>
      </w:r>
      <w:r>
        <w:t xml:space="preserve"> </w:t>
      </w:r>
      <w:r w:rsidRPr="004B02DE">
        <w:t>being</w:t>
      </w:r>
      <w:r>
        <w:t xml:space="preserve"> </w:t>
      </w:r>
      <w:r w:rsidRPr="004B02DE">
        <w:t>the</w:t>
      </w:r>
      <w:r>
        <w:t xml:space="preserve"> </w:t>
      </w:r>
      <w:r w:rsidRPr="004B02DE">
        <w:t>minimum</w:t>
      </w:r>
      <w:r>
        <w:t xml:space="preserve"> </w:t>
      </w:r>
      <w:r w:rsidRPr="00A1118A">
        <w:t>across</w:t>
      </w:r>
      <w:r>
        <w:t xml:space="preserve"> </w:t>
      </w:r>
      <w:r w:rsidRPr="00A1118A">
        <w:t>all</w:t>
      </w:r>
      <w:r>
        <w:t xml:space="preserve"> </w:t>
      </w:r>
      <w:r w:rsidRPr="00A1118A">
        <w:t>jurisdictions.</w:t>
      </w:r>
    </w:p>
    <w:p w14:paraId="4D0D1446" w14:textId="7ADED917" w:rsidR="002C2EC7" w:rsidRDefault="002C2EC7" w:rsidP="00790783">
      <w:pPr>
        <w:pStyle w:val="BodyText"/>
      </w:pPr>
      <w:r w:rsidRPr="00A1118A">
        <w:t>All</w:t>
      </w:r>
      <w:r>
        <w:t xml:space="preserve"> </w:t>
      </w:r>
      <w:r w:rsidRPr="00A1118A">
        <w:t>public</w:t>
      </w:r>
      <w:r>
        <w:t xml:space="preserve"> </w:t>
      </w:r>
      <w:r w:rsidRPr="00A1118A">
        <w:t>sector</w:t>
      </w:r>
      <w:r>
        <w:t xml:space="preserve"> </w:t>
      </w:r>
      <w:r w:rsidRPr="00A1118A">
        <w:t>employers</w:t>
      </w:r>
      <w:r>
        <w:t xml:space="preserve"> </w:t>
      </w:r>
      <w:r w:rsidRPr="00A1118A">
        <w:t>included</w:t>
      </w:r>
      <w:r>
        <w:t xml:space="preserve"> </w:t>
      </w:r>
      <w:r w:rsidRPr="00A1118A">
        <w:t>in</w:t>
      </w:r>
      <w:r>
        <w:t xml:space="preserve"> </w:t>
      </w:r>
      <w:r w:rsidRPr="00A1118A">
        <w:t>this</w:t>
      </w:r>
      <w:r>
        <w:t xml:space="preserve"> </w:t>
      </w:r>
      <w:r w:rsidRPr="00A1118A">
        <w:t>review</w:t>
      </w:r>
      <w:r>
        <w:t xml:space="preserve"> </w:t>
      </w:r>
      <w:r w:rsidRPr="00A1118A">
        <w:t>also</w:t>
      </w:r>
      <w:r>
        <w:t xml:space="preserve"> </w:t>
      </w:r>
      <w:r w:rsidRPr="00A1118A">
        <w:t>offered</w:t>
      </w:r>
      <w:r>
        <w:t xml:space="preserve"> </w:t>
      </w:r>
      <w:r w:rsidRPr="00A1118A">
        <w:t>some</w:t>
      </w:r>
      <w:r>
        <w:t xml:space="preserve"> </w:t>
      </w:r>
      <w:r w:rsidRPr="00A1118A">
        <w:t>form</w:t>
      </w:r>
      <w:r>
        <w:t xml:space="preserve"> </w:t>
      </w:r>
      <w:r w:rsidRPr="00A1118A">
        <w:t>of</w:t>
      </w:r>
      <w:r>
        <w:t xml:space="preserve"> </w:t>
      </w:r>
      <w:r w:rsidRPr="00A1118A">
        <w:t>secondary</w:t>
      </w:r>
      <w:r>
        <w:t xml:space="preserve"> </w:t>
      </w:r>
      <w:r w:rsidRPr="00A1118A">
        <w:t>carer</w:t>
      </w:r>
      <w:r w:rsidR="006C300F">
        <w:t>’</w:t>
      </w:r>
      <w:r w:rsidRPr="00A1118A">
        <w:t>s</w:t>
      </w:r>
      <w:r>
        <w:t xml:space="preserve"> </w:t>
      </w:r>
      <w:r w:rsidRPr="00A1118A">
        <w:t>leave</w:t>
      </w:r>
      <w:r>
        <w:t xml:space="preserve"> </w:t>
      </w:r>
      <w:r w:rsidRPr="00A1118A">
        <w:t>in</w:t>
      </w:r>
      <w:r>
        <w:t xml:space="preserve"> </w:t>
      </w:r>
      <w:r w:rsidRPr="00A1118A">
        <w:t>2019,</w:t>
      </w:r>
      <w:r>
        <w:t xml:space="preserve"> </w:t>
      </w:r>
      <w:r w:rsidRPr="00A1118A">
        <w:t>with</w:t>
      </w:r>
      <w:r>
        <w:t xml:space="preserve"> </w:t>
      </w:r>
      <w:r w:rsidRPr="00A1118A">
        <w:t>differences</w:t>
      </w:r>
      <w:r>
        <w:t xml:space="preserve"> </w:t>
      </w:r>
      <w:r w:rsidRPr="00A1118A">
        <w:t>between</w:t>
      </w:r>
      <w:r>
        <w:t xml:space="preserve"> </w:t>
      </w:r>
      <w:r w:rsidRPr="0071774C">
        <w:t>jurisdictions</w:t>
      </w:r>
      <w:r>
        <w:t xml:space="preserve"> </w:t>
      </w:r>
      <w:r w:rsidRPr="0071774C">
        <w:t>in</w:t>
      </w:r>
      <w:r>
        <w:t xml:space="preserve"> </w:t>
      </w:r>
      <w:r w:rsidRPr="0071774C">
        <w:t>the</w:t>
      </w:r>
      <w:r>
        <w:t xml:space="preserve"> </w:t>
      </w:r>
      <w:r w:rsidRPr="0071774C">
        <w:t>amount</w:t>
      </w:r>
      <w:r>
        <w:t xml:space="preserve"> </w:t>
      </w:r>
      <w:r w:rsidRPr="0071774C">
        <w:t>of</w:t>
      </w:r>
      <w:r>
        <w:t xml:space="preserve"> </w:t>
      </w:r>
      <w:r w:rsidRPr="0071774C">
        <w:t>leave</w:t>
      </w:r>
      <w:r>
        <w:t xml:space="preserve"> </w:t>
      </w:r>
      <w:r w:rsidRPr="0071774C">
        <w:t>on</w:t>
      </w:r>
      <w:r>
        <w:t xml:space="preserve"> </w:t>
      </w:r>
      <w:r w:rsidRPr="0071774C">
        <w:t>offer,</w:t>
      </w:r>
      <w:r>
        <w:t xml:space="preserve"> </w:t>
      </w:r>
      <w:r w:rsidRPr="0071774C">
        <w:t>and</w:t>
      </w:r>
      <w:r>
        <w:t xml:space="preserve"> </w:t>
      </w:r>
      <w:r w:rsidRPr="0071774C">
        <w:t>whether</w:t>
      </w:r>
      <w:r>
        <w:t xml:space="preserve"> </w:t>
      </w:r>
      <w:r w:rsidRPr="0071774C">
        <w:t>this</w:t>
      </w:r>
      <w:r>
        <w:t xml:space="preserve"> </w:t>
      </w:r>
      <w:r w:rsidRPr="0071774C">
        <w:t>was</w:t>
      </w:r>
      <w:r>
        <w:t xml:space="preserve"> </w:t>
      </w:r>
      <w:r w:rsidRPr="0071774C">
        <w:t>paid</w:t>
      </w:r>
      <w:r>
        <w:t xml:space="preserve"> </w:t>
      </w:r>
      <w:r w:rsidRPr="0071774C">
        <w:t>or</w:t>
      </w:r>
      <w:r>
        <w:t xml:space="preserve"> </w:t>
      </w:r>
      <w:r w:rsidRPr="0071774C">
        <w:t>unpaid.</w:t>
      </w:r>
      <w:r>
        <w:t xml:space="preserve"> </w:t>
      </w:r>
      <w:r w:rsidRPr="0071774C">
        <w:t>The</w:t>
      </w:r>
      <w:r>
        <w:t xml:space="preserve"> </w:t>
      </w:r>
      <w:r w:rsidRPr="0071774C">
        <w:t>minimum</w:t>
      </w:r>
      <w:r>
        <w:t xml:space="preserve"> </w:t>
      </w:r>
      <w:r w:rsidRPr="0071774C">
        <w:t>amount</w:t>
      </w:r>
      <w:r>
        <w:t xml:space="preserve"> </w:t>
      </w:r>
      <w:r w:rsidRPr="0071774C">
        <w:t>of</w:t>
      </w:r>
      <w:r>
        <w:t xml:space="preserve"> </w:t>
      </w:r>
      <w:r w:rsidRPr="0071774C">
        <w:t>paid</w:t>
      </w:r>
      <w:r>
        <w:t xml:space="preserve"> </w:t>
      </w:r>
      <w:r w:rsidRPr="0071774C">
        <w:t>leave</w:t>
      </w:r>
      <w:r>
        <w:t xml:space="preserve"> </w:t>
      </w:r>
      <w:r w:rsidRPr="0071774C">
        <w:t>provided</w:t>
      </w:r>
      <w:r>
        <w:t xml:space="preserve"> </w:t>
      </w:r>
      <w:r w:rsidRPr="0071774C">
        <w:t>for</w:t>
      </w:r>
      <w:r>
        <w:t xml:space="preserve"> </w:t>
      </w:r>
      <w:r w:rsidRPr="0071774C">
        <w:t>secondary</w:t>
      </w:r>
      <w:r>
        <w:t xml:space="preserve"> </w:t>
      </w:r>
      <w:r w:rsidRPr="0071774C">
        <w:t>carers</w:t>
      </w:r>
      <w:r>
        <w:t xml:space="preserve"> </w:t>
      </w:r>
      <w:r w:rsidRPr="0071774C">
        <w:t>was</w:t>
      </w:r>
      <w:r>
        <w:t xml:space="preserve"> </w:t>
      </w:r>
      <w:r w:rsidRPr="0071774C">
        <w:t>one</w:t>
      </w:r>
      <w:r>
        <w:t xml:space="preserve"> </w:t>
      </w:r>
      <w:r w:rsidRPr="0071774C">
        <w:t>day</w:t>
      </w:r>
      <w:r>
        <w:t xml:space="preserve"> </w:t>
      </w:r>
      <w:r w:rsidRPr="0071774C">
        <w:t>to</w:t>
      </w:r>
      <w:r>
        <w:t xml:space="preserve"> </w:t>
      </w:r>
      <w:r w:rsidRPr="0071774C">
        <w:t>attend</w:t>
      </w:r>
      <w:r>
        <w:t xml:space="preserve"> </w:t>
      </w:r>
      <w:r w:rsidRPr="0071774C">
        <w:t>the</w:t>
      </w:r>
      <w:r>
        <w:t xml:space="preserve"> </w:t>
      </w:r>
      <w:r w:rsidRPr="0071774C">
        <w:t>birth</w:t>
      </w:r>
      <w:r>
        <w:t xml:space="preserve"> </w:t>
      </w:r>
      <w:r w:rsidRPr="0071774C">
        <w:t>of</w:t>
      </w:r>
      <w:r>
        <w:t xml:space="preserve"> </w:t>
      </w:r>
      <w:r w:rsidRPr="0071774C">
        <w:t>a</w:t>
      </w:r>
      <w:r>
        <w:t xml:space="preserve"> </w:t>
      </w:r>
      <w:r w:rsidRPr="0071774C">
        <w:t>child/</w:t>
      </w:r>
      <w:r>
        <w:t>child</w:t>
      </w:r>
      <w:r w:rsidRPr="0071774C">
        <w:t>ren,</w:t>
      </w:r>
      <w:r>
        <w:t xml:space="preserve"> </w:t>
      </w:r>
      <w:r w:rsidRPr="0071774C">
        <w:t>and</w:t>
      </w:r>
      <w:r>
        <w:t xml:space="preserve"> </w:t>
      </w:r>
      <w:r w:rsidRPr="0071774C">
        <w:t>the</w:t>
      </w:r>
      <w:r>
        <w:t xml:space="preserve"> </w:t>
      </w:r>
      <w:r w:rsidRPr="0071774C">
        <w:t>maximum</w:t>
      </w:r>
      <w:r>
        <w:t xml:space="preserve"> </w:t>
      </w:r>
      <w:r w:rsidRPr="0071774C">
        <w:t>amount</w:t>
      </w:r>
      <w:r>
        <w:t xml:space="preserve"> </w:t>
      </w:r>
      <w:r w:rsidRPr="0071774C">
        <w:t>offered</w:t>
      </w:r>
      <w:r>
        <w:t xml:space="preserve"> </w:t>
      </w:r>
      <w:r w:rsidRPr="0071774C">
        <w:t>was</w:t>
      </w:r>
      <w:r>
        <w:t xml:space="preserve"> </w:t>
      </w:r>
      <w:r w:rsidRPr="0071774C">
        <w:t>two</w:t>
      </w:r>
      <w:r>
        <w:t xml:space="preserve"> </w:t>
      </w:r>
      <w:r w:rsidRPr="0071774C">
        <w:t>weeks.</w:t>
      </w:r>
      <w:r>
        <w:t xml:space="preserve"> </w:t>
      </w:r>
      <w:r w:rsidRPr="00A62D44">
        <w:t>Four</w:t>
      </w:r>
      <w:r>
        <w:t xml:space="preserve"> </w:t>
      </w:r>
      <w:r w:rsidRPr="00A62D44">
        <w:t>jurisdictions</w:t>
      </w:r>
      <w:r>
        <w:t xml:space="preserve"> </w:t>
      </w:r>
      <w:r w:rsidRPr="0071774C">
        <w:t>specified</w:t>
      </w:r>
      <w:r>
        <w:t xml:space="preserve"> </w:t>
      </w:r>
      <w:r w:rsidRPr="0071774C">
        <w:t>that</w:t>
      </w:r>
      <w:r>
        <w:t xml:space="preserve"> </w:t>
      </w:r>
      <w:r w:rsidRPr="0071774C">
        <w:t>they</w:t>
      </w:r>
      <w:r>
        <w:t xml:space="preserve"> </w:t>
      </w:r>
      <w:r w:rsidRPr="0071774C">
        <w:t>offered</w:t>
      </w:r>
      <w:r>
        <w:t xml:space="preserve"> </w:t>
      </w:r>
      <w:r w:rsidRPr="0071774C">
        <w:t>Dad</w:t>
      </w:r>
      <w:r>
        <w:t xml:space="preserve"> </w:t>
      </w:r>
      <w:r w:rsidRPr="0071774C">
        <w:t>and</w:t>
      </w:r>
      <w:r>
        <w:t xml:space="preserve"> </w:t>
      </w:r>
      <w:r w:rsidRPr="0071774C">
        <w:t>Partner</w:t>
      </w:r>
      <w:r>
        <w:t xml:space="preserve"> </w:t>
      </w:r>
      <w:r w:rsidRPr="0071774C">
        <w:t>Pay</w:t>
      </w:r>
      <w:r>
        <w:t xml:space="preserve"> </w:t>
      </w:r>
      <w:r w:rsidRPr="0071774C">
        <w:t>as</w:t>
      </w:r>
      <w:r>
        <w:t xml:space="preserve"> </w:t>
      </w:r>
      <w:r w:rsidRPr="0071774C">
        <w:t>part</w:t>
      </w:r>
      <w:r>
        <w:t xml:space="preserve"> </w:t>
      </w:r>
      <w:r w:rsidRPr="0071774C">
        <w:t>of</w:t>
      </w:r>
      <w:r>
        <w:t xml:space="preserve"> </w:t>
      </w:r>
      <w:r w:rsidRPr="0071774C">
        <w:t>the</w:t>
      </w:r>
      <w:r>
        <w:t xml:space="preserve"> </w:t>
      </w:r>
      <w:r w:rsidRPr="0071774C">
        <w:t>Australian</w:t>
      </w:r>
      <w:r>
        <w:t xml:space="preserve"> </w:t>
      </w:r>
      <w:r w:rsidRPr="0071774C">
        <w:t>Government</w:t>
      </w:r>
      <w:r>
        <w:t xml:space="preserve"> </w:t>
      </w:r>
      <w:r w:rsidRPr="0071774C">
        <w:t>Paid</w:t>
      </w:r>
      <w:r>
        <w:t xml:space="preserve"> </w:t>
      </w:r>
      <w:r w:rsidRPr="0071774C">
        <w:t>Parental</w:t>
      </w:r>
      <w:r>
        <w:t xml:space="preserve"> </w:t>
      </w:r>
      <w:r w:rsidRPr="0071774C">
        <w:t>Leave</w:t>
      </w:r>
      <w:r>
        <w:t xml:space="preserve"> </w:t>
      </w:r>
      <w:r w:rsidR="0081711A">
        <w:t>s</w:t>
      </w:r>
      <w:r w:rsidRPr="0071774C">
        <w:t>cheme.</w:t>
      </w:r>
      <w:r>
        <w:t xml:space="preserve"> </w:t>
      </w:r>
      <w:r w:rsidRPr="0071774C">
        <w:t>This</w:t>
      </w:r>
      <w:r>
        <w:t xml:space="preserve"> </w:t>
      </w:r>
      <w:r w:rsidRPr="0071774C">
        <w:t>scheme</w:t>
      </w:r>
      <w:r>
        <w:t xml:space="preserve"> </w:t>
      </w:r>
      <w:r w:rsidRPr="0071774C">
        <w:t>provides</w:t>
      </w:r>
      <w:r>
        <w:t xml:space="preserve"> </w:t>
      </w:r>
      <w:r w:rsidRPr="0071774C">
        <w:t>up</w:t>
      </w:r>
      <w:r>
        <w:t xml:space="preserve"> </w:t>
      </w:r>
      <w:r w:rsidRPr="0071774C">
        <w:t>to</w:t>
      </w:r>
      <w:r>
        <w:t xml:space="preserve"> </w:t>
      </w:r>
      <w:r w:rsidRPr="0071774C">
        <w:t>two</w:t>
      </w:r>
      <w:r>
        <w:t xml:space="preserve"> </w:t>
      </w:r>
      <w:r w:rsidRPr="0071774C">
        <w:t>weeks’</w:t>
      </w:r>
      <w:r>
        <w:t xml:space="preserve"> </w:t>
      </w:r>
      <w:r w:rsidRPr="0071774C">
        <w:t>pay</w:t>
      </w:r>
      <w:r>
        <w:t xml:space="preserve"> </w:t>
      </w:r>
      <w:r w:rsidRPr="0071774C">
        <w:t>at</w:t>
      </w:r>
      <w:r>
        <w:t xml:space="preserve"> </w:t>
      </w:r>
      <w:r w:rsidRPr="0071774C">
        <w:t>the</w:t>
      </w:r>
      <w:r>
        <w:t xml:space="preserve"> </w:t>
      </w:r>
      <w:r w:rsidRPr="0071774C">
        <w:t>rate</w:t>
      </w:r>
      <w:r>
        <w:t xml:space="preserve"> </w:t>
      </w:r>
      <w:r w:rsidRPr="0071774C">
        <w:t>of</w:t>
      </w:r>
      <w:r>
        <w:t xml:space="preserve"> </w:t>
      </w:r>
      <w:r w:rsidRPr="0071774C">
        <w:t>the</w:t>
      </w:r>
      <w:r>
        <w:t xml:space="preserve"> </w:t>
      </w:r>
      <w:r w:rsidRPr="0071774C">
        <w:t>national</w:t>
      </w:r>
      <w:r>
        <w:t xml:space="preserve"> </w:t>
      </w:r>
      <w:r w:rsidRPr="0071774C">
        <w:t>minimum</w:t>
      </w:r>
      <w:r>
        <w:t xml:space="preserve"> </w:t>
      </w:r>
      <w:r w:rsidRPr="0071774C">
        <w:t>wage</w:t>
      </w:r>
      <w:r>
        <w:t xml:space="preserve"> </w:t>
      </w:r>
      <w:r w:rsidRPr="0071774C">
        <w:t>to</w:t>
      </w:r>
      <w:r>
        <w:t xml:space="preserve"> </w:t>
      </w:r>
      <w:r w:rsidRPr="0071774C">
        <w:t>eligible</w:t>
      </w:r>
      <w:r>
        <w:t xml:space="preserve"> </w:t>
      </w:r>
      <w:r w:rsidRPr="0071774C">
        <w:t>fathers</w:t>
      </w:r>
      <w:r>
        <w:t xml:space="preserve"> </w:t>
      </w:r>
      <w:r w:rsidRPr="0071774C">
        <w:t>or</w:t>
      </w:r>
      <w:r>
        <w:t xml:space="preserve"> </w:t>
      </w:r>
      <w:r w:rsidRPr="0071774C">
        <w:t>partners</w:t>
      </w:r>
      <w:r>
        <w:t xml:space="preserve"> </w:t>
      </w:r>
      <w:r w:rsidRPr="0071774C">
        <w:t>caring</w:t>
      </w:r>
      <w:r>
        <w:t xml:space="preserve"> </w:t>
      </w:r>
      <w:r w:rsidRPr="0071774C">
        <w:t>for</w:t>
      </w:r>
      <w:r>
        <w:t xml:space="preserve"> </w:t>
      </w:r>
      <w:r w:rsidRPr="0071774C">
        <w:t>a</w:t>
      </w:r>
      <w:r>
        <w:t xml:space="preserve"> </w:t>
      </w:r>
      <w:r w:rsidRPr="0071774C">
        <w:t>child</w:t>
      </w:r>
      <w:r>
        <w:t xml:space="preserve"> </w:t>
      </w:r>
      <w:r w:rsidRPr="0071774C">
        <w:t>born</w:t>
      </w:r>
      <w:r>
        <w:t xml:space="preserve"> </w:t>
      </w:r>
      <w:r w:rsidRPr="00A1118A">
        <w:t>or</w:t>
      </w:r>
      <w:r>
        <w:t xml:space="preserve"> </w:t>
      </w:r>
      <w:r w:rsidRPr="00A1118A">
        <w:t>adopted</w:t>
      </w:r>
      <w:r>
        <w:t xml:space="preserve"> </w:t>
      </w:r>
      <w:r w:rsidRPr="00A1118A">
        <w:t>from</w:t>
      </w:r>
      <w:r>
        <w:t xml:space="preserve"> </w:t>
      </w:r>
      <w:r w:rsidRPr="00A1118A">
        <w:t>1</w:t>
      </w:r>
      <w:r>
        <w:t xml:space="preserve"> </w:t>
      </w:r>
      <w:r w:rsidRPr="00A1118A">
        <w:t>January</w:t>
      </w:r>
      <w:r>
        <w:t xml:space="preserve"> </w:t>
      </w:r>
      <w:r w:rsidRPr="00A1118A">
        <w:t>2013.</w:t>
      </w:r>
      <w:r w:rsidRPr="00A1118A">
        <w:rPr>
          <w:rStyle w:val="EndnoteReference"/>
          <w:szCs w:val="22"/>
        </w:rPr>
        <w:endnoteReference w:id="42"/>
      </w:r>
      <w:r>
        <w:t xml:space="preserve"> </w:t>
      </w:r>
      <w:r w:rsidRPr="00A1118A">
        <w:t>To</w:t>
      </w:r>
      <w:r>
        <w:t xml:space="preserve"> </w:t>
      </w:r>
      <w:r w:rsidRPr="00A1118A">
        <w:t>be</w:t>
      </w:r>
      <w:r>
        <w:t xml:space="preserve"> </w:t>
      </w:r>
      <w:r w:rsidRPr="00A1118A">
        <w:t>eligible</w:t>
      </w:r>
      <w:r>
        <w:t xml:space="preserve"> </w:t>
      </w:r>
      <w:r w:rsidRPr="00A1118A">
        <w:t>for</w:t>
      </w:r>
      <w:r>
        <w:t xml:space="preserve"> </w:t>
      </w:r>
      <w:r w:rsidRPr="00A1118A">
        <w:t>this</w:t>
      </w:r>
      <w:r>
        <w:t xml:space="preserve"> </w:t>
      </w:r>
      <w:r w:rsidRPr="00A1118A">
        <w:t>type</w:t>
      </w:r>
      <w:r>
        <w:t xml:space="preserve"> </w:t>
      </w:r>
      <w:r w:rsidRPr="00A1118A">
        <w:t>of</w:t>
      </w:r>
      <w:r>
        <w:t xml:space="preserve"> </w:t>
      </w:r>
      <w:r w:rsidRPr="00A1118A">
        <w:t>leave,</w:t>
      </w:r>
      <w:r>
        <w:t xml:space="preserve"> </w:t>
      </w:r>
      <w:r w:rsidRPr="00A1118A">
        <w:t>fathers</w:t>
      </w:r>
      <w:r>
        <w:t xml:space="preserve"> </w:t>
      </w:r>
      <w:r w:rsidRPr="00A1118A">
        <w:t>or</w:t>
      </w:r>
      <w:r>
        <w:t xml:space="preserve"> </w:t>
      </w:r>
      <w:r w:rsidRPr="00A1118A">
        <w:t>partners</w:t>
      </w:r>
      <w:r>
        <w:t xml:space="preserve"> </w:t>
      </w:r>
      <w:r w:rsidRPr="00A1118A">
        <w:t>must</w:t>
      </w:r>
      <w:r>
        <w:t xml:space="preserve"> </w:t>
      </w:r>
      <w:r w:rsidRPr="00A1118A">
        <w:t>be</w:t>
      </w:r>
      <w:r>
        <w:t xml:space="preserve"> </w:t>
      </w:r>
      <w:r w:rsidRPr="00A1118A">
        <w:t>on</w:t>
      </w:r>
      <w:r>
        <w:t xml:space="preserve"> </w:t>
      </w:r>
      <w:r w:rsidRPr="00A1118A">
        <w:t>unpaid</w:t>
      </w:r>
      <w:r>
        <w:t xml:space="preserve"> </w:t>
      </w:r>
      <w:r w:rsidRPr="00A1118A">
        <w:t>leave</w:t>
      </w:r>
      <w:r>
        <w:t xml:space="preserve"> </w:t>
      </w:r>
      <w:r w:rsidRPr="00A1118A">
        <w:t>or</w:t>
      </w:r>
      <w:r>
        <w:t xml:space="preserve"> </w:t>
      </w:r>
      <w:r w:rsidRPr="00A1118A">
        <w:t>not</w:t>
      </w:r>
      <w:r>
        <w:t xml:space="preserve"> </w:t>
      </w:r>
      <w:r w:rsidRPr="00A1118A">
        <w:t>working.</w:t>
      </w:r>
      <w:r>
        <w:t xml:space="preserve"> </w:t>
      </w:r>
      <w:r w:rsidRPr="00A1118A">
        <w:t>Also</w:t>
      </w:r>
      <w:r>
        <w:t xml:space="preserve"> </w:t>
      </w:r>
      <w:r w:rsidRPr="00A1118A">
        <w:t>offered</w:t>
      </w:r>
      <w:r>
        <w:t xml:space="preserve"> </w:t>
      </w:r>
      <w:r w:rsidRPr="00A1118A">
        <w:t>were</w:t>
      </w:r>
      <w:r>
        <w:t xml:space="preserve"> </w:t>
      </w:r>
      <w:r w:rsidRPr="00A1118A">
        <w:t>secondary</w:t>
      </w:r>
      <w:r>
        <w:t xml:space="preserve"> </w:t>
      </w:r>
      <w:r w:rsidRPr="00A1118A">
        <w:t>carer</w:t>
      </w:r>
      <w:r>
        <w:t xml:space="preserve"> </w:t>
      </w:r>
      <w:r w:rsidRPr="00A1118A">
        <w:t>or</w:t>
      </w:r>
      <w:r>
        <w:t xml:space="preserve"> </w:t>
      </w:r>
      <w:r w:rsidRPr="00A1118A">
        <w:t>supporting</w:t>
      </w:r>
      <w:r>
        <w:t xml:space="preserve"> </w:t>
      </w:r>
      <w:r w:rsidRPr="00A1118A">
        <w:t>partner</w:t>
      </w:r>
      <w:r>
        <w:t xml:space="preserve"> </w:t>
      </w:r>
      <w:r w:rsidRPr="00A1118A">
        <w:t>paid</w:t>
      </w:r>
      <w:r>
        <w:t xml:space="preserve"> </w:t>
      </w:r>
      <w:r w:rsidRPr="00A1118A">
        <w:t>leave</w:t>
      </w:r>
      <w:r>
        <w:t xml:space="preserve"> </w:t>
      </w:r>
      <w:r w:rsidRPr="00A1118A">
        <w:t>entitlements,</w:t>
      </w:r>
      <w:r>
        <w:t xml:space="preserve"> </w:t>
      </w:r>
      <w:r w:rsidRPr="00A1118A">
        <w:t>which</w:t>
      </w:r>
      <w:r>
        <w:t xml:space="preserve"> </w:t>
      </w:r>
      <w:r w:rsidRPr="00A1118A">
        <w:t>ranged</w:t>
      </w:r>
      <w:r>
        <w:t xml:space="preserve"> </w:t>
      </w:r>
      <w:r w:rsidRPr="00A1118A">
        <w:t>from</w:t>
      </w:r>
      <w:r>
        <w:t xml:space="preserve"> </w:t>
      </w:r>
      <w:r w:rsidRPr="00A1118A">
        <w:t>one</w:t>
      </w:r>
      <w:r>
        <w:t xml:space="preserve"> </w:t>
      </w:r>
      <w:r w:rsidRPr="00A1118A">
        <w:t>day</w:t>
      </w:r>
      <w:r>
        <w:t xml:space="preserve"> </w:t>
      </w:r>
      <w:r w:rsidRPr="00A1118A">
        <w:t>to</w:t>
      </w:r>
      <w:r>
        <w:t xml:space="preserve"> </w:t>
      </w:r>
      <w:r w:rsidRPr="00A1118A">
        <w:t>fourteen</w:t>
      </w:r>
      <w:r>
        <w:t xml:space="preserve"> </w:t>
      </w:r>
      <w:r w:rsidRPr="00A1118A">
        <w:t>days,</w:t>
      </w:r>
      <w:r>
        <w:t xml:space="preserve"> </w:t>
      </w:r>
      <w:r w:rsidRPr="00A1118A">
        <w:t>depending</w:t>
      </w:r>
      <w:r>
        <w:t xml:space="preserve"> </w:t>
      </w:r>
      <w:r w:rsidRPr="00A1118A">
        <w:t>on</w:t>
      </w:r>
      <w:r>
        <w:t xml:space="preserve"> </w:t>
      </w:r>
      <w:r w:rsidRPr="00A1118A">
        <w:t>years</w:t>
      </w:r>
      <w:r>
        <w:t xml:space="preserve"> </w:t>
      </w:r>
      <w:r w:rsidRPr="00A1118A">
        <w:t>of</w:t>
      </w:r>
      <w:r>
        <w:t xml:space="preserve"> </w:t>
      </w:r>
      <w:r w:rsidRPr="00A1118A">
        <w:t>continuous</w:t>
      </w:r>
      <w:r>
        <w:t xml:space="preserve"> </w:t>
      </w:r>
      <w:r w:rsidRPr="00A1118A">
        <w:t>service.</w:t>
      </w:r>
      <w:r>
        <w:t xml:space="preserve"> </w:t>
      </w:r>
      <w:r w:rsidRPr="00A1118A">
        <w:t>The</w:t>
      </w:r>
      <w:r>
        <w:t xml:space="preserve"> </w:t>
      </w:r>
      <w:r w:rsidRPr="00A1118A">
        <w:t>amount</w:t>
      </w:r>
      <w:r>
        <w:t xml:space="preserve"> </w:t>
      </w:r>
      <w:r w:rsidRPr="00A1118A">
        <w:t>of</w:t>
      </w:r>
      <w:r>
        <w:t xml:space="preserve"> </w:t>
      </w:r>
      <w:r w:rsidRPr="00A1118A">
        <w:t>unpaid</w:t>
      </w:r>
      <w:r>
        <w:t xml:space="preserve"> </w:t>
      </w:r>
      <w:r w:rsidRPr="00A62D44">
        <w:t>leave</w:t>
      </w:r>
      <w:r>
        <w:t xml:space="preserve"> </w:t>
      </w:r>
      <w:r w:rsidRPr="00A1118A">
        <w:t>offered</w:t>
      </w:r>
      <w:r>
        <w:t xml:space="preserve"> </w:t>
      </w:r>
      <w:r w:rsidRPr="00A1118A">
        <w:t>to</w:t>
      </w:r>
      <w:r>
        <w:t xml:space="preserve"> </w:t>
      </w:r>
      <w:r w:rsidRPr="00A1118A">
        <w:t>secondary</w:t>
      </w:r>
      <w:r>
        <w:t xml:space="preserve"> </w:t>
      </w:r>
      <w:r w:rsidRPr="00A1118A">
        <w:t>carers</w:t>
      </w:r>
      <w:r>
        <w:t xml:space="preserve"> </w:t>
      </w:r>
      <w:r w:rsidRPr="00A1118A">
        <w:t>ranged</w:t>
      </w:r>
      <w:r>
        <w:t xml:space="preserve"> </w:t>
      </w:r>
      <w:r w:rsidRPr="00A1118A">
        <w:t>from</w:t>
      </w:r>
      <w:r>
        <w:t xml:space="preserve"> </w:t>
      </w:r>
      <w:r w:rsidRPr="00A1118A">
        <w:t>three</w:t>
      </w:r>
      <w:r>
        <w:t xml:space="preserve"> </w:t>
      </w:r>
      <w:r w:rsidRPr="00A1118A">
        <w:t>weeks</w:t>
      </w:r>
      <w:r>
        <w:t xml:space="preserve"> </w:t>
      </w:r>
      <w:r w:rsidRPr="00A1118A">
        <w:t>to</w:t>
      </w:r>
      <w:r>
        <w:t xml:space="preserve"> </w:t>
      </w:r>
      <w:r w:rsidRPr="00A1118A">
        <w:t>twelve</w:t>
      </w:r>
      <w:r>
        <w:t xml:space="preserve"> </w:t>
      </w:r>
      <w:r w:rsidRPr="00A1118A">
        <w:t>months.</w:t>
      </w:r>
    </w:p>
    <w:p w14:paraId="09CF9488" w14:textId="1A8133E7" w:rsidR="002C2EC7" w:rsidRDefault="002C2EC7" w:rsidP="00790783">
      <w:pPr>
        <w:pStyle w:val="BodyText"/>
      </w:pPr>
      <w:r w:rsidRPr="00A1118A">
        <w:t>Across</w:t>
      </w:r>
      <w:r>
        <w:t xml:space="preserve"> </w:t>
      </w:r>
      <w:r w:rsidRPr="00A1118A">
        <w:t>the</w:t>
      </w:r>
      <w:r>
        <w:t xml:space="preserve"> </w:t>
      </w:r>
      <w:r w:rsidRPr="00A1118A">
        <w:t>board,</w:t>
      </w:r>
      <w:r>
        <w:t xml:space="preserve"> </w:t>
      </w:r>
      <w:r w:rsidRPr="00A1118A">
        <w:t>the</w:t>
      </w:r>
      <w:r>
        <w:t xml:space="preserve"> </w:t>
      </w:r>
      <w:r w:rsidRPr="00A1118A">
        <w:t>amount</w:t>
      </w:r>
      <w:r>
        <w:t xml:space="preserve"> </w:t>
      </w:r>
      <w:r w:rsidRPr="00A1118A">
        <w:t>of</w:t>
      </w:r>
      <w:r>
        <w:t xml:space="preserve"> </w:t>
      </w:r>
      <w:r w:rsidRPr="00A1118A">
        <w:t>paid</w:t>
      </w:r>
      <w:r>
        <w:t xml:space="preserve"> </w:t>
      </w:r>
      <w:r w:rsidRPr="00A1118A">
        <w:t>leave</w:t>
      </w:r>
      <w:r>
        <w:t xml:space="preserve"> </w:t>
      </w:r>
      <w:r w:rsidRPr="00A1118A">
        <w:t>offered</w:t>
      </w:r>
      <w:r>
        <w:t xml:space="preserve"> </w:t>
      </w:r>
      <w:r w:rsidRPr="00A1118A">
        <w:t>to</w:t>
      </w:r>
      <w:r>
        <w:t xml:space="preserve"> </w:t>
      </w:r>
      <w:r w:rsidRPr="00A1118A">
        <w:t>secondary</w:t>
      </w:r>
      <w:r>
        <w:t xml:space="preserve"> </w:t>
      </w:r>
      <w:r w:rsidRPr="00A1118A">
        <w:t>carers</w:t>
      </w:r>
      <w:r>
        <w:t xml:space="preserve"> </w:t>
      </w:r>
      <w:r w:rsidRPr="00A1118A">
        <w:t>was</w:t>
      </w:r>
      <w:r>
        <w:t xml:space="preserve"> </w:t>
      </w:r>
      <w:r w:rsidRPr="00A1118A">
        <w:t>notably</w:t>
      </w:r>
      <w:r>
        <w:t xml:space="preserve"> </w:t>
      </w:r>
      <w:r w:rsidRPr="00A1118A">
        <w:t>low</w:t>
      </w:r>
      <w:r w:rsidR="00851841">
        <w:t> </w:t>
      </w:r>
      <w:r w:rsidRPr="00A1118A">
        <w:t>(in</w:t>
      </w:r>
      <w:r w:rsidR="00851841">
        <w:t> </w:t>
      </w:r>
      <w:r w:rsidRPr="00A1118A">
        <w:t>terms</w:t>
      </w:r>
      <w:r>
        <w:t xml:space="preserve"> </w:t>
      </w:r>
      <w:r w:rsidRPr="00A1118A">
        <w:t>of</w:t>
      </w:r>
      <w:r>
        <w:t xml:space="preserve"> </w:t>
      </w:r>
      <w:r w:rsidRPr="00A1118A">
        <w:t>both</w:t>
      </w:r>
      <w:r>
        <w:t xml:space="preserve"> </w:t>
      </w:r>
      <w:r w:rsidRPr="00A1118A">
        <w:t>duration</w:t>
      </w:r>
      <w:r>
        <w:t xml:space="preserve"> </w:t>
      </w:r>
      <w:r w:rsidRPr="00A1118A">
        <w:t>and</w:t>
      </w:r>
      <w:r>
        <w:t xml:space="preserve"> </w:t>
      </w:r>
      <w:r w:rsidRPr="00A1118A">
        <w:t>income)</w:t>
      </w:r>
      <w:r>
        <w:t xml:space="preserve"> </w:t>
      </w:r>
      <w:r w:rsidRPr="00A1118A">
        <w:t>relative</w:t>
      </w:r>
      <w:r>
        <w:t xml:space="preserve"> </w:t>
      </w:r>
      <w:r w:rsidRPr="00A1118A">
        <w:t>to</w:t>
      </w:r>
      <w:r>
        <w:t xml:space="preserve"> </w:t>
      </w:r>
      <w:r w:rsidRPr="00A1118A">
        <w:t>other</w:t>
      </w:r>
      <w:r>
        <w:t xml:space="preserve"> </w:t>
      </w:r>
      <w:r w:rsidRPr="00A1118A">
        <w:t>leave</w:t>
      </w:r>
      <w:r>
        <w:t xml:space="preserve"> </w:t>
      </w:r>
      <w:r w:rsidRPr="00A1118A">
        <w:t>allocations.</w:t>
      </w:r>
      <w:r>
        <w:t xml:space="preserve"> </w:t>
      </w:r>
      <w:r w:rsidRPr="00A1118A">
        <w:t>This</w:t>
      </w:r>
      <w:r>
        <w:t xml:space="preserve"> </w:t>
      </w:r>
      <w:r w:rsidRPr="00A1118A">
        <w:t>is</w:t>
      </w:r>
      <w:r>
        <w:t xml:space="preserve"> </w:t>
      </w:r>
      <w:r w:rsidRPr="00A1118A">
        <w:t>likely</w:t>
      </w:r>
      <w:r w:rsidR="00851841">
        <w:t> </w:t>
      </w:r>
      <w:r w:rsidRPr="00A1118A">
        <w:t>to</w:t>
      </w:r>
      <w:r w:rsidR="00851841">
        <w:t> </w:t>
      </w:r>
      <w:r w:rsidRPr="00A1118A">
        <w:t>have</w:t>
      </w:r>
      <w:r>
        <w:t xml:space="preserve"> </w:t>
      </w:r>
      <w:r w:rsidRPr="00A1118A">
        <w:t>implications</w:t>
      </w:r>
      <w:r>
        <w:t xml:space="preserve"> </w:t>
      </w:r>
      <w:r w:rsidRPr="00A1118A">
        <w:t>for</w:t>
      </w:r>
      <w:r>
        <w:t xml:space="preserve"> </w:t>
      </w:r>
      <w:r w:rsidRPr="00A1118A">
        <w:t>the</w:t>
      </w:r>
      <w:r>
        <w:t xml:space="preserve"> </w:t>
      </w:r>
      <w:r w:rsidRPr="00A1118A">
        <w:t>distribution</w:t>
      </w:r>
      <w:r>
        <w:t xml:space="preserve"> </w:t>
      </w:r>
      <w:r w:rsidRPr="00A1118A">
        <w:t>of</w:t>
      </w:r>
      <w:r>
        <w:t xml:space="preserve"> </w:t>
      </w:r>
      <w:r w:rsidRPr="00A1118A">
        <w:t>unpaid</w:t>
      </w:r>
      <w:r>
        <w:t xml:space="preserve"> </w:t>
      </w:r>
      <w:r w:rsidRPr="00A1118A">
        <w:t>care</w:t>
      </w:r>
      <w:r>
        <w:t xml:space="preserve"> </w:t>
      </w:r>
      <w:r w:rsidRPr="00A1118A">
        <w:t>work</w:t>
      </w:r>
      <w:r>
        <w:t xml:space="preserve"> </w:t>
      </w:r>
      <w:r w:rsidRPr="00A1118A">
        <w:t>in</w:t>
      </w:r>
      <w:r>
        <w:t xml:space="preserve"> </w:t>
      </w:r>
      <w:r w:rsidRPr="00A1118A">
        <w:t>Australian</w:t>
      </w:r>
      <w:r>
        <w:t xml:space="preserve"> </w:t>
      </w:r>
      <w:r w:rsidRPr="00A1118A">
        <w:t>homes.</w:t>
      </w:r>
      <w:r>
        <w:t xml:space="preserve"> </w:t>
      </w:r>
      <w:r w:rsidRPr="00A1118A">
        <w:t>Internationally,</w:t>
      </w:r>
      <w:r>
        <w:t xml:space="preserve"> </w:t>
      </w:r>
      <w:r w:rsidRPr="00A1118A">
        <w:t>where</w:t>
      </w:r>
      <w:r>
        <w:t xml:space="preserve"> </w:t>
      </w:r>
      <w:r w:rsidRPr="00A1118A">
        <w:t>positive</w:t>
      </w:r>
      <w:r>
        <w:t xml:space="preserve"> </w:t>
      </w:r>
      <w:r w:rsidRPr="00A1118A">
        <w:t>progress</w:t>
      </w:r>
      <w:r>
        <w:t xml:space="preserve"> </w:t>
      </w:r>
      <w:r w:rsidRPr="00A1118A">
        <w:t>has</w:t>
      </w:r>
      <w:r>
        <w:t xml:space="preserve"> </w:t>
      </w:r>
      <w:r w:rsidRPr="00A1118A">
        <w:t>been</w:t>
      </w:r>
      <w:r>
        <w:t xml:space="preserve"> </w:t>
      </w:r>
      <w:r w:rsidRPr="00A1118A">
        <w:t>made</w:t>
      </w:r>
      <w:r>
        <w:t xml:space="preserve"> </w:t>
      </w:r>
      <w:r w:rsidRPr="00A1118A">
        <w:t>in</w:t>
      </w:r>
      <w:r>
        <w:t xml:space="preserve"> </w:t>
      </w:r>
      <w:r w:rsidRPr="00A1118A">
        <w:t>equalising</w:t>
      </w:r>
      <w:r>
        <w:t xml:space="preserve"> </w:t>
      </w:r>
      <w:r w:rsidRPr="00A1118A">
        <w:t>the</w:t>
      </w:r>
      <w:r>
        <w:t xml:space="preserve"> </w:t>
      </w:r>
      <w:r w:rsidRPr="00A1118A">
        <w:t>responsibility</w:t>
      </w:r>
      <w:r>
        <w:t xml:space="preserve"> </w:t>
      </w:r>
      <w:r w:rsidRPr="00A1118A">
        <w:t>of</w:t>
      </w:r>
      <w:r>
        <w:t xml:space="preserve"> </w:t>
      </w:r>
      <w:r w:rsidRPr="00A1118A">
        <w:t>unpaid</w:t>
      </w:r>
      <w:r>
        <w:t xml:space="preserve"> </w:t>
      </w:r>
      <w:r w:rsidRPr="00A1118A">
        <w:t>care</w:t>
      </w:r>
      <w:r>
        <w:t xml:space="preserve"> </w:t>
      </w:r>
      <w:r w:rsidRPr="00A1118A">
        <w:t>work,</w:t>
      </w:r>
      <w:r>
        <w:t xml:space="preserve"> </w:t>
      </w:r>
      <w:r w:rsidRPr="00A1118A">
        <w:t>paid</w:t>
      </w:r>
      <w:r>
        <w:t xml:space="preserve"> </w:t>
      </w:r>
      <w:r w:rsidRPr="00A62D44">
        <w:t>parental</w:t>
      </w:r>
      <w:r>
        <w:t xml:space="preserve"> </w:t>
      </w:r>
      <w:r w:rsidRPr="00A1118A">
        <w:t>leave</w:t>
      </w:r>
      <w:r>
        <w:t xml:space="preserve"> </w:t>
      </w:r>
      <w:r w:rsidRPr="00A1118A">
        <w:t>has</w:t>
      </w:r>
      <w:r>
        <w:t xml:space="preserve"> </w:t>
      </w:r>
      <w:r w:rsidRPr="00A1118A">
        <w:t>been</w:t>
      </w:r>
      <w:r>
        <w:t xml:space="preserve"> </w:t>
      </w:r>
      <w:r w:rsidRPr="00A1118A">
        <w:t>offered</w:t>
      </w:r>
      <w:r>
        <w:t xml:space="preserve"> </w:t>
      </w:r>
      <w:r w:rsidRPr="00A1118A">
        <w:t>at</w:t>
      </w:r>
      <w:r>
        <w:t xml:space="preserve"> </w:t>
      </w:r>
      <w:r w:rsidRPr="00A1118A">
        <w:t>income</w:t>
      </w:r>
      <w:r>
        <w:t xml:space="preserve"> </w:t>
      </w:r>
      <w:r w:rsidRPr="00A1118A">
        <w:t>replacement</w:t>
      </w:r>
      <w:r>
        <w:t xml:space="preserve"> </w:t>
      </w:r>
      <w:r w:rsidRPr="00A1118A">
        <w:t>levels,</w:t>
      </w:r>
      <w:r>
        <w:t xml:space="preserve"> </w:t>
      </w:r>
      <w:r w:rsidRPr="00A1118A">
        <w:t>together</w:t>
      </w:r>
      <w:r>
        <w:t xml:space="preserve"> </w:t>
      </w:r>
      <w:r w:rsidRPr="00A1118A">
        <w:t>with</w:t>
      </w:r>
      <w:r>
        <w:t xml:space="preserve"> </w:t>
      </w:r>
      <w:r w:rsidRPr="00A1118A">
        <w:t>incentives</w:t>
      </w:r>
      <w:r>
        <w:t xml:space="preserve"> </w:t>
      </w:r>
      <w:r w:rsidRPr="00A1118A">
        <w:t>for</w:t>
      </w:r>
      <w:r>
        <w:t xml:space="preserve"> </w:t>
      </w:r>
      <w:r w:rsidRPr="00A1118A">
        <w:t>taking</w:t>
      </w:r>
      <w:r>
        <w:t xml:space="preserve"> </w:t>
      </w:r>
      <w:r w:rsidRPr="00A1118A">
        <w:t>this</w:t>
      </w:r>
      <w:r>
        <w:t xml:space="preserve"> </w:t>
      </w:r>
      <w:r w:rsidRPr="00A1118A">
        <w:t>leave.</w:t>
      </w:r>
      <w:r w:rsidRPr="001DE8F9">
        <w:rPr>
          <w:rStyle w:val="EndnoteReference"/>
        </w:rPr>
        <w:endnoteReference w:id="43"/>
      </w:r>
      <w:r>
        <w:t xml:space="preserve"> </w:t>
      </w:r>
      <w:r w:rsidR="00F602A0">
        <w:t xml:space="preserve">Compared to other </w:t>
      </w:r>
      <w:r w:rsidR="5407CED4">
        <w:t>Organisation for Economic Co-operation and Development (</w:t>
      </w:r>
      <w:r w:rsidR="00F602A0">
        <w:t>OECD</w:t>
      </w:r>
      <w:r w:rsidR="499B3B67">
        <w:t>) member</w:t>
      </w:r>
      <w:r w:rsidR="00F602A0">
        <w:t xml:space="preserve"> countries, </w:t>
      </w:r>
      <w:r w:rsidR="003532A1">
        <w:t>Australia’s maternity and parental leave</w:t>
      </w:r>
      <w:r w:rsidR="0D0684DC">
        <w:t xml:space="preserve"> –</w:t>
      </w:r>
      <w:r w:rsidR="003532A1">
        <w:t xml:space="preserve"> and secondar</w:t>
      </w:r>
      <w:r w:rsidR="003532A1" w:rsidRPr="00256C4F">
        <w:t>y carer</w:t>
      </w:r>
      <w:r w:rsidR="0643E483" w:rsidRPr="00256C4F">
        <w:t>’</w:t>
      </w:r>
      <w:r w:rsidR="003532A1" w:rsidRPr="00256C4F">
        <w:t xml:space="preserve">s leave </w:t>
      </w:r>
      <w:r w:rsidR="77C7E28A" w:rsidRPr="00256C4F">
        <w:t xml:space="preserve">– </w:t>
      </w:r>
      <w:r w:rsidR="003532A1" w:rsidRPr="00256C4F">
        <w:t>falls below the OECD average.</w:t>
      </w:r>
      <w:r w:rsidR="00301876">
        <w:rPr>
          <w:rStyle w:val="EndnoteReference"/>
        </w:rPr>
        <w:endnoteReference w:id="44"/>
      </w:r>
      <w:r w:rsidR="003532A1" w:rsidRPr="00256C4F">
        <w:t xml:space="preserve"> </w:t>
      </w:r>
      <w:r w:rsidRPr="00256C4F">
        <w:t xml:space="preserve">The implications of this on the drivers of violence against women are explored further in </w:t>
      </w:r>
      <w:r w:rsidR="0044154C" w:rsidRPr="00256C4F">
        <w:t>S</w:t>
      </w:r>
      <w:r w:rsidRPr="00256C4F">
        <w:t xml:space="preserve">ection </w:t>
      </w:r>
      <w:r w:rsidR="0044154C" w:rsidRPr="00256C4F">
        <w:t>2</w:t>
      </w:r>
      <w:r w:rsidRPr="00256C4F">
        <w:t xml:space="preserve"> of this </w:t>
      </w:r>
      <w:r w:rsidR="00256C4F" w:rsidRPr="00256C4F">
        <w:t>report</w:t>
      </w:r>
      <w:r w:rsidR="008E28DA">
        <w:t>.</w:t>
      </w:r>
    </w:p>
    <w:p w14:paraId="7B81CED7" w14:textId="61046D51" w:rsidR="002C2EC7" w:rsidRDefault="002C2EC7" w:rsidP="00790783">
      <w:pPr>
        <w:pStyle w:val="BodyText"/>
      </w:pPr>
      <w:r w:rsidRPr="00A1118A">
        <w:t>As</w:t>
      </w:r>
      <w:r>
        <w:t xml:space="preserve"> </w:t>
      </w:r>
      <w:r w:rsidRPr="00A1118A">
        <w:t>with</w:t>
      </w:r>
      <w:r>
        <w:t xml:space="preserve"> </w:t>
      </w:r>
      <w:r w:rsidRPr="00A1118A">
        <w:t>domestic</w:t>
      </w:r>
      <w:r>
        <w:t xml:space="preserve"> </w:t>
      </w:r>
      <w:r w:rsidRPr="00A1118A">
        <w:t>and</w:t>
      </w:r>
      <w:r>
        <w:t xml:space="preserve"> </w:t>
      </w:r>
      <w:r w:rsidRPr="00A1118A">
        <w:t>family</w:t>
      </w:r>
      <w:r>
        <w:t xml:space="preserve"> </w:t>
      </w:r>
      <w:r w:rsidRPr="00A1118A">
        <w:t>violence</w:t>
      </w:r>
      <w:r>
        <w:t xml:space="preserve"> </w:t>
      </w:r>
      <w:r w:rsidRPr="00A1118A">
        <w:t>leave</w:t>
      </w:r>
      <w:r>
        <w:t xml:space="preserve"> </w:t>
      </w:r>
      <w:r w:rsidRPr="00A1118A">
        <w:t>provisions,</w:t>
      </w:r>
      <w:r>
        <w:t xml:space="preserve"> </w:t>
      </w:r>
      <w:r w:rsidRPr="00A1118A">
        <w:t>the</w:t>
      </w:r>
      <w:r>
        <w:t xml:space="preserve"> </w:t>
      </w:r>
      <w:r w:rsidRPr="00A1118A">
        <w:t>three</w:t>
      </w:r>
      <w:r>
        <w:t xml:space="preserve"> </w:t>
      </w:r>
      <w:r w:rsidRPr="00A1118A">
        <w:t>least</w:t>
      </w:r>
      <w:r>
        <w:t xml:space="preserve"> </w:t>
      </w:r>
      <w:r w:rsidRPr="00A1118A">
        <w:t>common</w:t>
      </w:r>
      <w:r>
        <w:t xml:space="preserve"> </w:t>
      </w:r>
      <w:r w:rsidRPr="00A1118A">
        <w:t>non-leave-based</w:t>
      </w:r>
      <w:r>
        <w:t xml:space="preserve"> </w:t>
      </w:r>
      <w:r w:rsidRPr="00A1118A">
        <w:t>measures</w:t>
      </w:r>
      <w:r>
        <w:t xml:space="preserve"> </w:t>
      </w:r>
      <w:r w:rsidRPr="00A1118A">
        <w:t>offered</w:t>
      </w:r>
      <w:r>
        <w:t xml:space="preserve"> </w:t>
      </w:r>
      <w:r w:rsidRPr="00A1118A">
        <w:t>by</w:t>
      </w:r>
      <w:r>
        <w:t xml:space="preserve"> </w:t>
      </w:r>
      <w:r w:rsidRPr="00A1118A">
        <w:t>organisations</w:t>
      </w:r>
      <w:r>
        <w:t xml:space="preserve"> </w:t>
      </w:r>
      <w:r w:rsidRPr="00A1118A">
        <w:t>to</w:t>
      </w:r>
      <w:r>
        <w:t xml:space="preserve"> </w:t>
      </w:r>
      <w:r w:rsidRPr="00A1118A">
        <w:t>support</w:t>
      </w:r>
      <w:r>
        <w:t xml:space="preserve"> </w:t>
      </w:r>
      <w:r w:rsidRPr="00A1118A">
        <w:t>employees</w:t>
      </w:r>
      <w:r>
        <w:t xml:space="preserve"> </w:t>
      </w:r>
      <w:r w:rsidRPr="00A1118A">
        <w:t>with</w:t>
      </w:r>
      <w:r>
        <w:t xml:space="preserve"> </w:t>
      </w:r>
      <w:r w:rsidRPr="00A1118A">
        <w:t>family</w:t>
      </w:r>
      <w:r>
        <w:t xml:space="preserve"> </w:t>
      </w:r>
      <w:r w:rsidRPr="00A1118A">
        <w:t>or</w:t>
      </w:r>
      <w:r>
        <w:t xml:space="preserve"> </w:t>
      </w:r>
      <w:r w:rsidRPr="00A1118A">
        <w:t>caring</w:t>
      </w:r>
      <w:r>
        <w:t xml:space="preserve"> </w:t>
      </w:r>
      <w:r w:rsidRPr="00A1118A">
        <w:t>responsibilities</w:t>
      </w:r>
      <w:r>
        <w:t xml:space="preserve"> </w:t>
      </w:r>
      <w:r w:rsidRPr="00A1118A">
        <w:t>in</w:t>
      </w:r>
      <w:r>
        <w:t xml:space="preserve"> </w:t>
      </w:r>
      <w:r w:rsidRPr="00A1118A">
        <w:t>2019</w:t>
      </w:r>
      <w:r>
        <w:t xml:space="preserve"> </w:t>
      </w:r>
      <w:r w:rsidRPr="00A1118A">
        <w:t>appear</w:t>
      </w:r>
      <w:r>
        <w:t xml:space="preserve"> </w:t>
      </w:r>
      <w:r w:rsidRPr="00A1118A">
        <w:t>to</w:t>
      </w:r>
      <w:r>
        <w:t xml:space="preserve"> </w:t>
      </w:r>
      <w:r w:rsidRPr="00A1118A">
        <w:t>be</w:t>
      </w:r>
      <w:r>
        <w:t xml:space="preserve"> </w:t>
      </w:r>
      <w:r w:rsidRPr="00A1118A">
        <w:t>those</w:t>
      </w:r>
      <w:r>
        <w:t xml:space="preserve"> </w:t>
      </w:r>
      <w:r w:rsidRPr="00A1118A">
        <w:t>which</w:t>
      </w:r>
      <w:r>
        <w:t xml:space="preserve"> </w:t>
      </w:r>
      <w:r w:rsidRPr="00A1118A">
        <w:t>require</w:t>
      </w:r>
      <w:r>
        <w:t xml:space="preserve"> </w:t>
      </w:r>
      <w:r w:rsidRPr="00A1118A">
        <w:t>additional</w:t>
      </w:r>
      <w:r>
        <w:t xml:space="preserve"> </w:t>
      </w:r>
      <w:r w:rsidRPr="00A1118A">
        <w:t>resources</w:t>
      </w:r>
      <w:r>
        <w:t xml:space="preserve"> </w:t>
      </w:r>
      <w:r w:rsidRPr="00A1118A">
        <w:t>or</w:t>
      </w:r>
      <w:r>
        <w:t xml:space="preserve"> </w:t>
      </w:r>
      <w:r w:rsidRPr="00A1118A">
        <w:t>which</w:t>
      </w:r>
      <w:r>
        <w:t xml:space="preserve"> </w:t>
      </w:r>
      <w:r w:rsidRPr="00A1118A">
        <w:t>cannot</w:t>
      </w:r>
      <w:r>
        <w:t xml:space="preserve"> </w:t>
      </w:r>
      <w:r w:rsidRPr="00A1118A">
        <w:t>be</w:t>
      </w:r>
      <w:r>
        <w:t xml:space="preserve"> </w:t>
      </w:r>
      <w:r w:rsidRPr="00A1118A">
        <w:t>achieved</w:t>
      </w:r>
      <w:r>
        <w:t xml:space="preserve"> </w:t>
      </w:r>
      <w:r w:rsidRPr="00A1118A">
        <w:t>by</w:t>
      </w:r>
      <w:r>
        <w:t xml:space="preserve"> </w:t>
      </w:r>
      <w:r w:rsidRPr="00A1118A">
        <w:t>expanding</w:t>
      </w:r>
      <w:r>
        <w:t xml:space="preserve"> </w:t>
      </w:r>
      <w:r w:rsidRPr="00A1118A">
        <w:t>the</w:t>
      </w:r>
      <w:r>
        <w:t xml:space="preserve"> </w:t>
      </w:r>
      <w:r w:rsidRPr="00A1118A">
        <w:t>current</w:t>
      </w:r>
      <w:r>
        <w:t xml:space="preserve"> </w:t>
      </w:r>
      <w:r w:rsidRPr="00A1118A">
        <w:t>offering.</w:t>
      </w:r>
      <w:r>
        <w:t xml:space="preserve"> </w:t>
      </w:r>
      <w:r w:rsidRPr="00A1118A">
        <w:t>Further</w:t>
      </w:r>
      <w:r>
        <w:t xml:space="preserve"> </w:t>
      </w:r>
      <w:r w:rsidRPr="00A1118A">
        <w:t>research</w:t>
      </w:r>
      <w:r>
        <w:t xml:space="preserve"> </w:t>
      </w:r>
      <w:r w:rsidRPr="00A1118A">
        <w:t>would</w:t>
      </w:r>
      <w:r>
        <w:t xml:space="preserve"> </w:t>
      </w:r>
      <w:r w:rsidRPr="00A1118A">
        <w:t>be</w:t>
      </w:r>
      <w:r>
        <w:t xml:space="preserve"> </w:t>
      </w:r>
      <w:r w:rsidRPr="00A1118A">
        <w:t>useful</w:t>
      </w:r>
      <w:r>
        <w:t xml:space="preserve"> </w:t>
      </w:r>
      <w:r w:rsidRPr="00A1118A">
        <w:t>to</w:t>
      </w:r>
      <w:r w:rsidR="00851841">
        <w:t> </w:t>
      </w:r>
      <w:r w:rsidRPr="00A1118A">
        <w:t>investigate</w:t>
      </w:r>
      <w:r>
        <w:t xml:space="preserve"> </w:t>
      </w:r>
      <w:r w:rsidRPr="00A1118A">
        <w:t>this</w:t>
      </w:r>
      <w:r>
        <w:t xml:space="preserve"> </w:t>
      </w:r>
      <w:r w:rsidRPr="00A1118A">
        <w:t>hypothesis</w:t>
      </w:r>
      <w:r>
        <w:t xml:space="preserve"> </w:t>
      </w:r>
      <w:r w:rsidRPr="00A1118A">
        <w:t>and</w:t>
      </w:r>
      <w:r>
        <w:t xml:space="preserve"> </w:t>
      </w:r>
      <w:r w:rsidRPr="00A1118A">
        <w:t>explore</w:t>
      </w:r>
      <w:r>
        <w:t xml:space="preserve"> </w:t>
      </w:r>
      <w:r w:rsidRPr="00A1118A">
        <w:t>any</w:t>
      </w:r>
      <w:r>
        <w:t xml:space="preserve"> </w:t>
      </w:r>
      <w:r w:rsidRPr="00A1118A">
        <w:t>other</w:t>
      </w:r>
      <w:r>
        <w:t xml:space="preserve"> </w:t>
      </w:r>
      <w:r w:rsidRPr="00A1118A">
        <w:t>reasons</w:t>
      </w:r>
      <w:r>
        <w:t xml:space="preserve"> </w:t>
      </w:r>
      <w:r w:rsidRPr="00A1118A">
        <w:t>why</w:t>
      </w:r>
      <w:r>
        <w:t xml:space="preserve"> </w:t>
      </w:r>
      <w:r w:rsidRPr="00A1118A">
        <w:t>employers</w:t>
      </w:r>
      <w:r>
        <w:t xml:space="preserve"> </w:t>
      </w:r>
      <w:r w:rsidRPr="00A1118A">
        <w:t>implement</w:t>
      </w:r>
      <w:r>
        <w:t xml:space="preserve"> </w:t>
      </w:r>
      <w:r w:rsidRPr="00A1118A">
        <w:t>particular</w:t>
      </w:r>
      <w:r>
        <w:t xml:space="preserve"> </w:t>
      </w:r>
      <w:r w:rsidRPr="00A1118A">
        <w:t>measures</w:t>
      </w:r>
      <w:r>
        <w:t xml:space="preserve"> </w:t>
      </w:r>
      <w:r w:rsidRPr="00A62D44">
        <w:t>and</w:t>
      </w:r>
      <w:r>
        <w:t xml:space="preserve"> </w:t>
      </w:r>
      <w:r w:rsidRPr="00A62D44">
        <w:t>not</w:t>
      </w:r>
      <w:r>
        <w:t xml:space="preserve"> </w:t>
      </w:r>
      <w:r w:rsidRPr="00A62D44">
        <w:t>others,</w:t>
      </w:r>
      <w:r>
        <w:t xml:space="preserve"> </w:t>
      </w:r>
      <w:r w:rsidRPr="00A1118A">
        <w:t>and</w:t>
      </w:r>
      <w:r>
        <w:t xml:space="preserve"> </w:t>
      </w:r>
      <w:r w:rsidRPr="00A1118A">
        <w:t>the</w:t>
      </w:r>
      <w:r>
        <w:t xml:space="preserve"> </w:t>
      </w:r>
      <w:r w:rsidRPr="00A1118A">
        <w:t>efficacy</w:t>
      </w:r>
      <w:r>
        <w:t xml:space="preserve"> </w:t>
      </w:r>
      <w:r w:rsidRPr="00A1118A">
        <w:t>of</w:t>
      </w:r>
      <w:r>
        <w:t xml:space="preserve"> </w:t>
      </w:r>
      <w:r w:rsidRPr="00A1118A">
        <w:t>such</w:t>
      </w:r>
      <w:r>
        <w:t xml:space="preserve"> </w:t>
      </w:r>
      <w:r w:rsidRPr="00A1118A">
        <w:t>measures</w:t>
      </w:r>
      <w:r>
        <w:t xml:space="preserve"> </w:t>
      </w:r>
      <w:r w:rsidRPr="00A1118A">
        <w:t>in</w:t>
      </w:r>
      <w:r>
        <w:t xml:space="preserve"> </w:t>
      </w:r>
      <w:r w:rsidRPr="00A62D44">
        <w:t>enabling</w:t>
      </w:r>
      <w:r>
        <w:t xml:space="preserve"> </w:t>
      </w:r>
      <w:r w:rsidRPr="00A62D44">
        <w:t>a</w:t>
      </w:r>
      <w:r>
        <w:t xml:space="preserve"> </w:t>
      </w:r>
      <w:r w:rsidRPr="00A62D44">
        <w:t>more</w:t>
      </w:r>
      <w:r>
        <w:t xml:space="preserve"> </w:t>
      </w:r>
      <w:r w:rsidRPr="00A1118A">
        <w:t>equal</w:t>
      </w:r>
      <w:r>
        <w:t xml:space="preserve"> </w:t>
      </w:r>
      <w:r w:rsidRPr="00A1118A">
        <w:t>distribution</w:t>
      </w:r>
      <w:r>
        <w:t xml:space="preserve"> </w:t>
      </w:r>
      <w:r w:rsidRPr="00A1118A">
        <w:t>of</w:t>
      </w:r>
      <w:r>
        <w:t xml:space="preserve"> </w:t>
      </w:r>
      <w:r w:rsidRPr="00A1118A">
        <w:t>responsibility</w:t>
      </w:r>
      <w:r>
        <w:t xml:space="preserve"> </w:t>
      </w:r>
      <w:r w:rsidRPr="00A1118A">
        <w:t>for</w:t>
      </w:r>
      <w:r>
        <w:t xml:space="preserve"> </w:t>
      </w:r>
      <w:r w:rsidRPr="00A1118A">
        <w:t>unpaid</w:t>
      </w:r>
      <w:r>
        <w:t xml:space="preserve"> </w:t>
      </w:r>
      <w:r w:rsidRPr="00A1118A">
        <w:t>care</w:t>
      </w:r>
      <w:r>
        <w:t xml:space="preserve"> </w:t>
      </w:r>
      <w:r w:rsidRPr="00A1118A">
        <w:t>work.</w:t>
      </w:r>
    </w:p>
    <w:p w14:paraId="3DE8F91B" w14:textId="0FF6771A" w:rsidR="002C2EC7" w:rsidRDefault="002C2EC7" w:rsidP="00790783">
      <w:pPr>
        <w:pStyle w:val="BodyText"/>
      </w:pPr>
      <w:r w:rsidRPr="00A1118A">
        <w:t>Also</w:t>
      </w:r>
      <w:r>
        <w:t xml:space="preserve"> </w:t>
      </w:r>
      <w:r w:rsidRPr="00A1118A">
        <w:t>of</w:t>
      </w:r>
      <w:r>
        <w:t xml:space="preserve"> </w:t>
      </w:r>
      <w:r w:rsidRPr="00A1118A">
        <w:t>note</w:t>
      </w:r>
      <w:r>
        <w:t xml:space="preserve"> </w:t>
      </w:r>
      <w:r w:rsidRPr="00A1118A">
        <w:t>is</w:t>
      </w:r>
      <w:r>
        <w:t xml:space="preserve"> </w:t>
      </w:r>
      <w:r w:rsidRPr="00A1118A">
        <w:t>the</w:t>
      </w:r>
      <w:r>
        <w:t xml:space="preserve"> </w:t>
      </w:r>
      <w:r w:rsidRPr="00A1118A">
        <w:t>language</w:t>
      </w:r>
      <w:r>
        <w:t xml:space="preserve"> </w:t>
      </w:r>
      <w:r w:rsidRPr="00A62D44">
        <w:t>associated</w:t>
      </w:r>
      <w:r>
        <w:t xml:space="preserve"> </w:t>
      </w:r>
      <w:r w:rsidRPr="00A62D44">
        <w:t>with</w:t>
      </w:r>
      <w:r>
        <w:t xml:space="preserve"> </w:t>
      </w:r>
      <w:r w:rsidRPr="00A1118A">
        <w:t>the</w:t>
      </w:r>
      <w:r>
        <w:t xml:space="preserve"> </w:t>
      </w:r>
      <w:r w:rsidRPr="00A1118A">
        <w:t>Commonwealth</w:t>
      </w:r>
      <w:r>
        <w:t xml:space="preserve"> </w:t>
      </w:r>
      <w:r w:rsidRPr="00A1118A">
        <w:t>public</w:t>
      </w:r>
      <w:r>
        <w:t xml:space="preserve"> </w:t>
      </w:r>
      <w:r w:rsidRPr="00A1118A">
        <w:t>service</w:t>
      </w:r>
      <w:r>
        <w:t xml:space="preserve"> </w:t>
      </w:r>
      <w:r w:rsidRPr="00A1118A">
        <w:t>leave</w:t>
      </w:r>
      <w:r>
        <w:t xml:space="preserve"> </w:t>
      </w:r>
      <w:r w:rsidRPr="00A1118A">
        <w:t>provisions.</w:t>
      </w:r>
      <w:r>
        <w:t xml:space="preserve"> </w:t>
      </w:r>
      <w:r w:rsidRPr="00A1118A">
        <w:t>In</w:t>
      </w:r>
      <w:r>
        <w:t xml:space="preserve"> </w:t>
      </w:r>
      <w:r w:rsidRPr="00A1118A">
        <w:t>particular,</w:t>
      </w:r>
      <w:r>
        <w:t xml:space="preserve"> </w:t>
      </w:r>
      <w:r w:rsidRPr="00A1118A">
        <w:t>the</w:t>
      </w:r>
      <w:r>
        <w:t xml:space="preserve"> </w:t>
      </w:r>
      <w:r w:rsidRPr="00ED4674">
        <w:rPr>
          <w:rStyle w:val="Emphasis"/>
        </w:rPr>
        <w:t>Maternity Leave (Commonwealth Employees) Act 1973</w:t>
      </w:r>
      <w:r w:rsidRPr="00A1118A">
        <w:rPr>
          <w:rStyle w:val="EndnoteReference"/>
          <w:szCs w:val="22"/>
        </w:rPr>
        <w:endnoteReference w:id="45"/>
      </w:r>
      <w:r>
        <w:t xml:space="preserve"> </w:t>
      </w:r>
      <w:r w:rsidRPr="00A62D44">
        <w:t>sp</w:t>
      </w:r>
      <w:r w:rsidRPr="00A1118A">
        <w:t>ecifies</w:t>
      </w:r>
      <w:r>
        <w:t xml:space="preserve"> </w:t>
      </w:r>
      <w:r w:rsidRPr="00A1118A">
        <w:t>that</w:t>
      </w:r>
      <w:r>
        <w:t xml:space="preserve"> </w:t>
      </w:r>
      <w:r w:rsidRPr="00A1118A">
        <w:t>maternity</w:t>
      </w:r>
      <w:r>
        <w:t xml:space="preserve"> </w:t>
      </w:r>
      <w:r w:rsidRPr="00A1118A">
        <w:t>leave</w:t>
      </w:r>
      <w:r>
        <w:t xml:space="preserve"> </w:t>
      </w:r>
      <w:r w:rsidRPr="00A1118A">
        <w:t>is</w:t>
      </w:r>
      <w:r>
        <w:t xml:space="preserve"> </w:t>
      </w:r>
      <w:r w:rsidRPr="00A1118A">
        <w:t>available</w:t>
      </w:r>
      <w:r>
        <w:t xml:space="preserve"> </w:t>
      </w:r>
      <w:r w:rsidRPr="00A1118A">
        <w:t>to</w:t>
      </w:r>
      <w:r>
        <w:t xml:space="preserve"> </w:t>
      </w:r>
      <w:r w:rsidRPr="00A1118A">
        <w:t>female</w:t>
      </w:r>
      <w:r>
        <w:t xml:space="preserve"> </w:t>
      </w:r>
      <w:r w:rsidRPr="00A1118A">
        <w:t>employees</w:t>
      </w:r>
      <w:r>
        <w:t xml:space="preserve"> </w:t>
      </w:r>
      <w:r w:rsidRPr="00A1118A">
        <w:t>who</w:t>
      </w:r>
      <w:r>
        <w:t xml:space="preserve"> </w:t>
      </w:r>
      <w:r w:rsidRPr="00A1118A">
        <w:t>have</w:t>
      </w:r>
      <w:r>
        <w:t xml:space="preserve"> </w:t>
      </w:r>
      <w:r w:rsidRPr="00A1118A">
        <w:t>become</w:t>
      </w:r>
      <w:r>
        <w:t xml:space="preserve"> </w:t>
      </w:r>
      <w:r w:rsidRPr="00A1118A">
        <w:t>pregnant,</w:t>
      </w:r>
      <w:r>
        <w:t xml:space="preserve"> </w:t>
      </w:r>
      <w:r w:rsidRPr="00A1118A">
        <w:t>and</w:t>
      </w:r>
      <w:r>
        <w:t xml:space="preserve"> </w:t>
      </w:r>
      <w:r w:rsidRPr="00A1118A">
        <w:t>parental</w:t>
      </w:r>
      <w:r>
        <w:t xml:space="preserve"> </w:t>
      </w:r>
      <w:r w:rsidRPr="00A1118A">
        <w:t>leave</w:t>
      </w:r>
      <w:r>
        <w:t xml:space="preserve"> </w:t>
      </w:r>
      <w:r w:rsidRPr="00A62D44">
        <w:t>is</w:t>
      </w:r>
      <w:r>
        <w:t xml:space="preserve"> </w:t>
      </w:r>
      <w:r w:rsidRPr="00A1118A">
        <w:t>available</w:t>
      </w:r>
      <w:r>
        <w:t xml:space="preserve"> </w:t>
      </w:r>
      <w:r w:rsidRPr="00A1118A">
        <w:t>to</w:t>
      </w:r>
      <w:r>
        <w:t xml:space="preserve"> </w:t>
      </w:r>
      <w:r w:rsidRPr="00A1118A">
        <w:t>employees</w:t>
      </w:r>
      <w:r>
        <w:t xml:space="preserve"> </w:t>
      </w:r>
      <w:r w:rsidRPr="00A1118A">
        <w:t>who</w:t>
      </w:r>
      <w:r>
        <w:t xml:space="preserve"> </w:t>
      </w:r>
      <w:r w:rsidRPr="00A1118A">
        <w:t>adopt</w:t>
      </w:r>
      <w:r>
        <w:t xml:space="preserve"> </w:t>
      </w:r>
      <w:r w:rsidRPr="00A1118A">
        <w:t>or</w:t>
      </w:r>
      <w:r>
        <w:t xml:space="preserve"> </w:t>
      </w:r>
      <w:r w:rsidRPr="00A1118A">
        <w:t>foster</w:t>
      </w:r>
      <w:r>
        <w:t xml:space="preserve"> </w:t>
      </w:r>
      <w:r w:rsidRPr="00A1118A">
        <w:t>(long</w:t>
      </w:r>
      <w:r>
        <w:t xml:space="preserve"> </w:t>
      </w:r>
      <w:r w:rsidRPr="00A1118A">
        <w:t>term)</w:t>
      </w:r>
      <w:r>
        <w:t xml:space="preserve"> </w:t>
      </w:r>
      <w:r w:rsidRPr="00A1118A">
        <w:t>a</w:t>
      </w:r>
      <w:r>
        <w:t xml:space="preserve"> </w:t>
      </w:r>
      <w:r w:rsidRPr="00A1118A">
        <w:t>child</w:t>
      </w:r>
      <w:r>
        <w:t xml:space="preserve"> </w:t>
      </w:r>
      <w:r w:rsidRPr="00A1118A">
        <w:t>and</w:t>
      </w:r>
      <w:r>
        <w:t xml:space="preserve"> </w:t>
      </w:r>
      <w:r w:rsidRPr="00A1118A">
        <w:t>have</w:t>
      </w:r>
      <w:r>
        <w:t xml:space="preserve"> </w:t>
      </w:r>
      <w:r w:rsidRPr="00A1118A">
        <w:t>respon</w:t>
      </w:r>
      <w:r>
        <w:t>si</w:t>
      </w:r>
      <w:r w:rsidRPr="00A1118A">
        <w:t>bility</w:t>
      </w:r>
      <w:r>
        <w:t xml:space="preserve"> </w:t>
      </w:r>
      <w:r w:rsidRPr="00A1118A">
        <w:t>for</w:t>
      </w:r>
      <w:r>
        <w:t xml:space="preserve"> </w:t>
      </w:r>
      <w:r w:rsidRPr="00A1118A">
        <w:t>the</w:t>
      </w:r>
      <w:r>
        <w:t xml:space="preserve"> </w:t>
      </w:r>
      <w:r w:rsidRPr="00A1118A">
        <w:t>care</w:t>
      </w:r>
      <w:r>
        <w:t xml:space="preserve"> </w:t>
      </w:r>
      <w:r w:rsidRPr="00A1118A">
        <w:t>of</w:t>
      </w:r>
      <w:r>
        <w:t xml:space="preserve"> </w:t>
      </w:r>
      <w:r w:rsidRPr="00A1118A">
        <w:t>that</w:t>
      </w:r>
      <w:r>
        <w:t xml:space="preserve"> </w:t>
      </w:r>
      <w:r w:rsidRPr="00A1118A">
        <w:t>child.</w:t>
      </w:r>
      <w:r>
        <w:t xml:space="preserve"> </w:t>
      </w:r>
      <w:r w:rsidRPr="00A1118A">
        <w:t>This</w:t>
      </w:r>
      <w:r>
        <w:t xml:space="preserve"> </w:t>
      </w:r>
      <w:r w:rsidRPr="00A1118A">
        <w:t>creates</w:t>
      </w:r>
      <w:r>
        <w:t xml:space="preserve"> </w:t>
      </w:r>
      <w:r w:rsidRPr="00A1118A">
        <w:t>specific</w:t>
      </w:r>
      <w:r>
        <w:t xml:space="preserve"> </w:t>
      </w:r>
      <w:r w:rsidRPr="00A1118A">
        <w:t>limitations.</w:t>
      </w:r>
      <w:r>
        <w:t xml:space="preserve"> </w:t>
      </w:r>
      <w:r w:rsidRPr="00A1118A">
        <w:t>It</w:t>
      </w:r>
      <w:r w:rsidR="006C6CFA">
        <w:t xml:space="preserve"> </w:t>
      </w:r>
      <w:r w:rsidRPr="00A1118A">
        <w:t>means</w:t>
      </w:r>
      <w:r>
        <w:t xml:space="preserve"> </w:t>
      </w:r>
      <w:r w:rsidRPr="00A1118A">
        <w:t>a</w:t>
      </w:r>
      <w:r>
        <w:t xml:space="preserve"> </w:t>
      </w:r>
      <w:r w:rsidRPr="00A1118A">
        <w:t>male</w:t>
      </w:r>
      <w:r>
        <w:t xml:space="preserve"> </w:t>
      </w:r>
      <w:r w:rsidRPr="00A1118A">
        <w:t>employee</w:t>
      </w:r>
      <w:r>
        <w:t xml:space="preserve"> </w:t>
      </w:r>
      <w:r w:rsidRPr="00A1118A">
        <w:t>cannot</w:t>
      </w:r>
      <w:r>
        <w:t xml:space="preserve"> </w:t>
      </w:r>
      <w:r w:rsidRPr="00A1118A">
        <w:t>access</w:t>
      </w:r>
      <w:r>
        <w:t xml:space="preserve"> </w:t>
      </w:r>
      <w:r w:rsidRPr="00A1118A">
        <w:t>this</w:t>
      </w:r>
      <w:r>
        <w:t xml:space="preserve"> </w:t>
      </w:r>
      <w:r w:rsidRPr="00A1118A">
        <w:t>leave</w:t>
      </w:r>
      <w:r>
        <w:t xml:space="preserve"> </w:t>
      </w:r>
      <w:r w:rsidRPr="00A1118A">
        <w:t>if</w:t>
      </w:r>
      <w:r>
        <w:t xml:space="preserve"> </w:t>
      </w:r>
      <w:r w:rsidR="00AE5C2D">
        <w:t xml:space="preserve">he hasn’t </w:t>
      </w:r>
      <w:r w:rsidRPr="00A1118A">
        <w:t>adopted</w:t>
      </w:r>
      <w:r>
        <w:t xml:space="preserve"> </w:t>
      </w:r>
      <w:r w:rsidRPr="00A1118A">
        <w:t>or</w:t>
      </w:r>
      <w:r>
        <w:t xml:space="preserve"> </w:t>
      </w:r>
      <w:r w:rsidRPr="00A1118A">
        <w:t>fostered</w:t>
      </w:r>
      <w:r>
        <w:t xml:space="preserve"> </w:t>
      </w:r>
      <w:r w:rsidRPr="00A62D44">
        <w:t>a</w:t>
      </w:r>
      <w:r>
        <w:t xml:space="preserve"> </w:t>
      </w:r>
      <w:r w:rsidRPr="00A62D44">
        <w:t>child</w:t>
      </w:r>
      <w:r>
        <w:t xml:space="preserve"> </w:t>
      </w:r>
      <w:r w:rsidRPr="00A1118A">
        <w:t>long</w:t>
      </w:r>
      <w:r>
        <w:t xml:space="preserve"> </w:t>
      </w:r>
      <w:r w:rsidRPr="00A1118A">
        <w:t>term,</w:t>
      </w:r>
      <w:r>
        <w:t xml:space="preserve"> </w:t>
      </w:r>
      <w:r w:rsidRPr="00A1118A">
        <w:t>even</w:t>
      </w:r>
      <w:r>
        <w:t xml:space="preserve"> </w:t>
      </w:r>
      <w:r w:rsidRPr="00A1118A">
        <w:t>if</w:t>
      </w:r>
      <w:r>
        <w:t xml:space="preserve"> </w:t>
      </w:r>
      <w:r w:rsidRPr="00A1118A">
        <w:t>he</w:t>
      </w:r>
      <w:r>
        <w:t xml:space="preserve"> </w:t>
      </w:r>
      <w:r w:rsidRPr="00A1118A">
        <w:t>is</w:t>
      </w:r>
      <w:r>
        <w:t xml:space="preserve"> </w:t>
      </w:r>
      <w:r w:rsidRPr="00A1118A">
        <w:t>the</w:t>
      </w:r>
      <w:r>
        <w:t xml:space="preserve"> </w:t>
      </w:r>
      <w:r w:rsidRPr="00A1118A">
        <w:t>primary</w:t>
      </w:r>
      <w:r>
        <w:t xml:space="preserve"> </w:t>
      </w:r>
      <w:r w:rsidRPr="00A1118A">
        <w:t>carer.</w:t>
      </w:r>
      <w:r>
        <w:t xml:space="preserve"> </w:t>
      </w:r>
      <w:r w:rsidRPr="00A1118A">
        <w:t>Such</w:t>
      </w:r>
      <w:r>
        <w:t xml:space="preserve"> </w:t>
      </w:r>
      <w:r w:rsidRPr="00A1118A">
        <w:t>an</w:t>
      </w:r>
      <w:r>
        <w:t xml:space="preserve"> </w:t>
      </w:r>
      <w:r w:rsidRPr="00A1118A">
        <w:t>employee</w:t>
      </w:r>
      <w:r>
        <w:t xml:space="preserve"> </w:t>
      </w:r>
      <w:r w:rsidRPr="00A1118A">
        <w:t>could</w:t>
      </w:r>
      <w:r>
        <w:t xml:space="preserve"> </w:t>
      </w:r>
      <w:r w:rsidRPr="00A1118A">
        <w:t>access</w:t>
      </w:r>
      <w:r>
        <w:t xml:space="preserve"> </w:t>
      </w:r>
      <w:r w:rsidRPr="00A1118A">
        <w:t>Supporting</w:t>
      </w:r>
      <w:r>
        <w:t xml:space="preserve"> </w:t>
      </w:r>
      <w:r w:rsidRPr="00A1118A">
        <w:t>Partner</w:t>
      </w:r>
      <w:r w:rsidR="00AE5C2D">
        <w:t>’</w:t>
      </w:r>
      <w:r w:rsidRPr="00A1118A">
        <w:t>s</w:t>
      </w:r>
      <w:r>
        <w:t xml:space="preserve"> </w:t>
      </w:r>
      <w:r w:rsidRPr="00A1118A">
        <w:t>Leave</w:t>
      </w:r>
      <w:r w:rsidR="00AE5C2D">
        <w:t xml:space="preserve">, but </w:t>
      </w:r>
      <w:r w:rsidRPr="00A1118A">
        <w:t>this</w:t>
      </w:r>
      <w:r>
        <w:t xml:space="preserve"> </w:t>
      </w:r>
      <w:r w:rsidRPr="00A1118A">
        <w:t>provision</w:t>
      </w:r>
      <w:r>
        <w:t xml:space="preserve"> </w:t>
      </w:r>
      <w:r w:rsidRPr="00A1118A">
        <w:t>doesn’t</w:t>
      </w:r>
      <w:r>
        <w:t xml:space="preserve"> </w:t>
      </w:r>
      <w:r w:rsidRPr="00A1118A">
        <w:t>have</w:t>
      </w:r>
      <w:r>
        <w:t xml:space="preserve"> </w:t>
      </w:r>
      <w:r w:rsidRPr="00A1118A">
        <w:t>equivalent</w:t>
      </w:r>
      <w:r>
        <w:t xml:space="preserve"> </w:t>
      </w:r>
      <w:r w:rsidRPr="00A1118A">
        <w:t>paid</w:t>
      </w:r>
      <w:r>
        <w:t xml:space="preserve"> </w:t>
      </w:r>
      <w:r w:rsidRPr="00A1118A">
        <w:t>leave</w:t>
      </w:r>
      <w:r>
        <w:t xml:space="preserve"> </w:t>
      </w:r>
      <w:r w:rsidRPr="00A1118A">
        <w:t>entitlements.</w:t>
      </w:r>
      <w:r>
        <w:t xml:space="preserve"> </w:t>
      </w:r>
      <w:r w:rsidR="00C2472B">
        <w:t>This language</w:t>
      </w:r>
      <w:r w:rsidR="006C6CFA">
        <w:t xml:space="preserve"> </w:t>
      </w:r>
      <w:r w:rsidRPr="00A1118A">
        <w:t>may</w:t>
      </w:r>
      <w:r>
        <w:t xml:space="preserve"> </w:t>
      </w:r>
      <w:r w:rsidRPr="00A1118A">
        <w:t>also</w:t>
      </w:r>
      <w:r>
        <w:t xml:space="preserve"> </w:t>
      </w:r>
      <w:r w:rsidRPr="00A1118A">
        <w:t>limit</w:t>
      </w:r>
      <w:r>
        <w:t xml:space="preserve"> </w:t>
      </w:r>
      <w:r w:rsidRPr="00A1118A">
        <w:t>access</w:t>
      </w:r>
      <w:r>
        <w:t xml:space="preserve"> </w:t>
      </w:r>
      <w:r w:rsidRPr="00A1118A">
        <w:t>to</w:t>
      </w:r>
      <w:r>
        <w:t xml:space="preserve"> </w:t>
      </w:r>
      <w:r w:rsidRPr="00A1118A">
        <w:t>this</w:t>
      </w:r>
      <w:r>
        <w:t xml:space="preserve"> </w:t>
      </w:r>
      <w:r w:rsidRPr="00A1118A">
        <w:t>leave</w:t>
      </w:r>
      <w:r>
        <w:t xml:space="preserve"> </w:t>
      </w:r>
      <w:r w:rsidRPr="00A1118A">
        <w:t>for</w:t>
      </w:r>
      <w:r>
        <w:t xml:space="preserve"> </w:t>
      </w:r>
      <w:r w:rsidRPr="00A1118A">
        <w:t>some</w:t>
      </w:r>
      <w:r>
        <w:t xml:space="preserve"> </w:t>
      </w:r>
      <w:r w:rsidRPr="00A1118A">
        <w:t>trans</w:t>
      </w:r>
      <w:r>
        <w:t xml:space="preserve"> </w:t>
      </w:r>
      <w:r w:rsidRPr="00A1118A">
        <w:t>and</w:t>
      </w:r>
      <w:r>
        <w:t xml:space="preserve"> </w:t>
      </w:r>
      <w:r w:rsidRPr="00A1118A">
        <w:t>non-binary</w:t>
      </w:r>
      <w:r>
        <w:t xml:space="preserve"> </w:t>
      </w:r>
      <w:r w:rsidRPr="00A1118A">
        <w:t>identifying</w:t>
      </w:r>
      <w:r>
        <w:t xml:space="preserve"> </w:t>
      </w:r>
      <w:r w:rsidRPr="00A1118A">
        <w:t>people.</w:t>
      </w:r>
      <w:r>
        <w:t xml:space="preserve"> </w:t>
      </w:r>
      <w:r w:rsidRPr="00A1118A">
        <w:t>Another</w:t>
      </w:r>
      <w:r>
        <w:t xml:space="preserve"> </w:t>
      </w:r>
      <w:r w:rsidRPr="00A1118A">
        <w:t>observation</w:t>
      </w:r>
      <w:r>
        <w:t xml:space="preserve"> </w:t>
      </w:r>
      <w:r w:rsidRPr="00A1118A">
        <w:t>is</w:t>
      </w:r>
      <w:r>
        <w:t xml:space="preserve"> </w:t>
      </w:r>
      <w:r w:rsidRPr="00A1118A">
        <w:t>that,</w:t>
      </w:r>
      <w:r>
        <w:t xml:space="preserve"> </w:t>
      </w:r>
      <w:r w:rsidRPr="00A1118A">
        <w:t>while</w:t>
      </w:r>
      <w:r>
        <w:t xml:space="preserve"> </w:t>
      </w:r>
      <w:r w:rsidRPr="00A1118A">
        <w:t>one</w:t>
      </w:r>
      <w:r>
        <w:t xml:space="preserve"> </w:t>
      </w:r>
      <w:r w:rsidRPr="00A1118A">
        <w:t>jurisdiction</w:t>
      </w:r>
      <w:r>
        <w:t xml:space="preserve"> </w:t>
      </w:r>
      <w:r w:rsidRPr="00A1118A">
        <w:t>(Western</w:t>
      </w:r>
      <w:r>
        <w:t xml:space="preserve"> </w:t>
      </w:r>
      <w:r w:rsidRPr="00A1118A">
        <w:t>Australia)</w:t>
      </w:r>
      <w:r>
        <w:t xml:space="preserve"> </w:t>
      </w:r>
      <w:r w:rsidRPr="00A1118A">
        <w:t>specifically</w:t>
      </w:r>
      <w:r>
        <w:t xml:space="preserve"> </w:t>
      </w:r>
      <w:r w:rsidRPr="00A1118A">
        <w:t>provides</w:t>
      </w:r>
      <w:r>
        <w:t xml:space="preserve"> </w:t>
      </w:r>
      <w:r w:rsidRPr="00A1118A">
        <w:t>employees</w:t>
      </w:r>
      <w:r>
        <w:t xml:space="preserve"> </w:t>
      </w:r>
      <w:r w:rsidRPr="00A1118A">
        <w:t>with</w:t>
      </w:r>
      <w:r>
        <w:t xml:space="preserve"> </w:t>
      </w:r>
      <w:r w:rsidRPr="00A1118A">
        <w:t>fifty-two</w:t>
      </w:r>
      <w:r>
        <w:t xml:space="preserve"> </w:t>
      </w:r>
      <w:r w:rsidRPr="00A1118A">
        <w:t>weeks</w:t>
      </w:r>
      <w:r>
        <w:t xml:space="preserve"> </w:t>
      </w:r>
      <w:r w:rsidRPr="00A1118A">
        <w:t>of</w:t>
      </w:r>
      <w:r>
        <w:t xml:space="preserve"> </w:t>
      </w:r>
      <w:r w:rsidRPr="00A1118A">
        <w:t>unpaid</w:t>
      </w:r>
      <w:r>
        <w:t xml:space="preserve"> </w:t>
      </w:r>
      <w:r w:rsidRPr="00A1118A">
        <w:t>grandparent</w:t>
      </w:r>
      <w:r>
        <w:t xml:space="preserve"> </w:t>
      </w:r>
      <w:r w:rsidRPr="00A1118A">
        <w:t>leave,</w:t>
      </w:r>
      <w:r>
        <w:t xml:space="preserve"> </w:t>
      </w:r>
      <w:r w:rsidRPr="00A1118A">
        <w:t>there</w:t>
      </w:r>
      <w:r>
        <w:t xml:space="preserve"> </w:t>
      </w:r>
      <w:r w:rsidRPr="00A1118A">
        <w:t>was</w:t>
      </w:r>
      <w:r>
        <w:t xml:space="preserve"> </w:t>
      </w:r>
      <w:r w:rsidRPr="00A1118A">
        <w:t>otherwise</w:t>
      </w:r>
      <w:r>
        <w:t xml:space="preserve"> </w:t>
      </w:r>
      <w:r w:rsidRPr="00A1118A">
        <w:t>limited</w:t>
      </w:r>
      <w:r>
        <w:t xml:space="preserve"> </w:t>
      </w:r>
      <w:r w:rsidRPr="00A1118A">
        <w:t>acknowledgment</w:t>
      </w:r>
      <w:r>
        <w:t xml:space="preserve"> </w:t>
      </w:r>
      <w:r w:rsidRPr="00A1118A">
        <w:t>of</w:t>
      </w:r>
      <w:r>
        <w:t xml:space="preserve"> </w:t>
      </w:r>
      <w:r w:rsidRPr="00A1118A">
        <w:t>care</w:t>
      </w:r>
      <w:r>
        <w:t xml:space="preserve"> </w:t>
      </w:r>
      <w:r w:rsidRPr="00A1118A">
        <w:t>arrangements</w:t>
      </w:r>
      <w:r>
        <w:t xml:space="preserve"> </w:t>
      </w:r>
      <w:r w:rsidRPr="00A1118A">
        <w:t>that</w:t>
      </w:r>
      <w:r>
        <w:t xml:space="preserve"> </w:t>
      </w:r>
      <w:r w:rsidRPr="00A1118A">
        <w:t>do</w:t>
      </w:r>
      <w:r>
        <w:t xml:space="preserve"> </w:t>
      </w:r>
      <w:r w:rsidRPr="00A1118A">
        <w:t>not</w:t>
      </w:r>
      <w:r>
        <w:t xml:space="preserve"> </w:t>
      </w:r>
      <w:r w:rsidRPr="00A1118A">
        <w:t>follow</w:t>
      </w:r>
      <w:r>
        <w:t xml:space="preserve"> </w:t>
      </w:r>
      <w:r w:rsidRPr="00A1118A">
        <w:t>the</w:t>
      </w:r>
      <w:r>
        <w:t xml:space="preserve"> </w:t>
      </w:r>
      <w:r w:rsidRPr="00A1118A">
        <w:t>nuclear</w:t>
      </w:r>
      <w:r>
        <w:t xml:space="preserve"> </w:t>
      </w:r>
      <w:r w:rsidRPr="00A1118A">
        <w:t>family</w:t>
      </w:r>
      <w:r>
        <w:t xml:space="preserve"> </w:t>
      </w:r>
      <w:r w:rsidRPr="00A1118A">
        <w:t>model</w:t>
      </w:r>
      <w:r>
        <w:t xml:space="preserve"> </w:t>
      </w:r>
      <w:r w:rsidRPr="00A1118A">
        <w:t>of</w:t>
      </w:r>
      <w:r>
        <w:t xml:space="preserve"> </w:t>
      </w:r>
      <w:r w:rsidRPr="00A1118A">
        <w:t>primary</w:t>
      </w:r>
      <w:r>
        <w:t xml:space="preserve"> </w:t>
      </w:r>
      <w:r w:rsidRPr="00A1118A">
        <w:t>and</w:t>
      </w:r>
      <w:r>
        <w:t xml:space="preserve"> </w:t>
      </w:r>
      <w:r w:rsidRPr="00A1118A">
        <w:t>secondary</w:t>
      </w:r>
      <w:r>
        <w:t xml:space="preserve"> </w:t>
      </w:r>
      <w:r w:rsidRPr="00A1118A">
        <w:t>care</w:t>
      </w:r>
      <w:r>
        <w:t xml:space="preserve"> </w:t>
      </w:r>
      <w:r w:rsidRPr="00A1118A">
        <w:t>provision.</w:t>
      </w:r>
      <w:r w:rsidRPr="00A1118A">
        <w:rPr>
          <w:rStyle w:val="EndnoteReference"/>
          <w:szCs w:val="22"/>
        </w:rPr>
        <w:endnoteReference w:id="46"/>
      </w:r>
    </w:p>
    <w:p w14:paraId="2DA942F9" w14:textId="6CA1E499" w:rsidR="002C2EC7" w:rsidRDefault="002C2EC7" w:rsidP="00790783">
      <w:pPr>
        <w:pStyle w:val="Heading6"/>
      </w:pPr>
      <w:r w:rsidRPr="0071774C">
        <w:lastRenderedPageBreak/>
        <w:t>Joint</w:t>
      </w:r>
      <w:r>
        <w:t xml:space="preserve"> </w:t>
      </w:r>
      <w:r w:rsidRPr="0071774C">
        <w:t>statements</w:t>
      </w:r>
      <w:r>
        <w:t xml:space="preserve"> </w:t>
      </w:r>
      <w:r w:rsidRPr="0071774C">
        <w:t>by</w:t>
      </w:r>
      <w:r>
        <w:t xml:space="preserve"> </w:t>
      </w:r>
      <w:r w:rsidRPr="0071774C">
        <w:t>women’s</w:t>
      </w:r>
      <w:r>
        <w:t xml:space="preserve"> </w:t>
      </w:r>
      <w:r w:rsidRPr="0071774C">
        <w:t>organisations</w:t>
      </w:r>
      <w:r>
        <w:t xml:space="preserve"> </w:t>
      </w:r>
      <w:r w:rsidRPr="0071774C">
        <w:t>and</w:t>
      </w:r>
      <w:r>
        <w:t xml:space="preserve"> </w:t>
      </w:r>
      <w:r w:rsidRPr="0071774C">
        <w:t>those</w:t>
      </w:r>
      <w:r>
        <w:t xml:space="preserve"> </w:t>
      </w:r>
      <w:r w:rsidRPr="0071774C">
        <w:t>working</w:t>
      </w:r>
      <w:r>
        <w:t xml:space="preserve"> </w:t>
      </w:r>
      <w:r w:rsidRPr="0071774C">
        <w:t>on</w:t>
      </w:r>
      <w:r>
        <w:t xml:space="preserve"> </w:t>
      </w:r>
      <w:r w:rsidRPr="0071774C">
        <w:t>other</w:t>
      </w:r>
      <w:r>
        <w:t xml:space="preserve"> </w:t>
      </w:r>
      <w:r w:rsidRPr="0071774C">
        <w:t>areas</w:t>
      </w:r>
      <w:r>
        <w:t xml:space="preserve"> </w:t>
      </w:r>
      <w:r w:rsidRPr="0071774C">
        <w:t>of</w:t>
      </w:r>
      <w:r>
        <w:t xml:space="preserve"> </w:t>
      </w:r>
      <w:r w:rsidRPr="0071774C">
        <w:t>social</w:t>
      </w:r>
      <w:r>
        <w:t xml:space="preserve"> </w:t>
      </w:r>
      <w:r w:rsidRPr="0071774C">
        <w:t>policy</w:t>
      </w:r>
      <w:r>
        <w:t xml:space="preserve"> </w:t>
      </w:r>
      <w:r w:rsidRPr="0071774C">
        <w:t>to</w:t>
      </w:r>
      <w:r>
        <w:t xml:space="preserve"> </w:t>
      </w:r>
      <w:r w:rsidRPr="0071774C">
        <w:t>drive</w:t>
      </w:r>
      <w:r>
        <w:t xml:space="preserve"> </w:t>
      </w:r>
      <w:r w:rsidRPr="0071774C">
        <w:t>an</w:t>
      </w:r>
      <w:r>
        <w:t xml:space="preserve"> </w:t>
      </w:r>
      <w:r w:rsidRPr="0071774C">
        <w:t>intersectional</w:t>
      </w:r>
      <w:r>
        <w:t xml:space="preserve"> </w:t>
      </w:r>
      <w:r w:rsidRPr="0071774C">
        <w:t>approach</w:t>
      </w:r>
      <w:r>
        <w:t xml:space="preserve"> </w:t>
      </w:r>
      <w:r w:rsidRPr="0071774C">
        <w:t>to</w:t>
      </w:r>
      <w:r>
        <w:t xml:space="preserve"> </w:t>
      </w:r>
      <w:r w:rsidRPr="0071774C">
        <w:t>preventing</w:t>
      </w:r>
      <w:r>
        <w:t xml:space="preserve"> </w:t>
      </w:r>
      <w:r w:rsidRPr="0071774C">
        <w:t>violence</w:t>
      </w:r>
      <w:r>
        <w:t xml:space="preserve"> </w:t>
      </w:r>
      <w:r w:rsidRPr="0071774C">
        <w:t>against</w:t>
      </w:r>
      <w:r>
        <w:t xml:space="preserve"> </w:t>
      </w:r>
      <w:r w:rsidRPr="0071774C">
        <w:t>women</w:t>
      </w:r>
    </w:p>
    <w:p w14:paraId="517B0CD8" w14:textId="10DF3EFF" w:rsidR="002C2EC7" w:rsidRDefault="002C2EC7" w:rsidP="00790783">
      <w:pPr>
        <w:pStyle w:val="BodyText"/>
      </w:pPr>
      <w:r w:rsidRPr="0071774C">
        <w:t>Joint</w:t>
      </w:r>
      <w:r>
        <w:t xml:space="preserve"> </w:t>
      </w:r>
      <w:r w:rsidRPr="0071774C">
        <w:t>campaigns</w:t>
      </w:r>
      <w:r>
        <w:t xml:space="preserve"> </w:t>
      </w:r>
      <w:r w:rsidRPr="0071774C">
        <w:t>and</w:t>
      </w:r>
      <w:r>
        <w:t xml:space="preserve"> </w:t>
      </w:r>
      <w:r w:rsidRPr="0071774C">
        <w:t>statements</w:t>
      </w:r>
      <w:r>
        <w:t xml:space="preserve"> </w:t>
      </w:r>
      <w:r w:rsidRPr="0071774C">
        <w:t>such</w:t>
      </w:r>
      <w:r>
        <w:t xml:space="preserve"> </w:t>
      </w:r>
      <w:r w:rsidRPr="0071774C">
        <w:t>as</w:t>
      </w:r>
      <w:r>
        <w:t xml:space="preserve"> </w:t>
      </w:r>
      <w:r w:rsidRPr="0071774C">
        <w:t>those</w:t>
      </w:r>
      <w:r>
        <w:t xml:space="preserve"> </w:t>
      </w:r>
      <w:r w:rsidRPr="0071774C">
        <w:t>marking</w:t>
      </w:r>
      <w:r>
        <w:t xml:space="preserve"> </w:t>
      </w:r>
      <w:r w:rsidRPr="0071774C">
        <w:t>significant</w:t>
      </w:r>
      <w:r>
        <w:t xml:space="preserve"> </w:t>
      </w:r>
      <w:r w:rsidRPr="0071774C">
        <w:t>events</w:t>
      </w:r>
      <w:r>
        <w:t xml:space="preserve"> </w:t>
      </w:r>
      <w:r w:rsidRPr="0071774C">
        <w:t>or</w:t>
      </w:r>
      <w:r>
        <w:t xml:space="preserve"> </w:t>
      </w:r>
      <w:r w:rsidRPr="0071774C">
        <w:t>responding</w:t>
      </w:r>
      <w:r>
        <w:t xml:space="preserve"> </w:t>
      </w:r>
      <w:r w:rsidRPr="0071774C">
        <w:t>to</w:t>
      </w:r>
      <w:r w:rsidR="00851841">
        <w:t> </w:t>
      </w:r>
      <w:r w:rsidRPr="0071774C">
        <w:t>gender</w:t>
      </w:r>
      <w:r>
        <w:t xml:space="preserve"> </w:t>
      </w:r>
      <w:r w:rsidRPr="0071774C">
        <w:t>inequality</w:t>
      </w:r>
      <w:r>
        <w:t xml:space="preserve"> </w:t>
      </w:r>
      <w:r w:rsidRPr="0071774C">
        <w:t>or</w:t>
      </w:r>
      <w:r>
        <w:t xml:space="preserve"> </w:t>
      </w:r>
      <w:r w:rsidRPr="0071774C">
        <w:t>other</w:t>
      </w:r>
      <w:r>
        <w:t xml:space="preserve"> </w:t>
      </w:r>
      <w:r w:rsidRPr="0071774C">
        <w:t>injustices</w:t>
      </w:r>
      <w:r>
        <w:t xml:space="preserve"> </w:t>
      </w:r>
      <w:r w:rsidRPr="0071774C">
        <w:t>are</w:t>
      </w:r>
      <w:r>
        <w:t xml:space="preserve"> </w:t>
      </w:r>
      <w:r w:rsidRPr="0071774C">
        <w:t>an</w:t>
      </w:r>
      <w:r>
        <w:t xml:space="preserve"> </w:t>
      </w:r>
      <w:r w:rsidRPr="0071774C">
        <w:t>example</w:t>
      </w:r>
      <w:r>
        <w:t xml:space="preserve"> </w:t>
      </w:r>
      <w:r w:rsidRPr="0071774C">
        <w:t>of</w:t>
      </w:r>
      <w:r>
        <w:t xml:space="preserve"> </w:t>
      </w:r>
      <w:r w:rsidRPr="0071774C">
        <w:t>civil</w:t>
      </w:r>
      <w:r>
        <w:t xml:space="preserve"> </w:t>
      </w:r>
      <w:r w:rsidRPr="0071774C">
        <w:t>society</w:t>
      </w:r>
      <w:r>
        <w:t xml:space="preserve"> </w:t>
      </w:r>
      <w:r w:rsidRPr="0071774C">
        <w:t>leadership</w:t>
      </w:r>
      <w:r>
        <w:t xml:space="preserve"> </w:t>
      </w:r>
      <w:r w:rsidRPr="0071774C">
        <w:t>and</w:t>
      </w:r>
      <w:r>
        <w:t xml:space="preserve"> </w:t>
      </w:r>
      <w:r w:rsidRPr="0071774C">
        <w:t>organisations</w:t>
      </w:r>
      <w:r>
        <w:t xml:space="preserve"> </w:t>
      </w:r>
      <w:r w:rsidRPr="0071774C">
        <w:t>working</w:t>
      </w:r>
      <w:r>
        <w:t xml:space="preserve"> </w:t>
      </w:r>
      <w:r w:rsidRPr="0071774C">
        <w:t>together</w:t>
      </w:r>
      <w:r>
        <w:t xml:space="preserve"> </w:t>
      </w:r>
      <w:r w:rsidRPr="0071774C">
        <w:t>on</w:t>
      </w:r>
      <w:r>
        <w:t xml:space="preserve"> </w:t>
      </w:r>
      <w:r w:rsidRPr="0071774C">
        <w:t>advocacy</w:t>
      </w:r>
      <w:r>
        <w:t xml:space="preserve"> </w:t>
      </w:r>
      <w:r w:rsidRPr="0071774C">
        <w:t>or</w:t>
      </w:r>
      <w:r>
        <w:t xml:space="preserve"> </w:t>
      </w:r>
      <w:r w:rsidRPr="0071774C">
        <w:t>awareness</w:t>
      </w:r>
      <w:r>
        <w:t>-</w:t>
      </w:r>
      <w:r w:rsidRPr="0071774C">
        <w:t>raising.</w:t>
      </w:r>
      <w:r>
        <w:t xml:space="preserve"> </w:t>
      </w:r>
      <w:r w:rsidRPr="00583799">
        <w:t>Th</w:t>
      </w:r>
      <w:r>
        <w:t>is section draws from</w:t>
      </w:r>
      <w:r w:rsidR="00851841">
        <w:t> </w:t>
      </w:r>
      <w:r>
        <w:t xml:space="preserve">data </w:t>
      </w:r>
      <w:r w:rsidRPr="0071774C">
        <w:t>collected</w:t>
      </w:r>
      <w:r>
        <w:t xml:space="preserve"> </w:t>
      </w:r>
      <w:r w:rsidRPr="0071774C">
        <w:t>through</w:t>
      </w:r>
      <w:r>
        <w:t xml:space="preserve"> a research </w:t>
      </w:r>
      <w:r w:rsidRPr="0071774C">
        <w:t>survey</w:t>
      </w:r>
      <w:r w:rsidR="0093496F">
        <w:t xml:space="preserve"> conducted for this report</w:t>
      </w:r>
      <w:r w:rsidRPr="0071774C">
        <w:t>,</w:t>
      </w:r>
      <w:r>
        <w:t xml:space="preserve"> </w:t>
      </w:r>
      <w:r w:rsidRPr="0071774C">
        <w:t>attracting</w:t>
      </w:r>
      <w:r>
        <w:t xml:space="preserve"> </w:t>
      </w:r>
      <w:r w:rsidRPr="0071774C">
        <w:t>just</w:t>
      </w:r>
      <w:r>
        <w:t xml:space="preserve"> </w:t>
      </w:r>
      <w:r w:rsidRPr="0071774C">
        <w:t>over</w:t>
      </w:r>
      <w:r w:rsidR="006C6CFA">
        <w:t> </w:t>
      </w:r>
      <w:r w:rsidRPr="0071774C">
        <w:t>300</w:t>
      </w:r>
      <w:r>
        <w:t xml:space="preserve"> </w:t>
      </w:r>
      <w:r w:rsidRPr="0071774C">
        <w:t>responses</w:t>
      </w:r>
      <w:r>
        <w:t xml:space="preserve"> </w:t>
      </w:r>
      <w:r w:rsidRPr="0071774C">
        <w:t>(see</w:t>
      </w:r>
      <w:r w:rsidR="00851841">
        <w:t> </w:t>
      </w:r>
      <w:r w:rsidRPr="0071774C">
        <w:t>Appendix</w:t>
      </w:r>
      <w:r w:rsidR="00E32FC0">
        <w:t> </w:t>
      </w:r>
      <w:r w:rsidRPr="0071774C">
        <w:t>A</w:t>
      </w:r>
      <w:r>
        <w:t xml:space="preserve">: Methodology and limitations </w:t>
      </w:r>
      <w:r w:rsidRPr="0071774C">
        <w:t>for</w:t>
      </w:r>
      <w:r>
        <w:t xml:space="preserve"> </w:t>
      </w:r>
      <w:r w:rsidRPr="0071774C">
        <w:t>more</w:t>
      </w:r>
      <w:r>
        <w:t xml:space="preserve"> </w:t>
      </w:r>
      <w:r w:rsidRPr="0071774C">
        <w:t>detail).</w:t>
      </w:r>
    </w:p>
    <w:p w14:paraId="78A891C2" w14:textId="3D61AA74" w:rsidR="002C2EC7" w:rsidRDefault="002C2EC7" w:rsidP="00790783">
      <w:pPr>
        <w:pStyle w:val="BodyText"/>
      </w:pPr>
      <w:r>
        <w:t>The survey found that j</w:t>
      </w:r>
      <w:r w:rsidRPr="00A1118A">
        <w:t>ust</w:t>
      </w:r>
      <w:r>
        <w:t xml:space="preserve"> </w:t>
      </w:r>
      <w:r w:rsidRPr="00A1118A">
        <w:t>over</w:t>
      </w:r>
      <w:r>
        <w:t xml:space="preserve"> </w:t>
      </w:r>
      <w:r w:rsidRPr="00A1118A">
        <w:t>half</w:t>
      </w:r>
      <w:r>
        <w:t xml:space="preserve"> </w:t>
      </w:r>
      <w:r w:rsidRPr="00A1118A">
        <w:t>of</w:t>
      </w:r>
      <w:r>
        <w:t xml:space="preserve"> </w:t>
      </w:r>
      <w:r w:rsidR="00E65CFA">
        <w:t xml:space="preserve">those </w:t>
      </w:r>
      <w:r w:rsidR="00612D83">
        <w:t>who responded to this question</w:t>
      </w:r>
      <w:r>
        <w:t xml:space="preserve"> </w:t>
      </w:r>
      <w:r w:rsidRPr="00A1118A">
        <w:t>said</w:t>
      </w:r>
      <w:r>
        <w:t xml:space="preserve"> </w:t>
      </w:r>
      <w:r w:rsidRPr="00A1118A">
        <w:t>their</w:t>
      </w:r>
      <w:r>
        <w:t xml:space="preserve"> </w:t>
      </w:r>
      <w:r w:rsidRPr="00A1118A">
        <w:t>organisation</w:t>
      </w:r>
      <w:r>
        <w:t xml:space="preserve"> </w:t>
      </w:r>
      <w:r w:rsidRPr="00A1118A">
        <w:t>had</w:t>
      </w:r>
      <w:r>
        <w:t xml:space="preserve"> </w:t>
      </w:r>
      <w:r w:rsidRPr="00A1118A">
        <w:t>contributed</w:t>
      </w:r>
      <w:r>
        <w:t xml:space="preserve"> </w:t>
      </w:r>
      <w:r w:rsidRPr="00A1118A">
        <w:t>to</w:t>
      </w:r>
      <w:r>
        <w:t xml:space="preserve"> </w:t>
      </w:r>
      <w:r w:rsidRPr="00A1118A">
        <w:t>joint</w:t>
      </w:r>
      <w:r>
        <w:t xml:space="preserve"> </w:t>
      </w:r>
      <w:r w:rsidRPr="00A1118A">
        <w:t>public</w:t>
      </w:r>
      <w:r>
        <w:t xml:space="preserve"> </w:t>
      </w:r>
      <w:r w:rsidRPr="00A1118A">
        <w:t>statements</w:t>
      </w:r>
      <w:r>
        <w:t xml:space="preserve"> </w:t>
      </w:r>
      <w:r w:rsidRPr="00A1118A">
        <w:t>or</w:t>
      </w:r>
      <w:r>
        <w:t xml:space="preserve"> </w:t>
      </w:r>
      <w:r w:rsidRPr="00A1118A">
        <w:t>responses</w:t>
      </w:r>
      <w:r>
        <w:t xml:space="preserve"> </w:t>
      </w:r>
      <w:r w:rsidRPr="00A1118A">
        <w:t>in</w:t>
      </w:r>
      <w:r>
        <w:t xml:space="preserve"> </w:t>
      </w:r>
      <w:r w:rsidRPr="00A1118A">
        <w:t>relation</w:t>
      </w:r>
      <w:r>
        <w:t xml:space="preserve"> </w:t>
      </w:r>
      <w:r w:rsidRPr="00A1118A">
        <w:t>to</w:t>
      </w:r>
      <w:r>
        <w:t xml:space="preserve"> </w:t>
      </w:r>
      <w:r w:rsidRPr="00A1118A">
        <w:t>gender</w:t>
      </w:r>
      <w:r>
        <w:t xml:space="preserve"> </w:t>
      </w:r>
      <w:r w:rsidRPr="00A1118A">
        <w:t>inequality</w:t>
      </w:r>
      <w:r>
        <w:t xml:space="preserve"> </w:t>
      </w:r>
      <w:r w:rsidRPr="00A1118A">
        <w:t>or</w:t>
      </w:r>
      <w:r>
        <w:t xml:space="preserve"> </w:t>
      </w:r>
      <w:r w:rsidRPr="00A1118A">
        <w:t>prevention</w:t>
      </w:r>
      <w:r>
        <w:t xml:space="preserve"> </w:t>
      </w:r>
      <w:r w:rsidRPr="00A1118A">
        <w:t>of</w:t>
      </w:r>
      <w:r>
        <w:t xml:space="preserve"> </w:t>
      </w:r>
      <w:r w:rsidRPr="00A1118A">
        <w:t>violence</w:t>
      </w:r>
      <w:r>
        <w:t xml:space="preserve"> </w:t>
      </w:r>
      <w:r w:rsidRPr="00A1118A">
        <w:t>against</w:t>
      </w:r>
      <w:r>
        <w:t xml:space="preserve"> </w:t>
      </w:r>
      <w:r w:rsidRPr="00A1118A">
        <w:t>women.</w:t>
      </w:r>
      <w:r>
        <w:t xml:space="preserve"> </w:t>
      </w:r>
      <w:r w:rsidRPr="00A1118A">
        <w:t>Common</w:t>
      </w:r>
      <w:r>
        <w:t xml:space="preserve"> </w:t>
      </w:r>
      <w:r w:rsidRPr="00A1118A">
        <w:t>examples</w:t>
      </w:r>
      <w:r>
        <w:t xml:space="preserve"> </w:t>
      </w:r>
      <w:r w:rsidRPr="00A1118A">
        <w:t>of</w:t>
      </w:r>
      <w:r>
        <w:t xml:space="preserve"> </w:t>
      </w:r>
      <w:r w:rsidRPr="00A1118A">
        <w:t>these</w:t>
      </w:r>
      <w:r>
        <w:t xml:space="preserve"> </w:t>
      </w:r>
      <w:r w:rsidRPr="00A1118A">
        <w:t>included</w:t>
      </w:r>
      <w:r>
        <w:t xml:space="preserve"> </w:t>
      </w:r>
      <w:r w:rsidRPr="00A1118A">
        <w:t>submissions</w:t>
      </w:r>
      <w:r>
        <w:t xml:space="preserve"> </w:t>
      </w:r>
      <w:r w:rsidRPr="00A1118A">
        <w:t>to</w:t>
      </w:r>
      <w:r>
        <w:t xml:space="preserve"> </w:t>
      </w:r>
      <w:r w:rsidRPr="00A1118A">
        <w:t>state</w:t>
      </w:r>
      <w:r>
        <w:t xml:space="preserve"> </w:t>
      </w:r>
      <w:r w:rsidRPr="00A1118A">
        <w:t>and</w:t>
      </w:r>
      <w:r>
        <w:t xml:space="preserve"> </w:t>
      </w:r>
      <w:r w:rsidRPr="00A1118A">
        <w:t>Commonwealth</w:t>
      </w:r>
      <w:r>
        <w:t xml:space="preserve"> </w:t>
      </w:r>
      <w:r w:rsidRPr="00A1118A">
        <w:t>government</w:t>
      </w:r>
      <w:r>
        <w:t xml:space="preserve"> </w:t>
      </w:r>
      <w:r w:rsidRPr="00A1118A">
        <w:t>royal</w:t>
      </w:r>
      <w:r>
        <w:t xml:space="preserve"> </w:t>
      </w:r>
      <w:r w:rsidRPr="00A1118A">
        <w:t>commissions</w:t>
      </w:r>
      <w:r>
        <w:t xml:space="preserve"> </w:t>
      </w:r>
      <w:r w:rsidRPr="00A1118A">
        <w:t>and</w:t>
      </w:r>
      <w:r>
        <w:t xml:space="preserve"> </w:t>
      </w:r>
      <w:r w:rsidRPr="00A1118A">
        <w:t>inquiries.</w:t>
      </w:r>
      <w:r>
        <w:t xml:space="preserve"> </w:t>
      </w:r>
      <w:r w:rsidRPr="00A1118A">
        <w:t>Those</w:t>
      </w:r>
      <w:r>
        <w:t xml:space="preserve"> </w:t>
      </w:r>
      <w:r w:rsidRPr="00A1118A">
        <w:t>responding</w:t>
      </w:r>
      <w:r>
        <w:t xml:space="preserve"> </w:t>
      </w:r>
      <w:r w:rsidRPr="00A1118A">
        <w:t>to</w:t>
      </w:r>
      <w:r w:rsidR="00851841">
        <w:t> </w:t>
      </w:r>
      <w:r w:rsidRPr="00A1118A">
        <w:t>this</w:t>
      </w:r>
      <w:r>
        <w:t xml:space="preserve"> </w:t>
      </w:r>
      <w:r w:rsidRPr="00A1118A">
        <w:t>question</w:t>
      </w:r>
      <w:r>
        <w:t xml:space="preserve"> </w:t>
      </w:r>
      <w:r w:rsidRPr="00A1118A">
        <w:t>tended</w:t>
      </w:r>
      <w:r>
        <w:t xml:space="preserve"> </w:t>
      </w:r>
      <w:r w:rsidRPr="00A1118A">
        <w:t>to</w:t>
      </w:r>
      <w:r>
        <w:t xml:space="preserve"> </w:t>
      </w:r>
      <w:r w:rsidRPr="00A1118A">
        <w:t>be</w:t>
      </w:r>
      <w:r>
        <w:t xml:space="preserve"> </w:t>
      </w:r>
      <w:r w:rsidRPr="00A1118A">
        <w:t>in</w:t>
      </w:r>
      <w:r>
        <w:t xml:space="preserve"> </w:t>
      </w:r>
      <w:r w:rsidRPr="00A1118A">
        <w:t>specialised</w:t>
      </w:r>
      <w:r>
        <w:t xml:space="preserve"> </w:t>
      </w:r>
      <w:r w:rsidRPr="00A1118A">
        <w:t>roles,</w:t>
      </w:r>
      <w:r>
        <w:t xml:space="preserve"> </w:t>
      </w:r>
      <w:r w:rsidRPr="00A1118A">
        <w:t>commonly</w:t>
      </w:r>
      <w:r>
        <w:t xml:space="preserve"> </w:t>
      </w:r>
      <w:r w:rsidRPr="00A1118A">
        <w:t>working</w:t>
      </w:r>
      <w:r>
        <w:t xml:space="preserve"> </w:t>
      </w:r>
      <w:r w:rsidRPr="00A1118A">
        <w:t>with</w:t>
      </w:r>
      <w:r>
        <w:t xml:space="preserve"> </w:t>
      </w:r>
      <w:r w:rsidR="00493AC9">
        <w:t xml:space="preserve">migrant and refugee communities, </w:t>
      </w:r>
      <w:r w:rsidRPr="00A1118A">
        <w:t>Aboriginal</w:t>
      </w:r>
      <w:r>
        <w:t xml:space="preserve"> </w:t>
      </w:r>
      <w:r w:rsidRPr="00A1118A">
        <w:t>and</w:t>
      </w:r>
      <w:r>
        <w:t xml:space="preserve"> </w:t>
      </w:r>
      <w:r w:rsidRPr="00A1118A">
        <w:t>Torres</w:t>
      </w:r>
      <w:r>
        <w:t xml:space="preserve"> </w:t>
      </w:r>
      <w:r w:rsidRPr="00A1118A">
        <w:t>Strait</w:t>
      </w:r>
      <w:r>
        <w:t xml:space="preserve"> </w:t>
      </w:r>
      <w:r w:rsidRPr="00A1118A">
        <w:t>Islander</w:t>
      </w:r>
      <w:r>
        <w:t xml:space="preserve"> </w:t>
      </w:r>
      <w:r w:rsidRPr="00A1118A">
        <w:t>people,</w:t>
      </w:r>
      <w:r w:rsidR="00ED42C9">
        <w:t> </w:t>
      </w:r>
      <w:r w:rsidRPr="00A1118A">
        <w:t>people</w:t>
      </w:r>
      <w:r>
        <w:t xml:space="preserve"> </w:t>
      </w:r>
      <w:r w:rsidRPr="00A1118A">
        <w:t>with</w:t>
      </w:r>
      <w:r>
        <w:t xml:space="preserve"> </w:t>
      </w:r>
      <w:r w:rsidRPr="00A1118A">
        <w:t>disability,</w:t>
      </w:r>
      <w:r>
        <w:t xml:space="preserve"> </w:t>
      </w:r>
      <w:r w:rsidRPr="00A1118A">
        <w:t>young</w:t>
      </w:r>
      <w:r>
        <w:t xml:space="preserve"> </w:t>
      </w:r>
      <w:r w:rsidRPr="00A1118A">
        <w:t>people,</w:t>
      </w:r>
      <w:r>
        <w:t xml:space="preserve"> </w:t>
      </w:r>
      <w:r w:rsidRPr="00A1118A">
        <w:t>and</w:t>
      </w:r>
      <w:r>
        <w:t xml:space="preserve"> </w:t>
      </w:r>
      <w:r w:rsidRPr="00A1118A">
        <w:t>women</w:t>
      </w:r>
      <w:r>
        <w:t xml:space="preserve"> </w:t>
      </w:r>
      <w:r w:rsidRPr="00A1118A">
        <w:t>and</w:t>
      </w:r>
      <w:r>
        <w:t xml:space="preserve"> </w:t>
      </w:r>
      <w:r w:rsidRPr="00A1118A">
        <w:t>girls.</w:t>
      </w:r>
      <w:r>
        <w:t xml:space="preserve"> </w:t>
      </w:r>
      <w:r w:rsidRPr="00A1118A">
        <w:t>A</w:t>
      </w:r>
      <w:r>
        <w:t xml:space="preserve"> </w:t>
      </w:r>
      <w:r w:rsidRPr="00A1118A">
        <w:t>proportion</w:t>
      </w:r>
      <w:r>
        <w:t xml:space="preserve"> </w:t>
      </w:r>
      <w:r w:rsidRPr="00A1118A">
        <w:t>(18%)</w:t>
      </w:r>
      <w:r>
        <w:t xml:space="preserve"> </w:t>
      </w:r>
      <w:r w:rsidRPr="00A1118A">
        <w:t>of</w:t>
      </w:r>
      <w:r>
        <w:t xml:space="preserve"> </w:t>
      </w:r>
      <w:r w:rsidRPr="00A1118A">
        <w:t>organisations</w:t>
      </w:r>
      <w:r>
        <w:t xml:space="preserve"> </w:t>
      </w:r>
      <w:r w:rsidRPr="00A1118A">
        <w:t>who</w:t>
      </w:r>
      <w:r>
        <w:t xml:space="preserve"> </w:t>
      </w:r>
      <w:r w:rsidRPr="00A1118A">
        <w:t>contributed</w:t>
      </w:r>
      <w:r>
        <w:t xml:space="preserve"> </w:t>
      </w:r>
      <w:r w:rsidRPr="00A1118A">
        <w:t>to</w:t>
      </w:r>
      <w:r>
        <w:t xml:space="preserve"> </w:t>
      </w:r>
      <w:r w:rsidRPr="00A1118A">
        <w:t>joint</w:t>
      </w:r>
      <w:r>
        <w:t xml:space="preserve"> </w:t>
      </w:r>
      <w:r w:rsidRPr="00A1118A">
        <w:t>public</w:t>
      </w:r>
      <w:r>
        <w:t xml:space="preserve"> </w:t>
      </w:r>
      <w:r w:rsidRPr="00A1118A">
        <w:t>statements</w:t>
      </w:r>
      <w:r>
        <w:t xml:space="preserve"> </w:t>
      </w:r>
      <w:r w:rsidRPr="00A1118A">
        <w:t>receive</w:t>
      </w:r>
      <w:r>
        <w:t xml:space="preserve"> </w:t>
      </w:r>
      <w:r w:rsidRPr="00A1118A">
        <w:t>limited</w:t>
      </w:r>
      <w:r>
        <w:t xml:space="preserve"> </w:t>
      </w:r>
      <w:r w:rsidRPr="00A1118A">
        <w:t>and</w:t>
      </w:r>
      <w:r>
        <w:t xml:space="preserve"> </w:t>
      </w:r>
      <w:r w:rsidRPr="00A1118A">
        <w:t>sometimes</w:t>
      </w:r>
      <w:r>
        <w:t xml:space="preserve"> </w:t>
      </w:r>
      <w:r w:rsidRPr="00A1118A">
        <w:t>no</w:t>
      </w:r>
      <w:r>
        <w:t xml:space="preserve"> </w:t>
      </w:r>
      <w:r w:rsidRPr="00A1118A">
        <w:t>funding</w:t>
      </w:r>
      <w:r>
        <w:t xml:space="preserve"> </w:t>
      </w:r>
      <w:r w:rsidRPr="00A1118A">
        <w:t>for</w:t>
      </w:r>
      <w:r>
        <w:t xml:space="preserve"> </w:t>
      </w:r>
      <w:r w:rsidRPr="00A1118A">
        <w:t>primary</w:t>
      </w:r>
      <w:r>
        <w:t xml:space="preserve"> </w:t>
      </w:r>
      <w:r w:rsidRPr="00A1118A">
        <w:t>prevention.</w:t>
      </w:r>
      <w:r>
        <w:t xml:space="preserve"> </w:t>
      </w:r>
      <w:r w:rsidRPr="004B02DE">
        <w:t>This</w:t>
      </w:r>
      <w:r>
        <w:t xml:space="preserve"> </w:t>
      </w:r>
      <w:r w:rsidRPr="004B02DE">
        <w:t>i</w:t>
      </w:r>
      <w:r w:rsidRPr="00A1118A">
        <w:t>ndicat</w:t>
      </w:r>
      <w:r w:rsidRPr="004B02DE">
        <w:t>es</w:t>
      </w:r>
      <w:r>
        <w:t xml:space="preserve"> </w:t>
      </w:r>
      <w:r w:rsidRPr="00A1118A">
        <w:t>that</w:t>
      </w:r>
      <w:r>
        <w:t xml:space="preserve"> </w:t>
      </w:r>
      <w:r w:rsidRPr="00A1118A">
        <w:t>organisations</w:t>
      </w:r>
      <w:r>
        <w:t xml:space="preserve"> </w:t>
      </w:r>
      <w:r w:rsidRPr="004B02DE">
        <w:t>other</w:t>
      </w:r>
      <w:r>
        <w:t xml:space="preserve"> </w:t>
      </w:r>
      <w:r w:rsidRPr="004B02DE">
        <w:t>than</w:t>
      </w:r>
      <w:r>
        <w:t xml:space="preserve"> </w:t>
      </w:r>
      <w:r w:rsidRPr="004B02DE">
        <w:t>those</w:t>
      </w:r>
      <w:r>
        <w:t xml:space="preserve"> </w:t>
      </w:r>
      <w:r w:rsidRPr="004B02DE">
        <w:t>that</w:t>
      </w:r>
      <w:r>
        <w:t xml:space="preserve"> </w:t>
      </w:r>
      <w:r w:rsidRPr="004B02DE">
        <w:t>are</w:t>
      </w:r>
      <w:r>
        <w:t xml:space="preserve"> </w:t>
      </w:r>
      <w:r w:rsidRPr="004B02DE">
        <w:t>directly</w:t>
      </w:r>
      <w:r>
        <w:t xml:space="preserve"> </w:t>
      </w:r>
      <w:r w:rsidRPr="004B02DE">
        <w:t>funded</w:t>
      </w:r>
      <w:r>
        <w:t xml:space="preserve"> </w:t>
      </w:r>
      <w:r w:rsidRPr="00A1118A">
        <w:t>to</w:t>
      </w:r>
      <w:r>
        <w:t xml:space="preserve"> </w:t>
      </w:r>
      <w:r w:rsidRPr="00A1118A">
        <w:t>undertake</w:t>
      </w:r>
      <w:r>
        <w:t xml:space="preserve"> </w:t>
      </w:r>
      <w:r w:rsidRPr="00A1118A">
        <w:t>prevention</w:t>
      </w:r>
      <w:r>
        <w:t xml:space="preserve"> </w:t>
      </w:r>
      <w:r w:rsidRPr="00A1118A">
        <w:t>or</w:t>
      </w:r>
      <w:r>
        <w:t xml:space="preserve"> </w:t>
      </w:r>
      <w:r w:rsidRPr="00A1118A">
        <w:t>gender</w:t>
      </w:r>
      <w:r>
        <w:t xml:space="preserve"> </w:t>
      </w:r>
      <w:r w:rsidRPr="00A1118A">
        <w:t>equality</w:t>
      </w:r>
      <w:r>
        <w:t xml:space="preserve"> </w:t>
      </w:r>
      <w:r w:rsidRPr="00A1118A">
        <w:t>activities</w:t>
      </w:r>
      <w:r>
        <w:t xml:space="preserve"> </w:t>
      </w:r>
      <w:r w:rsidRPr="00A1118A">
        <w:t>are</w:t>
      </w:r>
      <w:r>
        <w:t xml:space="preserve"> </w:t>
      </w:r>
      <w:r w:rsidRPr="00A1118A">
        <w:t>engaging</w:t>
      </w:r>
      <w:r>
        <w:t xml:space="preserve"> </w:t>
      </w:r>
      <w:r w:rsidRPr="00A1118A">
        <w:t>in</w:t>
      </w:r>
      <w:r>
        <w:t xml:space="preserve"> </w:t>
      </w:r>
      <w:r w:rsidRPr="00A1118A">
        <w:t>this</w:t>
      </w:r>
      <w:r>
        <w:t xml:space="preserve"> </w:t>
      </w:r>
      <w:r w:rsidRPr="00A1118A">
        <w:t>issue</w:t>
      </w:r>
      <w:r>
        <w:t xml:space="preserve"> </w:t>
      </w:r>
      <w:r w:rsidRPr="00A1118A">
        <w:t>and</w:t>
      </w:r>
      <w:r>
        <w:t xml:space="preserve"> </w:t>
      </w:r>
      <w:r w:rsidRPr="00A1118A">
        <w:t>seeking</w:t>
      </w:r>
      <w:r>
        <w:t xml:space="preserve"> </w:t>
      </w:r>
      <w:r w:rsidRPr="00A1118A">
        <w:t>to</w:t>
      </w:r>
      <w:r>
        <w:t xml:space="preserve"> </w:t>
      </w:r>
      <w:r w:rsidRPr="00A1118A">
        <w:t>feed</w:t>
      </w:r>
      <w:r>
        <w:t xml:space="preserve"> </w:t>
      </w:r>
      <w:r w:rsidRPr="00A1118A">
        <w:t>their</w:t>
      </w:r>
      <w:r>
        <w:t xml:space="preserve"> </w:t>
      </w:r>
      <w:r w:rsidRPr="00A1118A">
        <w:t>perspectives</w:t>
      </w:r>
      <w:r>
        <w:t xml:space="preserve"> </w:t>
      </w:r>
      <w:r w:rsidRPr="00A1118A">
        <w:t>and</w:t>
      </w:r>
      <w:r>
        <w:t xml:space="preserve"> </w:t>
      </w:r>
      <w:r w:rsidRPr="00A1118A">
        <w:t>expertise</w:t>
      </w:r>
      <w:r>
        <w:t xml:space="preserve"> </w:t>
      </w:r>
      <w:r w:rsidRPr="00A1118A">
        <w:t>into</w:t>
      </w:r>
      <w:r>
        <w:t xml:space="preserve"> </w:t>
      </w:r>
      <w:r w:rsidRPr="00A1118A">
        <w:t>reform</w:t>
      </w:r>
      <w:r>
        <w:t xml:space="preserve"> </w:t>
      </w:r>
      <w:r w:rsidRPr="00A1118A">
        <w:t>processes.</w:t>
      </w:r>
    </w:p>
    <w:p w14:paraId="75ECB0C4" w14:textId="77777777" w:rsidR="002C2EC7" w:rsidRDefault="002C2EC7" w:rsidP="00790783">
      <w:pPr>
        <w:pStyle w:val="BodyText"/>
      </w:pPr>
      <w:r w:rsidRPr="0071774C">
        <w:t>A</w:t>
      </w:r>
      <w:r>
        <w:t xml:space="preserve"> </w:t>
      </w:r>
      <w:r w:rsidRPr="0071774C">
        <w:t>desktop</w:t>
      </w:r>
      <w:r>
        <w:t xml:space="preserve"> </w:t>
      </w:r>
      <w:r w:rsidRPr="0071774C">
        <w:t>scan</w:t>
      </w:r>
      <w:r>
        <w:t xml:space="preserve"> </w:t>
      </w:r>
      <w:r w:rsidRPr="0071774C">
        <w:t>found</w:t>
      </w:r>
      <w:r>
        <w:t xml:space="preserve"> </w:t>
      </w:r>
      <w:r w:rsidRPr="0071774C">
        <w:t>a</w:t>
      </w:r>
      <w:r>
        <w:t xml:space="preserve"> </w:t>
      </w:r>
      <w:r w:rsidRPr="0071774C">
        <w:t>range</w:t>
      </w:r>
      <w:r>
        <w:t xml:space="preserve"> </w:t>
      </w:r>
      <w:r w:rsidRPr="0071774C">
        <w:t>of</w:t>
      </w:r>
      <w:r>
        <w:t xml:space="preserve"> </w:t>
      </w:r>
      <w:r w:rsidRPr="0071774C">
        <w:t>joint</w:t>
      </w:r>
      <w:r>
        <w:t xml:space="preserve"> </w:t>
      </w:r>
      <w:r w:rsidRPr="0071774C">
        <w:t>submissions</w:t>
      </w:r>
      <w:r>
        <w:t xml:space="preserve"> </w:t>
      </w:r>
      <w:r w:rsidRPr="0071774C">
        <w:t>to</w:t>
      </w:r>
      <w:r>
        <w:t xml:space="preserve"> </w:t>
      </w:r>
      <w:r w:rsidRPr="0071774C">
        <w:t>proposed</w:t>
      </w:r>
      <w:r>
        <w:t xml:space="preserve"> </w:t>
      </w:r>
      <w:r w:rsidRPr="0071774C">
        <w:t>legal</w:t>
      </w:r>
      <w:r>
        <w:t xml:space="preserve"> </w:t>
      </w:r>
      <w:r w:rsidRPr="0071774C">
        <w:t>and</w:t>
      </w:r>
      <w:r>
        <w:t xml:space="preserve"> </w:t>
      </w:r>
      <w:r w:rsidRPr="0071774C">
        <w:t>social</w:t>
      </w:r>
      <w:r>
        <w:t xml:space="preserve"> </w:t>
      </w:r>
      <w:r w:rsidRPr="0071774C">
        <w:t>services</w:t>
      </w:r>
      <w:r>
        <w:t xml:space="preserve"> </w:t>
      </w:r>
      <w:r w:rsidRPr="0071774C">
        <w:t>reform</w:t>
      </w:r>
      <w:r>
        <w:t xml:space="preserve"> </w:t>
      </w:r>
      <w:r w:rsidRPr="0071774C">
        <w:t>as</w:t>
      </w:r>
      <w:r>
        <w:t xml:space="preserve"> </w:t>
      </w:r>
      <w:r w:rsidRPr="0071774C">
        <w:t>well</w:t>
      </w:r>
      <w:r>
        <w:t xml:space="preserve"> </w:t>
      </w:r>
      <w:r w:rsidRPr="0071774C">
        <w:t>as</w:t>
      </w:r>
      <w:r>
        <w:t xml:space="preserve"> </w:t>
      </w:r>
      <w:r w:rsidRPr="0071774C">
        <w:t>pre-</w:t>
      </w:r>
      <w:r>
        <w:t xml:space="preserve"> </w:t>
      </w:r>
      <w:r w:rsidRPr="0071774C">
        <w:t>and</w:t>
      </w:r>
      <w:r>
        <w:t xml:space="preserve"> </w:t>
      </w:r>
      <w:r w:rsidRPr="0071774C">
        <w:t>post-budget</w:t>
      </w:r>
      <w:r>
        <w:t xml:space="preserve"> </w:t>
      </w:r>
      <w:r w:rsidRPr="0071774C">
        <w:t>responses.</w:t>
      </w:r>
      <w:r>
        <w:t xml:space="preserve"> </w:t>
      </w:r>
      <w:r w:rsidRPr="0071774C">
        <w:t>This</w:t>
      </w:r>
      <w:r>
        <w:t xml:space="preserve"> </w:t>
      </w:r>
      <w:r w:rsidRPr="0071774C">
        <w:t>included</w:t>
      </w:r>
      <w:r>
        <w:t xml:space="preserve"> </w:t>
      </w:r>
      <w:r w:rsidRPr="0071774C">
        <w:t>submissions</w:t>
      </w:r>
      <w:r>
        <w:t xml:space="preserve"> </w:t>
      </w:r>
      <w:r w:rsidRPr="0071774C">
        <w:t>on</w:t>
      </w:r>
      <w:r>
        <w:t xml:space="preserve"> </w:t>
      </w:r>
      <w:r w:rsidRPr="0071774C">
        <w:t>issues</w:t>
      </w:r>
      <w:r>
        <w:t xml:space="preserve"> </w:t>
      </w:r>
      <w:r w:rsidRPr="0071774C">
        <w:t>such</w:t>
      </w:r>
      <w:r>
        <w:t xml:space="preserve"> </w:t>
      </w:r>
      <w:r w:rsidRPr="0071774C">
        <w:t>as</w:t>
      </w:r>
      <w:r>
        <w:t xml:space="preserve"> </w:t>
      </w:r>
      <w:r w:rsidRPr="0071774C">
        <w:t>abortion</w:t>
      </w:r>
      <w:r>
        <w:t xml:space="preserve"> </w:t>
      </w:r>
      <w:r w:rsidRPr="0071774C">
        <w:t>decriminalisation,</w:t>
      </w:r>
      <w:r>
        <w:t xml:space="preserve"> </w:t>
      </w:r>
      <w:r w:rsidRPr="0071774C">
        <w:t>and</w:t>
      </w:r>
      <w:r>
        <w:t xml:space="preserve"> </w:t>
      </w:r>
      <w:r w:rsidRPr="0071774C">
        <w:t>consent</w:t>
      </w:r>
      <w:r>
        <w:t xml:space="preserve"> </w:t>
      </w:r>
      <w:r w:rsidRPr="0071774C">
        <w:t>laws</w:t>
      </w:r>
      <w:r>
        <w:t xml:space="preserve"> </w:t>
      </w:r>
      <w:r w:rsidRPr="0071774C">
        <w:t>in</w:t>
      </w:r>
      <w:r>
        <w:t xml:space="preserve"> </w:t>
      </w:r>
      <w:r w:rsidRPr="0071774C">
        <w:t>relation</w:t>
      </w:r>
      <w:r>
        <w:t xml:space="preserve"> </w:t>
      </w:r>
      <w:r w:rsidRPr="0071774C">
        <w:t>to</w:t>
      </w:r>
      <w:r>
        <w:t xml:space="preserve"> </w:t>
      </w:r>
      <w:r w:rsidRPr="0071774C">
        <w:t>sexual</w:t>
      </w:r>
      <w:r>
        <w:t xml:space="preserve"> </w:t>
      </w:r>
      <w:r w:rsidRPr="0071774C">
        <w:t>offences</w:t>
      </w:r>
      <w:r>
        <w:t xml:space="preserve"> </w:t>
      </w:r>
      <w:r w:rsidRPr="0071774C">
        <w:t>and</w:t>
      </w:r>
      <w:r>
        <w:t xml:space="preserve"> </w:t>
      </w:r>
      <w:r w:rsidRPr="0071774C">
        <w:t>family</w:t>
      </w:r>
      <w:r>
        <w:t xml:space="preserve"> </w:t>
      </w:r>
      <w:r w:rsidRPr="0071774C">
        <w:t>violence</w:t>
      </w:r>
      <w:r w:rsidRPr="006E446C">
        <w:t>,</w:t>
      </w:r>
      <w:r>
        <w:t xml:space="preserve"> </w:t>
      </w:r>
      <w:r w:rsidRPr="0071774C">
        <w:t>and</w:t>
      </w:r>
      <w:r>
        <w:t xml:space="preserve"> </w:t>
      </w:r>
      <w:r w:rsidRPr="0071774C">
        <w:t>others</w:t>
      </w:r>
      <w:r>
        <w:t xml:space="preserve"> </w:t>
      </w:r>
      <w:r w:rsidRPr="0071774C">
        <w:t>that</w:t>
      </w:r>
      <w:r>
        <w:t xml:space="preserve"> </w:t>
      </w:r>
      <w:r w:rsidRPr="0071774C">
        <w:t>sought</w:t>
      </w:r>
      <w:r>
        <w:t xml:space="preserve"> </w:t>
      </w:r>
      <w:r w:rsidRPr="0071774C">
        <w:t>to</w:t>
      </w:r>
      <w:r>
        <w:t xml:space="preserve"> </w:t>
      </w:r>
      <w:r w:rsidRPr="0071774C">
        <w:t>highlight</w:t>
      </w:r>
      <w:r>
        <w:t xml:space="preserve"> </w:t>
      </w:r>
      <w:r w:rsidRPr="0071774C">
        <w:t>differential</w:t>
      </w:r>
      <w:r>
        <w:t xml:space="preserve"> </w:t>
      </w:r>
      <w:r w:rsidRPr="0071774C">
        <w:t>or</w:t>
      </w:r>
      <w:r>
        <w:t xml:space="preserve"> </w:t>
      </w:r>
      <w:r w:rsidRPr="0071774C">
        <w:t>discriminatory</w:t>
      </w:r>
      <w:r>
        <w:t xml:space="preserve"> </w:t>
      </w:r>
      <w:r w:rsidRPr="0071774C">
        <w:t>impacts</w:t>
      </w:r>
      <w:r>
        <w:t xml:space="preserve"> </w:t>
      </w:r>
      <w:r w:rsidRPr="0071774C">
        <w:t>of</w:t>
      </w:r>
      <w:r>
        <w:t xml:space="preserve"> </w:t>
      </w:r>
      <w:r w:rsidRPr="0071774C">
        <w:t>current</w:t>
      </w:r>
      <w:r>
        <w:t xml:space="preserve"> </w:t>
      </w:r>
      <w:r w:rsidRPr="0071774C">
        <w:t>or</w:t>
      </w:r>
      <w:r>
        <w:t xml:space="preserve"> </w:t>
      </w:r>
      <w:r w:rsidRPr="0071774C">
        <w:t>proposed</w:t>
      </w:r>
      <w:r>
        <w:t xml:space="preserve"> </w:t>
      </w:r>
      <w:r w:rsidRPr="0071774C">
        <w:t>policy</w:t>
      </w:r>
      <w:r>
        <w:t xml:space="preserve"> </w:t>
      </w:r>
      <w:r w:rsidRPr="0071774C">
        <w:t>and</w:t>
      </w:r>
      <w:r>
        <w:t xml:space="preserve"> </w:t>
      </w:r>
      <w:r w:rsidRPr="0071774C">
        <w:t>legislation</w:t>
      </w:r>
      <w:r>
        <w:t xml:space="preserve"> </w:t>
      </w:r>
      <w:r w:rsidRPr="0071774C">
        <w:t>on</w:t>
      </w:r>
      <w:r>
        <w:t xml:space="preserve"> </w:t>
      </w:r>
      <w:r w:rsidRPr="0071774C">
        <w:t>women.</w:t>
      </w:r>
      <w:r>
        <w:t xml:space="preserve"> </w:t>
      </w:r>
      <w:r w:rsidRPr="0071774C">
        <w:t>There</w:t>
      </w:r>
      <w:r>
        <w:t xml:space="preserve"> </w:t>
      </w:r>
      <w:r w:rsidRPr="0071774C">
        <w:t>were</w:t>
      </w:r>
      <w:r>
        <w:t xml:space="preserve"> </w:t>
      </w:r>
      <w:r w:rsidRPr="0071774C">
        <w:t>also</w:t>
      </w:r>
      <w:r>
        <w:t xml:space="preserve"> </w:t>
      </w:r>
      <w:r w:rsidRPr="0071774C">
        <w:t>joint</w:t>
      </w:r>
      <w:r>
        <w:t xml:space="preserve"> </w:t>
      </w:r>
      <w:r w:rsidRPr="0071774C">
        <w:t>campaigns,</w:t>
      </w:r>
      <w:r>
        <w:t xml:space="preserve"> </w:t>
      </w:r>
      <w:r w:rsidRPr="0071774C">
        <w:t>both</w:t>
      </w:r>
      <w:r>
        <w:t xml:space="preserve"> </w:t>
      </w:r>
      <w:r w:rsidRPr="0071774C">
        <w:t>short-term</w:t>
      </w:r>
      <w:r>
        <w:t xml:space="preserve"> </w:t>
      </w:r>
      <w:r w:rsidRPr="0071774C">
        <w:t>and</w:t>
      </w:r>
      <w:r>
        <w:t xml:space="preserve"> </w:t>
      </w:r>
      <w:r w:rsidRPr="0071774C">
        <w:t>sustained,</w:t>
      </w:r>
      <w:r>
        <w:t xml:space="preserve"> </w:t>
      </w:r>
      <w:r w:rsidRPr="0071774C">
        <w:t>advocating</w:t>
      </w:r>
      <w:r>
        <w:t xml:space="preserve"> </w:t>
      </w:r>
      <w:r w:rsidRPr="0071774C">
        <w:t>for</w:t>
      </w:r>
      <w:r>
        <w:t xml:space="preserve"> </w:t>
      </w:r>
      <w:r w:rsidRPr="0071774C">
        <w:t>legislative</w:t>
      </w:r>
      <w:r>
        <w:t xml:space="preserve"> </w:t>
      </w:r>
      <w:r w:rsidRPr="0071774C">
        <w:t>change</w:t>
      </w:r>
      <w:r>
        <w:t xml:space="preserve"> </w:t>
      </w:r>
      <w:r w:rsidRPr="0071774C">
        <w:t>and</w:t>
      </w:r>
      <w:r>
        <w:t xml:space="preserve"> </w:t>
      </w:r>
      <w:r w:rsidRPr="0071774C">
        <w:t>wider</w:t>
      </w:r>
      <w:r>
        <w:t xml:space="preserve"> </w:t>
      </w:r>
      <w:r w:rsidRPr="0071774C">
        <w:t>public</w:t>
      </w:r>
      <w:r>
        <w:t xml:space="preserve"> </w:t>
      </w:r>
      <w:r w:rsidRPr="0071774C">
        <w:t>awareness</w:t>
      </w:r>
      <w:r>
        <w:t xml:space="preserve"> </w:t>
      </w:r>
      <w:r w:rsidRPr="0071774C">
        <w:t>on</w:t>
      </w:r>
      <w:r>
        <w:t xml:space="preserve"> </w:t>
      </w:r>
      <w:r w:rsidRPr="0071774C">
        <w:t>particular</w:t>
      </w:r>
      <w:r>
        <w:t xml:space="preserve"> </w:t>
      </w:r>
      <w:r w:rsidRPr="0071774C">
        <w:t>issues.</w:t>
      </w:r>
      <w:r>
        <w:t xml:space="preserve"> </w:t>
      </w:r>
      <w:r w:rsidRPr="0071774C">
        <w:t>Examples</w:t>
      </w:r>
      <w:r>
        <w:t xml:space="preserve"> </w:t>
      </w:r>
      <w:r w:rsidRPr="0071774C">
        <w:t>included</w:t>
      </w:r>
      <w:r>
        <w:t xml:space="preserve"> </w:t>
      </w:r>
      <w:r w:rsidRPr="0071774C">
        <w:t>the</w:t>
      </w:r>
      <w:r>
        <w:t xml:space="preserve"> </w:t>
      </w:r>
      <w:r w:rsidRPr="0071774C">
        <w:t>16</w:t>
      </w:r>
      <w:r>
        <w:t xml:space="preserve"> </w:t>
      </w:r>
      <w:r w:rsidRPr="0071774C">
        <w:t>Days</w:t>
      </w:r>
      <w:r>
        <w:t xml:space="preserve"> </w:t>
      </w:r>
      <w:r w:rsidRPr="0071774C">
        <w:t>of</w:t>
      </w:r>
      <w:r>
        <w:t xml:space="preserve"> </w:t>
      </w:r>
      <w:r w:rsidRPr="0071774C">
        <w:t>Activism</w:t>
      </w:r>
      <w:r>
        <w:t xml:space="preserve"> </w:t>
      </w:r>
      <w:r w:rsidRPr="0071774C">
        <w:t>campaign</w:t>
      </w:r>
      <w:r>
        <w:t>,</w:t>
      </w:r>
      <w:r w:rsidRPr="0071774C">
        <w:rPr>
          <w:rStyle w:val="EndnoteReference"/>
          <w:szCs w:val="22"/>
        </w:rPr>
        <w:endnoteReference w:id="47"/>
      </w:r>
      <w:r>
        <w:t xml:space="preserve"> </w:t>
      </w:r>
      <w:r w:rsidRPr="0071774C">
        <w:t>the</w:t>
      </w:r>
      <w:r>
        <w:t xml:space="preserve"> </w:t>
      </w:r>
      <w:r w:rsidRPr="0071774C">
        <w:t>campaign</w:t>
      </w:r>
      <w:r>
        <w:t xml:space="preserve"> </w:t>
      </w:r>
      <w:r w:rsidRPr="0071774C">
        <w:t>to</w:t>
      </w:r>
      <w:r>
        <w:t xml:space="preserve"> </w:t>
      </w:r>
      <w:r w:rsidRPr="0071774C">
        <w:t>remove</w:t>
      </w:r>
      <w:r>
        <w:t xml:space="preserve"> </w:t>
      </w:r>
      <w:r w:rsidRPr="0071774C">
        <w:t>GST</w:t>
      </w:r>
      <w:r>
        <w:t xml:space="preserve"> </w:t>
      </w:r>
      <w:r w:rsidRPr="0071774C">
        <w:t>from</w:t>
      </w:r>
      <w:r>
        <w:t xml:space="preserve"> </w:t>
      </w:r>
      <w:r w:rsidRPr="0071774C">
        <w:t>feminine</w:t>
      </w:r>
      <w:r>
        <w:t xml:space="preserve"> </w:t>
      </w:r>
      <w:r w:rsidRPr="0071774C">
        <w:t>hygiene</w:t>
      </w:r>
      <w:r>
        <w:t xml:space="preserve"> </w:t>
      </w:r>
      <w:r w:rsidRPr="0071774C">
        <w:t>products</w:t>
      </w:r>
      <w:r>
        <w:t>,</w:t>
      </w:r>
      <w:r w:rsidRPr="0071774C">
        <w:rPr>
          <w:rStyle w:val="EndnoteReference"/>
          <w:szCs w:val="22"/>
        </w:rPr>
        <w:endnoteReference w:id="48"/>
      </w:r>
      <w:r>
        <w:t xml:space="preserve"> </w:t>
      </w:r>
      <w:r w:rsidRPr="0071774C">
        <w:t>the</w:t>
      </w:r>
      <w:r>
        <w:t xml:space="preserve"> </w:t>
      </w:r>
      <w:r w:rsidRPr="0071774C">
        <w:t>women</w:t>
      </w:r>
      <w:r>
        <w:t xml:space="preserve"> </w:t>
      </w:r>
      <w:r w:rsidRPr="0071774C">
        <w:t>on</w:t>
      </w:r>
      <w:r>
        <w:t xml:space="preserve"> </w:t>
      </w:r>
      <w:r w:rsidRPr="0071774C">
        <w:t>temporary</w:t>
      </w:r>
      <w:r>
        <w:t xml:space="preserve"> </w:t>
      </w:r>
      <w:r w:rsidRPr="0071774C">
        <w:t>visas</w:t>
      </w:r>
      <w:r>
        <w:t xml:space="preserve"> </w:t>
      </w:r>
      <w:r w:rsidRPr="0071774C">
        <w:t>campaign</w:t>
      </w:r>
      <w:r>
        <w:t>,</w:t>
      </w:r>
      <w:r w:rsidRPr="0071774C">
        <w:rPr>
          <w:rStyle w:val="EndnoteReference"/>
          <w:szCs w:val="22"/>
        </w:rPr>
        <w:endnoteReference w:id="49"/>
      </w:r>
      <w:r>
        <w:t xml:space="preserve"> </w:t>
      </w:r>
      <w:r w:rsidRPr="0071774C">
        <w:t>and</w:t>
      </w:r>
      <w:r>
        <w:t xml:space="preserve"> </w:t>
      </w:r>
      <w:r w:rsidRPr="0071774C">
        <w:t>the</w:t>
      </w:r>
      <w:r>
        <w:t xml:space="preserve"> </w:t>
      </w:r>
      <w:r w:rsidRPr="0071774C">
        <w:t>campaign</w:t>
      </w:r>
      <w:r>
        <w:t xml:space="preserve"> </w:t>
      </w:r>
      <w:r w:rsidRPr="0071774C">
        <w:t>for</w:t>
      </w:r>
      <w:r>
        <w:t xml:space="preserve"> </w:t>
      </w:r>
      <w:r w:rsidRPr="0071774C">
        <w:t>urgent</w:t>
      </w:r>
      <w:r>
        <w:t xml:space="preserve"> </w:t>
      </w:r>
      <w:r w:rsidRPr="0071774C">
        <w:t>action</w:t>
      </w:r>
      <w:r>
        <w:t xml:space="preserve"> </w:t>
      </w:r>
      <w:r w:rsidRPr="0071774C">
        <w:t>on</w:t>
      </w:r>
      <w:r>
        <w:t xml:space="preserve"> </w:t>
      </w:r>
      <w:r w:rsidRPr="0071774C">
        <w:t>workplace</w:t>
      </w:r>
      <w:r>
        <w:t xml:space="preserve"> </w:t>
      </w:r>
      <w:r w:rsidRPr="0071774C">
        <w:t>sexual</w:t>
      </w:r>
      <w:r>
        <w:t xml:space="preserve"> </w:t>
      </w:r>
      <w:r w:rsidRPr="0071774C">
        <w:t>harassment</w:t>
      </w:r>
      <w:r>
        <w:t>.</w:t>
      </w:r>
      <w:r w:rsidRPr="0071774C">
        <w:rPr>
          <w:rStyle w:val="EndnoteReference"/>
          <w:szCs w:val="22"/>
        </w:rPr>
        <w:endnoteReference w:id="50"/>
      </w:r>
    </w:p>
    <w:p w14:paraId="66503252" w14:textId="77777777" w:rsidR="002C2EC7" w:rsidRPr="00FB7F22" w:rsidRDefault="002C2EC7" w:rsidP="00790783">
      <w:pPr>
        <w:pStyle w:val="Heading3"/>
        <w:rPr>
          <w:rStyle w:val="OWCharacterCharcoal"/>
        </w:rPr>
      </w:pPr>
      <w:bookmarkStart w:id="32" w:name="_Toc41559716"/>
      <w:bookmarkStart w:id="33" w:name="_Toc55053305"/>
      <w:r w:rsidRPr="00FB7F22">
        <w:rPr>
          <w:rStyle w:val="OWCharacterCharcoal"/>
        </w:rPr>
        <w:lastRenderedPageBreak/>
        <w:t>Domain 2: Policy and legislative reform</w:t>
      </w:r>
      <w:bookmarkEnd w:id="32"/>
      <w:bookmarkEnd w:id="33"/>
    </w:p>
    <w:p w14:paraId="2DA77185" w14:textId="6A19952E" w:rsidR="002C2EC7" w:rsidRDefault="00AC05C8" w:rsidP="00790783">
      <w:pPr>
        <w:pStyle w:val="BodyText"/>
      </w:pPr>
      <w:r>
        <w:t xml:space="preserve">As </w:t>
      </w:r>
      <w:r w:rsidRPr="006C6CFA">
        <w:rPr>
          <w:i/>
          <w:iCs/>
        </w:rPr>
        <w:t>Change the story</w:t>
      </w:r>
      <w:r>
        <w:t xml:space="preserve"> states, </w:t>
      </w:r>
      <w:r w:rsidR="002C2EC7">
        <w:t>‘</w:t>
      </w:r>
      <w:r>
        <w:t>p</w:t>
      </w:r>
      <w:r w:rsidR="002C2EC7" w:rsidRPr="006E446C">
        <w:t>olicy</w:t>
      </w:r>
      <w:r w:rsidR="002C2EC7">
        <w:t xml:space="preserve"> </w:t>
      </w:r>
      <w:r w:rsidR="002C2EC7" w:rsidRPr="006E446C">
        <w:t>and</w:t>
      </w:r>
      <w:r w:rsidR="002C2EC7">
        <w:t xml:space="preserve"> </w:t>
      </w:r>
      <w:r w:rsidR="002C2EC7" w:rsidRPr="006E446C">
        <w:t>legal</w:t>
      </w:r>
      <w:r w:rsidR="002C2EC7">
        <w:t xml:space="preserve"> </w:t>
      </w:r>
      <w:r w:rsidR="002C2EC7" w:rsidRPr="006E446C">
        <w:t>reform</w:t>
      </w:r>
      <w:r w:rsidR="002C2EC7">
        <w:t xml:space="preserve"> </w:t>
      </w:r>
      <w:r w:rsidR="002C2EC7" w:rsidRPr="006E446C">
        <w:t>helps</w:t>
      </w:r>
      <w:r w:rsidR="002C2EC7">
        <w:t xml:space="preserve"> </w:t>
      </w:r>
      <w:r w:rsidR="002C2EC7" w:rsidRPr="006E446C">
        <w:t>drive</w:t>
      </w:r>
      <w:r w:rsidR="002C2EC7">
        <w:t xml:space="preserve"> </w:t>
      </w:r>
      <w:r w:rsidR="002C2EC7" w:rsidRPr="006E446C">
        <w:t>societal</w:t>
      </w:r>
      <w:r w:rsidR="002C2EC7">
        <w:t xml:space="preserve"> </w:t>
      </w:r>
      <w:r w:rsidR="002C2EC7" w:rsidRPr="006E446C">
        <w:t>level</w:t>
      </w:r>
      <w:r w:rsidR="002C2EC7">
        <w:t xml:space="preserve"> </w:t>
      </w:r>
      <w:r w:rsidR="002C2EC7" w:rsidRPr="006E446C">
        <w:t>change</w:t>
      </w:r>
      <w:r w:rsidR="002C2EC7">
        <w:t xml:space="preserve"> </w:t>
      </w:r>
      <w:r w:rsidR="002C2EC7" w:rsidRPr="006E446C">
        <w:t>by</w:t>
      </w:r>
      <w:r w:rsidR="002C2EC7">
        <w:t xml:space="preserve"> </w:t>
      </w:r>
      <w:r w:rsidR="002C2EC7" w:rsidRPr="006E446C">
        <w:t>shifting</w:t>
      </w:r>
      <w:r w:rsidR="002C2EC7">
        <w:t xml:space="preserve"> </w:t>
      </w:r>
      <w:r w:rsidR="002C2EC7" w:rsidRPr="006E446C">
        <w:t>social</w:t>
      </w:r>
      <w:r w:rsidR="002C2EC7">
        <w:t xml:space="preserve"> </w:t>
      </w:r>
      <w:r w:rsidR="002C2EC7" w:rsidRPr="006E446C">
        <w:t>norms</w:t>
      </w:r>
      <w:r w:rsidR="002C2EC7">
        <w:t xml:space="preserve"> </w:t>
      </w:r>
      <w:r w:rsidR="002C2EC7" w:rsidRPr="006E446C">
        <w:t>and</w:t>
      </w:r>
      <w:r w:rsidR="002C2EC7">
        <w:t xml:space="preserve"> </w:t>
      </w:r>
      <w:r w:rsidR="002C2EC7" w:rsidRPr="006E446C">
        <w:t>supporting</w:t>
      </w:r>
      <w:r w:rsidR="002C2EC7">
        <w:t xml:space="preserve"> </w:t>
      </w:r>
      <w:r w:rsidR="002C2EC7" w:rsidRPr="006E446C">
        <w:t>and</w:t>
      </w:r>
      <w:r w:rsidR="002C2EC7">
        <w:t xml:space="preserve"> </w:t>
      </w:r>
      <w:r w:rsidR="002C2EC7" w:rsidRPr="006E446C">
        <w:t>reinforcing</w:t>
      </w:r>
      <w:r w:rsidR="002C2EC7">
        <w:t xml:space="preserve"> </w:t>
      </w:r>
      <w:r w:rsidR="002C2EC7" w:rsidRPr="006E446C">
        <w:t>other</w:t>
      </w:r>
      <w:r w:rsidR="002C2EC7">
        <w:t xml:space="preserve"> prevention </w:t>
      </w:r>
      <w:r w:rsidR="002C2EC7" w:rsidRPr="006E446C">
        <w:t>strategies</w:t>
      </w:r>
      <w:r w:rsidR="002C2EC7">
        <w:t>.’</w:t>
      </w:r>
      <w:r w:rsidR="002C2EC7" w:rsidRPr="006E446C">
        <w:rPr>
          <w:rStyle w:val="EndnoteReference"/>
          <w:szCs w:val="22"/>
        </w:rPr>
        <w:endnoteReference w:id="51"/>
      </w:r>
      <w:r w:rsidR="002C2EC7" w:rsidRPr="00525643">
        <w:t xml:space="preserve"> </w:t>
      </w:r>
      <w:r w:rsidR="002C2EC7" w:rsidRPr="0071774C">
        <w:t>This</w:t>
      </w:r>
      <w:r w:rsidR="002C2EC7">
        <w:t xml:space="preserve"> </w:t>
      </w:r>
      <w:r w:rsidR="002C2EC7" w:rsidRPr="0071774C">
        <w:t>domain</w:t>
      </w:r>
      <w:r w:rsidR="002C2EC7">
        <w:t xml:space="preserve"> </w:t>
      </w:r>
      <w:r w:rsidR="002C2EC7" w:rsidRPr="0071774C">
        <w:t>is</w:t>
      </w:r>
      <w:r w:rsidR="002C2EC7">
        <w:t xml:space="preserve"> </w:t>
      </w:r>
      <w:r w:rsidR="002C2EC7" w:rsidRPr="0071774C">
        <w:t>concerned</w:t>
      </w:r>
      <w:r w:rsidR="002C2EC7">
        <w:t xml:space="preserve"> </w:t>
      </w:r>
      <w:r w:rsidR="002C2EC7" w:rsidRPr="0071774C">
        <w:t>with</w:t>
      </w:r>
      <w:r w:rsidR="002C2EC7">
        <w:t xml:space="preserve"> </w:t>
      </w:r>
      <w:r w:rsidR="002C2EC7" w:rsidRPr="0071774C">
        <w:t>how</w:t>
      </w:r>
      <w:r w:rsidR="002C2EC7">
        <w:t xml:space="preserve"> </w:t>
      </w:r>
      <w:r w:rsidR="002C2EC7" w:rsidRPr="0071774C">
        <w:t>and</w:t>
      </w:r>
      <w:r w:rsidR="002C2EC7">
        <w:t xml:space="preserve"> </w:t>
      </w:r>
      <w:r w:rsidR="002C2EC7" w:rsidRPr="0071774C">
        <w:t>where</w:t>
      </w:r>
      <w:r w:rsidR="002C2EC7">
        <w:t xml:space="preserve"> </w:t>
      </w:r>
      <w:r w:rsidR="002C2EC7" w:rsidRPr="0071774C">
        <w:t>government</w:t>
      </w:r>
      <w:r w:rsidR="002C2EC7">
        <w:t xml:space="preserve"> </w:t>
      </w:r>
      <w:r w:rsidR="002C2EC7" w:rsidRPr="0071774C">
        <w:t>policy</w:t>
      </w:r>
      <w:r w:rsidR="002C2EC7">
        <w:t xml:space="preserve"> </w:t>
      </w:r>
      <w:r w:rsidR="002C2EC7" w:rsidRPr="0071774C">
        <w:t>development</w:t>
      </w:r>
      <w:r w:rsidR="002C2EC7">
        <w:t xml:space="preserve"> </w:t>
      </w:r>
      <w:r w:rsidR="002C2EC7" w:rsidRPr="0071774C">
        <w:t>and</w:t>
      </w:r>
      <w:r w:rsidR="002C2EC7">
        <w:t xml:space="preserve"> </w:t>
      </w:r>
      <w:r w:rsidR="002C2EC7" w:rsidRPr="0071774C">
        <w:t>legislative</w:t>
      </w:r>
      <w:r w:rsidR="002C2EC7">
        <w:t xml:space="preserve"> </w:t>
      </w:r>
      <w:r w:rsidR="002C2EC7" w:rsidRPr="0071774C">
        <w:t>reform</w:t>
      </w:r>
      <w:r w:rsidR="002C2EC7">
        <w:t xml:space="preserve"> </w:t>
      </w:r>
      <w:r w:rsidR="002C2EC7" w:rsidRPr="0071774C">
        <w:t>supports</w:t>
      </w:r>
      <w:r w:rsidR="002C2EC7">
        <w:t xml:space="preserve"> </w:t>
      </w:r>
      <w:r w:rsidR="002C2EC7" w:rsidRPr="0071774C">
        <w:t>long-term</w:t>
      </w:r>
      <w:r w:rsidR="002C2EC7">
        <w:t xml:space="preserve"> </w:t>
      </w:r>
      <w:r w:rsidR="002C2EC7" w:rsidRPr="0071774C">
        <w:t>actions</w:t>
      </w:r>
      <w:r w:rsidR="002C2EC7">
        <w:t xml:space="preserve"> </w:t>
      </w:r>
      <w:r w:rsidR="002C2EC7" w:rsidRPr="0071774C">
        <w:t>across</w:t>
      </w:r>
      <w:r w:rsidR="002C2EC7">
        <w:t xml:space="preserve"> </w:t>
      </w:r>
      <w:r w:rsidR="002C2EC7" w:rsidRPr="0071774C">
        <w:t>settings,</w:t>
      </w:r>
      <w:r w:rsidR="002C2EC7">
        <w:t xml:space="preserve"> </w:t>
      </w:r>
      <w:r w:rsidR="002C2EC7" w:rsidRPr="0071774C">
        <w:t>using</w:t>
      </w:r>
      <w:r w:rsidR="002C2EC7">
        <w:t xml:space="preserve"> </w:t>
      </w:r>
      <w:r w:rsidR="002C2EC7" w:rsidRPr="0071774C">
        <w:t>the</w:t>
      </w:r>
      <w:r w:rsidR="002C2EC7">
        <w:t xml:space="preserve"> </w:t>
      </w:r>
      <w:r w:rsidR="002C2EC7" w:rsidRPr="0071774C">
        <w:t>best</w:t>
      </w:r>
      <w:r w:rsidR="002C2EC7">
        <w:t xml:space="preserve"> </w:t>
      </w:r>
      <w:r w:rsidR="002C2EC7" w:rsidRPr="0071774C">
        <w:t>available</w:t>
      </w:r>
      <w:r w:rsidR="002C2EC7">
        <w:t xml:space="preserve"> </w:t>
      </w:r>
      <w:r w:rsidR="002C2EC7" w:rsidRPr="0071774C">
        <w:t>evidence</w:t>
      </w:r>
      <w:r w:rsidR="002C2EC7">
        <w:t xml:space="preserve"> </w:t>
      </w:r>
      <w:r w:rsidR="002C2EC7" w:rsidRPr="0071774C">
        <w:t>to</w:t>
      </w:r>
      <w:r w:rsidR="002C2EC7">
        <w:t xml:space="preserve"> </w:t>
      </w:r>
      <w:r w:rsidR="002C2EC7" w:rsidRPr="0071774C">
        <w:t>prevent</w:t>
      </w:r>
      <w:r w:rsidR="002C2EC7">
        <w:t xml:space="preserve"> </w:t>
      </w:r>
      <w:r w:rsidR="002C2EC7" w:rsidRPr="0071774C">
        <w:t>violence</w:t>
      </w:r>
      <w:r w:rsidR="002C2EC7">
        <w:t xml:space="preserve"> </w:t>
      </w:r>
      <w:r w:rsidR="002C2EC7" w:rsidRPr="0071774C">
        <w:t>against</w:t>
      </w:r>
      <w:r w:rsidR="002C2EC7">
        <w:t xml:space="preserve"> </w:t>
      </w:r>
      <w:r w:rsidR="002C2EC7" w:rsidRPr="0071774C">
        <w:t>women.</w:t>
      </w:r>
      <w:r w:rsidR="002C2EC7">
        <w:t xml:space="preserve"> </w:t>
      </w:r>
      <w:r w:rsidR="002C2EC7" w:rsidRPr="0071774C">
        <w:t>This</w:t>
      </w:r>
      <w:r w:rsidR="002C2EC7">
        <w:t xml:space="preserve"> </w:t>
      </w:r>
      <w:r w:rsidR="002C2EC7" w:rsidRPr="0071774C">
        <w:t>domain</w:t>
      </w:r>
      <w:r w:rsidR="002C2EC7">
        <w:t xml:space="preserve"> </w:t>
      </w:r>
      <w:r w:rsidR="002C2EC7" w:rsidRPr="0071774C">
        <w:t>intentionally</w:t>
      </w:r>
      <w:r w:rsidR="002C2EC7">
        <w:t xml:space="preserve"> </w:t>
      </w:r>
      <w:r w:rsidR="002C2EC7" w:rsidRPr="0071774C">
        <w:t>concentrates</w:t>
      </w:r>
      <w:r w:rsidR="002C2EC7">
        <w:t xml:space="preserve"> </w:t>
      </w:r>
      <w:r w:rsidR="002C2EC7" w:rsidRPr="0071774C">
        <w:t>on</w:t>
      </w:r>
      <w:r w:rsidR="002C2EC7">
        <w:t xml:space="preserve"> </w:t>
      </w:r>
      <w:r w:rsidR="002C2EC7" w:rsidRPr="0071774C">
        <w:t>policy</w:t>
      </w:r>
      <w:r w:rsidR="002C2EC7">
        <w:t xml:space="preserve"> </w:t>
      </w:r>
      <w:r w:rsidR="002C2EC7" w:rsidRPr="0071774C">
        <w:t>and</w:t>
      </w:r>
      <w:r w:rsidR="002C2EC7">
        <w:t xml:space="preserve"> </w:t>
      </w:r>
      <w:r w:rsidR="002C2EC7" w:rsidRPr="0071774C">
        <w:t>legislative</w:t>
      </w:r>
      <w:r w:rsidR="002C2EC7">
        <w:t xml:space="preserve"> </w:t>
      </w:r>
      <w:r w:rsidR="002C2EC7" w:rsidRPr="0071774C">
        <w:t>reforms</w:t>
      </w:r>
      <w:r w:rsidR="002C2EC7">
        <w:t xml:space="preserve"> </w:t>
      </w:r>
      <w:r w:rsidR="002C2EC7" w:rsidRPr="0071774C">
        <w:t>that</w:t>
      </w:r>
      <w:r w:rsidR="002C2EC7">
        <w:t xml:space="preserve"> </w:t>
      </w:r>
      <w:r w:rsidR="002C2EC7" w:rsidRPr="0071774C">
        <w:t>support</w:t>
      </w:r>
      <w:r w:rsidR="002C2EC7">
        <w:t xml:space="preserve"> </w:t>
      </w:r>
      <w:r w:rsidR="002C2EC7" w:rsidRPr="0071774C">
        <w:t>primary</w:t>
      </w:r>
      <w:r w:rsidR="002C2EC7">
        <w:t xml:space="preserve"> </w:t>
      </w:r>
      <w:r w:rsidR="002C2EC7" w:rsidRPr="0071774C">
        <w:t>prevention.</w:t>
      </w:r>
      <w:r w:rsidR="002C2EC7">
        <w:t xml:space="preserve"> </w:t>
      </w:r>
      <w:r w:rsidR="002C2EC7" w:rsidRPr="0071774C">
        <w:t>However,</w:t>
      </w:r>
      <w:r w:rsidR="002C2EC7">
        <w:t xml:space="preserve"> </w:t>
      </w:r>
      <w:r w:rsidR="002C2EC7" w:rsidRPr="0071774C">
        <w:t>it</w:t>
      </w:r>
      <w:r w:rsidR="002C2EC7">
        <w:t xml:space="preserve"> </w:t>
      </w:r>
      <w:r w:rsidR="002C2EC7" w:rsidRPr="0071774C">
        <w:t>is</w:t>
      </w:r>
      <w:r w:rsidR="002C2EC7">
        <w:t xml:space="preserve"> </w:t>
      </w:r>
      <w:r w:rsidR="002C2EC7" w:rsidRPr="0071774C">
        <w:t>of</w:t>
      </w:r>
      <w:r w:rsidR="002C2EC7">
        <w:t xml:space="preserve"> </w:t>
      </w:r>
      <w:r w:rsidR="002C2EC7" w:rsidRPr="0071774C">
        <w:t>course</w:t>
      </w:r>
      <w:r w:rsidR="002C2EC7">
        <w:t xml:space="preserve"> </w:t>
      </w:r>
      <w:r w:rsidR="002C2EC7" w:rsidRPr="0071774C">
        <w:t>the</w:t>
      </w:r>
      <w:r w:rsidR="002C2EC7">
        <w:t xml:space="preserve"> </w:t>
      </w:r>
      <w:r w:rsidR="002C2EC7" w:rsidRPr="0071774C">
        <w:t>case</w:t>
      </w:r>
      <w:r w:rsidR="002C2EC7">
        <w:t xml:space="preserve"> </w:t>
      </w:r>
      <w:r w:rsidR="002C2EC7" w:rsidRPr="0071774C">
        <w:t>that</w:t>
      </w:r>
      <w:r w:rsidR="002C2EC7">
        <w:t xml:space="preserve"> </w:t>
      </w:r>
      <w:r w:rsidR="002C2EC7" w:rsidRPr="0071774C">
        <w:t>a</w:t>
      </w:r>
      <w:r w:rsidR="002C2EC7">
        <w:t xml:space="preserve"> </w:t>
      </w:r>
      <w:r w:rsidR="002C2EC7" w:rsidRPr="0071774C">
        <w:t>holistic</w:t>
      </w:r>
      <w:r w:rsidR="002C2EC7">
        <w:t xml:space="preserve"> </w:t>
      </w:r>
      <w:r w:rsidR="002C2EC7" w:rsidRPr="0071774C">
        <w:t>approach</w:t>
      </w:r>
      <w:r w:rsidR="002C2EC7">
        <w:t xml:space="preserve"> </w:t>
      </w:r>
      <w:r w:rsidR="002C2EC7" w:rsidRPr="0071774C">
        <w:t>is</w:t>
      </w:r>
      <w:r w:rsidR="002C2EC7">
        <w:t xml:space="preserve"> </w:t>
      </w:r>
      <w:r w:rsidR="002C2EC7" w:rsidRPr="0071774C">
        <w:t>required,</w:t>
      </w:r>
      <w:r w:rsidR="002C2EC7">
        <w:t xml:space="preserve"> </w:t>
      </w:r>
      <w:r w:rsidR="002C2EC7" w:rsidRPr="0071774C">
        <w:t>with</w:t>
      </w:r>
      <w:r w:rsidR="002C2EC7">
        <w:t xml:space="preserve"> </w:t>
      </w:r>
      <w:r w:rsidR="002C2EC7" w:rsidRPr="0071774C">
        <w:t>appropriate</w:t>
      </w:r>
      <w:r w:rsidR="002C2EC7">
        <w:t xml:space="preserve"> </w:t>
      </w:r>
      <w:r w:rsidR="002C2EC7" w:rsidRPr="0071774C">
        <w:t>reform</w:t>
      </w:r>
      <w:r w:rsidR="002C2EC7">
        <w:t xml:space="preserve"> </w:t>
      </w:r>
      <w:r w:rsidR="002C2EC7" w:rsidRPr="0071774C">
        <w:t>to</w:t>
      </w:r>
      <w:r w:rsidR="002C2EC7">
        <w:t xml:space="preserve"> </w:t>
      </w:r>
      <w:r w:rsidR="002C2EC7" w:rsidRPr="0071774C">
        <w:t>support</w:t>
      </w:r>
      <w:r w:rsidR="002C2EC7">
        <w:t xml:space="preserve"> </w:t>
      </w:r>
      <w:r w:rsidR="002C2EC7" w:rsidRPr="0071774C">
        <w:t>primary,</w:t>
      </w:r>
      <w:r w:rsidR="002C2EC7">
        <w:t xml:space="preserve"> </w:t>
      </w:r>
      <w:r w:rsidR="002C2EC7" w:rsidRPr="0071774C">
        <w:t>secondary</w:t>
      </w:r>
      <w:r w:rsidR="002C2EC7">
        <w:t xml:space="preserve"> </w:t>
      </w:r>
      <w:r w:rsidR="002C2EC7" w:rsidRPr="0071774C">
        <w:t>and</w:t>
      </w:r>
      <w:r w:rsidR="002C2EC7">
        <w:t xml:space="preserve"> </w:t>
      </w:r>
      <w:r w:rsidR="002C2EC7" w:rsidRPr="0071774C">
        <w:t>tertiary</w:t>
      </w:r>
      <w:r w:rsidR="002C2EC7">
        <w:t xml:space="preserve"> </w:t>
      </w:r>
      <w:r w:rsidR="002C2EC7" w:rsidRPr="0071774C">
        <w:t>prevention</w:t>
      </w:r>
      <w:r w:rsidR="002C2EC7">
        <w:t xml:space="preserve"> </w:t>
      </w:r>
      <w:r w:rsidR="002C2EC7" w:rsidRPr="0071774C">
        <w:t>and</w:t>
      </w:r>
      <w:r w:rsidR="002C2EC7">
        <w:t xml:space="preserve"> </w:t>
      </w:r>
      <w:r w:rsidR="002C2EC7" w:rsidRPr="0071774C">
        <w:t>crisis</w:t>
      </w:r>
      <w:r w:rsidR="002C2EC7">
        <w:t xml:space="preserve"> </w:t>
      </w:r>
      <w:r w:rsidR="002C2EC7" w:rsidRPr="0071774C">
        <w:t>response.</w:t>
      </w:r>
      <w:r w:rsidR="002C2EC7">
        <w:t xml:space="preserve"> </w:t>
      </w:r>
      <w:r w:rsidR="002C2EC7" w:rsidRPr="0071774C">
        <w:t>More</w:t>
      </w:r>
      <w:r w:rsidR="002C2EC7">
        <w:t xml:space="preserve"> </w:t>
      </w:r>
      <w:r w:rsidR="002C2EC7" w:rsidRPr="0071774C">
        <w:t>broadly,</w:t>
      </w:r>
      <w:r w:rsidR="002C2EC7">
        <w:t xml:space="preserve"> </w:t>
      </w:r>
      <w:r w:rsidR="002C2EC7" w:rsidRPr="0071774C">
        <w:t>all</w:t>
      </w:r>
      <w:r w:rsidR="002C2EC7">
        <w:t xml:space="preserve"> </w:t>
      </w:r>
      <w:r w:rsidR="002C2EC7" w:rsidRPr="0071774C">
        <w:t>policy</w:t>
      </w:r>
      <w:r w:rsidR="002C2EC7">
        <w:t xml:space="preserve"> </w:t>
      </w:r>
      <w:r w:rsidR="002C2EC7" w:rsidRPr="0071774C">
        <w:t>and</w:t>
      </w:r>
      <w:r w:rsidR="002C2EC7">
        <w:t xml:space="preserve"> </w:t>
      </w:r>
      <w:r w:rsidR="002C2EC7" w:rsidRPr="0071774C">
        <w:t>legislation</w:t>
      </w:r>
      <w:r w:rsidR="002C2EC7">
        <w:t xml:space="preserve"> </w:t>
      </w:r>
      <w:r w:rsidR="002C2EC7" w:rsidRPr="0071774C">
        <w:t>has</w:t>
      </w:r>
      <w:r w:rsidR="002C2EC7">
        <w:t xml:space="preserve"> </w:t>
      </w:r>
      <w:r w:rsidR="002C2EC7" w:rsidRPr="0071774C">
        <w:t>the</w:t>
      </w:r>
      <w:r w:rsidR="002C2EC7">
        <w:t xml:space="preserve"> </w:t>
      </w:r>
      <w:r w:rsidR="002C2EC7" w:rsidRPr="0071774C">
        <w:t>potential</w:t>
      </w:r>
      <w:r w:rsidR="002C2EC7">
        <w:t xml:space="preserve"> </w:t>
      </w:r>
      <w:r w:rsidR="002C2EC7" w:rsidRPr="0071774C">
        <w:t>to</w:t>
      </w:r>
      <w:r w:rsidR="002C2EC7">
        <w:t xml:space="preserve"> </w:t>
      </w:r>
      <w:r w:rsidR="002C2EC7" w:rsidRPr="0071774C">
        <w:t>either</w:t>
      </w:r>
      <w:r w:rsidR="002C2EC7">
        <w:t xml:space="preserve"> </w:t>
      </w:r>
      <w:r w:rsidR="002C2EC7" w:rsidRPr="0071774C">
        <w:t>advance</w:t>
      </w:r>
      <w:r w:rsidR="002C2EC7">
        <w:t xml:space="preserve"> </w:t>
      </w:r>
      <w:r w:rsidR="002C2EC7" w:rsidRPr="0071774C">
        <w:t>or</w:t>
      </w:r>
      <w:r w:rsidR="002C2EC7">
        <w:t xml:space="preserve"> </w:t>
      </w:r>
      <w:r w:rsidR="002C2EC7" w:rsidRPr="0071774C">
        <w:t>hinder</w:t>
      </w:r>
      <w:r w:rsidR="002C2EC7">
        <w:t xml:space="preserve"> </w:t>
      </w:r>
      <w:r w:rsidR="002C2EC7" w:rsidRPr="0071774C">
        <w:t>progress</w:t>
      </w:r>
      <w:r w:rsidR="002C2EC7">
        <w:t xml:space="preserve"> </w:t>
      </w:r>
      <w:r w:rsidR="002C2EC7" w:rsidRPr="0071774C">
        <w:t>towards</w:t>
      </w:r>
      <w:r w:rsidR="002C2EC7">
        <w:t xml:space="preserve"> </w:t>
      </w:r>
      <w:r w:rsidR="002C2EC7" w:rsidRPr="0071774C">
        <w:t>gender</w:t>
      </w:r>
      <w:r w:rsidR="002C2EC7">
        <w:t xml:space="preserve"> </w:t>
      </w:r>
      <w:r w:rsidR="002C2EC7" w:rsidRPr="0071774C">
        <w:t>equality</w:t>
      </w:r>
      <w:r w:rsidR="007A5C97">
        <w:t xml:space="preserve">, so ideally a gender analysis would </w:t>
      </w:r>
      <w:r w:rsidR="00F31ED4">
        <w:t>be applied to these reform processes as a matter of course</w:t>
      </w:r>
      <w:r w:rsidR="002C2EC7" w:rsidRPr="0071774C">
        <w:t>.</w:t>
      </w:r>
    </w:p>
    <w:p w14:paraId="0BBACD37" w14:textId="6975DB5B" w:rsidR="002C2EC7" w:rsidRDefault="002C2EC7" w:rsidP="00790783">
      <w:pPr>
        <w:pStyle w:val="BodyText"/>
      </w:pPr>
      <w:r w:rsidRPr="0071774C">
        <w:t>The</w:t>
      </w:r>
      <w:r>
        <w:t xml:space="preserve"> </w:t>
      </w:r>
      <w:r w:rsidRPr="0071774C">
        <w:t>kinds</w:t>
      </w:r>
      <w:r>
        <w:t xml:space="preserve"> </w:t>
      </w:r>
      <w:r w:rsidRPr="0071774C">
        <w:t>of</w:t>
      </w:r>
      <w:r>
        <w:t xml:space="preserve"> </w:t>
      </w:r>
      <w:r w:rsidRPr="0071774C">
        <w:t>reform</w:t>
      </w:r>
      <w:r>
        <w:t xml:space="preserve"> </w:t>
      </w:r>
      <w:r w:rsidRPr="0071774C">
        <w:t>considered</w:t>
      </w:r>
      <w:r>
        <w:t xml:space="preserve"> </w:t>
      </w:r>
      <w:r w:rsidRPr="0071774C">
        <w:t>here</w:t>
      </w:r>
      <w:r>
        <w:t xml:space="preserve"> </w:t>
      </w:r>
      <w:r w:rsidRPr="0071774C">
        <w:t>are</w:t>
      </w:r>
      <w:r>
        <w:t xml:space="preserve"> </w:t>
      </w:r>
      <w:r w:rsidRPr="0071774C">
        <w:t>changes</w:t>
      </w:r>
      <w:r>
        <w:t xml:space="preserve"> </w:t>
      </w:r>
      <w:r w:rsidRPr="0071774C">
        <w:t>to</w:t>
      </w:r>
      <w:r>
        <w:t xml:space="preserve"> </w:t>
      </w:r>
      <w:r w:rsidRPr="0071774C">
        <w:t>policy</w:t>
      </w:r>
      <w:r>
        <w:t xml:space="preserve"> </w:t>
      </w:r>
      <w:r w:rsidRPr="0071774C">
        <w:t>and</w:t>
      </w:r>
      <w:r>
        <w:t xml:space="preserve"> </w:t>
      </w:r>
      <w:r w:rsidRPr="0071774C">
        <w:t>legislation</w:t>
      </w:r>
      <w:r>
        <w:t xml:space="preserve"> </w:t>
      </w:r>
      <w:r w:rsidRPr="0071774C">
        <w:t>that</w:t>
      </w:r>
      <w:r>
        <w:t xml:space="preserve"> </w:t>
      </w:r>
      <w:r w:rsidRPr="0071774C">
        <w:t>support</w:t>
      </w:r>
      <w:r>
        <w:t xml:space="preserve"> </w:t>
      </w:r>
      <w:r w:rsidRPr="0071774C">
        <w:t>redistribution</w:t>
      </w:r>
      <w:r>
        <w:t xml:space="preserve"> </w:t>
      </w:r>
      <w:r w:rsidRPr="0071774C">
        <w:t>of</w:t>
      </w:r>
      <w:r>
        <w:t xml:space="preserve"> </w:t>
      </w:r>
      <w:r w:rsidRPr="0071774C">
        <w:t>resources</w:t>
      </w:r>
      <w:r>
        <w:t xml:space="preserve"> </w:t>
      </w:r>
      <w:r w:rsidRPr="0071774C">
        <w:t>and</w:t>
      </w:r>
      <w:r>
        <w:t xml:space="preserve"> </w:t>
      </w:r>
      <w:r w:rsidRPr="0071774C">
        <w:t>responsibilities,</w:t>
      </w:r>
      <w:r>
        <w:t xml:space="preserve"> </w:t>
      </w:r>
      <w:r w:rsidRPr="0071774C">
        <w:t>and</w:t>
      </w:r>
      <w:r>
        <w:t xml:space="preserve"> </w:t>
      </w:r>
      <w:r w:rsidRPr="0071774C">
        <w:t>transformation</w:t>
      </w:r>
      <w:r>
        <w:t xml:space="preserve"> </w:t>
      </w:r>
      <w:r w:rsidRPr="0071774C">
        <w:t>of</w:t>
      </w:r>
      <w:r>
        <w:t xml:space="preserve"> </w:t>
      </w:r>
      <w:r w:rsidRPr="0071774C">
        <w:t>the</w:t>
      </w:r>
      <w:r w:rsidR="006C6CFA">
        <w:t xml:space="preserve"> </w:t>
      </w:r>
      <w:r w:rsidRPr="0071774C">
        <w:t>underlying</w:t>
      </w:r>
      <w:r>
        <w:t xml:space="preserve"> </w:t>
      </w:r>
      <w:r w:rsidRPr="0071774C">
        <w:t>causes</w:t>
      </w:r>
      <w:r>
        <w:t xml:space="preserve"> </w:t>
      </w:r>
      <w:r w:rsidRPr="0071774C">
        <w:t>and</w:t>
      </w:r>
      <w:r>
        <w:t xml:space="preserve"> </w:t>
      </w:r>
      <w:r w:rsidRPr="0071774C">
        <w:t>structures</w:t>
      </w:r>
      <w:r>
        <w:t xml:space="preserve"> </w:t>
      </w:r>
      <w:r w:rsidRPr="0071774C">
        <w:t>of</w:t>
      </w:r>
      <w:r>
        <w:t xml:space="preserve"> </w:t>
      </w:r>
      <w:r w:rsidRPr="0071774C">
        <w:t>gender</w:t>
      </w:r>
      <w:r>
        <w:t xml:space="preserve"> </w:t>
      </w:r>
      <w:r w:rsidRPr="0071774C">
        <w:t>inequality.</w:t>
      </w:r>
      <w:r>
        <w:t xml:space="preserve"> </w:t>
      </w:r>
      <w:r w:rsidR="00C834CB" w:rsidRPr="00C834CB">
        <w:t xml:space="preserve">This includes explicitly attending to the differential impacts that policy and legislative reforms may have as a result of intersecting forms of oppression or privilege, although not all these </w:t>
      </w:r>
      <w:r w:rsidR="00600B32" w:rsidRPr="00600B32">
        <w:t>aspects</w:t>
      </w:r>
      <w:r w:rsidR="00600B32">
        <w:t xml:space="preserve"> </w:t>
      </w:r>
      <w:r w:rsidR="00C834CB" w:rsidRPr="00C834CB">
        <w:t>have been captured here and suggestions are made for enhancing this focus in future monitoring reports.</w:t>
      </w:r>
    </w:p>
    <w:p w14:paraId="185F7EEA" w14:textId="5EE3FC84" w:rsidR="002C2EC7" w:rsidRDefault="002C2EC7" w:rsidP="00790783">
      <w:pPr>
        <w:pStyle w:val="BodyText"/>
      </w:pPr>
      <w:r w:rsidRPr="0071774C">
        <w:t>This</w:t>
      </w:r>
      <w:r>
        <w:t xml:space="preserve"> </w:t>
      </w:r>
      <w:r w:rsidRPr="0071774C">
        <w:t>domain</w:t>
      </w:r>
      <w:r>
        <w:t xml:space="preserve"> </w:t>
      </w:r>
      <w:r w:rsidRPr="0071774C">
        <w:t>is</w:t>
      </w:r>
      <w:r>
        <w:t xml:space="preserve"> </w:t>
      </w:r>
      <w:r w:rsidRPr="0071774C">
        <w:t>not</w:t>
      </w:r>
      <w:r>
        <w:t xml:space="preserve"> </w:t>
      </w:r>
      <w:r w:rsidRPr="0071774C">
        <w:t>a</w:t>
      </w:r>
      <w:r>
        <w:t xml:space="preserve"> </w:t>
      </w:r>
      <w:r w:rsidRPr="0071774C">
        <w:t>comprehensive</w:t>
      </w:r>
      <w:r>
        <w:t xml:space="preserve"> </w:t>
      </w:r>
      <w:r w:rsidRPr="0071774C">
        <w:t>analysis</w:t>
      </w:r>
      <w:r>
        <w:t xml:space="preserve"> </w:t>
      </w:r>
      <w:r w:rsidRPr="0071774C">
        <w:t>of</w:t>
      </w:r>
      <w:r>
        <w:t xml:space="preserve"> </w:t>
      </w:r>
      <w:r w:rsidRPr="0071774C">
        <w:t>all</w:t>
      </w:r>
      <w:r>
        <w:t xml:space="preserve"> </w:t>
      </w:r>
      <w:r w:rsidRPr="0071774C">
        <w:t>the</w:t>
      </w:r>
      <w:r>
        <w:t xml:space="preserve"> </w:t>
      </w:r>
      <w:r w:rsidRPr="0071774C">
        <w:t>possible</w:t>
      </w:r>
      <w:r>
        <w:t xml:space="preserve"> </w:t>
      </w:r>
      <w:r w:rsidRPr="0071774C">
        <w:t>policy</w:t>
      </w:r>
      <w:r>
        <w:t xml:space="preserve"> </w:t>
      </w:r>
      <w:r w:rsidRPr="0071774C">
        <w:t>and</w:t>
      </w:r>
      <w:r>
        <w:t xml:space="preserve"> </w:t>
      </w:r>
      <w:r w:rsidRPr="0071774C">
        <w:t>legislative</w:t>
      </w:r>
      <w:r>
        <w:t xml:space="preserve"> </w:t>
      </w:r>
      <w:r w:rsidRPr="0071774C">
        <w:t>reforms</w:t>
      </w:r>
      <w:r>
        <w:t xml:space="preserve"> </w:t>
      </w:r>
      <w:r w:rsidRPr="0071774C">
        <w:t>associated</w:t>
      </w:r>
      <w:r>
        <w:t xml:space="preserve"> </w:t>
      </w:r>
      <w:r w:rsidRPr="0071774C">
        <w:t>with</w:t>
      </w:r>
      <w:r>
        <w:t xml:space="preserve"> </w:t>
      </w:r>
      <w:r w:rsidRPr="0071774C">
        <w:t>the</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but</w:t>
      </w:r>
      <w:r>
        <w:t xml:space="preserve"> </w:t>
      </w:r>
      <w:r w:rsidRPr="0071774C">
        <w:t>rather</w:t>
      </w:r>
      <w:r>
        <w:t xml:space="preserve"> </w:t>
      </w:r>
      <w:r w:rsidRPr="0071774C">
        <w:t>a</w:t>
      </w:r>
      <w:r>
        <w:t xml:space="preserve"> </w:t>
      </w:r>
      <w:r w:rsidRPr="0071774C">
        <w:t>broad</w:t>
      </w:r>
      <w:r>
        <w:t xml:space="preserve"> </w:t>
      </w:r>
      <w:r w:rsidRPr="0071774C">
        <w:t>overview</w:t>
      </w:r>
      <w:r>
        <w:t xml:space="preserve"> </w:t>
      </w:r>
      <w:r w:rsidRPr="0071774C">
        <w:t>of</w:t>
      </w:r>
      <w:r w:rsidR="006C6CFA">
        <w:t> </w:t>
      </w:r>
      <w:r w:rsidRPr="0071774C">
        <w:t>some</w:t>
      </w:r>
      <w:r>
        <w:t xml:space="preserve"> </w:t>
      </w:r>
      <w:r w:rsidRPr="0071774C">
        <w:t>reforms</w:t>
      </w:r>
      <w:r>
        <w:t xml:space="preserve"> </w:t>
      </w:r>
      <w:r w:rsidRPr="0071774C">
        <w:t>that</w:t>
      </w:r>
      <w:r>
        <w:t xml:space="preserve"> </w:t>
      </w:r>
      <w:r w:rsidRPr="0071774C">
        <w:t>have</w:t>
      </w:r>
      <w:r>
        <w:t xml:space="preserve"> </w:t>
      </w:r>
      <w:r w:rsidRPr="0071774C">
        <w:t>taken</w:t>
      </w:r>
      <w:r>
        <w:t xml:space="preserve"> </w:t>
      </w:r>
      <w:r w:rsidRPr="0071774C">
        <w:t>place</w:t>
      </w:r>
      <w:r>
        <w:t xml:space="preserve"> </w:t>
      </w:r>
      <w:r w:rsidRPr="0071774C">
        <w:t>between</w:t>
      </w:r>
      <w:r>
        <w:t xml:space="preserve"> </w:t>
      </w:r>
      <w:r w:rsidRPr="0071774C">
        <w:t>2009</w:t>
      </w:r>
      <w:r>
        <w:t xml:space="preserve"> </w:t>
      </w:r>
      <w:r w:rsidRPr="0071774C">
        <w:t>and</w:t>
      </w:r>
      <w:r>
        <w:t xml:space="preserve"> </w:t>
      </w:r>
      <w:r w:rsidRPr="0071774C">
        <w:t>2019.</w:t>
      </w:r>
      <w:r>
        <w:t xml:space="preserve"> </w:t>
      </w:r>
      <w:r w:rsidRPr="0071774C">
        <w:t>It</w:t>
      </w:r>
      <w:r>
        <w:t xml:space="preserve"> </w:t>
      </w:r>
      <w:r w:rsidRPr="0071774C">
        <w:t>is</w:t>
      </w:r>
      <w:r>
        <w:t xml:space="preserve"> </w:t>
      </w:r>
      <w:r w:rsidRPr="0071774C">
        <w:t>also</w:t>
      </w:r>
      <w:r>
        <w:t xml:space="preserve"> </w:t>
      </w:r>
      <w:r w:rsidRPr="0071774C">
        <w:t>important</w:t>
      </w:r>
      <w:r>
        <w:t xml:space="preserve"> </w:t>
      </w:r>
      <w:r w:rsidRPr="0071774C">
        <w:t>to</w:t>
      </w:r>
      <w:r>
        <w:t xml:space="preserve"> </w:t>
      </w:r>
      <w:r w:rsidRPr="0071774C">
        <w:t>acknowledge</w:t>
      </w:r>
      <w:r>
        <w:t xml:space="preserve"> </w:t>
      </w:r>
      <w:r w:rsidRPr="0071774C">
        <w:t>that</w:t>
      </w:r>
      <w:r>
        <w:t xml:space="preserve"> </w:t>
      </w:r>
      <w:r w:rsidRPr="0071774C">
        <w:t>reform</w:t>
      </w:r>
      <w:r>
        <w:t xml:space="preserve"> </w:t>
      </w:r>
      <w:r w:rsidRPr="0071774C">
        <w:t>undertaken</w:t>
      </w:r>
      <w:r>
        <w:t xml:space="preserve"> </w:t>
      </w:r>
      <w:r w:rsidRPr="0071774C">
        <w:t>during</w:t>
      </w:r>
      <w:r>
        <w:t xml:space="preserve"> </w:t>
      </w:r>
      <w:r w:rsidRPr="0071774C">
        <w:t>this</w:t>
      </w:r>
      <w:r>
        <w:t xml:space="preserve"> </w:t>
      </w:r>
      <w:r w:rsidRPr="0071774C">
        <w:t>period</w:t>
      </w:r>
      <w:r>
        <w:t xml:space="preserve"> </w:t>
      </w:r>
      <w:r w:rsidRPr="0071774C">
        <w:t>is</w:t>
      </w:r>
      <w:r>
        <w:t xml:space="preserve"> </w:t>
      </w:r>
      <w:r w:rsidRPr="0071774C">
        <w:t>part</w:t>
      </w:r>
      <w:r>
        <w:t xml:space="preserve"> </w:t>
      </w:r>
      <w:r w:rsidRPr="0071774C">
        <w:t>of</w:t>
      </w:r>
      <w:r>
        <w:t xml:space="preserve"> </w:t>
      </w:r>
      <w:r w:rsidRPr="0071774C">
        <w:t>a</w:t>
      </w:r>
      <w:r>
        <w:t xml:space="preserve"> </w:t>
      </w:r>
      <w:r w:rsidRPr="0071774C">
        <w:t>longer</w:t>
      </w:r>
      <w:r>
        <w:t xml:space="preserve"> </w:t>
      </w:r>
      <w:r w:rsidRPr="0071774C">
        <w:t>social</w:t>
      </w:r>
      <w:r>
        <w:t xml:space="preserve"> </w:t>
      </w:r>
      <w:r w:rsidRPr="0071774C">
        <w:t>change</w:t>
      </w:r>
      <w:r>
        <w:t xml:space="preserve"> </w:t>
      </w:r>
      <w:r w:rsidRPr="0071774C">
        <w:t>process</w:t>
      </w:r>
      <w:r>
        <w:t xml:space="preserve"> </w:t>
      </w:r>
      <w:r w:rsidRPr="0071774C">
        <w:t>and</w:t>
      </w:r>
      <w:r>
        <w:t xml:space="preserve"> </w:t>
      </w:r>
      <w:r w:rsidRPr="0071774C">
        <w:t>in</w:t>
      </w:r>
      <w:r>
        <w:t xml:space="preserve"> </w:t>
      </w:r>
      <w:r w:rsidRPr="0071774C">
        <w:t>many</w:t>
      </w:r>
      <w:r>
        <w:t xml:space="preserve"> </w:t>
      </w:r>
      <w:r w:rsidRPr="0071774C">
        <w:t>instances</w:t>
      </w:r>
      <w:r>
        <w:t xml:space="preserve"> </w:t>
      </w:r>
      <w:r w:rsidRPr="0071774C">
        <w:t>was</w:t>
      </w:r>
      <w:r>
        <w:t xml:space="preserve"> </w:t>
      </w:r>
      <w:r w:rsidRPr="0071774C">
        <w:t>the</w:t>
      </w:r>
      <w:r>
        <w:t xml:space="preserve"> </w:t>
      </w:r>
      <w:r w:rsidRPr="0071774C">
        <w:t>product</w:t>
      </w:r>
      <w:r>
        <w:t xml:space="preserve"> </w:t>
      </w:r>
      <w:r w:rsidRPr="0071774C">
        <w:t>of</w:t>
      </w:r>
      <w:r>
        <w:t xml:space="preserve"> </w:t>
      </w:r>
      <w:r w:rsidRPr="0071774C">
        <w:t>decades-long</w:t>
      </w:r>
      <w:r>
        <w:t xml:space="preserve"> </w:t>
      </w:r>
      <w:r w:rsidRPr="0071774C">
        <w:t>civil</w:t>
      </w:r>
      <w:r>
        <w:t xml:space="preserve"> </w:t>
      </w:r>
      <w:r w:rsidRPr="0071774C">
        <w:t>society</w:t>
      </w:r>
      <w:r>
        <w:t xml:space="preserve"> </w:t>
      </w:r>
      <w:r w:rsidRPr="0071774C">
        <w:t>advocacy.</w:t>
      </w:r>
    </w:p>
    <w:p w14:paraId="229498DF" w14:textId="77777777" w:rsidR="002C2EC7" w:rsidRPr="00FB7F22" w:rsidRDefault="002C2EC7" w:rsidP="00790783">
      <w:pPr>
        <w:pStyle w:val="Heading4"/>
        <w:rPr>
          <w:rStyle w:val="OWCharacterCharcoal"/>
        </w:rPr>
      </w:pPr>
      <w:bookmarkStart w:id="35" w:name="_Toc41559717"/>
      <w:r w:rsidRPr="00FB7F22">
        <w:rPr>
          <w:rStyle w:val="OWCharacterCharcoal"/>
        </w:rPr>
        <w:t>Policy and legislative reform: summary of findings</w:t>
      </w:r>
      <w:bookmarkEnd w:id="35"/>
    </w:p>
    <w:p w14:paraId="39B96FE4" w14:textId="09D0FF5D" w:rsidR="002C2EC7" w:rsidRDefault="002C2EC7" w:rsidP="00790783">
      <w:pPr>
        <w:pStyle w:val="BodyText"/>
      </w:pPr>
      <w:r w:rsidRPr="0071774C">
        <w:t>The</w:t>
      </w:r>
      <w:r>
        <w:t xml:space="preserve"> </w:t>
      </w:r>
      <w:r w:rsidRPr="0071774C">
        <w:t>Australian</w:t>
      </w:r>
      <w:r>
        <w:t xml:space="preserve"> </w:t>
      </w:r>
      <w:r w:rsidRPr="0071774C">
        <w:t>policy</w:t>
      </w:r>
      <w:r>
        <w:t xml:space="preserve"> </w:t>
      </w:r>
      <w:r w:rsidRPr="0071774C">
        <w:t>landscape</w:t>
      </w:r>
      <w:r>
        <w:t xml:space="preserve"> </w:t>
      </w:r>
      <w:r w:rsidRPr="0071774C">
        <w:t>shows</w:t>
      </w:r>
      <w:r>
        <w:t xml:space="preserve"> </w:t>
      </w:r>
      <w:r w:rsidRPr="0071774C">
        <w:t>evidence</w:t>
      </w:r>
      <w:r>
        <w:t xml:space="preserve"> </w:t>
      </w:r>
      <w:r w:rsidRPr="0071774C">
        <w:t>of</w:t>
      </w:r>
      <w:r>
        <w:t xml:space="preserve"> </w:t>
      </w:r>
      <w:r w:rsidRPr="0071774C">
        <w:t>progress</w:t>
      </w:r>
      <w:r>
        <w:t xml:space="preserve"> </w:t>
      </w:r>
      <w:r w:rsidRPr="0071774C">
        <w:t>in</w:t>
      </w:r>
      <w:r>
        <w:t xml:space="preserve"> </w:t>
      </w:r>
      <w:r w:rsidRPr="0071774C">
        <w:t>some</w:t>
      </w:r>
      <w:r>
        <w:t xml:space="preserve"> </w:t>
      </w:r>
      <w:r w:rsidRPr="0071774C">
        <w:t>aspects</w:t>
      </w:r>
      <w:r>
        <w:t xml:space="preserve"> </w:t>
      </w:r>
      <w:r w:rsidRPr="0071774C">
        <w:t>of</w:t>
      </w:r>
      <w:r>
        <w:t xml:space="preserve"> </w:t>
      </w:r>
      <w:r w:rsidRPr="0071774C">
        <w:t>policy</w:t>
      </w:r>
      <w:r>
        <w:t xml:space="preserve"> </w:t>
      </w:r>
      <w:r w:rsidRPr="0071774C">
        <w:t>development</w:t>
      </w:r>
      <w:r>
        <w:t xml:space="preserve"> </w:t>
      </w:r>
      <w:r w:rsidRPr="0071774C">
        <w:t>in</w:t>
      </w:r>
      <w:r>
        <w:t xml:space="preserve"> </w:t>
      </w:r>
      <w:r w:rsidRPr="0071774C">
        <w:t>relation</w:t>
      </w:r>
      <w:r>
        <w:t xml:space="preserve"> </w:t>
      </w:r>
      <w:r w:rsidRPr="0071774C">
        <w:t>to</w:t>
      </w:r>
      <w:r>
        <w:t xml:space="preserve"> </w:t>
      </w:r>
      <w:r w:rsidRPr="0071774C">
        <w:t>the</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National,</w:t>
      </w:r>
      <w:r>
        <w:t xml:space="preserve"> </w:t>
      </w:r>
      <w:r w:rsidRPr="0071774C">
        <w:t>state,</w:t>
      </w:r>
      <w:r>
        <w:t xml:space="preserve"> </w:t>
      </w:r>
      <w:r w:rsidRPr="0071774C">
        <w:t>territory</w:t>
      </w:r>
      <w:r>
        <w:t xml:space="preserve"> </w:t>
      </w:r>
      <w:r w:rsidRPr="0071774C">
        <w:t>and</w:t>
      </w:r>
      <w:r>
        <w:t xml:space="preserve"> </w:t>
      </w:r>
      <w:r w:rsidRPr="0071774C">
        <w:t>some</w:t>
      </w:r>
      <w:r>
        <w:t xml:space="preserve"> </w:t>
      </w:r>
      <w:r w:rsidRPr="0071774C">
        <w:t>local</w:t>
      </w:r>
      <w:r>
        <w:t xml:space="preserve"> </w:t>
      </w:r>
      <w:r w:rsidRPr="0071774C">
        <w:t>governments</w:t>
      </w:r>
      <w:r>
        <w:t xml:space="preserve"> </w:t>
      </w:r>
      <w:r w:rsidRPr="0071774C">
        <w:t>have</w:t>
      </w:r>
      <w:r>
        <w:t xml:space="preserve"> </w:t>
      </w:r>
      <w:r w:rsidRPr="0071774C">
        <w:t>developed</w:t>
      </w:r>
      <w:r>
        <w:t xml:space="preserve"> </w:t>
      </w:r>
      <w:r w:rsidRPr="0071774C">
        <w:t>policies,</w:t>
      </w:r>
      <w:r>
        <w:t xml:space="preserve"> </w:t>
      </w:r>
      <w:r w:rsidRPr="0071774C">
        <w:t>strategies</w:t>
      </w:r>
      <w:r>
        <w:t xml:space="preserve"> </w:t>
      </w:r>
      <w:r w:rsidRPr="0071774C">
        <w:t>and</w:t>
      </w:r>
      <w:r>
        <w:t xml:space="preserve"> </w:t>
      </w:r>
      <w:r w:rsidRPr="0071774C">
        <w:t>action</w:t>
      </w:r>
      <w:r>
        <w:t xml:space="preserve"> </w:t>
      </w:r>
      <w:r w:rsidRPr="0071774C">
        <w:t>plans</w:t>
      </w:r>
      <w:r>
        <w:t xml:space="preserve"> </w:t>
      </w:r>
      <w:r w:rsidRPr="0071774C">
        <w:t>that</w:t>
      </w:r>
      <w:r>
        <w:t xml:space="preserve"> </w:t>
      </w:r>
      <w:r w:rsidRPr="0071774C">
        <w:t>prioritise</w:t>
      </w:r>
      <w:r>
        <w:t xml:space="preserve"> </w:t>
      </w:r>
      <w:r w:rsidRPr="0071774C">
        <w:t>or</w:t>
      </w:r>
      <w:r>
        <w:t xml:space="preserve"> </w:t>
      </w:r>
      <w:r w:rsidRPr="0071774C">
        <w:t>include</w:t>
      </w:r>
      <w:r>
        <w:t xml:space="preserve"> </w:t>
      </w:r>
      <w:r w:rsidRPr="0071774C">
        <w:t>the</w:t>
      </w:r>
      <w:r>
        <w:t xml:space="preserve"> </w:t>
      </w:r>
      <w:r w:rsidRPr="0071774C">
        <w:t>primary</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For</w:t>
      </w:r>
      <w:r>
        <w:t xml:space="preserve"> </w:t>
      </w:r>
      <w:r w:rsidRPr="0071774C">
        <w:t>the</w:t>
      </w:r>
      <w:r>
        <w:t xml:space="preserve"> </w:t>
      </w:r>
      <w:r w:rsidRPr="0071774C">
        <w:t>most</w:t>
      </w:r>
      <w:r>
        <w:t xml:space="preserve"> </w:t>
      </w:r>
      <w:r w:rsidRPr="0071774C">
        <w:t>part,</w:t>
      </w:r>
      <w:r>
        <w:t xml:space="preserve"> </w:t>
      </w:r>
      <w:r w:rsidRPr="0071774C">
        <w:t>these</w:t>
      </w:r>
      <w:r>
        <w:t xml:space="preserve"> </w:t>
      </w:r>
      <w:r w:rsidRPr="0071774C">
        <w:t>policy</w:t>
      </w:r>
      <w:r>
        <w:t xml:space="preserve"> </w:t>
      </w:r>
      <w:r w:rsidRPr="0071774C">
        <w:t>documents</w:t>
      </w:r>
      <w:r>
        <w:t xml:space="preserve"> </w:t>
      </w:r>
      <w:r w:rsidRPr="0071774C">
        <w:t>use</w:t>
      </w:r>
      <w:r>
        <w:t xml:space="preserve"> </w:t>
      </w:r>
      <w:r w:rsidRPr="0071774C">
        <w:t>shared</w:t>
      </w:r>
      <w:r>
        <w:t xml:space="preserve"> </w:t>
      </w:r>
      <w:r w:rsidRPr="0071774C">
        <w:t>language</w:t>
      </w:r>
      <w:r>
        <w:t xml:space="preserve"> </w:t>
      </w:r>
      <w:r w:rsidRPr="0071774C">
        <w:t>to</w:t>
      </w:r>
      <w:r>
        <w:t xml:space="preserve"> </w:t>
      </w:r>
      <w:r w:rsidRPr="0071774C">
        <w:t>refer</w:t>
      </w:r>
      <w:r>
        <w:t xml:space="preserve"> </w:t>
      </w:r>
      <w:r w:rsidRPr="0071774C">
        <w:t>to</w:t>
      </w:r>
      <w:r>
        <w:t xml:space="preserve"> </w:t>
      </w:r>
      <w:r w:rsidRPr="0071774C">
        <w:t>primary</w:t>
      </w:r>
      <w:r>
        <w:t xml:space="preserve"> </w:t>
      </w:r>
      <w:r w:rsidRPr="0071774C">
        <w:t>prevention</w:t>
      </w:r>
      <w:r>
        <w:t xml:space="preserve"> </w:t>
      </w:r>
      <w:r w:rsidRPr="0071774C">
        <w:t>and</w:t>
      </w:r>
      <w:r>
        <w:t xml:space="preserve"> </w:t>
      </w:r>
      <w:r w:rsidRPr="0071774C">
        <w:t>draw</w:t>
      </w:r>
      <w:r>
        <w:t xml:space="preserve"> </w:t>
      </w:r>
      <w:r w:rsidRPr="0071774C">
        <w:t>on</w:t>
      </w:r>
      <w:r>
        <w:t xml:space="preserve"> </w:t>
      </w:r>
      <w:r w:rsidRPr="0071774C">
        <w:t>(at</w:t>
      </w:r>
      <w:r>
        <w:t xml:space="preserve"> </w:t>
      </w:r>
      <w:r w:rsidRPr="0071774C">
        <w:t>least</w:t>
      </w:r>
      <w:r>
        <w:t xml:space="preserve"> </w:t>
      </w:r>
      <w:r w:rsidRPr="0071774C">
        <w:t>some</w:t>
      </w:r>
      <w:r>
        <w:t xml:space="preserve"> </w:t>
      </w:r>
      <w:r w:rsidRPr="0071774C">
        <w:t>aspects</w:t>
      </w:r>
      <w:r>
        <w:t xml:space="preserve"> </w:t>
      </w:r>
      <w:r w:rsidRPr="0071774C">
        <w:t>of)</w:t>
      </w:r>
      <w:r>
        <w:t xml:space="preserve"> </w:t>
      </w:r>
      <w:r w:rsidRPr="0071774C">
        <w:t>the</w:t>
      </w:r>
      <w:r>
        <w:t xml:space="preserve"> </w:t>
      </w:r>
      <w:r w:rsidRPr="0071774C">
        <w:t>evidence-based</w:t>
      </w:r>
      <w:r>
        <w:t xml:space="preserve"> </w:t>
      </w:r>
      <w:r w:rsidRPr="0071774C">
        <w:t>national</w:t>
      </w:r>
      <w:r>
        <w:t xml:space="preserve"> </w:t>
      </w:r>
      <w:r w:rsidRPr="0071774C">
        <w:t>framework,</w:t>
      </w:r>
      <w:r w:rsidRPr="0071774C">
        <w:rPr>
          <w:rStyle w:val="EndnoteReference"/>
          <w:szCs w:val="22"/>
        </w:rPr>
        <w:endnoteReference w:id="52"/>
      </w:r>
      <w:r>
        <w:t xml:space="preserve"> </w:t>
      </w:r>
      <w:r w:rsidRPr="0071774C">
        <w:t>thereby</w:t>
      </w:r>
      <w:r>
        <w:t xml:space="preserve"> </w:t>
      </w:r>
      <w:r w:rsidRPr="0071774C">
        <w:t>providing</w:t>
      </w:r>
      <w:r>
        <w:t xml:space="preserve"> </w:t>
      </w:r>
      <w:r w:rsidRPr="0071774C">
        <w:t>some</w:t>
      </w:r>
      <w:r>
        <w:t xml:space="preserve"> </w:t>
      </w:r>
      <w:r w:rsidRPr="0071774C">
        <w:t>early</w:t>
      </w:r>
      <w:r>
        <w:t xml:space="preserve"> </w:t>
      </w:r>
      <w:r w:rsidRPr="0071774C">
        <w:t>foundations</w:t>
      </w:r>
      <w:r>
        <w:t xml:space="preserve"> </w:t>
      </w:r>
      <w:r w:rsidRPr="0071774C">
        <w:t>for</w:t>
      </w:r>
      <w:r>
        <w:t xml:space="preserve"> </w:t>
      </w:r>
      <w:r w:rsidRPr="0071774C">
        <w:t>coordinated</w:t>
      </w:r>
      <w:r>
        <w:t xml:space="preserve"> </w:t>
      </w:r>
      <w:r w:rsidRPr="0071774C">
        <w:t>and</w:t>
      </w:r>
      <w:r>
        <w:t xml:space="preserve"> </w:t>
      </w:r>
      <w:r w:rsidRPr="0071774C">
        <w:t>mutually</w:t>
      </w:r>
      <w:r>
        <w:t xml:space="preserve"> </w:t>
      </w:r>
      <w:r w:rsidRPr="0071774C">
        <w:t>reinforcing</w:t>
      </w:r>
      <w:r>
        <w:t xml:space="preserve"> </w:t>
      </w:r>
      <w:r w:rsidRPr="0071774C">
        <w:t>reforms.</w:t>
      </w:r>
      <w:r>
        <w:t xml:space="preserve"> </w:t>
      </w:r>
      <w:r w:rsidRPr="0071774C">
        <w:t>However,</w:t>
      </w:r>
      <w:r>
        <w:t xml:space="preserve"> </w:t>
      </w:r>
      <w:r w:rsidRPr="0071774C">
        <w:t>while</w:t>
      </w:r>
      <w:r>
        <w:t xml:space="preserve"> </w:t>
      </w:r>
      <w:r w:rsidRPr="0071774C">
        <w:t>these</w:t>
      </w:r>
      <w:r>
        <w:t xml:space="preserve"> </w:t>
      </w:r>
      <w:r w:rsidRPr="0071774C">
        <w:t>overarching</w:t>
      </w:r>
      <w:r>
        <w:t xml:space="preserve"> </w:t>
      </w:r>
      <w:r w:rsidRPr="0071774C">
        <w:t>policy</w:t>
      </w:r>
      <w:r>
        <w:t xml:space="preserve"> </w:t>
      </w:r>
      <w:r w:rsidRPr="0071774C">
        <w:t>documents</w:t>
      </w:r>
      <w:r>
        <w:t xml:space="preserve"> </w:t>
      </w:r>
      <w:r w:rsidRPr="0071774C">
        <w:t>provide</w:t>
      </w:r>
      <w:r>
        <w:t xml:space="preserve"> </w:t>
      </w:r>
      <w:r w:rsidRPr="0071774C">
        <w:t>the</w:t>
      </w:r>
      <w:r>
        <w:t xml:space="preserve"> </w:t>
      </w:r>
      <w:r w:rsidRPr="0071774C">
        <w:t>opportunity</w:t>
      </w:r>
      <w:r>
        <w:t xml:space="preserve"> </w:t>
      </w:r>
      <w:r w:rsidRPr="0071774C">
        <w:t>for</w:t>
      </w:r>
      <w:r>
        <w:t xml:space="preserve"> </w:t>
      </w:r>
      <w:r w:rsidRPr="0071774C">
        <w:t>ongoing</w:t>
      </w:r>
      <w:r>
        <w:t xml:space="preserve"> </w:t>
      </w:r>
      <w:r w:rsidRPr="0071774C">
        <w:t>investment</w:t>
      </w:r>
      <w:r>
        <w:t xml:space="preserve"> </w:t>
      </w:r>
      <w:r w:rsidRPr="0071774C">
        <w:t>and</w:t>
      </w:r>
      <w:r>
        <w:t xml:space="preserve"> </w:t>
      </w:r>
      <w:r w:rsidRPr="0071774C">
        <w:t>effort</w:t>
      </w:r>
      <w:r>
        <w:t xml:space="preserve"> </w:t>
      </w:r>
      <w:r w:rsidRPr="0071774C">
        <w:t>in</w:t>
      </w:r>
      <w:r>
        <w:t xml:space="preserve"> </w:t>
      </w:r>
      <w:r w:rsidRPr="0071774C">
        <w:t>primary</w:t>
      </w:r>
      <w:r>
        <w:t xml:space="preserve"> </w:t>
      </w:r>
      <w:r w:rsidRPr="0071774C">
        <w:t>prevention</w:t>
      </w:r>
      <w:r>
        <w:t xml:space="preserve"> </w:t>
      </w:r>
      <w:r w:rsidRPr="0071774C">
        <w:t>over</w:t>
      </w:r>
      <w:r>
        <w:t xml:space="preserve"> </w:t>
      </w:r>
      <w:r w:rsidRPr="0071774C">
        <w:t>time,</w:t>
      </w:r>
      <w:r>
        <w:t xml:space="preserve"> </w:t>
      </w:r>
      <w:r w:rsidRPr="0071774C">
        <w:t>in</w:t>
      </w:r>
      <w:r>
        <w:t xml:space="preserve"> </w:t>
      </w:r>
      <w:r w:rsidRPr="0071774C">
        <w:t>many</w:t>
      </w:r>
      <w:r>
        <w:t xml:space="preserve"> </w:t>
      </w:r>
      <w:r w:rsidRPr="0071774C">
        <w:t>cases</w:t>
      </w:r>
      <w:r>
        <w:t xml:space="preserve"> </w:t>
      </w:r>
      <w:r w:rsidRPr="0071774C">
        <w:t>the</w:t>
      </w:r>
      <w:r>
        <w:t xml:space="preserve"> </w:t>
      </w:r>
      <w:r w:rsidRPr="0071774C">
        <w:t>actions</w:t>
      </w:r>
      <w:r>
        <w:t xml:space="preserve"> </w:t>
      </w:r>
      <w:r w:rsidRPr="0071774C">
        <w:t>and</w:t>
      </w:r>
      <w:r>
        <w:t xml:space="preserve"> </w:t>
      </w:r>
      <w:r w:rsidRPr="0071774C">
        <w:t>strategies</w:t>
      </w:r>
      <w:r>
        <w:t xml:space="preserve"> </w:t>
      </w:r>
      <w:r w:rsidRPr="0071774C">
        <w:t>they</w:t>
      </w:r>
      <w:r>
        <w:t xml:space="preserve"> </w:t>
      </w:r>
      <w:r w:rsidRPr="0071774C">
        <w:t>contain</w:t>
      </w:r>
      <w:r>
        <w:t xml:space="preserve"> </w:t>
      </w:r>
      <w:r w:rsidRPr="0071774C">
        <w:t>are</w:t>
      </w:r>
      <w:r>
        <w:t xml:space="preserve"> </w:t>
      </w:r>
      <w:r w:rsidRPr="0071774C">
        <w:t>funded</w:t>
      </w:r>
      <w:r>
        <w:t xml:space="preserve"> </w:t>
      </w:r>
      <w:r w:rsidRPr="0071774C">
        <w:t>only</w:t>
      </w:r>
      <w:r>
        <w:t xml:space="preserve"> </w:t>
      </w:r>
      <w:r w:rsidRPr="0071774C">
        <w:t>for</w:t>
      </w:r>
      <w:r>
        <w:t xml:space="preserve"> </w:t>
      </w:r>
      <w:r w:rsidRPr="0071774C">
        <w:t>short</w:t>
      </w:r>
      <w:r>
        <w:t xml:space="preserve"> </w:t>
      </w:r>
      <w:r w:rsidRPr="0071774C">
        <w:t>periods,</w:t>
      </w:r>
      <w:r>
        <w:t xml:space="preserve"> </w:t>
      </w:r>
      <w:r w:rsidRPr="0071774C">
        <w:t>which</w:t>
      </w:r>
      <w:r>
        <w:t xml:space="preserve"> </w:t>
      </w:r>
      <w:r w:rsidRPr="0071774C">
        <w:t>limits</w:t>
      </w:r>
      <w:r>
        <w:t xml:space="preserve"> </w:t>
      </w:r>
      <w:r w:rsidRPr="0071774C">
        <w:t>the</w:t>
      </w:r>
      <w:r>
        <w:t xml:space="preserve"> </w:t>
      </w:r>
      <w:r w:rsidRPr="0071774C">
        <w:t>potential</w:t>
      </w:r>
      <w:r>
        <w:t xml:space="preserve"> </w:t>
      </w:r>
      <w:r w:rsidRPr="0071774C">
        <w:t>for</w:t>
      </w:r>
      <w:r>
        <w:t xml:space="preserve"> </w:t>
      </w:r>
      <w:r w:rsidRPr="0071774C">
        <w:t>sustained</w:t>
      </w:r>
      <w:r>
        <w:t xml:space="preserve"> </w:t>
      </w:r>
      <w:r w:rsidRPr="0071774C">
        <w:t>improvement</w:t>
      </w:r>
      <w:r>
        <w:t xml:space="preserve"> </w:t>
      </w:r>
      <w:r w:rsidRPr="0071774C">
        <w:t>across</w:t>
      </w:r>
      <w:r>
        <w:t xml:space="preserve"> </w:t>
      </w:r>
      <w:r w:rsidRPr="0071774C">
        <w:t>the</w:t>
      </w:r>
      <w:r>
        <w:t xml:space="preserve"> </w:t>
      </w:r>
      <w:r w:rsidRPr="0071774C">
        <w:t>foundations</w:t>
      </w:r>
      <w:r>
        <w:t xml:space="preserve"> </w:t>
      </w:r>
      <w:r w:rsidRPr="0071774C">
        <w:t>of</w:t>
      </w:r>
      <w:r>
        <w:t xml:space="preserve"> </w:t>
      </w:r>
      <w:r w:rsidRPr="0071774C">
        <w:t>primary</w:t>
      </w:r>
      <w:r>
        <w:t xml:space="preserve"> </w:t>
      </w:r>
      <w:r w:rsidRPr="0071774C">
        <w:t>prevention.</w:t>
      </w:r>
      <w:r>
        <w:t xml:space="preserve"> </w:t>
      </w:r>
      <w:r w:rsidRPr="0071774C">
        <w:t>Positive</w:t>
      </w:r>
      <w:r>
        <w:t xml:space="preserve"> </w:t>
      </w:r>
      <w:r w:rsidRPr="0071774C">
        <w:t>legislative</w:t>
      </w:r>
      <w:r>
        <w:t xml:space="preserve"> </w:t>
      </w:r>
      <w:r w:rsidRPr="0071774C">
        <w:t>reform</w:t>
      </w:r>
      <w:r>
        <w:t xml:space="preserve"> </w:t>
      </w:r>
      <w:r w:rsidRPr="0071774C">
        <w:t>has</w:t>
      </w:r>
      <w:r>
        <w:t xml:space="preserve"> </w:t>
      </w:r>
      <w:r w:rsidRPr="0071774C">
        <w:t>also</w:t>
      </w:r>
      <w:r>
        <w:t xml:space="preserve"> </w:t>
      </w:r>
      <w:r w:rsidRPr="0071774C">
        <w:t>occurred</w:t>
      </w:r>
      <w:r>
        <w:t xml:space="preserve"> </w:t>
      </w:r>
      <w:r w:rsidRPr="0071774C">
        <w:t>over</w:t>
      </w:r>
      <w:r>
        <w:t xml:space="preserve"> </w:t>
      </w:r>
      <w:r w:rsidRPr="0071774C">
        <w:t>this</w:t>
      </w:r>
      <w:r>
        <w:t xml:space="preserve"> </w:t>
      </w:r>
      <w:r w:rsidRPr="0071774C">
        <w:t>time,</w:t>
      </w:r>
      <w:r>
        <w:t xml:space="preserve"> </w:t>
      </w:r>
      <w:r w:rsidRPr="0071774C">
        <w:t>including</w:t>
      </w:r>
      <w:r>
        <w:t xml:space="preserve"> </w:t>
      </w:r>
      <w:r w:rsidRPr="0071774C">
        <w:t>the</w:t>
      </w:r>
      <w:r>
        <w:t xml:space="preserve"> </w:t>
      </w:r>
      <w:r w:rsidRPr="0071774C">
        <w:t>introduction</w:t>
      </w:r>
      <w:r>
        <w:t xml:space="preserve"> </w:t>
      </w:r>
      <w:r w:rsidRPr="0071774C">
        <w:t>of</w:t>
      </w:r>
      <w:r>
        <w:t xml:space="preserve"> </w:t>
      </w:r>
      <w:r w:rsidRPr="0071774C">
        <w:t>the</w:t>
      </w:r>
      <w:r>
        <w:t xml:space="preserve"> </w:t>
      </w:r>
      <w:r w:rsidRPr="0071774C">
        <w:t>Commonwealth</w:t>
      </w:r>
      <w:r>
        <w:t xml:space="preserve"> </w:t>
      </w:r>
      <w:r w:rsidRPr="0071774C">
        <w:t>Paid</w:t>
      </w:r>
      <w:r>
        <w:t xml:space="preserve"> </w:t>
      </w:r>
      <w:r w:rsidRPr="0071774C">
        <w:t>Parental</w:t>
      </w:r>
      <w:r>
        <w:t xml:space="preserve"> </w:t>
      </w:r>
      <w:r w:rsidRPr="0071774C">
        <w:t>Leave</w:t>
      </w:r>
      <w:r>
        <w:t xml:space="preserve"> </w:t>
      </w:r>
      <w:r w:rsidRPr="0071774C">
        <w:t>scheme,</w:t>
      </w:r>
      <w:r>
        <w:t xml:space="preserve"> the </w:t>
      </w:r>
      <w:r w:rsidRPr="0071774C">
        <w:t>Commonwealth</w:t>
      </w:r>
      <w:r>
        <w:t xml:space="preserve"> </w:t>
      </w:r>
      <w:r w:rsidRPr="00ED4674">
        <w:rPr>
          <w:rStyle w:val="Emphasis"/>
        </w:rPr>
        <w:t>Workplace Gender Equality Act 2012</w:t>
      </w:r>
      <w:r w:rsidRPr="00ED4674">
        <w:t>, a</w:t>
      </w:r>
      <w:r w:rsidRPr="0071774C">
        <w:t>nd</w:t>
      </w:r>
      <w:r w:rsidR="001670E3">
        <w:t xml:space="preserve"> </w:t>
      </w:r>
      <w:r w:rsidRPr="0071774C">
        <w:t>the</w:t>
      </w:r>
      <w:r>
        <w:t xml:space="preserve"> </w:t>
      </w:r>
      <w:r w:rsidRPr="00ED4674">
        <w:rPr>
          <w:rStyle w:val="Emphasis"/>
        </w:rPr>
        <w:t>Prevention of</w:t>
      </w:r>
      <w:r w:rsidR="001670E3">
        <w:rPr>
          <w:rStyle w:val="Emphasis"/>
        </w:rPr>
        <w:t> </w:t>
      </w:r>
      <w:r w:rsidRPr="00ED4674">
        <w:rPr>
          <w:rStyle w:val="Emphasis"/>
        </w:rPr>
        <w:t>Family Violence Act 2018</w:t>
      </w:r>
      <w:r>
        <w:t xml:space="preserve"> </w:t>
      </w:r>
      <w:r w:rsidRPr="0071774C">
        <w:t>in</w:t>
      </w:r>
      <w:r>
        <w:t xml:space="preserve"> </w:t>
      </w:r>
      <w:r w:rsidRPr="0071774C">
        <w:t>Victoria,</w:t>
      </w:r>
      <w:r>
        <w:t xml:space="preserve"> </w:t>
      </w:r>
      <w:r w:rsidR="00452360">
        <w:t xml:space="preserve">which </w:t>
      </w:r>
      <w:r w:rsidRPr="0071774C">
        <w:t>includ</w:t>
      </w:r>
      <w:r w:rsidR="00452360">
        <w:t>ed</w:t>
      </w:r>
      <w:r>
        <w:t xml:space="preserve"> </w:t>
      </w:r>
      <w:r w:rsidRPr="0071774C">
        <w:t>the</w:t>
      </w:r>
      <w:r>
        <w:t xml:space="preserve"> </w:t>
      </w:r>
      <w:r w:rsidRPr="0071774C">
        <w:t>establishment</w:t>
      </w:r>
      <w:r>
        <w:t xml:space="preserve"> </w:t>
      </w:r>
      <w:r w:rsidRPr="0071774C">
        <w:t>of</w:t>
      </w:r>
      <w:r>
        <w:t xml:space="preserve"> </w:t>
      </w:r>
      <w:r w:rsidRPr="0071774C">
        <w:t>a</w:t>
      </w:r>
      <w:r>
        <w:t xml:space="preserve"> </w:t>
      </w:r>
      <w:r w:rsidRPr="0071774C">
        <w:t>statutory</w:t>
      </w:r>
      <w:r>
        <w:t xml:space="preserve"> </w:t>
      </w:r>
      <w:r w:rsidRPr="0071774C">
        <w:t>prevention</w:t>
      </w:r>
      <w:r>
        <w:t xml:space="preserve"> </w:t>
      </w:r>
      <w:r w:rsidRPr="0071774C">
        <w:t>authority.</w:t>
      </w:r>
    </w:p>
    <w:p w14:paraId="1A063F3E" w14:textId="0586E3C0" w:rsidR="002C2EC7" w:rsidRDefault="002C2EC7" w:rsidP="00790783">
      <w:pPr>
        <w:pStyle w:val="BodyText"/>
      </w:pPr>
      <w:r w:rsidRPr="0071774C">
        <w:t>Our</w:t>
      </w:r>
      <w:r>
        <w:t xml:space="preserve"> </w:t>
      </w:r>
      <w:r w:rsidRPr="0071774C">
        <w:t>findings</w:t>
      </w:r>
      <w:r>
        <w:t xml:space="preserve"> </w:t>
      </w:r>
      <w:r w:rsidRPr="0071774C">
        <w:t>also</w:t>
      </w:r>
      <w:r>
        <w:t xml:space="preserve"> </w:t>
      </w:r>
      <w:r w:rsidRPr="0071774C">
        <w:t>indicate</w:t>
      </w:r>
      <w:r>
        <w:t xml:space="preserve"> </w:t>
      </w:r>
      <w:r w:rsidRPr="0071774C">
        <w:t>that</w:t>
      </w:r>
      <w:r>
        <w:t xml:space="preserve"> </w:t>
      </w:r>
      <w:r w:rsidRPr="0071774C">
        <w:t>policy</w:t>
      </w:r>
      <w:r>
        <w:t xml:space="preserve"> </w:t>
      </w:r>
      <w:r w:rsidRPr="0071774C">
        <w:t>and</w:t>
      </w:r>
      <w:r>
        <w:t xml:space="preserve"> </w:t>
      </w:r>
      <w:r w:rsidRPr="0071774C">
        <w:t>legislative</w:t>
      </w:r>
      <w:r>
        <w:t xml:space="preserve"> </w:t>
      </w:r>
      <w:r w:rsidRPr="0071774C">
        <w:t>reforms</w:t>
      </w:r>
      <w:r>
        <w:t xml:space="preserve"> </w:t>
      </w:r>
      <w:r w:rsidRPr="0071774C">
        <w:t>are</w:t>
      </w:r>
      <w:r>
        <w:t xml:space="preserve"> </w:t>
      </w:r>
      <w:r w:rsidRPr="0071774C">
        <w:t>less</w:t>
      </w:r>
      <w:r>
        <w:t xml:space="preserve"> </w:t>
      </w:r>
      <w:r w:rsidRPr="0071774C">
        <w:t>consistent</w:t>
      </w:r>
      <w:r>
        <w:t xml:space="preserve"> </w:t>
      </w:r>
      <w:r w:rsidRPr="0071774C">
        <w:t>in</w:t>
      </w:r>
      <w:r>
        <w:t xml:space="preserve"> </w:t>
      </w:r>
      <w:r w:rsidRPr="0071774C">
        <w:t>addressing</w:t>
      </w:r>
      <w:r w:rsidR="00851841">
        <w:t> </w:t>
      </w:r>
      <w:r w:rsidRPr="0071774C">
        <w:t>drivers</w:t>
      </w:r>
      <w:r>
        <w:t xml:space="preserve"> </w:t>
      </w:r>
      <w:r w:rsidRPr="0071774C">
        <w:t>of</w:t>
      </w:r>
      <w:r>
        <w:t xml:space="preserve"> </w:t>
      </w:r>
      <w:r w:rsidRPr="0071774C">
        <w:t>violence</w:t>
      </w:r>
      <w:r>
        <w:t xml:space="preserve"> </w:t>
      </w:r>
      <w:r w:rsidRPr="0071774C">
        <w:t>against</w:t>
      </w:r>
      <w:r>
        <w:t xml:space="preserve"> </w:t>
      </w:r>
      <w:r w:rsidRPr="0071774C">
        <w:t>women</w:t>
      </w:r>
      <w:r>
        <w:t xml:space="preserve"> that are </w:t>
      </w:r>
      <w:r w:rsidRPr="0071774C">
        <w:t>associated</w:t>
      </w:r>
      <w:r>
        <w:t xml:space="preserve"> </w:t>
      </w:r>
      <w:r w:rsidRPr="0071774C">
        <w:t>with</w:t>
      </w:r>
      <w:r>
        <w:t xml:space="preserve"> </w:t>
      </w:r>
      <w:r w:rsidRPr="0071774C">
        <w:t>intersecting</w:t>
      </w:r>
      <w:r>
        <w:t xml:space="preserve"> </w:t>
      </w:r>
      <w:r w:rsidRPr="0071774C">
        <w:t>forms</w:t>
      </w:r>
      <w:r>
        <w:t xml:space="preserve"> </w:t>
      </w:r>
      <w:r w:rsidRPr="0071774C">
        <w:t>of</w:t>
      </w:r>
      <w:r w:rsidR="0062615E">
        <w:t> </w:t>
      </w:r>
      <w:r w:rsidR="0062615E" w:rsidRPr="0062615E">
        <w:t>oppression</w:t>
      </w:r>
      <w:r>
        <w:t xml:space="preserve"> </w:t>
      </w:r>
      <w:r w:rsidRPr="0071774C">
        <w:t>and</w:t>
      </w:r>
      <w:r>
        <w:t xml:space="preserve"> </w:t>
      </w:r>
      <w:r w:rsidRPr="0071774C">
        <w:t>privilege.</w:t>
      </w:r>
      <w:r>
        <w:t xml:space="preserve"> C</w:t>
      </w:r>
      <w:r w:rsidRPr="0071774C">
        <w:t>ivil</w:t>
      </w:r>
      <w:r>
        <w:t xml:space="preserve"> </w:t>
      </w:r>
      <w:r w:rsidRPr="0071774C">
        <w:t>society</w:t>
      </w:r>
      <w:r>
        <w:t xml:space="preserve"> </w:t>
      </w:r>
      <w:r w:rsidRPr="0071774C">
        <w:t>advocates</w:t>
      </w:r>
      <w:r>
        <w:t xml:space="preserve"> </w:t>
      </w:r>
      <w:r w:rsidRPr="0071774C">
        <w:t>and</w:t>
      </w:r>
      <w:r>
        <w:t xml:space="preserve"> </w:t>
      </w:r>
      <w:r w:rsidRPr="0071774C">
        <w:t>organisations</w:t>
      </w:r>
      <w:r>
        <w:t xml:space="preserve"> </w:t>
      </w:r>
      <w:r w:rsidRPr="0071774C">
        <w:t>often</w:t>
      </w:r>
      <w:r>
        <w:t xml:space="preserve"> </w:t>
      </w:r>
      <w:r w:rsidRPr="0071774C">
        <w:t>lead</w:t>
      </w:r>
      <w:r>
        <w:t xml:space="preserve"> </w:t>
      </w:r>
      <w:r w:rsidRPr="0071774C">
        <w:t>in</w:t>
      </w:r>
      <w:r>
        <w:t xml:space="preserve"> </w:t>
      </w:r>
      <w:r w:rsidRPr="0071774C">
        <w:t>building</w:t>
      </w:r>
      <w:r>
        <w:t xml:space="preserve"> </w:t>
      </w:r>
      <w:r w:rsidRPr="0071774C">
        <w:t>awareness</w:t>
      </w:r>
      <w:r>
        <w:t xml:space="preserve"> </w:t>
      </w:r>
      <w:r w:rsidRPr="0071774C">
        <w:t>of</w:t>
      </w:r>
      <w:r>
        <w:t xml:space="preserve"> </w:t>
      </w:r>
      <w:r w:rsidRPr="0071774C">
        <w:t>the</w:t>
      </w:r>
      <w:r>
        <w:t xml:space="preserve"> </w:t>
      </w:r>
      <w:r w:rsidRPr="0071774C">
        <w:t>way</w:t>
      </w:r>
      <w:r>
        <w:t xml:space="preserve"> </w:t>
      </w:r>
      <w:r w:rsidRPr="0071774C">
        <w:t>other</w:t>
      </w:r>
      <w:r>
        <w:t xml:space="preserve"> </w:t>
      </w:r>
      <w:r w:rsidRPr="0071774C">
        <w:t>forms</w:t>
      </w:r>
      <w:r>
        <w:t xml:space="preserve"> </w:t>
      </w:r>
      <w:r w:rsidRPr="0071774C">
        <w:t>of</w:t>
      </w:r>
      <w:r>
        <w:t xml:space="preserve"> </w:t>
      </w:r>
      <w:r w:rsidRPr="0071774C">
        <w:t>discrimination</w:t>
      </w:r>
      <w:r>
        <w:t xml:space="preserve"> </w:t>
      </w:r>
      <w:r w:rsidRPr="0071774C">
        <w:t>intersect</w:t>
      </w:r>
      <w:r>
        <w:t xml:space="preserve"> </w:t>
      </w:r>
      <w:r w:rsidRPr="0071774C">
        <w:t>with</w:t>
      </w:r>
      <w:r>
        <w:t xml:space="preserve"> </w:t>
      </w:r>
      <w:r w:rsidRPr="0071774C">
        <w:t>gender</w:t>
      </w:r>
      <w:r>
        <w:t xml:space="preserve"> </w:t>
      </w:r>
      <w:r w:rsidRPr="0071774C">
        <w:t>discrimination,</w:t>
      </w:r>
      <w:r>
        <w:t xml:space="preserve"> </w:t>
      </w:r>
      <w:r w:rsidRPr="0071774C">
        <w:t>and</w:t>
      </w:r>
      <w:r>
        <w:t xml:space="preserve"> </w:t>
      </w:r>
      <w:r w:rsidRPr="0071774C">
        <w:t>in</w:t>
      </w:r>
      <w:r>
        <w:t xml:space="preserve"> </w:t>
      </w:r>
      <w:r w:rsidRPr="0071774C">
        <w:t>promoting</w:t>
      </w:r>
      <w:r>
        <w:t xml:space="preserve"> </w:t>
      </w:r>
      <w:r w:rsidRPr="0071774C">
        <w:t>intersectional</w:t>
      </w:r>
      <w:r>
        <w:t xml:space="preserve"> </w:t>
      </w:r>
      <w:r w:rsidRPr="0071774C">
        <w:t>approaches</w:t>
      </w:r>
      <w:r>
        <w:t xml:space="preserve"> </w:t>
      </w:r>
      <w:r w:rsidRPr="0071774C">
        <w:t>to</w:t>
      </w:r>
      <w:r>
        <w:t xml:space="preserve"> </w:t>
      </w:r>
      <w:r w:rsidRPr="0071774C">
        <w:t>the</w:t>
      </w:r>
      <w:r>
        <w:t xml:space="preserve"> </w:t>
      </w:r>
      <w:r w:rsidRPr="0071774C">
        <w:t>prevention</w:t>
      </w:r>
      <w:r>
        <w:t xml:space="preserve"> </w:t>
      </w:r>
      <w:r w:rsidRPr="0071774C">
        <w:t>of</w:t>
      </w:r>
      <w:r>
        <w:t xml:space="preserve"> </w:t>
      </w:r>
      <w:r w:rsidRPr="0071774C">
        <w:t>violence.</w:t>
      </w:r>
      <w:r>
        <w:t xml:space="preserve"> </w:t>
      </w:r>
      <w:r w:rsidRPr="0071774C">
        <w:t>However,</w:t>
      </w:r>
      <w:r>
        <w:t xml:space="preserve"> </w:t>
      </w:r>
      <w:r w:rsidRPr="0071774C">
        <w:t>too</w:t>
      </w:r>
      <w:r>
        <w:t xml:space="preserve"> </w:t>
      </w:r>
      <w:r w:rsidRPr="0071774C">
        <w:lastRenderedPageBreak/>
        <w:t>often</w:t>
      </w:r>
      <w:r>
        <w:t xml:space="preserve"> </w:t>
      </w:r>
      <w:r w:rsidRPr="0071774C">
        <w:t>policy</w:t>
      </w:r>
      <w:r>
        <w:t xml:space="preserve"> </w:t>
      </w:r>
      <w:r w:rsidRPr="0071774C">
        <w:t>development</w:t>
      </w:r>
      <w:r>
        <w:t xml:space="preserve"> </w:t>
      </w:r>
      <w:r w:rsidRPr="0071774C">
        <w:t>and</w:t>
      </w:r>
      <w:r>
        <w:t xml:space="preserve"> </w:t>
      </w:r>
      <w:r w:rsidRPr="0071774C">
        <w:t>governance</w:t>
      </w:r>
      <w:r>
        <w:t xml:space="preserve"> </w:t>
      </w:r>
      <w:r w:rsidRPr="0071774C">
        <w:t>processes</w:t>
      </w:r>
      <w:r>
        <w:t xml:space="preserve"> </w:t>
      </w:r>
      <w:r w:rsidRPr="0071774C">
        <w:t>do</w:t>
      </w:r>
      <w:r>
        <w:t xml:space="preserve"> </w:t>
      </w:r>
      <w:r w:rsidRPr="0071774C">
        <w:t>not</w:t>
      </w:r>
      <w:r>
        <w:t xml:space="preserve"> </w:t>
      </w:r>
      <w:r w:rsidRPr="0071774C">
        <w:t>include</w:t>
      </w:r>
      <w:r>
        <w:t xml:space="preserve"> </w:t>
      </w:r>
      <w:r w:rsidRPr="0071774C">
        <w:t>funded</w:t>
      </w:r>
      <w:r>
        <w:t xml:space="preserve"> and </w:t>
      </w:r>
      <w:r w:rsidRPr="0071774C">
        <w:t>formal</w:t>
      </w:r>
      <w:r w:rsidR="00851841">
        <w:t> </w:t>
      </w:r>
      <w:r w:rsidRPr="0071774C">
        <w:t>processes</w:t>
      </w:r>
      <w:r>
        <w:t xml:space="preserve"> </w:t>
      </w:r>
      <w:r w:rsidRPr="0071774C">
        <w:t>to</w:t>
      </w:r>
      <w:r>
        <w:t xml:space="preserve"> </w:t>
      </w:r>
      <w:r w:rsidRPr="0071774C">
        <w:t>ensure</w:t>
      </w:r>
      <w:r>
        <w:t xml:space="preserve"> </w:t>
      </w:r>
      <w:r w:rsidRPr="0071774C">
        <w:t>civil</w:t>
      </w:r>
      <w:r>
        <w:t xml:space="preserve"> </w:t>
      </w:r>
      <w:r w:rsidRPr="0071774C">
        <w:t>society</w:t>
      </w:r>
      <w:r>
        <w:t xml:space="preserve"> </w:t>
      </w:r>
      <w:r w:rsidRPr="0071774C">
        <w:t>organisations</w:t>
      </w:r>
      <w:r>
        <w:t xml:space="preserve"> </w:t>
      </w:r>
      <w:r w:rsidRPr="0071774C">
        <w:t>participate</w:t>
      </w:r>
      <w:r>
        <w:t xml:space="preserve"> </w:t>
      </w:r>
      <w:r w:rsidRPr="0071774C">
        <w:t>and</w:t>
      </w:r>
      <w:r>
        <w:t xml:space="preserve"> </w:t>
      </w:r>
      <w:r w:rsidRPr="0071774C">
        <w:t>collaborate</w:t>
      </w:r>
      <w:r>
        <w:t xml:space="preserve"> </w:t>
      </w:r>
      <w:r w:rsidRPr="0071774C">
        <w:t>in</w:t>
      </w:r>
      <w:r>
        <w:t xml:space="preserve"> </w:t>
      </w:r>
      <w:r w:rsidRPr="0071774C">
        <w:t>the</w:t>
      </w:r>
      <w:r>
        <w:t xml:space="preserve"> </w:t>
      </w:r>
      <w:r w:rsidRPr="0071774C">
        <w:t>development,</w:t>
      </w:r>
      <w:r>
        <w:t xml:space="preserve"> </w:t>
      </w:r>
      <w:r w:rsidRPr="0071774C">
        <w:t>implementation,</w:t>
      </w:r>
      <w:r>
        <w:t xml:space="preserve"> </w:t>
      </w:r>
      <w:r w:rsidRPr="0071774C">
        <w:t>monitoring</w:t>
      </w:r>
      <w:r>
        <w:t xml:space="preserve"> </w:t>
      </w:r>
      <w:r w:rsidRPr="0071774C">
        <w:t>and</w:t>
      </w:r>
      <w:r>
        <w:t xml:space="preserve"> </w:t>
      </w:r>
      <w:r w:rsidRPr="0071774C">
        <w:t>evaluation</w:t>
      </w:r>
      <w:r>
        <w:t xml:space="preserve"> </w:t>
      </w:r>
      <w:r w:rsidRPr="0071774C">
        <w:t>of</w:t>
      </w:r>
      <w:r>
        <w:t xml:space="preserve"> </w:t>
      </w:r>
      <w:r w:rsidRPr="0071774C">
        <w:t>primary</w:t>
      </w:r>
      <w:r>
        <w:t xml:space="preserve"> </w:t>
      </w:r>
      <w:r w:rsidRPr="0071774C">
        <w:t>prevention</w:t>
      </w:r>
      <w:r>
        <w:t xml:space="preserve"> </w:t>
      </w:r>
      <w:r w:rsidRPr="0071774C">
        <w:t>policies</w:t>
      </w:r>
      <w:r w:rsidR="00123087">
        <w:t xml:space="preserve"> and associated actions</w:t>
      </w:r>
      <w:r w:rsidRPr="0071774C">
        <w:t>.</w:t>
      </w:r>
    </w:p>
    <w:p w14:paraId="7CB4F6F3" w14:textId="77777777" w:rsidR="002C2EC7" w:rsidRDefault="002C2EC7" w:rsidP="00790783">
      <w:pPr>
        <w:pStyle w:val="BodyText"/>
      </w:pPr>
      <w:r w:rsidRPr="0071774C">
        <w:t>While</w:t>
      </w:r>
      <w:r>
        <w:t xml:space="preserve"> </w:t>
      </w:r>
      <w:r w:rsidRPr="0071774C">
        <w:t>positive</w:t>
      </w:r>
      <w:r>
        <w:t xml:space="preserve"> </w:t>
      </w:r>
      <w:r w:rsidRPr="0071774C">
        <w:t>reform</w:t>
      </w:r>
      <w:r>
        <w:t xml:space="preserve"> </w:t>
      </w:r>
      <w:r w:rsidRPr="0071774C">
        <w:t>has</w:t>
      </w:r>
      <w:r>
        <w:t xml:space="preserve"> </w:t>
      </w:r>
      <w:r w:rsidRPr="0071774C">
        <w:t>occurred,</w:t>
      </w:r>
      <w:r>
        <w:t xml:space="preserve"> </w:t>
      </w:r>
      <w:r w:rsidRPr="0071774C">
        <w:t>there</w:t>
      </w:r>
      <w:r>
        <w:t xml:space="preserve"> </w:t>
      </w:r>
      <w:r w:rsidRPr="0071774C">
        <w:t>is</w:t>
      </w:r>
      <w:r>
        <w:t xml:space="preserve"> </w:t>
      </w:r>
      <w:r w:rsidRPr="0071774C">
        <w:t>much</w:t>
      </w:r>
      <w:r>
        <w:t xml:space="preserve"> </w:t>
      </w:r>
      <w:r w:rsidRPr="0071774C">
        <w:t>more</w:t>
      </w:r>
      <w:r>
        <w:t xml:space="preserve"> </w:t>
      </w:r>
      <w:r w:rsidRPr="0071774C">
        <w:t>work</w:t>
      </w:r>
      <w:r>
        <w:t xml:space="preserve"> </w:t>
      </w:r>
      <w:r w:rsidRPr="0071774C">
        <w:t>to</w:t>
      </w:r>
      <w:r>
        <w:t xml:space="preserve"> </w:t>
      </w:r>
      <w:r w:rsidRPr="0071774C">
        <w:t>do</w:t>
      </w:r>
      <w:r>
        <w:t xml:space="preserve"> </w:t>
      </w:r>
      <w:r w:rsidRPr="0071774C">
        <w:t>to</w:t>
      </w:r>
      <w:r>
        <w:t xml:space="preserve"> </w:t>
      </w:r>
      <w:r w:rsidRPr="0071774C">
        <w:t>ensure</w:t>
      </w:r>
      <w:r>
        <w:t xml:space="preserve"> </w:t>
      </w:r>
      <w:r w:rsidRPr="0071774C">
        <w:t>critical</w:t>
      </w:r>
      <w:r>
        <w:t xml:space="preserve"> </w:t>
      </w:r>
      <w:r w:rsidRPr="0071774C">
        <w:t>contributions</w:t>
      </w:r>
      <w:r>
        <w:t xml:space="preserve"> </w:t>
      </w:r>
      <w:r w:rsidRPr="0071774C">
        <w:t>to</w:t>
      </w:r>
      <w:r>
        <w:t xml:space="preserve"> </w:t>
      </w:r>
      <w:r w:rsidRPr="0071774C">
        <w:t>policy</w:t>
      </w:r>
      <w:r>
        <w:t xml:space="preserve"> </w:t>
      </w:r>
      <w:r w:rsidRPr="0071774C">
        <w:t>and</w:t>
      </w:r>
      <w:r>
        <w:t xml:space="preserve"> </w:t>
      </w:r>
      <w:r w:rsidRPr="0071774C">
        <w:t>legislative</w:t>
      </w:r>
      <w:r>
        <w:t xml:space="preserve"> </w:t>
      </w:r>
      <w:r w:rsidRPr="0071774C">
        <w:t>reform</w:t>
      </w:r>
      <w:r>
        <w:t xml:space="preserve"> </w:t>
      </w:r>
      <w:r w:rsidRPr="0071774C">
        <w:t>occur</w:t>
      </w:r>
      <w:r>
        <w:t xml:space="preserve"> </w:t>
      </w:r>
      <w:r w:rsidRPr="0071774C">
        <w:t>across</w:t>
      </w:r>
      <w:r>
        <w:t xml:space="preserve"> </w:t>
      </w:r>
      <w:r w:rsidRPr="0071774C">
        <w:t>diverse</w:t>
      </w:r>
      <w:r>
        <w:t xml:space="preserve"> </w:t>
      </w:r>
      <w:r w:rsidRPr="0071774C">
        <w:t>portfolios</w:t>
      </w:r>
      <w:r>
        <w:t xml:space="preserve"> </w:t>
      </w:r>
      <w:r w:rsidRPr="0071774C">
        <w:t>such</w:t>
      </w:r>
      <w:r>
        <w:t xml:space="preserve"> </w:t>
      </w:r>
      <w:r w:rsidRPr="0071774C">
        <w:t>as</w:t>
      </w:r>
      <w:r>
        <w:t xml:space="preserve"> </w:t>
      </w:r>
      <w:r w:rsidRPr="0071774C">
        <w:t>health,</w:t>
      </w:r>
      <w:r>
        <w:t xml:space="preserve"> </w:t>
      </w:r>
      <w:r w:rsidRPr="0071774C">
        <w:t>education,</w:t>
      </w:r>
      <w:r>
        <w:t xml:space="preserve"> </w:t>
      </w:r>
      <w:r w:rsidRPr="0071774C">
        <w:t>justice,</w:t>
      </w:r>
      <w:r>
        <w:t xml:space="preserve"> </w:t>
      </w:r>
      <w:r w:rsidRPr="0071774C">
        <w:t>housing,</w:t>
      </w:r>
      <w:r>
        <w:t xml:space="preserve"> </w:t>
      </w:r>
      <w:r w:rsidRPr="0071774C">
        <w:t>regional</w:t>
      </w:r>
      <w:r>
        <w:t xml:space="preserve"> </w:t>
      </w:r>
      <w:r w:rsidRPr="0071774C">
        <w:t>development,</w:t>
      </w:r>
      <w:r>
        <w:t xml:space="preserve"> </w:t>
      </w:r>
      <w:r w:rsidRPr="0071774C">
        <w:t>occupational</w:t>
      </w:r>
      <w:r>
        <w:t xml:space="preserve"> </w:t>
      </w:r>
      <w:r w:rsidRPr="0071774C">
        <w:t>health</w:t>
      </w:r>
      <w:r>
        <w:t xml:space="preserve"> </w:t>
      </w:r>
      <w:r w:rsidRPr="0071774C">
        <w:t>and</w:t>
      </w:r>
      <w:r>
        <w:t xml:space="preserve"> </w:t>
      </w:r>
      <w:r w:rsidRPr="0071774C">
        <w:t>safety,</w:t>
      </w:r>
      <w:r>
        <w:t xml:space="preserve"> </w:t>
      </w:r>
      <w:r w:rsidRPr="0071774C">
        <w:t>transport</w:t>
      </w:r>
      <w:r>
        <w:t xml:space="preserve"> </w:t>
      </w:r>
      <w:r w:rsidRPr="0071774C">
        <w:t>and</w:t>
      </w:r>
      <w:r>
        <w:t xml:space="preserve"> </w:t>
      </w:r>
      <w:r w:rsidRPr="0071774C">
        <w:t>many</w:t>
      </w:r>
      <w:r>
        <w:t xml:space="preserve"> </w:t>
      </w:r>
      <w:r w:rsidRPr="0071774C">
        <w:t>other</w:t>
      </w:r>
      <w:r>
        <w:t xml:space="preserve"> </w:t>
      </w:r>
      <w:r w:rsidRPr="0071774C">
        <w:t>areas.</w:t>
      </w:r>
      <w:r>
        <w:t xml:space="preserve"> </w:t>
      </w:r>
      <w:r w:rsidRPr="0071774C">
        <w:t>A</w:t>
      </w:r>
      <w:r>
        <w:t xml:space="preserve"> </w:t>
      </w:r>
      <w:r w:rsidRPr="0071774C">
        <w:t>more</w:t>
      </w:r>
      <w:r>
        <w:t xml:space="preserve"> </w:t>
      </w:r>
      <w:r w:rsidRPr="0071774C">
        <w:t>consistent</w:t>
      </w:r>
      <w:r>
        <w:t xml:space="preserve"> </w:t>
      </w:r>
      <w:r w:rsidRPr="0071774C">
        <w:t>application</w:t>
      </w:r>
      <w:r>
        <w:t xml:space="preserve"> </w:t>
      </w:r>
      <w:r w:rsidRPr="0071774C">
        <w:t>of</w:t>
      </w:r>
      <w:r>
        <w:t xml:space="preserve"> </w:t>
      </w:r>
      <w:r w:rsidRPr="0071774C">
        <w:t>a</w:t>
      </w:r>
      <w:r>
        <w:t xml:space="preserve"> </w:t>
      </w:r>
      <w:r w:rsidRPr="0071774C">
        <w:t>gender</w:t>
      </w:r>
      <w:r>
        <w:t xml:space="preserve"> </w:t>
      </w:r>
      <w:r w:rsidRPr="0071774C">
        <w:t>lens</w:t>
      </w:r>
      <w:r>
        <w:t xml:space="preserve"> </w:t>
      </w:r>
      <w:r w:rsidRPr="0071774C">
        <w:t>to</w:t>
      </w:r>
      <w:r>
        <w:t xml:space="preserve"> </w:t>
      </w:r>
      <w:r w:rsidRPr="0071774C">
        <w:t>policy</w:t>
      </w:r>
      <w:r>
        <w:t xml:space="preserve"> </w:t>
      </w:r>
      <w:r w:rsidRPr="0071774C">
        <w:t>development</w:t>
      </w:r>
      <w:r>
        <w:t xml:space="preserve"> </w:t>
      </w:r>
      <w:r w:rsidRPr="0071774C">
        <w:t>and</w:t>
      </w:r>
      <w:r>
        <w:t xml:space="preserve"> </w:t>
      </w:r>
      <w:r w:rsidRPr="0071774C">
        <w:t>legislative</w:t>
      </w:r>
      <w:r>
        <w:t xml:space="preserve"> </w:t>
      </w:r>
      <w:r w:rsidRPr="0071774C">
        <w:t>and</w:t>
      </w:r>
      <w:r>
        <w:t xml:space="preserve"> </w:t>
      </w:r>
      <w:r w:rsidRPr="0071774C">
        <w:t>budgetary</w:t>
      </w:r>
      <w:r>
        <w:t xml:space="preserve"> </w:t>
      </w:r>
      <w:r w:rsidRPr="0071774C">
        <w:t>decisions,</w:t>
      </w:r>
      <w:r>
        <w:t xml:space="preserve"> </w:t>
      </w:r>
      <w:r w:rsidRPr="0071774C">
        <w:t>together</w:t>
      </w:r>
      <w:r>
        <w:t xml:space="preserve"> </w:t>
      </w:r>
      <w:r w:rsidRPr="0071774C">
        <w:t>with</w:t>
      </w:r>
      <w:r>
        <w:t xml:space="preserve"> </w:t>
      </w:r>
      <w:r w:rsidRPr="0071774C">
        <w:t>careful</w:t>
      </w:r>
      <w:r>
        <w:t xml:space="preserve"> </w:t>
      </w:r>
      <w:r w:rsidRPr="0071774C">
        <w:t>attention</w:t>
      </w:r>
      <w:r>
        <w:t xml:space="preserve"> </w:t>
      </w:r>
      <w:r w:rsidRPr="0071774C">
        <w:t>to</w:t>
      </w:r>
      <w:r>
        <w:t xml:space="preserve"> the intersections between gender inequality and other forms of discrimination, </w:t>
      </w:r>
      <w:r w:rsidRPr="0071774C">
        <w:t>can</w:t>
      </w:r>
      <w:r>
        <w:t xml:space="preserve"> </w:t>
      </w:r>
      <w:r w:rsidRPr="0071774C">
        <w:t>help</w:t>
      </w:r>
      <w:r>
        <w:t xml:space="preserve"> </w:t>
      </w:r>
      <w:r w:rsidRPr="0071774C">
        <w:t>identify</w:t>
      </w:r>
      <w:r>
        <w:t xml:space="preserve"> </w:t>
      </w:r>
      <w:r w:rsidRPr="0071774C">
        <w:t>cross-government</w:t>
      </w:r>
      <w:r>
        <w:t xml:space="preserve"> </w:t>
      </w:r>
      <w:r w:rsidRPr="0071774C">
        <w:t>levers</w:t>
      </w:r>
      <w:r>
        <w:t xml:space="preserve"> </w:t>
      </w:r>
      <w:r w:rsidRPr="0071774C">
        <w:t>that</w:t>
      </w:r>
      <w:r>
        <w:t xml:space="preserve"> </w:t>
      </w:r>
      <w:r w:rsidRPr="0071774C">
        <w:t>can</w:t>
      </w:r>
      <w:r>
        <w:t xml:space="preserve"> </w:t>
      </w:r>
      <w:r w:rsidRPr="0071774C">
        <w:t>be</w:t>
      </w:r>
      <w:r>
        <w:t xml:space="preserve"> </w:t>
      </w:r>
      <w:r w:rsidRPr="0071774C">
        <w:t>used</w:t>
      </w:r>
      <w:r>
        <w:t xml:space="preserve"> </w:t>
      </w:r>
      <w:r w:rsidRPr="0071774C">
        <w:t>to</w:t>
      </w:r>
      <w:r>
        <w:t xml:space="preserve"> </w:t>
      </w:r>
      <w:r w:rsidRPr="0071774C">
        <w:t>address</w:t>
      </w:r>
      <w:r>
        <w:t xml:space="preserve"> </w:t>
      </w:r>
      <w:r w:rsidRPr="0071774C">
        <w:t>the</w:t>
      </w:r>
      <w:r>
        <w:t xml:space="preserve"> </w:t>
      </w:r>
      <w:r w:rsidRPr="0071774C">
        <w:t>multiple</w:t>
      </w:r>
      <w:r>
        <w:t xml:space="preserve"> </w:t>
      </w:r>
      <w:r w:rsidRPr="0071774C">
        <w:t>drivers</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in</w:t>
      </w:r>
      <w:r>
        <w:t xml:space="preserve"> </w:t>
      </w:r>
      <w:r w:rsidRPr="0071774C">
        <w:t>many</w:t>
      </w:r>
      <w:r>
        <w:t xml:space="preserve"> </w:t>
      </w:r>
      <w:r w:rsidRPr="0071774C">
        <w:t>areas</w:t>
      </w:r>
      <w:r>
        <w:t xml:space="preserve"> </w:t>
      </w:r>
      <w:r w:rsidRPr="0071774C">
        <w:t>of</w:t>
      </w:r>
      <w:r>
        <w:t xml:space="preserve"> </w:t>
      </w:r>
      <w:r w:rsidRPr="0071774C">
        <w:t>policy</w:t>
      </w:r>
      <w:r>
        <w:t xml:space="preserve"> </w:t>
      </w:r>
      <w:r w:rsidRPr="0071774C">
        <w:t>and</w:t>
      </w:r>
      <w:r>
        <w:t xml:space="preserve"> </w:t>
      </w:r>
      <w:r w:rsidRPr="0071774C">
        <w:t>legislative</w:t>
      </w:r>
      <w:r>
        <w:t xml:space="preserve"> </w:t>
      </w:r>
      <w:r w:rsidRPr="0071774C">
        <w:t>reform.</w:t>
      </w:r>
    </w:p>
    <w:p w14:paraId="4572C8C8" w14:textId="77777777" w:rsidR="002C2EC7" w:rsidRDefault="002C2EC7" w:rsidP="00790783">
      <w:pPr>
        <w:pStyle w:val="Heading5"/>
      </w:pPr>
      <w:bookmarkStart w:id="36" w:name="_Toc41559718"/>
      <w:r w:rsidRPr="0071774C">
        <w:t>Policy</w:t>
      </w:r>
      <w:r>
        <w:t xml:space="preserve"> </w:t>
      </w:r>
      <w:r w:rsidRPr="0071774C">
        <w:t>reform</w:t>
      </w:r>
      <w:r>
        <w:t xml:space="preserve"> </w:t>
      </w:r>
      <w:r w:rsidRPr="0071774C">
        <w:t>to</w:t>
      </w:r>
      <w:r>
        <w:t xml:space="preserve"> </w:t>
      </w:r>
      <w:r w:rsidRPr="0071774C">
        <w:t>support</w:t>
      </w:r>
      <w:r>
        <w:t xml:space="preserve"> </w:t>
      </w:r>
      <w:r w:rsidRPr="0071774C">
        <w:t>primary</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bookmarkEnd w:id="36"/>
    </w:p>
    <w:p w14:paraId="5F8D67E9" w14:textId="77777777" w:rsidR="002C2EC7" w:rsidRDefault="002C2EC7" w:rsidP="00790783">
      <w:pPr>
        <w:pStyle w:val="BodyText"/>
      </w:pPr>
      <w:r w:rsidRPr="0071774C">
        <w:t>An</w:t>
      </w:r>
      <w:r>
        <w:t xml:space="preserve"> </w:t>
      </w:r>
      <w:r w:rsidRPr="0071774C">
        <w:t>analysis</w:t>
      </w:r>
      <w:r>
        <w:t xml:space="preserve"> </w:t>
      </w:r>
      <w:r w:rsidRPr="0071774C">
        <w:t>of</w:t>
      </w:r>
      <w:r>
        <w:t xml:space="preserve"> </w:t>
      </w:r>
      <w:r w:rsidRPr="0071774C">
        <w:t>state,</w:t>
      </w:r>
      <w:r>
        <w:t xml:space="preserve"> </w:t>
      </w:r>
      <w:r w:rsidRPr="0071774C">
        <w:t>territory</w:t>
      </w:r>
      <w:r>
        <w:t xml:space="preserve"> </w:t>
      </w:r>
      <w:r w:rsidRPr="0071774C">
        <w:t>and</w:t>
      </w:r>
      <w:r>
        <w:t xml:space="preserve"> </w:t>
      </w:r>
      <w:r w:rsidRPr="0071774C">
        <w:t>federal</w:t>
      </w:r>
      <w:r>
        <w:t xml:space="preserve"> </w:t>
      </w:r>
      <w:r w:rsidRPr="0071774C">
        <w:t>policy</w:t>
      </w:r>
      <w:r>
        <w:t xml:space="preserve"> </w:t>
      </w:r>
      <w:r w:rsidRPr="0071774C">
        <w:t>strategies</w:t>
      </w:r>
      <w:r>
        <w:t xml:space="preserve"> </w:t>
      </w:r>
      <w:r w:rsidRPr="0071774C">
        <w:t>and</w:t>
      </w:r>
      <w:r>
        <w:t xml:space="preserve"> </w:t>
      </w:r>
      <w:r w:rsidRPr="0071774C">
        <w:t>a</w:t>
      </w:r>
      <w:r>
        <w:t xml:space="preserve"> </w:t>
      </w:r>
      <w:r w:rsidRPr="0071774C">
        <w:t>selection</w:t>
      </w:r>
      <w:r>
        <w:t xml:space="preserve"> </w:t>
      </w:r>
      <w:r w:rsidRPr="0071774C">
        <w:t>of</w:t>
      </w:r>
      <w:r>
        <w:t xml:space="preserve"> </w:t>
      </w:r>
      <w:r w:rsidRPr="0071774C">
        <w:t>local</w:t>
      </w:r>
      <w:r>
        <w:t xml:space="preserve"> </w:t>
      </w:r>
      <w:r w:rsidRPr="0071774C">
        <w:t>government</w:t>
      </w:r>
      <w:r>
        <w:t xml:space="preserve"> </w:t>
      </w:r>
      <w:r w:rsidRPr="0071774C">
        <w:t>strategies</w:t>
      </w:r>
      <w:r>
        <w:t xml:space="preserve"> </w:t>
      </w:r>
      <w:r w:rsidRPr="0071774C">
        <w:t>reveals</w:t>
      </w:r>
      <w:r>
        <w:t xml:space="preserve"> </w:t>
      </w:r>
      <w:r w:rsidRPr="0071774C">
        <w:t>promising</w:t>
      </w:r>
      <w:r>
        <w:t xml:space="preserve"> </w:t>
      </w:r>
      <w:r w:rsidRPr="0071774C">
        <w:t>signs</w:t>
      </w:r>
      <w:r>
        <w:t xml:space="preserve"> </w:t>
      </w:r>
      <w:r w:rsidRPr="0071774C">
        <w:t>of</w:t>
      </w:r>
      <w:r>
        <w:t xml:space="preserve"> </w:t>
      </w:r>
      <w:r w:rsidRPr="0071774C">
        <w:t>political</w:t>
      </w:r>
      <w:r>
        <w:t xml:space="preserve"> </w:t>
      </w:r>
      <w:r w:rsidRPr="0071774C">
        <w:t>engagement</w:t>
      </w:r>
      <w:r>
        <w:t xml:space="preserve"> </w:t>
      </w:r>
      <w:r w:rsidRPr="0071774C">
        <w:t>and</w:t>
      </w:r>
      <w:r>
        <w:t xml:space="preserve"> </w:t>
      </w:r>
      <w:r w:rsidRPr="0071774C">
        <w:t>policy</w:t>
      </w:r>
      <w:r>
        <w:t xml:space="preserve"> </w:t>
      </w:r>
      <w:r w:rsidRPr="0071774C">
        <w:t>progress</w:t>
      </w:r>
      <w:r>
        <w:t xml:space="preserve"> </w:t>
      </w:r>
      <w:r w:rsidRPr="0071774C">
        <w:t>on</w:t>
      </w:r>
      <w:r>
        <w:t xml:space="preserve"> </w:t>
      </w:r>
      <w:r w:rsidRPr="0071774C">
        <w:t>the</w:t>
      </w:r>
      <w:r>
        <w:t xml:space="preserve"> </w:t>
      </w:r>
      <w:r w:rsidRPr="0071774C">
        <w:t>primary</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p>
    <w:p w14:paraId="4ED84BE1" w14:textId="1F3F7F1D" w:rsidR="002C2EC7" w:rsidRDefault="002C2EC7" w:rsidP="00790783">
      <w:pPr>
        <w:pStyle w:val="BodyText"/>
      </w:pPr>
      <w:r w:rsidRPr="0071774C">
        <w:t>Since</w:t>
      </w:r>
      <w:r>
        <w:t xml:space="preserve"> </w:t>
      </w:r>
      <w:r w:rsidRPr="0071774C">
        <w:t>the</w:t>
      </w:r>
      <w:r>
        <w:t xml:space="preserve"> </w:t>
      </w:r>
      <w:r w:rsidRPr="0071774C">
        <w:t>introduction</w:t>
      </w:r>
      <w:r>
        <w:t xml:space="preserve"> </w:t>
      </w:r>
      <w:r w:rsidRPr="0071774C">
        <w:t>of</w:t>
      </w:r>
      <w:r>
        <w:t xml:space="preserve"> </w:t>
      </w:r>
      <w:r w:rsidRPr="0071774C">
        <w:t>the</w:t>
      </w:r>
      <w:r>
        <w:t xml:space="preserve"> </w:t>
      </w:r>
      <w:r w:rsidRPr="004B6687">
        <w:t>National</w:t>
      </w:r>
      <w:r>
        <w:t xml:space="preserve"> </w:t>
      </w:r>
      <w:r w:rsidRPr="004B6687">
        <w:t>Plan</w:t>
      </w:r>
      <w:r w:rsidRPr="00B020F4">
        <w:t>,</w:t>
      </w:r>
      <w:r w:rsidRPr="001DE8F9">
        <w:rPr>
          <w:rStyle w:val="EndnoteReference"/>
        </w:rPr>
        <w:endnoteReference w:id="53"/>
      </w:r>
      <w:r>
        <w:t xml:space="preserve"> </w:t>
      </w:r>
      <w:r w:rsidRPr="0071774C">
        <w:t>the</w:t>
      </w:r>
      <w:r>
        <w:t xml:space="preserve"> </w:t>
      </w:r>
      <w:r w:rsidRPr="0071774C">
        <w:t>federal</w:t>
      </w:r>
      <w:r>
        <w:t xml:space="preserve"> </w:t>
      </w:r>
      <w:r w:rsidRPr="0071774C">
        <w:t>government</w:t>
      </w:r>
      <w:r>
        <w:t xml:space="preserve"> </w:t>
      </w:r>
      <w:r w:rsidRPr="0071774C">
        <w:t>and</w:t>
      </w:r>
      <w:r>
        <w:t xml:space="preserve"> </w:t>
      </w:r>
      <w:r w:rsidRPr="0071774C">
        <w:t>all</w:t>
      </w:r>
      <w:r>
        <w:t xml:space="preserve"> </w:t>
      </w:r>
      <w:r w:rsidRPr="0071774C">
        <w:t>states</w:t>
      </w:r>
      <w:r>
        <w:t xml:space="preserve"> </w:t>
      </w:r>
      <w:r w:rsidRPr="0071774C">
        <w:t>and</w:t>
      </w:r>
      <w:r>
        <w:t xml:space="preserve"> </w:t>
      </w:r>
      <w:r w:rsidRPr="0071774C">
        <w:t>territories</w:t>
      </w:r>
      <w:r>
        <w:t xml:space="preserve"> </w:t>
      </w:r>
      <w:r w:rsidRPr="0071774C">
        <w:t>have</w:t>
      </w:r>
      <w:r>
        <w:t xml:space="preserve"> </w:t>
      </w:r>
      <w:r w:rsidRPr="0071774C">
        <w:t>included</w:t>
      </w:r>
      <w:r w:rsidR="00E06ECC">
        <w:t xml:space="preserve"> </w:t>
      </w:r>
      <w:r w:rsidRPr="0071774C">
        <w:t>a</w:t>
      </w:r>
      <w:r>
        <w:t xml:space="preserve"> </w:t>
      </w:r>
      <w:r w:rsidRPr="0071774C">
        <w:t>focus</w:t>
      </w:r>
      <w:r>
        <w:t xml:space="preserve"> </w:t>
      </w:r>
      <w:r w:rsidRPr="0071774C">
        <w:t>on</w:t>
      </w:r>
      <w:r w:rsidR="002A6AC3">
        <w:t xml:space="preserve"> or mention of</w:t>
      </w:r>
      <w:r>
        <w:t xml:space="preserve"> </w:t>
      </w:r>
      <w:r w:rsidRPr="0071774C">
        <w:t>primary</w:t>
      </w:r>
      <w:r>
        <w:t xml:space="preserve"> </w:t>
      </w:r>
      <w:r w:rsidRPr="0071774C">
        <w:t>prevention</w:t>
      </w:r>
      <w:r>
        <w:t xml:space="preserve"> </w:t>
      </w:r>
      <w:r w:rsidRPr="0071774C">
        <w:t>within</w:t>
      </w:r>
      <w:r>
        <w:t xml:space="preserve"> </w:t>
      </w:r>
      <w:r w:rsidRPr="0071774C">
        <w:t>a</w:t>
      </w:r>
      <w:r>
        <w:t xml:space="preserve"> </w:t>
      </w:r>
      <w:r w:rsidRPr="0071774C">
        <w:t>relevant</w:t>
      </w:r>
      <w:r>
        <w:t xml:space="preserve"> </w:t>
      </w:r>
      <w:r w:rsidRPr="0071774C">
        <w:t>policy</w:t>
      </w:r>
      <w:r>
        <w:t xml:space="preserve"> </w:t>
      </w:r>
      <w:r w:rsidRPr="0071774C">
        <w:t>or</w:t>
      </w:r>
      <w:r>
        <w:t xml:space="preserve"> </w:t>
      </w:r>
      <w:r w:rsidRPr="0071774C">
        <w:t>strategy.</w:t>
      </w:r>
      <w:r>
        <w:t xml:space="preserve"> </w:t>
      </w:r>
      <w:r w:rsidRPr="0071774C">
        <w:t>M</w:t>
      </w:r>
      <w:r w:rsidRPr="09798773">
        <w:t>ost</w:t>
      </w:r>
      <w:r>
        <w:rPr>
          <w:bCs/>
        </w:rPr>
        <w:t xml:space="preserve"> </w:t>
      </w:r>
      <w:r w:rsidRPr="09798773">
        <w:t>state</w:t>
      </w:r>
      <w:r>
        <w:rPr>
          <w:bCs/>
        </w:rPr>
        <w:t xml:space="preserve"> </w:t>
      </w:r>
      <w:r w:rsidRPr="09798773">
        <w:t>and</w:t>
      </w:r>
      <w:r>
        <w:rPr>
          <w:bCs/>
        </w:rPr>
        <w:t xml:space="preserve"> </w:t>
      </w:r>
      <w:r w:rsidRPr="09798773">
        <w:t>territory</w:t>
      </w:r>
      <w:r>
        <w:rPr>
          <w:bCs/>
        </w:rPr>
        <w:t xml:space="preserve"> </w:t>
      </w:r>
      <w:r w:rsidRPr="09798773">
        <w:t>government</w:t>
      </w:r>
      <w:r>
        <w:rPr>
          <w:bCs/>
        </w:rPr>
        <w:t xml:space="preserve"> </w:t>
      </w:r>
      <w:r w:rsidRPr="09798773">
        <w:t>policies</w:t>
      </w:r>
      <w:r>
        <w:rPr>
          <w:bCs/>
        </w:rPr>
        <w:t xml:space="preserve"> </w:t>
      </w:r>
      <w:r w:rsidRPr="09798773">
        <w:t>on</w:t>
      </w:r>
      <w:r>
        <w:rPr>
          <w:bCs/>
        </w:rPr>
        <w:t xml:space="preserve"> </w:t>
      </w:r>
      <w:r w:rsidRPr="09798773">
        <w:t>violence</w:t>
      </w:r>
      <w:r>
        <w:rPr>
          <w:bCs/>
        </w:rPr>
        <w:t xml:space="preserve"> </w:t>
      </w:r>
      <w:r w:rsidRPr="09798773">
        <w:t>against</w:t>
      </w:r>
      <w:r>
        <w:rPr>
          <w:bCs/>
        </w:rPr>
        <w:t xml:space="preserve"> </w:t>
      </w:r>
      <w:r w:rsidRPr="09798773">
        <w:t>women,</w:t>
      </w:r>
      <w:r>
        <w:rPr>
          <w:bCs/>
        </w:rPr>
        <w:t xml:space="preserve"> </w:t>
      </w:r>
      <w:r w:rsidRPr="09798773">
        <w:t>domestic</w:t>
      </w:r>
      <w:r>
        <w:rPr>
          <w:bCs/>
        </w:rPr>
        <w:t xml:space="preserve"> </w:t>
      </w:r>
      <w:r w:rsidRPr="09798773">
        <w:t>and</w:t>
      </w:r>
      <w:r>
        <w:rPr>
          <w:bCs/>
        </w:rPr>
        <w:t xml:space="preserve"> </w:t>
      </w:r>
      <w:r w:rsidRPr="09798773">
        <w:t>family</w:t>
      </w:r>
      <w:r>
        <w:rPr>
          <w:bCs/>
        </w:rPr>
        <w:t xml:space="preserve"> </w:t>
      </w:r>
      <w:r w:rsidRPr="09798773">
        <w:t>violence,</w:t>
      </w:r>
      <w:r>
        <w:rPr>
          <w:bCs/>
        </w:rPr>
        <w:t xml:space="preserve"> </w:t>
      </w:r>
      <w:r w:rsidRPr="09798773">
        <w:t>and</w:t>
      </w:r>
      <w:r>
        <w:rPr>
          <w:bCs/>
        </w:rPr>
        <w:t xml:space="preserve"> </w:t>
      </w:r>
      <w:r w:rsidRPr="09798773">
        <w:t>sexual</w:t>
      </w:r>
      <w:r>
        <w:rPr>
          <w:bCs/>
        </w:rPr>
        <w:t xml:space="preserve"> </w:t>
      </w:r>
      <w:r w:rsidRPr="09798773">
        <w:t>violence</w:t>
      </w:r>
      <w:r>
        <w:rPr>
          <w:bCs/>
        </w:rPr>
        <w:t xml:space="preserve"> </w:t>
      </w:r>
      <w:r w:rsidRPr="09798773">
        <w:t>identify</w:t>
      </w:r>
      <w:r>
        <w:rPr>
          <w:bCs/>
        </w:rPr>
        <w:t xml:space="preserve"> </w:t>
      </w:r>
      <w:r w:rsidRPr="09798773">
        <w:t>primary</w:t>
      </w:r>
      <w:r>
        <w:rPr>
          <w:bCs/>
        </w:rPr>
        <w:t xml:space="preserve"> </w:t>
      </w:r>
      <w:r w:rsidRPr="09798773">
        <w:t>prevention</w:t>
      </w:r>
      <w:r>
        <w:rPr>
          <w:bCs/>
        </w:rPr>
        <w:t xml:space="preserve"> </w:t>
      </w:r>
      <w:r w:rsidRPr="09798773">
        <w:t>as</w:t>
      </w:r>
      <w:r>
        <w:rPr>
          <w:bCs/>
        </w:rPr>
        <w:t xml:space="preserve"> </w:t>
      </w:r>
      <w:r w:rsidRPr="09798773">
        <w:t>a</w:t>
      </w:r>
      <w:r>
        <w:rPr>
          <w:bCs/>
        </w:rPr>
        <w:t xml:space="preserve"> </w:t>
      </w:r>
      <w:r w:rsidRPr="09798773">
        <w:t>priority.</w:t>
      </w:r>
      <w:r>
        <w:t xml:space="preserve"> </w:t>
      </w:r>
      <w:r w:rsidRPr="0071774C">
        <w:t>Furthermore,</w:t>
      </w:r>
      <w:r>
        <w:t xml:space="preserve"> </w:t>
      </w:r>
      <w:r w:rsidRPr="0071774C">
        <w:t>the</w:t>
      </w:r>
      <w:r>
        <w:t xml:space="preserve"> </w:t>
      </w:r>
      <w:r w:rsidRPr="0071774C">
        <w:t>majority</w:t>
      </w:r>
      <w:r>
        <w:t xml:space="preserve"> </w:t>
      </w:r>
      <w:r w:rsidRPr="0071774C">
        <w:t>of</w:t>
      </w:r>
      <w:r>
        <w:t xml:space="preserve"> </w:t>
      </w:r>
      <w:r w:rsidRPr="0071774C">
        <w:t>policy</w:t>
      </w:r>
      <w:r>
        <w:t xml:space="preserve"> </w:t>
      </w:r>
      <w:r w:rsidRPr="0071774C">
        <w:t>documents</w:t>
      </w:r>
      <w:r>
        <w:t xml:space="preserve"> </w:t>
      </w:r>
      <w:r w:rsidRPr="0071774C">
        <w:t>analysed</w:t>
      </w:r>
      <w:r>
        <w:t xml:space="preserve"> </w:t>
      </w:r>
      <w:r w:rsidRPr="0071774C">
        <w:t>across</w:t>
      </w:r>
      <w:r>
        <w:t xml:space="preserve"> </w:t>
      </w:r>
      <w:r w:rsidRPr="0071774C">
        <w:t>jurisdictions</w:t>
      </w:r>
      <w:r>
        <w:t xml:space="preserve"> </w:t>
      </w:r>
      <w:r w:rsidRPr="0071774C">
        <w:t>refer</w:t>
      </w:r>
      <w:r>
        <w:t xml:space="preserve"> </w:t>
      </w:r>
      <w:r w:rsidRPr="0071774C">
        <w:t>to</w:t>
      </w:r>
      <w:r>
        <w:t xml:space="preserve"> </w:t>
      </w:r>
      <w:r w:rsidRPr="00ED4674">
        <w:rPr>
          <w:rStyle w:val="Emphasis"/>
        </w:rPr>
        <w:t>Change the story: A shared framework to prevent violence against women and their children</w:t>
      </w:r>
      <w:r>
        <w:t>,</w:t>
      </w:r>
      <w:r w:rsidRPr="001DE8F9">
        <w:rPr>
          <w:rStyle w:val="EndnoteReference"/>
        </w:rPr>
        <w:endnoteReference w:id="54"/>
      </w:r>
      <w:r>
        <w:t xml:space="preserve"> </w:t>
      </w:r>
      <w:r w:rsidRPr="0071774C">
        <w:t>take</w:t>
      </w:r>
      <w:r>
        <w:t xml:space="preserve"> </w:t>
      </w:r>
      <w:r w:rsidRPr="0071774C">
        <w:t>a</w:t>
      </w:r>
      <w:r>
        <w:t xml:space="preserve"> </w:t>
      </w:r>
      <w:r w:rsidRPr="0071774C">
        <w:t>gendered</w:t>
      </w:r>
      <w:r>
        <w:t xml:space="preserve"> </w:t>
      </w:r>
      <w:r w:rsidRPr="0071774C">
        <w:t>approach</w:t>
      </w:r>
      <w:r>
        <w:t xml:space="preserve"> </w:t>
      </w:r>
      <w:r w:rsidRPr="0071774C">
        <w:t>and</w:t>
      </w:r>
      <w:r>
        <w:t xml:space="preserve"> </w:t>
      </w:r>
      <w:r w:rsidRPr="0071774C">
        <w:t>refer</w:t>
      </w:r>
      <w:r>
        <w:t xml:space="preserve"> </w:t>
      </w:r>
      <w:r w:rsidRPr="0071774C">
        <w:t>to</w:t>
      </w:r>
      <w:r>
        <w:t xml:space="preserve"> </w:t>
      </w:r>
      <w:r w:rsidRPr="0071774C">
        <w:t>the</w:t>
      </w:r>
      <w:r>
        <w:t xml:space="preserve"> </w:t>
      </w:r>
      <w:r w:rsidRPr="0071774C">
        <w:t>gendered</w:t>
      </w:r>
      <w:r>
        <w:t xml:space="preserve"> </w:t>
      </w:r>
      <w:r w:rsidRPr="0071774C">
        <w:t>drivers</w:t>
      </w:r>
      <w:r>
        <w:t xml:space="preserve"> </w:t>
      </w:r>
      <w:r w:rsidRPr="0071774C">
        <w:t>of</w:t>
      </w:r>
      <w:r>
        <w:t xml:space="preserve"> </w:t>
      </w:r>
      <w:r w:rsidRPr="0071774C">
        <w:t>violence</w:t>
      </w:r>
      <w:r>
        <w:t xml:space="preserve"> </w:t>
      </w:r>
      <w:r w:rsidRPr="0071774C">
        <w:t>against</w:t>
      </w:r>
      <w:r>
        <w:t xml:space="preserve"> </w:t>
      </w:r>
      <w:r w:rsidRPr="0071774C">
        <w:t>women.</w:t>
      </w:r>
    </w:p>
    <w:p w14:paraId="5AE3E8B4" w14:textId="3AAAE031" w:rsidR="002C2EC7" w:rsidRDefault="002C2EC7" w:rsidP="00790783">
      <w:pPr>
        <w:pStyle w:val="BodyText"/>
      </w:pPr>
      <w:r w:rsidRPr="0071774C">
        <w:t>These</w:t>
      </w:r>
      <w:r>
        <w:t xml:space="preserve"> </w:t>
      </w:r>
      <w:r w:rsidRPr="0071774C">
        <w:t>are</w:t>
      </w:r>
      <w:r>
        <w:t xml:space="preserve"> </w:t>
      </w:r>
      <w:r w:rsidRPr="0071774C">
        <w:t>extremely</w:t>
      </w:r>
      <w:r>
        <w:t xml:space="preserve"> </w:t>
      </w:r>
      <w:r w:rsidRPr="0071774C">
        <w:t>positive</w:t>
      </w:r>
      <w:r>
        <w:t xml:space="preserve"> </w:t>
      </w:r>
      <w:r w:rsidRPr="0071774C">
        <w:t>developments.</w:t>
      </w:r>
      <w:r>
        <w:t xml:space="preserve"> </w:t>
      </w:r>
      <w:r w:rsidRPr="0071774C">
        <w:t>Increasingly</w:t>
      </w:r>
      <w:r>
        <w:t xml:space="preserve"> </w:t>
      </w:r>
      <w:r w:rsidRPr="0071774C">
        <w:t>primary</w:t>
      </w:r>
      <w:r>
        <w:t xml:space="preserve"> </w:t>
      </w:r>
      <w:r w:rsidRPr="0071774C">
        <w:t>prevention</w:t>
      </w:r>
      <w:r>
        <w:t xml:space="preserve"> </w:t>
      </w:r>
      <w:r w:rsidRPr="0071774C">
        <w:t>is</w:t>
      </w:r>
      <w:r>
        <w:t xml:space="preserve"> </w:t>
      </w:r>
      <w:r w:rsidRPr="0071774C">
        <w:t>being</w:t>
      </w:r>
      <w:r>
        <w:t xml:space="preserve"> </w:t>
      </w:r>
      <w:r w:rsidRPr="0071774C">
        <w:t>situated</w:t>
      </w:r>
      <w:r>
        <w:t xml:space="preserve"> </w:t>
      </w:r>
      <w:r w:rsidRPr="0071774C">
        <w:t>alongside</w:t>
      </w:r>
      <w:r>
        <w:t xml:space="preserve"> </w:t>
      </w:r>
      <w:r w:rsidRPr="0071774C">
        <w:t>early</w:t>
      </w:r>
      <w:r>
        <w:t xml:space="preserve"> </w:t>
      </w:r>
      <w:r w:rsidRPr="0071774C">
        <w:t>intervention</w:t>
      </w:r>
      <w:r>
        <w:t xml:space="preserve"> </w:t>
      </w:r>
      <w:r w:rsidRPr="0071774C">
        <w:t>and</w:t>
      </w:r>
      <w:r>
        <w:t xml:space="preserve"> </w:t>
      </w:r>
      <w:r w:rsidRPr="0071774C">
        <w:t>response,</w:t>
      </w:r>
      <w:r>
        <w:t xml:space="preserve"> </w:t>
      </w:r>
      <w:r w:rsidRPr="0071774C">
        <w:t>and</w:t>
      </w:r>
      <w:r>
        <w:t xml:space="preserve"> </w:t>
      </w:r>
      <w:r w:rsidRPr="0071774C">
        <w:t>policies</w:t>
      </w:r>
      <w:r>
        <w:t xml:space="preserve"> </w:t>
      </w:r>
      <w:r w:rsidRPr="0071774C">
        <w:t>are</w:t>
      </w:r>
      <w:r>
        <w:t xml:space="preserve"> </w:t>
      </w:r>
      <w:r w:rsidRPr="0071774C">
        <w:t>acknowledging</w:t>
      </w:r>
      <w:r>
        <w:t xml:space="preserve"> </w:t>
      </w:r>
      <w:r w:rsidRPr="0071774C">
        <w:t>the</w:t>
      </w:r>
      <w:r>
        <w:t xml:space="preserve"> </w:t>
      </w:r>
      <w:r w:rsidRPr="0071774C">
        <w:t>need</w:t>
      </w:r>
      <w:r>
        <w:t xml:space="preserve"> </w:t>
      </w:r>
      <w:r w:rsidRPr="0071774C">
        <w:t>for</w:t>
      </w:r>
      <w:r>
        <w:t xml:space="preserve"> </w:t>
      </w:r>
      <w:r w:rsidRPr="0071774C">
        <w:t>action</w:t>
      </w:r>
      <w:r>
        <w:t xml:space="preserve"> </w:t>
      </w:r>
      <w:r w:rsidRPr="0071774C">
        <w:t>across</w:t>
      </w:r>
      <w:r>
        <w:t xml:space="preserve"> </w:t>
      </w:r>
      <w:r w:rsidRPr="0071774C">
        <w:t>this</w:t>
      </w:r>
      <w:r>
        <w:t xml:space="preserve"> </w:t>
      </w:r>
      <w:r w:rsidRPr="0071774C">
        <w:t>entire</w:t>
      </w:r>
      <w:r>
        <w:t xml:space="preserve"> </w:t>
      </w:r>
      <w:r w:rsidRPr="0071774C">
        <w:t>spectrum.</w:t>
      </w:r>
      <w:r>
        <w:t xml:space="preserve"> </w:t>
      </w:r>
      <w:r w:rsidRPr="0071774C">
        <w:t>The</w:t>
      </w:r>
      <w:r>
        <w:t xml:space="preserve"> </w:t>
      </w:r>
      <w:r w:rsidRPr="0071774C">
        <w:t>specific</w:t>
      </w:r>
      <w:r>
        <w:t xml:space="preserve"> </w:t>
      </w:r>
      <w:r w:rsidRPr="0071774C">
        <w:t>inclusion</w:t>
      </w:r>
      <w:r>
        <w:t xml:space="preserve"> </w:t>
      </w:r>
      <w:r w:rsidRPr="0071774C">
        <w:t>of</w:t>
      </w:r>
      <w:r>
        <w:t xml:space="preserve"> </w:t>
      </w:r>
      <w:r w:rsidRPr="0071774C">
        <w:t>primary</w:t>
      </w:r>
      <w:r>
        <w:t xml:space="preserve"> </w:t>
      </w:r>
      <w:r w:rsidRPr="0071774C">
        <w:t>prevention</w:t>
      </w:r>
      <w:r>
        <w:t xml:space="preserve"> </w:t>
      </w:r>
      <w:r w:rsidRPr="0071774C">
        <w:t>in</w:t>
      </w:r>
      <w:r>
        <w:t xml:space="preserve"> </w:t>
      </w:r>
      <w:r w:rsidRPr="0071774C">
        <w:t>the</w:t>
      </w:r>
      <w:r>
        <w:t xml:space="preserve"> </w:t>
      </w:r>
      <w:r w:rsidRPr="0071774C">
        <w:t>framing</w:t>
      </w:r>
      <w:r>
        <w:t xml:space="preserve"> </w:t>
      </w:r>
      <w:r w:rsidRPr="0071774C">
        <w:t>of</w:t>
      </w:r>
      <w:r>
        <w:t xml:space="preserve"> </w:t>
      </w:r>
      <w:r w:rsidRPr="0071774C">
        <w:t>such</w:t>
      </w:r>
      <w:r>
        <w:t xml:space="preserve"> </w:t>
      </w:r>
      <w:r w:rsidRPr="0071774C">
        <w:t>policies,</w:t>
      </w:r>
      <w:r>
        <w:t xml:space="preserve"> </w:t>
      </w:r>
      <w:r w:rsidRPr="0071774C">
        <w:t>and</w:t>
      </w:r>
      <w:r>
        <w:t xml:space="preserve"> </w:t>
      </w:r>
      <w:r w:rsidRPr="0071774C">
        <w:t>the</w:t>
      </w:r>
      <w:r>
        <w:t xml:space="preserve"> </w:t>
      </w:r>
      <w:r w:rsidRPr="0071774C">
        <w:t>degree</w:t>
      </w:r>
      <w:r>
        <w:t xml:space="preserve"> </w:t>
      </w:r>
      <w:r w:rsidRPr="0071774C">
        <w:t>to</w:t>
      </w:r>
      <w:r>
        <w:t xml:space="preserve"> </w:t>
      </w:r>
      <w:r w:rsidRPr="0071774C">
        <w:t>which</w:t>
      </w:r>
      <w:r>
        <w:t xml:space="preserve"> </w:t>
      </w:r>
      <w:r w:rsidRPr="0071774C">
        <w:t>they</w:t>
      </w:r>
      <w:r>
        <w:t xml:space="preserve"> </w:t>
      </w:r>
      <w:r w:rsidRPr="0071774C">
        <w:t>reference</w:t>
      </w:r>
      <w:r>
        <w:t xml:space="preserve"> </w:t>
      </w:r>
      <w:r w:rsidRPr="0071774C">
        <w:t>the</w:t>
      </w:r>
      <w:r>
        <w:t xml:space="preserve"> </w:t>
      </w:r>
      <w:r w:rsidRPr="0071774C">
        <w:t>national</w:t>
      </w:r>
      <w:r>
        <w:t xml:space="preserve"> </w:t>
      </w:r>
      <w:r w:rsidRPr="0071774C">
        <w:t>framework</w:t>
      </w:r>
      <w:r>
        <w:t xml:space="preserve">, </w:t>
      </w:r>
      <w:r w:rsidRPr="0071774C">
        <w:t>is</w:t>
      </w:r>
      <w:r w:rsidR="00851841">
        <w:t> </w:t>
      </w:r>
      <w:r w:rsidRPr="0071774C">
        <w:t>a</w:t>
      </w:r>
      <w:r>
        <w:t xml:space="preserve"> </w:t>
      </w:r>
      <w:r w:rsidRPr="0071774C">
        <w:t>strong</w:t>
      </w:r>
      <w:r>
        <w:t xml:space="preserve"> </w:t>
      </w:r>
      <w:r w:rsidRPr="0071774C">
        <w:t>recognition</w:t>
      </w:r>
      <w:r>
        <w:t xml:space="preserve"> </w:t>
      </w:r>
      <w:r w:rsidRPr="0071774C">
        <w:t>of</w:t>
      </w:r>
      <w:r>
        <w:t xml:space="preserve"> </w:t>
      </w:r>
      <w:r w:rsidRPr="0071774C">
        <w:t>the</w:t>
      </w:r>
      <w:r>
        <w:t xml:space="preserve"> </w:t>
      </w:r>
      <w:r w:rsidRPr="0071774C">
        <w:t>need</w:t>
      </w:r>
      <w:r>
        <w:t xml:space="preserve"> </w:t>
      </w:r>
      <w:r w:rsidRPr="0071774C">
        <w:t>to</w:t>
      </w:r>
      <w:r>
        <w:t xml:space="preserve"> </w:t>
      </w:r>
      <w:r w:rsidRPr="0071774C">
        <w:t>undertake</w:t>
      </w:r>
      <w:r>
        <w:t xml:space="preserve"> </w:t>
      </w:r>
      <w:r w:rsidRPr="0071774C">
        <w:t>work</w:t>
      </w:r>
      <w:r>
        <w:t xml:space="preserve"> </w:t>
      </w:r>
      <w:r w:rsidRPr="0071774C">
        <w:t>to</w:t>
      </w:r>
      <w:r>
        <w:t xml:space="preserve"> </w:t>
      </w:r>
      <w:r w:rsidRPr="0071774C">
        <w:t>address</w:t>
      </w:r>
      <w:r>
        <w:t xml:space="preserve"> </w:t>
      </w:r>
      <w:r w:rsidRPr="0071774C">
        <w:t>the</w:t>
      </w:r>
      <w:r>
        <w:t xml:space="preserve"> </w:t>
      </w:r>
      <w:r w:rsidRPr="0071774C">
        <w:t>underlying</w:t>
      </w:r>
      <w:r>
        <w:t xml:space="preserve"> </w:t>
      </w:r>
      <w:r w:rsidRPr="0071774C">
        <w:t>drivers</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and</w:t>
      </w:r>
      <w:r>
        <w:t xml:space="preserve"> </w:t>
      </w:r>
      <w:r w:rsidRPr="0071774C">
        <w:t>promote</w:t>
      </w:r>
      <w:r>
        <w:t xml:space="preserve"> </w:t>
      </w:r>
      <w:r w:rsidRPr="0071774C">
        <w:t>gender</w:t>
      </w:r>
      <w:r>
        <w:t xml:space="preserve"> </w:t>
      </w:r>
      <w:r w:rsidRPr="0071774C">
        <w:t>equality</w:t>
      </w:r>
      <w:r>
        <w:t xml:space="preserve"> </w:t>
      </w:r>
      <w:r w:rsidRPr="0071774C">
        <w:t>in</w:t>
      </w:r>
      <w:r>
        <w:t xml:space="preserve"> </w:t>
      </w:r>
      <w:r w:rsidRPr="0071774C">
        <w:t>order</w:t>
      </w:r>
      <w:r>
        <w:t xml:space="preserve"> </w:t>
      </w:r>
      <w:r w:rsidRPr="0071774C">
        <w:t>to</w:t>
      </w:r>
      <w:r>
        <w:t xml:space="preserve"> </w:t>
      </w:r>
      <w:r w:rsidRPr="0071774C">
        <w:t>create</w:t>
      </w:r>
      <w:r>
        <w:t xml:space="preserve"> </w:t>
      </w:r>
      <w:r w:rsidRPr="0071774C">
        <w:t>sustained,</w:t>
      </w:r>
      <w:r>
        <w:t xml:space="preserve"> </w:t>
      </w:r>
      <w:r w:rsidRPr="0071774C">
        <w:t>population-level</w:t>
      </w:r>
      <w:r>
        <w:t xml:space="preserve"> </w:t>
      </w:r>
      <w:r w:rsidRPr="0071774C">
        <w:t>change</w:t>
      </w:r>
      <w:r>
        <w:t xml:space="preserve"> </w:t>
      </w:r>
      <w:r w:rsidRPr="0071774C">
        <w:t>to</w:t>
      </w:r>
      <w:r>
        <w:t xml:space="preserve"> </w:t>
      </w:r>
      <w:r w:rsidRPr="0071774C">
        <w:t>prevalence</w:t>
      </w:r>
      <w:r>
        <w:t xml:space="preserve"> </w:t>
      </w:r>
      <w:r w:rsidRPr="0071774C">
        <w:t>rates.</w:t>
      </w:r>
    </w:p>
    <w:p w14:paraId="746325CB" w14:textId="77777777" w:rsidR="002C2EC7" w:rsidRDefault="002C2EC7" w:rsidP="00790783">
      <w:pPr>
        <w:pStyle w:val="BodyText"/>
        <w:rPr>
          <w:color w:val="222222"/>
        </w:rPr>
      </w:pPr>
      <w:r w:rsidRPr="0071774C">
        <w:t>While</w:t>
      </w:r>
      <w:r>
        <w:t xml:space="preserve"> </w:t>
      </w:r>
      <w:r w:rsidRPr="0071774C">
        <w:t>this</w:t>
      </w:r>
      <w:r>
        <w:t xml:space="preserve"> </w:t>
      </w:r>
      <w:r w:rsidRPr="0071774C">
        <w:t>project</w:t>
      </w:r>
      <w:r>
        <w:t xml:space="preserve"> </w:t>
      </w:r>
      <w:r w:rsidRPr="0071774C">
        <w:t>did</w:t>
      </w:r>
      <w:r>
        <w:t xml:space="preserve"> </w:t>
      </w:r>
      <w:r w:rsidRPr="0071774C">
        <w:t>not</w:t>
      </w:r>
      <w:r>
        <w:t xml:space="preserve"> </w:t>
      </w:r>
      <w:r w:rsidRPr="0071774C">
        <w:t>have</w:t>
      </w:r>
      <w:r>
        <w:t xml:space="preserve"> </w:t>
      </w:r>
      <w:r w:rsidRPr="0071774C">
        <w:t>the</w:t>
      </w:r>
      <w:r>
        <w:t xml:space="preserve"> </w:t>
      </w:r>
      <w:r w:rsidRPr="0071774C">
        <w:t>capacity</w:t>
      </w:r>
      <w:r>
        <w:t xml:space="preserve"> </w:t>
      </w:r>
      <w:r w:rsidRPr="0071774C">
        <w:t>to</w:t>
      </w:r>
      <w:r>
        <w:t xml:space="preserve"> </w:t>
      </w:r>
      <w:r w:rsidRPr="0071774C">
        <w:t>analyse</w:t>
      </w:r>
      <w:r>
        <w:t xml:space="preserve"> </w:t>
      </w:r>
      <w:r w:rsidRPr="0071774C">
        <w:t>all</w:t>
      </w:r>
      <w:r>
        <w:t xml:space="preserve"> </w:t>
      </w:r>
      <w:r w:rsidRPr="0071774C">
        <w:t>local</w:t>
      </w:r>
      <w:r>
        <w:t xml:space="preserve"> </w:t>
      </w:r>
      <w:r w:rsidRPr="0071774C">
        <w:t>government</w:t>
      </w:r>
      <w:r>
        <w:t xml:space="preserve"> </w:t>
      </w:r>
      <w:r w:rsidRPr="0071774C">
        <w:t>strategies</w:t>
      </w:r>
      <w:r>
        <w:t xml:space="preserve"> </w:t>
      </w:r>
      <w:r w:rsidRPr="0071774C">
        <w:t>and</w:t>
      </w:r>
      <w:r>
        <w:t xml:space="preserve"> </w:t>
      </w:r>
      <w:r w:rsidRPr="0071774C">
        <w:t>plans</w:t>
      </w:r>
      <w:r>
        <w:t xml:space="preserve"> </w:t>
      </w:r>
      <w:r w:rsidRPr="0071774C">
        <w:t>across</w:t>
      </w:r>
      <w:r>
        <w:t xml:space="preserve"> </w:t>
      </w:r>
      <w:r w:rsidRPr="0071774C">
        <w:t>Australia,</w:t>
      </w:r>
      <w:r>
        <w:t xml:space="preserve"> </w:t>
      </w:r>
      <w:r w:rsidRPr="0071774C">
        <w:t>a</w:t>
      </w:r>
      <w:r>
        <w:t xml:space="preserve"> </w:t>
      </w:r>
      <w:r w:rsidRPr="0071774C">
        <w:t>review</w:t>
      </w:r>
      <w:r>
        <w:t xml:space="preserve"> </w:t>
      </w:r>
      <w:r w:rsidRPr="0071774C">
        <w:t>of</w:t>
      </w:r>
      <w:r>
        <w:t xml:space="preserve"> </w:t>
      </w:r>
      <w:r w:rsidRPr="0071774C">
        <w:t>a</w:t>
      </w:r>
      <w:r>
        <w:t xml:space="preserve"> </w:t>
      </w:r>
      <w:r w:rsidRPr="0071774C">
        <w:t>random</w:t>
      </w:r>
      <w:r>
        <w:t xml:space="preserve"> </w:t>
      </w:r>
      <w:r w:rsidRPr="0071774C">
        <w:t>sample</w:t>
      </w:r>
      <w:r>
        <w:t xml:space="preserve"> </w:t>
      </w:r>
      <w:r w:rsidRPr="0071774C">
        <w:t>of</w:t>
      </w:r>
      <w:r>
        <w:t xml:space="preserve"> </w:t>
      </w:r>
      <w:r w:rsidRPr="0071774C">
        <w:t>local</w:t>
      </w:r>
      <w:r>
        <w:t xml:space="preserve"> </w:t>
      </w:r>
      <w:r w:rsidRPr="0071774C">
        <w:t>government</w:t>
      </w:r>
      <w:r>
        <w:t xml:space="preserve"> </w:t>
      </w:r>
      <w:r w:rsidRPr="0071774C">
        <w:t>plans</w:t>
      </w:r>
      <w:r>
        <w:t xml:space="preserve"> </w:t>
      </w:r>
      <w:r w:rsidRPr="0071774C">
        <w:t>and</w:t>
      </w:r>
      <w:r>
        <w:t xml:space="preserve"> </w:t>
      </w:r>
      <w:r w:rsidRPr="0071774C">
        <w:t>strategies</w:t>
      </w:r>
      <w:r>
        <w:t xml:space="preserve"> </w:t>
      </w:r>
      <w:r w:rsidRPr="0071774C">
        <w:t>across</w:t>
      </w:r>
      <w:r>
        <w:t xml:space="preserve"> </w:t>
      </w:r>
      <w:r w:rsidRPr="0071774C">
        <w:t>a</w:t>
      </w:r>
      <w:r>
        <w:t xml:space="preserve"> </w:t>
      </w:r>
      <w:r w:rsidRPr="0071774C">
        <w:t>number</w:t>
      </w:r>
      <w:r>
        <w:t xml:space="preserve"> </w:t>
      </w:r>
      <w:r w:rsidRPr="0071774C">
        <w:t>of</w:t>
      </w:r>
      <w:r>
        <w:t xml:space="preserve"> </w:t>
      </w:r>
      <w:r w:rsidRPr="0071774C">
        <w:t>jurisdictions</w:t>
      </w:r>
      <w:r>
        <w:t xml:space="preserve"> </w:t>
      </w:r>
      <w:r w:rsidRPr="0071774C">
        <w:t>revealed</w:t>
      </w:r>
      <w:r>
        <w:t xml:space="preserve"> </w:t>
      </w:r>
      <w:r w:rsidRPr="0071774C">
        <w:t>that</w:t>
      </w:r>
      <w:r>
        <w:t xml:space="preserve"> </w:t>
      </w:r>
      <w:r w:rsidRPr="0071774C">
        <w:t>at</w:t>
      </w:r>
      <w:r>
        <w:t xml:space="preserve"> </w:t>
      </w:r>
      <w:r w:rsidRPr="0071774C">
        <w:t>the</w:t>
      </w:r>
      <w:r>
        <w:t xml:space="preserve"> </w:t>
      </w:r>
      <w:r w:rsidRPr="0071774C">
        <w:t>local</w:t>
      </w:r>
      <w:r>
        <w:t xml:space="preserve"> </w:t>
      </w:r>
      <w:r w:rsidRPr="0071774C">
        <w:t>government</w:t>
      </w:r>
      <w:r>
        <w:t xml:space="preserve"> </w:t>
      </w:r>
      <w:r w:rsidRPr="0071774C">
        <w:t>level,</w:t>
      </w:r>
      <w:r>
        <w:t xml:space="preserve"> </w:t>
      </w:r>
      <w:r w:rsidRPr="0071774C">
        <w:t>policy</w:t>
      </w:r>
      <w:r>
        <w:t xml:space="preserve"> </w:t>
      </w:r>
      <w:r w:rsidRPr="0071774C">
        <w:t>reform</w:t>
      </w:r>
      <w:r>
        <w:t xml:space="preserve"> </w:t>
      </w:r>
      <w:r w:rsidRPr="0071774C">
        <w:t>to</w:t>
      </w:r>
      <w:r>
        <w:t xml:space="preserve"> </w:t>
      </w:r>
      <w:r w:rsidRPr="0071774C">
        <w:t>prevent</w:t>
      </w:r>
      <w:r>
        <w:t xml:space="preserve"> </w:t>
      </w:r>
      <w:r w:rsidRPr="0071774C">
        <w:t>violence</w:t>
      </w:r>
      <w:r>
        <w:t xml:space="preserve"> </w:t>
      </w:r>
      <w:r w:rsidRPr="0071774C">
        <w:t>against</w:t>
      </w:r>
      <w:r>
        <w:t xml:space="preserve"> </w:t>
      </w:r>
      <w:r w:rsidRPr="0071774C">
        <w:t>women</w:t>
      </w:r>
      <w:r>
        <w:t xml:space="preserve"> </w:t>
      </w:r>
      <w:r w:rsidRPr="0071774C">
        <w:t>is</w:t>
      </w:r>
      <w:r>
        <w:t xml:space="preserve"> </w:t>
      </w:r>
      <w:r w:rsidRPr="0071774C">
        <w:t>less</w:t>
      </w:r>
      <w:r>
        <w:t xml:space="preserve"> </w:t>
      </w:r>
      <w:r w:rsidRPr="0071774C">
        <w:t>consistent.</w:t>
      </w:r>
      <w:r>
        <w:t xml:space="preserve"> </w:t>
      </w:r>
      <w:r w:rsidRPr="0071774C">
        <w:t>Some</w:t>
      </w:r>
      <w:r>
        <w:t xml:space="preserve"> </w:t>
      </w:r>
      <w:r w:rsidRPr="0071774C">
        <w:t>local</w:t>
      </w:r>
      <w:r>
        <w:t xml:space="preserve"> </w:t>
      </w:r>
      <w:r w:rsidRPr="0071774C">
        <w:t>governments</w:t>
      </w:r>
      <w:r>
        <w:t xml:space="preserve"> </w:t>
      </w:r>
      <w:r w:rsidRPr="0071774C">
        <w:t>have</w:t>
      </w:r>
      <w:r>
        <w:t xml:space="preserve"> </w:t>
      </w:r>
      <w:r w:rsidRPr="0071774C">
        <w:t>developed</w:t>
      </w:r>
      <w:r>
        <w:t xml:space="preserve"> </w:t>
      </w:r>
      <w:r w:rsidRPr="0071774C">
        <w:t>policies,</w:t>
      </w:r>
      <w:r>
        <w:t xml:space="preserve"> </w:t>
      </w:r>
      <w:r w:rsidRPr="0071774C">
        <w:t>plans</w:t>
      </w:r>
      <w:r>
        <w:t xml:space="preserve"> </w:t>
      </w:r>
      <w:r w:rsidRPr="0071774C">
        <w:t>or</w:t>
      </w:r>
      <w:r>
        <w:t xml:space="preserve"> </w:t>
      </w:r>
      <w:r w:rsidRPr="0071774C">
        <w:t>strategies</w:t>
      </w:r>
      <w:r>
        <w:t xml:space="preserve"> </w:t>
      </w:r>
      <w:r w:rsidRPr="0071774C">
        <w:t>that</w:t>
      </w:r>
      <w:r>
        <w:t xml:space="preserve"> </w:t>
      </w:r>
      <w:r w:rsidRPr="0071774C">
        <w:t>refer</w:t>
      </w:r>
      <w:r>
        <w:t xml:space="preserve"> </w:t>
      </w:r>
      <w:r w:rsidRPr="0071774C">
        <w:t>to</w:t>
      </w:r>
      <w:r>
        <w:t xml:space="preserve"> </w:t>
      </w:r>
      <w:r w:rsidRPr="0071774C">
        <w:t>the</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or</w:t>
      </w:r>
      <w:r>
        <w:t xml:space="preserve"> </w:t>
      </w:r>
      <w:r w:rsidRPr="0071774C">
        <w:t>gender</w:t>
      </w:r>
      <w:r>
        <w:t xml:space="preserve"> </w:t>
      </w:r>
      <w:r w:rsidRPr="0071774C">
        <w:t>equality.</w:t>
      </w:r>
      <w:r>
        <w:t xml:space="preserve"> </w:t>
      </w:r>
      <w:r w:rsidRPr="0071774C">
        <w:t>However,</w:t>
      </w:r>
      <w:r>
        <w:t xml:space="preserve"> </w:t>
      </w:r>
      <w:r w:rsidRPr="0071774C">
        <w:t>the</w:t>
      </w:r>
      <w:r>
        <w:t xml:space="preserve"> </w:t>
      </w:r>
      <w:r w:rsidRPr="0071774C">
        <w:t>primary</w:t>
      </w:r>
      <w:r>
        <w:t xml:space="preserve"> </w:t>
      </w:r>
      <w:r w:rsidRPr="0071774C">
        <w:t>prevention</w:t>
      </w:r>
      <w:r>
        <w:t xml:space="preserve"> </w:t>
      </w:r>
      <w:r w:rsidRPr="0071774C">
        <w:t>focus</w:t>
      </w:r>
      <w:r>
        <w:t xml:space="preserve"> </w:t>
      </w:r>
      <w:r w:rsidRPr="0071774C">
        <w:t>seems</w:t>
      </w:r>
      <w:r>
        <w:t xml:space="preserve"> </w:t>
      </w:r>
      <w:r w:rsidRPr="0071774C">
        <w:t>unevenly</w:t>
      </w:r>
      <w:r>
        <w:t xml:space="preserve"> </w:t>
      </w:r>
      <w:r w:rsidRPr="0071774C">
        <w:t>distributed</w:t>
      </w:r>
      <w:r>
        <w:t xml:space="preserve"> </w:t>
      </w:r>
      <w:r w:rsidRPr="0071774C">
        <w:t>across</w:t>
      </w:r>
      <w:r>
        <w:t xml:space="preserve"> </w:t>
      </w:r>
      <w:r w:rsidRPr="0071774C">
        <w:t>the</w:t>
      </w:r>
      <w:r>
        <w:t xml:space="preserve"> </w:t>
      </w:r>
      <w:r w:rsidRPr="0071774C">
        <w:t>country,</w:t>
      </w:r>
      <w:r>
        <w:t xml:space="preserve"> </w:t>
      </w:r>
      <w:r w:rsidRPr="0071774C">
        <w:t>with</w:t>
      </w:r>
      <w:r>
        <w:t xml:space="preserve"> </w:t>
      </w:r>
      <w:r w:rsidRPr="0071774C">
        <w:t>the</w:t>
      </w:r>
      <w:r>
        <w:t xml:space="preserve"> </w:t>
      </w:r>
      <w:r w:rsidRPr="0071774C">
        <w:t>majority</w:t>
      </w:r>
      <w:r>
        <w:t xml:space="preserve"> </w:t>
      </w:r>
      <w:r w:rsidRPr="0071774C">
        <w:t>of</w:t>
      </w:r>
      <w:r>
        <w:t xml:space="preserve"> </w:t>
      </w:r>
      <w:r w:rsidRPr="0071774C">
        <w:t>local</w:t>
      </w:r>
      <w:r>
        <w:t xml:space="preserve"> </w:t>
      </w:r>
      <w:r w:rsidRPr="0071774C">
        <w:t>government</w:t>
      </w:r>
      <w:r>
        <w:t xml:space="preserve"> </w:t>
      </w:r>
      <w:r w:rsidRPr="0071774C">
        <w:t>policy</w:t>
      </w:r>
      <w:r>
        <w:t xml:space="preserve"> </w:t>
      </w:r>
      <w:r w:rsidRPr="0071774C">
        <w:t>reform</w:t>
      </w:r>
      <w:r>
        <w:t xml:space="preserve"> </w:t>
      </w:r>
      <w:r w:rsidRPr="0071774C">
        <w:t>taking</w:t>
      </w:r>
      <w:r>
        <w:t xml:space="preserve"> </w:t>
      </w:r>
      <w:r w:rsidRPr="0071774C">
        <w:t>place</w:t>
      </w:r>
      <w:r>
        <w:t xml:space="preserve"> </w:t>
      </w:r>
      <w:r w:rsidRPr="0071774C">
        <w:t>in</w:t>
      </w:r>
      <w:r>
        <w:t xml:space="preserve"> </w:t>
      </w:r>
      <w:r w:rsidRPr="0071774C">
        <w:t>a</w:t>
      </w:r>
      <w:r>
        <w:t xml:space="preserve"> </w:t>
      </w:r>
      <w:r w:rsidRPr="0071774C">
        <w:t>single</w:t>
      </w:r>
      <w:r>
        <w:t xml:space="preserve"> </w:t>
      </w:r>
      <w:r w:rsidRPr="0071774C">
        <w:t>jurisdiction.</w:t>
      </w:r>
      <w:r>
        <w:t xml:space="preserve"> </w:t>
      </w:r>
      <w:r w:rsidRPr="0071774C">
        <w:t>Even</w:t>
      </w:r>
      <w:r>
        <w:t xml:space="preserve"> </w:t>
      </w:r>
      <w:r w:rsidRPr="0071774C">
        <w:t>considering</w:t>
      </w:r>
      <w:r>
        <w:t xml:space="preserve"> </w:t>
      </w:r>
      <w:r w:rsidRPr="0071774C">
        <w:t>differing</w:t>
      </w:r>
      <w:r>
        <w:t xml:space="preserve"> </w:t>
      </w:r>
      <w:r w:rsidRPr="0071774C">
        <w:t>roles</w:t>
      </w:r>
      <w:r>
        <w:t xml:space="preserve"> </w:t>
      </w:r>
      <w:r w:rsidRPr="0071774C">
        <w:t>and</w:t>
      </w:r>
      <w:r>
        <w:t xml:space="preserve"> </w:t>
      </w:r>
      <w:r w:rsidRPr="0071774C">
        <w:t>responsibilities</w:t>
      </w:r>
      <w:r>
        <w:t xml:space="preserve"> </w:t>
      </w:r>
      <w:r w:rsidRPr="0071774C">
        <w:t>of</w:t>
      </w:r>
      <w:r>
        <w:t xml:space="preserve"> </w:t>
      </w:r>
      <w:r w:rsidRPr="0071774C">
        <w:t>local</w:t>
      </w:r>
      <w:r>
        <w:t xml:space="preserve"> </w:t>
      </w:r>
      <w:r w:rsidRPr="0071774C">
        <w:t>government</w:t>
      </w:r>
      <w:r>
        <w:t xml:space="preserve"> </w:t>
      </w:r>
      <w:r w:rsidRPr="0071774C">
        <w:t>(which</w:t>
      </w:r>
      <w:r>
        <w:t xml:space="preserve"> </w:t>
      </w:r>
      <w:r w:rsidRPr="0071774C">
        <w:t>are</w:t>
      </w:r>
      <w:r>
        <w:t xml:space="preserve"> </w:t>
      </w:r>
      <w:r w:rsidRPr="0071774C">
        <w:t>established</w:t>
      </w:r>
      <w:r>
        <w:t xml:space="preserve"> </w:t>
      </w:r>
      <w:r w:rsidRPr="0071774C">
        <w:t>by</w:t>
      </w:r>
      <w:r>
        <w:t xml:space="preserve"> </w:t>
      </w:r>
      <w:r w:rsidRPr="0071774C">
        <w:t>the</w:t>
      </w:r>
      <w:r>
        <w:t xml:space="preserve"> </w:t>
      </w:r>
      <w:r w:rsidRPr="0071774C">
        <w:t>state</w:t>
      </w:r>
      <w:r>
        <w:t xml:space="preserve"> </w:t>
      </w:r>
      <w:r w:rsidRPr="0071774C">
        <w:t>or</w:t>
      </w:r>
      <w:r>
        <w:t xml:space="preserve"> </w:t>
      </w:r>
      <w:r w:rsidRPr="0071774C">
        <w:t>territory),</w:t>
      </w:r>
      <w:r>
        <w:t xml:space="preserve"> ‘</w:t>
      </w:r>
      <w:r w:rsidRPr="0071774C">
        <w:t>local</w:t>
      </w:r>
      <w:r>
        <w:t xml:space="preserve"> </w:t>
      </w:r>
      <w:r w:rsidRPr="0071774C">
        <w:t>governments</w:t>
      </w:r>
      <w:r>
        <w:t xml:space="preserve"> </w:t>
      </w:r>
      <w:r w:rsidRPr="0071774C">
        <w:t>are</w:t>
      </w:r>
      <w:r>
        <w:t xml:space="preserve"> </w:t>
      </w:r>
      <w:r w:rsidRPr="0071774C">
        <w:t>well</w:t>
      </w:r>
      <w:r>
        <w:t xml:space="preserve"> </w:t>
      </w:r>
      <w:r w:rsidRPr="0071774C">
        <w:t>placed</w:t>
      </w:r>
      <w:r>
        <w:t xml:space="preserve"> </w:t>
      </w:r>
      <w:r w:rsidRPr="0071774C">
        <w:t>to</w:t>
      </w:r>
      <w:r>
        <w:t xml:space="preserve"> </w:t>
      </w:r>
      <w:r w:rsidRPr="0071774C">
        <w:t>respond</w:t>
      </w:r>
      <w:r>
        <w:t xml:space="preserve"> </w:t>
      </w:r>
      <w:r w:rsidRPr="0071774C">
        <w:t>to</w:t>
      </w:r>
      <w:r>
        <w:t xml:space="preserve"> </w:t>
      </w:r>
      <w:r w:rsidRPr="0071774C">
        <w:t>local</w:t>
      </w:r>
      <w:r>
        <w:t xml:space="preserve"> </w:t>
      </w:r>
      <w:r w:rsidRPr="0071774C">
        <w:t>concerns</w:t>
      </w:r>
      <w:r>
        <w:t xml:space="preserve"> </w:t>
      </w:r>
      <w:r w:rsidRPr="0071774C">
        <w:t>and</w:t>
      </w:r>
      <w:r>
        <w:t xml:space="preserve"> </w:t>
      </w:r>
      <w:r w:rsidRPr="0071774C">
        <w:t>to</w:t>
      </w:r>
      <w:r>
        <w:t xml:space="preserve"> </w:t>
      </w:r>
      <w:r w:rsidRPr="0071774C">
        <w:t>lead</w:t>
      </w:r>
      <w:r>
        <w:t xml:space="preserve"> </w:t>
      </w:r>
      <w:r w:rsidRPr="0071774C">
        <w:t>primary</w:t>
      </w:r>
      <w:r>
        <w:t xml:space="preserve"> </w:t>
      </w:r>
      <w:r w:rsidRPr="0071774C">
        <w:t>prevention</w:t>
      </w:r>
      <w:r>
        <w:t xml:space="preserve"> </w:t>
      </w:r>
      <w:r w:rsidRPr="0071774C">
        <w:t>activities</w:t>
      </w:r>
      <w:r>
        <w:t xml:space="preserve"> </w:t>
      </w:r>
      <w:r w:rsidRPr="0071774C">
        <w:t>through</w:t>
      </w:r>
      <w:r>
        <w:t xml:space="preserve"> </w:t>
      </w:r>
      <w:r w:rsidRPr="0071774C">
        <w:t>existing</w:t>
      </w:r>
      <w:r>
        <w:t xml:space="preserve"> </w:t>
      </w:r>
      <w:r w:rsidRPr="0071774C">
        <w:t>processes</w:t>
      </w:r>
      <w:r>
        <w:t xml:space="preserve"> </w:t>
      </w:r>
      <w:r w:rsidRPr="0071774C">
        <w:t>and</w:t>
      </w:r>
      <w:r>
        <w:t xml:space="preserve"> </w:t>
      </w:r>
      <w:r w:rsidRPr="0071774C">
        <w:t>via</w:t>
      </w:r>
      <w:r>
        <w:t xml:space="preserve"> </w:t>
      </w:r>
      <w:r w:rsidRPr="0071774C">
        <w:t>a</w:t>
      </w:r>
      <w:r>
        <w:t xml:space="preserve"> </w:t>
      </w:r>
      <w:r w:rsidRPr="0071774C">
        <w:t>range</w:t>
      </w:r>
      <w:r>
        <w:t xml:space="preserve"> </w:t>
      </w:r>
      <w:r w:rsidRPr="0071774C">
        <w:t>of</w:t>
      </w:r>
      <w:r>
        <w:t xml:space="preserve"> </w:t>
      </w:r>
      <w:r w:rsidRPr="0071774C">
        <w:t>partnerships.</w:t>
      </w:r>
      <w:r>
        <w:t>’</w:t>
      </w:r>
      <w:r w:rsidRPr="0071774C">
        <w:rPr>
          <w:rStyle w:val="EndnoteReference"/>
          <w:szCs w:val="22"/>
        </w:rPr>
        <w:endnoteReference w:id="55"/>
      </w:r>
      <w:r>
        <w:t xml:space="preserve"> </w:t>
      </w:r>
      <w:r w:rsidRPr="0071774C">
        <w:t>Further</w:t>
      </w:r>
      <w:r>
        <w:t xml:space="preserve"> </w:t>
      </w:r>
      <w:r w:rsidRPr="0071774C">
        <w:t>analysis</w:t>
      </w:r>
      <w:r>
        <w:t xml:space="preserve"> </w:t>
      </w:r>
      <w:r w:rsidRPr="0071774C">
        <w:t>of</w:t>
      </w:r>
      <w:r>
        <w:t xml:space="preserve"> </w:t>
      </w:r>
      <w:r w:rsidRPr="0071774C">
        <w:t>local</w:t>
      </w:r>
      <w:r>
        <w:t xml:space="preserve"> </w:t>
      </w:r>
      <w:r w:rsidRPr="0071774C">
        <w:t>government</w:t>
      </w:r>
      <w:r>
        <w:t xml:space="preserve"> </w:t>
      </w:r>
      <w:r w:rsidRPr="0071774C">
        <w:t>activity</w:t>
      </w:r>
      <w:r>
        <w:t xml:space="preserve">, </w:t>
      </w:r>
      <w:r w:rsidRPr="0071774C">
        <w:t>policy</w:t>
      </w:r>
      <w:r>
        <w:t xml:space="preserve"> and legislative </w:t>
      </w:r>
      <w:r w:rsidRPr="0071774C">
        <w:t>levers</w:t>
      </w:r>
      <w:r>
        <w:t xml:space="preserve"> </w:t>
      </w:r>
      <w:r w:rsidRPr="0071774C">
        <w:t>across</w:t>
      </w:r>
      <w:r>
        <w:t xml:space="preserve"> </w:t>
      </w:r>
      <w:r w:rsidRPr="0071774C">
        <w:t>Australia</w:t>
      </w:r>
      <w:r>
        <w:t xml:space="preserve"> </w:t>
      </w:r>
      <w:r w:rsidRPr="0071774C">
        <w:t>would</w:t>
      </w:r>
      <w:r>
        <w:t xml:space="preserve"> </w:t>
      </w:r>
      <w:r w:rsidRPr="0071774C">
        <w:t>support</w:t>
      </w:r>
      <w:r>
        <w:t xml:space="preserve"> </w:t>
      </w:r>
      <w:r w:rsidRPr="0071774C">
        <w:t>greater</w:t>
      </w:r>
      <w:r>
        <w:t xml:space="preserve"> </w:t>
      </w:r>
      <w:r w:rsidRPr="0071774C">
        <w:t>understanding</w:t>
      </w:r>
      <w:r>
        <w:t xml:space="preserve"> </w:t>
      </w:r>
      <w:r w:rsidRPr="0071774C">
        <w:t>of</w:t>
      </w:r>
      <w:r>
        <w:t xml:space="preserve">, </w:t>
      </w:r>
      <w:r w:rsidRPr="0071774C">
        <w:t>and</w:t>
      </w:r>
      <w:r>
        <w:t xml:space="preserve"> </w:t>
      </w:r>
      <w:r w:rsidRPr="0071774C">
        <w:t>focus</w:t>
      </w:r>
      <w:r>
        <w:t xml:space="preserve"> </w:t>
      </w:r>
      <w:r w:rsidRPr="0071774C">
        <w:t>on</w:t>
      </w:r>
      <w:r>
        <w:t xml:space="preserve">, </w:t>
      </w:r>
      <w:r w:rsidRPr="0071774C">
        <w:t>primary</w:t>
      </w:r>
      <w:r>
        <w:t xml:space="preserve"> </w:t>
      </w:r>
      <w:r w:rsidRPr="0071774C">
        <w:t>prevention</w:t>
      </w:r>
      <w:r>
        <w:t xml:space="preserve"> </w:t>
      </w:r>
      <w:r w:rsidRPr="0071774C">
        <w:t>at</w:t>
      </w:r>
      <w:r>
        <w:t xml:space="preserve"> </w:t>
      </w:r>
      <w:r w:rsidRPr="0071774C">
        <w:t>a</w:t>
      </w:r>
      <w:r>
        <w:t xml:space="preserve"> </w:t>
      </w:r>
      <w:r w:rsidRPr="0071774C">
        <w:t>local</w:t>
      </w:r>
      <w:r>
        <w:t xml:space="preserve"> </w:t>
      </w:r>
      <w:r w:rsidRPr="0071774C">
        <w:t>government</w:t>
      </w:r>
      <w:r>
        <w:t xml:space="preserve"> </w:t>
      </w:r>
      <w:r w:rsidRPr="0071774C">
        <w:t>level</w:t>
      </w:r>
      <w:r w:rsidRPr="0071774C">
        <w:rPr>
          <w:shd w:val="clear" w:color="auto" w:fill="FFFFFF"/>
        </w:rPr>
        <w:t>.</w:t>
      </w:r>
    </w:p>
    <w:p w14:paraId="1AADC5E0" w14:textId="755D6546" w:rsidR="002C2EC7" w:rsidRDefault="00600B32" w:rsidP="00790783">
      <w:pPr>
        <w:pStyle w:val="BodyText"/>
      </w:pPr>
      <w:r w:rsidRPr="00600B32">
        <w:lastRenderedPageBreak/>
        <w:t>One limitation of many of the strategies analysed was their limited reference to the various</w:t>
      </w:r>
      <w:r>
        <w:t> </w:t>
      </w:r>
      <w:r w:rsidRPr="00600B32">
        <w:t>intersecting forms of oppression and discrimination that drive violence against women.</w:t>
      </w:r>
      <w:r w:rsidR="002C2EC7">
        <w:t xml:space="preserve"> </w:t>
      </w:r>
      <w:r w:rsidR="002C2EC7" w:rsidRPr="0071774C">
        <w:t>For</w:t>
      </w:r>
      <w:r w:rsidR="001670E3">
        <w:t xml:space="preserve"> </w:t>
      </w:r>
      <w:r w:rsidR="002C2EC7" w:rsidRPr="0071774C">
        <w:t>example,</w:t>
      </w:r>
      <w:r w:rsidR="002C2EC7">
        <w:t xml:space="preserve"> </w:t>
      </w:r>
      <w:r w:rsidR="002C2EC7" w:rsidRPr="0071774C">
        <w:t>the</w:t>
      </w:r>
      <w:r w:rsidR="002C2EC7">
        <w:t xml:space="preserve"> </w:t>
      </w:r>
      <w:r w:rsidR="002C2EC7" w:rsidRPr="0071774C">
        <w:t>specific</w:t>
      </w:r>
      <w:r w:rsidR="002C2EC7">
        <w:t xml:space="preserve"> </w:t>
      </w:r>
      <w:r w:rsidR="002C2EC7" w:rsidRPr="0071774C">
        <w:t>drivers</w:t>
      </w:r>
      <w:r w:rsidR="002C2EC7">
        <w:t xml:space="preserve"> </w:t>
      </w:r>
      <w:r w:rsidR="002C2EC7" w:rsidRPr="0071774C">
        <w:t>of</w:t>
      </w:r>
      <w:r w:rsidR="002C2EC7">
        <w:t xml:space="preserve"> </w:t>
      </w:r>
      <w:r w:rsidR="002C2EC7" w:rsidRPr="0071774C">
        <w:t>violence</w:t>
      </w:r>
      <w:r w:rsidR="002C2EC7">
        <w:t xml:space="preserve"> </w:t>
      </w:r>
      <w:r w:rsidR="002C2EC7" w:rsidRPr="0071774C">
        <w:t>against</w:t>
      </w:r>
      <w:r w:rsidR="002C2EC7">
        <w:t xml:space="preserve"> </w:t>
      </w:r>
      <w:r w:rsidR="002C2EC7" w:rsidRPr="0071774C">
        <w:t>Aboriginal</w:t>
      </w:r>
      <w:r w:rsidR="002C2EC7">
        <w:t xml:space="preserve"> </w:t>
      </w:r>
      <w:r w:rsidR="002C2EC7" w:rsidRPr="0071774C">
        <w:t>and</w:t>
      </w:r>
      <w:r w:rsidR="002C2EC7">
        <w:t xml:space="preserve"> </w:t>
      </w:r>
      <w:r w:rsidR="002C2EC7" w:rsidRPr="0071774C">
        <w:t>Torres</w:t>
      </w:r>
      <w:r w:rsidR="002C2EC7">
        <w:t xml:space="preserve"> </w:t>
      </w:r>
      <w:r w:rsidR="002C2EC7" w:rsidRPr="0071774C">
        <w:t>Strait</w:t>
      </w:r>
      <w:r w:rsidR="002C2EC7">
        <w:t xml:space="preserve"> </w:t>
      </w:r>
      <w:r w:rsidR="002C2EC7" w:rsidRPr="0071774C">
        <w:t>Islander</w:t>
      </w:r>
      <w:r w:rsidR="002C2EC7">
        <w:t xml:space="preserve"> </w:t>
      </w:r>
      <w:r w:rsidR="002C2EC7" w:rsidRPr="0071774C">
        <w:t>women</w:t>
      </w:r>
      <w:r w:rsidR="002C2EC7">
        <w:t xml:space="preserve"> </w:t>
      </w:r>
      <w:r w:rsidR="002C2EC7" w:rsidRPr="0071774C">
        <w:t>(as</w:t>
      </w:r>
      <w:r w:rsidR="002C2EC7">
        <w:t xml:space="preserve"> </w:t>
      </w:r>
      <w:r w:rsidR="002C2EC7" w:rsidRPr="0071774C">
        <w:t>identified</w:t>
      </w:r>
      <w:r w:rsidR="002C2EC7">
        <w:t xml:space="preserve"> </w:t>
      </w:r>
      <w:r w:rsidR="002C2EC7" w:rsidRPr="0071774C">
        <w:t>by</w:t>
      </w:r>
      <w:r w:rsidR="002C2EC7">
        <w:t xml:space="preserve"> </w:t>
      </w:r>
      <w:r w:rsidR="002C2EC7" w:rsidRPr="0071774C">
        <w:t>experts</w:t>
      </w:r>
      <w:r w:rsidR="002C2EC7">
        <w:t xml:space="preserve"> </w:t>
      </w:r>
      <w:r w:rsidR="002C2EC7" w:rsidRPr="0071774C">
        <w:t>and</w:t>
      </w:r>
      <w:r w:rsidR="002C2EC7">
        <w:t xml:space="preserve"> </w:t>
      </w:r>
      <w:r w:rsidR="002C2EC7" w:rsidRPr="0071774C">
        <w:t>advocates</w:t>
      </w:r>
      <w:r w:rsidR="002C2EC7">
        <w:t xml:space="preserve"> </w:t>
      </w:r>
      <w:r w:rsidR="002C2EC7" w:rsidRPr="0071774C">
        <w:t>for</w:t>
      </w:r>
      <w:r w:rsidR="002C2EC7">
        <w:t xml:space="preserve"> </w:t>
      </w:r>
      <w:r w:rsidR="002C2EC7" w:rsidRPr="0071774C">
        <w:t>decades</w:t>
      </w:r>
      <w:r w:rsidR="002C2EC7">
        <w:rPr>
          <w:vertAlign w:val="superscript"/>
        </w:rPr>
        <w:t xml:space="preserve"> </w:t>
      </w:r>
      <w:r w:rsidR="002C2EC7" w:rsidRPr="0071774C">
        <w:t>and</w:t>
      </w:r>
      <w:r w:rsidR="002C2EC7">
        <w:t xml:space="preserve"> </w:t>
      </w:r>
      <w:r w:rsidR="002C2EC7" w:rsidRPr="0071774C">
        <w:t>recently</w:t>
      </w:r>
      <w:r w:rsidR="002C2EC7">
        <w:t xml:space="preserve"> </w:t>
      </w:r>
      <w:r w:rsidR="002C2EC7" w:rsidRPr="0071774C">
        <w:t>articulated</w:t>
      </w:r>
      <w:r w:rsidR="002C2EC7">
        <w:t xml:space="preserve"> </w:t>
      </w:r>
      <w:r w:rsidR="002C2EC7" w:rsidRPr="0071774C">
        <w:t>in</w:t>
      </w:r>
      <w:r w:rsidR="002C2EC7">
        <w:t xml:space="preserve"> </w:t>
      </w:r>
      <w:r w:rsidR="002C2EC7" w:rsidRPr="00ED4674">
        <w:rPr>
          <w:rStyle w:val="Emphasis"/>
        </w:rPr>
        <w:t>Changing the picture</w:t>
      </w:r>
      <w:r w:rsidR="008D6EEA" w:rsidRPr="008D6EEA">
        <w:rPr>
          <w:rStyle w:val="Emphasis"/>
        </w:rPr>
        <w:t>: A national resource to support the prevention of violence against Aboriginal and Torres Strait Islander women and their children</w:t>
      </w:r>
      <w:r w:rsidR="002C2EC7" w:rsidRPr="006E446C">
        <w:rPr>
          <w:rStyle w:val="EndnoteReference"/>
          <w:szCs w:val="22"/>
        </w:rPr>
        <w:endnoteReference w:id="56"/>
      </w:r>
      <w:r w:rsidR="002C2EC7" w:rsidRPr="006E446C">
        <w:t>)</w:t>
      </w:r>
      <w:r w:rsidR="002C2EC7" w:rsidRPr="00ED4674">
        <w:t xml:space="preserve"> w</w:t>
      </w:r>
      <w:r w:rsidR="002C2EC7" w:rsidRPr="0071774C">
        <w:t>ere</w:t>
      </w:r>
      <w:r w:rsidR="002C2EC7">
        <w:t xml:space="preserve"> </w:t>
      </w:r>
      <w:r w:rsidR="002C2EC7" w:rsidRPr="0071774C">
        <w:t>not</w:t>
      </w:r>
      <w:r w:rsidR="002C2EC7">
        <w:t xml:space="preserve"> </w:t>
      </w:r>
      <w:r w:rsidR="002C2EC7" w:rsidRPr="0071774C">
        <w:t>often</w:t>
      </w:r>
      <w:r w:rsidR="002C2EC7">
        <w:t xml:space="preserve"> </w:t>
      </w:r>
      <w:r w:rsidR="002C2EC7" w:rsidRPr="0071774C">
        <w:t>referred</w:t>
      </w:r>
      <w:r w:rsidR="002C2EC7">
        <w:t xml:space="preserve"> </w:t>
      </w:r>
      <w:r w:rsidR="002C2EC7" w:rsidRPr="0071774C">
        <w:t>to.</w:t>
      </w:r>
      <w:r>
        <w:t> </w:t>
      </w:r>
      <w:r w:rsidR="002C2EC7" w:rsidRPr="0071774C">
        <w:t>Where</w:t>
      </w:r>
      <w:r w:rsidR="002C2EC7">
        <w:t xml:space="preserve"> </w:t>
      </w:r>
      <w:r w:rsidR="002C2EC7" w:rsidRPr="0071774C">
        <w:t>intersecting</w:t>
      </w:r>
      <w:r w:rsidR="002C2EC7">
        <w:t xml:space="preserve"> </w:t>
      </w:r>
      <w:r w:rsidR="002C2EC7" w:rsidRPr="0071774C">
        <w:t>forms</w:t>
      </w:r>
      <w:r w:rsidR="002C2EC7">
        <w:t xml:space="preserve"> </w:t>
      </w:r>
      <w:r w:rsidR="002C2EC7" w:rsidRPr="0071774C">
        <w:t>of</w:t>
      </w:r>
      <w:r w:rsidR="002C2EC7">
        <w:t xml:space="preserve"> </w:t>
      </w:r>
      <w:r w:rsidR="002C2EC7" w:rsidRPr="0071774C">
        <w:t>discrimination</w:t>
      </w:r>
      <w:r w:rsidR="002C2EC7">
        <w:t xml:space="preserve"> </w:t>
      </w:r>
      <w:r w:rsidR="008F07CB" w:rsidRPr="008F07CB">
        <w:t>or oppression</w:t>
      </w:r>
      <w:r w:rsidR="008F07CB">
        <w:t xml:space="preserve"> </w:t>
      </w:r>
      <w:r w:rsidR="002C2EC7" w:rsidRPr="0071774C">
        <w:t>were</w:t>
      </w:r>
      <w:r w:rsidR="002C2EC7">
        <w:t xml:space="preserve"> </w:t>
      </w:r>
      <w:r w:rsidR="002C2EC7" w:rsidRPr="0071774C">
        <w:t>articulated,</w:t>
      </w:r>
      <w:r w:rsidR="002C2EC7">
        <w:t xml:space="preserve"> </w:t>
      </w:r>
      <w:r w:rsidR="002C2EC7" w:rsidRPr="0071774C">
        <w:t>these</w:t>
      </w:r>
      <w:r w:rsidR="002C2EC7">
        <w:t xml:space="preserve"> </w:t>
      </w:r>
      <w:r w:rsidR="002C2EC7" w:rsidRPr="0071774C">
        <w:t>were</w:t>
      </w:r>
      <w:r>
        <w:t> </w:t>
      </w:r>
      <w:r w:rsidR="002C2EC7" w:rsidRPr="0071774C">
        <w:t>more</w:t>
      </w:r>
      <w:r>
        <w:t xml:space="preserve"> </w:t>
      </w:r>
      <w:r w:rsidR="002C2EC7" w:rsidRPr="0071774C">
        <w:t>likely</w:t>
      </w:r>
      <w:r w:rsidR="002C2EC7">
        <w:t xml:space="preserve"> </w:t>
      </w:r>
      <w:r w:rsidR="002C2EC7" w:rsidRPr="0071774C">
        <w:t>to</w:t>
      </w:r>
      <w:r w:rsidR="002C2EC7">
        <w:t xml:space="preserve"> </w:t>
      </w:r>
      <w:r w:rsidR="002C2EC7" w:rsidRPr="0071774C">
        <w:t>be</w:t>
      </w:r>
      <w:r w:rsidR="002C2EC7">
        <w:t xml:space="preserve"> </w:t>
      </w:r>
      <w:r w:rsidR="002C2EC7" w:rsidRPr="0071774C">
        <w:t>mentioned</w:t>
      </w:r>
      <w:r w:rsidR="002C2EC7">
        <w:t xml:space="preserve"> </w:t>
      </w:r>
      <w:r w:rsidR="002C2EC7" w:rsidRPr="0071774C">
        <w:t>in</w:t>
      </w:r>
      <w:r w:rsidR="002C2EC7">
        <w:t xml:space="preserve"> </w:t>
      </w:r>
      <w:r w:rsidR="002C2EC7" w:rsidRPr="0071774C">
        <w:t>relation</w:t>
      </w:r>
      <w:r w:rsidR="002C2EC7">
        <w:t xml:space="preserve"> </w:t>
      </w:r>
      <w:r w:rsidR="002C2EC7" w:rsidRPr="0071774C">
        <w:t>to</w:t>
      </w:r>
      <w:r w:rsidR="002C2EC7">
        <w:t xml:space="preserve"> </w:t>
      </w:r>
      <w:r w:rsidR="002C2EC7" w:rsidRPr="0071774C">
        <w:t>specific</w:t>
      </w:r>
      <w:r w:rsidR="002C2EC7">
        <w:t xml:space="preserve"> </w:t>
      </w:r>
      <w:r w:rsidR="002C2EC7" w:rsidRPr="0071774C">
        <w:t>activities</w:t>
      </w:r>
      <w:r w:rsidR="002C2EC7">
        <w:t xml:space="preserve"> </w:t>
      </w:r>
      <w:r w:rsidR="002C2EC7" w:rsidRPr="0071774C">
        <w:t>for</w:t>
      </w:r>
      <w:r w:rsidR="002C2EC7">
        <w:t xml:space="preserve"> </w:t>
      </w:r>
      <w:r w:rsidR="002C2EC7" w:rsidRPr="0071774C">
        <w:t>particular</w:t>
      </w:r>
      <w:r w:rsidR="002C2EC7">
        <w:t xml:space="preserve"> </w:t>
      </w:r>
      <w:r w:rsidR="002C2EC7" w:rsidRPr="0071774C">
        <w:t>groups</w:t>
      </w:r>
      <w:r w:rsidR="002C2EC7">
        <w:t xml:space="preserve"> </w:t>
      </w:r>
      <w:r w:rsidR="002C2EC7" w:rsidRPr="0071774C">
        <w:t>or</w:t>
      </w:r>
      <w:r>
        <w:t> </w:t>
      </w:r>
      <w:r w:rsidR="002C2EC7" w:rsidRPr="0071774C">
        <w:t>communities,</w:t>
      </w:r>
      <w:r w:rsidR="002C2EC7">
        <w:t xml:space="preserve"> </w:t>
      </w:r>
      <w:r w:rsidR="002C2EC7" w:rsidRPr="0071774C">
        <w:t>rather</w:t>
      </w:r>
      <w:r w:rsidR="002C2EC7">
        <w:t xml:space="preserve"> </w:t>
      </w:r>
      <w:r w:rsidR="002C2EC7" w:rsidRPr="0071774C">
        <w:t>than</w:t>
      </w:r>
      <w:r w:rsidR="002C2EC7">
        <w:t xml:space="preserve"> </w:t>
      </w:r>
      <w:r w:rsidR="002C2EC7" w:rsidRPr="0071774C">
        <w:t>as</w:t>
      </w:r>
      <w:r w:rsidR="002C2EC7">
        <w:t xml:space="preserve"> </w:t>
      </w:r>
      <w:r w:rsidR="002C2EC7" w:rsidRPr="0071774C">
        <w:t>systemic</w:t>
      </w:r>
      <w:r w:rsidR="002C2EC7">
        <w:t xml:space="preserve"> </w:t>
      </w:r>
      <w:r w:rsidR="002C2EC7" w:rsidRPr="0071774C">
        <w:t>or</w:t>
      </w:r>
      <w:r w:rsidR="002C2EC7">
        <w:t xml:space="preserve"> </w:t>
      </w:r>
      <w:r w:rsidR="002C2EC7" w:rsidRPr="0071774C">
        <w:t>structural</w:t>
      </w:r>
      <w:r w:rsidR="002C2EC7">
        <w:t xml:space="preserve"> </w:t>
      </w:r>
      <w:r w:rsidR="002C2EC7" w:rsidRPr="0071774C">
        <w:t>actions</w:t>
      </w:r>
      <w:r w:rsidR="002C2EC7">
        <w:t xml:space="preserve"> </w:t>
      </w:r>
      <w:r w:rsidR="002C2EC7" w:rsidRPr="0071774C">
        <w:t>to</w:t>
      </w:r>
      <w:r w:rsidR="001670E3">
        <w:t xml:space="preserve"> </w:t>
      </w:r>
      <w:r w:rsidR="002C2EC7" w:rsidRPr="0071774C">
        <w:t>address</w:t>
      </w:r>
      <w:r w:rsidR="002C2EC7">
        <w:t xml:space="preserve"> </w:t>
      </w:r>
      <w:r w:rsidR="002C2EC7" w:rsidRPr="0071774C">
        <w:t>the</w:t>
      </w:r>
      <w:r w:rsidR="002C2EC7">
        <w:t xml:space="preserve"> </w:t>
      </w:r>
      <w:r w:rsidR="009807A5">
        <w:t xml:space="preserve">ways </w:t>
      </w:r>
      <w:r w:rsidR="002C2EC7" w:rsidRPr="0071774C">
        <w:t>multiple</w:t>
      </w:r>
      <w:r w:rsidR="002C2EC7">
        <w:t xml:space="preserve"> </w:t>
      </w:r>
      <w:r w:rsidR="002C2EC7" w:rsidRPr="0071774C">
        <w:t>forms</w:t>
      </w:r>
      <w:r w:rsidR="002C2EC7">
        <w:t xml:space="preserve"> </w:t>
      </w:r>
      <w:r w:rsidR="002C2EC7" w:rsidRPr="0071774C">
        <w:t>of</w:t>
      </w:r>
      <w:r w:rsidR="002C2EC7">
        <w:t xml:space="preserve"> </w:t>
      </w:r>
      <w:r w:rsidR="002C2EC7" w:rsidRPr="0071774C">
        <w:t>discrimination</w:t>
      </w:r>
      <w:r w:rsidR="002C2EC7">
        <w:t xml:space="preserve"> </w:t>
      </w:r>
      <w:r w:rsidR="002C2EC7" w:rsidRPr="0071774C">
        <w:t>and</w:t>
      </w:r>
      <w:r w:rsidR="002C2EC7">
        <w:t xml:space="preserve"> </w:t>
      </w:r>
      <w:r w:rsidR="002C2EC7" w:rsidRPr="0071774C">
        <w:t>inequality</w:t>
      </w:r>
      <w:r w:rsidR="002C2EC7">
        <w:t xml:space="preserve"> </w:t>
      </w:r>
      <w:r w:rsidR="002C2EC7" w:rsidRPr="0071774C">
        <w:t>that</w:t>
      </w:r>
      <w:r w:rsidR="002C2EC7">
        <w:t xml:space="preserve"> </w:t>
      </w:r>
      <w:r w:rsidR="002C2EC7" w:rsidRPr="0071774C">
        <w:t>intersect</w:t>
      </w:r>
      <w:r w:rsidR="002C2EC7">
        <w:t xml:space="preserve"> </w:t>
      </w:r>
      <w:r w:rsidR="002C2EC7" w:rsidRPr="0071774C">
        <w:t>with</w:t>
      </w:r>
      <w:r w:rsidR="002C2EC7">
        <w:t xml:space="preserve"> </w:t>
      </w:r>
      <w:r w:rsidR="002C2EC7" w:rsidRPr="0071774C">
        <w:t>gender</w:t>
      </w:r>
      <w:r w:rsidR="002C2EC7">
        <w:t xml:space="preserve"> </w:t>
      </w:r>
      <w:r w:rsidR="002C2EC7" w:rsidRPr="0071774C">
        <w:t>inequality</w:t>
      </w:r>
      <w:r w:rsidR="00D123E9">
        <w:t xml:space="preserve"> drive violence against women</w:t>
      </w:r>
      <w:r w:rsidR="002C2EC7" w:rsidRPr="0071774C">
        <w:t>.</w:t>
      </w:r>
      <w:r w:rsidR="002C2EC7">
        <w:t xml:space="preserve"> </w:t>
      </w:r>
      <w:r w:rsidR="002C2EC7" w:rsidRPr="0071774C">
        <w:t>Even</w:t>
      </w:r>
      <w:r w:rsidR="002C2EC7">
        <w:t xml:space="preserve"> </w:t>
      </w:r>
      <w:r w:rsidR="002C2EC7" w:rsidRPr="0071774C">
        <w:t>within</w:t>
      </w:r>
      <w:r w:rsidR="002C2EC7">
        <w:t xml:space="preserve"> </w:t>
      </w:r>
      <w:r w:rsidR="002C2EC7" w:rsidRPr="0071774C">
        <w:t>jurisdictions,</w:t>
      </w:r>
      <w:r w:rsidR="002C2EC7">
        <w:t xml:space="preserve"> </w:t>
      </w:r>
      <w:r w:rsidR="002C2EC7" w:rsidRPr="0071774C">
        <w:t>there</w:t>
      </w:r>
      <w:r w:rsidR="002C2EC7">
        <w:t xml:space="preserve"> </w:t>
      </w:r>
      <w:r w:rsidR="002C2EC7" w:rsidRPr="0071774C">
        <w:t>was</w:t>
      </w:r>
      <w:r w:rsidR="002C2EC7">
        <w:t xml:space="preserve"> </w:t>
      </w:r>
      <w:r w:rsidR="002C2EC7" w:rsidRPr="0071774C">
        <w:t>a</w:t>
      </w:r>
      <w:r w:rsidR="002C2EC7">
        <w:t xml:space="preserve"> </w:t>
      </w:r>
      <w:r w:rsidR="002C2EC7" w:rsidRPr="0071774C">
        <w:t>lack</w:t>
      </w:r>
      <w:r w:rsidR="002C2EC7">
        <w:t xml:space="preserve"> </w:t>
      </w:r>
      <w:r w:rsidR="002C2EC7" w:rsidRPr="0071774C">
        <w:t>of</w:t>
      </w:r>
      <w:r w:rsidR="002C2EC7">
        <w:t xml:space="preserve"> </w:t>
      </w:r>
      <w:r w:rsidR="002C2EC7" w:rsidRPr="0071774C">
        <w:t>conceptual</w:t>
      </w:r>
      <w:r w:rsidR="002C2EC7">
        <w:t xml:space="preserve"> </w:t>
      </w:r>
      <w:r w:rsidR="002C2EC7" w:rsidRPr="0071774C">
        <w:t>consistency</w:t>
      </w:r>
      <w:r w:rsidR="002C2EC7">
        <w:t xml:space="preserve"> </w:t>
      </w:r>
      <w:r w:rsidR="002C2EC7" w:rsidRPr="0071774C">
        <w:t>in</w:t>
      </w:r>
      <w:r w:rsidR="002C2EC7">
        <w:t xml:space="preserve"> </w:t>
      </w:r>
      <w:r w:rsidR="002C2EC7" w:rsidRPr="0071774C">
        <w:t>how</w:t>
      </w:r>
      <w:r w:rsidR="002C2EC7">
        <w:t xml:space="preserve"> </w:t>
      </w:r>
      <w:r w:rsidR="002C2EC7" w:rsidRPr="0071774C">
        <w:t>complementary</w:t>
      </w:r>
      <w:r w:rsidR="002C2EC7">
        <w:t xml:space="preserve"> </w:t>
      </w:r>
      <w:r w:rsidR="002C2EC7" w:rsidRPr="0071774C">
        <w:t>plans</w:t>
      </w:r>
      <w:r>
        <w:t xml:space="preserve"> </w:t>
      </w:r>
      <w:r w:rsidR="002C2EC7" w:rsidRPr="0071774C">
        <w:t>and</w:t>
      </w:r>
      <w:r w:rsidR="002C2EC7">
        <w:t xml:space="preserve"> </w:t>
      </w:r>
      <w:r w:rsidR="002C2EC7" w:rsidRPr="0071774C">
        <w:t>strategies</w:t>
      </w:r>
      <w:r w:rsidR="002C2EC7">
        <w:t xml:space="preserve"> </w:t>
      </w:r>
      <w:r w:rsidR="002C2EC7" w:rsidRPr="0071774C">
        <w:t>articulated</w:t>
      </w:r>
      <w:r w:rsidR="002C2EC7">
        <w:t xml:space="preserve"> </w:t>
      </w:r>
      <w:r w:rsidR="002C2EC7" w:rsidRPr="0071774C">
        <w:t>their</w:t>
      </w:r>
      <w:r w:rsidR="002C2EC7">
        <w:t xml:space="preserve"> </w:t>
      </w:r>
      <w:r w:rsidR="002C2EC7" w:rsidRPr="0071774C">
        <w:t>approach</w:t>
      </w:r>
      <w:r w:rsidR="002C2EC7">
        <w:t xml:space="preserve">: </w:t>
      </w:r>
      <w:r w:rsidR="002C2EC7" w:rsidRPr="0071774C">
        <w:t>in</w:t>
      </w:r>
      <w:r w:rsidR="002C2EC7">
        <w:t xml:space="preserve"> some </w:t>
      </w:r>
      <w:r w:rsidR="002C2EC7" w:rsidRPr="0071774C">
        <w:t>places</w:t>
      </w:r>
      <w:r w:rsidR="002C2EC7">
        <w:t xml:space="preserve"> </w:t>
      </w:r>
      <w:r w:rsidR="002C2EC7" w:rsidRPr="0071774C">
        <w:t>these</w:t>
      </w:r>
      <w:r w:rsidR="002C2EC7">
        <w:t xml:space="preserve"> </w:t>
      </w:r>
      <w:r w:rsidR="002C2EC7" w:rsidRPr="0071774C">
        <w:t>simply</w:t>
      </w:r>
      <w:r w:rsidR="002C2EC7">
        <w:t xml:space="preserve"> </w:t>
      </w:r>
      <w:r w:rsidR="002C2EC7" w:rsidRPr="0071774C">
        <w:t>acknowledged</w:t>
      </w:r>
      <w:r w:rsidR="002C2EC7">
        <w:t xml:space="preserve"> </w:t>
      </w:r>
      <w:r w:rsidR="002C2EC7" w:rsidRPr="0071774C">
        <w:t>diversity</w:t>
      </w:r>
      <w:r w:rsidR="002C2EC7">
        <w:t xml:space="preserve"> </w:t>
      </w:r>
      <w:r w:rsidR="002C2EC7" w:rsidRPr="0071774C">
        <w:t>in</w:t>
      </w:r>
      <w:r>
        <w:t xml:space="preserve"> </w:t>
      </w:r>
      <w:r w:rsidR="002C2EC7" w:rsidRPr="0071774C">
        <w:t>a</w:t>
      </w:r>
      <w:r w:rsidR="002C2EC7">
        <w:t xml:space="preserve"> </w:t>
      </w:r>
      <w:r w:rsidR="002C2EC7" w:rsidRPr="0071774C">
        <w:t>broad</w:t>
      </w:r>
      <w:r w:rsidR="002C2EC7">
        <w:t xml:space="preserve"> </w:t>
      </w:r>
      <w:r w:rsidR="002C2EC7" w:rsidRPr="0071774C">
        <w:t>sense,</w:t>
      </w:r>
      <w:r w:rsidR="002C2EC7">
        <w:t xml:space="preserve"> </w:t>
      </w:r>
      <w:r w:rsidR="002C2EC7" w:rsidRPr="0071774C">
        <w:t>while</w:t>
      </w:r>
      <w:r w:rsidR="002C2EC7">
        <w:t xml:space="preserve"> </w:t>
      </w:r>
      <w:r w:rsidR="002C2EC7" w:rsidRPr="0071774C">
        <w:t>in</w:t>
      </w:r>
      <w:r w:rsidR="008D6EEA">
        <w:t xml:space="preserve"> </w:t>
      </w:r>
      <w:r w:rsidR="002C2EC7" w:rsidRPr="0071774C">
        <w:t>others</w:t>
      </w:r>
      <w:r w:rsidR="002C2EC7">
        <w:t xml:space="preserve"> </w:t>
      </w:r>
      <w:r w:rsidR="002C2EC7" w:rsidRPr="0071774C">
        <w:t>they</w:t>
      </w:r>
      <w:r w:rsidR="002C2EC7">
        <w:t xml:space="preserve"> </w:t>
      </w:r>
      <w:r w:rsidR="002C2EC7" w:rsidRPr="0071774C">
        <w:t>referred</w:t>
      </w:r>
      <w:r w:rsidR="002C2EC7">
        <w:t xml:space="preserve"> </w:t>
      </w:r>
      <w:r w:rsidR="002C2EC7" w:rsidRPr="0071774C">
        <w:t>to</w:t>
      </w:r>
      <w:r w:rsidR="002C2EC7">
        <w:t xml:space="preserve"> </w:t>
      </w:r>
      <w:r w:rsidR="002C2EC7" w:rsidRPr="0071774C">
        <w:t>specific</w:t>
      </w:r>
      <w:r w:rsidR="002C2EC7">
        <w:t xml:space="preserve"> </w:t>
      </w:r>
      <w:r w:rsidR="002C2EC7" w:rsidRPr="0071774C">
        <w:t>‘at</w:t>
      </w:r>
      <w:r w:rsidR="002C2EC7">
        <w:t xml:space="preserve"> </w:t>
      </w:r>
      <w:r w:rsidR="002C2EC7" w:rsidRPr="0071774C">
        <w:t>risk’</w:t>
      </w:r>
      <w:r w:rsidR="002C2EC7">
        <w:t xml:space="preserve"> </w:t>
      </w:r>
      <w:r w:rsidR="002C2EC7" w:rsidRPr="0071774C">
        <w:t>or</w:t>
      </w:r>
      <w:r w:rsidR="002C2EC7">
        <w:t xml:space="preserve"> </w:t>
      </w:r>
      <w:r w:rsidR="002C2EC7" w:rsidRPr="0071774C">
        <w:t>‘vulnerable’</w:t>
      </w:r>
      <w:r w:rsidR="002C2EC7">
        <w:t xml:space="preserve"> </w:t>
      </w:r>
      <w:r w:rsidR="002C2EC7" w:rsidRPr="0071774C">
        <w:t>population</w:t>
      </w:r>
      <w:r w:rsidR="002C2EC7">
        <w:t xml:space="preserve"> </w:t>
      </w:r>
      <w:r w:rsidR="002C2EC7" w:rsidRPr="0071774C">
        <w:t>groups,</w:t>
      </w:r>
      <w:r w:rsidR="002C2EC7">
        <w:t xml:space="preserve"> </w:t>
      </w:r>
      <w:r w:rsidR="002C2EC7" w:rsidRPr="0071774C">
        <w:t>with</w:t>
      </w:r>
      <w:r w:rsidR="002C2EC7">
        <w:t xml:space="preserve"> </w:t>
      </w:r>
      <w:r w:rsidR="002C2EC7" w:rsidRPr="0071774C">
        <w:t>fewer</w:t>
      </w:r>
      <w:r w:rsidR="002C2EC7">
        <w:t xml:space="preserve"> </w:t>
      </w:r>
      <w:r w:rsidR="002C2EC7" w:rsidRPr="0071774C">
        <w:t>acknowledging</w:t>
      </w:r>
      <w:r w:rsidR="002C2EC7">
        <w:t xml:space="preserve"> </w:t>
      </w:r>
      <w:r w:rsidR="002C2EC7" w:rsidRPr="0071774C">
        <w:t>the</w:t>
      </w:r>
      <w:r w:rsidR="002C2EC7">
        <w:t xml:space="preserve"> </w:t>
      </w:r>
      <w:r w:rsidR="002C2EC7" w:rsidRPr="0071774C">
        <w:t>need</w:t>
      </w:r>
      <w:r w:rsidR="002C2EC7">
        <w:t xml:space="preserve"> </w:t>
      </w:r>
      <w:r w:rsidR="002C2EC7" w:rsidRPr="0071774C">
        <w:t>to</w:t>
      </w:r>
      <w:r w:rsidR="002C2EC7">
        <w:t xml:space="preserve"> </w:t>
      </w:r>
      <w:r w:rsidR="002C2EC7" w:rsidRPr="0071774C">
        <w:t>consistently</w:t>
      </w:r>
      <w:r w:rsidR="002C2EC7">
        <w:t xml:space="preserve"> </w:t>
      </w:r>
      <w:r w:rsidR="002C2EC7" w:rsidRPr="0071774C">
        <w:t>embed</w:t>
      </w:r>
      <w:r w:rsidR="002C2EC7">
        <w:t xml:space="preserve"> </w:t>
      </w:r>
      <w:r w:rsidR="002C2EC7" w:rsidRPr="0071774C">
        <w:t>an</w:t>
      </w:r>
      <w:r w:rsidR="002C2EC7">
        <w:t xml:space="preserve"> </w:t>
      </w:r>
      <w:r w:rsidR="002C2EC7" w:rsidRPr="0071774C">
        <w:t>intersectional</w:t>
      </w:r>
      <w:r w:rsidR="002C2EC7">
        <w:t xml:space="preserve"> </w:t>
      </w:r>
      <w:r w:rsidR="002C2EC7" w:rsidRPr="0071774C">
        <w:t>approach.</w:t>
      </w:r>
      <w:r w:rsidR="002C2EC7">
        <w:t xml:space="preserve"> </w:t>
      </w:r>
      <w:r w:rsidR="002C2EC7" w:rsidRPr="0071774C">
        <w:t>A</w:t>
      </w:r>
      <w:r w:rsidR="002C2EC7">
        <w:t xml:space="preserve"> </w:t>
      </w:r>
      <w:r w:rsidR="002C2EC7" w:rsidRPr="0071774C">
        <w:t>more</w:t>
      </w:r>
      <w:r w:rsidR="002C2EC7">
        <w:t xml:space="preserve"> </w:t>
      </w:r>
      <w:r w:rsidR="002C2EC7" w:rsidRPr="0071774C">
        <w:t>detailed</w:t>
      </w:r>
      <w:r w:rsidR="002C2EC7">
        <w:t xml:space="preserve"> </w:t>
      </w:r>
      <w:r w:rsidR="002C2EC7" w:rsidRPr="0071774C">
        <w:t>examination</w:t>
      </w:r>
      <w:r w:rsidR="002C2EC7">
        <w:t xml:space="preserve"> </w:t>
      </w:r>
      <w:r w:rsidR="002C2EC7" w:rsidRPr="0071774C">
        <w:t>of</w:t>
      </w:r>
      <w:r w:rsidR="002C2EC7">
        <w:t xml:space="preserve"> </w:t>
      </w:r>
      <w:r w:rsidR="002C2EC7" w:rsidRPr="0071774C">
        <w:t>the</w:t>
      </w:r>
      <w:r w:rsidR="002C2EC7">
        <w:t xml:space="preserve"> </w:t>
      </w:r>
      <w:r w:rsidR="002C2EC7" w:rsidRPr="0071774C">
        <w:t>extent</w:t>
      </w:r>
      <w:r w:rsidR="002C2EC7">
        <w:t xml:space="preserve"> </w:t>
      </w:r>
      <w:r w:rsidR="002C2EC7" w:rsidRPr="0071774C">
        <w:t>to</w:t>
      </w:r>
      <w:r w:rsidR="002C2EC7">
        <w:t xml:space="preserve"> </w:t>
      </w:r>
      <w:r w:rsidR="002C2EC7" w:rsidRPr="0071774C">
        <w:t>which</w:t>
      </w:r>
      <w:r w:rsidR="002C2EC7">
        <w:t xml:space="preserve"> </w:t>
      </w:r>
      <w:r w:rsidR="002C2EC7" w:rsidRPr="0071774C">
        <w:t>policies</w:t>
      </w:r>
      <w:r w:rsidR="002C2EC7">
        <w:t xml:space="preserve"> </w:t>
      </w:r>
      <w:r w:rsidR="002C2EC7" w:rsidRPr="0071774C">
        <w:t>take</w:t>
      </w:r>
      <w:r w:rsidR="002C2EC7">
        <w:t xml:space="preserve"> </w:t>
      </w:r>
      <w:r w:rsidR="002C2EC7" w:rsidRPr="0071774C">
        <w:t>account</w:t>
      </w:r>
      <w:r w:rsidR="002C2EC7">
        <w:t xml:space="preserve"> </w:t>
      </w:r>
      <w:r w:rsidR="002C2EC7" w:rsidRPr="0071774C">
        <w:t>of,</w:t>
      </w:r>
      <w:r w:rsidR="002C2EC7">
        <w:t xml:space="preserve"> </w:t>
      </w:r>
      <w:r w:rsidR="002C2EC7" w:rsidRPr="0071774C">
        <w:t>and</w:t>
      </w:r>
      <w:r w:rsidR="008D6EEA">
        <w:t> </w:t>
      </w:r>
      <w:r w:rsidR="002C2EC7" w:rsidRPr="0071774C">
        <w:t>work</w:t>
      </w:r>
      <w:r w:rsidR="002C2EC7">
        <w:t xml:space="preserve"> </w:t>
      </w:r>
      <w:r w:rsidR="002C2EC7" w:rsidRPr="0071774C">
        <w:t>to</w:t>
      </w:r>
      <w:r w:rsidR="002C2EC7">
        <w:t xml:space="preserve"> </w:t>
      </w:r>
      <w:r w:rsidR="002C2EC7" w:rsidRPr="0071774C">
        <w:t>counteract</w:t>
      </w:r>
      <w:r w:rsidR="002C2EC7">
        <w:t xml:space="preserve">, </w:t>
      </w:r>
      <w:r w:rsidR="002C2EC7" w:rsidRPr="0071774C">
        <w:t>structural</w:t>
      </w:r>
      <w:r w:rsidR="002C2EC7">
        <w:t xml:space="preserve"> </w:t>
      </w:r>
      <w:r w:rsidR="002C2EC7" w:rsidRPr="0071774C">
        <w:t>and</w:t>
      </w:r>
      <w:r w:rsidR="002C2EC7">
        <w:t xml:space="preserve"> </w:t>
      </w:r>
      <w:r w:rsidR="002C2EC7" w:rsidRPr="0071774C">
        <w:t>systemic</w:t>
      </w:r>
      <w:r w:rsidR="002C2EC7">
        <w:t xml:space="preserve"> </w:t>
      </w:r>
      <w:r w:rsidR="002C2EC7" w:rsidRPr="0071774C">
        <w:t>inequality</w:t>
      </w:r>
      <w:r w:rsidR="002C2EC7">
        <w:t xml:space="preserve"> </w:t>
      </w:r>
      <w:r w:rsidR="002C2EC7" w:rsidRPr="0071774C">
        <w:t>and</w:t>
      </w:r>
      <w:r w:rsidR="002C2EC7">
        <w:t xml:space="preserve"> </w:t>
      </w:r>
      <w:r w:rsidR="002C2EC7" w:rsidRPr="0071774C">
        <w:t>discrimination</w:t>
      </w:r>
      <w:r w:rsidR="002C2EC7">
        <w:t xml:space="preserve"> </w:t>
      </w:r>
      <w:r w:rsidR="002C2EC7" w:rsidRPr="0071774C">
        <w:t>would</w:t>
      </w:r>
      <w:r w:rsidR="002C2EC7">
        <w:t xml:space="preserve"> </w:t>
      </w:r>
      <w:r w:rsidR="002C2EC7" w:rsidRPr="0071774C">
        <w:t>be</w:t>
      </w:r>
      <w:r w:rsidR="002C2EC7">
        <w:t xml:space="preserve"> </w:t>
      </w:r>
      <w:r w:rsidR="002C2EC7" w:rsidRPr="0071774C">
        <w:t>a</w:t>
      </w:r>
      <w:r w:rsidR="008D6EEA">
        <w:t> </w:t>
      </w:r>
      <w:r w:rsidR="002C2EC7" w:rsidRPr="0071774C">
        <w:t>useful</w:t>
      </w:r>
      <w:r w:rsidR="002C2EC7">
        <w:t xml:space="preserve"> </w:t>
      </w:r>
      <w:r w:rsidR="002C2EC7" w:rsidRPr="0071774C">
        <w:t>area</w:t>
      </w:r>
      <w:r w:rsidR="002C2EC7">
        <w:t xml:space="preserve"> </w:t>
      </w:r>
      <w:r w:rsidR="002C2EC7" w:rsidRPr="0071774C">
        <w:t>of</w:t>
      </w:r>
      <w:r w:rsidR="002C2EC7">
        <w:t xml:space="preserve"> </w:t>
      </w:r>
      <w:r w:rsidR="002C2EC7" w:rsidRPr="0071774C">
        <w:t>focus</w:t>
      </w:r>
      <w:r w:rsidR="002C2EC7">
        <w:t xml:space="preserve"> </w:t>
      </w:r>
      <w:r w:rsidR="002C2EC7" w:rsidRPr="0071774C">
        <w:t>for</w:t>
      </w:r>
      <w:r w:rsidR="002C2EC7">
        <w:t xml:space="preserve"> </w:t>
      </w:r>
      <w:r w:rsidR="002C2EC7" w:rsidRPr="0071774C">
        <w:t>future</w:t>
      </w:r>
      <w:r w:rsidR="002C2EC7">
        <w:t xml:space="preserve"> </w:t>
      </w:r>
      <w:r w:rsidR="002C2EC7" w:rsidRPr="0071774C">
        <w:t>monitoring</w:t>
      </w:r>
      <w:r w:rsidR="002C2EC7">
        <w:t xml:space="preserve"> </w:t>
      </w:r>
      <w:r w:rsidR="002C2EC7" w:rsidRPr="0071774C">
        <w:t>reports.</w:t>
      </w:r>
    </w:p>
    <w:p w14:paraId="178CCFDC" w14:textId="04C2B839" w:rsidR="002C2EC7" w:rsidRDefault="00935799" w:rsidP="00790783">
      <w:pPr>
        <w:pStyle w:val="BodyText"/>
      </w:pPr>
      <w:r>
        <w:t>O</w:t>
      </w:r>
      <w:r w:rsidR="002C2EC7" w:rsidRPr="0071774C">
        <w:t>ther</w:t>
      </w:r>
      <w:r w:rsidR="002C2EC7">
        <w:t xml:space="preserve"> </w:t>
      </w:r>
      <w:r w:rsidR="002C2EC7" w:rsidRPr="0071774C">
        <w:t>aspect</w:t>
      </w:r>
      <w:r>
        <w:t>s</w:t>
      </w:r>
      <w:r w:rsidR="002C2EC7">
        <w:t xml:space="preserve"> </w:t>
      </w:r>
      <w:r w:rsidR="002C2EC7" w:rsidRPr="0071774C">
        <w:t>of</w:t>
      </w:r>
      <w:r w:rsidR="002C2EC7">
        <w:t xml:space="preserve"> </w:t>
      </w:r>
      <w:r w:rsidR="002C2EC7" w:rsidRPr="0071774C">
        <w:t>the</w:t>
      </w:r>
      <w:r w:rsidR="002C2EC7">
        <w:t xml:space="preserve"> </w:t>
      </w:r>
      <w:r w:rsidR="002C2EC7" w:rsidRPr="0071774C">
        <w:t>infrastructure</w:t>
      </w:r>
      <w:r w:rsidR="002C2EC7">
        <w:t xml:space="preserve"> </w:t>
      </w:r>
      <w:r w:rsidR="002C2EC7" w:rsidRPr="0071774C">
        <w:t>required</w:t>
      </w:r>
      <w:r w:rsidR="002C2EC7">
        <w:t xml:space="preserve"> </w:t>
      </w:r>
      <w:r w:rsidR="002C2EC7" w:rsidRPr="0071774C">
        <w:t>to</w:t>
      </w:r>
      <w:r w:rsidR="002C2EC7">
        <w:t xml:space="preserve"> </w:t>
      </w:r>
      <w:r w:rsidR="002C2EC7" w:rsidRPr="0071774C">
        <w:t>ensure</w:t>
      </w:r>
      <w:r w:rsidR="002C2EC7">
        <w:t xml:space="preserve"> </w:t>
      </w:r>
      <w:r w:rsidR="002C2EC7" w:rsidRPr="0071774C">
        <w:t>the</w:t>
      </w:r>
      <w:r w:rsidR="002C2EC7">
        <w:t xml:space="preserve"> </w:t>
      </w:r>
      <w:r w:rsidR="002C2EC7" w:rsidRPr="0071774C">
        <w:t>sustained</w:t>
      </w:r>
      <w:r w:rsidR="002C2EC7">
        <w:t xml:space="preserve"> </w:t>
      </w:r>
      <w:r w:rsidR="002C2EC7" w:rsidRPr="0071774C">
        <w:t>social</w:t>
      </w:r>
      <w:r w:rsidR="002C2EC7">
        <w:t xml:space="preserve"> </w:t>
      </w:r>
      <w:r w:rsidR="002C2EC7" w:rsidRPr="0071774C">
        <w:t>change</w:t>
      </w:r>
      <w:r w:rsidR="002C2EC7">
        <w:t xml:space="preserve"> </w:t>
      </w:r>
      <w:r w:rsidR="002C2EC7" w:rsidRPr="0071774C">
        <w:t>necessary</w:t>
      </w:r>
      <w:r w:rsidR="002C2EC7">
        <w:t xml:space="preserve"> </w:t>
      </w:r>
      <w:r w:rsidR="002C2EC7" w:rsidRPr="0071774C">
        <w:t>to</w:t>
      </w:r>
      <w:r w:rsidR="002C2EC7">
        <w:t xml:space="preserve"> </w:t>
      </w:r>
      <w:r w:rsidR="002C2EC7" w:rsidRPr="0071774C">
        <w:t>prevent</w:t>
      </w:r>
      <w:r w:rsidR="002C2EC7">
        <w:t xml:space="preserve"> </w:t>
      </w:r>
      <w:r w:rsidR="002C2EC7" w:rsidRPr="0071774C">
        <w:t>violence</w:t>
      </w:r>
      <w:r w:rsidR="002C2EC7">
        <w:t xml:space="preserve"> </w:t>
      </w:r>
      <w:r w:rsidR="002C2EC7" w:rsidRPr="0071774C">
        <w:t>against</w:t>
      </w:r>
      <w:r w:rsidR="002C2EC7">
        <w:t xml:space="preserve"> </w:t>
      </w:r>
      <w:r w:rsidR="002C2EC7" w:rsidRPr="0071774C">
        <w:t>women</w:t>
      </w:r>
      <w:r w:rsidR="002C2EC7">
        <w:t xml:space="preserve"> </w:t>
      </w:r>
      <w:r w:rsidR="00C703A7">
        <w:t>are</w:t>
      </w:r>
      <w:r w:rsidR="002C2EC7">
        <w:t xml:space="preserve"> </w:t>
      </w:r>
      <w:r w:rsidR="002C2EC7" w:rsidRPr="0071774C">
        <w:t>policy,</w:t>
      </w:r>
      <w:r w:rsidR="002C2EC7">
        <w:t xml:space="preserve"> </w:t>
      </w:r>
      <w:r w:rsidR="002C2EC7" w:rsidRPr="0071774C">
        <w:t>governance</w:t>
      </w:r>
      <w:r w:rsidR="002C2EC7">
        <w:t xml:space="preserve"> </w:t>
      </w:r>
      <w:r w:rsidR="002C2EC7" w:rsidRPr="0071774C">
        <w:t>and</w:t>
      </w:r>
      <w:r w:rsidR="002C2EC7">
        <w:t xml:space="preserve"> </w:t>
      </w:r>
      <w:r w:rsidR="002C2EC7" w:rsidRPr="0071774C">
        <w:t>coordination</w:t>
      </w:r>
      <w:r w:rsidR="002C2EC7">
        <w:t xml:space="preserve"> </w:t>
      </w:r>
      <w:r w:rsidR="002C2EC7" w:rsidRPr="0071774C">
        <w:t>mechanisms.</w:t>
      </w:r>
      <w:r w:rsidR="002C2EC7">
        <w:t xml:space="preserve"> </w:t>
      </w:r>
      <w:r w:rsidR="002C2EC7" w:rsidRPr="0071774C">
        <w:t>These</w:t>
      </w:r>
      <w:r w:rsidR="002C2EC7">
        <w:t xml:space="preserve"> </w:t>
      </w:r>
      <w:r w:rsidR="002C2EC7" w:rsidRPr="0071774C">
        <w:t>are</w:t>
      </w:r>
      <w:r w:rsidR="002C2EC7">
        <w:t xml:space="preserve"> </w:t>
      </w:r>
      <w:r w:rsidR="002C2EC7" w:rsidRPr="0071774C">
        <w:t>needed</w:t>
      </w:r>
      <w:r w:rsidR="002C2EC7">
        <w:t xml:space="preserve"> </w:t>
      </w:r>
      <w:r w:rsidR="002C2EC7" w:rsidRPr="0071774C">
        <w:t>both</w:t>
      </w:r>
      <w:r w:rsidR="002C2EC7">
        <w:t xml:space="preserve"> </w:t>
      </w:r>
      <w:r w:rsidR="002C2EC7" w:rsidRPr="0071774C">
        <w:t>across</w:t>
      </w:r>
      <w:r w:rsidR="002C2EC7">
        <w:t xml:space="preserve"> </w:t>
      </w:r>
      <w:r w:rsidR="002C2EC7" w:rsidRPr="0071774C">
        <w:t>different</w:t>
      </w:r>
      <w:r w:rsidR="002C2EC7">
        <w:t xml:space="preserve"> </w:t>
      </w:r>
      <w:r w:rsidR="002C2EC7" w:rsidRPr="0071774C">
        <w:t>portfolios</w:t>
      </w:r>
      <w:r w:rsidR="002C2EC7">
        <w:t xml:space="preserve"> </w:t>
      </w:r>
      <w:r w:rsidR="002C2EC7" w:rsidRPr="0071774C">
        <w:t>within</w:t>
      </w:r>
      <w:r w:rsidR="002C2EC7">
        <w:t xml:space="preserve"> </w:t>
      </w:r>
      <w:r w:rsidR="002C2EC7" w:rsidRPr="0071774C">
        <w:t>a</w:t>
      </w:r>
      <w:r w:rsidR="002C2EC7">
        <w:t xml:space="preserve"> </w:t>
      </w:r>
      <w:r w:rsidR="002C2EC7" w:rsidRPr="0071774C">
        <w:t>jurisdiction</w:t>
      </w:r>
      <w:r w:rsidR="002C2EC7">
        <w:t xml:space="preserve"> </w:t>
      </w:r>
      <w:r w:rsidR="002C2EC7" w:rsidRPr="0071774C">
        <w:t>and</w:t>
      </w:r>
      <w:r w:rsidR="002C2EC7">
        <w:t xml:space="preserve"> </w:t>
      </w:r>
      <w:r w:rsidR="002C2EC7" w:rsidRPr="0071774C">
        <w:t>across</w:t>
      </w:r>
      <w:r w:rsidR="002C2EC7">
        <w:t xml:space="preserve"> </w:t>
      </w:r>
      <w:r w:rsidR="002C2EC7" w:rsidRPr="0071774C">
        <w:t>different</w:t>
      </w:r>
      <w:r w:rsidR="002C2EC7">
        <w:t xml:space="preserve"> </w:t>
      </w:r>
      <w:r w:rsidR="002C2EC7" w:rsidRPr="0071774C">
        <w:t>levels</w:t>
      </w:r>
      <w:r w:rsidR="002C2EC7">
        <w:t xml:space="preserve"> </w:t>
      </w:r>
      <w:r w:rsidR="002C2EC7" w:rsidRPr="0071774C">
        <w:t>of</w:t>
      </w:r>
      <w:r w:rsidR="002C2EC7">
        <w:t xml:space="preserve"> </w:t>
      </w:r>
      <w:r w:rsidR="002C2EC7" w:rsidRPr="0071774C">
        <w:t>government.</w:t>
      </w:r>
      <w:r w:rsidR="002C2EC7">
        <w:t xml:space="preserve"> </w:t>
      </w:r>
      <w:r w:rsidR="002C2EC7" w:rsidRPr="0071774C">
        <w:t>Currently,</w:t>
      </w:r>
      <w:r w:rsidR="002C2EC7">
        <w:t xml:space="preserve"> </w:t>
      </w:r>
      <w:r w:rsidR="002C2EC7" w:rsidRPr="0071774C">
        <w:t>of</w:t>
      </w:r>
      <w:r w:rsidR="002C2EC7">
        <w:t xml:space="preserve"> </w:t>
      </w:r>
      <w:r w:rsidR="002C2EC7" w:rsidRPr="0071774C">
        <w:t>those</w:t>
      </w:r>
      <w:r w:rsidR="002C2EC7">
        <w:t xml:space="preserve"> </w:t>
      </w:r>
      <w:r w:rsidR="002C2EC7" w:rsidRPr="0071774C">
        <w:t>governance</w:t>
      </w:r>
      <w:r w:rsidR="002C2EC7">
        <w:t xml:space="preserve"> </w:t>
      </w:r>
      <w:r w:rsidR="002C2EC7" w:rsidRPr="0071774C">
        <w:t>and</w:t>
      </w:r>
      <w:r w:rsidR="002C2EC7">
        <w:t xml:space="preserve"> </w:t>
      </w:r>
      <w:r w:rsidR="002C2EC7" w:rsidRPr="0071774C">
        <w:t>coordination</w:t>
      </w:r>
      <w:r w:rsidR="002C2EC7">
        <w:t xml:space="preserve"> </w:t>
      </w:r>
      <w:r w:rsidR="002C2EC7" w:rsidRPr="0071774C">
        <w:t>mechanisms</w:t>
      </w:r>
      <w:r w:rsidR="002C2EC7">
        <w:t xml:space="preserve"> </w:t>
      </w:r>
      <w:r w:rsidR="002C2EC7" w:rsidRPr="0071774C">
        <w:t>that</w:t>
      </w:r>
      <w:r w:rsidR="002C2EC7">
        <w:t xml:space="preserve"> </w:t>
      </w:r>
      <w:r w:rsidR="002C2EC7" w:rsidRPr="0071774C">
        <w:t>are</w:t>
      </w:r>
      <w:r w:rsidR="002C2EC7">
        <w:t xml:space="preserve"> </w:t>
      </w:r>
      <w:r w:rsidR="002C2EC7" w:rsidRPr="0071774C">
        <w:t>publicised,</w:t>
      </w:r>
      <w:r w:rsidR="002C2EC7">
        <w:t xml:space="preserve"> </w:t>
      </w:r>
      <w:r w:rsidR="002C2EC7" w:rsidRPr="0071774C">
        <w:rPr>
          <w:bCs/>
        </w:rPr>
        <w:t>strategies</w:t>
      </w:r>
      <w:r w:rsidR="002C2EC7">
        <w:rPr>
          <w:bCs/>
        </w:rPr>
        <w:t xml:space="preserve"> </w:t>
      </w:r>
      <w:r w:rsidR="002C2EC7" w:rsidRPr="0071774C">
        <w:rPr>
          <w:bCs/>
        </w:rPr>
        <w:t>are</w:t>
      </w:r>
      <w:r w:rsidR="002C2EC7">
        <w:rPr>
          <w:bCs/>
        </w:rPr>
        <w:t xml:space="preserve"> </w:t>
      </w:r>
      <w:r w:rsidR="002C2EC7" w:rsidRPr="0071774C">
        <w:rPr>
          <w:bCs/>
        </w:rPr>
        <w:t>frequently</w:t>
      </w:r>
      <w:r w:rsidR="002C2EC7">
        <w:rPr>
          <w:bCs/>
        </w:rPr>
        <w:t xml:space="preserve"> </w:t>
      </w:r>
      <w:r w:rsidR="002C2EC7" w:rsidRPr="0071774C">
        <w:rPr>
          <w:bCs/>
        </w:rPr>
        <w:t>led</w:t>
      </w:r>
      <w:r w:rsidR="002C2EC7">
        <w:rPr>
          <w:bCs/>
        </w:rPr>
        <w:t xml:space="preserve"> </w:t>
      </w:r>
      <w:r w:rsidR="002C2EC7" w:rsidRPr="0071774C">
        <w:rPr>
          <w:bCs/>
        </w:rPr>
        <w:t>by</w:t>
      </w:r>
      <w:r w:rsidR="002C2EC7">
        <w:rPr>
          <w:bCs/>
        </w:rPr>
        <w:t xml:space="preserve"> </w:t>
      </w:r>
      <w:r w:rsidR="002C2EC7" w:rsidRPr="0071774C">
        <w:rPr>
          <w:bCs/>
        </w:rPr>
        <w:t>particular</w:t>
      </w:r>
      <w:r w:rsidR="002C2EC7">
        <w:rPr>
          <w:bCs/>
        </w:rPr>
        <w:t xml:space="preserve"> </w:t>
      </w:r>
      <w:r w:rsidR="002C2EC7" w:rsidRPr="0071774C">
        <w:rPr>
          <w:bCs/>
        </w:rPr>
        <w:t>agencies</w:t>
      </w:r>
      <w:r w:rsidR="002C2EC7">
        <w:rPr>
          <w:bCs/>
        </w:rPr>
        <w:t xml:space="preserve"> </w:t>
      </w:r>
      <w:r w:rsidR="002C2EC7" w:rsidRPr="0071774C">
        <w:rPr>
          <w:bCs/>
        </w:rPr>
        <w:t>(</w:t>
      </w:r>
      <w:r w:rsidR="002C2EC7">
        <w:rPr>
          <w:bCs/>
        </w:rPr>
        <w:t xml:space="preserve">for example, </w:t>
      </w:r>
      <w:r w:rsidR="002C2EC7" w:rsidRPr="0071774C">
        <w:rPr>
          <w:bCs/>
        </w:rPr>
        <w:t>communities,</w:t>
      </w:r>
      <w:r w:rsidR="002C2EC7">
        <w:rPr>
          <w:bCs/>
        </w:rPr>
        <w:t xml:space="preserve"> </w:t>
      </w:r>
      <w:r w:rsidR="002C2EC7" w:rsidRPr="0071774C">
        <w:rPr>
          <w:bCs/>
        </w:rPr>
        <w:t>women,</w:t>
      </w:r>
      <w:r w:rsidR="002C2EC7">
        <w:rPr>
          <w:bCs/>
        </w:rPr>
        <w:t xml:space="preserve"> </w:t>
      </w:r>
      <w:r w:rsidR="002C2EC7" w:rsidRPr="0071774C">
        <w:rPr>
          <w:bCs/>
        </w:rPr>
        <w:t>health)</w:t>
      </w:r>
      <w:r w:rsidR="002C2EC7">
        <w:t xml:space="preserve"> </w:t>
      </w:r>
      <w:r w:rsidR="002C2EC7" w:rsidRPr="0071774C">
        <w:t>and</w:t>
      </w:r>
      <w:r w:rsidR="002C2EC7">
        <w:t xml:space="preserve"> </w:t>
      </w:r>
      <w:r w:rsidR="002C2EC7" w:rsidRPr="0071774C">
        <w:t>supported</w:t>
      </w:r>
      <w:r w:rsidR="002C2EC7">
        <w:t xml:space="preserve"> </w:t>
      </w:r>
      <w:r w:rsidR="002C2EC7" w:rsidRPr="0071774C">
        <w:t>by</w:t>
      </w:r>
      <w:r w:rsidR="002C2EC7">
        <w:t xml:space="preserve"> </w:t>
      </w:r>
      <w:r w:rsidR="002C2EC7" w:rsidRPr="0071774C">
        <w:t>interdepartmental</w:t>
      </w:r>
      <w:r w:rsidR="002C2EC7">
        <w:t xml:space="preserve"> </w:t>
      </w:r>
      <w:r w:rsidR="002C2EC7" w:rsidRPr="0071774C">
        <w:t>mechanisms</w:t>
      </w:r>
      <w:r w:rsidR="002C2EC7">
        <w:t xml:space="preserve"> </w:t>
      </w:r>
      <w:r w:rsidR="002C2EC7" w:rsidRPr="0071774C">
        <w:t>such</w:t>
      </w:r>
      <w:r w:rsidR="002C2EC7">
        <w:t xml:space="preserve"> </w:t>
      </w:r>
      <w:r w:rsidR="002C2EC7" w:rsidRPr="0071774C">
        <w:t>as</w:t>
      </w:r>
      <w:r w:rsidR="002C2EC7">
        <w:t xml:space="preserve"> </w:t>
      </w:r>
      <w:r w:rsidR="002C2EC7" w:rsidRPr="0071774C">
        <w:t>committees</w:t>
      </w:r>
      <w:r w:rsidR="002C2EC7">
        <w:t xml:space="preserve"> </w:t>
      </w:r>
      <w:r w:rsidR="002C2EC7" w:rsidRPr="0071774C">
        <w:t>(with</w:t>
      </w:r>
      <w:r w:rsidR="00ED42C9">
        <w:t> </w:t>
      </w:r>
      <w:r w:rsidR="002C2EC7" w:rsidRPr="0071774C">
        <w:t>relevant</w:t>
      </w:r>
      <w:r w:rsidR="002C2EC7">
        <w:t xml:space="preserve"> </w:t>
      </w:r>
      <w:r w:rsidR="002C2EC7" w:rsidRPr="0071774C">
        <w:t>departments).</w:t>
      </w:r>
      <w:r w:rsidR="002C2EC7">
        <w:t xml:space="preserve"> </w:t>
      </w:r>
      <w:r w:rsidR="002C2EC7" w:rsidRPr="0071774C">
        <w:t>Few</w:t>
      </w:r>
      <w:r w:rsidR="002C2EC7">
        <w:t xml:space="preserve"> </w:t>
      </w:r>
      <w:r w:rsidR="002C2EC7" w:rsidRPr="0071774C">
        <w:t>strategies</w:t>
      </w:r>
      <w:r w:rsidR="002C2EC7">
        <w:t xml:space="preserve"> </w:t>
      </w:r>
      <w:r w:rsidR="002C2EC7" w:rsidRPr="0071774C">
        <w:t>articulated</w:t>
      </w:r>
      <w:r w:rsidR="002C2EC7">
        <w:t xml:space="preserve"> </w:t>
      </w:r>
      <w:r w:rsidR="002C2EC7" w:rsidRPr="0071774C">
        <w:t>any</w:t>
      </w:r>
      <w:r w:rsidR="002C2EC7">
        <w:t xml:space="preserve"> </w:t>
      </w:r>
      <w:r w:rsidR="002C2EC7" w:rsidRPr="0071774C">
        <w:t>centralised</w:t>
      </w:r>
      <w:r w:rsidR="002C2EC7">
        <w:t xml:space="preserve"> </w:t>
      </w:r>
      <w:r w:rsidR="002C2EC7" w:rsidRPr="0071774C">
        <w:t>interdepartmental</w:t>
      </w:r>
      <w:r w:rsidR="002C2EC7">
        <w:t xml:space="preserve"> </w:t>
      </w:r>
      <w:r w:rsidR="002C2EC7" w:rsidRPr="0071774C">
        <w:t>mechanisms</w:t>
      </w:r>
      <w:r w:rsidR="002C2EC7">
        <w:t xml:space="preserve"> </w:t>
      </w:r>
      <w:r w:rsidR="002C2EC7" w:rsidRPr="0071774C">
        <w:t>to</w:t>
      </w:r>
      <w:r w:rsidR="002C2EC7">
        <w:t xml:space="preserve"> </w:t>
      </w:r>
      <w:r w:rsidR="002C2EC7" w:rsidRPr="0071774C">
        <w:t>lead</w:t>
      </w:r>
      <w:r w:rsidR="002C2EC7">
        <w:t xml:space="preserve"> </w:t>
      </w:r>
      <w:r w:rsidR="002C2EC7" w:rsidRPr="0071774C">
        <w:t>primary</w:t>
      </w:r>
      <w:r w:rsidR="002C2EC7">
        <w:t xml:space="preserve"> </w:t>
      </w:r>
      <w:r w:rsidR="002C2EC7" w:rsidRPr="0071774C">
        <w:t>prevention</w:t>
      </w:r>
      <w:r w:rsidR="002C2EC7">
        <w:t xml:space="preserve"> </w:t>
      </w:r>
      <w:r w:rsidR="002C2EC7" w:rsidRPr="0071774C">
        <w:t>activity.</w:t>
      </w:r>
      <w:r w:rsidR="002C2EC7">
        <w:t xml:space="preserve"> </w:t>
      </w:r>
      <w:r w:rsidR="002C2EC7" w:rsidRPr="0071774C">
        <w:t>Analysis</w:t>
      </w:r>
      <w:r w:rsidR="002C2EC7">
        <w:t xml:space="preserve"> </w:t>
      </w:r>
      <w:r w:rsidR="002C2EC7" w:rsidRPr="0071774C">
        <w:t>also</w:t>
      </w:r>
      <w:r w:rsidR="002C2EC7">
        <w:t xml:space="preserve"> </w:t>
      </w:r>
      <w:r w:rsidR="002C2EC7" w:rsidRPr="0071774C">
        <w:t>revealed</w:t>
      </w:r>
      <w:r w:rsidR="002C2EC7">
        <w:t xml:space="preserve"> </w:t>
      </w:r>
      <w:r w:rsidR="002C2EC7" w:rsidRPr="0071774C">
        <w:t>that</w:t>
      </w:r>
      <w:r w:rsidR="002C2EC7">
        <w:t xml:space="preserve"> </w:t>
      </w:r>
      <w:r w:rsidR="002C2EC7" w:rsidRPr="0071774C">
        <w:rPr>
          <w:bCs/>
        </w:rPr>
        <w:t>funded</w:t>
      </w:r>
      <w:r w:rsidR="002C2EC7">
        <w:rPr>
          <w:bCs/>
        </w:rPr>
        <w:t xml:space="preserve"> </w:t>
      </w:r>
      <w:r w:rsidR="002C2EC7" w:rsidRPr="0071774C">
        <w:rPr>
          <w:bCs/>
        </w:rPr>
        <w:t>and</w:t>
      </w:r>
      <w:r w:rsidR="002C2EC7">
        <w:rPr>
          <w:bCs/>
        </w:rPr>
        <w:t xml:space="preserve"> </w:t>
      </w:r>
      <w:r w:rsidR="002C2EC7" w:rsidRPr="0071774C">
        <w:rPr>
          <w:bCs/>
        </w:rPr>
        <w:t>formal</w:t>
      </w:r>
      <w:r w:rsidR="002C2EC7">
        <w:rPr>
          <w:bCs/>
        </w:rPr>
        <w:t xml:space="preserve"> </w:t>
      </w:r>
      <w:r w:rsidR="002C2EC7" w:rsidRPr="0071774C">
        <w:rPr>
          <w:bCs/>
        </w:rPr>
        <w:t>mechanisms</w:t>
      </w:r>
      <w:r w:rsidR="002C2EC7">
        <w:rPr>
          <w:bCs/>
        </w:rPr>
        <w:t xml:space="preserve"> </w:t>
      </w:r>
      <w:r w:rsidR="002C2EC7" w:rsidRPr="0071774C">
        <w:rPr>
          <w:bCs/>
        </w:rPr>
        <w:t>to</w:t>
      </w:r>
      <w:r w:rsidR="002C2EC7">
        <w:rPr>
          <w:bCs/>
        </w:rPr>
        <w:t xml:space="preserve"> </w:t>
      </w:r>
      <w:r w:rsidR="002C2EC7" w:rsidRPr="0071774C">
        <w:rPr>
          <w:bCs/>
        </w:rPr>
        <w:t>ensure</w:t>
      </w:r>
      <w:r w:rsidR="002C2EC7">
        <w:rPr>
          <w:bCs/>
        </w:rPr>
        <w:t xml:space="preserve"> that </w:t>
      </w:r>
      <w:r w:rsidR="002C2EC7" w:rsidRPr="0071774C">
        <w:rPr>
          <w:bCs/>
        </w:rPr>
        <w:t>civil</w:t>
      </w:r>
      <w:r w:rsidR="002C2EC7">
        <w:rPr>
          <w:bCs/>
        </w:rPr>
        <w:t xml:space="preserve"> </w:t>
      </w:r>
      <w:r w:rsidR="002C2EC7" w:rsidRPr="0071774C">
        <w:rPr>
          <w:bCs/>
        </w:rPr>
        <w:t>society</w:t>
      </w:r>
      <w:r w:rsidR="002C2EC7">
        <w:rPr>
          <w:bCs/>
        </w:rPr>
        <w:t xml:space="preserve"> </w:t>
      </w:r>
      <w:r w:rsidR="002C2EC7" w:rsidRPr="0071774C">
        <w:rPr>
          <w:bCs/>
        </w:rPr>
        <w:t>organisations</w:t>
      </w:r>
      <w:r w:rsidR="002C2EC7">
        <w:rPr>
          <w:bCs/>
        </w:rPr>
        <w:t xml:space="preserve"> </w:t>
      </w:r>
      <w:r w:rsidR="002C2EC7" w:rsidRPr="0071774C">
        <w:rPr>
          <w:bCs/>
        </w:rPr>
        <w:t>participate</w:t>
      </w:r>
      <w:r w:rsidR="002C2EC7">
        <w:rPr>
          <w:bCs/>
        </w:rPr>
        <w:t xml:space="preserve"> </w:t>
      </w:r>
      <w:r w:rsidR="002C2EC7" w:rsidRPr="0071774C">
        <w:rPr>
          <w:bCs/>
        </w:rPr>
        <w:t>and</w:t>
      </w:r>
      <w:r w:rsidR="002C2EC7">
        <w:rPr>
          <w:bCs/>
        </w:rPr>
        <w:t xml:space="preserve"> </w:t>
      </w:r>
      <w:r w:rsidR="002C2EC7" w:rsidRPr="0071774C">
        <w:rPr>
          <w:bCs/>
        </w:rPr>
        <w:t>collaborate</w:t>
      </w:r>
      <w:r w:rsidR="002C2EC7">
        <w:rPr>
          <w:bCs/>
        </w:rPr>
        <w:t xml:space="preserve"> </w:t>
      </w:r>
      <w:r w:rsidR="002C2EC7" w:rsidRPr="0071774C">
        <w:rPr>
          <w:bCs/>
        </w:rPr>
        <w:t>in</w:t>
      </w:r>
      <w:r w:rsidR="002C2EC7">
        <w:rPr>
          <w:bCs/>
        </w:rPr>
        <w:t xml:space="preserve"> </w:t>
      </w:r>
      <w:r w:rsidR="002C2EC7" w:rsidRPr="0071774C">
        <w:rPr>
          <w:bCs/>
        </w:rPr>
        <w:t>the</w:t>
      </w:r>
      <w:r w:rsidR="002C2EC7">
        <w:rPr>
          <w:bCs/>
        </w:rPr>
        <w:t xml:space="preserve"> </w:t>
      </w:r>
      <w:r w:rsidR="002C2EC7" w:rsidRPr="0071774C">
        <w:rPr>
          <w:bCs/>
        </w:rPr>
        <w:t>development,</w:t>
      </w:r>
      <w:r w:rsidR="002C2EC7">
        <w:rPr>
          <w:bCs/>
        </w:rPr>
        <w:t xml:space="preserve"> </w:t>
      </w:r>
      <w:r w:rsidR="002C2EC7" w:rsidRPr="0071774C">
        <w:rPr>
          <w:bCs/>
        </w:rPr>
        <w:t>implementation,</w:t>
      </w:r>
      <w:r w:rsidR="002C2EC7">
        <w:rPr>
          <w:bCs/>
        </w:rPr>
        <w:t xml:space="preserve"> </w:t>
      </w:r>
      <w:r w:rsidR="002C2EC7" w:rsidRPr="0071774C">
        <w:rPr>
          <w:bCs/>
        </w:rPr>
        <w:t>monitoring</w:t>
      </w:r>
      <w:r w:rsidR="002C2EC7">
        <w:rPr>
          <w:bCs/>
        </w:rPr>
        <w:t xml:space="preserve"> </w:t>
      </w:r>
      <w:r w:rsidR="002C2EC7" w:rsidRPr="0071774C">
        <w:rPr>
          <w:bCs/>
        </w:rPr>
        <w:t>and</w:t>
      </w:r>
      <w:r w:rsidR="002C2EC7">
        <w:rPr>
          <w:bCs/>
        </w:rPr>
        <w:t xml:space="preserve"> </w:t>
      </w:r>
      <w:r w:rsidR="002C2EC7" w:rsidRPr="0071774C">
        <w:rPr>
          <w:bCs/>
        </w:rPr>
        <w:t>evaluation</w:t>
      </w:r>
      <w:r w:rsidR="002C2EC7">
        <w:rPr>
          <w:bCs/>
        </w:rPr>
        <w:t xml:space="preserve"> </w:t>
      </w:r>
      <w:r w:rsidR="002C2EC7" w:rsidRPr="0071774C">
        <w:rPr>
          <w:bCs/>
        </w:rPr>
        <w:t>of</w:t>
      </w:r>
      <w:r w:rsidR="002C2EC7">
        <w:rPr>
          <w:bCs/>
        </w:rPr>
        <w:t xml:space="preserve"> </w:t>
      </w:r>
      <w:r w:rsidR="002C2EC7" w:rsidRPr="0071774C">
        <w:rPr>
          <w:bCs/>
        </w:rPr>
        <w:t>violence</w:t>
      </w:r>
      <w:r w:rsidR="002C2EC7">
        <w:rPr>
          <w:bCs/>
        </w:rPr>
        <w:t xml:space="preserve"> </w:t>
      </w:r>
      <w:r w:rsidR="002C2EC7" w:rsidRPr="0071774C">
        <w:rPr>
          <w:bCs/>
        </w:rPr>
        <w:t>against</w:t>
      </w:r>
      <w:r w:rsidR="002C2EC7">
        <w:rPr>
          <w:bCs/>
        </w:rPr>
        <w:t xml:space="preserve"> </w:t>
      </w:r>
      <w:r w:rsidR="002C2EC7" w:rsidRPr="0071774C">
        <w:rPr>
          <w:bCs/>
        </w:rPr>
        <w:t>women</w:t>
      </w:r>
      <w:r w:rsidR="002C2EC7">
        <w:rPr>
          <w:bCs/>
        </w:rPr>
        <w:t xml:space="preserve"> </w:t>
      </w:r>
      <w:r w:rsidR="002C2EC7" w:rsidRPr="0071774C">
        <w:rPr>
          <w:bCs/>
        </w:rPr>
        <w:t>prevention</w:t>
      </w:r>
      <w:r w:rsidR="002C2EC7">
        <w:rPr>
          <w:bCs/>
        </w:rPr>
        <w:t xml:space="preserve"> </w:t>
      </w:r>
      <w:r w:rsidR="002C2EC7" w:rsidRPr="0071774C">
        <w:rPr>
          <w:bCs/>
        </w:rPr>
        <w:t>policies</w:t>
      </w:r>
      <w:r w:rsidR="002C2EC7">
        <w:rPr>
          <w:bCs/>
        </w:rPr>
        <w:t xml:space="preserve"> </w:t>
      </w:r>
      <w:r w:rsidR="002C2EC7" w:rsidRPr="0071774C">
        <w:rPr>
          <w:bCs/>
        </w:rPr>
        <w:t>were</w:t>
      </w:r>
      <w:r w:rsidR="002C2EC7">
        <w:rPr>
          <w:bCs/>
        </w:rPr>
        <w:t xml:space="preserve"> </w:t>
      </w:r>
      <w:r w:rsidR="002C2EC7" w:rsidRPr="0071774C">
        <w:rPr>
          <w:bCs/>
        </w:rPr>
        <w:t>not</w:t>
      </w:r>
      <w:r w:rsidR="002C2EC7">
        <w:rPr>
          <w:bCs/>
        </w:rPr>
        <w:t xml:space="preserve"> </w:t>
      </w:r>
      <w:r w:rsidR="002C2EC7" w:rsidRPr="0071774C">
        <w:rPr>
          <w:bCs/>
        </w:rPr>
        <w:t>consistently</w:t>
      </w:r>
      <w:r w:rsidR="002C2EC7">
        <w:rPr>
          <w:bCs/>
        </w:rPr>
        <w:t xml:space="preserve"> </w:t>
      </w:r>
      <w:r w:rsidR="002C2EC7" w:rsidRPr="0071774C">
        <w:rPr>
          <w:bCs/>
        </w:rPr>
        <w:t>employed</w:t>
      </w:r>
      <w:r w:rsidR="002C2EC7" w:rsidRPr="0071774C">
        <w:t>.</w:t>
      </w:r>
      <w:r w:rsidR="002C2EC7">
        <w:t xml:space="preserve"> </w:t>
      </w:r>
      <w:r w:rsidR="002C2EC7" w:rsidRPr="0071774C">
        <w:t>A</w:t>
      </w:r>
      <w:r w:rsidR="002C2EC7">
        <w:t xml:space="preserve"> </w:t>
      </w:r>
      <w:r w:rsidR="002C2EC7" w:rsidRPr="0071774C">
        <w:t>number</w:t>
      </w:r>
      <w:r w:rsidR="002C2EC7">
        <w:t xml:space="preserve"> </w:t>
      </w:r>
      <w:r w:rsidR="002C2EC7" w:rsidRPr="0071774C">
        <w:t>of</w:t>
      </w:r>
      <w:r w:rsidR="002C2EC7">
        <w:t xml:space="preserve"> </w:t>
      </w:r>
      <w:r w:rsidR="002C2EC7" w:rsidRPr="0071774C">
        <w:t>strategies</w:t>
      </w:r>
      <w:r w:rsidR="002C2EC7">
        <w:t xml:space="preserve"> </w:t>
      </w:r>
      <w:r w:rsidR="002C2EC7" w:rsidRPr="0071774C">
        <w:t>and</w:t>
      </w:r>
      <w:r w:rsidR="002C2EC7">
        <w:t xml:space="preserve"> </w:t>
      </w:r>
      <w:r w:rsidR="002C2EC7" w:rsidRPr="0071774C">
        <w:t>policies</w:t>
      </w:r>
      <w:r w:rsidR="002C2EC7">
        <w:t xml:space="preserve"> </w:t>
      </w:r>
      <w:r w:rsidR="002C2EC7" w:rsidRPr="0071774C">
        <w:t>made</w:t>
      </w:r>
      <w:r w:rsidR="002C2EC7">
        <w:t xml:space="preserve"> </w:t>
      </w:r>
      <w:r w:rsidR="002C2EC7" w:rsidRPr="0071774C">
        <w:t>no</w:t>
      </w:r>
      <w:r w:rsidR="002C2EC7">
        <w:t xml:space="preserve"> </w:t>
      </w:r>
      <w:r w:rsidR="002C2EC7" w:rsidRPr="0071774C">
        <w:t>mention</w:t>
      </w:r>
      <w:r w:rsidR="002C2EC7">
        <w:t xml:space="preserve"> </w:t>
      </w:r>
      <w:r w:rsidR="002C2EC7" w:rsidRPr="0071774C">
        <w:t>of</w:t>
      </w:r>
      <w:r w:rsidR="002C2EC7">
        <w:t xml:space="preserve"> </w:t>
      </w:r>
      <w:r w:rsidR="002C2EC7" w:rsidRPr="0071774C">
        <w:t>such</w:t>
      </w:r>
      <w:r w:rsidR="002C2EC7">
        <w:t xml:space="preserve"> </w:t>
      </w:r>
      <w:r w:rsidR="002C2EC7" w:rsidRPr="0071774C">
        <w:t>mechanisms,</w:t>
      </w:r>
      <w:r w:rsidR="002C2EC7">
        <w:t xml:space="preserve"> </w:t>
      </w:r>
      <w:r w:rsidR="002C2EC7" w:rsidRPr="0071774C">
        <w:t>while</w:t>
      </w:r>
      <w:r w:rsidR="002C2EC7">
        <w:t xml:space="preserve"> </w:t>
      </w:r>
      <w:r w:rsidR="002C2EC7" w:rsidRPr="0071774C">
        <w:t>approaches</w:t>
      </w:r>
      <w:r w:rsidR="002C2EC7">
        <w:t xml:space="preserve"> </w:t>
      </w:r>
      <w:r w:rsidR="002C2EC7" w:rsidRPr="0071774C">
        <w:t>in</w:t>
      </w:r>
      <w:r w:rsidR="002C2EC7">
        <w:t xml:space="preserve"> </w:t>
      </w:r>
      <w:r w:rsidR="002C2EC7" w:rsidRPr="0071774C">
        <w:t>others</w:t>
      </w:r>
      <w:r w:rsidR="002C2EC7">
        <w:t xml:space="preserve"> </w:t>
      </w:r>
      <w:r w:rsidR="002C2EC7" w:rsidRPr="0071774C">
        <w:t>ranged</w:t>
      </w:r>
      <w:r w:rsidR="002C2EC7">
        <w:t xml:space="preserve"> </w:t>
      </w:r>
      <w:r w:rsidR="002C2EC7" w:rsidRPr="0071774C">
        <w:t>from</w:t>
      </w:r>
      <w:r w:rsidR="002C2EC7">
        <w:t xml:space="preserve"> </w:t>
      </w:r>
      <w:r w:rsidR="002C2EC7" w:rsidRPr="0071774C">
        <w:t>cross-sectoral</w:t>
      </w:r>
      <w:r w:rsidR="002C2EC7">
        <w:t xml:space="preserve"> </w:t>
      </w:r>
      <w:r w:rsidR="002C2EC7" w:rsidRPr="0071774C">
        <w:t>advisory</w:t>
      </w:r>
      <w:r w:rsidR="002C2EC7">
        <w:t xml:space="preserve"> </w:t>
      </w:r>
      <w:r w:rsidR="002C2EC7" w:rsidRPr="0071774C">
        <w:t>bodies</w:t>
      </w:r>
      <w:r w:rsidR="002C2EC7">
        <w:t xml:space="preserve"> </w:t>
      </w:r>
      <w:r w:rsidR="002C2EC7" w:rsidRPr="0071774C">
        <w:t>tasked</w:t>
      </w:r>
      <w:r w:rsidR="002C2EC7">
        <w:t xml:space="preserve"> </w:t>
      </w:r>
      <w:r w:rsidR="002C2EC7" w:rsidRPr="0071774C">
        <w:t>with</w:t>
      </w:r>
      <w:r w:rsidR="002C2EC7">
        <w:t xml:space="preserve"> </w:t>
      </w:r>
      <w:r w:rsidR="002C2EC7" w:rsidRPr="0071774C">
        <w:t>providing</w:t>
      </w:r>
      <w:r w:rsidR="002C2EC7">
        <w:t xml:space="preserve"> </w:t>
      </w:r>
      <w:r w:rsidR="002C2EC7" w:rsidRPr="0071774C">
        <w:t>expertise</w:t>
      </w:r>
      <w:r w:rsidR="002C2EC7">
        <w:t xml:space="preserve"> </w:t>
      </w:r>
      <w:r w:rsidR="002C2EC7" w:rsidRPr="0071774C">
        <w:t>and</w:t>
      </w:r>
      <w:r w:rsidR="002C2EC7">
        <w:t xml:space="preserve"> </w:t>
      </w:r>
      <w:r w:rsidR="002C2EC7" w:rsidRPr="0071774C">
        <w:t>oversight,</w:t>
      </w:r>
      <w:r w:rsidR="002C2EC7">
        <w:t xml:space="preserve"> </w:t>
      </w:r>
      <w:r w:rsidR="002C2EC7" w:rsidRPr="0071774C">
        <w:t>through</w:t>
      </w:r>
      <w:r w:rsidR="002C2EC7">
        <w:t xml:space="preserve"> </w:t>
      </w:r>
      <w:r w:rsidR="002C2EC7" w:rsidRPr="0071774C">
        <w:t>to</w:t>
      </w:r>
      <w:r w:rsidR="002C2EC7">
        <w:t xml:space="preserve"> </w:t>
      </w:r>
      <w:r w:rsidR="002C2EC7" w:rsidRPr="0071774C">
        <w:t>time-limited</w:t>
      </w:r>
      <w:r w:rsidR="002C2EC7">
        <w:t xml:space="preserve"> </w:t>
      </w:r>
      <w:r w:rsidR="002C2EC7" w:rsidRPr="0071774C">
        <w:t>issue</w:t>
      </w:r>
      <w:r w:rsidR="002C2EC7">
        <w:t xml:space="preserve">- </w:t>
      </w:r>
      <w:r w:rsidR="002C2EC7" w:rsidRPr="0071774C">
        <w:t>or</w:t>
      </w:r>
      <w:r w:rsidR="002C2EC7">
        <w:t xml:space="preserve"> </w:t>
      </w:r>
      <w:r w:rsidR="002C2EC7" w:rsidRPr="0071774C">
        <w:t>activity-based</w:t>
      </w:r>
      <w:r w:rsidR="002C2EC7">
        <w:t xml:space="preserve"> </w:t>
      </w:r>
      <w:r w:rsidR="002C2EC7" w:rsidRPr="0071774C">
        <w:t>community</w:t>
      </w:r>
      <w:r w:rsidR="002C2EC7">
        <w:t xml:space="preserve"> </w:t>
      </w:r>
      <w:r w:rsidR="002C2EC7" w:rsidRPr="0071774C">
        <w:t>consultation</w:t>
      </w:r>
      <w:r w:rsidR="002C2EC7">
        <w:t xml:space="preserve"> </w:t>
      </w:r>
      <w:r w:rsidR="002C2EC7" w:rsidRPr="0071774C">
        <w:t>bodies.</w:t>
      </w:r>
      <w:r w:rsidR="002C2EC7">
        <w:t xml:space="preserve"> </w:t>
      </w:r>
      <w:r w:rsidR="002C2EC7" w:rsidRPr="0071774C">
        <w:t>Future</w:t>
      </w:r>
      <w:r w:rsidR="002C2EC7">
        <w:t xml:space="preserve"> </w:t>
      </w:r>
      <w:r w:rsidR="002C2EC7" w:rsidRPr="0071774C">
        <w:t>investigations</w:t>
      </w:r>
      <w:r w:rsidR="002C2EC7">
        <w:t xml:space="preserve"> </w:t>
      </w:r>
      <w:r w:rsidR="002C2EC7" w:rsidRPr="0071774C">
        <w:t>could</w:t>
      </w:r>
      <w:r w:rsidR="002C2EC7">
        <w:t xml:space="preserve"> </w:t>
      </w:r>
      <w:r w:rsidR="002C2EC7" w:rsidRPr="0071774C">
        <w:t>explore</w:t>
      </w:r>
      <w:r w:rsidR="002C2EC7">
        <w:t xml:space="preserve"> </w:t>
      </w:r>
      <w:r w:rsidR="002C2EC7" w:rsidRPr="0071774C">
        <w:t>whether</w:t>
      </w:r>
      <w:r w:rsidR="002C2EC7">
        <w:t xml:space="preserve"> </w:t>
      </w:r>
      <w:r w:rsidR="002C2EC7" w:rsidRPr="0071774C">
        <w:t>coordination</w:t>
      </w:r>
      <w:r w:rsidR="00723D15">
        <w:t xml:space="preserve"> </w:t>
      </w:r>
      <w:r w:rsidR="00723D15" w:rsidRPr="0071774C">
        <w:t>mechanisms</w:t>
      </w:r>
      <w:r w:rsidR="00723D15">
        <w:t xml:space="preserve"> </w:t>
      </w:r>
      <w:r w:rsidR="00723D15">
        <w:rPr>
          <w:rFonts w:ascii="Calibri" w:hAnsi="Calibri"/>
        </w:rPr>
        <w:t>–</w:t>
      </w:r>
      <w:r w:rsidR="00723D15">
        <w:t xml:space="preserve"> </w:t>
      </w:r>
      <w:r w:rsidR="00723D15" w:rsidRPr="0071774C">
        <w:t>or</w:t>
      </w:r>
      <w:r w:rsidR="00723D15">
        <w:t xml:space="preserve"> </w:t>
      </w:r>
      <w:r w:rsidR="00723D15" w:rsidRPr="0071774C">
        <w:t>advisory</w:t>
      </w:r>
      <w:r w:rsidR="00723D15">
        <w:t xml:space="preserve"> </w:t>
      </w:r>
      <w:r w:rsidR="00723D15" w:rsidRPr="0071774C">
        <w:t>bodies</w:t>
      </w:r>
      <w:r w:rsidR="00723D15">
        <w:t xml:space="preserve"> </w:t>
      </w:r>
      <w:r w:rsidR="00723D15" w:rsidRPr="0071774C">
        <w:t>established</w:t>
      </w:r>
      <w:r w:rsidR="00723D15">
        <w:t xml:space="preserve"> </w:t>
      </w:r>
      <w:r w:rsidR="00723D15" w:rsidRPr="0071774C">
        <w:t>to</w:t>
      </w:r>
      <w:r w:rsidR="00723D15">
        <w:t xml:space="preserve"> </w:t>
      </w:r>
      <w:r w:rsidR="00723D15" w:rsidRPr="0071774C">
        <w:t>coordinate</w:t>
      </w:r>
      <w:r w:rsidR="00723D15">
        <w:t xml:space="preserve"> </w:t>
      </w:r>
      <w:r w:rsidR="00723D15" w:rsidRPr="0071774C">
        <w:t>and</w:t>
      </w:r>
      <w:r w:rsidR="00723D15">
        <w:t xml:space="preserve"> </w:t>
      </w:r>
      <w:r w:rsidR="00723D15" w:rsidRPr="0071774C">
        <w:t>inform</w:t>
      </w:r>
      <w:r w:rsidR="00723D15">
        <w:t xml:space="preserve"> </w:t>
      </w:r>
      <w:r w:rsidR="00723D15" w:rsidRPr="0071774C">
        <w:t>efforts</w:t>
      </w:r>
      <w:r w:rsidR="00723D15">
        <w:t xml:space="preserve"> </w:t>
      </w:r>
      <w:r w:rsidR="00723D15" w:rsidRPr="0071774C">
        <w:t>to</w:t>
      </w:r>
      <w:r w:rsidR="00723D15">
        <w:t xml:space="preserve"> </w:t>
      </w:r>
      <w:r w:rsidR="00723D15" w:rsidRPr="0071774C">
        <w:t>prevent</w:t>
      </w:r>
      <w:r w:rsidR="00723D15">
        <w:t xml:space="preserve"> </w:t>
      </w:r>
      <w:r w:rsidR="00723D15" w:rsidRPr="0071774C">
        <w:t>violence</w:t>
      </w:r>
      <w:r w:rsidR="00723D15">
        <w:t xml:space="preserve"> </w:t>
      </w:r>
      <w:r w:rsidR="00723D15" w:rsidRPr="0071774C">
        <w:t>against</w:t>
      </w:r>
      <w:r w:rsidR="00723D15">
        <w:t xml:space="preserve"> </w:t>
      </w:r>
      <w:r w:rsidR="00723D15" w:rsidRPr="0071774C">
        <w:t>women</w:t>
      </w:r>
      <w:r w:rsidR="00723D15">
        <w:t xml:space="preserve"> </w:t>
      </w:r>
      <w:r w:rsidR="00723D15">
        <w:rPr>
          <w:rFonts w:ascii="Calibri" w:hAnsi="Calibri"/>
        </w:rPr>
        <w:t>–</w:t>
      </w:r>
      <w:r w:rsidR="00723D15">
        <w:t xml:space="preserve"> </w:t>
      </w:r>
      <w:r w:rsidR="00723D15" w:rsidRPr="0071774C">
        <w:t>incorporate</w:t>
      </w:r>
      <w:r w:rsidR="00723D15">
        <w:t xml:space="preserve"> </w:t>
      </w:r>
      <w:r w:rsidR="00723D15" w:rsidRPr="0071774C">
        <w:t>consultation</w:t>
      </w:r>
      <w:r w:rsidR="00723D15">
        <w:t xml:space="preserve"> </w:t>
      </w:r>
      <w:r w:rsidR="00723D15" w:rsidRPr="0071774C">
        <w:t>across</w:t>
      </w:r>
      <w:r w:rsidR="00723D15">
        <w:t xml:space="preserve"> </w:t>
      </w:r>
      <w:r w:rsidR="00723D15" w:rsidRPr="0071774C">
        <w:t>broad</w:t>
      </w:r>
      <w:r w:rsidR="00723D15">
        <w:t xml:space="preserve"> </w:t>
      </w:r>
      <w:r w:rsidR="00723D15" w:rsidRPr="0071774C">
        <w:t>social</w:t>
      </w:r>
      <w:r w:rsidR="00723D15">
        <w:t xml:space="preserve"> </w:t>
      </w:r>
      <w:r w:rsidR="00723D15" w:rsidRPr="0071774C">
        <w:t>policy</w:t>
      </w:r>
      <w:r w:rsidR="00723D15">
        <w:t xml:space="preserve"> </w:t>
      </w:r>
      <w:r w:rsidR="00723D15" w:rsidRPr="0071774C">
        <w:t>areas</w:t>
      </w:r>
      <w:r w:rsidR="00723D15">
        <w:t xml:space="preserve">, </w:t>
      </w:r>
      <w:r w:rsidR="00723D15" w:rsidRPr="0071774C">
        <w:t>make</w:t>
      </w:r>
      <w:r w:rsidR="00723D15">
        <w:t xml:space="preserve"> </w:t>
      </w:r>
      <w:r w:rsidR="00723D15" w:rsidRPr="0071774C">
        <w:t>appropriate</w:t>
      </w:r>
      <w:r w:rsidR="00723D15">
        <w:t xml:space="preserve"> </w:t>
      </w:r>
      <w:r w:rsidR="00723D15" w:rsidRPr="0071774C">
        <w:t>efforts</w:t>
      </w:r>
      <w:r w:rsidR="00723D15">
        <w:t xml:space="preserve"> </w:t>
      </w:r>
      <w:r w:rsidR="00723D15" w:rsidRPr="0071774C">
        <w:t>to</w:t>
      </w:r>
      <w:r w:rsidR="00723D15">
        <w:t xml:space="preserve"> </w:t>
      </w:r>
      <w:r w:rsidR="00723D15" w:rsidRPr="0071774C">
        <w:t>centre</w:t>
      </w:r>
      <w:r w:rsidR="00723D15">
        <w:t xml:space="preserve"> </w:t>
      </w:r>
      <w:r w:rsidR="00723D15" w:rsidRPr="0071774C">
        <w:t>the</w:t>
      </w:r>
      <w:r w:rsidR="00723D15">
        <w:t xml:space="preserve"> </w:t>
      </w:r>
      <w:r w:rsidR="00723D15" w:rsidRPr="0071774C">
        <w:t>voices</w:t>
      </w:r>
      <w:r w:rsidR="00723D15">
        <w:t xml:space="preserve"> </w:t>
      </w:r>
      <w:r w:rsidR="00723D15" w:rsidRPr="0071774C">
        <w:t>of</w:t>
      </w:r>
      <w:r w:rsidR="00723D15">
        <w:t xml:space="preserve"> </w:t>
      </w:r>
      <w:r w:rsidR="00723D15" w:rsidRPr="0071774C">
        <w:t>women</w:t>
      </w:r>
      <w:r w:rsidR="00723D15">
        <w:t xml:space="preserve"> </w:t>
      </w:r>
      <w:r w:rsidR="00723D15" w:rsidRPr="0071774C">
        <w:t>and</w:t>
      </w:r>
      <w:r w:rsidR="00723D15">
        <w:t xml:space="preserve"> </w:t>
      </w:r>
      <w:r w:rsidR="00723D15" w:rsidRPr="0071774C">
        <w:t>ensure</w:t>
      </w:r>
      <w:r w:rsidR="00723D15">
        <w:t xml:space="preserve"> </w:t>
      </w:r>
      <w:r w:rsidR="00723D15" w:rsidRPr="0071774C">
        <w:t>representation</w:t>
      </w:r>
      <w:r w:rsidR="00723D15">
        <w:t xml:space="preserve"> </w:t>
      </w:r>
      <w:r w:rsidR="00723D15" w:rsidRPr="0071774C">
        <w:t>across</w:t>
      </w:r>
      <w:r w:rsidR="00723D15">
        <w:t xml:space="preserve"> </w:t>
      </w:r>
      <w:r w:rsidR="00723D15" w:rsidRPr="0071774C">
        <w:t>the</w:t>
      </w:r>
      <w:r w:rsidR="00723D15">
        <w:t xml:space="preserve"> </w:t>
      </w:r>
      <w:r w:rsidR="00723D15" w:rsidRPr="0071774C">
        <w:t>Australian</w:t>
      </w:r>
      <w:r w:rsidR="00723D15">
        <w:t xml:space="preserve"> </w:t>
      </w:r>
      <w:r w:rsidR="00723D15" w:rsidRPr="0071774C">
        <w:t>population</w:t>
      </w:r>
      <w:r w:rsidR="002C2EC7" w:rsidRPr="0071774C">
        <w:t>.</w:t>
      </w:r>
    </w:p>
    <w:p w14:paraId="100EE837" w14:textId="0F337985" w:rsidR="002C2EC7" w:rsidRDefault="002C2EC7" w:rsidP="00790783">
      <w:pPr>
        <w:pStyle w:val="BodyText"/>
      </w:pPr>
      <w:r w:rsidRPr="0071774C">
        <w:t>While</w:t>
      </w:r>
      <w:r>
        <w:t xml:space="preserve"> </w:t>
      </w:r>
      <w:r w:rsidRPr="0071774C">
        <w:t>strategies</w:t>
      </w:r>
      <w:r>
        <w:t xml:space="preserve"> </w:t>
      </w:r>
      <w:r w:rsidRPr="0071774C">
        <w:t>addressing</w:t>
      </w:r>
      <w:r>
        <w:t xml:space="preserve"> </w:t>
      </w:r>
      <w:r w:rsidRPr="0071774C">
        <w:t>violence</w:t>
      </w:r>
      <w:r>
        <w:t xml:space="preserve"> </w:t>
      </w:r>
      <w:r w:rsidRPr="0071774C">
        <w:t>against</w:t>
      </w:r>
      <w:r>
        <w:t xml:space="preserve"> </w:t>
      </w:r>
      <w:r w:rsidRPr="0071774C">
        <w:t>women</w:t>
      </w:r>
      <w:r>
        <w:t xml:space="preserve"> </w:t>
      </w:r>
      <w:r w:rsidRPr="0071774C">
        <w:t>provide</w:t>
      </w:r>
      <w:r>
        <w:t xml:space="preserve"> the </w:t>
      </w:r>
      <w:r w:rsidRPr="0071774C">
        <w:t>opportunity</w:t>
      </w:r>
      <w:r>
        <w:t xml:space="preserve"> </w:t>
      </w:r>
      <w:r w:rsidRPr="0071774C">
        <w:t>for</w:t>
      </w:r>
      <w:r>
        <w:t xml:space="preserve"> </w:t>
      </w:r>
      <w:r w:rsidRPr="0071774C">
        <w:t>sustained</w:t>
      </w:r>
      <w:r>
        <w:t xml:space="preserve"> </w:t>
      </w:r>
      <w:r w:rsidRPr="0071774C">
        <w:t>investment</w:t>
      </w:r>
      <w:r>
        <w:t xml:space="preserve"> </w:t>
      </w:r>
      <w:r w:rsidRPr="0071774C">
        <w:t>in</w:t>
      </w:r>
      <w:r>
        <w:t xml:space="preserve">, </w:t>
      </w:r>
      <w:r w:rsidRPr="0071774C">
        <w:t>and</w:t>
      </w:r>
      <w:r>
        <w:t xml:space="preserve"> </w:t>
      </w:r>
      <w:r w:rsidRPr="0071774C">
        <w:t>focus</w:t>
      </w:r>
      <w:r>
        <w:t xml:space="preserve"> </w:t>
      </w:r>
      <w:r w:rsidRPr="0071774C">
        <w:t>on</w:t>
      </w:r>
      <w:r>
        <w:t xml:space="preserve">, </w:t>
      </w:r>
      <w:r w:rsidRPr="0071774C">
        <w:t>primary</w:t>
      </w:r>
      <w:r>
        <w:t xml:space="preserve"> </w:t>
      </w:r>
      <w:r w:rsidRPr="0071774C">
        <w:t>prevention</w:t>
      </w:r>
      <w:r>
        <w:t xml:space="preserve"> </w:t>
      </w:r>
      <w:r w:rsidRPr="0071774C">
        <w:t>over</w:t>
      </w:r>
      <w:r>
        <w:t xml:space="preserve"> </w:t>
      </w:r>
      <w:r w:rsidRPr="0071774C">
        <w:t>time,</w:t>
      </w:r>
      <w:r>
        <w:t xml:space="preserve"> </w:t>
      </w:r>
      <w:r w:rsidRPr="0071774C">
        <w:t>this</w:t>
      </w:r>
      <w:r>
        <w:t xml:space="preserve"> </w:t>
      </w:r>
      <w:r w:rsidRPr="0071774C">
        <w:t>research</w:t>
      </w:r>
      <w:r>
        <w:t xml:space="preserve"> </w:t>
      </w:r>
      <w:r w:rsidRPr="0071774C">
        <w:t>has</w:t>
      </w:r>
      <w:r>
        <w:t xml:space="preserve"> </w:t>
      </w:r>
      <w:r w:rsidRPr="0071774C">
        <w:t>shown</w:t>
      </w:r>
      <w:r>
        <w:t xml:space="preserve"> </w:t>
      </w:r>
      <w:r w:rsidRPr="0071774C">
        <w:t>that</w:t>
      </w:r>
      <w:r>
        <w:t xml:space="preserve"> </w:t>
      </w:r>
      <w:r w:rsidRPr="0071774C">
        <w:t>activities</w:t>
      </w:r>
      <w:r>
        <w:t xml:space="preserve"> </w:t>
      </w:r>
      <w:r w:rsidRPr="0071774C">
        <w:t>linked</w:t>
      </w:r>
      <w:r>
        <w:t xml:space="preserve"> </w:t>
      </w:r>
      <w:r w:rsidRPr="0071774C">
        <w:t>to</w:t>
      </w:r>
      <w:r>
        <w:t xml:space="preserve"> </w:t>
      </w:r>
      <w:r w:rsidRPr="0071774C">
        <w:t>these</w:t>
      </w:r>
      <w:r>
        <w:t xml:space="preserve"> </w:t>
      </w:r>
      <w:r w:rsidRPr="0071774C">
        <w:t>strategies</w:t>
      </w:r>
      <w:r>
        <w:t xml:space="preserve"> </w:t>
      </w:r>
      <w:r w:rsidRPr="0071774C">
        <w:t>tend</w:t>
      </w:r>
      <w:r>
        <w:t xml:space="preserve"> </w:t>
      </w:r>
      <w:r w:rsidRPr="0071774C">
        <w:t>to</w:t>
      </w:r>
      <w:r>
        <w:t xml:space="preserve"> </w:t>
      </w:r>
      <w:r w:rsidRPr="0071774C">
        <w:t>be</w:t>
      </w:r>
      <w:r>
        <w:t xml:space="preserve"> </w:t>
      </w:r>
      <w:r w:rsidRPr="0071774C">
        <w:t>funded</w:t>
      </w:r>
      <w:r>
        <w:t xml:space="preserve"> </w:t>
      </w:r>
      <w:r w:rsidRPr="0071774C">
        <w:t>in</w:t>
      </w:r>
      <w:r>
        <w:t xml:space="preserve"> </w:t>
      </w:r>
      <w:r w:rsidRPr="0071774C">
        <w:t>short</w:t>
      </w:r>
      <w:r>
        <w:t xml:space="preserve"> </w:t>
      </w:r>
      <w:r w:rsidRPr="0071774C">
        <w:t>bursts</w:t>
      </w:r>
      <w:r>
        <w:t xml:space="preserve"> </w:t>
      </w:r>
      <w:r w:rsidRPr="0071774C">
        <w:t>(</w:t>
      </w:r>
      <w:r>
        <w:t xml:space="preserve">that is, one to three </w:t>
      </w:r>
      <w:r w:rsidRPr="0071774C">
        <w:t>years)</w:t>
      </w:r>
      <w:r>
        <w:t>.</w:t>
      </w:r>
      <w:r w:rsidRPr="0071774C">
        <w:rPr>
          <w:rStyle w:val="EndnoteReference"/>
          <w:szCs w:val="22"/>
        </w:rPr>
        <w:endnoteReference w:id="57"/>
      </w:r>
      <w:r w:rsidRPr="00525643">
        <w:t xml:space="preserve"> </w:t>
      </w:r>
      <w:r w:rsidRPr="005F6907">
        <w:t>As</w:t>
      </w:r>
      <w:r>
        <w:t xml:space="preserve"> </w:t>
      </w:r>
      <w:r w:rsidRPr="005F6907">
        <w:t>a</w:t>
      </w:r>
      <w:r>
        <w:t xml:space="preserve"> </w:t>
      </w:r>
      <w:r w:rsidRPr="005F6907">
        <w:t>result,</w:t>
      </w:r>
      <w:r>
        <w:t xml:space="preserve"> </w:t>
      </w:r>
      <w:r w:rsidRPr="005F6907">
        <w:t>investment</w:t>
      </w:r>
      <w:r>
        <w:t xml:space="preserve"> </w:t>
      </w:r>
      <w:r w:rsidRPr="005F6907">
        <w:t>in</w:t>
      </w:r>
      <w:r>
        <w:t xml:space="preserve"> primary prevention </w:t>
      </w:r>
      <w:r w:rsidRPr="005F6907">
        <w:t>doesn’t</w:t>
      </w:r>
      <w:r>
        <w:t xml:space="preserve"> </w:t>
      </w:r>
      <w:r w:rsidRPr="005F6907">
        <w:t>always</w:t>
      </w:r>
      <w:r>
        <w:t xml:space="preserve"> </w:t>
      </w:r>
      <w:r w:rsidRPr="005F6907">
        <w:t>take</w:t>
      </w:r>
      <w:r>
        <w:t xml:space="preserve"> </w:t>
      </w:r>
      <w:r w:rsidRPr="005F6907">
        <w:t>full</w:t>
      </w:r>
      <w:r>
        <w:t xml:space="preserve"> </w:t>
      </w:r>
      <w:r w:rsidRPr="005F6907">
        <w:t>advantage</w:t>
      </w:r>
      <w:r>
        <w:t xml:space="preserve"> </w:t>
      </w:r>
      <w:r w:rsidRPr="005F6907">
        <w:t>of</w:t>
      </w:r>
      <w:r>
        <w:t xml:space="preserve"> </w:t>
      </w:r>
      <w:r w:rsidRPr="005F6907">
        <w:t>the</w:t>
      </w:r>
      <w:r>
        <w:t xml:space="preserve"> </w:t>
      </w:r>
      <w:r w:rsidRPr="005F6907">
        <w:t>opportunity</w:t>
      </w:r>
      <w:r>
        <w:t xml:space="preserve"> </w:t>
      </w:r>
      <w:r w:rsidRPr="005F6907">
        <w:t>provided</w:t>
      </w:r>
      <w:r>
        <w:t xml:space="preserve"> </w:t>
      </w:r>
      <w:r w:rsidRPr="005F6907">
        <w:t>by</w:t>
      </w:r>
      <w:r>
        <w:t xml:space="preserve"> </w:t>
      </w:r>
      <w:r w:rsidRPr="005F6907">
        <w:t>the</w:t>
      </w:r>
      <w:r>
        <w:t xml:space="preserve"> </w:t>
      </w:r>
      <w:r w:rsidRPr="005F6907">
        <w:t>strategies</w:t>
      </w:r>
      <w:r>
        <w:t xml:space="preserve"> </w:t>
      </w:r>
      <w:r w:rsidRPr="005F6907">
        <w:t>to</w:t>
      </w:r>
      <w:r>
        <w:t xml:space="preserve"> </w:t>
      </w:r>
      <w:r w:rsidRPr="005F6907">
        <w:t>sustain</w:t>
      </w:r>
      <w:r>
        <w:t xml:space="preserve"> activities and maintain </w:t>
      </w:r>
      <w:r w:rsidRPr="005F6907">
        <w:t>focus</w:t>
      </w:r>
      <w:r>
        <w:t xml:space="preserve"> </w:t>
      </w:r>
      <w:r w:rsidRPr="005F6907">
        <w:t>over</w:t>
      </w:r>
      <w:r>
        <w:t xml:space="preserve"> </w:t>
      </w:r>
      <w:r w:rsidRPr="005F6907">
        <w:t>time.</w:t>
      </w:r>
      <w:r>
        <w:t xml:space="preserve"> </w:t>
      </w:r>
      <w:r w:rsidR="008B4B0D" w:rsidRPr="0071774C">
        <w:t>This</w:t>
      </w:r>
      <w:r w:rsidR="008B4B0D">
        <w:t xml:space="preserve"> </w:t>
      </w:r>
      <w:r w:rsidR="008B4B0D" w:rsidRPr="0071774C">
        <w:t>finding</w:t>
      </w:r>
      <w:r w:rsidR="008B4B0D">
        <w:t xml:space="preserve"> </w:t>
      </w:r>
      <w:r w:rsidR="008B4B0D" w:rsidRPr="0071774C">
        <w:t>echoes</w:t>
      </w:r>
      <w:r w:rsidR="008B4B0D">
        <w:t xml:space="preserve"> </w:t>
      </w:r>
      <w:r w:rsidR="008B4B0D" w:rsidRPr="0071774C">
        <w:t>that</w:t>
      </w:r>
      <w:r w:rsidR="008B4B0D">
        <w:t xml:space="preserve"> </w:t>
      </w:r>
      <w:r w:rsidR="008B4B0D" w:rsidRPr="0071774C">
        <w:t>of</w:t>
      </w:r>
      <w:r w:rsidR="008B4B0D">
        <w:t xml:space="preserve"> </w:t>
      </w:r>
      <w:r w:rsidR="008B4B0D" w:rsidRPr="0071774C">
        <w:t>the</w:t>
      </w:r>
      <w:r w:rsidR="008B4B0D">
        <w:t xml:space="preserve"> </w:t>
      </w:r>
      <w:r w:rsidR="002106B1" w:rsidRPr="002106B1">
        <w:rPr>
          <w:rStyle w:val="Emphasis"/>
        </w:rPr>
        <w:t>Process evaluation of the Third Action Plan 2016–19. Final Report</w:t>
      </w:r>
      <w:r>
        <w:t>,</w:t>
      </w:r>
      <w:r w:rsidRPr="0071774C">
        <w:rPr>
          <w:rStyle w:val="EndnoteReference"/>
          <w:szCs w:val="22"/>
        </w:rPr>
        <w:endnoteReference w:id="58"/>
      </w:r>
      <w:r>
        <w:t xml:space="preserve"> </w:t>
      </w:r>
      <w:r w:rsidRPr="0071774C">
        <w:t>which</w:t>
      </w:r>
      <w:r>
        <w:t xml:space="preserve"> </w:t>
      </w:r>
      <w:r w:rsidRPr="0071774C">
        <w:t>noted:</w:t>
      </w:r>
    </w:p>
    <w:p w14:paraId="26EF4FC9" w14:textId="77777777" w:rsidR="002C2EC7" w:rsidRDefault="002C2EC7" w:rsidP="00790783">
      <w:pPr>
        <w:pStyle w:val="Quote"/>
      </w:pPr>
      <w:r>
        <w:t>‘</w:t>
      </w:r>
      <w:r w:rsidRPr="0071774C">
        <w:t>[t]he</w:t>
      </w:r>
      <w:r>
        <w:t xml:space="preserve"> </w:t>
      </w:r>
      <w:r w:rsidRPr="0071774C">
        <w:t>duration</w:t>
      </w:r>
      <w:r>
        <w:t xml:space="preserve"> </w:t>
      </w:r>
      <w:r w:rsidRPr="0071774C">
        <w:t>of</w:t>
      </w:r>
      <w:r>
        <w:t xml:space="preserve"> </w:t>
      </w:r>
      <w:r w:rsidRPr="0071774C">
        <w:t>funding</w:t>
      </w:r>
      <w:r>
        <w:t xml:space="preserve"> </w:t>
      </w:r>
      <w:r w:rsidRPr="0071774C">
        <w:t>cycles</w:t>
      </w:r>
      <w:r>
        <w:t xml:space="preserve"> </w:t>
      </w:r>
      <w:r w:rsidRPr="0071774C">
        <w:t>was</w:t>
      </w:r>
      <w:r>
        <w:t xml:space="preserve"> </w:t>
      </w:r>
      <w:r w:rsidRPr="0071774C">
        <w:t>an</w:t>
      </w:r>
      <w:r>
        <w:t xml:space="preserve"> </w:t>
      </w:r>
      <w:r w:rsidRPr="0071774C">
        <w:t>issue</w:t>
      </w:r>
      <w:r>
        <w:t xml:space="preserve"> </w:t>
      </w:r>
      <w:r w:rsidRPr="0071774C">
        <w:t>that</w:t>
      </w:r>
      <w:r>
        <w:t xml:space="preserve"> </w:t>
      </w:r>
      <w:r w:rsidRPr="0071774C">
        <w:t>emerged</w:t>
      </w:r>
      <w:r>
        <w:t xml:space="preserve"> </w:t>
      </w:r>
      <w:r w:rsidRPr="0071774C">
        <w:t>from</w:t>
      </w:r>
      <w:r>
        <w:t xml:space="preserve"> </w:t>
      </w:r>
      <w:r w:rsidRPr="0071774C">
        <w:t>the</w:t>
      </w:r>
      <w:r>
        <w:t xml:space="preserve"> </w:t>
      </w:r>
      <w:r w:rsidRPr="0071774C">
        <w:t>online</w:t>
      </w:r>
      <w:r>
        <w:t xml:space="preserve"> </w:t>
      </w:r>
      <w:r w:rsidRPr="0071774C">
        <w:t>consultation</w:t>
      </w:r>
      <w:r>
        <w:t xml:space="preserve"> </w:t>
      </w:r>
      <w:r w:rsidRPr="0071774C">
        <w:t>with</w:t>
      </w:r>
      <w:r>
        <w:t xml:space="preserve"> </w:t>
      </w:r>
      <w:r w:rsidRPr="0071774C">
        <w:t>stakeholders.</w:t>
      </w:r>
      <w:r>
        <w:t xml:space="preserve"> </w:t>
      </w:r>
      <w:r w:rsidRPr="0071774C">
        <w:t>In</w:t>
      </w:r>
      <w:r>
        <w:t xml:space="preserve"> </w:t>
      </w:r>
      <w:r w:rsidRPr="0071774C">
        <w:t>particular,</w:t>
      </w:r>
      <w:r>
        <w:t xml:space="preserve"> </w:t>
      </w:r>
      <w:r w:rsidRPr="0071774C">
        <w:t>they</w:t>
      </w:r>
      <w:r>
        <w:t xml:space="preserve"> </w:t>
      </w:r>
      <w:r w:rsidRPr="0071774C">
        <w:t>identified</w:t>
      </w:r>
      <w:r>
        <w:t xml:space="preserve"> </w:t>
      </w:r>
      <w:r w:rsidRPr="0071774C">
        <w:t>the</w:t>
      </w:r>
      <w:r>
        <w:t xml:space="preserve"> </w:t>
      </w:r>
      <w:r w:rsidRPr="0071774C">
        <w:t>short-term</w:t>
      </w:r>
      <w:r>
        <w:t xml:space="preserve"> </w:t>
      </w:r>
      <w:r w:rsidRPr="0071774C">
        <w:t>funding</w:t>
      </w:r>
      <w:r>
        <w:t xml:space="preserve"> </w:t>
      </w:r>
      <w:r w:rsidRPr="0071774C">
        <w:t>for</w:t>
      </w:r>
      <w:r>
        <w:t xml:space="preserve"> </w:t>
      </w:r>
      <w:r w:rsidRPr="0071774C">
        <w:t>most</w:t>
      </w:r>
      <w:r>
        <w:t xml:space="preserve"> </w:t>
      </w:r>
      <w:r w:rsidRPr="0071774C">
        <w:t>programs</w:t>
      </w:r>
      <w:r>
        <w:t xml:space="preserve"> </w:t>
      </w:r>
      <w:r w:rsidRPr="0071774C">
        <w:t>and</w:t>
      </w:r>
      <w:r>
        <w:t xml:space="preserve"> </w:t>
      </w:r>
      <w:r w:rsidRPr="0071774C">
        <w:t>initiatives</w:t>
      </w:r>
      <w:r>
        <w:t xml:space="preserve"> </w:t>
      </w:r>
      <w:r w:rsidRPr="0071774C">
        <w:t>associated</w:t>
      </w:r>
      <w:r>
        <w:t xml:space="preserve"> </w:t>
      </w:r>
      <w:r w:rsidRPr="0071774C">
        <w:t>with</w:t>
      </w:r>
      <w:r>
        <w:t xml:space="preserve"> </w:t>
      </w:r>
      <w:r w:rsidRPr="0071774C">
        <w:t>the</w:t>
      </w:r>
      <w:r>
        <w:t xml:space="preserve"> </w:t>
      </w:r>
      <w:r w:rsidRPr="0071774C">
        <w:t>Third</w:t>
      </w:r>
      <w:r>
        <w:t xml:space="preserve"> </w:t>
      </w:r>
      <w:r w:rsidRPr="0071774C">
        <w:t>Action</w:t>
      </w:r>
      <w:r>
        <w:t xml:space="preserve"> </w:t>
      </w:r>
      <w:r w:rsidRPr="0071774C">
        <w:t>Plan</w:t>
      </w:r>
      <w:r>
        <w:t xml:space="preserve"> </w:t>
      </w:r>
      <w:r w:rsidRPr="0071774C">
        <w:t>as</w:t>
      </w:r>
      <w:r>
        <w:t xml:space="preserve"> </w:t>
      </w:r>
      <w:r w:rsidRPr="0071774C">
        <w:t>a</w:t>
      </w:r>
      <w:r>
        <w:t xml:space="preserve"> </w:t>
      </w:r>
      <w:r w:rsidRPr="0071774C">
        <w:t>hindrance</w:t>
      </w:r>
      <w:r>
        <w:t xml:space="preserve"> </w:t>
      </w:r>
      <w:r w:rsidRPr="0071774C">
        <w:t>to</w:t>
      </w:r>
      <w:r>
        <w:t xml:space="preserve"> </w:t>
      </w:r>
      <w:r w:rsidRPr="0071774C">
        <w:t>addressing</w:t>
      </w:r>
      <w:r>
        <w:t xml:space="preserve"> </w:t>
      </w:r>
      <w:r w:rsidRPr="0071774C">
        <w:t>long-term</w:t>
      </w:r>
      <w:r>
        <w:t xml:space="preserve"> </w:t>
      </w:r>
      <w:r w:rsidRPr="0071774C">
        <w:t>and</w:t>
      </w:r>
      <w:r>
        <w:t xml:space="preserve"> </w:t>
      </w:r>
      <w:r w:rsidRPr="0071774C">
        <w:t>complex</w:t>
      </w:r>
      <w:r>
        <w:t xml:space="preserve"> </w:t>
      </w:r>
      <w:r w:rsidRPr="0071774C">
        <w:t>problems.</w:t>
      </w:r>
      <w:r>
        <w:t>’</w:t>
      </w:r>
      <w:r w:rsidRPr="0071774C">
        <w:rPr>
          <w:rStyle w:val="EndnoteReference"/>
        </w:rPr>
        <w:endnoteReference w:id="59"/>
      </w:r>
    </w:p>
    <w:p w14:paraId="45D4A8A3" w14:textId="22D18BEB" w:rsidR="002C2EC7" w:rsidRDefault="002C2EC7" w:rsidP="00790783">
      <w:pPr>
        <w:pStyle w:val="BodyText"/>
      </w:pPr>
      <w:r w:rsidRPr="0071774C">
        <w:lastRenderedPageBreak/>
        <w:t>Currently,</w:t>
      </w:r>
      <w:r>
        <w:t xml:space="preserve"> </w:t>
      </w:r>
      <w:r w:rsidRPr="0071774C">
        <w:t>an</w:t>
      </w:r>
      <w:r>
        <w:t xml:space="preserve"> </w:t>
      </w:r>
      <w:r w:rsidRPr="0071774C">
        <w:t>analysis</w:t>
      </w:r>
      <w:r>
        <w:t xml:space="preserve"> </w:t>
      </w:r>
      <w:r w:rsidRPr="0071774C">
        <w:t>of</w:t>
      </w:r>
      <w:r>
        <w:t xml:space="preserve"> </w:t>
      </w:r>
      <w:r w:rsidRPr="0071774C">
        <w:t>available</w:t>
      </w:r>
      <w:r>
        <w:t xml:space="preserve"> </w:t>
      </w:r>
      <w:r w:rsidRPr="0071774C">
        <w:t>action</w:t>
      </w:r>
      <w:r>
        <w:t xml:space="preserve"> </w:t>
      </w:r>
      <w:r w:rsidRPr="0071774C">
        <w:t>plans</w:t>
      </w:r>
      <w:r>
        <w:t xml:space="preserve"> </w:t>
      </w:r>
      <w:r w:rsidRPr="0071774C">
        <w:t>across</w:t>
      </w:r>
      <w:r>
        <w:t xml:space="preserve"> </w:t>
      </w:r>
      <w:r w:rsidRPr="0071774C">
        <w:t>jurisdictions</w:t>
      </w:r>
      <w:r>
        <w:t xml:space="preserve"> </w:t>
      </w:r>
      <w:r w:rsidRPr="0071774C">
        <w:t>demonstrates</w:t>
      </w:r>
      <w:r>
        <w:t xml:space="preserve"> </w:t>
      </w:r>
      <w:r w:rsidRPr="0071774C">
        <w:t>that</w:t>
      </w:r>
      <w:r>
        <w:t xml:space="preserve"> </w:t>
      </w:r>
      <w:r w:rsidRPr="0071774C">
        <w:t>individual</w:t>
      </w:r>
      <w:r>
        <w:t xml:space="preserve"> </w:t>
      </w:r>
      <w:r w:rsidRPr="0071774C">
        <w:t>actions</w:t>
      </w:r>
      <w:r>
        <w:t xml:space="preserve"> </w:t>
      </w:r>
      <w:r w:rsidRPr="0071774C">
        <w:t>cover</w:t>
      </w:r>
      <w:r>
        <w:t xml:space="preserve"> </w:t>
      </w:r>
      <w:r w:rsidRPr="0071774C">
        <w:t>shorter</w:t>
      </w:r>
      <w:r>
        <w:t xml:space="preserve"> </w:t>
      </w:r>
      <w:r w:rsidRPr="0071774C">
        <w:t>periods</w:t>
      </w:r>
      <w:r>
        <w:t xml:space="preserve"> </w:t>
      </w:r>
      <w:r w:rsidRPr="0071774C">
        <w:t>than</w:t>
      </w:r>
      <w:r>
        <w:t xml:space="preserve"> </w:t>
      </w:r>
      <w:r w:rsidRPr="0071774C">
        <w:t>the</w:t>
      </w:r>
      <w:r>
        <w:t xml:space="preserve"> </w:t>
      </w:r>
      <w:r w:rsidRPr="0071774C">
        <w:t>strategies</w:t>
      </w:r>
      <w:r>
        <w:t xml:space="preserve"> </w:t>
      </w:r>
      <w:r w:rsidRPr="0071774C">
        <w:t>(ranging</w:t>
      </w:r>
      <w:r>
        <w:t xml:space="preserve"> </w:t>
      </w:r>
      <w:r w:rsidRPr="0071774C">
        <w:t>from</w:t>
      </w:r>
      <w:r>
        <w:t xml:space="preserve"> </w:t>
      </w:r>
      <w:r w:rsidRPr="0071774C">
        <w:t>one</w:t>
      </w:r>
      <w:r>
        <w:t>-</w:t>
      </w:r>
      <w:r w:rsidRPr="0071774C">
        <w:t>off</w:t>
      </w:r>
      <w:r>
        <w:t xml:space="preserve"> </w:t>
      </w:r>
      <w:r w:rsidRPr="0071774C">
        <w:t>activities</w:t>
      </w:r>
      <w:r>
        <w:t xml:space="preserve"> </w:t>
      </w:r>
      <w:r w:rsidRPr="0071774C">
        <w:t>to</w:t>
      </w:r>
      <w:r>
        <w:t xml:space="preserve"> </w:t>
      </w:r>
      <w:r w:rsidRPr="0071774C">
        <w:t>three</w:t>
      </w:r>
      <w:r>
        <w:t>-</w:t>
      </w:r>
      <w:r w:rsidRPr="0071774C">
        <w:t>year</w:t>
      </w:r>
      <w:r>
        <w:t xml:space="preserve"> </w:t>
      </w:r>
      <w:r w:rsidRPr="0071774C">
        <w:t>activities)</w:t>
      </w:r>
      <w:r>
        <w:t xml:space="preserve"> </w:t>
      </w:r>
      <w:r w:rsidRPr="0071774C">
        <w:t>and</w:t>
      </w:r>
      <w:r>
        <w:t xml:space="preserve"> </w:t>
      </w:r>
      <w:r w:rsidRPr="0071774C">
        <w:t>don’t</w:t>
      </w:r>
      <w:r>
        <w:t xml:space="preserve"> </w:t>
      </w:r>
      <w:r w:rsidRPr="0071774C">
        <w:t>always</w:t>
      </w:r>
      <w:r>
        <w:t xml:space="preserve"> </w:t>
      </w:r>
      <w:r w:rsidRPr="0071774C">
        <w:t>prioritise</w:t>
      </w:r>
      <w:r>
        <w:t xml:space="preserve"> </w:t>
      </w:r>
      <w:r w:rsidRPr="0071774C">
        <w:t>the</w:t>
      </w:r>
      <w:r>
        <w:t xml:space="preserve"> </w:t>
      </w:r>
      <w:r w:rsidRPr="0071774C">
        <w:t>creation</w:t>
      </w:r>
      <w:r>
        <w:t xml:space="preserve"> </w:t>
      </w:r>
      <w:r w:rsidRPr="0071774C">
        <w:t>of</w:t>
      </w:r>
      <w:r>
        <w:t xml:space="preserve"> </w:t>
      </w:r>
      <w:r w:rsidRPr="0071774C">
        <w:t>primary</w:t>
      </w:r>
      <w:r>
        <w:t xml:space="preserve"> </w:t>
      </w:r>
      <w:r w:rsidRPr="0071774C">
        <w:t>prevention</w:t>
      </w:r>
      <w:r>
        <w:t xml:space="preserve"> </w:t>
      </w:r>
      <w:r w:rsidRPr="0071774C">
        <w:t>infrastructure</w:t>
      </w:r>
      <w:r>
        <w:t xml:space="preserve"> </w:t>
      </w:r>
      <w:r w:rsidRPr="0071774C">
        <w:t>(such</w:t>
      </w:r>
      <w:r>
        <w:t xml:space="preserve"> </w:t>
      </w:r>
      <w:r w:rsidRPr="0071774C">
        <w:t>as</w:t>
      </w:r>
      <w:r>
        <w:t xml:space="preserve"> </w:t>
      </w:r>
      <w:r w:rsidRPr="0071774C">
        <w:t>an</w:t>
      </w:r>
      <w:r>
        <w:t xml:space="preserve"> </w:t>
      </w:r>
      <w:r w:rsidRPr="0071774C">
        <w:t>expert</w:t>
      </w:r>
      <w:r>
        <w:t xml:space="preserve"> </w:t>
      </w:r>
      <w:r w:rsidRPr="0071774C">
        <w:t>workforce</w:t>
      </w:r>
      <w:r>
        <w:t xml:space="preserve"> </w:t>
      </w:r>
      <w:r w:rsidRPr="0071774C">
        <w:t>or</w:t>
      </w:r>
      <w:r>
        <w:t xml:space="preserve"> </w:t>
      </w:r>
      <w:r w:rsidRPr="0071774C">
        <w:t>mechanisms</w:t>
      </w:r>
      <w:r>
        <w:t xml:space="preserve"> </w:t>
      </w:r>
      <w:r w:rsidRPr="0071774C">
        <w:t>for</w:t>
      </w:r>
      <w:r>
        <w:t xml:space="preserve"> </w:t>
      </w:r>
      <w:r w:rsidRPr="0071774C">
        <w:t>coordination)</w:t>
      </w:r>
      <w:r>
        <w:t xml:space="preserve"> </w:t>
      </w:r>
      <w:r w:rsidRPr="0071774C">
        <w:t>across</w:t>
      </w:r>
      <w:r>
        <w:t xml:space="preserve"> </w:t>
      </w:r>
      <w:r w:rsidRPr="0071774C">
        <w:t>domains</w:t>
      </w:r>
      <w:r>
        <w:t xml:space="preserve"> </w:t>
      </w:r>
      <w:r w:rsidRPr="0071774C">
        <w:t>in</w:t>
      </w:r>
      <w:r>
        <w:t xml:space="preserve"> </w:t>
      </w:r>
      <w:r w:rsidRPr="0071774C">
        <w:t>a</w:t>
      </w:r>
      <w:r>
        <w:t xml:space="preserve"> </w:t>
      </w:r>
      <w:r w:rsidRPr="0071774C">
        <w:t>sustained,</w:t>
      </w:r>
      <w:r>
        <w:t xml:space="preserve"> </w:t>
      </w:r>
      <w:r w:rsidRPr="0071774C">
        <w:t>coordinated</w:t>
      </w:r>
      <w:r>
        <w:t xml:space="preserve"> </w:t>
      </w:r>
      <w:r w:rsidRPr="0071774C">
        <w:t>and</w:t>
      </w:r>
      <w:r>
        <w:t xml:space="preserve"> </w:t>
      </w:r>
      <w:r w:rsidRPr="0071774C">
        <w:t>strategic</w:t>
      </w:r>
      <w:r>
        <w:t xml:space="preserve"> </w:t>
      </w:r>
      <w:r w:rsidRPr="0071774C">
        <w:t>way.</w:t>
      </w:r>
      <w:r>
        <w:t xml:space="preserve"> </w:t>
      </w:r>
      <w:r w:rsidRPr="0071774C">
        <w:rPr>
          <w:bCs/>
        </w:rPr>
        <w:t>Similarly,</w:t>
      </w:r>
      <w:r>
        <w:rPr>
          <w:bCs/>
        </w:rPr>
        <w:t xml:space="preserve"> </w:t>
      </w:r>
      <w:r w:rsidRPr="0071774C">
        <w:rPr>
          <w:bCs/>
        </w:rPr>
        <w:t>while</w:t>
      </w:r>
      <w:r>
        <w:rPr>
          <w:bCs/>
        </w:rPr>
        <w:t xml:space="preserve"> </w:t>
      </w:r>
      <w:r w:rsidRPr="0071774C">
        <w:rPr>
          <w:bCs/>
        </w:rPr>
        <w:t>the</w:t>
      </w:r>
      <w:r>
        <w:rPr>
          <w:bCs/>
        </w:rPr>
        <w:t xml:space="preserve"> </w:t>
      </w:r>
      <w:r w:rsidRPr="0071774C">
        <w:rPr>
          <w:bCs/>
        </w:rPr>
        <w:t>longer-term</w:t>
      </w:r>
      <w:r>
        <w:rPr>
          <w:bCs/>
        </w:rPr>
        <w:t xml:space="preserve"> </w:t>
      </w:r>
      <w:r w:rsidRPr="0071774C">
        <w:rPr>
          <w:bCs/>
        </w:rPr>
        <w:t>strategies</w:t>
      </w:r>
      <w:r>
        <w:rPr>
          <w:bCs/>
        </w:rPr>
        <w:t xml:space="preserve"> </w:t>
      </w:r>
      <w:r w:rsidRPr="0071774C">
        <w:rPr>
          <w:bCs/>
        </w:rPr>
        <w:t>mostly</w:t>
      </w:r>
      <w:r>
        <w:rPr>
          <w:bCs/>
        </w:rPr>
        <w:t xml:space="preserve"> </w:t>
      </w:r>
      <w:r w:rsidRPr="0071774C">
        <w:rPr>
          <w:bCs/>
        </w:rPr>
        <w:t>engaged</w:t>
      </w:r>
      <w:r>
        <w:rPr>
          <w:bCs/>
        </w:rPr>
        <w:t xml:space="preserve"> </w:t>
      </w:r>
      <w:r w:rsidRPr="0071774C">
        <w:rPr>
          <w:bCs/>
        </w:rPr>
        <w:t>with</w:t>
      </w:r>
      <w:r>
        <w:rPr>
          <w:bCs/>
        </w:rPr>
        <w:t xml:space="preserve"> </w:t>
      </w:r>
      <w:r w:rsidRPr="0071774C">
        <w:rPr>
          <w:bCs/>
        </w:rPr>
        <w:t>a</w:t>
      </w:r>
      <w:r>
        <w:rPr>
          <w:bCs/>
        </w:rPr>
        <w:t xml:space="preserve"> </w:t>
      </w:r>
      <w:r w:rsidRPr="0071774C">
        <w:rPr>
          <w:bCs/>
        </w:rPr>
        <w:t>gendered</w:t>
      </w:r>
      <w:r>
        <w:rPr>
          <w:bCs/>
        </w:rPr>
        <w:t xml:space="preserve"> </w:t>
      </w:r>
      <w:r w:rsidRPr="0071774C">
        <w:rPr>
          <w:bCs/>
        </w:rPr>
        <w:t>approach,</w:t>
      </w:r>
      <w:r>
        <w:rPr>
          <w:bCs/>
        </w:rPr>
        <w:t xml:space="preserve"> </w:t>
      </w:r>
      <w:r w:rsidRPr="0071774C">
        <w:rPr>
          <w:bCs/>
        </w:rPr>
        <w:t>more</w:t>
      </w:r>
      <w:r>
        <w:rPr>
          <w:bCs/>
        </w:rPr>
        <w:t xml:space="preserve"> </w:t>
      </w:r>
      <w:r w:rsidRPr="0071774C">
        <w:rPr>
          <w:bCs/>
        </w:rPr>
        <w:t>could</w:t>
      </w:r>
      <w:r>
        <w:rPr>
          <w:bCs/>
        </w:rPr>
        <w:t xml:space="preserve"> </w:t>
      </w:r>
      <w:r w:rsidRPr="0071774C">
        <w:rPr>
          <w:bCs/>
        </w:rPr>
        <w:t>be</w:t>
      </w:r>
      <w:r>
        <w:rPr>
          <w:bCs/>
        </w:rPr>
        <w:t xml:space="preserve"> </w:t>
      </w:r>
      <w:r w:rsidRPr="0071774C">
        <w:rPr>
          <w:bCs/>
        </w:rPr>
        <w:t>done</w:t>
      </w:r>
      <w:r>
        <w:rPr>
          <w:bCs/>
        </w:rPr>
        <w:t xml:space="preserve"> </w:t>
      </w:r>
      <w:r w:rsidRPr="0071774C">
        <w:rPr>
          <w:bCs/>
        </w:rPr>
        <w:t>to</w:t>
      </w:r>
      <w:r>
        <w:rPr>
          <w:bCs/>
        </w:rPr>
        <w:t xml:space="preserve"> </w:t>
      </w:r>
      <w:r w:rsidRPr="0071774C">
        <w:rPr>
          <w:bCs/>
        </w:rPr>
        <w:t>ensure</w:t>
      </w:r>
      <w:r>
        <w:rPr>
          <w:bCs/>
        </w:rPr>
        <w:t xml:space="preserve"> </w:t>
      </w:r>
      <w:r w:rsidRPr="0071774C">
        <w:rPr>
          <w:bCs/>
        </w:rPr>
        <w:t>that</w:t>
      </w:r>
      <w:r>
        <w:rPr>
          <w:bCs/>
        </w:rPr>
        <w:t xml:space="preserve"> </w:t>
      </w:r>
      <w:r w:rsidRPr="0071774C">
        <w:rPr>
          <w:bCs/>
        </w:rPr>
        <w:t>this</w:t>
      </w:r>
      <w:r>
        <w:rPr>
          <w:bCs/>
        </w:rPr>
        <w:t xml:space="preserve"> </w:t>
      </w:r>
      <w:r w:rsidRPr="0071774C">
        <w:rPr>
          <w:bCs/>
        </w:rPr>
        <w:t>approach</w:t>
      </w:r>
      <w:r>
        <w:rPr>
          <w:bCs/>
        </w:rPr>
        <w:t xml:space="preserve"> </w:t>
      </w:r>
      <w:r w:rsidRPr="0071774C">
        <w:rPr>
          <w:bCs/>
        </w:rPr>
        <w:t>is</w:t>
      </w:r>
      <w:r>
        <w:rPr>
          <w:bCs/>
        </w:rPr>
        <w:t xml:space="preserve"> </w:t>
      </w:r>
      <w:r w:rsidRPr="0071774C">
        <w:rPr>
          <w:bCs/>
        </w:rPr>
        <w:t>embedded</w:t>
      </w:r>
      <w:r>
        <w:rPr>
          <w:bCs/>
        </w:rPr>
        <w:t xml:space="preserve"> </w:t>
      </w:r>
      <w:r w:rsidRPr="0071774C">
        <w:rPr>
          <w:bCs/>
        </w:rPr>
        <w:t>across</w:t>
      </w:r>
      <w:r>
        <w:rPr>
          <w:bCs/>
        </w:rPr>
        <w:t xml:space="preserve"> </w:t>
      </w:r>
      <w:r w:rsidRPr="0071774C">
        <w:rPr>
          <w:bCs/>
        </w:rPr>
        <w:t>all</w:t>
      </w:r>
      <w:r>
        <w:rPr>
          <w:bCs/>
        </w:rPr>
        <w:t xml:space="preserve"> relevant </w:t>
      </w:r>
      <w:r w:rsidRPr="0071774C">
        <w:rPr>
          <w:bCs/>
        </w:rPr>
        <w:t>action</w:t>
      </w:r>
      <w:r>
        <w:rPr>
          <w:bCs/>
        </w:rPr>
        <w:t xml:space="preserve"> </w:t>
      </w:r>
      <w:r w:rsidRPr="0071774C">
        <w:rPr>
          <w:bCs/>
        </w:rPr>
        <w:t>plans</w:t>
      </w:r>
      <w:r>
        <w:rPr>
          <w:bCs/>
        </w:rPr>
        <w:t xml:space="preserve"> </w:t>
      </w:r>
      <w:r w:rsidRPr="00962F6B">
        <w:rPr>
          <w:bCs/>
        </w:rPr>
        <w:t>that</w:t>
      </w:r>
      <w:r>
        <w:rPr>
          <w:bCs/>
        </w:rPr>
        <w:t xml:space="preserve"> </w:t>
      </w:r>
      <w:r w:rsidRPr="00962F6B">
        <w:rPr>
          <w:bCs/>
        </w:rPr>
        <w:t>have</w:t>
      </w:r>
      <w:r>
        <w:rPr>
          <w:bCs/>
        </w:rPr>
        <w:t xml:space="preserve"> </w:t>
      </w:r>
      <w:r w:rsidRPr="00962F6B">
        <w:rPr>
          <w:bCs/>
        </w:rPr>
        <w:t>the</w:t>
      </w:r>
      <w:r>
        <w:rPr>
          <w:bCs/>
        </w:rPr>
        <w:t xml:space="preserve"> </w:t>
      </w:r>
      <w:r w:rsidRPr="00962F6B">
        <w:rPr>
          <w:bCs/>
        </w:rPr>
        <w:t>capacity</w:t>
      </w:r>
      <w:r>
        <w:rPr>
          <w:bCs/>
        </w:rPr>
        <w:t xml:space="preserve"> </w:t>
      </w:r>
      <w:r w:rsidRPr="00962F6B">
        <w:rPr>
          <w:bCs/>
        </w:rPr>
        <w:t>to</w:t>
      </w:r>
      <w:r>
        <w:rPr>
          <w:bCs/>
        </w:rPr>
        <w:t xml:space="preserve"> </w:t>
      </w:r>
      <w:r w:rsidRPr="00962F6B">
        <w:rPr>
          <w:bCs/>
        </w:rPr>
        <w:t>deliver</w:t>
      </w:r>
      <w:r>
        <w:rPr>
          <w:bCs/>
        </w:rPr>
        <w:t xml:space="preserve"> </w:t>
      </w:r>
      <w:r w:rsidRPr="00962F6B">
        <w:rPr>
          <w:bCs/>
        </w:rPr>
        <w:t>on</w:t>
      </w:r>
      <w:r>
        <w:rPr>
          <w:bCs/>
        </w:rPr>
        <w:t xml:space="preserve"> </w:t>
      </w:r>
      <w:r w:rsidRPr="00962F6B">
        <w:rPr>
          <w:bCs/>
        </w:rPr>
        <w:t>these</w:t>
      </w:r>
      <w:r w:rsidR="00032405">
        <w:rPr>
          <w:bCs/>
        </w:rPr>
        <w:t>, from across a broad range of portfo</w:t>
      </w:r>
      <w:r w:rsidR="00B83291">
        <w:rPr>
          <w:bCs/>
        </w:rPr>
        <w:t>lios</w:t>
      </w:r>
      <w:r w:rsidRPr="0071774C">
        <w:rPr>
          <w:bCs/>
        </w:rPr>
        <w:t>,</w:t>
      </w:r>
      <w:r>
        <w:rPr>
          <w:bCs/>
        </w:rPr>
        <w:t xml:space="preserve"> </w:t>
      </w:r>
      <w:r w:rsidRPr="0071774C">
        <w:rPr>
          <w:bCs/>
        </w:rPr>
        <w:t>including</w:t>
      </w:r>
      <w:r>
        <w:rPr>
          <w:bCs/>
        </w:rPr>
        <w:t xml:space="preserve"> </w:t>
      </w:r>
      <w:r w:rsidRPr="0071774C">
        <w:rPr>
          <w:bCs/>
        </w:rPr>
        <w:t>more</w:t>
      </w:r>
      <w:r>
        <w:rPr>
          <w:bCs/>
        </w:rPr>
        <w:t xml:space="preserve"> </w:t>
      </w:r>
      <w:r w:rsidRPr="0071774C">
        <w:rPr>
          <w:bCs/>
        </w:rPr>
        <w:t>explicit</w:t>
      </w:r>
      <w:r>
        <w:rPr>
          <w:bCs/>
        </w:rPr>
        <w:t xml:space="preserve"> </w:t>
      </w:r>
      <w:r w:rsidRPr="0071774C">
        <w:rPr>
          <w:bCs/>
        </w:rPr>
        <w:t>activity</w:t>
      </w:r>
      <w:r>
        <w:rPr>
          <w:bCs/>
        </w:rPr>
        <w:t xml:space="preserve"> </w:t>
      </w:r>
      <w:r w:rsidRPr="0071774C">
        <w:rPr>
          <w:bCs/>
        </w:rPr>
        <w:t>to</w:t>
      </w:r>
      <w:r>
        <w:rPr>
          <w:bCs/>
        </w:rPr>
        <w:t xml:space="preserve"> </w:t>
      </w:r>
      <w:r w:rsidRPr="0071774C">
        <w:rPr>
          <w:bCs/>
        </w:rPr>
        <w:t>address</w:t>
      </w:r>
      <w:r>
        <w:rPr>
          <w:bCs/>
        </w:rPr>
        <w:t xml:space="preserve"> </w:t>
      </w:r>
      <w:r w:rsidRPr="0071774C">
        <w:rPr>
          <w:bCs/>
        </w:rPr>
        <w:t>the</w:t>
      </w:r>
      <w:r>
        <w:rPr>
          <w:bCs/>
        </w:rPr>
        <w:t xml:space="preserve"> </w:t>
      </w:r>
      <w:r w:rsidRPr="0071774C">
        <w:rPr>
          <w:bCs/>
        </w:rPr>
        <w:t>intersection</w:t>
      </w:r>
      <w:r>
        <w:rPr>
          <w:bCs/>
        </w:rPr>
        <w:t xml:space="preserve"> </w:t>
      </w:r>
      <w:r w:rsidRPr="0071774C">
        <w:rPr>
          <w:bCs/>
        </w:rPr>
        <w:t>of</w:t>
      </w:r>
      <w:r>
        <w:rPr>
          <w:bCs/>
        </w:rPr>
        <w:t xml:space="preserve"> </w:t>
      </w:r>
      <w:r w:rsidRPr="0071774C">
        <w:rPr>
          <w:bCs/>
        </w:rPr>
        <w:t>gender</w:t>
      </w:r>
      <w:r>
        <w:rPr>
          <w:bCs/>
        </w:rPr>
        <w:t xml:space="preserve"> </w:t>
      </w:r>
      <w:r w:rsidRPr="0071774C">
        <w:rPr>
          <w:bCs/>
        </w:rPr>
        <w:t>inequality</w:t>
      </w:r>
      <w:r>
        <w:rPr>
          <w:bCs/>
        </w:rPr>
        <w:t xml:space="preserve"> </w:t>
      </w:r>
      <w:r w:rsidRPr="0071774C">
        <w:rPr>
          <w:bCs/>
        </w:rPr>
        <w:t>with</w:t>
      </w:r>
      <w:r>
        <w:rPr>
          <w:bCs/>
        </w:rPr>
        <w:t xml:space="preserve"> </w:t>
      </w:r>
      <w:r w:rsidRPr="0071774C">
        <w:rPr>
          <w:bCs/>
        </w:rPr>
        <w:t>other</w:t>
      </w:r>
      <w:r>
        <w:rPr>
          <w:bCs/>
        </w:rPr>
        <w:t xml:space="preserve"> </w:t>
      </w:r>
      <w:r w:rsidRPr="0071774C">
        <w:rPr>
          <w:bCs/>
        </w:rPr>
        <w:t>forms</w:t>
      </w:r>
      <w:r>
        <w:rPr>
          <w:bCs/>
        </w:rPr>
        <w:t xml:space="preserve"> </w:t>
      </w:r>
      <w:r w:rsidRPr="0071774C">
        <w:rPr>
          <w:bCs/>
        </w:rPr>
        <w:t>of</w:t>
      </w:r>
      <w:r>
        <w:rPr>
          <w:bCs/>
        </w:rPr>
        <w:t xml:space="preserve"> </w:t>
      </w:r>
      <w:r w:rsidRPr="0071774C">
        <w:rPr>
          <w:bCs/>
        </w:rPr>
        <w:t>inequality</w:t>
      </w:r>
      <w:r>
        <w:rPr>
          <w:bCs/>
        </w:rPr>
        <w:t xml:space="preserve"> </w:t>
      </w:r>
      <w:r w:rsidRPr="0071774C">
        <w:rPr>
          <w:bCs/>
        </w:rPr>
        <w:t>and</w:t>
      </w:r>
      <w:r>
        <w:rPr>
          <w:bCs/>
        </w:rPr>
        <w:t xml:space="preserve"> </w:t>
      </w:r>
      <w:r w:rsidRPr="0071774C">
        <w:rPr>
          <w:bCs/>
        </w:rPr>
        <w:t>discrimination.</w:t>
      </w:r>
    </w:p>
    <w:p w14:paraId="0A564E29" w14:textId="22B4C465" w:rsidR="002C2EC7" w:rsidRDefault="002C2EC7" w:rsidP="00790783">
      <w:pPr>
        <w:pStyle w:val="BodyText"/>
      </w:pPr>
      <w:r w:rsidRPr="0071774C">
        <w:t>The</w:t>
      </w:r>
      <w:r>
        <w:t xml:space="preserve"> </w:t>
      </w:r>
      <w:r w:rsidRPr="0071774C">
        <w:t>recognition</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as</w:t>
      </w:r>
      <w:r>
        <w:t xml:space="preserve"> </w:t>
      </w:r>
      <w:r w:rsidRPr="0071774C">
        <w:t>a</w:t>
      </w:r>
      <w:r>
        <w:t xml:space="preserve"> </w:t>
      </w:r>
      <w:r w:rsidRPr="0071774C">
        <w:t>human</w:t>
      </w:r>
      <w:r>
        <w:t xml:space="preserve"> </w:t>
      </w:r>
      <w:r w:rsidRPr="0071774C">
        <w:t>rights</w:t>
      </w:r>
      <w:r>
        <w:t xml:space="preserve"> </w:t>
      </w:r>
      <w:r w:rsidRPr="0071774C">
        <w:t>issue</w:t>
      </w:r>
      <w:r>
        <w:t xml:space="preserve"> </w:t>
      </w:r>
      <w:r w:rsidRPr="0071774C">
        <w:t>is</w:t>
      </w:r>
      <w:r>
        <w:t xml:space="preserve"> </w:t>
      </w:r>
      <w:r w:rsidRPr="0071774C">
        <w:t>a</w:t>
      </w:r>
      <w:r>
        <w:t xml:space="preserve"> </w:t>
      </w:r>
      <w:r w:rsidR="00EC3096">
        <w:t>critical</w:t>
      </w:r>
      <w:r>
        <w:t xml:space="preserve"> </w:t>
      </w:r>
      <w:r w:rsidRPr="0071774C">
        <w:t>element</w:t>
      </w:r>
      <w:r>
        <w:t xml:space="preserve"> </w:t>
      </w:r>
      <w:r w:rsidRPr="0071774C">
        <w:t>that</w:t>
      </w:r>
      <w:r>
        <w:t xml:space="preserve"> </w:t>
      </w:r>
      <w:r w:rsidRPr="0071774C">
        <w:t>connects</w:t>
      </w:r>
      <w:r>
        <w:t xml:space="preserve"> </w:t>
      </w:r>
      <w:r w:rsidRPr="0071774C">
        <w:t>national</w:t>
      </w:r>
      <w:r>
        <w:t xml:space="preserve"> </w:t>
      </w:r>
      <w:r w:rsidRPr="0071774C">
        <w:t>prevention</w:t>
      </w:r>
      <w:r>
        <w:t xml:space="preserve"> </w:t>
      </w:r>
      <w:r w:rsidRPr="0071774C">
        <w:t>efforts</w:t>
      </w:r>
      <w:r>
        <w:t xml:space="preserve"> </w:t>
      </w:r>
      <w:r w:rsidRPr="0071774C">
        <w:t>to</w:t>
      </w:r>
      <w:r>
        <w:t xml:space="preserve"> </w:t>
      </w:r>
      <w:r w:rsidRPr="0071774C">
        <w:t>broader</w:t>
      </w:r>
      <w:r>
        <w:t xml:space="preserve"> </w:t>
      </w:r>
      <w:r w:rsidRPr="0071774C">
        <w:t>international</w:t>
      </w:r>
      <w:r>
        <w:t xml:space="preserve"> </w:t>
      </w:r>
      <w:r w:rsidRPr="0071774C">
        <w:t>approaches</w:t>
      </w:r>
      <w:r>
        <w:t xml:space="preserve"> </w:t>
      </w:r>
      <w:r w:rsidRPr="0071774C">
        <w:t>drawing</w:t>
      </w:r>
      <w:r>
        <w:t xml:space="preserve"> </w:t>
      </w:r>
      <w:r w:rsidRPr="0071774C">
        <w:t>on</w:t>
      </w:r>
      <w:r>
        <w:t xml:space="preserve"> </w:t>
      </w:r>
      <w:r w:rsidRPr="0071774C">
        <w:t>key</w:t>
      </w:r>
      <w:r>
        <w:t xml:space="preserve"> </w:t>
      </w:r>
      <w:r w:rsidRPr="0071774C">
        <w:t>international</w:t>
      </w:r>
      <w:r>
        <w:t xml:space="preserve"> </w:t>
      </w:r>
      <w:r w:rsidRPr="0071774C">
        <w:t>human</w:t>
      </w:r>
      <w:r>
        <w:t xml:space="preserve"> </w:t>
      </w:r>
      <w:r w:rsidRPr="0071774C">
        <w:t>rights</w:t>
      </w:r>
      <w:r>
        <w:t xml:space="preserve"> </w:t>
      </w:r>
      <w:r w:rsidRPr="0071774C">
        <w:t>conventions.</w:t>
      </w:r>
      <w:r w:rsidR="000B492C">
        <w:t xml:space="preserve"> </w:t>
      </w:r>
      <w:r w:rsidRPr="0071774C">
        <w:t>It</w:t>
      </w:r>
      <w:r>
        <w:t xml:space="preserve"> </w:t>
      </w:r>
      <w:r w:rsidRPr="0071774C">
        <w:t>is</w:t>
      </w:r>
      <w:r>
        <w:t xml:space="preserve"> </w:t>
      </w:r>
      <w:r w:rsidRPr="0071774C">
        <w:t>therefore</w:t>
      </w:r>
      <w:r>
        <w:t xml:space="preserve"> </w:t>
      </w:r>
      <w:r w:rsidRPr="0071774C">
        <w:t>encouraging</w:t>
      </w:r>
      <w:r>
        <w:t xml:space="preserve"> </w:t>
      </w:r>
      <w:r w:rsidRPr="0071774C">
        <w:t>that</w:t>
      </w:r>
      <w:r>
        <w:t xml:space="preserve"> </w:t>
      </w:r>
      <w:r w:rsidRPr="0071774C">
        <w:t>most</w:t>
      </w:r>
      <w:r>
        <w:t xml:space="preserve"> </w:t>
      </w:r>
      <w:r w:rsidRPr="0071774C">
        <w:t>national</w:t>
      </w:r>
      <w:r>
        <w:t xml:space="preserve"> </w:t>
      </w:r>
      <w:r w:rsidRPr="0071774C">
        <w:t>and</w:t>
      </w:r>
      <w:r>
        <w:t xml:space="preserve"> </w:t>
      </w:r>
      <w:r w:rsidRPr="0071774C">
        <w:t>state/territory</w:t>
      </w:r>
      <w:r>
        <w:t xml:space="preserve"> </w:t>
      </w:r>
      <w:r w:rsidRPr="0071774C">
        <w:t>strategies</w:t>
      </w:r>
      <w:r>
        <w:t xml:space="preserve"> </w:t>
      </w:r>
      <w:r w:rsidRPr="0071774C">
        <w:t>or</w:t>
      </w:r>
      <w:r>
        <w:t xml:space="preserve"> </w:t>
      </w:r>
      <w:r w:rsidRPr="0071774C">
        <w:t>plans</w:t>
      </w:r>
      <w:r>
        <w:t xml:space="preserve"> </w:t>
      </w:r>
      <w:r w:rsidRPr="0071774C">
        <w:t>articulate</w:t>
      </w:r>
      <w:r>
        <w:t xml:space="preserve"> </w:t>
      </w:r>
      <w:r w:rsidRPr="0071774C">
        <w:t>a</w:t>
      </w:r>
      <w:r>
        <w:t xml:space="preserve"> </w:t>
      </w:r>
      <w:r w:rsidRPr="0071774C">
        <w:t>commitment</w:t>
      </w:r>
      <w:r>
        <w:t xml:space="preserve"> </w:t>
      </w:r>
      <w:r w:rsidRPr="0071774C">
        <w:t>to</w:t>
      </w:r>
      <w:r>
        <w:t xml:space="preserve"> preventing </w:t>
      </w:r>
      <w:r w:rsidRPr="0071774C">
        <w:t>violence</w:t>
      </w:r>
      <w:r>
        <w:t xml:space="preserve"> </w:t>
      </w:r>
      <w:r w:rsidRPr="0071774C">
        <w:t>against</w:t>
      </w:r>
      <w:r>
        <w:t xml:space="preserve"> </w:t>
      </w:r>
      <w:r w:rsidRPr="0071774C">
        <w:t>women</w:t>
      </w:r>
      <w:r>
        <w:t xml:space="preserve"> </w:t>
      </w:r>
      <w:r w:rsidRPr="0071774C">
        <w:t>as</w:t>
      </w:r>
      <w:r>
        <w:t xml:space="preserve"> </w:t>
      </w:r>
      <w:r w:rsidRPr="0071774C">
        <w:t>a</w:t>
      </w:r>
      <w:r>
        <w:t xml:space="preserve"> </w:t>
      </w:r>
      <w:r w:rsidRPr="0071774C">
        <w:t>human</w:t>
      </w:r>
      <w:r>
        <w:t xml:space="preserve"> </w:t>
      </w:r>
      <w:r w:rsidRPr="0071774C">
        <w:t>rights</w:t>
      </w:r>
      <w:r>
        <w:t xml:space="preserve"> </w:t>
      </w:r>
      <w:r w:rsidRPr="0071774C">
        <w:t>issue.</w:t>
      </w:r>
      <w:r>
        <w:t xml:space="preserve"> </w:t>
      </w:r>
      <w:r w:rsidRPr="0071774C">
        <w:t>The</w:t>
      </w:r>
      <w:r>
        <w:t xml:space="preserve"> </w:t>
      </w:r>
      <w:r w:rsidRPr="0071774C">
        <w:t>National</w:t>
      </w:r>
      <w:r>
        <w:t xml:space="preserve"> </w:t>
      </w:r>
      <w:r w:rsidRPr="0071774C">
        <w:t>Plan</w:t>
      </w:r>
      <w:r w:rsidRPr="0071774C">
        <w:rPr>
          <w:rStyle w:val="EndnoteReference"/>
          <w:szCs w:val="22"/>
        </w:rPr>
        <w:endnoteReference w:id="60"/>
      </w:r>
      <w:r>
        <w:t xml:space="preserve"> </w:t>
      </w:r>
      <w:r w:rsidRPr="0071774C">
        <w:t>draws</w:t>
      </w:r>
      <w:r>
        <w:t xml:space="preserve"> </w:t>
      </w:r>
      <w:r w:rsidRPr="0071774C">
        <w:t>this</w:t>
      </w:r>
      <w:r>
        <w:t xml:space="preserve"> </w:t>
      </w:r>
      <w:r w:rsidRPr="0071774C">
        <w:t>connection</w:t>
      </w:r>
      <w:r>
        <w:t xml:space="preserve"> </w:t>
      </w:r>
      <w:r w:rsidRPr="0071774C">
        <w:t>by</w:t>
      </w:r>
      <w:r>
        <w:t xml:space="preserve"> </w:t>
      </w:r>
      <w:r w:rsidRPr="0071774C">
        <w:t>explicitly</w:t>
      </w:r>
      <w:r>
        <w:t xml:space="preserve"> </w:t>
      </w:r>
      <w:r w:rsidRPr="0071774C">
        <w:t>stating</w:t>
      </w:r>
      <w:r>
        <w:t xml:space="preserve"> </w:t>
      </w:r>
      <w:r w:rsidRPr="0071774C">
        <w:t>that</w:t>
      </w:r>
      <w:r>
        <w:t xml:space="preserve"> </w:t>
      </w:r>
      <w:r w:rsidRPr="0071774C">
        <w:t>the</w:t>
      </w:r>
      <w:r>
        <w:t xml:space="preserve"> </w:t>
      </w:r>
      <w:r w:rsidRPr="0071774C">
        <w:t>Plan</w:t>
      </w:r>
      <w:r>
        <w:t xml:space="preserve"> </w:t>
      </w:r>
      <w:r w:rsidRPr="0071774C">
        <w:t>demonstrates</w:t>
      </w:r>
      <w:r>
        <w:t xml:space="preserve"> </w:t>
      </w:r>
      <w:r w:rsidRPr="0071774C">
        <w:t>Australia’s</w:t>
      </w:r>
      <w:r>
        <w:t xml:space="preserve"> </w:t>
      </w:r>
      <w:r w:rsidRPr="0071774C">
        <w:t>‘commitments</w:t>
      </w:r>
      <w:r>
        <w:t xml:space="preserve"> </w:t>
      </w:r>
      <w:r w:rsidRPr="0071774C">
        <w:t>to</w:t>
      </w:r>
      <w:r>
        <w:t xml:space="preserve"> </w:t>
      </w:r>
      <w:r w:rsidRPr="0071774C">
        <w:t>upholding</w:t>
      </w:r>
      <w:r>
        <w:t xml:space="preserve"> </w:t>
      </w:r>
      <w:r w:rsidRPr="0071774C">
        <w:t>the</w:t>
      </w:r>
      <w:r>
        <w:t xml:space="preserve"> </w:t>
      </w:r>
      <w:r w:rsidRPr="0071774C">
        <w:t>human</w:t>
      </w:r>
      <w:r>
        <w:t xml:space="preserve"> </w:t>
      </w:r>
      <w:r w:rsidRPr="0071774C">
        <w:t>rights</w:t>
      </w:r>
      <w:r w:rsidR="00851841">
        <w:t> </w:t>
      </w:r>
      <w:r w:rsidRPr="0071774C">
        <w:t>of</w:t>
      </w:r>
      <w:r>
        <w:t xml:space="preserve"> </w:t>
      </w:r>
      <w:r w:rsidRPr="0071774C">
        <w:t>Australian</w:t>
      </w:r>
      <w:r>
        <w:t xml:space="preserve"> </w:t>
      </w:r>
      <w:r w:rsidRPr="0071774C">
        <w:t>women</w:t>
      </w:r>
      <w:r>
        <w:t xml:space="preserve"> </w:t>
      </w:r>
      <w:r w:rsidRPr="0071774C">
        <w:t>through</w:t>
      </w:r>
      <w:r>
        <w:t xml:space="preserve"> </w:t>
      </w:r>
      <w:r w:rsidRPr="0071774C">
        <w:t>the</w:t>
      </w:r>
      <w:r>
        <w:t xml:space="preserve"> </w:t>
      </w:r>
      <w:r w:rsidRPr="0071774C">
        <w:t>Convention</w:t>
      </w:r>
      <w:r>
        <w:t xml:space="preserve"> </w:t>
      </w:r>
      <w:r w:rsidRPr="0071774C">
        <w:t>on</w:t>
      </w:r>
      <w:r>
        <w:t xml:space="preserve"> </w:t>
      </w:r>
      <w:r w:rsidRPr="0071774C">
        <w:t>the</w:t>
      </w:r>
      <w:r>
        <w:t xml:space="preserve"> </w:t>
      </w:r>
      <w:r w:rsidRPr="0071774C">
        <w:t>Elimination</w:t>
      </w:r>
      <w:r>
        <w:t xml:space="preserve"> </w:t>
      </w:r>
      <w:r w:rsidRPr="0071774C">
        <w:t>of</w:t>
      </w:r>
      <w:r>
        <w:t xml:space="preserve"> </w:t>
      </w:r>
      <w:r w:rsidRPr="0071774C">
        <w:t>All</w:t>
      </w:r>
      <w:r>
        <w:t xml:space="preserve"> </w:t>
      </w:r>
      <w:r w:rsidRPr="0071774C">
        <w:t>Forms</w:t>
      </w:r>
      <w:r>
        <w:t xml:space="preserve"> </w:t>
      </w:r>
      <w:r w:rsidRPr="0071774C">
        <w:t>of</w:t>
      </w:r>
      <w:r>
        <w:t xml:space="preserve"> </w:t>
      </w:r>
      <w:r w:rsidRPr="0071774C">
        <w:t>Discrimination</w:t>
      </w:r>
      <w:r>
        <w:t xml:space="preserve"> </w:t>
      </w:r>
      <w:r w:rsidRPr="0071774C">
        <w:t>against</w:t>
      </w:r>
      <w:r>
        <w:t xml:space="preserve"> </w:t>
      </w:r>
      <w:r w:rsidRPr="0071774C">
        <w:t>Women</w:t>
      </w:r>
      <w:r>
        <w:t xml:space="preserve"> </w:t>
      </w:r>
      <w:r w:rsidRPr="0071774C">
        <w:t>(CEDAW),</w:t>
      </w:r>
      <w:r>
        <w:t xml:space="preserve"> </w:t>
      </w:r>
      <w:r w:rsidRPr="0071774C">
        <w:t>the</w:t>
      </w:r>
      <w:r>
        <w:t xml:space="preserve"> </w:t>
      </w:r>
      <w:r w:rsidRPr="0071774C">
        <w:t>Declaration</w:t>
      </w:r>
      <w:r>
        <w:t xml:space="preserve"> </w:t>
      </w:r>
      <w:r w:rsidRPr="0071774C">
        <w:t>to</w:t>
      </w:r>
      <w:r>
        <w:t xml:space="preserve"> </w:t>
      </w:r>
      <w:r w:rsidRPr="0071774C">
        <w:t>End</w:t>
      </w:r>
      <w:r>
        <w:t xml:space="preserve"> </w:t>
      </w:r>
      <w:r w:rsidRPr="0071774C">
        <w:t>Violence</w:t>
      </w:r>
      <w:r>
        <w:t xml:space="preserve"> </w:t>
      </w:r>
      <w:r w:rsidRPr="0071774C">
        <w:t>Against</w:t>
      </w:r>
      <w:r>
        <w:t xml:space="preserve"> </w:t>
      </w:r>
      <w:r w:rsidRPr="0071774C">
        <w:t>Women</w:t>
      </w:r>
      <w:r>
        <w:t xml:space="preserve"> </w:t>
      </w:r>
      <w:r w:rsidRPr="0071774C">
        <w:t>and</w:t>
      </w:r>
      <w:r>
        <w:t xml:space="preserve"> </w:t>
      </w:r>
      <w:r w:rsidRPr="0071774C">
        <w:t>the</w:t>
      </w:r>
      <w:r>
        <w:t xml:space="preserve"> </w:t>
      </w:r>
      <w:r w:rsidRPr="0071774C">
        <w:t>Beijing</w:t>
      </w:r>
      <w:r>
        <w:t xml:space="preserve"> </w:t>
      </w:r>
      <w:r w:rsidRPr="0071774C">
        <w:t>Declaration</w:t>
      </w:r>
      <w:r>
        <w:t xml:space="preserve"> </w:t>
      </w:r>
      <w:r w:rsidRPr="0071774C">
        <w:t>and</w:t>
      </w:r>
      <w:r>
        <w:t xml:space="preserve"> </w:t>
      </w:r>
      <w:r w:rsidRPr="0071774C">
        <w:t>Platform</w:t>
      </w:r>
      <w:r>
        <w:t xml:space="preserve"> </w:t>
      </w:r>
      <w:r w:rsidRPr="0071774C">
        <w:t>for</w:t>
      </w:r>
      <w:r>
        <w:t xml:space="preserve"> </w:t>
      </w:r>
      <w:r w:rsidRPr="0071774C">
        <w:t>Action.’</w:t>
      </w:r>
      <w:r>
        <w:t xml:space="preserve"> </w:t>
      </w:r>
      <w:r w:rsidRPr="0071774C">
        <w:t>This</w:t>
      </w:r>
      <w:r>
        <w:t xml:space="preserve"> </w:t>
      </w:r>
      <w:r w:rsidRPr="0071774C">
        <w:t>is</w:t>
      </w:r>
      <w:r>
        <w:t xml:space="preserve"> </w:t>
      </w:r>
      <w:r w:rsidRPr="0071774C">
        <w:t>further</w:t>
      </w:r>
      <w:r>
        <w:t xml:space="preserve"> </w:t>
      </w:r>
      <w:r w:rsidRPr="0071774C">
        <w:t>articulated</w:t>
      </w:r>
      <w:r>
        <w:t xml:space="preserve"> </w:t>
      </w:r>
      <w:r w:rsidRPr="0071774C">
        <w:t>in</w:t>
      </w:r>
      <w:r>
        <w:t xml:space="preserve"> </w:t>
      </w:r>
      <w:r w:rsidRPr="0071774C">
        <w:t>the</w:t>
      </w:r>
      <w:r>
        <w:t xml:space="preserve"> </w:t>
      </w:r>
      <w:r w:rsidRPr="0071774C">
        <w:t>Fourth</w:t>
      </w:r>
      <w:r>
        <w:t xml:space="preserve"> </w:t>
      </w:r>
      <w:r w:rsidRPr="0071774C">
        <w:t>Action</w:t>
      </w:r>
      <w:r>
        <w:t xml:space="preserve"> </w:t>
      </w:r>
      <w:r w:rsidRPr="0071774C">
        <w:t>Plan</w:t>
      </w:r>
      <w:r>
        <w:t>,</w:t>
      </w:r>
      <w:r w:rsidRPr="0071774C">
        <w:rPr>
          <w:rStyle w:val="EndnoteReference"/>
          <w:szCs w:val="22"/>
        </w:rPr>
        <w:endnoteReference w:id="61"/>
      </w:r>
      <w:r>
        <w:t xml:space="preserve"> </w:t>
      </w:r>
      <w:r w:rsidRPr="0071774C">
        <w:t>which</w:t>
      </w:r>
      <w:r>
        <w:t xml:space="preserve"> </w:t>
      </w:r>
      <w:r w:rsidRPr="0071774C">
        <w:t>frames</w:t>
      </w:r>
      <w:r>
        <w:t xml:space="preserve"> </w:t>
      </w:r>
      <w:r w:rsidRPr="0071774C">
        <w:t>violence</w:t>
      </w:r>
      <w:r>
        <w:t xml:space="preserve"> </w:t>
      </w:r>
      <w:r w:rsidRPr="0071774C">
        <w:t>against</w:t>
      </w:r>
      <w:r>
        <w:t xml:space="preserve"> </w:t>
      </w:r>
      <w:r w:rsidRPr="0071774C">
        <w:t>women</w:t>
      </w:r>
      <w:r>
        <w:t xml:space="preserve"> </w:t>
      </w:r>
      <w:r w:rsidRPr="0071774C">
        <w:t>as</w:t>
      </w:r>
      <w:r>
        <w:t xml:space="preserve"> </w:t>
      </w:r>
      <w:r w:rsidRPr="0071774C">
        <w:t>a</w:t>
      </w:r>
      <w:r>
        <w:t xml:space="preserve"> </w:t>
      </w:r>
      <w:r w:rsidRPr="0071774C">
        <w:t>‘fundamental</w:t>
      </w:r>
      <w:r>
        <w:t xml:space="preserve"> </w:t>
      </w:r>
      <w:r w:rsidRPr="0071774C">
        <w:t>violation</w:t>
      </w:r>
      <w:r>
        <w:t xml:space="preserve"> </w:t>
      </w:r>
      <w:r w:rsidRPr="0071774C">
        <w:t>of</w:t>
      </w:r>
      <w:r>
        <w:t xml:space="preserve"> </w:t>
      </w:r>
      <w:r w:rsidRPr="0071774C">
        <w:t>human</w:t>
      </w:r>
      <w:r>
        <w:t xml:space="preserve"> </w:t>
      </w:r>
      <w:r w:rsidRPr="0071774C">
        <w:t>rights’,</w:t>
      </w:r>
      <w:r>
        <w:t xml:space="preserve"> </w:t>
      </w:r>
      <w:r w:rsidRPr="0071774C">
        <w:t>linking</w:t>
      </w:r>
      <w:r>
        <w:t xml:space="preserve"> </w:t>
      </w:r>
      <w:r w:rsidRPr="0071774C">
        <w:t>the</w:t>
      </w:r>
      <w:r>
        <w:t xml:space="preserve"> </w:t>
      </w:r>
      <w:r w:rsidRPr="0071774C">
        <w:t>Fourth</w:t>
      </w:r>
      <w:r>
        <w:t xml:space="preserve"> </w:t>
      </w:r>
      <w:r w:rsidRPr="0071774C">
        <w:t>Action</w:t>
      </w:r>
      <w:r>
        <w:t xml:space="preserve"> </w:t>
      </w:r>
      <w:r w:rsidRPr="0071774C">
        <w:t>Plan</w:t>
      </w:r>
      <w:r>
        <w:t xml:space="preserve"> </w:t>
      </w:r>
      <w:r w:rsidRPr="0071774C">
        <w:t>to</w:t>
      </w:r>
      <w:r>
        <w:t xml:space="preserve"> </w:t>
      </w:r>
      <w:r w:rsidRPr="0071774C">
        <w:t>CEDAW,</w:t>
      </w:r>
      <w:r>
        <w:t xml:space="preserve"> </w:t>
      </w:r>
      <w:r w:rsidRPr="0071774C">
        <w:t>the</w:t>
      </w:r>
      <w:r>
        <w:t xml:space="preserve"> </w:t>
      </w:r>
      <w:r w:rsidRPr="0071774C">
        <w:t>United</w:t>
      </w:r>
      <w:r>
        <w:t xml:space="preserve"> </w:t>
      </w:r>
      <w:r w:rsidRPr="0071774C">
        <w:t>Nation</w:t>
      </w:r>
      <w:r>
        <w:t xml:space="preserve">s </w:t>
      </w:r>
      <w:r w:rsidRPr="0071774C">
        <w:t>Convention</w:t>
      </w:r>
      <w:r>
        <w:t xml:space="preserve"> </w:t>
      </w:r>
      <w:r w:rsidRPr="0071774C">
        <w:t>on</w:t>
      </w:r>
      <w:r>
        <w:t xml:space="preserve"> </w:t>
      </w:r>
      <w:r w:rsidRPr="0071774C">
        <w:t>the</w:t>
      </w:r>
      <w:r>
        <w:t xml:space="preserve"> </w:t>
      </w:r>
      <w:r w:rsidRPr="0071774C">
        <w:t>Rights</w:t>
      </w:r>
      <w:r>
        <w:t xml:space="preserve"> </w:t>
      </w:r>
      <w:r w:rsidRPr="0071774C">
        <w:t>of</w:t>
      </w:r>
      <w:r>
        <w:t xml:space="preserve"> </w:t>
      </w:r>
      <w:r w:rsidRPr="0071774C">
        <w:t>the</w:t>
      </w:r>
      <w:r>
        <w:t xml:space="preserve"> </w:t>
      </w:r>
      <w:r w:rsidRPr="0071774C">
        <w:t>Child</w:t>
      </w:r>
      <w:r w:rsidRPr="0071774C">
        <w:rPr>
          <w:rStyle w:val="EndnoteReference"/>
          <w:szCs w:val="22"/>
        </w:rPr>
        <w:endnoteReference w:id="62"/>
      </w:r>
      <w:r>
        <w:t xml:space="preserve"> </w:t>
      </w:r>
      <w:r w:rsidRPr="0071774C">
        <w:t>and</w:t>
      </w:r>
      <w:r>
        <w:t xml:space="preserve"> </w:t>
      </w:r>
      <w:r w:rsidRPr="0071774C">
        <w:t>Australia’s</w:t>
      </w:r>
      <w:r>
        <w:t xml:space="preserve"> </w:t>
      </w:r>
      <w:r w:rsidRPr="0071774C">
        <w:t>engagement</w:t>
      </w:r>
      <w:r>
        <w:t xml:space="preserve"> </w:t>
      </w:r>
      <w:r w:rsidRPr="0071774C">
        <w:t>with</w:t>
      </w:r>
      <w:r>
        <w:t xml:space="preserve"> </w:t>
      </w:r>
      <w:r w:rsidRPr="0071774C">
        <w:t>the</w:t>
      </w:r>
      <w:r>
        <w:t xml:space="preserve"> </w:t>
      </w:r>
      <w:r w:rsidRPr="0071774C">
        <w:t>United</w:t>
      </w:r>
      <w:r>
        <w:t xml:space="preserve"> </w:t>
      </w:r>
      <w:r w:rsidRPr="0071774C">
        <w:t>Nations</w:t>
      </w:r>
      <w:r>
        <w:t xml:space="preserve"> </w:t>
      </w:r>
      <w:r w:rsidRPr="0071774C">
        <w:t>Sustainable</w:t>
      </w:r>
      <w:r>
        <w:t xml:space="preserve"> </w:t>
      </w:r>
      <w:r w:rsidRPr="0071774C">
        <w:t>Development</w:t>
      </w:r>
      <w:r>
        <w:t xml:space="preserve"> </w:t>
      </w:r>
      <w:r w:rsidRPr="0071774C">
        <w:t>Goals</w:t>
      </w:r>
      <w:r>
        <w:t>,</w:t>
      </w:r>
      <w:r w:rsidRPr="0071774C">
        <w:rPr>
          <w:rStyle w:val="EndnoteReference"/>
          <w:szCs w:val="22"/>
        </w:rPr>
        <w:endnoteReference w:id="63"/>
      </w:r>
      <w:r>
        <w:t xml:space="preserve"> </w:t>
      </w:r>
      <w:r w:rsidRPr="0071774C">
        <w:t>Human</w:t>
      </w:r>
      <w:r>
        <w:t xml:space="preserve"> </w:t>
      </w:r>
      <w:r w:rsidRPr="0071774C">
        <w:t>Rights</w:t>
      </w:r>
      <w:r>
        <w:t xml:space="preserve"> </w:t>
      </w:r>
      <w:r w:rsidRPr="0071774C">
        <w:t>Council</w:t>
      </w:r>
      <w:r>
        <w:t xml:space="preserve"> </w:t>
      </w:r>
      <w:r w:rsidRPr="0071774C">
        <w:t>and</w:t>
      </w:r>
      <w:r>
        <w:t xml:space="preserve"> </w:t>
      </w:r>
      <w:r w:rsidRPr="0071774C">
        <w:t>the</w:t>
      </w:r>
      <w:r>
        <w:t xml:space="preserve"> Australian </w:t>
      </w:r>
      <w:r w:rsidRPr="0071774C">
        <w:t>National</w:t>
      </w:r>
      <w:r>
        <w:t xml:space="preserve"> </w:t>
      </w:r>
      <w:r w:rsidRPr="0071774C">
        <w:t>Action</w:t>
      </w:r>
      <w:r>
        <w:t xml:space="preserve"> </w:t>
      </w:r>
      <w:r w:rsidRPr="0071774C">
        <w:t>Plan</w:t>
      </w:r>
      <w:r>
        <w:t xml:space="preserve"> </w:t>
      </w:r>
      <w:r w:rsidRPr="0071774C">
        <w:t>on</w:t>
      </w:r>
      <w:r>
        <w:t xml:space="preserve"> </w:t>
      </w:r>
      <w:r w:rsidRPr="0071774C">
        <w:t>Women,</w:t>
      </w:r>
      <w:r>
        <w:t xml:space="preserve"> </w:t>
      </w:r>
      <w:r w:rsidRPr="0071774C">
        <w:t>Peace</w:t>
      </w:r>
      <w:r>
        <w:t xml:space="preserve"> </w:t>
      </w:r>
      <w:r w:rsidRPr="0071774C">
        <w:t>and</w:t>
      </w:r>
      <w:r>
        <w:t xml:space="preserve"> </w:t>
      </w:r>
      <w:r w:rsidRPr="0071774C">
        <w:t>Security</w:t>
      </w:r>
      <w:r>
        <w:t>.</w:t>
      </w:r>
      <w:r w:rsidRPr="0071774C">
        <w:rPr>
          <w:rStyle w:val="EndnoteReference"/>
          <w:szCs w:val="22"/>
        </w:rPr>
        <w:endnoteReference w:id="64"/>
      </w:r>
      <w:r>
        <w:rPr>
          <w:color w:val="0078D4"/>
        </w:rPr>
        <w:t xml:space="preserve"> </w:t>
      </w:r>
      <w:r w:rsidRPr="0071774C">
        <w:t>At</w:t>
      </w:r>
      <w:r>
        <w:t xml:space="preserve"> </w:t>
      </w:r>
      <w:r w:rsidRPr="0071774C">
        <w:t>a</w:t>
      </w:r>
      <w:r>
        <w:t xml:space="preserve"> </w:t>
      </w:r>
      <w:r w:rsidRPr="0071774C">
        <w:t>state/territory</w:t>
      </w:r>
      <w:r>
        <w:t xml:space="preserve"> </w:t>
      </w:r>
      <w:r w:rsidRPr="0071774C">
        <w:t>level,</w:t>
      </w:r>
      <w:r>
        <w:t xml:space="preserve"> </w:t>
      </w:r>
      <w:r w:rsidRPr="0071774C">
        <w:t>a</w:t>
      </w:r>
      <w:r>
        <w:t xml:space="preserve"> </w:t>
      </w:r>
      <w:r w:rsidRPr="0071774C">
        <w:t>majority</w:t>
      </w:r>
      <w:r>
        <w:t xml:space="preserve"> </w:t>
      </w:r>
      <w:r w:rsidRPr="0071774C">
        <w:t>of</w:t>
      </w:r>
      <w:r>
        <w:t xml:space="preserve"> </w:t>
      </w:r>
      <w:r w:rsidRPr="0071774C">
        <w:t>strategies</w:t>
      </w:r>
      <w:r>
        <w:t xml:space="preserve"> </w:t>
      </w:r>
      <w:r w:rsidRPr="0071774C">
        <w:t>and</w:t>
      </w:r>
      <w:r>
        <w:t xml:space="preserve"> </w:t>
      </w:r>
      <w:r w:rsidRPr="0071774C">
        <w:t>action</w:t>
      </w:r>
      <w:r>
        <w:t xml:space="preserve"> </w:t>
      </w:r>
      <w:r w:rsidRPr="0071774C">
        <w:t>plans</w:t>
      </w:r>
      <w:r>
        <w:t xml:space="preserve"> </w:t>
      </w:r>
      <w:r w:rsidRPr="0071774C">
        <w:t>include</w:t>
      </w:r>
      <w:r>
        <w:t xml:space="preserve"> </w:t>
      </w:r>
      <w:r w:rsidRPr="0071774C">
        <w:t>some</w:t>
      </w:r>
      <w:r>
        <w:t xml:space="preserve"> </w:t>
      </w:r>
      <w:r w:rsidRPr="0071774C">
        <w:t>mention</w:t>
      </w:r>
      <w:r>
        <w:t xml:space="preserve"> </w:t>
      </w:r>
      <w:r w:rsidRPr="0071774C">
        <w:t>of</w:t>
      </w:r>
      <w:r>
        <w:t xml:space="preserve"> </w:t>
      </w:r>
      <w:r w:rsidRPr="0071774C">
        <w:t>human</w:t>
      </w:r>
      <w:r>
        <w:t xml:space="preserve"> </w:t>
      </w:r>
      <w:r w:rsidRPr="0071774C">
        <w:t>rights</w:t>
      </w:r>
      <w:r>
        <w:t xml:space="preserve"> </w:t>
      </w:r>
      <w:r w:rsidRPr="0071774C">
        <w:t>or</w:t>
      </w:r>
      <w:r>
        <w:t xml:space="preserve"> </w:t>
      </w:r>
      <w:r w:rsidRPr="0071774C">
        <w:t>a</w:t>
      </w:r>
      <w:r>
        <w:t xml:space="preserve"> </w:t>
      </w:r>
      <w:r w:rsidRPr="0071774C">
        <w:t>rights-based</w:t>
      </w:r>
      <w:r>
        <w:t xml:space="preserve"> </w:t>
      </w:r>
      <w:r w:rsidRPr="0071774C">
        <w:t>approach.</w:t>
      </w:r>
      <w:r w:rsidR="006C0E2D">
        <w:t xml:space="preserve"> </w:t>
      </w:r>
      <w:r w:rsidR="006C0E2D" w:rsidRPr="006C0E2D">
        <w:t xml:space="preserve">The Australian Human Rights Commission has also remained focused on sex discrimination over the decade, including conducting the National Inquiry into Sexual Harassment in Australian Workplaces and continuing work on sexual assault and sexual harassment at Australian </w:t>
      </w:r>
      <w:r w:rsidR="001C7044">
        <w:t>u</w:t>
      </w:r>
      <w:r w:rsidR="006C0E2D" w:rsidRPr="006C0E2D">
        <w:t>niversities.</w:t>
      </w:r>
    </w:p>
    <w:p w14:paraId="2C011F50" w14:textId="379C4B10" w:rsidR="002C2EC7" w:rsidRDefault="00746BC8" w:rsidP="00790783">
      <w:pPr>
        <w:pStyle w:val="BodyText"/>
      </w:pPr>
      <w:r>
        <w:t>Critically, t</w:t>
      </w:r>
      <w:r w:rsidR="002C2EC7" w:rsidRPr="0071774C">
        <w:t>here</w:t>
      </w:r>
      <w:r w:rsidR="002C2EC7">
        <w:t xml:space="preserve"> </w:t>
      </w:r>
      <w:r w:rsidR="002C2EC7" w:rsidRPr="0071774C">
        <w:t>are</w:t>
      </w:r>
      <w:r w:rsidR="002C2EC7">
        <w:t xml:space="preserve"> </w:t>
      </w:r>
      <w:r w:rsidR="002C2EC7" w:rsidRPr="0071774C">
        <w:t>a</w:t>
      </w:r>
      <w:r w:rsidR="002C2EC7">
        <w:t xml:space="preserve"> </w:t>
      </w:r>
      <w:r w:rsidR="002C2EC7" w:rsidRPr="0071774C">
        <w:t>number</w:t>
      </w:r>
      <w:r w:rsidR="002C2EC7">
        <w:t xml:space="preserve"> </w:t>
      </w:r>
      <w:r w:rsidR="002C2EC7" w:rsidRPr="0071774C">
        <w:t>of</w:t>
      </w:r>
      <w:r w:rsidR="002C2EC7">
        <w:t xml:space="preserve"> </w:t>
      </w:r>
      <w:r w:rsidR="002C2EC7" w:rsidRPr="0071774C">
        <w:t>aspects</w:t>
      </w:r>
      <w:r w:rsidR="002C2EC7">
        <w:t xml:space="preserve"> </w:t>
      </w:r>
      <w:r w:rsidR="002C2EC7" w:rsidRPr="0071774C">
        <w:t>of</w:t>
      </w:r>
      <w:r w:rsidR="002C2EC7">
        <w:t xml:space="preserve"> </w:t>
      </w:r>
      <w:r w:rsidR="002C2EC7" w:rsidRPr="0071774C">
        <w:t>Australia’s</w:t>
      </w:r>
      <w:r w:rsidR="002C2EC7">
        <w:t xml:space="preserve"> </w:t>
      </w:r>
      <w:r w:rsidR="002C2EC7" w:rsidRPr="0071774C">
        <w:t>approach</w:t>
      </w:r>
      <w:r w:rsidR="002C2EC7">
        <w:t xml:space="preserve"> </w:t>
      </w:r>
      <w:r w:rsidR="002C2EC7" w:rsidRPr="0071774C">
        <w:t>that</w:t>
      </w:r>
      <w:r w:rsidR="002C2EC7">
        <w:t xml:space="preserve"> </w:t>
      </w:r>
      <w:r w:rsidR="002C2EC7" w:rsidRPr="0071774C">
        <w:t>need</w:t>
      </w:r>
      <w:r w:rsidR="002C2EC7">
        <w:t xml:space="preserve"> </w:t>
      </w:r>
      <w:r w:rsidR="002C2EC7" w:rsidRPr="0071774C">
        <w:t>improvement</w:t>
      </w:r>
      <w:r>
        <w:t xml:space="preserve"> and</w:t>
      </w:r>
      <w:r w:rsidR="00ED42C9">
        <w:t> </w:t>
      </w:r>
      <w:r>
        <w:t>immediate attention</w:t>
      </w:r>
      <w:r w:rsidR="002C2EC7">
        <w:t xml:space="preserve"> </w:t>
      </w:r>
      <w:r w:rsidR="002C2EC7" w:rsidRPr="0071774C">
        <w:t>from</w:t>
      </w:r>
      <w:r w:rsidR="002C2EC7">
        <w:t xml:space="preserve"> </w:t>
      </w:r>
      <w:r w:rsidR="002C2EC7" w:rsidRPr="0071774C">
        <w:t>a</w:t>
      </w:r>
      <w:r w:rsidR="002C2EC7">
        <w:t xml:space="preserve"> </w:t>
      </w:r>
      <w:r w:rsidR="002C2EC7" w:rsidRPr="0071774C">
        <w:t>human</w:t>
      </w:r>
      <w:r w:rsidR="002C2EC7">
        <w:t xml:space="preserve"> </w:t>
      </w:r>
      <w:r w:rsidR="002C2EC7" w:rsidRPr="0071774C">
        <w:t>rights</w:t>
      </w:r>
      <w:r w:rsidR="002C2EC7">
        <w:t xml:space="preserve"> </w:t>
      </w:r>
      <w:r w:rsidR="002C2EC7" w:rsidRPr="0071774C">
        <w:t>perspective.</w:t>
      </w:r>
      <w:r w:rsidR="002C2EC7">
        <w:t xml:space="preserve"> </w:t>
      </w:r>
      <w:r w:rsidR="002C2EC7" w:rsidRPr="0071774C">
        <w:t>A</w:t>
      </w:r>
      <w:r w:rsidR="002C2EC7">
        <w:t xml:space="preserve"> </w:t>
      </w:r>
      <w:r w:rsidR="002C2EC7" w:rsidRPr="0071774C">
        <w:t>2018</w:t>
      </w:r>
      <w:r w:rsidR="002C2EC7">
        <w:t xml:space="preserve"> </w:t>
      </w:r>
      <w:r w:rsidR="002C2EC7" w:rsidRPr="0071774C">
        <w:t>report</w:t>
      </w:r>
      <w:r w:rsidR="002C2EC7">
        <w:t xml:space="preserve"> </w:t>
      </w:r>
      <w:r w:rsidR="002C2EC7" w:rsidRPr="0071774C">
        <w:t>from</w:t>
      </w:r>
      <w:r w:rsidR="002C2EC7">
        <w:t xml:space="preserve"> </w:t>
      </w:r>
      <w:r w:rsidR="002C2EC7" w:rsidRPr="0071774C">
        <w:t>the</w:t>
      </w:r>
      <w:r w:rsidR="002C2EC7">
        <w:t xml:space="preserve"> </w:t>
      </w:r>
      <w:r w:rsidR="002C2EC7" w:rsidRPr="002257B4">
        <w:t>S</w:t>
      </w:r>
      <w:r w:rsidR="002C2EC7" w:rsidRPr="005068F2">
        <w:t>pecial</w:t>
      </w:r>
      <w:r w:rsidR="002C2EC7">
        <w:t xml:space="preserve"> </w:t>
      </w:r>
      <w:r w:rsidR="002C2EC7" w:rsidRPr="005068F2">
        <w:t>Rapporteur</w:t>
      </w:r>
      <w:r w:rsidR="002C2EC7">
        <w:t xml:space="preserve"> </w:t>
      </w:r>
      <w:r w:rsidR="002C2EC7" w:rsidRPr="005068F2">
        <w:t>on</w:t>
      </w:r>
      <w:r w:rsidR="002C2EC7">
        <w:t xml:space="preserve"> </w:t>
      </w:r>
      <w:r w:rsidR="002C2EC7" w:rsidRPr="005068F2">
        <w:t>violence</w:t>
      </w:r>
      <w:r w:rsidR="002C2EC7">
        <w:t xml:space="preserve"> </w:t>
      </w:r>
      <w:r w:rsidR="002C2EC7" w:rsidRPr="005068F2">
        <w:t>against</w:t>
      </w:r>
      <w:r w:rsidR="002C2EC7">
        <w:t xml:space="preserve"> </w:t>
      </w:r>
      <w:r w:rsidR="002C2EC7" w:rsidRPr="005068F2">
        <w:t>women,</w:t>
      </w:r>
      <w:r w:rsidR="002C2EC7">
        <w:t xml:space="preserve"> </w:t>
      </w:r>
      <w:r w:rsidR="002C2EC7" w:rsidRPr="005068F2">
        <w:t>its</w:t>
      </w:r>
      <w:r w:rsidR="002C2EC7">
        <w:t xml:space="preserve"> </w:t>
      </w:r>
      <w:r w:rsidR="002C2EC7" w:rsidRPr="005068F2">
        <w:t>causes</w:t>
      </w:r>
      <w:r w:rsidR="002C2EC7">
        <w:t xml:space="preserve"> </w:t>
      </w:r>
      <w:r w:rsidR="002C2EC7" w:rsidRPr="005068F2">
        <w:t>and</w:t>
      </w:r>
      <w:r w:rsidR="002C2EC7">
        <w:t xml:space="preserve"> </w:t>
      </w:r>
      <w:r w:rsidR="002C2EC7" w:rsidRPr="005068F2">
        <w:t>consequences</w:t>
      </w:r>
      <w:r w:rsidR="002C2EC7" w:rsidRPr="006E446C">
        <w:rPr>
          <w:rStyle w:val="EndnoteReference"/>
          <w:szCs w:val="22"/>
        </w:rPr>
        <w:endnoteReference w:id="65"/>
      </w:r>
      <w:r w:rsidR="002C2EC7" w:rsidRPr="00ED4674">
        <w:t xml:space="preserve"> i</w:t>
      </w:r>
      <w:r w:rsidR="002C2EC7" w:rsidRPr="0071774C">
        <w:t>dentified</w:t>
      </w:r>
      <w:r w:rsidR="002C2EC7">
        <w:t xml:space="preserve"> </w:t>
      </w:r>
      <w:r w:rsidR="002C2EC7" w:rsidRPr="0071774C">
        <w:t>that</w:t>
      </w:r>
      <w:r w:rsidR="002C2EC7">
        <w:t xml:space="preserve"> </w:t>
      </w:r>
      <w:r w:rsidR="002C2EC7" w:rsidRPr="0071774C">
        <w:t>while</w:t>
      </w:r>
      <w:r w:rsidR="002C2EC7">
        <w:t xml:space="preserve"> </w:t>
      </w:r>
      <w:r w:rsidR="002C2EC7" w:rsidRPr="0071774C">
        <w:t>progress</w:t>
      </w:r>
      <w:r w:rsidR="002C2EC7">
        <w:t xml:space="preserve"> </w:t>
      </w:r>
      <w:r w:rsidR="002C2EC7" w:rsidRPr="0071774C">
        <w:t>had</w:t>
      </w:r>
      <w:r w:rsidR="002C2EC7">
        <w:t xml:space="preserve"> </w:t>
      </w:r>
      <w:r w:rsidR="002C2EC7" w:rsidRPr="0071774C">
        <w:t>been</w:t>
      </w:r>
      <w:r w:rsidR="002C2EC7">
        <w:t xml:space="preserve"> </w:t>
      </w:r>
      <w:r w:rsidR="002C2EC7" w:rsidRPr="0071774C">
        <w:t>made</w:t>
      </w:r>
      <w:r w:rsidR="002C2EC7">
        <w:t xml:space="preserve"> </w:t>
      </w:r>
      <w:r w:rsidR="002C2EC7" w:rsidRPr="0071774C">
        <w:t>in</w:t>
      </w:r>
      <w:r w:rsidR="002C2EC7">
        <w:t xml:space="preserve"> </w:t>
      </w:r>
      <w:r w:rsidR="002C2EC7" w:rsidRPr="0071774C">
        <w:t>Australia,</w:t>
      </w:r>
      <w:r w:rsidR="002C2EC7">
        <w:t xml:space="preserve"> </w:t>
      </w:r>
      <w:r w:rsidR="002C2EC7" w:rsidRPr="0071774C">
        <w:t>there</w:t>
      </w:r>
      <w:r w:rsidR="002C2EC7">
        <w:t xml:space="preserve"> </w:t>
      </w:r>
      <w:r w:rsidR="002C2EC7" w:rsidRPr="0071774C">
        <w:t>is</w:t>
      </w:r>
      <w:r w:rsidR="002C2EC7">
        <w:t xml:space="preserve"> </w:t>
      </w:r>
      <w:r w:rsidR="002C2EC7" w:rsidRPr="0071774C">
        <w:t>a</w:t>
      </w:r>
      <w:r w:rsidR="002C2EC7">
        <w:t xml:space="preserve"> </w:t>
      </w:r>
      <w:r w:rsidR="002C2EC7" w:rsidRPr="0071774C">
        <w:t>need</w:t>
      </w:r>
      <w:r w:rsidR="002C2EC7">
        <w:t xml:space="preserve"> </w:t>
      </w:r>
      <w:r w:rsidR="002C2EC7" w:rsidRPr="0071774C">
        <w:t>for</w:t>
      </w:r>
      <w:r w:rsidR="002C2EC7">
        <w:t xml:space="preserve"> </w:t>
      </w:r>
      <w:r w:rsidR="002C2EC7" w:rsidRPr="0071774C">
        <w:t>further</w:t>
      </w:r>
      <w:r w:rsidR="002C2EC7">
        <w:t xml:space="preserve"> </w:t>
      </w:r>
      <w:r w:rsidR="002C2EC7" w:rsidRPr="0071774C">
        <w:t>work</w:t>
      </w:r>
      <w:r w:rsidR="002C2EC7">
        <w:t xml:space="preserve"> </w:t>
      </w:r>
      <w:r w:rsidR="002C2EC7" w:rsidRPr="0071774C">
        <w:t>to</w:t>
      </w:r>
      <w:r w:rsidR="002C2EC7">
        <w:t xml:space="preserve"> </w:t>
      </w:r>
      <w:r w:rsidR="002C2EC7" w:rsidRPr="0071774C">
        <w:t>meet</w:t>
      </w:r>
      <w:r w:rsidR="002C2EC7">
        <w:t xml:space="preserve"> </w:t>
      </w:r>
      <w:r w:rsidR="002C2EC7" w:rsidRPr="0071774C">
        <w:t>CEDAW</w:t>
      </w:r>
      <w:r w:rsidR="002C2EC7">
        <w:t xml:space="preserve"> </w:t>
      </w:r>
      <w:r w:rsidR="002C2EC7" w:rsidRPr="0071774C">
        <w:t>obligations,</w:t>
      </w:r>
      <w:r w:rsidR="002C2EC7">
        <w:t xml:space="preserve"> </w:t>
      </w:r>
      <w:r w:rsidR="002C2EC7" w:rsidRPr="0071774C">
        <w:t>including</w:t>
      </w:r>
      <w:r w:rsidR="002C2EC7">
        <w:t xml:space="preserve"> </w:t>
      </w:r>
      <w:r w:rsidR="002C2EC7" w:rsidRPr="0071774C">
        <w:t>policy</w:t>
      </w:r>
      <w:r w:rsidR="002C2EC7">
        <w:t xml:space="preserve"> </w:t>
      </w:r>
      <w:r w:rsidR="002C2EC7" w:rsidRPr="0071774C">
        <w:t>and</w:t>
      </w:r>
      <w:r w:rsidR="002C2EC7">
        <w:t xml:space="preserve"> </w:t>
      </w:r>
      <w:r w:rsidR="002C2EC7" w:rsidRPr="0071774C">
        <w:t>legislative</w:t>
      </w:r>
      <w:r w:rsidR="002C2EC7">
        <w:t xml:space="preserve"> </w:t>
      </w:r>
      <w:r w:rsidR="002C2EC7" w:rsidRPr="0071774C">
        <w:t>reform</w:t>
      </w:r>
      <w:r w:rsidR="002C2EC7">
        <w:t xml:space="preserve"> </w:t>
      </w:r>
      <w:r w:rsidR="002C2EC7" w:rsidRPr="0071774C">
        <w:t>to</w:t>
      </w:r>
      <w:r w:rsidR="002C2EC7">
        <w:t xml:space="preserve"> </w:t>
      </w:r>
      <w:r w:rsidR="002C2EC7" w:rsidRPr="0071774C">
        <w:t>enshrine</w:t>
      </w:r>
      <w:r w:rsidR="002C2EC7">
        <w:t xml:space="preserve"> </w:t>
      </w:r>
      <w:r w:rsidR="002C2EC7" w:rsidRPr="0071774C">
        <w:t>gender</w:t>
      </w:r>
      <w:r w:rsidR="002C2EC7">
        <w:t xml:space="preserve"> </w:t>
      </w:r>
      <w:r w:rsidR="002C2EC7" w:rsidRPr="0071774C">
        <w:t>equality</w:t>
      </w:r>
      <w:r w:rsidR="002C2EC7">
        <w:t xml:space="preserve"> </w:t>
      </w:r>
      <w:r w:rsidR="002C2EC7" w:rsidRPr="0071774C">
        <w:t>within</w:t>
      </w:r>
      <w:r w:rsidR="002C2EC7">
        <w:t xml:space="preserve"> </w:t>
      </w:r>
      <w:r w:rsidR="002C2EC7" w:rsidRPr="0071774C">
        <w:t>the</w:t>
      </w:r>
      <w:r w:rsidR="002C2EC7">
        <w:t xml:space="preserve"> Australian </w:t>
      </w:r>
      <w:r w:rsidR="002C2EC7" w:rsidRPr="0071774C">
        <w:t>Constitution</w:t>
      </w:r>
      <w:r w:rsidR="002C2EC7">
        <w:t xml:space="preserve"> </w:t>
      </w:r>
      <w:r w:rsidR="002C2EC7" w:rsidRPr="0071774C">
        <w:t>and</w:t>
      </w:r>
      <w:r w:rsidR="00851841">
        <w:t> </w:t>
      </w:r>
      <w:r w:rsidR="002C2EC7" w:rsidRPr="0071774C">
        <w:t>ensure</w:t>
      </w:r>
      <w:r w:rsidR="002C2EC7">
        <w:t xml:space="preserve"> </w:t>
      </w:r>
      <w:r w:rsidR="002C2EC7" w:rsidRPr="0071774C">
        <w:t>consistent</w:t>
      </w:r>
      <w:r w:rsidR="002C2EC7">
        <w:t xml:space="preserve"> </w:t>
      </w:r>
      <w:r w:rsidR="002C2EC7" w:rsidRPr="0071774C">
        <w:t>family</w:t>
      </w:r>
      <w:r w:rsidR="002C2EC7">
        <w:t xml:space="preserve"> </w:t>
      </w:r>
      <w:r w:rsidR="002C2EC7" w:rsidRPr="0071774C">
        <w:t>violence</w:t>
      </w:r>
      <w:r w:rsidR="002C2EC7">
        <w:t xml:space="preserve"> </w:t>
      </w:r>
      <w:r w:rsidR="002C2EC7" w:rsidRPr="0071774C">
        <w:t>and</w:t>
      </w:r>
      <w:r w:rsidR="002C2EC7">
        <w:t xml:space="preserve"> </w:t>
      </w:r>
      <w:r w:rsidR="002C2EC7" w:rsidRPr="0071774C">
        <w:t>violence</w:t>
      </w:r>
      <w:r w:rsidR="002C2EC7">
        <w:t xml:space="preserve"> </w:t>
      </w:r>
      <w:r w:rsidR="002C2EC7" w:rsidRPr="0071774C">
        <w:t>against</w:t>
      </w:r>
      <w:r w:rsidR="002C2EC7">
        <w:t xml:space="preserve"> </w:t>
      </w:r>
      <w:r w:rsidR="002C2EC7" w:rsidRPr="0071774C">
        <w:t>women</w:t>
      </w:r>
      <w:r w:rsidR="002C2EC7">
        <w:t xml:space="preserve"> </w:t>
      </w:r>
      <w:r w:rsidR="002C2EC7" w:rsidRPr="0071774C">
        <w:t>legislation</w:t>
      </w:r>
      <w:r w:rsidR="002C2EC7">
        <w:t xml:space="preserve"> </w:t>
      </w:r>
      <w:r w:rsidR="002C2EC7" w:rsidRPr="0071774C">
        <w:t>across</w:t>
      </w:r>
      <w:r w:rsidR="002C2EC7">
        <w:t xml:space="preserve"> </w:t>
      </w:r>
      <w:r w:rsidR="002C2EC7" w:rsidRPr="0071774C">
        <w:t>jurisdictions,</w:t>
      </w:r>
      <w:r w:rsidR="002C2EC7">
        <w:t xml:space="preserve"> </w:t>
      </w:r>
      <w:r w:rsidR="002C2EC7" w:rsidRPr="0071774C">
        <w:t>as</w:t>
      </w:r>
      <w:r w:rsidR="002C2EC7">
        <w:t xml:space="preserve"> </w:t>
      </w:r>
      <w:r w:rsidR="002C2EC7" w:rsidRPr="0071774C">
        <w:t>well</w:t>
      </w:r>
      <w:r w:rsidR="002C2EC7">
        <w:t xml:space="preserve"> </w:t>
      </w:r>
      <w:r w:rsidR="002C2EC7" w:rsidRPr="0071774C">
        <w:t>as</w:t>
      </w:r>
      <w:r w:rsidR="002C2EC7">
        <w:t xml:space="preserve"> </w:t>
      </w:r>
      <w:r w:rsidR="002C2EC7" w:rsidRPr="0071774C">
        <w:t>specific</w:t>
      </w:r>
      <w:r w:rsidR="002C2EC7">
        <w:t xml:space="preserve"> </w:t>
      </w:r>
      <w:r w:rsidR="002C2EC7" w:rsidRPr="0071774C">
        <w:t>recommendations</w:t>
      </w:r>
      <w:r w:rsidR="002C2EC7">
        <w:t xml:space="preserve"> </w:t>
      </w:r>
      <w:r w:rsidR="002C2EC7" w:rsidRPr="0071774C">
        <w:t>to</w:t>
      </w:r>
      <w:r w:rsidR="002C2EC7">
        <w:t xml:space="preserve"> </w:t>
      </w:r>
      <w:r w:rsidR="002C2EC7" w:rsidRPr="0071774C">
        <w:t>address</w:t>
      </w:r>
      <w:r w:rsidR="002C2EC7">
        <w:t xml:space="preserve"> </w:t>
      </w:r>
      <w:r w:rsidR="002C2EC7" w:rsidRPr="0071774C">
        <w:t>violence</w:t>
      </w:r>
      <w:r w:rsidR="002C2EC7">
        <w:t xml:space="preserve"> </w:t>
      </w:r>
      <w:r w:rsidR="002C2EC7" w:rsidRPr="0071774C">
        <w:t>experienced</w:t>
      </w:r>
      <w:r w:rsidR="002C2EC7">
        <w:t xml:space="preserve"> </w:t>
      </w:r>
      <w:r w:rsidR="002C2EC7" w:rsidRPr="0071774C">
        <w:t>by</w:t>
      </w:r>
      <w:r w:rsidR="002C2EC7">
        <w:t xml:space="preserve"> </w:t>
      </w:r>
      <w:r w:rsidR="002C2EC7" w:rsidRPr="0071774C">
        <w:t>Aboriginal</w:t>
      </w:r>
      <w:r w:rsidR="002C2EC7">
        <w:t xml:space="preserve"> </w:t>
      </w:r>
      <w:r w:rsidR="002C2EC7" w:rsidRPr="0071774C">
        <w:t>and</w:t>
      </w:r>
      <w:r w:rsidR="002C2EC7">
        <w:t xml:space="preserve"> </w:t>
      </w:r>
      <w:r w:rsidR="002C2EC7" w:rsidRPr="0071774C">
        <w:t>Torres</w:t>
      </w:r>
      <w:r w:rsidR="002C2EC7">
        <w:t xml:space="preserve"> </w:t>
      </w:r>
      <w:r w:rsidR="002C2EC7" w:rsidRPr="0071774C">
        <w:t>Strait</w:t>
      </w:r>
      <w:r w:rsidR="002C2EC7">
        <w:t xml:space="preserve"> </w:t>
      </w:r>
      <w:r w:rsidR="002C2EC7" w:rsidRPr="0071774C">
        <w:t>Islander</w:t>
      </w:r>
      <w:r w:rsidR="002C2EC7">
        <w:t xml:space="preserve"> </w:t>
      </w:r>
      <w:r w:rsidR="002C2EC7" w:rsidRPr="0071774C">
        <w:t>women,</w:t>
      </w:r>
      <w:r w:rsidR="002C2EC7">
        <w:t xml:space="preserve"> </w:t>
      </w:r>
      <w:r w:rsidR="002C2EC7" w:rsidRPr="0071774C">
        <w:t>women</w:t>
      </w:r>
      <w:r w:rsidR="002C2EC7">
        <w:t xml:space="preserve"> </w:t>
      </w:r>
      <w:r w:rsidR="002C2EC7" w:rsidRPr="0071774C">
        <w:t>with</w:t>
      </w:r>
      <w:r w:rsidR="002C2EC7">
        <w:t xml:space="preserve"> </w:t>
      </w:r>
      <w:r w:rsidR="002C2EC7" w:rsidRPr="0071774C">
        <w:t>disabilities,</w:t>
      </w:r>
      <w:r w:rsidR="002C2EC7">
        <w:t xml:space="preserve"> </w:t>
      </w:r>
      <w:r w:rsidR="002C2EC7" w:rsidRPr="0071774C">
        <w:t>women</w:t>
      </w:r>
      <w:r w:rsidR="002C2EC7">
        <w:t xml:space="preserve"> </w:t>
      </w:r>
      <w:r w:rsidR="002C2EC7" w:rsidRPr="0071774C">
        <w:t>who</w:t>
      </w:r>
      <w:r w:rsidR="002C2EC7">
        <w:t xml:space="preserve"> </w:t>
      </w:r>
      <w:r w:rsidR="002C2EC7" w:rsidRPr="0071774C">
        <w:t>are</w:t>
      </w:r>
      <w:r w:rsidR="002C2EC7">
        <w:t xml:space="preserve"> </w:t>
      </w:r>
      <w:r w:rsidR="002C2EC7" w:rsidRPr="004B02DE">
        <w:t>incarcerated,</w:t>
      </w:r>
      <w:r w:rsidR="002C2EC7">
        <w:t xml:space="preserve"> </w:t>
      </w:r>
      <w:r w:rsidR="002C2EC7" w:rsidRPr="004B02DE">
        <w:t>women</w:t>
      </w:r>
      <w:r w:rsidR="002C2EC7">
        <w:t xml:space="preserve"> </w:t>
      </w:r>
      <w:r w:rsidR="002C2EC7" w:rsidRPr="004B02DE">
        <w:t>from</w:t>
      </w:r>
      <w:r w:rsidR="002C2EC7">
        <w:t xml:space="preserve"> </w:t>
      </w:r>
      <w:r w:rsidR="002C2EC7" w:rsidRPr="004B02DE">
        <w:t>refugee,</w:t>
      </w:r>
      <w:r w:rsidR="002C2EC7">
        <w:t xml:space="preserve"> </w:t>
      </w:r>
      <w:r w:rsidR="002C2EC7" w:rsidRPr="004B02DE">
        <w:t>asylum</w:t>
      </w:r>
      <w:r w:rsidR="002C2EC7">
        <w:t xml:space="preserve"> </w:t>
      </w:r>
      <w:r w:rsidR="002C2EC7" w:rsidRPr="004B02DE">
        <w:t>seeker</w:t>
      </w:r>
      <w:r w:rsidR="002C2EC7">
        <w:t xml:space="preserve"> </w:t>
      </w:r>
      <w:r w:rsidR="002C2EC7" w:rsidRPr="004B02DE">
        <w:t>and</w:t>
      </w:r>
      <w:r w:rsidR="002C2EC7">
        <w:t xml:space="preserve"> </w:t>
      </w:r>
      <w:r w:rsidR="002C2EC7" w:rsidRPr="004B02DE">
        <w:t>migrant</w:t>
      </w:r>
      <w:r w:rsidR="002C2EC7">
        <w:t xml:space="preserve"> </w:t>
      </w:r>
      <w:r w:rsidR="002C2EC7" w:rsidRPr="004B02DE">
        <w:t>backgrounds,</w:t>
      </w:r>
      <w:r w:rsidR="002C2EC7">
        <w:t xml:space="preserve"> </w:t>
      </w:r>
      <w:r w:rsidR="002C2EC7" w:rsidRPr="004B02DE">
        <w:t>and</w:t>
      </w:r>
      <w:r w:rsidR="002C2EC7">
        <w:t xml:space="preserve"> </w:t>
      </w:r>
      <w:r w:rsidR="002C2EC7" w:rsidRPr="004B02DE">
        <w:t>older</w:t>
      </w:r>
      <w:r w:rsidR="002C2EC7">
        <w:t xml:space="preserve"> </w:t>
      </w:r>
      <w:r w:rsidR="002C2EC7" w:rsidRPr="004B02DE">
        <w:t>women.</w:t>
      </w:r>
      <w:r w:rsidR="002C2EC7">
        <w:t xml:space="preserve"> </w:t>
      </w:r>
      <w:r w:rsidR="002C2EC7" w:rsidRPr="004B02DE">
        <w:t>This</w:t>
      </w:r>
      <w:r w:rsidR="002C2EC7">
        <w:t xml:space="preserve"> </w:t>
      </w:r>
      <w:r w:rsidR="002C2EC7" w:rsidRPr="004B02DE">
        <w:t>report</w:t>
      </w:r>
      <w:r w:rsidR="002C2EC7">
        <w:t xml:space="preserve"> </w:t>
      </w:r>
      <w:r w:rsidR="002C2EC7" w:rsidRPr="004B02DE">
        <w:t>made</w:t>
      </w:r>
      <w:r w:rsidR="002C2EC7">
        <w:t xml:space="preserve"> </w:t>
      </w:r>
      <w:r w:rsidR="002C2EC7" w:rsidRPr="004B02DE">
        <w:t>a</w:t>
      </w:r>
      <w:r w:rsidR="002C2EC7">
        <w:t xml:space="preserve"> </w:t>
      </w:r>
      <w:r w:rsidR="002C2EC7" w:rsidRPr="004B02DE">
        <w:t>number</w:t>
      </w:r>
      <w:r w:rsidR="002C2EC7">
        <w:t xml:space="preserve"> </w:t>
      </w:r>
      <w:r w:rsidR="002C2EC7" w:rsidRPr="004B02DE">
        <w:t>of</w:t>
      </w:r>
      <w:r w:rsidR="002C2EC7">
        <w:t xml:space="preserve"> </w:t>
      </w:r>
      <w:r w:rsidR="002C2EC7" w:rsidRPr="004B02DE">
        <w:t>policy</w:t>
      </w:r>
      <w:r w:rsidR="002C2EC7">
        <w:t xml:space="preserve"> </w:t>
      </w:r>
      <w:r w:rsidR="002C2EC7" w:rsidRPr="004B02DE">
        <w:t>and</w:t>
      </w:r>
      <w:r w:rsidR="002C2EC7">
        <w:t xml:space="preserve"> </w:t>
      </w:r>
      <w:r w:rsidR="002C2EC7" w:rsidRPr="004B02DE">
        <w:t>legislative</w:t>
      </w:r>
      <w:r w:rsidR="002C2EC7">
        <w:t xml:space="preserve"> </w:t>
      </w:r>
      <w:r w:rsidR="002C2EC7" w:rsidRPr="004B02DE">
        <w:t>recommendations,</w:t>
      </w:r>
      <w:r w:rsidR="002C2EC7">
        <w:t xml:space="preserve"> </w:t>
      </w:r>
      <w:r w:rsidR="002C2EC7" w:rsidRPr="004B02DE">
        <w:t>many</w:t>
      </w:r>
      <w:r w:rsidR="002C2EC7">
        <w:t xml:space="preserve"> </w:t>
      </w:r>
      <w:r w:rsidR="002C2EC7" w:rsidRPr="004B02DE">
        <w:t>of</w:t>
      </w:r>
      <w:r w:rsidR="002C2EC7">
        <w:t xml:space="preserve"> </w:t>
      </w:r>
      <w:r w:rsidR="002C2EC7" w:rsidRPr="004B02DE">
        <w:t>which</w:t>
      </w:r>
      <w:r w:rsidR="002C2EC7">
        <w:t xml:space="preserve"> </w:t>
      </w:r>
      <w:r w:rsidR="002C2EC7" w:rsidRPr="004B02DE">
        <w:t>haven’t</w:t>
      </w:r>
      <w:r w:rsidR="002C2EC7">
        <w:t xml:space="preserve"> </w:t>
      </w:r>
      <w:r w:rsidR="002C2EC7" w:rsidRPr="004B02DE">
        <w:t>been</w:t>
      </w:r>
      <w:r w:rsidR="002C2EC7">
        <w:t xml:space="preserve"> </w:t>
      </w:r>
      <w:r w:rsidR="002C2EC7" w:rsidRPr="004B02DE">
        <w:t>implemented.</w:t>
      </w:r>
      <w:r w:rsidR="002C2EC7">
        <w:t xml:space="preserve"> </w:t>
      </w:r>
      <w:r w:rsidR="002C2EC7" w:rsidRPr="004B02DE">
        <w:t>In</w:t>
      </w:r>
      <w:r w:rsidR="002C2EC7">
        <w:t xml:space="preserve"> </w:t>
      </w:r>
      <w:r w:rsidR="002C2EC7" w:rsidRPr="004B02DE">
        <w:t>future</w:t>
      </w:r>
      <w:r w:rsidR="002C2EC7">
        <w:t xml:space="preserve"> </w:t>
      </w:r>
      <w:r w:rsidR="002C2EC7" w:rsidRPr="004B02DE">
        <w:t>tracking</w:t>
      </w:r>
      <w:r w:rsidR="002C2EC7">
        <w:t xml:space="preserve"> </w:t>
      </w:r>
      <w:r w:rsidR="002C2EC7" w:rsidRPr="004B02DE">
        <w:t>reports,</w:t>
      </w:r>
      <w:r w:rsidR="002C2EC7">
        <w:t xml:space="preserve"> </w:t>
      </w:r>
      <w:r w:rsidR="002C2EC7" w:rsidRPr="004B02DE">
        <w:t>it</w:t>
      </w:r>
      <w:r w:rsidR="00ED42C9">
        <w:t> </w:t>
      </w:r>
      <w:r w:rsidR="002C2EC7" w:rsidRPr="004B02DE">
        <w:t>is</w:t>
      </w:r>
      <w:r w:rsidR="00ED42C9">
        <w:t> </w:t>
      </w:r>
      <w:r w:rsidR="002C2EC7" w:rsidRPr="004B02DE">
        <w:t>suggested</w:t>
      </w:r>
      <w:r w:rsidR="002C2EC7">
        <w:t xml:space="preserve"> </w:t>
      </w:r>
      <w:r w:rsidR="002C2EC7" w:rsidRPr="004B02DE">
        <w:t>that</w:t>
      </w:r>
      <w:r w:rsidR="002C2EC7">
        <w:t xml:space="preserve"> </w:t>
      </w:r>
      <w:r w:rsidR="002C2EC7" w:rsidRPr="004B02DE">
        <w:t>recommendations</w:t>
      </w:r>
      <w:r w:rsidR="002C2EC7">
        <w:t xml:space="preserve"> </w:t>
      </w:r>
      <w:r w:rsidR="002C2EC7" w:rsidRPr="004B02DE">
        <w:t>from</w:t>
      </w:r>
      <w:r w:rsidR="002C2EC7">
        <w:t xml:space="preserve"> </w:t>
      </w:r>
      <w:r w:rsidR="002C2EC7" w:rsidRPr="004B02DE">
        <w:t>human</w:t>
      </w:r>
      <w:r w:rsidR="002C2EC7">
        <w:t xml:space="preserve"> </w:t>
      </w:r>
      <w:r w:rsidR="002C2EC7" w:rsidRPr="004B02DE">
        <w:t>rights</w:t>
      </w:r>
      <w:r w:rsidR="002C2EC7">
        <w:t xml:space="preserve"> </w:t>
      </w:r>
      <w:r w:rsidR="002C2EC7" w:rsidRPr="004B02DE">
        <w:t>commissions</w:t>
      </w:r>
      <w:r w:rsidR="002C2EC7">
        <w:t xml:space="preserve"> </w:t>
      </w:r>
      <w:r w:rsidR="002C2EC7" w:rsidRPr="004B02DE">
        <w:t>and</w:t>
      </w:r>
      <w:r w:rsidR="002C2EC7">
        <w:t xml:space="preserve"> </w:t>
      </w:r>
      <w:r w:rsidR="002C2EC7" w:rsidRPr="004B02DE">
        <w:t>relevant</w:t>
      </w:r>
      <w:r w:rsidR="002C2EC7">
        <w:t xml:space="preserve"> </w:t>
      </w:r>
      <w:r w:rsidR="002C2EC7" w:rsidRPr="004B02DE">
        <w:t>civil</w:t>
      </w:r>
      <w:r w:rsidR="002C2EC7">
        <w:t xml:space="preserve"> </w:t>
      </w:r>
      <w:r w:rsidR="002C2EC7" w:rsidRPr="004B02DE">
        <w:t>society</w:t>
      </w:r>
      <w:r w:rsidR="002C2EC7">
        <w:t xml:space="preserve"> </w:t>
      </w:r>
      <w:r w:rsidR="002C2EC7" w:rsidRPr="004B02DE">
        <w:t>organisations</w:t>
      </w:r>
      <w:r w:rsidR="002C2EC7">
        <w:t xml:space="preserve"> </w:t>
      </w:r>
      <w:r w:rsidR="002C2EC7" w:rsidRPr="004B02DE">
        <w:t>are</w:t>
      </w:r>
      <w:r w:rsidR="002C2EC7">
        <w:t xml:space="preserve"> </w:t>
      </w:r>
      <w:r w:rsidR="002C2EC7" w:rsidRPr="004B02DE">
        <w:t>identified,</w:t>
      </w:r>
      <w:r w:rsidR="002C2EC7">
        <w:t xml:space="preserve"> </w:t>
      </w:r>
      <w:r w:rsidR="002C2EC7" w:rsidRPr="004B02DE">
        <w:t>and</w:t>
      </w:r>
      <w:r w:rsidR="002C2EC7">
        <w:t xml:space="preserve"> </w:t>
      </w:r>
      <w:r w:rsidR="002C2EC7" w:rsidRPr="004B02DE">
        <w:t>progress</w:t>
      </w:r>
      <w:r w:rsidR="002C2EC7">
        <w:t xml:space="preserve"> </w:t>
      </w:r>
      <w:r w:rsidR="002C2EC7" w:rsidRPr="004B02DE">
        <w:t>towards</w:t>
      </w:r>
      <w:r w:rsidR="002C2EC7">
        <w:t xml:space="preserve"> </w:t>
      </w:r>
      <w:r w:rsidR="002C2EC7" w:rsidRPr="004B02DE">
        <w:t>achieving</w:t>
      </w:r>
      <w:r w:rsidR="002C2EC7">
        <w:t xml:space="preserve"> </w:t>
      </w:r>
      <w:r w:rsidR="002C2EC7" w:rsidRPr="004B02DE">
        <w:t>these</w:t>
      </w:r>
      <w:r w:rsidR="002C2EC7">
        <w:t xml:space="preserve"> </w:t>
      </w:r>
      <w:r w:rsidR="002C2EC7" w:rsidRPr="004B02DE">
        <w:t>recommended</w:t>
      </w:r>
      <w:r w:rsidR="002C2EC7">
        <w:t xml:space="preserve"> </w:t>
      </w:r>
      <w:r w:rsidR="002C2EC7" w:rsidRPr="004B02DE">
        <w:t>reforms</w:t>
      </w:r>
      <w:r w:rsidR="002C2EC7">
        <w:t xml:space="preserve"> </w:t>
      </w:r>
      <w:r w:rsidR="002C2EC7" w:rsidRPr="004B02DE">
        <w:t>tracked</w:t>
      </w:r>
      <w:r w:rsidR="002C2EC7">
        <w:t xml:space="preserve"> </w:t>
      </w:r>
      <w:r w:rsidR="002C2EC7" w:rsidRPr="004B02DE">
        <w:t>over</w:t>
      </w:r>
      <w:r w:rsidR="002C2EC7">
        <w:t xml:space="preserve"> </w:t>
      </w:r>
      <w:r w:rsidR="002C2EC7" w:rsidRPr="004B02DE">
        <w:t>time.</w:t>
      </w:r>
    </w:p>
    <w:p w14:paraId="421AFE2E" w14:textId="77777777" w:rsidR="002C2EC7" w:rsidRDefault="002C2EC7" w:rsidP="00790783">
      <w:pPr>
        <w:pStyle w:val="Heading5"/>
      </w:pPr>
      <w:bookmarkStart w:id="37" w:name="_Toc41559719"/>
      <w:r w:rsidRPr="0071774C">
        <w:t>Legislative</w:t>
      </w:r>
      <w:r>
        <w:t xml:space="preserve"> </w:t>
      </w:r>
      <w:r w:rsidRPr="0071774C">
        <w:t>reform</w:t>
      </w:r>
      <w:bookmarkEnd w:id="37"/>
    </w:p>
    <w:p w14:paraId="2095F471" w14:textId="71817E90" w:rsidR="002C2EC7" w:rsidRDefault="002C2EC7" w:rsidP="00790783">
      <w:pPr>
        <w:pStyle w:val="BodyText"/>
      </w:pPr>
      <w:r w:rsidRPr="0071774C">
        <w:t>Between</w:t>
      </w:r>
      <w:r>
        <w:t xml:space="preserve"> </w:t>
      </w:r>
      <w:r w:rsidRPr="0071774C">
        <w:t>2009</w:t>
      </w:r>
      <w:r>
        <w:t xml:space="preserve"> </w:t>
      </w:r>
      <w:r w:rsidRPr="0071774C">
        <w:t>and</w:t>
      </w:r>
      <w:r>
        <w:t xml:space="preserve"> </w:t>
      </w:r>
      <w:r w:rsidRPr="0071774C">
        <w:t>2019</w:t>
      </w:r>
      <w:r>
        <w:t xml:space="preserve"> </w:t>
      </w:r>
      <w:r w:rsidRPr="0071774C">
        <w:t>across</w:t>
      </w:r>
      <w:r>
        <w:t xml:space="preserve"> </w:t>
      </w:r>
      <w:r w:rsidRPr="0071774C">
        <w:t>all</w:t>
      </w:r>
      <w:r>
        <w:t xml:space="preserve"> </w:t>
      </w:r>
      <w:r w:rsidRPr="0071774C">
        <w:t>Australian</w:t>
      </w:r>
      <w:r>
        <w:t xml:space="preserve"> </w:t>
      </w:r>
      <w:r w:rsidRPr="0071774C">
        <w:t>jurisdictions,</w:t>
      </w:r>
      <w:r>
        <w:t xml:space="preserve"> </w:t>
      </w:r>
      <w:r w:rsidRPr="0071774C">
        <w:t>a</w:t>
      </w:r>
      <w:r>
        <w:t xml:space="preserve"> </w:t>
      </w:r>
      <w:r w:rsidRPr="0071774C">
        <w:t>keyword</w:t>
      </w:r>
      <w:r>
        <w:t xml:space="preserve"> </w:t>
      </w:r>
      <w:r w:rsidRPr="0071774C">
        <w:t>search</w:t>
      </w:r>
      <w:r>
        <w:t xml:space="preserve"> </w:t>
      </w:r>
      <w:r w:rsidRPr="0071774C">
        <w:t>of</w:t>
      </w:r>
      <w:r>
        <w:t xml:space="preserve"> </w:t>
      </w:r>
      <w:r w:rsidRPr="0071774C">
        <w:t>Lawlex</w:t>
      </w:r>
      <w:r>
        <w:t xml:space="preserve"> </w:t>
      </w:r>
      <w:r w:rsidRPr="0071774C">
        <w:t>(see</w:t>
      </w:r>
      <w:r>
        <w:t xml:space="preserve"> </w:t>
      </w:r>
      <w:r w:rsidRPr="0071774C">
        <w:t>Appendix</w:t>
      </w:r>
      <w:r>
        <w:t xml:space="preserve"> </w:t>
      </w:r>
      <w:r w:rsidRPr="0071774C">
        <w:t>A</w:t>
      </w:r>
      <w:r>
        <w:t>: Methodology and limitations</w:t>
      </w:r>
      <w:r w:rsidRPr="0071774C">
        <w:t>)</w:t>
      </w:r>
      <w:r w:rsidRPr="0071774C">
        <w:rPr>
          <w:rStyle w:val="EndnoteReference"/>
          <w:szCs w:val="22"/>
        </w:rPr>
        <w:endnoteReference w:id="66"/>
      </w:r>
      <w:r>
        <w:t xml:space="preserve"> </w:t>
      </w:r>
      <w:r w:rsidRPr="0071774C">
        <w:t>revealed</w:t>
      </w:r>
      <w:r>
        <w:t xml:space="preserve"> </w:t>
      </w:r>
      <w:r w:rsidRPr="0071774C">
        <w:t>that</w:t>
      </w:r>
      <w:r>
        <w:t xml:space="preserve"> </w:t>
      </w:r>
      <w:r w:rsidRPr="0071774C">
        <w:t>approximately</w:t>
      </w:r>
      <w:r>
        <w:t xml:space="preserve"> 100 </w:t>
      </w:r>
      <w:r w:rsidRPr="0071774C">
        <w:t>changes</w:t>
      </w:r>
      <w:r>
        <w:t xml:space="preserve"> </w:t>
      </w:r>
      <w:r w:rsidRPr="0071774C">
        <w:t>were</w:t>
      </w:r>
      <w:r>
        <w:t xml:space="preserve"> </w:t>
      </w:r>
      <w:r w:rsidRPr="0071774C">
        <w:t>made</w:t>
      </w:r>
      <w:r>
        <w:t xml:space="preserve"> </w:t>
      </w:r>
      <w:r w:rsidRPr="0071774C">
        <w:t>to</w:t>
      </w:r>
      <w:r>
        <w:t xml:space="preserve"> </w:t>
      </w:r>
      <w:r w:rsidRPr="0071774C">
        <w:t>legislation</w:t>
      </w:r>
      <w:r>
        <w:t xml:space="preserve"> </w:t>
      </w:r>
      <w:r w:rsidRPr="0071774C">
        <w:t>which</w:t>
      </w:r>
      <w:r>
        <w:t xml:space="preserve"> </w:t>
      </w:r>
      <w:r w:rsidRPr="0071774C">
        <w:t>had</w:t>
      </w:r>
      <w:r>
        <w:t xml:space="preserve"> </w:t>
      </w:r>
      <w:r w:rsidRPr="0071774C">
        <w:t>the</w:t>
      </w:r>
      <w:r>
        <w:t xml:space="preserve"> </w:t>
      </w:r>
      <w:r w:rsidRPr="0071774C">
        <w:t>potential</w:t>
      </w:r>
      <w:r>
        <w:t xml:space="preserve"> </w:t>
      </w:r>
      <w:r w:rsidRPr="0071774C">
        <w:t>to</w:t>
      </w:r>
      <w:r>
        <w:t xml:space="preserve"> </w:t>
      </w:r>
      <w:r w:rsidRPr="0071774C">
        <w:t>directly</w:t>
      </w:r>
      <w:r>
        <w:t xml:space="preserve"> </w:t>
      </w:r>
      <w:r w:rsidRPr="0071774C">
        <w:t>impact</w:t>
      </w:r>
      <w:r>
        <w:t xml:space="preserve"> </w:t>
      </w:r>
      <w:r w:rsidRPr="0071774C">
        <w:t>(progressively</w:t>
      </w:r>
      <w:r>
        <w:t xml:space="preserve"> </w:t>
      </w:r>
      <w:r w:rsidRPr="0071774C">
        <w:t>or</w:t>
      </w:r>
      <w:r>
        <w:t xml:space="preserve"> </w:t>
      </w:r>
      <w:r w:rsidRPr="0071774C">
        <w:t>regressively)</w:t>
      </w:r>
      <w:r>
        <w:t xml:space="preserve"> </w:t>
      </w:r>
      <w:r w:rsidRPr="0071774C">
        <w:lastRenderedPageBreak/>
        <w:t>the</w:t>
      </w:r>
      <w:r>
        <w:t xml:space="preserve"> </w:t>
      </w:r>
      <w:r w:rsidRPr="0071774C">
        <w:t>drivers</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or</w:t>
      </w:r>
      <w:r>
        <w:t xml:space="preserve"> </w:t>
      </w:r>
      <w:r w:rsidRPr="0071774C">
        <w:t>forms</w:t>
      </w:r>
      <w:r>
        <w:t xml:space="preserve"> </w:t>
      </w:r>
      <w:r w:rsidRPr="0071774C">
        <w:t>of</w:t>
      </w:r>
      <w:r>
        <w:t xml:space="preserve"> </w:t>
      </w:r>
      <w:r w:rsidRPr="0071774C">
        <w:t>discrimination</w:t>
      </w:r>
      <w:r>
        <w:t xml:space="preserve"> </w:t>
      </w:r>
      <w:r w:rsidRPr="0071774C">
        <w:t>that</w:t>
      </w:r>
      <w:r>
        <w:t xml:space="preserve"> </w:t>
      </w:r>
      <w:r w:rsidRPr="0071774C">
        <w:t>intersect</w:t>
      </w:r>
      <w:r>
        <w:t xml:space="preserve"> </w:t>
      </w:r>
      <w:r w:rsidRPr="0071774C">
        <w:t>with</w:t>
      </w:r>
      <w:r>
        <w:t xml:space="preserve"> </w:t>
      </w:r>
      <w:r w:rsidRPr="0071774C">
        <w:t>gender</w:t>
      </w:r>
      <w:r>
        <w:t xml:space="preserve"> </w:t>
      </w:r>
      <w:r w:rsidRPr="0071774C">
        <w:t>inequality.</w:t>
      </w:r>
      <w:r>
        <w:t xml:space="preserve"> </w:t>
      </w:r>
      <w:r w:rsidRPr="0071774C">
        <w:t>Our</w:t>
      </w:r>
      <w:r>
        <w:t xml:space="preserve"> </w:t>
      </w:r>
      <w:r w:rsidRPr="0071774C">
        <w:t>analysis</w:t>
      </w:r>
      <w:r>
        <w:t xml:space="preserve"> </w:t>
      </w:r>
      <w:r w:rsidRPr="0071774C">
        <w:t>explore</w:t>
      </w:r>
      <w:r w:rsidR="00EC2CC8">
        <w:t>s</w:t>
      </w:r>
      <w:r>
        <w:t xml:space="preserve"> </w:t>
      </w:r>
      <w:r w:rsidRPr="0071774C">
        <w:t>some</w:t>
      </w:r>
      <w:r>
        <w:t xml:space="preserve"> </w:t>
      </w:r>
      <w:r w:rsidRPr="0071774C">
        <w:t>of</w:t>
      </w:r>
      <w:r>
        <w:t xml:space="preserve"> </w:t>
      </w:r>
      <w:r w:rsidRPr="0071774C">
        <w:t>the</w:t>
      </w:r>
      <w:r>
        <w:t xml:space="preserve"> </w:t>
      </w:r>
      <w:r w:rsidRPr="0071774C">
        <w:t>legislative</w:t>
      </w:r>
      <w:r>
        <w:t xml:space="preserve"> </w:t>
      </w:r>
      <w:r w:rsidRPr="0071774C">
        <w:t>changes</w:t>
      </w:r>
      <w:r>
        <w:t xml:space="preserve"> </w:t>
      </w:r>
      <w:r w:rsidRPr="0071774C">
        <w:t>that</w:t>
      </w:r>
      <w:r>
        <w:t xml:space="preserve"> </w:t>
      </w:r>
      <w:r w:rsidRPr="0071774C">
        <w:t>have</w:t>
      </w:r>
      <w:r>
        <w:t xml:space="preserve"> </w:t>
      </w:r>
      <w:r w:rsidRPr="0071774C">
        <w:t>occurred</w:t>
      </w:r>
      <w:r>
        <w:t xml:space="preserve"> </w:t>
      </w:r>
      <w:r w:rsidRPr="0071774C">
        <w:t>over</w:t>
      </w:r>
      <w:r>
        <w:t xml:space="preserve"> </w:t>
      </w:r>
      <w:r w:rsidRPr="0071774C">
        <w:t>the</w:t>
      </w:r>
      <w:r>
        <w:t xml:space="preserve"> </w:t>
      </w:r>
      <w:r w:rsidRPr="0071774C">
        <w:t>past</w:t>
      </w:r>
      <w:r>
        <w:t xml:space="preserve"> </w:t>
      </w:r>
      <w:r w:rsidRPr="0071774C">
        <w:t>ten</w:t>
      </w:r>
      <w:r>
        <w:t xml:space="preserve"> </w:t>
      </w:r>
      <w:r w:rsidRPr="0071774C">
        <w:t>years.</w:t>
      </w:r>
      <w:r>
        <w:t xml:space="preserve"> </w:t>
      </w:r>
      <w:r w:rsidRPr="0071774C">
        <w:t>It</w:t>
      </w:r>
      <w:r>
        <w:t xml:space="preserve"> </w:t>
      </w:r>
      <w:r w:rsidRPr="0071774C">
        <w:t>provides</w:t>
      </w:r>
      <w:r>
        <w:t xml:space="preserve"> </w:t>
      </w:r>
      <w:r w:rsidRPr="0071774C">
        <w:t>a</w:t>
      </w:r>
      <w:r>
        <w:t xml:space="preserve"> </w:t>
      </w:r>
      <w:r w:rsidRPr="0071774C">
        <w:t>snapshot</w:t>
      </w:r>
      <w:r>
        <w:t xml:space="preserve"> </w:t>
      </w:r>
      <w:r w:rsidRPr="0071774C">
        <w:t>of</w:t>
      </w:r>
      <w:r>
        <w:t xml:space="preserve"> </w:t>
      </w:r>
      <w:r w:rsidRPr="0071774C">
        <w:t>the</w:t>
      </w:r>
      <w:r>
        <w:t xml:space="preserve"> </w:t>
      </w:r>
      <w:r w:rsidRPr="0071774C">
        <w:t>current</w:t>
      </w:r>
      <w:r>
        <w:t xml:space="preserve"> </w:t>
      </w:r>
      <w:r w:rsidRPr="0071774C">
        <w:t>state</w:t>
      </w:r>
      <w:r>
        <w:t xml:space="preserve"> </w:t>
      </w:r>
      <w:r w:rsidRPr="0071774C">
        <w:t>of</w:t>
      </w:r>
      <w:r>
        <w:t xml:space="preserve"> </w:t>
      </w:r>
      <w:r w:rsidRPr="0071774C">
        <w:t>legislative</w:t>
      </w:r>
      <w:r>
        <w:t xml:space="preserve"> </w:t>
      </w:r>
      <w:r w:rsidRPr="0071774C">
        <w:t>reform,</w:t>
      </w:r>
      <w:r>
        <w:t xml:space="preserve"> </w:t>
      </w:r>
      <w:r w:rsidRPr="0071774C">
        <w:t>and</w:t>
      </w:r>
      <w:r>
        <w:t xml:space="preserve"> </w:t>
      </w:r>
      <w:r w:rsidRPr="0071774C">
        <w:t>helps</w:t>
      </w:r>
      <w:r>
        <w:t xml:space="preserve"> </w:t>
      </w:r>
      <w:r w:rsidRPr="0071774C">
        <w:t>us</w:t>
      </w:r>
      <w:r>
        <w:t xml:space="preserve"> </w:t>
      </w:r>
      <w:r w:rsidRPr="0071774C">
        <w:t>understand</w:t>
      </w:r>
      <w:r>
        <w:t xml:space="preserve"> the </w:t>
      </w:r>
      <w:r w:rsidRPr="0071774C">
        <w:t>extent</w:t>
      </w:r>
      <w:r>
        <w:t xml:space="preserve"> to which </w:t>
      </w:r>
      <w:r w:rsidRPr="0071774C">
        <w:t>this</w:t>
      </w:r>
      <w:r>
        <w:t xml:space="preserve"> </w:t>
      </w:r>
      <w:r w:rsidRPr="0071774C">
        <w:t>is</w:t>
      </w:r>
      <w:r>
        <w:t xml:space="preserve"> </w:t>
      </w:r>
      <w:r w:rsidRPr="0071774C">
        <w:t>contributing</w:t>
      </w:r>
      <w:r>
        <w:t xml:space="preserve"> </w:t>
      </w:r>
      <w:r w:rsidRPr="0071774C">
        <w:t>to</w:t>
      </w:r>
      <w:r>
        <w:t xml:space="preserve"> </w:t>
      </w:r>
      <w:r w:rsidRPr="0071774C">
        <w:t>providing</w:t>
      </w:r>
      <w:r>
        <w:t xml:space="preserve"> </w:t>
      </w:r>
      <w:r w:rsidRPr="0071774C">
        <w:t>the</w:t>
      </w:r>
      <w:r>
        <w:t xml:space="preserve"> </w:t>
      </w:r>
      <w:r w:rsidRPr="0071774C">
        <w:t>foundations</w:t>
      </w:r>
      <w:r>
        <w:t xml:space="preserve"> </w:t>
      </w:r>
      <w:r w:rsidRPr="0071774C">
        <w:t>for</w:t>
      </w:r>
      <w:r>
        <w:t xml:space="preserve"> </w:t>
      </w:r>
      <w:r w:rsidRPr="0071774C">
        <w:t>primary</w:t>
      </w:r>
      <w:r>
        <w:t xml:space="preserve"> </w:t>
      </w:r>
      <w:r w:rsidRPr="0071774C">
        <w:t>prevention.</w:t>
      </w:r>
    </w:p>
    <w:p w14:paraId="33CF62B3" w14:textId="1DB32614" w:rsidR="002C2EC7" w:rsidRDefault="002C2EC7" w:rsidP="00790783">
      <w:pPr>
        <w:pStyle w:val="BodyText"/>
      </w:pPr>
      <w:r w:rsidRPr="0071774C">
        <w:t>The</w:t>
      </w:r>
      <w:r>
        <w:t xml:space="preserve"> </w:t>
      </w:r>
      <w:r w:rsidRPr="0071774C">
        <w:t>legislative</w:t>
      </w:r>
      <w:r>
        <w:t xml:space="preserve"> </w:t>
      </w:r>
      <w:r w:rsidRPr="0071774C">
        <w:t>change</w:t>
      </w:r>
      <w:r>
        <w:t xml:space="preserve"> </w:t>
      </w:r>
      <w:r w:rsidRPr="0071774C">
        <w:t>process</w:t>
      </w:r>
      <w:r>
        <w:t xml:space="preserve"> </w:t>
      </w:r>
      <w:r w:rsidRPr="0071774C">
        <w:t>can</w:t>
      </w:r>
      <w:r>
        <w:t xml:space="preserve"> </w:t>
      </w:r>
      <w:r w:rsidRPr="0071774C">
        <w:t>take</w:t>
      </w:r>
      <w:r>
        <w:t xml:space="preserve"> </w:t>
      </w:r>
      <w:r w:rsidRPr="0071774C">
        <w:t>many</w:t>
      </w:r>
      <w:r>
        <w:t xml:space="preserve"> </w:t>
      </w:r>
      <w:r w:rsidRPr="0071774C">
        <w:t>years</w:t>
      </w:r>
      <w:r>
        <w:t xml:space="preserve"> </w:t>
      </w:r>
      <w:r w:rsidRPr="0071774C">
        <w:t>of</w:t>
      </w:r>
      <w:r>
        <w:t xml:space="preserve"> </w:t>
      </w:r>
      <w:r w:rsidRPr="0071774C">
        <w:t>incremental,</w:t>
      </w:r>
      <w:r>
        <w:t xml:space="preserve"> </w:t>
      </w:r>
      <w:r w:rsidRPr="0071774C">
        <w:t>non-linear,</w:t>
      </w:r>
      <w:r>
        <w:t xml:space="preserve"> </w:t>
      </w:r>
      <w:r w:rsidRPr="0071774C">
        <w:t>progressive</w:t>
      </w:r>
      <w:r>
        <w:t xml:space="preserve"> </w:t>
      </w:r>
      <w:r w:rsidRPr="0071774C">
        <w:t>and</w:t>
      </w:r>
      <w:r>
        <w:t xml:space="preserve"> </w:t>
      </w:r>
      <w:r w:rsidRPr="0071774C">
        <w:t>regressive</w:t>
      </w:r>
      <w:r>
        <w:t xml:space="preserve"> </w:t>
      </w:r>
      <w:r w:rsidRPr="0071774C">
        <w:t>iterations.</w:t>
      </w:r>
      <w:r>
        <w:t xml:space="preserve"> </w:t>
      </w:r>
      <w:r w:rsidRPr="0071774C">
        <w:t>This</w:t>
      </w:r>
      <w:r>
        <w:t xml:space="preserve"> </w:t>
      </w:r>
      <w:r w:rsidRPr="0071774C">
        <w:t>report</w:t>
      </w:r>
      <w:r>
        <w:t xml:space="preserve"> </w:t>
      </w:r>
      <w:r w:rsidRPr="0071774C">
        <w:t>does</w:t>
      </w:r>
      <w:r>
        <w:t xml:space="preserve"> </w:t>
      </w:r>
      <w:r w:rsidRPr="0071774C">
        <w:t>not</w:t>
      </w:r>
      <w:r>
        <w:t xml:space="preserve"> </w:t>
      </w:r>
      <w:r w:rsidRPr="0071774C">
        <w:t>intend</w:t>
      </w:r>
      <w:r>
        <w:t xml:space="preserve"> </w:t>
      </w:r>
      <w:r w:rsidRPr="0071774C">
        <w:t>to</w:t>
      </w:r>
      <w:r>
        <w:t xml:space="preserve"> </w:t>
      </w:r>
      <w:r w:rsidRPr="0071774C">
        <w:t>provide</w:t>
      </w:r>
      <w:r>
        <w:t xml:space="preserve"> </w:t>
      </w:r>
      <w:r w:rsidRPr="0071774C">
        <w:t>in</w:t>
      </w:r>
      <w:r>
        <w:t>-</w:t>
      </w:r>
      <w:r w:rsidRPr="0071774C">
        <w:t>depth</w:t>
      </w:r>
      <w:r>
        <w:t xml:space="preserve"> </w:t>
      </w:r>
      <w:r w:rsidRPr="0071774C">
        <w:t>analysis</w:t>
      </w:r>
      <w:r>
        <w:t xml:space="preserve"> </w:t>
      </w:r>
      <w:r w:rsidRPr="0071774C">
        <w:t>of</w:t>
      </w:r>
      <w:r>
        <w:t xml:space="preserve"> </w:t>
      </w:r>
      <w:r w:rsidRPr="0071774C">
        <w:t>each</w:t>
      </w:r>
      <w:r>
        <w:t xml:space="preserve"> </w:t>
      </w:r>
      <w:r w:rsidRPr="0071774C">
        <w:t>piece</w:t>
      </w:r>
      <w:r>
        <w:t xml:space="preserve"> </w:t>
      </w:r>
      <w:r w:rsidRPr="0071774C">
        <w:t>of</w:t>
      </w:r>
      <w:r>
        <w:t xml:space="preserve"> </w:t>
      </w:r>
      <w:r w:rsidRPr="0071774C">
        <w:t>legislation</w:t>
      </w:r>
      <w:r>
        <w:t xml:space="preserve">; </w:t>
      </w:r>
      <w:r w:rsidRPr="0071774C">
        <w:t>nor</w:t>
      </w:r>
      <w:r>
        <w:t xml:space="preserve"> </w:t>
      </w:r>
      <w:r w:rsidRPr="0071774C">
        <w:t>does</w:t>
      </w:r>
      <w:r>
        <w:t xml:space="preserve"> </w:t>
      </w:r>
      <w:r w:rsidRPr="0071774C">
        <w:t>it</w:t>
      </w:r>
      <w:r>
        <w:t xml:space="preserve"> </w:t>
      </w:r>
      <w:r w:rsidRPr="0071774C">
        <w:t>provide</w:t>
      </w:r>
      <w:r>
        <w:t xml:space="preserve"> </w:t>
      </w:r>
      <w:r w:rsidRPr="0071774C">
        <w:t>any</w:t>
      </w:r>
      <w:r>
        <w:t xml:space="preserve"> </w:t>
      </w:r>
      <w:r w:rsidRPr="0071774C">
        <w:t>analysis</w:t>
      </w:r>
      <w:r>
        <w:t xml:space="preserve"> </w:t>
      </w:r>
      <w:r w:rsidRPr="0071774C">
        <w:t>of</w:t>
      </w:r>
      <w:r>
        <w:t xml:space="preserve"> </w:t>
      </w:r>
      <w:r w:rsidRPr="0071774C">
        <w:t>interpretation</w:t>
      </w:r>
      <w:r>
        <w:t xml:space="preserve"> </w:t>
      </w:r>
      <w:r w:rsidRPr="0071774C">
        <w:t>or</w:t>
      </w:r>
      <w:r>
        <w:t xml:space="preserve"> </w:t>
      </w:r>
      <w:r w:rsidRPr="0071774C">
        <w:t>implementation</w:t>
      </w:r>
      <w:r>
        <w:t xml:space="preserve"> </w:t>
      </w:r>
      <w:r w:rsidRPr="0071774C">
        <w:t>(</w:t>
      </w:r>
      <w:r>
        <w:t xml:space="preserve">that is, </w:t>
      </w:r>
      <w:r w:rsidRPr="0071774C">
        <w:t>it</w:t>
      </w:r>
      <w:r>
        <w:t xml:space="preserve"> </w:t>
      </w:r>
      <w:r w:rsidRPr="0071774C">
        <w:t>is</w:t>
      </w:r>
      <w:r>
        <w:t xml:space="preserve"> </w:t>
      </w:r>
      <w:r w:rsidRPr="0071774C">
        <w:t>not</w:t>
      </w:r>
      <w:r>
        <w:t xml:space="preserve"> </w:t>
      </w:r>
      <w:r w:rsidRPr="0071774C">
        <w:t>a</w:t>
      </w:r>
      <w:r>
        <w:t xml:space="preserve"> </w:t>
      </w:r>
      <w:r w:rsidRPr="0071774C">
        <w:t>measurement</w:t>
      </w:r>
      <w:r>
        <w:t xml:space="preserve"> </w:t>
      </w:r>
      <w:r w:rsidRPr="0071774C">
        <w:t>of</w:t>
      </w:r>
      <w:r>
        <w:t xml:space="preserve"> </w:t>
      </w:r>
      <w:r w:rsidRPr="0071774C">
        <w:t>efficacy</w:t>
      </w:r>
      <w:r>
        <w:t xml:space="preserve"> </w:t>
      </w:r>
      <w:r w:rsidRPr="0071774C">
        <w:t>or</w:t>
      </w:r>
      <w:r>
        <w:t xml:space="preserve"> </w:t>
      </w:r>
      <w:r w:rsidRPr="0071774C">
        <w:t>unintended</w:t>
      </w:r>
      <w:r>
        <w:t xml:space="preserve"> </w:t>
      </w:r>
      <w:r w:rsidRPr="0071774C">
        <w:t>consequences).</w:t>
      </w:r>
      <w:r>
        <w:t xml:space="preserve"> </w:t>
      </w:r>
      <w:r w:rsidRPr="0071774C">
        <w:t>It</w:t>
      </w:r>
      <w:r>
        <w:t xml:space="preserve"> </w:t>
      </w:r>
      <w:r w:rsidRPr="0071774C">
        <w:t>also</w:t>
      </w:r>
      <w:r>
        <w:t xml:space="preserve"> </w:t>
      </w:r>
      <w:r w:rsidRPr="0071774C">
        <w:t>does</w:t>
      </w:r>
      <w:r>
        <w:t xml:space="preserve"> </w:t>
      </w:r>
      <w:r w:rsidRPr="0071774C">
        <w:t>not</w:t>
      </w:r>
      <w:r>
        <w:t xml:space="preserve"> </w:t>
      </w:r>
      <w:r w:rsidRPr="0071774C">
        <w:t>analyse</w:t>
      </w:r>
      <w:r>
        <w:t xml:space="preserve"> </w:t>
      </w:r>
      <w:r w:rsidRPr="0071774C">
        <w:t>whether</w:t>
      </w:r>
      <w:r>
        <w:t xml:space="preserve"> </w:t>
      </w:r>
      <w:r w:rsidRPr="0071774C">
        <w:t>each</w:t>
      </w:r>
      <w:r>
        <w:t xml:space="preserve"> </w:t>
      </w:r>
      <w:r w:rsidRPr="0071774C">
        <w:t>piece</w:t>
      </w:r>
      <w:r>
        <w:t xml:space="preserve"> </w:t>
      </w:r>
      <w:r w:rsidRPr="0071774C">
        <w:t>of</w:t>
      </w:r>
      <w:r>
        <w:t xml:space="preserve"> </w:t>
      </w:r>
      <w:r w:rsidRPr="0071774C">
        <w:t>legislation</w:t>
      </w:r>
      <w:r>
        <w:t xml:space="preserve"> </w:t>
      </w:r>
      <w:r w:rsidRPr="0071774C">
        <w:t>has</w:t>
      </w:r>
      <w:r>
        <w:t xml:space="preserve"> </w:t>
      </w:r>
      <w:r w:rsidRPr="0071774C">
        <w:t>considered</w:t>
      </w:r>
      <w:r>
        <w:t xml:space="preserve"> </w:t>
      </w:r>
      <w:r w:rsidRPr="0071774C">
        <w:t>differential</w:t>
      </w:r>
      <w:r>
        <w:t xml:space="preserve"> </w:t>
      </w:r>
      <w:r w:rsidRPr="0071774C">
        <w:t>impact.</w:t>
      </w:r>
      <w:r>
        <w:t xml:space="preserve"> </w:t>
      </w:r>
      <w:r w:rsidRPr="0071774C">
        <w:t>It</w:t>
      </w:r>
      <w:r>
        <w:t xml:space="preserve"> </w:t>
      </w:r>
      <w:r w:rsidRPr="0071774C">
        <w:t>does,</w:t>
      </w:r>
      <w:r>
        <w:t xml:space="preserve"> </w:t>
      </w:r>
      <w:r w:rsidRPr="0071774C">
        <w:t>however,</w:t>
      </w:r>
      <w:r>
        <w:t xml:space="preserve"> </w:t>
      </w:r>
      <w:r w:rsidRPr="0071774C">
        <w:t>acknowledge</w:t>
      </w:r>
      <w:r>
        <w:t xml:space="preserve"> </w:t>
      </w:r>
      <w:r w:rsidRPr="0071774C">
        <w:t>that</w:t>
      </w:r>
      <w:r>
        <w:t xml:space="preserve"> </w:t>
      </w:r>
      <w:r w:rsidRPr="0071774C">
        <w:t>legislation</w:t>
      </w:r>
      <w:r>
        <w:t xml:space="preserve"> </w:t>
      </w:r>
      <w:r w:rsidRPr="0071774C">
        <w:t>development</w:t>
      </w:r>
      <w:r>
        <w:t xml:space="preserve"> </w:t>
      </w:r>
      <w:r w:rsidRPr="0071774C">
        <w:t>and</w:t>
      </w:r>
      <w:r>
        <w:t xml:space="preserve"> </w:t>
      </w:r>
      <w:r w:rsidRPr="0071774C">
        <w:t>reform</w:t>
      </w:r>
      <w:r>
        <w:t xml:space="preserve"> </w:t>
      </w:r>
      <w:r w:rsidRPr="0071774C">
        <w:t>is</w:t>
      </w:r>
      <w:r>
        <w:t xml:space="preserve"> </w:t>
      </w:r>
      <w:r w:rsidRPr="0071774C">
        <w:t>not</w:t>
      </w:r>
      <w:r>
        <w:t xml:space="preserve"> </w:t>
      </w:r>
      <w:r w:rsidRPr="0071774C">
        <w:t>a</w:t>
      </w:r>
      <w:r>
        <w:t xml:space="preserve"> </w:t>
      </w:r>
      <w:r w:rsidRPr="0071774C">
        <w:t>neutral</w:t>
      </w:r>
      <w:r>
        <w:t xml:space="preserve"> </w:t>
      </w:r>
      <w:r w:rsidRPr="0071774C">
        <w:t>process,</w:t>
      </w:r>
      <w:r>
        <w:t xml:space="preserve"> </w:t>
      </w:r>
      <w:r w:rsidRPr="0071774C">
        <w:t>and</w:t>
      </w:r>
      <w:r w:rsidR="00851841">
        <w:t> </w:t>
      </w:r>
      <w:r>
        <w:t xml:space="preserve">that </w:t>
      </w:r>
      <w:r w:rsidRPr="0071774C">
        <w:t>legislation</w:t>
      </w:r>
      <w:r>
        <w:t xml:space="preserve"> </w:t>
      </w:r>
      <w:r w:rsidRPr="0071774C">
        <w:t>can</w:t>
      </w:r>
      <w:r>
        <w:t xml:space="preserve"> </w:t>
      </w:r>
      <w:r w:rsidRPr="0071774C">
        <w:t>be</w:t>
      </w:r>
      <w:r>
        <w:t xml:space="preserve"> </w:t>
      </w:r>
      <w:r w:rsidRPr="0071774C">
        <w:t>designed</w:t>
      </w:r>
      <w:r>
        <w:t xml:space="preserve"> </w:t>
      </w:r>
      <w:r w:rsidRPr="0071774C">
        <w:t>and</w:t>
      </w:r>
      <w:r>
        <w:t xml:space="preserve"> </w:t>
      </w:r>
      <w:r w:rsidRPr="0071774C">
        <w:t>implemented</w:t>
      </w:r>
      <w:r>
        <w:t xml:space="preserve"> </w:t>
      </w:r>
      <w:r w:rsidRPr="0071774C">
        <w:t>in</w:t>
      </w:r>
      <w:r>
        <w:t xml:space="preserve"> </w:t>
      </w:r>
      <w:r w:rsidRPr="0071774C">
        <w:t>ways</w:t>
      </w:r>
      <w:r>
        <w:t xml:space="preserve"> </w:t>
      </w:r>
      <w:r w:rsidRPr="0071774C">
        <w:t>that</w:t>
      </w:r>
      <w:r>
        <w:t xml:space="preserve"> </w:t>
      </w:r>
      <w:r w:rsidRPr="0071774C">
        <w:t>further</w:t>
      </w:r>
      <w:r>
        <w:t xml:space="preserve"> </w:t>
      </w:r>
      <w:r w:rsidRPr="0071774C">
        <w:t>benefit</w:t>
      </w:r>
      <w:r>
        <w:t xml:space="preserve"> </w:t>
      </w:r>
      <w:r w:rsidRPr="0071774C">
        <w:t>those</w:t>
      </w:r>
      <w:r>
        <w:t xml:space="preserve"> </w:t>
      </w:r>
      <w:r w:rsidRPr="0071774C">
        <w:t>who</w:t>
      </w:r>
      <w:r>
        <w:t xml:space="preserve"> </w:t>
      </w:r>
      <w:r w:rsidRPr="0071774C">
        <w:t>already</w:t>
      </w:r>
      <w:r>
        <w:t xml:space="preserve"> </w:t>
      </w:r>
      <w:r w:rsidRPr="0071774C">
        <w:t>hold</w:t>
      </w:r>
      <w:r>
        <w:t xml:space="preserve"> </w:t>
      </w:r>
      <w:r w:rsidRPr="0071774C">
        <w:t>privilege</w:t>
      </w:r>
      <w:r>
        <w:t xml:space="preserve"> </w:t>
      </w:r>
      <w:r w:rsidRPr="0071774C">
        <w:t>and</w:t>
      </w:r>
      <w:r>
        <w:t xml:space="preserve"> </w:t>
      </w:r>
      <w:r w:rsidRPr="0071774C">
        <w:t>further</w:t>
      </w:r>
      <w:r>
        <w:t xml:space="preserve"> </w:t>
      </w:r>
      <w:r w:rsidRPr="0071774C">
        <w:t>oppress</w:t>
      </w:r>
      <w:r>
        <w:t xml:space="preserve"> </w:t>
      </w:r>
      <w:r w:rsidRPr="0071774C">
        <w:t>or</w:t>
      </w:r>
      <w:r>
        <w:t xml:space="preserve"> </w:t>
      </w:r>
      <w:r w:rsidRPr="0071774C">
        <w:t>discriminate</w:t>
      </w:r>
      <w:r>
        <w:t xml:space="preserve"> </w:t>
      </w:r>
      <w:r w:rsidRPr="0071774C">
        <w:t>against</w:t>
      </w:r>
      <w:r>
        <w:t xml:space="preserve"> </w:t>
      </w:r>
      <w:r w:rsidRPr="0071774C">
        <w:t>those</w:t>
      </w:r>
      <w:r>
        <w:t xml:space="preserve"> </w:t>
      </w:r>
      <w:r w:rsidRPr="0071774C">
        <w:t>who</w:t>
      </w:r>
      <w:r>
        <w:t xml:space="preserve"> </w:t>
      </w:r>
      <w:r w:rsidR="00031D48">
        <w:t>don’t</w:t>
      </w:r>
      <w:r w:rsidRPr="0071774C">
        <w:t>.</w:t>
      </w:r>
      <w:r>
        <w:t xml:space="preserve"> </w:t>
      </w:r>
      <w:r w:rsidRPr="0071774C">
        <w:t>Furthermore,</w:t>
      </w:r>
      <w:r>
        <w:t xml:space="preserve"> </w:t>
      </w:r>
      <w:r w:rsidRPr="0071774C">
        <w:t>calls</w:t>
      </w:r>
      <w:r>
        <w:t xml:space="preserve"> </w:t>
      </w:r>
      <w:r w:rsidRPr="0071774C">
        <w:t>for</w:t>
      </w:r>
      <w:r>
        <w:t xml:space="preserve"> </w:t>
      </w:r>
      <w:r w:rsidRPr="0071774C">
        <w:t>certain</w:t>
      </w:r>
      <w:r>
        <w:t xml:space="preserve"> </w:t>
      </w:r>
      <w:r w:rsidRPr="0071774C">
        <w:t>types</w:t>
      </w:r>
      <w:r>
        <w:t xml:space="preserve"> </w:t>
      </w:r>
      <w:r w:rsidRPr="0071774C">
        <w:t>of</w:t>
      </w:r>
      <w:r>
        <w:t xml:space="preserve"> </w:t>
      </w:r>
      <w:r w:rsidRPr="0071774C">
        <w:t>legislative</w:t>
      </w:r>
      <w:r>
        <w:t xml:space="preserve"> </w:t>
      </w:r>
      <w:r w:rsidRPr="0071774C">
        <w:t>reform</w:t>
      </w:r>
      <w:r>
        <w:t xml:space="preserve"> </w:t>
      </w:r>
      <w:r w:rsidRPr="0071774C">
        <w:t>can</w:t>
      </w:r>
      <w:r>
        <w:t xml:space="preserve"> </w:t>
      </w:r>
      <w:r w:rsidRPr="0071774C">
        <w:t>in</w:t>
      </w:r>
      <w:r>
        <w:t xml:space="preserve"> </w:t>
      </w:r>
      <w:r w:rsidRPr="0071774C">
        <w:t>themselves</w:t>
      </w:r>
      <w:r>
        <w:t xml:space="preserve"> </w:t>
      </w:r>
      <w:r w:rsidRPr="0071774C">
        <w:t>be</w:t>
      </w:r>
      <w:r>
        <w:t xml:space="preserve"> </w:t>
      </w:r>
      <w:r w:rsidRPr="0071774C">
        <w:t>a</w:t>
      </w:r>
      <w:r>
        <w:t xml:space="preserve"> </w:t>
      </w:r>
      <w:r w:rsidRPr="0071774C">
        <w:t>form</w:t>
      </w:r>
      <w:r>
        <w:t xml:space="preserve"> </w:t>
      </w:r>
      <w:r w:rsidRPr="0071774C">
        <w:t>of</w:t>
      </w:r>
      <w:r>
        <w:t xml:space="preserve"> </w:t>
      </w:r>
      <w:r w:rsidRPr="0071774C">
        <w:t>backlash,</w:t>
      </w:r>
      <w:r>
        <w:t xml:space="preserve"> </w:t>
      </w:r>
      <w:r w:rsidRPr="0071774C">
        <w:t>as</w:t>
      </w:r>
      <w:r>
        <w:t xml:space="preserve"> </w:t>
      </w:r>
      <w:r w:rsidRPr="0071774C">
        <w:t>it</w:t>
      </w:r>
      <w:r>
        <w:t xml:space="preserve"> </w:t>
      </w:r>
      <w:r w:rsidRPr="0071774C">
        <w:t>is</w:t>
      </w:r>
      <w:r>
        <w:t xml:space="preserve"> </w:t>
      </w:r>
      <w:r w:rsidRPr="0071774C">
        <w:t>not</w:t>
      </w:r>
      <w:r>
        <w:t xml:space="preserve"> </w:t>
      </w:r>
      <w:r w:rsidRPr="0071774C">
        <w:t>only</w:t>
      </w:r>
      <w:r>
        <w:t xml:space="preserve"> </w:t>
      </w:r>
      <w:r w:rsidRPr="0071774C">
        <w:t>gender</w:t>
      </w:r>
      <w:r>
        <w:t xml:space="preserve"> </w:t>
      </w:r>
      <w:r w:rsidRPr="0071774C">
        <w:t>equality</w:t>
      </w:r>
      <w:r>
        <w:t xml:space="preserve"> </w:t>
      </w:r>
      <w:r w:rsidRPr="0071774C">
        <w:t>advocates</w:t>
      </w:r>
      <w:r>
        <w:t xml:space="preserve"> </w:t>
      </w:r>
      <w:r w:rsidRPr="0071774C">
        <w:t>but</w:t>
      </w:r>
      <w:r>
        <w:t xml:space="preserve"> </w:t>
      </w:r>
      <w:r w:rsidRPr="0071774C">
        <w:t>those</w:t>
      </w:r>
      <w:r>
        <w:t xml:space="preserve"> </w:t>
      </w:r>
      <w:r w:rsidRPr="0071774C">
        <w:t>who</w:t>
      </w:r>
      <w:r>
        <w:t xml:space="preserve"> </w:t>
      </w:r>
      <w:r w:rsidRPr="0071774C">
        <w:t>seek</w:t>
      </w:r>
      <w:r>
        <w:t xml:space="preserve"> </w:t>
      </w:r>
      <w:r w:rsidRPr="0071774C">
        <w:t>to</w:t>
      </w:r>
      <w:r>
        <w:t xml:space="preserve"> </w:t>
      </w:r>
      <w:r w:rsidRPr="0071774C">
        <w:t>undermine</w:t>
      </w:r>
      <w:r>
        <w:t xml:space="preserve"> </w:t>
      </w:r>
      <w:r w:rsidRPr="0071774C">
        <w:t>gender</w:t>
      </w:r>
      <w:r>
        <w:t xml:space="preserve"> </w:t>
      </w:r>
      <w:r w:rsidRPr="0071774C">
        <w:t>equality</w:t>
      </w:r>
      <w:r>
        <w:t xml:space="preserve"> </w:t>
      </w:r>
      <w:r w:rsidRPr="0071774C">
        <w:t>efforts</w:t>
      </w:r>
      <w:r>
        <w:t xml:space="preserve"> </w:t>
      </w:r>
      <w:r w:rsidRPr="0071774C">
        <w:t>who</w:t>
      </w:r>
      <w:r>
        <w:t xml:space="preserve"> </w:t>
      </w:r>
      <w:r w:rsidRPr="0071774C">
        <w:t>make</w:t>
      </w:r>
      <w:r>
        <w:t xml:space="preserve"> </w:t>
      </w:r>
      <w:r w:rsidRPr="0071774C">
        <w:t>calls</w:t>
      </w:r>
      <w:r>
        <w:t xml:space="preserve"> </w:t>
      </w:r>
      <w:r w:rsidRPr="0071774C">
        <w:t>for</w:t>
      </w:r>
      <w:r>
        <w:t xml:space="preserve"> </w:t>
      </w:r>
      <w:r w:rsidRPr="0071774C">
        <w:t>legislative</w:t>
      </w:r>
      <w:r>
        <w:t xml:space="preserve"> </w:t>
      </w:r>
      <w:r w:rsidRPr="0071774C">
        <w:t>and</w:t>
      </w:r>
      <w:r>
        <w:t xml:space="preserve"> </w:t>
      </w:r>
      <w:r w:rsidRPr="0071774C">
        <w:t>policy</w:t>
      </w:r>
      <w:r>
        <w:t xml:space="preserve"> </w:t>
      </w:r>
      <w:r w:rsidRPr="0071774C">
        <w:t>reform</w:t>
      </w:r>
      <w:r>
        <w:t>.</w:t>
      </w:r>
      <w:r w:rsidRPr="001DE8F9">
        <w:rPr>
          <w:rStyle w:val="EndnoteReference"/>
        </w:rPr>
        <w:endnoteReference w:id="67"/>
      </w:r>
    </w:p>
    <w:p w14:paraId="360A4A17" w14:textId="77777777" w:rsidR="002C2EC7" w:rsidRDefault="002C2EC7" w:rsidP="00790783">
      <w:pPr>
        <w:pStyle w:val="BodyText"/>
      </w:pPr>
      <w:r w:rsidRPr="0071774C">
        <w:t>In</w:t>
      </w:r>
      <w:r>
        <w:t xml:space="preserve"> </w:t>
      </w:r>
      <w:r w:rsidRPr="0071774C">
        <w:t>future</w:t>
      </w:r>
      <w:r>
        <w:t xml:space="preserve"> </w:t>
      </w:r>
      <w:r w:rsidRPr="0071774C">
        <w:t>monitoring</w:t>
      </w:r>
      <w:r>
        <w:t xml:space="preserve"> </w:t>
      </w:r>
      <w:r w:rsidRPr="0071774C">
        <w:t>reports,</w:t>
      </w:r>
      <w:r>
        <w:t xml:space="preserve"> </w:t>
      </w:r>
      <w:r w:rsidRPr="0071774C">
        <w:t>a</w:t>
      </w:r>
      <w:r>
        <w:t xml:space="preserve"> </w:t>
      </w:r>
      <w:r w:rsidRPr="0071774C">
        <w:t>more</w:t>
      </w:r>
      <w:r>
        <w:t xml:space="preserve"> </w:t>
      </w:r>
      <w:r w:rsidRPr="0071774C">
        <w:t>in</w:t>
      </w:r>
      <w:r>
        <w:t>-</w:t>
      </w:r>
      <w:r w:rsidRPr="0071774C">
        <w:t>depth</w:t>
      </w:r>
      <w:r>
        <w:t xml:space="preserve"> </w:t>
      </w:r>
      <w:r w:rsidRPr="0071774C">
        <w:t>assessment</w:t>
      </w:r>
      <w:r>
        <w:t xml:space="preserve"> </w:t>
      </w:r>
      <w:r w:rsidRPr="0071774C">
        <w:t>of</w:t>
      </w:r>
      <w:r>
        <w:t xml:space="preserve"> </w:t>
      </w:r>
      <w:r w:rsidRPr="0071774C">
        <w:t>progress</w:t>
      </w:r>
      <w:r>
        <w:t xml:space="preserve"> </w:t>
      </w:r>
      <w:r w:rsidRPr="0071774C">
        <w:t>and</w:t>
      </w:r>
      <w:r>
        <w:t xml:space="preserve"> </w:t>
      </w:r>
      <w:r w:rsidRPr="0071774C">
        <w:t>analysis</w:t>
      </w:r>
      <w:r>
        <w:t xml:space="preserve"> </w:t>
      </w:r>
      <w:r w:rsidRPr="0071774C">
        <w:t>of</w:t>
      </w:r>
      <w:r>
        <w:t xml:space="preserve"> </w:t>
      </w:r>
      <w:r w:rsidRPr="0071774C">
        <w:t>impact</w:t>
      </w:r>
      <w:r>
        <w:t xml:space="preserve"> </w:t>
      </w:r>
      <w:r w:rsidRPr="0071774C">
        <w:t>could</w:t>
      </w:r>
      <w:r>
        <w:t xml:space="preserve"> </w:t>
      </w:r>
      <w:r w:rsidRPr="0071774C">
        <w:t>be</w:t>
      </w:r>
      <w:r>
        <w:t xml:space="preserve"> </w:t>
      </w:r>
      <w:r w:rsidRPr="0071774C">
        <w:t>incorporated</w:t>
      </w:r>
      <w:r>
        <w:t xml:space="preserve"> </w:t>
      </w:r>
      <w:r w:rsidRPr="0071774C">
        <w:t>by</w:t>
      </w:r>
      <w:r>
        <w:t xml:space="preserve"> </w:t>
      </w:r>
      <w:r w:rsidRPr="0071774C">
        <w:t>analysing</w:t>
      </w:r>
      <w:r>
        <w:t xml:space="preserve"> </w:t>
      </w:r>
      <w:r w:rsidRPr="0071774C">
        <w:t>civil</w:t>
      </w:r>
      <w:r>
        <w:t xml:space="preserve"> </w:t>
      </w:r>
      <w:r w:rsidRPr="0071774C">
        <w:t>society</w:t>
      </w:r>
      <w:r>
        <w:t xml:space="preserve"> </w:t>
      </w:r>
      <w:r w:rsidRPr="0071774C">
        <w:t>responses</w:t>
      </w:r>
      <w:r>
        <w:t xml:space="preserve"> </w:t>
      </w:r>
      <w:r w:rsidRPr="0071774C">
        <w:t>to</w:t>
      </w:r>
      <w:r>
        <w:t xml:space="preserve"> </w:t>
      </w:r>
      <w:r w:rsidRPr="0071774C">
        <w:t>legislation,</w:t>
      </w:r>
      <w:r>
        <w:t xml:space="preserve"> </w:t>
      </w:r>
      <w:r w:rsidRPr="0071774C">
        <w:t>and</w:t>
      </w:r>
      <w:r>
        <w:t xml:space="preserve"> </w:t>
      </w:r>
      <w:r w:rsidRPr="0071774C">
        <w:t>identifying</w:t>
      </w:r>
      <w:r>
        <w:t xml:space="preserve"> </w:t>
      </w:r>
      <w:r w:rsidRPr="0071774C">
        <w:t>overall</w:t>
      </w:r>
      <w:r>
        <w:t xml:space="preserve"> </w:t>
      </w:r>
      <w:r w:rsidRPr="0071774C">
        <w:t>trends</w:t>
      </w:r>
      <w:r>
        <w:t xml:space="preserve"> </w:t>
      </w:r>
      <w:r w:rsidRPr="0071774C">
        <w:t>in</w:t>
      </w:r>
      <w:r>
        <w:t xml:space="preserve"> </w:t>
      </w:r>
      <w:r w:rsidRPr="0071774C">
        <w:t>legislative</w:t>
      </w:r>
      <w:r>
        <w:t xml:space="preserve"> </w:t>
      </w:r>
      <w:r w:rsidRPr="0071774C">
        <w:t>reform,</w:t>
      </w:r>
      <w:r>
        <w:t xml:space="preserve"> </w:t>
      </w:r>
      <w:r w:rsidRPr="0071774C">
        <w:t>to</w:t>
      </w:r>
      <w:r>
        <w:t xml:space="preserve"> </w:t>
      </w:r>
      <w:r w:rsidRPr="0071774C">
        <w:t>provide</w:t>
      </w:r>
      <w:r>
        <w:t xml:space="preserve"> </w:t>
      </w:r>
      <w:r w:rsidRPr="0071774C">
        <w:t>an</w:t>
      </w:r>
      <w:r>
        <w:t xml:space="preserve"> </w:t>
      </w:r>
      <w:r w:rsidRPr="0071774C">
        <w:t>overall</w:t>
      </w:r>
      <w:r>
        <w:t xml:space="preserve"> </w:t>
      </w:r>
      <w:r w:rsidRPr="0071774C">
        <w:t>summary</w:t>
      </w:r>
      <w:r>
        <w:t xml:space="preserve"> </w:t>
      </w:r>
      <w:r w:rsidRPr="0071774C">
        <w:t>of</w:t>
      </w:r>
      <w:r>
        <w:t xml:space="preserve"> </w:t>
      </w:r>
      <w:r w:rsidRPr="0071774C">
        <w:t>net</w:t>
      </w:r>
      <w:r>
        <w:t xml:space="preserve"> </w:t>
      </w:r>
      <w:r w:rsidRPr="0071774C">
        <w:t>positive</w:t>
      </w:r>
      <w:r>
        <w:t xml:space="preserve"> </w:t>
      </w:r>
      <w:r w:rsidRPr="0071774C">
        <w:t>or</w:t>
      </w:r>
      <w:r>
        <w:t xml:space="preserve"> </w:t>
      </w:r>
      <w:r w:rsidRPr="0071774C">
        <w:t>negative</w:t>
      </w:r>
      <w:r>
        <w:t xml:space="preserve"> </w:t>
      </w:r>
      <w:r w:rsidRPr="0071774C">
        <w:t>impacts</w:t>
      </w:r>
      <w:r>
        <w:t xml:space="preserve"> </w:t>
      </w:r>
      <w:r w:rsidRPr="0071774C">
        <w:t>on</w:t>
      </w:r>
      <w:r>
        <w:t xml:space="preserve"> </w:t>
      </w:r>
      <w:r w:rsidRPr="0071774C">
        <w:t>women’s</w:t>
      </w:r>
      <w:r>
        <w:t xml:space="preserve"> </w:t>
      </w:r>
      <w:r w:rsidRPr="0071774C">
        <w:t>rights.</w:t>
      </w:r>
      <w:r>
        <w:t xml:space="preserve"> </w:t>
      </w:r>
      <w:r w:rsidRPr="0071774C">
        <w:t>Future</w:t>
      </w:r>
      <w:r>
        <w:t xml:space="preserve"> </w:t>
      </w:r>
      <w:r w:rsidRPr="0071774C">
        <w:t>reports</w:t>
      </w:r>
      <w:r>
        <w:t xml:space="preserve"> </w:t>
      </w:r>
      <w:r w:rsidRPr="0071774C">
        <w:t>could</w:t>
      </w:r>
      <w:r>
        <w:t xml:space="preserve"> </w:t>
      </w:r>
      <w:r w:rsidRPr="0071774C">
        <w:t>also</w:t>
      </w:r>
      <w:r>
        <w:t xml:space="preserve"> </w:t>
      </w:r>
      <w:r w:rsidRPr="0071774C">
        <w:t>assess</w:t>
      </w:r>
      <w:r>
        <w:t xml:space="preserve"> </w:t>
      </w:r>
      <w:r w:rsidRPr="0071774C">
        <w:t>whether</w:t>
      </w:r>
      <w:r>
        <w:t xml:space="preserve"> </w:t>
      </w:r>
      <w:r w:rsidRPr="0071774C">
        <w:t>progressive</w:t>
      </w:r>
      <w:r>
        <w:t xml:space="preserve"> </w:t>
      </w:r>
      <w:r w:rsidRPr="0071774C">
        <w:t>legislative</w:t>
      </w:r>
      <w:r>
        <w:t xml:space="preserve"> </w:t>
      </w:r>
      <w:r w:rsidRPr="0071774C">
        <w:t>reform</w:t>
      </w:r>
      <w:r>
        <w:t xml:space="preserve"> </w:t>
      </w:r>
      <w:r w:rsidRPr="0071774C">
        <w:t>identified</w:t>
      </w:r>
      <w:r>
        <w:t xml:space="preserve"> </w:t>
      </w:r>
      <w:r w:rsidRPr="0071774C">
        <w:t>in</w:t>
      </w:r>
      <w:r>
        <w:t xml:space="preserve"> </w:t>
      </w:r>
      <w:r w:rsidRPr="0071774C">
        <w:t>this</w:t>
      </w:r>
      <w:r>
        <w:t xml:space="preserve"> </w:t>
      </w:r>
      <w:r w:rsidRPr="0071774C">
        <w:t>report</w:t>
      </w:r>
      <w:r>
        <w:t xml:space="preserve"> </w:t>
      </w:r>
      <w:r w:rsidRPr="0071774C">
        <w:t>has</w:t>
      </w:r>
      <w:r>
        <w:t xml:space="preserve"> </w:t>
      </w:r>
      <w:r w:rsidRPr="0071774C">
        <w:t>been</w:t>
      </w:r>
      <w:r>
        <w:t xml:space="preserve"> </w:t>
      </w:r>
      <w:r w:rsidRPr="0071774C">
        <w:t>sustained</w:t>
      </w:r>
      <w:r>
        <w:t xml:space="preserve"> </w:t>
      </w:r>
      <w:r w:rsidRPr="0071774C">
        <w:t>or</w:t>
      </w:r>
      <w:r>
        <w:t xml:space="preserve"> has </w:t>
      </w:r>
      <w:r w:rsidRPr="0071774C">
        <w:t>regressed</w:t>
      </w:r>
      <w:r>
        <w:t xml:space="preserve"> </w:t>
      </w:r>
      <w:r w:rsidRPr="0071774C">
        <w:t>over</w:t>
      </w:r>
      <w:r>
        <w:t xml:space="preserve"> </w:t>
      </w:r>
      <w:r w:rsidRPr="0071774C">
        <w:t>time.</w:t>
      </w:r>
    </w:p>
    <w:p w14:paraId="43C91EC2" w14:textId="77777777" w:rsidR="002C2EC7" w:rsidRDefault="002C2EC7" w:rsidP="00790783">
      <w:pPr>
        <w:pStyle w:val="BodyText"/>
      </w:pPr>
      <w:r w:rsidRPr="0071774C">
        <w:t>Between</w:t>
      </w:r>
      <w:r>
        <w:t xml:space="preserve"> </w:t>
      </w:r>
      <w:r w:rsidRPr="0071774C">
        <w:t>2009</w:t>
      </w:r>
      <w:r>
        <w:t xml:space="preserve"> </w:t>
      </w:r>
      <w:r w:rsidRPr="0071774C">
        <w:t>and</w:t>
      </w:r>
      <w:r>
        <w:t xml:space="preserve"> </w:t>
      </w:r>
      <w:r w:rsidRPr="0071774C">
        <w:t>2019,</w:t>
      </w:r>
      <w:r>
        <w:t xml:space="preserve"> </w:t>
      </w:r>
      <w:r w:rsidRPr="0071774C">
        <w:t>examples</w:t>
      </w:r>
      <w:r>
        <w:t xml:space="preserve"> </w:t>
      </w:r>
      <w:r w:rsidRPr="0071774C">
        <w:t>of</w:t>
      </w:r>
      <w:r>
        <w:t xml:space="preserve"> </w:t>
      </w:r>
      <w:r w:rsidRPr="0071774C">
        <w:t>legislative</w:t>
      </w:r>
      <w:r>
        <w:t xml:space="preserve"> </w:t>
      </w:r>
      <w:r w:rsidRPr="0071774C">
        <w:t>changes</w:t>
      </w:r>
      <w:r>
        <w:t xml:space="preserve"> </w:t>
      </w:r>
      <w:r w:rsidRPr="0071774C">
        <w:t>which</w:t>
      </w:r>
      <w:r>
        <w:t xml:space="preserve"> </w:t>
      </w:r>
      <w:r w:rsidRPr="0071774C">
        <w:t>could</w:t>
      </w:r>
      <w:r>
        <w:t xml:space="preserve"> </w:t>
      </w:r>
      <w:r w:rsidRPr="0071774C">
        <w:t>be</w:t>
      </w:r>
      <w:r>
        <w:t xml:space="preserve"> </w:t>
      </w:r>
      <w:r w:rsidRPr="0071774C">
        <w:t>seen</w:t>
      </w:r>
      <w:r>
        <w:t xml:space="preserve"> </w:t>
      </w:r>
      <w:r w:rsidRPr="0071774C">
        <w:t>to</w:t>
      </w:r>
      <w:r>
        <w:t xml:space="preserve"> </w:t>
      </w:r>
      <w:r w:rsidRPr="0071774C">
        <w:t>be</w:t>
      </w:r>
      <w:r>
        <w:t xml:space="preserve"> </w:t>
      </w:r>
      <w:r w:rsidRPr="0071774C">
        <w:t>addressing</w:t>
      </w:r>
      <w:r>
        <w:t xml:space="preserve"> </w:t>
      </w:r>
      <w:r w:rsidRPr="0071774C">
        <w:t>drivers</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and</w:t>
      </w:r>
      <w:r>
        <w:t xml:space="preserve"> </w:t>
      </w:r>
      <w:r w:rsidRPr="0071774C">
        <w:t>supporting</w:t>
      </w:r>
      <w:r>
        <w:t xml:space="preserve"> </w:t>
      </w:r>
      <w:r w:rsidRPr="0071774C">
        <w:t>gender</w:t>
      </w:r>
      <w:r>
        <w:t xml:space="preserve"> </w:t>
      </w:r>
      <w:r w:rsidRPr="0071774C">
        <w:t>equality</w:t>
      </w:r>
      <w:r>
        <w:t xml:space="preserve"> </w:t>
      </w:r>
      <w:r w:rsidRPr="0071774C">
        <w:t>include:</w:t>
      </w:r>
    </w:p>
    <w:p w14:paraId="15ADE07B" w14:textId="77777777" w:rsidR="002C2EC7" w:rsidRDefault="002C2EC7" w:rsidP="00790783">
      <w:pPr>
        <w:pStyle w:val="OWBullet1"/>
      </w:pPr>
      <w:r w:rsidRPr="0071774C">
        <w:t>introduction</w:t>
      </w:r>
      <w:r>
        <w:t xml:space="preserve"> </w:t>
      </w:r>
      <w:r w:rsidRPr="0071774C">
        <w:t>of</w:t>
      </w:r>
      <w:r>
        <w:t xml:space="preserve"> </w:t>
      </w:r>
      <w:r w:rsidRPr="0071774C">
        <w:t>the</w:t>
      </w:r>
      <w:r>
        <w:t xml:space="preserve"> </w:t>
      </w:r>
      <w:r w:rsidRPr="0071774C">
        <w:t>Commonwealth</w:t>
      </w:r>
      <w:r>
        <w:t xml:space="preserve"> </w:t>
      </w:r>
      <w:r w:rsidRPr="0071774C">
        <w:t>Paid</w:t>
      </w:r>
      <w:r>
        <w:t xml:space="preserve"> </w:t>
      </w:r>
      <w:r w:rsidRPr="0071774C">
        <w:t>Parental</w:t>
      </w:r>
      <w:r>
        <w:t xml:space="preserve"> </w:t>
      </w:r>
      <w:r w:rsidRPr="0071774C">
        <w:t>Leave</w:t>
      </w:r>
      <w:r>
        <w:t xml:space="preserve"> </w:t>
      </w:r>
      <w:r w:rsidRPr="0071774C">
        <w:t>scheme,</w:t>
      </w:r>
      <w:r>
        <w:t xml:space="preserve"> </w:t>
      </w:r>
      <w:r w:rsidRPr="0071774C">
        <w:t>supporting</w:t>
      </w:r>
      <w:r>
        <w:t xml:space="preserve"> </w:t>
      </w:r>
      <w:r w:rsidRPr="0071774C">
        <w:t>eligible</w:t>
      </w:r>
      <w:r>
        <w:t xml:space="preserve"> </w:t>
      </w:r>
      <w:r w:rsidRPr="0071774C">
        <w:t>parents</w:t>
      </w:r>
      <w:r>
        <w:t xml:space="preserve"> </w:t>
      </w:r>
      <w:r w:rsidRPr="0071774C">
        <w:t>to</w:t>
      </w:r>
      <w:r>
        <w:t xml:space="preserve"> </w:t>
      </w:r>
      <w:r w:rsidRPr="0071774C">
        <w:t>access</w:t>
      </w:r>
      <w:r>
        <w:t xml:space="preserve"> </w:t>
      </w:r>
      <w:r w:rsidRPr="0071774C">
        <w:t>taxpayer</w:t>
      </w:r>
      <w:r>
        <w:t>-</w:t>
      </w:r>
      <w:r w:rsidRPr="0071774C">
        <w:t>funded</w:t>
      </w:r>
      <w:r>
        <w:t xml:space="preserve"> </w:t>
      </w:r>
      <w:r w:rsidRPr="0071774C">
        <w:t>income</w:t>
      </w:r>
      <w:r>
        <w:t xml:space="preserve"> </w:t>
      </w:r>
      <w:r w:rsidRPr="0071774C">
        <w:t>when</w:t>
      </w:r>
      <w:r>
        <w:t xml:space="preserve"> </w:t>
      </w:r>
      <w:r w:rsidRPr="0071774C">
        <w:t>taking</w:t>
      </w:r>
      <w:r>
        <w:t xml:space="preserve"> </w:t>
      </w:r>
      <w:r w:rsidRPr="0071774C">
        <w:t>time</w:t>
      </w:r>
      <w:r>
        <w:t xml:space="preserve"> </w:t>
      </w:r>
      <w:r w:rsidRPr="0071774C">
        <w:t>off</w:t>
      </w:r>
      <w:r>
        <w:t xml:space="preserve"> </w:t>
      </w:r>
      <w:r w:rsidRPr="0071774C">
        <w:t>work</w:t>
      </w:r>
      <w:r>
        <w:t xml:space="preserve"> </w:t>
      </w:r>
      <w:r w:rsidRPr="0071774C">
        <w:t>to</w:t>
      </w:r>
      <w:r>
        <w:t xml:space="preserve"> </w:t>
      </w:r>
      <w:r w:rsidRPr="0071774C">
        <w:t>care</w:t>
      </w:r>
      <w:r>
        <w:t xml:space="preserve"> </w:t>
      </w:r>
      <w:r w:rsidRPr="0071774C">
        <w:t>for</w:t>
      </w:r>
      <w:r>
        <w:t xml:space="preserve"> </w:t>
      </w:r>
      <w:r w:rsidRPr="0071774C">
        <w:t>a</w:t>
      </w:r>
      <w:r>
        <w:t xml:space="preserve"> </w:t>
      </w:r>
      <w:r w:rsidRPr="0071774C">
        <w:t>newborn</w:t>
      </w:r>
      <w:r>
        <w:t xml:space="preserve"> </w:t>
      </w:r>
      <w:r w:rsidRPr="0071774C">
        <w:t>or</w:t>
      </w:r>
      <w:r>
        <w:t xml:space="preserve"> </w:t>
      </w:r>
      <w:r w:rsidRPr="0071774C">
        <w:t>recently</w:t>
      </w:r>
      <w:r>
        <w:t xml:space="preserve"> </w:t>
      </w:r>
      <w:r w:rsidRPr="0071774C">
        <w:t>adopted</w:t>
      </w:r>
      <w:r>
        <w:t xml:space="preserve"> </w:t>
      </w:r>
      <w:r w:rsidRPr="0071774C">
        <w:t>child</w:t>
      </w:r>
    </w:p>
    <w:p w14:paraId="4A8986A8" w14:textId="6E1CDD60" w:rsidR="002C2EC7" w:rsidRDefault="00041830" w:rsidP="00790783">
      <w:pPr>
        <w:pStyle w:val="OWBullet1"/>
      </w:pPr>
      <w:r>
        <w:t>r</w:t>
      </w:r>
      <w:r w:rsidR="000E1815">
        <w:t xml:space="preserve">enamed </w:t>
      </w:r>
      <w:r w:rsidR="002C2EC7" w:rsidRPr="0071774C">
        <w:t>Commonwealth</w:t>
      </w:r>
      <w:r w:rsidR="002C2EC7">
        <w:t xml:space="preserve"> </w:t>
      </w:r>
      <w:r w:rsidR="002C2EC7" w:rsidRPr="00ED4674">
        <w:rPr>
          <w:rStyle w:val="Emphasis"/>
        </w:rPr>
        <w:t>Workplace Gender Equality Act 2012</w:t>
      </w:r>
      <w:r w:rsidR="002C2EC7" w:rsidRPr="0071774C">
        <w:rPr>
          <w:rStyle w:val="EndnoteReference"/>
          <w:szCs w:val="22"/>
        </w:rPr>
        <w:endnoteReference w:id="68"/>
      </w:r>
      <w:r w:rsidR="002C2EC7">
        <w:t xml:space="preserve"> </w:t>
      </w:r>
      <w:r w:rsidR="002C2EC7" w:rsidRPr="0071774C">
        <w:t>and</w:t>
      </w:r>
      <w:r w:rsidR="002C2EC7">
        <w:t xml:space="preserve"> </w:t>
      </w:r>
      <w:r w:rsidR="000E1815">
        <w:t>broadened role of</w:t>
      </w:r>
      <w:r w:rsidR="001670E3">
        <w:t> </w:t>
      </w:r>
      <w:r w:rsidR="000E1815">
        <w:t>the</w:t>
      </w:r>
      <w:r w:rsidR="002C2EC7">
        <w:t xml:space="preserve"> </w:t>
      </w:r>
      <w:r w:rsidR="002C2EC7" w:rsidRPr="0071774C">
        <w:t>Workplace</w:t>
      </w:r>
      <w:r w:rsidR="002C2EC7">
        <w:t xml:space="preserve"> </w:t>
      </w:r>
      <w:r w:rsidR="002C2EC7" w:rsidRPr="0071774C">
        <w:t>Gender</w:t>
      </w:r>
      <w:r w:rsidR="002C2EC7">
        <w:t xml:space="preserve"> </w:t>
      </w:r>
      <w:r w:rsidR="002C2EC7" w:rsidRPr="0071774C">
        <w:t>Equality</w:t>
      </w:r>
      <w:r w:rsidR="002C2EC7">
        <w:t xml:space="preserve"> </w:t>
      </w:r>
      <w:r w:rsidR="002C2EC7" w:rsidRPr="0071774C">
        <w:t>Agency</w:t>
      </w:r>
      <w:r w:rsidR="002C2EC7">
        <w:t xml:space="preserve"> </w:t>
      </w:r>
      <w:r w:rsidR="002C2EC7" w:rsidRPr="0071774C">
        <w:t>as</w:t>
      </w:r>
      <w:r w:rsidR="002C2EC7">
        <w:t xml:space="preserve"> </w:t>
      </w:r>
      <w:r w:rsidR="002C2EC7" w:rsidRPr="0071774C">
        <w:t>a</w:t>
      </w:r>
      <w:r w:rsidR="002C2EC7">
        <w:t xml:space="preserve"> </w:t>
      </w:r>
      <w:r w:rsidR="002C2EC7" w:rsidRPr="0071774C">
        <w:t>statutory</w:t>
      </w:r>
      <w:r w:rsidR="002C2EC7">
        <w:t xml:space="preserve"> </w:t>
      </w:r>
      <w:r w:rsidR="002C2EC7" w:rsidRPr="0071774C">
        <w:t>agency</w:t>
      </w:r>
    </w:p>
    <w:p w14:paraId="18FFA8CF" w14:textId="77777777" w:rsidR="002C2EC7" w:rsidRDefault="002C2EC7" w:rsidP="00790783">
      <w:pPr>
        <w:pStyle w:val="OWBullet1"/>
      </w:pPr>
      <w:r w:rsidRPr="0071774C">
        <w:t>decriminalisation</w:t>
      </w:r>
      <w:r>
        <w:t xml:space="preserve"> </w:t>
      </w:r>
      <w:r w:rsidRPr="0071774C">
        <w:t>of</w:t>
      </w:r>
      <w:r>
        <w:t xml:space="preserve"> </w:t>
      </w:r>
      <w:r w:rsidRPr="0071774C">
        <w:t>abortion</w:t>
      </w:r>
      <w:r>
        <w:t xml:space="preserve"> </w:t>
      </w:r>
      <w:r w:rsidRPr="0071774C">
        <w:t>and</w:t>
      </w:r>
      <w:r>
        <w:t xml:space="preserve"> </w:t>
      </w:r>
      <w:r w:rsidRPr="0071774C">
        <w:t>establishment</w:t>
      </w:r>
      <w:r>
        <w:t xml:space="preserve"> </w:t>
      </w:r>
      <w:r w:rsidRPr="0071774C">
        <w:t>of</w:t>
      </w:r>
      <w:r>
        <w:t xml:space="preserve"> </w:t>
      </w:r>
      <w:r w:rsidRPr="0071774C">
        <w:t>safe</w:t>
      </w:r>
      <w:r>
        <w:t xml:space="preserve"> </w:t>
      </w:r>
      <w:r w:rsidRPr="0071774C">
        <w:t>access</w:t>
      </w:r>
      <w:r>
        <w:t xml:space="preserve"> </w:t>
      </w:r>
      <w:r w:rsidRPr="0071774C">
        <w:t>zones</w:t>
      </w:r>
      <w:r>
        <w:t xml:space="preserve"> </w:t>
      </w:r>
      <w:r w:rsidRPr="0071774C">
        <w:t>in</w:t>
      </w:r>
      <w:r>
        <w:t xml:space="preserve"> </w:t>
      </w:r>
      <w:r w:rsidRPr="0071774C">
        <w:t>numerous</w:t>
      </w:r>
      <w:r>
        <w:t xml:space="preserve"> </w:t>
      </w:r>
      <w:r w:rsidRPr="0071774C">
        <w:t>jurisdictions</w:t>
      </w:r>
    </w:p>
    <w:p w14:paraId="22FBD582" w14:textId="77777777" w:rsidR="002C2EC7" w:rsidRDefault="002C2EC7" w:rsidP="00790783">
      <w:pPr>
        <w:pStyle w:val="OWBullet1"/>
      </w:pPr>
      <w:r w:rsidRPr="0071774C">
        <w:t>removal</w:t>
      </w:r>
      <w:r>
        <w:t xml:space="preserve"> </w:t>
      </w:r>
      <w:r w:rsidRPr="0071774C">
        <w:t>of</w:t>
      </w:r>
      <w:r>
        <w:t xml:space="preserve"> </w:t>
      </w:r>
      <w:r w:rsidRPr="0071774C">
        <w:t>GST</w:t>
      </w:r>
      <w:r>
        <w:t xml:space="preserve"> </w:t>
      </w:r>
      <w:r w:rsidRPr="0071774C">
        <w:t>from</w:t>
      </w:r>
      <w:r>
        <w:t xml:space="preserve"> </w:t>
      </w:r>
      <w:r w:rsidRPr="0071774C">
        <w:t>feminine</w:t>
      </w:r>
      <w:r>
        <w:t xml:space="preserve"> </w:t>
      </w:r>
      <w:r w:rsidRPr="0071774C">
        <w:t>hygiene</w:t>
      </w:r>
      <w:r>
        <w:t xml:space="preserve"> </w:t>
      </w:r>
      <w:r w:rsidRPr="0071774C">
        <w:t>products</w:t>
      </w:r>
    </w:p>
    <w:p w14:paraId="323A9A91" w14:textId="77777777" w:rsidR="002C2EC7" w:rsidRDefault="002C2EC7" w:rsidP="00790783">
      <w:pPr>
        <w:pStyle w:val="OWBullet1"/>
      </w:pPr>
      <w:r w:rsidRPr="0071774C">
        <w:t>introduction</w:t>
      </w:r>
      <w:r>
        <w:t xml:space="preserve"> </w:t>
      </w:r>
      <w:r w:rsidRPr="0071774C">
        <w:t>of</w:t>
      </w:r>
      <w:r>
        <w:t xml:space="preserve"> </w:t>
      </w:r>
      <w:r w:rsidRPr="0071774C">
        <w:t>the</w:t>
      </w:r>
      <w:r>
        <w:t xml:space="preserve"> </w:t>
      </w:r>
      <w:r w:rsidRPr="00ED4674">
        <w:rPr>
          <w:rStyle w:val="Emphasis"/>
        </w:rPr>
        <w:t>Prevention of Violence Act 2018</w:t>
      </w:r>
      <w:r>
        <w:t xml:space="preserve"> </w:t>
      </w:r>
      <w:r w:rsidRPr="0071774C">
        <w:t>in</w:t>
      </w:r>
      <w:r>
        <w:t xml:space="preserve"> </w:t>
      </w:r>
      <w:r w:rsidRPr="0071774C">
        <w:t>Victoria</w:t>
      </w:r>
      <w:r>
        <w:t>,</w:t>
      </w:r>
      <w:r w:rsidRPr="0071774C">
        <w:rPr>
          <w:rStyle w:val="EndnoteReference"/>
          <w:szCs w:val="22"/>
        </w:rPr>
        <w:endnoteReference w:id="69"/>
      </w:r>
      <w:r>
        <w:t xml:space="preserve"> </w:t>
      </w:r>
      <w:r w:rsidRPr="0071774C">
        <w:t>including</w:t>
      </w:r>
      <w:r>
        <w:t xml:space="preserve"> </w:t>
      </w:r>
      <w:r w:rsidRPr="0071774C">
        <w:t>the</w:t>
      </w:r>
      <w:r>
        <w:t xml:space="preserve"> </w:t>
      </w:r>
      <w:r w:rsidRPr="0071774C">
        <w:t>establishment</w:t>
      </w:r>
      <w:r>
        <w:t xml:space="preserve"> </w:t>
      </w:r>
      <w:r w:rsidRPr="0071774C">
        <w:t>of</w:t>
      </w:r>
      <w:r>
        <w:t xml:space="preserve"> </w:t>
      </w:r>
      <w:r w:rsidRPr="0071774C">
        <w:t>a</w:t>
      </w:r>
      <w:r>
        <w:t xml:space="preserve"> </w:t>
      </w:r>
      <w:r w:rsidRPr="0071774C">
        <w:t>statutory</w:t>
      </w:r>
      <w:r>
        <w:t xml:space="preserve"> </w:t>
      </w:r>
      <w:r w:rsidRPr="0071774C">
        <w:t>prevention</w:t>
      </w:r>
      <w:r>
        <w:t xml:space="preserve"> </w:t>
      </w:r>
      <w:r w:rsidRPr="0071774C">
        <w:t>authority</w:t>
      </w:r>
      <w:r>
        <w:t xml:space="preserve"> </w:t>
      </w:r>
      <w:r w:rsidRPr="0071774C">
        <w:t>enshrined</w:t>
      </w:r>
      <w:r>
        <w:t xml:space="preserve"> </w:t>
      </w:r>
      <w:r w:rsidRPr="0071774C">
        <w:t>in</w:t>
      </w:r>
      <w:r>
        <w:t xml:space="preserve"> </w:t>
      </w:r>
      <w:r w:rsidRPr="0071774C">
        <w:t>law</w:t>
      </w:r>
      <w:r>
        <w:t>.</w:t>
      </w:r>
    </w:p>
    <w:p w14:paraId="0D488B50" w14:textId="62CE2C48" w:rsidR="002C2EC7" w:rsidRDefault="002C2EC7" w:rsidP="00790783">
      <w:pPr>
        <w:pStyle w:val="OWBodytextafterlist"/>
      </w:pPr>
      <w:r w:rsidRPr="0071774C">
        <w:t>Significantly,</w:t>
      </w:r>
      <w:r>
        <w:t xml:space="preserve"> </w:t>
      </w:r>
      <w:r w:rsidRPr="0071774C">
        <w:t>perhaps</w:t>
      </w:r>
      <w:r>
        <w:t xml:space="preserve"> </w:t>
      </w:r>
      <w:r w:rsidRPr="0071774C">
        <w:t>the</w:t>
      </w:r>
      <w:r>
        <w:t xml:space="preserve"> </w:t>
      </w:r>
      <w:r w:rsidRPr="0071774C">
        <w:t>most</w:t>
      </w:r>
      <w:r>
        <w:t xml:space="preserve"> </w:t>
      </w:r>
      <w:r w:rsidRPr="0071774C">
        <w:t>prolific</w:t>
      </w:r>
      <w:r>
        <w:t xml:space="preserve"> </w:t>
      </w:r>
      <w:r w:rsidRPr="0071774C">
        <w:t>area</w:t>
      </w:r>
      <w:r>
        <w:t xml:space="preserve"> </w:t>
      </w:r>
      <w:r w:rsidRPr="0071774C">
        <w:t>of</w:t>
      </w:r>
      <w:r>
        <w:t xml:space="preserve"> </w:t>
      </w:r>
      <w:r w:rsidRPr="0071774C">
        <w:t>legislative</w:t>
      </w:r>
      <w:r>
        <w:t xml:space="preserve"> </w:t>
      </w:r>
      <w:r w:rsidRPr="0071774C">
        <w:t>change</w:t>
      </w:r>
      <w:r>
        <w:t xml:space="preserve"> </w:t>
      </w:r>
      <w:r w:rsidRPr="0071774C">
        <w:t>between</w:t>
      </w:r>
      <w:r>
        <w:t xml:space="preserve"> </w:t>
      </w:r>
      <w:r w:rsidRPr="0071774C">
        <w:t>2009</w:t>
      </w:r>
      <w:r>
        <w:t xml:space="preserve"> </w:t>
      </w:r>
      <w:r w:rsidRPr="0071774C">
        <w:t>and</w:t>
      </w:r>
      <w:r>
        <w:t xml:space="preserve"> </w:t>
      </w:r>
      <w:r w:rsidRPr="0071774C">
        <w:t>2019</w:t>
      </w:r>
      <w:r>
        <w:t xml:space="preserve"> </w:t>
      </w:r>
      <w:r w:rsidRPr="0071774C">
        <w:t>relates</w:t>
      </w:r>
      <w:r>
        <w:t xml:space="preserve"> </w:t>
      </w:r>
      <w:r w:rsidRPr="0071774C">
        <w:t>to</w:t>
      </w:r>
      <w:r>
        <w:t xml:space="preserve"> </w:t>
      </w:r>
      <w:r w:rsidRPr="0071774C">
        <w:t>responses</w:t>
      </w:r>
      <w:r>
        <w:t xml:space="preserve"> </w:t>
      </w:r>
      <w:r w:rsidRPr="0071774C">
        <w:t>to</w:t>
      </w:r>
      <w:r>
        <w:t xml:space="preserve"> </w:t>
      </w:r>
      <w:r w:rsidRPr="0071774C">
        <w:t>domestic</w:t>
      </w:r>
      <w:r>
        <w:t xml:space="preserve"> </w:t>
      </w:r>
      <w:r w:rsidRPr="0071774C">
        <w:t>and</w:t>
      </w:r>
      <w:r>
        <w:t xml:space="preserve"> </w:t>
      </w:r>
      <w:r w:rsidRPr="0071774C">
        <w:t>family</w:t>
      </w:r>
      <w:r>
        <w:t xml:space="preserve"> </w:t>
      </w:r>
      <w:r w:rsidRPr="0071774C">
        <w:t>violence.</w:t>
      </w:r>
      <w:r>
        <w:t xml:space="preserve"> </w:t>
      </w:r>
      <w:r w:rsidRPr="0071774C">
        <w:t>Across</w:t>
      </w:r>
      <w:r>
        <w:t xml:space="preserve"> </w:t>
      </w:r>
      <w:r w:rsidRPr="0071774C">
        <w:t>different</w:t>
      </w:r>
      <w:r>
        <w:t xml:space="preserve"> </w:t>
      </w:r>
      <w:r w:rsidRPr="0071774C">
        <w:t>jurisdictions,</w:t>
      </w:r>
      <w:r>
        <w:t xml:space="preserve"> </w:t>
      </w:r>
      <w:r w:rsidRPr="0071774C">
        <w:t>these</w:t>
      </w:r>
      <w:r>
        <w:t xml:space="preserve"> </w:t>
      </w:r>
      <w:r w:rsidRPr="0071774C">
        <w:t>include</w:t>
      </w:r>
      <w:r>
        <w:t xml:space="preserve">, </w:t>
      </w:r>
      <w:r w:rsidRPr="0071774C">
        <w:t>but</w:t>
      </w:r>
      <w:r>
        <w:t xml:space="preserve"> </w:t>
      </w:r>
      <w:r w:rsidRPr="0071774C">
        <w:t>are</w:t>
      </w:r>
      <w:r>
        <w:t xml:space="preserve"> </w:t>
      </w:r>
      <w:r w:rsidRPr="0071774C">
        <w:t>not</w:t>
      </w:r>
      <w:r>
        <w:t xml:space="preserve"> </w:t>
      </w:r>
      <w:r w:rsidRPr="0071774C">
        <w:t>limited</w:t>
      </w:r>
      <w:r>
        <w:t xml:space="preserve"> </w:t>
      </w:r>
      <w:r w:rsidRPr="0071774C">
        <w:t>to</w:t>
      </w:r>
      <w:r>
        <w:t xml:space="preserve">, </w:t>
      </w:r>
      <w:r w:rsidRPr="0071774C">
        <w:t>amendments</w:t>
      </w:r>
      <w:r>
        <w:t xml:space="preserve"> </w:t>
      </w:r>
      <w:r w:rsidRPr="0071774C">
        <w:t>to</w:t>
      </w:r>
      <w:r>
        <w:t xml:space="preserve"> </w:t>
      </w:r>
      <w:r w:rsidRPr="0071774C">
        <w:t>the</w:t>
      </w:r>
      <w:r>
        <w:t xml:space="preserve"> </w:t>
      </w:r>
      <w:r w:rsidRPr="00ED4674">
        <w:rPr>
          <w:rStyle w:val="Emphasis"/>
        </w:rPr>
        <w:t>Criminal Code Act 1995</w:t>
      </w:r>
      <w:r w:rsidRPr="0071774C">
        <w:rPr>
          <w:rStyle w:val="EndnoteReference"/>
          <w:szCs w:val="22"/>
        </w:rPr>
        <w:endnoteReference w:id="70"/>
      </w:r>
      <w:r>
        <w:t xml:space="preserve"> </w:t>
      </w:r>
      <w:r w:rsidRPr="0071774C">
        <w:t>to</w:t>
      </w:r>
      <w:r>
        <w:t xml:space="preserve"> </w:t>
      </w:r>
      <w:r w:rsidRPr="0071774C">
        <w:t>include</w:t>
      </w:r>
      <w:r>
        <w:t xml:space="preserve"> </w:t>
      </w:r>
      <w:r w:rsidRPr="0071774C">
        <w:t>image-based</w:t>
      </w:r>
      <w:r>
        <w:t xml:space="preserve"> </w:t>
      </w:r>
      <w:r w:rsidRPr="0071774C">
        <w:t>abuse,</w:t>
      </w:r>
      <w:r>
        <w:t xml:space="preserve"> </w:t>
      </w:r>
      <w:r w:rsidRPr="0071774C">
        <w:t>amendments</w:t>
      </w:r>
      <w:r>
        <w:t xml:space="preserve"> </w:t>
      </w:r>
      <w:r w:rsidRPr="0071774C">
        <w:t>to</w:t>
      </w:r>
      <w:r>
        <w:t xml:space="preserve"> </w:t>
      </w:r>
      <w:r w:rsidRPr="0071774C">
        <w:t>tenancy</w:t>
      </w:r>
      <w:r>
        <w:t xml:space="preserve"> </w:t>
      </w:r>
      <w:r w:rsidRPr="0071774C">
        <w:t>acts</w:t>
      </w:r>
      <w:r>
        <w:t xml:space="preserve"> </w:t>
      </w:r>
      <w:r w:rsidRPr="0071774C">
        <w:t>to</w:t>
      </w:r>
      <w:r>
        <w:t xml:space="preserve"> </w:t>
      </w:r>
      <w:r w:rsidRPr="0071774C">
        <w:t>allow</w:t>
      </w:r>
      <w:r>
        <w:t xml:space="preserve"> </w:t>
      </w:r>
      <w:r w:rsidRPr="0071774C">
        <w:t>women</w:t>
      </w:r>
      <w:r>
        <w:t xml:space="preserve"> </w:t>
      </w:r>
      <w:r w:rsidRPr="0071774C">
        <w:t>experiencing</w:t>
      </w:r>
      <w:r>
        <w:t xml:space="preserve"> </w:t>
      </w:r>
      <w:r w:rsidRPr="0071774C">
        <w:t>violence</w:t>
      </w:r>
      <w:r>
        <w:t xml:space="preserve"> </w:t>
      </w:r>
      <w:r w:rsidRPr="0071774C">
        <w:t>to</w:t>
      </w:r>
      <w:r>
        <w:t xml:space="preserve"> </w:t>
      </w:r>
      <w:r w:rsidRPr="0071774C">
        <w:t>terminate</w:t>
      </w:r>
      <w:r>
        <w:t xml:space="preserve"> </w:t>
      </w:r>
      <w:r w:rsidRPr="0071774C">
        <w:t>their</w:t>
      </w:r>
      <w:r>
        <w:t xml:space="preserve"> </w:t>
      </w:r>
      <w:r w:rsidRPr="0071774C">
        <w:t>lease</w:t>
      </w:r>
      <w:r>
        <w:t xml:space="preserve"> </w:t>
      </w:r>
      <w:r w:rsidRPr="0071774C">
        <w:t>without</w:t>
      </w:r>
      <w:r>
        <w:t xml:space="preserve"> </w:t>
      </w:r>
      <w:r w:rsidRPr="0071774C">
        <w:t>penalty,</w:t>
      </w:r>
      <w:r>
        <w:t xml:space="preserve"> </w:t>
      </w:r>
      <w:r w:rsidRPr="0071774C">
        <w:t>the</w:t>
      </w:r>
      <w:r>
        <w:t xml:space="preserve"> </w:t>
      </w:r>
      <w:r w:rsidRPr="0071774C">
        <w:t>introduction</w:t>
      </w:r>
      <w:r>
        <w:t xml:space="preserve"> </w:t>
      </w:r>
      <w:r w:rsidRPr="0071774C">
        <w:t>of</w:t>
      </w:r>
      <w:r>
        <w:t xml:space="preserve"> </w:t>
      </w:r>
      <w:r w:rsidRPr="0071774C">
        <w:t>the</w:t>
      </w:r>
      <w:r>
        <w:t xml:space="preserve"> </w:t>
      </w:r>
      <w:r w:rsidRPr="00ED4674">
        <w:rPr>
          <w:rStyle w:val="Emphasis"/>
        </w:rPr>
        <w:t>Modern Slavery Act 2018</w:t>
      </w:r>
      <w:r w:rsidRPr="0071774C">
        <w:rPr>
          <w:rStyle w:val="EndnoteReference"/>
          <w:szCs w:val="22"/>
        </w:rPr>
        <w:endnoteReference w:id="71"/>
      </w:r>
      <w:r>
        <w:t xml:space="preserve"> </w:t>
      </w:r>
      <w:r w:rsidRPr="0071774C">
        <w:t>and</w:t>
      </w:r>
      <w:r>
        <w:t xml:space="preserve"> </w:t>
      </w:r>
      <w:r w:rsidRPr="0071774C">
        <w:t>a</w:t>
      </w:r>
      <w:r>
        <w:t xml:space="preserve"> </w:t>
      </w:r>
      <w:r w:rsidRPr="00ED4674">
        <w:rPr>
          <w:rStyle w:val="Emphasis"/>
        </w:rPr>
        <w:t>Fair Work Amendment Act 2013</w:t>
      </w:r>
      <w:r>
        <w:t>,</w:t>
      </w:r>
      <w:r w:rsidRPr="0071774C">
        <w:rPr>
          <w:rStyle w:val="EndnoteReference"/>
          <w:szCs w:val="22"/>
        </w:rPr>
        <w:endnoteReference w:id="72"/>
      </w:r>
      <w:r>
        <w:t xml:space="preserve"> </w:t>
      </w:r>
      <w:r w:rsidRPr="0071774C">
        <w:t>which</w:t>
      </w:r>
      <w:r>
        <w:t xml:space="preserve"> </w:t>
      </w:r>
      <w:r w:rsidRPr="0071774C">
        <w:t>includes</w:t>
      </w:r>
      <w:r>
        <w:t xml:space="preserve"> </w:t>
      </w:r>
      <w:r w:rsidRPr="0071774C">
        <w:t>provisions</w:t>
      </w:r>
      <w:r>
        <w:t xml:space="preserve"> </w:t>
      </w:r>
      <w:r w:rsidRPr="0071774C">
        <w:t>for</w:t>
      </w:r>
      <w:r>
        <w:t xml:space="preserve"> </w:t>
      </w:r>
      <w:r w:rsidRPr="0071774C">
        <w:t>minimum</w:t>
      </w:r>
      <w:r>
        <w:t xml:space="preserve"> </w:t>
      </w:r>
      <w:r w:rsidRPr="0071774C">
        <w:t>unpaid</w:t>
      </w:r>
      <w:r>
        <w:t xml:space="preserve"> </w:t>
      </w:r>
      <w:r w:rsidRPr="0071774C">
        <w:t>family</w:t>
      </w:r>
      <w:r>
        <w:t xml:space="preserve"> </w:t>
      </w:r>
      <w:r w:rsidRPr="0071774C">
        <w:t>and</w:t>
      </w:r>
      <w:r>
        <w:t xml:space="preserve"> </w:t>
      </w:r>
      <w:r w:rsidRPr="0071774C">
        <w:t>domestic</w:t>
      </w:r>
      <w:r>
        <w:t xml:space="preserve"> </w:t>
      </w:r>
      <w:r w:rsidRPr="0071774C">
        <w:t>violence</w:t>
      </w:r>
      <w:r>
        <w:t xml:space="preserve"> </w:t>
      </w:r>
      <w:r w:rsidRPr="0071774C">
        <w:t>leave.</w:t>
      </w:r>
      <w:r>
        <w:t xml:space="preserve"> L</w:t>
      </w:r>
      <w:r w:rsidRPr="0071774C">
        <w:t>egislative</w:t>
      </w:r>
      <w:r>
        <w:t xml:space="preserve"> </w:t>
      </w:r>
      <w:r w:rsidRPr="0071774C">
        <w:t>changes</w:t>
      </w:r>
      <w:r>
        <w:t xml:space="preserve"> that address </w:t>
      </w:r>
      <w:r w:rsidRPr="0071774C">
        <w:t>the</w:t>
      </w:r>
      <w:r>
        <w:t xml:space="preserve"> </w:t>
      </w:r>
      <w:r w:rsidRPr="0071774C">
        <w:t>drivers</w:t>
      </w:r>
      <w:r>
        <w:t xml:space="preserve"> </w:t>
      </w:r>
      <w:r w:rsidRPr="0071774C">
        <w:t>of</w:t>
      </w:r>
      <w:r>
        <w:t xml:space="preserve"> </w:t>
      </w:r>
      <w:r w:rsidRPr="0071774C">
        <w:t>violence</w:t>
      </w:r>
      <w:r>
        <w:t xml:space="preserve"> </w:t>
      </w:r>
      <w:r w:rsidRPr="0071774C">
        <w:t>against</w:t>
      </w:r>
      <w:r>
        <w:t xml:space="preserve"> </w:t>
      </w:r>
      <w:r w:rsidRPr="0071774C">
        <w:t>women</w:t>
      </w:r>
      <w:r>
        <w:t xml:space="preserve"> – </w:t>
      </w:r>
      <w:r w:rsidRPr="0071774C">
        <w:t>as</w:t>
      </w:r>
      <w:r>
        <w:t xml:space="preserve"> </w:t>
      </w:r>
      <w:r w:rsidRPr="0071774C">
        <w:t>part</w:t>
      </w:r>
      <w:r>
        <w:t xml:space="preserve"> </w:t>
      </w:r>
      <w:r w:rsidRPr="0071774C">
        <w:t>of</w:t>
      </w:r>
      <w:r>
        <w:t xml:space="preserve"> </w:t>
      </w:r>
      <w:r w:rsidRPr="0071774C">
        <w:t>a</w:t>
      </w:r>
      <w:r>
        <w:t xml:space="preserve"> holistic approach including interlinked </w:t>
      </w:r>
      <w:r w:rsidRPr="0071774C">
        <w:t>prevention</w:t>
      </w:r>
      <w:r>
        <w:t xml:space="preserve">, </w:t>
      </w:r>
      <w:r w:rsidRPr="0071774C">
        <w:t>early</w:t>
      </w:r>
      <w:r>
        <w:t xml:space="preserve"> </w:t>
      </w:r>
      <w:r w:rsidRPr="0071774C">
        <w:t>intervention</w:t>
      </w:r>
      <w:r>
        <w:t xml:space="preserve"> </w:t>
      </w:r>
      <w:r w:rsidRPr="0071774C">
        <w:t>and</w:t>
      </w:r>
      <w:r>
        <w:t xml:space="preserve"> </w:t>
      </w:r>
      <w:r w:rsidRPr="0071774C">
        <w:t>response</w:t>
      </w:r>
      <w:r>
        <w:t xml:space="preserve"> </w:t>
      </w:r>
      <w:r w:rsidRPr="0071774C">
        <w:t>initiatives</w:t>
      </w:r>
      <w:r>
        <w:t xml:space="preserve"> – </w:t>
      </w:r>
      <w:r w:rsidRPr="0071774C">
        <w:t>will</w:t>
      </w:r>
      <w:r>
        <w:t xml:space="preserve"> </w:t>
      </w:r>
      <w:r w:rsidRPr="0071774C">
        <w:t>ensure</w:t>
      </w:r>
      <w:r>
        <w:t xml:space="preserve"> </w:t>
      </w:r>
      <w:r w:rsidRPr="0071774C">
        <w:t>‘a</w:t>
      </w:r>
      <w:r>
        <w:t xml:space="preserve"> </w:t>
      </w:r>
      <w:r w:rsidRPr="0071774C">
        <w:t>comprehensive</w:t>
      </w:r>
      <w:r>
        <w:t xml:space="preserve"> </w:t>
      </w:r>
      <w:r w:rsidRPr="0071774C">
        <w:t>and</w:t>
      </w:r>
      <w:r>
        <w:t xml:space="preserve"> </w:t>
      </w:r>
      <w:r w:rsidRPr="0071774C">
        <w:t>holistic</w:t>
      </w:r>
      <w:r>
        <w:t xml:space="preserve"> </w:t>
      </w:r>
      <w:r w:rsidRPr="0071774C">
        <w:t>approach</w:t>
      </w:r>
      <w:r>
        <w:t xml:space="preserve"> </w:t>
      </w:r>
      <w:r w:rsidRPr="0071774C">
        <w:t>to</w:t>
      </w:r>
      <w:r w:rsidR="00851841">
        <w:t> </w:t>
      </w:r>
      <w:r>
        <w:t xml:space="preserve">ending </w:t>
      </w:r>
      <w:r w:rsidRPr="0071774C">
        <w:t>violence</w:t>
      </w:r>
      <w:r>
        <w:t xml:space="preserve"> </w:t>
      </w:r>
      <w:r w:rsidRPr="0071774C">
        <w:t>against</w:t>
      </w:r>
      <w:r>
        <w:t xml:space="preserve"> </w:t>
      </w:r>
      <w:r w:rsidRPr="0071774C">
        <w:t>wome</w:t>
      </w:r>
      <w:r>
        <w:t>n’.</w:t>
      </w:r>
      <w:r w:rsidRPr="0071774C">
        <w:rPr>
          <w:rStyle w:val="EndnoteReference"/>
          <w:szCs w:val="22"/>
        </w:rPr>
        <w:endnoteReference w:id="73"/>
      </w:r>
    </w:p>
    <w:p w14:paraId="33153F59" w14:textId="021CC403" w:rsidR="002C2EC7" w:rsidRDefault="002C2EC7" w:rsidP="00ED42C9">
      <w:pPr>
        <w:pStyle w:val="BodyText"/>
        <w:keepNext/>
      </w:pPr>
      <w:r w:rsidRPr="0071774C">
        <w:lastRenderedPageBreak/>
        <w:t>Other</w:t>
      </w:r>
      <w:r>
        <w:t xml:space="preserve"> </w:t>
      </w:r>
      <w:r w:rsidRPr="0071774C">
        <w:t>legislation</w:t>
      </w:r>
      <w:r>
        <w:t xml:space="preserve"> that </w:t>
      </w:r>
      <w:r w:rsidRPr="0071774C">
        <w:t>could</w:t>
      </w:r>
      <w:r>
        <w:t xml:space="preserve"> </w:t>
      </w:r>
      <w:r w:rsidRPr="0071774C">
        <w:t>be</w:t>
      </w:r>
      <w:r>
        <w:t xml:space="preserve"> </w:t>
      </w:r>
      <w:r w:rsidRPr="0071774C">
        <w:t>seen</w:t>
      </w:r>
      <w:r>
        <w:t xml:space="preserve"> </w:t>
      </w:r>
      <w:r w:rsidRPr="0071774C">
        <w:t>as</w:t>
      </w:r>
      <w:r>
        <w:t xml:space="preserve"> </w:t>
      </w:r>
      <w:r w:rsidRPr="0071774C">
        <w:t>addressing</w:t>
      </w:r>
      <w:r>
        <w:t xml:space="preserve"> </w:t>
      </w:r>
      <w:r w:rsidRPr="0071774C">
        <w:t>forms</w:t>
      </w:r>
      <w:r>
        <w:t xml:space="preserve"> </w:t>
      </w:r>
      <w:r w:rsidRPr="0071774C">
        <w:t>of</w:t>
      </w:r>
      <w:r>
        <w:t xml:space="preserve"> </w:t>
      </w:r>
      <w:r w:rsidRPr="0071774C">
        <w:t>discrimination</w:t>
      </w:r>
      <w:r>
        <w:t xml:space="preserve"> </w:t>
      </w:r>
      <w:r w:rsidRPr="0071774C">
        <w:t>and</w:t>
      </w:r>
      <w:r>
        <w:t xml:space="preserve"> </w:t>
      </w:r>
      <w:r w:rsidRPr="0071774C">
        <w:t>privilege</w:t>
      </w:r>
      <w:r>
        <w:t xml:space="preserve"> </w:t>
      </w:r>
      <w:r w:rsidRPr="0071774C">
        <w:t>that</w:t>
      </w:r>
      <w:r w:rsidR="00ED42C9">
        <w:t> </w:t>
      </w:r>
      <w:r w:rsidRPr="0071774C">
        <w:t>intersect</w:t>
      </w:r>
      <w:r>
        <w:t xml:space="preserve"> </w:t>
      </w:r>
      <w:r w:rsidRPr="0071774C">
        <w:t>with</w:t>
      </w:r>
      <w:r>
        <w:t xml:space="preserve"> </w:t>
      </w:r>
      <w:r w:rsidRPr="0071774C">
        <w:t>gender</w:t>
      </w:r>
      <w:r>
        <w:t xml:space="preserve"> </w:t>
      </w:r>
      <w:r w:rsidRPr="0071774C">
        <w:t>inequality</w:t>
      </w:r>
      <w:r>
        <w:t xml:space="preserve"> </w:t>
      </w:r>
      <w:r w:rsidRPr="0071774C">
        <w:t>include:</w:t>
      </w:r>
    </w:p>
    <w:p w14:paraId="512C1784" w14:textId="77777777" w:rsidR="002C2EC7" w:rsidRDefault="002C2EC7" w:rsidP="00790783">
      <w:pPr>
        <w:pStyle w:val="OWBullet1"/>
        <w:rPr>
          <w:szCs w:val="22"/>
        </w:rPr>
      </w:pPr>
      <w:r>
        <w:rPr>
          <w:szCs w:val="22"/>
        </w:rPr>
        <w:t xml:space="preserve">the </w:t>
      </w:r>
      <w:r w:rsidRPr="00ED4674">
        <w:rPr>
          <w:rStyle w:val="Emphasis"/>
        </w:rPr>
        <w:t>Marriage Amendment (Definition and Religious Freedoms) Act 2017</w:t>
      </w:r>
      <w:r>
        <w:rPr>
          <w:szCs w:val="22"/>
        </w:rPr>
        <w:t>,</w:t>
      </w:r>
      <w:r w:rsidRPr="00336154">
        <w:rPr>
          <w:rStyle w:val="EndnoteReference"/>
          <w:szCs w:val="22"/>
        </w:rPr>
        <w:endnoteReference w:id="74"/>
      </w:r>
      <w:r>
        <w:rPr>
          <w:color w:val="0078D4"/>
          <w:szCs w:val="22"/>
        </w:rPr>
        <w:t xml:space="preserve"> </w:t>
      </w:r>
      <w:r>
        <w:rPr>
          <w:szCs w:val="22"/>
        </w:rPr>
        <w:t xml:space="preserve">to allow </w:t>
      </w:r>
      <w:r w:rsidRPr="0071774C">
        <w:rPr>
          <w:szCs w:val="22"/>
        </w:rPr>
        <w:t>marriage</w:t>
      </w:r>
      <w:r>
        <w:rPr>
          <w:szCs w:val="22"/>
        </w:rPr>
        <w:t xml:space="preserve"> </w:t>
      </w:r>
      <w:r w:rsidRPr="0071774C">
        <w:rPr>
          <w:szCs w:val="22"/>
        </w:rPr>
        <w:t>regardless</w:t>
      </w:r>
      <w:r>
        <w:rPr>
          <w:szCs w:val="22"/>
        </w:rPr>
        <w:t xml:space="preserve"> </w:t>
      </w:r>
      <w:r w:rsidRPr="0071774C">
        <w:rPr>
          <w:szCs w:val="22"/>
        </w:rPr>
        <w:t>of</w:t>
      </w:r>
      <w:r>
        <w:rPr>
          <w:szCs w:val="22"/>
        </w:rPr>
        <w:t xml:space="preserve"> </w:t>
      </w:r>
      <w:r w:rsidRPr="0071774C">
        <w:rPr>
          <w:szCs w:val="22"/>
        </w:rPr>
        <w:t>sex</w:t>
      </w:r>
      <w:r>
        <w:rPr>
          <w:szCs w:val="22"/>
        </w:rPr>
        <w:t xml:space="preserve"> </w:t>
      </w:r>
      <w:r w:rsidRPr="0071774C">
        <w:rPr>
          <w:szCs w:val="22"/>
        </w:rPr>
        <w:t>or</w:t>
      </w:r>
      <w:r>
        <w:rPr>
          <w:szCs w:val="22"/>
        </w:rPr>
        <w:t xml:space="preserve"> </w:t>
      </w:r>
      <w:r w:rsidRPr="0071774C">
        <w:rPr>
          <w:szCs w:val="22"/>
        </w:rPr>
        <w:t>gender</w:t>
      </w:r>
    </w:p>
    <w:p w14:paraId="238F0928" w14:textId="77777777" w:rsidR="002C2EC7" w:rsidRDefault="002C2EC7" w:rsidP="00790783">
      <w:pPr>
        <w:pStyle w:val="OWBullet1"/>
      </w:pPr>
      <w:r w:rsidRPr="0071774C">
        <w:t>amendment</w:t>
      </w:r>
      <w:r>
        <w:t xml:space="preserve"> </w:t>
      </w:r>
      <w:r w:rsidRPr="0071774C">
        <w:t>of</w:t>
      </w:r>
      <w:r>
        <w:t xml:space="preserve"> </w:t>
      </w:r>
      <w:r w:rsidRPr="0071774C">
        <w:t>a</w:t>
      </w:r>
      <w:r>
        <w:t xml:space="preserve"> </w:t>
      </w:r>
      <w:r w:rsidRPr="0071774C">
        <w:t>state</w:t>
      </w:r>
      <w:r>
        <w:t>-</w:t>
      </w:r>
      <w:r w:rsidRPr="0071774C">
        <w:t>based</w:t>
      </w:r>
      <w:r>
        <w:t xml:space="preserve"> </w:t>
      </w:r>
      <w:r w:rsidRPr="00ED4674">
        <w:rPr>
          <w:rStyle w:val="Emphasis"/>
        </w:rPr>
        <w:t>Equal Opportunity Act</w:t>
      </w:r>
      <w:r>
        <w:t>,</w:t>
      </w:r>
      <w:r w:rsidRPr="0071774C">
        <w:rPr>
          <w:rStyle w:val="EndnoteReference"/>
          <w:szCs w:val="22"/>
          <w:lang w:eastAsia="en-GB"/>
        </w:rPr>
        <w:endnoteReference w:id="75"/>
      </w:r>
      <w:r>
        <w:t xml:space="preserve"> </w:t>
      </w:r>
      <w:r w:rsidRPr="0071774C">
        <w:t>to</w:t>
      </w:r>
      <w:r>
        <w:t xml:space="preserve"> </w:t>
      </w:r>
      <w:r w:rsidRPr="0071774C">
        <w:t>include</w:t>
      </w:r>
      <w:r>
        <w:t xml:space="preserve"> the </w:t>
      </w:r>
      <w:r w:rsidRPr="0071774C">
        <w:t>duty</w:t>
      </w:r>
      <w:r>
        <w:t xml:space="preserve"> </w:t>
      </w:r>
      <w:r w:rsidRPr="0071774C">
        <w:t>to</w:t>
      </w:r>
      <w:r>
        <w:t xml:space="preserve"> </w:t>
      </w:r>
      <w:r w:rsidRPr="0071774C">
        <w:t>make</w:t>
      </w:r>
      <w:r>
        <w:t xml:space="preserve"> </w:t>
      </w:r>
      <w:r w:rsidRPr="0071774C">
        <w:t>reasonable</w:t>
      </w:r>
      <w:r>
        <w:t xml:space="preserve"> </w:t>
      </w:r>
      <w:r w:rsidRPr="0071774C">
        <w:t>adjustments</w:t>
      </w:r>
      <w:r>
        <w:t xml:space="preserve"> </w:t>
      </w:r>
      <w:r w:rsidRPr="0071774C">
        <w:t>for</w:t>
      </w:r>
      <w:r>
        <w:t xml:space="preserve"> </w:t>
      </w:r>
      <w:r w:rsidRPr="0071774C">
        <w:t>employees/students</w:t>
      </w:r>
      <w:r>
        <w:t xml:space="preserve"> </w:t>
      </w:r>
      <w:r w:rsidRPr="0071774C">
        <w:t>with</w:t>
      </w:r>
      <w:r>
        <w:t xml:space="preserve"> </w:t>
      </w:r>
      <w:r w:rsidRPr="0071774C">
        <w:t>disabilities</w:t>
      </w:r>
    </w:p>
    <w:p w14:paraId="415F1414" w14:textId="77777777" w:rsidR="002C2EC7" w:rsidRDefault="002C2EC7" w:rsidP="00790783">
      <w:pPr>
        <w:pStyle w:val="OWBullet1"/>
      </w:pPr>
      <w:r w:rsidRPr="0071774C">
        <w:t>amendment</w:t>
      </w:r>
      <w:r>
        <w:t xml:space="preserve"> </w:t>
      </w:r>
      <w:r w:rsidRPr="0071774C">
        <w:t>of</w:t>
      </w:r>
      <w:r>
        <w:t xml:space="preserve"> </w:t>
      </w:r>
      <w:r w:rsidRPr="0071774C">
        <w:t>the</w:t>
      </w:r>
      <w:r>
        <w:t xml:space="preserve"> </w:t>
      </w:r>
      <w:r w:rsidRPr="00ED4674">
        <w:rPr>
          <w:rStyle w:val="Emphasis"/>
        </w:rPr>
        <w:t>Age Discrimination Act 2004</w:t>
      </w:r>
      <w:r>
        <w:t>,</w:t>
      </w:r>
      <w:r w:rsidRPr="0071774C">
        <w:rPr>
          <w:rStyle w:val="EndnoteReference"/>
          <w:szCs w:val="22"/>
          <w:lang w:eastAsia="en-GB"/>
        </w:rPr>
        <w:endnoteReference w:id="76"/>
      </w:r>
      <w:r>
        <w:t xml:space="preserve"> </w:t>
      </w:r>
      <w:r w:rsidRPr="0071774C">
        <w:t>to</w:t>
      </w:r>
      <w:r>
        <w:t xml:space="preserve"> </w:t>
      </w:r>
      <w:r w:rsidRPr="0071774C">
        <w:t>create</w:t>
      </w:r>
      <w:r>
        <w:t xml:space="preserve"> </w:t>
      </w:r>
      <w:r w:rsidRPr="0071774C">
        <w:t>the</w:t>
      </w:r>
      <w:r>
        <w:t xml:space="preserve"> </w:t>
      </w:r>
      <w:r w:rsidRPr="0071774C">
        <w:t>office</w:t>
      </w:r>
      <w:r>
        <w:t xml:space="preserve"> </w:t>
      </w:r>
      <w:r w:rsidRPr="0071774C">
        <w:t>of</w:t>
      </w:r>
      <w:r>
        <w:t xml:space="preserve"> </w:t>
      </w:r>
      <w:r w:rsidRPr="0071774C">
        <w:t>Age</w:t>
      </w:r>
      <w:r>
        <w:t xml:space="preserve"> </w:t>
      </w:r>
      <w:r w:rsidRPr="0071774C">
        <w:t>Discrimination</w:t>
      </w:r>
      <w:r>
        <w:t xml:space="preserve"> </w:t>
      </w:r>
      <w:r w:rsidRPr="0071774C">
        <w:t>Commissioner</w:t>
      </w:r>
    </w:p>
    <w:p w14:paraId="77922738" w14:textId="77777777" w:rsidR="002C2EC7" w:rsidRDefault="002C2EC7" w:rsidP="00790783">
      <w:pPr>
        <w:pStyle w:val="OWBullet1"/>
      </w:pPr>
      <w:r w:rsidRPr="0071774C">
        <w:t>Establishment</w:t>
      </w:r>
      <w:r>
        <w:t xml:space="preserve"> </w:t>
      </w:r>
      <w:r w:rsidRPr="0071774C">
        <w:t>of</w:t>
      </w:r>
      <w:r>
        <w:t xml:space="preserve"> </w:t>
      </w:r>
      <w:r w:rsidRPr="0071774C">
        <w:t>the</w:t>
      </w:r>
      <w:r>
        <w:t xml:space="preserve"> </w:t>
      </w:r>
      <w:r w:rsidRPr="0071774C">
        <w:t>National</w:t>
      </w:r>
      <w:r>
        <w:t xml:space="preserve"> </w:t>
      </w:r>
      <w:r w:rsidRPr="0071774C">
        <w:t>Disability</w:t>
      </w:r>
      <w:r>
        <w:t xml:space="preserve"> </w:t>
      </w:r>
      <w:r w:rsidRPr="0071774C">
        <w:t>Insurance</w:t>
      </w:r>
      <w:r>
        <w:t xml:space="preserve"> </w:t>
      </w:r>
      <w:r w:rsidRPr="0071774C">
        <w:t>Scheme,</w:t>
      </w:r>
      <w:r>
        <w:t xml:space="preserve"> </w:t>
      </w:r>
      <w:r w:rsidRPr="0071774C">
        <w:t>aiming</w:t>
      </w:r>
      <w:r>
        <w:t xml:space="preserve"> </w:t>
      </w:r>
      <w:r w:rsidRPr="0071774C">
        <w:t>to</w:t>
      </w:r>
      <w:r>
        <w:t xml:space="preserve"> </w:t>
      </w:r>
      <w:r w:rsidRPr="0071774C">
        <w:t>give</w:t>
      </w:r>
      <w:r>
        <w:t xml:space="preserve"> </w:t>
      </w:r>
      <w:r w:rsidRPr="0071774C">
        <w:t>people</w:t>
      </w:r>
      <w:r>
        <w:t xml:space="preserve"> </w:t>
      </w:r>
      <w:r w:rsidRPr="0071774C">
        <w:t>with</w:t>
      </w:r>
      <w:r>
        <w:t xml:space="preserve"> </w:t>
      </w:r>
      <w:r w:rsidRPr="0071774C">
        <w:t>disability</w:t>
      </w:r>
      <w:r>
        <w:t xml:space="preserve"> </w:t>
      </w:r>
      <w:r w:rsidRPr="0071774C">
        <w:t>choice</w:t>
      </w:r>
      <w:r>
        <w:t xml:space="preserve"> </w:t>
      </w:r>
      <w:r w:rsidRPr="0071774C">
        <w:t>and</w:t>
      </w:r>
      <w:r>
        <w:t xml:space="preserve"> </w:t>
      </w:r>
      <w:r w:rsidRPr="0071774C">
        <w:t>control</w:t>
      </w:r>
      <w:r>
        <w:t xml:space="preserve"> </w:t>
      </w:r>
      <w:r w:rsidRPr="0071774C">
        <w:t>over</w:t>
      </w:r>
      <w:r>
        <w:t xml:space="preserve"> </w:t>
      </w:r>
      <w:r w:rsidRPr="0071774C">
        <w:t>the</w:t>
      </w:r>
      <w:r>
        <w:t xml:space="preserve"> </w:t>
      </w:r>
      <w:r w:rsidRPr="0071774C">
        <w:t>support</w:t>
      </w:r>
      <w:r>
        <w:t xml:space="preserve"> </w:t>
      </w:r>
      <w:r w:rsidRPr="0071774C">
        <w:t>they</w:t>
      </w:r>
      <w:r>
        <w:t xml:space="preserve"> </w:t>
      </w:r>
      <w:r w:rsidRPr="0071774C">
        <w:t>receive</w:t>
      </w:r>
      <w:r>
        <w:t xml:space="preserve"> </w:t>
      </w:r>
      <w:r w:rsidRPr="0071774C">
        <w:t>and</w:t>
      </w:r>
      <w:r>
        <w:t xml:space="preserve"> </w:t>
      </w:r>
      <w:r w:rsidRPr="0071774C">
        <w:t>meet</w:t>
      </w:r>
      <w:r>
        <w:t xml:space="preserve"> </w:t>
      </w:r>
      <w:r w:rsidRPr="0071774C">
        <w:t>certain</w:t>
      </w:r>
      <w:r>
        <w:t xml:space="preserve"> </w:t>
      </w:r>
      <w:r w:rsidRPr="0071774C">
        <w:t>obligations</w:t>
      </w:r>
      <w:r>
        <w:t xml:space="preserve"> </w:t>
      </w:r>
      <w:r w:rsidRPr="0071774C">
        <w:t>under</w:t>
      </w:r>
      <w:r>
        <w:t xml:space="preserve"> </w:t>
      </w:r>
      <w:r w:rsidRPr="0071774C">
        <w:t>the</w:t>
      </w:r>
      <w:r>
        <w:t xml:space="preserve"> </w:t>
      </w:r>
      <w:r w:rsidRPr="0071774C">
        <w:t>Convention</w:t>
      </w:r>
      <w:r>
        <w:t xml:space="preserve"> </w:t>
      </w:r>
      <w:r w:rsidRPr="0071774C">
        <w:t>on</w:t>
      </w:r>
      <w:r>
        <w:t xml:space="preserve"> </w:t>
      </w:r>
      <w:r w:rsidRPr="0071774C">
        <w:t>the</w:t>
      </w:r>
      <w:r>
        <w:t xml:space="preserve"> </w:t>
      </w:r>
      <w:r w:rsidRPr="0071774C">
        <w:t>Rights</w:t>
      </w:r>
      <w:r>
        <w:t xml:space="preserve"> </w:t>
      </w:r>
      <w:r w:rsidRPr="0071774C">
        <w:t>of</w:t>
      </w:r>
      <w:r>
        <w:t xml:space="preserve"> </w:t>
      </w:r>
      <w:r w:rsidRPr="0071774C">
        <w:t>Persons</w:t>
      </w:r>
      <w:r>
        <w:t xml:space="preserve"> </w:t>
      </w:r>
      <w:r w:rsidRPr="0071774C">
        <w:t>with</w:t>
      </w:r>
      <w:r>
        <w:t xml:space="preserve"> </w:t>
      </w:r>
      <w:r w:rsidRPr="0071774C">
        <w:t>Disabilities</w:t>
      </w:r>
      <w:r>
        <w:t>.</w:t>
      </w:r>
    </w:p>
    <w:p w14:paraId="3CF77506" w14:textId="77777777" w:rsidR="002C2EC7" w:rsidRDefault="002C2EC7" w:rsidP="00790783">
      <w:pPr>
        <w:pStyle w:val="OWBodytextafterlist"/>
      </w:pPr>
      <w:r w:rsidRPr="0071774C">
        <w:t>On</w:t>
      </w:r>
      <w:r>
        <w:t xml:space="preserve"> </w:t>
      </w:r>
      <w:r w:rsidRPr="0071774C">
        <w:t>the</w:t>
      </w:r>
      <w:r>
        <w:t xml:space="preserve"> </w:t>
      </w:r>
      <w:r w:rsidRPr="0071774C">
        <w:t>other</w:t>
      </w:r>
      <w:r>
        <w:t xml:space="preserve"> </w:t>
      </w:r>
      <w:r w:rsidRPr="0071774C">
        <w:t>hand,</w:t>
      </w:r>
      <w:r>
        <w:t xml:space="preserve"> </w:t>
      </w:r>
      <w:r w:rsidRPr="0071774C">
        <w:t>some</w:t>
      </w:r>
      <w:r>
        <w:t xml:space="preserve"> </w:t>
      </w:r>
      <w:r w:rsidRPr="0071774C">
        <w:t>legislative</w:t>
      </w:r>
      <w:r>
        <w:t xml:space="preserve"> </w:t>
      </w:r>
      <w:r w:rsidRPr="0071774C">
        <w:t>changes</w:t>
      </w:r>
      <w:r>
        <w:t xml:space="preserve"> </w:t>
      </w:r>
      <w:r w:rsidRPr="0071774C">
        <w:t>between</w:t>
      </w:r>
      <w:r>
        <w:t xml:space="preserve"> </w:t>
      </w:r>
      <w:r w:rsidRPr="0071774C">
        <w:t>2009</w:t>
      </w:r>
      <w:r>
        <w:t xml:space="preserve"> </w:t>
      </w:r>
      <w:r w:rsidRPr="0071774C">
        <w:t>and</w:t>
      </w:r>
      <w:r>
        <w:t xml:space="preserve"> </w:t>
      </w:r>
      <w:r w:rsidRPr="0071774C">
        <w:t>2019</w:t>
      </w:r>
      <w:r>
        <w:t xml:space="preserve"> </w:t>
      </w:r>
      <w:r w:rsidRPr="0071774C">
        <w:t>have</w:t>
      </w:r>
      <w:r>
        <w:t xml:space="preserve"> </w:t>
      </w:r>
      <w:r w:rsidRPr="0071774C">
        <w:t>arguably</w:t>
      </w:r>
      <w:r>
        <w:t xml:space="preserve"> </w:t>
      </w:r>
      <w:r w:rsidRPr="0071774C">
        <w:t>been</w:t>
      </w:r>
      <w:r>
        <w:t xml:space="preserve"> </w:t>
      </w:r>
      <w:r w:rsidRPr="0071774C">
        <w:t>regressive,</w:t>
      </w:r>
      <w:r>
        <w:t xml:space="preserve"> </w:t>
      </w:r>
      <w:r w:rsidRPr="0071774C">
        <w:t>reinforcing</w:t>
      </w:r>
      <w:r>
        <w:t xml:space="preserve"> </w:t>
      </w:r>
      <w:r w:rsidRPr="0071774C">
        <w:t>the</w:t>
      </w:r>
      <w:r>
        <w:t xml:space="preserve"> </w:t>
      </w:r>
      <w:r w:rsidRPr="0071774C">
        <w:t>drivers</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For</w:t>
      </w:r>
      <w:r>
        <w:t xml:space="preserve"> </w:t>
      </w:r>
      <w:r w:rsidRPr="0071774C">
        <w:t>example:</w:t>
      </w:r>
    </w:p>
    <w:p w14:paraId="7C512D62" w14:textId="77777777" w:rsidR="002C2EC7" w:rsidRDefault="002C2EC7" w:rsidP="00790783">
      <w:pPr>
        <w:pStyle w:val="OWBullet1"/>
      </w:pPr>
      <w:r w:rsidRPr="0071774C">
        <w:t>tax</w:t>
      </w:r>
      <w:r>
        <w:t xml:space="preserve"> </w:t>
      </w:r>
      <w:r w:rsidRPr="0071774C">
        <w:t>reform</w:t>
      </w:r>
      <w:r>
        <w:t xml:space="preserve"> </w:t>
      </w:r>
      <w:r w:rsidRPr="0071774C">
        <w:t>focused</w:t>
      </w:r>
      <w:r>
        <w:t xml:space="preserve"> </w:t>
      </w:r>
      <w:r w:rsidRPr="0071774C">
        <w:t>on</w:t>
      </w:r>
      <w:r>
        <w:t xml:space="preserve"> </w:t>
      </w:r>
      <w:r w:rsidRPr="0071774C">
        <w:t>reducing</w:t>
      </w:r>
      <w:r>
        <w:t xml:space="preserve"> </w:t>
      </w:r>
      <w:r w:rsidRPr="0071774C">
        <w:t>tax</w:t>
      </w:r>
      <w:r>
        <w:t xml:space="preserve"> </w:t>
      </w:r>
      <w:r w:rsidRPr="0071774C">
        <w:t>for</w:t>
      </w:r>
      <w:r>
        <w:t xml:space="preserve"> </w:t>
      </w:r>
      <w:r w:rsidRPr="0071774C">
        <w:t>middle/high</w:t>
      </w:r>
      <w:r>
        <w:t xml:space="preserve"> </w:t>
      </w:r>
      <w:r w:rsidRPr="0071774C">
        <w:t>income</w:t>
      </w:r>
      <w:r>
        <w:t xml:space="preserve"> </w:t>
      </w:r>
      <w:r w:rsidRPr="0071774C">
        <w:t>brackets</w:t>
      </w:r>
      <w:r>
        <w:t xml:space="preserve"> </w:t>
      </w:r>
      <w:r w:rsidRPr="0071774C">
        <w:t>rather</w:t>
      </w:r>
      <w:r>
        <w:t xml:space="preserve"> </w:t>
      </w:r>
      <w:r w:rsidRPr="0071774C">
        <w:t>than</w:t>
      </w:r>
      <w:r>
        <w:t xml:space="preserve"> </w:t>
      </w:r>
      <w:r w:rsidRPr="0071774C">
        <w:t>lower</w:t>
      </w:r>
      <w:r>
        <w:t>-</w:t>
      </w:r>
      <w:r w:rsidRPr="0071774C">
        <w:t>income</w:t>
      </w:r>
      <w:r>
        <w:t xml:space="preserve"> </w:t>
      </w:r>
      <w:r w:rsidRPr="0071774C">
        <w:t>brackets</w:t>
      </w:r>
      <w:r>
        <w:t xml:space="preserve"> </w:t>
      </w:r>
      <w:r w:rsidRPr="0071774C">
        <w:t>where</w:t>
      </w:r>
      <w:r>
        <w:t xml:space="preserve"> </w:t>
      </w:r>
      <w:r w:rsidRPr="0071774C">
        <w:t>women</w:t>
      </w:r>
      <w:r>
        <w:t xml:space="preserve"> </w:t>
      </w:r>
      <w:r w:rsidRPr="0071774C">
        <w:t>are</w:t>
      </w:r>
      <w:r>
        <w:t xml:space="preserve"> </w:t>
      </w:r>
      <w:r w:rsidRPr="0071774C">
        <w:t>overrepresented</w:t>
      </w:r>
      <w:r w:rsidRPr="0071774C">
        <w:rPr>
          <w:rStyle w:val="EndnoteReference"/>
          <w:szCs w:val="22"/>
        </w:rPr>
        <w:endnoteReference w:id="77"/>
      </w:r>
    </w:p>
    <w:p w14:paraId="5147105F" w14:textId="77777777" w:rsidR="002C2EC7" w:rsidRDefault="002C2EC7" w:rsidP="00790783">
      <w:pPr>
        <w:pStyle w:val="OWBullet1"/>
      </w:pPr>
      <w:r w:rsidRPr="0071774C">
        <w:t>welfare</w:t>
      </w:r>
      <w:r>
        <w:t xml:space="preserve"> </w:t>
      </w:r>
      <w:r w:rsidRPr="0071774C">
        <w:t>reform</w:t>
      </w:r>
      <w:r>
        <w:t xml:space="preserve"> </w:t>
      </w:r>
      <w:r w:rsidRPr="0071774C">
        <w:t>in</w:t>
      </w:r>
      <w:r>
        <w:t xml:space="preserve"> </w:t>
      </w:r>
      <w:r w:rsidRPr="0071774C">
        <w:t>the</w:t>
      </w:r>
      <w:r>
        <w:t xml:space="preserve"> </w:t>
      </w:r>
      <w:r w:rsidRPr="0071774C">
        <w:t>form</w:t>
      </w:r>
      <w:r>
        <w:t xml:space="preserve"> </w:t>
      </w:r>
      <w:r w:rsidRPr="0071774C">
        <w:t>of</w:t>
      </w:r>
      <w:r>
        <w:t xml:space="preserve"> </w:t>
      </w:r>
      <w:r w:rsidRPr="0071774C">
        <w:t>compulsory</w:t>
      </w:r>
      <w:r>
        <w:t xml:space="preserve"> </w:t>
      </w:r>
      <w:r w:rsidRPr="0071774C">
        <w:t>income</w:t>
      </w:r>
      <w:r>
        <w:t xml:space="preserve"> </w:t>
      </w:r>
      <w:r w:rsidRPr="0071774C">
        <w:t>management</w:t>
      </w:r>
      <w:r>
        <w:t xml:space="preserve"> </w:t>
      </w:r>
      <w:r w:rsidRPr="0071774C">
        <w:t>(BasicsCard/Cashless</w:t>
      </w:r>
      <w:r>
        <w:t xml:space="preserve"> </w:t>
      </w:r>
      <w:r w:rsidRPr="0071774C">
        <w:t>Debit</w:t>
      </w:r>
      <w:r>
        <w:t xml:space="preserve"> </w:t>
      </w:r>
      <w:r w:rsidRPr="0071774C">
        <w:t>Card)</w:t>
      </w:r>
      <w:r>
        <w:t xml:space="preserve">, </w:t>
      </w:r>
      <w:r w:rsidRPr="0071774C">
        <w:t>which</w:t>
      </w:r>
      <w:r>
        <w:t xml:space="preserve"> </w:t>
      </w:r>
      <w:r w:rsidRPr="0071774C">
        <w:t>some</w:t>
      </w:r>
      <w:r>
        <w:t xml:space="preserve"> </w:t>
      </w:r>
      <w:r w:rsidRPr="0071774C">
        <w:t>argue</w:t>
      </w:r>
      <w:r>
        <w:t xml:space="preserve"> </w:t>
      </w:r>
      <w:r w:rsidRPr="0071774C">
        <w:t>limits</w:t>
      </w:r>
      <w:r>
        <w:t xml:space="preserve"> </w:t>
      </w:r>
      <w:r w:rsidRPr="0071774C">
        <w:t>women’s</w:t>
      </w:r>
      <w:r>
        <w:t xml:space="preserve"> </w:t>
      </w:r>
      <w:r w:rsidRPr="0071774C">
        <w:t>independence,</w:t>
      </w:r>
      <w:r>
        <w:t xml:space="preserve"> </w:t>
      </w:r>
      <w:r w:rsidRPr="0071774C">
        <w:t>and</w:t>
      </w:r>
      <w:r>
        <w:t xml:space="preserve"> </w:t>
      </w:r>
      <w:r w:rsidRPr="0071774C">
        <w:t>has</w:t>
      </w:r>
      <w:r>
        <w:t xml:space="preserve"> </w:t>
      </w:r>
      <w:r w:rsidRPr="0071774C">
        <w:t>disproportionate</w:t>
      </w:r>
      <w:r>
        <w:t xml:space="preserve"> </w:t>
      </w:r>
      <w:r w:rsidRPr="0071774C">
        <w:t>impacts</w:t>
      </w:r>
      <w:r>
        <w:t xml:space="preserve"> </w:t>
      </w:r>
      <w:r w:rsidRPr="0071774C">
        <w:t>on</w:t>
      </w:r>
      <w:r>
        <w:t xml:space="preserve"> </w:t>
      </w:r>
      <w:r w:rsidRPr="0071774C">
        <w:t>Aboriginal</w:t>
      </w:r>
      <w:r>
        <w:t xml:space="preserve"> </w:t>
      </w:r>
      <w:r w:rsidRPr="0071774C">
        <w:t>and</w:t>
      </w:r>
      <w:r>
        <w:t xml:space="preserve"> </w:t>
      </w:r>
      <w:r w:rsidRPr="0071774C">
        <w:t>Torres</w:t>
      </w:r>
      <w:r>
        <w:t xml:space="preserve"> </w:t>
      </w:r>
      <w:r w:rsidRPr="0071774C">
        <w:t>Strait</w:t>
      </w:r>
      <w:r>
        <w:t xml:space="preserve"> </w:t>
      </w:r>
      <w:r w:rsidRPr="0071774C">
        <w:t>Islander</w:t>
      </w:r>
      <w:r>
        <w:t xml:space="preserve"> </w:t>
      </w:r>
      <w:r w:rsidRPr="0071774C">
        <w:t>families</w:t>
      </w:r>
      <w:r>
        <w:t xml:space="preserve"> </w:t>
      </w:r>
      <w:r w:rsidRPr="0071774C">
        <w:t>and</w:t>
      </w:r>
      <w:r>
        <w:t xml:space="preserve"> </w:t>
      </w:r>
      <w:r w:rsidRPr="0071774C">
        <w:t>communities</w:t>
      </w:r>
      <w:r w:rsidRPr="0071774C">
        <w:rPr>
          <w:rStyle w:val="EndnoteReference"/>
          <w:szCs w:val="22"/>
        </w:rPr>
        <w:endnoteReference w:id="78"/>
      </w:r>
    </w:p>
    <w:p w14:paraId="2E4BEB73" w14:textId="77777777" w:rsidR="002C2EC7" w:rsidRDefault="002C2EC7" w:rsidP="00790783">
      <w:pPr>
        <w:pStyle w:val="OWBullet1"/>
      </w:pPr>
      <w:r w:rsidRPr="0071774C">
        <w:t>migration</w:t>
      </w:r>
      <w:r>
        <w:t xml:space="preserve"> </w:t>
      </w:r>
      <w:r w:rsidRPr="0071774C">
        <w:t>law</w:t>
      </w:r>
      <w:r>
        <w:t xml:space="preserve"> </w:t>
      </w:r>
      <w:r w:rsidRPr="0071774C">
        <w:t>reform</w:t>
      </w:r>
      <w:r>
        <w:t xml:space="preserve"> </w:t>
      </w:r>
      <w:r w:rsidRPr="0071774C">
        <w:t>that</w:t>
      </w:r>
      <w:r>
        <w:t xml:space="preserve"> </w:t>
      </w:r>
      <w:r w:rsidRPr="0071774C">
        <w:t>has</w:t>
      </w:r>
      <w:r>
        <w:t xml:space="preserve"> </w:t>
      </w:r>
      <w:r w:rsidRPr="0071774C">
        <w:t>further</w:t>
      </w:r>
      <w:r>
        <w:t xml:space="preserve"> </w:t>
      </w:r>
      <w:r w:rsidRPr="0071774C">
        <w:t>excluded</w:t>
      </w:r>
      <w:r>
        <w:t xml:space="preserve"> </w:t>
      </w:r>
      <w:r w:rsidRPr="0071774C">
        <w:t>women</w:t>
      </w:r>
      <w:r>
        <w:t xml:space="preserve"> </w:t>
      </w:r>
      <w:r w:rsidRPr="0071774C">
        <w:t>on</w:t>
      </w:r>
      <w:r>
        <w:t xml:space="preserve"> </w:t>
      </w:r>
      <w:r w:rsidRPr="0071774C">
        <w:t>temporary</w:t>
      </w:r>
      <w:r>
        <w:t xml:space="preserve"> </w:t>
      </w:r>
      <w:r w:rsidRPr="0071774C">
        <w:t>visas</w:t>
      </w:r>
      <w:r>
        <w:t xml:space="preserve"> </w:t>
      </w:r>
      <w:r w:rsidRPr="0071774C">
        <w:t>from</w:t>
      </w:r>
      <w:r>
        <w:t xml:space="preserve"> </w:t>
      </w:r>
      <w:r w:rsidRPr="0071774C">
        <w:t>accessing</w:t>
      </w:r>
      <w:r>
        <w:t xml:space="preserve"> </w:t>
      </w:r>
      <w:r w:rsidRPr="0071774C">
        <w:t>violence</w:t>
      </w:r>
      <w:r>
        <w:t xml:space="preserve"> </w:t>
      </w:r>
      <w:r w:rsidRPr="0071774C">
        <w:t>response</w:t>
      </w:r>
      <w:r>
        <w:t xml:space="preserve"> </w:t>
      </w:r>
      <w:r w:rsidRPr="0071774C">
        <w:t>services,</w:t>
      </w:r>
      <w:r>
        <w:t xml:space="preserve"> </w:t>
      </w:r>
      <w:r w:rsidRPr="0071774C">
        <w:t>income</w:t>
      </w:r>
      <w:r>
        <w:t xml:space="preserve"> </w:t>
      </w:r>
      <w:r w:rsidRPr="0071774C">
        <w:t>support</w:t>
      </w:r>
      <w:r>
        <w:t xml:space="preserve"> </w:t>
      </w:r>
      <w:r w:rsidRPr="0071774C">
        <w:t>and</w:t>
      </w:r>
      <w:r>
        <w:t xml:space="preserve"> </w:t>
      </w:r>
      <w:r w:rsidRPr="0071774C">
        <w:t>human</w:t>
      </w:r>
      <w:r>
        <w:t xml:space="preserve"> </w:t>
      </w:r>
      <w:r w:rsidRPr="0071774C">
        <w:t>services,</w:t>
      </w:r>
      <w:r>
        <w:t xml:space="preserve"> </w:t>
      </w:r>
      <w:r w:rsidRPr="0071774C">
        <w:t>including</w:t>
      </w:r>
      <w:r>
        <w:t xml:space="preserve"> </w:t>
      </w:r>
      <w:r w:rsidRPr="0071774C">
        <w:t>housing</w:t>
      </w:r>
      <w:r w:rsidRPr="0071774C">
        <w:rPr>
          <w:rStyle w:val="EndnoteReference"/>
          <w:szCs w:val="22"/>
        </w:rPr>
        <w:endnoteReference w:id="79"/>
      </w:r>
    </w:p>
    <w:p w14:paraId="31945393" w14:textId="77777777" w:rsidR="002C2EC7" w:rsidRDefault="002C2EC7" w:rsidP="00790783">
      <w:pPr>
        <w:pStyle w:val="OWBullet1"/>
      </w:pPr>
      <w:r w:rsidRPr="0071774C">
        <w:t>disability</w:t>
      </w:r>
      <w:r>
        <w:t xml:space="preserve"> </w:t>
      </w:r>
      <w:r w:rsidRPr="0071774C">
        <w:t>reform</w:t>
      </w:r>
      <w:r>
        <w:t xml:space="preserve"> </w:t>
      </w:r>
      <w:r w:rsidRPr="0071774C">
        <w:t>that</w:t>
      </w:r>
      <w:r>
        <w:t xml:space="preserve"> </w:t>
      </w:r>
      <w:r w:rsidRPr="0071774C">
        <w:t>saw</w:t>
      </w:r>
      <w:r>
        <w:t xml:space="preserve"> </w:t>
      </w:r>
      <w:r w:rsidRPr="0071774C">
        <w:t>women</w:t>
      </w:r>
      <w:r>
        <w:t xml:space="preserve"> </w:t>
      </w:r>
      <w:r w:rsidRPr="0071774C">
        <w:t>disproportionately</w:t>
      </w:r>
      <w:r>
        <w:t xml:space="preserve"> </w:t>
      </w:r>
      <w:r w:rsidRPr="0071774C">
        <w:t>impacted</w:t>
      </w:r>
      <w:r>
        <w:t xml:space="preserve"> </w:t>
      </w:r>
      <w:r w:rsidRPr="0071774C">
        <w:t>by</w:t>
      </w:r>
      <w:r>
        <w:t xml:space="preserve"> </w:t>
      </w:r>
      <w:r w:rsidRPr="0071774C">
        <w:t>2012</w:t>
      </w:r>
      <w:r>
        <w:t xml:space="preserve"> </w:t>
      </w:r>
      <w:r w:rsidRPr="0071774C">
        <w:t>changes</w:t>
      </w:r>
      <w:r>
        <w:t xml:space="preserve"> </w:t>
      </w:r>
      <w:r w:rsidRPr="0071774C">
        <w:t>to</w:t>
      </w:r>
      <w:r>
        <w:t xml:space="preserve"> </w:t>
      </w:r>
      <w:r w:rsidRPr="0071774C">
        <w:t>the</w:t>
      </w:r>
      <w:r>
        <w:t xml:space="preserve"> </w:t>
      </w:r>
      <w:r w:rsidRPr="0071774C">
        <w:t>Disability</w:t>
      </w:r>
      <w:r>
        <w:t xml:space="preserve"> </w:t>
      </w:r>
      <w:r w:rsidRPr="0071774C">
        <w:t>Support</w:t>
      </w:r>
      <w:r>
        <w:t xml:space="preserve"> </w:t>
      </w:r>
      <w:r w:rsidRPr="0071774C">
        <w:t>Pension</w:t>
      </w:r>
      <w:r>
        <w:t xml:space="preserve"> </w:t>
      </w:r>
      <w:r w:rsidRPr="0071774C">
        <w:t>when</w:t>
      </w:r>
      <w:r>
        <w:t xml:space="preserve"> </w:t>
      </w:r>
      <w:r w:rsidRPr="0071774C">
        <w:t>changes</w:t>
      </w:r>
      <w:r>
        <w:t xml:space="preserve"> </w:t>
      </w:r>
      <w:r w:rsidRPr="0071774C">
        <w:t>to</w:t>
      </w:r>
      <w:r>
        <w:t xml:space="preserve"> </w:t>
      </w:r>
      <w:r w:rsidRPr="0071774C">
        <w:t>eligibility</w:t>
      </w:r>
      <w:r>
        <w:t xml:space="preserve"> </w:t>
      </w:r>
      <w:r w:rsidRPr="0071774C">
        <w:t>criteria</w:t>
      </w:r>
      <w:r>
        <w:t xml:space="preserve"> </w:t>
      </w:r>
      <w:r w:rsidRPr="0071774C">
        <w:t>pushed</w:t>
      </w:r>
      <w:r>
        <w:t xml:space="preserve"> </w:t>
      </w:r>
      <w:r w:rsidRPr="0071774C">
        <w:t>many</w:t>
      </w:r>
      <w:r>
        <w:t xml:space="preserve"> </w:t>
      </w:r>
      <w:r w:rsidRPr="0071774C">
        <w:t>women</w:t>
      </w:r>
      <w:r>
        <w:t xml:space="preserve"> </w:t>
      </w:r>
      <w:r w:rsidRPr="0071774C">
        <w:t>onto</w:t>
      </w:r>
      <w:r>
        <w:t xml:space="preserve"> </w:t>
      </w:r>
      <w:r w:rsidRPr="0071774C">
        <w:t>Newstart,</w:t>
      </w:r>
      <w:r>
        <w:t xml:space="preserve"> </w:t>
      </w:r>
      <w:r w:rsidRPr="0071774C">
        <w:t>leading</w:t>
      </w:r>
      <w:r>
        <w:t xml:space="preserve"> </w:t>
      </w:r>
      <w:r w:rsidRPr="0071774C">
        <w:t>to</w:t>
      </w:r>
      <w:r>
        <w:t xml:space="preserve"> </w:t>
      </w:r>
      <w:r w:rsidRPr="0071774C">
        <w:t>increases</w:t>
      </w:r>
      <w:r>
        <w:t xml:space="preserve"> </w:t>
      </w:r>
      <w:r w:rsidRPr="0071774C">
        <w:t>in</w:t>
      </w:r>
      <w:r>
        <w:t xml:space="preserve"> </w:t>
      </w:r>
      <w:r w:rsidRPr="0071774C">
        <w:t>poverty</w:t>
      </w:r>
      <w:r>
        <w:t xml:space="preserve"> </w:t>
      </w:r>
      <w:r w:rsidRPr="0071774C">
        <w:t>and</w:t>
      </w:r>
      <w:r>
        <w:t xml:space="preserve"> </w:t>
      </w:r>
      <w:r w:rsidRPr="0071774C">
        <w:t>financial</w:t>
      </w:r>
      <w:r>
        <w:t xml:space="preserve"> </w:t>
      </w:r>
      <w:r w:rsidRPr="0071774C">
        <w:t>stress</w:t>
      </w:r>
      <w:r w:rsidRPr="0071774C">
        <w:rPr>
          <w:rStyle w:val="EndnoteReference"/>
          <w:szCs w:val="22"/>
        </w:rPr>
        <w:endnoteReference w:id="80"/>
      </w:r>
    </w:p>
    <w:p w14:paraId="2256FC1B" w14:textId="77777777" w:rsidR="002C2EC7" w:rsidRDefault="002C2EC7" w:rsidP="00790783">
      <w:pPr>
        <w:pStyle w:val="OWBullet1"/>
      </w:pPr>
      <w:r w:rsidRPr="0071774C">
        <w:t>implementation</w:t>
      </w:r>
      <w:r>
        <w:t xml:space="preserve"> </w:t>
      </w:r>
      <w:r w:rsidRPr="0071774C">
        <w:t>of</w:t>
      </w:r>
      <w:r>
        <w:t xml:space="preserve"> </w:t>
      </w:r>
      <w:r w:rsidRPr="0071774C">
        <w:t>the</w:t>
      </w:r>
      <w:r>
        <w:t xml:space="preserve"> </w:t>
      </w:r>
      <w:r w:rsidRPr="0071774C">
        <w:t>National</w:t>
      </w:r>
      <w:r>
        <w:t xml:space="preserve"> </w:t>
      </w:r>
      <w:r w:rsidRPr="0071774C">
        <w:t>Disability</w:t>
      </w:r>
      <w:r>
        <w:t xml:space="preserve"> </w:t>
      </w:r>
      <w:r w:rsidRPr="0071774C">
        <w:t>Insurance</w:t>
      </w:r>
      <w:r>
        <w:t xml:space="preserve"> </w:t>
      </w:r>
      <w:r w:rsidRPr="0071774C">
        <w:t>Scheme,</w:t>
      </w:r>
      <w:r>
        <w:t xml:space="preserve"> </w:t>
      </w:r>
      <w:r w:rsidRPr="0071774C">
        <w:t>which</w:t>
      </w:r>
      <w:r>
        <w:t xml:space="preserve"> </w:t>
      </w:r>
      <w:r w:rsidRPr="0071774C">
        <w:t>has</w:t>
      </w:r>
      <w:r>
        <w:t xml:space="preserve"> </w:t>
      </w:r>
      <w:r w:rsidRPr="0071774C">
        <w:t>seen</w:t>
      </w:r>
      <w:r>
        <w:t xml:space="preserve"> </w:t>
      </w:r>
      <w:r w:rsidRPr="0071774C">
        <w:t>fewer</w:t>
      </w:r>
      <w:r>
        <w:t xml:space="preserve"> </w:t>
      </w:r>
      <w:r w:rsidRPr="0071774C">
        <w:t>women</w:t>
      </w:r>
      <w:r>
        <w:t xml:space="preserve"> </w:t>
      </w:r>
      <w:r w:rsidRPr="0071774C">
        <w:t>than</w:t>
      </w:r>
      <w:r>
        <w:t xml:space="preserve"> </w:t>
      </w:r>
      <w:r w:rsidRPr="0071774C">
        <w:t>men</w:t>
      </w:r>
      <w:r>
        <w:t xml:space="preserve"> </w:t>
      </w:r>
      <w:r w:rsidRPr="0071774C">
        <w:t>accessing</w:t>
      </w:r>
      <w:r>
        <w:t xml:space="preserve"> </w:t>
      </w:r>
      <w:r w:rsidRPr="0071774C">
        <w:t>the</w:t>
      </w:r>
      <w:r>
        <w:t xml:space="preserve"> </w:t>
      </w:r>
      <w:r w:rsidRPr="0071774C">
        <w:t>scheme</w:t>
      </w:r>
      <w:r>
        <w:t>.</w:t>
      </w:r>
      <w:r w:rsidRPr="00D8674A">
        <w:rPr>
          <w:rStyle w:val="OWSuperscript"/>
        </w:rPr>
        <w:footnoteReference w:id="5"/>
      </w:r>
    </w:p>
    <w:p w14:paraId="7E125925" w14:textId="77777777" w:rsidR="002C2EC7" w:rsidRDefault="002C2EC7" w:rsidP="00790783">
      <w:pPr>
        <w:pStyle w:val="OWBodytextafterlist"/>
      </w:pPr>
      <w:r w:rsidRPr="0071774C">
        <w:t>Further</w:t>
      </w:r>
      <w:r>
        <w:t xml:space="preserve"> </w:t>
      </w:r>
      <w:r w:rsidRPr="0071774C">
        <w:t>contributions</w:t>
      </w:r>
      <w:r>
        <w:t xml:space="preserve"> </w:t>
      </w:r>
      <w:r w:rsidRPr="0071774C">
        <w:t>to</w:t>
      </w:r>
      <w:r>
        <w:t xml:space="preserve"> </w:t>
      </w:r>
      <w:r w:rsidRPr="0071774C">
        <w:t>preventing</w:t>
      </w:r>
      <w:r>
        <w:t xml:space="preserve"> </w:t>
      </w:r>
      <w:r w:rsidRPr="0071774C">
        <w:t>violence</w:t>
      </w:r>
      <w:r>
        <w:t xml:space="preserve"> </w:t>
      </w:r>
      <w:r w:rsidRPr="0071774C">
        <w:t>against</w:t>
      </w:r>
      <w:r>
        <w:t xml:space="preserve"> </w:t>
      </w:r>
      <w:r w:rsidRPr="0071774C">
        <w:t>women</w:t>
      </w:r>
      <w:r>
        <w:t xml:space="preserve"> </w:t>
      </w:r>
      <w:r w:rsidRPr="0071774C">
        <w:t>through</w:t>
      </w:r>
      <w:r>
        <w:t xml:space="preserve"> </w:t>
      </w:r>
      <w:r w:rsidRPr="0071774C">
        <w:t>policy</w:t>
      </w:r>
      <w:r>
        <w:t xml:space="preserve"> </w:t>
      </w:r>
      <w:r w:rsidRPr="0071774C">
        <w:t>and</w:t>
      </w:r>
      <w:r>
        <w:t xml:space="preserve"> </w:t>
      </w:r>
      <w:r w:rsidRPr="0071774C">
        <w:t>legislative</w:t>
      </w:r>
      <w:r>
        <w:t xml:space="preserve"> </w:t>
      </w:r>
      <w:r w:rsidRPr="0071774C">
        <w:t>reform</w:t>
      </w:r>
      <w:r>
        <w:t xml:space="preserve"> </w:t>
      </w:r>
      <w:r w:rsidRPr="0071774C">
        <w:t>could</w:t>
      </w:r>
      <w:r>
        <w:t xml:space="preserve"> </w:t>
      </w:r>
      <w:r w:rsidRPr="0071774C">
        <w:t>be</w:t>
      </w:r>
      <w:r>
        <w:t xml:space="preserve"> </w:t>
      </w:r>
      <w:r w:rsidRPr="0071774C">
        <w:t>made</w:t>
      </w:r>
      <w:r>
        <w:t xml:space="preserve"> </w:t>
      </w:r>
      <w:r w:rsidRPr="0071774C">
        <w:t>across</w:t>
      </w:r>
      <w:r>
        <w:t xml:space="preserve"> </w:t>
      </w:r>
      <w:r w:rsidRPr="0071774C">
        <w:t>diverse</w:t>
      </w:r>
      <w:r>
        <w:t xml:space="preserve"> </w:t>
      </w:r>
      <w:r w:rsidRPr="0071774C">
        <w:t>portfolios</w:t>
      </w:r>
      <w:r>
        <w:t xml:space="preserve"> </w:t>
      </w:r>
      <w:r w:rsidRPr="0071774C">
        <w:t>such</w:t>
      </w:r>
      <w:r>
        <w:t xml:space="preserve"> </w:t>
      </w:r>
      <w:r w:rsidRPr="0071774C">
        <w:t>as:</w:t>
      </w:r>
    </w:p>
    <w:p w14:paraId="20F2C945" w14:textId="77777777" w:rsidR="002C2EC7" w:rsidRDefault="002C2EC7" w:rsidP="00790783">
      <w:pPr>
        <w:pStyle w:val="OWBullet1"/>
      </w:pPr>
      <w:r w:rsidRPr="0071774C">
        <w:t>health</w:t>
      </w:r>
      <w:r>
        <w:t xml:space="preserve"> </w:t>
      </w:r>
      <w:r w:rsidRPr="0071774C">
        <w:t>(</w:t>
      </w:r>
      <w:r>
        <w:t xml:space="preserve">for example, </w:t>
      </w:r>
      <w:r w:rsidRPr="0071774C">
        <w:t>access</w:t>
      </w:r>
      <w:r>
        <w:t xml:space="preserve"> </w:t>
      </w:r>
      <w:r w:rsidRPr="0071774C">
        <w:t>to</w:t>
      </w:r>
      <w:r>
        <w:t xml:space="preserve"> </w:t>
      </w:r>
      <w:r w:rsidRPr="0071774C">
        <w:t>sexual</w:t>
      </w:r>
      <w:r>
        <w:t xml:space="preserve"> </w:t>
      </w:r>
      <w:r w:rsidRPr="0071774C">
        <w:t>and</w:t>
      </w:r>
      <w:r>
        <w:t xml:space="preserve"> </w:t>
      </w:r>
      <w:r w:rsidRPr="0071774C">
        <w:t>reproductive</w:t>
      </w:r>
      <w:r>
        <w:t xml:space="preserve"> </w:t>
      </w:r>
      <w:r w:rsidRPr="0071774C">
        <w:t>health</w:t>
      </w:r>
      <w:r>
        <w:t xml:space="preserve">, </w:t>
      </w:r>
      <w:r w:rsidRPr="0071774C">
        <w:t>and</w:t>
      </w:r>
      <w:r>
        <w:t xml:space="preserve"> </w:t>
      </w:r>
      <w:r w:rsidRPr="0071774C">
        <w:t>the</w:t>
      </w:r>
      <w:r>
        <w:t xml:space="preserve"> </w:t>
      </w:r>
      <w:r w:rsidRPr="0071774C">
        <w:t>sexual</w:t>
      </w:r>
      <w:r>
        <w:t xml:space="preserve"> </w:t>
      </w:r>
      <w:r w:rsidRPr="0071774C">
        <w:t>and</w:t>
      </w:r>
      <w:r>
        <w:t xml:space="preserve"> </w:t>
      </w:r>
      <w:r w:rsidRPr="0071774C">
        <w:t>reproductive</w:t>
      </w:r>
      <w:r>
        <w:t xml:space="preserve"> </w:t>
      </w:r>
      <w:r w:rsidRPr="0071774C">
        <w:t>rights</w:t>
      </w:r>
      <w:r>
        <w:t xml:space="preserve"> </w:t>
      </w:r>
      <w:r w:rsidRPr="0071774C">
        <w:t>of</w:t>
      </w:r>
      <w:r>
        <w:t xml:space="preserve"> </w:t>
      </w:r>
      <w:r w:rsidRPr="0071774C">
        <w:t>women</w:t>
      </w:r>
      <w:r>
        <w:t xml:space="preserve"> </w:t>
      </w:r>
      <w:r w:rsidRPr="0071774C">
        <w:t>with</w:t>
      </w:r>
      <w:r>
        <w:t xml:space="preserve"> </w:t>
      </w:r>
      <w:r w:rsidRPr="0071774C">
        <w:t>disability</w:t>
      </w:r>
      <w:r w:rsidRPr="00187A71">
        <w:rPr>
          <w:rStyle w:val="EndnoteReference"/>
          <w:bCs/>
          <w:szCs w:val="22"/>
        </w:rPr>
        <w:endnoteReference w:id="81"/>
      </w:r>
      <w:r w:rsidRPr="0071774C">
        <w:t>)</w:t>
      </w:r>
    </w:p>
    <w:p w14:paraId="1D20140A" w14:textId="77777777" w:rsidR="002C2EC7" w:rsidRPr="0071774C" w:rsidRDefault="002C2EC7" w:rsidP="00790783">
      <w:pPr>
        <w:pStyle w:val="OWBullet1"/>
      </w:pPr>
      <w:r w:rsidRPr="0071774C">
        <w:t>education</w:t>
      </w:r>
      <w:r>
        <w:t xml:space="preserve"> </w:t>
      </w:r>
      <w:r w:rsidRPr="0071774C">
        <w:t>(</w:t>
      </w:r>
      <w:r>
        <w:t xml:space="preserve">for example, </w:t>
      </w:r>
      <w:r w:rsidRPr="0071774C">
        <w:t>availability</w:t>
      </w:r>
      <w:r>
        <w:t xml:space="preserve"> </w:t>
      </w:r>
      <w:r w:rsidRPr="0071774C">
        <w:t>of</w:t>
      </w:r>
      <w:r>
        <w:t xml:space="preserve"> </w:t>
      </w:r>
      <w:r w:rsidRPr="0071774C">
        <w:t>and</w:t>
      </w:r>
      <w:r>
        <w:t xml:space="preserve"> </w:t>
      </w:r>
      <w:r w:rsidRPr="0071774C">
        <w:t>access</w:t>
      </w:r>
      <w:r>
        <w:t xml:space="preserve"> </w:t>
      </w:r>
      <w:r w:rsidRPr="0071774C">
        <w:t>to</w:t>
      </w:r>
      <w:r>
        <w:t xml:space="preserve"> r</w:t>
      </w:r>
      <w:r w:rsidRPr="0071774C">
        <w:t>espectful</w:t>
      </w:r>
      <w:r>
        <w:t xml:space="preserve"> r</w:t>
      </w:r>
      <w:r w:rsidRPr="0071774C">
        <w:t>elationships</w:t>
      </w:r>
      <w:r>
        <w:t xml:space="preserve"> e</w:t>
      </w:r>
      <w:r w:rsidRPr="0071774C">
        <w:t>ducation)</w:t>
      </w:r>
    </w:p>
    <w:p w14:paraId="72AD9168" w14:textId="77777777" w:rsidR="002C2EC7" w:rsidRPr="0071774C" w:rsidRDefault="002C2EC7" w:rsidP="00790783">
      <w:pPr>
        <w:pStyle w:val="OWBullet1"/>
      </w:pPr>
      <w:r w:rsidRPr="0071774C">
        <w:t>justice</w:t>
      </w:r>
      <w:r>
        <w:t xml:space="preserve"> </w:t>
      </w:r>
      <w:r w:rsidRPr="0071774C">
        <w:t>(</w:t>
      </w:r>
      <w:r>
        <w:t xml:space="preserve">for example, </w:t>
      </w:r>
      <w:r w:rsidRPr="0071774C">
        <w:t>implementing</w:t>
      </w:r>
      <w:r>
        <w:t xml:space="preserve"> </w:t>
      </w:r>
      <w:r w:rsidRPr="0071774C">
        <w:t>recommendations</w:t>
      </w:r>
      <w:r>
        <w:t xml:space="preserve"> </w:t>
      </w:r>
      <w:r w:rsidRPr="0071774C">
        <w:t>from</w:t>
      </w:r>
      <w:r>
        <w:t xml:space="preserve"> </w:t>
      </w:r>
      <w:r w:rsidRPr="0071774C">
        <w:t>the</w:t>
      </w:r>
      <w:r>
        <w:t xml:space="preserve"> </w:t>
      </w:r>
      <w:r w:rsidRPr="0071774C">
        <w:t>Royal</w:t>
      </w:r>
      <w:r>
        <w:t xml:space="preserve"> </w:t>
      </w:r>
      <w:r w:rsidRPr="0071774C">
        <w:t>Commission</w:t>
      </w:r>
      <w:r>
        <w:t xml:space="preserve"> </w:t>
      </w:r>
      <w:r w:rsidRPr="0071774C">
        <w:t>into</w:t>
      </w:r>
      <w:r>
        <w:t xml:space="preserve"> </w:t>
      </w:r>
      <w:r w:rsidRPr="0071774C">
        <w:t>Aboriginal</w:t>
      </w:r>
      <w:r>
        <w:t xml:space="preserve"> </w:t>
      </w:r>
      <w:r w:rsidRPr="0071774C">
        <w:t>Deaths</w:t>
      </w:r>
      <w:r>
        <w:t xml:space="preserve"> </w:t>
      </w:r>
      <w:r w:rsidRPr="0071774C">
        <w:t>in</w:t>
      </w:r>
      <w:r>
        <w:t xml:space="preserve"> </w:t>
      </w:r>
      <w:r w:rsidRPr="0071774C">
        <w:t>Custody</w:t>
      </w:r>
      <w:r>
        <w:t xml:space="preserve"> </w:t>
      </w:r>
      <w:r w:rsidRPr="0071774C">
        <w:t>report</w:t>
      </w:r>
      <w:r w:rsidRPr="00187A71">
        <w:rPr>
          <w:rStyle w:val="EndnoteReference"/>
          <w:bCs/>
          <w:szCs w:val="22"/>
        </w:rPr>
        <w:endnoteReference w:id="82"/>
      </w:r>
      <w:r>
        <w:t xml:space="preserve"> </w:t>
      </w:r>
      <w:r w:rsidRPr="0071774C">
        <w:t>and</w:t>
      </w:r>
      <w:r>
        <w:t xml:space="preserve"> </w:t>
      </w:r>
      <w:r w:rsidRPr="0071774C">
        <w:t>the</w:t>
      </w:r>
      <w:r>
        <w:t xml:space="preserve"> </w:t>
      </w:r>
      <w:r w:rsidRPr="0071774C">
        <w:t>Human</w:t>
      </w:r>
      <w:r>
        <w:t xml:space="preserve"> </w:t>
      </w:r>
      <w:r w:rsidRPr="0071774C">
        <w:t>Rights</w:t>
      </w:r>
      <w:r>
        <w:t xml:space="preserve"> </w:t>
      </w:r>
      <w:r w:rsidRPr="0071774C">
        <w:t>Law</w:t>
      </w:r>
      <w:r>
        <w:t xml:space="preserve"> </w:t>
      </w:r>
      <w:r w:rsidRPr="0071774C">
        <w:t>Centre</w:t>
      </w:r>
      <w:r>
        <w:t xml:space="preserve"> </w:t>
      </w:r>
      <w:r w:rsidRPr="0071774C">
        <w:t>and</w:t>
      </w:r>
      <w:r>
        <w:t xml:space="preserve"> </w:t>
      </w:r>
      <w:r w:rsidRPr="0071774C">
        <w:t>Change</w:t>
      </w:r>
      <w:r>
        <w:t xml:space="preserve"> </w:t>
      </w:r>
      <w:r w:rsidRPr="0071774C">
        <w:t>the</w:t>
      </w:r>
      <w:r>
        <w:t xml:space="preserve"> </w:t>
      </w:r>
      <w:r w:rsidRPr="0071774C">
        <w:t>Record</w:t>
      </w:r>
      <w:r>
        <w:t xml:space="preserve"> </w:t>
      </w:r>
      <w:r w:rsidRPr="0071774C">
        <w:t>report</w:t>
      </w:r>
      <w:r>
        <w:t xml:space="preserve"> </w:t>
      </w:r>
      <w:r w:rsidRPr="0071774C">
        <w:t>into</w:t>
      </w:r>
      <w:r>
        <w:t xml:space="preserve"> </w:t>
      </w:r>
      <w:r w:rsidRPr="0071774C">
        <w:t>Aboriginal</w:t>
      </w:r>
      <w:r>
        <w:t xml:space="preserve"> </w:t>
      </w:r>
      <w:r w:rsidRPr="0071774C">
        <w:t>and</w:t>
      </w:r>
      <w:r>
        <w:t xml:space="preserve"> </w:t>
      </w:r>
      <w:r w:rsidRPr="0071774C">
        <w:t>Torres</w:t>
      </w:r>
      <w:r>
        <w:t xml:space="preserve"> </w:t>
      </w:r>
      <w:r w:rsidRPr="0071774C">
        <w:t>Strait</w:t>
      </w:r>
      <w:r>
        <w:t xml:space="preserve"> </w:t>
      </w:r>
      <w:r w:rsidRPr="0071774C">
        <w:t>Islander</w:t>
      </w:r>
      <w:r>
        <w:t xml:space="preserve"> </w:t>
      </w:r>
      <w:r w:rsidRPr="0071774C">
        <w:t>Women’s</w:t>
      </w:r>
      <w:r>
        <w:t xml:space="preserve"> o</w:t>
      </w:r>
      <w:r w:rsidRPr="0071774C">
        <w:t>ver-imprisonment</w:t>
      </w:r>
      <w:r w:rsidRPr="00187A71">
        <w:rPr>
          <w:rStyle w:val="EndnoteReference"/>
          <w:bCs/>
          <w:szCs w:val="22"/>
        </w:rPr>
        <w:endnoteReference w:id="83"/>
      </w:r>
      <w:r w:rsidRPr="0071774C">
        <w:t>),</w:t>
      </w:r>
    </w:p>
    <w:p w14:paraId="07B03174" w14:textId="77777777" w:rsidR="002C2EC7" w:rsidRDefault="002C2EC7" w:rsidP="00790783">
      <w:pPr>
        <w:pStyle w:val="OWBullet1"/>
      </w:pPr>
      <w:r w:rsidRPr="0071774C">
        <w:t>housing</w:t>
      </w:r>
      <w:r>
        <w:t xml:space="preserve"> </w:t>
      </w:r>
      <w:r w:rsidRPr="0071774C">
        <w:t>(because</w:t>
      </w:r>
      <w:r>
        <w:t xml:space="preserve"> the </w:t>
      </w:r>
      <w:r w:rsidRPr="0071774C">
        <w:t>risk</w:t>
      </w:r>
      <w:r>
        <w:t xml:space="preserve"> </w:t>
      </w:r>
      <w:r w:rsidRPr="0071774C">
        <w:t>of</w:t>
      </w:r>
      <w:r>
        <w:t xml:space="preserve"> </w:t>
      </w:r>
      <w:r w:rsidRPr="0071774C">
        <w:t>homelessness</w:t>
      </w:r>
      <w:r>
        <w:t xml:space="preserve"> </w:t>
      </w:r>
      <w:r w:rsidRPr="0071774C">
        <w:t>and</w:t>
      </w:r>
      <w:r>
        <w:t xml:space="preserve"> </w:t>
      </w:r>
      <w:r w:rsidRPr="0071774C">
        <w:t>insecure</w:t>
      </w:r>
      <w:r>
        <w:t xml:space="preserve"> </w:t>
      </w:r>
      <w:r w:rsidRPr="0071774C">
        <w:t>housing</w:t>
      </w:r>
      <w:r>
        <w:t xml:space="preserve"> </w:t>
      </w:r>
      <w:r w:rsidRPr="0071774C">
        <w:t>increases</w:t>
      </w:r>
      <w:r>
        <w:t xml:space="preserve"> </w:t>
      </w:r>
      <w:r w:rsidRPr="0071774C">
        <w:t>the</w:t>
      </w:r>
      <w:r>
        <w:t xml:space="preserve"> </w:t>
      </w:r>
      <w:r w:rsidRPr="0071774C">
        <w:t>likelihood</w:t>
      </w:r>
      <w:r>
        <w:t xml:space="preserve"> </w:t>
      </w:r>
      <w:r w:rsidRPr="0071774C">
        <w:t>that</w:t>
      </w:r>
      <w:r>
        <w:t xml:space="preserve"> </w:t>
      </w:r>
      <w:r w:rsidRPr="0071774C">
        <w:t>women</w:t>
      </w:r>
      <w:r>
        <w:t xml:space="preserve"> </w:t>
      </w:r>
      <w:r w:rsidRPr="0071774C">
        <w:t>will</w:t>
      </w:r>
      <w:r>
        <w:t xml:space="preserve"> </w:t>
      </w:r>
      <w:r w:rsidRPr="0071774C">
        <w:t>be</w:t>
      </w:r>
      <w:r>
        <w:t xml:space="preserve"> </w:t>
      </w:r>
      <w:r w:rsidRPr="0071774C">
        <w:t>subjected</w:t>
      </w:r>
      <w:r>
        <w:t xml:space="preserve"> </w:t>
      </w:r>
      <w:r w:rsidRPr="0071774C">
        <w:t>to</w:t>
      </w:r>
      <w:r>
        <w:t xml:space="preserve"> </w:t>
      </w:r>
      <w:r w:rsidRPr="0071774C">
        <w:t>violence</w:t>
      </w:r>
      <w:r w:rsidRPr="0071774C">
        <w:rPr>
          <w:rStyle w:val="EndnoteReference"/>
          <w:szCs w:val="22"/>
        </w:rPr>
        <w:endnoteReference w:id="84"/>
      </w:r>
      <w:r w:rsidRPr="0071774C">
        <w:t>)</w:t>
      </w:r>
      <w:r>
        <w:t>.</w:t>
      </w:r>
    </w:p>
    <w:p w14:paraId="63170D3C" w14:textId="77777777" w:rsidR="00430EF6" w:rsidRPr="00430EF6" w:rsidRDefault="00430EF6" w:rsidP="00430EF6">
      <w:pPr>
        <w:pStyle w:val="BodyText"/>
      </w:pPr>
      <w:r w:rsidRPr="00430EF6">
        <w:br w:type="page"/>
      </w:r>
    </w:p>
    <w:p w14:paraId="0D65ED8F" w14:textId="19E78CF3" w:rsidR="002C2EC7" w:rsidRDefault="002C2EC7" w:rsidP="00851841">
      <w:pPr>
        <w:pStyle w:val="OWBodytextafterlist"/>
      </w:pPr>
      <w:r w:rsidRPr="00232DD1">
        <w:lastRenderedPageBreak/>
        <w:t>To</w:t>
      </w:r>
      <w:r>
        <w:t xml:space="preserve"> </w:t>
      </w:r>
      <w:r w:rsidRPr="00232DD1">
        <w:t>prevent</w:t>
      </w:r>
      <w:r>
        <w:t xml:space="preserve"> </w:t>
      </w:r>
      <w:r w:rsidRPr="00232DD1">
        <w:t>violence</w:t>
      </w:r>
      <w:r>
        <w:t xml:space="preserve"> </w:t>
      </w:r>
      <w:r w:rsidRPr="00232DD1">
        <w:t>against</w:t>
      </w:r>
      <w:r>
        <w:t xml:space="preserve"> </w:t>
      </w:r>
      <w:r w:rsidRPr="00232DD1">
        <w:t>women,</w:t>
      </w:r>
      <w:r>
        <w:t xml:space="preserve"> </w:t>
      </w:r>
      <w:r w:rsidRPr="00232DD1">
        <w:t>legislative</w:t>
      </w:r>
      <w:r>
        <w:t xml:space="preserve"> </w:t>
      </w:r>
      <w:r w:rsidRPr="00232DD1">
        <w:t>reform</w:t>
      </w:r>
      <w:r>
        <w:t xml:space="preserve"> </w:t>
      </w:r>
      <w:r w:rsidRPr="00232DD1">
        <w:t>across</w:t>
      </w:r>
      <w:r>
        <w:t xml:space="preserve"> </w:t>
      </w:r>
      <w:r w:rsidRPr="00232DD1">
        <w:t>a</w:t>
      </w:r>
      <w:r>
        <w:t xml:space="preserve"> </w:t>
      </w:r>
      <w:r w:rsidRPr="00232DD1">
        <w:t>broad</w:t>
      </w:r>
      <w:r>
        <w:t xml:space="preserve"> </w:t>
      </w:r>
      <w:r w:rsidRPr="00232DD1">
        <w:t>range</w:t>
      </w:r>
      <w:r>
        <w:t xml:space="preserve"> </w:t>
      </w:r>
      <w:r w:rsidRPr="00232DD1">
        <w:t>of</w:t>
      </w:r>
      <w:r>
        <w:t xml:space="preserve"> </w:t>
      </w:r>
      <w:r w:rsidRPr="00232DD1">
        <w:t>social</w:t>
      </w:r>
      <w:r>
        <w:t xml:space="preserve"> </w:t>
      </w:r>
      <w:r w:rsidRPr="00232DD1">
        <w:t>policy</w:t>
      </w:r>
      <w:r>
        <w:t xml:space="preserve"> </w:t>
      </w:r>
      <w:r w:rsidRPr="00232DD1">
        <w:t>areas</w:t>
      </w:r>
      <w:r>
        <w:t xml:space="preserve"> </w:t>
      </w:r>
      <w:r w:rsidRPr="00232DD1">
        <w:t>must</w:t>
      </w:r>
      <w:r>
        <w:t xml:space="preserve"> </w:t>
      </w:r>
      <w:r w:rsidRPr="00232DD1">
        <w:t>consider</w:t>
      </w:r>
      <w:r>
        <w:t xml:space="preserve"> </w:t>
      </w:r>
      <w:r w:rsidRPr="00232DD1">
        <w:t>all</w:t>
      </w:r>
      <w:r>
        <w:t xml:space="preserve"> </w:t>
      </w:r>
      <w:r w:rsidRPr="00232DD1">
        <w:t>impacts</w:t>
      </w:r>
      <w:r>
        <w:t xml:space="preserve"> </w:t>
      </w:r>
      <w:r w:rsidRPr="00232DD1">
        <w:t>on</w:t>
      </w:r>
      <w:r>
        <w:t xml:space="preserve"> </w:t>
      </w:r>
      <w:r w:rsidRPr="00232DD1">
        <w:t>women,</w:t>
      </w:r>
      <w:r>
        <w:t xml:space="preserve"> </w:t>
      </w:r>
      <w:r w:rsidRPr="00232DD1">
        <w:t>identifying</w:t>
      </w:r>
      <w:r>
        <w:t xml:space="preserve"> </w:t>
      </w:r>
      <w:r w:rsidRPr="00232DD1">
        <w:t>how</w:t>
      </w:r>
      <w:r>
        <w:t xml:space="preserve"> </w:t>
      </w:r>
      <w:r w:rsidRPr="00232DD1">
        <w:t>the</w:t>
      </w:r>
      <w:r>
        <w:t xml:space="preserve"> </w:t>
      </w:r>
      <w:r w:rsidRPr="00232DD1">
        <w:t>intersections</w:t>
      </w:r>
      <w:r>
        <w:t xml:space="preserve"> </w:t>
      </w:r>
      <w:r w:rsidRPr="00232DD1">
        <w:t>of</w:t>
      </w:r>
      <w:r>
        <w:t xml:space="preserve"> </w:t>
      </w:r>
      <w:r w:rsidRPr="00232DD1">
        <w:t>sexism</w:t>
      </w:r>
      <w:r>
        <w:t xml:space="preserve"> </w:t>
      </w:r>
      <w:r w:rsidRPr="00232DD1">
        <w:t>and</w:t>
      </w:r>
      <w:r>
        <w:t xml:space="preserve"> </w:t>
      </w:r>
      <w:r w:rsidRPr="00232DD1">
        <w:t>other</w:t>
      </w:r>
      <w:r>
        <w:t xml:space="preserve"> </w:t>
      </w:r>
      <w:r w:rsidRPr="00232DD1">
        <w:t>forms</w:t>
      </w:r>
      <w:r>
        <w:t xml:space="preserve"> </w:t>
      </w:r>
      <w:r w:rsidRPr="00232DD1">
        <w:t>of</w:t>
      </w:r>
      <w:r>
        <w:t xml:space="preserve"> </w:t>
      </w:r>
      <w:r w:rsidRPr="00232DD1">
        <w:t>discrimination</w:t>
      </w:r>
      <w:r>
        <w:t xml:space="preserve"> </w:t>
      </w:r>
      <w:r w:rsidRPr="00232DD1">
        <w:t>are</w:t>
      </w:r>
      <w:r>
        <w:t xml:space="preserve"> </w:t>
      </w:r>
      <w:r w:rsidRPr="00232DD1">
        <w:t>considered</w:t>
      </w:r>
      <w:r>
        <w:t xml:space="preserve"> </w:t>
      </w:r>
      <w:r w:rsidRPr="00232DD1">
        <w:t>in</w:t>
      </w:r>
      <w:r>
        <w:t xml:space="preserve"> </w:t>
      </w:r>
      <w:r w:rsidRPr="00232DD1">
        <w:t>the</w:t>
      </w:r>
      <w:r>
        <w:t xml:space="preserve"> </w:t>
      </w:r>
      <w:r w:rsidRPr="00232DD1">
        <w:t>legislation</w:t>
      </w:r>
      <w:r>
        <w:t xml:space="preserve"> </w:t>
      </w:r>
      <w:r w:rsidRPr="00232DD1">
        <w:t>itself,</w:t>
      </w:r>
      <w:r>
        <w:t xml:space="preserve"> </w:t>
      </w:r>
      <w:r w:rsidRPr="00232DD1">
        <w:t>and</w:t>
      </w:r>
      <w:r>
        <w:t xml:space="preserve"> </w:t>
      </w:r>
      <w:r w:rsidRPr="00232DD1">
        <w:t>the</w:t>
      </w:r>
      <w:r>
        <w:t xml:space="preserve"> </w:t>
      </w:r>
      <w:r w:rsidRPr="00232DD1">
        <w:t>ways</w:t>
      </w:r>
      <w:r>
        <w:t xml:space="preserve"> </w:t>
      </w:r>
      <w:r w:rsidRPr="00232DD1">
        <w:t>in</w:t>
      </w:r>
      <w:r>
        <w:t xml:space="preserve"> </w:t>
      </w:r>
      <w:r w:rsidRPr="00232DD1">
        <w:t>which</w:t>
      </w:r>
      <w:r>
        <w:t xml:space="preserve"> </w:t>
      </w:r>
      <w:r w:rsidRPr="00232DD1">
        <w:t>legislation</w:t>
      </w:r>
      <w:r>
        <w:t xml:space="preserve"> </w:t>
      </w:r>
      <w:r w:rsidRPr="00232DD1">
        <w:t>is</w:t>
      </w:r>
      <w:r>
        <w:t xml:space="preserve"> </w:t>
      </w:r>
      <w:r w:rsidRPr="00232DD1">
        <w:t>implemented.</w:t>
      </w:r>
      <w:r>
        <w:t xml:space="preserve"> </w:t>
      </w:r>
      <w:r w:rsidRPr="00232DD1">
        <w:t>Currently,</w:t>
      </w:r>
      <w:r>
        <w:t xml:space="preserve"> </w:t>
      </w:r>
      <w:r w:rsidRPr="00232DD1">
        <w:t>underlying</w:t>
      </w:r>
      <w:r>
        <w:t xml:space="preserve"> </w:t>
      </w:r>
      <w:r w:rsidRPr="00232DD1">
        <w:t>systemic</w:t>
      </w:r>
      <w:r>
        <w:t xml:space="preserve"> </w:t>
      </w:r>
      <w:r w:rsidRPr="00232DD1">
        <w:t>discrimination</w:t>
      </w:r>
      <w:r>
        <w:t xml:space="preserve"> </w:t>
      </w:r>
      <w:r w:rsidRPr="00232DD1">
        <w:t>leads</w:t>
      </w:r>
      <w:r>
        <w:t xml:space="preserve"> </w:t>
      </w:r>
      <w:r w:rsidRPr="00232DD1">
        <w:t>to</w:t>
      </w:r>
      <w:r>
        <w:t xml:space="preserve"> </w:t>
      </w:r>
      <w:r w:rsidRPr="00232DD1">
        <w:t>institutionalised</w:t>
      </w:r>
      <w:r>
        <w:t xml:space="preserve"> </w:t>
      </w:r>
      <w:r w:rsidRPr="00232DD1">
        <w:t>forms</w:t>
      </w:r>
      <w:r>
        <w:t xml:space="preserve"> </w:t>
      </w:r>
      <w:r w:rsidRPr="00232DD1">
        <w:t>of</w:t>
      </w:r>
      <w:r>
        <w:t xml:space="preserve"> </w:t>
      </w:r>
      <w:r w:rsidRPr="00232DD1">
        <w:t>violence</w:t>
      </w:r>
      <w:r>
        <w:t xml:space="preserve"> </w:t>
      </w:r>
      <w:r w:rsidRPr="00232DD1">
        <w:t>against</w:t>
      </w:r>
      <w:r>
        <w:t xml:space="preserve"> </w:t>
      </w:r>
      <w:r w:rsidRPr="00232DD1">
        <w:t>women,</w:t>
      </w:r>
      <w:r>
        <w:t xml:space="preserve"> </w:t>
      </w:r>
      <w:r w:rsidRPr="00232DD1">
        <w:t>for</w:t>
      </w:r>
      <w:r>
        <w:t xml:space="preserve"> </w:t>
      </w:r>
      <w:r w:rsidRPr="00232DD1">
        <w:t>example</w:t>
      </w:r>
      <w:r>
        <w:t xml:space="preserve"> </w:t>
      </w:r>
      <w:r w:rsidRPr="00232DD1">
        <w:t>violence</w:t>
      </w:r>
      <w:r>
        <w:t xml:space="preserve"> </w:t>
      </w:r>
      <w:r w:rsidRPr="00232DD1">
        <w:t>perpetrated</w:t>
      </w:r>
      <w:r>
        <w:t xml:space="preserve"> </w:t>
      </w:r>
      <w:r w:rsidRPr="00232DD1">
        <w:t>through</w:t>
      </w:r>
      <w:r>
        <w:t xml:space="preserve"> </w:t>
      </w:r>
      <w:r w:rsidRPr="00232DD1">
        <w:t>the</w:t>
      </w:r>
      <w:r>
        <w:t xml:space="preserve"> </w:t>
      </w:r>
      <w:r w:rsidRPr="00232DD1">
        <w:t>criminal</w:t>
      </w:r>
      <w:r>
        <w:t xml:space="preserve"> </w:t>
      </w:r>
      <w:r w:rsidRPr="00232DD1">
        <w:t>justice</w:t>
      </w:r>
      <w:r>
        <w:t xml:space="preserve"> </w:t>
      </w:r>
      <w:r w:rsidRPr="00232DD1">
        <w:t>system,</w:t>
      </w:r>
      <w:r w:rsidRPr="225E513A">
        <w:rPr>
          <w:rStyle w:val="EndnoteReference"/>
        </w:rPr>
        <w:endnoteReference w:id="85"/>
      </w:r>
      <w:r>
        <w:t xml:space="preserve"> </w:t>
      </w:r>
      <w:r w:rsidRPr="00232DD1">
        <w:t>immigration</w:t>
      </w:r>
      <w:r>
        <w:t xml:space="preserve"> </w:t>
      </w:r>
      <w:r w:rsidRPr="00232DD1">
        <w:t>processing</w:t>
      </w:r>
      <w:r>
        <w:t xml:space="preserve"> </w:t>
      </w:r>
      <w:r w:rsidRPr="00232DD1">
        <w:t>system,</w:t>
      </w:r>
      <w:r w:rsidRPr="225E513A">
        <w:rPr>
          <w:rStyle w:val="EndnoteReference"/>
        </w:rPr>
        <w:endnoteReference w:id="86"/>
      </w:r>
      <w:r>
        <w:t xml:space="preserve"> </w:t>
      </w:r>
      <w:r w:rsidRPr="00232DD1">
        <w:t>out-of-home</w:t>
      </w:r>
      <w:r>
        <w:t xml:space="preserve"> </w:t>
      </w:r>
      <w:r w:rsidRPr="00232DD1">
        <w:t>care</w:t>
      </w:r>
      <w:r>
        <w:t xml:space="preserve"> </w:t>
      </w:r>
      <w:r w:rsidRPr="00232DD1">
        <w:t>system</w:t>
      </w:r>
      <w:r w:rsidRPr="225E513A">
        <w:rPr>
          <w:rStyle w:val="EndnoteReference"/>
        </w:rPr>
        <w:endnoteReference w:id="87"/>
      </w:r>
      <w:r>
        <w:t xml:space="preserve"> </w:t>
      </w:r>
      <w:r w:rsidRPr="00232DD1">
        <w:t>or</w:t>
      </w:r>
      <w:r>
        <w:t xml:space="preserve"> </w:t>
      </w:r>
      <w:r w:rsidRPr="00232DD1">
        <w:t>specialist</w:t>
      </w:r>
      <w:r>
        <w:t xml:space="preserve"> </w:t>
      </w:r>
      <w:r w:rsidRPr="00232DD1">
        <w:t>disability</w:t>
      </w:r>
      <w:r>
        <w:t xml:space="preserve"> </w:t>
      </w:r>
      <w:r w:rsidRPr="00232DD1">
        <w:t>services</w:t>
      </w:r>
      <w:r>
        <w:t xml:space="preserve"> </w:t>
      </w:r>
      <w:r w:rsidRPr="00232DD1">
        <w:t>system</w:t>
      </w:r>
      <w:r>
        <w:t xml:space="preserve"> </w:t>
      </w:r>
      <w:r w:rsidRPr="00232DD1">
        <w:t>–</w:t>
      </w:r>
      <w:r>
        <w:t xml:space="preserve"> </w:t>
      </w:r>
      <w:r w:rsidRPr="00232DD1">
        <w:t>violence</w:t>
      </w:r>
      <w:r>
        <w:t xml:space="preserve"> </w:t>
      </w:r>
      <w:r w:rsidRPr="00232DD1">
        <w:t>which</w:t>
      </w:r>
      <w:r>
        <w:t xml:space="preserve"> </w:t>
      </w:r>
      <w:r w:rsidRPr="00232DD1">
        <w:t>is</w:t>
      </w:r>
      <w:r>
        <w:t xml:space="preserve"> </w:t>
      </w:r>
      <w:r w:rsidRPr="00232DD1">
        <w:t>often</w:t>
      </w:r>
      <w:r>
        <w:t xml:space="preserve"> </w:t>
      </w:r>
      <w:r w:rsidRPr="00232DD1">
        <w:t>condoned</w:t>
      </w:r>
      <w:r>
        <w:t xml:space="preserve"> </w:t>
      </w:r>
      <w:r w:rsidRPr="00232DD1">
        <w:t>through</w:t>
      </w:r>
      <w:r>
        <w:t xml:space="preserve"> </w:t>
      </w:r>
      <w:r w:rsidRPr="00232DD1">
        <w:t>the</w:t>
      </w:r>
      <w:r>
        <w:t xml:space="preserve"> </w:t>
      </w:r>
      <w:r w:rsidRPr="00232DD1">
        <w:t>regulatory</w:t>
      </w:r>
      <w:r>
        <w:t xml:space="preserve"> </w:t>
      </w:r>
      <w:r w:rsidRPr="00232DD1">
        <w:t>and</w:t>
      </w:r>
      <w:r>
        <w:t xml:space="preserve"> </w:t>
      </w:r>
      <w:r w:rsidRPr="00232DD1">
        <w:t>legislative</w:t>
      </w:r>
      <w:r>
        <w:t xml:space="preserve"> </w:t>
      </w:r>
      <w:r w:rsidRPr="00232DD1">
        <w:t>environment</w:t>
      </w:r>
      <w:r>
        <w:t xml:space="preserve"> </w:t>
      </w:r>
      <w:r w:rsidRPr="00232DD1">
        <w:t>attached</w:t>
      </w:r>
      <w:r>
        <w:t xml:space="preserve"> </w:t>
      </w:r>
      <w:r w:rsidRPr="00232DD1">
        <w:t>to</w:t>
      </w:r>
      <w:r>
        <w:t xml:space="preserve"> </w:t>
      </w:r>
      <w:r w:rsidRPr="00232DD1">
        <w:t>such</w:t>
      </w:r>
      <w:r>
        <w:t xml:space="preserve"> </w:t>
      </w:r>
      <w:r w:rsidRPr="00232DD1">
        <w:t>institutions.</w:t>
      </w:r>
      <w:r>
        <w:t xml:space="preserve"> </w:t>
      </w:r>
      <w:r w:rsidRPr="00232DD1">
        <w:t>The</w:t>
      </w:r>
      <w:r>
        <w:t xml:space="preserve"> </w:t>
      </w:r>
      <w:r w:rsidRPr="00232DD1">
        <w:t>persistence</w:t>
      </w:r>
      <w:r>
        <w:t xml:space="preserve"> </w:t>
      </w:r>
      <w:r w:rsidRPr="00232DD1">
        <w:t>of</w:t>
      </w:r>
      <w:r>
        <w:t xml:space="preserve"> </w:t>
      </w:r>
      <w:r w:rsidRPr="00232DD1">
        <w:t>such</w:t>
      </w:r>
      <w:r>
        <w:t xml:space="preserve"> </w:t>
      </w:r>
      <w:r w:rsidRPr="00232DD1">
        <w:t>forms</w:t>
      </w:r>
      <w:r>
        <w:t xml:space="preserve"> </w:t>
      </w:r>
      <w:r w:rsidRPr="00232DD1">
        <w:t>of</w:t>
      </w:r>
      <w:r>
        <w:t xml:space="preserve"> </w:t>
      </w:r>
      <w:r w:rsidRPr="00232DD1">
        <w:t>violence</w:t>
      </w:r>
      <w:r>
        <w:t xml:space="preserve"> </w:t>
      </w:r>
      <w:r w:rsidRPr="00232DD1">
        <w:t>highlights</w:t>
      </w:r>
      <w:r>
        <w:t xml:space="preserve"> </w:t>
      </w:r>
      <w:r w:rsidRPr="00232DD1">
        <w:t>the</w:t>
      </w:r>
      <w:r>
        <w:t xml:space="preserve"> </w:t>
      </w:r>
      <w:r w:rsidRPr="00232DD1">
        <w:t>urgency</w:t>
      </w:r>
      <w:r>
        <w:t xml:space="preserve"> </w:t>
      </w:r>
      <w:r w:rsidRPr="00232DD1">
        <w:t>of</w:t>
      </w:r>
      <w:r>
        <w:t xml:space="preserve"> </w:t>
      </w:r>
      <w:r w:rsidRPr="00232DD1">
        <w:t>ensuring</w:t>
      </w:r>
      <w:r>
        <w:t xml:space="preserve"> </w:t>
      </w:r>
      <w:r w:rsidRPr="00232DD1">
        <w:t>legislative</w:t>
      </w:r>
      <w:r>
        <w:t xml:space="preserve"> </w:t>
      </w:r>
      <w:r w:rsidRPr="00232DD1">
        <w:t>reform</w:t>
      </w:r>
      <w:r>
        <w:t xml:space="preserve"> </w:t>
      </w:r>
      <w:r w:rsidRPr="00232DD1">
        <w:t>priorities</w:t>
      </w:r>
      <w:r>
        <w:t xml:space="preserve"> </w:t>
      </w:r>
      <w:r w:rsidRPr="00232DD1">
        <w:t>are</w:t>
      </w:r>
      <w:r>
        <w:t xml:space="preserve"> </w:t>
      </w:r>
      <w:r w:rsidRPr="00232DD1">
        <w:t>established</w:t>
      </w:r>
      <w:r>
        <w:t xml:space="preserve"> </w:t>
      </w:r>
      <w:r w:rsidRPr="00232DD1">
        <w:t>through</w:t>
      </w:r>
      <w:r>
        <w:t xml:space="preserve"> </w:t>
      </w:r>
      <w:r w:rsidRPr="00232DD1">
        <w:t>partnerships</w:t>
      </w:r>
      <w:r>
        <w:t xml:space="preserve"> </w:t>
      </w:r>
      <w:r w:rsidRPr="00232DD1">
        <w:t>led</w:t>
      </w:r>
      <w:r>
        <w:t xml:space="preserve"> </w:t>
      </w:r>
      <w:r w:rsidRPr="00232DD1">
        <w:t>by</w:t>
      </w:r>
      <w:r>
        <w:t xml:space="preserve"> </w:t>
      </w:r>
      <w:r w:rsidRPr="00232DD1">
        <w:t>those</w:t>
      </w:r>
      <w:r>
        <w:t xml:space="preserve"> </w:t>
      </w:r>
      <w:r w:rsidRPr="00232DD1">
        <w:t>women</w:t>
      </w:r>
      <w:r>
        <w:t xml:space="preserve"> </w:t>
      </w:r>
      <w:r w:rsidRPr="00232DD1">
        <w:t>who</w:t>
      </w:r>
      <w:r>
        <w:t xml:space="preserve"> </w:t>
      </w:r>
      <w:r w:rsidRPr="00232DD1">
        <w:t>are</w:t>
      </w:r>
      <w:r>
        <w:t xml:space="preserve"> </w:t>
      </w:r>
      <w:r w:rsidRPr="00232DD1">
        <w:t>most</w:t>
      </w:r>
      <w:r>
        <w:t xml:space="preserve"> </w:t>
      </w:r>
      <w:r w:rsidRPr="00232DD1">
        <w:t>affected.</w:t>
      </w:r>
      <w:r>
        <w:t xml:space="preserve"> </w:t>
      </w:r>
      <w:r w:rsidRPr="00232DD1">
        <w:t>It</w:t>
      </w:r>
      <w:r>
        <w:t xml:space="preserve"> </w:t>
      </w:r>
      <w:r w:rsidRPr="00232DD1">
        <w:t>also</w:t>
      </w:r>
      <w:r>
        <w:t xml:space="preserve"> </w:t>
      </w:r>
      <w:r w:rsidRPr="00232DD1">
        <w:t>points</w:t>
      </w:r>
      <w:r>
        <w:t xml:space="preserve"> </w:t>
      </w:r>
      <w:r w:rsidRPr="00232DD1">
        <w:t>to</w:t>
      </w:r>
      <w:r>
        <w:t xml:space="preserve"> </w:t>
      </w:r>
      <w:r w:rsidRPr="00232DD1">
        <w:t>the</w:t>
      </w:r>
      <w:r>
        <w:t xml:space="preserve"> </w:t>
      </w:r>
      <w:r w:rsidRPr="00232DD1">
        <w:t>need</w:t>
      </w:r>
      <w:r>
        <w:t xml:space="preserve"> </w:t>
      </w:r>
      <w:r w:rsidRPr="00232DD1">
        <w:t>for</w:t>
      </w:r>
      <w:r>
        <w:t xml:space="preserve"> </w:t>
      </w:r>
      <w:r w:rsidRPr="00232DD1">
        <w:t>gender</w:t>
      </w:r>
      <w:r>
        <w:t xml:space="preserve"> </w:t>
      </w:r>
      <w:r w:rsidRPr="00232DD1">
        <w:t>analysis</w:t>
      </w:r>
      <w:r>
        <w:t xml:space="preserve"> </w:t>
      </w:r>
      <w:r w:rsidRPr="00232DD1">
        <w:t>across</w:t>
      </w:r>
      <w:r>
        <w:t xml:space="preserve"> </w:t>
      </w:r>
      <w:r w:rsidRPr="00232DD1">
        <w:t>a</w:t>
      </w:r>
      <w:r>
        <w:t xml:space="preserve"> </w:t>
      </w:r>
      <w:r w:rsidRPr="00232DD1">
        <w:t>broad</w:t>
      </w:r>
      <w:r>
        <w:t xml:space="preserve"> </w:t>
      </w:r>
      <w:r w:rsidRPr="00232DD1">
        <w:t>range</w:t>
      </w:r>
      <w:r>
        <w:t xml:space="preserve"> </w:t>
      </w:r>
      <w:r w:rsidRPr="00232DD1">
        <w:t>of</w:t>
      </w:r>
      <w:r>
        <w:t xml:space="preserve"> </w:t>
      </w:r>
      <w:r w:rsidRPr="00232DD1">
        <w:t>social</w:t>
      </w:r>
      <w:r>
        <w:t xml:space="preserve"> </w:t>
      </w:r>
      <w:r w:rsidRPr="00232DD1">
        <w:t>policy</w:t>
      </w:r>
      <w:r>
        <w:t xml:space="preserve"> </w:t>
      </w:r>
      <w:r w:rsidRPr="00232DD1">
        <w:t>areas,</w:t>
      </w:r>
      <w:r>
        <w:t xml:space="preserve"> </w:t>
      </w:r>
      <w:r w:rsidRPr="00232DD1">
        <w:t>to</w:t>
      </w:r>
      <w:r>
        <w:t xml:space="preserve"> </w:t>
      </w:r>
      <w:r w:rsidRPr="00232DD1">
        <w:t>ensure</w:t>
      </w:r>
      <w:r>
        <w:t xml:space="preserve"> </w:t>
      </w:r>
      <w:r w:rsidRPr="00232DD1">
        <w:t>that</w:t>
      </w:r>
      <w:r>
        <w:t xml:space="preserve"> </w:t>
      </w:r>
      <w:r w:rsidRPr="00232DD1">
        <w:t>all</w:t>
      </w:r>
      <w:r>
        <w:t xml:space="preserve"> </w:t>
      </w:r>
      <w:r w:rsidRPr="00232DD1">
        <w:t>legislation</w:t>
      </w:r>
      <w:r>
        <w:t xml:space="preserve"> </w:t>
      </w:r>
      <w:r w:rsidRPr="00232DD1">
        <w:t>relevant</w:t>
      </w:r>
      <w:r>
        <w:t xml:space="preserve"> to the prevention of violence against women </w:t>
      </w:r>
      <w:r w:rsidR="00AA04C9">
        <w:t>is</w:t>
      </w:r>
      <w:r>
        <w:t xml:space="preserve"> considered in reform agendas.</w:t>
      </w:r>
    </w:p>
    <w:p w14:paraId="1A574631" w14:textId="77777777" w:rsidR="002C2EC7" w:rsidRPr="00D00F71" w:rsidRDefault="002C2EC7" w:rsidP="00790783">
      <w:pPr>
        <w:pStyle w:val="Heading5"/>
      </w:pPr>
      <w:bookmarkStart w:id="39" w:name="_Toc41559720"/>
      <w:r w:rsidRPr="00D00F71">
        <w:t>Gender equality goals and targets</w:t>
      </w:r>
      <w:bookmarkEnd w:id="39"/>
    </w:p>
    <w:p w14:paraId="212C84F8" w14:textId="28E56BBB" w:rsidR="002C2EC7" w:rsidRPr="00D00F71" w:rsidRDefault="002C2EC7" w:rsidP="00790783">
      <w:pPr>
        <w:pStyle w:val="BodyText"/>
      </w:pPr>
      <w:r w:rsidRPr="00D00F71">
        <w:t xml:space="preserve">Various jurisdictions have identified gender equality </w:t>
      </w:r>
      <w:r w:rsidRPr="00D00F71">
        <w:rPr>
          <w:bCs/>
        </w:rPr>
        <w:t>goals and targets between 2009 and</w:t>
      </w:r>
      <w:r w:rsidR="00ED42C9" w:rsidRPr="00D00F71">
        <w:rPr>
          <w:bCs/>
        </w:rPr>
        <w:t> </w:t>
      </w:r>
      <w:r w:rsidRPr="00D00F71">
        <w:rPr>
          <w:bCs/>
        </w:rPr>
        <w:t xml:space="preserve">2019. </w:t>
      </w:r>
      <w:r w:rsidRPr="00D00F71">
        <w:t>These include measures such as:</w:t>
      </w:r>
    </w:p>
    <w:p w14:paraId="43F5D64A" w14:textId="77777777" w:rsidR="002C2EC7" w:rsidRPr="00D00F71" w:rsidRDefault="002C2EC7" w:rsidP="00790783">
      <w:pPr>
        <w:pStyle w:val="OWBullet1"/>
      </w:pPr>
      <w:r w:rsidRPr="00D00F71">
        <w:t>targets for women in leadership positions</w:t>
      </w:r>
    </w:p>
    <w:p w14:paraId="492AB790" w14:textId="77777777" w:rsidR="002C2EC7" w:rsidRPr="00D00F71" w:rsidRDefault="002C2EC7" w:rsidP="00790783">
      <w:pPr>
        <w:pStyle w:val="OWBullet1"/>
      </w:pPr>
      <w:r w:rsidRPr="00D00F71">
        <w:t>minimum 40% or 50% representation on government bodies and boards</w:t>
      </w:r>
    </w:p>
    <w:p w14:paraId="06D0F19F" w14:textId="77777777" w:rsidR="002C2EC7" w:rsidRPr="00D00F71" w:rsidRDefault="002C2EC7" w:rsidP="00790783">
      <w:pPr>
        <w:pStyle w:val="OWBullet1"/>
      </w:pPr>
      <w:r w:rsidRPr="00D00F71">
        <w:t>minimum targets for women executive and/or senior leadership positions.</w:t>
      </w:r>
    </w:p>
    <w:p w14:paraId="18D2203B" w14:textId="5FDF8C15" w:rsidR="002C2EC7" w:rsidRPr="00D00F71" w:rsidRDefault="002C2EC7" w:rsidP="00790783">
      <w:pPr>
        <w:pStyle w:val="OWBodytextafterlist"/>
      </w:pPr>
      <w:r w:rsidRPr="00D00F71">
        <w:t>The setting of targets is a promising sign of political commitment to change. However, in</w:t>
      </w:r>
      <w:r w:rsidR="00851841" w:rsidRPr="00D00F71">
        <w:t> </w:t>
      </w:r>
      <w:r w:rsidRPr="00D00F71">
        <w:t>most cases these are articulated as commitments or pledges, rather than embedded in</w:t>
      </w:r>
      <w:r w:rsidR="00851841" w:rsidRPr="00D00F71">
        <w:t> </w:t>
      </w:r>
      <w:r w:rsidRPr="00D00F71">
        <w:t>legislation. A stronger approach would be to legislate these commitments.</w:t>
      </w:r>
    </w:p>
    <w:p w14:paraId="502B2524" w14:textId="77777777" w:rsidR="002C2EC7" w:rsidRPr="00D00F71" w:rsidRDefault="002C2EC7" w:rsidP="00790783">
      <w:pPr>
        <w:pStyle w:val="Heading5"/>
      </w:pPr>
      <w:r w:rsidRPr="00D00F71">
        <w:t>Gender policy machinery of government</w:t>
      </w:r>
    </w:p>
    <w:p w14:paraId="223CA847" w14:textId="77777777" w:rsidR="002C2EC7" w:rsidRPr="00D00F71" w:rsidRDefault="002C2EC7" w:rsidP="00790783">
      <w:pPr>
        <w:pStyle w:val="BodyText"/>
      </w:pPr>
      <w:r w:rsidRPr="00D00F71">
        <w:t xml:space="preserve">Gender-responsive policy-making and budget development can identify government levers to address gender inequalities, for example by promoting women’s independence and decision-making, challenging gender stereotypes, and promoting and normalising gender equality in public and private life. </w:t>
      </w:r>
      <w:r w:rsidRPr="00D00F71">
        <w:rPr>
          <w:bCs/>
        </w:rPr>
        <w:t>There have been some promising developments to support such analysis, with the launch of gender equality and women’s strategies in a number of jurisdictions.</w:t>
      </w:r>
      <w:r w:rsidRPr="00D00F71">
        <w:t xml:space="preserve"> </w:t>
      </w:r>
      <w:r w:rsidRPr="00D00F71">
        <w:rPr>
          <w:bCs/>
        </w:rPr>
        <w:t>However, very few of these strategies look across all areas of government.</w:t>
      </w:r>
    </w:p>
    <w:p w14:paraId="0C10693D" w14:textId="77777777" w:rsidR="002C2EC7" w:rsidRDefault="002C2EC7" w:rsidP="00790783">
      <w:pPr>
        <w:pStyle w:val="BodyText"/>
      </w:pPr>
      <w:r w:rsidRPr="0071774C">
        <w:t>To</w:t>
      </w:r>
      <w:r>
        <w:t xml:space="preserve"> </w:t>
      </w:r>
      <w:r w:rsidRPr="0071774C">
        <w:t>realise</w:t>
      </w:r>
      <w:r>
        <w:t xml:space="preserve"> </w:t>
      </w:r>
      <w:r w:rsidRPr="0071774C">
        <w:t>and</w:t>
      </w:r>
      <w:r>
        <w:t xml:space="preserve"> </w:t>
      </w:r>
      <w:r w:rsidRPr="0071774C">
        <w:t>deliver</w:t>
      </w:r>
      <w:r>
        <w:t xml:space="preserve"> </w:t>
      </w:r>
      <w:r w:rsidRPr="0071774C">
        <w:t>on</w:t>
      </w:r>
      <w:r>
        <w:t xml:space="preserve"> </w:t>
      </w:r>
      <w:r w:rsidRPr="0071774C">
        <w:t>the</w:t>
      </w:r>
      <w:r>
        <w:t xml:space="preserve"> </w:t>
      </w:r>
      <w:r w:rsidRPr="0071774C">
        <w:t>full</w:t>
      </w:r>
      <w:r>
        <w:t xml:space="preserve"> </w:t>
      </w:r>
      <w:r w:rsidRPr="0071774C">
        <w:t>potential</w:t>
      </w:r>
      <w:r>
        <w:t xml:space="preserve"> </w:t>
      </w:r>
      <w:r w:rsidRPr="0071774C">
        <w:t>of</w:t>
      </w:r>
      <w:r>
        <w:t xml:space="preserve"> </w:t>
      </w:r>
      <w:r w:rsidRPr="0071774C">
        <w:t>gender-responsive</w:t>
      </w:r>
      <w:r>
        <w:t xml:space="preserve"> </w:t>
      </w:r>
      <w:r w:rsidRPr="0071774C">
        <w:t>policy-making</w:t>
      </w:r>
      <w:r>
        <w:t xml:space="preserve"> </w:t>
      </w:r>
      <w:r w:rsidRPr="0071774C">
        <w:t>and</w:t>
      </w:r>
      <w:r>
        <w:t xml:space="preserve"> </w:t>
      </w:r>
      <w:r w:rsidRPr="0071774C">
        <w:t>budgeting,</w:t>
      </w:r>
      <w:r>
        <w:t xml:space="preserve"> </w:t>
      </w:r>
      <w:r w:rsidRPr="0071774C">
        <w:t>there</w:t>
      </w:r>
      <w:r>
        <w:t xml:space="preserve"> </w:t>
      </w:r>
      <w:r w:rsidRPr="0071774C">
        <w:t>is</w:t>
      </w:r>
      <w:r>
        <w:t xml:space="preserve"> </w:t>
      </w:r>
      <w:r w:rsidRPr="0071774C">
        <w:t>a</w:t>
      </w:r>
      <w:r>
        <w:t xml:space="preserve"> </w:t>
      </w:r>
      <w:r w:rsidRPr="0071774C">
        <w:t>need</w:t>
      </w:r>
      <w:r>
        <w:t xml:space="preserve"> </w:t>
      </w:r>
      <w:r w:rsidRPr="0071774C">
        <w:t>to</w:t>
      </w:r>
      <w:r>
        <w:t xml:space="preserve"> </w:t>
      </w:r>
      <w:r w:rsidRPr="0071774C">
        <w:t>strengthen</w:t>
      </w:r>
      <w:r>
        <w:t xml:space="preserve"> </w:t>
      </w:r>
      <w:r w:rsidRPr="0071774C">
        <w:t>the</w:t>
      </w:r>
      <w:r>
        <w:t xml:space="preserve"> </w:t>
      </w:r>
      <w:r w:rsidRPr="0071774C">
        <w:t>gender</w:t>
      </w:r>
      <w:r>
        <w:t xml:space="preserve"> </w:t>
      </w:r>
      <w:r w:rsidRPr="0071774C">
        <w:t>policy</w:t>
      </w:r>
      <w:r>
        <w:t xml:space="preserve"> </w:t>
      </w:r>
      <w:r w:rsidRPr="0071774C">
        <w:t>machinery</w:t>
      </w:r>
      <w:r>
        <w:t xml:space="preserve"> </w:t>
      </w:r>
      <w:r w:rsidRPr="0071774C">
        <w:t>of</w:t>
      </w:r>
      <w:r>
        <w:t xml:space="preserve"> </w:t>
      </w:r>
      <w:r w:rsidRPr="0071774C">
        <w:t>government</w:t>
      </w:r>
      <w:r>
        <w:t xml:space="preserve"> </w:t>
      </w:r>
      <w:r w:rsidRPr="0071774C">
        <w:t>–</w:t>
      </w:r>
      <w:r>
        <w:t xml:space="preserve"> that is, </w:t>
      </w:r>
      <w:r w:rsidRPr="0071774C">
        <w:t>the</w:t>
      </w:r>
      <w:r>
        <w:t xml:space="preserve"> </w:t>
      </w:r>
      <w:r w:rsidRPr="0071774C">
        <w:t>kinds</w:t>
      </w:r>
      <w:r>
        <w:t xml:space="preserve"> </w:t>
      </w:r>
      <w:r w:rsidRPr="0071774C">
        <w:t>of</w:t>
      </w:r>
      <w:r>
        <w:t xml:space="preserve"> </w:t>
      </w:r>
      <w:r w:rsidRPr="0071774C">
        <w:t>structures</w:t>
      </w:r>
      <w:r>
        <w:t xml:space="preserve"> </w:t>
      </w:r>
      <w:r w:rsidRPr="0071774C">
        <w:t>and</w:t>
      </w:r>
      <w:r>
        <w:t xml:space="preserve"> </w:t>
      </w:r>
      <w:r w:rsidRPr="0071774C">
        <w:t>processes</w:t>
      </w:r>
      <w:r>
        <w:t xml:space="preserve"> </w:t>
      </w:r>
      <w:r w:rsidRPr="0071774C">
        <w:t>within</w:t>
      </w:r>
      <w:r>
        <w:t xml:space="preserve"> </w:t>
      </w:r>
      <w:r w:rsidRPr="0071774C">
        <w:t>government</w:t>
      </w:r>
      <w:r>
        <w:t xml:space="preserve"> </w:t>
      </w:r>
      <w:r w:rsidRPr="0071774C">
        <w:t>and</w:t>
      </w:r>
      <w:r>
        <w:t xml:space="preserve"> </w:t>
      </w:r>
      <w:r w:rsidRPr="0071774C">
        <w:t>the</w:t>
      </w:r>
      <w:r>
        <w:t xml:space="preserve"> </w:t>
      </w:r>
      <w:r w:rsidRPr="0071774C">
        <w:t>bureaucracy</w:t>
      </w:r>
      <w:r>
        <w:t xml:space="preserve"> </w:t>
      </w:r>
      <w:r w:rsidRPr="0071774C">
        <w:t>that</w:t>
      </w:r>
      <w:r>
        <w:t xml:space="preserve"> </w:t>
      </w:r>
      <w:r w:rsidRPr="0071774C">
        <w:t>help</w:t>
      </w:r>
      <w:r>
        <w:t xml:space="preserve"> </w:t>
      </w:r>
      <w:r w:rsidRPr="0071774C">
        <w:t>ensure</w:t>
      </w:r>
      <w:r>
        <w:t xml:space="preserve"> </w:t>
      </w:r>
      <w:r w:rsidRPr="0071774C">
        <w:t>expert</w:t>
      </w:r>
      <w:r>
        <w:t xml:space="preserve"> </w:t>
      </w:r>
      <w:r w:rsidRPr="0071774C">
        <w:t>gender</w:t>
      </w:r>
      <w:r>
        <w:t xml:space="preserve"> </w:t>
      </w:r>
      <w:r w:rsidRPr="0071774C">
        <w:t>analysis</w:t>
      </w:r>
      <w:r>
        <w:t xml:space="preserve"> </w:t>
      </w:r>
      <w:r w:rsidRPr="0071774C">
        <w:t>is</w:t>
      </w:r>
      <w:r>
        <w:t xml:space="preserve"> </w:t>
      </w:r>
      <w:r w:rsidRPr="0071774C">
        <w:t>applied</w:t>
      </w:r>
      <w:r>
        <w:t xml:space="preserve"> </w:t>
      </w:r>
      <w:r w:rsidRPr="0071774C">
        <w:t>at</w:t>
      </w:r>
      <w:r>
        <w:t xml:space="preserve"> </w:t>
      </w:r>
      <w:r w:rsidRPr="0071774C">
        <w:t>those</w:t>
      </w:r>
      <w:r>
        <w:t xml:space="preserve"> </w:t>
      </w:r>
      <w:r w:rsidRPr="0071774C">
        <w:t>points</w:t>
      </w:r>
      <w:r>
        <w:t xml:space="preserve"> </w:t>
      </w:r>
      <w:r w:rsidRPr="0071774C">
        <w:t>in</w:t>
      </w:r>
      <w:r>
        <w:t xml:space="preserve"> </w:t>
      </w:r>
      <w:r w:rsidRPr="0071774C">
        <w:t>policy</w:t>
      </w:r>
      <w:r>
        <w:t xml:space="preserve"> </w:t>
      </w:r>
      <w:r w:rsidRPr="0071774C">
        <w:t>and</w:t>
      </w:r>
      <w:r>
        <w:t xml:space="preserve"> </w:t>
      </w:r>
      <w:r w:rsidRPr="0071774C">
        <w:t>budget</w:t>
      </w:r>
      <w:r>
        <w:t xml:space="preserve"> </w:t>
      </w:r>
      <w:r w:rsidRPr="0071774C">
        <w:t>development</w:t>
      </w:r>
      <w:r>
        <w:t xml:space="preserve"> </w:t>
      </w:r>
      <w:r w:rsidRPr="0071774C">
        <w:t>and</w:t>
      </w:r>
      <w:r>
        <w:t xml:space="preserve"> </w:t>
      </w:r>
      <w:r w:rsidRPr="0071774C">
        <w:t>implementation</w:t>
      </w:r>
      <w:r>
        <w:t xml:space="preserve"> </w:t>
      </w:r>
      <w:r w:rsidRPr="0071774C">
        <w:t>processes</w:t>
      </w:r>
      <w:r>
        <w:t xml:space="preserve"> </w:t>
      </w:r>
      <w:r w:rsidRPr="0071774C">
        <w:t>where</w:t>
      </w:r>
      <w:r>
        <w:t xml:space="preserve"> </w:t>
      </w:r>
      <w:r w:rsidRPr="0071774C">
        <w:t>it</w:t>
      </w:r>
      <w:r>
        <w:t xml:space="preserve"> </w:t>
      </w:r>
      <w:r w:rsidRPr="0071774C">
        <w:t>can</w:t>
      </w:r>
      <w:r>
        <w:t xml:space="preserve"> </w:t>
      </w:r>
      <w:r w:rsidRPr="0071774C">
        <w:t>have</w:t>
      </w:r>
      <w:r>
        <w:t xml:space="preserve"> </w:t>
      </w:r>
      <w:r w:rsidRPr="0071774C">
        <w:t>greatest</w:t>
      </w:r>
      <w:r>
        <w:t xml:space="preserve"> </w:t>
      </w:r>
      <w:r w:rsidRPr="0071774C">
        <w:t>effect.</w:t>
      </w:r>
    </w:p>
    <w:p w14:paraId="2D400F2C" w14:textId="77777777" w:rsidR="00430EF6" w:rsidRPr="00430EF6" w:rsidRDefault="00430EF6" w:rsidP="00430EF6">
      <w:pPr>
        <w:pStyle w:val="BodyText"/>
      </w:pPr>
      <w:r w:rsidRPr="00430EF6">
        <w:br w:type="page"/>
      </w:r>
    </w:p>
    <w:p w14:paraId="6CA1FA89" w14:textId="6300B581" w:rsidR="002C2EC7" w:rsidRDefault="002C2EC7" w:rsidP="00790783">
      <w:pPr>
        <w:pStyle w:val="BodyText"/>
      </w:pPr>
      <w:r w:rsidRPr="0071774C">
        <w:lastRenderedPageBreak/>
        <w:t>Opportunities</w:t>
      </w:r>
      <w:r>
        <w:t xml:space="preserve"> </w:t>
      </w:r>
      <w:r w:rsidRPr="0071774C">
        <w:t>to</w:t>
      </w:r>
      <w:r>
        <w:t xml:space="preserve"> </w:t>
      </w:r>
      <w:r w:rsidRPr="0071774C">
        <w:t>strengthen</w:t>
      </w:r>
      <w:r>
        <w:t xml:space="preserve"> </w:t>
      </w:r>
      <w:r w:rsidRPr="0071774C">
        <w:t>this</w:t>
      </w:r>
      <w:r>
        <w:t xml:space="preserve"> </w:t>
      </w:r>
      <w:r w:rsidRPr="0071774C">
        <w:t>policy</w:t>
      </w:r>
      <w:r>
        <w:t xml:space="preserve"> </w:t>
      </w:r>
      <w:r w:rsidRPr="0071774C">
        <w:t>machinery</w:t>
      </w:r>
      <w:r>
        <w:t xml:space="preserve"> </w:t>
      </w:r>
      <w:r w:rsidRPr="0071774C">
        <w:t>include</w:t>
      </w:r>
      <w:r>
        <w:t xml:space="preserve"> </w:t>
      </w:r>
      <w:r w:rsidRPr="0071774C">
        <w:t>establishing:</w:t>
      </w:r>
    </w:p>
    <w:p w14:paraId="1D154E83" w14:textId="77777777" w:rsidR="002C2EC7" w:rsidRDefault="002C2EC7" w:rsidP="00790783">
      <w:pPr>
        <w:pStyle w:val="OWBullet1"/>
      </w:pPr>
      <w:r w:rsidRPr="0071774C">
        <w:t>processes</w:t>
      </w:r>
      <w:r>
        <w:t xml:space="preserve"> </w:t>
      </w:r>
      <w:r w:rsidRPr="0071774C">
        <w:t>to</w:t>
      </w:r>
      <w:r>
        <w:t xml:space="preserve"> </w:t>
      </w:r>
      <w:r w:rsidRPr="0071774C">
        <w:t>require</w:t>
      </w:r>
      <w:r>
        <w:t xml:space="preserve"> </w:t>
      </w:r>
      <w:r w:rsidRPr="0071774C">
        <w:t>intersectional</w:t>
      </w:r>
      <w:r>
        <w:t xml:space="preserve"> </w:t>
      </w:r>
      <w:r w:rsidRPr="0071774C">
        <w:t>gender</w:t>
      </w:r>
      <w:r>
        <w:t xml:space="preserve"> </w:t>
      </w:r>
      <w:r w:rsidRPr="0071774C">
        <w:t>impact</w:t>
      </w:r>
      <w:r>
        <w:t xml:space="preserve"> </w:t>
      </w:r>
      <w:r w:rsidRPr="0071774C">
        <w:t>statements</w:t>
      </w:r>
      <w:r>
        <w:t xml:space="preserve"> </w:t>
      </w:r>
      <w:r w:rsidRPr="0071774C">
        <w:t>in</w:t>
      </w:r>
      <w:r>
        <w:t xml:space="preserve"> </w:t>
      </w:r>
      <w:r w:rsidRPr="0071774C">
        <w:t>all</w:t>
      </w:r>
      <w:r>
        <w:t xml:space="preserve"> </w:t>
      </w:r>
      <w:r w:rsidRPr="0071774C">
        <w:t>policy</w:t>
      </w:r>
      <w:r>
        <w:t xml:space="preserve"> </w:t>
      </w:r>
      <w:r w:rsidRPr="0071774C">
        <w:t>and</w:t>
      </w:r>
      <w:r>
        <w:t xml:space="preserve"> </w:t>
      </w:r>
      <w:r w:rsidRPr="0071774C">
        <w:t>budget</w:t>
      </w:r>
      <w:r>
        <w:t xml:space="preserve"> </w:t>
      </w:r>
      <w:r w:rsidRPr="0071774C">
        <w:t>proposals</w:t>
      </w:r>
      <w:r>
        <w:t xml:space="preserve"> </w:t>
      </w:r>
      <w:r w:rsidRPr="0071774C">
        <w:t>as</w:t>
      </w:r>
      <w:r>
        <w:t xml:space="preserve"> </w:t>
      </w:r>
      <w:r w:rsidRPr="0071774C">
        <w:t>part</w:t>
      </w:r>
      <w:r>
        <w:t xml:space="preserve"> </w:t>
      </w:r>
      <w:r w:rsidRPr="0071774C">
        <w:t>of</w:t>
      </w:r>
      <w:r>
        <w:t xml:space="preserve"> </w:t>
      </w:r>
      <w:r w:rsidRPr="0071774C">
        <w:t>the</w:t>
      </w:r>
      <w:r>
        <w:t xml:space="preserve"> </w:t>
      </w:r>
      <w:r w:rsidRPr="0071774C">
        <w:t>budget</w:t>
      </w:r>
      <w:r>
        <w:t xml:space="preserve"> </w:t>
      </w:r>
      <w:r w:rsidRPr="0071774C">
        <w:t>development</w:t>
      </w:r>
      <w:r>
        <w:t xml:space="preserve"> </w:t>
      </w:r>
      <w:r w:rsidRPr="0071774C">
        <w:t>process</w:t>
      </w:r>
    </w:p>
    <w:p w14:paraId="5571AB11" w14:textId="77777777" w:rsidR="002C2EC7" w:rsidRPr="0071774C" w:rsidRDefault="002C2EC7" w:rsidP="00790783">
      <w:pPr>
        <w:pStyle w:val="OWBullet1"/>
      </w:pPr>
      <w:r w:rsidRPr="0071774C">
        <w:t>processes</w:t>
      </w:r>
      <w:r>
        <w:t xml:space="preserve"> </w:t>
      </w:r>
      <w:r w:rsidRPr="0071774C">
        <w:t>to</w:t>
      </w:r>
      <w:r>
        <w:t xml:space="preserve"> </w:t>
      </w:r>
      <w:r w:rsidRPr="0071774C">
        <w:t>enable</w:t>
      </w:r>
      <w:r>
        <w:t xml:space="preserve"> </w:t>
      </w:r>
      <w:r w:rsidRPr="0071774C">
        <w:t>intersectional</w:t>
      </w:r>
      <w:r>
        <w:t xml:space="preserve"> </w:t>
      </w:r>
      <w:r w:rsidRPr="0071774C">
        <w:t>gender</w:t>
      </w:r>
      <w:r>
        <w:t xml:space="preserve"> </w:t>
      </w:r>
      <w:r w:rsidRPr="0071774C">
        <w:t>analysis</w:t>
      </w:r>
      <w:r>
        <w:t xml:space="preserve"> </w:t>
      </w:r>
      <w:r w:rsidRPr="0071774C">
        <w:t>of</w:t>
      </w:r>
      <w:r>
        <w:t xml:space="preserve"> </w:t>
      </w:r>
      <w:r w:rsidRPr="0071774C">
        <w:t>Cabinet</w:t>
      </w:r>
      <w:r>
        <w:t xml:space="preserve"> </w:t>
      </w:r>
      <w:r w:rsidRPr="0071774C">
        <w:t>submissions,</w:t>
      </w:r>
      <w:r>
        <w:t xml:space="preserve"> </w:t>
      </w:r>
      <w:r w:rsidRPr="0071774C">
        <w:t>specifically</w:t>
      </w:r>
      <w:r>
        <w:t xml:space="preserve"> </w:t>
      </w:r>
      <w:r w:rsidRPr="0071774C">
        <w:t>involving</w:t>
      </w:r>
      <w:r>
        <w:t xml:space="preserve"> </w:t>
      </w:r>
      <w:r w:rsidRPr="0071774C">
        <w:t>the</w:t>
      </w:r>
      <w:r>
        <w:t xml:space="preserve"> </w:t>
      </w:r>
      <w:r w:rsidRPr="0071774C">
        <w:t>relevant</w:t>
      </w:r>
      <w:r>
        <w:t xml:space="preserve"> </w:t>
      </w:r>
      <w:r w:rsidRPr="0071774C">
        <w:t>ministers</w:t>
      </w:r>
      <w:r>
        <w:t xml:space="preserve"> </w:t>
      </w:r>
      <w:r w:rsidRPr="0071774C">
        <w:t>(such</w:t>
      </w:r>
      <w:r>
        <w:t xml:space="preserve"> </w:t>
      </w:r>
      <w:r w:rsidRPr="0071774C">
        <w:t>as</w:t>
      </w:r>
      <w:r>
        <w:t xml:space="preserve"> </w:t>
      </w:r>
      <w:r w:rsidRPr="0071774C">
        <w:t>Ministers</w:t>
      </w:r>
      <w:r>
        <w:t xml:space="preserve"> </w:t>
      </w:r>
      <w:r w:rsidRPr="0071774C">
        <w:t>for</w:t>
      </w:r>
      <w:r>
        <w:t xml:space="preserve"> </w:t>
      </w:r>
      <w:r w:rsidRPr="0071774C">
        <w:t>Women</w:t>
      </w:r>
      <w:r>
        <w:t xml:space="preserve">) </w:t>
      </w:r>
      <w:r w:rsidRPr="0071774C">
        <w:t>and</w:t>
      </w:r>
      <w:r>
        <w:t xml:space="preserve"> </w:t>
      </w:r>
      <w:r w:rsidRPr="0071774C">
        <w:t>incorporating</w:t>
      </w:r>
      <w:r>
        <w:t xml:space="preserve"> </w:t>
      </w:r>
      <w:r w:rsidRPr="0071774C">
        <w:t>expert</w:t>
      </w:r>
      <w:r>
        <w:t xml:space="preserve"> </w:t>
      </w:r>
      <w:r w:rsidRPr="0071774C">
        <w:t>advice</w:t>
      </w:r>
      <w:r>
        <w:t xml:space="preserve"> </w:t>
      </w:r>
      <w:r w:rsidRPr="0071774C">
        <w:t>from</w:t>
      </w:r>
      <w:r>
        <w:t xml:space="preserve"> </w:t>
      </w:r>
      <w:r w:rsidRPr="0071774C">
        <w:t>the</w:t>
      </w:r>
      <w:r>
        <w:t xml:space="preserve"> </w:t>
      </w:r>
      <w:r w:rsidRPr="0071774C">
        <w:t>relevant</w:t>
      </w:r>
      <w:r>
        <w:t xml:space="preserve"> </w:t>
      </w:r>
      <w:r w:rsidRPr="0071774C">
        <w:t>department</w:t>
      </w:r>
    </w:p>
    <w:p w14:paraId="04BC7CDA" w14:textId="77777777" w:rsidR="002C2EC7" w:rsidRDefault="002C2EC7" w:rsidP="00790783">
      <w:pPr>
        <w:pStyle w:val="OWBullet1"/>
      </w:pPr>
      <w:r w:rsidRPr="0071774C">
        <w:t>an</w:t>
      </w:r>
      <w:r>
        <w:t xml:space="preserve"> </w:t>
      </w:r>
      <w:r w:rsidRPr="0071774C">
        <w:t>interdepartmental</w:t>
      </w:r>
      <w:r>
        <w:t xml:space="preserve"> </w:t>
      </w:r>
      <w:r w:rsidRPr="0071774C">
        <w:t>mechanism</w:t>
      </w:r>
      <w:r>
        <w:t xml:space="preserve"> </w:t>
      </w:r>
      <w:r w:rsidRPr="0071774C">
        <w:t>to</w:t>
      </w:r>
      <w:r>
        <w:t xml:space="preserve"> </w:t>
      </w:r>
      <w:r w:rsidRPr="0071774C">
        <w:t>coordinate</w:t>
      </w:r>
      <w:r>
        <w:t xml:space="preserve"> </w:t>
      </w:r>
      <w:r w:rsidRPr="0071774C">
        <w:t>gender</w:t>
      </w:r>
      <w:r>
        <w:t xml:space="preserve"> </w:t>
      </w:r>
      <w:r w:rsidRPr="0071774C">
        <w:t>activities</w:t>
      </w:r>
      <w:r>
        <w:t xml:space="preserve"> with </w:t>
      </w:r>
      <w:r w:rsidRPr="0071774C">
        <w:t>other</w:t>
      </w:r>
      <w:r>
        <w:t xml:space="preserve"> </w:t>
      </w:r>
      <w:r w:rsidRPr="0071774C">
        <w:t>agencies</w:t>
      </w:r>
      <w:r>
        <w:t xml:space="preserve"> </w:t>
      </w:r>
      <w:r w:rsidRPr="0071774C">
        <w:t>and</w:t>
      </w:r>
      <w:r>
        <w:t xml:space="preserve"> </w:t>
      </w:r>
      <w:r w:rsidRPr="0071774C">
        <w:t>ensur</w:t>
      </w:r>
      <w:r>
        <w:t xml:space="preserve">e </w:t>
      </w:r>
      <w:r w:rsidRPr="0071774C">
        <w:t>holistic</w:t>
      </w:r>
      <w:r>
        <w:t xml:space="preserve"> </w:t>
      </w:r>
      <w:r w:rsidRPr="0071774C">
        <w:t>reporting</w:t>
      </w:r>
    </w:p>
    <w:p w14:paraId="4E0E6A39" w14:textId="77777777" w:rsidR="002C2EC7" w:rsidRDefault="002C2EC7" w:rsidP="00790783">
      <w:pPr>
        <w:pStyle w:val="OWBullet1"/>
      </w:pPr>
      <w:r w:rsidRPr="0071774C">
        <w:t>processes</w:t>
      </w:r>
      <w:r>
        <w:t xml:space="preserve"> </w:t>
      </w:r>
      <w:r w:rsidRPr="0071774C">
        <w:t>to</w:t>
      </w:r>
      <w:r>
        <w:t xml:space="preserve"> </w:t>
      </w:r>
      <w:r w:rsidRPr="0071774C">
        <w:t>support</w:t>
      </w:r>
      <w:r>
        <w:t xml:space="preserve"> </w:t>
      </w:r>
      <w:r w:rsidRPr="0071774C">
        <w:t>the</w:t>
      </w:r>
      <w:r>
        <w:t xml:space="preserve"> </w:t>
      </w:r>
      <w:r w:rsidRPr="0071774C">
        <w:t>public</w:t>
      </w:r>
      <w:r>
        <w:t xml:space="preserve"> </w:t>
      </w:r>
      <w:r w:rsidRPr="0071774C">
        <w:t>service</w:t>
      </w:r>
      <w:r>
        <w:t xml:space="preserve"> </w:t>
      </w:r>
      <w:r w:rsidRPr="0071774C">
        <w:t>to</w:t>
      </w:r>
      <w:r>
        <w:t xml:space="preserve"> </w:t>
      </w:r>
      <w:r w:rsidRPr="0071774C">
        <w:t>understand</w:t>
      </w:r>
      <w:r>
        <w:t xml:space="preserve"> </w:t>
      </w:r>
      <w:r w:rsidRPr="0071774C">
        <w:t>and</w:t>
      </w:r>
      <w:r>
        <w:t xml:space="preserve"> </w:t>
      </w:r>
      <w:r w:rsidRPr="0071774C">
        <w:t>implement</w:t>
      </w:r>
      <w:r>
        <w:t xml:space="preserve"> </w:t>
      </w:r>
      <w:r w:rsidRPr="0071774C">
        <w:t>gender</w:t>
      </w:r>
      <w:r>
        <w:t>-</w:t>
      </w:r>
      <w:r w:rsidRPr="0071774C">
        <w:t>responsive</w:t>
      </w:r>
      <w:r>
        <w:t xml:space="preserve"> </w:t>
      </w:r>
      <w:r w:rsidRPr="0071774C">
        <w:t>policy-making</w:t>
      </w:r>
      <w:r>
        <w:t xml:space="preserve"> </w:t>
      </w:r>
      <w:r w:rsidRPr="0071774C">
        <w:t>and</w:t>
      </w:r>
      <w:r>
        <w:t xml:space="preserve"> </w:t>
      </w:r>
      <w:r w:rsidRPr="0071774C">
        <w:t>budgeting,</w:t>
      </w:r>
      <w:r>
        <w:t xml:space="preserve"> </w:t>
      </w:r>
      <w:r w:rsidRPr="0071774C">
        <w:t>including</w:t>
      </w:r>
      <w:r>
        <w:t xml:space="preserve"> </w:t>
      </w:r>
      <w:r w:rsidRPr="0071774C">
        <w:t>ongoing</w:t>
      </w:r>
      <w:r>
        <w:t xml:space="preserve"> </w:t>
      </w:r>
      <w:r w:rsidRPr="0071774C">
        <w:t>training</w:t>
      </w:r>
      <w:r>
        <w:t xml:space="preserve"> </w:t>
      </w:r>
      <w:r w:rsidRPr="0071774C">
        <w:t>and</w:t>
      </w:r>
      <w:r>
        <w:t xml:space="preserve"> </w:t>
      </w:r>
      <w:r w:rsidRPr="0071774C">
        <w:t>tools,</w:t>
      </w:r>
      <w:r>
        <w:t xml:space="preserve"> </w:t>
      </w:r>
      <w:r w:rsidRPr="0071774C">
        <w:t>potentially</w:t>
      </w:r>
      <w:r>
        <w:t xml:space="preserve"> </w:t>
      </w:r>
      <w:r w:rsidRPr="0071774C">
        <w:t>with</w:t>
      </w:r>
      <w:r>
        <w:t xml:space="preserve"> </w:t>
      </w:r>
      <w:r w:rsidRPr="0071774C">
        <w:t>Offices</w:t>
      </w:r>
      <w:r>
        <w:t xml:space="preserve"> </w:t>
      </w:r>
      <w:r w:rsidRPr="0071774C">
        <w:t>for</w:t>
      </w:r>
      <w:r>
        <w:t xml:space="preserve"> </w:t>
      </w:r>
      <w:r w:rsidRPr="0071774C">
        <w:t>Women</w:t>
      </w:r>
      <w:r>
        <w:t xml:space="preserve"> </w:t>
      </w:r>
      <w:r w:rsidRPr="0071774C">
        <w:t>providing</w:t>
      </w:r>
      <w:r>
        <w:t xml:space="preserve"> </w:t>
      </w:r>
      <w:r w:rsidRPr="0071774C">
        <w:t>advice,</w:t>
      </w:r>
      <w:r>
        <w:t xml:space="preserve"> </w:t>
      </w:r>
      <w:r w:rsidRPr="0071774C">
        <w:t>and</w:t>
      </w:r>
      <w:r>
        <w:t xml:space="preserve"> </w:t>
      </w:r>
      <w:r w:rsidRPr="0071774C">
        <w:t>playing</w:t>
      </w:r>
      <w:r>
        <w:t xml:space="preserve"> </w:t>
      </w:r>
      <w:r w:rsidRPr="0071774C">
        <w:t>a</w:t>
      </w:r>
      <w:r>
        <w:t xml:space="preserve"> </w:t>
      </w:r>
      <w:r w:rsidRPr="0071774C">
        <w:t>supporting</w:t>
      </w:r>
      <w:r>
        <w:t xml:space="preserve"> </w:t>
      </w:r>
      <w:r w:rsidRPr="0071774C">
        <w:t>role</w:t>
      </w:r>
      <w:r>
        <w:t xml:space="preserve"> </w:t>
      </w:r>
      <w:r w:rsidRPr="0071774C">
        <w:t>to</w:t>
      </w:r>
      <w:r>
        <w:t xml:space="preserve"> </w:t>
      </w:r>
      <w:r w:rsidRPr="0071774C">
        <w:t>other</w:t>
      </w:r>
      <w:r>
        <w:t xml:space="preserve"> </w:t>
      </w:r>
      <w:r w:rsidRPr="0071774C">
        <w:t>agencies.</w:t>
      </w:r>
    </w:p>
    <w:p w14:paraId="2094CE94" w14:textId="77777777" w:rsidR="002C2EC7" w:rsidRPr="00FB7F22" w:rsidRDefault="002C2EC7" w:rsidP="00790783">
      <w:pPr>
        <w:pStyle w:val="Heading3"/>
        <w:rPr>
          <w:rStyle w:val="OWCharacterCharcoal"/>
        </w:rPr>
      </w:pPr>
      <w:bookmarkStart w:id="40" w:name="_Toc41559721"/>
      <w:bookmarkStart w:id="41" w:name="_Toc55053306"/>
      <w:r w:rsidRPr="00FB7F22">
        <w:rPr>
          <w:rStyle w:val="OWCharacterCharcoal"/>
        </w:rPr>
        <w:lastRenderedPageBreak/>
        <w:t>Domain 3: An expert workforce</w:t>
      </w:r>
      <w:bookmarkEnd w:id="40"/>
      <w:bookmarkEnd w:id="41"/>
    </w:p>
    <w:p w14:paraId="07C5CFBF" w14:textId="14BF36B8" w:rsidR="002C2EC7" w:rsidRDefault="002C2EC7" w:rsidP="00790783">
      <w:pPr>
        <w:pStyle w:val="BodyText"/>
      </w:pPr>
      <w:r w:rsidRPr="0071774C">
        <w:t>Workforce</w:t>
      </w:r>
      <w:r>
        <w:t xml:space="preserve"> </w:t>
      </w:r>
      <w:r w:rsidRPr="0071774C">
        <w:t>development</w:t>
      </w:r>
      <w:r>
        <w:t xml:space="preserve"> </w:t>
      </w:r>
      <w:r w:rsidRPr="0071774C">
        <w:t>to</w:t>
      </w:r>
      <w:r>
        <w:t xml:space="preserve"> </w:t>
      </w:r>
      <w:r w:rsidRPr="0071774C">
        <w:t>support</w:t>
      </w:r>
      <w:r>
        <w:t xml:space="preserve"> </w:t>
      </w:r>
      <w:r w:rsidRPr="0071774C">
        <w:t>the</w:t>
      </w:r>
      <w:r>
        <w:t xml:space="preserve"> </w:t>
      </w:r>
      <w:r w:rsidRPr="0071774C">
        <w:t>planning,</w:t>
      </w:r>
      <w:r>
        <w:t xml:space="preserve"> </w:t>
      </w:r>
      <w:r w:rsidRPr="0071774C">
        <w:t>implementation,</w:t>
      </w:r>
      <w:r>
        <w:t xml:space="preserve"> </w:t>
      </w:r>
      <w:r w:rsidRPr="0071774C">
        <w:t>and</w:t>
      </w:r>
      <w:r>
        <w:t xml:space="preserve"> </w:t>
      </w:r>
      <w:r w:rsidRPr="0071774C">
        <w:t>monitoring</w:t>
      </w:r>
      <w:r>
        <w:t xml:space="preserve"> </w:t>
      </w:r>
      <w:r w:rsidRPr="0071774C">
        <w:t>and</w:t>
      </w:r>
      <w:r>
        <w:t xml:space="preserve"> </w:t>
      </w:r>
      <w:r w:rsidRPr="0071774C">
        <w:t>evaluation</w:t>
      </w:r>
      <w:r>
        <w:t xml:space="preserve"> </w:t>
      </w:r>
      <w:r w:rsidRPr="0071774C">
        <w:t>of</w:t>
      </w:r>
      <w:r>
        <w:t xml:space="preserve"> </w:t>
      </w:r>
      <w:r w:rsidRPr="0071774C">
        <w:t>primary</w:t>
      </w:r>
      <w:r>
        <w:t xml:space="preserve"> </w:t>
      </w:r>
      <w:r w:rsidRPr="0071774C">
        <w:t>prevention</w:t>
      </w:r>
      <w:r>
        <w:t xml:space="preserve"> </w:t>
      </w:r>
      <w:r w:rsidRPr="0071774C">
        <w:t>and</w:t>
      </w:r>
      <w:r>
        <w:t xml:space="preserve"> </w:t>
      </w:r>
      <w:r w:rsidRPr="0071774C">
        <w:t>gender</w:t>
      </w:r>
      <w:r>
        <w:t xml:space="preserve"> </w:t>
      </w:r>
      <w:r w:rsidRPr="0071774C">
        <w:t>equality</w:t>
      </w:r>
      <w:r>
        <w:t xml:space="preserve"> </w:t>
      </w:r>
      <w:r w:rsidRPr="0071774C">
        <w:t>initiatives</w:t>
      </w:r>
      <w:r>
        <w:t xml:space="preserve"> </w:t>
      </w:r>
      <w:r w:rsidRPr="0071774C">
        <w:t>is</w:t>
      </w:r>
      <w:r>
        <w:t xml:space="preserve"> </w:t>
      </w:r>
      <w:r w:rsidRPr="0071774C">
        <w:t>a</w:t>
      </w:r>
      <w:r>
        <w:t xml:space="preserve"> </w:t>
      </w:r>
      <w:r w:rsidRPr="0071774C">
        <w:t>critical</w:t>
      </w:r>
      <w:r>
        <w:t xml:space="preserve"> </w:t>
      </w:r>
      <w:r w:rsidRPr="0071774C">
        <w:t>foundation</w:t>
      </w:r>
      <w:r>
        <w:t xml:space="preserve"> </w:t>
      </w:r>
      <w:r w:rsidRPr="0071774C">
        <w:t>for</w:t>
      </w:r>
      <w:r w:rsidR="001B347D">
        <w:t> </w:t>
      </w:r>
      <w:r w:rsidRPr="0071774C">
        <w:t>primary</w:t>
      </w:r>
      <w:r>
        <w:t xml:space="preserve"> </w:t>
      </w:r>
      <w:r w:rsidRPr="0071774C">
        <w:t>prevention</w:t>
      </w:r>
      <w:r>
        <w:t xml:space="preserve"> </w:t>
      </w:r>
      <w:r w:rsidRPr="0071774C">
        <w:t>work.</w:t>
      </w:r>
      <w:r w:rsidRPr="0071774C">
        <w:rPr>
          <w:vertAlign w:val="superscript"/>
        </w:rPr>
        <w:endnoteReference w:id="88"/>
      </w:r>
      <w:r>
        <w:t xml:space="preserve"> </w:t>
      </w:r>
      <w:r w:rsidRPr="0071774C">
        <w:t>There</w:t>
      </w:r>
      <w:r>
        <w:t xml:space="preserve"> </w:t>
      </w:r>
      <w:r w:rsidRPr="0071774C">
        <w:t>is</w:t>
      </w:r>
      <w:r>
        <w:t xml:space="preserve"> </w:t>
      </w:r>
      <w:r w:rsidRPr="0071774C">
        <w:t>currently</w:t>
      </w:r>
      <w:r>
        <w:t xml:space="preserve"> </w:t>
      </w:r>
      <w:r w:rsidRPr="0071774C">
        <w:t>no</w:t>
      </w:r>
      <w:r>
        <w:t xml:space="preserve"> </w:t>
      </w:r>
      <w:r w:rsidRPr="0071774C">
        <w:t>national</w:t>
      </w:r>
      <w:r>
        <w:t xml:space="preserve"> </w:t>
      </w:r>
      <w:r w:rsidRPr="0071774C">
        <w:t>mechanism</w:t>
      </w:r>
      <w:r>
        <w:t xml:space="preserve"> </w:t>
      </w:r>
      <w:r w:rsidRPr="0071774C">
        <w:t>to</w:t>
      </w:r>
      <w:r>
        <w:t xml:space="preserve"> </w:t>
      </w:r>
      <w:r w:rsidRPr="0071774C">
        <w:t>provide</w:t>
      </w:r>
      <w:r>
        <w:t xml:space="preserve"> </w:t>
      </w:r>
      <w:r w:rsidRPr="0071774C">
        <w:t>the</w:t>
      </w:r>
      <w:r>
        <w:t xml:space="preserve"> </w:t>
      </w:r>
      <w:r w:rsidRPr="0071774C">
        <w:t>coordination,</w:t>
      </w:r>
      <w:r>
        <w:t xml:space="preserve"> </w:t>
      </w:r>
      <w:r w:rsidRPr="0071774C">
        <w:t>collaboration</w:t>
      </w:r>
      <w:r>
        <w:t xml:space="preserve"> </w:t>
      </w:r>
      <w:r w:rsidRPr="0071774C">
        <w:t>and</w:t>
      </w:r>
      <w:r>
        <w:t xml:space="preserve"> </w:t>
      </w:r>
      <w:r w:rsidRPr="0071774C">
        <w:t>quality</w:t>
      </w:r>
      <w:r>
        <w:t xml:space="preserve"> </w:t>
      </w:r>
      <w:r w:rsidRPr="0071774C">
        <w:t>assurance</w:t>
      </w:r>
      <w:r>
        <w:t xml:space="preserve"> </w:t>
      </w:r>
      <w:r w:rsidRPr="0071774C">
        <w:t>necessary</w:t>
      </w:r>
      <w:r>
        <w:t xml:space="preserve"> </w:t>
      </w:r>
      <w:r w:rsidRPr="0071774C">
        <w:t>to</w:t>
      </w:r>
      <w:r>
        <w:t xml:space="preserve"> </w:t>
      </w:r>
      <w:r w:rsidRPr="0071774C">
        <w:t>support</w:t>
      </w:r>
      <w:r>
        <w:t xml:space="preserve"> </w:t>
      </w:r>
      <w:r w:rsidRPr="0071774C">
        <w:t>this</w:t>
      </w:r>
      <w:r>
        <w:t xml:space="preserve"> </w:t>
      </w:r>
      <w:r w:rsidRPr="0071774C">
        <w:t>emerging</w:t>
      </w:r>
      <w:r>
        <w:t xml:space="preserve"> </w:t>
      </w:r>
      <w:r w:rsidRPr="0071774C">
        <w:t>workforce.</w:t>
      </w:r>
      <w:r>
        <w:t xml:space="preserve"> </w:t>
      </w:r>
      <w:r w:rsidRPr="0071774C">
        <w:t>Therefore,</w:t>
      </w:r>
      <w:r>
        <w:t xml:space="preserve"> </w:t>
      </w:r>
      <w:r w:rsidRPr="0071774C">
        <w:t>work</w:t>
      </w:r>
      <w:r>
        <w:t xml:space="preserve"> </w:t>
      </w:r>
      <w:r w:rsidRPr="0071774C">
        <w:t>is</w:t>
      </w:r>
      <w:r>
        <w:t xml:space="preserve"> </w:t>
      </w:r>
      <w:r w:rsidRPr="0071774C">
        <w:t>required</w:t>
      </w:r>
      <w:r>
        <w:t xml:space="preserve"> </w:t>
      </w:r>
      <w:r w:rsidRPr="0071774C">
        <w:t>to</w:t>
      </w:r>
      <w:r>
        <w:t xml:space="preserve"> </w:t>
      </w:r>
      <w:r w:rsidRPr="0071774C">
        <w:t>significantly</w:t>
      </w:r>
      <w:r>
        <w:t xml:space="preserve"> </w:t>
      </w:r>
      <w:r w:rsidRPr="0071774C">
        <w:t>expand,</w:t>
      </w:r>
      <w:r>
        <w:t xml:space="preserve"> </w:t>
      </w:r>
      <w:r w:rsidRPr="0071774C">
        <w:t>develop</w:t>
      </w:r>
      <w:r>
        <w:t xml:space="preserve"> </w:t>
      </w:r>
      <w:r w:rsidRPr="0071774C">
        <w:t>and</w:t>
      </w:r>
      <w:r>
        <w:t xml:space="preserve"> </w:t>
      </w:r>
      <w:r w:rsidRPr="0071774C">
        <w:t>build</w:t>
      </w:r>
      <w:r>
        <w:t xml:space="preserve"> </w:t>
      </w:r>
      <w:r w:rsidRPr="0071774C">
        <w:t>the</w:t>
      </w:r>
      <w:r>
        <w:t xml:space="preserve"> </w:t>
      </w:r>
      <w:r w:rsidRPr="0071774C">
        <w:t>capacity</w:t>
      </w:r>
      <w:r>
        <w:t xml:space="preserve"> </w:t>
      </w:r>
      <w:r w:rsidRPr="0071774C">
        <w:t>of</w:t>
      </w:r>
      <w:r>
        <w:t xml:space="preserve"> </w:t>
      </w:r>
      <w:r w:rsidRPr="0071774C">
        <w:t>the</w:t>
      </w:r>
      <w:r>
        <w:t xml:space="preserve"> </w:t>
      </w:r>
      <w:r w:rsidRPr="0071774C">
        <w:t>prevention</w:t>
      </w:r>
      <w:r>
        <w:t xml:space="preserve"> </w:t>
      </w:r>
      <w:r w:rsidRPr="0071774C">
        <w:t>workforce</w:t>
      </w:r>
      <w:r>
        <w:t xml:space="preserve"> </w:t>
      </w:r>
      <w:r w:rsidRPr="0071774C">
        <w:t>across</w:t>
      </w:r>
      <w:r>
        <w:t xml:space="preserve"> </w:t>
      </w:r>
      <w:r w:rsidRPr="0071774C">
        <w:t>the</w:t>
      </w:r>
      <w:r>
        <w:t xml:space="preserve"> </w:t>
      </w:r>
      <w:r w:rsidRPr="0071774C">
        <w:t>country,</w:t>
      </w:r>
      <w:r>
        <w:t xml:space="preserve"> </w:t>
      </w:r>
      <w:r w:rsidRPr="0071774C">
        <w:t>and</w:t>
      </w:r>
      <w:r>
        <w:t xml:space="preserve"> </w:t>
      </w:r>
      <w:r w:rsidRPr="0071774C">
        <w:t>to</w:t>
      </w:r>
      <w:r>
        <w:t xml:space="preserve"> </w:t>
      </w:r>
      <w:r w:rsidRPr="0071774C">
        <w:t>provide</w:t>
      </w:r>
      <w:r>
        <w:t xml:space="preserve"> </w:t>
      </w:r>
      <w:r w:rsidRPr="0071774C">
        <w:t>the</w:t>
      </w:r>
      <w:r>
        <w:t xml:space="preserve"> </w:t>
      </w:r>
      <w:r w:rsidRPr="0071774C">
        <w:t>coordination,</w:t>
      </w:r>
      <w:r>
        <w:t xml:space="preserve"> </w:t>
      </w:r>
      <w:r w:rsidRPr="0071774C">
        <w:t>collaboration</w:t>
      </w:r>
      <w:r>
        <w:t xml:space="preserve"> </w:t>
      </w:r>
      <w:r w:rsidRPr="0071774C">
        <w:t>and</w:t>
      </w:r>
      <w:r>
        <w:t xml:space="preserve"> </w:t>
      </w:r>
      <w:r w:rsidRPr="0071774C">
        <w:t>quality</w:t>
      </w:r>
      <w:r>
        <w:t xml:space="preserve"> </w:t>
      </w:r>
      <w:r w:rsidRPr="0071774C">
        <w:t>assurance</w:t>
      </w:r>
      <w:r>
        <w:t xml:space="preserve"> </w:t>
      </w:r>
      <w:r w:rsidRPr="0071774C">
        <w:t>processes</w:t>
      </w:r>
      <w:r>
        <w:t xml:space="preserve"> </w:t>
      </w:r>
      <w:r w:rsidRPr="0071774C">
        <w:t>that</w:t>
      </w:r>
      <w:r>
        <w:t xml:space="preserve"> </w:t>
      </w:r>
      <w:r w:rsidR="00AD5A25">
        <w:t xml:space="preserve">will </w:t>
      </w:r>
      <w:r w:rsidR="00306DA4">
        <w:t>strengthen</w:t>
      </w:r>
      <w:r>
        <w:t xml:space="preserve"> </w:t>
      </w:r>
      <w:r w:rsidRPr="0071774C">
        <w:t>this</w:t>
      </w:r>
      <w:r>
        <w:t xml:space="preserve"> </w:t>
      </w:r>
      <w:r w:rsidRPr="0071774C">
        <w:t>workforce.</w:t>
      </w:r>
      <w:r>
        <w:t xml:space="preserve"> </w:t>
      </w:r>
      <w:r w:rsidRPr="0071774C">
        <w:t>There</w:t>
      </w:r>
      <w:r>
        <w:t xml:space="preserve"> </w:t>
      </w:r>
      <w:r w:rsidRPr="0071774C">
        <w:t>is</w:t>
      </w:r>
      <w:r>
        <w:t xml:space="preserve"> </w:t>
      </w:r>
      <w:r w:rsidRPr="0071774C">
        <w:t>a</w:t>
      </w:r>
      <w:r w:rsidR="001670E3">
        <w:t> </w:t>
      </w:r>
      <w:r w:rsidRPr="0071774C">
        <w:t>clear</w:t>
      </w:r>
      <w:r>
        <w:t xml:space="preserve"> </w:t>
      </w:r>
      <w:r w:rsidRPr="0071774C">
        <w:t>need</w:t>
      </w:r>
      <w:r>
        <w:t xml:space="preserve"> </w:t>
      </w:r>
      <w:r w:rsidRPr="0071774C">
        <w:t>for</w:t>
      </w:r>
      <w:r>
        <w:t xml:space="preserve"> </w:t>
      </w:r>
      <w:r w:rsidRPr="0071774C">
        <w:t>an</w:t>
      </w:r>
      <w:r>
        <w:t xml:space="preserve"> </w:t>
      </w:r>
      <w:r w:rsidRPr="0071774C">
        <w:t>approach</w:t>
      </w:r>
      <w:r>
        <w:t xml:space="preserve"> </w:t>
      </w:r>
      <w:r w:rsidRPr="0071774C">
        <w:t>that</w:t>
      </w:r>
      <w:r>
        <w:t xml:space="preserve"> </w:t>
      </w:r>
      <w:r w:rsidRPr="0071774C">
        <w:t>supports</w:t>
      </w:r>
      <w:r>
        <w:t xml:space="preserve"> </w:t>
      </w:r>
      <w:r w:rsidRPr="0071774C">
        <w:t>workforce</w:t>
      </w:r>
      <w:r>
        <w:t xml:space="preserve"> </w:t>
      </w:r>
      <w:r w:rsidRPr="0071774C">
        <w:t>and</w:t>
      </w:r>
      <w:r>
        <w:t xml:space="preserve"> </w:t>
      </w:r>
      <w:r w:rsidRPr="0071774C">
        <w:t>sector</w:t>
      </w:r>
      <w:r w:rsidR="001670E3">
        <w:t xml:space="preserve"> </w:t>
      </w:r>
      <w:r w:rsidRPr="0071774C">
        <w:t>development,</w:t>
      </w:r>
      <w:r>
        <w:t xml:space="preserve"> </w:t>
      </w:r>
      <w:r w:rsidRPr="0071774C">
        <w:t>across</w:t>
      </w:r>
      <w:r>
        <w:t xml:space="preserve"> </w:t>
      </w:r>
      <w:r w:rsidRPr="0071774C">
        <w:t>all</w:t>
      </w:r>
      <w:r>
        <w:t xml:space="preserve"> </w:t>
      </w:r>
      <w:r w:rsidRPr="0071774C">
        <w:t>foundational</w:t>
      </w:r>
      <w:r>
        <w:t xml:space="preserve"> </w:t>
      </w:r>
      <w:r w:rsidRPr="0071774C">
        <w:t>domains</w:t>
      </w:r>
      <w:r>
        <w:t xml:space="preserve"> </w:t>
      </w:r>
      <w:r w:rsidRPr="0071774C">
        <w:t>and</w:t>
      </w:r>
      <w:r>
        <w:t xml:space="preserve"> </w:t>
      </w:r>
      <w:r w:rsidRPr="0071774C">
        <w:t>at</w:t>
      </w:r>
      <w:r>
        <w:t xml:space="preserve"> </w:t>
      </w:r>
      <w:r w:rsidRPr="0071774C">
        <w:t>multiple</w:t>
      </w:r>
      <w:r>
        <w:t xml:space="preserve"> </w:t>
      </w:r>
      <w:r w:rsidRPr="0071774C">
        <w:t>levels</w:t>
      </w:r>
      <w:r>
        <w:t xml:space="preserve"> </w:t>
      </w:r>
      <w:r w:rsidRPr="0071774C">
        <w:t>–</w:t>
      </w:r>
      <w:r>
        <w:t xml:space="preserve"> </w:t>
      </w:r>
      <w:r w:rsidRPr="0071774C">
        <w:t>supporting</w:t>
      </w:r>
      <w:r>
        <w:t xml:space="preserve"> </w:t>
      </w:r>
      <w:r w:rsidRPr="0071774C">
        <w:t>transformation</w:t>
      </w:r>
      <w:r>
        <w:t xml:space="preserve"> </w:t>
      </w:r>
      <w:r w:rsidRPr="0071774C">
        <w:t>in</w:t>
      </w:r>
      <w:r>
        <w:t xml:space="preserve"> </w:t>
      </w:r>
      <w:r w:rsidRPr="0071774C">
        <w:t>institutions,</w:t>
      </w:r>
      <w:r>
        <w:t xml:space="preserve"> </w:t>
      </w:r>
      <w:r w:rsidRPr="0071774C">
        <w:t>within</w:t>
      </w:r>
      <w:r>
        <w:t xml:space="preserve"> </w:t>
      </w:r>
      <w:r w:rsidRPr="0071774C">
        <w:t>communities</w:t>
      </w:r>
      <w:r>
        <w:t xml:space="preserve"> </w:t>
      </w:r>
      <w:r w:rsidRPr="0071774C">
        <w:t>and</w:t>
      </w:r>
      <w:r>
        <w:t xml:space="preserve"> </w:t>
      </w:r>
      <w:r w:rsidRPr="0071774C">
        <w:t>workplaces</w:t>
      </w:r>
      <w:r>
        <w:t xml:space="preserve">, </w:t>
      </w:r>
      <w:r w:rsidRPr="0071774C">
        <w:t>and</w:t>
      </w:r>
      <w:r>
        <w:t xml:space="preserve"> </w:t>
      </w:r>
      <w:r w:rsidRPr="0071774C">
        <w:t>for</w:t>
      </w:r>
      <w:r>
        <w:t xml:space="preserve"> </w:t>
      </w:r>
      <w:r w:rsidRPr="0071774C">
        <w:t>individuals.</w:t>
      </w:r>
      <w:r>
        <w:t xml:space="preserve"> </w:t>
      </w:r>
      <w:r w:rsidRPr="0071774C">
        <w:t>At</w:t>
      </w:r>
      <w:r w:rsidR="001670E3">
        <w:t xml:space="preserve"> </w:t>
      </w:r>
      <w:r w:rsidRPr="0071774C">
        <w:t>the</w:t>
      </w:r>
      <w:r>
        <w:t xml:space="preserve"> </w:t>
      </w:r>
      <w:r w:rsidRPr="0071774C">
        <w:t>same</w:t>
      </w:r>
      <w:r>
        <w:t xml:space="preserve"> </w:t>
      </w:r>
      <w:r w:rsidRPr="0071774C">
        <w:t>time,</w:t>
      </w:r>
      <w:r>
        <w:t xml:space="preserve"> </w:t>
      </w:r>
      <w:r w:rsidRPr="0071774C">
        <w:t>the</w:t>
      </w:r>
      <w:r>
        <w:t xml:space="preserve"> </w:t>
      </w:r>
      <w:r w:rsidRPr="0071774C">
        <w:t>scaling</w:t>
      </w:r>
      <w:r>
        <w:t xml:space="preserve"> </w:t>
      </w:r>
      <w:r w:rsidRPr="0071774C">
        <w:t>and</w:t>
      </w:r>
      <w:r>
        <w:t xml:space="preserve"> </w:t>
      </w:r>
      <w:r w:rsidRPr="0071774C">
        <w:t>‘mainstreaming’</w:t>
      </w:r>
      <w:r>
        <w:t xml:space="preserve"> </w:t>
      </w:r>
      <w:r w:rsidRPr="0071774C">
        <w:t>of</w:t>
      </w:r>
      <w:r>
        <w:t xml:space="preserve"> </w:t>
      </w:r>
      <w:r w:rsidRPr="0071774C">
        <w:t>prevention</w:t>
      </w:r>
      <w:r>
        <w:t xml:space="preserve"> </w:t>
      </w:r>
      <w:r w:rsidRPr="0071774C">
        <w:t>across</w:t>
      </w:r>
      <w:r>
        <w:t xml:space="preserve"> </w:t>
      </w:r>
      <w:r w:rsidRPr="0071774C">
        <w:t>diverse</w:t>
      </w:r>
      <w:r>
        <w:t xml:space="preserve"> </w:t>
      </w:r>
      <w:r w:rsidRPr="0071774C">
        <w:t>settings</w:t>
      </w:r>
      <w:r>
        <w:t xml:space="preserve"> </w:t>
      </w:r>
      <w:r w:rsidRPr="0071774C">
        <w:t>requires</w:t>
      </w:r>
      <w:r>
        <w:t xml:space="preserve"> </w:t>
      </w:r>
      <w:r w:rsidRPr="0071774C">
        <w:t>that</w:t>
      </w:r>
      <w:r>
        <w:t xml:space="preserve"> </w:t>
      </w:r>
      <w:r w:rsidRPr="0071774C">
        <w:t>professionals</w:t>
      </w:r>
      <w:r>
        <w:t xml:space="preserve"> </w:t>
      </w:r>
      <w:r w:rsidRPr="0071774C">
        <w:t>working</w:t>
      </w:r>
      <w:r>
        <w:t xml:space="preserve"> </w:t>
      </w:r>
      <w:r w:rsidRPr="0071774C">
        <w:t>across</w:t>
      </w:r>
      <w:r>
        <w:t xml:space="preserve"> </w:t>
      </w:r>
      <w:r w:rsidRPr="0071774C">
        <w:t>a</w:t>
      </w:r>
      <w:r>
        <w:t xml:space="preserve"> </w:t>
      </w:r>
      <w:r w:rsidRPr="0071774C">
        <w:t>variety</w:t>
      </w:r>
      <w:r>
        <w:t xml:space="preserve"> </w:t>
      </w:r>
      <w:r w:rsidRPr="0071774C">
        <w:t>of</w:t>
      </w:r>
      <w:r>
        <w:t xml:space="preserve"> </w:t>
      </w:r>
      <w:r w:rsidRPr="0071774C">
        <w:t>disciplines</w:t>
      </w:r>
      <w:r>
        <w:t xml:space="preserve"> </w:t>
      </w:r>
      <w:r w:rsidRPr="0071774C">
        <w:t>play</w:t>
      </w:r>
      <w:r>
        <w:t xml:space="preserve"> </w:t>
      </w:r>
      <w:r w:rsidRPr="0071774C">
        <w:t>a</w:t>
      </w:r>
      <w:r>
        <w:t xml:space="preserve"> </w:t>
      </w:r>
      <w:r w:rsidRPr="0071774C">
        <w:t>critical</w:t>
      </w:r>
      <w:r>
        <w:t xml:space="preserve"> </w:t>
      </w:r>
      <w:r w:rsidRPr="0071774C">
        <w:t>role</w:t>
      </w:r>
      <w:r>
        <w:t xml:space="preserve"> </w:t>
      </w:r>
      <w:r w:rsidRPr="0071774C">
        <w:t>by</w:t>
      </w:r>
      <w:r>
        <w:t xml:space="preserve"> </w:t>
      </w:r>
      <w:r w:rsidRPr="0071774C">
        <w:t>embedding</w:t>
      </w:r>
      <w:r>
        <w:t xml:space="preserve"> </w:t>
      </w:r>
      <w:r w:rsidRPr="0071774C">
        <w:t>prevention</w:t>
      </w:r>
      <w:r>
        <w:t xml:space="preserve"> </w:t>
      </w:r>
      <w:r w:rsidRPr="0071774C">
        <w:t>and</w:t>
      </w:r>
      <w:r>
        <w:t xml:space="preserve"> </w:t>
      </w:r>
      <w:r w:rsidRPr="0071774C">
        <w:t>gender</w:t>
      </w:r>
      <w:r>
        <w:t xml:space="preserve"> </w:t>
      </w:r>
      <w:r w:rsidRPr="0071774C">
        <w:t>equality</w:t>
      </w:r>
      <w:r>
        <w:t xml:space="preserve"> </w:t>
      </w:r>
      <w:r w:rsidRPr="0071774C">
        <w:t>efforts</w:t>
      </w:r>
      <w:r>
        <w:t xml:space="preserve"> </w:t>
      </w:r>
      <w:r w:rsidRPr="0071774C">
        <w:t>into</w:t>
      </w:r>
      <w:r>
        <w:t xml:space="preserve"> </w:t>
      </w:r>
      <w:r w:rsidRPr="0071774C">
        <w:t>their</w:t>
      </w:r>
      <w:r>
        <w:t xml:space="preserve"> </w:t>
      </w:r>
      <w:r w:rsidRPr="0071774C">
        <w:t>existing</w:t>
      </w:r>
      <w:r>
        <w:t xml:space="preserve"> </w:t>
      </w:r>
      <w:r w:rsidRPr="0071774C">
        <w:t>work</w:t>
      </w:r>
      <w:r>
        <w:t xml:space="preserve"> </w:t>
      </w:r>
      <w:r w:rsidRPr="0071774C">
        <w:t>and</w:t>
      </w:r>
      <w:r>
        <w:t xml:space="preserve"> </w:t>
      </w:r>
      <w:r w:rsidRPr="0071774C">
        <w:t>the</w:t>
      </w:r>
      <w:r>
        <w:t xml:space="preserve"> </w:t>
      </w:r>
      <w:r w:rsidRPr="0071774C">
        <w:t>core</w:t>
      </w:r>
      <w:r>
        <w:t xml:space="preserve"> </w:t>
      </w:r>
      <w:r w:rsidRPr="0071774C">
        <w:t>business</w:t>
      </w:r>
      <w:r>
        <w:t xml:space="preserve"> </w:t>
      </w:r>
      <w:r w:rsidRPr="0071774C">
        <w:t>of</w:t>
      </w:r>
      <w:r>
        <w:t xml:space="preserve"> </w:t>
      </w:r>
      <w:r w:rsidRPr="0071774C">
        <w:t>their</w:t>
      </w:r>
      <w:r>
        <w:t xml:space="preserve"> </w:t>
      </w:r>
      <w:r w:rsidRPr="0071774C">
        <w:t>organisations.</w:t>
      </w:r>
      <w:r>
        <w:t xml:space="preserve"> </w:t>
      </w:r>
      <w:r w:rsidRPr="0071774C">
        <w:t>This</w:t>
      </w:r>
      <w:r>
        <w:t xml:space="preserve"> </w:t>
      </w:r>
      <w:r w:rsidRPr="0071774C">
        <w:t>mainstreaming</w:t>
      </w:r>
      <w:r>
        <w:t xml:space="preserve"> </w:t>
      </w:r>
      <w:r w:rsidRPr="0071774C">
        <w:t>also</w:t>
      </w:r>
      <w:r>
        <w:t xml:space="preserve"> </w:t>
      </w:r>
      <w:r w:rsidRPr="0071774C">
        <w:t>requires</w:t>
      </w:r>
      <w:r>
        <w:t xml:space="preserve"> </w:t>
      </w:r>
      <w:r w:rsidRPr="0071774C">
        <w:t>leadership</w:t>
      </w:r>
      <w:r>
        <w:t xml:space="preserve"> </w:t>
      </w:r>
      <w:r w:rsidRPr="0071774C">
        <w:t>teams</w:t>
      </w:r>
      <w:r>
        <w:t xml:space="preserve"> </w:t>
      </w:r>
      <w:r w:rsidRPr="0071774C">
        <w:t>in</w:t>
      </w:r>
      <w:r>
        <w:t xml:space="preserve"> </w:t>
      </w:r>
      <w:r w:rsidRPr="0071774C">
        <w:t>these</w:t>
      </w:r>
      <w:r>
        <w:t xml:space="preserve"> </w:t>
      </w:r>
      <w:r w:rsidRPr="0071774C">
        <w:t>settings</w:t>
      </w:r>
      <w:r>
        <w:t xml:space="preserve"> </w:t>
      </w:r>
      <w:r w:rsidRPr="0071774C">
        <w:t>to</w:t>
      </w:r>
      <w:r>
        <w:t xml:space="preserve"> </w:t>
      </w:r>
      <w:r w:rsidRPr="0071774C">
        <w:t>understand</w:t>
      </w:r>
      <w:r>
        <w:t xml:space="preserve"> </w:t>
      </w:r>
      <w:r w:rsidRPr="0071774C">
        <w:t>prevention</w:t>
      </w:r>
      <w:r>
        <w:t xml:space="preserve"> </w:t>
      </w:r>
      <w:r w:rsidRPr="0071774C">
        <w:t>and</w:t>
      </w:r>
      <w:r>
        <w:t xml:space="preserve"> </w:t>
      </w:r>
      <w:r w:rsidRPr="0071774C">
        <w:t>commit</w:t>
      </w:r>
      <w:r>
        <w:t xml:space="preserve"> </w:t>
      </w:r>
      <w:r w:rsidRPr="0071774C">
        <w:t>the</w:t>
      </w:r>
      <w:r>
        <w:t xml:space="preserve"> </w:t>
      </w:r>
      <w:r w:rsidRPr="0071774C">
        <w:t>resources</w:t>
      </w:r>
      <w:r>
        <w:t xml:space="preserve"> </w:t>
      </w:r>
      <w:r w:rsidRPr="0071774C">
        <w:t>and</w:t>
      </w:r>
      <w:r>
        <w:t xml:space="preserve"> </w:t>
      </w:r>
      <w:r w:rsidRPr="0071774C">
        <w:t>support</w:t>
      </w:r>
      <w:r>
        <w:t xml:space="preserve"> </w:t>
      </w:r>
      <w:r w:rsidRPr="0071774C">
        <w:t>required</w:t>
      </w:r>
      <w:r>
        <w:t xml:space="preserve"> </w:t>
      </w:r>
      <w:r w:rsidRPr="0071774C">
        <w:t>for</w:t>
      </w:r>
      <w:r>
        <w:t xml:space="preserve"> </w:t>
      </w:r>
      <w:r w:rsidRPr="0071774C">
        <w:t>professional</w:t>
      </w:r>
      <w:r>
        <w:t xml:space="preserve"> </w:t>
      </w:r>
      <w:r w:rsidRPr="0071774C">
        <w:t>development,</w:t>
      </w:r>
      <w:r>
        <w:t xml:space="preserve"> </w:t>
      </w:r>
      <w:r w:rsidRPr="0071774C">
        <w:t>and</w:t>
      </w:r>
      <w:r>
        <w:t xml:space="preserve"> </w:t>
      </w:r>
      <w:r w:rsidRPr="0071774C">
        <w:t>to</w:t>
      </w:r>
      <w:r>
        <w:t xml:space="preserve"> </w:t>
      </w:r>
      <w:r w:rsidRPr="0071774C">
        <w:t>drive</w:t>
      </w:r>
      <w:r>
        <w:t xml:space="preserve"> </w:t>
      </w:r>
      <w:r w:rsidRPr="0071774C">
        <w:t>and</w:t>
      </w:r>
      <w:r>
        <w:t xml:space="preserve"> </w:t>
      </w:r>
      <w:r w:rsidRPr="0071774C">
        <w:t>secure</w:t>
      </w:r>
      <w:r>
        <w:t xml:space="preserve"> </w:t>
      </w:r>
      <w:r w:rsidRPr="0071774C">
        <w:t>whole-of-organisation</w:t>
      </w:r>
      <w:r>
        <w:t xml:space="preserve"> </w:t>
      </w:r>
      <w:r w:rsidRPr="0071774C">
        <w:t>support</w:t>
      </w:r>
      <w:r>
        <w:t xml:space="preserve"> </w:t>
      </w:r>
      <w:r w:rsidRPr="0071774C">
        <w:t>for</w:t>
      </w:r>
      <w:r>
        <w:t xml:space="preserve"> </w:t>
      </w:r>
      <w:r w:rsidRPr="0071774C">
        <w:t>this</w:t>
      </w:r>
      <w:r w:rsidR="00851841">
        <w:t> </w:t>
      </w:r>
      <w:r w:rsidRPr="0071774C">
        <w:t>work.</w:t>
      </w:r>
    </w:p>
    <w:p w14:paraId="4ABF8CE8" w14:textId="77777777" w:rsidR="002C2EC7" w:rsidRDefault="002C2EC7" w:rsidP="00790783">
      <w:pPr>
        <w:pStyle w:val="BodyText"/>
      </w:pPr>
      <w:r w:rsidRPr="0071774C">
        <w:t>In</w:t>
      </w:r>
      <w:r>
        <w:t xml:space="preserve"> </w:t>
      </w:r>
      <w:r w:rsidRPr="0071774C">
        <w:t>this</w:t>
      </w:r>
      <w:r>
        <w:t xml:space="preserve"> </w:t>
      </w:r>
      <w:r w:rsidRPr="0071774C">
        <w:t>domain,</w:t>
      </w:r>
      <w:r>
        <w:t xml:space="preserve"> </w:t>
      </w:r>
      <w:r w:rsidRPr="0071774C">
        <w:t>we</w:t>
      </w:r>
      <w:r>
        <w:t xml:space="preserve"> </w:t>
      </w:r>
      <w:r w:rsidRPr="0071774C">
        <w:t>explore</w:t>
      </w:r>
      <w:r>
        <w:t xml:space="preserve"> </w:t>
      </w:r>
      <w:r w:rsidRPr="0071774C">
        <w:t>the</w:t>
      </w:r>
      <w:r>
        <w:t xml:space="preserve"> </w:t>
      </w:r>
      <w:r w:rsidRPr="0071774C">
        <w:t>extent</w:t>
      </w:r>
      <w:r>
        <w:t xml:space="preserve"> </w:t>
      </w:r>
      <w:r w:rsidRPr="0071774C">
        <w:t>to</w:t>
      </w:r>
      <w:r>
        <w:t xml:space="preserve"> </w:t>
      </w:r>
      <w:r w:rsidRPr="0071774C">
        <w:t>which</w:t>
      </w:r>
      <w:r>
        <w:t xml:space="preserve"> </w:t>
      </w:r>
      <w:r w:rsidRPr="0071774C">
        <w:t>the</w:t>
      </w:r>
      <w:r>
        <w:t xml:space="preserve"> </w:t>
      </w:r>
      <w:r w:rsidRPr="0071774C">
        <w:t>current</w:t>
      </w:r>
      <w:r>
        <w:t xml:space="preserve"> </w:t>
      </w:r>
      <w:r w:rsidRPr="0071774C">
        <w:t>prevention</w:t>
      </w:r>
      <w:r>
        <w:t xml:space="preserve"> </w:t>
      </w:r>
      <w:r w:rsidRPr="0071774C">
        <w:t>infrastructure</w:t>
      </w:r>
      <w:r>
        <w:t xml:space="preserve"> </w:t>
      </w:r>
      <w:r w:rsidRPr="0071774C">
        <w:t>supports</w:t>
      </w:r>
      <w:r>
        <w:t xml:space="preserve"> </w:t>
      </w:r>
      <w:r w:rsidRPr="0071774C">
        <w:t>and</w:t>
      </w:r>
      <w:r>
        <w:t xml:space="preserve"> </w:t>
      </w:r>
      <w:r w:rsidRPr="0071774C">
        <w:t>enables</w:t>
      </w:r>
      <w:r>
        <w:t xml:space="preserve"> </w:t>
      </w:r>
      <w:r w:rsidRPr="0071774C">
        <w:t>the</w:t>
      </w:r>
      <w:r>
        <w:t xml:space="preserve"> </w:t>
      </w:r>
      <w:r w:rsidRPr="0071774C">
        <w:t>development</w:t>
      </w:r>
      <w:r>
        <w:t xml:space="preserve"> </w:t>
      </w:r>
      <w:r w:rsidRPr="0071774C">
        <w:t>of:</w:t>
      </w:r>
    </w:p>
    <w:p w14:paraId="318D74CD" w14:textId="77777777" w:rsidR="002C2EC7" w:rsidRDefault="002C2EC7" w:rsidP="00790783">
      <w:pPr>
        <w:pStyle w:val="OWBullet1"/>
      </w:pPr>
      <w:r>
        <w:t>a s</w:t>
      </w:r>
      <w:r w:rsidRPr="0071774C">
        <w:t>pecialist</w:t>
      </w:r>
      <w:r>
        <w:t xml:space="preserve"> </w:t>
      </w:r>
      <w:r w:rsidRPr="0071774C">
        <w:t>workforce</w:t>
      </w:r>
      <w:r>
        <w:t xml:space="preserve"> </w:t>
      </w:r>
      <w:r w:rsidRPr="0071774C">
        <w:t>of</w:t>
      </w:r>
      <w:r>
        <w:t xml:space="preserve"> </w:t>
      </w:r>
      <w:r w:rsidRPr="0071774C">
        <w:t>prevention</w:t>
      </w:r>
      <w:r>
        <w:t xml:space="preserve"> </w:t>
      </w:r>
      <w:r w:rsidRPr="0071774C">
        <w:t>policy</w:t>
      </w:r>
      <w:r>
        <w:t>-</w:t>
      </w:r>
      <w:r w:rsidRPr="0071774C">
        <w:t>makers</w:t>
      </w:r>
      <w:r>
        <w:t xml:space="preserve"> </w:t>
      </w:r>
      <w:r w:rsidRPr="0071774C">
        <w:t>and</w:t>
      </w:r>
      <w:r>
        <w:t xml:space="preserve"> </w:t>
      </w:r>
      <w:r w:rsidRPr="0071774C">
        <w:t>professionals</w:t>
      </w:r>
      <w:r>
        <w:t xml:space="preserve"> </w:t>
      </w:r>
      <w:r w:rsidRPr="0071774C">
        <w:t>who</w:t>
      </w:r>
      <w:r>
        <w:t xml:space="preserve"> </w:t>
      </w:r>
      <w:r w:rsidRPr="0071774C">
        <w:t>provide</w:t>
      </w:r>
      <w:r>
        <w:t xml:space="preserve"> </w:t>
      </w:r>
      <w:r w:rsidRPr="0071774C">
        <w:t>leadership,</w:t>
      </w:r>
      <w:r>
        <w:t xml:space="preserve"> </w:t>
      </w:r>
      <w:r w:rsidRPr="0071774C">
        <w:t>technical</w:t>
      </w:r>
      <w:r>
        <w:t xml:space="preserve"> </w:t>
      </w:r>
      <w:r w:rsidRPr="0071774C">
        <w:t>assistance,</w:t>
      </w:r>
      <w:r>
        <w:t xml:space="preserve"> </w:t>
      </w:r>
      <w:r w:rsidRPr="0071774C">
        <w:t>program</w:t>
      </w:r>
      <w:r>
        <w:t xml:space="preserve"> </w:t>
      </w:r>
      <w:r w:rsidRPr="0071774C">
        <w:t>development</w:t>
      </w:r>
      <w:r>
        <w:t xml:space="preserve"> </w:t>
      </w:r>
      <w:r w:rsidRPr="0071774C">
        <w:t>and</w:t>
      </w:r>
      <w:r>
        <w:t xml:space="preserve"> </w:t>
      </w:r>
      <w:r w:rsidRPr="0071774C">
        <w:t>policy,</w:t>
      </w:r>
      <w:r>
        <w:t xml:space="preserve"> </w:t>
      </w:r>
      <w:r w:rsidRPr="0071774C">
        <w:t>research,</w:t>
      </w:r>
      <w:r>
        <w:t xml:space="preserve"> </w:t>
      </w:r>
      <w:r w:rsidRPr="0071774C">
        <w:t>data,</w:t>
      </w:r>
      <w:r>
        <w:t xml:space="preserve"> </w:t>
      </w:r>
      <w:r w:rsidRPr="0071774C">
        <w:t>evaluation</w:t>
      </w:r>
      <w:r>
        <w:t xml:space="preserve"> </w:t>
      </w:r>
      <w:r w:rsidRPr="0071774C">
        <w:t>and</w:t>
      </w:r>
      <w:r>
        <w:t xml:space="preserve"> </w:t>
      </w:r>
      <w:r w:rsidRPr="0071774C">
        <w:t>communications</w:t>
      </w:r>
      <w:r>
        <w:t xml:space="preserve"> </w:t>
      </w:r>
      <w:r w:rsidRPr="0071774C">
        <w:t>support</w:t>
      </w:r>
      <w:r>
        <w:t xml:space="preserve"> </w:t>
      </w:r>
      <w:r w:rsidRPr="0071774C">
        <w:t>to</w:t>
      </w:r>
      <w:r>
        <w:t xml:space="preserve"> </w:t>
      </w:r>
      <w:r w:rsidRPr="0071774C">
        <w:t>diverse</w:t>
      </w:r>
      <w:r>
        <w:t xml:space="preserve"> </w:t>
      </w:r>
      <w:r w:rsidRPr="0071774C">
        <w:t>stakeholders</w:t>
      </w:r>
      <w:r>
        <w:t>.</w:t>
      </w:r>
    </w:p>
    <w:p w14:paraId="1AC6B21E" w14:textId="75010FE6" w:rsidR="002C2EC7" w:rsidRDefault="002C2EC7" w:rsidP="00790783">
      <w:pPr>
        <w:pStyle w:val="OWBullet1"/>
      </w:pPr>
      <w:r>
        <w:t>s</w:t>
      </w:r>
      <w:r w:rsidRPr="0071774C">
        <w:t>pecialists</w:t>
      </w:r>
      <w:r>
        <w:t xml:space="preserve"> </w:t>
      </w:r>
      <w:r w:rsidRPr="0071774C">
        <w:t>with</w:t>
      </w:r>
      <w:r>
        <w:t xml:space="preserve"> </w:t>
      </w:r>
      <w:r w:rsidRPr="0071774C">
        <w:t>skills</w:t>
      </w:r>
      <w:r>
        <w:t xml:space="preserve"> </w:t>
      </w:r>
      <w:r w:rsidRPr="0071774C">
        <w:t>and</w:t>
      </w:r>
      <w:r>
        <w:t xml:space="preserve"> </w:t>
      </w:r>
      <w:r w:rsidRPr="0071774C">
        <w:t>knowledge</w:t>
      </w:r>
      <w:r>
        <w:t xml:space="preserve"> </w:t>
      </w:r>
      <w:r w:rsidRPr="0071774C">
        <w:t>in</w:t>
      </w:r>
      <w:r>
        <w:t xml:space="preserve"> </w:t>
      </w:r>
      <w:r w:rsidRPr="0071774C">
        <w:t>designing</w:t>
      </w:r>
      <w:r>
        <w:t xml:space="preserve"> </w:t>
      </w:r>
      <w:r w:rsidRPr="0071774C">
        <w:t>and</w:t>
      </w:r>
      <w:r>
        <w:t xml:space="preserve"> </w:t>
      </w:r>
      <w:r w:rsidRPr="0071774C">
        <w:t>delivering</w:t>
      </w:r>
      <w:r>
        <w:t xml:space="preserve"> </w:t>
      </w:r>
      <w:r w:rsidRPr="0071774C">
        <w:t>specific,</w:t>
      </w:r>
      <w:r>
        <w:t xml:space="preserve"> </w:t>
      </w:r>
      <w:r w:rsidRPr="0071774C">
        <w:t>evidence-informed</w:t>
      </w:r>
      <w:r>
        <w:t xml:space="preserve"> </w:t>
      </w:r>
      <w:r w:rsidRPr="0071774C">
        <w:t>prevention</w:t>
      </w:r>
      <w:r>
        <w:t xml:space="preserve"> </w:t>
      </w:r>
      <w:r w:rsidRPr="0071774C">
        <w:t>strategies,</w:t>
      </w:r>
      <w:r>
        <w:t xml:space="preserve"> </w:t>
      </w:r>
      <w:r w:rsidRPr="0071774C">
        <w:t>policies,</w:t>
      </w:r>
      <w:r>
        <w:t xml:space="preserve"> </w:t>
      </w:r>
      <w:r w:rsidRPr="0071774C">
        <w:t>program</w:t>
      </w:r>
      <w:r>
        <w:t>s</w:t>
      </w:r>
      <w:r w:rsidRPr="0071774C">
        <w:t>,</w:t>
      </w:r>
      <w:r>
        <w:t xml:space="preserve"> </w:t>
      </w:r>
      <w:r w:rsidRPr="0071774C">
        <w:t>research,</w:t>
      </w:r>
      <w:r>
        <w:t xml:space="preserve"> </w:t>
      </w:r>
      <w:r w:rsidRPr="0071774C">
        <w:t>evaluations</w:t>
      </w:r>
      <w:r>
        <w:t xml:space="preserve"> </w:t>
      </w:r>
      <w:r w:rsidRPr="0071774C">
        <w:t>and</w:t>
      </w:r>
      <w:r>
        <w:t xml:space="preserve"> </w:t>
      </w:r>
      <w:r w:rsidRPr="0071774C">
        <w:t>communications</w:t>
      </w:r>
      <w:r>
        <w:t xml:space="preserve"> </w:t>
      </w:r>
      <w:r w:rsidRPr="0071774C">
        <w:t>for</w:t>
      </w:r>
      <w:r>
        <w:t xml:space="preserve"> </w:t>
      </w:r>
      <w:r w:rsidRPr="0071774C">
        <w:t>the</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r>
        <w:t>.</w:t>
      </w:r>
    </w:p>
    <w:p w14:paraId="53ABF3FA" w14:textId="3A0EF71D" w:rsidR="002C2EC7" w:rsidRDefault="002C2EC7" w:rsidP="00790783">
      <w:pPr>
        <w:pStyle w:val="OWBullet1"/>
      </w:pPr>
      <w:r>
        <w:t>s</w:t>
      </w:r>
      <w:r w:rsidRPr="0071774C">
        <w:t>pecialists</w:t>
      </w:r>
      <w:r>
        <w:t xml:space="preserve"> </w:t>
      </w:r>
      <w:r w:rsidRPr="0071774C">
        <w:t>with</w:t>
      </w:r>
      <w:r>
        <w:t xml:space="preserve"> </w:t>
      </w:r>
      <w:r w:rsidRPr="0071774C">
        <w:t>skills</w:t>
      </w:r>
      <w:r>
        <w:t xml:space="preserve"> </w:t>
      </w:r>
      <w:r w:rsidRPr="0071774C">
        <w:t>and</w:t>
      </w:r>
      <w:r>
        <w:t xml:space="preserve"> </w:t>
      </w:r>
      <w:r w:rsidRPr="0071774C">
        <w:t>knowledge</w:t>
      </w:r>
      <w:r>
        <w:t xml:space="preserve"> </w:t>
      </w:r>
      <w:r w:rsidRPr="0071774C">
        <w:t>in</w:t>
      </w:r>
      <w:r>
        <w:t xml:space="preserve"> </w:t>
      </w:r>
      <w:r w:rsidRPr="0071774C">
        <w:t>applying</w:t>
      </w:r>
      <w:r>
        <w:t xml:space="preserve"> </w:t>
      </w:r>
      <w:r w:rsidRPr="0071774C">
        <w:t>the</w:t>
      </w:r>
      <w:r>
        <w:t xml:space="preserve"> </w:t>
      </w:r>
      <w:r w:rsidRPr="0071774C">
        <w:t>techniques</w:t>
      </w:r>
      <w:r>
        <w:t xml:space="preserve"> </w:t>
      </w:r>
      <w:r w:rsidRPr="0071774C">
        <w:t>outlined</w:t>
      </w:r>
      <w:r>
        <w:t xml:space="preserve"> </w:t>
      </w:r>
      <w:r w:rsidRPr="0071774C">
        <w:t>in</w:t>
      </w:r>
      <w:r>
        <w:t xml:space="preserve"> </w:t>
      </w:r>
      <w:r w:rsidRPr="00ED4674">
        <w:rPr>
          <w:rStyle w:val="Emphasis"/>
        </w:rPr>
        <w:t>Change the</w:t>
      </w:r>
      <w:r w:rsidR="00F30103">
        <w:rPr>
          <w:rStyle w:val="Emphasis"/>
        </w:rPr>
        <w:t> </w:t>
      </w:r>
      <w:r w:rsidRPr="00ED4674">
        <w:rPr>
          <w:rStyle w:val="Emphasis"/>
        </w:rPr>
        <w:t>story</w:t>
      </w:r>
      <w:r w:rsidRPr="005068F2">
        <w:rPr>
          <w:rStyle w:val="EndnoteReference"/>
          <w:szCs w:val="22"/>
        </w:rPr>
        <w:endnoteReference w:id="89"/>
      </w:r>
      <w:r w:rsidRPr="00ED4674">
        <w:t xml:space="preserve"> a</w:t>
      </w:r>
      <w:r w:rsidRPr="0071774C">
        <w:t>nd</w:t>
      </w:r>
      <w:r w:rsidRPr="00ED4674">
        <w:rPr>
          <w:rStyle w:val="Emphasis"/>
        </w:rPr>
        <w:t xml:space="preserve"> Changing the picture</w:t>
      </w:r>
      <w:r w:rsidRPr="005068F2">
        <w:rPr>
          <w:rStyle w:val="EndnoteReference"/>
          <w:szCs w:val="22"/>
        </w:rPr>
        <w:endnoteReference w:id="90"/>
      </w:r>
      <w:r>
        <w:t xml:space="preserve"> </w:t>
      </w:r>
      <w:r w:rsidRPr="0071774C">
        <w:t>to</w:t>
      </w:r>
      <w:r>
        <w:t xml:space="preserve"> </w:t>
      </w:r>
      <w:r w:rsidRPr="0071774C">
        <w:t>prevent</w:t>
      </w:r>
      <w:r>
        <w:t xml:space="preserve"> </w:t>
      </w:r>
      <w:r w:rsidRPr="0071774C">
        <w:t>violence</w:t>
      </w:r>
      <w:r>
        <w:t xml:space="preserve"> </w:t>
      </w:r>
      <w:r w:rsidRPr="0071774C">
        <w:t>against</w:t>
      </w:r>
      <w:r>
        <w:t xml:space="preserve"> </w:t>
      </w:r>
      <w:r w:rsidRPr="0071774C">
        <w:t>women</w:t>
      </w:r>
      <w:r>
        <w:t xml:space="preserve"> </w:t>
      </w:r>
      <w:r w:rsidRPr="0071774C">
        <w:t>in</w:t>
      </w:r>
      <w:r>
        <w:t xml:space="preserve"> </w:t>
      </w:r>
      <w:r w:rsidRPr="0071774C">
        <w:t>order</w:t>
      </w:r>
      <w:r>
        <w:t xml:space="preserve"> </w:t>
      </w:r>
      <w:r w:rsidRPr="0071774C">
        <w:t>to</w:t>
      </w:r>
      <w:r w:rsidR="001670E3">
        <w:t> </w:t>
      </w:r>
      <w:r w:rsidRPr="0071774C">
        <w:t>transform</w:t>
      </w:r>
      <w:r>
        <w:t xml:space="preserve"> </w:t>
      </w:r>
      <w:r w:rsidRPr="0071774C">
        <w:t>social</w:t>
      </w:r>
      <w:r>
        <w:t xml:space="preserve"> </w:t>
      </w:r>
      <w:r w:rsidRPr="0071774C">
        <w:t>systems,</w:t>
      </w:r>
      <w:r>
        <w:t xml:space="preserve"> </w:t>
      </w:r>
      <w:r w:rsidRPr="0071774C">
        <w:t>norms,</w:t>
      </w:r>
      <w:r>
        <w:t xml:space="preserve"> </w:t>
      </w:r>
      <w:r w:rsidRPr="0071774C">
        <w:t>structures</w:t>
      </w:r>
      <w:r>
        <w:t xml:space="preserve"> </w:t>
      </w:r>
      <w:r w:rsidRPr="0071774C">
        <w:t>and</w:t>
      </w:r>
      <w:r>
        <w:t xml:space="preserve"> </w:t>
      </w:r>
      <w:r w:rsidRPr="0071774C">
        <w:t>practices</w:t>
      </w:r>
      <w:r>
        <w:t xml:space="preserve"> </w:t>
      </w:r>
      <w:r w:rsidRPr="0071774C">
        <w:t>that</w:t>
      </w:r>
      <w:r>
        <w:t xml:space="preserve"> </w:t>
      </w:r>
      <w:r w:rsidRPr="0071774C">
        <w:t>create</w:t>
      </w:r>
      <w:r w:rsidR="0003039B">
        <w:t xml:space="preserve"> </w:t>
      </w:r>
      <w:r w:rsidRPr="0071774C">
        <w:t>complex</w:t>
      </w:r>
      <w:r>
        <w:t xml:space="preserve"> </w:t>
      </w:r>
      <w:r w:rsidRPr="0071774C">
        <w:t>intersecting</w:t>
      </w:r>
      <w:r>
        <w:t xml:space="preserve"> </w:t>
      </w:r>
      <w:r w:rsidRPr="0071774C">
        <w:t>forms</w:t>
      </w:r>
      <w:r>
        <w:t xml:space="preserve"> </w:t>
      </w:r>
      <w:r w:rsidRPr="0071774C">
        <w:t>of</w:t>
      </w:r>
      <w:r>
        <w:t xml:space="preserve"> </w:t>
      </w:r>
      <w:r w:rsidR="0003039B" w:rsidRPr="0003039B">
        <w:t>oppression</w:t>
      </w:r>
      <w:r w:rsidR="0003039B">
        <w:t xml:space="preserve"> </w:t>
      </w:r>
      <w:r w:rsidRPr="0071774C">
        <w:t>and</w:t>
      </w:r>
      <w:r>
        <w:t xml:space="preserve"> </w:t>
      </w:r>
      <w:r w:rsidRPr="0071774C">
        <w:t>privilege,</w:t>
      </w:r>
      <w:r>
        <w:t xml:space="preserve"> </w:t>
      </w:r>
      <w:r w:rsidRPr="0071774C">
        <w:t>and</w:t>
      </w:r>
      <w:r>
        <w:t xml:space="preserve"> </w:t>
      </w:r>
      <w:r w:rsidRPr="0071774C">
        <w:t>that</w:t>
      </w:r>
      <w:r>
        <w:t xml:space="preserve"> </w:t>
      </w:r>
      <w:r w:rsidRPr="0071774C">
        <w:t>influence</w:t>
      </w:r>
      <w:r>
        <w:t xml:space="preserve"> </w:t>
      </w:r>
      <w:r w:rsidRPr="0071774C">
        <w:t>patterns</w:t>
      </w:r>
      <w:r>
        <w:t xml:space="preserve"> </w:t>
      </w:r>
      <w:r w:rsidRPr="0071774C">
        <w:t>of</w:t>
      </w:r>
      <w:r>
        <w:t xml:space="preserve"> </w:t>
      </w:r>
      <w:r w:rsidRPr="0071774C">
        <w:t>perpetration</w:t>
      </w:r>
      <w:r>
        <w:t xml:space="preserve"> </w:t>
      </w:r>
      <w:r w:rsidRPr="0071774C">
        <w:t>as</w:t>
      </w:r>
      <w:r>
        <w:t xml:space="preserve"> </w:t>
      </w:r>
      <w:r w:rsidRPr="0071774C">
        <w:t>well</w:t>
      </w:r>
      <w:r>
        <w:t xml:space="preserve"> </w:t>
      </w:r>
      <w:r w:rsidRPr="0071774C">
        <w:t>as</w:t>
      </w:r>
      <w:r>
        <w:t xml:space="preserve"> </w:t>
      </w:r>
      <w:r w:rsidRPr="0071774C">
        <w:t>experiences</w:t>
      </w:r>
      <w:r>
        <w:t xml:space="preserve"> </w:t>
      </w:r>
      <w:r w:rsidRPr="0071774C">
        <w:t>of</w:t>
      </w:r>
      <w:r>
        <w:t xml:space="preserve"> </w:t>
      </w:r>
      <w:r w:rsidRPr="0071774C">
        <w:t>violence</w:t>
      </w:r>
      <w:r>
        <w:t>.</w:t>
      </w:r>
    </w:p>
    <w:p w14:paraId="06BB97D0" w14:textId="77777777" w:rsidR="002C2EC7" w:rsidRPr="00FB7F22" w:rsidRDefault="002C2EC7" w:rsidP="00790783">
      <w:pPr>
        <w:pStyle w:val="Heading4"/>
        <w:rPr>
          <w:rStyle w:val="OWCharacterCharcoal"/>
        </w:rPr>
      </w:pPr>
      <w:bookmarkStart w:id="43" w:name="_Toc41559722"/>
      <w:r w:rsidRPr="00FB7F22">
        <w:rPr>
          <w:rStyle w:val="OWCharacterCharcoal"/>
        </w:rPr>
        <w:t>An expert workforce: summary of findings</w:t>
      </w:r>
      <w:bookmarkEnd w:id="43"/>
    </w:p>
    <w:p w14:paraId="65BBBFCE" w14:textId="44CAD892" w:rsidR="002C2EC7" w:rsidRDefault="002C2EC7" w:rsidP="00790783">
      <w:pPr>
        <w:pStyle w:val="BodyText"/>
      </w:pPr>
      <w:r w:rsidRPr="00D00F71">
        <w:t>The majority of the analysis below is based on qualitative and quantitative data collected through Our Watch’s Progress in Prevention Research Survey, distributed online to stakeholders across Australia in January 2020 for which 312 responses were collected</w:t>
      </w:r>
      <w:r w:rsidRPr="00D00F71">
        <w:rPr>
          <w:rStyle w:val="OWSuperscript"/>
        </w:rPr>
        <w:footnoteReference w:id="6"/>
      </w:r>
      <w:r w:rsidRPr="00D00F71">
        <w:t xml:space="preserve"> (see</w:t>
      </w:r>
      <w:r w:rsidR="00851841" w:rsidRPr="00D00F71">
        <w:t> </w:t>
      </w:r>
      <w:r w:rsidRPr="00D00F71">
        <w:t>Appendix A: Methodology and limitations). The survey responses indicated that the emerging prevention workforce is multiskilled, working across the domains identified in this paper and employed by a variety of organisations. The primary prevention workforce also works across a range of roles, with three-quarters of workers spending between most and a little of their time working on primary prevention or incorporating primary preventi</w:t>
      </w:r>
      <w:r w:rsidRPr="0071774C">
        <w:t>on</w:t>
      </w:r>
      <w:r>
        <w:t xml:space="preserve"> </w:t>
      </w:r>
      <w:r w:rsidRPr="0071774C">
        <w:t>into</w:t>
      </w:r>
      <w:r>
        <w:t xml:space="preserve"> </w:t>
      </w:r>
      <w:r w:rsidRPr="0071774C">
        <w:lastRenderedPageBreak/>
        <w:t>their</w:t>
      </w:r>
      <w:r>
        <w:t xml:space="preserve"> </w:t>
      </w:r>
      <w:r w:rsidRPr="0071774C">
        <w:t>practice.</w:t>
      </w:r>
      <w:r>
        <w:t xml:space="preserve"> </w:t>
      </w:r>
      <w:r w:rsidRPr="0071774C">
        <w:t>Those</w:t>
      </w:r>
      <w:r>
        <w:t xml:space="preserve"> </w:t>
      </w:r>
      <w:r w:rsidRPr="0071774C">
        <w:t>who</w:t>
      </w:r>
      <w:r>
        <w:t xml:space="preserve"> </w:t>
      </w:r>
      <w:r w:rsidRPr="0071774C">
        <w:t>specialise</w:t>
      </w:r>
      <w:r>
        <w:t xml:space="preserve"> </w:t>
      </w:r>
      <w:r w:rsidRPr="0071774C">
        <w:t>in</w:t>
      </w:r>
      <w:r>
        <w:t xml:space="preserve"> </w:t>
      </w:r>
      <w:r w:rsidRPr="0071774C">
        <w:t>primary</w:t>
      </w:r>
      <w:r>
        <w:t xml:space="preserve"> </w:t>
      </w:r>
      <w:r w:rsidRPr="0071774C">
        <w:t>prevention</w:t>
      </w:r>
      <w:r>
        <w:t xml:space="preserve"> </w:t>
      </w:r>
      <w:r w:rsidRPr="0071774C">
        <w:t>are</w:t>
      </w:r>
      <w:r>
        <w:t xml:space="preserve"> </w:t>
      </w:r>
      <w:r w:rsidRPr="0071774C">
        <w:t>a</w:t>
      </w:r>
      <w:r>
        <w:t xml:space="preserve"> </w:t>
      </w:r>
      <w:r w:rsidRPr="0071774C">
        <w:t>smaller</w:t>
      </w:r>
      <w:r>
        <w:t xml:space="preserve"> </w:t>
      </w:r>
      <w:r w:rsidRPr="0071774C">
        <w:t>component</w:t>
      </w:r>
      <w:r>
        <w:t xml:space="preserve"> </w:t>
      </w:r>
      <w:r w:rsidRPr="0071774C">
        <w:t>of</w:t>
      </w:r>
      <w:r>
        <w:t xml:space="preserve"> </w:t>
      </w:r>
      <w:r w:rsidRPr="0071774C">
        <w:t>the</w:t>
      </w:r>
      <w:r>
        <w:t xml:space="preserve"> </w:t>
      </w:r>
      <w:r w:rsidRPr="0071774C">
        <w:t>workforce;</w:t>
      </w:r>
      <w:r>
        <w:t xml:space="preserve"> </w:t>
      </w:r>
      <w:r w:rsidRPr="0071774C">
        <w:t>a</w:t>
      </w:r>
      <w:r>
        <w:t xml:space="preserve"> </w:t>
      </w:r>
      <w:r w:rsidRPr="0071774C">
        <w:t>quarter</w:t>
      </w:r>
      <w:r>
        <w:t xml:space="preserve"> </w:t>
      </w:r>
      <w:r w:rsidRPr="0071774C">
        <w:t>of</w:t>
      </w:r>
      <w:r>
        <w:t xml:space="preserve"> </w:t>
      </w:r>
      <w:r w:rsidRPr="0071774C">
        <w:t>respondents</w:t>
      </w:r>
      <w:r>
        <w:t xml:space="preserve"> </w:t>
      </w:r>
      <w:r w:rsidRPr="0071774C">
        <w:t>indicated</w:t>
      </w:r>
      <w:r>
        <w:t xml:space="preserve"> </w:t>
      </w:r>
      <w:r w:rsidRPr="0071774C">
        <w:t>that</w:t>
      </w:r>
      <w:r>
        <w:t xml:space="preserve"> </w:t>
      </w:r>
      <w:r w:rsidRPr="0071774C">
        <w:t>primary</w:t>
      </w:r>
      <w:r>
        <w:t xml:space="preserve"> </w:t>
      </w:r>
      <w:r w:rsidRPr="0071774C">
        <w:t>prevention</w:t>
      </w:r>
      <w:r>
        <w:t xml:space="preserve"> </w:t>
      </w:r>
      <w:r w:rsidRPr="0071774C">
        <w:t>was</w:t>
      </w:r>
      <w:r>
        <w:t xml:space="preserve"> </w:t>
      </w:r>
      <w:r w:rsidRPr="0071774C">
        <w:t>their</w:t>
      </w:r>
      <w:r>
        <w:t xml:space="preserve"> </w:t>
      </w:r>
      <w:r w:rsidRPr="0071774C">
        <w:t>focus</w:t>
      </w:r>
      <w:r>
        <w:t xml:space="preserve"> </w:t>
      </w:r>
      <w:r w:rsidRPr="0071774C">
        <w:t>100%</w:t>
      </w:r>
      <w:r>
        <w:t xml:space="preserve"> </w:t>
      </w:r>
      <w:r w:rsidRPr="0071774C">
        <w:t>of</w:t>
      </w:r>
      <w:r>
        <w:t xml:space="preserve"> </w:t>
      </w:r>
      <w:r w:rsidRPr="0071774C">
        <w:t>the</w:t>
      </w:r>
      <w:r>
        <w:t xml:space="preserve"> </w:t>
      </w:r>
      <w:r w:rsidRPr="0071774C">
        <w:t>time.</w:t>
      </w:r>
    </w:p>
    <w:p w14:paraId="6EBA3958" w14:textId="77777777" w:rsidR="002C2EC7" w:rsidRDefault="002C2EC7" w:rsidP="00790783">
      <w:pPr>
        <w:pStyle w:val="BodyText"/>
      </w:pPr>
      <w:r w:rsidRPr="0071774C">
        <w:t>Analysis</w:t>
      </w:r>
      <w:r>
        <w:t xml:space="preserve"> </w:t>
      </w:r>
      <w:r w:rsidRPr="0071774C">
        <w:t>of</w:t>
      </w:r>
      <w:r>
        <w:t xml:space="preserve"> </w:t>
      </w:r>
      <w:r w:rsidRPr="0071774C">
        <w:t>qualitative</w:t>
      </w:r>
      <w:r>
        <w:t xml:space="preserve"> </w:t>
      </w:r>
      <w:r w:rsidRPr="0071774C">
        <w:t>responses</w:t>
      </w:r>
      <w:r>
        <w:t xml:space="preserve"> </w:t>
      </w:r>
      <w:r w:rsidRPr="0071774C">
        <w:t>shows</w:t>
      </w:r>
      <w:r>
        <w:t xml:space="preserve"> </w:t>
      </w:r>
      <w:r w:rsidRPr="0071774C">
        <w:t>that</w:t>
      </w:r>
      <w:r>
        <w:t xml:space="preserve"> </w:t>
      </w:r>
      <w:r w:rsidRPr="0071774C">
        <w:t>the</w:t>
      </w:r>
      <w:r>
        <w:t xml:space="preserve"> </w:t>
      </w:r>
      <w:r w:rsidRPr="0071774C">
        <w:t>work</w:t>
      </w:r>
      <w:r>
        <w:t xml:space="preserve"> </w:t>
      </w:r>
      <w:r w:rsidRPr="0071774C">
        <w:t>of</w:t>
      </w:r>
      <w:r>
        <w:t xml:space="preserve"> </w:t>
      </w:r>
      <w:r w:rsidRPr="0071774C">
        <w:t>this</w:t>
      </w:r>
      <w:r>
        <w:t xml:space="preserve"> </w:t>
      </w:r>
      <w:r w:rsidRPr="0071774C">
        <w:t>emerging</w:t>
      </w:r>
      <w:r>
        <w:t xml:space="preserve"> </w:t>
      </w:r>
      <w:r w:rsidRPr="0071774C">
        <w:t>workforce</w:t>
      </w:r>
      <w:r>
        <w:t xml:space="preserve"> </w:t>
      </w:r>
      <w:r w:rsidRPr="0071774C">
        <w:t>contributes</w:t>
      </w:r>
      <w:r>
        <w:t xml:space="preserve"> </w:t>
      </w:r>
      <w:r w:rsidRPr="0071774C">
        <w:t>to</w:t>
      </w:r>
      <w:r>
        <w:t xml:space="preserve"> </w:t>
      </w:r>
      <w:r w:rsidRPr="0071774C">
        <w:t>primary</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in</w:t>
      </w:r>
      <w:r>
        <w:t xml:space="preserve"> </w:t>
      </w:r>
      <w:r w:rsidRPr="0071774C">
        <w:t>a</w:t>
      </w:r>
      <w:r>
        <w:t xml:space="preserve"> </w:t>
      </w:r>
      <w:r w:rsidRPr="0071774C">
        <w:t>wide</w:t>
      </w:r>
      <w:r>
        <w:t xml:space="preserve"> </w:t>
      </w:r>
      <w:r w:rsidRPr="0071774C">
        <w:t>range</w:t>
      </w:r>
      <w:r>
        <w:t xml:space="preserve"> </w:t>
      </w:r>
      <w:r w:rsidRPr="0071774C">
        <w:t>of</w:t>
      </w:r>
      <w:r>
        <w:t xml:space="preserve"> </w:t>
      </w:r>
      <w:r w:rsidRPr="0071774C">
        <w:t>ways</w:t>
      </w:r>
      <w:r>
        <w:t xml:space="preserve">, </w:t>
      </w:r>
      <w:r w:rsidRPr="0071774C">
        <w:t>including:</w:t>
      </w:r>
    </w:p>
    <w:p w14:paraId="7936DA4E" w14:textId="77777777" w:rsidR="002C2EC7" w:rsidRPr="00D00F71" w:rsidRDefault="002C2EC7" w:rsidP="00790783">
      <w:pPr>
        <w:pStyle w:val="OWBullet1"/>
      </w:pPr>
      <w:r w:rsidRPr="00D00F71">
        <w:t>building capacity</w:t>
      </w:r>
      <w:r w:rsidRPr="00D00F71">
        <w:rPr>
          <w:color w:val="0078D4"/>
        </w:rPr>
        <w:t xml:space="preserve"> </w:t>
      </w:r>
      <w:r w:rsidRPr="00D00F71">
        <w:t>of other practitioners and organisations</w:t>
      </w:r>
    </w:p>
    <w:p w14:paraId="4861CD8F" w14:textId="779AA7D1" w:rsidR="002C2EC7" w:rsidRPr="00D00F71" w:rsidRDefault="002C2EC7" w:rsidP="00790783">
      <w:pPr>
        <w:pStyle w:val="OWBullet1"/>
      </w:pPr>
      <w:r w:rsidRPr="00D00F71">
        <w:t>advocating for gendered approach</w:t>
      </w:r>
      <w:r w:rsidR="008170D7" w:rsidRPr="00D00F71">
        <w:t>es</w:t>
      </w:r>
    </w:p>
    <w:p w14:paraId="6B17BE17" w14:textId="77777777" w:rsidR="002C2EC7" w:rsidRPr="00D00F71" w:rsidRDefault="002C2EC7" w:rsidP="00790783">
      <w:pPr>
        <w:pStyle w:val="OWBullet1"/>
      </w:pPr>
      <w:r w:rsidRPr="00D00F71">
        <w:t>delivering respectful relationships programs</w:t>
      </w:r>
    </w:p>
    <w:p w14:paraId="08E45BB7" w14:textId="77777777" w:rsidR="002C2EC7" w:rsidRPr="00D00F71" w:rsidRDefault="002C2EC7" w:rsidP="00790783">
      <w:pPr>
        <w:pStyle w:val="OWBullet1"/>
      </w:pPr>
      <w:r w:rsidRPr="00D00F71">
        <w:t>engaging in workforce development for organisations and workplaces</w:t>
      </w:r>
    </w:p>
    <w:p w14:paraId="3B9F2990" w14:textId="6EF0F272" w:rsidR="002C2EC7" w:rsidRPr="00D00F71" w:rsidRDefault="002C2EC7" w:rsidP="00790783">
      <w:pPr>
        <w:pStyle w:val="OWBullet1"/>
      </w:pPr>
      <w:r w:rsidRPr="00D00F71">
        <w:t>raising awareness of violence against women, the drivers of violence against women and</w:t>
      </w:r>
      <w:r w:rsidR="00851841" w:rsidRPr="00D00F71">
        <w:t> </w:t>
      </w:r>
      <w:r w:rsidRPr="00D00F71">
        <w:t xml:space="preserve">other </w:t>
      </w:r>
      <w:r w:rsidR="00B52828" w:rsidRPr="00D00F71">
        <w:t>primary prevention</w:t>
      </w:r>
      <w:r w:rsidRPr="00D00F71">
        <w:t xml:space="preserve"> concepts</w:t>
      </w:r>
    </w:p>
    <w:p w14:paraId="640A47FC" w14:textId="77777777" w:rsidR="002C2EC7" w:rsidRPr="00D00F71" w:rsidRDefault="002C2EC7" w:rsidP="00790783">
      <w:pPr>
        <w:pStyle w:val="OWBullet1"/>
      </w:pPr>
      <w:r w:rsidRPr="00D00F71">
        <w:t>promoting empowerment, gender equality and respect.</w:t>
      </w:r>
    </w:p>
    <w:p w14:paraId="7978841B" w14:textId="77777777" w:rsidR="002C2EC7" w:rsidRPr="00D00F71" w:rsidRDefault="002C2EC7" w:rsidP="00790783">
      <w:pPr>
        <w:pStyle w:val="OWBodytextafterlist"/>
      </w:pPr>
      <w:r w:rsidRPr="00D00F71">
        <w:t>When asked about their roles, many respondents indicated that they are:</w:t>
      </w:r>
    </w:p>
    <w:p w14:paraId="1F70FFCA" w14:textId="77777777" w:rsidR="002C2EC7" w:rsidRPr="00D00F71" w:rsidRDefault="002C2EC7" w:rsidP="00790783">
      <w:pPr>
        <w:pStyle w:val="OWBullet1"/>
      </w:pPr>
      <w:r w:rsidRPr="00D00F71">
        <w:t>working in partnership with other organisations</w:t>
      </w:r>
    </w:p>
    <w:p w14:paraId="4D11A526" w14:textId="77777777" w:rsidR="002C2EC7" w:rsidRPr="00D00F71" w:rsidRDefault="002C2EC7" w:rsidP="00790783">
      <w:pPr>
        <w:pStyle w:val="OWBullet1"/>
      </w:pPr>
      <w:r w:rsidRPr="00D00F71">
        <w:t>involved in building the knowledge of others in relation to what primary prevention is</w:t>
      </w:r>
    </w:p>
    <w:p w14:paraId="38F9888F" w14:textId="77777777" w:rsidR="002C2EC7" w:rsidRPr="00D00F71" w:rsidRDefault="002C2EC7" w:rsidP="00790783">
      <w:pPr>
        <w:pStyle w:val="OWBullet1"/>
      </w:pPr>
      <w:r w:rsidRPr="00D00F71">
        <w:t>undertaking gender analysis/applying a gender lens to their work</w:t>
      </w:r>
    </w:p>
    <w:p w14:paraId="57F8A30D" w14:textId="77777777" w:rsidR="002C2EC7" w:rsidRPr="00D00F71" w:rsidRDefault="002C2EC7" w:rsidP="00790783">
      <w:pPr>
        <w:pStyle w:val="OWBullet1"/>
      </w:pPr>
      <w:r w:rsidRPr="00D00F71">
        <w:t>developing and delivering informal training or professional development</w:t>
      </w:r>
    </w:p>
    <w:p w14:paraId="78940009" w14:textId="77777777" w:rsidR="002C2EC7" w:rsidRPr="00D00F71" w:rsidRDefault="002C2EC7" w:rsidP="00790783">
      <w:pPr>
        <w:pStyle w:val="OWBullet1"/>
      </w:pPr>
      <w:r w:rsidRPr="00D00F71">
        <w:t>building organisational capacity to embed primary prevention into everyday practice.</w:t>
      </w:r>
    </w:p>
    <w:p w14:paraId="60D26310" w14:textId="6153C6C3" w:rsidR="002C2EC7" w:rsidRPr="00D00F71" w:rsidRDefault="002C2EC7" w:rsidP="00790783">
      <w:pPr>
        <w:pStyle w:val="OWBodytextafterlist"/>
      </w:pPr>
      <w:r w:rsidRPr="00D00F71">
        <w:t>The majority of respondents reported that their highest formal qualification did not include</w:t>
      </w:r>
      <w:r w:rsidR="001670E3" w:rsidRPr="00D00F71">
        <w:t> </w:t>
      </w:r>
      <w:r w:rsidRPr="00D00F71">
        <w:t>any content about primary prevention of violence against women</w:t>
      </w:r>
      <w:r w:rsidR="006A0C2C" w:rsidRPr="00D00F71">
        <w:t>.</w:t>
      </w:r>
      <w:r w:rsidRPr="00D00F71">
        <w:t xml:space="preserve"> </w:t>
      </w:r>
      <w:r w:rsidR="006C37F1" w:rsidRPr="00D00F71">
        <w:t>This finding</w:t>
      </w:r>
      <w:r w:rsidRPr="00D00F71">
        <w:t xml:space="preserve"> is not</w:t>
      </w:r>
      <w:r w:rsidR="001670E3" w:rsidRPr="00D00F71">
        <w:t> </w:t>
      </w:r>
      <w:r w:rsidRPr="00D00F71">
        <w:t>unsurprising considering the small (but growing) number of formal qualifications that include content about primary prevention and violence against women. At the same time the majority of respondents indicated that they considered themselves senior or expert in their knowledge of prevention of violence against women. This suggests that there is</w:t>
      </w:r>
      <w:r w:rsidR="00F66E4C" w:rsidRPr="00D00F71">
        <w:t xml:space="preserve"> a perception of</w:t>
      </w:r>
      <w:r w:rsidRPr="00D00F71">
        <w:t xml:space="preserve"> extensive knowledge in the sector, but that this is largely not formalised through qualifications.</w:t>
      </w:r>
    </w:p>
    <w:p w14:paraId="022F3827" w14:textId="7E49F0FC" w:rsidR="002C2EC7" w:rsidRDefault="002C2EC7" w:rsidP="00790783">
      <w:pPr>
        <w:pStyle w:val="BodyText"/>
      </w:pPr>
      <w:r w:rsidRPr="00D00F71">
        <w:t>The majority of respondents reported attending</w:t>
      </w:r>
      <w:r w:rsidR="000B492C" w:rsidRPr="00D00F71">
        <w:t xml:space="preserve"> </w:t>
      </w:r>
      <w:r w:rsidRPr="00D00F71">
        <w:t>some form of training, professional development, mentoring or supervision to support their work in the prevention of violence against women in the past ten years, with most of these training, professional development and related activities taking place in a capital city or online. The emerging workforce was most likely to associate this training with positive impacts on their skill</w:t>
      </w:r>
      <w:r w:rsidRPr="0071774C">
        <w:t>s</w:t>
      </w:r>
      <w:r>
        <w:t xml:space="preserve"> </w:t>
      </w:r>
      <w:r w:rsidRPr="0071774C">
        <w:t>in</w:t>
      </w:r>
      <w:r>
        <w:t xml:space="preserve"> </w:t>
      </w:r>
      <w:r w:rsidRPr="0071774C">
        <w:t>the</w:t>
      </w:r>
      <w:r>
        <w:t xml:space="preserve"> </w:t>
      </w:r>
      <w:r w:rsidRPr="0071774C">
        <w:t>areas</w:t>
      </w:r>
      <w:r>
        <w:t xml:space="preserve"> </w:t>
      </w:r>
      <w:r w:rsidRPr="0071774C">
        <w:t>of:</w:t>
      </w:r>
    </w:p>
    <w:p w14:paraId="6889F3C0" w14:textId="77777777" w:rsidR="002C2EC7" w:rsidRDefault="002C2EC7" w:rsidP="00790783">
      <w:pPr>
        <w:pStyle w:val="OWBullet1"/>
      </w:pPr>
      <w:r w:rsidRPr="0071774C">
        <w:t>understanding</w:t>
      </w:r>
      <w:r>
        <w:t xml:space="preserve"> </w:t>
      </w:r>
      <w:r w:rsidRPr="0071774C">
        <w:t>primary</w:t>
      </w:r>
      <w:r>
        <w:t xml:space="preserve"> </w:t>
      </w:r>
      <w:r w:rsidRPr="0071774C">
        <w:t>prevention</w:t>
      </w:r>
      <w:r>
        <w:t xml:space="preserve"> </w:t>
      </w:r>
      <w:r w:rsidRPr="0071774C">
        <w:t>and</w:t>
      </w:r>
      <w:r>
        <w:t xml:space="preserve"> </w:t>
      </w:r>
      <w:r w:rsidRPr="0071774C">
        <w:t>how</w:t>
      </w:r>
      <w:r>
        <w:t xml:space="preserve"> </w:t>
      </w:r>
      <w:r w:rsidRPr="0071774C">
        <w:t>it</w:t>
      </w:r>
      <w:r>
        <w:t xml:space="preserve"> </w:t>
      </w:r>
      <w:r w:rsidRPr="0071774C">
        <w:t>can</w:t>
      </w:r>
      <w:r>
        <w:t xml:space="preserve"> </w:t>
      </w:r>
      <w:r w:rsidRPr="0071774C">
        <w:t>be</w:t>
      </w:r>
      <w:r>
        <w:t xml:space="preserve"> </w:t>
      </w:r>
      <w:r w:rsidRPr="0071774C">
        <w:t>applied</w:t>
      </w:r>
      <w:r>
        <w:t xml:space="preserve"> </w:t>
      </w:r>
      <w:r w:rsidRPr="0071774C">
        <w:t>to</w:t>
      </w:r>
      <w:r>
        <w:t xml:space="preserve"> </w:t>
      </w:r>
      <w:r w:rsidRPr="0071774C">
        <w:t>their</w:t>
      </w:r>
      <w:r>
        <w:t xml:space="preserve"> </w:t>
      </w:r>
      <w:r w:rsidRPr="0071774C">
        <w:t>role</w:t>
      </w:r>
    </w:p>
    <w:p w14:paraId="0F5906D0" w14:textId="77777777" w:rsidR="002C2EC7" w:rsidRDefault="002C2EC7" w:rsidP="00790783">
      <w:pPr>
        <w:pStyle w:val="OWBullet1"/>
      </w:pPr>
      <w:r w:rsidRPr="0071774C">
        <w:t>working</w:t>
      </w:r>
      <w:r>
        <w:t xml:space="preserve"> </w:t>
      </w:r>
      <w:r w:rsidRPr="0071774C">
        <w:t>in</w:t>
      </w:r>
      <w:r>
        <w:t xml:space="preserve"> </w:t>
      </w:r>
      <w:r w:rsidRPr="0071774C">
        <w:t>partnership</w:t>
      </w:r>
      <w:r>
        <w:t xml:space="preserve"> </w:t>
      </w:r>
      <w:r w:rsidRPr="0071774C">
        <w:t>with</w:t>
      </w:r>
      <w:r>
        <w:t xml:space="preserve"> </w:t>
      </w:r>
      <w:r w:rsidRPr="0071774C">
        <w:t>other</w:t>
      </w:r>
      <w:r>
        <w:t xml:space="preserve"> </w:t>
      </w:r>
      <w:r w:rsidRPr="0071774C">
        <w:t>organisations</w:t>
      </w:r>
      <w:r>
        <w:t xml:space="preserve"> </w:t>
      </w:r>
      <w:r w:rsidRPr="0071774C">
        <w:t>to</w:t>
      </w:r>
      <w:r>
        <w:t xml:space="preserve"> </w:t>
      </w:r>
      <w:r w:rsidRPr="0071774C">
        <w:t>prevent</w:t>
      </w:r>
      <w:r>
        <w:t xml:space="preserve"> </w:t>
      </w:r>
      <w:r w:rsidRPr="0071774C">
        <w:t>violence</w:t>
      </w:r>
      <w:r>
        <w:t xml:space="preserve"> </w:t>
      </w:r>
      <w:r w:rsidRPr="0071774C">
        <w:t>against</w:t>
      </w:r>
      <w:r>
        <w:t xml:space="preserve"> </w:t>
      </w:r>
      <w:r w:rsidRPr="0071774C">
        <w:t>women</w:t>
      </w:r>
      <w:r>
        <w:t>, and</w:t>
      </w:r>
    </w:p>
    <w:p w14:paraId="65671FEB" w14:textId="77777777" w:rsidR="002C2EC7" w:rsidRDefault="002C2EC7" w:rsidP="00790783">
      <w:pPr>
        <w:pStyle w:val="OWBullet1"/>
      </w:pPr>
      <w:r w:rsidRPr="0071774C">
        <w:t>critical</w:t>
      </w:r>
      <w:r>
        <w:t xml:space="preserve"> </w:t>
      </w:r>
      <w:r w:rsidRPr="0071774C">
        <w:t>self-reflection.</w:t>
      </w:r>
    </w:p>
    <w:p w14:paraId="404069B7" w14:textId="01AECFEB" w:rsidR="002C2EC7" w:rsidRDefault="002C2EC7" w:rsidP="00790783">
      <w:pPr>
        <w:pStyle w:val="OWBodytextafterlist"/>
      </w:pPr>
      <w:r w:rsidRPr="0071774C">
        <w:t>However,</w:t>
      </w:r>
      <w:r>
        <w:t xml:space="preserve"> </w:t>
      </w:r>
      <w:r w:rsidR="006310F2">
        <w:t>a lesser pr</w:t>
      </w:r>
      <w:r w:rsidRPr="0071774C">
        <w:t>oportion</w:t>
      </w:r>
      <w:r>
        <w:t xml:space="preserve"> </w:t>
      </w:r>
      <w:r w:rsidRPr="0071774C">
        <w:t>of</w:t>
      </w:r>
      <w:r>
        <w:t xml:space="preserve"> </w:t>
      </w:r>
      <w:r w:rsidRPr="0071774C">
        <w:t>those</w:t>
      </w:r>
      <w:r>
        <w:t xml:space="preserve"> </w:t>
      </w:r>
      <w:r w:rsidRPr="0071774C">
        <w:t>who</w:t>
      </w:r>
      <w:r>
        <w:t xml:space="preserve"> </w:t>
      </w:r>
      <w:r w:rsidRPr="0071774C">
        <w:t>have</w:t>
      </w:r>
      <w:r>
        <w:t xml:space="preserve"> </w:t>
      </w:r>
      <w:r w:rsidRPr="0071774C">
        <w:t>undertaken</w:t>
      </w:r>
      <w:r>
        <w:t xml:space="preserve"> </w:t>
      </w:r>
      <w:r w:rsidRPr="0071774C">
        <w:t>training</w:t>
      </w:r>
      <w:r>
        <w:t xml:space="preserve"> </w:t>
      </w:r>
      <w:r w:rsidRPr="0071774C">
        <w:t>or</w:t>
      </w:r>
      <w:r>
        <w:t xml:space="preserve"> </w:t>
      </w:r>
      <w:r w:rsidRPr="0071774C">
        <w:t>professional</w:t>
      </w:r>
      <w:r>
        <w:t xml:space="preserve"> </w:t>
      </w:r>
      <w:r w:rsidRPr="0071774C">
        <w:t>development</w:t>
      </w:r>
      <w:r>
        <w:t xml:space="preserve"> </w:t>
      </w:r>
      <w:r w:rsidRPr="0071774C">
        <w:t>in</w:t>
      </w:r>
      <w:r>
        <w:t xml:space="preserve"> </w:t>
      </w:r>
      <w:r w:rsidRPr="0071774C">
        <w:t>the</w:t>
      </w:r>
      <w:r>
        <w:t xml:space="preserve"> </w:t>
      </w:r>
      <w:r w:rsidRPr="0071774C">
        <w:t>past</w:t>
      </w:r>
      <w:r>
        <w:t xml:space="preserve"> </w:t>
      </w:r>
      <w:r w:rsidRPr="0071774C">
        <w:t>ten</w:t>
      </w:r>
      <w:r>
        <w:t xml:space="preserve"> </w:t>
      </w:r>
      <w:r w:rsidRPr="0071774C">
        <w:t>years</w:t>
      </w:r>
      <w:r>
        <w:t xml:space="preserve"> </w:t>
      </w:r>
      <w:r w:rsidRPr="0071774C">
        <w:t>reported</w:t>
      </w:r>
      <w:r>
        <w:t xml:space="preserve"> </w:t>
      </w:r>
      <w:r w:rsidRPr="0071774C">
        <w:t>attending</w:t>
      </w:r>
      <w:r>
        <w:t xml:space="preserve"> </w:t>
      </w:r>
      <w:r w:rsidRPr="0071774C">
        <w:t>training</w:t>
      </w:r>
      <w:r>
        <w:t xml:space="preserve"> </w:t>
      </w:r>
      <w:r w:rsidRPr="0071774C">
        <w:t>that</w:t>
      </w:r>
      <w:r>
        <w:t xml:space="preserve"> </w:t>
      </w:r>
      <w:r w:rsidRPr="0071774C">
        <w:t>had</w:t>
      </w:r>
      <w:r>
        <w:t xml:space="preserve"> </w:t>
      </w:r>
      <w:r w:rsidRPr="0071774C">
        <w:t>a</w:t>
      </w:r>
      <w:r>
        <w:t xml:space="preserve"> </w:t>
      </w:r>
      <w:r w:rsidRPr="0071774C">
        <w:t>positive</w:t>
      </w:r>
      <w:r>
        <w:t xml:space="preserve"> </w:t>
      </w:r>
      <w:r w:rsidRPr="0071774C">
        <w:t>impact</w:t>
      </w:r>
      <w:r>
        <w:t xml:space="preserve"> </w:t>
      </w:r>
      <w:r w:rsidRPr="0071774C">
        <w:t>on</w:t>
      </w:r>
      <w:r w:rsidR="00851841">
        <w:t> </w:t>
      </w:r>
      <w:r w:rsidRPr="0071774C">
        <w:t>their</w:t>
      </w:r>
      <w:r>
        <w:t xml:space="preserve"> </w:t>
      </w:r>
      <w:r w:rsidRPr="0071774C">
        <w:t>skills</w:t>
      </w:r>
      <w:r>
        <w:t xml:space="preserve"> </w:t>
      </w:r>
      <w:r w:rsidRPr="0071774C">
        <w:t>and</w:t>
      </w:r>
      <w:r>
        <w:t xml:space="preserve"> </w:t>
      </w:r>
      <w:r w:rsidRPr="0071774C">
        <w:t>knowledge</w:t>
      </w:r>
      <w:r>
        <w:t xml:space="preserve"> </w:t>
      </w:r>
      <w:r w:rsidRPr="0071774C">
        <w:t>to</w:t>
      </w:r>
      <w:r>
        <w:t xml:space="preserve"> </w:t>
      </w:r>
      <w:r w:rsidRPr="0071774C">
        <w:t>support:</w:t>
      </w:r>
    </w:p>
    <w:p w14:paraId="0224682D" w14:textId="77777777" w:rsidR="002C2EC7" w:rsidRDefault="002C2EC7" w:rsidP="00790783">
      <w:pPr>
        <w:pStyle w:val="OWBullet1"/>
      </w:pPr>
      <w:r w:rsidRPr="0071774C">
        <w:t>advocacy</w:t>
      </w:r>
      <w:r>
        <w:t xml:space="preserve"> </w:t>
      </w:r>
      <w:r w:rsidRPr="0071774C">
        <w:t>for</w:t>
      </w:r>
      <w:r>
        <w:t xml:space="preserve"> </w:t>
      </w:r>
      <w:r w:rsidRPr="0071774C">
        <w:t>policy</w:t>
      </w:r>
      <w:r>
        <w:t xml:space="preserve"> </w:t>
      </w:r>
      <w:r w:rsidRPr="0071774C">
        <w:t>reform</w:t>
      </w:r>
      <w:r>
        <w:t xml:space="preserve"> </w:t>
      </w:r>
      <w:r w:rsidRPr="0071774C">
        <w:t>to</w:t>
      </w:r>
      <w:r>
        <w:t xml:space="preserve"> </w:t>
      </w:r>
      <w:r w:rsidRPr="0071774C">
        <w:t>amend</w:t>
      </w:r>
      <w:r>
        <w:t xml:space="preserve"> </w:t>
      </w:r>
      <w:r w:rsidRPr="0071774C">
        <w:t>discriminatory</w:t>
      </w:r>
      <w:r>
        <w:t xml:space="preserve"> </w:t>
      </w:r>
      <w:r w:rsidRPr="0071774C">
        <w:t>policies</w:t>
      </w:r>
      <w:r>
        <w:t xml:space="preserve"> </w:t>
      </w:r>
      <w:r w:rsidRPr="0071774C">
        <w:t>and</w:t>
      </w:r>
      <w:r>
        <w:t xml:space="preserve"> </w:t>
      </w:r>
      <w:r w:rsidRPr="0071774C">
        <w:t>practices</w:t>
      </w:r>
    </w:p>
    <w:p w14:paraId="49BD3FE4" w14:textId="77777777" w:rsidR="002C2EC7" w:rsidRDefault="002C2EC7" w:rsidP="00790783">
      <w:pPr>
        <w:pStyle w:val="OWBullet1"/>
      </w:pPr>
      <w:r w:rsidRPr="0071774C">
        <w:t>taking</w:t>
      </w:r>
      <w:r>
        <w:t xml:space="preserve"> </w:t>
      </w:r>
      <w:r w:rsidRPr="0071774C">
        <w:t>a</w:t>
      </w:r>
      <w:r>
        <w:t xml:space="preserve"> </w:t>
      </w:r>
      <w:r w:rsidRPr="0071774C">
        <w:t>holistic</w:t>
      </w:r>
      <w:r>
        <w:t xml:space="preserve"> </w:t>
      </w:r>
      <w:r w:rsidRPr="0071774C">
        <w:t>approach</w:t>
      </w:r>
      <w:r>
        <w:t xml:space="preserve"> </w:t>
      </w:r>
      <w:r w:rsidRPr="0071774C">
        <w:t>to</w:t>
      </w:r>
      <w:r>
        <w:t xml:space="preserve"> </w:t>
      </w:r>
      <w:r w:rsidRPr="0071774C">
        <w:t>working</w:t>
      </w:r>
      <w:r>
        <w:t xml:space="preserve"> </w:t>
      </w:r>
      <w:r w:rsidRPr="0071774C">
        <w:t>with</w:t>
      </w:r>
      <w:r>
        <w:t xml:space="preserve"> </w:t>
      </w:r>
      <w:r w:rsidRPr="0071774C">
        <w:t>Aboriginal</w:t>
      </w:r>
      <w:r>
        <w:t xml:space="preserve"> </w:t>
      </w:r>
      <w:r w:rsidRPr="0071774C">
        <w:t>and</w:t>
      </w:r>
      <w:r>
        <w:t xml:space="preserve"> </w:t>
      </w:r>
      <w:r w:rsidRPr="0071774C">
        <w:t>Torres</w:t>
      </w:r>
      <w:r>
        <w:t xml:space="preserve"> </w:t>
      </w:r>
      <w:r w:rsidRPr="0071774C">
        <w:t>Strait</w:t>
      </w:r>
      <w:r>
        <w:t xml:space="preserve"> </w:t>
      </w:r>
      <w:r w:rsidRPr="0071774C">
        <w:t>Islander</w:t>
      </w:r>
      <w:r>
        <w:t xml:space="preserve"> </w:t>
      </w:r>
      <w:r w:rsidRPr="0071774C">
        <w:t>communities</w:t>
      </w:r>
      <w:r>
        <w:t xml:space="preserve"> </w:t>
      </w:r>
      <w:r w:rsidRPr="0071774C">
        <w:t>in</w:t>
      </w:r>
      <w:r>
        <w:t xml:space="preserve"> </w:t>
      </w:r>
      <w:r w:rsidRPr="0071774C">
        <w:t>prevention</w:t>
      </w:r>
      <w:r>
        <w:t xml:space="preserve"> </w:t>
      </w:r>
      <w:r w:rsidRPr="0071774C">
        <w:t>programming</w:t>
      </w:r>
    </w:p>
    <w:p w14:paraId="7C48FAD9" w14:textId="77777777" w:rsidR="002C2EC7" w:rsidRDefault="002C2EC7" w:rsidP="00790783">
      <w:pPr>
        <w:pStyle w:val="OWBullet1"/>
      </w:pPr>
      <w:r w:rsidRPr="0071774C">
        <w:lastRenderedPageBreak/>
        <w:t>designing</w:t>
      </w:r>
      <w:r>
        <w:t xml:space="preserve"> </w:t>
      </w:r>
      <w:r w:rsidRPr="0071774C">
        <w:t>social</w:t>
      </w:r>
      <w:r>
        <w:t xml:space="preserve"> </w:t>
      </w:r>
      <w:r w:rsidRPr="0071774C">
        <w:t>marketing</w:t>
      </w:r>
      <w:r>
        <w:t xml:space="preserve"> </w:t>
      </w:r>
      <w:r w:rsidRPr="0071774C">
        <w:t>campaigns</w:t>
      </w:r>
      <w:r>
        <w:t xml:space="preserve"> </w:t>
      </w:r>
      <w:r w:rsidRPr="0071774C">
        <w:t>and</w:t>
      </w:r>
      <w:r>
        <w:t xml:space="preserve"> </w:t>
      </w:r>
      <w:r w:rsidRPr="0071774C">
        <w:t>other</w:t>
      </w:r>
      <w:r>
        <w:t xml:space="preserve"> </w:t>
      </w:r>
      <w:r w:rsidRPr="0071774C">
        <w:t>communications</w:t>
      </w:r>
      <w:r>
        <w:t xml:space="preserve"> </w:t>
      </w:r>
      <w:r w:rsidRPr="0071774C">
        <w:t>activities</w:t>
      </w:r>
      <w:r>
        <w:t xml:space="preserve"> </w:t>
      </w:r>
      <w:r w:rsidRPr="0071774C">
        <w:t>to</w:t>
      </w:r>
      <w:r>
        <w:t xml:space="preserve"> </w:t>
      </w:r>
      <w:r w:rsidRPr="0071774C">
        <w:t>prevent</w:t>
      </w:r>
      <w:r>
        <w:t xml:space="preserve"> </w:t>
      </w:r>
      <w:r w:rsidRPr="0071774C">
        <w:t>violence</w:t>
      </w:r>
      <w:r>
        <w:t xml:space="preserve"> </w:t>
      </w:r>
      <w:r w:rsidRPr="0071774C">
        <w:t>against</w:t>
      </w:r>
      <w:r>
        <w:t xml:space="preserve"> </w:t>
      </w:r>
      <w:r w:rsidRPr="0071774C">
        <w:t>women</w:t>
      </w:r>
      <w:r>
        <w:t xml:space="preserve"> </w:t>
      </w:r>
      <w:r w:rsidRPr="0071774C">
        <w:t>and</w:t>
      </w:r>
    </w:p>
    <w:p w14:paraId="16CC52B1" w14:textId="77777777" w:rsidR="002C2EC7" w:rsidRDefault="002C2EC7" w:rsidP="00790783">
      <w:pPr>
        <w:pStyle w:val="OWBullet1"/>
      </w:pPr>
      <w:r w:rsidRPr="0071774C">
        <w:t>taking</w:t>
      </w:r>
      <w:r>
        <w:t xml:space="preserve"> </w:t>
      </w:r>
      <w:r w:rsidRPr="0071774C">
        <w:t>a</w:t>
      </w:r>
      <w:r>
        <w:t xml:space="preserve"> </w:t>
      </w:r>
      <w:r w:rsidRPr="0071774C">
        <w:t>healing</w:t>
      </w:r>
      <w:r>
        <w:t xml:space="preserve"> </w:t>
      </w:r>
      <w:r w:rsidRPr="0071774C">
        <w:t>focus</w:t>
      </w:r>
      <w:r>
        <w:t xml:space="preserve"> </w:t>
      </w:r>
      <w:r w:rsidRPr="0071774C">
        <w:t>in</w:t>
      </w:r>
      <w:r>
        <w:t xml:space="preserve"> </w:t>
      </w:r>
      <w:r w:rsidRPr="0071774C">
        <w:t>primary</w:t>
      </w:r>
      <w:r>
        <w:t xml:space="preserve"> </w:t>
      </w:r>
      <w:r w:rsidRPr="0071774C">
        <w:t>prevention</w:t>
      </w:r>
      <w:r>
        <w:t xml:space="preserve"> </w:t>
      </w:r>
      <w:r w:rsidRPr="0071774C">
        <w:t>work</w:t>
      </w:r>
      <w:r>
        <w:t xml:space="preserve"> </w:t>
      </w:r>
      <w:r w:rsidRPr="0071774C">
        <w:t>with</w:t>
      </w:r>
      <w:r>
        <w:t xml:space="preserve"> </w:t>
      </w:r>
      <w:r w:rsidRPr="0071774C">
        <w:t>Aboriginal</w:t>
      </w:r>
      <w:r>
        <w:t xml:space="preserve"> </w:t>
      </w:r>
      <w:r w:rsidRPr="0071774C">
        <w:t>and</w:t>
      </w:r>
      <w:r>
        <w:t xml:space="preserve"> </w:t>
      </w:r>
      <w:r w:rsidRPr="0071774C">
        <w:t>Torres</w:t>
      </w:r>
      <w:r>
        <w:t xml:space="preserve"> </w:t>
      </w:r>
      <w:r w:rsidRPr="0071774C">
        <w:t>Strait</w:t>
      </w:r>
      <w:r>
        <w:t xml:space="preserve"> </w:t>
      </w:r>
      <w:r w:rsidRPr="0071774C">
        <w:t>Islander</w:t>
      </w:r>
      <w:r>
        <w:t xml:space="preserve"> </w:t>
      </w:r>
      <w:r w:rsidRPr="0071774C">
        <w:t>communities.</w:t>
      </w:r>
    </w:p>
    <w:p w14:paraId="378D0D85" w14:textId="77777777" w:rsidR="002C2EC7" w:rsidRPr="00FB7F22" w:rsidRDefault="002C2EC7" w:rsidP="00790783">
      <w:pPr>
        <w:pStyle w:val="Heading4"/>
        <w:rPr>
          <w:rStyle w:val="OWCharacterCharcoal"/>
        </w:rPr>
      </w:pPr>
      <w:bookmarkStart w:id="44" w:name="_Toc41559723"/>
      <w:r w:rsidRPr="00FB7F22">
        <w:rPr>
          <w:rStyle w:val="OWCharacterCharcoal"/>
        </w:rPr>
        <w:t>Understanding the primary prevention workforce</w:t>
      </w:r>
      <w:bookmarkEnd w:id="44"/>
    </w:p>
    <w:p w14:paraId="394C6A27" w14:textId="3CA27A57" w:rsidR="002C2EC7" w:rsidRDefault="002C2EC7" w:rsidP="00790783">
      <w:pPr>
        <w:pStyle w:val="BodyText"/>
      </w:pPr>
      <w:r w:rsidRPr="0071774C">
        <w:t>As</w:t>
      </w:r>
      <w:r>
        <w:t xml:space="preserve"> </w:t>
      </w:r>
      <w:r w:rsidRPr="0071774C">
        <w:t>a</w:t>
      </w:r>
      <w:r>
        <w:t xml:space="preserve"> </w:t>
      </w:r>
      <w:r w:rsidRPr="0071774C">
        <w:t>starting</w:t>
      </w:r>
      <w:r>
        <w:t xml:space="preserve"> </w:t>
      </w:r>
      <w:r w:rsidRPr="0071774C">
        <w:t>point,</w:t>
      </w:r>
      <w:r>
        <w:t xml:space="preserve"> </w:t>
      </w:r>
      <w:r w:rsidRPr="0071774C">
        <w:t>our</w:t>
      </w:r>
      <w:r>
        <w:t xml:space="preserve"> </w:t>
      </w:r>
      <w:r w:rsidR="00473135">
        <w:t>research survey</w:t>
      </w:r>
      <w:r>
        <w:t xml:space="preserve"> </w:t>
      </w:r>
      <w:r w:rsidRPr="0071774C">
        <w:t>aimed</w:t>
      </w:r>
      <w:r>
        <w:t xml:space="preserve"> </w:t>
      </w:r>
      <w:r w:rsidRPr="0071774C">
        <w:t>to</w:t>
      </w:r>
      <w:r>
        <w:t xml:space="preserve"> </w:t>
      </w:r>
      <w:r w:rsidRPr="0071774C">
        <w:t>better</w:t>
      </w:r>
      <w:r>
        <w:t xml:space="preserve"> </w:t>
      </w:r>
      <w:r w:rsidRPr="0071774C">
        <w:t>understand</w:t>
      </w:r>
      <w:r>
        <w:t xml:space="preserve"> </w:t>
      </w:r>
      <w:r w:rsidRPr="0071774C">
        <w:t>the</w:t>
      </w:r>
      <w:r>
        <w:t xml:space="preserve"> </w:t>
      </w:r>
      <w:r w:rsidRPr="0071774C">
        <w:t>primary</w:t>
      </w:r>
      <w:r>
        <w:t xml:space="preserve"> </w:t>
      </w:r>
      <w:r w:rsidRPr="0071774C">
        <w:t>prevention</w:t>
      </w:r>
      <w:r>
        <w:t xml:space="preserve"> </w:t>
      </w:r>
      <w:r w:rsidRPr="0071774C">
        <w:t>workforce,</w:t>
      </w:r>
      <w:r>
        <w:t xml:space="preserve"> </w:t>
      </w:r>
      <w:r w:rsidRPr="0071774C">
        <w:t>including</w:t>
      </w:r>
      <w:r>
        <w:t xml:space="preserve"> </w:t>
      </w:r>
      <w:r w:rsidRPr="0071774C">
        <w:t>what</w:t>
      </w:r>
      <w:r>
        <w:t xml:space="preserve"> </w:t>
      </w:r>
      <w:r w:rsidRPr="0071774C">
        <w:t>primary</w:t>
      </w:r>
      <w:r>
        <w:t xml:space="preserve"> </w:t>
      </w:r>
      <w:r w:rsidRPr="0071774C">
        <w:t>prevention</w:t>
      </w:r>
      <w:r>
        <w:t xml:space="preserve"> </w:t>
      </w:r>
      <w:r w:rsidRPr="0071774C">
        <w:t>roles</w:t>
      </w:r>
      <w:r>
        <w:t xml:space="preserve"> </w:t>
      </w:r>
      <w:r w:rsidRPr="0071774C">
        <w:t>entail,</w:t>
      </w:r>
      <w:r>
        <w:t xml:space="preserve"> </w:t>
      </w:r>
      <w:r w:rsidRPr="0071774C">
        <w:t>and</w:t>
      </w:r>
      <w:r>
        <w:t xml:space="preserve"> </w:t>
      </w:r>
      <w:r w:rsidRPr="0071774C">
        <w:t>how</w:t>
      </w:r>
      <w:r>
        <w:t xml:space="preserve"> </w:t>
      </w:r>
      <w:r w:rsidRPr="0071774C">
        <w:t>this</w:t>
      </w:r>
      <w:r>
        <w:t xml:space="preserve"> </w:t>
      </w:r>
      <w:r w:rsidRPr="0071774C">
        <w:t>workforce</w:t>
      </w:r>
      <w:r>
        <w:t xml:space="preserve"> </w:t>
      </w:r>
      <w:r w:rsidRPr="0071774C">
        <w:t>is</w:t>
      </w:r>
      <w:r>
        <w:t xml:space="preserve"> </w:t>
      </w:r>
      <w:r w:rsidRPr="0071774C">
        <w:t>distributed</w:t>
      </w:r>
      <w:r>
        <w:t xml:space="preserve"> </w:t>
      </w:r>
      <w:r w:rsidRPr="0071774C">
        <w:t>across</w:t>
      </w:r>
      <w:r>
        <w:t xml:space="preserve"> </w:t>
      </w:r>
      <w:r w:rsidRPr="0071774C">
        <w:t>Australia.</w:t>
      </w:r>
      <w:r>
        <w:t xml:space="preserve"> </w:t>
      </w:r>
      <w:r w:rsidRPr="0071774C">
        <w:t>Findings</w:t>
      </w:r>
      <w:r>
        <w:t xml:space="preserve"> </w:t>
      </w:r>
      <w:r w:rsidRPr="0071774C">
        <w:t>show</w:t>
      </w:r>
      <w:r>
        <w:t xml:space="preserve"> </w:t>
      </w:r>
      <w:r w:rsidRPr="0071774C">
        <w:t>the</w:t>
      </w:r>
      <w:r>
        <w:t xml:space="preserve"> </w:t>
      </w:r>
      <w:r w:rsidRPr="0071774C">
        <w:t>diversity</w:t>
      </w:r>
      <w:r>
        <w:t xml:space="preserve"> </w:t>
      </w:r>
      <w:r w:rsidRPr="0071774C">
        <w:t>of</w:t>
      </w:r>
      <w:r>
        <w:t xml:space="preserve"> </w:t>
      </w:r>
      <w:r w:rsidRPr="0071774C">
        <w:t>the</w:t>
      </w:r>
      <w:r>
        <w:t xml:space="preserve"> </w:t>
      </w:r>
      <w:r w:rsidRPr="0071774C">
        <w:t>prevention</w:t>
      </w:r>
      <w:r>
        <w:t xml:space="preserve"> </w:t>
      </w:r>
      <w:r w:rsidRPr="0071774C">
        <w:t>workforce</w:t>
      </w:r>
      <w:r>
        <w:t xml:space="preserve"> </w:t>
      </w:r>
      <w:r w:rsidRPr="0071774C">
        <w:t>in</w:t>
      </w:r>
      <w:r>
        <w:t xml:space="preserve"> </w:t>
      </w:r>
      <w:r w:rsidRPr="0071774C">
        <w:t>terms</w:t>
      </w:r>
      <w:r>
        <w:t xml:space="preserve"> </w:t>
      </w:r>
      <w:r w:rsidRPr="0071774C">
        <w:t>of</w:t>
      </w:r>
      <w:r>
        <w:t xml:space="preserve"> </w:t>
      </w:r>
      <w:r w:rsidRPr="0071774C">
        <w:t>location</w:t>
      </w:r>
      <w:r>
        <w:t xml:space="preserve"> </w:t>
      </w:r>
      <w:r w:rsidRPr="0071774C">
        <w:t>(see</w:t>
      </w:r>
      <w:r>
        <w:t xml:space="preserve"> F</w:t>
      </w:r>
      <w:r w:rsidRPr="0071774C">
        <w:t>igure</w:t>
      </w:r>
      <w:r>
        <w:t xml:space="preserve"> </w:t>
      </w:r>
      <w:r w:rsidRPr="0071774C">
        <w:t>4</w:t>
      </w:r>
      <w:r>
        <w:t>, below</w:t>
      </w:r>
      <w:r w:rsidRPr="0071774C">
        <w:t>),</w:t>
      </w:r>
      <w:r>
        <w:t xml:space="preserve"> </w:t>
      </w:r>
      <w:r w:rsidRPr="0071774C">
        <w:t>settings,</w:t>
      </w:r>
      <w:r>
        <w:t xml:space="preserve"> </w:t>
      </w:r>
      <w:r w:rsidRPr="0071774C">
        <w:t>specialisation,</w:t>
      </w:r>
      <w:r>
        <w:t xml:space="preserve"> </w:t>
      </w:r>
      <w:r w:rsidRPr="0071774C">
        <w:t>level</w:t>
      </w:r>
      <w:r>
        <w:t xml:space="preserve"> </w:t>
      </w:r>
      <w:r w:rsidRPr="0071774C">
        <w:t>of</w:t>
      </w:r>
      <w:r>
        <w:t xml:space="preserve"> </w:t>
      </w:r>
      <w:r w:rsidRPr="0071774C">
        <w:t>prior</w:t>
      </w:r>
      <w:r>
        <w:t xml:space="preserve"> </w:t>
      </w:r>
      <w:r w:rsidRPr="0071774C">
        <w:t>experience</w:t>
      </w:r>
      <w:r>
        <w:t xml:space="preserve"> </w:t>
      </w:r>
      <w:r w:rsidRPr="0071774C">
        <w:t>in</w:t>
      </w:r>
      <w:r>
        <w:t xml:space="preserve"> </w:t>
      </w:r>
      <w:r w:rsidRPr="0071774C">
        <w:t>prevention,</w:t>
      </w:r>
      <w:r>
        <w:t xml:space="preserve"> </w:t>
      </w:r>
      <w:r w:rsidRPr="0071774C">
        <w:t>and</w:t>
      </w:r>
      <w:r>
        <w:t xml:space="preserve"> </w:t>
      </w:r>
      <w:r w:rsidRPr="0071774C">
        <w:t>proportion</w:t>
      </w:r>
      <w:r>
        <w:t xml:space="preserve"> </w:t>
      </w:r>
      <w:r w:rsidRPr="0071774C">
        <w:t>of</w:t>
      </w:r>
      <w:r>
        <w:t xml:space="preserve"> </w:t>
      </w:r>
      <w:r w:rsidRPr="0071774C">
        <w:t>roles</w:t>
      </w:r>
      <w:r>
        <w:t xml:space="preserve"> </w:t>
      </w:r>
      <w:r w:rsidRPr="0071774C">
        <w:t>that</w:t>
      </w:r>
      <w:r>
        <w:t xml:space="preserve"> </w:t>
      </w:r>
      <w:r w:rsidRPr="0071774C">
        <w:t>are</w:t>
      </w:r>
      <w:r>
        <w:t xml:space="preserve"> </w:t>
      </w:r>
      <w:r w:rsidRPr="0071774C">
        <w:t>dedicated</w:t>
      </w:r>
      <w:r>
        <w:t xml:space="preserve"> </w:t>
      </w:r>
      <w:r w:rsidRPr="0071774C">
        <w:t>to</w:t>
      </w:r>
      <w:r>
        <w:t xml:space="preserve"> </w:t>
      </w:r>
      <w:r w:rsidRPr="0071774C">
        <w:t>primary</w:t>
      </w:r>
      <w:r>
        <w:t xml:space="preserve"> </w:t>
      </w:r>
      <w:r w:rsidRPr="0071774C">
        <w:t>prevention.</w:t>
      </w:r>
      <w:r>
        <w:t xml:space="preserve"> </w:t>
      </w:r>
      <w:r w:rsidRPr="0071774C">
        <w:t>The</w:t>
      </w:r>
      <w:r>
        <w:t xml:space="preserve"> </w:t>
      </w:r>
      <w:r w:rsidRPr="0071774C">
        <w:t>majority</w:t>
      </w:r>
      <w:r>
        <w:t xml:space="preserve"> </w:t>
      </w:r>
      <w:r w:rsidRPr="0071774C">
        <w:t>of</w:t>
      </w:r>
      <w:r>
        <w:t xml:space="preserve"> </w:t>
      </w:r>
      <w:r w:rsidRPr="0071774C">
        <w:t>survey</w:t>
      </w:r>
      <w:r>
        <w:t xml:space="preserve"> </w:t>
      </w:r>
      <w:r w:rsidRPr="0071774C">
        <w:t>respondents</w:t>
      </w:r>
      <w:r>
        <w:t xml:space="preserve">’ </w:t>
      </w:r>
      <w:r w:rsidRPr="0071774C">
        <w:t>work</w:t>
      </w:r>
      <w:r>
        <w:t xml:space="preserve"> </w:t>
      </w:r>
      <w:r w:rsidRPr="0071774C">
        <w:t>is</w:t>
      </w:r>
      <w:r>
        <w:t xml:space="preserve"> </w:t>
      </w:r>
      <w:r w:rsidRPr="0071774C">
        <w:t>focused</w:t>
      </w:r>
      <w:r>
        <w:t xml:space="preserve"> </w:t>
      </w:r>
      <w:r w:rsidRPr="0071774C">
        <w:t>in</w:t>
      </w:r>
      <w:r>
        <w:t xml:space="preserve"> </w:t>
      </w:r>
      <w:r w:rsidRPr="0071774C">
        <w:t>one</w:t>
      </w:r>
      <w:r>
        <w:t xml:space="preserve"> </w:t>
      </w:r>
      <w:r w:rsidRPr="0071774C">
        <w:t>state,</w:t>
      </w:r>
      <w:r>
        <w:t xml:space="preserve"> </w:t>
      </w:r>
      <w:r w:rsidRPr="0071774C">
        <w:t>but</w:t>
      </w:r>
      <w:r>
        <w:t xml:space="preserve"> </w:t>
      </w:r>
      <w:r w:rsidRPr="0071774C">
        <w:t>there</w:t>
      </w:r>
      <w:r>
        <w:t xml:space="preserve"> </w:t>
      </w:r>
      <w:r w:rsidRPr="0071774C">
        <w:t>is</w:t>
      </w:r>
      <w:r>
        <w:t xml:space="preserve"> </w:t>
      </w:r>
      <w:r w:rsidRPr="0071774C">
        <w:t>a</w:t>
      </w:r>
      <w:r>
        <w:t xml:space="preserve"> </w:t>
      </w:r>
      <w:r w:rsidRPr="0071774C">
        <w:t>subgroup</w:t>
      </w:r>
      <w:r>
        <w:t xml:space="preserve"> </w:t>
      </w:r>
      <w:r w:rsidRPr="0071774C">
        <w:t>whose</w:t>
      </w:r>
      <w:r>
        <w:t xml:space="preserve"> </w:t>
      </w:r>
      <w:r w:rsidRPr="0071774C">
        <w:t>work</w:t>
      </w:r>
      <w:r>
        <w:t xml:space="preserve"> </w:t>
      </w:r>
      <w:r w:rsidRPr="0071774C">
        <w:t>has</w:t>
      </w:r>
      <w:r>
        <w:t xml:space="preserve"> </w:t>
      </w:r>
      <w:r w:rsidRPr="0071774C">
        <w:t>either</w:t>
      </w:r>
      <w:r>
        <w:t xml:space="preserve"> </w:t>
      </w:r>
      <w:r w:rsidRPr="0071774C">
        <w:t>a</w:t>
      </w:r>
      <w:r>
        <w:t xml:space="preserve"> </w:t>
      </w:r>
      <w:r w:rsidRPr="0071774C">
        <w:t>national</w:t>
      </w:r>
      <w:r>
        <w:t xml:space="preserve"> </w:t>
      </w:r>
      <w:r w:rsidRPr="0071774C">
        <w:t>or</w:t>
      </w:r>
      <w:r>
        <w:t xml:space="preserve"> </w:t>
      </w:r>
      <w:r w:rsidRPr="0071774C">
        <w:t>international</w:t>
      </w:r>
      <w:r>
        <w:t xml:space="preserve"> </w:t>
      </w:r>
      <w:r w:rsidRPr="0071774C">
        <w:t>focus</w:t>
      </w:r>
      <w:r>
        <w:t xml:space="preserve"> </w:t>
      </w:r>
      <w:r w:rsidRPr="0071774C">
        <w:t>(or</w:t>
      </w:r>
      <w:r>
        <w:t xml:space="preserve"> </w:t>
      </w:r>
      <w:r w:rsidRPr="0071774C">
        <w:t>both).</w:t>
      </w:r>
    </w:p>
    <w:p w14:paraId="439134E8" w14:textId="338AA182" w:rsidR="002C2EC7" w:rsidRDefault="00745297" w:rsidP="00790783">
      <w:pPr>
        <w:pStyle w:val="OWFigurecaption"/>
      </w:pPr>
      <w:r>
        <w:t xml:space="preserve">Figure 4: </w:t>
      </w:r>
      <w:r w:rsidR="002C2EC7" w:rsidRPr="00745297">
        <w:t>In what jurisdiction is your work focused? (Select all that apply</w:t>
      </w:r>
      <w:r w:rsidR="00AA04C9">
        <w:t>)</w:t>
      </w:r>
    </w:p>
    <w:p w14:paraId="34A780D9" w14:textId="7DAA37DE" w:rsidR="002C2EC7" w:rsidRDefault="1E183FD4" w:rsidP="00790783">
      <w:pPr>
        <w:pStyle w:val="OWFigureinline"/>
        <w:rPr>
          <w:noProof/>
          <w:sz w:val="22"/>
          <w:szCs w:val="22"/>
        </w:rPr>
      </w:pPr>
      <w:r>
        <w:rPr>
          <w:noProof/>
        </w:rPr>
        <w:drawing>
          <wp:inline distT="0" distB="0" distL="0" distR="0" wp14:anchorId="106F5874" wp14:editId="71676851">
            <wp:extent cx="5602606" cy="4316095"/>
            <wp:effectExtent l="0" t="0" r="0" b="8255"/>
            <wp:docPr id="258632487" name="Picture 1" descr="Bar chart of the following data (number of surveyed respondents). Australian Capital Territory – 2; New South Wales – 46; Northern Territory – 20; Queensland – 19; South Australia – 11; Tasmania – 12; Victoria – 113; Western Australia – 9; My work has a national focus (Australia) – 52; My work has an international focus –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32487" name="Picture 1" descr="Bar chart of the following data (number of surveyed respondents). Australian Capital Territory – 2; New South Wales – 46; Northern Territory – 20; Queensland – 19; South Australia – 11; Tasmania – 12; Victoria – 113; Western Australia – 9; My work has a national focus (Australia) – 52; My work has an international focus – 13."/>
                    <pic:cNvPicPr/>
                  </pic:nvPicPr>
                  <pic:blipFill>
                    <a:blip r:embed="rId32">
                      <a:extLst>
                        <a:ext uri="{28A0092B-C50C-407E-A947-70E740481C1C}">
                          <a14:useLocalDpi xmlns:a14="http://schemas.microsoft.com/office/drawing/2010/main" val="0"/>
                        </a:ext>
                      </a:extLst>
                    </a:blip>
                    <a:stretch>
                      <a:fillRect/>
                    </a:stretch>
                  </pic:blipFill>
                  <pic:spPr>
                    <a:xfrm>
                      <a:off x="0" y="0"/>
                      <a:ext cx="5602606" cy="4316095"/>
                    </a:xfrm>
                    <a:prstGeom prst="rect">
                      <a:avLst/>
                    </a:prstGeom>
                  </pic:spPr>
                </pic:pic>
              </a:graphicData>
            </a:graphic>
          </wp:inline>
        </w:drawing>
      </w:r>
    </w:p>
    <w:p w14:paraId="1906D323" w14:textId="77777777" w:rsidR="002C2EC7" w:rsidRDefault="002C2EC7" w:rsidP="00790783">
      <w:pPr>
        <w:pStyle w:val="OWFigurefootnote"/>
      </w:pPr>
      <w:r w:rsidRPr="00C71608">
        <w:t>Source:</w:t>
      </w:r>
      <w:r>
        <w:t xml:space="preserve"> Progress in Prevention Research Survey</w:t>
      </w:r>
    </w:p>
    <w:p w14:paraId="35DE9213" w14:textId="77777777" w:rsidR="002C2EC7" w:rsidRDefault="002C2EC7" w:rsidP="00790783">
      <w:pPr>
        <w:pStyle w:val="BodyText"/>
      </w:pPr>
      <w:r w:rsidRPr="0071774C">
        <w:rPr>
          <w:bCs/>
        </w:rPr>
        <w:t>The</w:t>
      </w:r>
      <w:r>
        <w:rPr>
          <w:bCs/>
        </w:rPr>
        <w:t xml:space="preserve"> </w:t>
      </w:r>
      <w:r w:rsidRPr="0071774C">
        <w:rPr>
          <w:bCs/>
        </w:rPr>
        <w:t>primary</w:t>
      </w:r>
      <w:r>
        <w:rPr>
          <w:bCs/>
        </w:rPr>
        <w:t xml:space="preserve"> </w:t>
      </w:r>
      <w:r w:rsidRPr="0071774C">
        <w:rPr>
          <w:bCs/>
        </w:rPr>
        <w:t>prevention</w:t>
      </w:r>
      <w:r>
        <w:rPr>
          <w:bCs/>
        </w:rPr>
        <w:t xml:space="preserve"> </w:t>
      </w:r>
      <w:r w:rsidRPr="0071774C">
        <w:rPr>
          <w:bCs/>
        </w:rPr>
        <w:t>workforce</w:t>
      </w:r>
      <w:r>
        <w:rPr>
          <w:bCs/>
        </w:rPr>
        <w:t xml:space="preserve"> </w:t>
      </w:r>
      <w:r w:rsidRPr="0071774C">
        <w:rPr>
          <w:bCs/>
        </w:rPr>
        <w:t>is</w:t>
      </w:r>
      <w:r>
        <w:rPr>
          <w:bCs/>
        </w:rPr>
        <w:t xml:space="preserve"> </w:t>
      </w:r>
      <w:r w:rsidRPr="0071774C">
        <w:rPr>
          <w:bCs/>
        </w:rPr>
        <w:t>multiskilled</w:t>
      </w:r>
      <w:r>
        <w:rPr>
          <w:bCs/>
        </w:rPr>
        <w:t xml:space="preserve"> and </w:t>
      </w:r>
      <w:r w:rsidRPr="0071774C">
        <w:rPr>
          <w:bCs/>
        </w:rPr>
        <w:t>works</w:t>
      </w:r>
      <w:r>
        <w:rPr>
          <w:bCs/>
        </w:rPr>
        <w:t xml:space="preserve"> </w:t>
      </w:r>
      <w:r w:rsidRPr="0071774C">
        <w:rPr>
          <w:bCs/>
        </w:rPr>
        <w:t>across</w:t>
      </w:r>
      <w:r>
        <w:rPr>
          <w:bCs/>
        </w:rPr>
        <w:t xml:space="preserve"> </w:t>
      </w:r>
      <w:r w:rsidRPr="0071774C">
        <w:rPr>
          <w:bCs/>
        </w:rPr>
        <w:t>a</w:t>
      </w:r>
      <w:r>
        <w:rPr>
          <w:bCs/>
        </w:rPr>
        <w:t xml:space="preserve"> </w:t>
      </w:r>
      <w:r w:rsidRPr="0071774C">
        <w:rPr>
          <w:bCs/>
        </w:rPr>
        <w:t>range</w:t>
      </w:r>
      <w:r>
        <w:rPr>
          <w:bCs/>
        </w:rPr>
        <w:t xml:space="preserve"> </w:t>
      </w:r>
      <w:r w:rsidRPr="0071774C">
        <w:rPr>
          <w:bCs/>
        </w:rPr>
        <w:t>of</w:t>
      </w:r>
      <w:r>
        <w:rPr>
          <w:bCs/>
        </w:rPr>
        <w:t xml:space="preserve"> </w:t>
      </w:r>
      <w:r w:rsidRPr="0071774C">
        <w:rPr>
          <w:bCs/>
        </w:rPr>
        <w:t>roles</w:t>
      </w:r>
      <w:r w:rsidRPr="0071774C">
        <w:t>,</w:t>
      </w:r>
      <w:r>
        <w:t xml:space="preserve"> </w:t>
      </w:r>
      <w:r w:rsidRPr="0071774C">
        <w:t>with</w:t>
      </w:r>
      <w:r>
        <w:t xml:space="preserve"> </w:t>
      </w:r>
      <w:r w:rsidRPr="0071774C">
        <w:t>about</w:t>
      </w:r>
      <w:r>
        <w:t xml:space="preserve"> </w:t>
      </w:r>
      <w:r w:rsidRPr="0071774C">
        <w:t>a</w:t>
      </w:r>
      <w:r>
        <w:t xml:space="preserve"> </w:t>
      </w:r>
      <w:r w:rsidRPr="0071774C">
        <w:t>quarter</w:t>
      </w:r>
      <w:r>
        <w:t xml:space="preserve"> </w:t>
      </w:r>
      <w:r w:rsidRPr="0071774C">
        <w:t>of</w:t>
      </w:r>
      <w:r>
        <w:t xml:space="preserve"> </w:t>
      </w:r>
      <w:r w:rsidRPr="0071774C">
        <w:t>the</w:t>
      </w:r>
      <w:r>
        <w:t xml:space="preserve"> </w:t>
      </w:r>
      <w:r w:rsidRPr="0071774C">
        <w:t>emerging</w:t>
      </w:r>
      <w:r>
        <w:t xml:space="preserve"> </w:t>
      </w:r>
      <w:r w:rsidRPr="0071774C">
        <w:t>workforce</w:t>
      </w:r>
      <w:r>
        <w:t xml:space="preserve"> </w:t>
      </w:r>
      <w:r w:rsidRPr="0071774C">
        <w:t>indicating</w:t>
      </w:r>
      <w:r>
        <w:t xml:space="preserve"> </w:t>
      </w:r>
      <w:r w:rsidRPr="0071774C">
        <w:t>that</w:t>
      </w:r>
      <w:r>
        <w:t xml:space="preserve"> </w:t>
      </w:r>
      <w:r w:rsidRPr="0071774C">
        <w:t>their</w:t>
      </w:r>
      <w:r>
        <w:t xml:space="preserve"> </w:t>
      </w:r>
      <w:r w:rsidRPr="0071774C">
        <w:t>role</w:t>
      </w:r>
      <w:r>
        <w:t xml:space="preserve"> </w:t>
      </w:r>
      <w:r w:rsidRPr="0071774C">
        <w:t>is</w:t>
      </w:r>
      <w:r>
        <w:t xml:space="preserve"> </w:t>
      </w:r>
      <w:r w:rsidRPr="0071774C">
        <w:t>100%</w:t>
      </w:r>
      <w:r>
        <w:t xml:space="preserve"> </w:t>
      </w:r>
      <w:r w:rsidRPr="0071774C">
        <w:t>focused</w:t>
      </w:r>
      <w:r>
        <w:t xml:space="preserve"> </w:t>
      </w:r>
      <w:r w:rsidRPr="0071774C">
        <w:t>on</w:t>
      </w:r>
      <w:r>
        <w:t xml:space="preserve"> </w:t>
      </w:r>
      <w:r w:rsidRPr="0071774C">
        <w:t>primary</w:t>
      </w:r>
      <w:r>
        <w:t xml:space="preserve"> </w:t>
      </w:r>
      <w:r w:rsidRPr="0071774C">
        <w:t>prevention</w:t>
      </w:r>
      <w:r>
        <w:t xml:space="preserve"> </w:t>
      </w:r>
      <w:r w:rsidRPr="0071774C">
        <w:t>(see</w:t>
      </w:r>
      <w:r>
        <w:t xml:space="preserve"> </w:t>
      </w:r>
      <w:r w:rsidRPr="0071774C">
        <w:t>Figure</w:t>
      </w:r>
      <w:r>
        <w:t xml:space="preserve"> </w:t>
      </w:r>
      <w:r w:rsidRPr="0071774C">
        <w:t>5</w:t>
      </w:r>
      <w:r>
        <w:t>, below</w:t>
      </w:r>
      <w:r w:rsidRPr="0071774C">
        <w:t>).</w:t>
      </w:r>
      <w:r>
        <w:t xml:space="preserve"> </w:t>
      </w:r>
      <w:r w:rsidRPr="0071774C">
        <w:t>A</w:t>
      </w:r>
      <w:r>
        <w:t xml:space="preserve"> </w:t>
      </w:r>
      <w:r w:rsidRPr="0071774C">
        <w:t>third</w:t>
      </w:r>
      <w:r>
        <w:t xml:space="preserve"> </w:t>
      </w:r>
      <w:r w:rsidRPr="0071774C">
        <w:t>indicated</w:t>
      </w:r>
      <w:r>
        <w:t xml:space="preserve"> </w:t>
      </w:r>
      <w:r w:rsidRPr="0071774C">
        <w:t>that</w:t>
      </w:r>
      <w:r>
        <w:t xml:space="preserve"> </w:t>
      </w:r>
      <w:r w:rsidRPr="0071774C">
        <w:t>primary</w:t>
      </w:r>
      <w:r>
        <w:t xml:space="preserve"> </w:t>
      </w:r>
      <w:r w:rsidRPr="0071774C">
        <w:t>prevention</w:t>
      </w:r>
      <w:r>
        <w:t xml:space="preserve"> </w:t>
      </w:r>
      <w:r w:rsidRPr="0071774C">
        <w:t>was</w:t>
      </w:r>
      <w:r>
        <w:t xml:space="preserve"> </w:t>
      </w:r>
      <w:r w:rsidRPr="0071774C">
        <w:t>the</w:t>
      </w:r>
      <w:r>
        <w:t xml:space="preserve"> </w:t>
      </w:r>
      <w:r w:rsidRPr="0071774C">
        <w:t>focus</w:t>
      </w:r>
      <w:r>
        <w:t xml:space="preserve"> </w:t>
      </w:r>
      <w:r w:rsidRPr="0071774C">
        <w:t>of</w:t>
      </w:r>
      <w:r>
        <w:t xml:space="preserve"> </w:t>
      </w:r>
      <w:r w:rsidRPr="0071774C">
        <w:t>most</w:t>
      </w:r>
      <w:r>
        <w:t xml:space="preserve"> </w:t>
      </w:r>
      <w:r w:rsidRPr="0071774C">
        <w:t>of</w:t>
      </w:r>
      <w:r>
        <w:t xml:space="preserve"> </w:t>
      </w:r>
      <w:r w:rsidRPr="0071774C">
        <w:t>their</w:t>
      </w:r>
      <w:r>
        <w:t xml:space="preserve"> </w:t>
      </w:r>
      <w:r w:rsidRPr="0071774C">
        <w:t>work</w:t>
      </w:r>
      <w:r>
        <w:t xml:space="preserve"> </w:t>
      </w:r>
      <w:r w:rsidRPr="0071774C">
        <w:t>or</w:t>
      </w:r>
      <w:r>
        <w:t xml:space="preserve"> </w:t>
      </w:r>
      <w:r w:rsidRPr="0071774C">
        <w:t>half</w:t>
      </w:r>
      <w:r>
        <w:t xml:space="preserve"> </w:t>
      </w:r>
      <w:r w:rsidRPr="0071774C">
        <w:t>their</w:t>
      </w:r>
      <w:r>
        <w:t xml:space="preserve"> </w:t>
      </w:r>
      <w:r w:rsidRPr="0071774C">
        <w:t>work,</w:t>
      </w:r>
      <w:r>
        <w:t xml:space="preserve"> </w:t>
      </w:r>
      <w:r w:rsidRPr="0071774C">
        <w:t>and</w:t>
      </w:r>
      <w:r>
        <w:t xml:space="preserve"> </w:t>
      </w:r>
      <w:r w:rsidRPr="0071774C">
        <w:t>16%</w:t>
      </w:r>
      <w:r>
        <w:t xml:space="preserve"> </w:t>
      </w:r>
      <w:r w:rsidRPr="0071774C">
        <w:t>said</w:t>
      </w:r>
      <w:r>
        <w:t xml:space="preserve"> </w:t>
      </w:r>
      <w:r w:rsidRPr="0071774C">
        <w:t>primary</w:t>
      </w:r>
      <w:r>
        <w:t xml:space="preserve"> </w:t>
      </w:r>
      <w:r w:rsidRPr="0071774C">
        <w:t>prevention</w:t>
      </w:r>
      <w:r>
        <w:t xml:space="preserve"> </w:t>
      </w:r>
      <w:r w:rsidRPr="0071774C">
        <w:t>was</w:t>
      </w:r>
      <w:r>
        <w:t xml:space="preserve"> </w:t>
      </w:r>
      <w:r w:rsidRPr="0071774C">
        <w:t>less</w:t>
      </w:r>
      <w:r>
        <w:t xml:space="preserve"> </w:t>
      </w:r>
      <w:r w:rsidRPr="0071774C">
        <w:t>than</w:t>
      </w:r>
      <w:r>
        <w:t xml:space="preserve"> </w:t>
      </w:r>
      <w:r w:rsidRPr="0071774C">
        <w:t>half</w:t>
      </w:r>
      <w:r>
        <w:t xml:space="preserve"> </w:t>
      </w:r>
      <w:r w:rsidRPr="0071774C">
        <w:t>of</w:t>
      </w:r>
      <w:r>
        <w:t xml:space="preserve"> </w:t>
      </w:r>
      <w:r w:rsidRPr="0071774C">
        <w:t>their</w:t>
      </w:r>
      <w:r>
        <w:t xml:space="preserve"> </w:t>
      </w:r>
      <w:r w:rsidRPr="0071774C">
        <w:t>work.</w:t>
      </w:r>
      <w:r>
        <w:t xml:space="preserve"> </w:t>
      </w:r>
      <w:r w:rsidRPr="0071774C">
        <w:t>For</w:t>
      </w:r>
      <w:r>
        <w:t xml:space="preserve"> </w:t>
      </w:r>
      <w:r w:rsidRPr="0071774C">
        <w:t>others</w:t>
      </w:r>
      <w:r>
        <w:t xml:space="preserve"> </w:t>
      </w:r>
      <w:r w:rsidRPr="0071774C">
        <w:t>(almost</w:t>
      </w:r>
      <w:r>
        <w:t xml:space="preserve"> </w:t>
      </w:r>
      <w:r w:rsidRPr="0071774C">
        <w:t>a</w:t>
      </w:r>
      <w:r>
        <w:t xml:space="preserve"> </w:t>
      </w:r>
      <w:r w:rsidRPr="0071774C">
        <w:t>quarter)</w:t>
      </w:r>
      <w:r>
        <w:t xml:space="preserve"> </w:t>
      </w:r>
      <w:r w:rsidRPr="0071774C">
        <w:t>it</w:t>
      </w:r>
      <w:r>
        <w:t xml:space="preserve"> </w:t>
      </w:r>
      <w:r w:rsidRPr="0071774C">
        <w:t>was</w:t>
      </w:r>
      <w:r>
        <w:t xml:space="preserve"> </w:t>
      </w:r>
      <w:r w:rsidRPr="0071774C">
        <w:t>difficult</w:t>
      </w:r>
      <w:r>
        <w:t xml:space="preserve"> </w:t>
      </w:r>
      <w:r w:rsidRPr="0071774C">
        <w:t>to</w:t>
      </w:r>
      <w:r>
        <w:t xml:space="preserve"> </w:t>
      </w:r>
      <w:r w:rsidRPr="0071774C">
        <w:t>quantify,</w:t>
      </w:r>
      <w:r>
        <w:t xml:space="preserve"> </w:t>
      </w:r>
      <w:r w:rsidRPr="0071774C">
        <w:t>reflecting</w:t>
      </w:r>
      <w:r>
        <w:t xml:space="preserve"> </w:t>
      </w:r>
      <w:r w:rsidRPr="0071774C">
        <w:lastRenderedPageBreak/>
        <w:t>that</w:t>
      </w:r>
      <w:r>
        <w:t xml:space="preserve"> </w:t>
      </w:r>
      <w:r w:rsidRPr="0071774C">
        <w:t>primary</w:t>
      </w:r>
      <w:r>
        <w:t xml:space="preserve"> </w:t>
      </w:r>
      <w:r w:rsidRPr="0071774C">
        <w:t>prevention</w:t>
      </w:r>
      <w:r>
        <w:t xml:space="preserve"> </w:t>
      </w:r>
      <w:r w:rsidRPr="0071774C">
        <w:t>is</w:t>
      </w:r>
      <w:r>
        <w:t xml:space="preserve"> </w:t>
      </w:r>
      <w:r w:rsidRPr="0071774C">
        <w:t>broadly</w:t>
      </w:r>
      <w:r>
        <w:t xml:space="preserve"> </w:t>
      </w:r>
      <w:r w:rsidRPr="0071774C">
        <w:t>incorporated</w:t>
      </w:r>
      <w:r>
        <w:t xml:space="preserve"> </w:t>
      </w:r>
      <w:r w:rsidRPr="0071774C">
        <w:t>into</w:t>
      </w:r>
      <w:r>
        <w:t xml:space="preserve"> </w:t>
      </w:r>
      <w:r w:rsidRPr="0071774C">
        <w:t>their</w:t>
      </w:r>
      <w:r>
        <w:t xml:space="preserve"> </w:t>
      </w:r>
      <w:r w:rsidRPr="0071774C">
        <w:t>work</w:t>
      </w:r>
      <w:r>
        <w:t xml:space="preserve"> </w:t>
      </w:r>
      <w:r w:rsidRPr="0071774C">
        <w:t>but</w:t>
      </w:r>
      <w:r>
        <w:t xml:space="preserve"> </w:t>
      </w:r>
      <w:r w:rsidRPr="0071774C">
        <w:t>not</w:t>
      </w:r>
      <w:r>
        <w:t xml:space="preserve"> </w:t>
      </w:r>
      <w:r w:rsidRPr="0071774C">
        <w:t>necessarily</w:t>
      </w:r>
      <w:r>
        <w:t xml:space="preserve"> </w:t>
      </w:r>
      <w:r w:rsidRPr="0071774C">
        <w:t>the</w:t>
      </w:r>
      <w:r>
        <w:t xml:space="preserve"> </w:t>
      </w:r>
      <w:r w:rsidRPr="0071774C">
        <w:t>main</w:t>
      </w:r>
      <w:r>
        <w:t xml:space="preserve"> </w:t>
      </w:r>
      <w:r w:rsidRPr="0071774C">
        <w:t>purpose</w:t>
      </w:r>
      <w:r>
        <w:t xml:space="preserve"> </w:t>
      </w:r>
      <w:r w:rsidRPr="0071774C">
        <w:t>of</w:t>
      </w:r>
      <w:r>
        <w:t xml:space="preserve"> </w:t>
      </w:r>
      <w:r w:rsidRPr="0071774C">
        <w:t>their</w:t>
      </w:r>
      <w:r>
        <w:t xml:space="preserve"> </w:t>
      </w:r>
      <w:r w:rsidRPr="0071774C">
        <w:t>role.</w:t>
      </w:r>
      <w:r>
        <w:t xml:space="preserve"> </w:t>
      </w:r>
      <w:r w:rsidRPr="0071774C">
        <w:t>Respondents</w:t>
      </w:r>
      <w:r>
        <w:t xml:space="preserve"> </w:t>
      </w:r>
      <w:r w:rsidRPr="0071774C">
        <w:t>working</w:t>
      </w:r>
      <w:r>
        <w:t xml:space="preserve"> </w:t>
      </w:r>
      <w:r w:rsidRPr="0071774C">
        <w:t>in</w:t>
      </w:r>
      <w:r>
        <w:t xml:space="preserve"> </w:t>
      </w:r>
      <w:r w:rsidRPr="0071774C">
        <w:t>Victoria</w:t>
      </w:r>
      <w:r>
        <w:t xml:space="preserve"> </w:t>
      </w:r>
      <w:r w:rsidRPr="0071774C">
        <w:t>or</w:t>
      </w:r>
      <w:r>
        <w:t xml:space="preserve"> </w:t>
      </w:r>
      <w:r w:rsidRPr="0071774C">
        <w:t>with</w:t>
      </w:r>
      <w:r>
        <w:t xml:space="preserve"> </w:t>
      </w:r>
      <w:r w:rsidRPr="0071774C">
        <w:t>a</w:t>
      </w:r>
      <w:r>
        <w:t xml:space="preserve"> </w:t>
      </w:r>
      <w:r w:rsidRPr="0071774C">
        <w:t>national</w:t>
      </w:r>
      <w:r>
        <w:t xml:space="preserve"> </w:t>
      </w:r>
      <w:r w:rsidRPr="0071774C">
        <w:t>focus</w:t>
      </w:r>
      <w:r>
        <w:t xml:space="preserve"> </w:t>
      </w:r>
      <w:r w:rsidRPr="0071774C">
        <w:t>were</w:t>
      </w:r>
      <w:r>
        <w:t xml:space="preserve"> </w:t>
      </w:r>
      <w:r w:rsidRPr="0071774C">
        <w:t>most</w:t>
      </w:r>
      <w:r>
        <w:t xml:space="preserve"> </w:t>
      </w:r>
      <w:r w:rsidRPr="0071774C">
        <w:t>likely</w:t>
      </w:r>
      <w:r>
        <w:t xml:space="preserve"> </w:t>
      </w:r>
      <w:r w:rsidRPr="0071774C">
        <w:t>to</w:t>
      </w:r>
      <w:r>
        <w:t xml:space="preserve"> </w:t>
      </w:r>
      <w:r w:rsidRPr="0071774C">
        <w:t>have</w:t>
      </w:r>
      <w:r>
        <w:t xml:space="preserve"> </w:t>
      </w:r>
      <w:r w:rsidRPr="0071774C">
        <w:t>a</w:t>
      </w:r>
      <w:r>
        <w:t xml:space="preserve"> </w:t>
      </w:r>
      <w:r w:rsidRPr="0071774C">
        <w:t>role</w:t>
      </w:r>
      <w:r>
        <w:t xml:space="preserve"> </w:t>
      </w:r>
      <w:r w:rsidRPr="0071774C">
        <w:t>which</w:t>
      </w:r>
      <w:r>
        <w:t xml:space="preserve"> </w:t>
      </w:r>
      <w:r w:rsidRPr="0071774C">
        <w:t>is</w:t>
      </w:r>
      <w:r>
        <w:t xml:space="preserve"> </w:t>
      </w:r>
      <w:r w:rsidRPr="0071774C">
        <w:t>100%</w:t>
      </w:r>
      <w:r>
        <w:t xml:space="preserve"> </w:t>
      </w:r>
      <w:r w:rsidRPr="0071774C">
        <w:t>focused</w:t>
      </w:r>
      <w:r>
        <w:t xml:space="preserve"> </w:t>
      </w:r>
      <w:r w:rsidRPr="0071774C">
        <w:t>on</w:t>
      </w:r>
      <w:r>
        <w:t xml:space="preserve"> </w:t>
      </w:r>
      <w:r w:rsidRPr="0071774C">
        <w:t>primary</w:t>
      </w:r>
      <w:r>
        <w:t xml:space="preserve"> </w:t>
      </w:r>
      <w:r w:rsidRPr="0071774C">
        <w:t>prevention.</w:t>
      </w:r>
    </w:p>
    <w:p w14:paraId="3696AAC2" w14:textId="2B3BFFA3" w:rsidR="002C2EC7" w:rsidRDefault="00745297" w:rsidP="00790783">
      <w:pPr>
        <w:pStyle w:val="OWFigurecaption"/>
      </w:pPr>
      <w:r>
        <w:t xml:space="preserve">Figure 5: </w:t>
      </w:r>
      <w:r w:rsidR="002C2EC7" w:rsidRPr="00A017B7">
        <w:t>What</w:t>
      </w:r>
      <w:r w:rsidR="002C2EC7">
        <w:t xml:space="preserve"> </w:t>
      </w:r>
      <w:r w:rsidR="002C2EC7" w:rsidRPr="00A017B7">
        <w:t>percentage/proportion</w:t>
      </w:r>
      <w:r w:rsidR="002C2EC7">
        <w:t xml:space="preserve"> </w:t>
      </w:r>
      <w:r w:rsidR="002C2EC7" w:rsidRPr="00A017B7">
        <w:t>of</w:t>
      </w:r>
      <w:r w:rsidR="002C2EC7">
        <w:t xml:space="preserve"> </w:t>
      </w:r>
      <w:r w:rsidR="002C2EC7" w:rsidRPr="00A017B7">
        <w:t>your</w:t>
      </w:r>
      <w:r w:rsidR="002C2EC7">
        <w:t xml:space="preserve"> </w:t>
      </w:r>
      <w:r w:rsidR="002C2EC7" w:rsidRPr="00A017B7">
        <w:t>work</w:t>
      </w:r>
      <w:r w:rsidR="002C2EC7">
        <w:t xml:space="preserve"> </w:t>
      </w:r>
      <w:r w:rsidR="002C2EC7" w:rsidRPr="00A017B7">
        <w:t>is</w:t>
      </w:r>
      <w:r w:rsidR="002C2EC7">
        <w:t xml:space="preserve"> </w:t>
      </w:r>
      <w:r w:rsidR="002C2EC7" w:rsidRPr="00A017B7">
        <w:t>currently</w:t>
      </w:r>
      <w:r w:rsidR="002C2EC7">
        <w:t xml:space="preserve"> </w:t>
      </w:r>
      <w:r w:rsidR="002C2EC7" w:rsidRPr="00A017B7">
        <w:t>focused</w:t>
      </w:r>
      <w:r w:rsidR="002C2EC7">
        <w:t xml:space="preserve"> </w:t>
      </w:r>
      <w:r w:rsidR="002C2EC7" w:rsidRPr="00A017B7">
        <w:t>on</w:t>
      </w:r>
      <w:r w:rsidR="002C2EC7">
        <w:t xml:space="preserve"> </w:t>
      </w:r>
      <w:r w:rsidR="002C2EC7" w:rsidRPr="00A017B7">
        <w:t>primary</w:t>
      </w:r>
      <w:r w:rsidR="002C2EC7">
        <w:t xml:space="preserve"> </w:t>
      </w:r>
      <w:r w:rsidR="002C2EC7" w:rsidRPr="00A017B7">
        <w:t>prevention</w:t>
      </w:r>
      <w:r w:rsidR="002C2EC7">
        <w:t xml:space="preserve"> </w:t>
      </w:r>
      <w:r w:rsidR="002C2EC7" w:rsidRPr="00A017B7">
        <w:t>of</w:t>
      </w:r>
      <w:r w:rsidR="002C2EC7">
        <w:t xml:space="preserve"> </w:t>
      </w:r>
      <w:r w:rsidR="002C2EC7" w:rsidRPr="00A017B7">
        <w:t>violence</w:t>
      </w:r>
      <w:r w:rsidR="002C2EC7">
        <w:t xml:space="preserve"> </w:t>
      </w:r>
      <w:r w:rsidR="002C2EC7" w:rsidRPr="00A017B7">
        <w:t>against</w:t>
      </w:r>
      <w:r w:rsidR="002C2EC7">
        <w:t xml:space="preserve"> </w:t>
      </w:r>
      <w:r w:rsidR="002C2EC7" w:rsidRPr="00A017B7">
        <w:t>women?</w:t>
      </w:r>
    </w:p>
    <w:p w14:paraId="4D21B5BC" w14:textId="513E992C" w:rsidR="002C2EC7" w:rsidRDefault="00623193" w:rsidP="00776EC4">
      <w:pPr>
        <w:pStyle w:val="OWFigureinline"/>
        <w:jc w:val="center"/>
        <w:rPr>
          <w:noProof/>
          <w:sz w:val="22"/>
          <w:szCs w:val="22"/>
        </w:rPr>
      </w:pPr>
      <w:r>
        <w:rPr>
          <w:noProof/>
        </w:rPr>
        <w:drawing>
          <wp:inline distT="0" distB="0" distL="0" distR="0" wp14:anchorId="18C2CF44" wp14:editId="71785D80">
            <wp:extent cx="5121276" cy="4559935"/>
            <wp:effectExtent l="0" t="0" r="3175" b="0"/>
            <wp:docPr id="781444467" name="Picture 29" descr="Pie chart of the following data (proportion of surveyed stakeholders, totalling 100%). All of my work is focused on the primary prevention of violence against women – 24%; Primary prevention is the focus in most of my work – 18%; Primary prevention is the focus in about half of my work – 15%; Less than 50% focus on primary prevention in my work – 16%; Difficult to quantify – primary prevention is incorporated in my practice but not the primary purpose of my role – 22%; No work in primary prevention but I am interested in primary prevention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444467" name="Picture 29" descr="Pie chart of the following data (proportion of surveyed stakeholders, totalling 100%). All of my work is focused on the primary prevention of violence against women – 24%; Primary prevention is the focus in most of my work – 18%; Primary prevention is the focus in about half of my work – 15%; Less than 50% focus on primary prevention in my work – 16%; Difficult to quantify – primary prevention is incorporated in my practice but not the primary purpose of my role – 22%; No work in primary prevention but I am interested in primary prevention – 5%."/>
                    <pic:cNvPicPr/>
                  </pic:nvPicPr>
                  <pic:blipFill>
                    <a:blip r:embed="rId33">
                      <a:extLst>
                        <a:ext uri="{28A0092B-C50C-407E-A947-70E740481C1C}">
                          <a14:useLocalDpi xmlns:a14="http://schemas.microsoft.com/office/drawing/2010/main" val="0"/>
                        </a:ext>
                      </a:extLst>
                    </a:blip>
                    <a:stretch>
                      <a:fillRect/>
                    </a:stretch>
                  </pic:blipFill>
                  <pic:spPr>
                    <a:xfrm>
                      <a:off x="0" y="0"/>
                      <a:ext cx="5121276" cy="4559935"/>
                    </a:xfrm>
                    <a:prstGeom prst="rect">
                      <a:avLst/>
                    </a:prstGeom>
                  </pic:spPr>
                </pic:pic>
              </a:graphicData>
            </a:graphic>
          </wp:inline>
        </w:drawing>
      </w:r>
    </w:p>
    <w:p w14:paraId="2145BE4C" w14:textId="77777777" w:rsidR="002C2EC7" w:rsidRDefault="002C2EC7" w:rsidP="00790783">
      <w:pPr>
        <w:pStyle w:val="OWFigurefootnote"/>
      </w:pPr>
      <w:r w:rsidRPr="00C71608">
        <w:t>Source:</w:t>
      </w:r>
      <w:r>
        <w:t xml:space="preserve"> Progress in Prevention Research Survey</w:t>
      </w:r>
    </w:p>
    <w:p w14:paraId="0BA22AA7" w14:textId="4F4E7EDB" w:rsidR="002C2EC7" w:rsidRDefault="002C2EC7" w:rsidP="00790783">
      <w:pPr>
        <w:pStyle w:val="BodyText"/>
      </w:pPr>
      <w:r w:rsidRPr="0071774C">
        <w:t>The</w:t>
      </w:r>
      <w:r w:rsidR="00166BC8">
        <w:t xml:space="preserve"> majority of the</w:t>
      </w:r>
      <w:r>
        <w:t xml:space="preserve"> </w:t>
      </w:r>
      <w:r w:rsidRPr="0071774C">
        <w:t>prevention</w:t>
      </w:r>
      <w:r>
        <w:t xml:space="preserve"> </w:t>
      </w:r>
      <w:r w:rsidRPr="0071774C">
        <w:t>workforce</w:t>
      </w:r>
      <w:r>
        <w:t xml:space="preserve"> </w:t>
      </w:r>
      <w:r w:rsidR="00D44430">
        <w:t>are familiar or very</w:t>
      </w:r>
      <w:r>
        <w:t xml:space="preserve"> </w:t>
      </w:r>
      <w:r w:rsidRPr="0071774C">
        <w:t>familiar</w:t>
      </w:r>
      <w:r>
        <w:t xml:space="preserve"> </w:t>
      </w:r>
      <w:r w:rsidRPr="0071774C">
        <w:t>with</w:t>
      </w:r>
      <w:r>
        <w:t xml:space="preserve"> </w:t>
      </w:r>
      <w:r w:rsidRPr="0071774C">
        <w:t>key</w:t>
      </w:r>
      <w:r>
        <w:t xml:space="preserve"> </w:t>
      </w:r>
      <w:r w:rsidRPr="0071774C">
        <w:t>concepts</w:t>
      </w:r>
      <w:r>
        <w:t xml:space="preserve"> </w:t>
      </w:r>
      <w:r w:rsidRPr="0071774C">
        <w:t>that</w:t>
      </w:r>
      <w:r>
        <w:t xml:space="preserve"> </w:t>
      </w:r>
      <w:r w:rsidRPr="0071774C">
        <w:t>are</w:t>
      </w:r>
      <w:r>
        <w:t xml:space="preserve"> </w:t>
      </w:r>
      <w:r w:rsidRPr="0071774C">
        <w:t>central</w:t>
      </w:r>
      <w:r>
        <w:t xml:space="preserve"> </w:t>
      </w:r>
      <w:r w:rsidRPr="0071774C">
        <w:t>to</w:t>
      </w:r>
      <w:r>
        <w:t xml:space="preserve"> </w:t>
      </w:r>
      <w:r w:rsidRPr="0071774C">
        <w:t>primary</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r w:rsidR="00D44430">
        <w:t>.</w:t>
      </w:r>
      <w:r>
        <w:t xml:space="preserve"> </w:t>
      </w:r>
      <w:r w:rsidRPr="0071774C">
        <w:t>Perhaps</w:t>
      </w:r>
      <w:r>
        <w:t xml:space="preserve"> </w:t>
      </w:r>
      <w:r w:rsidRPr="0071774C">
        <w:t>reflecting</w:t>
      </w:r>
      <w:r>
        <w:t xml:space="preserve"> </w:t>
      </w:r>
      <w:r w:rsidRPr="0071774C">
        <w:t>the</w:t>
      </w:r>
      <w:r>
        <w:t xml:space="preserve"> </w:t>
      </w:r>
      <w:r w:rsidRPr="0071774C">
        <w:t>success</w:t>
      </w:r>
      <w:r>
        <w:t xml:space="preserve"> </w:t>
      </w:r>
      <w:r w:rsidRPr="0071774C">
        <w:t>of</w:t>
      </w:r>
      <w:r>
        <w:t xml:space="preserve"> </w:t>
      </w:r>
      <w:r w:rsidRPr="00ED4674">
        <w:rPr>
          <w:rStyle w:val="Emphasis"/>
        </w:rPr>
        <w:t>Change the story: A shared framework for the primary prevention of violence against women and their children</w:t>
      </w:r>
      <w:r>
        <w:rPr>
          <w:iCs/>
        </w:rPr>
        <w:t xml:space="preserve">, </w:t>
      </w:r>
      <w:r w:rsidRPr="0071774C">
        <w:t>respondents</w:t>
      </w:r>
      <w:r>
        <w:t xml:space="preserve"> </w:t>
      </w:r>
      <w:r w:rsidRPr="0071774C">
        <w:t>recognised</w:t>
      </w:r>
      <w:r>
        <w:t xml:space="preserve"> </w:t>
      </w:r>
      <w:r w:rsidRPr="0071774C">
        <w:t>the</w:t>
      </w:r>
      <w:r>
        <w:t xml:space="preserve"> </w:t>
      </w:r>
      <w:r w:rsidRPr="0071774C">
        <w:t>gendered</w:t>
      </w:r>
      <w:r>
        <w:t xml:space="preserve"> </w:t>
      </w:r>
      <w:r w:rsidRPr="0071774C">
        <w:t>drivers</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followed</w:t>
      </w:r>
      <w:r>
        <w:t xml:space="preserve"> </w:t>
      </w:r>
      <w:r w:rsidRPr="0071774C">
        <w:t>by</w:t>
      </w:r>
      <w:r>
        <w:t xml:space="preserve"> </w:t>
      </w:r>
      <w:r w:rsidRPr="0071774C">
        <w:t>primary</w:t>
      </w:r>
      <w:r>
        <w:t xml:space="preserve"> </w:t>
      </w:r>
      <w:r w:rsidRPr="0071774C">
        <w:t>prevention</w:t>
      </w:r>
      <w:r>
        <w:t xml:space="preserve"> </w:t>
      </w:r>
      <w:r w:rsidRPr="0071774C">
        <w:t>and</w:t>
      </w:r>
      <w:r>
        <w:t xml:space="preserve"> </w:t>
      </w:r>
      <w:r w:rsidRPr="0071774C">
        <w:t>the</w:t>
      </w:r>
      <w:r>
        <w:t xml:space="preserve"> </w:t>
      </w:r>
      <w:r w:rsidRPr="0071774C">
        <w:t>reinforcing</w:t>
      </w:r>
      <w:r>
        <w:t xml:space="preserve"> </w:t>
      </w:r>
      <w:r w:rsidRPr="0071774C">
        <w:t>factors</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Interestingly</w:t>
      </w:r>
      <w:r>
        <w:t xml:space="preserve"> – </w:t>
      </w:r>
      <w:r w:rsidRPr="0071774C">
        <w:t>and</w:t>
      </w:r>
      <w:r>
        <w:t xml:space="preserve"> </w:t>
      </w:r>
      <w:r w:rsidRPr="0071774C">
        <w:t>perhaps</w:t>
      </w:r>
      <w:r>
        <w:t xml:space="preserve"> </w:t>
      </w:r>
      <w:r w:rsidRPr="0071774C">
        <w:t>indicating</w:t>
      </w:r>
      <w:r>
        <w:t xml:space="preserve"> </w:t>
      </w:r>
      <w:r w:rsidRPr="0071774C">
        <w:t>an</w:t>
      </w:r>
      <w:r>
        <w:t xml:space="preserve"> </w:t>
      </w:r>
      <w:r w:rsidRPr="0071774C">
        <w:t>opportunity</w:t>
      </w:r>
      <w:r>
        <w:t xml:space="preserve"> </w:t>
      </w:r>
      <w:r w:rsidRPr="0071774C">
        <w:t>for</w:t>
      </w:r>
      <w:r>
        <w:t xml:space="preserve"> </w:t>
      </w:r>
      <w:r w:rsidRPr="0071774C">
        <w:t>further</w:t>
      </w:r>
      <w:r>
        <w:t xml:space="preserve"> </w:t>
      </w:r>
      <w:r w:rsidRPr="0071774C">
        <w:t>professional</w:t>
      </w:r>
      <w:r>
        <w:t xml:space="preserve"> </w:t>
      </w:r>
      <w:r w:rsidRPr="0071774C">
        <w:t>development</w:t>
      </w:r>
      <w:r>
        <w:t xml:space="preserve"> </w:t>
      </w:r>
      <w:r w:rsidRPr="0071774C">
        <w:t>focus</w:t>
      </w:r>
      <w:r>
        <w:t xml:space="preserve"> – </w:t>
      </w:r>
      <w:r w:rsidRPr="0071774C">
        <w:t>levels</w:t>
      </w:r>
      <w:r>
        <w:t xml:space="preserve"> </w:t>
      </w:r>
      <w:r w:rsidRPr="0071774C">
        <w:t>of</w:t>
      </w:r>
      <w:r>
        <w:t xml:space="preserve"> </w:t>
      </w:r>
      <w:r w:rsidRPr="0071774C">
        <w:t>familiarity</w:t>
      </w:r>
      <w:r>
        <w:t xml:space="preserve"> </w:t>
      </w:r>
      <w:r w:rsidRPr="0071774C">
        <w:t>were</w:t>
      </w:r>
      <w:r>
        <w:t xml:space="preserve"> </w:t>
      </w:r>
      <w:r w:rsidRPr="0071774C">
        <w:t>lower</w:t>
      </w:r>
      <w:r>
        <w:t xml:space="preserve"> </w:t>
      </w:r>
      <w:r w:rsidRPr="0071774C">
        <w:t>for</w:t>
      </w:r>
      <w:r>
        <w:t xml:space="preserve"> </w:t>
      </w:r>
      <w:r w:rsidRPr="0071774C">
        <w:t>gender</w:t>
      </w:r>
      <w:r>
        <w:t xml:space="preserve"> </w:t>
      </w:r>
      <w:r w:rsidRPr="0071774C">
        <w:t>transformative</w:t>
      </w:r>
      <w:r>
        <w:t xml:space="preserve"> </w:t>
      </w:r>
      <w:r w:rsidRPr="0071774C">
        <w:t>practice</w:t>
      </w:r>
      <w:r>
        <w:t xml:space="preserve"> </w:t>
      </w:r>
      <w:r w:rsidRPr="0071774C">
        <w:t>and</w:t>
      </w:r>
      <w:r>
        <w:t xml:space="preserve"> </w:t>
      </w:r>
      <w:r w:rsidRPr="0071774C">
        <w:t>tertiary</w:t>
      </w:r>
      <w:r>
        <w:t xml:space="preserve"> </w:t>
      </w:r>
      <w:r w:rsidRPr="0071774C">
        <w:t>prevention</w:t>
      </w:r>
      <w:r>
        <w:t xml:space="preserve"> </w:t>
      </w:r>
      <w:r w:rsidRPr="0071774C">
        <w:t>or</w:t>
      </w:r>
      <w:r>
        <w:t xml:space="preserve"> </w:t>
      </w:r>
      <w:r w:rsidRPr="0071774C">
        <w:t>response.</w:t>
      </w:r>
      <w:r>
        <w:t xml:space="preserve"> </w:t>
      </w:r>
      <w:r w:rsidR="005F1653">
        <w:t>J</w:t>
      </w:r>
      <w:r w:rsidRPr="0071774C">
        <w:t>ust</w:t>
      </w:r>
      <w:r>
        <w:t xml:space="preserve"> </w:t>
      </w:r>
      <w:r w:rsidRPr="0071774C">
        <w:t>over</w:t>
      </w:r>
      <w:r>
        <w:t xml:space="preserve"> </w:t>
      </w:r>
      <w:r w:rsidRPr="0071774C">
        <w:t>half</w:t>
      </w:r>
      <w:r>
        <w:t xml:space="preserve"> </w:t>
      </w:r>
      <w:r w:rsidRPr="0071774C">
        <w:t>of</w:t>
      </w:r>
      <w:r>
        <w:t xml:space="preserve"> </w:t>
      </w:r>
      <w:r w:rsidRPr="0071774C">
        <w:t>the</w:t>
      </w:r>
      <w:r>
        <w:t xml:space="preserve"> </w:t>
      </w:r>
      <w:r w:rsidRPr="0071774C">
        <w:t>survey</w:t>
      </w:r>
      <w:r>
        <w:t xml:space="preserve"> </w:t>
      </w:r>
      <w:r w:rsidRPr="0071774C">
        <w:t>respondents</w:t>
      </w:r>
      <w:r>
        <w:t xml:space="preserve"> </w:t>
      </w:r>
      <w:r w:rsidRPr="0071774C">
        <w:t>self-identif</w:t>
      </w:r>
      <w:r w:rsidR="006C5180">
        <w:t>ied</w:t>
      </w:r>
      <w:r>
        <w:t xml:space="preserve"> </w:t>
      </w:r>
      <w:r w:rsidRPr="0071774C">
        <w:t>as</w:t>
      </w:r>
      <w:r>
        <w:t xml:space="preserve"> </w:t>
      </w:r>
      <w:r w:rsidRPr="0071774C">
        <w:t>either</w:t>
      </w:r>
      <w:r>
        <w:t xml:space="preserve"> </w:t>
      </w:r>
      <w:r w:rsidRPr="0071774C">
        <w:t>senior</w:t>
      </w:r>
      <w:r>
        <w:t xml:space="preserve"> </w:t>
      </w:r>
      <w:r w:rsidRPr="0071774C">
        <w:t>or</w:t>
      </w:r>
      <w:r>
        <w:t xml:space="preserve"> </w:t>
      </w:r>
      <w:r w:rsidRPr="0071774C">
        <w:t>expert</w:t>
      </w:r>
      <w:r>
        <w:t xml:space="preserve"> </w:t>
      </w:r>
      <w:r w:rsidRPr="0071774C">
        <w:t>in</w:t>
      </w:r>
      <w:r>
        <w:t xml:space="preserve"> </w:t>
      </w:r>
      <w:r w:rsidRPr="0071774C">
        <w:t>terms</w:t>
      </w:r>
      <w:r>
        <w:t xml:space="preserve"> </w:t>
      </w:r>
      <w:r w:rsidRPr="0071774C">
        <w:t>of</w:t>
      </w:r>
      <w:r>
        <w:t xml:space="preserve"> </w:t>
      </w:r>
      <w:r w:rsidRPr="0071774C">
        <w:t>their</w:t>
      </w:r>
      <w:r>
        <w:t xml:space="preserve"> </w:t>
      </w:r>
      <w:r w:rsidRPr="0071774C">
        <w:t>skills</w:t>
      </w:r>
      <w:r>
        <w:t xml:space="preserve"> </w:t>
      </w:r>
      <w:r w:rsidRPr="0071774C">
        <w:t>and</w:t>
      </w:r>
      <w:r>
        <w:t xml:space="preserve"> </w:t>
      </w:r>
      <w:r w:rsidRPr="0071774C">
        <w:t>experience</w:t>
      </w:r>
      <w:r>
        <w:t xml:space="preserve"> </w:t>
      </w:r>
      <w:r w:rsidRPr="0071774C">
        <w:t>in</w:t>
      </w:r>
      <w:r>
        <w:t xml:space="preserve"> </w:t>
      </w:r>
      <w:r w:rsidRPr="0071774C">
        <w:t>primary</w:t>
      </w:r>
      <w:r>
        <w:t xml:space="preserve"> </w:t>
      </w:r>
      <w:r w:rsidRPr="0071774C">
        <w:t>prevention</w:t>
      </w:r>
      <w:r>
        <w:t xml:space="preserve">, </w:t>
      </w:r>
      <w:r w:rsidRPr="0071774C">
        <w:t>and</w:t>
      </w:r>
      <w:r>
        <w:t xml:space="preserve"> </w:t>
      </w:r>
      <w:r w:rsidRPr="0071774C">
        <w:t>the</w:t>
      </w:r>
      <w:r>
        <w:t xml:space="preserve"> </w:t>
      </w:r>
      <w:r w:rsidRPr="0071774C">
        <w:t>other</w:t>
      </w:r>
      <w:r>
        <w:t xml:space="preserve"> </w:t>
      </w:r>
      <w:r w:rsidRPr="0071774C">
        <w:t>half</w:t>
      </w:r>
      <w:r>
        <w:t xml:space="preserve"> </w:t>
      </w:r>
      <w:r w:rsidRPr="0071774C">
        <w:t>report</w:t>
      </w:r>
      <w:r w:rsidR="006C5180">
        <w:t>ed</w:t>
      </w:r>
      <w:r>
        <w:t xml:space="preserve"> </w:t>
      </w:r>
      <w:r w:rsidRPr="0071774C">
        <w:t>their</w:t>
      </w:r>
      <w:r>
        <w:t xml:space="preserve"> </w:t>
      </w:r>
      <w:r w:rsidRPr="0071774C">
        <w:t>level</w:t>
      </w:r>
      <w:r>
        <w:t xml:space="preserve"> </w:t>
      </w:r>
      <w:r w:rsidRPr="0071774C">
        <w:t>of</w:t>
      </w:r>
      <w:r>
        <w:t xml:space="preserve"> </w:t>
      </w:r>
      <w:r w:rsidRPr="0071774C">
        <w:t>skills</w:t>
      </w:r>
      <w:r>
        <w:t xml:space="preserve"> </w:t>
      </w:r>
      <w:r w:rsidRPr="0071774C">
        <w:t>and</w:t>
      </w:r>
      <w:r>
        <w:t xml:space="preserve"> </w:t>
      </w:r>
      <w:r w:rsidRPr="0071774C">
        <w:t>experience</w:t>
      </w:r>
      <w:r>
        <w:t xml:space="preserve"> </w:t>
      </w:r>
      <w:r w:rsidRPr="0071774C">
        <w:t>as</w:t>
      </w:r>
      <w:r>
        <w:t xml:space="preserve"> </w:t>
      </w:r>
      <w:r w:rsidRPr="0071774C">
        <w:t>mid</w:t>
      </w:r>
      <w:r>
        <w:t xml:space="preserve">-level </w:t>
      </w:r>
      <w:r w:rsidRPr="0071774C">
        <w:t>or</w:t>
      </w:r>
      <w:r>
        <w:t xml:space="preserve"> </w:t>
      </w:r>
      <w:r w:rsidRPr="0071774C">
        <w:t>entry</w:t>
      </w:r>
      <w:r>
        <w:t>-level</w:t>
      </w:r>
      <w:r w:rsidR="00D94C6C">
        <w:t>, implying a confident workforce</w:t>
      </w:r>
      <w:r w:rsidRPr="0071774C">
        <w:t>.</w:t>
      </w:r>
    </w:p>
    <w:p w14:paraId="674AEF41" w14:textId="77777777" w:rsidR="002C2EC7" w:rsidRDefault="002C2EC7" w:rsidP="00851841">
      <w:pPr>
        <w:pStyle w:val="BodyText"/>
        <w:keepLines/>
      </w:pPr>
      <w:r w:rsidRPr="0071774C">
        <w:lastRenderedPageBreak/>
        <w:t>The</w:t>
      </w:r>
      <w:r>
        <w:t xml:space="preserve"> </w:t>
      </w:r>
      <w:r w:rsidRPr="0071774C">
        <w:t>most</w:t>
      </w:r>
      <w:r>
        <w:t xml:space="preserve"> </w:t>
      </w:r>
      <w:r w:rsidRPr="0071774C">
        <w:t>common</w:t>
      </w:r>
      <w:r>
        <w:t xml:space="preserve"> </w:t>
      </w:r>
      <w:r w:rsidRPr="0071774C">
        <w:t>settings</w:t>
      </w:r>
      <w:r>
        <w:t xml:space="preserve"> </w:t>
      </w:r>
      <w:r w:rsidRPr="0071774C">
        <w:t>that</w:t>
      </w:r>
      <w:r>
        <w:t xml:space="preserve"> </w:t>
      </w:r>
      <w:r w:rsidRPr="0071774C">
        <w:t>respondents’</w:t>
      </w:r>
      <w:r>
        <w:t xml:space="preserve"> </w:t>
      </w:r>
      <w:r w:rsidRPr="0071774C">
        <w:t>organisations</w:t>
      </w:r>
      <w:r>
        <w:t xml:space="preserve"> </w:t>
      </w:r>
      <w:r w:rsidRPr="0071774C">
        <w:t>work</w:t>
      </w:r>
      <w:r>
        <w:t xml:space="preserve"> </w:t>
      </w:r>
      <w:r w:rsidRPr="0071774C">
        <w:t>was</w:t>
      </w:r>
      <w:r>
        <w:t xml:space="preserve"> </w:t>
      </w:r>
      <w:r w:rsidRPr="0071774C">
        <w:t>focused</w:t>
      </w:r>
      <w:r>
        <w:t xml:space="preserve"> </w:t>
      </w:r>
      <w:r w:rsidRPr="0071774C">
        <w:t>were</w:t>
      </w:r>
      <w:r>
        <w:t xml:space="preserve"> </w:t>
      </w:r>
      <w:r w:rsidRPr="0071774C">
        <w:t>‘health,</w:t>
      </w:r>
      <w:r>
        <w:t xml:space="preserve"> </w:t>
      </w:r>
      <w:r w:rsidRPr="0071774C">
        <w:t>family</w:t>
      </w:r>
      <w:r>
        <w:t xml:space="preserve"> </w:t>
      </w:r>
      <w:r w:rsidRPr="0071774C">
        <w:t>and</w:t>
      </w:r>
      <w:r>
        <w:t xml:space="preserve"> </w:t>
      </w:r>
      <w:r w:rsidRPr="0071774C">
        <w:t>community</w:t>
      </w:r>
      <w:r>
        <w:t xml:space="preserve"> </w:t>
      </w:r>
      <w:r w:rsidRPr="0071774C">
        <w:t>services’</w:t>
      </w:r>
      <w:r>
        <w:t xml:space="preserve"> (see Table 1, below)</w:t>
      </w:r>
      <w:r w:rsidRPr="0071774C">
        <w:t>,</w:t>
      </w:r>
      <w:r>
        <w:t xml:space="preserve"> </w:t>
      </w:r>
      <w:r w:rsidRPr="0071774C">
        <w:t>which</w:t>
      </w:r>
      <w:r>
        <w:t xml:space="preserve"> </w:t>
      </w:r>
      <w:r w:rsidRPr="0071774C">
        <w:t>included</w:t>
      </w:r>
      <w:r>
        <w:t xml:space="preserve"> </w:t>
      </w:r>
      <w:r w:rsidRPr="0071774C">
        <w:t>family</w:t>
      </w:r>
      <w:r>
        <w:t xml:space="preserve"> </w:t>
      </w:r>
      <w:r w:rsidRPr="0071774C">
        <w:t>and</w:t>
      </w:r>
      <w:r>
        <w:t xml:space="preserve"> </w:t>
      </w:r>
      <w:r w:rsidRPr="0071774C">
        <w:t>domestic</w:t>
      </w:r>
      <w:r>
        <w:t xml:space="preserve"> </w:t>
      </w:r>
      <w:r w:rsidRPr="0071774C">
        <w:t>violence</w:t>
      </w:r>
      <w:r>
        <w:t xml:space="preserve"> </w:t>
      </w:r>
      <w:r w:rsidRPr="0071774C">
        <w:t>services</w:t>
      </w:r>
      <w:r>
        <w:t xml:space="preserve"> </w:t>
      </w:r>
      <w:r w:rsidRPr="0071774C">
        <w:t>and</w:t>
      </w:r>
      <w:r>
        <w:t xml:space="preserve"> </w:t>
      </w:r>
      <w:r w:rsidRPr="0071774C">
        <w:t>women’s</w:t>
      </w:r>
      <w:r>
        <w:t xml:space="preserve"> </w:t>
      </w:r>
      <w:r w:rsidRPr="0071774C">
        <w:t>health</w:t>
      </w:r>
      <w:r>
        <w:t xml:space="preserve"> </w:t>
      </w:r>
      <w:r w:rsidRPr="0071774C">
        <w:t>services.</w:t>
      </w:r>
      <w:r>
        <w:t xml:space="preserve"> </w:t>
      </w:r>
      <w:r w:rsidRPr="0071774C">
        <w:t>As</w:t>
      </w:r>
      <w:r>
        <w:t xml:space="preserve"> </w:t>
      </w:r>
      <w:r w:rsidRPr="0071774C">
        <w:t>primary</w:t>
      </w:r>
      <w:r>
        <w:t xml:space="preserve"> </w:t>
      </w:r>
      <w:r w:rsidRPr="0071774C">
        <w:t>prevention</w:t>
      </w:r>
      <w:r>
        <w:t xml:space="preserve"> originated in </w:t>
      </w:r>
      <w:r w:rsidRPr="0071774C">
        <w:t>advocacy</w:t>
      </w:r>
      <w:r>
        <w:t xml:space="preserve"> </w:t>
      </w:r>
      <w:r w:rsidRPr="0071774C">
        <w:t>and</w:t>
      </w:r>
      <w:r>
        <w:t xml:space="preserve"> </w:t>
      </w:r>
      <w:r w:rsidRPr="0071774C">
        <w:t>activism</w:t>
      </w:r>
      <w:r>
        <w:t xml:space="preserve"> </w:t>
      </w:r>
      <w:r w:rsidRPr="0071774C">
        <w:t>by</w:t>
      </w:r>
      <w:r>
        <w:t xml:space="preserve"> </w:t>
      </w:r>
      <w:r w:rsidRPr="0071774C">
        <w:t>the</w:t>
      </w:r>
      <w:r>
        <w:t xml:space="preserve"> </w:t>
      </w:r>
      <w:r w:rsidRPr="0071774C">
        <w:t>family</w:t>
      </w:r>
      <w:r>
        <w:t xml:space="preserve"> </w:t>
      </w:r>
      <w:r w:rsidRPr="0071774C">
        <w:t>and</w:t>
      </w:r>
      <w:r>
        <w:t xml:space="preserve"> </w:t>
      </w:r>
      <w:r w:rsidRPr="0071774C">
        <w:t>domestic</w:t>
      </w:r>
      <w:r>
        <w:t xml:space="preserve"> </w:t>
      </w:r>
      <w:r w:rsidRPr="0071774C">
        <w:t>violence,</w:t>
      </w:r>
      <w:r>
        <w:t xml:space="preserve"> </w:t>
      </w:r>
      <w:r w:rsidRPr="0071774C">
        <w:t>gender</w:t>
      </w:r>
      <w:r>
        <w:t xml:space="preserve"> </w:t>
      </w:r>
      <w:r w:rsidRPr="0071774C">
        <w:t>equality</w:t>
      </w:r>
      <w:r>
        <w:t xml:space="preserve"> </w:t>
      </w:r>
      <w:r w:rsidRPr="0071774C">
        <w:t>and</w:t>
      </w:r>
      <w:r>
        <w:t xml:space="preserve"> </w:t>
      </w:r>
      <w:r w:rsidRPr="0071774C">
        <w:t>women’s</w:t>
      </w:r>
      <w:r>
        <w:t xml:space="preserve"> </w:t>
      </w:r>
      <w:r w:rsidRPr="0071774C">
        <w:t>health</w:t>
      </w:r>
      <w:r>
        <w:t xml:space="preserve"> </w:t>
      </w:r>
      <w:r w:rsidRPr="0071774C">
        <w:t>sectors,</w:t>
      </w:r>
      <w:r>
        <w:t xml:space="preserve"> </w:t>
      </w:r>
      <w:r w:rsidRPr="0071774C">
        <w:t>it</w:t>
      </w:r>
      <w:r>
        <w:t xml:space="preserve"> </w:t>
      </w:r>
      <w:r w:rsidRPr="0071774C">
        <w:t>is</w:t>
      </w:r>
      <w:r>
        <w:t xml:space="preserve"> </w:t>
      </w:r>
      <w:r w:rsidRPr="0071774C">
        <w:t>unsurprising</w:t>
      </w:r>
      <w:r>
        <w:t xml:space="preserve"> </w:t>
      </w:r>
      <w:r w:rsidRPr="0071774C">
        <w:t>that</w:t>
      </w:r>
      <w:r>
        <w:t xml:space="preserve"> </w:t>
      </w:r>
      <w:r w:rsidRPr="0071774C">
        <w:t>a</w:t>
      </w:r>
      <w:r>
        <w:t xml:space="preserve"> </w:t>
      </w:r>
      <w:r w:rsidRPr="0071774C">
        <w:t>majority</w:t>
      </w:r>
      <w:r>
        <w:t xml:space="preserve"> </w:t>
      </w:r>
      <w:r w:rsidRPr="0071774C">
        <w:t>of</w:t>
      </w:r>
      <w:r>
        <w:t xml:space="preserve"> </w:t>
      </w:r>
      <w:r w:rsidRPr="0071774C">
        <w:t>primary</w:t>
      </w:r>
      <w:r>
        <w:t xml:space="preserve"> </w:t>
      </w:r>
      <w:r w:rsidRPr="0071774C">
        <w:t>prevention</w:t>
      </w:r>
      <w:r>
        <w:t xml:space="preserve"> </w:t>
      </w:r>
      <w:r w:rsidRPr="0071774C">
        <w:t>activity</w:t>
      </w:r>
      <w:r>
        <w:t xml:space="preserve"> </w:t>
      </w:r>
      <w:r w:rsidRPr="0071774C">
        <w:t>continues</w:t>
      </w:r>
      <w:r>
        <w:t xml:space="preserve"> </w:t>
      </w:r>
      <w:r w:rsidRPr="0071774C">
        <w:t>in</w:t>
      </w:r>
      <w:r>
        <w:t xml:space="preserve"> </w:t>
      </w:r>
      <w:r w:rsidRPr="0071774C">
        <w:t>these</w:t>
      </w:r>
      <w:r>
        <w:t xml:space="preserve"> </w:t>
      </w:r>
      <w:r w:rsidRPr="0071774C">
        <w:t>sectors.</w:t>
      </w:r>
      <w:r>
        <w:t xml:space="preserve"> </w:t>
      </w:r>
      <w:r w:rsidRPr="0071774C">
        <w:t>This</w:t>
      </w:r>
      <w:r>
        <w:t xml:space="preserve"> </w:t>
      </w:r>
      <w:r w:rsidRPr="0071774C">
        <w:t>is</w:t>
      </w:r>
      <w:r>
        <w:t xml:space="preserve"> </w:t>
      </w:r>
      <w:r w:rsidRPr="0071774C">
        <w:t>also</w:t>
      </w:r>
      <w:r>
        <w:t xml:space="preserve"> </w:t>
      </w:r>
      <w:r w:rsidRPr="0071774C">
        <w:t>linked</w:t>
      </w:r>
      <w:r>
        <w:t xml:space="preserve"> </w:t>
      </w:r>
      <w:r w:rsidRPr="0071774C">
        <w:t>to</w:t>
      </w:r>
      <w:r>
        <w:t xml:space="preserve"> </w:t>
      </w:r>
      <w:r w:rsidRPr="0071774C">
        <w:t>the</w:t>
      </w:r>
      <w:r>
        <w:t xml:space="preserve"> </w:t>
      </w:r>
      <w:r w:rsidRPr="0071774C">
        <w:t>ministries</w:t>
      </w:r>
      <w:r>
        <w:t xml:space="preserve"> </w:t>
      </w:r>
      <w:r w:rsidRPr="0071774C">
        <w:t>and</w:t>
      </w:r>
      <w:r>
        <w:t xml:space="preserve"> </w:t>
      </w:r>
      <w:r w:rsidRPr="0071774C">
        <w:t>portfolios</w:t>
      </w:r>
      <w:r>
        <w:t xml:space="preserve"> </w:t>
      </w:r>
      <w:r w:rsidRPr="0071774C">
        <w:t>that</w:t>
      </w:r>
      <w:r>
        <w:t xml:space="preserve"> </w:t>
      </w:r>
      <w:r w:rsidRPr="0071774C">
        <w:t>are</w:t>
      </w:r>
      <w:r>
        <w:t xml:space="preserve"> </w:t>
      </w:r>
      <w:r w:rsidRPr="0071774C">
        <w:t>driving</w:t>
      </w:r>
      <w:r>
        <w:t xml:space="preserve"> </w:t>
      </w:r>
      <w:r w:rsidRPr="0071774C">
        <w:t>policy</w:t>
      </w:r>
      <w:r>
        <w:t xml:space="preserve"> </w:t>
      </w:r>
      <w:r w:rsidRPr="0071774C">
        <w:t>and</w:t>
      </w:r>
      <w:r>
        <w:t xml:space="preserve"> </w:t>
      </w:r>
      <w:r w:rsidRPr="0071774C">
        <w:t>legislative</w:t>
      </w:r>
      <w:r>
        <w:t xml:space="preserve"> </w:t>
      </w:r>
      <w:r w:rsidRPr="0071774C">
        <w:t>reform,</w:t>
      </w:r>
      <w:r>
        <w:t xml:space="preserve"> </w:t>
      </w:r>
      <w:r w:rsidRPr="0071774C">
        <w:t>as</w:t>
      </w:r>
      <w:r>
        <w:t xml:space="preserve"> </w:t>
      </w:r>
      <w:r w:rsidRPr="0071774C">
        <w:t>outlined</w:t>
      </w:r>
      <w:r>
        <w:t xml:space="preserve"> </w:t>
      </w:r>
      <w:r w:rsidRPr="0071774C">
        <w:t>in</w:t>
      </w:r>
      <w:r>
        <w:t xml:space="preserve"> </w:t>
      </w:r>
      <w:r w:rsidRPr="0071774C">
        <w:t>Domain</w:t>
      </w:r>
      <w:r>
        <w:t xml:space="preserve"> </w:t>
      </w:r>
      <w:r w:rsidRPr="0071774C">
        <w:t>2,</w:t>
      </w:r>
      <w:r>
        <w:t xml:space="preserve"> </w:t>
      </w:r>
      <w:r w:rsidRPr="0071774C">
        <w:t>and</w:t>
      </w:r>
      <w:r>
        <w:t xml:space="preserve"> </w:t>
      </w:r>
      <w:r w:rsidRPr="0071774C">
        <w:t>where</w:t>
      </w:r>
      <w:r>
        <w:t xml:space="preserve"> </w:t>
      </w:r>
      <w:r w:rsidRPr="0071774C">
        <w:t>programming</w:t>
      </w:r>
      <w:r>
        <w:t xml:space="preserve">, </w:t>
      </w:r>
      <w:r w:rsidRPr="0071774C">
        <w:t>funding</w:t>
      </w:r>
      <w:r>
        <w:t xml:space="preserve"> </w:t>
      </w:r>
      <w:r w:rsidRPr="0071774C">
        <w:t>and</w:t>
      </w:r>
      <w:r>
        <w:t xml:space="preserve"> </w:t>
      </w:r>
      <w:r w:rsidRPr="0071774C">
        <w:t>activity</w:t>
      </w:r>
      <w:r>
        <w:t xml:space="preserve"> </w:t>
      </w:r>
      <w:r w:rsidRPr="0071774C">
        <w:t>is</w:t>
      </w:r>
      <w:r>
        <w:t xml:space="preserve"> </w:t>
      </w:r>
      <w:r w:rsidRPr="0071774C">
        <w:t>directed</w:t>
      </w:r>
      <w:r>
        <w:t xml:space="preserve"> </w:t>
      </w:r>
      <w:r w:rsidRPr="0071774C">
        <w:t>(Domain</w:t>
      </w:r>
      <w:r>
        <w:t xml:space="preserve"> </w:t>
      </w:r>
      <w:r w:rsidRPr="0071774C">
        <w:t>6).</w:t>
      </w:r>
      <w:r>
        <w:t xml:space="preserve"> </w:t>
      </w:r>
      <w:r w:rsidRPr="0071774C">
        <w:t>As</w:t>
      </w:r>
      <w:r>
        <w:t xml:space="preserve"> </w:t>
      </w:r>
      <w:r w:rsidRPr="0071774C">
        <w:t>respondents</w:t>
      </w:r>
      <w:r>
        <w:t xml:space="preserve"> </w:t>
      </w:r>
      <w:r w:rsidRPr="0071774C">
        <w:t>could</w:t>
      </w:r>
      <w:r>
        <w:t xml:space="preserve"> </w:t>
      </w:r>
      <w:r w:rsidRPr="0071774C">
        <w:t>tick</w:t>
      </w:r>
      <w:r>
        <w:t xml:space="preserve"> </w:t>
      </w:r>
      <w:r w:rsidRPr="0071774C">
        <w:t>as</w:t>
      </w:r>
      <w:r>
        <w:t xml:space="preserve"> </w:t>
      </w:r>
      <w:r w:rsidRPr="0071774C">
        <w:t>many</w:t>
      </w:r>
      <w:r>
        <w:t xml:space="preserve"> </w:t>
      </w:r>
      <w:r w:rsidRPr="0071774C">
        <w:t>as</w:t>
      </w:r>
      <w:r>
        <w:t xml:space="preserve"> </w:t>
      </w:r>
      <w:r w:rsidRPr="0071774C">
        <w:t>applied,</w:t>
      </w:r>
      <w:r>
        <w:t xml:space="preserve"> </w:t>
      </w:r>
      <w:r w:rsidRPr="0071774C">
        <w:t>the</w:t>
      </w:r>
      <w:r>
        <w:t xml:space="preserve"> </w:t>
      </w:r>
      <w:r w:rsidRPr="0071774C">
        <w:t>table</w:t>
      </w:r>
      <w:r>
        <w:t xml:space="preserve"> </w:t>
      </w:r>
      <w:r w:rsidRPr="0071774C">
        <w:t>below</w:t>
      </w:r>
      <w:r>
        <w:t xml:space="preserve"> </w:t>
      </w:r>
      <w:r w:rsidRPr="0071774C">
        <w:t>also</w:t>
      </w:r>
      <w:r>
        <w:t xml:space="preserve"> </w:t>
      </w:r>
      <w:r w:rsidRPr="0071774C">
        <w:t>shows</w:t>
      </w:r>
      <w:r>
        <w:t xml:space="preserve"> </w:t>
      </w:r>
      <w:r w:rsidRPr="0071774C">
        <w:t>both</w:t>
      </w:r>
      <w:r>
        <w:t xml:space="preserve"> </w:t>
      </w:r>
      <w:r w:rsidRPr="0071774C">
        <w:t>the</w:t>
      </w:r>
      <w:r>
        <w:t xml:space="preserve"> </w:t>
      </w:r>
      <w:r w:rsidRPr="0071774C">
        <w:t>total</w:t>
      </w:r>
      <w:r>
        <w:t xml:space="preserve"> </w:t>
      </w:r>
      <w:r w:rsidRPr="0071774C">
        <w:t>number</w:t>
      </w:r>
      <w:r>
        <w:t xml:space="preserve"> </w:t>
      </w:r>
      <w:r w:rsidRPr="0071774C">
        <w:t>of</w:t>
      </w:r>
      <w:r>
        <w:t xml:space="preserve"> </w:t>
      </w:r>
      <w:r w:rsidRPr="0071774C">
        <w:t>responses</w:t>
      </w:r>
      <w:r>
        <w:t xml:space="preserve"> </w:t>
      </w:r>
      <w:r w:rsidRPr="0071774C">
        <w:t>for</w:t>
      </w:r>
      <w:r>
        <w:t xml:space="preserve"> </w:t>
      </w:r>
      <w:r w:rsidRPr="0071774C">
        <w:t>the</w:t>
      </w:r>
      <w:r>
        <w:t xml:space="preserve"> </w:t>
      </w:r>
      <w:r w:rsidRPr="0071774C">
        <w:t>settings</w:t>
      </w:r>
      <w:r>
        <w:t xml:space="preserve"> </w:t>
      </w:r>
      <w:r w:rsidRPr="0071774C">
        <w:t>and</w:t>
      </w:r>
      <w:r>
        <w:t xml:space="preserve"> </w:t>
      </w:r>
      <w:r w:rsidRPr="0071774C">
        <w:t>the</w:t>
      </w:r>
      <w:r>
        <w:t xml:space="preserve"> </w:t>
      </w:r>
      <w:r w:rsidRPr="0071774C">
        <w:t>number</w:t>
      </w:r>
      <w:r>
        <w:t xml:space="preserve"> </w:t>
      </w:r>
      <w:r w:rsidRPr="0071774C">
        <w:t>with</w:t>
      </w:r>
      <w:r>
        <w:t xml:space="preserve"> </w:t>
      </w:r>
      <w:r w:rsidRPr="0071774C">
        <w:t>work</w:t>
      </w:r>
      <w:r>
        <w:t xml:space="preserve"> </w:t>
      </w:r>
      <w:r w:rsidRPr="0071774C">
        <w:t>focused</w:t>
      </w:r>
      <w:r>
        <w:t xml:space="preserve"> </w:t>
      </w:r>
      <w:r w:rsidRPr="0071774C">
        <w:t>in</w:t>
      </w:r>
      <w:r>
        <w:t xml:space="preserve"> </w:t>
      </w:r>
      <w:r w:rsidRPr="0071774C">
        <w:t>just</w:t>
      </w:r>
      <w:r>
        <w:t xml:space="preserve"> </w:t>
      </w:r>
      <w:r w:rsidRPr="0071774C">
        <w:t>one</w:t>
      </w:r>
      <w:r>
        <w:t xml:space="preserve"> </w:t>
      </w:r>
      <w:r w:rsidRPr="0071774C">
        <w:t>setting.</w:t>
      </w:r>
    </w:p>
    <w:p w14:paraId="40C97F5C" w14:textId="7CFB9D1B" w:rsidR="002C2EC7" w:rsidRDefault="002C2EC7" w:rsidP="00745297">
      <w:pPr>
        <w:pStyle w:val="OWTablecaption"/>
      </w:pPr>
      <w:r w:rsidRPr="0071774C">
        <w:t>Table</w:t>
      </w:r>
      <w:r>
        <w:t xml:space="preserve"> </w:t>
      </w:r>
      <w:r w:rsidRPr="0071774C">
        <w:t>1:</w:t>
      </w:r>
      <w:r>
        <w:t xml:space="preserve"> </w:t>
      </w:r>
      <w:r w:rsidRPr="0071774C">
        <w:t>In</w:t>
      </w:r>
      <w:r>
        <w:t xml:space="preserve"> </w:t>
      </w:r>
      <w:r w:rsidRPr="0071774C">
        <w:t>which</w:t>
      </w:r>
      <w:r>
        <w:t xml:space="preserve"> </w:t>
      </w:r>
      <w:r w:rsidRPr="0071774C">
        <w:t>settings</w:t>
      </w:r>
      <w:r>
        <w:t xml:space="preserve"> </w:t>
      </w:r>
      <w:r w:rsidRPr="0071774C">
        <w:t>and/or</w:t>
      </w:r>
      <w:r>
        <w:t xml:space="preserve"> </w:t>
      </w:r>
      <w:r w:rsidRPr="0071774C">
        <w:t>areas</w:t>
      </w:r>
      <w:r>
        <w:t xml:space="preserve"> </w:t>
      </w:r>
      <w:r w:rsidRPr="0071774C">
        <w:t>is</w:t>
      </w:r>
      <w:r>
        <w:t xml:space="preserve"> </w:t>
      </w:r>
      <w:r w:rsidRPr="0071774C">
        <w:t>the</w:t>
      </w:r>
      <w:r>
        <w:t xml:space="preserve"> </w:t>
      </w:r>
      <w:r w:rsidRPr="0071774C">
        <w:t>work</w:t>
      </w:r>
      <w:r>
        <w:t xml:space="preserve"> </w:t>
      </w:r>
      <w:r w:rsidRPr="0071774C">
        <w:t>of</w:t>
      </w:r>
      <w:r>
        <w:t xml:space="preserve"> </w:t>
      </w:r>
      <w:r w:rsidRPr="0071774C">
        <w:t>your</w:t>
      </w:r>
      <w:r>
        <w:t xml:space="preserve"> </w:t>
      </w:r>
      <w:r w:rsidRPr="0071774C">
        <w:t>organisation</w:t>
      </w:r>
      <w:r>
        <w:t xml:space="preserve"> </w:t>
      </w:r>
      <w:r w:rsidRPr="0071774C">
        <w:t>focused?</w:t>
      </w:r>
      <w:r w:rsidR="00745297">
        <w:br/>
      </w:r>
      <w:r w:rsidRPr="0071774C">
        <w:t>(Select</w:t>
      </w:r>
      <w:r>
        <w:t xml:space="preserve"> </w:t>
      </w:r>
      <w:r w:rsidRPr="0071774C">
        <w:t>all</w:t>
      </w:r>
      <w:r>
        <w:t xml:space="preserve"> </w:t>
      </w:r>
      <w:r w:rsidRPr="0071774C">
        <w:t>that</w:t>
      </w:r>
      <w:r>
        <w:t xml:space="preserve"> </w:t>
      </w:r>
      <w:r w:rsidRPr="0071774C">
        <w:t>apply)</w:t>
      </w:r>
    </w:p>
    <w:tbl>
      <w:tblPr>
        <w:tblStyle w:val="Datatablecharcoal"/>
        <w:tblW w:w="9072" w:type="dxa"/>
        <w:tblLook w:val="06A0" w:firstRow="1" w:lastRow="0" w:firstColumn="1" w:lastColumn="0" w:noHBand="1" w:noVBand="1"/>
      </w:tblPr>
      <w:tblGrid>
        <w:gridCol w:w="5240"/>
        <w:gridCol w:w="1843"/>
        <w:gridCol w:w="1989"/>
      </w:tblGrid>
      <w:tr w:rsidR="002C2EC7" w:rsidRPr="0071774C" w14:paraId="30639B5A" w14:textId="77777777" w:rsidTr="008F3E9A">
        <w:trPr>
          <w:cnfStyle w:val="100000000000" w:firstRow="1" w:lastRow="0" w:firstColumn="0" w:lastColumn="0" w:oddVBand="0" w:evenVBand="0" w:oddHBand="0" w:evenHBand="0" w:firstRowFirstColumn="0" w:firstRowLastColumn="0" w:lastRowFirstColumn="0" w:lastRowLastColumn="0"/>
          <w:tblHeader/>
        </w:trPr>
        <w:tc>
          <w:tcPr>
            <w:tcW w:w="5240" w:type="dxa"/>
            <w:hideMark/>
          </w:tcPr>
          <w:p w14:paraId="0D27B1BC" w14:textId="77777777" w:rsidR="002C2EC7" w:rsidRPr="0071774C" w:rsidRDefault="002C2EC7" w:rsidP="00BA57A0">
            <w:pPr>
              <w:pStyle w:val="OWTablecolumnheadleft"/>
            </w:pPr>
            <w:r w:rsidRPr="0071774C">
              <w:t>Settings</w:t>
            </w:r>
          </w:p>
        </w:tc>
        <w:tc>
          <w:tcPr>
            <w:tcW w:w="1843" w:type="dxa"/>
            <w:hideMark/>
          </w:tcPr>
          <w:p w14:paraId="46DA2D72" w14:textId="77777777" w:rsidR="002C2EC7" w:rsidRPr="0071774C" w:rsidRDefault="002C2EC7" w:rsidP="00BA57A0">
            <w:pPr>
              <w:pStyle w:val="OWTablecolumnheadcentre"/>
            </w:pPr>
            <w:r w:rsidRPr="0071774C">
              <w:t>Total</w:t>
            </w:r>
            <w:r>
              <w:t xml:space="preserve"> </w:t>
            </w:r>
            <w:r w:rsidRPr="0071774C">
              <w:t>number</w:t>
            </w:r>
            <w:r>
              <w:t xml:space="preserve"> </w:t>
            </w:r>
            <w:r w:rsidRPr="0071774C">
              <w:t>of</w:t>
            </w:r>
            <w:r>
              <w:t xml:space="preserve"> </w:t>
            </w:r>
            <w:r w:rsidRPr="0071774C">
              <w:t>respondents</w:t>
            </w:r>
          </w:p>
        </w:tc>
        <w:tc>
          <w:tcPr>
            <w:tcW w:w="1989" w:type="dxa"/>
            <w:hideMark/>
          </w:tcPr>
          <w:p w14:paraId="3B0E5870" w14:textId="77777777" w:rsidR="002C2EC7" w:rsidRPr="0071774C" w:rsidRDefault="002C2EC7" w:rsidP="00BA57A0">
            <w:pPr>
              <w:pStyle w:val="OWTablecolumnheadcentre"/>
            </w:pPr>
            <w:r w:rsidRPr="0071774C">
              <w:t>Number</w:t>
            </w:r>
            <w:r>
              <w:t xml:space="preserve"> </w:t>
            </w:r>
            <w:r w:rsidRPr="0071774C">
              <w:t>working</w:t>
            </w:r>
            <w:r>
              <w:t xml:space="preserve"> </w:t>
            </w:r>
            <w:r w:rsidRPr="0071774C">
              <w:t>this</w:t>
            </w:r>
            <w:r>
              <w:t xml:space="preserve"> </w:t>
            </w:r>
            <w:r w:rsidRPr="0071774C">
              <w:t>setting</w:t>
            </w:r>
            <w:r>
              <w:t xml:space="preserve"> </w:t>
            </w:r>
            <w:r w:rsidRPr="0071774C">
              <w:t>only</w:t>
            </w:r>
          </w:p>
        </w:tc>
      </w:tr>
      <w:tr w:rsidR="002C2EC7" w:rsidRPr="0071774C" w14:paraId="3A1B08F9" w14:textId="77777777" w:rsidTr="00FB7F22">
        <w:tc>
          <w:tcPr>
            <w:tcW w:w="5240" w:type="dxa"/>
            <w:hideMark/>
          </w:tcPr>
          <w:p w14:paraId="784B9D4A" w14:textId="77777777" w:rsidR="002C2EC7" w:rsidRPr="00525643" w:rsidRDefault="002C2EC7" w:rsidP="00BA57A0">
            <w:pPr>
              <w:pStyle w:val="OWTablebodyleft"/>
              <w:spacing w:before="60" w:after="80"/>
            </w:pPr>
            <w:r w:rsidRPr="00525643">
              <w:t>Health, family and community services</w:t>
            </w:r>
          </w:p>
        </w:tc>
        <w:tc>
          <w:tcPr>
            <w:tcW w:w="1843" w:type="dxa"/>
            <w:hideMark/>
          </w:tcPr>
          <w:p w14:paraId="07DE18AC" w14:textId="77777777" w:rsidR="002C2EC7" w:rsidRPr="0071774C" w:rsidRDefault="002C2EC7" w:rsidP="00BA57A0">
            <w:pPr>
              <w:pStyle w:val="OWTablebodycentre"/>
              <w:spacing w:before="60" w:after="80"/>
            </w:pPr>
            <w:r w:rsidRPr="0071774C">
              <w:t>152</w:t>
            </w:r>
          </w:p>
        </w:tc>
        <w:tc>
          <w:tcPr>
            <w:tcW w:w="1989" w:type="dxa"/>
            <w:hideMark/>
          </w:tcPr>
          <w:p w14:paraId="6E652A77" w14:textId="77777777" w:rsidR="002C2EC7" w:rsidRPr="0071774C" w:rsidRDefault="002C2EC7" w:rsidP="00BA57A0">
            <w:pPr>
              <w:pStyle w:val="OWTablebodycentre"/>
              <w:spacing w:before="60" w:after="80"/>
            </w:pPr>
            <w:r w:rsidRPr="0071774C">
              <w:t>44</w:t>
            </w:r>
          </w:p>
        </w:tc>
      </w:tr>
      <w:tr w:rsidR="002C2EC7" w:rsidRPr="0071774C" w14:paraId="0B965B96" w14:textId="77777777" w:rsidTr="00FB7F22">
        <w:tc>
          <w:tcPr>
            <w:tcW w:w="5240" w:type="dxa"/>
            <w:hideMark/>
          </w:tcPr>
          <w:p w14:paraId="3A34081B" w14:textId="77777777" w:rsidR="002C2EC7" w:rsidRPr="00525643" w:rsidRDefault="002C2EC7" w:rsidP="00BA57A0">
            <w:pPr>
              <w:pStyle w:val="OWTablebodyleft"/>
              <w:spacing w:before="60" w:after="80"/>
            </w:pPr>
            <w:r w:rsidRPr="00525643">
              <w:t>Government</w:t>
            </w:r>
          </w:p>
        </w:tc>
        <w:tc>
          <w:tcPr>
            <w:tcW w:w="1843" w:type="dxa"/>
            <w:hideMark/>
          </w:tcPr>
          <w:p w14:paraId="7927D0DE" w14:textId="77777777" w:rsidR="002C2EC7" w:rsidRPr="0071774C" w:rsidRDefault="002C2EC7" w:rsidP="00BA57A0">
            <w:pPr>
              <w:pStyle w:val="OWTablebodycentre"/>
              <w:spacing w:before="60" w:after="80"/>
            </w:pPr>
            <w:r w:rsidRPr="0071774C">
              <w:t>95</w:t>
            </w:r>
          </w:p>
        </w:tc>
        <w:tc>
          <w:tcPr>
            <w:tcW w:w="1989" w:type="dxa"/>
            <w:hideMark/>
          </w:tcPr>
          <w:p w14:paraId="0784C56B" w14:textId="77777777" w:rsidR="002C2EC7" w:rsidRPr="0071774C" w:rsidRDefault="002C2EC7" w:rsidP="00BA57A0">
            <w:pPr>
              <w:pStyle w:val="OWTablebodycentre"/>
              <w:spacing w:before="60" w:after="80"/>
            </w:pPr>
            <w:r w:rsidRPr="0071774C">
              <w:t>22</w:t>
            </w:r>
          </w:p>
        </w:tc>
      </w:tr>
      <w:tr w:rsidR="002C2EC7" w:rsidRPr="0071774C" w14:paraId="2A281B78" w14:textId="77777777" w:rsidTr="00FB7F22">
        <w:tc>
          <w:tcPr>
            <w:tcW w:w="5240" w:type="dxa"/>
            <w:hideMark/>
          </w:tcPr>
          <w:p w14:paraId="2244486F" w14:textId="77777777" w:rsidR="002C2EC7" w:rsidRPr="00525643" w:rsidRDefault="002C2EC7" w:rsidP="00BA57A0">
            <w:pPr>
              <w:pStyle w:val="OWTablebodyleft"/>
              <w:spacing w:before="60" w:after="80"/>
            </w:pPr>
            <w:r w:rsidRPr="00525643">
              <w:t>Workplaces, corporations, employee or employer associations</w:t>
            </w:r>
          </w:p>
        </w:tc>
        <w:tc>
          <w:tcPr>
            <w:tcW w:w="1843" w:type="dxa"/>
            <w:hideMark/>
          </w:tcPr>
          <w:p w14:paraId="309B93FB" w14:textId="77777777" w:rsidR="002C2EC7" w:rsidRPr="0071774C" w:rsidRDefault="002C2EC7" w:rsidP="00BA57A0">
            <w:pPr>
              <w:pStyle w:val="OWTablebodycentre"/>
              <w:spacing w:before="60" w:after="80"/>
            </w:pPr>
            <w:r w:rsidRPr="0071774C">
              <w:t>67</w:t>
            </w:r>
          </w:p>
        </w:tc>
        <w:tc>
          <w:tcPr>
            <w:tcW w:w="1989" w:type="dxa"/>
            <w:hideMark/>
          </w:tcPr>
          <w:p w14:paraId="5B88CCDD" w14:textId="77777777" w:rsidR="002C2EC7" w:rsidRPr="0071774C" w:rsidRDefault="002C2EC7" w:rsidP="00BA57A0">
            <w:pPr>
              <w:pStyle w:val="OWTablebodycentre"/>
              <w:spacing w:before="60" w:after="80"/>
            </w:pPr>
            <w:r w:rsidRPr="0071774C">
              <w:t>2</w:t>
            </w:r>
          </w:p>
        </w:tc>
      </w:tr>
      <w:tr w:rsidR="002C2EC7" w:rsidRPr="0071774C" w14:paraId="48B80EFC" w14:textId="77777777" w:rsidTr="00FB7F22">
        <w:tc>
          <w:tcPr>
            <w:tcW w:w="5240" w:type="dxa"/>
            <w:hideMark/>
          </w:tcPr>
          <w:p w14:paraId="5FB2949F" w14:textId="77777777" w:rsidR="002C2EC7" w:rsidRPr="00525643" w:rsidRDefault="002C2EC7" w:rsidP="00BA57A0">
            <w:pPr>
              <w:pStyle w:val="OWTablebodyleft"/>
              <w:spacing w:before="60" w:after="80"/>
            </w:pPr>
            <w:r w:rsidRPr="00525643">
              <w:t>Education and care settings for children and young people</w:t>
            </w:r>
          </w:p>
        </w:tc>
        <w:tc>
          <w:tcPr>
            <w:tcW w:w="1843" w:type="dxa"/>
            <w:hideMark/>
          </w:tcPr>
          <w:p w14:paraId="60FC8348" w14:textId="77777777" w:rsidR="002C2EC7" w:rsidRPr="0071774C" w:rsidRDefault="002C2EC7" w:rsidP="00BA57A0">
            <w:pPr>
              <w:pStyle w:val="OWTablebodycentre"/>
              <w:spacing w:before="60" w:after="80"/>
            </w:pPr>
            <w:r w:rsidRPr="0071774C">
              <w:t>57</w:t>
            </w:r>
          </w:p>
        </w:tc>
        <w:tc>
          <w:tcPr>
            <w:tcW w:w="1989" w:type="dxa"/>
            <w:hideMark/>
          </w:tcPr>
          <w:p w14:paraId="52455418" w14:textId="77777777" w:rsidR="002C2EC7" w:rsidRPr="0071774C" w:rsidRDefault="002C2EC7" w:rsidP="00BA57A0">
            <w:pPr>
              <w:pStyle w:val="OWTablebodycentre"/>
              <w:spacing w:before="60" w:after="80"/>
            </w:pPr>
            <w:r w:rsidRPr="0071774C">
              <w:t>3</w:t>
            </w:r>
          </w:p>
        </w:tc>
      </w:tr>
      <w:tr w:rsidR="002C2EC7" w:rsidRPr="0071774C" w14:paraId="74EA64E2" w14:textId="77777777" w:rsidTr="00FB7F22">
        <w:tc>
          <w:tcPr>
            <w:tcW w:w="5240" w:type="dxa"/>
            <w:hideMark/>
          </w:tcPr>
          <w:p w14:paraId="5823B376" w14:textId="77777777" w:rsidR="002C2EC7" w:rsidRPr="00525643" w:rsidRDefault="002C2EC7" w:rsidP="00BA57A0">
            <w:pPr>
              <w:pStyle w:val="OWTablebodyleft"/>
              <w:spacing w:before="60" w:after="80"/>
            </w:pPr>
            <w:r w:rsidRPr="00525643">
              <w:t>Working with Aboriginal and Torres Strait Islander families and communities</w:t>
            </w:r>
          </w:p>
        </w:tc>
        <w:tc>
          <w:tcPr>
            <w:tcW w:w="1843" w:type="dxa"/>
            <w:hideMark/>
          </w:tcPr>
          <w:p w14:paraId="6CA88E81" w14:textId="77777777" w:rsidR="002C2EC7" w:rsidRPr="0071774C" w:rsidRDefault="002C2EC7" w:rsidP="00BA57A0">
            <w:pPr>
              <w:pStyle w:val="OWTablebodycentre"/>
              <w:spacing w:before="60" w:after="80"/>
            </w:pPr>
            <w:r w:rsidRPr="0071774C">
              <w:t>46</w:t>
            </w:r>
          </w:p>
        </w:tc>
        <w:tc>
          <w:tcPr>
            <w:tcW w:w="1989" w:type="dxa"/>
            <w:hideMark/>
          </w:tcPr>
          <w:p w14:paraId="196FE67F" w14:textId="77777777" w:rsidR="002C2EC7" w:rsidRPr="0071774C" w:rsidRDefault="002C2EC7" w:rsidP="00BA57A0">
            <w:pPr>
              <w:pStyle w:val="OWTablebodycentre"/>
              <w:spacing w:before="60" w:after="80"/>
            </w:pPr>
            <w:r>
              <w:t>–</w:t>
            </w:r>
          </w:p>
        </w:tc>
      </w:tr>
      <w:tr w:rsidR="002C2EC7" w:rsidRPr="0071774C" w14:paraId="5A97A0F8" w14:textId="77777777" w:rsidTr="00FB7F22">
        <w:tc>
          <w:tcPr>
            <w:tcW w:w="5240" w:type="dxa"/>
            <w:hideMark/>
          </w:tcPr>
          <w:p w14:paraId="5F2D2EA1" w14:textId="77777777" w:rsidR="002C2EC7" w:rsidRPr="00525643" w:rsidRDefault="002C2EC7" w:rsidP="00BA57A0">
            <w:pPr>
              <w:pStyle w:val="OWTablebodyleft"/>
              <w:spacing w:before="60" w:after="80"/>
            </w:pPr>
            <w:r w:rsidRPr="00525643">
              <w:t>Universities, registered training organisations and other tertiary education institutions</w:t>
            </w:r>
          </w:p>
        </w:tc>
        <w:tc>
          <w:tcPr>
            <w:tcW w:w="1843" w:type="dxa"/>
            <w:hideMark/>
          </w:tcPr>
          <w:p w14:paraId="6362D27E" w14:textId="77777777" w:rsidR="002C2EC7" w:rsidRPr="0071774C" w:rsidRDefault="002C2EC7" w:rsidP="00BA57A0">
            <w:pPr>
              <w:pStyle w:val="OWTablebodycentre"/>
              <w:spacing w:before="60" w:after="80"/>
            </w:pPr>
            <w:r w:rsidRPr="0071774C">
              <w:t>41</w:t>
            </w:r>
          </w:p>
        </w:tc>
        <w:tc>
          <w:tcPr>
            <w:tcW w:w="1989" w:type="dxa"/>
            <w:hideMark/>
          </w:tcPr>
          <w:p w14:paraId="61321D37" w14:textId="77777777" w:rsidR="002C2EC7" w:rsidRPr="0071774C" w:rsidRDefault="002C2EC7" w:rsidP="00BA57A0">
            <w:pPr>
              <w:pStyle w:val="OWTablebodycentre"/>
              <w:spacing w:before="60" w:after="80"/>
            </w:pPr>
            <w:r w:rsidRPr="0071774C">
              <w:t>3</w:t>
            </w:r>
          </w:p>
        </w:tc>
      </w:tr>
      <w:tr w:rsidR="002C2EC7" w:rsidRPr="0071774C" w14:paraId="5854C6E1" w14:textId="77777777" w:rsidTr="00FB7F22">
        <w:tc>
          <w:tcPr>
            <w:tcW w:w="5240" w:type="dxa"/>
            <w:hideMark/>
          </w:tcPr>
          <w:p w14:paraId="060729B5" w14:textId="77777777" w:rsidR="002C2EC7" w:rsidRPr="00525643" w:rsidRDefault="002C2EC7" w:rsidP="00BA57A0">
            <w:pPr>
              <w:pStyle w:val="OWTablebodyleft"/>
              <w:spacing w:before="60" w:after="80"/>
            </w:pPr>
            <w:r w:rsidRPr="00525643">
              <w:t>Legal, justice and corrections contexts</w:t>
            </w:r>
          </w:p>
        </w:tc>
        <w:tc>
          <w:tcPr>
            <w:tcW w:w="1843" w:type="dxa"/>
            <w:hideMark/>
          </w:tcPr>
          <w:p w14:paraId="5BD7AF89" w14:textId="77777777" w:rsidR="002C2EC7" w:rsidRPr="0071774C" w:rsidRDefault="002C2EC7" w:rsidP="00BA57A0">
            <w:pPr>
              <w:pStyle w:val="OWTablebodycentre"/>
              <w:spacing w:before="60" w:after="80"/>
            </w:pPr>
            <w:r w:rsidRPr="0071774C">
              <w:t>41</w:t>
            </w:r>
          </w:p>
        </w:tc>
        <w:tc>
          <w:tcPr>
            <w:tcW w:w="1989" w:type="dxa"/>
            <w:hideMark/>
          </w:tcPr>
          <w:p w14:paraId="7C76101B" w14:textId="77777777" w:rsidR="002C2EC7" w:rsidRPr="0071774C" w:rsidRDefault="002C2EC7" w:rsidP="00BA57A0">
            <w:pPr>
              <w:pStyle w:val="OWTablebodycentre"/>
              <w:spacing w:before="60" w:after="80"/>
            </w:pPr>
            <w:r w:rsidRPr="0071774C">
              <w:t>4</w:t>
            </w:r>
          </w:p>
        </w:tc>
      </w:tr>
      <w:tr w:rsidR="002C2EC7" w:rsidRPr="0071774C" w14:paraId="6220344B" w14:textId="77777777" w:rsidTr="00FB7F22">
        <w:tc>
          <w:tcPr>
            <w:tcW w:w="5240" w:type="dxa"/>
            <w:hideMark/>
          </w:tcPr>
          <w:p w14:paraId="475E954E" w14:textId="77777777" w:rsidR="002C2EC7" w:rsidRPr="00525643" w:rsidRDefault="002C2EC7" w:rsidP="00BA57A0">
            <w:pPr>
              <w:pStyle w:val="OWTablebodyleft"/>
              <w:spacing w:before="60" w:after="80"/>
            </w:pPr>
            <w:r w:rsidRPr="00525643">
              <w:t>Sports, recreation, social and leisure spaces</w:t>
            </w:r>
          </w:p>
        </w:tc>
        <w:tc>
          <w:tcPr>
            <w:tcW w:w="1843" w:type="dxa"/>
            <w:hideMark/>
          </w:tcPr>
          <w:p w14:paraId="1292BCF0" w14:textId="77777777" w:rsidR="002C2EC7" w:rsidRPr="0071774C" w:rsidRDefault="002C2EC7" w:rsidP="00BA57A0">
            <w:pPr>
              <w:pStyle w:val="OWTablebodycentre"/>
              <w:spacing w:before="60" w:after="80"/>
            </w:pPr>
            <w:r w:rsidRPr="0071774C">
              <w:t>40</w:t>
            </w:r>
          </w:p>
        </w:tc>
        <w:tc>
          <w:tcPr>
            <w:tcW w:w="1989" w:type="dxa"/>
            <w:hideMark/>
          </w:tcPr>
          <w:p w14:paraId="2266F05F" w14:textId="77777777" w:rsidR="002C2EC7" w:rsidRPr="0071774C" w:rsidRDefault="002C2EC7" w:rsidP="00BA57A0">
            <w:pPr>
              <w:pStyle w:val="OWTablebodycentre"/>
              <w:spacing w:before="60" w:after="80"/>
            </w:pPr>
            <w:r w:rsidRPr="0071774C">
              <w:t>1</w:t>
            </w:r>
          </w:p>
        </w:tc>
      </w:tr>
      <w:tr w:rsidR="002C2EC7" w:rsidRPr="0071774C" w14:paraId="63D1343F" w14:textId="77777777" w:rsidTr="00FB7F22">
        <w:tc>
          <w:tcPr>
            <w:tcW w:w="5240" w:type="dxa"/>
            <w:hideMark/>
          </w:tcPr>
          <w:p w14:paraId="0882FB8A" w14:textId="77777777" w:rsidR="002C2EC7" w:rsidRPr="00525643" w:rsidRDefault="002C2EC7" w:rsidP="00BA57A0">
            <w:pPr>
              <w:pStyle w:val="OWTablebodyleft"/>
              <w:spacing w:before="60" w:after="80"/>
            </w:pPr>
            <w:r w:rsidRPr="00525643">
              <w:t>Other</w:t>
            </w:r>
          </w:p>
        </w:tc>
        <w:tc>
          <w:tcPr>
            <w:tcW w:w="1843" w:type="dxa"/>
            <w:hideMark/>
          </w:tcPr>
          <w:p w14:paraId="23F88BE4" w14:textId="77777777" w:rsidR="002C2EC7" w:rsidRPr="0071774C" w:rsidRDefault="002C2EC7" w:rsidP="00BA57A0">
            <w:pPr>
              <w:pStyle w:val="OWTablebodycentre"/>
              <w:spacing w:before="60" w:after="80"/>
            </w:pPr>
            <w:r w:rsidRPr="0071774C">
              <w:t>39</w:t>
            </w:r>
          </w:p>
        </w:tc>
        <w:tc>
          <w:tcPr>
            <w:tcW w:w="1989" w:type="dxa"/>
            <w:hideMark/>
          </w:tcPr>
          <w:p w14:paraId="111B6A7F" w14:textId="77777777" w:rsidR="002C2EC7" w:rsidRPr="0071774C" w:rsidRDefault="002C2EC7" w:rsidP="00BA57A0">
            <w:pPr>
              <w:pStyle w:val="OWTablebodycentre"/>
              <w:spacing w:before="60" w:after="80"/>
            </w:pPr>
            <w:r w:rsidRPr="0071774C">
              <w:t>10</w:t>
            </w:r>
          </w:p>
        </w:tc>
      </w:tr>
      <w:tr w:rsidR="002C2EC7" w:rsidRPr="0071774C" w14:paraId="4B889DC0" w14:textId="77777777" w:rsidTr="00FB7F22">
        <w:tc>
          <w:tcPr>
            <w:tcW w:w="5240" w:type="dxa"/>
            <w:hideMark/>
          </w:tcPr>
          <w:p w14:paraId="6BCE31DF" w14:textId="77777777" w:rsidR="002C2EC7" w:rsidRPr="00525643" w:rsidRDefault="002C2EC7" w:rsidP="00BA57A0">
            <w:pPr>
              <w:pStyle w:val="OWTablebodyleft"/>
              <w:spacing w:before="60" w:after="80"/>
            </w:pPr>
            <w:r w:rsidRPr="00525643">
              <w:t>Faith-based contexts</w:t>
            </w:r>
          </w:p>
        </w:tc>
        <w:tc>
          <w:tcPr>
            <w:tcW w:w="1843" w:type="dxa"/>
            <w:hideMark/>
          </w:tcPr>
          <w:p w14:paraId="605C21CF" w14:textId="77777777" w:rsidR="002C2EC7" w:rsidRPr="0071774C" w:rsidRDefault="002C2EC7" w:rsidP="00BA57A0">
            <w:pPr>
              <w:pStyle w:val="OWTablebodycentre"/>
              <w:spacing w:before="60" w:after="80"/>
            </w:pPr>
            <w:r w:rsidRPr="0071774C">
              <w:t>25</w:t>
            </w:r>
          </w:p>
        </w:tc>
        <w:tc>
          <w:tcPr>
            <w:tcW w:w="1989" w:type="dxa"/>
            <w:hideMark/>
          </w:tcPr>
          <w:p w14:paraId="4989EE52" w14:textId="77777777" w:rsidR="002C2EC7" w:rsidRPr="0071774C" w:rsidRDefault="002C2EC7" w:rsidP="00BA57A0">
            <w:pPr>
              <w:pStyle w:val="OWTablebodycentre"/>
              <w:spacing w:before="60" w:after="80"/>
            </w:pPr>
            <w:r>
              <w:t>–</w:t>
            </w:r>
          </w:p>
        </w:tc>
      </w:tr>
      <w:tr w:rsidR="002C2EC7" w:rsidRPr="0071774C" w14:paraId="49D7C782" w14:textId="77777777" w:rsidTr="00FB7F22">
        <w:tc>
          <w:tcPr>
            <w:tcW w:w="5240" w:type="dxa"/>
            <w:hideMark/>
          </w:tcPr>
          <w:p w14:paraId="5318A00C" w14:textId="77777777" w:rsidR="002C2EC7" w:rsidRPr="00525643" w:rsidRDefault="002C2EC7" w:rsidP="00BA57A0">
            <w:pPr>
              <w:pStyle w:val="OWTablebodyleft"/>
              <w:spacing w:before="60" w:after="80"/>
            </w:pPr>
            <w:r w:rsidRPr="00525643">
              <w:t>Aboriginal Community Controlled Organisation</w:t>
            </w:r>
          </w:p>
        </w:tc>
        <w:tc>
          <w:tcPr>
            <w:tcW w:w="1843" w:type="dxa"/>
            <w:hideMark/>
          </w:tcPr>
          <w:p w14:paraId="72C0C945" w14:textId="77777777" w:rsidR="002C2EC7" w:rsidRPr="0071774C" w:rsidRDefault="002C2EC7" w:rsidP="00BA57A0">
            <w:pPr>
              <w:pStyle w:val="OWTablebodycentre"/>
              <w:spacing w:before="60" w:after="80"/>
            </w:pPr>
            <w:r w:rsidRPr="0071774C">
              <w:t>24</w:t>
            </w:r>
          </w:p>
        </w:tc>
        <w:tc>
          <w:tcPr>
            <w:tcW w:w="1989" w:type="dxa"/>
            <w:hideMark/>
          </w:tcPr>
          <w:p w14:paraId="68F63EE5" w14:textId="77777777" w:rsidR="002C2EC7" w:rsidRPr="0071774C" w:rsidRDefault="002C2EC7" w:rsidP="00BA57A0">
            <w:pPr>
              <w:pStyle w:val="OWTablebodycentre"/>
              <w:spacing w:before="60" w:after="80"/>
            </w:pPr>
            <w:r w:rsidRPr="0071774C">
              <w:t>3</w:t>
            </w:r>
          </w:p>
        </w:tc>
      </w:tr>
      <w:tr w:rsidR="002C2EC7" w:rsidRPr="0071774C" w14:paraId="5B2550CC" w14:textId="77777777" w:rsidTr="00FB7F22">
        <w:tc>
          <w:tcPr>
            <w:tcW w:w="5240" w:type="dxa"/>
            <w:hideMark/>
          </w:tcPr>
          <w:p w14:paraId="760DAAC7" w14:textId="77777777" w:rsidR="002C2EC7" w:rsidRPr="00525643" w:rsidRDefault="002C2EC7" w:rsidP="00BA57A0">
            <w:pPr>
              <w:pStyle w:val="OWTablebodyleft"/>
              <w:spacing w:before="60" w:after="80"/>
            </w:pPr>
            <w:r w:rsidRPr="00525643">
              <w:t>Public spaces, transport, infrastructure and facilities</w:t>
            </w:r>
          </w:p>
        </w:tc>
        <w:tc>
          <w:tcPr>
            <w:tcW w:w="1843" w:type="dxa"/>
            <w:hideMark/>
          </w:tcPr>
          <w:p w14:paraId="055D8B5C" w14:textId="77777777" w:rsidR="002C2EC7" w:rsidRPr="0071774C" w:rsidRDefault="002C2EC7" w:rsidP="00BA57A0">
            <w:pPr>
              <w:pStyle w:val="OWTablebodycentre"/>
              <w:spacing w:before="60" w:after="80"/>
            </w:pPr>
            <w:r w:rsidRPr="0071774C">
              <w:t>24</w:t>
            </w:r>
          </w:p>
        </w:tc>
        <w:tc>
          <w:tcPr>
            <w:tcW w:w="1989" w:type="dxa"/>
            <w:hideMark/>
          </w:tcPr>
          <w:p w14:paraId="70B7EDA9" w14:textId="77777777" w:rsidR="002C2EC7" w:rsidRPr="0071774C" w:rsidRDefault="002C2EC7" w:rsidP="00BA57A0">
            <w:pPr>
              <w:pStyle w:val="OWTablebodycentre"/>
              <w:spacing w:before="60" w:after="80"/>
            </w:pPr>
            <w:r w:rsidRPr="0071774C">
              <w:t>1</w:t>
            </w:r>
          </w:p>
        </w:tc>
      </w:tr>
      <w:tr w:rsidR="002C2EC7" w:rsidRPr="0071774C" w14:paraId="351B68B6" w14:textId="77777777" w:rsidTr="00FB7F22">
        <w:tc>
          <w:tcPr>
            <w:tcW w:w="5240" w:type="dxa"/>
            <w:hideMark/>
          </w:tcPr>
          <w:p w14:paraId="41998B3C" w14:textId="77777777" w:rsidR="002C2EC7" w:rsidRPr="00525643" w:rsidRDefault="002C2EC7" w:rsidP="00BA57A0">
            <w:pPr>
              <w:pStyle w:val="OWTablebodyleft"/>
              <w:spacing w:before="60" w:after="80"/>
            </w:pPr>
            <w:r w:rsidRPr="00525643">
              <w:t>Media</w:t>
            </w:r>
          </w:p>
        </w:tc>
        <w:tc>
          <w:tcPr>
            <w:tcW w:w="1843" w:type="dxa"/>
            <w:hideMark/>
          </w:tcPr>
          <w:p w14:paraId="3A7F5091" w14:textId="77777777" w:rsidR="002C2EC7" w:rsidRPr="0071774C" w:rsidRDefault="002C2EC7" w:rsidP="00BA57A0">
            <w:pPr>
              <w:pStyle w:val="OWTablebodycentre"/>
              <w:spacing w:before="60" w:after="80"/>
            </w:pPr>
            <w:r w:rsidRPr="0071774C">
              <w:t>19</w:t>
            </w:r>
          </w:p>
        </w:tc>
        <w:tc>
          <w:tcPr>
            <w:tcW w:w="1989" w:type="dxa"/>
            <w:hideMark/>
          </w:tcPr>
          <w:p w14:paraId="4142A75D" w14:textId="77777777" w:rsidR="002C2EC7" w:rsidRPr="0071774C" w:rsidRDefault="002C2EC7" w:rsidP="00BA57A0">
            <w:pPr>
              <w:pStyle w:val="OWTablebodycentre"/>
              <w:spacing w:before="60" w:after="80"/>
            </w:pPr>
            <w:r w:rsidRPr="0071774C">
              <w:t>1</w:t>
            </w:r>
          </w:p>
        </w:tc>
      </w:tr>
      <w:tr w:rsidR="002C2EC7" w:rsidRPr="0071774C" w14:paraId="4DCAE178" w14:textId="77777777" w:rsidTr="00FB7F22">
        <w:tc>
          <w:tcPr>
            <w:tcW w:w="5240" w:type="dxa"/>
            <w:hideMark/>
          </w:tcPr>
          <w:p w14:paraId="778CE45B" w14:textId="77777777" w:rsidR="002C2EC7" w:rsidRPr="00525643" w:rsidRDefault="002C2EC7" w:rsidP="00BA57A0">
            <w:pPr>
              <w:pStyle w:val="OWTablebodyleft"/>
              <w:spacing w:before="60" w:after="80"/>
            </w:pPr>
            <w:r w:rsidRPr="00525643">
              <w:t>Popular culture, advertising and entertainment</w:t>
            </w:r>
          </w:p>
        </w:tc>
        <w:tc>
          <w:tcPr>
            <w:tcW w:w="1843" w:type="dxa"/>
            <w:hideMark/>
          </w:tcPr>
          <w:p w14:paraId="732179E1" w14:textId="77777777" w:rsidR="002C2EC7" w:rsidRPr="0071774C" w:rsidRDefault="002C2EC7" w:rsidP="00BA57A0">
            <w:pPr>
              <w:pStyle w:val="OWTablebodycentre"/>
              <w:spacing w:before="60" w:after="80"/>
            </w:pPr>
            <w:r w:rsidRPr="0071774C">
              <w:t>12</w:t>
            </w:r>
          </w:p>
        </w:tc>
        <w:tc>
          <w:tcPr>
            <w:tcW w:w="1989" w:type="dxa"/>
            <w:hideMark/>
          </w:tcPr>
          <w:p w14:paraId="664DB2A2" w14:textId="77777777" w:rsidR="002C2EC7" w:rsidRPr="0071774C" w:rsidRDefault="002C2EC7" w:rsidP="00BA57A0">
            <w:pPr>
              <w:pStyle w:val="OWTablebodycentre"/>
              <w:spacing w:before="60" w:after="80"/>
            </w:pPr>
            <w:r>
              <w:t>–</w:t>
            </w:r>
          </w:p>
        </w:tc>
      </w:tr>
      <w:tr w:rsidR="002C2EC7" w:rsidRPr="0071774C" w14:paraId="6013A03F" w14:textId="77777777" w:rsidTr="00FB7F22">
        <w:tc>
          <w:tcPr>
            <w:tcW w:w="5240" w:type="dxa"/>
            <w:hideMark/>
          </w:tcPr>
          <w:p w14:paraId="7B3892A7" w14:textId="77777777" w:rsidR="002C2EC7" w:rsidRPr="00525643" w:rsidRDefault="002C2EC7" w:rsidP="00BA57A0">
            <w:pPr>
              <w:pStyle w:val="OWTablebodyleft"/>
              <w:spacing w:before="60" w:after="80"/>
            </w:pPr>
            <w:r w:rsidRPr="00525643">
              <w:t>Arts</w:t>
            </w:r>
          </w:p>
        </w:tc>
        <w:tc>
          <w:tcPr>
            <w:tcW w:w="1843" w:type="dxa"/>
            <w:hideMark/>
          </w:tcPr>
          <w:p w14:paraId="445F1D9C" w14:textId="77777777" w:rsidR="002C2EC7" w:rsidRPr="0071774C" w:rsidRDefault="002C2EC7" w:rsidP="00BA57A0">
            <w:pPr>
              <w:pStyle w:val="OWTablebodycentre"/>
              <w:spacing w:before="60" w:after="80"/>
            </w:pPr>
            <w:r w:rsidRPr="0071774C">
              <w:t>10</w:t>
            </w:r>
          </w:p>
        </w:tc>
        <w:tc>
          <w:tcPr>
            <w:tcW w:w="1989" w:type="dxa"/>
            <w:hideMark/>
          </w:tcPr>
          <w:p w14:paraId="0FFFB6C7" w14:textId="77777777" w:rsidR="002C2EC7" w:rsidRPr="0071774C" w:rsidRDefault="002C2EC7" w:rsidP="00BA57A0">
            <w:pPr>
              <w:pStyle w:val="OWTablebodycentre"/>
              <w:spacing w:before="60" w:after="80"/>
            </w:pPr>
            <w:r>
              <w:t>–</w:t>
            </w:r>
          </w:p>
        </w:tc>
      </w:tr>
    </w:tbl>
    <w:p w14:paraId="6BF77450" w14:textId="77777777" w:rsidR="002C2EC7" w:rsidRDefault="002C2EC7" w:rsidP="00BA57A0">
      <w:pPr>
        <w:pStyle w:val="OWTablefootnote"/>
      </w:pPr>
      <w:r w:rsidRPr="00C71608">
        <w:t>Source:</w:t>
      </w:r>
      <w:r>
        <w:t xml:space="preserve"> Progress in Prevention Research Survey</w:t>
      </w:r>
    </w:p>
    <w:p w14:paraId="0F3622B1" w14:textId="77777777" w:rsidR="002C2EC7" w:rsidRDefault="002C2EC7" w:rsidP="00790783">
      <w:pPr>
        <w:pStyle w:val="Heading5"/>
      </w:pPr>
      <w:bookmarkStart w:id="45" w:name="_Toc41559724"/>
      <w:r w:rsidRPr="0071774C">
        <w:lastRenderedPageBreak/>
        <w:t>Primary</w:t>
      </w:r>
      <w:r>
        <w:t xml:space="preserve"> </w:t>
      </w:r>
      <w:r w:rsidRPr="0071774C">
        <w:t>prevention</w:t>
      </w:r>
      <w:r>
        <w:t xml:space="preserve"> </w:t>
      </w:r>
      <w:r w:rsidRPr="0071774C">
        <w:t>roles</w:t>
      </w:r>
      <w:bookmarkEnd w:id="45"/>
    </w:p>
    <w:p w14:paraId="2ADD9D12" w14:textId="77777777" w:rsidR="002C2EC7" w:rsidRDefault="002C2EC7" w:rsidP="00790783">
      <w:pPr>
        <w:pStyle w:val="BodyText"/>
      </w:pPr>
      <w:r w:rsidRPr="00D00F71">
        <w:t>The emerging prevention workforce is multiskilled, working across the infrastructure domains for a wide variety of organisations. Typically, respondents indicated that they undertake a range of activities in relation to primary prevention of violence against women (see Table 2, below). A great many respondents are involved in partnerships with other organisations, building the knowledge of others in relation to what primary prevention is, and undertaking gender analysis/applying a gender lens to their work. A significant proportion develop and deliver informal traini</w:t>
      </w:r>
      <w:r w:rsidRPr="0071774C">
        <w:t>ng</w:t>
      </w:r>
      <w:r>
        <w:t xml:space="preserve"> </w:t>
      </w:r>
      <w:r w:rsidRPr="0071774C">
        <w:t>or</w:t>
      </w:r>
      <w:r>
        <w:t xml:space="preserve"> </w:t>
      </w:r>
      <w:r w:rsidRPr="0071774C">
        <w:t>professional</w:t>
      </w:r>
      <w:r>
        <w:t xml:space="preserve"> </w:t>
      </w:r>
      <w:r w:rsidRPr="0071774C">
        <w:t>development</w:t>
      </w:r>
      <w:r>
        <w:t xml:space="preserve"> </w:t>
      </w:r>
      <w:r w:rsidRPr="0071774C">
        <w:t>and</w:t>
      </w:r>
      <w:r>
        <w:t xml:space="preserve"> </w:t>
      </w:r>
      <w:r w:rsidRPr="0071774C">
        <w:t>build</w:t>
      </w:r>
      <w:r>
        <w:t xml:space="preserve"> </w:t>
      </w:r>
      <w:r w:rsidRPr="0071774C">
        <w:t>organisational</w:t>
      </w:r>
      <w:r>
        <w:t xml:space="preserve"> </w:t>
      </w:r>
      <w:r w:rsidRPr="0071774C">
        <w:t>capacity</w:t>
      </w:r>
      <w:r>
        <w:t xml:space="preserve"> </w:t>
      </w:r>
      <w:r w:rsidRPr="0071774C">
        <w:t>to</w:t>
      </w:r>
      <w:r>
        <w:t xml:space="preserve"> </w:t>
      </w:r>
      <w:r w:rsidRPr="0071774C">
        <w:t>embed</w:t>
      </w:r>
      <w:r>
        <w:t xml:space="preserve"> </w:t>
      </w:r>
      <w:r w:rsidRPr="0071774C">
        <w:t>primary</w:t>
      </w:r>
      <w:r>
        <w:t xml:space="preserve"> </w:t>
      </w:r>
      <w:r w:rsidRPr="0071774C">
        <w:t>prevention</w:t>
      </w:r>
      <w:r>
        <w:t xml:space="preserve"> </w:t>
      </w:r>
      <w:r w:rsidRPr="0071774C">
        <w:t>into</w:t>
      </w:r>
      <w:r>
        <w:t xml:space="preserve"> </w:t>
      </w:r>
      <w:r w:rsidRPr="0071774C">
        <w:t>everyday</w:t>
      </w:r>
      <w:r>
        <w:t xml:space="preserve"> </w:t>
      </w:r>
      <w:r w:rsidRPr="0071774C">
        <w:t>practice.</w:t>
      </w:r>
    </w:p>
    <w:p w14:paraId="12DF7AEE" w14:textId="1EFC7268" w:rsidR="002C2EC7" w:rsidRPr="0071774C" w:rsidRDefault="002C2EC7" w:rsidP="00BA57A0">
      <w:pPr>
        <w:pStyle w:val="OWTablecaption"/>
      </w:pPr>
      <w:r w:rsidRPr="0071774C">
        <w:t>Table</w:t>
      </w:r>
      <w:r>
        <w:t xml:space="preserve"> </w:t>
      </w:r>
      <w:r w:rsidRPr="0071774C">
        <w:t>2:</w:t>
      </w:r>
      <w:r>
        <w:t xml:space="preserve"> </w:t>
      </w:r>
      <w:r w:rsidRPr="0071774C">
        <w:t>In</w:t>
      </w:r>
      <w:r>
        <w:t xml:space="preserve"> </w:t>
      </w:r>
      <w:r w:rsidRPr="0071774C">
        <w:t>your</w:t>
      </w:r>
      <w:r>
        <w:t xml:space="preserve"> </w:t>
      </w:r>
      <w:r w:rsidRPr="0071774C">
        <w:t>role,</w:t>
      </w:r>
      <w:r>
        <w:t xml:space="preserve"> </w:t>
      </w:r>
      <w:r w:rsidRPr="0071774C">
        <w:t>do</w:t>
      </w:r>
      <w:r>
        <w:t xml:space="preserve"> </w:t>
      </w:r>
      <w:r w:rsidRPr="0071774C">
        <w:t>you</w:t>
      </w:r>
      <w:r>
        <w:t xml:space="preserve"> </w:t>
      </w:r>
      <w:r w:rsidRPr="0071774C">
        <w:t>regularly</w:t>
      </w:r>
      <w:r>
        <w:t xml:space="preserve"> </w:t>
      </w:r>
      <w:r w:rsidRPr="0071774C">
        <w:t>undertake</w:t>
      </w:r>
      <w:r>
        <w:t xml:space="preserve"> </w:t>
      </w:r>
      <w:r w:rsidRPr="0071774C">
        <w:t>any</w:t>
      </w:r>
      <w:r>
        <w:t xml:space="preserve"> </w:t>
      </w:r>
      <w:r w:rsidRPr="0071774C">
        <w:t>of</w:t>
      </w:r>
      <w:r>
        <w:t xml:space="preserve"> </w:t>
      </w:r>
      <w:r w:rsidRPr="0071774C">
        <w:t>these</w:t>
      </w:r>
      <w:r>
        <w:t xml:space="preserve"> </w:t>
      </w:r>
      <w:r w:rsidRPr="0071774C">
        <w:t>activities</w:t>
      </w:r>
      <w:r>
        <w:t xml:space="preserve"> </w:t>
      </w:r>
      <w:r w:rsidRPr="0071774C">
        <w:t>related</w:t>
      </w:r>
      <w:r>
        <w:t xml:space="preserve"> </w:t>
      </w:r>
      <w:r w:rsidRPr="0071774C">
        <w:t>to</w:t>
      </w:r>
      <w:r>
        <w:t xml:space="preserve"> </w:t>
      </w:r>
      <w:r w:rsidRPr="0071774C">
        <w:t>the</w:t>
      </w:r>
      <w:r>
        <w:t xml:space="preserve"> </w:t>
      </w:r>
      <w:r w:rsidRPr="0071774C">
        <w:t>primary</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(Select</w:t>
      </w:r>
      <w:r>
        <w:t xml:space="preserve"> </w:t>
      </w:r>
      <w:r w:rsidRPr="0071774C">
        <w:t>all</w:t>
      </w:r>
      <w:r>
        <w:t xml:space="preserve"> </w:t>
      </w:r>
      <w:r w:rsidRPr="0071774C">
        <w:t>that</w:t>
      </w:r>
      <w:r>
        <w:t xml:space="preserve"> </w:t>
      </w:r>
      <w:r w:rsidRPr="0071774C">
        <w:t>apply)</w:t>
      </w:r>
    </w:p>
    <w:tbl>
      <w:tblPr>
        <w:tblStyle w:val="Datatablecharcoal"/>
        <w:tblW w:w="9072" w:type="dxa"/>
        <w:tblLook w:val="06A0" w:firstRow="1" w:lastRow="0" w:firstColumn="1" w:lastColumn="0" w:noHBand="1" w:noVBand="1"/>
      </w:tblPr>
      <w:tblGrid>
        <w:gridCol w:w="8028"/>
        <w:gridCol w:w="1044"/>
      </w:tblGrid>
      <w:tr w:rsidR="002C2EC7" w:rsidRPr="0071774C" w14:paraId="7FF756EA" w14:textId="77777777" w:rsidTr="006347E1">
        <w:trPr>
          <w:cnfStyle w:val="100000000000" w:firstRow="1" w:lastRow="0" w:firstColumn="0" w:lastColumn="0" w:oddVBand="0" w:evenVBand="0" w:oddHBand="0" w:evenHBand="0" w:firstRowFirstColumn="0" w:firstRowLastColumn="0" w:lastRowFirstColumn="0" w:lastRowLastColumn="0"/>
          <w:tblHeader/>
        </w:trPr>
        <w:tc>
          <w:tcPr>
            <w:tcW w:w="8222" w:type="dxa"/>
            <w:hideMark/>
          </w:tcPr>
          <w:p w14:paraId="227BC990" w14:textId="77777777" w:rsidR="002C2EC7" w:rsidRPr="0071774C" w:rsidRDefault="002C2EC7" w:rsidP="00BA57A0">
            <w:pPr>
              <w:pStyle w:val="OWTablecolumnheadleft"/>
              <w:spacing w:before="50" w:after="70"/>
            </w:pPr>
            <w:r w:rsidRPr="0071774C">
              <w:t>Activities</w:t>
            </w:r>
            <w:r>
              <w:t xml:space="preserve"> </w:t>
            </w:r>
            <w:r w:rsidRPr="0071774C">
              <w:t>that</w:t>
            </w:r>
            <w:r>
              <w:t xml:space="preserve"> </w:t>
            </w:r>
            <w:r w:rsidRPr="0071774C">
              <w:t>may</w:t>
            </w:r>
            <w:r>
              <w:t xml:space="preserve"> </w:t>
            </w:r>
            <w:r w:rsidRPr="0071774C">
              <w:t>be</w:t>
            </w:r>
            <w:r>
              <w:t xml:space="preserve"> </w:t>
            </w:r>
            <w:r w:rsidRPr="0071774C">
              <w:t>part</w:t>
            </w:r>
            <w:r>
              <w:t xml:space="preserve"> </w:t>
            </w:r>
            <w:r w:rsidRPr="0071774C">
              <w:t>of</w:t>
            </w:r>
            <w:r>
              <w:t xml:space="preserve"> </w:t>
            </w:r>
            <w:r w:rsidRPr="0071774C">
              <w:t>your</w:t>
            </w:r>
            <w:r>
              <w:t xml:space="preserve"> </w:t>
            </w:r>
            <w:r w:rsidRPr="0071774C">
              <w:t>role</w:t>
            </w:r>
          </w:p>
        </w:tc>
        <w:tc>
          <w:tcPr>
            <w:tcW w:w="870" w:type="dxa"/>
            <w:hideMark/>
          </w:tcPr>
          <w:p w14:paraId="01F06FA2" w14:textId="77777777" w:rsidR="002C2EC7" w:rsidRPr="0071774C" w:rsidRDefault="002C2EC7" w:rsidP="00BA57A0">
            <w:pPr>
              <w:pStyle w:val="OWTablecolumnheadcentre"/>
              <w:spacing w:before="50" w:after="70"/>
            </w:pPr>
            <w:r w:rsidRPr="0071774C">
              <w:t>Number</w:t>
            </w:r>
            <w:r>
              <w:t xml:space="preserve"> </w:t>
            </w:r>
            <w:r w:rsidRPr="0071774C">
              <w:t>(n)</w:t>
            </w:r>
          </w:p>
        </w:tc>
      </w:tr>
      <w:tr w:rsidR="002C2EC7" w:rsidRPr="0071774C" w14:paraId="6044D05C" w14:textId="77777777" w:rsidTr="008F3E9A">
        <w:tc>
          <w:tcPr>
            <w:tcW w:w="8222" w:type="dxa"/>
            <w:hideMark/>
          </w:tcPr>
          <w:p w14:paraId="4ECE50A3" w14:textId="77777777" w:rsidR="002C2EC7" w:rsidRPr="00520A08" w:rsidRDefault="002C2EC7" w:rsidP="00BA57A0">
            <w:pPr>
              <w:pStyle w:val="OWTablebodyleft"/>
              <w:spacing w:before="50" w:after="70"/>
            </w:pPr>
            <w:r w:rsidRPr="00520A08">
              <w:t>Work in partnership with other organisations to prevent violence against women</w:t>
            </w:r>
          </w:p>
        </w:tc>
        <w:tc>
          <w:tcPr>
            <w:tcW w:w="870" w:type="dxa"/>
            <w:hideMark/>
          </w:tcPr>
          <w:p w14:paraId="5BF850E9" w14:textId="77777777" w:rsidR="002C2EC7" w:rsidRPr="00BA57A0" w:rsidRDefault="002C2EC7" w:rsidP="005F7F67">
            <w:pPr>
              <w:pStyle w:val="OWTablebodycentre"/>
              <w:spacing w:before="50" w:after="70"/>
            </w:pPr>
            <w:r w:rsidRPr="00BA57A0">
              <w:t>151</w:t>
            </w:r>
          </w:p>
        </w:tc>
      </w:tr>
      <w:tr w:rsidR="002C2EC7" w:rsidRPr="0071774C" w14:paraId="3A5506DF" w14:textId="77777777" w:rsidTr="008F3E9A">
        <w:tc>
          <w:tcPr>
            <w:tcW w:w="8222" w:type="dxa"/>
            <w:hideMark/>
          </w:tcPr>
          <w:p w14:paraId="4AFA51D5" w14:textId="77777777" w:rsidR="002C2EC7" w:rsidRPr="00520A08" w:rsidRDefault="002C2EC7" w:rsidP="00BA57A0">
            <w:pPr>
              <w:pStyle w:val="OWTablebodyleft"/>
              <w:spacing w:before="50" w:after="70"/>
            </w:pPr>
            <w:r w:rsidRPr="00520A08">
              <w:t>Build the knowledge of others in relation to what primary prevention is, the drivers of violence against women and actions to prevent violence</w:t>
            </w:r>
          </w:p>
        </w:tc>
        <w:tc>
          <w:tcPr>
            <w:tcW w:w="870" w:type="dxa"/>
            <w:hideMark/>
          </w:tcPr>
          <w:p w14:paraId="00222E40" w14:textId="77777777" w:rsidR="002C2EC7" w:rsidRPr="00BA57A0" w:rsidRDefault="002C2EC7" w:rsidP="005F7F67">
            <w:pPr>
              <w:pStyle w:val="OWTablebodycentre"/>
              <w:spacing w:before="50" w:after="70"/>
            </w:pPr>
            <w:r w:rsidRPr="00BA57A0">
              <w:t>140</w:t>
            </w:r>
          </w:p>
        </w:tc>
      </w:tr>
      <w:tr w:rsidR="002C2EC7" w:rsidRPr="0071774C" w14:paraId="444F271B" w14:textId="77777777" w:rsidTr="008F3E9A">
        <w:tc>
          <w:tcPr>
            <w:tcW w:w="8222" w:type="dxa"/>
            <w:hideMark/>
          </w:tcPr>
          <w:p w14:paraId="6AF566A3" w14:textId="77777777" w:rsidR="002C2EC7" w:rsidRPr="00520A08" w:rsidRDefault="002C2EC7" w:rsidP="00BA57A0">
            <w:pPr>
              <w:pStyle w:val="OWTablebodyleft"/>
              <w:spacing w:before="50" w:after="70"/>
            </w:pPr>
            <w:r w:rsidRPr="00520A08">
              <w:t>Undertake gender analysis or apply a gender lens to your work</w:t>
            </w:r>
          </w:p>
        </w:tc>
        <w:tc>
          <w:tcPr>
            <w:tcW w:w="870" w:type="dxa"/>
            <w:hideMark/>
          </w:tcPr>
          <w:p w14:paraId="636F6A55" w14:textId="77777777" w:rsidR="002C2EC7" w:rsidRPr="00BA57A0" w:rsidRDefault="002C2EC7" w:rsidP="005F7F67">
            <w:pPr>
              <w:pStyle w:val="OWTablebodycentre"/>
              <w:spacing w:before="50" w:after="70"/>
            </w:pPr>
            <w:r w:rsidRPr="00BA57A0">
              <w:t>136</w:t>
            </w:r>
          </w:p>
        </w:tc>
      </w:tr>
      <w:tr w:rsidR="002C2EC7" w:rsidRPr="0071774C" w14:paraId="6FEC9E1F" w14:textId="77777777" w:rsidTr="008F3E9A">
        <w:tc>
          <w:tcPr>
            <w:tcW w:w="8222" w:type="dxa"/>
            <w:hideMark/>
          </w:tcPr>
          <w:p w14:paraId="2B9C03B0" w14:textId="77777777" w:rsidR="002C2EC7" w:rsidRPr="00520A08" w:rsidRDefault="002C2EC7" w:rsidP="00BA57A0">
            <w:pPr>
              <w:pStyle w:val="OWTablebodyleft"/>
              <w:spacing w:before="50" w:after="70"/>
            </w:pPr>
            <w:r w:rsidRPr="00520A08">
              <w:t>Develop and deliver informal training, professional development and mentoring</w:t>
            </w:r>
          </w:p>
        </w:tc>
        <w:tc>
          <w:tcPr>
            <w:tcW w:w="870" w:type="dxa"/>
            <w:hideMark/>
          </w:tcPr>
          <w:p w14:paraId="1B46385A" w14:textId="77777777" w:rsidR="002C2EC7" w:rsidRPr="00BA57A0" w:rsidRDefault="002C2EC7" w:rsidP="005F7F67">
            <w:pPr>
              <w:pStyle w:val="OWTablebodycentre"/>
              <w:spacing w:before="50" w:after="70"/>
            </w:pPr>
            <w:r w:rsidRPr="00BA57A0">
              <w:t>115</w:t>
            </w:r>
          </w:p>
        </w:tc>
      </w:tr>
      <w:tr w:rsidR="002C2EC7" w:rsidRPr="0071774C" w14:paraId="62CCEFBD" w14:textId="77777777" w:rsidTr="008F3E9A">
        <w:tc>
          <w:tcPr>
            <w:tcW w:w="8222" w:type="dxa"/>
            <w:hideMark/>
          </w:tcPr>
          <w:p w14:paraId="637B0BC3" w14:textId="77777777" w:rsidR="002C2EC7" w:rsidRPr="00520A08" w:rsidRDefault="002C2EC7" w:rsidP="00BA57A0">
            <w:pPr>
              <w:pStyle w:val="OWTablebodyleft"/>
              <w:spacing w:before="50" w:after="70"/>
            </w:pPr>
            <w:r w:rsidRPr="00520A08">
              <w:t>Build organisational capacity to embed primary prevention into everyday practice</w:t>
            </w:r>
          </w:p>
        </w:tc>
        <w:tc>
          <w:tcPr>
            <w:tcW w:w="870" w:type="dxa"/>
            <w:hideMark/>
          </w:tcPr>
          <w:p w14:paraId="027F2577" w14:textId="77777777" w:rsidR="002C2EC7" w:rsidRPr="00BA57A0" w:rsidRDefault="002C2EC7" w:rsidP="005F7F67">
            <w:pPr>
              <w:pStyle w:val="OWTablebodycentre"/>
              <w:spacing w:before="50" w:after="70"/>
            </w:pPr>
            <w:r w:rsidRPr="00BA57A0">
              <w:t>108</w:t>
            </w:r>
          </w:p>
        </w:tc>
      </w:tr>
      <w:tr w:rsidR="002C2EC7" w:rsidRPr="0071774C" w14:paraId="003F518B" w14:textId="77777777" w:rsidTr="008F3E9A">
        <w:tc>
          <w:tcPr>
            <w:tcW w:w="8222" w:type="dxa"/>
            <w:hideMark/>
          </w:tcPr>
          <w:p w14:paraId="6B1617A0" w14:textId="77777777" w:rsidR="002C2EC7" w:rsidRPr="00520A08" w:rsidRDefault="002C2EC7" w:rsidP="00BA57A0">
            <w:pPr>
              <w:pStyle w:val="OWTablebodyleft"/>
              <w:spacing w:before="50" w:after="70"/>
            </w:pPr>
            <w:r w:rsidRPr="00520A08">
              <w:t>Develop and apply knowledge of the way multiple forms of discrimination and privilege intersect with gender inequality</w:t>
            </w:r>
          </w:p>
        </w:tc>
        <w:tc>
          <w:tcPr>
            <w:tcW w:w="870" w:type="dxa"/>
            <w:hideMark/>
          </w:tcPr>
          <w:p w14:paraId="49955088" w14:textId="77777777" w:rsidR="002C2EC7" w:rsidRPr="00BA57A0" w:rsidRDefault="002C2EC7" w:rsidP="005F7F67">
            <w:pPr>
              <w:pStyle w:val="OWTablebodycentre"/>
              <w:spacing w:before="50" w:after="70"/>
            </w:pPr>
            <w:r w:rsidRPr="00BA57A0">
              <w:t>106</w:t>
            </w:r>
          </w:p>
        </w:tc>
      </w:tr>
      <w:tr w:rsidR="002C2EC7" w:rsidRPr="0071774C" w14:paraId="582A4B3B" w14:textId="77777777" w:rsidTr="008F3E9A">
        <w:tc>
          <w:tcPr>
            <w:tcW w:w="8222" w:type="dxa"/>
            <w:hideMark/>
          </w:tcPr>
          <w:p w14:paraId="1827F6B3" w14:textId="77777777" w:rsidR="002C2EC7" w:rsidRPr="00520A08" w:rsidRDefault="002C2EC7" w:rsidP="00BA57A0">
            <w:pPr>
              <w:pStyle w:val="OWTablebodyleft"/>
              <w:spacing w:before="50" w:after="70"/>
            </w:pPr>
            <w:r w:rsidRPr="00520A08">
              <w:t>Conduct research, monitor progress, evaluate programs or collect and analyse data</w:t>
            </w:r>
          </w:p>
        </w:tc>
        <w:tc>
          <w:tcPr>
            <w:tcW w:w="870" w:type="dxa"/>
            <w:hideMark/>
          </w:tcPr>
          <w:p w14:paraId="502FE328" w14:textId="77777777" w:rsidR="002C2EC7" w:rsidRPr="00BA57A0" w:rsidRDefault="002C2EC7" w:rsidP="005F7F67">
            <w:pPr>
              <w:pStyle w:val="OWTablebodycentre"/>
              <w:spacing w:before="50" w:after="70"/>
            </w:pPr>
            <w:r w:rsidRPr="00BA57A0">
              <w:t>93</w:t>
            </w:r>
          </w:p>
        </w:tc>
      </w:tr>
      <w:tr w:rsidR="002C2EC7" w:rsidRPr="0071774C" w14:paraId="41A94BBA" w14:textId="77777777" w:rsidTr="008F3E9A">
        <w:tc>
          <w:tcPr>
            <w:tcW w:w="8222" w:type="dxa"/>
            <w:hideMark/>
          </w:tcPr>
          <w:p w14:paraId="6994F058" w14:textId="77777777" w:rsidR="002C2EC7" w:rsidRPr="00520A08" w:rsidRDefault="002C2EC7" w:rsidP="00BA57A0">
            <w:pPr>
              <w:pStyle w:val="OWTablebodyleft"/>
              <w:spacing w:before="50" w:after="70"/>
            </w:pPr>
            <w:r w:rsidRPr="00520A08">
              <w:t>Develop and implement prevention programs for groups and individuals</w:t>
            </w:r>
          </w:p>
        </w:tc>
        <w:tc>
          <w:tcPr>
            <w:tcW w:w="870" w:type="dxa"/>
            <w:hideMark/>
          </w:tcPr>
          <w:p w14:paraId="11D55EFA" w14:textId="77777777" w:rsidR="002C2EC7" w:rsidRPr="00BA57A0" w:rsidRDefault="002C2EC7" w:rsidP="005F7F67">
            <w:pPr>
              <w:pStyle w:val="OWTablebodycentre"/>
              <w:spacing w:before="50" w:after="70"/>
            </w:pPr>
            <w:r w:rsidRPr="00BA57A0">
              <w:t>92</w:t>
            </w:r>
          </w:p>
        </w:tc>
      </w:tr>
      <w:tr w:rsidR="002C2EC7" w:rsidRPr="0071774C" w14:paraId="5AAC10B7" w14:textId="77777777" w:rsidTr="008F3E9A">
        <w:tc>
          <w:tcPr>
            <w:tcW w:w="8222" w:type="dxa"/>
            <w:hideMark/>
          </w:tcPr>
          <w:p w14:paraId="16CAED2C" w14:textId="77777777" w:rsidR="002C2EC7" w:rsidRPr="00520A08" w:rsidRDefault="002C2EC7" w:rsidP="00BA57A0">
            <w:pPr>
              <w:pStyle w:val="OWTablebodyleft"/>
              <w:spacing w:before="50" w:after="70"/>
            </w:pPr>
            <w:r w:rsidRPr="00520A08">
              <w:t>Develop policy advice for organisations, local government, state or federal governments or regions</w:t>
            </w:r>
          </w:p>
        </w:tc>
        <w:tc>
          <w:tcPr>
            <w:tcW w:w="870" w:type="dxa"/>
            <w:hideMark/>
          </w:tcPr>
          <w:p w14:paraId="01F97938" w14:textId="77777777" w:rsidR="002C2EC7" w:rsidRPr="00BA57A0" w:rsidRDefault="002C2EC7" w:rsidP="005F7F67">
            <w:pPr>
              <w:pStyle w:val="OWTablebodycentre"/>
              <w:spacing w:before="50" w:after="70"/>
            </w:pPr>
            <w:r w:rsidRPr="00BA57A0">
              <w:t>79</w:t>
            </w:r>
          </w:p>
        </w:tc>
      </w:tr>
      <w:tr w:rsidR="002C2EC7" w:rsidRPr="0071774C" w14:paraId="1D964E8C" w14:textId="77777777" w:rsidTr="008F3E9A">
        <w:tc>
          <w:tcPr>
            <w:tcW w:w="8222" w:type="dxa"/>
            <w:hideMark/>
          </w:tcPr>
          <w:p w14:paraId="160A1F3E" w14:textId="77777777" w:rsidR="002C2EC7" w:rsidRPr="00520A08" w:rsidRDefault="002C2EC7" w:rsidP="00BA57A0">
            <w:pPr>
              <w:pStyle w:val="OWTablebodyleft"/>
              <w:spacing w:before="50" w:after="70"/>
            </w:pPr>
            <w:r w:rsidRPr="00520A08">
              <w:t>Develop practice guides, evidence summaries and resources</w:t>
            </w:r>
          </w:p>
        </w:tc>
        <w:tc>
          <w:tcPr>
            <w:tcW w:w="870" w:type="dxa"/>
            <w:hideMark/>
          </w:tcPr>
          <w:p w14:paraId="1D5D4114" w14:textId="77777777" w:rsidR="002C2EC7" w:rsidRPr="00BA57A0" w:rsidRDefault="002C2EC7" w:rsidP="005F7F67">
            <w:pPr>
              <w:pStyle w:val="OWTablebodycentre"/>
              <w:spacing w:before="50" w:after="70"/>
            </w:pPr>
            <w:r w:rsidRPr="00BA57A0">
              <w:t>79</w:t>
            </w:r>
          </w:p>
        </w:tc>
      </w:tr>
      <w:tr w:rsidR="002C2EC7" w:rsidRPr="0071774C" w14:paraId="453E3711" w14:textId="77777777" w:rsidTr="008F3E9A">
        <w:tc>
          <w:tcPr>
            <w:tcW w:w="8222" w:type="dxa"/>
            <w:hideMark/>
          </w:tcPr>
          <w:p w14:paraId="2A4FFFC4" w14:textId="77777777" w:rsidR="002C2EC7" w:rsidRPr="00520A08" w:rsidRDefault="002C2EC7" w:rsidP="00BA57A0">
            <w:pPr>
              <w:pStyle w:val="OWTablebodyleft"/>
              <w:spacing w:before="50" w:after="70"/>
            </w:pPr>
            <w:r w:rsidRPr="00520A08">
              <w:t>Develop and deliver campaigns and communications materials (for example, social marketing campaigns, social media, posters, infographics)</w:t>
            </w:r>
          </w:p>
        </w:tc>
        <w:tc>
          <w:tcPr>
            <w:tcW w:w="870" w:type="dxa"/>
            <w:hideMark/>
          </w:tcPr>
          <w:p w14:paraId="5A13D0CD" w14:textId="77777777" w:rsidR="002C2EC7" w:rsidRPr="00BA57A0" w:rsidRDefault="002C2EC7" w:rsidP="005F7F67">
            <w:pPr>
              <w:pStyle w:val="OWTablebodycentre"/>
              <w:spacing w:before="50" w:after="70"/>
            </w:pPr>
            <w:r w:rsidRPr="00BA57A0">
              <w:t>75</w:t>
            </w:r>
          </w:p>
        </w:tc>
      </w:tr>
      <w:tr w:rsidR="002C2EC7" w:rsidRPr="0071774C" w14:paraId="54B52F7A" w14:textId="77777777" w:rsidTr="008F3E9A">
        <w:tc>
          <w:tcPr>
            <w:tcW w:w="8222" w:type="dxa"/>
            <w:hideMark/>
          </w:tcPr>
          <w:p w14:paraId="7ED364E8" w14:textId="77777777" w:rsidR="002C2EC7" w:rsidRPr="00520A08" w:rsidRDefault="002C2EC7" w:rsidP="00BA57A0">
            <w:pPr>
              <w:pStyle w:val="OWTablebodyleft"/>
              <w:spacing w:before="50" w:after="70"/>
            </w:pPr>
            <w:r w:rsidRPr="00520A08">
              <w:t>Write/produce content for media (TV, online, newspaper)</w:t>
            </w:r>
          </w:p>
        </w:tc>
        <w:tc>
          <w:tcPr>
            <w:tcW w:w="870" w:type="dxa"/>
            <w:hideMark/>
          </w:tcPr>
          <w:p w14:paraId="0ED32167" w14:textId="77777777" w:rsidR="002C2EC7" w:rsidRPr="00BA57A0" w:rsidRDefault="002C2EC7" w:rsidP="005F7F67">
            <w:pPr>
              <w:pStyle w:val="OWTablebodycentre"/>
              <w:spacing w:before="50" w:after="70"/>
            </w:pPr>
            <w:r w:rsidRPr="00BA57A0">
              <w:t>47</w:t>
            </w:r>
          </w:p>
        </w:tc>
      </w:tr>
      <w:tr w:rsidR="002C2EC7" w:rsidRPr="0071774C" w14:paraId="3261ED40" w14:textId="77777777" w:rsidTr="008F3E9A">
        <w:tc>
          <w:tcPr>
            <w:tcW w:w="8222" w:type="dxa"/>
            <w:hideMark/>
          </w:tcPr>
          <w:p w14:paraId="45EB4AF7" w14:textId="77777777" w:rsidR="002C2EC7" w:rsidRPr="00520A08" w:rsidRDefault="002C2EC7" w:rsidP="00BA57A0">
            <w:pPr>
              <w:pStyle w:val="OWTablebodyleft"/>
              <w:spacing w:before="50" w:after="70"/>
            </w:pPr>
            <w:r w:rsidRPr="00520A08">
              <w:t>Provide administrative, financial and quality management support for an organisation delivering primary prevention projects</w:t>
            </w:r>
          </w:p>
        </w:tc>
        <w:tc>
          <w:tcPr>
            <w:tcW w:w="870" w:type="dxa"/>
            <w:hideMark/>
          </w:tcPr>
          <w:p w14:paraId="6EA7B1EE" w14:textId="77777777" w:rsidR="002C2EC7" w:rsidRPr="00BA57A0" w:rsidRDefault="002C2EC7" w:rsidP="005F7F67">
            <w:pPr>
              <w:pStyle w:val="OWTablebodycentre"/>
              <w:spacing w:before="50" w:after="70"/>
            </w:pPr>
            <w:r w:rsidRPr="00BA57A0">
              <w:t>42</w:t>
            </w:r>
          </w:p>
        </w:tc>
      </w:tr>
      <w:tr w:rsidR="002C2EC7" w:rsidRPr="0071774C" w14:paraId="2A4255E3" w14:textId="77777777" w:rsidTr="008F3E9A">
        <w:tc>
          <w:tcPr>
            <w:tcW w:w="8222" w:type="dxa"/>
            <w:hideMark/>
          </w:tcPr>
          <w:p w14:paraId="71D77867" w14:textId="6363A104" w:rsidR="002C2EC7" w:rsidRPr="00520A08" w:rsidRDefault="002C2EC7" w:rsidP="00BA57A0">
            <w:pPr>
              <w:pStyle w:val="OWTablebodyleft"/>
              <w:spacing w:before="50" w:after="70"/>
            </w:pPr>
            <w:r w:rsidRPr="00520A08">
              <w:t>Develop and deliver formal training (TAFE, RTO, University</w:t>
            </w:r>
            <w:r w:rsidR="00393538">
              <w:t>)</w:t>
            </w:r>
          </w:p>
        </w:tc>
        <w:tc>
          <w:tcPr>
            <w:tcW w:w="870" w:type="dxa"/>
            <w:hideMark/>
          </w:tcPr>
          <w:p w14:paraId="7233048C" w14:textId="77777777" w:rsidR="002C2EC7" w:rsidRPr="00BA57A0" w:rsidRDefault="002C2EC7" w:rsidP="005F7F67">
            <w:pPr>
              <w:pStyle w:val="OWTablebodycentre"/>
              <w:spacing w:before="50" w:after="70"/>
            </w:pPr>
            <w:r w:rsidRPr="00BA57A0">
              <w:t>36</w:t>
            </w:r>
          </w:p>
        </w:tc>
      </w:tr>
    </w:tbl>
    <w:p w14:paraId="4DE5B603" w14:textId="77777777" w:rsidR="002C2EC7" w:rsidRDefault="002C2EC7" w:rsidP="00BA57A0">
      <w:pPr>
        <w:pStyle w:val="OWTablefootnote"/>
      </w:pPr>
      <w:r>
        <w:t>Source: Progress in Prevention Research Survey</w:t>
      </w:r>
    </w:p>
    <w:p w14:paraId="0084750C" w14:textId="2B01C10B" w:rsidR="002C2EC7" w:rsidRDefault="002C2EC7" w:rsidP="00473135">
      <w:pPr>
        <w:pStyle w:val="OWBodytextlargespaceabove"/>
        <w:keepLines/>
      </w:pPr>
      <w:r w:rsidRPr="0071774C">
        <w:lastRenderedPageBreak/>
        <w:t>Respondents’</w:t>
      </w:r>
      <w:r>
        <w:t xml:space="preserve"> </w:t>
      </w:r>
      <w:r w:rsidRPr="0071774C">
        <w:t>descriptions</w:t>
      </w:r>
      <w:r>
        <w:t xml:space="preserve"> </w:t>
      </w:r>
      <w:r w:rsidRPr="0071774C">
        <w:t>of</w:t>
      </w:r>
      <w:r>
        <w:t xml:space="preserve"> </w:t>
      </w:r>
      <w:r w:rsidRPr="0071774C">
        <w:t>their</w:t>
      </w:r>
      <w:r>
        <w:t xml:space="preserve"> </w:t>
      </w:r>
      <w:r w:rsidRPr="0071774C">
        <w:t>own</w:t>
      </w:r>
      <w:r>
        <w:t xml:space="preserve"> </w:t>
      </w:r>
      <w:r w:rsidRPr="0071774C">
        <w:t>roles</w:t>
      </w:r>
      <w:r>
        <w:t xml:space="preserve"> </w:t>
      </w:r>
      <w:r w:rsidRPr="0071774C">
        <w:t>echoed</w:t>
      </w:r>
      <w:r>
        <w:t xml:space="preserve"> </w:t>
      </w:r>
      <w:r w:rsidRPr="0071774C">
        <w:t>the</w:t>
      </w:r>
      <w:r>
        <w:t xml:space="preserve"> </w:t>
      </w:r>
      <w:r w:rsidRPr="0071774C">
        <w:t>findings</w:t>
      </w:r>
      <w:r>
        <w:t xml:space="preserve"> </w:t>
      </w:r>
      <w:r w:rsidRPr="0071774C">
        <w:t>above</w:t>
      </w:r>
      <w:r>
        <w:t xml:space="preserve"> </w:t>
      </w:r>
      <w:r w:rsidRPr="0071774C">
        <w:t>and</w:t>
      </w:r>
      <w:r>
        <w:t xml:space="preserve"> </w:t>
      </w:r>
      <w:r w:rsidRPr="0071774C">
        <w:t>showed</w:t>
      </w:r>
      <w:r>
        <w:t xml:space="preserve"> </w:t>
      </w:r>
      <w:r w:rsidRPr="0071774C">
        <w:t>that</w:t>
      </w:r>
      <w:r>
        <w:t xml:space="preserve"> </w:t>
      </w:r>
      <w:r w:rsidRPr="0071774C">
        <w:t>many</w:t>
      </w:r>
      <w:r>
        <w:t xml:space="preserve"> </w:t>
      </w:r>
      <w:r w:rsidRPr="0071774C">
        <w:t>respondents</w:t>
      </w:r>
      <w:r>
        <w:t xml:space="preserve"> </w:t>
      </w:r>
      <w:r w:rsidRPr="0071774C">
        <w:t>are</w:t>
      </w:r>
      <w:r>
        <w:t xml:space="preserve"> </w:t>
      </w:r>
      <w:r w:rsidRPr="0071774C">
        <w:t>involved</w:t>
      </w:r>
      <w:r>
        <w:t xml:space="preserve"> </w:t>
      </w:r>
      <w:r w:rsidRPr="0071774C">
        <w:t>in</w:t>
      </w:r>
      <w:r>
        <w:t xml:space="preserve"> </w:t>
      </w:r>
      <w:r w:rsidRPr="0071774C">
        <w:t>training,</w:t>
      </w:r>
      <w:r>
        <w:t xml:space="preserve"> </w:t>
      </w:r>
      <w:r w:rsidRPr="0071774C">
        <w:t>education</w:t>
      </w:r>
      <w:r>
        <w:t xml:space="preserve"> </w:t>
      </w:r>
      <w:r w:rsidRPr="0071774C">
        <w:t>or</w:t>
      </w:r>
      <w:r>
        <w:t xml:space="preserve"> </w:t>
      </w:r>
      <w:r w:rsidRPr="0071774C">
        <w:t>capacity</w:t>
      </w:r>
      <w:r>
        <w:t>-</w:t>
      </w:r>
      <w:r w:rsidRPr="0071774C">
        <w:t>building</w:t>
      </w:r>
      <w:r>
        <w:t xml:space="preserve">, </w:t>
      </w:r>
      <w:r w:rsidRPr="0071774C">
        <w:t>defined</w:t>
      </w:r>
      <w:r>
        <w:t xml:space="preserve"> </w:t>
      </w:r>
      <w:r w:rsidRPr="0071774C">
        <w:t>broadly,</w:t>
      </w:r>
      <w:r>
        <w:t xml:space="preserve"> </w:t>
      </w:r>
      <w:r w:rsidRPr="0071774C">
        <w:t>a</w:t>
      </w:r>
      <w:r w:rsidR="00851841">
        <w:t> </w:t>
      </w:r>
      <w:r w:rsidRPr="0071774C">
        <w:t>number</w:t>
      </w:r>
      <w:r>
        <w:t xml:space="preserve"> </w:t>
      </w:r>
      <w:r w:rsidRPr="0071774C">
        <w:t>are</w:t>
      </w:r>
      <w:r>
        <w:t xml:space="preserve"> </w:t>
      </w:r>
      <w:r w:rsidRPr="0071774C">
        <w:t>working</w:t>
      </w:r>
      <w:r>
        <w:t xml:space="preserve"> </w:t>
      </w:r>
      <w:r w:rsidRPr="0071774C">
        <w:t>in</w:t>
      </w:r>
      <w:r>
        <w:t xml:space="preserve"> </w:t>
      </w:r>
      <w:r w:rsidRPr="0071774C">
        <w:t>community</w:t>
      </w:r>
      <w:r>
        <w:t xml:space="preserve"> </w:t>
      </w:r>
      <w:r w:rsidRPr="0071774C">
        <w:t>development</w:t>
      </w:r>
      <w:r>
        <w:t xml:space="preserve"> </w:t>
      </w:r>
      <w:r w:rsidRPr="0071774C">
        <w:t>or</w:t>
      </w:r>
      <w:r>
        <w:t xml:space="preserve"> </w:t>
      </w:r>
      <w:r w:rsidRPr="0071774C">
        <w:t>community</w:t>
      </w:r>
      <w:r>
        <w:t xml:space="preserve"> </w:t>
      </w:r>
      <w:r w:rsidRPr="0071774C">
        <w:t>education,</w:t>
      </w:r>
      <w:r>
        <w:t xml:space="preserve"> </w:t>
      </w:r>
      <w:r w:rsidRPr="0071774C">
        <w:t>and</w:t>
      </w:r>
      <w:r>
        <w:t xml:space="preserve"> </w:t>
      </w:r>
      <w:r w:rsidRPr="0071774C">
        <w:t>others</w:t>
      </w:r>
      <w:r>
        <w:t xml:space="preserve"> </w:t>
      </w:r>
      <w:r w:rsidRPr="0071774C">
        <w:t>are</w:t>
      </w:r>
      <w:r>
        <w:t xml:space="preserve"> </w:t>
      </w:r>
      <w:r w:rsidRPr="0071774C">
        <w:t>working</w:t>
      </w:r>
      <w:r>
        <w:t xml:space="preserve"> </w:t>
      </w:r>
      <w:r w:rsidRPr="0071774C">
        <w:t>in</w:t>
      </w:r>
      <w:r>
        <w:t xml:space="preserve"> </w:t>
      </w:r>
      <w:r w:rsidRPr="0071774C">
        <w:t>program</w:t>
      </w:r>
      <w:r>
        <w:t xml:space="preserve"> </w:t>
      </w:r>
      <w:r w:rsidRPr="0071774C">
        <w:t>design</w:t>
      </w:r>
      <w:r>
        <w:t xml:space="preserve"> </w:t>
      </w:r>
      <w:r w:rsidRPr="0071774C">
        <w:t>and</w:t>
      </w:r>
      <w:r>
        <w:t xml:space="preserve"> </w:t>
      </w:r>
      <w:r w:rsidRPr="0071774C">
        <w:t>delivery</w:t>
      </w:r>
      <w:r>
        <w:t xml:space="preserve"> </w:t>
      </w:r>
      <w:r w:rsidRPr="0071774C">
        <w:t>in</w:t>
      </w:r>
      <w:r>
        <w:t xml:space="preserve"> </w:t>
      </w:r>
      <w:r w:rsidRPr="0071774C">
        <w:t>a</w:t>
      </w:r>
      <w:r>
        <w:t xml:space="preserve"> </w:t>
      </w:r>
      <w:r w:rsidRPr="0071774C">
        <w:t>range</w:t>
      </w:r>
      <w:r>
        <w:t xml:space="preserve"> </w:t>
      </w:r>
      <w:r w:rsidRPr="0071774C">
        <w:t>of</w:t>
      </w:r>
      <w:r>
        <w:t xml:space="preserve"> </w:t>
      </w:r>
      <w:r w:rsidRPr="0071774C">
        <w:t>settings.</w:t>
      </w:r>
      <w:r>
        <w:t xml:space="preserve"> </w:t>
      </w:r>
      <w:r w:rsidRPr="0071774C">
        <w:t>The</w:t>
      </w:r>
      <w:r>
        <w:t xml:space="preserve"> </w:t>
      </w:r>
      <w:r w:rsidRPr="0071774C">
        <w:t>most</w:t>
      </w:r>
      <w:r>
        <w:t xml:space="preserve"> </w:t>
      </w:r>
      <w:r w:rsidRPr="0071774C">
        <w:t>common</w:t>
      </w:r>
      <w:r>
        <w:t xml:space="preserve"> </w:t>
      </w:r>
      <w:r w:rsidRPr="0071774C">
        <w:t>techniques</w:t>
      </w:r>
      <w:r>
        <w:t xml:space="preserve"> </w:t>
      </w:r>
      <w:r w:rsidRPr="0071774C">
        <w:t>reflected</w:t>
      </w:r>
      <w:r>
        <w:t xml:space="preserve"> </w:t>
      </w:r>
      <w:r w:rsidRPr="0071774C">
        <w:t>in</w:t>
      </w:r>
      <w:r>
        <w:t xml:space="preserve"> </w:t>
      </w:r>
      <w:r w:rsidRPr="0071774C">
        <w:t>survey</w:t>
      </w:r>
      <w:r>
        <w:t xml:space="preserve"> </w:t>
      </w:r>
      <w:r w:rsidRPr="0071774C">
        <w:t>responses</w:t>
      </w:r>
      <w:r>
        <w:t xml:space="preserve"> </w:t>
      </w:r>
      <w:r w:rsidRPr="0071774C">
        <w:t>included</w:t>
      </w:r>
      <w:r>
        <w:t xml:space="preserve"> </w:t>
      </w:r>
      <w:r w:rsidRPr="0071774C">
        <w:t>organisational</w:t>
      </w:r>
      <w:r>
        <w:t xml:space="preserve"> </w:t>
      </w:r>
      <w:r w:rsidRPr="0071774C">
        <w:t>development,</w:t>
      </w:r>
      <w:r>
        <w:t xml:space="preserve"> </w:t>
      </w:r>
      <w:r w:rsidRPr="0071774C">
        <w:t>community</w:t>
      </w:r>
      <w:r>
        <w:t xml:space="preserve"> </w:t>
      </w:r>
      <w:r w:rsidRPr="0071774C">
        <w:t>mobilisation</w:t>
      </w:r>
      <w:r>
        <w:t xml:space="preserve"> </w:t>
      </w:r>
      <w:r w:rsidRPr="0071774C">
        <w:t>and</w:t>
      </w:r>
      <w:r>
        <w:t xml:space="preserve"> </w:t>
      </w:r>
      <w:r w:rsidRPr="0071774C">
        <w:t>strengthening,</w:t>
      </w:r>
      <w:r>
        <w:t xml:space="preserve"> </w:t>
      </w:r>
      <w:r w:rsidRPr="0071774C">
        <w:t>direct</w:t>
      </w:r>
      <w:r>
        <w:t xml:space="preserve"> </w:t>
      </w:r>
      <w:r w:rsidRPr="0071774C">
        <w:t>participation</w:t>
      </w:r>
      <w:r>
        <w:t xml:space="preserve"> </w:t>
      </w:r>
      <w:r w:rsidRPr="0071774C">
        <w:t>programming</w:t>
      </w:r>
      <w:r>
        <w:t xml:space="preserve"> </w:t>
      </w:r>
      <w:r w:rsidRPr="0071774C">
        <w:t>and</w:t>
      </w:r>
      <w:r>
        <w:t xml:space="preserve"> </w:t>
      </w:r>
      <w:r w:rsidRPr="0071774C">
        <w:t>civil</w:t>
      </w:r>
      <w:r>
        <w:t xml:space="preserve"> </w:t>
      </w:r>
      <w:r w:rsidRPr="0071774C">
        <w:t>society</w:t>
      </w:r>
      <w:r>
        <w:t xml:space="preserve"> </w:t>
      </w:r>
      <w:r w:rsidRPr="0071774C">
        <w:t>advocacy.</w:t>
      </w:r>
      <w:r>
        <w:t xml:space="preserve"> </w:t>
      </w:r>
      <w:r w:rsidRPr="0071774C">
        <w:t>Respondents</w:t>
      </w:r>
      <w:r>
        <w:t xml:space="preserve"> </w:t>
      </w:r>
      <w:r w:rsidRPr="0071774C">
        <w:t>draw</w:t>
      </w:r>
      <w:r>
        <w:t xml:space="preserve"> on </w:t>
      </w:r>
      <w:r w:rsidRPr="0071774C">
        <w:t>a</w:t>
      </w:r>
      <w:r>
        <w:t xml:space="preserve"> </w:t>
      </w:r>
      <w:r w:rsidRPr="0071774C">
        <w:t>wide</w:t>
      </w:r>
      <w:r>
        <w:t xml:space="preserve"> </w:t>
      </w:r>
      <w:r w:rsidRPr="0071774C">
        <w:t>range</w:t>
      </w:r>
      <w:r>
        <w:t xml:space="preserve"> </w:t>
      </w:r>
      <w:r w:rsidRPr="0071774C">
        <w:t>of</w:t>
      </w:r>
      <w:r>
        <w:t xml:space="preserve"> </w:t>
      </w:r>
      <w:r w:rsidRPr="0071774C">
        <w:t>skills</w:t>
      </w:r>
      <w:r>
        <w:t xml:space="preserve"> </w:t>
      </w:r>
      <w:r w:rsidRPr="0071774C">
        <w:t>in</w:t>
      </w:r>
      <w:r>
        <w:t xml:space="preserve"> </w:t>
      </w:r>
      <w:r w:rsidRPr="0071774C">
        <w:t>their</w:t>
      </w:r>
      <w:r>
        <w:t xml:space="preserve"> </w:t>
      </w:r>
      <w:r w:rsidRPr="0071774C">
        <w:t>work</w:t>
      </w:r>
      <w:r>
        <w:t xml:space="preserve"> </w:t>
      </w:r>
      <w:r w:rsidRPr="0071774C">
        <w:t>to</w:t>
      </w:r>
      <w:r>
        <w:t xml:space="preserve"> </w:t>
      </w:r>
      <w:r w:rsidRPr="0071774C">
        <w:t>prevent</w:t>
      </w:r>
      <w:r>
        <w:t xml:space="preserve"> </w:t>
      </w:r>
      <w:r w:rsidRPr="0071774C">
        <w:t>violence</w:t>
      </w:r>
      <w:r>
        <w:t xml:space="preserve"> </w:t>
      </w:r>
      <w:r w:rsidRPr="0071774C">
        <w:t>against</w:t>
      </w:r>
      <w:r>
        <w:t xml:space="preserve"> </w:t>
      </w:r>
      <w:r w:rsidRPr="0071774C">
        <w:t>women</w:t>
      </w:r>
      <w:r>
        <w:t>. T</w:t>
      </w:r>
      <w:r w:rsidRPr="0071774C">
        <w:t>he</w:t>
      </w:r>
      <w:r>
        <w:t xml:space="preserve"> </w:t>
      </w:r>
      <w:r w:rsidRPr="0071774C">
        <w:t>most</w:t>
      </w:r>
      <w:r>
        <w:t xml:space="preserve"> </w:t>
      </w:r>
      <w:r w:rsidRPr="0071774C">
        <w:t>common</w:t>
      </w:r>
      <w:r>
        <w:t xml:space="preserve"> </w:t>
      </w:r>
      <w:r w:rsidRPr="0071774C">
        <w:t>includ</w:t>
      </w:r>
      <w:r>
        <w:t>e skills in</w:t>
      </w:r>
      <w:r w:rsidRPr="0071774C">
        <w:t>:</w:t>
      </w:r>
    </w:p>
    <w:p w14:paraId="748B0CAC" w14:textId="77777777" w:rsidR="002C2EC7" w:rsidRDefault="002C2EC7" w:rsidP="00790783">
      <w:pPr>
        <w:pStyle w:val="OWBullet1"/>
      </w:pPr>
      <w:r>
        <w:t>f</w:t>
      </w:r>
      <w:r w:rsidRPr="0071774C">
        <w:t>acilitation,</w:t>
      </w:r>
      <w:r>
        <w:t xml:space="preserve"> </w:t>
      </w:r>
      <w:r w:rsidRPr="0071774C">
        <w:t>training</w:t>
      </w:r>
      <w:r>
        <w:t xml:space="preserve"> </w:t>
      </w:r>
      <w:r w:rsidRPr="0071774C">
        <w:t>and</w:t>
      </w:r>
      <w:r>
        <w:t xml:space="preserve"> </w:t>
      </w:r>
      <w:r w:rsidRPr="0071774C">
        <w:t>adult</w:t>
      </w:r>
      <w:r>
        <w:t xml:space="preserve"> </w:t>
      </w:r>
      <w:r w:rsidRPr="0071774C">
        <w:t>learning</w:t>
      </w:r>
    </w:p>
    <w:p w14:paraId="15720EFC" w14:textId="77777777" w:rsidR="002C2EC7" w:rsidRDefault="002C2EC7" w:rsidP="00790783">
      <w:pPr>
        <w:pStyle w:val="OWBullet1"/>
      </w:pPr>
      <w:r w:rsidRPr="0071774C">
        <w:t>stakeholder</w:t>
      </w:r>
      <w:r>
        <w:t xml:space="preserve"> </w:t>
      </w:r>
      <w:r w:rsidRPr="0071774C">
        <w:t>engagement</w:t>
      </w:r>
      <w:r>
        <w:t xml:space="preserve"> </w:t>
      </w:r>
      <w:r w:rsidRPr="0071774C">
        <w:t>and</w:t>
      </w:r>
      <w:r>
        <w:t xml:space="preserve"> </w:t>
      </w:r>
      <w:r w:rsidRPr="0071774C">
        <w:t>relationships</w:t>
      </w:r>
    </w:p>
    <w:p w14:paraId="53B59929" w14:textId="77777777" w:rsidR="002C2EC7" w:rsidRDefault="002C2EC7" w:rsidP="00790783">
      <w:pPr>
        <w:pStyle w:val="OWBullet1"/>
      </w:pPr>
      <w:r w:rsidRPr="0071774C">
        <w:t>applying</w:t>
      </w:r>
      <w:r>
        <w:t xml:space="preserve"> </w:t>
      </w:r>
      <w:r w:rsidRPr="0071774C">
        <w:t>a</w:t>
      </w:r>
      <w:r>
        <w:t xml:space="preserve"> </w:t>
      </w:r>
      <w:r w:rsidRPr="0071774C">
        <w:t>gender</w:t>
      </w:r>
      <w:r>
        <w:t xml:space="preserve"> </w:t>
      </w:r>
      <w:r w:rsidRPr="0071774C">
        <w:t>lens</w:t>
      </w:r>
      <w:r>
        <w:t xml:space="preserve"> </w:t>
      </w:r>
      <w:r w:rsidRPr="0071774C">
        <w:t>(gender</w:t>
      </w:r>
      <w:r>
        <w:t xml:space="preserve"> </w:t>
      </w:r>
      <w:r w:rsidRPr="0071774C">
        <w:t>analysis)</w:t>
      </w:r>
    </w:p>
    <w:p w14:paraId="78C19BE6" w14:textId="77777777" w:rsidR="002C2EC7" w:rsidRDefault="002C2EC7" w:rsidP="00790783">
      <w:pPr>
        <w:pStyle w:val="OWBullet1"/>
      </w:pPr>
      <w:r w:rsidRPr="0071774C">
        <w:t>research</w:t>
      </w:r>
      <w:r>
        <w:t xml:space="preserve"> </w:t>
      </w:r>
      <w:r w:rsidRPr="0071774C">
        <w:t>and</w:t>
      </w:r>
      <w:r>
        <w:t xml:space="preserve"> </w:t>
      </w:r>
      <w:r w:rsidRPr="0071774C">
        <w:t>data</w:t>
      </w:r>
      <w:r>
        <w:t xml:space="preserve"> </w:t>
      </w:r>
      <w:r w:rsidRPr="0071774C">
        <w:t>analysis</w:t>
      </w:r>
    </w:p>
    <w:p w14:paraId="3686B6E0" w14:textId="77777777" w:rsidR="002C2EC7" w:rsidRDefault="002C2EC7" w:rsidP="00790783">
      <w:pPr>
        <w:pStyle w:val="OWBullet1"/>
      </w:pPr>
      <w:r w:rsidRPr="0071774C">
        <w:t>program</w:t>
      </w:r>
      <w:r>
        <w:t xml:space="preserve"> </w:t>
      </w:r>
      <w:r w:rsidRPr="0071774C">
        <w:t>design</w:t>
      </w:r>
      <w:r>
        <w:t xml:space="preserve"> </w:t>
      </w:r>
      <w:r w:rsidRPr="0071774C">
        <w:t>and</w:t>
      </w:r>
      <w:r>
        <w:t xml:space="preserve"> </w:t>
      </w:r>
      <w:r w:rsidRPr="0071774C">
        <w:t>development</w:t>
      </w:r>
    </w:p>
    <w:p w14:paraId="69226DA3" w14:textId="77777777" w:rsidR="002C2EC7" w:rsidRDefault="002C2EC7" w:rsidP="00790783">
      <w:pPr>
        <w:pStyle w:val="OWBullet1"/>
      </w:pPr>
      <w:r w:rsidRPr="0071774C">
        <w:t>cultural</w:t>
      </w:r>
      <w:r>
        <w:t xml:space="preserve"> </w:t>
      </w:r>
      <w:r w:rsidRPr="0071774C">
        <w:t>awareness</w:t>
      </w:r>
      <w:r>
        <w:t xml:space="preserve"> </w:t>
      </w:r>
      <w:r w:rsidRPr="0071774C">
        <w:t>and</w:t>
      </w:r>
      <w:r>
        <w:t xml:space="preserve"> </w:t>
      </w:r>
      <w:r w:rsidRPr="0071774C">
        <w:t>cultural</w:t>
      </w:r>
      <w:r>
        <w:t xml:space="preserve"> </w:t>
      </w:r>
      <w:r w:rsidRPr="0071774C">
        <w:t>safety</w:t>
      </w:r>
    </w:p>
    <w:p w14:paraId="68D5043E" w14:textId="77777777" w:rsidR="002C2EC7" w:rsidRDefault="002C2EC7" w:rsidP="00790783">
      <w:pPr>
        <w:pStyle w:val="OWBullet1"/>
      </w:pPr>
      <w:r w:rsidRPr="0071774C">
        <w:t>partnerships</w:t>
      </w:r>
      <w:r>
        <w:t xml:space="preserve"> </w:t>
      </w:r>
      <w:r w:rsidRPr="0071774C">
        <w:t>and</w:t>
      </w:r>
      <w:r>
        <w:t xml:space="preserve"> </w:t>
      </w:r>
      <w:r w:rsidRPr="0071774C">
        <w:t>collaboration</w:t>
      </w:r>
    </w:p>
    <w:p w14:paraId="4F10AC4B" w14:textId="77777777" w:rsidR="002C2EC7" w:rsidRDefault="002C2EC7" w:rsidP="00790783">
      <w:pPr>
        <w:pStyle w:val="OWBullet1"/>
      </w:pPr>
      <w:r w:rsidRPr="0071774C">
        <w:t>communications,</w:t>
      </w:r>
      <w:r>
        <w:t xml:space="preserve"> </w:t>
      </w:r>
      <w:r w:rsidRPr="0071774C">
        <w:t>speaking</w:t>
      </w:r>
      <w:r>
        <w:t xml:space="preserve"> </w:t>
      </w:r>
      <w:r w:rsidRPr="0071774C">
        <w:t>and</w:t>
      </w:r>
      <w:r>
        <w:t xml:space="preserve"> </w:t>
      </w:r>
      <w:r w:rsidRPr="0071774C">
        <w:t>influencing</w:t>
      </w:r>
    </w:p>
    <w:p w14:paraId="4DAE970E" w14:textId="77777777" w:rsidR="002C2EC7" w:rsidRDefault="002C2EC7" w:rsidP="00790783">
      <w:pPr>
        <w:pStyle w:val="OWBullet1"/>
      </w:pPr>
      <w:r w:rsidRPr="0071774C">
        <w:t>evaluation</w:t>
      </w:r>
    </w:p>
    <w:p w14:paraId="3DE5DDCF" w14:textId="77777777" w:rsidR="002C2EC7" w:rsidRDefault="002C2EC7" w:rsidP="00790783">
      <w:pPr>
        <w:pStyle w:val="OWBullet1"/>
      </w:pPr>
      <w:r w:rsidRPr="0071774C">
        <w:t>understanding</w:t>
      </w:r>
      <w:r>
        <w:t xml:space="preserve"> </w:t>
      </w:r>
      <w:r w:rsidRPr="0071774C">
        <w:t>and</w:t>
      </w:r>
      <w:r>
        <w:t xml:space="preserve"> </w:t>
      </w:r>
      <w:r w:rsidRPr="0071774C">
        <w:t>applying</w:t>
      </w:r>
      <w:r>
        <w:t xml:space="preserve"> </w:t>
      </w:r>
      <w:r w:rsidRPr="0071774C">
        <w:t>theoretical</w:t>
      </w:r>
      <w:r>
        <w:t xml:space="preserve"> </w:t>
      </w:r>
      <w:r w:rsidRPr="0071774C">
        <w:t>frameworks</w:t>
      </w:r>
    </w:p>
    <w:p w14:paraId="367B335A" w14:textId="4BFE999A" w:rsidR="002C2EC7" w:rsidRDefault="008A4CD6" w:rsidP="00790783">
      <w:pPr>
        <w:pStyle w:val="OWBullet1"/>
      </w:pPr>
      <w:r>
        <w:t xml:space="preserve">analysis of gender inequality and </w:t>
      </w:r>
      <w:r w:rsidR="00B67812">
        <w:t>other forms of discrimination and privilege.</w:t>
      </w:r>
    </w:p>
    <w:p w14:paraId="2F6DE5C7" w14:textId="6F772411" w:rsidR="002C2EC7" w:rsidRDefault="002C2EC7" w:rsidP="00790783">
      <w:pPr>
        <w:pStyle w:val="OWBodytextafterlist"/>
      </w:pPr>
      <w:r w:rsidRPr="0071774C">
        <w:t>The</w:t>
      </w:r>
      <w:r>
        <w:t xml:space="preserve"> </w:t>
      </w:r>
      <w:r w:rsidRPr="0071774C">
        <w:t>following</w:t>
      </w:r>
      <w:r>
        <w:t xml:space="preserve"> </w:t>
      </w:r>
      <w:r w:rsidRPr="0071774C">
        <w:t>are</w:t>
      </w:r>
      <w:r>
        <w:t xml:space="preserve"> </w:t>
      </w:r>
      <w:r w:rsidRPr="0071774C">
        <w:t>examples</w:t>
      </w:r>
      <w:r>
        <w:t xml:space="preserve"> </w:t>
      </w:r>
      <w:r w:rsidRPr="0071774C">
        <w:t>of</w:t>
      </w:r>
      <w:r>
        <w:t xml:space="preserve"> </w:t>
      </w:r>
      <w:r w:rsidRPr="0071774C">
        <w:t>roles</w:t>
      </w:r>
      <w:r w:rsidR="00D26861">
        <w:t xml:space="preserve"> (some of which have been </w:t>
      </w:r>
      <w:r w:rsidR="00097A82">
        <w:t>altered to retain anonymity)</w:t>
      </w:r>
      <w:r w:rsidRPr="0071774C">
        <w:t>,</w:t>
      </w:r>
      <w:r>
        <w:t xml:space="preserve"> </w:t>
      </w:r>
      <w:r w:rsidRPr="0071774C">
        <w:t>as</w:t>
      </w:r>
      <w:r>
        <w:t xml:space="preserve"> </w:t>
      </w:r>
      <w:r w:rsidRPr="0071774C">
        <w:t>described</w:t>
      </w:r>
      <w:r>
        <w:t xml:space="preserve"> </w:t>
      </w:r>
      <w:r w:rsidRPr="0071774C">
        <w:t>by</w:t>
      </w:r>
      <w:r>
        <w:t xml:space="preserve"> </w:t>
      </w:r>
      <w:r w:rsidRPr="0071774C">
        <w:t>survey</w:t>
      </w:r>
      <w:r>
        <w:t xml:space="preserve"> </w:t>
      </w:r>
      <w:r w:rsidRPr="0071774C">
        <w:t>respondents.</w:t>
      </w:r>
      <w:r>
        <w:t xml:space="preserve"> </w:t>
      </w:r>
      <w:r w:rsidRPr="0071774C">
        <w:t>They</w:t>
      </w:r>
      <w:r>
        <w:t xml:space="preserve"> </w:t>
      </w:r>
      <w:r w:rsidRPr="0071774C">
        <w:t>illustrate</w:t>
      </w:r>
      <w:r>
        <w:t xml:space="preserve"> </w:t>
      </w:r>
      <w:r w:rsidRPr="0071774C">
        <w:t>the</w:t>
      </w:r>
      <w:r w:rsidR="00851841">
        <w:t> </w:t>
      </w:r>
      <w:r w:rsidRPr="0071774C">
        <w:t>diversity</w:t>
      </w:r>
      <w:r>
        <w:t xml:space="preserve"> </w:t>
      </w:r>
      <w:r w:rsidRPr="0071774C">
        <w:t>of</w:t>
      </w:r>
      <w:r>
        <w:t xml:space="preserve"> </w:t>
      </w:r>
      <w:r w:rsidRPr="0071774C">
        <w:t>roles</w:t>
      </w:r>
      <w:r>
        <w:t xml:space="preserve"> </w:t>
      </w:r>
      <w:r w:rsidRPr="0071774C">
        <w:t>in</w:t>
      </w:r>
      <w:r>
        <w:t xml:space="preserve"> </w:t>
      </w:r>
      <w:r w:rsidRPr="0071774C">
        <w:t>which</w:t>
      </w:r>
      <w:r>
        <w:t xml:space="preserve"> </w:t>
      </w:r>
      <w:r w:rsidRPr="0071774C">
        <w:t>respondents</w:t>
      </w:r>
      <w:r>
        <w:t xml:space="preserve"> </w:t>
      </w:r>
      <w:r w:rsidRPr="0071774C">
        <w:t>are</w:t>
      </w:r>
      <w:r>
        <w:t xml:space="preserve"> </w:t>
      </w:r>
      <w:r w:rsidRPr="0071774C">
        <w:t>employed</w:t>
      </w:r>
      <w:r>
        <w:t xml:space="preserve"> </w:t>
      </w:r>
      <w:r w:rsidRPr="0071774C">
        <w:t>and</w:t>
      </w:r>
      <w:r>
        <w:t xml:space="preserve"> </w:t>
      </w:r>
      <w:r w:rsidRPr="0071774C">
        <w:t>have</w:t>
      </w:r>
      <w:r>
        <w:t xml:space="preserve"> </w:t>
      </w:r>
      <w:r w:rsidRPr="0071774C">
        <w:t>been</w:t>
      </w:r>
      <w:r>
        <w:t xml:space="preserve"> </w:t>
      </w:r>
      <w:r w:rsidRPr="0071774C">
        <w:t>grouped</w:t>
      </w:r>
      <w:r>
        <w:t xml:space="preserve"> </w:t>
      </w:r>
      <w:r w:rsidRPr="0071774C">
        <w:t>under</w:t>
      </w:r>
      <w:r>
        <w:t xml:space="preserve"> </w:t>
      </w:r>
      <w:r w:rsidRPr="0071774C">
        <w:t>headings</w:t>
      </w:r>
      <w:r>
        <w:t xml:space="preserve"> </w:t>
      </w:r>
      <w:r w:rsidRPr="0071774C">
        <w:t>to</w:t>
      </w:r>
      <w:r>
        <w:t xml:space="preserve"> </w:t>
      </w:r>
      <w:r w:rsidRPr="0071774C">
        <w:t>show</w:t>
      </w:r>
      <w:r>
        <w:t xml:space="preserve"> </w:t>
      </w:r>
      <w:r w:rsidRPr="0071774C">
        <w:t>how</w:t>
      </w:r>
      <w:r>
        <w:t xml:space="preserve"> </w:t>
      </w:r>
      <w:r w:rsidRPr="0071774C">
        <w:t>the</w:t>
      </w:r>
      <w:r>
        <w:t xml:space="preserve"> </w:t>
      </w:r>
      <w:r w:rsidRPr="0071774C">
        <w:t>work</w:t>
      </w:r>
      <w:r>
        <w:t xml:space="preserve"> </w:t>
      </w:r>
      <w:r w:rsidRPr="0071774C">
        <w:t>spans</w:t>
      </w:r>
      <w:r>
        <w:t xml:space="preserve"> </w:t>
      </w:r>
      <w:r w:rsidRPr="0071774C">
        <w:t>the</w:t>
      </w:r>
      <w:r>
        <w:t xml:space="preserve"> </w:t>
      </w:r>
      <w:r w:rsidRPr="0071774C">
        <w:t>domains</w:t>
      </w:r>
      <w:r>
        <w:t xml:space="preserve"> </w:t>
      </w:r>
      <w:r w:rsidRPr="0071774C">
        <w:t>measured</w:t>
      </w:r>
      <w:r>
        <w:t xml:space="preserve"> </w:t>
      </w:r>
      <w:r w:rsidRPr="0071774C">
        <w:t>in</w:t>
      </w:r>
      <w:r>
        <w:t xml:space="preserve"> </w:t>
      </w:r>
      <w:r w:rsidRPr="0071774C">
        <w:t>this</w:t>
      </w:r>
      <w:r>
        <w:t xml:space="preserve"> </w:t>
      </w:r>
      <w:r w:rsidRPr="0071774C">
        <w:t>report</w:t>
      </w:r>
      <w:r>
        <w:t xml:space="preserve"> </w:t>
      </w:r>
      <w:r w:rsidRPr="0071774C">
        <w:t>and</w:t>
      </w:r>
      <w:r>
        <w:t xml:space="preserve"> </w:t>
      </w:r>
      <w:r w:rsidRPr="00ED4674">
        <w:rPr>
          <w:rStyle w:val="Emphasis"/>
        </w:rPr>
        <w:t>Counting on</w:t>
      </w:r>
      <w:r w:rsidR="00851841">
        <w:rPr>
          <w:rStyle w:val="Emphasis"/>
        </w:rPr>
        <w:t> </w:t>
      </w:r>
      <w:r w:rsidRPr="00ED4674">
        <w:rPr>
          <w:rStyle w:val="Emphasis"/>
        </w:rPr>
        <w:t>change</w:t>
      </w:r>
      <w:r w:rsidRPr="005068F2">
        <w:t>.</w:t>
      </w:r>
      <w:r w:rsidRPr="005068F2">
        <w:rPr>
          <w:rStyle w:val="EndnoteReference"/>
          <w:szCs w:val="22"/>
        </w:rPr>
        <w:endnoteReference w:id="91"/>
      </w:r>
    </w:p>
    <w:p w14:paraId="2614D438" w14:textId="77777777" w:rsidR="002C2EC7" w:rsidRDefault="002C2EC7" w:rsidP="00790783">
      <w:pPr>
        <w:pStyle w:val="Heading6"/>
      </w:pPr>
      <w:r w:rsidRPr="0071774C">
        <w:t>Contributing</w:t>
      </w:r>
      <w:r>
        <w:t xml:space="preserve"> </w:t>
      </w:r>
      <w:r w:rsidRPr="0071774C">
        <w:t>to</w:t>
      </w:r>
      <w:r>
        <w:t xml:space="preserve"> </w:t>
      </w:r>
      <w:r w:rsidRPr="0071774C">
        <w:t>policy</w:t>
      </w:r>
      <w:r>
        <w:t xml:space="preserve"> </w:t>
      </w:r>
      <w:r w:rsidRPr="0071774C">
        <w:t>and</w:t>
      </w:r>
      <w:r>
        <w:t xml:space="preserve"> </w:t>
      </w:r>
      <w:r w:rsidRPr="0071774C">
        <w:t>legislative</w:t>
      </w:r>
      <w:r>
        <w:t xml:space="preserve"> </w:t>
      </w:r>
      <w:r w:rsidRPr="0071774C">
        <w:t>reform</w:t>
      </w:r>
    </w:p>
    <w:p w14:paraId="081E226B" w14:textId="77777777" w:rsidR="002C2EC7" w:rsidRPr="00ED4674" w:rsidRDefault="002C2EC7" w:rsidP="00790783">
      <w:pPr>
        <w:pStyle w:val="Quote"/>
        <w:rPr>
          <w:rStyle w:val="Emphasis"/>
        </w:rPr>
      </w:pPr>
      <w:r w:rsidRPr="00ED4674">
        <w:rPr>
          <w:rStyle w:val="Emphasis"/>
        </w:rPr>
        <w:t>‘Strategic policy development and implementation in government agencies’</w:t>
      </w:r>
    </w:p>
    <w:p w14:paraId="071B0D96" w14:textId="77777777" w:rsidR="002C2EC7" w:rsidRPr="00ED4674" w:rsidRDefault="002C2EC7" w:rsidP="00790783">
      <w:pPr>
        <w:pStyle w:val="Quote"/>
        <w:rPr>
          <w:rStyle w:val="Emphasis"/>
        </w:rPr>
      </w:pPr>
      <w:r w:rsidRPr="00ED4674">
        <w:rPr>
          <w:rStyle w:val="Emphasis"/>
        </w:rPr>
        <w:t>‘Policy and advocacy leadership – focused on primary prevention and response’</w:t>
      </w:r>
    </w:p>
    <w:p w14:paraId="33E4D523" w14:textId="77777777" w:rsidR="002C2EC7" w:rsidRDefault="002C2EC7" w:rsidP="00790783">
      <w:pPr>
        <w:pStyle w:val="Heading6"/>
      </w:pPr>
      <w:r w:rsidRPr="0071774C">
        <w:t>Strengthening</w:t>
      </w:r>
      <w:r>
        <w:t xml:space="preserve"> </w:t>
      </w:r>
      <w:r w:rsidRPr="0071774C">
        <w:t>the</w:t>
      </w:r>
      <w:r>
        <w:t xml:space="preserve"> </w:t>
      </w:r>
      <w:r w:rsidRPr="0071774C">
        <w:t>expert</w:t>
      </w:r>
      <w:r>
        <w:t xml:space="preserve"> </w:t>
      </w:r>
      <w:r w:rsidRPr="0071774C">
        <w:t>workforce</w:t>
      </w:r>
    </w:p>
    <w:p w14:paraId="6CD1688B" w14:textId="77777777" w:rsidR="002C2EC7" w:rsidRPr="00ED4674" w:rsidRDefault="002C2EC7" w:rsidP="00790783">
      <w:pPr>
        <w:pStyle w:val="Quote"/>
        <w:rPr>
          <w:rStyle w:val="Emphasis"/>
        </w:rPr>
      </w:pPr>
      <w:r w:rsidRPr="00ED4674">
        <w:rPr>
          <w:rStyle w:val="Emphasis"/>
        </w:rPr>
        <w:t>‘Training workers in identifying primary drivers of VAW …’</w:t>
      </w:r>
    </w:p>
    <w:p w14:paraId="38A48B9E" w14:textId="77777777" w:rsidR="002C2EC7" w:rsidRPr="00ED4674" w:rsidRDefault="002C2EC7" w:rsidP="00790783">
      <w:pPr>
        <w:pStyle w:val="Quote"/>
        <w:rPr>
          <w:rStyle w:val="Emphasis"/>
        </w:rPr>
      </w:pPr>
      <w:r w:rsidRPr="00ED4674">
        <w:rPr>
          <w:rStyle w:val="Emphasis"/>
        </w:rPr>
        <w:t>‘Training workers in engaging men in conversations about VAW…’</w:t>
      </w:r>
    </w:p>
    <w:p w14:paraId="1B8CEE43" w14:textId="77777777" w:rsidR="002C2EC7" w:rsidRDefault="002C2EC7" w:rsidP="00790783">
      <w:pPr>
        <w:pStyle w:val="Heading6"/>
      </w:pPr>
      <w:r w:rsidRPr="0071774C">
        <w:t>Contributing</w:t>
      </w:r>
      <w:r>
        <w:t xml:space="preserve"> </w:t>
      </w:r>
      <w:r w:rsidRPr="0071774C">
        <w:t>to</w:t>
      </w:r>
      <w:r>
        <w:t xml:space="preserve"> </w:t>
      </w:r>
      <w:r w:rsidRPr="0071774C">
        <w:t>quality</w:t>
      </w:r>
      <w:r>
        <w:t xml:space="preserve"> </w:t>
      </w:r>
      <w:r w:rsidRPr="0071774C">
        <w:t>primary</w:t>
      </w:r>
      <w:r>
        <w:t xml:space="preserve"> </w:t>
      </w:r>
      <w:r w:rsidRPr="0071774C">
        <w:t>prevention</w:t>
      </w:r>
      <w:r>
        <w:t xml:space="preserve"> </w:t>
      </w:r>
      <w:r w:rsidRPr="0071774C">
        <w:t>programming</w:t>
      </w:r>
    </w:p>
    <w:p w14:paraId="089D4D38" w14:textId="2D0356B0" w:rsidR="002C2EC7" w:rsidRPr="00ED4674" w:rsidRDefault="002C2EC7" w:rsidP="00790783">
      <w:pPr>
        <w:pStyle w:val="Quote"/>
        <w:rPr>
          <w:rStyle w:val="Emphasis"/>
        </w:rPr>
      </w:pPr>
      <w:r w:rsidRPr="005068F2">
        <w:t>‘</w:t>
      </w:r>
      <w:r w:rsidRPr="005068F2">
        <w:rPr>
          <w:color w:val="404040"/>
        </w:rPr>
        <w:t>[</w:t>
      </w:r>
      <w:r w:rsidRPr="0071774C">
        <w:rPr>
          <w:color w:val="404040"/>
        </w:rPr>
        <w:t>gender</w:t>
      </w:r>
      <w:r w:rsidR="00450CE5">
        <w:rPr>
          <w:color w:val="404040"/>
        </w:rPr>
        <w:t xml:space="preserve"> stereotypes</w:t>
      </w:r>
      <w:r w:rsidRPr="0071774C">
        <w:rPr>
          <w:color w:val="404040"/>
        </w:rPr>
        <w:t>]</w:t>
      </w:r>
      <w:r w:rsidRPr="00ED4674">
        <w:rPr>
          <w:rStyle w:val="Emphasis"/>
        </w:rPr>
        <w:t xml:space="preserve"> in the context of parenting in Aboriginal families’</w:t>
      </w:r>
    </w:p>
    <w:p w14:paraId="15A81EC2" w14:textId="33F7FB55" w:rsidR="002C2EC7" w:rsidRPr="00ED4674" w:rsidRDefault="002C2EC7" w:rsidP="00790783">
      <w:pPr>
        <w:pStyle w:val="Quote"/>
        <w:rPr>
          <w:rStyle w:val="Emphasis"/>
        </w:rPr>
      </w:pPr>
      <w:r w:rsidRPr="00ED4674">
        <w:rPr>
          <w:rStyle w:val="Emphasis"/>
        </w:rPr>
        <w:t>‘…increasing the number of women and girls taking up leadership roles in</w:t>
      </w:r>
      <w:r w:rsidR="00595961">
        <w:rPr>
          <w:rStyle w:val="Emphasis"/>
        </w:rPr>
        <w:t> </w:t>
      </w:r>
      <w:r w:rsidRPr="00ED4674">
        <w:rPr>
          <w:rStyle w:val="Emphasis"/>
        </w:rPr>
        <w:t>sporting clubs’</w:t>
      </w:r>
    </w:p>
    <w:p w14:paraId="6DB0C1E7" w14:textId="77777777" w:rsidR="002C2EC7" w:rsidRPr="00ED4674" w:rsidRDefault="002C2EC7" w:rsidP="00790783">
      <w:pPr>
        <w:pStyle w:val="Quote"/>
        <w:rPr>
          <w:rStyle w:val="Emphasis"/>
        </w:rPr>
      </w:pPr>
      <w:r w:rsidRPr="00ED4674">
        <w:rPr>
          <w:rStyle w:val="Emphasis"/>
        </w:rPr>
        <w:t>‘Delivery of respectful relationships program with refugee and migrant communities’</w:t>
      </w:r>
    </w:p>
    <w:p w14:paraId="310BBB6C" w14:textId="77777777" w:rsidR="002C2EC7" w:rsidRDefault="002C2EC7" w:rsidP="00790783">
      <w:pPr>
        <w:pStyle w:val="Quote"/>
      </w:pPr>
      <w:r w:rsidRPr="00ED4674">
        <w:rPr>
          <w:rStyle w:val="Emphasis"/>
        </w:rPr>
        <w:t>‘Research and evaluation to inform prevention practice’</w:t>
      </w:r>
    </w:p>
    <w:p w14:paraId="6855BE9E" w14:textId="77777777" w:rsidR="00D77A58" w:rsidRPr="00D77A58" w:rsidRDefault="00D77A58" w:rsidP="00D77A58">
      <w:pPr>
        <w:pStyle w:val="BodyText"/>
      </w:pPr>
      <w:bookmarkStart w:id="46" w:name="_Toc41559725"/>
      <w:r w:rsidRPr="00D77A58">
        <w:br w:type="page"/>
      </w:r>
    </w:p>
    <w:p w14:paraId="2A21E57E" w14:textId="2FC65FCB" w:rsidR="002C2EC7" w:rsidRDefault="002C2EC7" w:rsidP="00790783">
      <w:pPr>
        <w:pStyle w:val="Heading5"/>
      </w:pPr>
      <w:r>
        <w:lastRenderedPageBreak/>
        <w:t>R</w:t>
      </w:r>
      <w:r w:rsidRPr="0071774C">
        <w:t>oles</w:t>
      </w:r>
      <w:r>
        <w:t xml:space="preserve"> described using </w:t>
      </w:r>
      <w:r w:rsidRPr="0071774C">
        <w:t>settings</w:t>
      </w:r>
      <w:r>
        <w:t xml:space="preserve"> </w:t>
      </w:r>
      <w:r w:rsidRPr="0071774C">
        <w:t>and</w:t>
      </w:r>
      <w:r>
        <w:t xml:space="preserve"> </w:t>
      </w:r>
      <w:r w:rsidRPr="0071774C">
        <w:t>techniques</w:t>
      </w:r>
      <w:r>
        <w:t xml:space="preserve"> </w:t>
      </w:r>
      <w:r w:rsidRPr="0071774C">
        <w:t>outlined</w:t>
      </w:r>
      <w:r>
        <w:t xml:space="preserve"> </w:t>
      </w:r>
      <w:r w:rsidRPr="0071774C">
        <w:t>in</w:t>
      </w:r>
      <w:r>
        <w:t xml:space="preserve"> </w:t>
      </w:r>
      <w:r w:rsidRPr="00ED4674">
        <w:rPr>
          <w:rStyle w:val="Emphasis"/>
        </w:rPr>
        <w:t>Change the story</w:t>
      </w:r>
      <w:bookmarkEnd w:id="46"/>
    </w:p>
    <w:p w14:paraId="716DE2A5" w14:textId="77777777" w:rsidR="002C2EC7" w:rsidRDefault="002C2EC7" w:rsidP="00790783">
      <w:pPr>
        <w:pStyle w:val="BodyText"/>
      </w:pPr>
      <w:r w:rsidRPr="0071774C">
        <w:t>Many</w:t>
      </w:r>
      <w:r>
        <w:t xml:space="preserve"> </w:t>
      </w:r>
      <w:r w:rsidRPr="0071774C">
        <w:t>respondents</w:t>
      </w:r>
      <w:r>
        <w:t xml:space="preserve"> </w:t>
      </w:r>
      <w:r w:rsidRPr="0071774C">
        <w:t>described</w:t>
      </w:r>
      <w:r>
        <w:t xml:space="preserve"> </w:t>
      </w:r>
      <w:r w:rsidRPr="0071774C">
        <w:t>their</w:t>
      </w:r>
      <w:r>
        <w:t xml:space="preserve"> </w:t>
      </w:r>
      <w:r w:rsidRPr="0071774C">
        <w:t>role</w:t>
      </w:r>
      <w:r>
        <w:t xml:space="preserve"> </w:t>
      </w:r>
      <w:r w:rsidRPr="0071774C">
        <w:t>in</w:t>
      </w:r>
      <w:r>
        <w:t xml:space="preserve"> </w:t>
      </w:r>
      <w:r w:rsidRPr="0071774C">
        <w:t>primary</w:t>
      </w:r>
      <w:r>
        <w:t xml:space="preserve"> </w:t>
      </w:r>
      <w:r w:rsidRPr="0071774C">
        <w:t>prevention</w:t>
      </w:r>
      <w:r>
        <w:t xml:space="preserve"> </w:t>
      </w:r>
      <w:r w:rsidRPr="0071774C">
        <w:t>and/or</w:t>
      </w:r>
      <w:r>
        <w:t xml:space="preserve"> </w:t>
      </w:r>
      <w:r w:rsidRPr="0071774C">
        <w:t>the</w:t>
      </w:r>
      <w:r>
        <w:t xml:space="preserve"> </w:t>
      </w:r>
      <w:r w:rsidRPr="0071774C">
        <w:t>work</w:t>
      </w:r>
      <w:r>
        <w:t xml:space="preserve"> </w:t>
      </w:r>
      <w:r w:rsidRPr="0071774C">
        <w:t>they</w:t>
      </w:r>
      <w:r>
        <w:t xml:space="preserve"> </w:t>
      </w:r>
      <w:r w:rsidRPr="0071774C">
        <w:t>do</w:t>
      </w:r>
      <w:r>
        <w:t xml:space="preserve"> </w:t>
      </w:r>
      <w:r w:rsidRPr="0071774C">
        <w:t>by</w:t>
      </w:r>
      <w:r>
        <w:t xml:space="preserve"> </w:t>
      </w:r>
      <w:r w:rsidRPr="0071774C">
        <w:t>describing</w:t>
      </w:r>
      <w:r>
        <w:t xml:space="preserve"> </w:t>
      </w:r>
      <w:r w:rsidRPr="0071774C">
        <w:t>specific</w:t>
      </w:r>
      <w:r>
        <w:t xml:space="preserve"> </w:t>
      </w:r>
      <w:r w:rsidRPr="0071774C">
        <w:t>settings</w:t>
      </w:r>
      <w:r>
        <w:t xml:space="preserve"> or </w:t>
      </w:r>
      <w:r w:rsidRPr="0071774C">
        <w:t>communities</w:t>
      </w:r>
      <w:r>
        <w:t xml:space="preserve">, </w:t>
      </w:r>
      <w:r w:rsidRPr="0071774C">
        <w:t>and/or</w:t>
      </w:r>
      <w:r>
        <w:t xml:space="preserve"> </w:t>
      </w:r>
      <w:r w:rsidRPr="0071774C">
        <w:t>by</w:t>
      </w:r>
      <w:r>
        <w:t xml:space="preserve"> </w:t>
      </w:r>
      <w:r w:rsidRPr="0071774C">
        <w:t>describing</w:t>
      </w:r>
      <w:r>
        <w:t xml:space="preserve"> </w:t>
      </w:r>
      <w:r w:rsidRPr="0071774C">
        <w:t>specific</w:t>
      </w:r>
      <w:r>
        <w:t xml:space="preserve"> </w:t>
      </w:r>
      <w:r w:rsidRPr="0071774C">
        <w:t>techniques.</w:t>
      </w:r>
      <w:r>
        <w:t xml:space="preserve"> </w:t>
      </w:r>
      <w:r w:rsidRPr="0071774C">
        <w:t>In</w:t>
      </w:r>
      <w:r>
        <w:t xml:space="preserve"> </w:t>
      </w:r>
      <w:r w:rsidRPr="0071774C">
        <w:t>the</w:t>
      </w:r>
      <w:r>
        <w:t xml:space="preserve"> </w:t>
      </w:r>
      <w:r w:rsidRPr="0071774C">
        <w:t>examples</w:t>
      </w:r>
      <w:r>
        <w:t xml:space="preserve"> </w:t>
      </w:r>
      <w:r w:rsidRPr="0071774C">
        <w:t>below,</w:t>
      </w:r>
      <w:r>
        <w:t xml:space="preserve"> </w:t>
      </w:r>
      <w:r w:rsidRPr="0071774C">
        <w:t>where</w:t>
      </w:r>
      <w:r>
        <w:t xml:space="preserve"> </w:t>
      </w:r>
      <w:r w:rsidRPr="0071774C">
        <w:t>respondents</w:t>
      </w:r>
      <w:r>
        <w:t xml:space="preserve"> </w:t>
      </w:r>
      <w:r w:rsidRPr="0071774C">
        <w:t>are</w:t>
      </w:r>
      <w:r>
        <w:t xml:space="preserve"> </w:t>
      </w:r>
      <w:r w:rsidRPr="0071774C">
        <w:t>working</w:t>
      </w:r>
      <w:r>
        <w:t xml:space="preserve"> </w:t>
      </w:r>
      <w:r w:rsidRPr="0071774C">
        <w:t>across</w:t>
      </w:r>
      <w:r>
        <w:t xml:space="preserve"> </w:t>
      </w:r>
      <w:r w:rsidRPr="0071774C">
        <w:t>early</w:t>
      </w:r>
      <w:r>
        <w:t xml:space="preserve"> </w:t>
      </w:r>
      <w:r w:rsidRPr="0071774C">
        <w:t>intervention,</w:t>
      </w:r>
      <w:r>
        <w:t xml:space="preserve"> </w:t>
      </w:r>
      <w:r w:rsidRPr="0071774C">
        <w:t>response</w:t>
      </w:r>
      <w:r>
        <w:t xml:space="preserve"> </w:t>
      </w:r>
      <w:r w:rsidRPr="0071774C">
        <w:t>and</w:t>
      </w:r>
      <w:r>
        <w:t xml:space="preserve"> </w:t>
      </w:r>
      <w:r w:rsidRPr="0071774C">
        <w:t>primary</w:t>
      </w:r>
      <w:r>
        <w:t xml:space="preserve"> </w:t>
      </w:r>
      <w:r w:rsidRPr="0071774C">
        <w:t>prevention,</w:t>
      </w:r>
      <w:r>
        <w:t xml:space="preserve"> </w:t>
      </w:r>
      <w:r w:rsidRPr="0071774C">
        <w:t>roles</w:t>
      </w:r>
      <w:r>
        <w:t xml:space="preserve"> </w:t>
      </w:r>
      <w:r w:rsidRPr="0071774C">
        <w:t>are</w:t>
      </w:r>
      <w:r>
        <w:t xml:space="preserve"> </w:t>
      </w:r>
      <w:r w:rsidRPr="0071774C">
        <w:t>described</w:t>
      </w:r>
      <w:r>
        <w:t xml:space="preserve"> </w:t>
      </w:r>
      <w:r w:rsidRPr="0071774C">
        <w:t>holistically</w:t>
      </w:r>
      <w:r>
        <w:t xml:space="preserve">, </w:t>
      </w:r>
      <w:r w:rsidRPr="0071774C">
        <w:t>with</w:t>
      </w:r>
      <w:r>
        <w:t xml:space="preserve"> </w:t>
      </w:r>
      <w:r w:rsidRPr="0071774C">
        <w:t>some</w:t>
      </w:r>
      <w:r>
        <w:t xml:space="preserve"> </w:t>
      </w:r>
      <w:r w:rsidRPr="0071774C">
        <w:t>descriptions</w:t>
      </w:r>
      <w:r>
        <w:t xml:space="preserve"> </w:t>
      </w:r>
      <w:r w:rsidRPr="0071774C">
        <w:t>including</w:t>
      </w:r>
      <w:r>
        <w:t xml:space="preserve"> </w:t>
      </w:r>
      <w:r w:rsidRPr="0071774C">
        <w:t>early</w:t>
      </w:r>
      <w:r>
        <w:t xml:space="preserve"> </w:t>
      </w:r>
      <w:r w:rsidRPr="0071774C">
        <w:t>intervention</w:t>
      </w:r>
      <w:r>
        <w:t xml:space="preserve"> </w:t>
      </w:r>
      <w:r w:rsidRPr="0071774C">
        <w:t>(</w:t>
      </w:r>
      <w:r>
        <w:t xml:space="preserve">for example, </w:t>
      </w:r>
      <w:r w:rsidRPr="0071774C">
        <w:t>awareness</w:t>
      </w:r>
      <w:r>
        <w:t>-</w:t>
      </w:r>
      <w:r w:rsidRPr="0071774C">
        <w:t>raising</w:t>
      </w:r>
      <w:r>
        <w:t xml:space="preserve"> </w:t>
      </w:r>
      <w:r w:rsidRPr="0071774C">
        <w:t>campaigns</w:t>
      </w:r>
      <w:r>
        <w:t xml:space="preserve"> </w:t>
      </w:r>
      <w:r w:rsidRPr="0071774C">
        <w:t>for</w:t>
      </w:r>
      <w:r>
        <w:t xml:space="preserve"> </w:t>
      </w:r>
      <w:r w:rsidRPr="0071774C">
        <w:t>women</w:t>
      </w:r>
      <w:r>
        <w:t xml:space="preserve"> </w:t>
      </w:r>
      <w:r w:rsidRPr="0071774C">
        <w:t>at</w:t>
      </w:r>
      <w:r>
        <w:t xml:space="preserve"> </w:t>
      </w:r>
      <w:r w:rsidRPr="0071774C">
        <w:t>risk)</w:t>
      </w:r>
      <w:r>
        <w:t xml:space="preserve"> </w:t>
      </w:r>
      <w:r w:rsidRPr="0071774C">
        <w:t>and</w:t>
      </w:r>
      <w:r>
        <w:t xml:space="preserve"> </w:t>
      </w:r>
      <w:r w:rsidRPr="0071774C">
        <w:t>primary</w:t>
      </w:r>
      <w:r>
        <w:t xml:space="preserve"> </w:t>
      </w:r>
      <w:r w:rsidRPr="0071774C">
        <w:t>prevention</w:t>
      </w:r>
      <w:r>
        <w:t xml:space="preserve"> </w:t>
      </w:r>
      <w:r w:rsidRPr="0071774C">
        <w:t>(education</w:t>
      </w:r>
      <w:r>
        <w:t xml:space="preserve"> </w:t>
      </w:r>
      <w:r w:rsidRPr="0071774C">
        <w:t>programs</w:t>
      </w:r>
      <w:r>
        <w:t xml:space="preserve"> </w:t>
      </w:r>
      <w:r w:rsidRPr="0071774C">
        <w:t>for</w:t>
      </w:r>
      <w:r>
        <w:t xml:space="preserve"> </w:t>
      </w:r>
      <w:r w:rsidRPr="0071774C">
        <w:t>young</w:t>
      </w:r>
      <w:r>
        <w:t xml:space="preserve"> </w:t>
      </w:r>
      <w:r w:rsidRPr="0071774C">
        <w:t>people).</w:t>
      </w:r>
    </w:p>
    <w:p w14:paraId="1F9CC5E9" w14:textId="77777777" w:rsidR="002C2EC7" w:rsidRDefault="002C2EC7" w:rsidP="00790783">
      <w:pPr>
        <w:pStyle w:val="Heading6"/>
      </w:pPr>
      <w:r w:rsidRPr="0071774C">
        <w:t>Examples</w:t>
      </w:r>
      <w:r>
        <w:t xml:space="preserve"> </w:t>
      </w:r>
      <w:r w:rsidRPr="0071774C">
        <w:t>of</w:t>
      </w:r>
      <w:r>
        <w:t xml:space="preserve"> </w:t>
      </w:r>
      <w:r w:rsidRPr="0071774C">
        <w:t>roles</w:t>
      </w:r>
      <w:r>
        <w:t xml:space="preserve"> </w:t>
      </w:r>
      <w:r w:rsidRPr="0071774C">
        <w:t>with</w:t>
      </w:r>
      <w:r>
        <w:t xml:space="preserve"> </w:t>
      </w:r>
      <w:r w:rsidRPr="0071774C">
        <w:t>reference</w:t>
      </w:r>
      <w:r>
        <w:t xml:space="preserve"> </w:t>
      </w:r>
      <w:r w:rsidRPr="0071774C">
        <w:t>to</w:t>
      </w:r>
      <w:r>
        <w:t xml:space="preserve"> </w:t>
      </w:r>
      <w:r w:rsidRPr="0071774C">
        <w:t>settings</w:t>
      </w:r>
    </w:p>
    <w:p w14:paraId="5C6139C2" w14:textId="77777777" w:rsidR="002C2EC7" w:rsidRPr="00ED4674" w:rsidRDefault="002C2EC7" w:rsidP="00790783">
      <w:pPr>
        <w:pStyle w:val="Quote"/>
        <w:rPr>
          <w:rStyle w:val="Emphasis"/>
        </w:rPr>
      </w:pPr>
      <w:r w:rsidRPr="00ED4674">
        <w:rPr>
          <w:rStyle w:val="Emphasis"/>
        </w:rPr>
        <w:t>‘Creating art that opens discussions on gender and primary prevention …’</w:t>
      </w:r>
    </w:p>
    <w:p w14:paraId="18F1B792" w14:textId="18BBF828" w:rsidR="002C2EC7" w:rsidRPr="00ED4674" w:rsidRDefault="002C2EC7" w:rsidP="00790783">
      <w:pPr>
        <w:pStyle w:val="Quote"/>
        <w:rPr>
          <w:rStyle w:val="Emphasis"/>
        </w:rPr>
      </w:pPr>
      <w:r w:rsidRPr="00ED4674">
        <w:rPr>
          <w:rStyle w:val="Emphasis"/>
        </w:rPr>
        <w:t>‘Co-design process with service providers to adopt new strategies created to embed key messages of gender equality into their service delivery and workforce’</w:t>
      </w:r>
    </w:p>
    <w:p w14:paraId="0C1C2BB1" w14:textId="77777777" w:rsidR="002C2EC7" w:rsidRDefault="002C2EC7" w:rsidP="00790783">
      <w:pPr>
        <w:pStyle w:val="Heading6"/>
      </w:pPr>
      <w:r w:rsidRPr="0071774C">
        <w:t>Examples</w:t>
      </w:r>
      <w:r>
        <w:t xml:space="preserve"> </w:t>
      </w:r>
      <w:r w:rsidRPr="0071774C">
        <w:t>of</w:t>
      </w:r>
      <w:r>
        <w:t xml:space="preserve"> </w:t>
      </w:r>
      <w:r w:rsidRPr="0071774C">
        <w:t>roles</w:t>
      </w:r>
      <w:r>
        <w:t xml:space="preserve"> </w:t>
      </w:r>
      <w:r w:rsidRPr="0071774C">
        <w:t>with</w:t>
      </w:r>
      <w:r>
        <w:t xml:space="preserve"> </w:t>
      </w:r>
      <w:r w:rsidRPr="0071774C">
        <w:t>reference</w:t>
      </w:r>
      <w:r>
        <w:t xml:space="preserve"> </w:t>
      </w:r>
      <w:r w:rsidRPr="0071774C">
        <w:t>to</w:t>
      </w:r>
      <w:r>
        <w:t xml:space="preserve"> </w:t>
      </w:r>
      <w:r w:rsidRPr="0071774C">
        <w:t>techniques</w:t>
      </w:r>
    </w:p>
    <w:p w14:paraId="2FC4DC00" w14:textId="77777777" w:rsidR="002C2EC7" w:rsidRPr="00ED4674" w:rsidRDefault="002C2EC7" w:rsidP="00790783">
      <w:pPr>
        <w:pStyle w:val="Quote"/>
        <w:rPr>
          <w:rStyle w:val="Emphasis"/>
        </w:rPr>
      </w:pPr>
      <w:r w:rsidRPr="00ED4674">
        <w:rPr>
          <w:rStyle w:val="Emphasis"/>
        </w:rPr>
        <w:t>‘Education programs for young people, training for the DFV sector, awareness raising campaigns for women at risk’</w:t>
      </w:r>
    </w:p>
    <w:p w14:paraId="2E38B668" w14:textId="77777777" w:rsidR="002C2EC7" w:rsidRPr="00ED4674" w:rsidRDefault="002C2EC7" w:rsidP="00790783">
      <w:pPr>
        <w:pStyle w:val="Quote"/>
        <w:rPr>
          <w:rStyle w:val="Emphasis"/>
        </w:rPr>
      </w:pPr>
      <w:r w:rsidRPr="00ED4674">
        <w:rPr>
          <w:rStyle w:val="Emphasis"/>
        </w:rPr>
        <w:t>‘Support primary and secondary schools to implement Respectful Relationships Education’</w:t>
      </w:r>
    </w:p>
    <w:p w14:paraId="50BA756B" w14:textId="261570F2" w:rsidR="002C2EC7" w:rsidRPr="00ED4674" w:rsidRDefault="002C2EC7" w:rsidP="00790783">
      <w:pPr>
        <w:pStyle w:val="Quote"/>
        <w:rPr>
          <w:rStyle w:val="Emphasis"/>
        </w:rPr>
      </w:pPr>
      <w:r w:rsidRPr="00ED4674">
        <w:rPr>
          <w:rStyle w:val="Emphasis"/>
        </w:rPr>
        <w:t>‘Community education concerning forced marriage and other forms of modern slavery; community education regarding Female Genital Mutilation/Cutting [sic]; community nonviolence workshops</w:t>
      </w:r>
      <w:r w:rsidR="603C95B0" w:rsidRPr="24ED14A9">
        <w:rPr>
          <w:rStyle w:val="Emphasis"/>
        </w:rPr>
        <w:t xml:space="preserve"> </w:t>
      </w:r>
      <w:r w:rsidR="000B1C66">
        <w:rPr>
          <w:rStyle w:val="Emphasis"/>
        </w:rPr>
        <w:t>…</w:t>
      </w:r>
      <w:r w:rsidRPr="00ED4674">
        <w:rPr>
          <w:rStyle w:val="Emphasis"/>
        </w:rPr>
        <w:t>’</w:t>
      </w:r>
    </w:p>
    <w:p w14:paraId="1C376835" w14:textId="77777777" w:rsidR="002C2EC7" w:rsidRDefault="002C2EC7" w:rsidP="00790783">
      <w:pPr>
        <w:pStyle w:val="Heading5"/>
      </w:pPr>
      <w:bookmarkStart w:id="47" w:name="_Toc41559726"/>
      <w:r w:rsidRPr="0071774C">
        <w:t>Funding</w:t>
      </w:r>
      <w:r>
        <w:t xml:space="preserve"> </w:t>
      </w:r>
      <w:r w:rsidRPr="0071774C">
        <w:t>for</w:t>
      </w:r>
      <w:r>
        <w:t xml:space="preserve"> </w:t>
      </w:r>
      <w:r w:rsidRPr="0071774C">
        <w:t>primary</w:t>
      </w:r>
      <w:r>
        <w:t xml:space="preserve"> </w:t>
      </w:r>
      <w:r w:rsidRPr="0071774C">
        <w:t>prevention</w:t>
      </w:r>
      <w:bookmarkEnd w:id="47"/>
    </w:p>
    <w:p w14:paraId="14A58708" w14:textId="6FCEF034" w:rsidR="002C2EC7" w:rsidRDefault="002C2EC7" w:rsidP="00790783">
      <w:pPr>
        <w:pStyle w:val="BodyText"/>
      </w:pPr>
      <w:r>
        <w:t>T</w:t>
      </w:r>
      <w:r w:rsidRPr="0071774C">
        <w:t>o</w:t>
      </w:r>
      <w:r>
        <w:t xml:space="preserve"> </w:t>
      </w:r>
      <w:r w:rsidRPr="0071774C">
        <w:t>provide</w:t>
      </w:r>
      <w:r>
        <w:t xml:space="preserve"> </w:t>
      </w:r>
      <w:r w:rsidRPr="0071774C">
        <w:t>leadership,</w:t>
      </w:r>
      <w:r>
        <w:t xml:space="preserve"> </w:t>
      </w:r>
      <w:r w:rsidRPr="0071774C">
        <w:t>technical</w:t>
      </w:r>
      <w:r>
        <w:t xml:space="preserve"> </w:t>
      </w:r>
      <w:r w:rsidRPr="0071774C">
        <w:t>assistance,</w:t>
      </w:r>
      <w:r>
        <w:t xml:space="preserve"> </w:t>
      </w:r>
      <w:r w:rsidRPr="0071774C">
        <w:t>program</w:t>
      </w:r>
      <w:r>
        <w:t xml:space="preserve"> </w:t>
      </w:r>
      <w:r w:rsidRPr="0071774C">
        <w:t>development</w:t>
      </w:r>
      <w:r>
        <w:t xml:space="preserve"> </w:t>
      </w:r>
      <w:r w:rsidRPr="0071774C">
        <w:t>and</w:t>
      </w:r>
      <w:r>
        <w:t xml:space="preserve"> </w:t>
      </w:r>
      <w:r w:rsidRPr="0071774C">
        <w:t>policy</w:t>
      </w:r>
      <w:r>
        <w:t xml:space="preserve"> </w:t>
      </w:r>
      <w:r w:rsidRPr="0071774C">
        <w:t>support</w:t>
      </w:r>
      <w:r>
        <w:t xml:space="preserve">, the primary prevention </w:t>
      </w:r>
      <w:r w:rsidRPr="0071774C">
        <w:t>workforce</w:t>
      </w:r>
      <w:r>
        <w:t xml:space="preserve"> </w:t>
      </w:r>
      <w:r w:rsidRPr="0071774C">
        <w:t>depends</w:t>
      </w:r>
      <w:r>
        <w:t xml:space="preserve"> </w:t>
      </w:r>
      <w:r w:rsidRPr="0071774C">
        <w:t>on</w:t>
      </w:r>
      <w:r>
        <w:t xml:space="preserve"> </w:t>
      </w:r>
      <w:r w:rsidRPr="0071774C">
        <w:t>workforce</w:t>
      </w:r>
      <w:r>
        <w:t xml:space="preserve"> </w:t>
      </w:r>
      <w:r w:rsidRPr="0071774C">
        <w:t>and</w:t>
      </w:r>
      <w:r>
        <w:t xml:space="preserve"> </w:t>
      </w:r>
      <w:r w:rsidRPr="0071774C">
        <w:t>organisational</w:t>
      </w:r>
      <w:r>
        <w:t xml:space="preserve"> </w:t>
      </w:r>
      <w:r w:rsidRPr="0071774C">
        <w:t>development</w:t>
      </w:r>
      <w:r>
        <w:t xml:space="preserve"> </w:t>
      </w:r>
      <w:r w:rsidRPr="0071774C">
        <w:t>that</w:t>
      </w:r>
      <w:r>
        <w:t xml:space="preserve"> </w:t>
      </w:r>
      <w:r w:rsidRPr="0071774C">
        <w:t>is</w:t>
      </w:r>
      <w:r w:rsidR="00C11BA2">
        <w:t> </w:t>
      </w:r>
      <w:r w:rsidRPr="0071774C">
        <w:t>underpinned</w:t>
      </w:r>
      <w:r>
        <w:t xml:space="preserve"> </w:t>
      </w:r>
      <w:r w:rsidRPr="0071774C">
        <w:t>by</w:t>
      </w:r>
      <w:r>
        <w:t xml:space="preserve"> </w:t>
      </w:r>
      <w:r w:rsidRPr="0071774C">
        <w:t>ongoing</w:t>
      </w:r>
      <w:r>
        <w:t xml:space="preserve"> </w:t>
      </w:r>
      <w:r w:rsidRPr="0071774C">
        <w:t>primary</w:t>
      </w:r>
      <w:r>
        <w:t xml:space="preserve"> </w:t>
      </w:r>
      <w:r w:rsidRPr="0071774C">
        <w:t>prevention</w:t>
      </w:r>
      <w:r>
        <w:t xml:space="preserve"> </w:t>
      </w:r>
      <w:r w:rsidRPr="0071774C">
        <w:t>investment.</w:t>
      </w:r>
      <w:r>
        <w:t xml:space="preserve"> </w:t>
      </w:r>
      <w:r w:rsidRPr="0071774C">
        <w:t>The</w:t>
      </w:r>
      <w:r>
        <w:t xml:space="preserve"> </w:t>
      </w:r>
      <w:r w:rsidRPr="0071774C">
        <w:t>survey</w:t>
      </w:r>
      <w:r>
        <w:t xml:space="preserve"> </w:t>
      </w:r>
      <w:r w:rsidRPr="0071774C">
        <w:t>findings</w:t>
      </w:r>
      <w:r>
        <w:t xml:space="preserve"> </w:t>
      </w:r>
      <w:r w:rsidRPr="0071774C">
        <w:t>indicated</w:t>
      </w:r>
      <w:r>
        <w:t xml:space="preserve"> </w:t>
      </w:r>
      <w:r w:rsidRPr="0071774C">
        <w:t>that</w:t>
      </w:r>
      <w:r>
        <w:t xml:space="preserve"> </w:t>
      </w:r>
      <w:r w:rsidRPr="0071774C">
        <w:t>just</w:t>
      </w:r>
      <w:r>
        <w:t xml:space="preserve"> </w:t>
      </w:r>
      <w:r w:rsidRPr="0071774C">
        <w:t>over</w:t>
      </w:r>
      <w:r>
        <w:t xml:space="preserve"> </w:t>
      </w:r>
      <w:r w:rsidRPr="0071774C">
        <w:t>half</w:t>
      </w:r>
      <w:r>
        <w:t xml:space="preserve"> </w:t>
      </w:r>
      <w:r w:rsidRPr="0071774C">
        <w:t>of</w:t>
      </w:r>
      <w:r>
        <w:t xml:space="preserve"> </w:t>
      </w:r>
      <w:r w:rsidRPr="0071774C">
        <w:t>the</w:t>
      </w:r>
      <w:r>
        <w:t xml:space="preserve"> </w:t>
      </w:r>
      <w:r w:rsidRPr="0071774C">
        <w:t>respondents</w:t>
      </w:r>
      <w:r>
        <w:t xml:space="preserve"> </w:t>
      </w:r>
      <w:r w:rsidRPr="0071774C">
        <w:t>work</w:t>
      </w:r>
      <w:r>
        <w:t xml:space="preserve"> </w:t>
      </w:r>
      <w:r w:rsidRPr="0071774C">
        <w:t>for</w:t>
      </w:r>
      <w:r>
        <w:t xml:space="preserve"> </w:t>
      </w:r>
      <w:r w:rsidRPr="0071774C">
        <w:t>an</w:t>
      </w:r>
      <w:r>
        <w:t xml:space="preserve"> </w:t>
      </w:r>
      <w:r w:rsidRPr="0071774C">
        <w:t>organisation</w:t>
      </w:r>
      <w:r>
        <w:t xml:space="preserve"> </w:t>
      </w:r>
      <w:r w:rsidRPr="0071774C">
        <w:t>that</w:t>
      </w:r>
      <w:r>
        <w:t xml:space="preserve"> </w:t>
      </w:r>
      <w:r w:rsidRPr="0071774C">
        <w:t>has</w:t>
      </w:r>
      <w:r>
        <w:t xml:space="preserve"> </w:t>
      </w:r>
      <w:r w:rsidRPr="0071774C">
        <w:t>received</w:t>
      </w:r>
      <w:r>
        <w:t xml:space="preserve"> </w:t>
      </w:r>
      <w:r w:rsidRPr="0071774C">
        <w:t>funding</w:t>
      </w:r>
      <w:r>
        <w:t xml:space="preserve"> </w:t>
      </w:r>
      <w:r w:rsidRPr="0071774C">
        <w:t>for</w:t>
      </w:r>
      <w:r>
        <w:t xml:space="preserve"> </w:t>
      </w:r>
      <w:r w:rsidRPr="0071774C">
        <w:t>the</w:t>
      </w:r>
      <w:r>
        <w:t xml:space="preserve"> </w:t>
      </w:r>
      <w:r w:rsidRPr="0071774C">
        <w:t>primary</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Just</w:t>
      </w:r>
      <w:r>
        <w:t xml:space="preserve"> </w:t>
      </w:r>
      <w:r w:rsidRPr="0071774C">
        <w:t>under</w:t>
      </w:r>
      <w:r>
        <w:t xml:space="preserve"> </w:t>
      </w:r>
      <w:r w:rsidRPr="0071774C">
        <w:t>a</w:t>
      </w:r>
      <w:r>
        <w:t xml:space="preserve"> </w:t>
      </w:r>
      <w:r w:rsidRPr="0071774C">
        <w:t>quarter</w:t>
      </w:r>
      <w:r>
        <w:t xml:space="preserve"> </w:t>
      </w:r>
      <w:r w:rsidRPr="0071774C">
        <w:t>reported</w:t>
      </w:r>
      <w:r>
        <w:t xml:space="preserve"> </w:t>
      </w:r>
      <w:r w:rsidRPr="0071774C">
        <w:t>that</w:t>
      </w:r>
      <w:r>
        <w:t xml:space="preserve"> </w:t>
      </w:r>
      <w:r w:rsidRPr="0071774C">
        <w:t>their</w:t>
      </w:r>
      <w:r>
        <w:t xml:space="preserve"> </w:t>
      </w:r>
      <w:r w:rsidRPr="0071774C">
        <w:t>organisation</w:t>
      </w:r>
      <w:r>
        <w:t xml:space="preserve"> </w:t>
      </w:r>
      <w:r w:rsidRPr="0071774C">
        <w:t>had</w:t>
      </w:r>
      <w:r>
        <w:t xml:space="preserve"> </w:t>
      </w:r>
      <w:r w:rsidRPr="0071774C">
        <w:t>not</w:t>
      </w:r>
      <w:r>
        <w:t xml:space="preserve"> </w:t>
      </w:r>
      <w:r w:rsidRPr="0071774C">
        <w:t>received</w:t>
      </w:r>
      <w:r>
        <w:t xml:space="preserve"> </w:t>
      </w:r>
      <w:r w:rsidRPr="0071774C">
        <w:t>funding</w:t>
      </w:r>
      <w:r>
        <w:t xml:space="preserve"> </w:t>
      </w:r>
      <w:r w:rsidRPr="0071774C">
        <w:t>for</w:t>
      </w:r>
      <w:r>
        <w:t xml:space="preserve"> </w:t>
      </w:r>
      <w:r w:rsidRPr="0071774C">
        <w:t>this</w:t>
      </w:r>
      <w:r>
        <w:t xml:space="preserve"> </w:t>
      </w:r>
      <w:r w:rsidRPr="0071774C">
        <w:t>purpose.</w:t>
      </w:r>
      <w:r>
        <w:t xml:space="preserve"> </w:t>
      </w:r>
      <w:r w:rsidRPr="0071774C">
        <w:t>The</w:t>
      </w:r>
      <w:r>
        <w:t xml:space="preserve"> </w:t>
      </w:r>
      <w:r w:rsidRPr="0071774C">
        <w:t>remaining</w:t>
      </w:r>
      <w:r>
        <w:t xml:space="preserve"> </w:t>
      </w:r>
      <w:r w:rsidRPr="0071774C">
        <w:t>were</w:t>
      </w:r>
      <w:r>
        <w:t xml:space="preserve"> </w:t>
      </w:r>
      <w:r w:rsidRPr="0071774C">
        <w:t>either</w:t>
      </w:r>
      <w:r>
        <w:t xml:space="preserve"> </w:t>
      </w:r>
      <w:r w:rsidRPr="0071774C">
        <w:t>unsure</w:t>
      </w:r>
      <w:r>
        <w:t xml:space="preserve"> </w:t>
      </w:r>
      <w:r w:rsidRPr="0071774C">
        <w:t>or</w:t>
      </w:r>
      <w:r>
        <w:t xml:space="preserve"> </w:t>
      </w:r>
      <w:r w:rsidRPr="0071774C">
        <w:t>selected</w:t>
      </w:r>
      <w:r>
        <w:t xml:space="preserve"> ‘</w:t>
      </w:r>
      <w:r w:rsidRPr="0071774C">
        <w:t>not</w:t>
      </w:r>
      <w:r>
        <w:t xml:space="preserve"> </w:t>
      </w:r>
      <w:r w:rsidRPr="0071774C">
        <w:t>applicable</w:t>
      </w:r>
      <w:r>
        <w:t>’.</w:t>
      </w:r>
      <w:r w:rsidRPr="00D8674A">
        <w:rPr>
          <w:rStyle w:val="OWSuperscript"/>
        </w:rPr>
        <w:footnoteReference w:id="7"/>
      </w:r>
    </w:p>
    <w:p w14:paraId="2D3A0637" w14:textId="77777777" w:rsidR="002C2EC7" w:rsidRDefault="002C2EC7" w:rsidP="00790783">
      <w:pPr>
        <w:pStyle w:val="BodyText"/>
      </w:pPr>
      <w:r w:rsidRPr="0071774C">
        <w:t>Those</w:t>
      </w:r>
      <w:r>
        <w:t xml:space="preserve"> </w:t>
      </w:r>
      <w:r w:rsidRPr="0071774C">
        <w:t>who</w:t>
      </w:r>
      <w:r>
        <w:t xml:space="preserve"> </w:t>
      </w:r>
      <w:r w:rsidRPr="0071774C">
        <w:t>specified</w:t>
      </w:r>
      <w:r>
        <w:t xml:space="preserve"> </w:t>
      </w:r>
      <w:r w:rsidRPr="0071774C">
        <w:t>where</w:t>
      </w:r>
      <w:r>
        <w:t xml:space="preserve"> </w:t>
      </w:r>
      <w:r w:rsidRPr="0071774C">
        <w:t>their</w:t>
      </w:r>
      <w:r>
        <w:t xml:space="preserve"> </w:t>
      </w:r>
      <w:r w:rsidRPr="0071774C">
        <w:t>organisation’s</w:t>
      </w:r>
      <w:r>
        <w:t xml:space="preserve"> </w:t>
      </w:r>
      <w:r w:rsidRPr="0071774C">
        <w:t>funding</w:t>
      </w:r>
      <w:r>
        <w:t xml:space="preserve"> </w:t>
      </w:r>
      <w:r w:rsidRPr="0071774C">
        <w:t>for</w:t>
      </w:r>
      <w:r>
        <w:t xml:space="preserve"> </w:t>
      </w:r>
      <w:r w:rsidRPr="0071774C">
        <w:t>primary</w:t>
      </w:r>
      <w:r>
        <w:t xml:space="preserve"> </w:t>
      </w:r>
      <w:r w:rsidRPr="0071774C">
        <w:t>prevention</w:t>
      </w:r>
      <w:r>
        <w:t xml:space="preserve"> </w:t>
      </w:r>
      <w:r w:rsidRPr="0071774C">
        <w:t>came</w:t>
      </w:r>
      <w:r>
        <w:t xml:space="preserve"> </w:t>
      </w:r>
      <w:r w:rsidRPr="0071774C">
        <w:t>from</w:t>
      </w:r>
      <w:r>
        <w:t xml:space="preserve"> </w:t>
      </w:r>
      <w:r w:rsidRPr="0071774C">
        <w:t>cited</w:t>
      </w:r>
      <w:r>
        <w:t xml:space="preserve"> </w:t>
      </w:r>
      <w:r w:rsidRPr="0071774C">
        <w:t>a</w:t>
      </w:r>
      <w:r>
        <w:t xml:space="preserve"> </w:t>
      </w:r>
      <w:r w:rsidRPr="0071774C">
        <w:t>range</w:t>
      </w:r>
      <w:r>
        <w:t xml:space="preserve"> </w:t>
      </w:r>
      <w:r w:rsidRPr="0071774C">
        <w:t>of</w:t>
      </w:r>
      <w:r>
        <w:t xml:space="preserve"> s</w:t>
      </w:r>
      <w:r w:rsidRPr="0071774C">
        <w:t>tate/</w:t>
      </w:r>
      <w:r>
        <w:t>t</w:t>
      </w:r>
      <w:r w:rsidRPr="0071774C">
        <w:t>erritory</w:t>
      </w:r>
      <w:r>
        <w:t xml:space="preserve"> </w:t>
      </w:r>
      <w:r w:rsidRPr="0071774C">
        <w:t>and</w:t>
      </w:r>
      <w:r>
        <w:t xml:space="preserve"> </w:t>
      </w:r>
      <w:r w:rsidRPr="0071774C">
        <w:t>federal</w:t>
      </w:r>
      <w:r>
        <w:t xml:space="preserve"> </w:t>
      </w:r>
      <w:r w:rsidRPr="0071774C">
        <w:t>government</w:t>
      </w:r>
      <w:r>
        <w:t xml:space="preserve"> </w:t>
      </w:r>
      <w:r w:rsidRPr="0071774C">
        <w:t>departments,</w:t>
      </w:r>
      <w:r>
        <w:t xml:space="preserve"> </w:t>
      </w:r>
      <w:r w:rsidRPr="0071774C">
        <w:t>primarily</w:t>
      </w:r>
      <w:r>
        <w:t xml:space="preserve"> </w:t>
      </w:r>
      <w:r w:rsidRPr="0071774C">
        <w:t>health,</w:t>
      </w:r>
      <w:r>
        <w:t xml:space="preserve"> </w:t>
      </w:r>
      <w:r w:rsidRPr="0071774C">
        <w:t>communities</w:t>
      </w:r>
      <w:r>
        <w:t xml:space="preserve"> </w:t>
      </w:r>
      <w:r w:rsidRPr="0071774C">
        <w:t>and</w:t>
      </w:r>
      <w:r>
        <w:t xml:space="preserve"> </w:t>
      </w:r>
      <w:r w:rsidRPr="0071774C">
        <w:t>social</w:t>
      </w:r>
      <w:r>
        <w:t xml:space="preserve"> </w:t>
      </w:r>
      <w:r w:rsidRPr="0071774C">
        <w:t>services</w:t>
      </w:r>
      <w:r>
        <w:t xml:space="preserve"> </w:t>
      </w:r>
      <w:r w:rsidRPr="0071774C">
        <w:t>departments</w:t>
      </w:r>
      <w:r>
        <w:t xml:space="preserve"> </w:t>
      </w:r>
      <w:r w:rsidRPr="0071774C">
        <w:t>and</w:t>
      </w:r>
      <w:r>
        <w:t xml:space="preserve"> </w:t>
      </w:r>
      <w:r w:rsidRPr="0071774C">
        <w:t>women’s</w:t>
      </w:r>
      <w:r>
        <w:t xml:space="preserve"> </w:t>
      </w:r>
      <w:r w:rsidRPr="0071774C">
        <w:t>offices.</w:t>
      </w:r>
      <w:r>
        <w:t xml:space="preserve"> </w:t>
      </w:r>
      <w:r w:rsidRPr="0071774C">
        <w:rPr>
          <w:bCs/>
        </w:rPr>
        <w:t>Just</w:t>
      </w:r>
      <w:r>
        <w:rPr>
          <w:bCs/>
        </w:rPr>
        <w:t xml:space="preserve"> </w:t>
      </w:r>
      <w:r w:rsidRPr="0071774C">
        <w:rPr>
          <w:bCs/>
        </w:rPr>
        <w:t>under</w:t>
      </w:r>
      <w:r>
        <w:rPr>
          <w:bCs/>
        </w:rPr>
        <w:t xml:space="preserve"> </w:t>
      </w:r>
      <w:r w:rsidRPr="0071774C">
        <w:rPr>
          <w:bCs/>
        </w:rPr>
        <w:t>one</w:t>
      </w:r>
      <w:r>
        <w:rPr>
          <w:bCs/>
        </w:rPr>
        <w:t xml:space="preserve"> </w:t>
      </w:r>
      <w:r w:rsidRPr="0071774C">
        <w:rPr>
          <w:bCs/>
        </w:rPr>
        <w:t>quarter</w:t>
      </w:r>
      <w:r>
        <w:rPr>
          <w:bCs/>
        </w:rPr>
        <w:t xml:space="preserve"> </w:t>
      </w:r>
      <w:r w:rsidRPr="0071774C">
        <w:rPr>
          <w:bCs/>
        </w:rPr>
        <w:t>of</w:t>
      </w:r>
      <w:r>
        <w:rPr>
          <w:bCs/>
        </w:rPr>
        <w:t xml:space="preserve"> </w:t>
      </w:r>
      <w:r w:rsidRPr="0071774C">
        <w:rPr>
          <w:bCs/>
        </w:rPr>
        <w:t>respondents</w:t>
      </w:r>
      <w:r>
        <w:rPr>
          <w:bCs/>
        </w:rPr>
        <w:t xml:space="preserve"> </w:t>
      </w:r>
      <w:r w:rsidRPr="0071774C">
        <w:rPr>
          <w:bCs/>
        </w:rPr>
        <w:t>work</w:t>
      </w:r>
      <w:r>
        <w:rPr>
          <w:bCs/>
        </w:rPr>
        <w:t xml:space="preserve"> </w:t>
      </w:r>
      <w:r w:rsidRPr="0071774C">
        <w:rPr>
          <w:bCs/>
        </w:rPr>
        <w:t>for</w:t>
      </w:r>
      <w:r>
        <w:rPr>
          <w:bCs/>
        </w:rPr>
        <w:t xml:space="preserve"> </w:t>
      </w:r>
      <w:r w:rsidRPr="0071774C">
        <w:rPr>
          <w:bCs/>
        </w:rPr>
        <w:t>an</w:t>
      </w:r>
      <w:r>
        <w:rPr>
          <w:bCs/>
        </w:rPr>
        <w:t xml:space="preserve"> </w:t>
      </w:r>
      <w:r w:rsidRPr="0071774C">
        <w:rPr>
          <w:bCs/>
        </w:rPr>
        <w:t>organisation</w:t>
      </w:r>
      <w:r>
        <w:rPr>
          <w:bCs/>
        </w:rPr>
        <w:t xml:space="preserve"> </w:t>
      </w:r>
      <w:r w:rsidRPr="0071774C">
        <w:rPr>
          <w:bCs/>
        </w:rPr>
        <w:t>that</w:t>
      </w:r>
      <w:r>
        <w:rPr>
          <w:bCs/>
        </w:rPr>
        <w:t xml:space="preserve"> </w:t>
      </w:r>
      <w:r w:rsidRPr="0071774C">
        <w:rPr>
          <w:bCs/>
        </w:rPr>
        <w:t>is</w:t>
      </w:r>
      <w:r>
        <w:rPr>
          <w:bCs/>
        </w:rPr>
        <w:t xml:space="preserve"> </w:t>
      </w:r>
      <w:r w:rsidRPr="0071774C">
        <w:rPr>
          <w:bCs/>
        </w:rPr>
        <w:t>providing</w:t>
      </w:r>
      <w:r>
        <w:rPr>
          <w:bCs/>
        </w:rPr>
        <w:t xml:space="preserve"> </w:t>
      </w:r>
      <w:r w:rsidRPr="0071774C">
        <w:rPr>
          <w:bCs/>
        </w:rPr>
        <w:t>services</w:t>
      </w:r>
      <w:r>
        <w:rPr>
          <w:bCs/>
        </w:rPr>
        <w:t xml:space="preserve"> </w:t>
      </w:r>
      <w:r w:rsidRPr="0071774C">
        <w:rPr>
          <w:bCs/>
        </w:rPr>
        <w:t>to</w:t>
      </w:r>
      <w:r>
        <w:rPr>
          <w:bCs/>
        </w:rPr>
        <w:t xml:space="preserve"> </w:t>
      </w:r>
      <w:r w:rsidRPr="0071774C">
        <w:rPr>
          <w:bCs/>
        </w:rPr>
        <w:t>organisations</w:t>
      </w:r>
      <w:r>
        <w:rPr>
          <w:bCs/>
        </w:rPr>
        <w:t xml:space="preserve"> </w:t>
      </w:r>
      <w:r w:rsidRPr="0071774C">
        <w:rPr>
          <w:bCs/>
        </w:rPr>
        <w:t>or</w:t>
      </w:r>
      <w:r>
        <w:rPr>
          <w:bCs/>
        </w:rPr>
        <w:t xml:space="preserve"> </w:t>
      </w:r>
      <w:r w:rsidRPr="0071774C">
        <w:rPr>
          <w:bCs/>
        </w:rPr>
        <w:t>individuals</w:t>
      </w:r>
      <w:r>
        <w:rPr>
          <w:bCs/>
        </w:rPr>
        <w:t xml:space="preserve"> </w:t>
      </w:r>
      <w:r w:rsidRPr="0071774C">
        <w:rPr>
          <w:bCs/>
        </w:rPr>
        <w:t>that</w:t>
      </w:r>
      <w:r>
        <w:rPr>
          <w:bCs/>
        </w:rPr>
        <w:t xml:space="preserve"> </w:t>
      </w:r>
      <w:r w:rsidRPr="0071774C">
        <w:rPr>
          <w:bCs/>
        </w:rPr>
        <w:t>they</w:t>
      </w:r>
      <w:r>
        <w:rPr>
          <w:bCs/>
        </w:rPr>
        <w:t xml:space="preserve"> </w:t>
      </w:r>
      <w:r w:rsidRPr="0071774C">
        <w:rPr>
          <w:bCs/>
        </w:rPr>
        <w:t>are</w:t>
      </w:r>
      <w:r>
        <w:rPr>
          <w:bCs/>
        </w:rPr>
        <w:t xml:space="preserve"> </w:t>
      </w:r>
      <w:r w:rsidRPr="0071774C">
        <w:rPr>
          <w:bCs/>
        </w:rPr>
        <w:t>not</w:t>
      </w:r>
      <w:r>
        <w:rPr>
          <w:bCs/>
        </w:rPr>
        <w:t xml:space="preserve"> </w:t>
      </w:r>
      <w:r w:rsidRPr="0071774C">
        <w:rPr>
          <w:bCs/>
        </w:rPr>
        <w:t>funded</w:t>
      </w:r>
      <w:r>
        <w:rPr>
          <w:bCs/>
        </w:rPr>
        <w:t xml:space="preserve"> </w:t>
      </w:r>
      <w:r w:rsidRPr="0071774C">
        <w:rPr>
          <w:bCs/>
        </w:rPr>
        <w:t>to</w:t>
      </w:r>
      <w:r>
        <w:rPr>
          <w:bCs/>
        </w:rPr>
        <w:t xml:space="preserve"> </w:t>
      </w:r>
      <w:r w:rsidRPr="0071774C">
        <w:rPr>
          <w:bCs/>
        </w:rPr>
        <w:t>deliver</w:t>
      </w:r>
      <w:r>
        <w:rPr>
          <w:bCs/>
        </w:rPr>
        <w:t>.</w:t>
      </w:r>
      <w:r w:rsidRPr="00D8674A">
        <w:rPr>
          <w:rStyle w:val="OWSuperscript"/>
        </w:rPr>
        <w:footnoteReference w:id="8"/>
      </w:r>
    </w:p>
    <w:p w14:paraId="04A08356" w14:textId="77777777" w:rsidR="00C11BA2" w:rsidRPr="00C11BA2" w:rsidRDefault="00C11BA2" w:rsidP="00C11BA2">
      <w:pPr>
        <w:pStyle w:val="BodyText"/>
      </w:pPr>
      <w:r w:rsidRPr="00C11BA2">
        <w:br w:type="page"/>
      </w:r>
    </w:p>
    <w:p w14:paraId="260D2A53" w14:textId="3AA51A3B" w:rsidR="002C2EC7" w:rsidRDefault="002C2EC7" w:rsidP="00790783">
      <w:pPr>
        <w:pStyle w:val="BodyText"/>
      </w:pPr>
      <w:r w:rsidRPr="0071774C">
        <w:lastRenderedPageBreak/>
        <w:t>Half</w:t>
      </w:r>
      <w:r>
        <w:t xml:space="preserve"> </w:t>
      </w:r>
      <w:r w:rsidRPr="0071774C">
        <w:t>of</w:t>
      </w:r>
      <w:r>
        <w:t xml:space="preserve"> </w:t>
      </w:r>
      <w:r w:rsidRPr="0071774C">
        <w:t>the</w:t>
      </w:r>
      <w:r>
        <w:t xml:space="preserve"> </w:t>
      </w:r>
      <w:r w:rsidRPr="0071774C">
        <w:t>respondents</w:t>
      </w:r>
      <w:r>
        <w:t xml:space="preserve"> </w:t>
      </w:r>
      <w:r w:rsidRPr="0071774C">
        <w:t>whose</w:t>
      </w:r>
      <w:r>
        <w:t xml:space="preserve"> </w:t>
      </w:r>
      <w:r w:rsidRPr="0071774C">
        <w:t>organisation</w:t>
      </w:r>
      <w:r>
        <w:t xml:space="preserve"> </w:t>
      </w:r>
      <w:r w:rsidRPr="0071774C">
        <w:t>provides</w:t>
      </w:r>
      <w:r>
        <w:t xml:space="preserve"> </w:t>
      </w:r>
      <w:r w:rsidRPr="0071774C">
        <w:t>services</w:t>
      </w:r>
      <w:r>
        <w:t xml:space="preserve"> </w:t>
      </w:r>
      <w:r w:rsidRPr="0071774C">
        <w:t>without</w:t>
      </w:r>
      <w:r>
        <w:t xml:space="preserve"> </w:t>
      </w:r>
      <w:r w:rsidRPr="0071774C">
        <w:t>funding</w:t>
      </w:r>
      <w:r>
        <w:t xml:space="preserve"> </w:t>
      </w:r>
      <w:r w:rsidRPr="0071774C">
        <w:t>specialise</w:t>
      </w:r>
      <w:r>
        <w:t xml:space="preserve"> </w:t>
      </w:r>
      <w:r w:rsidRPr="0071774C">
        <w:t>in</w:t>
      </w:r>
      <w:r w:rsidR="00C11BA2">
        <w:t> </w:t>
      </w:r>
      <w:r w:rsidRPr="0071774C">
        <w:t>working</w:t>
      </w:r>
      <w:r>
        <w:t xml:space="preserve"> </w:t>
      </w:r>
      <w:r w:rsidRPr="0071774C">
        <w:t>with</w:t>
      </w:r>
      <w:r>
        <w:t xml:space="preserve"> </w:t>
      </w:r>
      <w:r w:rsidR="00E550FF">
        <w:t>specific</w:t>
      </w:r>
      <w:r w:rsidR="002D4C1C">
        <w:t xml:space="preserve"> </w:t>
      </w:r>
      <w:r w:rsidR="00E550FF" w:rsidRPr="0071774C">
        <w:t>communities</w:t>
      </w:r>
      <w:r w:rsidRPr="0071774C">
        <w:t>,</w:t>
      </w:r>
      <w:r>
        <w:t xml:space="preserve"> </w:t>
      </w:r>
      <w:r w:rsidRPr="0071774C">
        <w:t>the</w:t>
      </w:r>
      <w:r>
        <w:t xml:space="preserve"> </w:t>
      </w:r>
      <w:r w:rsidRPr="0071774C">
        <w:t>most</w:t>
      </w:r>
      <w:r>
        <w:t xml:space="preserve"> </w:t>
      </w:r>
      <w:r w:rsidRPr="0071774C">
        <w:t>common</w:t>
      </w:r>
      <w:r>
        <w:t xml:space="preserve"> </w:t>
      </w:r>
      <w:r w:rsidRPr="0071774C">
        <w:t>of</w:t>
      </w:r>
      <w:r>
        <w:t xml:space="preserve"> </w:t>
      </w:r>
      <w:r w:rsidRPr="0071774C">
        <w:t>which</w:t>
      </w:r>
      <w:r>
        <w:t xml:space="preserve"> </w:t>
      </w:r>
      <w:r w:rsidRPr="0071774C">
        <w:t>were:</w:t>
      </w:r>
    </w:p>
    <w:p w14:paraId="621D6A6C" w14:textId="77777777" w:rsidR="002C2EC7" w:rsidRDefault="002C2EC7" w:rsidP="00790783">
      <w:pPr>
        <w:pStyle w:val="OWBullet1"/>
      </w:pPr>
      <w:r>
        <w:t>w</w:t>
      </w:r>
      <w:r w:rsidRPr="0071774C">
        <w:t>omen</w:t>
      </w:r>
      <w:r>
        <w:t xml:space="preserve"> </w:t>
      </w:r>
      <w:r w:rsidRPr="0071774C">
        <w:t>and</w:t>
      </w:r>
      <w:r>
        <w:t xml:space="preserve"> </w:t>
      </w:r>
      <w:r w:rsidRPr="0071774C">
        <w:t>their</w:t>
      </w:r>
      <w:r>
        <w:t xml:space="preserve"> </w:t>
      </w:r>
      <w:r w:rsidRPr="0071774C">
        <w:t>children</w:t>
      </w:r>
    </w:p>
    <w:p w14:paraId="1D889AE3" w14:textId="77777777" w:rsidR="002C2EC7" w:rsidRDefault="002C2EC7" w:rsidP="00790783">
      <w:pPr>
        <w:pStyle w:val="OWBullet1"/>
      </w:pPr>
      <w:r>
        <w:t>m</w:t>
      </w:r>
      <w:r w:rsidRPr="0071774C">
        <w:t>en</w:t>
      </w:r>
    </w:p>
    <w:p w14:paraId="1CAAAE4A" w14:textId="77777777" w:rsidR="002C2EC7" w:rsidRDefault="002C2EC7" w:rsidP="00790783">
      <w:pPr>
        <w:pStyle w:val="OWBullet1"/>
      </w:pPr>
      <w:r>
        <w:t>p</w:t>
      </w:r>
      <w:r w:rsidRPr="0071774C">
        <w:t>eople</w:t>
      </w:r>
      <w:r>
        <w:t xml:space="preserve"> </w:t>
      </w:r>
      <w:r w:rsidRPr="0071774C">
        <w:t>from</w:t>
      </w:r>
      <w:r>
        <w:t xml:space="preserve"> </w:t>
      </w:r>
      <w:r w:rsidRPr="0071774C">
        <w:t>migrant</w:t>
      </w:r>
      <w:r>
        <w:t xml:space="preserve"> </w:t>
      </w:r>
      <w:r w:rsidRPr="0071774C">
        <w:t>or</w:t>
      </w:r>
      <w:r>
        <w:t xml:space="preserve"> </w:t>
      </w:r>
      <w:r w:rsidRPr="0071774C">
        <w:t>refugee</w:t>
      </w:r>
      <w:r>
        <w:t xml:space="preserve"> </w:t>
      </w:r>
      <w:r w:rsidRPr="0071774C">
        <w:t>backgrounds</w:t>
      </w:r>
    </w:p>
    <w:p w14:paraId="5AED0CB8" w14:textId="77777777" w:rsidR="002C2EC7" w:rsidRDefault="002C2EC7" w:rsidP="00790783">
      <w:pPr>
        <w:pStyle w:val="OWBullet1"/>
      </w:pPr>
      <w:r>
        <w:t>p</w:t>
      </w:r>
      <w:r w:rsidRPr="0071774C">
        <w:t>eople</w:t>
      </w:r>
      <w:r>
        <w:t xml:space="preserve"> </w:t>
      </w:r>
      <w:r w:rsidRPr="0071774C">
        <w:t>on</w:t>
      </w:r>
      <w:r>
        <w:t xml:space="preserve"> </w:t>
      </w:r>
      <w:r w:rsidRPr="0071774C">
        <w:t>a</w:t>
      </w:r>
      <w:r>
        <w:t xml:space="preserve"> </w:t>
      </w:r>
      <w:r w:rsidRPr="0071774C">
        <w:t>low</w:t>
      </w:r>
      <w:r>
        <w:t xml:space="preserve"> </w:t>
      </w:r>
      <w:r w:rsidRPr="0071774C">
        <w:t>income/in</w:t>
      </w:r>
      <w:r>
        <w:t xml:space="preserve"> </w:t>
      </w:r>
      <w:r w:rsidRPr="0071774C">
        <w:t>financial</w:t>
      </w:r>
      <w:r>
        <w:t xml:space="preserve"> </w:t>
      </w:r>
      <w:r w:rsidRPr="0071774C">
        <w:t>hardship/homeless</w:t>
      </w:r>
    </w:p>
    <w:p w14:paraId="530DE5C1" w14:textId="77777777" w:rsidR="002C2EC7" w:rsidRDefault="002C2EC7" w:rsidP="00790783">
      <w:pPr>
        <w:pStyle w:val="OWBullet1"/>
      </w:pPr>
      <w:r>
        <w:t>p</w:t>
      </w:r>
      <w:r w:rsidRPr="0071774C">
        <w:t>eople</w:t>
      </w:r>
      <w:r>
        <w:t xml:space="preserve"> </w:t>
      </w:r>
      <w:r w:rsidRPr="0071774C">
        <w:t>from</w:t>
      </w:r>
      <w:r>
        <w:t xml:space="preserve"> </w:t>
      </w:r>
      <w:r w:rsidRPr="0071774C">
        <w:t>LGBTIQ+</w:t>
      </w:r>
      <w:r>
        <w:t xml:space="preserve"> </w:t>
      </w:r>
      <w:r w:rsidRPr="0071774C">
        <w:t>communities</w:t>
      </w:r>
    </w:p>
    <w:p w14:paraId="57340111" w14:textId="77777777" w:rsidR="002C2EC7" w:rsidRDefault="002C2EC7" w:rsidP="00790783">
      <w:pPr>
        <w:pStyle w:val="OWBullet1"/>
      </w:pPr>
      <w:r>
        <w:t>p</w:t>
      </w:r>
      <w:r w:rsidRPr="0071774C">
        <w:t>eople</w:t>
      </w:r>
      <w:r>
        <w:t xml:space="preserve"> </w:t>
      </w:r>
      <w:r w:rsidRPr="0071774C">
        <w:t>with</w:t>
      </w:r>
      <w:r>
        <w:t xml:space="preserve"> </w:t>
      </w:r>
      <w:r w:rsidRPr="0071774C">
        <w:t>disability</w:t>
      </w:r>
    </w:p>
    <w:p w14:paraId="0119CEDC" w14:textId="77777777" w:rsidR="002C2EC7" w:rsidRDefault="002C2EC7" w:rsidP="00790783">
      <w:pPr>
        <w:pStyle w:val="OWBullet1"/>
      </w:pPr>
      <w:r>
        <w:t>p</w:t>
      </w:r>
      <w:r w:rsidRPr="0071774C">
        <w:t>eople</w:t>
      </w:r>
      <w:r>
        <w:t xml:space="preserve"> </w:t>
      </w:r>
      <w:r w:rsidRPr="0071774C">
        <w:t>experiencing</w:t>
      </w:r>
      <w:r>
        <w:t xml:space="preserve"> </w:t>
      </w:r>
      <w:r w:rsidRPr="0071774C">
        <w:t>violence</w:t>
      </w:r>
      <w:r>
        <w:t>.</w:t>
      </w:r>
    </w:p>
    <w:p w14:paraId="56216DB1" w14:textId="77777777" w:rsidR="002C2EC7" w:rsidRDefault="002C2EC7" w:rsidP="00790783">
      <w:pPr>
        <w:pStyle w:val="OWBodytextafterlist"/>
      </w:pPr>
      <w:r w:rsidRPr="0071774C">
        <w:t>Those</w:t>
      </w:r>
      <w:r>
        <w:t xml:space="preserve"> </w:t>
      </w:r>
      <w:r w:rsidRPr="0071774C">
        <w:t>who</w:t>
      </w:r>
      <w:r>
        <w:t xml:space="preserve"> </w:t>
      </w:r>
      <w:r w:rsidRPr="0071774C">
        <w:t>indicated</w:t>
      </w:r>
      <w:r>
        <w:t xml:space="preserve"> </w:t>
      </w:r>
      <w:r w:rsidRPr="0071774C">
        <w:t>that</w:t>
      </w:r>
      <w:r>
        <w:t xml:space="preserve"> </w:t>
      </w:r>
      <w:r w:rsidRPr="0071774C">
        <w:t>their</w:t>
      </w:r>
      <w:r>
        <w:t xml:space="preserve"> </w:t>
      </w:r>
      <w:r w:rsidRPr="0071774C">
        <w:t>organisation</w:t>
      </w:r>
      <w:r>
        <w:t xml:space="preserve"> </w:t>
      </w:r>
      <w:r w:rsidRPr="0071774C">
        <w:t>is</w:t>
      </w:r>
      <w:r>
        <w:t xml:space="preserve"> </w:t>
      </w:r>
      <w:r w:rsidRPr="0071774C">
        <w:t>delivering</w:t>
      </w:r>
      <w:r>
        <w:t xml:space="preserve"> </w:t>
      </w:r>
      <w:r w:rsidRPr="0071774C">
        <w:t>services</w:t>
      </w:r>
      <w:r>
        <w:t xml:space="preserve"> </w:t>
      </w:r>
      <w:r w:rsidRPr="0071774C">
        <w:t>they</w:t>
      </w:r>
      <w:r>
        <w:t xml:space="preserve"> </w:t>
      </w:r>
      <w:r w:rsidRPr="0071774C">
        <w:t>are</w:t>
      </w:r>
      <w:r>
        <w:t xml:space="preserve"> </w:t>
      </w:r>
      <w:r w:rsidRPr="0071774C">
        <w:t>not</w:t>
      </w:r>
      <w:r>
        <w:t xml:space="preserve"> </w:t>
      </w:r>
      <w:r w:rsidRPr="0071774C">
        <w:t>funded</w:t>
      </w:r>
      <w:r>
        <w:t xml:space="preserve"> </w:t>
      </w:r>
      <w:r w:rsidRPr="0071774C">
        <w:t>to</w:t>
      </w:r>
      <w:r>
        <w:t xml:space="preserve"> </w:t>
      </w:r>
      <w:r w:rsidRPr="0071774C">
        <w:t>deliver</w:t>
      </w:r>
      <w:r>
        <w:t xml:space="preserve"> </w:t>
      </w:r>
      <w:r w:rsidRPr="0071774C">
        <w:t>commonly</w:t>
      </w:r>
      <w:r>
        <w:t xml:space="preserve"> </w:t>
      </w:r>
      <w:r w:rsidRPr="0071774C">
        <w:t>referred</w:t>
      </w:r>
      <w:r>
        <w:t xml:space="preserve"> </w:t>
      </w:r>
      <w:r w:rsidRPr="0071774C">
        <w:t>to</w:t>
      </w:r>
      <w:r>
        <w:t xml:space="preserve"> </w:t>
      </w:r>
      <w:r w:rsidRPr="0071774C">
        <w:t>work</w:t>
      </w:r>
      <w:r>
        <w:t xml:space="preserve"> </w:t>
      </w:r>
      <w:r w:rsidRPr="0071774C">
        <w:t>that</w:t>
      </w:r>
      <w:r>
        <w:t xml:space="preserve"> </w:t>
      </w:r>
      <w:r w:rsidRPr="0071774C">
        <w:t>was</w:t>
      </w:r>
      <w:r>
        <w:t xml:space="preserve"> </w:t>
      </w:r>
      <w:r w:rsidRPr="0071774C">
        <w:t>an</w:t>
      </w:r>
      <w:r>
        <w:t xml:space="preserve"> </w:t>
      </w:r>
      <w:r w:rsidRPr="0071774C">
        <w:t>‘add-on’</w:t>
      </w:r>
      <w:r>
        <w:t xml:space="preserve"> </w:t>
      </w:r>
      <w:r w:rsidRPr="0071774C">
        <w:t>or</w:t>
      </w:r>
      <w:r>
        <w:t xml:space="preserve"> </w:t>
      </w:r>
      <w:r w:rsidRPr="0071774C">
        <w:t>something</w:t>
      </w:r>
      <w:r>
        <w:t xml:space="preserve"> </w:t>
      </w:r>
      <w:r w:rsidRPr="0071774C">
        <w:t>they</w:t>
      </w:r>
      <w:r>
        <w:t xml:space="preserve"> </w:t>
      </w:r>
      <w:r w:rsidRPr="0071774C">
        <w:t>deliver</w:t>
      </w:r>
      <w:r>
        <w:t xml:space="preserve"> </w:t>
      </w:r>
      <w:r w:rsidRPr="0071774C">
        <w:t>‘in-kind’.</w:t>
      </w:r>
      <w:r>
        <w:t xml:space="preserve"> </w:t>
      </w:r>
      <w:r w:rsidRPr="0071774C">
        <w:t>A</w:t>
      </w:r>
      <w:r>
        <w:t xml:space="preserve"> </w:t>
      </w:r>
      <w:r w:rsidRPr="0071774C">
        <w:t>number</w:t>
      </w:r>
      <w:r>
        <w:t xml:space="preserve"> </w:t>
      </w:r>
      <w:r w:rsidRPr="0071774C">
        <w:t>of</w:t>
      </w:r>
      <w:r>
        <w:t xml:space="preserve"> </w:t>
      </w:r>
      <w:r w:rsidRPr="0071774C">
        <w:t>respondents</w:t>
      </w:r>
      <w:r>
        <w:t xml:space="preserve"> </w:t>
      </w:r>
      <w:r w:rsidRPr="0071774C">
        <w:t>in</w:t>
      </w:r>
      <w:r>
        <w:t xml:space="preserve"> </w:t>
      </w:r>
      <w:r w:rsidRPr="0071774C">
        <w:t>this</w:t>
      </w:r>
      <w:r>
        <w:t xml:space="preserve"> </w:t>
      </w:r>
      <w:r w:rsidRPr="0071774C">
        <w:t>category</w:t>
      </w:r>
      <w:r>
        <w:t xml:space="preserve"> </w:t>
      </w:r>
      <w:r w:rsidRPr="0071774C">
        <w:t>stated</w:t>
      </w:r>
      <w:r>
        <w:t xml:space="preserve"> </w:t>
      </w:r>
      <w:r w:rsidRPr="0071774C">
        <w:t>that</w:t>
      </w:r>
      <w:r>
        <w:t xml:space="preserve"> </w:t>
      </w:r>
      <w:r w:rsidRPr="0071774C">
        <w:t>some</w:t>
      </w:r>
      <w:r>
        <w:t xml:space="preserve"> </w:t>
      </w:r>
      <w:r w:rsidRPr="0071774C">
        <w:t>of</w:t>
      </w:r>
      <w:r>
        <w:t xml:space="preserve"> </w:t>
      </w:r>
      <w:r w:rsidRPr="0071774C">
        <w:t>their</w:t>
      </w:r>
      <w:r>
        <w:t xml:space="preserve"> </w:t>
      </w:r>
      <w:r w:rsidRPr="0071774C">
        <w:t>services</w:t>
      </w:r>
      <w:r>
        <w:t xml:space="preserve"> </w:t>
      </w:r>
      <w:r w:rsidRPr="0071774C">
        <w:t>are</w:t>
      </w:r>
      <w:r>
        <w:t xml:space="preserve"> </w:t>
      </w:r>
      <w:r w:rsidRPr="0071774C">
        <w:t>delivered</w:t>
      </w:r>
      <w:r>
        <w:t xml:space="preserve"> </w:t>
      </w:r>
      <w:r w:rsidRPr="0071774C">
        <w:t>through</w:t>
      </w:r>
      <w:r>
        <w:t xml:space="preserve"> </w:t>
      </w:r>
      <w:r w:rsidRPr="0071774C">
        <w:t>a</w:t>
      </w:r>
      <w:r>
        <w:t xml:space="preserve"> </w:t>
      </w:r>
      <w:r w:rsidRPr="0071774C">
        <w:t>‘fee-for-service’</w:t>
      </w:r>
      <w:r>
        <w:t xml:space="preserve"> </w:t>
      </w:r>
      <w:r w:rsidRPr="0071774C">
        <w:t>model,</w:t>
      </w:r>
      <w:r>
        <w:t xml:space="preserve"> </w:t>
      </w:r>
      <w:r w:rsidRPr="0071774C">
        <w:t>at</w:t>
      </w:r>
      <w:r>
        <w:t xml:space="preserve"> </w:t>
      </w:r>
      <w:r w:rsidRPr="0071774C">
        <w:t>times</w:t>
      </w:r>
      <w:r>
        <w:t xml:space="preserve"> </w:t>
      </w:r>
      <w:r w:rsidRPr="0071774C">
        <w:t>because</w:t>
      </w:r>
      <w:r>
        <w:t xml:space="preserve"> </w:t>
      </w:r>
      <w:r w:rsidRPr="0071774C">
        <w:t>funding</w:t>
      </w:r>
      <w:r>
        <w:t xml:space="preserve"> </w:t>
      </w:r>
      <w:r w:rsidRPr="0071774C">
        <w:t>is</w:t>
      </w:r>
      <w:r>
        <w:t xml:space="preserve"> </w:t>
      </w:r>
      <w:r w:rsidRPr="0071774C">
        <w:t>available</w:t>
      </w:r>
      <w:r>
        <w:t xml:space="preserve"> </w:t>
      </w:r>
      <w:r w:rsidRPr="0071774C">
        <w:t>to</w:t>
      </w:r>
      <w:r>
        <w:t xml:space="preserve"> </w:t>
      </w:r>
      <w:r w:rsidRPr="0071774C">
        <w:t>develop</w:t>
      </w:r>
      <w:r>
        <w:t xml:space="preserve"> </w:t>
      </w:r>
      <w:r w:rsidRPr="0071774C">
        <w:t>but</w:t>
      </w:r>
      <w:r>
        <w:t xml:space="preserve"> </w:t>
      </w:r>
      <w:r w:rsidRPr="0071774C">
        <w:t>not</w:t>
      </w:r>
      <w:r>
        <w:t xml:space="preserve"> </w:t>
      </w:r>
      <w:r w:rsidRPr="0071774C">
        <w:t>deliver</w:t>
      </w:r>
      <w:r>
        <w:t xml:space="preserve"> </w:t>
      </w:r>
      <w:r w:rsidRPr="0071774C">
        <w:t>training.</w:t>
      </w:r>
      <w:r>
        <w:t xml:space="preserve"> </w:t>
      </w:r>
      <w:r w:rsidRPr="0071774C">
        <w:t>Respondents</w:t>
      </w:r>
      <w:r>
        <w:t xml:space="preserve"> </w:t>
      </w:r>
      <w:r w:rsidRPr="0071774C">
        <w:t>also</w:t>
      </w:r>
      <w:r>
        <w:t xml:space="preserve"> </w:t>
      </w:r>
      <w:r w:rsidRPr="0071774C">
        <w:t>mentioned</w:t>
      </w:r>
      <w:r>
        <w:t xml:space="preserve"> </w:t>
      </w:r>
      <w:r w:rsidRPr="0071774C">
        <w:t>referral,</w:t>
      </w:r>
      <w:r>
        <w:t xml:space="preserve"> </w:t>
      </w:r>
      <w:r w:rsidRPr="0071774C">
        <w:t>response</w:t>
      </w:r>
      <w:r>
        <w:t xml:space="preserve"> </w:t>
      </w:r>
      <w:r w:rsidRPr="0071774C">
        <w:t>or</w:t>
      </w:r>
      <w:r>
        <w:t xml:space="preserve"> </w:t>
      </w:r>
      <w:r w:rsidRPr="0071774C">
        <w:t>responding</w:t>
      </w:r>
      <w:r>
        <w:t xml:space="preserve"> </w:t>
      </w:r>
      <w:r w:rsidRPr="0071774C">
        <w:t>to</w:t>
      </w:r>
      <w:r>
        <w:t xml:space="preserve"> </w:t>
      </w:r>
      <w:r w:rsidRPr="0071774C">
        <w:t>disclosures</w:t>
      </w:r>
      <w:r>
        <w:t xml:space="preserve"> </w:t>
      </w:r>
      <w:r w:rsidRPr="0071774C">
        <w:t>as</w:t>
      </w:r>
      <w:r>
        <w:t xml:space="preserve"> </w:t>
      </w:r>
      <w:r w:rsidRPr="0071774C">
        <w:t>activities</w:t>
      </w:r>
      <w:r>
        <w:t xml:space="preserve"> </w:t>
      </w:r>
      <w:r w:rsidRPr="0071774C">
        <w:t>for</w:t>
      </w:r>
      <w:r>
        <w:t xml:space="preserve"> </w:t>
      </w:r>
      <w:r w:rsidRPr="0071774C">
        <w:t>which</w:t>
      </w:r>
      <w:r>
        <w:t xml:space="preserve"> </w:t>
      </w:r>
      <w:r w:rsidRPr="0071774C">
        <w:t>they</w:t>
      </w:r>
      <w:r>
        <w:t xml:space="preserve"> </w:t>
      </w:r>
      <w:r w:rsidRPr="0071774C">
        <w:t>do</w:t>
      </w:r>
      <w:r>
        <w:t xml:space="preserve"> </w:t>
      </w:r>
      <w:r w:rsidRPr="0071774C">
        <w:t>not</w:t>
      </w:r>
      <w:r>
        <w:t xml:space="preserve"> </w:t>
      </w:r>
      <w:r w:rsidRPr="0071774C">
        <w:t>receive</w:t>
      </w:r>
      <w:r>
        <w:t xml:space="preserve"> </w:t>
      </w:r>
      <w:r w:rsidRPr="0071774C">
        <w:t>funding.</w:t>
      </w:r>
    </w:p>
    <w:p w14:paraId="5B79F9BD" w14:textId="77777777" w:rsidR="002C2EC7" w:rsidRDefault="002C2EC7" w:rsidP="00790783">
      <w:pPr>
        <w:pStyle w:val="BodyText"/>
      </w:pPr>
      <w:r w:rsidRPr="0071774C">
        <w:t>A</w:t>
      </w:r>
      <w:r>
        <w:t xml:space="preserve"> </w:t>
      </w:r>
      <w:r w:rsidRPr="0071774C">
        <w:t>small</w:t>
      </w:r>
      <w:r>
        <w:t xml:space="preserve"> </w:t>
      </w:r>
      <w:r w:rsidRPr="0071774C">
        <w:t>proportion</w:t>
      </w:r>
      <w:r>
        <w:t xml:space="preserve"> </w:t>
      </w:r>
      <w:r w:rsidRPr="0071774C">
        <w:t>(14%)</w:t>
      </w:r>
      <w:r>
        <w:t xml:space="preserve"> </w:t>
      </w:r>
      <w:r w:rsidRPr="0071774C">
        <w:t>of</w:t>
      </w:r>
      <w:r>
        <w:t xml:space="preserve"> </w:t>
      </w:r>
      <w:r w:rsidRPr="0071774C">
        <w:t>respondents</w:t>
      </w:r>
      <w:r>
        <w:t xml:space="preserve"> </w:t>
      </w:r>
      <w:r w:rsidRPr="0071774C">
        <w:t>reported</w:t>
      </w:r>
      <w:r>
        <w:t xml:space="preserve"> </w:t>
      </w:r>
      <w:r w:rsidRPr="0071774C">
        <w:t>that</w:t>
      </w:r>
      <w:r>
        <w:t xml:space="preserve"> </w:t>
      </w:r>
      <w:r w:rsidRPr="0071774C">
        <w:t>their</w:t>
      </w:r>
      <w:r>
        <w:t xml:space="preserve"> </w:t>
      </w:r>
      <w:r w:rsidRPr="0071774C">
        <w:t>organisation</w:t>
      </w:r>
      <w:r>
        <w:t xml:space="preserve"> </w:t>
      </w:r>
      <w:r w:rsidRPr="0071774C">
        <w:t>has</w:t>
      </w:r>
      <w:r>
        <w:t xml:space="preserve"> </w:t>
      </w:r>
      <w:r w:rsidRPr="0071774C">
        <w:t>received</w:t>
      </w:r>
      <w:r>
        <w:t xml:space="preserve"> </w:t>
      </w:r>
      <w:r w:rsidRPr="0071774C">
        <w:t>funding</w:t>
      </w:r>
      <w:r>
        <w:t xml:space="preserve"> </w:t>
      </w:r>
      <w:r w:rsidRPr="0071774C">
        <w:t>for</w:t>
      </w:r>
      <w:r>
        <w:t xml:space="preserve"> </w:t>
      </w:r>
      <w:r w:rsidRPr="0071774C">
        <w:t>the</w:t>
      </w:r>
      <w:r>
        <w:t xml:space="preserve"> </w:t>
      </w:r>
      <w:r w:rsidRPr="0071774C">
        <w:t>primary</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Aboriginal</w:t>
      </w:r>
      <w:r>
        <w:t xml:space="preserve"> </w:t>
      </w:r>
      <w:r w:rsidRPr="0071774C">
        <w:t>and</w:t>
      </w:r>
      <w:r>
        <w:t xml:space="preserve"> </w:t>
      </w:r>
      <w:r w:rsidRPr="0071774C">
        <w:t>Torres</w:t>
      </w:r>
      <w:r>
        <w:t xml:space="preserve"> </w:t>
      </w:r>
      <w:r w:rsidRPr="0071774C">
        <w:t>Strait</w:t>
      </w:r>
      <w:r>
        <w:t xml:space="preserve"> </w:t>
      </w:r>
      <w:r w:rsidRPr="0071774C">
        <w:t>Islander</w:t>
      </w:r>
      <w:r>
        <w:t xml:space="preserve"> </w:t>
      </w:r>
      <w:r w:rsidRPr="0071774C">
        <w:t>women</w:t>
      </w:r>
      <w:r>
        <w:t>.</w:t>
      </w:r>
      <w:r w:rsidRPr="00D8674A">
        <w:rPr>
          <w:rStyle w:val="OWSuperscript"/>
        </w:rPr>
        <w:footnoteReference w:id="9"/>
      </w:r>
      <w:r>
        <w:t xml:space="preserve"> </w:t>
      </w:r>
      <w:r w:rsidRPr="0071774C">
        <w:t>Sources</w:t>
      </w:r>
      <w:r>
        <w:t xml:space="preserve"> </w:t>
      </w:r>
      <w:r w:rsidRPr="0071774C">
        <w:t>of</w:t>
      </w:r>
      <w:r>
        <w:t xml:space="preserve"> </w:t>
      </w:r>
      <w:r w:rsidRPr="0071774C">
        <w:t>funding</w:t>
      </w:r>
      <w:r>
        <w:t xml:space="preserve"> </w:t>
      </w:r>
      <w:r w:rsidRPr="0071774C">
        <w:t>for</w:t>
      </w:r>
      <w:r>
        <w:t xml:space="preserve"> </w:t>
      </w:r>
      <w:r w:rsidRPr="0071774C">
        <w:t>this</w:t>
      </w:r>
      <w:r>
        <w:t xml:space="preserve"> </w:t>
      </w:r>
      <w:r w:rsidRPr="0071774C">
        <w:t>work</w:t>
      </w:r>
      <w:r>
        <w:t xml:space="preserve"> </w:t>
      </w:r>
      <w:r w:rsidRPr="0071774C">
        <w:t>included:</w:t>
      </w:r>
    </w:p>
    <w:p w14:paraId="716EB62D" w14:textId="77777777" w:rsidR="002C2EC7" w:rsidRDefault="002C2EC7" w:rsidP="00790783">
      <w:pPr>
        <w:pStyle w:val="OWBullet1"/>
      </w:pPr>
      <w:r w:rsidRPr="0071774C">
        <w:t>Commonwealth</w:t>
      </w:r>
      <w:r>
        <w:t xml:space="preserve"> </w:t>
      </w:r>
      <w:r w:rsidRPr="0071774C">
        <w:t>Department</w:t>
      </w:r>
      <w:r>
        <w:t xml:space="preserve"> </w:t>
      </w:r>
      <w:r w:rsidRPr="0071774C">
        <w:t>of</w:t>
      </w:r>
      <w:r>
        <w:t xml:space="preserve"> </w:t>
      </w:r>
      <w:r w:rsidRPr="0071774C">
        <w:t>Social</w:t>
      </w:r>
      <w:r>
        <w:t xml:space="preserve"> </w:t>
      </w:r>
      <w:r w:rsidRPr="0071774C">
        <w:t>Services</w:t>
      </w:r>
    </w:p>
    <w:p w14:paraId="3F4FD97A" w14:textId="77777777" w:rsidR="002C2EC7" w:rsidRDefault="002C2EC7" w:rsidP="00790783">
      <w:pPr>
        <w:pStyle w:val="OWBullet1"/>
      </w:pPr>
      <w:r>
        <w:t>p</w:t>
      </w:r>
      <w:r w:rsidRPr="0071774C">
        <w:t>artnering</w:t>
      </w:r>
      <w:r>
        <w:t xml:space="preserve"> </w:t>
      </w:r>
      <w:r w:rsidRPr="0071774C">
        <w:t>with</w:t>
      </w:r>
      <w:r>
        <w:t xml:space="preserve"> </w:t>
      </w:r>
      <w:r w:rsidRPr="0071774C">
        <w:t>Aboriginal</w:t>
      </w:r>
      <w:r>
        <w:t xml:space="preserve"> </w:t>
      </w:r>
      <w:r w:rsidRPr="0071774C">
        <w:t>Community</w:t>
      </w:r>
      <w:r>
        <w:t xml:space="preserve"> </w:t>
      </w:r>
      <w:r w:rsidRPr="0071774C">
        <w:t>Controlled</w:t>
      </w:r>
      <w:r>
        <w:t xml:space="preserve"> </w:t>
      </w:r>
      <w:r w:rsidRPr="0071774C">
        <w:t>Organisations</w:t>
      </w:r>
    </w:p>
    <w:p w14:paraId="75570458" w14:textId="77777777" w:rsidR="002C2EC7" w:rsidRDefault="002C2EC7" w:rsidP="00790783">
      <w:pPr>
        <w:pStyle w:val="OWBullet1"/>
      </w:pPr>
      <w:r>
        <w:t>p</w:t>
      </w:r>
      <w:r w:rsidRPr="0071774C">
        <w:t>hilanthropic</w:t>
      </w:r>
      <w:r>
        <w:t xml:space="preserve"> </w:t>
      </w:r>
      <w:r w:rsidRPr="0071774C">
        <w:t>funding</w:t>
      </w:r>
    </w:p>
    <w:p w14:paraId="264E9ACF" w14:textId="77777777" w:rsidR="002C2EC7" w:rsidRDefault="002C2EC7" w:rsidP="00790783">
      <w:pPr>
        <w:pStyle w:val="OWBullet1"/>
      </w:pPr>
      <w:r>
        <w:t>s</w:t>
      </w:r>
      <w:r w:rsidRPr="0071774C">
        <w:t>tate</w:t>
      </w:r>
      <w:r>
        <w:t xml:space="preserve"> </w:t>
      </w:r>
      <w:r w:rsidRPr="0071774C">
        <w:t>government</w:t>
      </w:r>
      <w:r>
        <w:t xml:space="preserve"> </w:t>
      </w:r>
      <w:r w:rsidRPr="0071774C">
        <w:t>funding</w:t>
      </w:r>
      <w:r>
        <w:t xml:space="preserve"> </w:t>
      </w:r>
      <w:r w:rsidRPr="0071774C">
        <w:t>from</w:t>
      </w:r>
      <w:r>
        <w:t xml:space="preserve"> </w:t>
      </w:r>
      <w:r w:rsidRPr="0071774C">
        <w:t>a</w:t>
      </w:r>
      <w:r>
        <w:t xml:space="preserve"> </w:t>
      </w:r>
      <w:r w:rsidRPr="0071774C">
        <w:t>family</w:t>
      </w:r>
      <w:r>
        <w:t xml:space="preserve"> </w:t>
      </w:r>
      <w:r w:rsidRPr="0071774C">
        <w:t>or</w:t>
      </w:r>
      <w:r>
        <w:t xml:space="preserve"> </w:t>
      </w:r>
      <w:r w:rsidRPr="0071774C">
        <w:t>community</w:t>
      </w:r>
      <w:r>
        <w:t xml:space="preserve"> </w:t>
      </w:r>
      <w:r w:rsidRPr="0071774C">
        <w:t>service</w:t>
      </w:r>
      <w:r>
        <w:t xml:space="preserve"> </w:t>
      </w:r>
      <w:r w:rsidRPr="0071774C">
        <w:t>agency</w:t>
      </w:r>
      <w:r>
        <w:t>.</w:t>
      </w:r>
    </w:p>
    <w:p w14:paraId="3095ADF9" w14:textId="77777777" w:rsidR="002C2EC7" w:rsidRDefault="002C2EC7" w:rsidP="00790783">
      <w:pPr>
        <w:pStyle w:val="OWBodytextafterlist"/>
      </w:pPr>
      <w:r w:rsidRPr="0071774C">
        <w:t>Most</w:t>
      </w:r>
      <w:r>
        <w:t xml:space="preserve"> </w:t>
      </w:r>
      <w:r w:rsidRPr="0071774C">
        <w:t>of</w:t>
      </w:r>
      <w:r>
        <w:t xml:space="preserve"> </w:t>
      </w:r>
      <w:r w:rsidRPr="0071774C">
        <w:t>the</w:t>
      </w:r>
      <w:r>
        <w:t xml:space="preserve"> </w:t>
      </w:r>
      <w:r w:rsidRPr="0071774C">
        <w:t>specialist</w:t>
      </w:r>
      <w:r>
        <w:t xml:space="preserve"> </w:t>
      </w:r>
      <w:r w:rsidRPr="0071774C">
        <w:t>organisations</w:t>
      </w:r>
      <w:r>
        <w:t xml:space="preserve"> </w:t>
      </w:r>
      <w:r w:rsidRPr="0071774C">
        <w:t>represented</w:t>
      </w:r>
      <w:r>
        <w:t xml:space="preserve"> </w:t>
      </w:r>
      <w:r w:rsidRPr="0071774C">
        <w:t>in</w:t>
      </w:r>
      <w:r>
        <w:t xml:space="preserve"> </w:t>
      </w:r>
      <w:r w:rsidRPr="0071774C">
        <w:t>the</w:t>
      </w:r>
      <w:r>
        <w:t xml:space="preserve"> </w:t>
      </w:r>
      <w:r w:rsidRPr="0071774C">
        <w:t>survey</w:t>
      </w:r>
      <w:r>
        <w:t xml:space="preserve"> </w:t>
      </w:r>
      <w:r w:rsidRPr="0071774C">
        <w:t>work</w:t>
      </w:r>
      <w:r>
        <w:t xml:space="preserve"> </w:t>
      </w:r>
      <w:r w:rsidRPr="0071774C">
        <w:t>with</w:t>
      </w:r>
      <w:r>
        <w:t xml:space="preserve"> </w:t>
      </w:r>
      <w:r w:rsidRPr="0071774C">
        <w:t>culturally</w:t>
      </w:r>
      <w:r>
        <w:t xml:space="preserve"> </w:t>
      </w:r>
      <w:r w:rsidRPr="0071774C">
        <w:t>and</w:t>
      </w:r>
      <w:r>
        <w:t xml:space="preserve"> </w:t>
      </w:r>
      <w:r w:rsidRPr="0071774C">
        <w:t>linguistically</w:t>
      </w:r>
      <w:r>
        <w:t xml:space="preserve"> </w:t>
      </w:r>
      <w:r w:rsidRPr="0071774C">
        <w:t>diverse/migrant</w:t>
      </w:r>
      <w:r>
        <w:t xml:space="preserve"> </w:t>
      </w:r>
      <w:r w:rsidRPr="0071774C">
        <w:t>and</w:t>
      </w:r>
      <w:r>
        <w:t xml:space="preserve"> </w:t>
      </w:r>
      <w:r w:rsidRPr="0071774C">
        <w:t>refugee</w:t>
      </w:r>
      <w:r>
        <w:t xml:space="preserve"> </w:t>
      </w:r>
      <w:r w:rsidRPr="0071774C">
        <w:t>communities</w:t>
      </w:r>
      <w:r>
        <w:t xml:space="preserve">, </w:t>
      </w:r>
      <w:r w:rsidRPr="0071774C">
        <w:t>young</w:t>
      </w:r>
      <w:r>
        <w:t xml:space="preserve"> </w:t>
      </w:r>
      <w:r w:rsidRPr="0071774C">
        <w:t>people</w:t>
      </w:r>
      <w:r>
        <w:t xml:space="preserve"> </w:t>
      </w:r>
      <w:r w:rsidRPr="0071774C">
        <w:t>and</w:t>
      </w:r>
      <w:r>
        <w:t xml:space="preserve"> </w:t>
      </w:r>
      <w:r w:rsidRPr="0071774C">
        <w:t>women</w:t>
      </w:r>
      <w:r>
        <w:t xml:space="preserve"> </w:t>
      </w:r>
      <w:r w:rsidRPr="0071774C">
        <w:t>and</w:t>
      </w:r>
      <w:r>
        <w:t xml:space="preserve"> </w:t>
      </w:r>
      <w:r w:rsidRPr="0071774C">
        <w:t>girls.</w:t>
      </w:r>
      <w:r>
        <w:t xml:space="preserve"> </w:t>
      </w:r>
      <w:r w:rsidRPr="0071774C">
        <w:t>This</w:t>
      </w:r>
      <w:r>
        <w:t xml:space="preserve"> </w:t>
      </w:r>
      <w:r w:rsidRPr="0071774C">
        <w:t>was</w:t>
      </w:r>
      <w:r>
        <w:t xml:space="preserve"> </w:t>
      </w:r>
      <w:r w:rsidRPr="0071774C">
        <w:t>closely</w:t>
      </w:r>
      <w:r>
        <w:t xml:space="preserve"> </w:t>
      </w:r>
      <w:r w:rsidRPr="0071774C">
        <w:t>followed</w:t>
      </w:r>
      <w:r>
        <w:t xml:space="preserve"> </w:t>
      </w:r>
      <w:r w:rsidRPr="0071774C">
        <w:t>by</w:t>
      </w:r>
      <w:r>
        <w:t xml:space="preserve"> </w:t>
      </w:r>
      <w:r w:rsidRPr="0071774C">
        <w:t>organisations</w:t>
      </w:r>
      <w:r>
        <w:t xml:space="preserve"> </w:t>
      </w:r>
      <w:r w:rsidRPr="0071774C">
        <w:t>that</w:t>
      </w:r>
      <w:r>
        <w:t xml:space="preserve"> </w:t>
      </w:r>
      <w:r w:rsidRPr="0071774C">
        <w:t>specialise</w:t>
      </w:r>
      <w:r>
        <w:t xml:space="preserve"> </w:t>
      </w:r>
      <w:r w:rsidRPr="0071774C">
        <w:t>in</w:t>
      </w:r>
      <w:r>
        <w:t xml:space="preserve"> </w:t>
      </w:r>
      <w:r w:rsidRPr="0071774C">
        <w:t>working</w:t>
      </w:r>
      <w:r>
        <w:t xml:space="preserve"> </w:t>
      </w:r>
      <w:r w:rsidRPr="0071774C">
        <w:t>with</w:t>
      </w:r>
      <w:r>
        <w:t xml:space="preserve"> </w:t>
      </w:r>
      <w:r w:rsidRPr="0071774C">
        <w:t>LGBTIQ+</w:t>
      </w:r>
      <w:r>
        <w:t xml:space="preserve"> </w:t>
      </w:r>
      <w:r w:rsidRPr="0071774C">
        <w:t>communities,</w:t>
      </w:r>
      <w:r>
        <w:t xml:space="preserve"> </w:t>
      </w:r>
      <w:r w:rsidRPr="0071774C">
        <w:t>and</w:t>
      </w:r>
      <w:r>
        <w:t xml:space="preserve"> </w:t>
      </w:r>
      <w:r w:rsidRPr="0071774C">
        <w:t>those</w:t>
      </w:r>
      <w:r>
        <w:t xml:space="preserve"> </w:t>
      </w:r>
      <w:r w:rsidRPr="0071774C">
        <w:t>who</w:t>
      </w:r>
      <w:r>
        <w:t xml:space="preserve"> </w:t>
      </w:r>
      <w:r w:rsidRPr="0071774C">
        <w:t>work</w:t>
      </w:r>
      <w:r>
        <w:t xml:space="preserve"> </w:t>
      </w:r>
      <w:r w:rsidRPr="0071774C">
        <w:t>with</w:t>
      </w:r>
      <w:r>
        <w:t xml:space="preserve"> </w:t>
      </w:r>
      <w:r w:rsidRPr="0071774C">
        <w:t>men</w:t>
      </w:r>
      <w:r>
        <w:t xml:space="preserve"> </w:t>
      </w:r>
      <w:r w:rsidRPr="0071774C">
        <w:t>who</w:t>
      </w:r>
      <w:r>
        <w:t xml:space="preserve"> </w:t>
      </w:r>
      <w:r w:rsidRPr="0071774C">
        <w:t>use</w:t>
      </w:r>
      <w:r>
        <w:t xml:space="preserve"> </w:t>
      </w:r>
      <w:r w:rsidRPr="0071774C">
        <w:t>violence.</w:t>
      </w:r>
    </w:p>
    <w:p w14:paraId="793FFAD3" w14:textId="77777777" w:rsidR="002C2EC7" w:rsidRDefault="002C2EC7" w:rsidP="00790783">
      <w:pPr>
        <w:pStyle w:val="Heading5"/>
      </w:pPr>
      <w:bookmarkStart w:id="48" w:name="_Toc41559727"/>
      <w:r w:rsidRPr="0071774C">
        <w:t>Advice,</w:t>
      </w:r>
      <w:r>
        <w:t xml:space="preserve"> </w:t>
      </w:r>
      <w:r w:rsidRPr="0071774C">
        <w:t>support</w:t>
      </w:r>
      <w:r>
        <w:t xml:space="preserve"> </w:t>
      </w:r>
      <w:r w:rsidRPr="0071774C">
        <w:t>and</w:t>
      </w:r>
      <w:r>
        <w:t xml:space="preserve"> </w:t>
      </w:r>
      <w:r w:rsidRPr="0071774C">
        <w:t>influence</w:t>
      </w:r>
      <w:r>
        <w:t xml:space="preserve"> </w:t>
      </w:r>
      <w:r w:rsidRPr="0071774C">
        <w:t>on</w:t>
      </w:r>
      <w:r>
        <w:t xml:space="preserve"> </w:t>
      </w:r>
      <w:r w:rsidRPr="0071774C">
        <w:t>the</w:t>
      </w:r>
      <w:r>
        <w:t xml:space="preserve"> </w:t>
      </w:r>
      <w:r w:rsidRPr="0071774C">
        <w:t>sector</w:t>
      </w:r>
      <w:bookmarkEnd w:id="48"/>
    </w:p>
    <w:p w14:paraId="26867AE6" w14:textId="77777777" w:rsidR="002C2EC7" w:rsidRDefault="002C2EC7" w:rsidP="00790783">
      <w:pPr>
        <w:pStyle w:val="BodyText"/>
      </w:pPr>
      <w:r w:rsidRPr="0071774C">
        <w:t>Survey</w:t>
      </w:r>
      <w:r>
        <w:t xml:space="preserve"> </w:t>
      </w:r>
      <w:r w:rsidRPr="0071774C">
        <w:t>results</w:t>
      </w:r>
      <w:r>
        <w:t xml:space="preserve"> </w:t>
      </w:r>
      <w:r w:rsidRPr="0071774C">
        <w:t>suggest</w:t>
      </w:r>
      <w:r>
        <w:t xml:space="preserve"> </w:t>
      </w:r>
      <w:r w:rsidRPr="0071774C">
        <w:t>that</w:t>
      </w:r>
      <w:r>
        <w:t xml:space="preserve">, </w:t>
      </w:r>
      <w:r w:rsidRPr="0071774C">
        <w:t>increasingly,</w:t>
      </w:r>
      <w:r>
        <w:t xml:space="preserve"> </w:t>
      </w:r>
      <w:r w:rsidRPr="0071774C">
        <w:t>a</w:t>
      </w:r>
      <w:r>
        <w:t xml:space="preserve"> </w:t>
      </w:r>
      <w:r w:rsidRPr="0071774C">
        <w:t>specialist</w:t>
      </w:r>
      <w:r>
        <w:t xml:space="preserve"> </w:t>
      </w:r>
      <w:r w:rsidRPr="0071774C">
        <w:t>and</w:t>
      </w:r>
      <w:r>
        <w:t xml:space="preserve"> </w:t>
      </w:r>
      <w:r w:rsidRPr="0071774C">
        <w:t>expert</w:t>
      </w:r>
      <w:r>
        <w:t xml:space="preserve"> </w:t>
      </w:r>
      <w:r w:rsidRPr="0071774C">
        <w:t>workforce</w:t>
      </w:r>
      <w:r>
        <w:t xml:space="preserve"> </w:t>
      </w:r>
      <w:r w:rsidRPr="0071774C">
        <w:t>is</w:t>
      </w:r>
      <w:r>
        <w:t xml:space="preserve"> </w:t>
      </w:r>
      <w:r w:rsidRPr="0071774C">
        <w:t>being</w:t>
      </w:r>
      <w:r>
        <w:t xml:space="preserve"> </w:t>
      </w:r>
      <w:r w:rsidRPr="0071774C">
        <w:t>enabled</w:t>
      </w:r>
      <w:r>
        <w:t xml:space="preserve"> </w:t>
      </w:r>
      <w:r w:rsidRPr="0071774C">
        <w:t>to</w:t>
      </w:r>
      <w:r>
        <w:t xml:space="preserve"> </w:t>
      </w:r>
      <w:r w:rsidRPr="0071774C">
        <w:t>provide</w:t>
      </w:r>
      <w:r>
        <w:t xml:space="preserve"> </w:t>
      </w:r>
      <w:r w:rsidRPr="0071774C">
        <w:t>leadership</w:t>
      </w:r>
      <w:r>
        <w:t xml:space="preserve"> </w:t>
      </w:r>
      <w:r w:rsidRPr="0071774C">
        <w:t>and</w:t>
      </w:r>
      <w:r>
        <w:t xml:space="preserve"> </w:t>
      </w:r>
      <w:r w:rsidRPr="0071774C">
        <w:t>technical</w:t>
      </w:r>
      <w:r>
        <w:t xml:space="preserve"> </w:t>
      </w:r>
      <w:r w:rsidRPr="0071774C">
        <w:t>assistance</w:t>
      </w:r>
      <w:r>
        <w:t xml:space="preserve"> </w:t>
      </w:r>
      <w:r w:rsidRPr="0071774C">
        <w:t>to</w:t>
      </w:r>
      <w:r>
        <w:t xml:space="preserve"> </w:t>
      </w:r>
      <w:r w:rsidRPr="0071774C">
        <w:t>others.</w:t>
      </w:r>
      <w:r>
        <w:t xml:space="preserve"> </w:t>
      </w:r>
      <w:r w:rsidRPr="0071774C">
        <w:t>For</w:t>
      </w:r>
      <w:r>
        <w:t xml:space="preserve"> </w:t>
      </w:r>
      <w:r w:rsidRPr="0071774C">
        <w:t>example,</w:t>
      </w:r>
      <w:r>
        <w:t xml:space="preserve"> </w:t>
      </w:r>
      <w:r w:rsidRPr="0071774C">
        <w:t>survey</w:t>
      </w:r>
      <w:r>
        <w:t xml:space="preserve"> </w:t>
      </w:r>
      <w:r w:rsidRPr="0071774C">
        <w:t>respondents</w:t>
      </w:r>
      <w:r>
        <w:t xml:space="preserve"> </w:t>
      </w:r>
      <w:r w:rsidRPr="0071774C">
        <w:t>are</w:t>
      </w:r>
      <w:r>
        <w:t xml:space="preserve"> </w:t>
      </w:r>
      <w:r w:rsidRPr="0071774C">
        <w:t>frequently</w:t>
      </w:r>
      <w:r>
        <w:t xml:space="preserve"> </w:t>
      </w:r>
      <w:r w:rsidRPr="0071774C">
        <w:t>influenced</w:t>
      </w:r>
      <w:r>
        <w:t xml:space="preserve"> </w:t>
      </w:r>
      <w:r w:rsidRPr="0071774C">
        <w:t>by</w:t>
      </w:r>
      <w:r>
        <w:t xml:space="preserve"> </w:t>
      </w:r>
      <w:r w:rsidRPr="0071774C">
        <w:t>ideas,</w:t>
      </w:r>
      <w:r>
        <w:t xml:space="preserve"> </w:t>
      </w:r>
      <w:r w:rsidRPr="0071774C">
        <w:t>resources</w:t>
      </w:r>
      <w:r>
        <w:t xml:space="preserve"> </w:t>
      </w:r>
      <w:r w:rsidRPr="0071774C">
        <w:t>and</w:t>
      </w:r>
      <w:r>
        <w:t xml:space="preserve"> </w:t>
      </w:r>
      <w:r w:rsidRPr="0071774C">
        <w:t>tools</w:t>
      </w:r>
      <w:r>
        <w:t xml:space="preserve"> </w:t>
      </w:r>
      <w:r w:rsidRPr="0071774C">
        <w:t>from</w:t>
      </w:r>
      <w:r>
        <w:t xml:space="preserve"> </w:t>
      </w:r>
      <w:r w:rsidRPr="0071774C">
        <w:t>the</w:t>
      </w:r>
      <w:r>
        <w:t xml:space="preserve"> </w:t>
      </w:r>
      <w:r w:rsidRPr="0071774C">
        <w:t>following</w:t>
      </w:r>
      <w:r>
        <w:t xml:space="preserve"> </w:t>
      </w:r>
      <w:r w:rsidRPr="0071774C">
        <w:t>types</w:t>
      </w:r>
      <w:r>
        <w:t xml:space="preserve"> </w:t>
      </w:r>
      <w:r w:rsidRPr="0071774C">
        <w:t>of</w:t>
      </w:r>
      <w:r>
        <w:t xml:space="preserve"> </w:t>
      </w:r>
      <w:r w:rsidRPr="0071774C">
        <w:t>organisations:</w:t>
      </w:r>
    </w:p>
    <w:p w14:paraId="102581FB" w14:textId="77777777" w:rsidR="002C2EC7" w:rsidRDefault="002C2EC7" w:rsidP="00790783">
      <w:pPr>
        <w:pStyle w:val="OWBullet1"/>
      </w:pPr>
      <w:r>
        <w:t>n</w:t>
      </w:r>
      <w:r w:rsidRPr="0071774C">
        <w:t>ational</w:t>
      </w:r>
      <w:r>
        <w:t xml:space="preserve"> </w:t>
      </w:r>
      <w:r w:rsidRPr="0071774C">
        <w:t>primary</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organisations</w:t>
      </w:r>
      <w:r>
        <w:t xml:space="preserve"> </w:t>
      </w:r>
      <w:r w:rsidRPr="0071774C">
        <w:t>funded</w:t>
      </w:r>
      <w:r>
        <w:t xml:space="preserve"> </w:t>
      </w:r>
      <w:r w:rsidRPr="0071774C">
        <w:t>under</w:t>
      </w:r>
      <w:r>
        <w:t xml:space="preserve"> </w:t>
      </w:r>
      <w:r w:rsidRPr="0071774C">
        <w:t>the</w:t>
      </w:r>
      <w:r>
        <w:t xml:space="preserve"> </w:t>
      </w:r>
      <w:r w:rsidRPr="0071774C">
        <w:t>National</w:t>
      </w:r>
      <w:r>
        <w:t xml:space="preserve"> </w:t>
      </w:r>
      <w:r w:rsidRPr="0071774C">
        <w:t>Plan</w:t>
      </w:r>
    </w:p>
    <w:p w14:paraId="09F8250C" w14:textId="77777777" w:rsidR="002C2EC7" w:rsidRDefault="002C2EC7" w:rsidP="00790783">
      <w:pPr>
        <w:pStyle w:val="OWBullet1"/>
      </w:pPr>
      <w:r>
        <w:t>i</w:t>
      </w:r>
      <w:r w:rsidRPr="0071774C">
        <w:t>ndividuals</w:t>
      </w:r>
      <w:r>
        <w:t xml:space="preserve"> </w:t>
      </w:r>
      <w:r w:rsidRPr="0071774C">
        <w:t>and</w:t>
      </w:r>
      <w:r>
        <w:t xml:space="preserve"> </w:t>
      </w:r>
      <w:r w:rsidRPr="0071774C">
        <w:t>communities</w:t>
      </w:r>
      <w:r>
        <w:t xml:space="preserve"> </w:t>
      </w:r>
      <w:r w:rsidRPr="0071774C">
        <w:t>with</w:t>
      </w:r>
      <w:r>
        <w:t xml:space="preserve"> </w:t>
      </w:r>
      <w:r w:rsidRPr="0071774C">
        <w:t>lived</w:t>
      </w:r>
      <w:r>
        <w:t xml:space="preserve"> </w:t>
      </w:r>
      <w:r w:rsidRPr="0071774C">
        <w:t>experience</w:t>
      </w:r>
      <w:r>
        <w:t xml:space="preserve"> </w:t>
      </w:r>
      <w:r w:rsidRPr="0071774C">
        <w:t>of</w:t>
      </w:r>
      <w:r>
        <w:t xml:space="preserve"> </w:t>
      </w:r>
      <w:r w:rsidRPr="0071774C">
        <w:t>violence</w:t>
      </w:r>
      <w:r>
        <w:t xml:space="preserve"> </w:t>
      </w:r>
      <w:r w:rsidRPr="0071774C">
        <w:t>against</w:t>
      </w:r>
      <w:r>
        <w:t xml:space="preserve"> </w:t>
      </w:r>
      <w:r w:rsidRPr="0071774C">
        <w:t>women</w:t>
      </w:r>
    </w:p>
    <w:p w14:paraId="0FB1ECF1" w14:textId="77777777" w:rsidR="002C2EC7" w:rsidRDefault="002C2EC7" w:rsidP="00790783">
      <w:pPr>
        <w:pStyle w:val="OWBullet1"/>
      </w:pPr>
      <w:r>
        <w:t>a</w:t>
      </w:r>
      <w:r w:rsidRPr="0071774C">
        <w:t>cademic</w:t>
      </w:r>
      <w:r>
        <w:t xml:space="preserve"> </w:t>
      </w:r>
      <w:r w:rsidRPr="0071774C">
        <w:t>and/or</w:t>
      </w:r>
      <w:r>
        <w:t xml:space="preserve"> </w:t>
      </w:r>
      <w:r w:rsidRPr="0071774C">
        <w:t>other</w:t>
      </w:r>
      <w:r>
        <w:t xml:space="preserve"> </w:t>
      </w:r>
      <w:r w:rsidRPr="0071774C">
        <w:t>research</w:t>
      </w:r>
      <w:r>
        <w:t xml:space="preserve"> </w:t>
      </w:r>
      <w:r w:rsidRPr="0071774C">
        <w:t>bodies</w:t>
      </w:r>
      <w:r>
        <w:t>.</w:t>
      </w:r>
    </w:p>
    <w:p w14:paraId="37DB9A24" w14:textId="7B82D4E3" w:rsidR="002C2EC7" w:rsidRDefault="002C2EC7" w:rsidP="00790783">
      <w:pPr>
        <w:pStyle w:val="OWBodytextafterlist"/>
      </w:pPr>
      <w:r w:rsidRPr="0071774C">
        <w:lastRenderedPageBreak/>
        <w:t>The</w:t>
      </w:r>
      <w:r>
        <w:t xml:space="preserve"> </w:t>
      </w:r>
      <w:r w:rsidRPr="0071774C">
        <w:t>majority</w:t>
      </w:r>
      <w:r>
        <w:t xml:space="preserve"> </w:t>
      </w:r>
      <w:r w:rsidRPr="0071774C">
        <w:t>of</w:t>
      </w:r>
      <w:r>
        <w:t xml:space="preserve"> </w:t>
      </w:r>
      <w:r w:rsidRPr="0071774C">
        <w:t>respondents</w:t>
      </w:r>
      <w:r>
        <w:t xml:space="preserve"> </w:t>
      </w:r>
      <w:r w:rsidRPr="0071774C">
        <w:t>indicated</w:t>
      </w:r>
      <w:r>
        <w:t xml:space="preserve"> </w:t>
      </w:r>
      <w:r w:rsidRPr="0071774C">
        <w:t>that</w:t>
      </w:r>
      <w:r>
        <w:t xml:space="preserve"> </w:t>
      </w:r>
      <w:r w:rsidRPr="0071774C">
        <w:t>their</w:t>
      </w:r>
      <w:r>
        <w:t xml:space="preserve"> </w:t>
      </w:r>
      <w:r w:rsidRPr="0071774C">
        <w:t>organisation</w:t>
      </w:r>
      <w:r>
        <w:t xml:space="preserve"> </w:t>
      </w:r>
      <w:r w:rsidRPr="0071774C">
        <w:t>provides</w:t>
      </w:r>
      <w:r>
        <w:t xml:space="preserve"> </w:t>
      </w:r>
      <w:r w:rsidRPr="0071774C">
        <w:t>one</w:t>
      </w:r>
      <w:r>
        <w:t xml:space="preserve"> </w:t>
      </w:r>
      <w:r w:rsidRPr="0071774C">
        <w:t>or</w:t>
      </w:r>
      <w:r>
        <w:t xml:space="preserve"> </w:t>
      </w:r>
      <w:r w:rsidRPr="0071774C">
        <w:t>more</w:t>
      </w:r>
      <w:r>
        <w:t xml:space="preserve"> </w:t>
      </w:r>
      <w:r w:rsidRPr="0071774C">
        <w:t>form</w:t>
      </w:r>
      <w:r>
        <w:t xml:space="preserve">s </w:t>
      </w:r>
      <w:r w:rsidRPr="0071774C">
        <w:t>of</w:t>
      </w:r>
      <w:r w:rsidR="00BC728B">
        <w:t> </w:t>
      </w:r>
      <w:r w:rsidRPr="0071774C">
        <w:t>advice</w:t>
      </w:r>
      <w:r>
        <w:t xml:space="preserve"> </w:t>
      </w:r>
      <w:r w:rsidRPr="0071774C">
        <w:t>and</w:t>
      </w:r>
      <w:r>
        <w:t xml:space="preserve"> </w:t>
      </w:r>
      <w:r w:rsidRPr="0071774C">
        <w:t>support</w:t>
      </w:r>
      <w:r>
        <w:t xml:space="preserve"> </w:t>
      </w:r>
      <w:r w:rsidRPr="0071774C">
        <w:t>to</w:t>
      </w:r>
      <w:r>
        <w:t xml:space="preserve"> </w:t>
      </w:r>
      <w:r w:rsidRPr="0071774C">
        <w:t>other</w:t>
      </w:r>
      <w:r>
        <w:t xml:space="preserve"> </w:t>
      </w:r>
      <w:r w:rsidRPr="0071774C">
        <w:t>organisations</w:t>
      </w:r>
      <w:r>
        <w:t xml:space="preserve"> </w:t>
      </w:r>
      <w:r w:rsidRPr="0071774C">
        <w:t>and/or</w:t>
      </w:r>
      <w:r>
        <w:t xml:space="preserve"> </w:t>
      </w:r>
      <w:r w:rsidRPr="0071774C">
        <w:t>individuals,</w:t>
      </w:r>
      <w:r>
        <w:t xml:space="preserve"> </w:t>
      </w:r>
      <w:r w:rsidRPr="0071774C">
        <w:t>most</w:t>
      </w:r>
      <w:r>
        <w:t xml:space="preserve"> </w:t>
      </w:r>
      <w:r w:rsidRPr="0071774C">
        <w:t>often</w:t>
      </w:r>
      <w:r>
        <w:t xml:space="preserve"> </w:t>
      </w:r>
      <w:r w:rsidRPr="0071774C">
        <w:t>to</w:t>
      </w:r>
      <w:r>
        <w:t xml:space="preserve"> </w:t>
      </w:r>
      <w:r w:rsidRPr="0071774C">
        <w:t>inform</w:t>
      </w:r>
      <w:r>
        <w:t xml:space="preserve"> </w:t>
      </w:r>
      <w:r w:rsidRPr="0071774C">
        <w:t>them</w:t>
      </w:r>
      <w:r>
        <w:t xml:space="preserve"> </w:t>
      </w:r>
      <w:r w:rsidRPr="0071774C">
        <w:t>about</w:t>
      </w:r>
      <w:r>
        <w:t xml:space="preserve"> </w:t>
      </w:r>
      <w:r w:rsidRPr="0071774C">
        <w:t>what</w:t>
      </w:r>
      <w:r>
        <w:t xml:space="preserve"> </w:t>
      </w:r>
      <w:r w:rsidRPr="0071774C">
        <w:t>they</w:t>
      </w:r>
      <w:r>
        <w:t xml:space="preserve"> </w:t>
      </w:r>
      <w:r w:rsidRPr="0071774C">
        <w:t>can</w:t>
      </w:r>
      <w:r>
        <w:t xml:space="preserve"> </w:t>
      </w:r>
      <w:r w:rsidRPr="0071774C">
        <w:t>do</w:t>
      </w:r>
      <w:r>
        <w:t xml:space="preserve"> </w:t>
      </w:r>
      <w:r w:rsidRPr="0071774C">
        <w:t>to</w:t>
      </w:r>
      <w:r>
        <w:t xml:space="preserve"> </w:t>
      </w:r>
      <w:r w:rsidRPr="0071774C">
        <w:t>prevent</w:t>
      </w:r>
      <w:r>
        <w:t xml:space="preserve"> </w:t>
      </w:r>
      <w:r w:rsidRPr="0071774C">
        <w:t>violence.</w:t>
      </w:r>
      <w:r>
        <w:t xml:space="preserve"> </w:t>
      </w:r>
      <w:r w:rsidRPr="0071774C">
        <w:t>The</w:t>
      </w:r>
      <w:r>
        <w:t xml:space="preserve"> </w:t>
      </w:r>
      <w:r w:rsidRPr="0071774C">
        <w:t>majority</w:t>
      </w:r>
      <w:r>
        <w:t xml:space="preserve"> </w:t>
      </w:r>
      <w:r w:rsidRPr="0071774C">
        <w:t>of</w:t>
      </w:r>
      <w:r>
        <w:t xml:space="preserve"> </w:t>
      </w:r>
      <w:r w:rsidRPr="0071774C">
        <w:t>these</w:t>
      </w:r>
      <w:r>
        <w:t xml:space="preserve"> </w:t>
      </w:r>
      <w:r w:rsidRPr="0071774C">
        <w:t>provide</w:t>
      </w:r>
      <w:r>
        <w:t xml:space="preserve"> </w:t>
      </w:r>
      <w:r w:rsidRPr="0071774C">
        <w:t>multiple</w:t>
      </w:r>
      <w:r>
        <w:t xml:space="preserve"> </w:t>
      </w:r>
      <w:r w:rsidRPr="0071774C">
        <w:t>types</w:t>
      </w:r>
      <w:r>
        <w:t xml:space="preserve"> </w:t>
      </w:r>
      <w:r w:rsidRPr="0071774C">
        <w:t>of</w:t>
      </w:r>
      <w:r>
        <w:t xml:space="preserve"> </w:t>
      </w:r>
      <w:r w:rsidRPr="0071774C">
        <w:t>advice</w:t>
      </w:r>
      <w:r>
        <w:t xml:space="preserve"> </w:t>
      </w:r>
      <w:r w:rsidRPr="0071774C">
        <w:t>and</w:t>
      </w:r>
      <w:r>
        <w:t xml:space="preserve"> </w:t>
      </w:r>
      <w:r w:rsidRPr="0071774C">
        <w:t>support</w:t>
      </w:r>
      <w:r>
        <w:t xml:space="preserve"> </w:t>
      </w:r>
      <w:r w:rsidRPr="0071774C">
        <w:t>(see</w:t>
      </w:r>
      <w:r>
        <w:t xml:space="preserve"> </w:t>
      </w:r>
      <w:r w:rsidRPr="0071774C">
        <w:t>Table</w:t>
      </w:r>
      <w:r>
        <w:t xml:space="preserve"> 3, below</w:t>
      </w:r>
      <w:r w:rsidRPr="0071774C">
        <w:t>).</w:t>
      </w:r>
    </w:p>
    <w:p w14:paraId="7EB52094" w14:textId="650C27BF" w:rsidR="002C2EC7" w:rsidRDefault="002C2EC7" w:rsidP="00BA57A0">
      <w:pPr>
        <w:pStyle w:val="OWTablecaption"/>
      </w:pPr>
      <w:r w:rsidRPr="003E7EE2">
        <w:t>Table</w:t>
      </w:r>
      <w:r>
        <w:t xml:space="preserve"> 3: </w:t>
      </w:r>
      <w:r w:rsidRPr="003E7EE2">
        <w:t>Does</w:t>
      </w:r>
      <w:r>
        <w:t xml:space="preserve"> </w:t>
      </w:r>
      <w:r w:rsidRPr="003E7EE2">
        <w:t>your</w:t>
      </w:r>
      <w:r>
        <w:t xml:space="preserve"> </w:t>
      </w:r>
      <w:r w:rsidRPr="003E7EE2">
        <w:t>organisation</w:t>
      </w:r>
      <w:r>
        <w:t xml:space="preserve"> </w:t>
      </w:r>
      <w:r w:rsidRPr="003E7EE2">
        <w:t>provide</w:t>
      </w:r>
      <w:r>
        <w:t xml:space="preserve"> </w:t>
      </w:r>
      <w:r w:rsidRPr="003E7EE2">
        <w:t>advice</w:t>
      </w:r>
      <w:r>
        <w:t xml:space="preserve"> </w:t>
      </w:r>
      <w:r w:rsidRPr="003E7EE2">
        <w:t>and</w:t>
      </w:r>
      <w:r>
        <w:t xml:space="preserve"> </w:t>
      </w:r>
      <w:r w:rsidRPr="003E7EE2">
        <w:t>support</w:t>
      </w:r>
      <w:r>
        <w:t xml:space="preserve"> </w:t>
      </w:r>
      <w:r w:rsidRPr="003E7EE2">
        <w:t>to</w:t>
      </w:r>
      <w:r>
        <w:t xml:space="preserve"> </w:t>
      </w:r>
      <w:r w:rsidRPr="003E7EE2">
        <w:t>other</w:t>
      </w:r>
      <w:r>
        <w:t xml:space="preserve"> </w:t>
      </w:r>
      <w:r w:rsidRPr="003E7EE2">
        <w:t>organisations</w:t>
      </w:r>
      <w:r>
        <w:t xml:space="preserve"> </w:t>
      </w:r>
      <w:r w:rsidRPr="003E7EE2">
        <w:t>and</w:t>
      </w:r>
      <w:r w:rsidR="00ED42C9">
        <w:t> </w:t>
      </w:r>
      <w:r w:rsidRPr="003E7EE2">
        <w:t>individuals</w:t>
      </w:r>
      <w:r>
        <w:t xml:space="preserve"> </w:t>
      </w:r>
      <w:r w:rsidRPr="003E7EE2">
        <w:t>as</w:t>
      </w:r>
      <w:r>
        <w:t xml:space="preserve"> </w:t>
      </w:r>
      <w:r w:rsidRPr="003E7EE2">
        <w:t>outlined</w:t>
      </w:r>
      <w:r>
        <w:t xml:space="preserve"> </w:t>
      </w:r>
      <w:r w:rsidRPr="003E7EE2">
        <w:t>in</w:t>
      </w:r>
      <w:r>
        <w:t xml:space="preserve"> </w:t>
      </w:r>
      <w:r w:rsidRPr="003E7EE2">
        <w:t>any</w:t>
      </w:r>
      <w:r>
        <w:t xml:space="preserve"> </w:t>
      </w:r>
      <w:r w:rsidRPr="003E7EE2">
        <w:t>of</w:t>
      </w:r>
      <w:r>
        <w:t xml:space="preserve"> </w:t>
      </w:r>
      <w:r w:rsidRPr="003E7EE2">
        <w:t>the</w:t>
      </w:r>
      <w:r>
        <w:t xml:space="preserve"> </w:t>
      </w:r>
      <w:r w:rsidRPr="003E7EE2">
        <w:t>categories</w:t>
      </w:r>
      <w:r>
        <w:t xml:space="preserve"> </w:t>
      </w:r>
      <w:r w:rsidRPr="003E7EE2">
        <w:t>below?</w:t>
      </w:r>
      <w:r>
        <w:t xml:space="preserve"> </w:t>
      </w:r>
      <w:r w:rsidRPr="003E7EE2">
        <w:t>(Select</w:t>
      </w:r>
      <w:r>
        <w:t xml:space="preserve"> </w:t>
      </w:r>
      <w:r w:rsidRPr="003E7EE2">
        <w:t>all</w:t>
      </w:r>
      <w:r>
        <w:t xml:space="preserve"> </w:t>
      </w:r>
      <w:r w:rsidRPr="003E7EE2">
        <w:t>that</w:t>
      </w:r>
      <w:r>
        <w:t xml:space="preserve"> </w:t>
      </w:r>
      <w:r w:rsidRPr="003E7EE2">
        <w:t>apply)</w:t>
      </w:r>
    </w:p>
    <w:tbl>
      <w:tblPr>
        <w:tblStyle w:val="Datatablecharcoal"/>
        <w:tblW w:w="9072" w:type="dxa"/>
        <w:tblLook w:val="06A0" w:firstRow="1" w:lastRow="0" w:firstColumn="1" w:lastColumn="0" w:noHBand="1" w:noVBand="1"/>
      </w:tblPr>
      <w:tblGrid>
        <w:gridCol w:w="8028"/>
        <w:gridCol w:w="1044"/>
      </w:tblGrid>
      <w:tr w:rsidR="002C2EC7" w:rsidRPr="0071774C" w14:paraId="64A37BFC" w14:textId="77777777" w:rsidTr="008F3E9A">
        <w:trPr>
          <w:cnfStyle w:val="100000000000" w:firstRow="1" w:lastRow="0" w:firstColumn="0" w:lastColumn="0" w:oddVBand="0" w:evenVBand="0" w:oddHBand="0" w:evenHBand="0" w:firstRowFirstColumn="0" w:firstRowLastColumn="0" w:lastRowFirstColumn="0" w:lastRowLastColumn="0"/>
          <w:trHeight w:val="255"/>
          <w:tblHeader/>
        </w:trPr>
        <w:tc>
          <w:tcPr>
            <w:tcW w:w="8222" w:type="dxa"/>
            <w:hideMark/>
          </w:tcPr>
          <w:p w14:paraId="05AFD53D" w14:textId="77777777" w:rsidR="002C2EC7" w:rsidRPr="0071774C" w:rsidRDefault="002C2EC7" w:rsidP="00BA57A0">
            <w:pPr>
              <w:pStyle w:val="OWTablecolumnheadleft"/>
            </w:pPr>
            <w:r w:rsidRPr="0071774C">
              <w:t>Types</w:t>
            </w:r>
            <w:r>
              <w:t xml:space="preserve"> </w:t>
            </w:r>
            <w:r w:rsidRPr="0071774C">
              <w:t>of</w:t>
            </w:r>
            <w:r>
              <w:t xml:space="preserve"> </w:t>
            </w:r>
            <w:r w:rsidRPr="0071774C">
              <w:t>advice</w:t>
            </w:r>
            <w:r>
              <w:t xml:space="preserve"> </w:t>
            </w:r>
            <w:r w:rsidRPr="0071774C">
              <w:t>and</w:t>
            </w:r>
            <w:r>
              <w:t xml:space="preserve"> </w:t>
            </w:r>
            <w:r w:rsidRPr="0071774C">
              <w:t>support</w:t>
            </w:r>
          </w:p>
        </w:tc>
        <w:tc>
          <w:tcPr>
            <w:tcW w:w="870" w:type="dxa"/>
            <w:hideMark/>
          </w:tcPr>
          <w:p w14:paraId="45944839" w14:textId="77777777" w:rsidR="002C2EC7" w:rsidRPr="0071774C" w:rsidRDefault="002C2EC7" w:rsidP="00BA57A0">
            <w:pPr>
              <w:pStyle w:val="OWTablecolumnheadcentre"/>
            </w:pPr>
            <w:r w:rsidRPr="0071774C">
              <w:t>Number</w:t>
            </w:r>
            <w:r>
              <w:t xml:space="preserve"> </w:t>
            </w:r>
            <w:r w:rsidRPr="0071774C">
              <w:t>(n)</w:t>
            </w:r>
          </w:p>
        </w:tc>
      </w:tr>
      <w:tr w:rsidR="002C2EC7" w:rsidRPr="0071774C" w14:paraId="21AF1D86" w14:textId="77777777" w:rsidTr="00FB7F22">
        <w:trPr>
          <w:trHeight w:val="255"/>
        </w:trPr>
        <w:tc>
          <w:tcPr>
            <w:tcW w:w="8222" w:type="dxa"/>
            <w:hideMark/>
          </w:tcPr>
          <w:p w14:paraId="6ED8651C" w14:textId="77777777" w:rsidR="002C2EC7" w:rsidRPr="00525643" w:rsidRDefault="002C2EC7" w:rsidP="00BA57A0">
            <w:pPr>
              <w:pStyle w:val="OWTablebodyleft"/>
            </w:pPr>
            <w:r w:rsidRPr="00525643">
              <w:t>Informing organisations and individuals about what they can do to prevent violence against women</w:t>
            </w:r>
          </w:p>
        </w:tc>
        <w:tc>
          <w:tcPr>
            <w:tcW w:w="870" w:type="dxa"/>
            <w:hideMark/>
          </w:tcPr>
          <w:p w14:paraId="7EABD8F5" w14:textId="77777777" w:rsidR="002C2EC7" w:rsidRPr="0071774C" w:rsidRDefault="002C2EC7" w:rsidP="00BA57A0">
            <w:pPr>
              <w:pStyle w:val="OWTablebodycentre"/>
            </w:pPr>
            <w:r w:rsidRPr="0071774C">
              <w:t>144</w:t>
            </w:r>
          </w:p>
        </w:tc>
      </w:tr>
      <w:tr w:rsidR="002C2EC7" w:rsidRPr="0071774C" w14:paraId="241609AD" w14:textId="77777777" w:rsidTr="00FB7F22">
        <w:trPr>
          <w:trHeight w:val="255"/>
        </w:trPr>
        <w:tc>
          <w:tcPr>
            <w:tcW w:w="8222" w:type="dxa"/>
            <w:hideMark/>
          </w:tcPr>
          <w:p w14:paraId="560C7485" w14:textId="77777777" w:rsidR="002C2EC7" w:rsidRPr="00525643" w:rsidRDefault="002C2EC7" w:rsidP="00BA57A0">
            <w:pPr>
              <w:pStyle w:val="OWTablebodyleft"/>
            </w:pPr>
            <w:r w:rsidRPr="00525643">
              <w:t>Policy and strategy advice</w:t>
            </w:r>
          </w:p>
        </w:tc>
        <w:tc>
          <w:tcPr>
            <w:tcW w:w="870" w:type="dxa"/>
            <w:hideMark/>
          </w:tcPr>
          <w:p w14:paraId="36DF002A" w14:textId="77777777" w:rsidR="002C2EC7" w:rsidRPr="0071774C" w:rsidRDefault="002C2EC7" w:rsidP="00BA57A0">
            <w:pPr>
              <w:pStyle w:val="OWTablebodycentre"/>
            </w:pPr>
            <w:r w:rsidRPr="0071774C">
              <w:t>118</w:t>
            </w:r>
          </w:p>
        </w:tc>
      </w:tr>
      <w:tr w:rsidR="002C2EC7" w:rsidRPr="0071774C" w14:paraId="6017D2F3" w14:textId="77777777" w:rsidTr="00FB7F22">
        <w:trPr>
          <w:trHeight w:val="255"/>
        </w:trPr>
        <w:tc>
          <w:tcPr>
            <w:tcW w:w="8222" w:type="dxa"/>
            <w:hideMark/>
          </w:tcPr>
          <w:p w14:paraId="7C7DF115" w14:textId="77777777" w:rsidR="002C2EC7" w:rsidRPr="00525643" w:rsidRDefault="002C2EC7" w:rsidP="00BA57A0">
            <w:pPr>
              <w:pStyle w:val="OWTablebodyleft"/>
            </w:pPr>
            <w:r w:rsidRPr="00525643">
              <w:t>Introduction to primary prevention</w:t>
            </w:r>
          </w:p>
        </w:tc>
        <w:tc>
          <w:tcPr>
            <w:tcW w:w="870" w:type="dxa"/>
            <w:hideMark/>
          </w:tcPr>
          <w:p w14:paraId="0696BE86" w14:textId="77777777" w:rsidR="002C2EC7" w:rsidRPr="0071774C" w:rsidRDefault="002C2EC7" w:rsidP="00BA57A0">
            <w:pPr>
              <w:pStyle w:val="OWTablebodycentre"/>
            </w:pPr>
            <w:r w:rsidRPr="0071774C">
              <w:t>11</w:t>
            </w:r>
          </w:p>
        </w:tc>
      </w:tr>
      <w:tr w:rsidR="002C2EC7" w:rsidRPr="0071774C" w14:paraId="6DBF8F5B" w14:textId="77777777" w:rsidTr="00FB7F22">
        <w:trPr>
          <w:trHeight w:val="255"/>
        </w:trPr>
        <w:tc>
          <w:tcPr>
            <w:tcW w:w="8222" w:type="dxa"/>
            <w:hideMark/>
          </w:tcPr>
          <w:p w14:paraId="0D049DEE" w14:textId="77777777" w:rsidR="002C2EC7" w:rsidRPr="00525643" w:rsidRDefault="002C2EC7" w:rsidP="00BA57A0">
            <w:pPr>
              <w:pStyle w:val="OWTablebodyleft"/>
            </w:pPr>
            <w:r w:rsidRPr="00525643">
              <w:t>Advice and support for knowledge translation and learning (e.g. through coordination of communities of practice, practice guides, digital tools)</w:t>
            </w:r>
          </w:p>
        </w:tc>
        <w:tc>
          <w:tcPr>
            <w:tcW w:w="870" w:type="dxa"/>
            <w:hideMark/>
          </w:tcPr>
          <w:p w14:paraId="052B6B49" w14:textId="77777777" w:rsidR="002C2EC7" w:rsidRPr="0071774C" w:rsidRDefault="002C2EC7" w:rsidP="00BA57A0">
            <w:pPr>
              <w:pStyle w:val="OWTablebodycentre"/>
            </w:pPr>
            <w:r w:rsidRPr="0071774C">
              <w:t>110</w:t>
            </w:r>
            <w:r>
              <w:t xml:space="preserve"> </w:t>
            </w:r>
          </w:p>
        </w:tc>
      </w:tr>
      <w:tr w:rsidR="002C2EC7" w:rsidRPr="0071774C" w14:paraId="25A193E9" w14:textId="77777777" w:rsidTr="00FB7F22">
        <w:trPr>
          <w:trHeight w:val="255"/>
        </w:trPr>
        <w:tc>
          <w:tcPr>
            <w:tcW w:w="8222" w:type="dxa"/>
            <w:hideMark/>
          </w:tcPr>
          <w:p w14:paraId="68EB8CF8" w14:textId="77777777" w:rsidR="002C2EC7" w:rsidRPr="00525643" w:rsidRDefault="002C2EC7" w:rsidP="00BA57A0">
            <w:pPr>
              <w:pStyle w:val="OWTablebodyleft"/>
            </w:pPr>
            <w:r w:rsidRPr="00525643">
              <w:t>Specialist knowledge and advice on the way multiple forms of discrimination and privilege intersect with gender inequality</w:t>
            </w:r>
          </w:p>
        </w:tc>
        <w:tc>
          <w:tcPr>
            <w:tcW w:w="870" w:type="dxa"/>
            <w:hideMark/>
          </w:tcPr>
          <w:p w14:paraId="2F8BEA20" w14:textId="77777777" w:rsidR="002C2EC7" w:rsidRPr="0071774C" w:rsidRDefault="002C2EC7" w:rsidP="00BA57A0">
            <w:pPr>
              <w:pStyle w:val="OWTablebodycentre"/>
            </w:pPr>
            <w:r w:rsidRPr="0071774C">
              <w:t>97</w:t>
            </w:r>
          </w:p>
        </w:tc>
      </w:tr>
      <w:tr w:rsidR="002C2EC7" w:rsidRPr="0071774C" w14:paraId="1B71B401" w14:textId="77777777" w:rsidTr="00FB7F22">
        <w:trPr>
          <w:trHeight w:val="255"/>
        </w:trPr>
        <w:tc>
          <w:tcPr>
            <w:tcW w:w="8222" w:type="dxa"/>
            <w:hideMark/>
          </w:tcPr>
          <w:p w14:paraId="42B413A8" w14:textId="77777777" w:rsidR="002C2EC7" w:rsidRPr="00525643" w:rsidRDefault="002C2EC7" w:rsidP="00BA57A0">
            <w:pPr>
              <w:pStyle w:val="OWTablebodyleft"/>
            </w:pPr>
            <w:r w:rsidRPr="00525643">
              <w:t>Advice/support for prevention program design and implementation</w:t>
            </w:r>
          </w:p>
        </w:tc>
        <w:tc>
          <w:tcPr>
            <w:tcW w:w="870" w:type="dxa"/>
            <w:hideMark/>
          </w:tcPr>
          <w:p w14:paraId="1162EED9" w14:textId="77777777" w:rsidR="002C2EC7" w:rsidRPr="0071774C" w:rsidRDefault="002C2EC7" w:rsidP="00BA57A0">
            <w:pPr>
              <w:pStyle w:val="OWTablebodycentre"/>
            </w:pPr>
            <w:r w:rsidRPr="0071774C">
              <w:t>96</w:t>
            </w:r>
          </w:p>
        </w:tc>
      </w:tr>
      <w:tr w:rsidR="002C2EC7" w:rsidRPr="0071774C" w14:paraId="09582AA2" w14:textId="77777777" w:rsidTr="00FB7F22">
        <w:trPr>
          <w:trHeight w:val="255"/>
        </w:trPr>
        <w:tc>
          <w:tcPr>
            <w:tcW w:w="8222" w:type="dxa"/>
            <w:hideMark/>
          </w:tcPr>
          <w:p w14:paraId="7413548A" w14:textId="77777777" w:rsidR="002C2EC7" w:rsidRPr="00525643" w:rsidRDefault="002C2EC7" w:rsidP="00BA57A0">
            <w:pPr>
              <w:pStyle w:val="OWTablebodyleft"/>
            </w:pPr>
            <w:r w:rsidRPr="00525643">
              <w:t>Advice to researchers, evaluators and data analysts</w:t>
            </w:r>
          </w:p>
        </w:tc>
        <w:tc>
          <w:tcPr>
            <w:tcW w:w="870" w:type="dxa"/>
            <w:hideMark/>
          </w:tcPr>
          <w:p w14:paraId="249F2B98" w14:textId="77777777" w:rsidR="002C2EC7" w:rsidRPr="0071774C" w:rsidRDefault="002C2EC7" w:rsidP="00BA57A0">
            <w:pPr>
              <w:pStyle w:val="OWTablebodycentre"/>
            </w:pPr>
            <w:r w:rsidRPr="0071774C">
              <w:t>80</w:t>
            </w:r>
          </w:p>
        </w:tc>
      </w:tr>
      <w:tr w:rsidR="002C2EC7" w:rsidRPr="0071774C" w14:paraId="480D99E7" w14:textId="77777777" w:rsidTr="00FB7F22">
        <w:trPr>
          <w:trHeight w:val="255"/>
        </w:trPr>
        <w:tc>
          <w:tcPr>
            <w:tcW w:w="8222" w:type="dxa"/>
            <w:hideMark/>
          </w:tcPr>
          <w:p w14:paraId="1668361C" w14:textId="77777777" w:rsidR="002C2EC7" w:rsidRPr="00525643" w:rsidRDefault="002C2EC7" w:rsidP="00BA57A0">
            <w:pPr>
              <w:pStyle w:val="OWTablebodyleft"/>
            </w:pPr>
            <w:r w:rsidRPr="00525643">
              <w:t>Advice/support for resource and tool writers and designers</w:t>
            </w:r>
          </w:p>
        </w:tc>
        <w:tc>
          <w:tcPr>
            <w:tcW w:w="870" w:type="dxa"/>
            <w:hideMark/>
          </w:tcPr>
          <w:p w14:paraId="36F09EEC" w14:textId="77777777" w:rsidR="002C2EC7" w:rsidRPr="0071774C" w:rsidRDefault="002C2EC7" w:rsidP="00BA57A0">
            <w:pPr>
              <w:pStyle w:val="OWTablebodycentre"/>
            </w:pPr>
            <w:r w:rsidRPr="0071774C">
              <w:t>61</w:t>
            </w:r>
          </w:p>
        </w:tc>
      </w:tr>
      <w:tr w:rsidR="002C2EC7" w:rsidRPr="0071774C" w14:paraId="0419CD8A" w14:textId="77777777" w:rsidTr="00FB7F22">
        <w:trPr>
          <w:trHeight w:val="255"/>
        </w:trPr>
        <w:tc>
          <w:tcPr>
            <w:tcW w:w="8222" w:type="dxa"/>
            <w:hideMark/>
          </w:tcPr>
          <w:p w14:paraId="4CD60869" w14:textId="77777777" w:rsidR="002C2EC7" w:rsidRPr="00525643" w:rsidRDefault="002C2EC7" w:rsidP="00BA57A0">
            <w:pPr>
              <w:pStyle w:val="OWTablebodyleft"/>
            </w:pPr>
            <w:r w:rsidRPr="00525643">
              <w:t>Advice/support for campaign developers</w:t>
            </w:r>
          </w:p>
        </w:tc>
        <w:tc>
          <w:tcPr>
            <w:tcW w:w="870" w:type="dxa"/>
            <w:hideMark/>
          </w:tcPr>
          <w:p w14:paraId="4A0D87A6" w14:textId="77777777" w:rsidR="002C2EC7" w:rsidRPr="0071774C" w:rsidRDefault="002C2EC7" w:rsidP="00BA57A0">
            <w:pPr>
              <w:pStyle w:val="OWTablebodycentre"/>
            </w:pPr>
            <w:r w:rsidRPr="0071774C">
              <w:t>55</w:t>
            </w:r>
          </w:p>
        </w:tc>
      </w:tr>
      <w:tr w:rsidR="002C2EC7" w:rsidRPr="0071774C" w14:paraId="3795141C" w14:textId="77777777" w:rsidTr="00FB7F22">
        <w:trPr>
          <w:trHeight w:val="255"/>
        </w:trPr>
        <w:tc>
          <w:tcPr>
            <w:tcW w:w="8222" w:type="dxa"/>
            <w:hideMark/>
          </w:tcPr>
          <w:p w14:paraId="6CEEDFA0" w14:textId="77777777" w:rsidR="002C2EC7" w:rsidRPr="00525643" w:rsidRDefault="002C2EC7" w:rsidP="00BA57A0">
            <w:pPr>
              <w:pStyle w:val="OWTablebodyleft"/>
            </w:pPr>
            <w:r w:rsidRPr="00525643">
              <w:t>Unsure</w:t>
            </w:r>
          </w:p>
        </w:tc>
        <w:tc>
          <w:tcPr>
            <w:tcW w:w="870" w:type="dxa"/>
            <w:hideMark/>
          </w:tcPr>
          <w:p w14:paraId="2305FBAE" w14:textId="77777777" w:rsidR="002C2EC7" w:rsidRPr="0071774C" w:rsidRDefault="002C2EC7" w:rsidP="00BA57A0">
            <w:pPr>
              <w:pStyle w:val="OWTablebodycentre"/>
            </w:pPr>
            <w:r w:rsidRPr="0071774C">
              <w:t>24</w:t>
            </w:r>
          </w:p>
        </w:tc>
      </w:tr>
      <w:tr w:rsidR="002C2EC7" w:rsidRPr="0071774C" w14:paraId="471EBA70" w14:textId="77777777" w:rsidTr="00FB7F22">
        <w:trPr>
          <w:trHeight w:val="255"/>
        </w:trPr>
        <w:tc>
          <w:tcPr>
            <w:tcW w:w="8222" w:type="dxa"/>
            <w:hideMark/>
          </w:tcPr>
          <w:p w14:paraId="6D313E1A" w14:textId="77777777" w:rsidR="002C2EC7" w:rsidRPr="00525643" w:rsidRDefault="002C2EC7" w:rsidP="00BA57A0">
            <w:pPr>
              <w:pStyle w:val="OWTablebodyleft"/>
            </w:pPr>
            <w:r w:rsidRPr="00525643">
              <w:t>None of the above</w:t>
            </w:r>
          </w:p>
        </w:tc>
        <w:tc>
          <w:tcPr>
            <w:tcW w:w="870" w:type="dxa"/>
            <w:hideMark/>
          </w:tcPr>
          <w:p w14:paraId="152853AC" w14:textId="77777777" w:rsidR="002C2EC7" w:rsidRPr="0071774C" w:rsidRDefault="002C2EC7" w:rsidP="00BA57A0">
            <w:pPr>
              <w:pStyle w:val="OWTablebodycentre"/>
            </w:pPr>
            <w:r w:rsidRPr="0071774C">
              <w:t>15</w:t>
            </w:r>
          </w:p>
        </w:tc>
      </w:tr>
      <w:tr w:rsidR="002C2EC7" w:rsidRPr="0071774C" w14:paraId="3BA31559" w14:textId="77777777" w:rsidTr="00FB7F22">
        <w:trPr>
          <w:trHeight w:val="255"/>
        </w:trPr>
        <w:tc>
          <w:tcPr>
            <w:tcW w:w="8222" w:type="dxa"/>
            <w:hideMark/>
          </w:tcPr>
          <w:p w14:paraId="00E32313" w14:textId="77777777" w:rsidR="002C2EC7" w:rsidRPr="00525643" w:rsidRDefault="002C2EC7" w:rsidP="00BA57A0">
            <w:pPr>
              <w:pStyle w:val="OWTablebodyleft"/>
            </w:pPr>
            <w:r w:rsidRPr="00525643">
              <w:t>Other</w:t>
            </w:r>
          </w:p>
        </w:tc>
        <w:tc>
          <w:tcPr>
            <w:tcW w:w="870" w:type="dxa"/>
            <w:hideMark/>
          </w:tcPr>
          <w:p w14:paraId="24C52EDA" w14:textId="77777777" w:rsidR="002C2EC7" w:rsidRPr="0071774C" w:rsidRDefault="002C2EC7" w:rsidP="00BA57A0">
            <w:pPr>
              <w:pStyle w:val="OWTablebodycentre"/>
            </w:pPr>
            <w:r w:rsidRPr="0071774C">
              <w:t>9</w:t>
            </w:r>
          </w:p>
        </w:tc>
      </w:tr>
    </w:tbl>
    <w:p w14:paraId="7A76C67E" w14:textId="18CA5AA8" w:rsidR="002C2EC7" w:rsidRPr="00ED42C9" w:rsidRDefault="002C2EC7" w:rsidP="00ED42C9">
      <w:pPr>
        <w:pStyle w:val="OWTablefootnote"/>
        <w:rPr>
          <w:rStyle w:val="OWMagentahighlight"/>
          <w:color w:val="414042" w:themeColor="text2"/>
        </w:rPr>
      </w:pPr>
      <w:r w:rsidRPr="00ED42C9">
        <w:rPr>
          <w:rStyle w:val="OWMagentahighlight"/>
          <w:color w:val="414042" w:themeColor="text2"/>
        </w:rPr>
        <w:t xml:space="preserve">Source: </w:t>
      </w:r>
      <w:r w:rsidR="00DE5D1E" w:rsidRPr="00ED42C9">
        <w:t>Progress in Prevention Research Survey</w:t>
      </w:r>
    </w:p>
    <w:p w14:paraId="39A9B920" w14:textId="77777777" w:rsidR="002C2EC7" w:rsidRDefault="002C2EC7" w:rsidP="00BA57A0">
      <w:pPr>
        <w:pStyle w:val="OWBodytextlargespaceabove"/>
      </w:pPr>
      <w:r w:rsidRPr="0071774C">
        <w:t>Most</w:t>
      </w:r>
      <w:r>
        <w:t xml:space="preserve"> </w:t>
      </w:r>
      <w:r w:rsidRPr="0071774C">
        <w:t>often</w:t>
      </w:r>
      <w:r>
        <w:t xml:space="preserve"> </w:t>
      </w:r>
      <w:r w:rsidRPr="0071774C">
        <w:t>these</w:t>
      </w:r>
      <w:r>
        <w:t xml:space="preserve"> </w:t>
      </w:r>
      <w:r w:rsidRPr="0071774C">
        <w:t>various</w:t>
      </w:r>
      <w:r>
        <w:t xml:space="preserve"> </w:t>
      </w:r>
      <w:r w:rsidRPr="0071774C">
        <w:t>forms</w:t>
      </w:r>
      <w:r>
        <w:t xml:space="preserve"> </w:t>
      </w:r>
      <w:r w:rsidRPr="0071774C">
        <w:t>of</w:t>
      </w:r>
      <w:r>
        <w:t xml:space="preserve"> </w:t>
      </w:r>
      <w:r w:rsidRPr="0071774C">
        <w:t>advice</w:t>
      </w:r>
      <w:r>
        <w:t xml:space="preserve"> </w:t>
      </w:r>
      <w:r w:rsidRPr="0071774C">
        <w:t>and</w:t>
      </w:r>
      <w:r>
        <w:t xml:space="preserve"> </w:t>
      </w:r>
      <w:r w:rsidRPr="0071774C">
        <w:t>support</w:t>
      </w:r>
      <w:r>
        <w:t xml:space="preserve"> </w:t>
      </w:r>
      <w:r w:rsidRPr="0071774C">
        <w:t>were</w:t>
      </w:r>
      <w:r>
        <w:t xml:space="preserve"> </w:t>
      </w:r>
      <w:r w:rsidRPr="0071774C">
        <w:t>supported</w:t>
      </w:r>
      <w:r>
        <w:t xml:space="preserve"> </w:t>
      </w:r>
      <w:r w:rsidRPr="0071774C">
        <w:t>by</w:t>
      </w:r>
      <w:r>
        <w:t xml:space="preserve"> </w:t>
      </w:r>
      <w:r w:rsidRPr="0071774C">
        <w:t>government</w:t>
      </w:r>
      <w:r>
        <w:t xml:space="preserve"> </w:t>
      </w:r>
      <w:r w:rsidRPr="0071774C">
        <w:t>funding</w:t>
      </w:r>
      <w:r>
        <w:t xml:space="preserve"> </w:t>
      </w:r>
      <w:r w:rsidRPr="0071774C">
        <w:t>(either</w:t>
      </w:r>
      <w:r>
        <w:t xml:space="preserve"> </w:t>
      </w:r>
      <w:r w:rsidRPr="0071774C">
        <w:t>fe</w:t>
      </w:r>
      <w:r w:rsidRPr="00520A08">
        <w:rPr>
          <w:rStyle w:val="BodyTextChar"/>
        </w:rPr>
        <w:t>deral, s</w:t>
      </w:r>
      <w:r w:rsidRPr="0071774C">
        <w:t>tate</w:t>
      </w:r>
      <w:r>
        <w:t xml:space="preserve"> </w:t>
      </w:r>
      <w:r w:rsidRPr="0071774C">
        <w:t>or</w:t>
      </w:r>
      <w:r>
        <w:t xml:space="preserve"> </w:t>
      </w:r>
      <w:r w:rsidRPr="0071774C">
        <w:t>local</w:t>
      </w:r>
      <w:r>
        <w:t xml:space="preserve"> </w:t>
      </w:r>
      <w:r w:rsidRPr="0071774C">
        <w:t>government).</w:t>
      </w:r>
      <w:r>
        <w:t xml:space="preserve"> </w:t>
      </w:r>
      <w:r w:rsidRPr="0071774C">
        <w:t>Organisations</w:t>
      </w:r>
      <w:r>
        <w:t xml:space="preserve"> </w:t>
      </w:r>
      <w:r w:rsidRPr="0071774C">
        <w:t>also</w:t>
      </w:r>
      <w:r>
        <w:t xml:space="preserve"> </w:t>
      </w:r>
      <w:r w:rsidRPr="0071774C">
        <w:t>frequently</w:t>
      </w:r>
      <w:r>
        <w:t xml:space="preserve"> </w:t>
      </w:r>
      <w:r w:rsidRPr="0071774C">
        <w:t>fund</w:t>
      </w:r>
      <w:r>
        <w:t xml:space="preserve"> </w:t>
      </w:r>
      <w:r w:rsidRPr="0071774C">
        <w:t>their</w:t>
      </w:r>
      <w:r>
        <w:t xml:space="preserve"> </w:t>
      </w:r>
      <w:r w:rsidRPr="0071774C">
        <w:t>own</w:t>
      </w:r>
      <w:r>
        <w:t xml:space="preserve"> </w:t>
      </w:r>
      <w:r w:rsidRPr="0071774C">
        <w:t>advice</w:t>
      </w:r>
      <w:r>
        <w:t xml:space="preserve"> </w:t>
      </w:r>
      <w:r w:rsidRPr="0071774C">
        <w:t>and</w:t>
      </w:r>
      <w:r>
        <w:t xml:space="preserve"> </w:t>
      </w:r>
      <w:r w:rsidRPr="0071774C">
        <w:t>support</w:t>
      </w:r>
      <w:r>
        <w:t xml:space="preserve"> </w:t>
      </w:r>
      <w:r w:rsidRPr="0071774C">
        <w:t>services</w:t>
      </w:r>
      <w:r>
        <w:t xml:space="preserve"> </w:t>
      </w:r>
      <w:r w:rsidRPr="0071774C">
        <w:t>and/or</w:t>
      </w:r>
      <w:r>
        <w:t xml:space="preserve"> </w:t>
      </w:r>
      <w:r w:rsidRPr="0071774C">
        <w:t>offer</w:t>
      </w:r>
      <w:r>
        <w:t xml:space="preserve"> </w:t>
      </w:r>
      <w:r w:rsidRPr="0071774C">
        <w:t>these</w:t>
      </w:r>
      <w:r>
        <w:t xml:space="preserve"> </w:t>
      </w:r>
      <w:r w:rsidRPr="0071774C">
        <w:t>using</w:t>
      </w:r>
      <w:r>
        <w:t xml:space="preserve"> </w:t>
      </w:r>
      <w:r w:rsidRPr="0071774C">
        <w:t>a</w:t>
      </w:r>
      <w:r>
        <w:t xml:space="preserve"> </w:t>
      </w:r>
      <w:r w:rsidRPr="0071774C">
        <w:t>fee-for-service</w:t>
      </w:r>
      <w:r>
        <w:t xml:space="preserve"> </w:t>
      </w:r>
      <w:r w:rsidRPr="0071774C">
        <w:t>model</w:t>
      </w:r>
      <w:r>
        <w:t xml:space="preserve"> </w:t>
      </w:r>
      <w:r w:rsidRPr="0071774C">
        <w:t>(see</w:t>
      </w:r>
      <w:r>
        <w:t xml:space="preserve"> </w:t>
      </w:r>
      <w:r w:rsidRPr="0071774C">
        <w:t>Table</w:t>
      </w:r>
      <w:r>
        <w:t> 4, below</w:t>
      </w:r>
      <w:r w:rsidRPr="0071774C">
        <w:t>).</w:t>
      </w:r>
    </w:p>
    <w:p w14:paraId="20AFAC40" w14:textId="77777777" w:rsidR="008A1933" w:rsidRDefault="008A1933" w:rsidP="005F7F67">
      <w:pPr>
        <w:pStyle w:val="BodyText"/>
      </w:pPr>
      <w:r w:rsidRPr="0071774C">
        <w:t>Organisations</w:t>
      </w:r>
      <w:r>
        <w:t xml:space="preserve"> </w:t>
      </w:r>
      <w:r w:rsidRPr="0071774C">
        <w:t>that</w:t>
      </w:r>
      <w:r>
        <w:t xml:space="preserve"> </w:t>
      </w:r>
      <w:r w:rsidRPr="0071774C">
        <w:t>provided</w:t>
      </w:r>
      <w:r>
        <w:t xml:space="preserve"> </w:t>
      </w:r>
      <w:r w:rsidRPr="0071774C">
        <w:t>these</w:t>
      </w:r>
      <w:r>
        <w:t xml:space="preserve"> </w:t>
      </w:r>
      <w:r w:rsidRPr="0071774C">
        <w:t>services</w:t>
      </w:r>
      <w:r>
        <w:t xml:space="preserve"> </w:t>
      </w:r>
      <w:r w:rsidRPr="0071774C">
        <w:t>without</w:t>
      </w:r>
      <w:r>
        <w:t xml:space="preserve"> </w:t>
      </w:r>
      <w:r w:rsidRPr="0071774C">
        <w:t>funding,</w:t>
      </w:r>
      <w:r>
        <w:t xml:space="preserve"> </w:t>
      </w:r>
      <w:r w:rsidRPr="0071774C">
        <w:t>regardless</w:t>
      </w:r>
      <w:r>
        <w:t xml:space="preserve"> </w:t>
      </w:r>
      <w:r w:rsidRPr="0071774C">
        <w:t>of</w:t>
      </w:r>
      <w:r>
        <w:t xml:space="preserve"> </w:t>
      </w:r>
      <w:r w:rsidRPr="0071774C">
        <w:t>the</w:t>
      </w:r>
      <w:r>
        <w:t xml:space="preserve"> </w:t>
      </w:r>
      <w:r w:rsidRPr="0071774C">
        <w:t>setting,</w:t>
      </w:r>
      <w:r>
        <w:t xml:space="preserve"> </w:t>
      </w:r>
      <w:r w:rsidRPr="0071774C">
        <w:t>were</w:t>
      </w:r>
      <w:r>
        <w:t xml:space="preserve"> </w:t>
      </w:r>
      <w:r w:rsidRPr="0071774C">
        <w:t>commonly</w:t>
      </w:r>
      <w:r>
        <w:t xml:space="preserve"> </w:t>
      </w:r>
      <w:r w:rsidRPr="0071774C">
        <w:t>engaged</w:t>
      </w:r>
      <w:r>
        <w:t xml:space="preserve"> </w:t>
      </w:r>
      <w:r w:rsidRPr="0071774C">
        <w:t>in</w:t>
      </w:r>
      <w:r>
        <w:t xml:space="preserve"> </w:t>
      </w:r>
      <w:r w:rsidRPr="0071774C">
        <w:t>organisational</w:t>
      </w:r>
      <w:r>
        <w:t xml:space="preserve"> </w:t>
      </w:r>
      <w:r w:rsidRPr="0071774C">
        <w:t>capacity</w:t>
      </w:r>
      <w:r>
        <w:t xml:space="preserve"> </w:t>
      </w:r>
      <w:r w:rsidRPr="0071774C">
        <w:t>building,</w:t>
      </w:r>
      <w:r>
        <w:t xml:space="preserve"> </w:t>
      </w:r>
      <w:r w:rsidRPr="0071774C">
        <w:t>developing</w:t>
      </w:r>
      <w:r>
        <w:t xml:space="preserve"> </w:t>
      </w:r>
      <w:r w:rsidRPr="0071774C">
        <w:t>the</w:t>
      </w:r>
      <w:r>
        <w:t xml:space="preserve"> </w:t>
      </w:r>
      <w:r w:rsidRPr="0071774C">
        <w:t>knowledge</w:t>
      </w:r>
      <w:r>
        <w:t xml:space="preserve"> </w:t>
      </w:r>
      <w:r w:rsidRPr="0071774C">
        <w:t>of</w:t>
      </w:r>
      <w:r>
        <w:t xml:space="preserve"> </w:t>
      </w:r>
      <w:r w:rsidRPr="0071774C">
        <w:t>others</w:t>
      </w:r>
      <w:r>
        <w:t xml:space="preserve"> </w:t>
      </w:r>
      <w:r w:rsidRPr="0071774C">
        <w:t>in</w:t>
      </w:r>
      <w:r>
        <w:t xml:space="preserve"> </w:t>
      </w:r>
      <w:r w:rsidRPr="0071774C">
        <w:t>relation</w:t>
      </w:r>
      <w:r>
        <w:t xml:space="preserve"> </w:t>
      </w:r>
      <w:r w:rsidRPr="0071774C">
        <w:t>to</w:t>
      </w:r>
      <w:r>
        <w:t xml:space="preserve"> </w:t>
      </w:r>
      <w:r w:rsidRPr="0071774C">
        <w:t>primary</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and</w:t>
      </w:r>
      <w:r>
        <w:t xml:space="preserve"> </w:t>
      </w:r>
      <w:r w:rsidRPr="0071774C">
        <w:t>providing</w:t>
      </w:r>
      <w:r>
        <w:t xml:space="preserve"> </w:t>
      </w:r>
      <w:r w:rsidRPr="0071774C">
        <w:t>informal</w:t>
      </w:r>
      <w:r>
        <w:t xml:space="preserve"> </w:t>
      </w:r>
      <w:r w:rsidRPr="0071774C">
        <w:t>training</w:t>
      </w:r>
      <w:r>
        <w:t xml:space="preserve"> </w:t>
      </w:r>
      <w:r w:rsidRPr="0071774C">
        <w:t>and</w:t>
      </w:r>
      <w:r>
        <w:t xml:space="preserve"> </w:t>
      </w:r>
      <w:r w:rsidRPr="0071774C">
        <w:t>mentoring</w:t>
      </w:r>
      <w:r>
        <w:t xml:space="preserve"> </w:t>
      </w:r>
      <w:r w:rsidRPr="0071774C">
        <w:t>to</w:t>
      </w:r>
      <w:r>
        <w:t xml:space="preserve"> </w:t>
      </w:r>
      <w:r w:rsidRPr="0071774C">
        <w:t>others.</w:t>
      </w:r>
    </w:p>
    <w:p w14:paraId="22FD7E24" w14:textId="77777777" w:rsidR="008A1933" w:rsidRPr="008A1933" w:rsidRDefault="008A1933" w:rsidP="008A1933">
      <w:pPr>
        <w:pStyle w:val="BodyText"/>
      </w:pPr>
      <w:r w:rsidRPr="008A1933">
        <w:br w:type="page"/>
      </w:r>
    </w:p>
    <w:p w14:paraId="3F2FC316" w14:textId="4384EDC7" w:rsidR="002C2EC7" w:rsidRDefault="002C2EC7" w:rsidP="008A1933">
      <w:pPr>
        <w:pStyle w:val="OWTablecaption"/>
      </w:pPr>
      <w:r w:rsidRPr="003E7EE2">
        <w:lastRenderedPageBreak/>
        <w:t>Table</w:t>
      </w:r>
      <w:r>
        <w:t xml:space="preserve"> 4</w:t>
      </w:r>
      <w:r w:rsidRPr="003E7EE2">
        <w:t>:</w:t>
      </w:r>
      <w:r>
        <w:t xml:space="preserve"> </w:t>
      </w:r>
      <w:r w:rsidRPr="003E7EE2">
        <w:t>Source</w:t>
      </w:r>
      <w:r>
        <w:t xml:space="preserve"> </w:t>
      </w:r>
      <w:r w:rsidRPr="003E7EE2">
        <w:t>of</w:t>
      </w:r>
      <w:r>
        <w:t xml:space="preserve"> </w:t>
      </w:r>
      <w:r w:rsidRPr="003E7EE2">
        <w:t>funding</w:t>
      </w:r>
      <w:r>
        <w:t xml:space="preserve"> </w:t>
      </w:r>
      <w:r w:rsidRPr="003E7EE2">
        <w:t>for</w:t>
      </w:r>
      <w:r>
        <w:t xml:space="preserve"> </w:t>
      </w:r>
      <w:r w:rsidRPr="003E7EE2">
        <w:t>types</w:t>
      </w:r>
      <w:r>
        <w:t xml:space="preserve"> </w:t>
      </w:r>
      <w:r w:rsidRPr="003E7EE2">
        <w:t>of</w:t>
      </w:r>
      <w:r>
        <w:t xml:space="preserve"> </w:t>
      </w:r>
      <w:r w:rsidRPr="003E7EE2">
        <w:t>advice</w:t>
      </w:r>
      <w:r>
        <w:t xml:space="preserve"> </w:t>
      </w:r>
      <w:r w:rsidRPr="003E7EE2">
        <w:t>and</w:t>
      </w:r>
      <w:r>
        <w:t xml:space="preserve"> </w:t>
      </w:r>
      <w:r w:rsidRPr="003E7EE2">
        <w:t>support</w:t>
      </w:r>
      <w:r>
        <w:t xml:space="preserve"> </w:t>
      </w:r>
      <w:r w:rsidRPr="003E7EE2">
        <w:t>provided</w:t>
      </w:r>
      <w:r>
        <w:t xml:space="preserve"> </w:t>
      </w:r>
      <w:r w:rsidRPr="003E7EE2">
        <w:t>by</w:t>
      </w:r>
      <w:r>
        <w:t xml:space="preserve"> </w:t>
      </w:r>
      <w:r w:rsidRPr="003E7EE2">
        <w:t>organisations</w:t>
      </w:r>
      <w:r>
        <w:t xml:space="preserve"> </w:t>
      </w:r>
      <w:r w:rsidRPr="003E7EE2">
        <w:t>(Select</w:t>
      </w:r>
      <w:r>
        <w:t xml:space="preserve"> </w:t>
      </w:r>
      <w:r w:rsidRPr="003E7EE2">
        <w:t>all</w:t>
      </w:r>
      <w:r>
        <w:t xml:space="preserve"> </w:t>
      </w:r>
      <w:r w:rsidRPr="003E7EE2">
        <w:t>that</w:t>
      </w:r>
      <w:r>
        <w:t xml:space="preserve"> </w:t>
      </w:r>
      <w:r w:rsidRPr="003E7EE2">
        <w:t>apply)</w:t>
      </w:r>
    </w:p>
    <w:tbl>
      <w:tblPr>
        <w:tblStyle w:val="Datatablecharcoal"/>
        <w:tblW w:w="9072" w:type="dxa"/>
        <w:tblLook w:val="06A0" w:firstRow="1" w:lastRow="0" w:firstColumn="1" w:lastColumn="0" w:noHBand="1" w:noVBand="1"/>
      </w:tblPr>
      <w:tblGrid>
        <w:gridCol w:w="7061"/>
        <w:gridCol w:w="2011"/>
      </w:tblGrid>
      <w:tr w:rsidR="002C2EC7" w:rsidRPr="0071774C" w14:paraId="13DCB8AA" w14:textId="77777777" w:rsidTr="008F3E9A">
        <w:trPr>
          <w:cnfStyle w:val="100000000000" w:firstRow="1" w:lastRow="0" w:firstColumn="0" w:lastColumn="0" w:oddVBand="0" w:evenVBand="0" w:oddHBand="0" w:evenHBand="0" w:firstRowFirstColumn="0" w:firstRowLastColumn="0" w:lastRowFirstColumn="0" w:lastRowLastColumn="0"/>
          <w:tblHeader/>
        </w:trPr>
        <w:tc>
          <w:tcPr>
            <w:tcW w:w="7005" w:type="dxa"/>
            <w:hideMark/>
          </w:tcPr>
          <w:p w14:paraId="265C0141" w14:textId="77777777" w:rsidR="002C2EC7" w:rsidRPr="0071774C" w:rsidRDefault="002C2EC7" w:rsidP="008A1933">
            <w:pPr>
              <w:pStyle w:val="OWTablecolumnheadleft"/>
            </w:pPr>
            <w:r w:rsidRPr="0071774C">
              <w:t>Funding</w:t>
            </w:r>
            <w:r>
              <w:t xml:space="preserve"> </w:t>
            </w:r>
            <w:r w:rsidRPr="0071774C">
              <w:t>sources</w:t>
            </w:r>
          </w:p>
        </w:tc>
        <w:tc>
          <w:tcPr>
            <w:tcW w:w="1995" w:type="dxa"/>
            <w:hideMark/>
          </w:tcPr>
          <w:p w14:paraId="32A8E16C" w14:textId="77777777" w:rsidR="002C2EC7" w:rsidRPr="0071774C" w:rsidRDefault="002C2EC7" w:rsidP="008A1933">
            <w:pPr>
              <w:pStyle w:val="OWTablecolumnheadcentre"/>
            </w:pPr>
            <w:r w:rsidRPr="0071774C">
              <w:t>Number</w:t>
            </w:r>
            <w:r>
              <w:t xml:space="preserve"> </w:t>
            </w:r>
            <w:r w:rsidRPr="0071774C">
              <w:t>of</w:t>
            </w:r>
            <w:r>
              <w:t xml:space="preserve"> </w:t>
            </w:r>
            <w:r w:rsidRPr="0071774C">
              <w:t>respondents</w:t>
            </w:r>
          </w:p>
        </w:tc>
      </w:tr>
      <w:tr w:rsidR="002C2EC7" w:rsidRPr="0071774C" w14:paraId="0B88DDAE" w14:textId="77777777" w:rsidTr="00FB7F22">
        <w:tc>
          <w:tcPr>
            <w:tcW w:w="7005" w:type="dxa"/>
            <w:hideMark/>
          </w:tcPr>
          <w:p w14:paraId="15A50FBA" w14:textId="77777777" w:rsidR="002C2EC7" w:rsidRPr="00525643" w:rsidRDefault="002C2EC7" w:rsidP="008A1933">
            <w:pPr>
              <w:pStyle w:val="OWTablebodyleft"/>
            </w:pPr>
            <w:r w:rsidRPr="00525643">
              <w:t>Government funding (local, state or federal)</w:t>
            </w:r>
          </w:p>
        </w:tc>
        <w:tc>
          <w:tcPr>
            <w:tcW w:w="1995" w:type="dxa"/>
            <w:hideMark/>
          </w:tcPr>
          <w:p w14:paraId="78590E5C" w14:textId="77777777" w:rsidR="002C2EC7" w:rsidRPr="0071774C" w:rsidRDefault="002C2EC7" w:rsidP="008A1933">
            <w:pPr>
              <w:pStyle w:val="OWTablebodycentre"/>
            </w:pPr>
            <w:r w:rsidRPr="0071774C">
              <w:t>126</w:t>
            </w:r>
          </w:p>
        </w:tc>
      </w:tr>
      <w:tr w:rsidR="002C2EC7" w:rsidRPr="0071774C" w14:paraId="67F4DE57" w14:textId="77777777" w:rsidTr="00FB7F22">
        <w:tc>
          <w:tcPr>
            <w:tcW w:w="7005" w:type="dxa"/>
            <w:hideMark/>
          </w:tcPr>
          <w:p w14:paraId="1CAD123D" w14:textId="77777777" w:rsidR="002C2EC7" w:rsidRPr="00525643" w:rsidRDefault="002C2EC7" w:rsidP="008A1933">
            <w:pPr>
              <w:pStyle w:val="OWTablebodyleft"/>
            </w:pPr>
            <w:r w:rsidRPr="00525643">
              <w:t>Funded by the organisation but not explicitly funded through any funding or grant programs</w:t>
            </w:r>
          </w:p>
        </w:tc>
        <w:tc>
          <w:tcPr>
            <w:tcW w:w="1995" w:type="dxa"/>
            <w:hideMark/>
          </w:tcPr>
          <w:p w14:paraId="36A16037" w14:textId="77777777" w:rsidR="002C2EC7" w:rsidRPr="0071774C" w:rsidRDefault="002C2EC7" w:rsidP="008A1933">
            <w:pPr>
              <w:pStyle w:val="OWTablebodycentre"/>
            </w:pPr>
            <w:r w:rsidRPr="0071774C">
              <w:t>71</w:t>
            </w:r>
          </w:p>
        </w:tc>
      </w:tr>
      <w:tr w:rsidR="002C2EC7" w:rsidRPr="0071774C" w14:paraId="784D9DC2" w14:textId="77777777" w:rsidTr="00FB7F22">
        <w:tc>
          <w:tcPr>
            <w:tcW w:w="7005" w:type="dxa"/>
            <w:hideMark/>
          </w:tcPr>
          <w:p w14:paraId="3802B0EF" w14:textId="77777777" w:rsidR="002C2EC7" w:rsidRPr="00525643" w:rsidRDefault="002C2EC7" w:rsidP="008A1933">
            <w:pPr>
              <w:pStyle w:val="OWTablebodyleft"/>
            </w:pPr>
            <w:r w:rsidRPr="00525643">
              <w:t>Fee for service, funded by requesting organisations</w:t>
            </w:r>
          </w:p>
        </w:tc>
        <w:tc>
          <w:tcPr>
            <w:tcW w:w="1995" w:type="dxa"/>
            <w:hideMark/>
          </w:tcPr>
          <w:p w14:paraId="5A4A87EE" w14:textId="77777777" w:rsidR="002C2EC7" w:rsidRPr="0071774C" w:rsidRDefault="002C2EC7" w:rsidP="008A1933">
            <w:pPr>
              <w:pStyle w:val="OWTablebodycentre"/>
            </w:pPr>
            <w:r w:rsidRPr="0071774C">
              <w:t>57</w:t>
            </w:r>
          </w:p>
        </w:tc>
      </w:tr>
      <w:tr w:rsidR="002C2EC7" w:rsidRPr="0071774C" w14:paraId="7CA7871B" w14:textId="77777777" w:rsidTr="00FB7F22">
        <w:tc>
          <w:tcPr>
            <w:tcW w:w="7005" w:type="dxa"/>
            <w:hideMark/>
          </w:tcPr>
          <w:p w14:paraId="54AA15AF" w14:textId="77777777" w:rsidR="002C2EC7" w:rsidRPr="00525643" w:rsidRDefault="002C2EC7" w:rsidP="008A1933">
            <w:pPr>
              <w:pStyle w:val="OWTablebodyleft"/>
            </w:pPr>
            <w:r w:rsidRPr="00525643">
              <w:t>Unsure</w:t>
            </w:r>
          </w:p>
        </w:tc>
        <w:tc>
          <w:tcPr>
            <w:tcW w:w="1995" w:type="dxa"/>
            <w:hideMark/>
          </w:tcPr>
          <w:p w14:paraId="1C0EBE4E" w14:textId="77777777" w:rsidR="002C2EC7" w:rsidRPr="0071774C" w:rsidRDefault="002C2EC7" w:rsidP="008A1933">
            <w:pPr>
              <w:pStyle w:val="OWTablebodycentre"/>
            </w:pPr>
            <w:r w:rsidRPr="0071774C">
              <w:t>34</w:t>
            </w:r>
          </w:p>
        </w:tc>
      </w:tr>
      <w:tr w:rsidR="002C2EC7" w:rsidRPr="0071774C" w14:paraId="101E2BD1" w14:textId="77777777" w:rsidTr="00FB7F22">
        <w:tc>
          <w:tcPr>
            <w:tcW w:w="7005" w:type="dxa"/>
            <w:hideMark/>
          </w:tcPr>
          <w:p w14:paraId="41F70FAB" w14:textId="77777777" w:rsidR="002C2EC7" w:rsidRPr="00525643" w:rsidRDefault="002C2EC7" w:rsidP="008A1933">
            <w:pPr>
              <w:pStyle w:val="OWTablebodyleft"/>
            </w:pPr>
            <w:r w:rsidRPr="00525643">
              <w:t>Philanthropic funding (from philanthropic organisations or through corporate philanthropic programs)</w:t>
            </w:r>
          </w:p>
        </w:tc>
        <w:tc>
          <w:tcPr>
            <w:tcW w:w="1995" w:type="dxa"/>
            <w:hideMark/>
          </w:tcPr>
          <w:p w14:paraId="3E20EC83" w14:textId="77777777" w:rsidR="002C2EC7" w:rsidRPr="0071774C" w:rsidRDefault="002C2EC7" w:rsidP="008A1933">
            <w:pPr>
              <w:pStyle w:val="OWTablebodycentre"/>
            </w:pPr>
            <w:r w:rsidRPr="0071774C">
              <w:t>24</w:t>
            </w:r>
          </w:p>
        </w:tc>
      </w:tr>
      <w:tr w:rsidR="002C2EC7" w:rsidRPr="0071774C" w14:paraId="1A87B179" w14:textId="77777777" w:rsidTr="00FB7F22">
        <w:tc>
          <w:tcPr>
            <w:tcW w:w="7005" w:type="dxa"/>
            <w:hideMark/>
          </w:tcPr>
          <w:p w14:paraId="7083BCAD" w14:textId="77777777" w:rsidR="002C2EC7" w:rsidRPr="00525643" w:rsidRDefault="002C2EC7" w:rsidP="008A1933">
            <w:pPr>
              <w:pStyle w:val="OWTablebodyleft"/>
            </w:pPr>
            <w:r w:rsidRPr="00525643">
              <w:t>Other</w:t>
            </w:r>
          </w:p>
        </w:tc>
        <w:tc>
          <w:tcPr>
            <w:tcW w:w="1995" w:type="dxa"/>
            <w:hideMark/>
          </w:tcPr>
          <w:p w14:paraId="08EA2B31" w14:textId="77777777" w:rsidR="002C2EC7" w:rsidRPr="0071774C" w:rsidRDefault="002C2EC7" w:rsidP="008A1933">
            <w:pPr>
              <w:pStyle w:val="OWTablebodycentre"/>
            </w:pPr>
            <w:r w:rsidRPr="0071774C">
              <w:t>22</w:t>
            </w:r>
          </w:p>
        </w:tc>
      </w:tr>
      <w:tr w:rsidR="002C2EC7" w:rsidRPr="0071774C" w14:paraId="40FE1A74" w14:textId="77777777" w:rsidTr="00FB7F22">
        <w:tc>
          <w:tcPr>
            <w:tcW w:w="7005" w:type="dxa"/>
            <w:hideMark/>
          </w:tcPr>
          <w:p w14:paraId="62B02B0C" w14:textId="77777777" w:rsidR="002C2EC7" w:rsidRPr="00525643" w:rsidRDefault="002C2EC7" w:rsidP="008A1933">
            <w:pPr>
              <w:pStyle w:val="OWTablebodyleft"/>
            </w:pPr>
            <w:r w:rsidRPr="00525643">
              <w:t>Unfunded</w:t>
            </w:r>
          </w:p>
        </w:tc>
        <w:tc>
          <w:tcPr>
            <w:tcW w:w="1995" w:type="dxa"/>
            <w:hideMark/>
          </w:tcPr>
          <w:p w14:paraId="1B705F20" w14:textId="77777777" w:rsidR="002C2EC7" w:rsidRPr="0071774C" w:rsidRDefault="002C2EC7" w:rsidP="008A1933">
            <w:pPr>
              <w:pStyle w:val="OWTablebodycentre"/>
            </w:pPr>
            <w:r w:rsidRPr="0071774C">
              <w:t>11</w:t>
            </w:r>
          </w:p>
        </w:tc>
      </w:tr>
    </w:tbl>
    <w:p w14:paraId="6F49A715" w14:textId="77777777" w:rsidR="002C2EC7" w:rsidRDefault="002C2EC7" w:rsidP="008A1933">
      <w:pPr>
        <w:pStyle w:val="OWTablefootnote"/>
      </w:pPr>
      <w:r w:rsidRPr="00C71608">
        <w:t>Source:</w:t>
      </w:r>
      <w:r>
        <w:t xml:space="preserve"> Progress in Prevention Research Survey</w:t>
      </w:r>
    </w:p>
    <w:p w14:paraId="30176828" w14:textId="77777777" w:rsidR="002C2EC7" w:rsidRDefault="002C2EC7" w:rsidP="00790783">
      <w:pPr>
        <w:pStyle w:val="Heading5"/>
      </w:pPr>
      <w:bookmarkStart w:id="49" w:name="_Toc41559728"/>
      <w:r w:rsidRPr="0071774C">
        <w:t>Formal</w:t>
      </w:r>
      <w:r>
        <w:t xml:space="preserve"> </w:t>
      </w:r>
      <w:r w:rsidRPr="0071774C">
        <w:t>qualifications</w:t>
      </w:r>
      <w:bookmarkEnd w:id="49"/>
    </w:p>
    <w:p w14:paraId="0D03A6AB" w14:textId="54CEA18B" w:rsidR="002C2EC7" w:rsidRDefault="002C2EC7" w:rsidP="00790783">
      <w:pPr>
        <w:pStyle w:val="BodyText"/>
      </w:pPr>
      <w:r w:rsidRPr="0071774C">
        <w:t>Given</w:t>
      </w:r>
      <w:r>
        <w:t xml:space="preserve"> that </w:t>
      </w:r>
      <w:r w:rsidRPr="0071774C">
        <w:t>the</w:t>
      </w:r>
      <w:r>
        <w:t xml:space="preserve"> </w:t>
      </w:r>
      <w:r w:rsidRPr="0071774C">
        <w:t>primary</w:t>
      </w:r>
      <w:r>
        <w:t xml:space="preserve"> </w:t>
      </w:r>
      <w:r w:rsidRPr="0071774C">
        <w:t>prevention</w:t>
      </w:r>
      <w:r>
        <w:t xml:space="preserve"> </w:t>
      </w:r>
      <w:r w:rsidRPr="0071774C">
        <w:t>workforce</w:t>
      </w:r>
      <w:r>
        <w:t xml:space="preserve"> </w:t>
      </w:r>
      <w:r w:rsidRPr="0071774C">
        <w:t>is</w:t>
      </w:r>
      <w:r>
        <w:t xml:space="preserve"> </w:t>
      </w:r>
      <w:r w:rsidRPr="0071774C">
        <w:t>diverse,</w:t>
      </w:r>
      <w:r>
        <w:t xml:space="preserve"> </w:t>
      </w:r>
      <w:r w:rsidRPr="0071774C">
        <w:t>and</w:t>
      </w:r>
      <w:r>
        <w:t xml:space="preserve"> </w:t>
      </w:r>
      <w:r w:rsidRPr="0071774C">
        <w:t>exists</w:t>
      </w:r>
      <w:r>
        <w:t xml:space="preserve"> </w:t>
      </w:r>
      <w:r w:rsidRPr="0071774C">
        <w:t>across</w:t>
      </w:r>
      <w:r>
        <w:t xml:space="preserve"> </w:t>
      </w:r>
      <w:r w:rsidRPr="0071774C">
        <w:t>all</w:t>
      </w:r>
      <w:r>
        <w:t xml:space="preserve"> </w:t>
      </w:r>
      <w:r w:rsidRPr="0071774C">
        <w:t>settings,</w:t>
      </w:r>
      <w:r>
        <w:t xml:space="preserve"> </w:t>
      </w:r>
      <w:r w:rsidRPr="0071774C">
        <w:t>it</w:t>
      </w:r>
      <w:r>
        <w:t xml:space="preserve"> </w:t>
      </w:r>
      <w:r w:rsidRPr="0071774C">
        <w:t>was</w:t>
      </w:r>
      <w:r w:rsidR="00C11BA2">
        <w:t> </w:t>
      </w:r>
      <w:r w:rsidRPr="0071774C">
        <w:t>anticipated</w:t>
      </w:r>
      <w:r>
        <w:t xml:space="preserve"> </w:t>
      </w:r>
      <w:r w:rsidRPr="0071774C">
        <w:t>that</w:t>
      </w:r>
      <w:r>
        <w:t xml:space="preserve"> </w:t>
      </w:r>
      <w:r w:rsidRPr="0071774C">
        <w:t>practitioners</w:t>
      </w:r>
      <w:r>
        <w:t xml:space="preserve"> </w:t>
      </w:r>
      <w:r w:rsidRPr="0071774C">
        <w:t>would</w:t>
      </w:r>
      <w:r>
        <w:t xml:space="preserve"> </w:t>
      </w:r>
      <w:r w:rsidRPr="0071774C">
        <w:t>have</w:t>
      </w:r>
      <w:r>
        <w:t xml:space="preserve"> </w:t>
      </w:r>
      <w:r w:rsidRPr="0071774C">
        <w:t>a</w:t>
      </w:r>
      <w:r>
        <w:t xml:space="preserve"> </w:t>
      </w:r>
      <w:r w:rsidRPr="0071774C">
        <w:t>range</w:t>
      </w:r>
      <w:r>
        <w:t xml:space="preserve"> </w:t>
      </w:r>
      <w:r w:rsidRPr="0071774C">
        <w:t>of</w:t>
      </w:r>
      <w:r>
        <w:t xml:space="preserve"> </w:t>
      </w:r>
      <w:r w:rsidRPr="0071774C">
        <w:t>qualifications</w:t>
      </w:r>
      <w:r>
        <w:t xml:space="preserve"> </w:t>
      </w:r>
      <w:r w:rsidRPr="0071774C">
        <w:t>and</w:t>
      </w:r>
      <w:r>
        <w:t xml:space="preserve"> </w:t>
      </w:r>
      <w:r w:rsidRPr="0071774C">
        <w:t>professional</w:t>
      </w:r>
      <w:r>
        <w:t xml:space="preserve"> </w:t>
      </w:r>
      <w:r w:rsidRPr="0071774C">
        <w:t>backgrounds.</w:t>
      </w:r>
      <w:r>
        <w:t xml:space="preserve"> </w:t>
      </w:r>
      <w:r w:rsidRPr="0071774C">
        <w:t>In</w:t>
      </w:r>
      <w:r>
        <w:t xml:space="preserve"> </w:t>
      </w:r>
      <w:r w:rsidRPr="0071774C">
        <w:t>the</w:t>
      </w:r>
      <w:r>
        <w:t xml:space="preserve"> </w:t>
      </w:r>
      <w:r w:rsidRPr="0071774C">
        <w:t>past</w:t>
      </w:r>
      <w:r>
        <w:t xml:space="preserve"> </w:t>
      </w:r>
      <w:r w:rsidRPr="0071774C">
        <w:t>few</w:t>
      </w:r>
      <w:r>
        <w:t xml:space="preserve"> </w:t>
      </w:r>
      <w:r w:rsidRPr="0071774C">
        <w:t>year</w:t>
      </w:r>
      <w:r w:rsidRPr="00407A21">
        <w:t>s</w:t>
      </w:r>
      <w:r w:rsidRPr="0071774C">
        <w:t>,</w:t>
      </w:r>
      <w:r>
        <w:t xml:space="preserve"> </w:t>
      </w:r>
      <w:r w:rsidRPr="0071774C">
        <w:t>a</w:t>
      </w:r>
      <w:r>
        <w:t xml:space="preserve"> </w:t>
      </w:r>
      <w:r w:rsidRPr="0071774C">
        <w:t>number</w:t>
      </w:r>
      <w:r>
        <w:t xml:space="preserve"> </w:t>
      </w:r>
      <w:r w:rsidRPr="0071774C">
        <w:t>of</w:t>
      </w:r>
      <w:r>
        <w:t xml:space="preserve"> </w:t>
      </w:r>
      <w:r w:rsidRPr="0071774C">
        <w:t>subjects</w:t>
      </w:r>
      <w:r>
        <w:t xml:space="preserve"> </w:t>
      </w:r>
      <w:r w:rsidRPr="0071774C">
        <w:t>and</w:t>
      </w:r>
      <w:r>
        <w:t xml:space="preserve"> </w:t>
      </w:r>
      <w:r w:rsidRPr="0071774C">
        <w:t>courses</w:t>
      </w:r>
      <w:r>
        <w:t xml:space="preserve"> </w:t>
      </w:r>
      <w:r w:rsidRPr="0071774C">
        <w:t>to</w:t>
      </w:r>
      <w:r>
        <w:t xml:space="preserve"> </w:t>
      </w:r>
      <w:r w:rsidRPr="0071774C">
        <w:t>increase</w:t>
      </w:r>
      <w:r>
        <w:t xml:space="preserve"> </w:t>
      </w:r>
      <w:r w:rsidRPr="0071774C">
        <w:t>skills</w:t>
      </w:r>
      <w:r>
        <w:t xml:space="preserve"> </w:t>
      </w:r>
      <w:r w:rsidRPr="0071774C">
        <w:t>and</w:t>
      </w:r>
      <w:r>
        <w:t xml:space="preserve"> </w:t>
      </w:r>
      <w:r w:rsidRPr="0071774C">
        <w:t>knowledge</w:t>
      </w:r>
      <w:r>
        <w:t xml:space="preserve"> </w:t>
      </w:r>
      <w:r w:rsidRPr="0071774C">
        <w:t>of</w:t>
      </w:r>
      <w:r>
        <w:t xml:space="preserve"> </w:t>
      </w:r>
      <w:r w:rsidRPr="0071774C">
        <w:t>the</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have</w:t>
      </w:r>
      <w:r>
        <w:t xml:space="preserve"> </w:t>
      </w:r>
      <w:r w:rsidRPr="0071774C">
        <w:t>emerged</w:t>
      </w:r>
      <w:r>
        <w:t xml:space="preserve"> </w:t>
      </w:r>
      <w:r w:rsidRPr="0071774C">
        <w:t>(see</w:t>
      </w:r>
      <w:r>
        <w:t xml:space="preserve"> </w:t>
      </w:r>
      <w:r w:rsidRPr="0071774C">
        <w:t>Appendix</w:t>
      </w:r>
      <w:r>
        <w:t xml:space="preserve"> </w:t>
      </w:r>
      <w:r w:rsidRPr="0071774C">
        <w:t>B</w:t>
      </w:r>
      <w:r>
        <w:t>: A selection of family violence related courses at Australian universities</w:t>
      </w:r>
      <w:r w:rsidRPr="0071774C">
        <w:t>).</w:t>
      </w:r>
      <w:r>
        <w:t xml:space="preserve"> </w:t>
      </w:r>
      <w:r w:rsidRPr="0071774C">
        <w:t>Three</w:t>
      </w:r>
      <w:r>
        <w:t>-</w:t>
      </w:r>
      <w:r w:rsidRPr="0071774C">
        <w:t>quarters</w:t>
      </w:r>
      <w:r>
        <w:t xml:space="preserve"> </w:t>
      </w:r>
      <w:r w:rsidRPr="0071774C">
        <w:t>of</w:t>
      </w:r>
      <w:r>
        <w:t xml:space="preserve"> </w:t>
      </w:r>
      <w:r w:rsidRPr="0071774C">
        <w:t>respondents</w:t>
      </w:r>
      <w:r>
        <w:t xml:space="preserve"> </w:t>
      </w:r>
      <w:r w:rsidRPr="0071774C">
        <w:t>hold</w:t>
      </w:r>
      <w:r>
        <w:t xml:space="preserve"> </w:t>
      </w:r>
      <w:r w:rsidRPr="0071774C">
        <w:t>a</w:t>
      </w:r>
      <w:r>
        <w:t xml:space="preserve"> </w:t>
      </w:r>
      <w:r w:rsidRPr="0071774C">
        <w:t>qualification</w:t>
      </w:r>
      <w:r>
        <w:t xml:space="preserve"> </w:t>
      </w:r>
      <w:r w:rsidRPr="0071774C">
        <w:t>at</w:t>
      </w:r>
      <w:r>
        <w:t xml:space="preserve"> </w:t>
      </w:r>
      <w:r w:rsidRPr="0071774C">
        <w:t>Bachelor</w:t>
      </w:r>
      <w:r>
        <w:t xml:space="preserve"> </w:t>
      </w:r>
      <w:r w:rsidRPr="0071774C">
        <w:t>degree</w:t>
      </w:r>
      <w:r>
        <w:t xml:space="preserve"> </w:t>
      </w:r>
      <w:r w:rsidRPr="0071774C">
        <w:t>level</w:t>
      </w:r>
      <w:r>
        <w:t xml:space="preserve"> </w:t>
      </w:r>
      <w:r w:rsidRPr="0071774C">
        <w:t>or</w:t>
      </w:r>
      <w:r>
        <w:t xml:space="preserve"> </w:t>
      </w:r>
      <w:r w:rsidRPr="0071774C">
        <w:t>higher</w:t>
      </w:r>
      <w:r>
        <w:t>, w</w:t>
      </w:r>
      <w:r w:rsidRPr="0071774C">
        <w:t>hile</w:t>
      </w:r>
      <w:r>
        <w:t xml:space="preserve"> </w:t>
      </w:r>
      <w:r w:rsidRPr="0071774C">
        <w:t>just</w:t>
      </w:r>
      <w:r>
        <w:t xml:space="preserve"> </w:t>
      </w:r>
      <w:r w:rsidRPr="0071774C">
        <w:t>over</w:t>
      </w:r>
      <w:r>
        <w:t xml:space="preserve"> </w:t>
      </w:r>
      <w:r w:rsidRPr="0071774C">
        <w:t>half</w:t>
      </w:r>
      <w:r>
        <w:t xml:space="preserve"> </w:t>
      </w:r>
      <w:r w:rsidRPr="0071774C">
        <w:t>of</w:t>
      </w:r>
      <w:r>
        <w:t xml:space="preserve"> </w:t>
      </w:r>
      <w:r w:rsidRPr="0071774C">
        <w:t>respondents</w:t>
      </w:r>
      <w:r>
        <w:t xml:space="preserve"> </w:t>
      </w:r>
      <w:r w:rsidRPr="0071774C">
        <w:t>reported</w:t>
      </w:r>
      <w:r>
        <w:t xml:space="preserve"> </w:t>
      </w:r>
      <w:r w:rsidRPr="0071774C">
        <w:t>that</w:t>
      </w:r>
      <w:r>
        <w:t xml:space="preserve"> </w:t>
      </w:r>
      <w:r w:rsidRPr="0071774C">
        <w:t>their</w:t>
      </w:r>
      <w:r>
        <w:t xml:space="preserve"> </w:t>
      </w:r>
      <w:r w:rsidRPr="0071774C">
        <w:t>highest</w:t>
      </w:r>
      <w:r>
        <w:t xml:space="preserve"> </w:t>
      </w:r>
      <w:r w:rsidRPr="0071774C">
        <w:t>formal</w:t>
      </w:r>
      <w:r>
        <w:t xml:space="preserve"> </w:t>
      </w:r>
      <w:r w:rsidRPr="0071774C">
        <w:t>qualification</w:t>
      </w:r>
      <w:r>
        <w:t xml:space="preserve"> </w:t>
      </w:r>
      <w:r w:rsidRPr="0071774C">
        <w:t>did</w:t>
      </w:r>
      <w:r>
        <w:t xml:space="preserve"> </w:t>
      </w:r>
      <w:r w:rsidRPr="0071774C">
        <w:t>not</w:t>
      </w:r>
      <w:r>
        <w:t xml:space="preserve"> </w:t>
      </w:r>
      <w:r w:rsidRPr="0071774C">
        <w:t>include</w:t>
      </w:r>
      <w:r>
        <w:t xml:space="preserve"> </w:t>
      </w:r>
      <w:r w:rsidRPr="0071774C">
        <w:t>any</w:t>
      </w:r>
      <w:r>
        <w:t xml:space="preserve"> </w:t>
      </w:r>
      <w:r w:rsidRPr="0071774C">
        <w:t>content</w:t>
      </w:r>
      <w:r>
        <w:t xml:space="preserve"> </w:t>
      </w:r>
      <w:r w:rsidRPr="0071774C">
        <w:t>about</w:t>
      </w:r>
      <w:r>
        <w:t xml:space="preserve"> </w:t>
      </w:r>
      <w:r w:rsidRPr="0071774C">
        <w:t>primary</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or</w:t>
      </w:r>
      <w:r>
        <w:t xml:space="preserve"> </w:t>
      </w:r>
      <w:r w:rsidRPr="0071774C">
        <w:t>gender</w:t>
      </w:r>
      <w:r>
        <w:t xml:space="preserve"> </w:t>
      </w:r>
      <w:r w:rsidRPr="0071774C">
        <w:t>equality.</w:t>
      </w:r>
    </w:p>
    <w:p w14:paraId="601DA352" w14:textId="77777777" w:rsidR="002C2EC7" w:rsidRDefault="002C2EC7" w:rsidP="00790783">
      <w:pPr>
        <w:pStyle w:val="Heading5"/>
      </w:pPr>
      <w:bookmarkStart w:id="50" w:name="_Toc41559729"/>
      <w:r w:rsidRPr="0071774C">
        <w:t>Training,</w:t>
      </w:r>
      <w:r>
        <w:t xml:space="preserve"> </w:t>
      </w:r>
      <w:r w:rsidRPr="0071774C">
        <w:t>professional</w:t>
      </w:r>
      <w:r>
        <w:t xml:space="preserve"> </w:t>
      </w:r>
      <w:r w:rsidRPr="0071774C">
        <w:t>development</w:t>
      </w:r>
      <w:r>
        <w:t xml:space="preserve"> </w:t>
      </w:r>
      <w:r w:rsidRPr="0071774C">
        <w:t>and</w:t>
      </w:r>
      <w:r>
        <w:t xml:space="preserve"> </w:t>
      </w:r>
      <w:r w:rsidRPr="0071774C">
        <w:t>skills</w:t>
      </w:r>
      <w:r>
        <w:t xml:space="preserve"> </w:t>
      </w:r>
      <w:r w:rsidRPr="0071774C">
        <w:t>development</w:t>
      </w:r>
      <w:bookmarkEnd w:id="50"/>
    </w:p>
    <w:p w14:paraId="6C0F5947" w14:textId="70DA4ECA" w:rsidR="002C2EC7" w:rsidRDefault="002C2EC7" w:rsidP="00790783">
      <w:pPr>
        <w:pStyle w:val="BodyText"/>
      </w:pPr>
      <w:r w:rsidRPr="0071774C">
        <w:t>The</w:t>
      </w:r>
      <w:r>
        <w:t xml:space="preserve"> </w:t>
      </w:r>
      <w:r w:rsidRPr="0071774C">
        <w:t>survey</w:t>
      </w:r>
      <w:r>
        <w:t xml:space="preserve"> </w:t>
      </w:r>
      <w:r w:rsidRPr="0071774C">
        <w:t>explored</w:t>
      </w:r>
      <w:r>
        <w:t xml:space="preserve"> </w:t>
      </w:r>
      <w:r w:rsidRPr="0071774C">
        <w:t>the</w:t>
      </w:r>
      <w:r>
        <w:t xml:space="preserve"> </w:t>
      </w:r>
      <w:r w:rsidRPr="0071774C">
        <w:t>extent</w:t>
      </w:r>
      <w:r>
        <w:t xml:space="preserve"> </w:t>
      </w:r>
      <w:r w:rsidRPr="0071774C">
        <w:t>to</w:t>
      </w:r>
      <w:r>
        <w:t xml:space="preserve"> </w:t>
      </w:r>
      <w:r w:rsidRPr="0071774C">
        <w:t>which</w:t>
      </w:r>
      <w:r>
        <w:t xml:space="preserve"> </w:t>
      </w:r>
      <w:r w:rsidRPr="0071774C">
        <w:t>respondents</w:t>
      </w:r>
      <w:r>
        <w:t xml:space="preserve"> </w:t>
      </w:r>
      <w:r w:rsidRPr="0071774C">
        <w:t>have</w:t>
      </w:r>
      <w:r>
        <w:t xml:space="preserve"> </w:t>
      </w:r>
      <w:r w:rsidRPr="0071774C">
        <w:t>had</w:t>
      </w:r>
      <w:r>
        <w:t xml:space="preserve"> </w:t>
      </w:r>
      <w:r w:rsidRPr="0071774C">
        <w:t>access</w:t>
      </w:r>
      <w:r>
        <w:t xml:space="preserve"> </w:t>
      </w:r>
      <w:r w:rsidRPr="0071774C">
        <w:t>to</w:t>
      </w:r>
      <w:r>
        <w:t xml:space="preserve"> </w:t>
      </w:r>
      <w:r w:rsidRPr="0071774C">
        <w:t>pre-service</w:t>
      </w:r>
      <w:r>
        <w:t xml:space="preserve"> </w:t>
      </w:r>
      <w:r w:rsidR="00C11BA2">
        <w:br/>
      </w:r>
      <w:r w:rsidRPr="0071774C">
        <w:t>and</w:t>
      </w:r>
      <w:r>
        <w:t xml:space="preserve"> </w:t>
      </w:r>
      <w:r w:rsidRPr="0071774C">
        <w:t>in-service</w:t>
      </w:r>
      <w:r>
        <w:t xml:space="preserve"> </w:t>
      </w:r>
      <w:r w:rsidRPr="0071774C">
        <w:t>gender</w:t>
      </w:r>
      <w:r>
        <w:t xml:space="preserve"> </w:t>
      </w:r>
      <w:r w:rsidRPr="0071774C">
        <w:t>equality</w:t>
      </w:r>
      <w:r>
        <w:t xml:space="preserve"> </w:t>
      </w:r>
      <w:r w:rsidRPr="0071774C">
        <w:t>and</w:t>
      </w:r>
      <w:r>
        <w:t xml:space="preserve"> </w:t>
      </w:r>
      <w:r w:rsidRPr="0071774C">
        <w:t>primary</w:t>
      </w:r>
      <w:r>
        <w:t xml:space="preserve"> </w:t>
      </w:r>
      <w:r w:rsidRPr="0071774C">
        <w:t>prevention</w:t>
      </w:r>
      <w:r>
        <w:t xml:space="preserve"> </w:t>
      </w:r>
      <w:r w:rsidRPr="0071774C">
        <w:t>training.</w:t>
      </w:r>
      <w:r>
        <w:t xml:space="preserve"> </w:t>
      </w:r>
      <w:r w:rsidRPr="0071774C">
        <w:t>It</w:t>
      </w:r>
      <w:r>
        <w:t xml:space="preserve"> </w:t>
      </w:r>
      <w:r w:rsidRPr="0071774C">
        <w:t>found</w:t>
      </w:r>
      <w:r>
        <w:t xml:space="preserve"> </w:t>
      </w:r>
      <w:r w:rsidRPr="0071774C">
        <w:t>that</w:t>
      </w:r>
      <w:r>
        <w:t xml:space="preserve"> </w:t>
      </w:r>
      <w:r w:rsidRPr="0071774C">
        <w:t>the</w:t>
      </w:r>
      <w:r>
        <w:t xml:space="preserve"> </w:t>
      </w:r>
      <w:r w:rsidRPr="0071774C">
        <w:t>majority</w:t>
      </w:r>
      <w:r>
        <w:t xml:space="preserve"> </w:t>
      </w:r>
      <w:r w:rsidRPr="0071774C">
        <w:t>of</w:t>
      </w:r>
      <w:r w:rsidR="00C11BA2">
        <w:t> </w:t>
      </w:r>
      <w:r w:rsidRPr="0071774C">
        <w:t>respondents</w:t>
      </w:r>
      <w:r>
        <w:t xml:space="preserve"> </w:t>
      </w:r>
      <w:r w:rsidRPr="0071774C">
        <w:t>(87%)</w:t>
      </w:r>
      <w:r>
        <w:t xml:space="preserve"> </w:t>
      </w:r>
      <w:r w:rsidRPr="0071774C">
        <w:t>had</w:t>
      </w:r>
      <w:r>
        <w:t xml:space="preserve"> </w:t>
      </w:r>
      <w:r w:rsidRPr="0071774C">
        <w:t>attended</w:t>
      </w:r>
      <w:r>
        <w:t xml:space="preserve"> </w:t>
      </w:r>
      <w:r w:rsidRPr="0071774C">
        <w:t>some</w:t>
      </w:r>
      <w:r>
        <w:t xml:space="preserve"> </w:t>
      </w:r>
      <w:r w:rsidRPr="0071774C">
        <w:t>form</w:t>
      </w:r>
      <w:r>
        <w:t xml:space="preserve"> </w:t>
      </w:r>
      <w:r w:rsidRPr="0071774C">
        <w:t>of</w:t>
      </w:r>
      <w:r>
        <w:t xml:space="preserve"> </w:t>
      </w:r>
      <w:r w:rsidRPr="0071774C">
        <w:t>training,</w:t>
      </w:r>
      <w:r>
        <w:t xml:space="preserve"> </w:t>
      </w:r>
      <w:r w:rsidRPr="0071774C">
        <w:t>professional</w:t>
      </w:r>
      <w:r>
        <w:t xml:space="preserve"> </w:t>
      </w:r>
      <w:r w:rsidRPr="0071774C">
        <w:t>development,</w:t>
      </w:r>
      <w:r>
        <w:t xml:space="preserve"> </w:t>
      </w:r>
      <w:r w:rsidRPr="0071774C">
        <w:t>mentoring</w:t>
      </w:r>
      <w:r>
        <w:t xml:space="preserve"> </w:t>
      </w:r>
      <w:r w:rsidRPr="0071774C">
        <w:t>or</w:t>
      </w:r>
      <w:r>
        <w:t xml:space="preserve"> </w:t>
      </w:r>
      <w:r w:rsidRPr="0071774C">
        <w:t>supervision</w:t>
      </w:r>
      <w:r>
        <w:t xml:space="preserve"> </w:t>
      </w:r>
      <w:r w:rsidRPr="0071774C">
        <w:t>to</w:t>
      </w:r>
      <w:r>
        <w:t xml:space="preserve"> </w:t>
      </w:r>
      <w:r w:rsidRPr="0071774C">
        <w:t>support</w:t>
      </w:r>
      <w:r>
        <w:t xml:space="preserve"> </w:t>
      </w:r>
      <w:r w:rsidRPr="0071774C">
        <w:t>their</w:t>
      </w:r>
      <w:r>
        <w:t xml:space="preserve"> </w:t>
      </w:r>
      <w:r w:rsidRPr="0071774C">
        <w:t>work</w:t>
      </w:r>
      <w:r>
        <w:t xml:space="preserve"> </w:t>
      </w:r>
      <w:r w:rsidRPr="0071774C">
        <w:t>in</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in</w:t>
      </w:r>
      <w:r>
        <w:t xml:space="preserve"> </w:t>
      </w:r>
      <w:r w:rsidRPr="0071774C">
        <w:t>the</w:t>
      </w:r>
      <w:r>
        <w:t xml:space="preserve"> </w:t>
      </w:r>
      <w:r w:rsidRPr="0071774C">
        <w:t>past</w:t>
      </w:r>
      <w:r>
        <w:t xml:space="preserve"> </w:t>
      </w:r>
      <w:r w:rsidRPr="0071774C">
        <w:t>ten</w:t>
      </w:r>
      <w:r>
        <w:t xml:space="preserve"> </w:t>
      </w:r>
      <w:r w:rsidRPr="0071774C">
        <w:t>years.</w:t>
      </w:r>
      <w:r>
        <w:t xml:space="preserve"> </w:t>
      </w:r>
      <w:r w:rsidRPr="0071774C">
        <w:t>Those</w:t>
      </w:r>
      <w:r>
        <w:t xml:space="preserve"> </w:t>
      </w:r>
      <w:r w:rsidRPr="0071774C">
        <w:t>who</w:t>
      </w:r>
      <w:r>
        <w:t xml:space="preserve"> </w:t>
      </w:r>
      <w:r w:rsidRPr="0071774C">
        <w:t>indicated</w:t>
      </w:r>
      <w:r>
        <w:t xml:space="preserve"> </w:t>
      </w:r>
      <w:r w:rsidRPr="0071774C">
        <w:t>that</w:t>
      </w:r>
      <w:r>
        <w:t xml:space="preserve"> </w:t>
      </w:r>
      <w:r w:rsidRPr="0071774C">
        <w:t>primary</w:t>
      </w:r>
      <w:r>
        <w:t xml:space="preserve"> </w:t>
      </w:r>
      <w:r w:rsidRPr="0071774C">
        <w:t>prevention</w:t>
      </w:r>
      <w:r>
        <w:t xml:space="preserve"> </w:t>
      </w:r>
      <w:r w:rsidRPr="0071774C">
        <w:t>work</w:t>
      </w:r>
      <w:r>
        <w:t xml:space="preserve"> </w:t>
      </w:r>
      <w:r w:rsidRPr="0071774C">
        <w:t>is</w:t>
      </w:r>
      <w:r>
        <w:t xml:space="preserve"> </w:t>
      </w:r>
      <w:r w:rsidRPr="0071774C">
        <w:t>interwoven</w:t>
      </w:r>
      <w:r>
        <w:t xml:space="preserve"> </w:t>
      </w:r>
      <w:r w:rsidRPr="0071774C">
        <w:t>into</w:t>
      </w:r>
      <w:r>
        <w:t xml:space="preserve"> </w:t>
      </w:r>
      <w:r w:rsidRPr="0071774C">
        <w:t>their</w:t>
      </w:r>
      <w:r>
        <w:t xml:space="preserve"> </w:t>
      </w:r>
      <w:r w:rsidRPr="0071774C">
        <w:t>role</w:t>
      </w:r>
      <w:r>
        <w:t xml:space="preserve"> </w:t>
      </w:r>
      <w:r w:rsidRPr="0071774C">
        <w:t>but</w:t>
      </w:r>
      <w:r>
        <w:t xml:space="preserve"> </w:t>
      </w:r>
      <w:r w:rsidRPr="0071774C">
        <w:t>not</w:t>
      </w:r>
      <w:r>
        <w:t xml:space="preserve"> </w:t>
      </w:r>
      <w:r w:rsidRPr="0071774C">
        <w:t>the</w:t>
      </w:r>
      <w:r>
        <w:t xml:space="preserve"> </w:t>
      </w:r>
      <w:r w:rsidRPr="0071774C">
        <w:t>explicit</w:t>
      </w:r>
      <w:r>
        <w:t xml:space="preserve"> </w:t>
      </w:r>
      <w:r w:rsidRPr="0071774C">
        <w:t>purpose</w:t>
      </w:r>
      <w:r>
        <w:t xml:space="preserve"> </w:t>
      </w:r>
      <w:r w:rsidRPr="0071774C">
        <w:t>of</w:t>
      </w:r>
      <w:r>
        <w:t xml:space="preserve"> </w:t>
      </w:r>
      <w:r w:rsidRPr="0071774C">
        <w:t>their</w:t>
      </w:r>
      <w:r>
        <w:t xml:space="preserve"> </w:t>
      </w:r>
      <w:r w:rsidRPr="0071774C">
        <w:t>role</w:t>
      </w:r>
      <w:r>
        <w:t xml:space="preserve"> </w:t>
      </w:r>
      <w:r w:rsidRPr="0071774C">
        <w:t>were</w:t>
      </w:r>
      <w:r>
        <w:t xml:space="preserve"> </w:t>
      </w:r>
      <w:r w:rsidRPr="0071774C">
        <w:t>less</w:t>
      </w:r>
      <w:r>
        <w:t xml:space="preserve"> </w:t>
      </w:r>
      <w:r w:rsidRPr="0071774C">
        <w:t>likely</w:t>
      </w:r>
      <w:r>
        <w:t xml:space="preserve"> </w:t>
      </w:r>
      <w:r w:rsidRPr="0071774C">
        <w:t>to</w:t>
      </w:r>
      <w:r>
        <w:t xml:space="preserve"> </w:t>
      </w:r>
      <w:r w:rsidRPr="0071774C">
        <w:t>have</w:t>
      </w:r>
      <w:r>
        <w:t xml:space="preserve"> </w:t>
      </w:r>
      <w:r w:rsidRPr="0071774C">
        <w:t>undertaken</w:t>
      </w:r>
      <w:r>
        <w:t xml:space="preserve"> </w:t>
      </w:r>
      <w:r w:rsidRPr="0071774C">
        <w:t>any</w:t>
      </w:r>
      <w:r>
        <w:t xml:space="preserve"> </w:t>
      </w:r>
      <w:r w:rsidRPr="0071774C">
        <w:t>training,</w:t>
      </w:r>
      <w:r>
        <w:t xml:space="preserve"> </w:t>
      </w:r>
      <w:r w:rsidRPr="0071774C">
        <w:t>professional</w:t>
      </w:r>
      <w:r>
        <w:t xml:space="preserve"> </w:t>
      </w:r>
      <w:r w:rsidRPr="0071774C">
        <w:t>development</w:t>
      </w:r>
      <w:r>
        <w:t xml:space="preserve"> </w:t>
      </w:r>
      <w:r w:rsidRPr="0071774C">
        <w:t>or</w:t>
      </w:r>
      <w:r>
        <w:t xml:space="preserve"> </w:t>
      </w:r>
      <w:r w:rsidRPr="0071774C">
        <w:t>other</w:t>
      </w:r>
      <w:r>
        <w:t xml:space="preserve"> </w:t>
      </w:r>
      <w:r w:rsidRPr="0071774C">
        <w:t>activity</w:t>
      </w:r>
      <w:r>
        <w:t xml:space="preserve"> </w:t>
      </w:r>
      <w:r w:rsidRPr="0071774C">
        <w:t>to</w:t>
      </w:r>
      <w:r>
        <w:t xml:space="preserve"> </w:t>
      </w:r>
      <w:r w:rsidRPr="0071774C">
        <w:t>support</w:t>
      </w:r>
      <w:r>
        <w:t xml:space="preserve"> </w:t>
      </w:r>
      <w:r w:rsidRPr="0071774C">
        <w:t>their</w:t>
      </w:r>
      <w:r>
        <w:t xml:space="preserve"> </w:t>
      </w:r>
      <w:r w:rsidRPr="0071774C">
        <w:t>prevention</w:t>
      </w:r>
      <w:r>
        <w:t xml:space="preserve"> </w:t>
      </w:r>
      <w:r w:rsidRPr="0071774C">
        <w:t>work</w:t>
      </w:r>
      <w:r>
        <w:t xml:space="preserve"> </w:t>
      </w:r>
      <w:r w:rsidRPr="0071774C">
        <w:t>than</w:t>
      </w:r>
      <w:r>
        <w:t xml:space="preserve"> </w:t>
      </w:r>
      <w:r w:rsidRPr="0071774C">
        <w:t>those</w:t>
      </w:r>
      <w:r>
        <w:t xml:space="preserve"> </w:t>
      </w:r>
      <w:r w:rsidRPr="0071774C">
        <w:t>whose</w:t>
      </w:r>
      <w:r>
        <w:t xml:space="preserve"> </w:t>
      </w:r>
      <w:r w:rsidRPr="0071774C">
        <w:t>role</w:t>
      </w:r>
      <w:r>
        <w:t xml:space="preserve"> </w:t>
      </w:r>
      <w:r w:rsidRPr="0071774C">
        <w:t>focuses</w:t>
      </w:r>
      <w:r>
        <w:t xml:space="preserve"> </w:t>
      </w:r>
      <w:r w:rsidRPr="0071774C">
        <w:t>partially</w:t>
      </w:r>
      <w:r>
        <w:t xml:space="preserve"> </w:t>
      </w:r>
      <w:r w:rsidRPr="0071774C">
        <w:t>or</w:t>
      </w:r>
      <w:r>
        <w:t xml:space="preserve"> </w:t>
      </w:r>
      <w:r w:rsidRPr="0071774C">
        <w:t>completely</w:t>
      </w:r>
      <w:r>
        <w:t xml:space="preserve"> </w:t>
      </w:r>
      <w:r w:rsidRPr="0071774C">
        <w:t>on</w:t>
      </w:r>
      <w:r>
        <w:t xml:space="preserve"> </w:t>
      </w:r>
      <w:r w:rsidRPr="0071774C">
        <w:t>prevention.</w:t>
      </w:r>
    </w:p>
    <w:p w14:paraId="0DC91E0C" w14:textId="77777777" w:rsidR="00C11BA2" w:rsidRPr="00C11BA2" w:rsidRDefault="00C11BA2" w:rsidP="00C11BA2">
      <w:pPr>
        <w:pStyle w:val="BodyText"/>
      </w:pPr>
      <w:r w:rsidRPr="00C11BA2">
        <w:br w:type="page"/>
      </w:r>
    </w:p>
    <w:p w14:paraId="23E0E67D" w14:textId="0817A2B1" w:rsidR="002C2EC7" w:rsidRDefault="002C2EC7" w:rsidP="00790783">
      <w:pPr>
        <w:pStyle w:val="BodyText"/>
      </w:pPr>
      <w:r w:rsidRPr="00962F6B">
        <w:lastRenderedPageBreak/>
        <w:t>Table</w:t>
      </w:r>
      <w:r>
        <w:t xml:space="preserve"> </w:t>
      </w:r>
      <w:r w:rsidRPr="00962F6B">
        <w:t>5,</w:t>
      </w:r>
      <w:r>
        <w:t xml:space="preserve"> below, </w:t>
      </w:r>
      <w:r w:rsidRPr="0071774C">
        <w:t>indicates</w:t>
      </w:r>
      <w:r>
        <w:t xml:space="preserve"> </w:t>
      </w:r>
      <w:r w:rsidRPr="0071774C">
        <w:t>that</w:t>
      </w:r>
      <w:r>
        <w:t xml:space="preserve"> a smaller </w:t>
      </w:r>
      <w:r w:rsidRPr="0071774C">
        <w:t>proportion</w:t>
      </w:r>
      <w:r>
        <w:t xml:space="preserve"> </w:t>
      </w:r>
      <w:r w:rsidRPr="0071774C">
        <w:t>of</w:t>
      </w:r>
      <w:r>
        <w:t xml:space="preserve"> </w:t>
      </w:r>
      <w:r w:rsidRPr="0071774C">
        <w:t>those</w:t>
      </w:r>
      <w:r>
        <w:t xml:space="preserve"> </w:t>
      </w:r>
      <w:r w:rsidRPr="0071774C">
        <w:t>who</w:t>
      </w:r>
      <w:r>
        <w:t xml:space="preserve"> </w:t>
      </w:r>
      <w:r w:rsidRPr="0071774C">
        <w:t>have</w:t>
      </w:r>
      <w:r>
        <w:t xml:space="preserve"> </w:t>
      </w:r>
      <w:r w:rsidRPr="0071774C">
        <w:t>undertaken</w:t>
      </w:r>
      <w:r>
        <w:t xml:space="preserve"> </w:t>
      </w:r>
      <w:r w:rsidRPr="0071774C">
        <w:t>training</w:t>
      </w:r>
      <w:r>
        <w:t xml:space="preserve"> </w:t>
      </w:r>
      <w:r w:rsidRPr="0071774C">
        <w:t>or</w:t>
      </w:r>
      <w:r>
        <w:t xml:space="preserve"> </w:t>
      </w:r>
      <w:r w:rsidRPr="0071774C">
        <w:t>professional</w:t>
      </w:r>
      <w:r>
        <w:t xml:space="preserve"> </w:t>
      </w:r>
      <w:r w:rsidRPr="0071774C">
        <w:t>development</w:t>
      </w:r>
      <w:r>
        <w:t xml:space="preserve"> </w:t>
      </w:r>
      <w:r w:rsidRPr="0071774C">
        <w:t>in</w:t>
      </w:r>
      <w:r>
        <w:t xml:space="preserve"> </w:t>
      </w:r>
      <w:r w:rsidRPr="0071774C">
        <w:t>the</w:t>
      </w:r>
      <w:r>
        <w:t xml:space="preserve"> </w:t>
      </w:r>
      <w:r w:rsidRPr="0071774C">
        <w:t>past</w:t>
      </w:r>
      <w:r>
        <w:t xml:space="preserve"> </w:t>
      </w:r>
      <w:r w:rsidRPr="0071774C">
        <w:t>ten</w:t>
      </w:r>
      <w:r>
        <w:t xml:space="preserve"> </w:t>
      </w:r>
      <w:r w:rsidRPr="0071774C">
        <w:t>years</w:t>
      </w:r>
      <w:r>
        <w:t xml:space="preserve"> </w:t>
      </w:r>
      <w:r w:rsidRPr="0071774C">
        <w:t>felt</w:t>
      </w:r>
      <w:r>
        <w:t xml:space="preserve"> </w:t>
      </w:r>
      <w:r w:rsidRPr="0071774C">
        <w:t>this</w:t>
      </w:r>
      <w:r>
        <w:t xml:space="preserve"> </w:t>
      </w:r>
      <w:r w:rsidRPr="0071774C">
        <w:t>had</w:t>
      </w:r>
      <w:r>
        <w:t xml:space="preserve"> </w:t>
      </w:r>
      <w:r w:rsidRPr="0071774C">
        <w:t>a</w:t>
      </w:r>
      <w:r>
        <w:t xml:space="preserve"> </w:t>
      </w:r>
      <w:r w:rsidRPr="0071774C">
        <w:t>positive</w:t>
      </w:r>
      <w:r>
        <w:t xml:space="preserve"> </w:t>
      </w:r>
      <w:r w:rsidRPr="0071774C">
        <w:t>impact</w:t>
      </w:r>
      <w:r>
        <w:t xml:space="preserve"> </w:t>
      </w:r>
      <w:r w:rsidRPr="0071774C">
        <w:t>on</w:t>
      </w:r>
      <w:r>
        <w:t xml:space="preserve"> </w:t>
      </w:r>
      <w:r w:rsidRPr="0071774C">
        <w:t>their</w:t>
      </w:r>
      <w:r>
        <w:t xml:space="preserve"> </w:t>
      </w:r>
      <w:r w:rsidRPr="0071774C">
        <w:t>skills</w:t>
      </w:r>
      <w:r>
        <w:t xml:space="preserve"> </w:t>
      </w:r>
      <w:r w:rsidRPr="0071774C">
        <w:t>and</w:t>
      </w:r>
      <w:r>
        <w:t xml:space="preserve"> </w:t>
      </w:r>
      <w:r w:rsidRPr="0071774C">
        <w:t>knowledge</w:t>
      </w:r>
      <w:r>
        <w:t xml:space="preserve"> </w:t>
      </w:r>
      <w:r w:rsidRPr="0071774C">
        <w:t>in</w:t>
      </w:r>
      <w:r>
        <w:t xml:space="preserve"> </w:t>
      </w:r>
      <w:r w:rsidRPr="0071774C">
        <w:t>the</w:t>
      </w:r>
      <w:r>
        <w:t xml:space="preserve"> </w:t>
      </w:r>
      <w:r w:rsidRPr="0071774C">
        <w:t>following</w:t>
      </w:r>
      <w:r>
        <w:t xml:space="preserve"> </w:t>
      </w:r>
      <w:r w:rsidRPr="0071774C">
        <w:t>areas:</w:t>
      </w:r>
    </w:p>
    <w:p w14:paraId="05F72042" w14:textId="77777777" w:rsidR="002C2EC7" w:rsidRDefault="002C2EC7" w:rsidP="00790783">
      <w:pPr>
        <w:pStyle w:val="OWBullet1"/>
      </w:pPr>
      <w:r>
        <w:t>a</w:t>
      </w:r>
      <w:r w:rsidRPr="0071774C">
        <w:t>dvocacy</w:t>
      </w:r>
      <w:r>
        <w:t xml:space="preserve"> </w:t>
      </w:r>
      <w:r w:rsidRPr="0071774C">
        <w:t>for</w:t>
      </w:r>
      <w:r>
        <w:t xml:space="preserve"> </w:t>
      </w:r>
      <w:r w:rsidRPr="0071774C">
        <w:t>policy</w:t>
      </w:r>
      <w:r>
        <w:t xml:space="preserve"> </w:t>
      </w:r>
      <w:r w:rsidRPr="0071774C">
        <w:t>reform</w:t>
      </w:r>
      <w:r>
        <w:t xml:space="preserve"> </w:t>
      </w:r>
      <w:r w:rsidRPr="0071774C">
        <w:t>to</w:t>
      </w:r>
      <w:r>
        <w:t xml:space="preserve"> </w:t>
      </w:r>
      <w:r w:rsidRPr="0071774C">
        <w:t>amend</w:t>
      </w:r>
      <w:r>
        <w:t xml:space="preserve"> </w:t>
      </w:r>
      <w:r w:rsidRPr="0071774C">
        <w:t>discriminatory</w:t>
      </w:r>
      <w:r>
        <w:t xml:space="preserve"> </w:t>
      </w:r>
      <w:r w:rsidRPr="0071774C">
        <w:t>policies</w:t>
      </w:r>
      <w:r>
        <w:t xml:space="preserve"> </w:t>
      </w:r>
      <w:r w:rsidRPr="0071774C">
        <w:t>and</w:t>
      </w:r>
      <w:r>
        <w:t xml:space="preserve"> </w:t>
      </w:r>
      <w:r w:rsidRPr="0071774C">
        <w:t>practices</w:t>
      </w:r>
    </w:p>
    <w:p w14:paraId="749D2518" w14:textId="77777777" w:rsidR="002C2EC7" w:rsidRDefault="002C2EC7" w:rsidP="00790783">
      <w:pPr>
        <w:pStyle w:val="OWBullet1"/>
      </w:pPr>
      <w:r>
        <w:t>t</w:t>
      </w:r>
      <w:r w:rsidRPr="0071774C">
        <w:t>aking</w:t>
      </w:r>
      <w:r>
        <w:t xml:space="preserve"> </w:t>
      </w:r>
      <w:r w:rsidRPr="0071774C">
        <w:t>a</w:t>
      </w:r>
      <w:r>
        <w:t xml:space="preserve"> </w:t>
      </w:r>
      <w:r w:rsidRPr="0071774C">
        <w:t>holistic</w:t>
      </w:r>
      <w:r>
        <w:t xml:space="preserve"> </w:t>
      </w:r>
      <w:r w:rsidRPr="0071774C">
        <w:t>approach</w:t>
      </w:r>
      <w:r>
        <w:t xml:space="preserve"> </w:t>
      </w:r>
      <w:r w:rsidRPr="0071774C">
        <w:t>to</w:t>
      </w:r>
      <w:r>
        <w:t xml:space="preserve"> </w:t>
      </w:r>
      <w:r w:rsidRPr="0071774C">
        <w:t>working</w:t>
      </w:r>
      <w:r>
        <w:t xml:space="preserve"> </w:t>
      </w:r>
      <w:r w:rsidRPr="0071774C">
        <w:t>with</w:t>
      </w:r>
      <w:r>
        <w:t xml:space="preserve"> </w:t>
      </w:r>
      <w:r w:rsidRPr="0071774C">
        <w:t>Aboriginal</w:t>
      </w:r>
      <w:r>
        <w:t xml:space="preserve"> </w:t>
      </w:r>
      <w:r w:rsidRPr="0071774C">
        <w:t>and</w:t>
      </w:r>
      <w:r>
        <w:t xml:space="preserve"> </w:t>
      </w:r>
      <w:r w:rsidRPr="0071774C">
        <w:t>Torres</w:t>
      </w:r>
      <w:r>
        <w:t xml:space="preserve"> </w:t>
      </w:r>
      <w:r w:rsidRPr="0071774C">
        <w:t>Strait</w:t>
      </w:r>
      <w:r>
        <w:t xml:space="preserve"> </w:t>
      </w:r>
      <w:r w:rsidRPr="0071774C">
        <w:t>Islander</w:t>
      </w:r>
      <w:r>
        <w:t xml:space="preserve"> </w:t>
      </w:r>
      <w:r w:rsidRPr="0071774C">
        <w:t>communities</w:t>
      </w:r>
      <w:r>
        <w:t xml:space="preserve"> </w:t>
      </w:r>
      <w:r w:rsidRPr="0071774C">
        <w:t>in</w:t>
      </w:r>
      <w:r>
        <w:t xml:space="preserve"> </w:t>
      </w:r>
      <w:r w:rsidRPr="0071774C">
        <w:t>prevention</w:t>
      </w:r>
      <w:r>
        <w:t xml:space="preserve"> </w:t>
      </w:r>
      <w:r w:rsidRPr="0071774C">
        <w:t>programming</w:t>
      </w:r>
    </w:p>
    <w:p w14:paraId="4BA4EE7F" w14:textId="77777777" w:rsidR="002C2EC7" w:rsidRDefault="002C2EC7" w:rsidP="00790783">
      <w:pPr>
        <w:pStyle w:val="OWBullet1"/>
      </w:pPr>
      <w:r>
        <w:t>d</w:t>
      </w:r>
      <w:r w:rsidRPr="0071774C">
        <w:t>esigning</w:t>
      </w:r>
      <w:r>
        <w:t xml:space="preserve"> </w:t>
      </w:r>
      <w:r w:rsidRPr="0071774C">
        <w:t>social</w:t>
      </w:r>
      <w:r>
        <w:t xml:space="preserve"> </w:t>
      </w:r>
      <w:r w:rsidRPr="0071774C">
        <w:t>marketing</w:t>
      </w:r>
      <w:r>
        <w:t xml:space="preserve"> </w:t>
      </w:r>
      <w:r w:rsidRPr="0071774C">
        <w:t>campaigns</w:t>
      </w:r>
      <w:r>
        <w:t xml:space="preserve"> </w:t>
      </w:r>
      <w:r w:rsidRPr="0071774C">
        <w:t>and</w:t>
      </w:r>
      <w:r>
        <w:t xml:space="preserve"> </w:t>
      </w:r>
      <w:r w:rsidRPr="0071774C">
        <w:t>other</w:t>
      </w:r>
      <w:r>
        <w:t xml:space="preserve"> </w:t>
      </w:r>
      <w:r w:rsidRPr="0071774C">
        <w:t>communications</w:t>
      </w:r>
      <w:r>
        <w:t xml:space="preserve"> </w:t>
      </w:r>
      <w:r w:rsidRPr="0071774C">
        <w:t>activities</w:t>
      </w:r>
      <w:r>
        <w:t xml:space="preserve"> </w:t>
      </w:r>
      <w:r w:rsidRPr="0071774C">
        <w:t>to</w:t>
      </w:r>
      <w:r>
        <w:t xml:space="preserve"> </w:t>
      </w:r>
      <w:r w:rsidRPr="0071774C">
        <w:t>prevent</w:t>
      </w:r>
      <w:r>
        <w:t xml:space="preserve"> </w:t>
      </w:r>
      <w:r w:rsidRPr="0071774C">
        <w:t>violence</w:t>
      </w:r>
      <w:r>
        <w:t xml:space="preserve"> </w:t>
      </w:r>
      <w:r w:rsidRPr="0071774C">
        <w:t>against</w:t>
      </w:r>
      <w:r>
        <w:t xml:space="preserve"> </w:t>
      </w:r>
      <w:r w:rsidRPr="0071774C">
        <w:t>women</w:t>
      </w:r>
    </w:p>
    <w:p w14:paraId="115E63D1" w14:textId="77777777" w:rsidR="002C2EC7" w:rsidRDefault="002C2EC7" w:rsidP="00790783">
      <w:pPr>
        <w:pStyle w:val="OWBullet1"/>
      </w:pPr>
      <w:r>
        <w:t>t</w:t>
      </w:r>
      <w:r w:rsidRPr="0071774C">
        <w:t>aking</w:t>
      </w:r>
      <w:r>
        <w:t xml:space="preserve"> </w:t>
      </w:r>
      <w:r w:rsidRPr="0071774C">
        <w:t>a</w:t>
      </w:r>
      <w:r>
        <w:t xml:space="preserve"> </w:t>
      </w:r>
      <w:r w:rsidRPr="0071774C">
        <w:t>healing</w:t>
      </w:r>
      <w:r>
        <w:t xml:space="preserve"> </w:t>
      </w:r>
      <w:r w:rsidRPr="0071774C">
        <w:t>focus</w:t>
      </w:r>
      <w:r>
        <w:t xml:space="preserve"> </w:t>
      </w:r>
      <w:r w:rsidRPr="0071774C">
        <w:t>in</w:t>
      </w:r>
      <w:r>
        <w:t xml:space="preserve"> </w:t>
      </w:r>
      <w:r w:rsidRPr="0071774C">
        <w:t>primary</w:t>
      </w:r>
      <w:r>
        <w:t xml:space="preserve"> </w:t>
      </w:r>
      <w:r w:rsidRPr="0071774C">
        <w:t>prevention</w:t>
      </w:r>
      <w:r>
        <w:t xml:space="preserve"> </w:t>
      </w:r>
      <w:r w:rsidRPr="0071774C">
        <w:t>work</w:t>
      </w:r>
      <w:r>
        <w:t xml:space="preserve"> </w:t>
      </w:r>
      <w:r w:rsidRPr="0071774C">
        <w:t>with</w:t>
      </w:r>
      <w:r>
        <w:t xml:space="preserve"> </w:t>
      </w:r>
      <w:r w:rsidRPr="0071774C">
        <w:t>Aboriginal</w:t>
      </w:r>
      <w:r>
        <w:t xml:space="preserve"> </w:t>
      </w:r>
      <w:r w:rsidRPr="0071774C">
        <w:t>and</w:t>
      </w:r>
      <w:r>
        <w:t xml:space="preserve"> </w:t>
      </w:r>
      <w:r w:rsidRPr="0071774C">
        <w:t>Torres</w:t>
      </w:r>
      <w:r>
        <w:t xml:space="preserve"> </w:t>
      </w:r>
      <w:r w:rsidRPr="0071774C">
        <w:t>Strait</w:t>
      </w:r>
      <w:r>
        <w:t xml:space="preserve"> </w:t>
      </w:r>
      <w:r w:rsidRPr="0071774C">
        <w:t>Islander</w:t>
      </w:r>
      <w:r>
        <w:t xml:space="preserve"> </w:t>
      </w:r>
      <w:r w:rsidRPr="0071774C">
        <w:t>communities</w:t>
      </w:r>
      <w:r>
        <w:t>.</w:t>
      </w:r>
    </w:p>
    <w:p w14:paraId="6D280F0E" w14:textId="5A4578FE" w:rsidR="002C2EC7" w:rsidRDefault="002C2EC7" w:rsidP="008A1933">
      <w:pPr>
        <w:pStyle w:val="OWTablecaption"/>
      </w:pPr>
      <w:r w:rsidRPr="003E7EE2">
        <w:t>Table</w:t>
      </w:r>
      <w:r>
        <w:t xml:space="preserve"> 5</w:t>
      </w:r>
      <w:r w:rsidRPr="003E7EE2">
        <w:t>:</w:t>
      </w:r>
      <w:r>
        <w:t xml:space="preserve"> </w:t>
      </w:r>
      <w:r w:rsidRPr="003E7EE2">
        <w:t>Has</w:t>
      </w:r>
      <w:r>
        <w:t xml:space="preserve"> </w:t>
      </w:r>
      <w:r w:rsidRPr="003E7EE2">
        <w:t>this</w:t>
      </w:r>
      <w:r>
        <w:t xml:space="preserve"> </w:t>
      </w:r>
      <w:r w:rsidRPr="003E7EE2">
        <w:t>training,</w:t>
      </w:r>
      <w:r>
        <w:t xml:space="preserve"> </w:t>
      </w:r>
      <w:r w:rsidRPr="003E7EE2">
        <w:t>professional</w:t>
      </w:r>
      <w:r>
        <w:t xml:space="preserve"> </w:t>
      </w:r>
      <w:r w:rsidRPr="003E7EE2">
        <w:t>development,</w:t>
      </w:r>
      <w:r>
        <w:t xml:space="preserve"> </w:t>
      </w:r>
      <w:r w:rsidRPr="003E7EE2">
        <w:t>mentoring</w:t>
      </w:r>
      <w:r>
        <w:t xml:space="preserve"> </w:t>
      </w:r>
      <w:r w:rsidRPr="003E7EE2">
        <w:t>or</w:t>
      </w:r>
      <w:r>
        <w:t xml:space="preserve"> </w:t>
      </w:r>
      <w:r w:rsidRPr="003E7EE2">
        <w:t>professional</w:t>
      </w:r>
      <w:r>
        <w:t xml:space="preserve"> </w:t>
      </w:r>
      <w:r w:rsidRPr="003E7EE2">
        <w:t>learning</w:t>
      </w:r>
      <w:r>
        <w:t xml:space="preserve"> </w:t>
      </w:r>
      <w:r w:rsidRPr="003E7EE2">
        <w:t>programs,</w:t>
      </w:r>
      <w:r>
        <w:t xml:space="preserve"> </w:t>
      </w:r>
      <w:r w:rsidRPr="003E7EE2">
        <w:t>guided</w:t>
      </w:r>
      <w:r>
        <w:t xml:space="preserve"> </w:t>
      </w:r>
      <w:r w:rsidRPr="003E7EE2">
        <w:t>supervision</w:t>
      </w:r>
      <w:r>
        <w:t xml:space="preserve"> </w:t>
      </w:r>
      <w:r w:rsidRPr="003E7EE2">
        <w:t>or</w:t>
      </w:r>
      <w:r>
        <w:t xml:space="preserve"> </w:t>
      </w:r>
      <w:r w:rsidRPr="003E7EE2">
        <w:t>on</w:t>
      </w:r>
      <w:r>
        <w:t>-</w:t>
      </w:r>
      <w:r w:rsidRPr="003E7EE2">
        <w:t>the</w:t>
      </w:r>
      <w:r>
        <w:t>-</w:t>
      </w:r>
      <w:r w:rsidRPr="003E7EE2">
        <w:t>job</w:t>
      </w:r>
      <w:r>
        <w:t xml:space="preserve"> </w:t>
      </w:r>
      <w:r w:rsidRPr="003E7EE2">
        <w:t>training</w:t>
      </w:r>
      <w:r>
        <w:t xml:space="preserve"> </w:t>
      </w:r>
      <w:r w:rsidRPr="003E7EE2">
        <w:t>had</w:t>
      </w:r>
      <w:r>
        <w:t xml:space="preserve"> </w:t>
      </w:r>
      <w:r w:rsidRPr="003E7EE2">
        <w:t>any</w:t>
      </w:r>
      <w:r>
        <w:t xml:space="preserve"> </w:t>
      </w:r>
      <w:r w:rsidRPr="003E7EE2">
        <w:t>impact</w:t>
      </w:r>
      <w:r>
        <w:t xml:space="preserve"> </w:t>
      </w:r>
      <w:r w:rsidRPr="003E7EE2">
        <w:t>on</w:t>
      </w:r>
      <w:r>
        <w:t xml:space="preserve"> </w:t>
      </w:r>
      <w:r w:rsidRPr="003E7EE2">
        <w:t>your</w:t>
      </w:r>
      <w:r>
        <w:t xml:space="preserve"> </w:t>
      </w:r>
      <w:r w:rsidRPr="003E7EE2">
        <w:t>skills</w:t>
      </w:r>
      <w:r>
        <w:t xml:space="preserve"> </w:t>
      </w:r>
      <w:r w:rsidRPr="003E7EE2">
        <w:t>and</w:t>
      </w:r>
      <w:r>
        <w:t xml:space="preserve"> </w:t>
      </w:r>
      <w:r w:rsidRPr="003E7EE2">
        <w:t>knowledge</w:t>
      </w:r>
      <w:r>
        <w:t xml:space="preserve"> </w:t>
      </w:r>
      <w:r w:rsidRPr="003E7EE2">
        <w:t>in</w:t>
      </w:r>
      <w:r>
        <w:t xml:space="preserve"> </w:t>
      </w:r>
      <w:r w:rsidRPr="003E7EE2">
        <w:t>any</w:t>
      </w:r>
      <w:r>
        <w:t xml:space="preserve"> </w:t>
      </w:r>
      <w:r w:rsidRPr="003E7EE2">
        <w:t>of</w:t>
      </w:r>
      <w:r>
        <w:t xml:space="preserve"> </w:t>
      </w:r>
      <w:r w:rsidRPr="003E7EE2">
        <w:t>the</w:t>
      </w:r>
      <w:r>
        <w:t xml:space="preserve"> </w:t>
      </w:r>
      <w:r w:rsidRPr="003E7EE2">
        <w:t>following</w:t>
      </w:r>
      <w:r>
        <w:t xml:space="preserve"> </w:t>
      </w:r>
      <w:r w:rsidRPr="003E7EE2">
        <w:t>areas?</w:t>
      </w:r>
      <w:r w:rsidR="003D5B04">
        <w:t xml:space="preserve"> (select all that apply)</w:t>
      </w:r>
    </w:p>
    <w:tbl>
      <w:tblPr>
        <w:tblStyle w:val="Datatablecharcoal"/>
        <w:tblW w:w="9072" w:type="dxa"/>
        <w:tblLook w:val="06A0" w:firstRow="1" w:lastRow="0" w:firstColumn="1" w:lastColumn="0" w:noHBand="1" w:noVBand="1"/>
      </w:tblPr>
      <w:tblGrid>
        <w:gridCol w:w="7547"/>
        <w:gridCol w:w="1525"/>
      </w:tblGrid>
      <w:tr w:rsidR="002C2EC7" w:rsidRPr="0071774C" w14:paraId="474783F9" w14:textId="77777777" w:rsidTr="008F3E9A">
        <w:trPr>
          <w:cnfStyle w:val="100000000000" w:firstRow="1" w:lastRow="0" w:firstColumn="0" w:lastColumn="0" w:oddVBand="0" w:evenVBand="0" w:oddHBand="0" w:evenHBand="0" w:firstRowFirstColumn="0" w:firstRowLastColumn="0" w:lastRowFirstColumn="0" w:lastRowLastColumn="0"/>
          <w:tblHeader/>
        </w:trPr>
        <w:tc>
          <w:tcPr>
            <w:tcW w:w="7490" w:type="dxa"/>
            <w:hideMark/>
          </w:tcPr>
          <w:p w14:paraId="34D68CE4" w14:textId="77777777" w:rsidR="002C2EC7" w:rsidRPr="0071774C" w:rsidRDefault="002C2EC7" w:rsidP="008A1933">
            <w:pPr>
              <w:pStyle w:val="OWTablecolumnheadleft"/>
            </w:pPr>
            <w:r w:rsidRPr="0071774C">
              <w:t>Knowledge</w:t>
            </w:r>
            <w:r>
              <w:t xml:space="preserve"> </w:t>
            </w:r>
            <w:r w:rsidRPr="0071774C">
              <w:t>and</w:t>
            </w:r>
            <w:r>
              <w:t xml:space="preserve"> </w:t>
            </w:r>
            <w:r w:rsidRPr="0071774C">
              <w:t>skill</w:t>
            </w:r>
            <w:r>
              <w:t xml:space="preserve"> </w:t>
            </w:r>
            <w:r w:rsidRPr="0071774C">
              <w:t>area</w:t>
            </w:r>
          </w:p>
        </w:tc>
        <w:tc>
          <w:tcPr>
            <w:tcW w:w="1514" w:type="dxa"/>
            <w:hideMark/>
          </w:tcPr>
          <w:p w14:paraId="25E7C399" w14:textId="77777777" w:rsidR="002C2EC7" w:rsidRPr="0071774C" w:rsidRDefault="002C2EC7" w:rsidP="008A1933">
            <w:pPr>
              <w:pStyle w:val="OWTablecolumnheadcentre"/>
            </w:pPr>
            <w:r w:rsidRPr="0071774C">
              <w:t>Number</w:t>
            </w:r>
            <w:r>
              <w:t xml:space="preserve"> </w:t>
            </w:r>
            <w:r w:rsidRPr="0071774C">
              <w:t>of</w:t>
            </w:r>
            <w:r>
              <w:t xml:space="preserve"> </w:t>
            </w:r>
            <w:r w:rsidRPr="0071774C">
              <w:t>respondents</w:t>
            </w:r>
            <w:r>
              <w:t xml:space="preserve"> </w:t>
            </w:r>
            <w:r w:rsidRPr="0071774C">
              <w:t>positively</w:t>
            </w:r>
            <w:r>
              <w:t xml:space="preserve"> </w:t>
            </w:r>
            <w:r w:rsidRPr="0071774C">
              <w:t>impacted</w:t>
            </w:r>
            <w:r>
              <w:t xml:space="preserve"> </w:t>
            </w:r>
            <w:r w:rsidRPr="0071774C">
              <w:t>(n)</w:t>
            </w:r>
          </w:p>
        </w:tc>
      </w:tr>
      <w:tr w:rsidR="002C2EC7" w:rsidRPr="0071774C" w14:paraId="6C81A844" w14:textId="77777777" w:rsidTr="00221E3F">
        <w:tc>
          <w:tcPr>
            <w:tcW w:w="9004" w:type="dxa"/>
            <w:gridSpan w:val="2"/>
            <w:shd w:val="clear" w:color="auto" w:fill="E8E9E9"/>
            <w:hideMark/>
          </w:tcPr>
          <w:p w14:paraId="1D9EB490" w14:textId="77777777" w:rsidR="002C2EC7" w:rsidRPr="00525643" w:rsidRDefault="002C2EC7" w:rsidP="00C11BA2">
            <w:pPr>
              <w:pStyle w:val="OWTablebodyleft"/>
              <w:spacing w:before="60" w:after="80"/>
              <w:rPr>
                <w:rStyle w:val="Strong"/>
              </w:rPr>
            </w:pPr>
            <w:r w:rsidRPr="00525643">
              <w:rPr>
                <w:rStyle w:val="Strong"/>
              </w:rPr>
              <w:t>Generalist knowledge and skill areas</w:t>
            </w:r>
          </w:p>
        </w:tc>
      </w:tr>
      <w:tr w:rsidR="002C2EC7" w:rsidRPr="0071774C" w14:paraId="37698CE3" w14:textId="77777777" w:rsidTr="00FB7F22">
        <w:tc>
          <w:tcPr>
            <w:tcW w:w="7490" w:type="dxa"/>
            <w:hideMark/>
          </w:tcPr>
          <w:p w14:paraId="45211C22" w14:textId="77777777" w:rsidR="002C2EC7" w:rsidRPr="00525643" w:rsidRDefault="002C2EC7" w:rsidP="00C11BA2">
            <w:pPr>
              <w:pStyle w:val="OWTablebodyleft"/>
              <w:spacing w:before="60" w:after="80"/>
            </w:pPr>
            <w:r w:rsidRPr="00525643">
              <w:t>Understanding primary prevention and how it can be applied in your role</w:t>
            </w:r>
          </w:p>
        </w:tc>
        <w:tc>
          <w:tcPr>
            <w:tcW w:w="1514" w:type="dxa"/>
            <w:hideMark/>
          </w:tcPr>
          <w:p w14:paraId="22411FB1" w14:textId="77777777" w:rsidR="002C2EC7" w:rsidRPr="0071774C" w:rsidRDefault="002C2EC7" w:rsidP="00C11BA2">
            <w:pPr>
              <w:pStyle w:val="OWTablebodycentre"/>
              <w:spacing w:before="60" w:after="80"/>
            </w:pPr>
            <w:r w:rsidRPr="0071774C">
              <w:t>120</w:t>
            </w:r>
          </w:p>
        </w:tc>
      </w:tr>
      <w:tr w:rsidR="002C2EC7" w:rsidRPr="0071774C" w14:paraId="45D47F15" w14:textId="77777777" w:rsidTr="00FB7F22">
        <w:tc>
          <w:tcPr>
            <w:tcW w:w="7490" w:type="dxa"/>
            <w:hideMark/>
          </w:tcPr>
          <w:p w14:paraId="674EB428" w14:textId="77777777" w:rsidR="002C2EC7" w:rsidRPr="00525643" w:rsidRDefault="002C2EC7" w:rsidP="00C11BA2">
            <w:pPr>
              <w:pStyle w:val="OWTablebodyleft"/>
              <w:spacing w:before="60" w:after="80"/>
            </w:pPr>
            <w:r w:rsidRPr="00525643">
              <w:t>Working in partnership with other organisations to prevent violence against women</w:t>
            </w:r>
          </w:p>
        </w:tc>
        <w:tc>
          <w:tcPr>
            <w:tcW w:w="1514" w:type="dxa"/>
            <w:hideMark/>
          </w:tcPr>
          <w:p w14:paraId="51625E9D" w14:textId="77777777" w:rsidR="002C2EC7" w:rsidRPr="0071774C" w:rsidRDefault="002C2EC7" w:rsidP="00C11BA2">
            <w:pPr>
              <w:pStyle w:val="OWTablebodycentre"/>
              <w:spacing w:before="60" w:after="80"/>
            </w:pPr>
            <w:r w:rsidRPr="0071774C">
              <w:t>113</w:t>
            </w:r>
          </w:p>
        </w:tc>
      </w:tr>
      <w:tr w:rsidR="002C2EC7" w:rsidRPr="0071774C" w14:paraId="105248E4" w14:textId="77777777" w:rsidTr="00FB7F22">
        <w:tc>
          <w:tcPr>
            <w:tcW w:w="7490" w:type="dxa"/>
            <w:hideMark/>
          </w:tcPr>
          <w:p w14:paraId="041C1E80" w14:textId="77777777" w:rsidR="002C2EC7" w:rsidRPr="00525643" w:rsidRDefault="002C2EC7" w:rsidP="00C11BA2">
            <w:pPr>
              <w:pStyle w:val="OWTablebodyleft"/>
              <w:spacing w:before="60" w:after="80"/>
            </w:pPr>
            <w:r w:rsidRPr="00525643">
              <w:t>Critical self-reflection</w:t>
            </w:r>
          </w:p>
        </w:tc>
        <w:tc>
          <w:tcPr>
            <w:tcW w:w="1514" w:type="dxa"/>
            <w:hideMark/>
          </w:tcPr>
          <w:p w14:paraId="45CACE1F" w14:textId="77777777" w:rsidR="002C2EC7" w:rsidRPr="0071774C" w:rsidRDefault="002C2EC7" w:rsidP="00C11BA2">
            <w:pPr>
              <w:pStyle w:val="OWTablebodycentre"/>
              <w:spacing w:before="60" w:after="80"/>
            </w:pPr>
            <w:r w:rsidRPr="0071774C">
              <w:t>108</w:t>
            </w:r>
          </w:p>
        </w:tc>
      </w:tr>
      <w:tr w:rsidR="002C2EC7" w:rsidRPr="0071774C" w14:paraId="3D1C240F" w14:textId="77777777" w:rsidTr="00FB7F22">
        <w:tc>
          <w:tcPr>
            <w:tcW w:w="7490" w:type="dxa"/>
            <w:hideMark/>
          </w:tcPr>
          <w:p w14:paraId="3FC30D33" w14:textId="77777777" w:rsidR="002C2EC7" w:rsidRPr="00525643" w:rsidRDefault="002C2EC7" w:rsidP="00C11BA2">
            <w:pPr>
              <w:pStyle w:val="OWTablebodyleft"/>
              <w:spacing w:before="60" w:after="80"/>
            </w:pPr>
            <w:r w:rsidRPr="00525643">
              <w:t>Responding to disclosures of violence against women</w:t>
            </w:r>
          </w:p>
        </w:tc>
        <w:tc>
          <w:tcPr>
            <w:tcW w:w="1514" w:type="dxa"/>
            <w:hideMark/>
          </w:tcPr>
          <w:p w14:paraId="38DE241C" w14:textId="77777777" w:rsidR="002C2EC7" w:rsidRPr="0071774C" w:rsidRDefault="002C2EC7" w:rsidP="00C11BA2">
            <w:pPr>
              <w:pStyle w:val="OWTablebodycentre"/>
              <w:spacing w:before="60" w:after="80"/>
            </w:pPr>
            <w:r w:rsidRPr="0071774C">
              <w:t>107</w:t>
            </w:r>
          </w:p>
        </w:tc>
      </w:tr>
      <w:tr w:rsidR="002C2EC7" w:rsidRPr="0071774C" w14:paraId="394E1EAF" w14:textId="77777777" w:rsidTr="00FB7F22">
        <w:tc>
          <w:tcPr>
            <w:tcW w:w="7490" w:type="dxa"/>
            <w:hideMark/>
          </w:tcPr>
          <w:p w14:paraId="7BA01DC6" w14:textId="77777777" w:rsidR="002C2EC7" w:rsidRPr="00525643" w:rsidRDefault="002C2EC7" w:rsidP="00C11BA2">
            <w:pPr>
              <w:pStyle w:val="OWTablebodyleft"/>
              <w:spacing w:before="60" w:after="80"/>
            </w:pPr>
            <w:r w:rsidRPr="00525643">
              <w:t>Undertaking gender analysis/applying a gender lens to your work</w:t>
            </w:r>
          </w:p>
        </w:tc>
        <w:tc>
          <w:tcPr>
            <w:tcW w:w="1514" w:type="dxa"/>
            <w:hideMark/>
          </w:tcPr>
          <w:p w14:paraId="48A33C53" w14:textId="77777777" w:rsidR="002C2EC7" w:rsidRPr="0071774C" w:rsidRDefault="002C2EC7" w:rsidP="00C11BA2">
            <w:pPr>
              <w:pStyle w:val="OWTablebodycentre"/>
              <w:spacing w:before="60" w:after="80"/>
            </w:pPr>
            <w:r w:rsidRPr="0071774C">
              <w:t>104</w:t>
            </w:r>
          </w:p>
        </w:tc>
      </w:tr>
      <w:tr w:rsidR="002C2EC7" w:rsidRPr="0071774C" w14:paraId="7CD07114" w14:textId="77777777" w:rsidTr="00FB7F22">
        <w:tc>
          <w:tcPr>
            <w:tcW w:w="7490" w:type="dxa"/>
            <w:hideMark/>
          </w:tcPr>
          <w:p w14:paraId="04FBF3F3" w14:textId="77777777" w:rsidR="002C2EC7" w:rsidRPr="00525643" w:rsidRDefault="002C2EC7" w:rsidP="00C11BA2">
            <w:pPr>
              <w:pStyle w:val="OWTablebodyleft"/>
              <w:spacing w:before="60" w:after="80"/>
            </w:pPr>
            <w:r w:rsidRPr="00525643">
              <w:t>Responding to resistance and backlash</w:t>
            </w:r>
          </w:p>
        </w:tc>
        <w:tc>
          <w:tcPr>
            <w:tcW w:w="1514" w:type="dxa"/>
            <w:hideMark/>
          </w:tcPr>
          <w:p w14:paraId="50CA529F" w14:textId="77777777" w:rsidR="002C2EC7" w:rsidRPr="0071774C" w:rsidRDefault="002C2EC7" w:rsidP="00C11BA2">
            <w:pPr>
              <w:pStyle w:val="OWTablebodycentre"/>
              <w:spacing w:before="60" w:after="80"/>
            </w:pPr>
            <w:r w:rsidRPr="0071774C">
              <w:t>102</w:t>
            </w:r>
          </w:p>
        </w:tc>
      </w:tr>
      <w:tr w:rsidR="002C2EC7" w:rsidRPr="0071774C" w14:paraId="50B17FD6" w14:textId="77777777" w:rsidTr="00FB7F22">
        <w:tc>
          <w:tcPr>
            <w:tcW w:w="7490" w:type="dxa"/>
            <w:hideMark/>
          </w:tcPr>
          <w:p w14:paraId="638F0BDE" w14:textId="77777777" w:rsidR="002C2EC7" w:rsidRPr="00525643" w:rsidRDefault="002C2EC7" w:rsidP="00C11BA2">
            <w:pPr>
              <w:pStyle w:val="OWTablebodyleft"/>
              <w:spacing w:before="60" w:after="80"/>
            </w:pPr>
            <w:r w:rsidRPr="00525643">
              <w:t>Primary prevention research, monitoring, evaluation and data analysis</w:t>
            </w:r>
          </w:p>
        </w:tc>
        <w:tc>
          <w:tcPr>
            <w:tcW w:w="1514" w:type="dxa"/>
            <w:hideMark/>
          </w:tcPr>
          <w:p w14:paraId="01C72A61" w14:textId="77777777" w:rsidR="002C2EC7" w:rsidRPr="0071774C" w:rsidRDefault="002C2EC7" w:rsidP="00C11BA2">
            <w:pPr>
              <w:pStyle w:val="OWTablebodycentre"/>
              <w:spacing w:before="60" w:after="80"/>
            </w:pPr>
            <w:r w:rsidRPr="0071774C">
              <w:t>86</w:t>
            </w:r>
          </w:p>
        </w:tc>
      </w:tr>
      <w:tr w:rsidR="002C2EC7" w:rsidRPr="0071774C" w14:paraId="4F6770EB" w14:textId="77777777" w:rsidTr="00221E3F">
        <w:tc>
          <w:tcPr>
            <w:tcW w:w="9004" w:type="dxa"/>
            <w:gridSpan w:val="2"/>
            <w:shd w:val="clear" w:color="auto" w:fill="E8E9E9"/>
            <w:hideMark/>
          </w:tcPr>
          <w:p w14:paraId="44822237" w14:textId="77777777" w:rsidR="002C2EC7" w:rsidRPr="00525643" w:rsidRDefault="002C2EC7" w:rsidP="00C11BA2">
            <w:pPr>
              <w:pStyle w:val="OWTablebodyleft"/>
              <w:spacing w:before="60" w:after="80"/>
              <w:rPr>
                <w:rStyle w:val="Strong"/>
              </w:rPr>
            </w:pPr>
            <w:r w:rsidRPr="00525643">
              <w:rPr>
                <w:rStyle w:val="Strong"/>
              </w:rPr>
              <w:t>Knowledge and skills related to settings or techniques</w:t>
            </w:r>
          </w:p>
        </w:tc>
      </w:tr>
      <w:tr w:rsidR="002C2EC7" w:rsidRPr="0071774C" w14:paraId="34A0C245" w14:textId="77777777" w:rsidTr="00FB7F22">
        <w:tc>
          <w:tcPr>
            <w:tcW w:w="7490" w:type="dxa"/>
            <w:hideMark/>
          </w:tcPr>
          <w:p w14:paraId="4E63D883" w14:textId="77777777" w:rsidR="002C2EC7" w:rsidRPr="00525643" w:rsidRDefault="002C2EC7" w:rsidP="00C11BA2">
            <w:pPr>
              <w:pStyle w:val="OWTablebodyleft"/>
              <w:spacing w:before="60" w:after="80"/>
            </w:pPr>
            <w:r w:rsidRPr="00525643">
              <w:t>Designing and implementing primary prevention activities (e.g. direct participation programs, mobilising communities to prevent violence against women)</w:t>
            </w:r>
          </w:p>
        </w:tc>
        <w:tc>
          <w:tcPr>
            <w:tcW w:w="1514" w:type="dxa"/>
            <w:hideMark/>
          </w:tcPr>
          <w:p w14:paraId="6775FE11" w14:textId="77777777" w:rsidR="002C2EC7" w:rsidRPr="0071774C" w:rsidRDefault="002C2EC7" w:rsidP="00C11BA2">
            <w:pPr>
              <w:pStyle w:val="OWTablebodycentre"/>
              <w:spacing w:before="60" w:after="80"/>
            </w:pPr>
            <w:r w:rsidRPr="0071774C">
              <w:t>85</w:t>
            </w:r>
          </w:p>
        </w:tc>
      </w:tr>
      <w:tr w:rsidR="002C2EC7" w:rsidRPr="0071774C" w14:paraId="2E88C3E7" w14:textId="77777777" w:rsidTr="00FB7F22">
        <w:tc>
          <w:tcPr>
            <w:tcW w:w="7490" w:type="dxa"/>
            <w:hideMark/>
          </w:tcPr>
          <w:p w14:paraId="1649A0B8" w14:textId="77777777" w:rsidR="002C2EC7" w:rsidRPr="00525643" w:rsidRDefault="002C2EC7" w:rsidP="00C11BA2">
            <w:pPr>
              <w:pStyle w:val="OWTablebodyleft"/>
              <w:spacing w:before="60" w:after="80"/>
            </w:pPr>
            <w:r w:rsidRPr="00525643">
              <w:t>Understanding, recognising and effectively responding to the impacts of collective and individual trauma</w:t>
            </w:r>
          </w:p>
        </w:tc>
        <w:tc>
          <w:tcPr>
            <w:tcW w:w="1514" w:type="dxa"/>
            <w:hideMark/>
          </w:tcPr>
          <w:p w14:paraId="21A7698B" w14:textId="77777777" w:rsidR="002C2EC7" w:rsidRPr="0071774C" w:rsidRDefault="002C2EC7" w:rsidP="00C11BA2">
            <w:pPr>
              <w:pStyle w:val="OWTablebodycentre"/>
              <w:spacing w:before="60" w:after="80"/>
            </w:pPr>
            <w:r w:rsidRPr="0071774C">
              <w:t>77</w:t>
            </w:r>
          </w:p>
        </w:tc>
      </w:tr>
      <w:tr w:rsidR="002C2EC7" w:rsidRPr="0071774C" w14:paraId="346E0283" w14:textId="77777777" w:rsidTr="00FB7F22">
        <w:tc>
          <w:tcPr>
            <w:tcW w:w="7490" w:type="dxa"/>
            <w:hideMark/>
          </w:tcPr>
          <w:p w14:paraId="4FD0368E" w14:textId="77777777" w:rsidR="002C2EC7" w:rsidRPr="00525643" w:rsidRDefault="002C2EC7" w:rsidP="00C11BA2">
            <w:pPr>
              <w:pStyle w:val="OWTablebodyleft"/>
              <w:spacing w:before="60" w:after="80"/>
            </w:pPr>
            <w:r w:rsidRPr="00525643">
              <w:t>Reporting on violence against women</w:t>
            </w:r>
          </w:p>
        </w:tc>
        <w:tc>
          <w:tcPr>
            <w:tcW w:w="1514" w:type="dxa"/>
            <w:hideMark/>
          </w:tcPr>
          <w:p w14:paraId="01C9C3ED" w14:textId="77777777" w:rsidR="002C2EC7" w:rsidRPr="0071774C" w:rsidRDefault="002C2EC7" w:rsidP="00C11BA2">
            <w:pPr>
              <w:pStyle w:val="OWTablebodycentre"/>
              <w:spacing w:before="60" w:after="80"/>
            </w:pPr>
            <w:r w:rsidRPr="0071774C">
              <w:t>67</w:t>
            </w:r>
          </w:p>
        </w:tc>
      </w:tr>
      <w:tr w:rsidR="002C2EC7" w:rsidRPr="0071774C" w14:paraId="2F536433" w14:textId="77777777" w:rsidTr="00FB7F22">
        <w:tc>
          <w:tcPr>
            <w:tcW w:w="7490" w:type="dxa"/>
            <w:hideMark/>
          </w:tcPr>
          <w:p w14:paraId="7B6323E5" w14:textId="77777777" w:rsidR="002C2EC7" w:rsidRPr="00525643" w:rsidRDefault="002C2EC7" w:rsidP="00C11BA2">
            <w:pPr>
              <w:pStyle w:val="OWTablebodyleft"/>
              <w:spacing w:before="60" w:after="80"/>
            </w:pPr>
            <w:r w:rsidRPr="00525643">
              <w:t>Designing social marketing campaigns and other communications activities to prevent violence against women</w:t>
            </w:r>
          </w:p>
        </w:tc>
        <w:tc>
          <w:tcPr>
            <w:tcW w:w="1514" w:type="dxa"/>
            <w:hideMark/>
          </w:tcPr>
          <w:p w14:paraId="256503E6" w14:textId="77777777" w:rsidR="002C2EC7" w:rsidRPr="0071774C" w:rsidRDefault="002C2EC7" w:rsidP="00C11BA2">
            <w:pPr>
              <w:pStyle w:val="OWTablebodycentre"/>
              <w:spacing w:before="60" w:after="80"/>
            </w:pPr>
            <w:r w:rsidRPr="0071774C">
              <w:t>34</w:t>
            </w:r>
          </w:p>
        </w:tc>
      </w:tr>
      <w:tr w:rsidR="002C2EC7" w:rsidRPr="0071774C" w14:paraId="4F57EB4C" w14:textId="77777777" w:rsidTr="00221E3F">
        <w:tc>
          <w:tcPr>
            <w:tcW w:w="9004" w:type="dxa"/>
            <w:gridSpan w:val="2"/>
            <w:shd w:val="clear" w:color="auto" w:fill="E8E9E9"/>
            <w:hideMark/>
          </w:tcPr>
          <w:p w14:paraId="2D37C39B" w14:textId="77777777" w:rsidR="002C2EC7" w:rsidRPr="00525643" w:rsidRDefault="002C2EC7" w:rsidP="00C11BA2">
            <w:pPr>
              <w:pStyle w:val="OWTablebodyleft"/>
              <w:pageBreakBefore/>
              <w:spacing w:before="60" w:after="80"/>
              <w:rPr>
                <w:rStyle w:val="Strong"/>
              </w:rPr>
            </w:pPr>
            <w:r w:rsidRPr="00525643">
              <w:rPr>
                <w:rStyle w:val="Strong"/>
              </w:rPr>
              <w:lastRenderedPageBreak/>
              <w:t>Knowledge and skills in discrimination and intersectionality</w:t>
            </w:r>
          </w:p>
        </w:tc>
      </w:tr>
      <w:tr w:rsidR="002C2EC7" w:rsidRPr="0071774C" w14:paraId="318523D3" w14:textId="77777777" w:rsidTr="00FB7F22">
        <w:tc>
          <w:tcPr>
            <w:tcW w:w="7490" w:type="dxa"/>
            <w:hideMark/>
          </w:tcPr>
          <w:p w14:paraId="7AEAA237" w14:textId="0E9F89DF" w:rsidR="002C2EC7" w:rsidRPr="00525643" w:rsidRDefault="002C2EC7" w:rsidP="00C11BA2">
            <w:pPr>
              <w:pStyle w:val="OWTablebodyleft"/>
              <w:spacing w:before="60" w:after="80"/>
            </w:pPr>
            <w:r w:rsidRPr="00525643">
              <w:t xml:space="preserve">Developing strategies that address intersecting forms of </w:t>
            </w:r>
            <w:r w:rsidR="000A453E" w:rsidRPr="000A453E">
              <w:t>oppression</w:t>
            </w:r>
            <w:r w:rsidR="000A453E">
              <w:t xml:space="preserve"> </w:t>
            </w:r>
            <w:r w:rsidRPr="00525643">
              <w:t>and privilege</w:t>
            </w:r>
          </w:p>
        </w:tc>
        <w:tc>
          <w:tcPr>
            <w:tcW w:w="1514" w:type="dxa"/>
            <w:hideMark/>
          </w:tcPr>
          <w:p w14:paraId="165E0F7E" w14:textId="77777777" w:rsidR="002C2EC7" w:rsidRPr="0071774C" w:rsidRDefault="002C2EC7" w:rsidP="00C11BA2">
            <w:pPr>
              <w:pStyle w:val="OWTablebodycentre"/>
              <w:spacing w:before="60" w:after="80"/>
            </w:pPr>
            <w:r w:rsidRPr="0071774C">
              <w:t>88</w:t>
            </w:r>
          </w:p>
        </w:tc>
      </w:tr>
      <w:tr w:rsidR="002C2EC7" w:rsidRPr="0071774C" w14:paraId="46ABAF78" w14:textId="77777777" w:rsidTr="00FB7F22">
        <w:tc>
          <w:tcPr>
            <w:tcW w:w="7490" w:type="dxa"/>
            <w:hideMark/>
          </w:tcPr>
          <w:p w14:paraId="5BBC2154" w14:textId="77777777" w:rsidR="002C2EC7" w:rsidRPr="00525643" w:rsidRDefault="002C2EC7" w:rsidP="00C11BA2">
            <w:pPr>
              <w:pStyle w:val="OWTablebodyleft"/>
              <w:spacing w:before="60" w:after="80"/>
            </w:pPr>
            <w:r w:rsidRPr="00525643">
              <w:t>Adapting to different community, demographic and geographic contexts</w:t>
            </w:r>
          </w:p>
        </w:tc>
        <w:tc>
          <w:tcPr>
            <w:tcW w:w="1514" w:type="dxa"/>
            <w:hideMark/>
          </w:tcPr>
          <w:p w14:paraId="5B577EE3" w14:textId="77777777" w:rsidR="002C2EC7" w:rsidRPr="0071774C" w:rsidRDefault="002C2EC7" w:rsidP="00C11BA2">
            <w:pPr>
              <w:pStyle w:val="OWTablebodycentre"/>
              <w:spacing w:before="60" w:after="80"/>
            </w:pPr>
            <w:r w:rsidRPr="0071774C">
              <w:t>72</w:t>
            </w:r>
          </w:p>
        </w:tc>
      </w:tr>
      <w:tr w:rsidR="002C2EC7" w:rsidRPr="0071774C" w14:paraId="4F990F56" w14:textId="77777777" w:rsidTr="00FB7F22">
        <w:tc>
          <w:tcPr>
            <w:tcW w:w="7490" w:type="dxa"/>
            <w:hideMark/>
          </w:tcPr>
          <w:p w14:paraId="437762BD" w14:textId="77777777" w:rsidR="002C2EC7" w:rsidRPr="00525643" w:rsidRDefault="002C2EC7" w:rsidP="00C11BA2">
            <w:pPr>
              <w:pStyle w:val="OWTablebodyleft"/>
              <w:spacing w:before="60" w:after="80"/>
            </w:pPr>
            <w:r w:rsidRPr="00525643">
              <w:t>Advocacy for policy reform to amend discriminatory policies and practices</w:t>
            </w:r>
          </w:p>
        </w:tc>
        <w:tc>
          <w:tcPr>
            <w:tcW w:w="1514" w:type="dxa"/>
            <w:hideMark/>
          </w:tcPr>
          <w:p w14:paraId="5613C5D3" w14:textId="77777777" w:rsidR="002C2EC7" w:rsidRPr="0071774C" w:rsidRDefault="002C2EC7" w:rsidP="00C11BA2">
            <w:pPr>
              <w:pStyle w:val="OWTablebodycentre"/>
              <w:spacing w:before="60" w:after="80"/>
            </w:pPr>
            <w:r w:rsidRPr="0071774C">
              <w:t>47</w:t>
            </w:r>
          </w:p>
        </w:tc>
      </w:tr>
      <w:tr w:rsidR="002C2EC7" w:rsidRPr="0071774C" w14:paraId="75754A46" w14:textId="77777777" w:rsidTr="00221E3F">
        <w:tc>
          <w:tcPr>
            <w:tcW w:w="9004" w:type="dxa"/>
            <w:gridSpan w:val="2"/>
            <w:shd w:val="clear" w:color="auto" w:fill="E8E9E9"/>
            <w:hideMark/>
          </w:tcPr>
          <w:p w14:paraId="3DEE2E5C" w14:textId="77777777" w:rsidR="002C2EC7" w:rsidRPr="00525643" w:rsidRDefault="002C2EC7" w:rsidP="00C11BA2">
            <w:pPr>
              <w:pStyle w:val="OWTablebodyleft"/>
              <w:spacing w:before="60" w:after="80"/>
              <w:rPr>
                <w:rStyle w:val="Strong"/>
              </w:rPr>
            </w:pPr>
            <w:r w:rsidRPr="00525643">
              <w:rPr>
                <w:rStyle w:val="Strong"/>
              </w:rPr>
              <w:t>Knowledge and skills in working with specific communities or groups</w:t>
            </w:r>
          </w:p>
        </w:tc>
      </w:tr>
      <w:tr w:rsidR="002C2EC7" w:rsidRPr="0071774C" w14:paraId="71D46918" w14:textId="77777777" w:rsidTr="00FB7F22">
        <w:tc>
          <w:tcPr>
            <w:tcW w:w="7490" w:type="dxa"/>
            <w:hideMark/>
          </w:tcPr>
          <w:p w14:paraId="2FAF4AE1" w14:textId="77777777" w:rsidR="002C2EC7" w:rsidRPr="0071774C" w:rsidRDefault="002C2EC7" w:rsidP="00C11BA2">
            <w:pPr>
              <w:pStyle w:val="OWTablebodyleft"/>
              <w:spacing w:before="60" w:after="80"/>
            </w:pPr>
            <w:r w:rsidRPr="0071774C">
              <w:t>Challenging</w:t>
            </w:r>
            <w:r>
              <w:t xml:space="preserve"> </w:t>
            </w:r>
            <w:r w:rsidRPr="0071774C">
              <w:t>and</w:t>
            </w:r>
            <w:r>
              <w:t xml:space="preserve"> </w:t>
            </w:r>
            <w:r w:rsidRPr="0071774C">
              <w:t>preventing</w:t>
            </w:r>
            <w:r>
              <w:t xml:space="preserve"> </w:t>
            </w:r>
            <w:r w:rsidRPr="0071774C">
              <w:t>all</w:t>
            </w:r>
            <w:r>
              <w:t xml:space="preserve"> </w:t>
            </w:r>
            <w:r w:rsidRPr="0071774C">
              <w:t>forms</w:t>
            </w:r>
            <w:r>
              <w:t xml:space="preserve"> </w:t>
            </w:r>
            <w:r w:rsidRPr="0071774C">
              <w:t>of</w:t>
            </w:r>
            <w:r>
              <w:t xml:space="preserve"> </w:t>
            </w:r>
            <w:r w:rsidRPr="0071774C">
              <w:t>racism,</w:t>
            </w:r>
            <w:r>
              <w:t xml:space="preserve"> </w:t>
            </w:r>
            <w:r w:rsidRPr="0071774C">
              <w:t>indifference,</w:t>
            </w:r>
            <w:r>
              <w:t xml:space="preserve"> </w:t>
            </w:r>
            <w:r w:rsidRPr="0071774C">
              <w:t>ignorance</w:t>
            </w:r>
            <w:r>
              <w:t xml:space="preserve"> </w:t>
            </w:r>
            <w:r w:rsidRPr="0071774C">
              <w:t>and</w:t>
            </w:r>
            <w:r>
              <w:t xml:space="preserve"> </w:t>
            </w:r>
            <w:r w:rsidRPr="0071774C">
              <w:t>disrespect</w:t>
            </w:r>
            <w:r>
              <w:t xml:space="preserve"> </w:t>
            </w:r>
            <w:r w:rsidRPr="0071774C">
              <w:t>towards</w:t>
            </w:r>
            <w:r>
              <w:t xml:space="preserve"> </w:t>
            </w:r>
            <w:r w:rsidRPr="0071774C">
              <w:t>Aboriginal</w:t>
            </w:r>
            <w:r>
              <w:t xml:space="preserve"> </w:t>
            </w:r>
            <w:r w:rsidRPr="0071774C">
              <w:t>and</w:t>
            </w:r>
            <w:r>
              <w:t xml:space="preserve"> </w:t>
            </w:r>
            <w:r w:rsidRPr="0071774C">
              <w:t>Torres</w:t>
            </w:r>
            <w:r>
              <w:t xml:space="preserve"> </w:t>
            </w:r>
            <w:r w:rsidRPr="0071774C">
              <w:t>Strait</w:t>
            </w:r>
            <w:r>
              <w:t xml:space="preserve"> </w:t>
            </w:r>
            <w:r w:rsidRPr="0071774C">
              <w:t>Islander</w:t>
            </w:r>
            <w:r>
              <w:t xml:space="preserve"> </w:t>
            </w:r>
            <w:r w:rsidRPr="0071774C">
              <w:t>people</w:t>
            </w:r>
            <w:r>
              <w:t xml:space="preserve"> </w:t>
            </w:r>
            <w:r w:rsidRPr="0071774C">
              <w:t>and</w:t>
            </w:r>
            <w:r>
              <w:t xml:space="preserve"> </w:t>
            </w:r>
            <w:r w:rsidRPr="0071774C">
              <w:t>cultures</w:t>
            </w:r>
          </w:p>
        </w:tc>
        <w:tc>
          <w:tcPr>
            <w:tcW w:w="1514" w:type="dxa"/>
            <w:hideMark/>
          </w:tcPr>
          <w:p w14:paraId="72D85F7E" w14:textId="77777777" w:rsidR="002C2EC7" w:rsidRPr="0071774C" w:rsidRDefault="002C2EC7" w:rsidP="00C11BA2">
            <w:pPr>
              <w:pStyle w:val="OWTablebodycentre"/>
              <w:spacing w:before="60" w:after="80"/>
            </w:pPr>
            <w:r w:rsidRPr="0071774C">
              <w:t>70</w:t>
            </w:r>
          </w:p>
        </w:tc>
      </w:tr>
      <w:tr w:rsidR="002C2EC7" w:rsidRPr="0071774C" w14:paraId="0239735E" w14:textId="77777777" w:rsidTr="00FB7F22">
        <w:tc>
          <w:tcPr>
            <w:tcW w:w="7490" w:type="dxa"/>
            <w:hideMark/>
          </w:tcPr>
          <w:p w14:paraId="7CD0B587" w14:textId="77777777" w:rsidR="002C2EC7" w:rsidRPr="0071774C" w:rsidRDefault="002C2EC7" w:rsidP="00C11BA2">
            <w:pPr>
              <w:pStyle w:val="OWTablebodyleft"/>
              <w:spacing w:before="60" w:after="80"/>
            </w:pPr>
            <w:r w:rsidRPr="0071774C">
              <w:t>Preventing</w:t>
            </w:r>
            <w:r>
              <w:t xml:space="preserve"> </w:t>
            </w:r>
            <w:r w:rsidRPr="0071774C">
              <w:t>violence</w:t>
            </w:r>
            <w:r>
              <w:t xml:space="preserve"> </w:t>
            </w:r>
            <w:r w:rsidRPr="0071774C">
              <w:t>against</w:t>
            </w:r>
            <w:r>
              <w:t xml:space="preserve"> </w:t>
            </w:r>
            <w:r w:rsidRPr="0071774C">
              <w:t>people</w:t>
            </w:r>
            <w:r>
              <w:t xml:space="preserve"> </w:t>
            </w:r>
            <w:r w:rsidRPr="0071774C">
              <w:t>from</w:t>
            </w:r>
            <w:r>
              <w:t xml:space="preserve"> </w:t>
            </w:r>
            <w:r w:rsidRPr="0071774C">
              <w:t>lesbian,</w:t>
            </w:r>
            <w:r>
              <w:t xml:space="preserve"> </w:t>
            </w:r>
            <w:r w:rsidRPr="0071774C">
              <w:t>gay,</w:t>
            </w:r>
            <w:r>
              <w:t xml:space="preserve"> </w:t>
            </w:r>
            <w:r w:rsidRPr="0071774C">
              <w:t>bisexual,</w:t>
            </w:r>
            <w:r>
              <w:t xml:space="preserve"> </w:t>
            </w:r>
            <w:r w:rsidRPr="0071774C">
              <w:t>trans,</w:t>
            </w:r>
            <w:r>
              <w:t xml:space="preserve"> </w:t>
            </w:r>
            <w:r w:rsidRPr="0071774C">
              <w:t>intersex</w:t>
            </w:r>
            <w:r>
              <w:t xml:space="preserve"> </w:t>
            </w:r>
            <w:r w:rsidRPr="0071774C">
              <w:t>and</w:t>
            </w:r>
            <w:r>
              <w:t xml:space="preserve"> </w:t>
            </w:r>
            <w:r w:rsidRPr="0071774C">
              <w:t>queer</w:t>
            </w:r>
            <w:r>
              <w:t xml:space="preserve"> </w:t>
            </w:r>
            <w:r w:rsidRPr="0071774C">
              <w:t>communities</w:t>
            </w:r>
          </w:p>
        </w:tc>
        <w:tc>
          <w:tcPr>
            <w:tcW w:w="1514" w:type="dxa"/>
            <w:hideMark/>
          </w:tcPr>
          <w:p w14:paraId="6DD0E6F7" w14:textId="77777777" w:rsidR="002C2EC7" w:rsidRPr="0071774C" w:rsidRDefault="002C2EC7" w:rsidP="00C11BA2">
            <w:pPr>
              <w:pStyle w:val="OWTablebodycentre"/>
              <w:spacing w:before="60" w:after="80"/>
            </w:pPr>
            <w:r w:rsidRPr="0071774C">
              <w:t>66</w:t>
            </w:r>
          </w:p>
        </w:tc>
      </w:tr>
      <w:tr w:rsidR="002C2EC7" w:rsidRPr="0071774C" w14:paraId="03F37B83" w14:textId="77777777" w:rsidTr="00FB7F22">
        <w:tc>
          <w:tcPr>
            <w:tcW w:w="7490" w:type="dxa"/>
            <w:hideMark/>
          </w:tcPr>
          <w:p w14:paraId="710B8455" w14:textId="77777777" w:rsidR="002C2EC7" w:rsidRPr="00525643" w:rsidRDefault="002C2EC7" w:rsidP="00C11BA2">
            <w:pPr>
              <w:pStyle w:val="OWTablebodyleft"/>
              <w:spacing w:before="60" w:after="80"/>
            </w:pPr>
            <w:r w:rsidRPr="00525643">
              <w:t>Preventing violence against migrant and refugee women and girls</w:t>
            </w:r>
          </w:p>
        </w:tc>
        <w:tc>
          <w:tcPr>
            <w:tcW w:w="1514" w:type="dxa"/>
            <w:hideMark/>
          </w:tcPr>
          <w:p w14:paraId="61E0B102" w14:textId="77777777" w:rsidR="002C2EC7" w:rsidRPr="0071774C" w:rsidRDefault="002C2EC7" w:rsidP="00C11BA2">
            <w:pPr>
              <w:pStyle w:val="OWTablebodycentre"/>
              <w:spacing w:before="60" w:after="80"/>
            </w:pPr>
            <w:r w:rsidRPr="0071774C">
              <w:t>62</w:t>
            </w:r>
          </w:p>
        </w:tc>
      </w:tr>
      <w:tr w:rsidR="002C2EC7" w:rsidRPr="0071774C" w14:paraId="0653FAEE" w14:textId="77777777" w:rsidTr="00FB7F22">
        <w:tc>
          <w:tcPr>
            <w:tcW w:w="7490" w:type="dxa"/>
            <w:hideMark/>
          </w:tcPr>
          <w:p w14:paraId="2ED605A4" w14:textId="77777777" w:rsidR="002C2EC7" w:rsidRPr="00525643" w:rsidRDefault="002C2EC7" w:rsidP="00C11BA2">
            <w:pPr>
              <w:pStyle w:val="OWTablebodyleft"/>
              <w:spacing w:before="60" w:after="80"/>
            </w:pPr>
            <w:r w:rsidRPr="00525643">
              <w:t>Preventing violence against women and girls with disability</w:t>
            </w:r>
          </w:p>
        </w:tc>
        <w:tc>
          <w:tcPr>
            <w:tcW w:w="1514" w:type="dxa"/>
            <w:hideMark/>
          </w:tcPr>
          <w:p w14:paraId="63A32F21" w14:textId="77777777" w:rsidR="002C2EC7" w:rsidRPr="0071774C" w:rsidRDefault="002C2EC7" w:rsidP="00C11BA2">
            <w:pPr>
              <w:pStyle w:val="OWTablebodycentre"/>
              <w:spacing w:before="60" w:after="80"/>
            </w:pPr>
            <w:r w:rsidRPr="0071774C">
              <w:t>61</w:t>
            </w:r>
          </w:p>
        </w:tc>
      </w:tr>
      <w:tr w:rsidR="002C2EC7" w:rsidRPr="0071774C" w14:paraId="696BB1C7" w14:textId="77777777" w:rsidTr="00FB7F22">
        <w:tc>
          <w:tcPr>
            <w:tcW w:w="7490" w:type="dxa"/>
            <w:hideMark/>
          </w:tcPr>
          <w:p w14:paraId="5ECE2C30" w14:textId="77777777" w:rsidR="002C2EC7" w:rsidRPr="00525643" w:rsidRDefault="002C2EC7" w:rsidP="00C11BA2">
            <w:pPr>
              <w:pStyle w:val="OWTablebodyleft"/>
              <w:spacing w:before="60" w:after="80"/>
            </w:pPr>
            <w:r w:rsidRPr="00525643">
              <w:t>Working as allies with Aboriginal and Torres Strait Islander people in culturally safe ways</w:t>
            </w:r>
          </w:p>
        </w:tc>
        <w:tc>
          <w:tcPr>
            <w:tcW w:w="1514" w:type="dxa"/>
            <w:hideMark/>
          </w:tcPr>
          <w:p w14:paraId="26822254" w14:textId="77777777" w:rsidR="002C2EC7" w:rsidRPr="0071774C" w:rsidRDefault="002C2EC7" w:rsidP="00C11BA2">
            <w:pPr>
              <w:pStyle w:val="OWTablebodycentre"/>
              <w:spacing w:before="60" w:after="80"/>
            </w:pPr>
            <w:r w:rsidRPr="0071774C">
              <w:t>61</w:t>
            </w:r>
          </w:p>
        </w:tc>
      </w:tr>
      <w:tr w:rsidR="002C2EC7" w:rsidRPr="0071774C" w14:paraId="6E9984DE" w14:textId="77777777" w:rsidTr="00FB7F22">
        <w:tc>
          <w:tcPr>
            <w:tcW w:w="7490" w:type="dxa"/>
            <w:hideMark/>
          </w:tcPr>
          <w:p w14:paraId="63900126" w14:textId="77777777" w:rsidR="002C2EC7" w:rsidRPr="00525643" w:rsidRDefault="002C2EC7" w:rsidP="00C11BA2">
            <w:pPr>
              <w:pStyle w:val="OWTablebodyleft"/>
              <w:spacing w:before="60" w:after="80"/>
            </w:pPr>
            <w:r w:rsidRPr="00525643">
              <w:t>Use strengths-based and community strengthening approaches that support and strengthen Aboriginal and Torres Strait Islander families</w:t>
            </w:r>
          </w:p>
        </w:tc>
        <w:tc>
          <w:tcPr>
            <w:tcW w:w="1514" w:type="dxa"/>
            <w:hideMark/>
          </w:tcPr>
          <w:p w14:paraId="2688F130" w14:textId="77777777" w:rsidR="002C2EC7" w:rsidRPr="0071774C" w:rsidRDefault="002C2EC7" w:rsidP="00C11BA2">
            <w:pPr>
              <w:pStyle w:val="OWTablebodycentre"/>
              <w:spacing w:before="60" w:after="80"/>
            </w:pPr>
            <w:r w:rsidRPr="0071774C">
              <w:t>57</w:t>
            </w:r>
          </w:p>
        </w:tc>
      </w:tr>
      <w:tr w:rsidR="002C2EC7" w:rsidRPr="0071774C" w14:paraId="7E776856" w14:textId="77777777" w:rsidTr="00FB7F22">
        <w:tc>
          <w:tcPr>
            <w:tcW w:w="7490" w:type="dxa"/>
            <w:hideMark/>
          </w:tcPr>
          <w:p w14:paraId="128B2EF7" w14:textId="77777777" w:rsidR="002C2EC7" w:rsidRPr="00525643" w:rsidRDefault="002C2EC7" w:rsidP="00C11BA2">
            <w:pPr>
              <w:pStyle w:val="OWTablebodyleft"/>
              <w:spacing w:before="60" w:after="80"/>
            </w:pPr>
            <w:r w:rsidRPr="00525643">
              <w:t>Taking a holistic approach to working with Aboriginal and Torres Strait Islander communities in prevention programming</w:t>
            </w:r>
          </w:p>
        </w:tc>
        <w:tc>
          <w:tcPr>
            <w:tcW w:w="1514" w:type="dxa"/>
            <w:hideMark/>
          </w:tcPr>
          <w:p w14:paraId="00956604" w14:textId="77777777" w:rsidR="002C2EC7" w:rsidRPr="0071774C" w:rsidRDefault="002C2EC7" w:rsidP="00C11BA2">
            <w:pPr>
              <w:pStyle w:val="OWTablebodycentre"/>
              <w:spacing w:before="60" w:after="80"/>
            </w:pPr>
            <w:r w:rsidRPr="0071774C">
              <w:t>47</w:t>
            </w:r>
          </w:p>
        </w:tc>
      </w:tr>
      <w:tr w:rsidR="002C2EC7" w:rsidRPr="0071774C" w14:paraId="77CF927F" w14:textId="77777777" w:rsidTr="00FB7F22">
        <w:tc>
          <w:tcPr>
            <w:tcW w:w="7490" w:type="dxa"/>
            <w:hideMark/>
          </w:tcPr>
          <w:p w14:paraId="45EAB6FC" w14:textId="77777777" w:rsidR="002C2EC7" w:rsidRPr="00525643" w:rsidRDefault="002C2EC7" w:rsidP="00C11BA2">
            <w:pPr>
              <w:pStyle w:val="OWTablebodyleft"/>
              <w:spacing w:before="60" w:after="80"/>
            </w:pPr>
            <w:r w:rsidRPr="00525643">
              <w:t>Taking a healing focus in primary prevention work with Aboriginal and Torres Strait Islander communities</w:t>
            </w:r>
          </w:p>
        </w:tc>
        <w:tc>
          <w:tcPr>
            <w:tcW w:w="1514" w:type="dxa"/>
            <w:hideMark/>
          </w:tcPr>
          <w:p w14:paraId="587ABDC8" w14:textId="77777777" w:rsidR="002C2EC7" w:rsidRPr="0071774C" w:rsidRDefault="002C2EC7" w:rsidP="00C11BA2">
            <w:pPr>
              <w:pStyle w:val="OWTablebodycentre"/>
              <w:spacing w:before="60" w:after="80"/>
            </w:pPr>
            <w:r w:rsidRPr="0071774C">
              <w:t>33</w:t>
            </w:r>
          </w:p>
        </w:tc>
      </w:tr>
    </w:tbl>
    <w:p w14:paraId="7134011A" w14:textId="77777777" w:rsidR="002C2EC7" w:rsidRDefault="002C2EC7" w:rsidP="008A1933">
      <w:pPr>
        <w:pStyle w:val="OWTablefootnote"/>
      </w:pPr>
      <w:r w:rsidRPr="00C71608">
        <w:t>Source:</w:t>
      </w:r>
      <w:r>
        <w:t xml:space="preserve"> Progress in Prevention Research Survey</w:t>
      </w:r>
    </w:p>
    <w:p w14:paraId="731B4318" w14:textId="1C3700F1" w:rsidR="002C2EC7" w:rsidRDefault="002C2EC7" w:rsidP="00790783">
      <w:pPr>
        <w:pStyle w:val="OWBodytextlargespaceabove"/>
      </w:pPr>
      <w:r w:rsidRPr="0071774C">
        <w:t>Survey</w:t>
      </w:r>
      <w:r>
        <w:t xml:space="preserve"> </w:t>
      </w:r>
      <w:r w:rsidRPr="0071774C">
        <w:t>respondents</w:t>
      </w:r>
      <w:r>
        <w:t xml:space="preserve"> </w:t>
      </w:r>
      <w:r w:rsidRPr="0071774C">
        <w:t>were</w:t>
      </w:r>
      <w:r>
        <w:t xml:space="preserve"> </w:t>
      </w:r>
      <w:r w:rsidRPr="0071774C">
        <w:t>asked</w:t>
      </w:r>
      <w:r>
        <w:t xml:space="preserve"> </w:t>
      </w:r>
      <w:r w:rsidRPr="0071774C">
        <w:t>what</w:t>
      </w:r>
      <w:r>
        <w:t xml:space="preserve"> </w:t>
      </w:r>
      <w:r w:rsidRPr="0071774C">
        <w:t>(if</w:t>
      </w:r>
      <w:r>
        <w:t xml:space="preserve"> </w:t>
      </w:r>
      <w:r w:rsidRPr="0071774C">
        <w:t>any)</w:t>
      </w:r>
      <w:r>
        <w:t xml:space="preserve"> </w:t>
      </w:r>
      <w:r w:rsidRPr="0071774C">
        <w:t>gaps</w:t>
      </w:r>
      <w:r>
        <w:t xml:space="preserve"> </w:t>
      </w:r>
      <w:r w:rsidRPr="0071774C">
        <w:t>in</w:t>
      </w:r>
      <w:r>
        <w:t xml:space="preserve"> </w:t>
      </w:r>
      <w:r w:rsidRPr="0071774C">
        <w:t>the</w:t>
      </w:r>
      <w:r>
        <w:t xml:space="preserve"> </w:t>
      </w:r>
      <w:r w:rsidRPr="0071774C">
        <w:t>available</w:t>
      </w:r>
      <w:r>
        <w:t xml:space="preserve"> </w:t>
      </w:r>
      <w:r w:rsidRPr="0071774C">
        <w:t>knowledge/evidence</w:t>
      </w:r>
      <w:r>
        <w:t xml:space="preserve"> </w:t>
      </w:r>
      <w:r w:rsidRPr="0071774C">
        <w:t>on</w:t>
      </w:r>
      <w:r w:rsidR="00C11BA2">
        <w:t> </w:t>
      </w:r>
      <w:r w:rsidRPr="0071774C">
        <w:t>primary</w:t>
      </w:r>
      <w:r>
        <w:t xml:space="preserve"> </w:t>
      </w:r>
      <w:r w:rsidRPr="0071774C">
        <w:t>prevention</w:t>
      </w:r>
      <w:r>
        <w:t xml:space="preserve"> </w:t>
      </w:r>
      <w:r w:rsidRPr="0071774C">
        <w:t>they</w:t>
      </w:r>
      <w:r>
        <w:t xml:space="preserve"> </w:t>
      </w:r>
      <w:r w:rsidRPr="0071774C">
        <w:t>would</w:t>
      </w:r>
      <w:r>
        <w:t xml:space="preserve"> </w:t>
      </w:r>
      <w:r w:rsidRPr="0071774C">
        <w:t>like</w:t>
      </w:r>
      <w:r>
        <w:t xml:space="preserve"> </w:t>
      </w:r>
      <w:r w:rsidRPr="0071774C">
        <w:t>to</w:t>
      </w:r>
      <w:r>
        <w:t xml:space="preserve"> </w:t>
      </w:r>
      <w:r w:rsidRPr="0071774C">
        <w:t>see</w:t>
      </w:r>
      <w:r>
        <w:t xml:space="preserve"> </w:t>
      </w:r>
      <w:r w:rsidRPr="0071774C">
        <w:t>addressed</w:t>
      </w:r>
      <w:r>
        <w:t xml:space="preserve"> </w:t>
      </w:r>
      <w:r w:rsidRPr="0071774C">
        <w:t>to</w:t>
      </w:r>
      <w:r>
        <w:t xml:space="preserve"> </w:t>
      </w:r>
      <w:r w:rsidRPr="0071774C">
        <w:t>support</w:t>
      </w:r>
      <w:r>
        <w:t xml:space="preserve"> </w:t>
      </w:r>
      <w:r w:rsidRPr="0071774C">
        <w:t>their</w:t>
      </w:r>
      <w:r>
        <w:t xml:space="preserve"> </w:t>
      </w:r>
      <w:r w:rsidRPr="0071774C">
        <w:t>work.</w:t>
      </w:r>
      <w:r>
        <w:t xml:space="preserve"> </w:t>
      </w:r>
      <w:r w:rsidRPr="0071774C">
        <w:t>The</w:t>
      </w:r>
      <w:r>
        <w:t xml:space="preserve"> </w:t>
      </w:r>
      <w:r w:rsidRPr="0071774C">
        <w:t>most</w:t>
      </w:r>
      <w:r>
        <w:t xml:space="preserve"> </w:t>
      </w:r>
      <w:r w:rsidRPr="0071774C">
        <w:t>common</w:t>
      </w:r>
      <w:r>
        <w:t xml:space="preserve"> </w:t>
      </w:r>
      <w:r w:rsidRPr="0071774C">
        <w:t>gaps</w:t>
      </w:r>
      <w:r>
        <w:t xml:space="preserve"> </w:t>
      </w:r>
      <w:r w:rsidRPr="0071774C">
        <w:t>highlighted</w:t>
      </w:r>
      <w:r>
        <w:t xml:space="preserve"> </w:t>
      </w:r>
      <w:r w:rsidRPr="0071774C">
        <w:t>were:</w:t>
      </w:r>
    </w:p>
    <w:p w14:paraId="77E9EB46" w14:textId="77777777" w:rsidR="002C2EC7" w:rsidRDefault="002C2EC7" w:rsidP="00790783">
      <w:pPr>
        <w:pStyle w:val="OWBullet1"/>
      </w:pPr>
      <w:r>
        <w:t>i</w:t>
      </w:r>
      <w:r w:rsidRPr="0071774C">
        <w:t>nvolving</w:t>
      </w:r>
      <w:r>
        <w:t xml:space="preserve"> </w:t>
      </w:r>
      <w:r w:rsidRPr="0071774C">
        <w:t>men</w:t>
      </w:r>
      <w:r>
        <w:t xml:space="preserve"> </w:t>
      </w:r>
      <w:r w:rsidRPr="0071774C">
        <w:t>and</w:t>
      </w:r>
      <w:r>
        <w:t xml:space="preserve"> </w:t>
      </w:r>
      <w:r w:rsidRPr="0071774C">
        <w:t>boys</w:t>
      </w:r>
    </w:p>
    <w:p w14:paraId="63F3CA7F" w14:textId="77777777" w:rsidR="002C2EC7" w:rsidRDefault="002C2EC7" w:rsidP="00790783">
      <w:pPr>
        <w:pStyle w:val="OWBullet1"/>
      </w:pPr>
      <w:r>
        <w:t>b</w:t>
      </w:r>
      <w:r w:rsidRPr="0071774C">
        <w:t>roader</w:t>
      </w:r>
      <w:r>
        <w:t xml:space="preserve"> </w:t>
      </w:r>
      <w:r w:rsidRPr="0071774C">
        <w:t>systems</w:t>
      </w:r>
      <w:r>
        <w:t xml:space="preserve"> </w:t>
      </w:r>
      <w:r w:rsidRPr="0071774C">
        <w:t>change</w:t>
      </w:r>
      <w:r>
        <w:t xml:space="preserve"> </w:t>
      </w:r>
      <w:r w:rsidRPr="0071774C">
        <w:t>to</w:t>
      </w:r>
      <w:r>
        <w:t xml:space="preserve"> </w:t>
      </w:r>
      <w:r w:rsidRPr="0071774C">
        <w:t>enhance</w:t>
      </w:r>
      <w:r>
        <w:t xml:space="preserve"> </w:t>
      </w:r>
      <w:r w:rsidRPr="0071774C">
        <w:t>this</w:t>
      </w:r>
      <w:r>
        <w:t xml:space="preserve"> </w:t>
      </w:r>
      <w:r w:rsidRPr="0071774C">
        <w:t>work</w:t>
      </w:r>
    </w:p>
    <w:p w14:paraId="1AAC63E6" w14:textId="77777777" w:rsidR="002C2EC7" w:rsidRDefault="002C2EC7" w:rsidP="00790783">
      <w:pPr>
        <w:pStyle w:val="OWBullet1"/>
      </w:pPr>
      <w:r>
        <w:t>m</w:t>
      </w:r>
      <w:r w:rsidRPr="0071774C">
        <w:t>onitoring</w:t>
      </w:r>
      <w:r>
        <w:t xml:space="preserve"> </w:t>
      </w:r>
      <w:r w:rsidRPr="0071774C">
        <w:t>and</w:t>
      </w:r>
      <w:r>
        <w:t xml:space="preserve"> </w:t>
      </w:r>
      <w:r w:rsidRPr="0071774C">
        <w:t>evaluation</w:t>
      </w:r>
      <w:r>
        <w:t xml:space="preserve"> </w:t>
      </w:r>
      <w:r w:rsidRPr="0071774C">
        <w:t>tools</w:t>
      </w:r>
    </w:p>
    <w:p w14:paraId="62812866" w14:textId="77777777" w:rsidR="002C2EC7" w:rsidRDefault="002C2EC7" w:rsidP="00790783">
      <w:pPr>
        <w:pStyle w:val="OWBullet1"/>
      </w:pPr>
      <w:r>
        <w:t>e</w:t>
      </w:r>
      <w:r w:rsidRPr="0071774C">
        <w:t>vidence</w:t>
      </w:r>
      <w:r>
        <w:t xml:space="preserve"> </w:t>
      </w:r>
      <w:r w:rsidRPr="0071774C">
        <w:t>of</w:t>
      </w:r>
      <w:r>
        <w:t xml:space="preserve"> </w:t>
      </w:r>
      <w:r w:rsidRPr="0071774C">
        <w:t>what</w:t>
      </w:r>
      <w:r>
        <w:t xml:space="preserve"> </w:t>
      </w:r>
      <w:r w:rsidRPr="0071774C">
        <w:t>works</w:t>
      </w:r>
    </w:p>
    <w:p w14:paraId="0FF7B397" w14:textId="77777777" w:rsidR="002C2EC7" w:rsidRDefault="002C2EC7" w:rsidP="00790783">
      <w:pPr>
        <w:pStyle w:val="OWBullet1"/>
      </w:pPr>
      <w:r>
        <w:t>g</w:t>
      </w:r>
      <w:r w:rsidRPr="0071774C">
        <w:t>ender</w:t>
      </w:r>
      <w:r>
        <w:t xml:space="preserve"> </w:t>
      </w:r>
      <w:r w:rsidRPr="0071774C">
        <w:t>analysis</w:t>
      </w:r>
      <w:r>
        <w:t xml:space="preserve"> </w:t>
      </w:r>
      <w:r w:rsidRPr="0071774C">
        <w:t>work</w:t>
      </w:r>
      <w:r>
        <w:t xml:space="preserve"> </w:t>
      </w:r>
      <w:r w:rsidRPr="0071774C">
        <w:t>focused</w:t>
      </w:r>
      <w:r>
        <w:t xml:space="preserve"> </w:t>
      </w:r>
      <w:r w:rsidRPr="0071774C">
        <w:t>on</w:t>
      </w:r>
      <w:r>
        <w:t xml:space="preserve"> </w:t>
      </w:r>
      <w:r w:rsidRPr="0071774C">
        <w:t>men</w:t>
      </w:r>
    </w:p>
    <w:p w14:paraId="2CB155DD" w14:textId="77777777" w:rsidR="002C2EC7" w:rsidRDefault="002C2EC7" w:rsidP="00790783">
      <w:pPr>
        <w:pStyle w:val="OWBullet1"/>
      </w:pPr>
      <w:r>
        <w:t>d</w:t>
      </w:r>
      <w:r w:rsidRPr="0071774C">
        <w:t>ata,</w:t>
      </w:r>
      <w:r>
        <w:t xml:space="preserve"> </w:t>
      </w:r>
      <w:r w:rsidRPr="0071774C">
        <w:t>statistics</w:t>
      </w:r>
      <w:r>
        <w:t xml:space="preserve"> </w:t>
      </w:r>
      <w:r w:rsidRPr="0071774C">
        <w:t>and</w:t>
      </w:r>
      <w:r>
        <w:t xml:space="preserve"> </w:t>
      </w:r>
      <w:r w:rsidRPr="0071774C">
        <w:t>measurement</w:t>
      </w:r>
    </w:p>
    <w:p w14:paraId="2A37C6FE" w14:textId="77777777" w:rsidR="002C2EC7" w:rsidRDefault="002C2EC7" w:rsidP="00790783">
      <w:pPr>
        <w:pStyle w:val="OWBullet1"/>
      </w:pPr>
      <w:r>
        <w:t>i</w:t>
      </w:r>
      <w:r w:rsidRPr="0071774C">
        <w:t>nformation</w:t>
      </w:r>
      <w:r>
        <w:t xml:space="preserve"> </w:t>
      </w:r>
      <w:r w:rsidRPr="0071774C">
        <w:t>informed</w:t>
      </w:r>
      <w:r>
        <w:t xml:space="preserve"> </w:t>
      </w:r>
      <w:r w:rsidRPr="0071774C">
        <w:t>by</w:t>
      </w:r>
      <w:r>
        <w:t xml:space="preserve"> </w:t>
      </w:r>
      <w:r w:rsidRPr="0071774C">
        <w:t>an</w:t>
      </w:r>
      <w:r>
        <w:t xml:space="preserve"> </w:t>
      </w:r>
      <w:r w:rsidRPr="0071774C">
        <w:t>intersectional</w:t>
      </w:r>
      <w:r>
        <w:t xml:space="preserve"> </w:t>
      </w:r>
      <w:r w:rsidRPr="0071774C">
        <w:t>lens</w:t>
      </w:r>
    </w:p>
    <w:p w14:paraId="38D9D198" w14:textId="77777777" w:rsidR="002C2EC7" w:rsidRDefault="002C2EC7" w:rsidP="00790783">
      <w:pPr>
        <w:pStyle w:val="OWBullet1"/>
      </w:pPr>
      <w:r>
        <w:t>a</w:t>
      </w:r>
      <w:r w:rsidRPr="0071774C">
        <w:t>ppropriate</w:t>
      </w:r>
      <w:r>
        <w:t xml:space="preserve"> </w:t>
      </w:r>
      <w:r w:rsidRPr="0071774C">
        <w:t>tools,</w:t>
      </w:r>
      <w:r>
        <w:t xml:space="preserve"> </w:t>
      </w:r>
      <w:r w:rsidRPr="0071774C">
        <w:t>resources</w:t>
      </w:r>
      <w:r>
        <w:t xml:space="preserve"> </w:t>
      </w:r>
      <w:r w:rsidRPr="0071774C">
        <w:t>and</w:t>
      </w:r>
      <w:r>
        <w:t xml:space="preserve"> </w:t>
      </w:r>
      <w:r w:rsidRPr="0071774C">
        <w:t>practical</w:t>
      </w:r>
      <w:r>
        <w:t xml:space="preserve"> </w:t>
      </w:r>
      <w:r w:rsidRPr="0071774C">
        <w:t>strategies</w:t>
      </w:r>
    </w:p>
    <w:p w14:paraId="174A8D76" w14:textId="77777777" w:rsidR="002C2EC7" w:rsidRDefault="002C2EC7" w:rsidP="00790783">
      <w:pPr>
        <w:pStyle w:val="OWBullet1"/>
      </w:pPr>
      <w:r>
        <w:lastRenderedPageBreak/>
        <w:t>a</w:t>
      </w:r>
      <w:r w:rsidRPr="0071774C">
        <w:t>pproaches</w:t>
      </w:r>
      <w:r>
        <w:t xml:space="preserve"> </w:t>
      </w:r>
      <w:r w:rsidRPr="0071774C">
        <w:t>informed</w:t>
      </w:r>
      <w:r>
        <w:t xml:space="preserve"> </w:t>
      </w:r>
      <w:r w:rsidRPr="0071774C">
        <w:t>by</w:t>
      </w:r>
      <w:r>
        <w:t xml:space="preserve"> </w:t>
      </w:r>
      <w:r w:rsidRPr="0071774C">
        <w:t>a</w:t>
      </w:r>
      <w:r>
        <w:t xml:space="preserve"> </w:t>
      </w:r>
      <w:r w:rsidRPr="0071774C">
        <w:t>LGBTIQ+</w:t>
      </w:r>
      <w:r>
        <w:t xml:space="preserve"> </w:t>
      </w:r>
      <w:r w:rsidRPr="0071774C">
        <w:t>lens</w:t>
      </w:r>
    </w:p>
    <w:p w14:paraId="2221A828" w14:textId="77777777" w:rsidR="002C2EC7" w:rsidRDefault="002C2EC7" w:rsidP="00790783">
      <w:pPr>
        <w:pStyle w:val="OWBullet1"/>
      </w:pPr>
      <w:r>
        <w:t>i</w:t>
      </w:r>
      <w:r w:rsidRPr="0071774C">
        <w:t>nformation</w:t>
      </w:r>
      <w:r>
        <w:t xml:space="preserve"> </w:t>
      </w:r>
      <w:r w:rsidRPr="0071774C">
        <w:t>on</w:t>
      </w:r>
      <w:r>
        <w:t xml:space="preserve"> </w:t>
      </w:r>
      <w:r w:rsidRPr="0071774C">
        <w:t>working</w:t>
      </w:r>
      <w:r>
        <w:t xml:space="preserve"> </w:t>
      </w:r>
      <w:r w:rsidRPr="0071774C">
        <w:t>with</w:t>
      </w:r>
      <w:r>
        <w:t xml:space="preserve"> </w:t>
      </w:r>
      <w:r w:rsidRPr="0071774C">
        <w:t>children</w:t>
      </w:r>
      <w:r>
        <w:t xml:space="preserve"> </w:t>
      </w:r>
      <w:r w:rsidRPr="0071774C">
        <w:t>and</w:t>
      </w:r>
      <w:r>
        <w:t xml:space="preserve"> </w:t>
      </w:r>
      <w:r w:rsidRPr="0071774C">
        <w:t>young</w:t>
      </w:r>
      <w:r>
        <w:t xml:space="preserve"> </w:t>
      </w:r>
      <w:r w:rsidRPr="0071774C">
        <w:t>people</w:t>
      </w:r>
    </w:p>
    <w:p w14:paraId="003CDA88" w14:textId="466059AB" w:rsidR="002C2EC7" w:rsidRDefault="002C2EC7" w:rsidP="00790783">
      <w:pPr>
        <w:pStyle w:val="OWBullet1"/>
      </w:pPr>
      <w:r>
        <w:t>t</w:t>
      </w:r>
      <w:r w:rsidRPr="0071774C">
        <w:t>he</w:t>
      </w:r>
      <w:r>
        <w:t xml:space="preserve"> </w:t>
      </w:r>
      <w:r w:rsidRPr="0071774C">
        <w:t>need</w:t>
      </w:r>
      <w:r>
        <w:t xml:space="preserve"> </w:t>
      </w:r>
      <w:r w:rsidRPr="0071774C">
        <w:t>for</w:t>
      </w:r>
      <w:r>
        <w:t xml:space="preserve"> </w:t>
      </w:r>
      <w:r w:rsidRPr="0071774C">
        <w:t>further</w:t>
      </w:r>
      <w:r>
        <w:t xml:space="preserve"> </w:t>
      </w:r>
      <w:r w:rsidRPr="0071774C">
        <w:t>strengthening</w:t>
      </w:r>
      <w:r>
        <w:t xml:space="preserve"> </w:t>
      </w:r>
      <w:r w:rsidRPr="0071774C">
        <w:t>of</w:t>
      </w:r>
      <w:r>
        <w:t xml:space="preserve"> </w:t>
      </w:r>
      <w:r w:rsidRPr="0071774C">
        <w:t>the</w:t>
      </w:r>
      <w:r>
        <w:t xml:space="preserve"> </w:t>
      </w:r>
      <w:r w:rsidRPr="0071774C">
        <w:t>prevention</w:t>
      </w:r>
      <w:r>
        <w:t xml:space="preserve"> </w:t>
      </w:r>
      <w:r w:rsidRPr="0071774C">
        <w:t>workforce</w:t>
      </w:r>
      <w:r>
        <w:t xml:space="preserve"> </w:t>
      </w:r>
      <w:r w:rsidRPr="0071774C">
        <w:t>(</w:t>
      </w:r>
      <w:r w:rsidR="006B1C82" w:rsidRPr="0071774C">
        <w:t>under skilled</w:t>
      </w:r>
      <w:r w:rsidRPr="0071774C">
        <w:t>,</w:t>
      </w:r>
      <w:r>
        <w:t xml:space="preserve"> </w:t>
      </w:r>
      <w:r w:rsidRPr="0071774C">
        <w:t>not</w:t>
      </w:r>
      <w:r w:rsidR="00C11BA2">
        <w:t> </w:t>
      </w:r>
      <w:r w:rsidRPr="0071774C">
        <w:t>sufficiently</w:t>
      </w:r>
      <w:r>
        <w:t xml:space="preserve"> </w:t>
      </w:r>
      <w:r w:rsidRPr="0071774C">
        <w:t>diverse)</w:t>
      </w:r>
    </w:p>
    <w:p w14:paraId="39983846" w14:textId="77777777" w:rsidR="002C2EC7" w:rsidRDefault="002C2EC7" w:rsidP="00790783">
      <w:pPr>
        <w:pStyle w:val="OWBullet1"/>
      </w:pPr>
      <w:r>
        <w:t>i</w:t>
      </w:r>
      <w:r w:rsidRPr="0071774C">
        <w:t>nformation</w:t>
      </w:r>
      <w:r>
        <w:t xml:space="preserve"> </w:t>
      </w:r>
      <w:r w:rsidRPr="0071774C">
        <w:t>that</w:t>
      </w:r>
      <w:r>
        <w:t xml:space="preserve"> </w:t>
      </w:r>
      <w:r w:rsidRPr="0071774C">
        <w:t>can</w:t>
      </w:r>
      <w:r>
        <w:t xml:space="preserve"> </w:t>
      </w:r>
      <w:r w:rsidRPr="0071774C">
        <w:t>guide</w:t>
      </w:r>
      <w:r>
        <w:t xml:space="preserve"> </w:t>
      </w:r>
      <w:r w:rsidRPr="0071774C">
        <w:t>attempts</w:t>
      </w:r>
      <w:r>
        <w:t xml:space="preserve"> </w:t>
      </w:r>
      <w:r w:rsidRPr="0071774C">
        <w:t>to</w:t>
      </w:r>
      <w:r>
        <w:t xml:space="preserve"> </w:t>
      </w:r>
      <w:r w:rsidRPr="0071774C">
        <w:t>increase</w:t>
      </w:r>
      <w:r>
        <w:t xml:space="preserve"> </w:t>
      </w:r>
      <w:r w:rsidRPr="0071774C">
        <w:t>and</w:t>
      </w:r>
      <w:r>
        <w:t xml:space="preserve"> </w:t>
      </w:r>
      <w:r w:rsidRPr="0071774C">
        <w:t>broaden</w:t>
      </w:r>
      <w:r>
        <w:t xml:space="preserve"> </w:t>
      </w:r>
      <w:r w:rsidRPr="0071774C">
        <w:t>reach</w:t>
      </w:r>
      <w:r>
        <w:t xml:space="preserve"> </w:t>
      </w:r>
      <w:r w:rsidRPr="0071774C">
        <w:t>and</w:t>
      </w:r>
      <w:r>
        <w:t xml:space="preserve"> </w:t>
      </w:r>
      <w:r w:rsidRPr="0071774C">
        <w:t>further</w:t>
      </w:r>
      <w:r>
        <w:t xml:space="preserve"> </w:t>
      </w:r>
      <w:r w:rsidRPr="0071774C">
        <w:t>influence</w:t>
      </w:r>
      <w:r>
        <w:t xml:space="preserve"> </w:t>
      </w:r>
      <w:r w:rsidRPr="0071774C">
        <w:t>community</w:t>
      </w:r>
      <w:r>
        <w:t xml:space="preserve"> </w:t>
      </w:r>
      <w:r w:rsidRPr="0071774C">
        <w:t>attitudes</w:t>
      </w:r>
      <w:r>
        <w:t>.</w:t>
      </w:r>
    </w:p>
    <w:p w14:paraId="1FB396FF" w14:textId="77777777" w:rsidR="002C2EC7" w:rsidRDefault="002C2EC7" w:rsidP="00790783">
      <w:pPr>
        <w:pStyle w:val="Heading5"/>
      </w:pPr>
      <w:bookmarkStart w:id="51" w:name="_Toc41559730"/>
      <w:r w:rsidRPr="0071774C">
        <w:t>Resourcing</w:t>
      </w:r>
      <w:r>
        <w:t xml:space="preserve"> </w:t>
      </w:r>
      <w:r w:rsidRPr="0071774C">
        <w:t>and</w:t>
      </w:r>
      <w:r>
        <w:t xml:space="preserve"> </w:t>
      </w:r>
      <w:r w:rsidRPr="0071774C">
        <w:t>supporting</w:t>
      </w:r>
      <w:r>
        <w:t xml:space="preserve"> </w:t>
      </w:r>
      <w:r w:rsidRPr="0071774C">
        <w:t>Aboriginal</w:t>
      </w:r>
      <w:r>
        <w:t xml:space="preserve"> </w:t>
      </w:r>
      <w:r w:rsidRPr="0071774C">
        <w:t>and</w:t>
      </w:r>
      <w:r>
        <w:t xml:space="preserve"> </w:t>
      </w:r>
      <w:r w:rsidRPr="0071774C">
        <w:t>Torres</w:t>
      </w:r>
      <w:r>
        <w:t xml:space="preserve"> </w:t>
      </w:r>
      <w:r w:rsidRPr="0071774C">
        <w:t>Strait</w:t>
      </w:r>
      <w:r>
        <w:t xml:space="preserve"> </w:t>
      </w:r>
      <w:r w:rsidRPr="0071774C">
        <w:t>Islander</w:t>
      </w:r>
      <w:r>
        <w:t xml:space="preserve"> </w:t>
      </w:r>
      <w:r w:rsidRPr="0071774C">
        <w:t>women’s</w:t>
      </w:r>
      <w:r>
        <w:t xml:space="preserve"> </w:t>
      </w:r>
      <w:r w:rsidRPr="0071774C">
        <w:t>leadership</w:t>
      </w:r>
      <w:r>
        <w:t xml:space="preserve"> </w:t>
      </w:r>
      <w:r w:rsidRPr="0071774C">
        <w:t>strategies</w:t>
      </w:r>
      <w:r>
        <w:t xml:space="preserve"> </w:t>
      </w:r>
      <w:r w:rsidRPr="0071774C">
        <w:t>and</w:t>
      </w:r>
      <w:r>
        <w:t xml:space="preserve"> </w:t>
      </w:r>
      <w:r w:rsidRPr="0071774C">
        <w:t>models</w:t>
      </w:r>
      <w:r>
        <w:t xml:space="preserve"> </w:t>
      </w:r>
      <w:r w:rsidRPr="0071774C">
        <w:t>of</w:t>
      </w:r>
      <w:r>
        <w:t xml:space="preserve"> </w:t>
      </w:r>
      <w:r w:rsidRPr="0071774C">
        <w:t>leadership</w:t>
      </w:r>
      <w:bookmarkEnd w:id="51"/>
    </w:p>
    <w:p w14:paraId="47B47407" w14:textId="4F2FFDF6" w:rsidR="002C2EC7" w:rsidRDefault="002C2EC7" w:rsidP="00790783">
      <w:pPr>
        <w:pStyle w:val="BodyText"/>
        <w:rPr>
          <w:szCs w:val="22"/>
        </w:rPr>
      </w:pPr>
      <w:r w:rsidRPr="0071774C">
        <w:rPr>
          <w:szCs w:val="22"/>
        </w:rPr>
        <w:t>As</w:t>
      </w:r>
      <w:r>
        <w:rPr>
          <w:szCs w:val="22"/>
        </w:rPr>
        <w:t xml:space="preserve"> </w:t>
      </w:r>
      <w:hyperlink r:id="rId34" w:tgtFrame="_blank" w:history="1">
        <w:r w:rsidRPr="00ED4674">
          <w:rPr>
            <w:rStyle w:val="Emphasis"/>
          </w:rPr>
          <w:t>Changing the picture</w:t>
        </w:r>
      </w:hyperlink>
      <w:r w:rsidRPr="005068F2">
        <w:rPr>
          <w:rStyle w:val="EndnoteReference"/>
          <w:iCs/>
          <w:szCs w:val="22"/>
        </w:rPr>
        <w:endnoteReference w:id="92"/>
      </w:r>
      <w:r>
        <w:rPr>
          <w:iCs/>
          <w:szCs w:val="22"/>
        </w:rPr>
        <w:t xml:space="preserve"> </w:t>
      </w:r>
      <w:r w:rsidRPr="0071774C">
        <w:rPr>
          <w:szCs w:val="22"/>
        </w:rPr>
        <w:t>articulates,</w:t>
      </w:r>
      <w:r>
        <w:rPr>
          <w:szCs w:val="22"/>
        </w:rPr>
        <w:t xml:space="preserve"> ‘</w:t>
      </w:r>
      <w:r w:rsidRPr="0071774C">
        <w:rPr>
          <w:szCs w:val="22"/>
        </w:rPr>
        <w:t>[s]upport[ing]</w:t>
      </w:r>
      <w:r>
        <w:rPr>
          <w:szCs w:val="22"/>
        </w:rPr>
        <w:t xml:space="preserve"> </w:t>
      </w:r>
      <w:r w:rsidRPr="0071774C">
        <w:rPr>
          <w:szCs w:val="22"/>
        </w:rPr>
        <w:t>Aboriginal</w:t>
      </w:r>
      <w:r>
        <w:rPr>
          <w:szCs w:val="22"/>
        </w:rPr>
        <w:t xml:space="preserve"> </w:t>
      </w:r>
      <w:r w:rsidRPr="0071774C">
        <w:rPr>
          <w:szCs w:val="22"/>
        </w:rPr>
        <w:t>and</w:t>
      </w:r>
      <w:r>
        <w:rPr>
          <w:szCs w:val="22"/>
        </w:rPr>
        <w:t xml:space="preserve"> </w:t>
      </w:r>
      <w:r w:rsidRPr="0071774C">
        <w:rPr>
          <w:szCs w:val="22"/>
        </w:rPr>
        <w:t>Torres</w:t>
      </w:r>
      <w:r>
        <w:rPr>
          <w:szCs w:val="22"/>
        </w:rPr>
        <w:t xml:space="preserve"> </w:t>
      </w:r>
      <w:r w:rsidRPr="0071774C">
        <w:rPr>
          <w:szCs w:val="22"/>
        </w:rPr>
        <w:t>Strait</w:t>
      </w:r>
      <w:r>
        <w:rPr>
          <w:szCs w:val="22"/>
        </w:rPr>
        <w:t xml:space="preserve"> </w:t>
      </w:r>
      <w:r w:rsidRPr="0071774C">
        <w:rPr>
          <w:szCs w:val="22"/>
        </w:rPr>
        <w:t>Islander</w:t>
      </w:r>
      <w:r>
        <w:rPr>
          <w:szCs w:val="22"/>
        </w:rPr>
        <w:t xml:space="preserve"> </w:t>
      </w:r>
      <w:r w:rsidRPr="0071774C">
        <w:rPr>
          <w:szCs w:val="22"/>
        </w:rPr>
        <w:t>women’s</w:t>
      </w:r>
      <w:r>
        <w:rPr>
          <w:szCs w:val="22"/>
        </w:rPr>
        <w:t xml:space="preserve"> </w:t>
      </w:r>
      <w:r w:rsidRPr="0071774C">
        <w:rPr>
          <w:szCs w:val="22"/>
        </w:rPr>
        <w:t>participation</w:t>
      </w:r>
      <w:r>
        <w:rPr>
          <w:szCs w:val="22"/>
        </w:rPr>
        <w:t xml:space="preserve"> </w:t>
      </w:r>
      <w:r w:rsidRPr="0071774C">
        <w:rPr>
          <w:szCs w:val="22"/>
        </w:rPr>
        <w:t>in</w:t>
      </w:r>
      <w:r>
        <w:rPr>
          <w:szCs w:val="22"/>
        </w:rPr>
        <w:t xml:space="preserve"> </w:t>
      </w:r>
      <w:r w:rsidRPr="0071774C">
        <w:rPr>
          <w:szCs w:val="22"/>
        </w:rPr>
        <w:t>leadership</w:t>
      </w:r>
      <w:r>
        <w:rPr>
          <w:szCs w:val="22"/>
        </w:rPr>
        <w:t xml:space="preserve"> </w:t>
      </w:r>
      <w:r w:rsidRPr="0071774C">
        <w:rPr>
          <w:szCs w:val="22"/>
        </w:rPr>
        <w:t>and</w:t>
      </w:r>
      <w:r>
        <w:rPr>
          <w:szCs w:val="22"/>
        </w:rPr>
        <w:t xml:space="preserve"> </w:t>
      </w:r>
      <w:r w:rsidRPr="0071774C">
        <w:rPr>
          <w:szCs w:val="22"/>
        </w:rPr>
        <w:t>decision</w:t>
      </w:r>
      <w:r>
        <w:rPr>
          <w:szCs w:val="22"/>
        </w:rPr>
        <w:t xml:space="preserve"> </w:t>
      </w:r>
      <w:r w:rsidRPr="0071774C">
        <w:rPr>
          <w:szCs w:val="22"/>
        </w:rPr>
        <w:t>making</w:t>
      </w:r>
      <w:r>
        <w:rPr>
          <w:szCs w:val="22"/>
        </w:rPr>
        <w:t xml:space="preserve">’ </w:t>
      </w:r>
      <w:r w:rsidRPr="0071774C">
        <w:rPr>
          <w:szCs w:val="22"/>
        </w:rPr>
        <w:t>is</w:t>
      </w:r>
      <w:r>
        <w:rPr>
          <w:szCs w:val="22"/>
        </w:rPr>
        <w:t xml:space="preserve"> </w:t>
      </w:r>
      <w:r w:rsidRPr="0071774C">
        <w:rPr>
          <w:szCs w:val="22"/>
        </w:rPr>
        <w:t>an</w:t>
      </w:r>
      <w:r>
        <w:rPr>
          <w:szCs w:val="22"/>
        </w:rPr>
        <w:t xml:space="preserve"> </w:t>
      </w:r>
      <w:r w:rsidRPr="0071774C">
        <w:rPr>
          <w:szCs w:val="22"/>
        </w:rPr>
        <w:t>essential</w:t>
      </w:r>
      <w:r>
        <w:rPr>
          <w:szCs w:val="22"/>
        </w:rPr>
        <w:t xml:space="preserve"> </w:t>
      </w:r>
      <w:r w:rsidRPr="0071774C">
        <w:rPr>
          <w:szCs w:val="22"/>
        </w:rPr>
        <w:t>action</w:t>
      </w:r>
      <w:r>
        <w:rPr>
          <w:szCs w:val="22"/>
        </w:rPr>
        <w:t xml:space="preserve"> </w:t>
      </w:r>
      <w:r w:rsidRPr="0071774C">
        <w:rPr>
          <w:szCs w:val="22"/>
        </w:rPr>
        <w:t>that</w:t>
      </w:r>
      <w:r>
        <w:rPr>
          <w:szCs w:val="22"/>
        </w:rPr>
        <w:t xml:space="preserve"> </w:t>
      </w:r>
      <w:r w:rsidRPr="0071774C">
        <w:rPr>
          <w:szCs w:val="22"/>
        </w:rPr>
        <w:t>will</w:t>
      </w:r>
      <w:r>
        <w:rPr>
          <w:szCs w:val="22"/>
        </w:rPr>
        <w:t xml:space="preserve"> </w:t>
      </w:r>
      <w:r w:rsidRPr="0071774C">
        <w:rPr>
          <w:szCs w:val="22"/>
        </w:rPr>
        <w:t>contribute</w:t>
      </w:r>
      <w:r>
        <w:rPr>
          <w:szCs w:val="22"/>
        </w:rPr>
        <w:t xml:space="preserve"> </w:t>
      </w:r>
      <w:r w:rsidRPr="0071774C">
        <w:rPr>
          <w:szCs w:val="22"/>
        </w:rPr>
        <w:t>to</w:t>
      </w:r>
      <w:r>
        <w:rPr>
          <w:szCs w:val="22"/>
        </w:rPr>
        <w:t xml:space="preserve"> </w:t>
      </w:r>
      <w:r w:rsidRPr="0071774C">
        <w:rPr>
          <w:szCs w:val="22"/>
        </w:rPr>
        <w:t>the</w:t>
      </w:r>
      <w:r>
        <w:rPr>
          <w:szCs w:val="22"/>
        </w:rPr>
        <w:t xml:space="preserve"> </w:t>
      </w:r>
      <w:r w:rsidRPr="0071774C">
        <w:rPr>
          <w:szCs w:val="22"/>
        </w:rPr>
        <w:t>prevention</w:t>
      </w:r>
      <w:r>
        <w:rPr>
          <w:szCs w:val="22"/>
        </w:rPr>
        <w:t xml:space="preserve"> </w:t>
      </w:r>
      <w:r w:rsidRPr="0071774C">
        <w:rPr>
          <w:szCs w:val="22"/>
        </w:rPr>
        <w:t>of</w:t>
      </w:r>
      <w:r>
        <w:rPr>
          <w:szCs w:val="22"/>
        </w:rPr>
        <w:t xml:space="preserve"> </w:t>
      </w:r>
      <w:r w:rsidRPr="0071774C">
        <w:rPr>
          <w:szCs w:val="22"/>
        </w:rPr>
        <w:t>violence</w:t>
      </w:r>
      <w:r>
        <w:rPr>
          <w:szCs w:val="22"/>
        </w:rPr>
        <w:t xml:space="preserve"> </w:t>
      </w:r>
      <w:r w:rsidRPr="0071774C">
        <w:rPr>
          <w:szCs w:val="22"/>
        </w:rPr>
        <w:t>against</w:t>
      </w:r>
      <w:r>
        <w:rPr>
          <w:szCs w:val="22"/>
        </w:rPr>
        <w:t xml:space="preserve"> </w:t>
      </w:r>
      <w:r w:rsidRPr="0071774C">
        <w:rPr>
          <w:szCs w:val="22"/>
        </w:rPr>
        <w:t>Aboriginal</w:t>
      </w:r>
      <w:r>
        <w:rPr>
          <w:szCs w:val="22"/>
        </w:rPr>
        <w:t xml:space="preserve"> </w:t>
      </w:r>
      <w:r w:rsidRPr="0071774C">
        <w:rPr>
          <w:szCs w:val="22"/>
        </w:rPr>
        <w:t>and</w:t>
      </w:r>
      <w:r>
        <w:rPr>
          <w:szCs w:val="22"/>
        </w:rPr>
        <w:t xml:space="preserve"> </w:t>
      </w:r>
      <w:r w:rsidRPr="0071774C">
        <w:rPr>
          <w:szCs w:val="22"/>
        </w:rPr>
        <w:t>Torres</w:t>
      </w:r>
      <w:r>
        <w:rPr>
          <w:szCs w:val="22"/>
        </w:rPr>
        <w:t xml:space="preserve"> </w:t>
      </w:r>
      <w:r w:rsidRPr="0071774C">
        <w:rPr>
          <w:szCs w:val="22"/>
        </w:rPr>
        <w:t>Strait</w:t>
      </w:r>
      <w:r>
        <w:rPr>
          <w:szCs w:val="22"/>
        </w:rPr>
        <w:t xml:space="preserve"> </w:t>
      </w:r>
      <w:r w:rsidRPr="0071774C">
        <w:rPr>
          <w:szCs w:val="22"/>
        </w:rPr>
        <w:t>Islander</w:t>
      </w:r>
      <w:r>
        <w:rPr>
          <w:szCs w:val="22"/>
        </w:rPr>
        <w:t xml:space="preserve"> </w:t>
      </w:r>
      <w:r w:rsidRPr="0071774C">
        <w:rPr>
          <w:szCs w:val="22"/>
        </w:rPr>
        <w:t>women.</w:t>
      </w:r>
      <w:r>
        <w:rPr>
          <w:szCs w:val="22"/>
        </w:rPr>
        <w:t xml:space="preserve"> </w:t>
      </w:r>
      <w:r w:rsidRPr="0071774C">
        <w:rPr>
          <w:szCs w:val="22"/>
        </w:rPr>
        <w:t>This</w:t>
      </w:r>
      <w:r>
        <w:rPr>
          <w:szCs w:val="22"/>
        </w:rPr>
        <w:t xml:space="preserve"> </w:t>
      </w:r>
      <w:r w:rsidRPr="0071774C">
        <w:rPr>
          <w:szCs w:val="22"/>
        </w:rPr>
        <w:t>is</w:t>
      </w:r>
      <w:r>
        <w:rPr>
          <w:szCs w:val="22"/>
        </w:rPr>
        <w:t xml:space="preserve"> </w:t>
      </w:r>
      <w:r w:rsidRPr="0071774C">
        <w:rPr>
          <w:szCs w:val="22"/>
        </w:rPr>
        <w:t>achieved</w:t>
      </w:r>
      <w:r>
        <w:rPr>
          <w:szCs w:val="22"/>
        </w:rPr>
        <w:t xml:space="preserve"> </w:t>
      </w:r>
      <w:r w:rsidRPr="0071774C">
        <w:rPr>
          <w:szCs w:val="22"/>
        </w:rPr>
        <w:t>through</w:t>
      </w:r>
      <w:r>
        <w:rPr>
          <w:szCs w:val="22"/>
        </w:rPr>
        <w:t xml:space="preserve"> </w:t>
      </w:r>
      <w:r w:rsidRPr="0071774C">
        <w:rPr>
          <w:szCs w:val="22"/>
        </w:rPr>
        <w:t>strategies</w:t>
      </w:r>
      <w:r>
        <w:rPr>
          <w:szCs w:val="22"/>
        </w:rPr>
        <w:t xml:space="preserve"> </w:t>
      </w:r>
      <w:r w:rsidRPr="0071774C">
        <w:rPr>
          <w:szCs w:val="22"/>
        </w:rPr>
        <w:t>which</w:t>
      </w:r>
      <w:r>
        <w:rPr>
          <w:szCs w:val="22"/>
        </w:rPr>
        <w:t xml:space="preserve"> ‘</w:t>
      </w:r>
      <w:r w:rsidRPr="0071774C">
        <w:rPr>
          <w:szCs w:val="22"/>
        </w:rPr>
        <w:t>promote</w:t>
      </w:r>
      <w:r>
        <w:rPr>
          <w:szCs w:val="22"/>
        </w:rPr>
        <w:t xml:space="preserve"> </w:t>
      </w:r>
      <w:r w:rsidRPr="0071774C">
        <w:rPr>
          <w:szCs w:val="22"/>
        </w:rPr>
        <w:t>[Aboriginal</w:t>
      </w:r>
      <w:r>
        <w:rPr>
          <w:szCs w:val="22"/>
        </w:rPr>
        <w:t xml:space="preserve"> </w:t>
      </w:r>
      <w:r w:rsidRPr="0071774C">
        <w:rPr>
          <w:szCs w:val="22"/>
        </w:rPr>
        <w:t>and</w:t>
      </w:r>
      <w:r>
        <w:rPr>
          <w:szCs w:val="22"/>
        </w:rPr>
        <w:t xml:space="preserve"> </w:t>
      </w:r>
      <w:r w:rsidRPr="0071774C">
        <w:rPr>
          <w:szCs w:val="22"/>
        </w:rPr>
        <w:t>Torres</w:t>
      </w:r>
      <w:r>
        <w:rPr>
          <w:szCs w:val="22"/>
        </w:rPr>
        <w:t xml:space="preserve"> </w:t>
      </w:r>
      <w:r w:rsidRPr="0071774C">
        <w:rPr>
          <w:szCs w:val="22"/>
        </w:rPr>
        <w:t>Strait</w:t>
      </w:r>
      <w:r w:rsidR="00AA58B7">
        <w:rPr>
          <w:szCs w:val="22"/>
        </w:rPr>
        <w:t> </w:t>
      </w:r>
      <w:r w:rsidRPr="0071774C">
        <w:rPr>
          <w:szCs w:val="22"/>
        </w:rPr>
        <w:t>Islander</w:t>
      </w:r>
      <w:r>
        <w:rPr>
          <w:szCs w:val="22"/>
        </w:rPr>
        <w:t xml:space="preserve"> </w:t>
      </w:r>
      <w:r w:rsidRPr="0071774C">
        <w:rPr>
          <w:szCs w:val="22"/>
        </w:rPr>
        <w:t>Women’s]</w:t>
      </w:r>
      <w:r>
        <w:rPr>
          <w:szCs w:val="22"/>
        </w:rPr>
        <w:t xml:space="preserve"> </w:t>
      </w:r>
      <w:r w:rsidRPr="0071774C">
        <w:rPr>
          <w:szCs w:val="22"/>
        </w:rPr>
        <w:t>right</w:t>
      </w:r>
      <w:r>
        <w:rPr>
          <w:szCs w:val="22"/>
        </w:rPr>
        <w:t xml:space="preserve"> </w:t>
      </w:r>
      <w:r w:rsidRPr="0071774C">
        <w:rPr>
          <w:szCs w:val="22"/>
        </w:rPr>
        <w:t>to</w:t>
      </w:r>
      <w:r>
        <w:rPr>
          <w:szCs w:val="22"/>
        </w:rPr>
        <w:t xml:space="preserve"> </w:t>
      </w:r>
      <w:r w:rsidRPr="0071774C">
        <w:rPr>
          <w:szCs w:val="22"/>
        </w:rPr>
        <w:t>participate</w:t>
      </w:r>
      <w:r>
        <w:rPr>
          <w:szCs w:val="22"/>
        </w:rPr>
        <w:t xml:space="preserve"> </w:t>
      </w:r>
      <w:r w:rsidRPr="0071774C">
        <w:rPr>
          <w:szCs w:val="22"/>
        </w:rPr>
        <w:t>equally</w:t>
      </w:r>
      <w:r>
        <w:rPr>
          <w:szCs w:val="22"/>
        </w:rPr>
        <w:t xml:space="preserve"> </w:t>
      </w:r>
      <w:r w:rsidRPr="0071774C">
        <w:rPr>
          <w:szCs w:val="22"/>
        </w:rPr>
        <w:t>in</w:t>
      </w:r>
      <w:r>
        <w:rPr>
          <w:szCs w:val="22"/>
        </w:rPr>
        <w:t xml:space="preserve"> </w:t>
      </w:r>
      <w:r w:rsidRPr="0071774C">
        <w:rPr>
          <w:szCs w:val="22"/>
        </w:rPr>
        <w:t>leadership,</w:t>
      </w:r>
      <w:r>
        <w:rPr>
          <w:szCs w:val="22"/>
        </w:rPr>
        <w:t xml:space="preserve"> </w:t>
      </w:r>
      <w:r w:rsidRPr="0071774C">
        <w:rPr>
          <w:szCs w:val="22"/>
        </w:rPr>
        <w:t>decision</w:t>
      </w:r>
      <w:r>
        <w:rPr>
          <w:szCs w:val="22"/>
        </w:rPr>
        <w:t xml:space="preserve"> </w:t>
      </w:r>
      <w:r w:rsidRPr="0071774C">
        <w:rPr>
          <w:szCs w:val="22"/>
        </w:rPr>
        <w:t>making</w:t>
      </w:r>
      <w:r>
        <w:rPr>
          <w:szCs w:val="22"/>
        </w:rPr>
        <w:t xml:space="preserve"> </w:t>
      </w:r>
      <w:r w:rsidRPr="0071774C">
        <w:rPr>
          <w:szCs w:val="22"/>
        </w:rPr>
        <w:t>and</w:t>
      </w:r>
      <w:r w:rsidR="00AA58B7">
        <w:rPr>
          <w:szCs w:val="22"/>
        </w:rPr>
        <w:t> </w:t>
      </w:r>
      <w:r w:rsidRPr="0071774C">
        <w:rPr>
          <w:szCs w:val="22"/>
        </w:rPr>
        <w:t>governance</w:t>
      </w:r>
      <w:r>
        <w:rPr>
          <w:szCs w:val="22"/>
        </w:rPr>
        <w:t xml:space="preserve"> </w:t>
      </w:r>
      <w:r w:rsidRPr="0071774C">
        <w:rPr>
          <w:szCs w:val="22"/>
        </w:rPr>
        <w:t>processes</w:t>
      </w:r>
      <w:r>
        <w:rPr>
          <w:szCs w:val="22"/>
        </w:rPr>
        <w:t xml:space="preserve"> – </w:t>
      </w:r>
      <w:r w:rsidRPr="0071774C">
        <w:rPr>
          <w:szCs w:val="22"/>
        </w:rPr>
        <w:t>at</w:t>
      </w:r>
      <w:r>
        <w:rPr>
          <w:szCs w:val="22"/>
        </w:rPr>
        <w:t xml:space="preserve"> </w:t>
      </w:r>
      <w:r w:rsidRPr="0071774C">
        <w:rPr>
          <w:szCs w:val="22"/>
        </w:rPr>
        <w:t>all</w:t>
      </w:r>
      <w:r>
        <w:rPr>
          <w:szCs w:val="22"/>
        </w:rPr>
        <w:t xml:space="preserve"> </w:t>
      </w:r>
      <w:r w:rsidRPr="0071774C">
        <w:rPr>
          <w:szCs w:val="22"/>
        </w:rPr>
        <w:t>levels,</w:t>
      </w:r>
      <w:r>
        <w:rPr>
          <w:szCs w:val="22"/>
        </w:rPr>
        <w:t xml:space="preserve"> </w:t>
      </w:r>
      <w:r w:rsidRPr="0071774C">
        <w:rPr>
          <w:szCs w:val="22"/>
        </w:rPr>
        <w:t>and</w:t>
      </w:r>
      <w:r>
        <w:rPr>
          <w:szCs w:val="22"/>
        </w:rPr>
        <w:t xml:space="preserve"> </w:t>
      </w:r>
      <w:r w:rsidRPr="0071774C">
        <w:rPr>
          <w:szCs w:val="22"/>
        </w:rPr>
        <w:t>both</w:t>
      </w:r>
      <w:r>
        <w:rPr>
          <w:szCs w:val="22"/>
        </w:rPr>
        <w:t xml:space="preserve"> </w:t>
      </w:r>
      <w:r w:rsidRPr="0071774C">
        <w:rPr>
          <w:szCs w:val="22"/>
        </w:rPr>
        <w:t>in</w:t>
      </w:r>
      <w:r>
        <w:rPr>
          <w:szCs w:val="22"/>
        </w:rPr>
        <w:t xml:space="preserve"> </w:t>
      </w:r>
      <w:r w:rsidRPr="0071774C">
        <w:rPr>
          <w:szCs w:val="22"/>
        </w:rPr>
        <w:t>their</w:t>
      </w:r>
      <w:r>
        <w:rPr>
          <w:szCs w:val="22"/>
        </w:rPr>
        <w:t xml:space="preserve"> </w:t>
      </w:r>
      <w:r w:rsidRPr="0071774C">
        <w:rPr>
          <w:szCs w:val="22"/>
        </w:rPr>
        <w:t>own</w:t>
      </w:r>
      <w:r w:rsidR="00C11BA2">
        <w:rPr>
          <w:szCs w:val="22"/>
        </w:rPr>
        <w:t> </w:t>
      </w:r>
      <w:r w:rsidRPr="0071774C">
        <w:rPr>
          <w:szCs w:val="22"/>
        </w:rPr>
        <w:t>communities</w:t>
      </w:r>
      <w:r>
        <w:rPr>
          <w:szCs w:val="22"/>
        </w:rPr>
        <w:t xml:space="preserve"> </w:t>
      </w:r>
      <w:r w:rsidRPr="0071774C">
        <w:rPr>
          <w:szCs w:val="22"/>
        </w:rPr>
        <w:t>and</w:t>
      </w:r>
      <w:r>
        <w:rPr>
          <w:szCs w:val="22"/>
        </w:rPr>
        <w:t xml:space="preserve"> </w:t>
      </w:r>
      <w:r w:rsidRPr="0071774C">
        <w:rPr>
          <w:szCs w:val="22"/>
        </w:rPr>
        <w:t>in</w:t>
      </w:r>
      <w:r>
        <w:rPr>
          <w:szCs w:val="22"/>
        </w:rPr>
        <w:t xml:space="preserve"> </w:t>
      </w:r>
      <w:r w:rsidR="00AA58B7">
        <w:rPr>
          <w:szCs w:val="22"/>
        </w:rPr>
        <w:br/>
      </w:r>
      <w:r w:rsidRPr="0071774C">
        <w:rPr>
          <w:szCs w:val="22"/>
        </w:rPr>
        <w:t>non-Indigenous</w:t>
      </w:r>
      <w:r>
        <w:rPr>
          <w:szCs w:val="22"/>
        </w:rPr>
        <w:t xml:space="preserve"> </w:t>
      </w:r>
      <w:r w:rsidRPr="0071774C">
        <w:rPr>
          <w:szCs w:val="22"/>
        </w:rPr>
        <w:t>organisations</w:t>
      </w:r>
      <w:r>
        <w:rPr>
          <w:szCs w:val="22"/>
        </w:rPr>
        <w:t>’.</w:t>
      </w:r>
      <w:r>
        <w:rPr>
          <w:rStyle w:val="EndnoteReference"/>
          <w:szCs w:val="22"/>
        </w:rPr>
        <w:endnoteReference w:id="93"/>
      </w:r>
    </w:p>
    <w:p w14:paraId="70D3FDA4" w14:textId="487EADC9" w:rsidR="002C2EC7" w:rsidRDefault="002C2EC7" w:rsidP="00790783">
      <w:pPr>
        <w:pStyle w:val="BodyText"/>
      </w:pPr>
      <w:r w:rsidRPr="0071774C">
        <w:t>Looking</w:t>
      </w:r>
      <w:r>
        <w:t xml:space="preserve"> at </w:t>
      </w:r>
      <w:r w:rsidRPr="0071774C">
        <w:t>the</w:t>
      </w:r>
      <w:r>
        <w:t xml:space="preserve"> </w:t>
      </w:r>
      <w:r w:rsidRPr="0071774C">
        <w:t>current</w:t>
      </w:r>
      <w:r>
        <w:t xml:space="preserve"> </w:t>
      </w:r>
      <w:r w:rsidRPr="0071774C">
        <w:t>landscape</w:t>
      </w:r>
      <w:r>
        <w:t xml:space="preserve"> </w:t>
      </w:r>
      <w:r w:rsidRPr="0071774C">
        <w:t>there</w:t>
      </w:r>
      <w:r>
        <w:t xml:space="preserve"> </w:t>
      </w:r>
      <w:r w:rsidRPr="0071774C">
        <w:t>is</w:t>
      </w:r>
      <w:r>
        <w:t xml:space="preserve"> </w:t>
      </w:r>
      <w:r w:rsidRPr="0071774C">
        <w:t>evidence</w:t>
      </w:r>
      <w:r>
        <w:t xml:space="preserve"> </w:t>
      </w:r>
      <w:r w:rsidRPr="0071774C">
        <w:t>of</w:t>
      </w:r>
      <w:r>
        <w:t xml:space="preserve"> </w:t>
      </w:r>
      <w:r w:rsidRPr="0071774C">
        <w:t>community</w:t>
      </w:r>
      <w:r>
        <w:t>-</w:t>
      </w:r>
      <w:r w:rsidRPr="0071774C">
        <w:t>led</w:t>
      </w:r>
      <w:r>
        <w:t xml:space="preserve"> </w:t>
      </w:r>
      <w:r w:rsidRPr="0071774C">
        <w:t>activities</w:t>
      </w:r>
      <w:r>
        <w:t xml:space="preserve"> </w:t>
      </w:r>
      <w:r w:rsidRPr="0071774C">
        <w:t>that</w:t>
      </w:r>
      <w:r>
        <w:t xml:space="preserve"> </w:t>
      </w:r>
      <w:r w:rsidRPr="0071774C">
        <w:t>support</w:t>
      </w:r>
      <w:r>
        <w:t xml:space="preserve"> </w:t>
      </w:r>
      <w:r w:rsidRPr="0071774C">
        <w:t>and</w:t>
      </w:r>
      <w:r>
        <w:t xml:space="preserve"> </w:t>
      </w:r>
      <w:r w:rsidRPr="0071774C">
        <w:t>promote</w:t>
      </w:r>
      <w:r>
        <w:t xml:space="preserve"> </w:t>
      </w:r>
      <w:r w:rsidRPr="0071774C">
        <w:t>Aboriginal</w:t>
      </w:r>
      <w:r>
        <w:t xml:space="preserve"> </w:t>
      </w:r>
      <w:r w:rsidRPr="0071774C">
        <w:t>and</w:t>
      </w:r>
      <w:r>
        <w:t xml:space="preserve"> </w:t>
      </w:r>
      <w:r w:rsidRPr="0071774C">
        <w:t>Torres</w:t>
      </w:r>
      <w:r>
        <w:t xml:space="preserve"> </w:t>
      </w:r>
      <w:r w:rsidRPr="0071774C">
        <w:t>Strait</w:t>
      </w:r>
      <w:r>
        <w:t xml:space="preserve"> </w:t>
      </w:r>
      <w:r w:rsidRPr="0071774C">
        <w:t>Islander</w:t>
      </w:r>
      <w:r>
        <w:t xml:space="preserve"> </w:t>
      </w:r>
      <w:r w:rsidRPr="0071774C">
        <w:t>women’s</w:t>
      </w:r>
      <w:r>
        <w:t xml:space="preserve"> </w:t>
      </w:r>
      <w:r w:rsidRPr="0071774C">
        <w:t>participation</w:t>
      </w:r>
      <w:r>
        <w:t xml:space="preserve"> </w:t>
      </w:r>
      <w:r w:rsidRPr="0071774C">
        <w:t>in</w:t>
      </w:r>
      <w:r>
        <w:t xml:space="preserve"> </w:t>
      </w:r>
      <w:r w:rsidRPr="0071774C">
        <w:t>leadership</w:t>
      </w:r>
      <w:r>
        <w:t xml:space="preserve"> </w:t>
      </w:r>
      <w:r w:rsidRPr="0071774C">
        <w:t>and</w:t>
      </w:r>
      <w:r>
        <w:t xml:space="preserve"> </w:t>
      </w:r>
      <w:r w:rsidRPr="0071774C">
        <w:t>decision</w:t>
      </w:r>
      <w:r>
        <w:t>-</w:t>
      </w:r>
      <w:r w:rsidRPr="0071774C">
        <w:t>making.</w:t>
      </w:r>
      <w:r>
        <w:t xml:space="preserve"> </w:t>
      </w:r>
      <w:r w:rsidRPr="0071774C">
        <w:t>For</w:t>
      </w:r>
      <w:r>
        <w:t xml:space="preserve"> </w:t>
      </w:r>
      <w:r w:rsidRPr="0071774C">
        <w:t>example,</w:t>
      </w:r>
      <w:r>
        <w:t xml:space="preserve"> </w:t>
      </w:r>
      <w:r w:rsidRPr="0071774C">
        <w:t>in</w:t>
      </w:r>
      <w:r>
        <w:t xml:space="preserve"> </w:t>
      </w:r>
      <w:r w:rsidRPr="0071774C">
        <w:t>2018</w:t>
      </w:r>
      <w:r>
        <w:t xml:space="preserve"> </w:t>
      </w:r>
      <w:r w:rsidRPr="0071774C">
        <w:t>the</w:t>
      </w:r>
      <w:r>
        <w:t xml:space="preserve"> </w:t>
      </w:r>
      <w:r w:rsidRPr="0071774C">
        <w:t>first</w:t>
      </w:r>
      <w:r>
        <w:t xml:space="preserve"> </w:t>
      </w:r>
      <w:r w:rsidRPr="0071774C">
        <w:t>National</w:t>
      </w:r>
      <w:r>
        <w:t xml:space="preserve"> </w:t>
      </w:r>
      <w:r w:rsidRPr="0071774C">
        <w:t>NAIDOC</w:t>
      </w:r>
      <w:r>
        <w:t xml:space="preserve"> </w:t>
      </w:r>
      <w:r w:rsidRPr="0071774C">
        <w:t>Aboriginal</w:t>
      </w:r>
      <w:r>
        <w:t xml:space="preserve"> </w:t>
      </w:r>
      <w:r w:rsidRPr="0071774C">
        <w:t>and</w:t>
      </w:r>
      <w:r>
        <w:t xml:space="preserve"> </w:t>
      </w:r>
      <w:r w:rsidRPr="0071774C">
        <w:t>Torres</w:t>
      </w:r>
      <w:r>
        <w:t xml:space="preserve"> </w:t>
      </w:r>
      <w:r w:rsidRPr="0071774C">
        <w:t>Strait</w:t>
      </w:r>
      <w:r>
        <w:t xml:space="preserve"> </w:t>
      </w:r>
      <w:r w:rsidRPr="0071774C">
        <w:t>Islander</w:t>
      </w:r>
      <w:r>
        <w:t xml:space="preserve"> </w:t>
      </w:r>
      <w:r w:rsidRPr="0071774C">
        <w:t>Women’s</w:t>
      </w:r>
      <w:r>
        <w:t xml:space="preserve"> C</w:t>
      </w:r>
      <w:r w:rsidRPr="0071774C">
        <w:t>onference</w:t>
      </w:r>
      <w:r>
        <w:t xml:space="preserve"> </w:t>
      </w:r>
      <w:r w:rsidRPr="0071774C">
        <w:t>in</w:t>
      </w:r>
      <w:r>
        <w:t xml:space="preserve"> </w:t>
      </w:r>
      <w:r w:rsidRPr="0071774C">
        <w:t>over</w:t>
      </w:r>
      <w:r>
        <w:t xml:space="preserve"> thirty </w:t>
      </w:r>
      <w:r w:rsidRPr="0071774C">
        <w:t>years</w:t>
      </w:r>
      <w:r>
        <w:t xml:space="preserve"> </w:t>
      </w:r>
      <w:r w:rsidRPr="0071774C">
        <w:t>brought</w:t>
      </w:r>
      <w:r>
        <w:t xml:space="preserve"> </w:t>
      </w:r>
      <w:r w:rsidRPr="0071774C">
        <w:t>hundreds</w:t>
      </w:r>
      <w:r>
        <w:t xml:space="preserve"> </w:t>
      </w:r>
      <w:r w:rsidRPr="0071774C">
        <w:t>of</w:t>
      </w:r>
      <w:r>
        <w:t xml:space="preserve"> </w:t>
      </w:r>
      <w:r w:rsidRPr="0071774C">
        <w:t>Aboriginal</w:t>
      </w:r>
      <w:r>
        <w:t xml:space="preserve"> </w:t>
      </w:r>
      <w:r w:rsidRPr="0071774C">
        <w:t>and</w:t>
      </w:r>
      <w:r>
        <w:t xml:space="preserve"> </w:t>
      </w:r>
      <w:r w:rsidRPr="0071774C">
        <w:t>Torres</w:t>
      </w:r>
      <w:r>
        <w:t xml:space="preserve"> </w:t>
      </w:r>
      <w:r w:rsidRPr="0071774C">
        <w:t>Strait</w:t>
      </w:r>
      <w:r>
        <w:t xml:space="preserve"> </w:t>
      </w:r>
      <w:r w:rsidRPr="0071774C">
        <w:t>Islander</w:t>
      </w:r>
      <w:r>
        <w:t xml:space="preserve"> </w:t>
      </w:r>
      <w:r w:rsidRPr="0071774C">
        <w:t>women</w:t>
      </w:r>
      <w:r>
        <w:t xml:space="preserve"> </w:t>
      </w:r>
      <w:r w:rsidRPr="0071774C">
        <w:t>from</w:t>
      </w:r>
      <w:r>
        <w:t xml:space="preserve"> </w:t>
      </w:r>
      <w:r w:rsidRPr="0071774C">
        <w:t>across</w:t>
      </w:r>
      <w:r>
        <w:t xml:space="preserve"> </w:t>
      </w:r>
      <w:r w:rsidRPr="0071774C">
        <w:t>the</w:t>
      </w:r>
      <w:r>
        <w:t xml:space="preserve"> </w:t>
      </w:r>
      <w:r w:rsidRPr="0071774C">
        <w:t>country</w:t>
      </w:r>
      <w:r>
        <w:t xml:space="preserve"> </w:t>
      </w:r>
      <w:r w:rsidRPr="0071774C">
        <w:t>together</w:t>
      </w:r>
      <w:r>
        <w:t xml:space="preserve"> </w:t>
      </w:r>
      <w:r w:rsidRPr="0071774C">
        <w:t>to</w:t>
      </w:r>
      <w:r>
        <w:t xml:space="preserve"> </w:t>
      </w:r>
      <w:r w:rsidRPr="0071774C">
        <w:t>celebrate</w:t>
      </w:r>
      <w:r>
        <w:t xml:space="preserve"> </w:t>
      </w:r>
      <w:r w:rsidRPr="0071774C">
        <w:t>the</w:t>
      </w:r>
      <w:r>
        <w:t xml:space="preserve"> </w:t>
      </w:r>
      <w:r w:rsidRPr="0071774C">
        <w:t>wide-ranging</w:t>
      </w:r>
      <w:r>
        <w:t xml:space="preserve"> </w:t>
      </w:r>
      <w:r w:rsidRPr="0071774C">
        <w:t>achievements</w:t>
      </w:r>
      <w:r>
        <w:t xml:space="preserve"> </w:t>
      </w:r>
      <w:r w:rsidRPr="0071774C">
        <w:t>of</w:t>
      </w:r>
      <w:r>
        <w:t xml:space="preserve"> </w:t>
      </w:r>
      <w:r w:rsidRPr="0071774C">
        <w:t>Aboriginal</w:t>
      </w:r>
      <w:r>
        <w:t xml:space="preserve"> </w:t>
      </w:r>
      <w:r w:rsidRPr="0071774C">
        <w:t>and</w:t>
      </w:r>
      <w:r>
        <w:t xml:space="preserve"> </w:t>
      </w:r>
      <w:r w:rsidRPr="0071774C">
        <w:t>Torres</w:t>
      </w:r>
      <w:r>
        <w:t xml:space="preserve"> </w:t>
      </w:r>
      <w:r w:rsidRPr="0071774C">
        <w:t>Strait</w:t>
      </w:r>
      <w:r>
        <w:t xml:space="preserve"> </w:t>
      </w:r>
      <w:r w:rsidRPr="0071774C">
        <w:t>Islander</w:t>
      </w:r>
      <w:r>
        <w:t xml:space="preserve"> </w:t>
      </w:r>
      <w:r w:rsidRPr="0071774C">
        <w:t>women</w:t>
      </w:r>
      <w:r>
        <w:t xml:space="preserve"> </w:t>
      </w:r>
      <w:r w:rsidRPr="0071774C">
        <w:t>in</w:t>
      </w:r>
      <w:r>
        <w:t xml:space="preserve"> </w:t>
      </w:r>
      <w:r w:rsidRPr="0071774C">
        <w:t>their</w:t>
      </w:r>
      <w:r>
        <w:t xml:space="preserve"> </w:t>
      </w:r>
      <w:r w:rsidRPr="0071774C">
        <w:t>communities,</w:t>
      </w:r>
      <w:r>
        <w:t xml:space="preserve"> </w:t>
      </w:r>
      <w:r w:rsidRPr="0071774C">
        <w:t>both</w:t>
      </w:r>
      <w:r>
        <w:t xml:space="preserve"> </w:t>
      </w:r>
      <w:r w:rsidRPr="0071774C">
        <w:t>now</w:t>
      </w:r>
      <w:r>
        <w:t xml:space="preserve"> </w:t>
      </w:r>
      <w:r w:rsidRPr="0071774C">
        <w:t>and</w:t>
      </w:r>
      <w:r>
        <w:t xml:space="preserve"> </w:t>
      </w:r>
      <w:r w:rsidRPr="0071774C">
        <w:t>in</w:t>
      </w:r>
      <w:r>
        <w:t xml:space="preserve"> </w:t>
      </w:r>
      <w:r w:rsidRPr="0071774C">
        <w:t>the</w:t>
      </w:r>
      <w:r>
        <w:t xml:space="preserve"> </w:t>
      </w:r>
      <w:r w:rsidRPr="0071774C">
        <w:t>past,</w:t>
      </w:r>
      <w:r>
        <w:t xml:space="preserve"> </w:t>
      </w:r>
      <w:r w:rsidRPr="0071774C">
        <w:t>and</w:t>
      </w:r>
      <w:r>
        <w:t xml:space="preserve"> </w:t>
      </w:r>
      <w:r w:rsidRPr="0071774C">
        <w:t>highlight</w:t>
      </w:r>
      <w:r>
        <w:t xml:space="preserve"> </w:t>
      </w:r>
      <w:r w:rsidRPr="0071774C">
        <w:t>the</w:t>
      </w:r>
      <w:r>
        <w:t xml:space="preserve"> </w:t>
      </w:r>
      <w:r w:rsidRPr="0071774C">
        <w:t>significant</w:t>
      </w:r>
      <w:r>
        <w:t xml:space="preserve"> </w:t>
      </w:r>
      <w:r w:rsidRPr="0071774C">
        <w:t>roles</w:t>
      </w:r>
      <w:r>
        <w:t xml:space="preserve"> </w:t>
      </w:r>
      <w:r w:rsidRPr="0071774C">
        <w:t>that</w:t>
      </w:r>
      <w:r>
        <w:t xml:space="preserve"> </w:t>
      </w:r>
      <w:r w:rsidRPr="0071774C">
        <w:t>Aboriginal</w:t>
      </w:r>
      <w:r>
        <w:t xml:space="preserve"> </w:t>
      </w:r>
      <w:r w:rsidRPr="0071774C">
        <w:t>and</w:t>
      </w:r>
      <w:r>
        <w:t xml:space="preserve"> </w:t>
      </w:r>
      <w:r w:rsidRPr="0071774C">
        <w:t>Torres</w:t>
      </w:r>
      <w:r>
        <w:t xml:space="preserve"> </w:t>
      </w:r>
      <w:r w:rsidRPr="0071774C">
        <w:t>Strait</w:t>
      </w:r>
      <w:r>
        <w:t xml:space="preserve"> </w:t>
      </w:r>
      <w:r w:rsidRPr="0071774C">
        <w:t>Islander</w:t>
      </w:r>
      <w:r>
        <w:t xml:space="preserve"> </w:t>
      </w:r>
      <w:r w:rsidRPr="0071774C">
        <w:t>women</w:t>
      </w:r>
      <w:r>
        <w:t xml:space="preserve"> </w:t>
      </w:r>
      <w:r w:rsidRPr="0071774C">
        <w:t>have</w:t>
      </w:r>
      <w:r>
        <w:t xml:space="preserve"> </w:t>
      </w:r>
      <w:r w:rsidRPr="0071774C">
        <w:t>played</w:t>
      </w:r>
      <w:r>
        <w:t xml:space="preserve"> </w:t>
      </w:r>
      <w:r w:rsidRPr="0071774C">
        <w:t>at</w:t>
      </w:r>
      <w:r>
        <w:t xml:space="preserve"> </w:t>
      </w:r>
      <w:r w:rsidRPr="0071774C">
        <w:t>the</w:t>
      </w:r>
      <w:r>
        <w:t xml:space="preserve"> </w:t>
      </w:r>
      <w:r w:rsidRPr="0071774C">
        <w:t>community,</w:t>
      </w:r>
      <w:r>
        <w:t xml:space="preserve"> </w:t>
      </w:r>
      <w:r w:rsidRPr="0071774C">
        <w:t>state</w:t>
      </w:r>
      <w:r>
        <w:t xml:space="preserve"> </w:t>
      </w:r>
      <w:r w:rsidRPr="0071774C">
        <w:t>and</w:t>
      </w:r>
      <w:r>
        <w:t xml:space="preserve"> </w:t>
      </w:r>
      <w:r w:rsidRPr="0071774C">
        <w:t>national</w:t>
      </w:r>
      <w:r>
        <w:t xml:space="preserve"> </w:t>
      </w:r>
      <w:r w:rsidRPr="0071774C">
        <w:t>levels.</w:t>
      </w:r>
      <w:r>
        <w:t xml:space="preserve"> </w:t>
      </w:r>
      <w:r w:rsidRPr="0071774C">
        <w:t>And</w:t>
      </w:r>
      <w:r>
        <w:t xml:space="preserve"> </w:t>
      </w:r>
      <w:r w:rsidRPr="0071774C">
        <w:t>the</w:t>
      </w:r>
      <w:r>
        <w:t xml:space="preserve"> </w:t>
      </w:r>
      <w:r w:rsidRPr="0071774C">
        <w:t>Australian</w:t>
      </w:r>
      <w:r>
        <w:t xml:space="preserve"> </w:t>
      </w:r>
      <w:r w:rsidRPr="0071774C">
        <w:t>Human</w:t>
      </w:r>
      <w:r>
        <w:t xml:space="preserve"> </w:t>
      </w:r>
      <w:r w:rsidRPr="0071774C">
        <w:t>Rights</w:t>
      </w:r>
      <w:r>
        <w:t xml:space="preserve"> </w:t>
      </w:r>
      <w:r w:rsidRPr="0071774C">
        <w:t>Commission</w:t>
      </w:r>
      <w:r>
        <w:t xml:space="preserve"> </w:t>
      </w:r>
      <w:r w:rsidRPr="0071774C">
        <w:t>Wiyi</w:t>
      </w:r>
      <w:r>
        <w:t xml:space="preserve"> </w:t>
      </w:r>
      <w:r w:rsidRPr="0071774C">
        <w:t>Yani</w:t>
      </w:r>
      <w:r>
        <w:t xml:space="preserve"> </w:t>
      </w:r>
      <w:r w:rsidRPr="0071774C">
        <w:t>U</w:t>
      </w:r>
      <w:r>
        <w:t xml:space="preserve"> </w:t>
      </w:r>
      <w:r w:rsidRPr="0071774C">
        <w:t>Thangani</w:t>
      </w:r>
      <w:r>
        <w:t xml:space="preserve"> </w:t>
      </w:r>
      <w:r w:rsidRPr="0071774C">
        <w:t>(Women</w:t>
      </w:r>
      <w:r>
        <w:t>’</w:t>
      </w:r>
      <w:r w:rsidRPr="0071774C">
        <w:t>s</w:t>
      </w:r>
      <w:r>
        <w:t xml:space="preserve"> </w:t>
      </w:r>
      <w:r w:rsidRPr="0071774C">
        <w:t>Voices)</w:t>
      </w:r>
      <w:r>
        <w:t xml:space="preserve"> </w:t>
      </w:r>
      <w:r w:rsidRPr="0071774C">
        <w:t>project</w:t>
      </w:r>
      <w:r>
        <w:t xml:space="preserve"> </w:t>
      </w:r>
      <w:r w:rsidRPr="0071774C">
        <w:t>is</w:t>
      </w:r>
      <w:r>
        <w:rPr>
          <w:color w:val="202020"/>
        </w:rPr>
        <w:t xml:space="preserve"> </w:t>
      </w:r>
      <w:r w:rsidRPr="0071774C">
        <w:rPr>
          <w:color w:val="202020"/>
        </w:rPr>
        <w:t>‘engaging</w:t>
      </w:r>
      <w:r>
        <w:rPr>
          <w:color w:val="202020"/>
        </w:rPr>
        <w:t xml:space="preserve"> </w:t>
      </w:r>
      <w:r w:rsidRPr="0071774C">
        <w:rPr>
          <w:color w:val="202020"/>
        </w:rPr>
        <w:t>Aboriginal</w:t>
      </w:r>
      <w:r>
        <w:rPr>
          <w:color w:val="202020"/>
        </w:rPr>
        <w:t xml:space="preserve"> </w:t>
      </w:r>
      <w:r w:rsidRPr="0071774C">
        <w:rPr>
          <w:color w:val="202020"/>
        </w:rPr>
        <w:t>and</w:t>
      </w:r>
      <w:r>
        <w:rPr>
          <w:color w:val="202020"/>
        </w:rPr>
        <w:t xml:space="preserve"> </w:t>
      </w:r>
      <w:r w:rsidRPr="0071774C">
        <w:rPr>
          <w:color w:val="202020"/>
        </w:rPr>
        <w:t>Torres</w:t>
      </w:r>
      <w:r>
        <w:rPr>
          <w:color w:val="202020"/>
        </w:rPr>
        <w:t xml:space="preserve"> </w:t>
      </w:r>
      <w:r w:rsidRPr="0071774C">
        <w:rPr>
          <w:color w:val="202020"/>
        </w:rPr>
        <w:t>Strait</w:t>
      </w:r>
      <w:r>
        <w:rPr>
          <w:color w:val="202020"/>
        </w:rPr>
        <w:t xml:space="preserve"> </w:t>
      </w:r>
      <w:r w:rsidRPr="0071774C">
        <w:rPr>
          <w:color w:val="202020"/>
        </w:rPr>
        <w:t>Islander</w:t>
      </w:r>
      <w:r>
        <w:rPr>
          <w:color w:val="202020"/>
        </w:rPr>
        <w:t xml:space="preserve"> </w:t>
      </w:r>
      <w:r w:rsidRPr="0071774C">
        <w:rPr>
          <w:color w:val="202020"/>
        </w:rPr>
        <w:t>women</w:t>
      </w:r>
      <w:r>
        <w:rPr>
          <w:color w:val="202020"/>
        </w:rPr>
        <w:t xml:space="preserve"> </w:t>
      </w:r>
      <w:r w:rsidRPr="0071774C">
        <w:rPr>
          <w:color w:val="202020"/>
        </w:rPr>
        <w:t>and</w:t>
      </w:r>
      <w:r>
        <w:rPr>
          <w:color w:val="202020"/>
        </w:rPr>
        <w:t xml:space="preserve"> </w:t>
      </w:r>
      <w:r w:rsidRPr="0071774C">
        <w:rPr>
          <w:color w:val="202020"/>
        </w:rPr>
        <w:t>girls</w:t>
      </w:r>
      <w:r>
        <w:rPr>
          <w:color w:val="202020"/>
        </w:rPr>
        <w:t xml:space="preserve"> </w:t>
      </w:r>
      <w:r w:rsidRPr="0071774C">
        <w:rPr>
          <w:color w:val="202020"/>
        </w:rPr>
        <w:t>across</w:t>
      </w:r>
      <w:r>
        <w:rPr>
          <w:color w:val="202020"/>
        </w:rPr>
        <w:t xml:space="preserve"> </w:t>
      </w:r>
      <w:r w:rsidRPr="0071774C">
        <w:rPr>
          <w:color w:val="202020"/>
        </w:rPr>
        <w:t>the</w:t>
      </w:r>
      <w:r>
        <w:rPr>
          <w:color w:val="202020"/>
        </w:rPr>
        <w:t xml:space="preserve"> </w:t>
      </w:r>
      <w:r w:rsidRPr="0071774C">
        <w:rPr>
          <w:color w:val="202020"/>
        </w:rPr>
        <w:t>country</w:t>
      </w:r>
      <w:r>
        <w:rPr>
          <w:color w:val="202020"/>
        </w:rPr>
        <w:t xml:space="preserve"> </w:t>
      </w:r>
      <w:r w:rsidRPr="0071774C">
        <w:rPr>
          <w:color w:val="202020"/>
        </w:rPr>
        <w:t>through</w:t>
      </w:r>
      <w:r>
        <w:rPr>
          <w:color w:val="202020"/>
        </w:rPr>
        <w:t xml:space="preserve"> </w:t>
      </w:r>
      <w:r w:rsidRPr="0071774C">
        <w:rPr>
          <w:color w:val="202020"/>
        </w:rPr>
        <w:t>a</w:t>
      </w:r>
      <w:r>
        <w:rPr>
          <w:color w:val="202020"/>
        </w:rPr>
        <w:t xml:space="preserve"> </w:t>
      </w:r>
      <w:r w:rsidRPr="0071774C">
        <w:rPr>
          <w:color w:val="202020"/>
        </w:rPr>
        <w:t>strength-based</w:t>
      </w:r>
      <w:r>
        <w:rPr>
          <w:color w:val="202020"/>
        </w:rPr>
        <w:t xml:space="preserve"> </w:t>
      </w:r>
      <w:r w:rsidRPr="0071774C">
        <w:rPr>
          <w:color w:val="202020"/>
        </w:rPr>
        <w:t>consultation</w:t>
      </w:r>
      <w:r>
        <w:rPr>
          <w:color w:val="202020"/>
        </w:rPr>
        <w:t xml:space="preserve"> </w:t>
      </w:r>
      <w:r w:rsidRPr="0071774C">
        <w:rPr>
          <w:color w:val="202020"/>
        </w:rPr>
        <w:t>process</w:t>
      </w:r>
      <w:r>
        <w:rPr>
          <w:color w:val="202020"/>
        </w:rPr>
        <w:t xml:space="preserve"> </w:t>
      </w:r>
      <w:r w:rsidRPr="0071774C">
        <w:rPr>
          <w:color w:val="202020"/>
        </w:rPr>
        <w:t>to</w:t>
      </w:r>
      <w:r>
        <w:rPr>
          <w:color w:val="202020"/>
        </w:rPr>
        <w:t xml:space="preserve"> </w:t>
      </w:r>
      <w:r w:rsidRPr="0071774C">
        <w:rPr>
          <w:color w:val="202020"/>
        </w:rPr>
        <w:t>better</w:t>
      </w:r>
      <w:r>
        <w:rPr>
          <w:color w:val="202020"/>
        </w:rPr>
        <w:t xml:space="preserve"> </w:t>
      </w:r>
      <w:r w:rsidRPr="0071774C">
        <w:rPr>
          <w:color w:val="202020"/>
        </w:rPr>
        <w:t>understand</w:t>
      </w:r>
      <w:r>
        <w:rPr>
          <w:color w:val="202020"/>
        </w:rPr>
        <w:t xml:space="preserve"> </w:t>
      </w:r>
      <w:r w:rsidRPr="0071774C">
        <w:rPr>
          <w:color w:val="202020"/>
        </w:rPr>
        <w:t>the</w:t>
      </w:r>
      <w:r>
        <w:rPr>
          <w:color w:val="202020"/>
        </w:rPr>
        <w:t xml:space="preserve"> </w:t>
      </w:r>
      <w:r w:rsidRPr="0071774C">
        <w:rPr>
          <w:color w:val="202020"/>
        </w:rPr>
        <w:t>issues</w:t>
      </w:r>
      <w:r>
        <w:rPr>
          <w:color w:val="202020"/>
        </w:rPr>
        <w:t xml:space="preserve"> </w:t>
      </w:r>
      <w:r w:rsidRPr="0071774C">
        <w:rPr>
          <w:color w:val="202020"/>
        </w:rPr>
        <w:t>that</w:t>
      </w:r>
      <w:r>
        <w:rPr>
          <w:color w:val="202020"/>
        </w:rPr>
        <w:t xml:space="preserve"> </w:t>
      </w:r>
      <w:r w:rsidRPr="0071774C">
        <w:rPr>
          <w:color w:val="202020"/>
        </w:rPr>
        <w:t>have</w:t>
      </w:r>
      <w:r>
        <w:rPr>
          <w:color w:val="202020"/>
        </w:rPr>
        <w:t xml:space="preserve"> </w:t>
      </w:r>
      <w:r w:rsidRPr="0071774C">
        <w:rPr>
          <w:color w:val="202020"/>
        </w:rPr>
        <w:t>the</w:t>
      </w:r>
      <w:r>
        <w:rPr>
          <w:color w:val="202020"/>
        </w:rPr>
        <w:t xml:space="preserve"> </w:t>
      </w:r>
      <w:r w:rsidRPr="0071774C">
        <w:rPr>
          <w:color w:val="202020"/>
        </w:rPr>
        <w:t>potential</w:t>
      </w:r>
      <w:r>
        <w:rPr>
          <w:color w:val="202020"/>
        </w:rPr>
        <w:t xml:space="preserve"> </w:t>
      </w:r>
      <w:r w:rsidRPr="0071774C">
        <w:rPr>
          <w:color w:val="202020"/>
        </w:rPr>
        <w:t>to</w:t>
      </w:r>
      <w:r>
        <w:rPr>
          <w:color w:val="202020"/>
        </w:rPr>
        <w:t xml:space="preserve"> </w:t>
      </w:r>
      <w:r w:rsidRPr="0071774C">
        <w:rPr>
          <w:color w:val="202020"/>
        </w:rPr>
        <w:t>effect</w:t>
      </w:r>
      <w:r>
        <w:rPr>
          <w:color w:val="202020"/>
        </w:rPr>
        <w:t xml:space="preserve"> </w:t>
      </w:r>
      <w:r w:rsidRPr="0071774C">
        <w:rPr>
          <w:color w:val="202020"/>
        </w:rPr>
        <w:t>positive</w:t>
      </w:r>
      <w:r>
        <w:rPr>
          <w:color w:val="202020"/>
        </w:rPr>
        <w:t xml:space="preserve"> </w:t>
      </w:r>
      <w:r w:rsidRPr="0071774C">
        <w:rPr>
          <w:color w:val="202020"/>
        </w:rPr>
        <w:t>change</w:t>
      </w:r>
      <w:r>
        <w:rPr>
          <w:color w:val="202020"/>
        </w:rPr>
        <w:t xml:space="preserve"> </w:t>
      </w:r>
      <w:r w:rsidRPr="0071774C">
        <w:rPr>
          <w:color w:val="202020"/>
        </w:rPr>
        <w:t>in</w:t>
      </w:r>
      <w:r>
        <w:rPr>
          <w:color w:val="202020"/>
        </w:rPr>
        <w:t xml:space="preserve"> </w:t>
      </w:r>
      <w:r w:rsidRPr="0071774C">
        <w:rPr>
          <w:color w:val="202020"/>
        </w:rPr>
        <w:t>their</w:t>
      </w:r>
      <w:r>
        <w:rPr>
          <w:color w:val="202020"/>
        </w:rPr>
        <w:t xml:space="preserve"> </w:t>
      </w:r>
      <w:r w:rsidRPr="0071774C">
        <w:rPr>
          <w:color w:val="202020"/>
        </w:rPr>
        <w:t>personal</w:t>
      </w:r>
      <w:r>
        <w:rPr>
          <w:color w:val="202020"/>
        </w:rPr>
        <w:t xml:space="preserve"> </w:t>
      </w:r>
      <w:r w:rsidRPr="0071774C">
        <w:rPr>
          <w:color w:val="202020"/>
        </w:rPr>
        <w:t>security,</w:t>
      </w:r>
      <w:r>
        <w:rPr>
          <w:color w:val="202020"/>
        </w:rPr>
        <w:t xml:space="preserve"> </w:t>
      </w:r>
      <w:r w:rsidRPr="0071774C">
        <w:rPr>
          <w:color w:val="202020"/>
        </w:rPr>
        <w:t>socioeconomic</w:t>
      </w:r>
      <w:r>
        <w:rPr>
          <w:color w:val="202020"/>
        </w:rPr>
        <w:t xml:space="preserve"> </w:t>
      </w:r>
      <w:r w:rsidRPr="0071774C">
        <w:rPr>
          <w:color w:val="202020"/>
        </w:rPr>
        <w:t>security</w:t>
      </w:r>
      <w:r>
        <w:rPr>
          <w:color w:val="202020"/>
        </w:rPr>
        <w:t xml:space="preserve"> </w:t>
      </w:r>
      <w:r w:rsidRPr="0071774C">
        <w:rPr>
          <w:color w:val="202020"/>
        </w:rPr>
        <w:t>and</w:t>
      </w:r>
      <w:r>
        <w:rPr>
          <w:color w:val="202020"/>
        </w:rPr>
        <w:t xml:space="preserve"> </w:t>
      </w:r>
      <w:r w:rsidRPr="0071774C">
        <w:rPr>
          <w:color w:val="202020"/>
        </w:rPr>
        <w:t>cultural</w:t>
      </w:r>
      <w:r>
        <w:rPr>
          <w:color w:val="202020"/>
        </w:rPr>
        <w:t xml:space="preserve"> </w:t>
      </w:r>
      <w:r w:rsidRPr="0071774C">
        <w:rPr>
          <w:color w:val="202020"/>
        </w:rPr>
        <w:t>security</w:t>
      </w:r>
      <w:r>
        <w:rPr>
          <w:color w:val="202020"/>
        </w:rPr>
        <w:t>’.</w:t>
      </w:r>
      <w:r w:rsidRPr="0071774C">
        <w:rPr>
          <w:rStyle w:val="EndnoteReference"/>
          <w:color w:val="202020"/>
          <w:szCs w:val="22"/>
        </w:rPr>
        <w:endnoteReference w:id="94"/>
      </w:r>
      <w:r>
        <w:t xml:space="preserve"> </w:t>
      </w:r>
      <w:r w:rsidRPr="0071774C">
        <w:t>Such</w:t>
      </w:r>
      <w:r>
        <w:t xml:space="preserve"> </w:t>
      </w:r>
      <w:r w:rsidRPr="0071774C">
        <w:t>an</w:t>
      </w:r>
      <w:r>
        <w:t xml:space="preserve"> </w:t>
      </w:r>
      <w:r w:rsidRPr="0071774C">
        <w:t>approach</w:t>
      </w:r>
      <w:r>
        <w:t xml:space="preserve"> </w:t>
      </w:r>
      <w:r w:rsidRPr="0071774C">
        <w:t>is</w:t>
      </w:r>
      <w:r>
        <w:t xml:space="preserve"> </w:t>
      </w:r>
      <w:r w:rsidRPr="0071774C">
        <w:t>not</w:t>
      </w:r>
      <w:r>
        <w:t xml:space="preserve"> </w:t>
      </w:r>
      <w:r w:rsidRPr="0071774C">
        <w:t>wholly</w:t>
      </w:r>
      <w:r>
        <w:t xml:space="preserve"> </w:t>
      </w:r>
      <w:r w:rsidRPr="0071774C">
        <w:t>supported</w:t>
      </w:r>
      <w:r>
        <w:t xml:space="preserve"> </w:t>
      </w:r>
      <w:r w:rsidRPr="0071774C">
        <w:t>in</w:t>
      </w:r>
      <w:r>
        <w:t xml:space="preserve"> </w:t>
      </w:r>
      <w:r w:rsidRPr="0071774C">
        <w:t>most</w:t>
      </w:r>
      <w:r>
        <w:t xml:space="preserve"> </w:t>
      </w:r>
      <w:r w:rsidRPr="0071774C">
        <w:t>national</w:t>
      </w:r>
      <w:r>
        <w:t xml:space="preserve"> </w:t>
      </w:r>
      <w:r w:rsidRPr="0071774C">
        <w:t>and</w:t>
      </w:r>
      <w:r>
        <w:t xml:space="preserve"> </w:t>
      </w:r>
      <w:r w:rsidRPr="0071774C">
        <w:t>state/territory</w:t>
      </w:r>
      <w:r>
        <w:t xml:space="preserve"> </w:t>
      </w:r>
      <w:r w:rsidRPr="0071774C">
        <w:t>strategies</w:t>
      </w:r>
      <w:r>
        <w:t xml:space="preserve"> </w:t>
      </w:r>
      <w:r w:rsidRPr="0071774C">
        <w:t>and</w:t>
      </w:r>
      <w:r w:rsidR="00C11BA2">
        <w:t> </w:t>
      </w:r>
      <w:r w:rsidRPr="0071774C">
        <w:t>plans,</w:t>
      </w:r>
      <w:r>
        <w:t xml:space="preserve"> </w:t>
      </w:r>
      <w:r w:rsidRPr="0071774C">
        <w:t>which</w:t>
      </w:r>
      <w:r>
        <w:t xml:space="preserve"> </w:t>
      </w:r>
      <w:r w:rsidRPr="0071774C">
        <w:t>make</w:t>
      </w:r>
      <w:r>
        <w:t xml:space="preserve"> </w:t>
      </w:r>
      <w:r w:rsidRPr="0071774C">
        <w:t>some</w:t>
      </w:r>
      <w:r>
        <w:t xml:space="preserve"> </w:t>
      </w:r>
      <w:r w:rsidRPr="0071774C">
        <w:t>reference</w:t>
      </w:r>
      <w:r>
        <w:t xml:space="preserve"> </w:t>
      </w:r>
      <w:r w:rsidRPr="0071774C">
        <w:t>to</w:t>
      </w:r>
      <w:r>
        <w:t xml:space="preserve"> </w:t>
      </w:r>
      <w:r w:rsidRPr="0071774C">
        <w:t>Aboriginal</w:t>
      </w:r>
      <w:r>
        <w:t xml:space="preserve"> </w:t>
      </w:r>
      <w:r w:rsidRPr="0071774C">
        <w:t>and</w:t>
      </w:r>
      <w:r>
        <w:t xml:space="preserve"> </w:t>
      </w:r>
      <w:r w:rsidRPr="0071774C">
        <w:t>Torres</w:t>
      </w:r>
      <w:r>
        <w:t xml:space="preserve"> </w:t>
      </w:r>
      <w:r w:rsidRPr="0071774C">
        <w:t>Strait</w:t>
      </w:r>
      <w:r>
        <w:t xml:space="preserve"> </w:t>
      </w:r>
      <w:r w:rsidRPr="0071774C">
        <w:t>Islander</w:t>
      </w:r>
      <w:r>
        <w:t xml:space="preserve"> </w:t>
      </w:r>
      <w:r w:rsidRPr="0071774C">
        <w:t>women,</w:t>
      </w:r>
      <w:r>
        <w:t xml:space="preserve"> </w:t>
      </w:r>
      <w:r w:rsidRPr="0071774C">
        <w:t>but</w:t>
      </w:r>
      <w:r>
        <w:t xml:space="preserve"> </w:t>
      </w:r>
      <w:r w:rsidRPr="0071774C">
        <w:t>mostly</w:t>
      </w:r>
      <w:r>
        <w:t xml:space="preserve"> </w:t>
      </w:r>
      <w:r w:rsidRPr="0071774C">
        <w:t>do</w:t>
      </w:r>
      <w:r>
        <w:t xml:space="preserve"> </w:t>
      </w:r>
      <w:r w:rsidRPr="0071774C">
        <w:t>not</w:t>
      </w:r>
      <w:r>
        <w:t xml:space="preserve"> </w:t>
      </w:r>
      <w:r w:rsidRPr="0071774C">
        <w:t>articulate</w:t>
      </w:r>
      <w:r>
        <w:t xml:space="preserve"> </w:t>
      </w:r>
      <w:r w:rsidRPr="0071774C">
        <w:t>mechanisms</w:t>
      </w:r>
      <w:r>
        <w:t xml:space="preserve"> </w:t>
      </w:r>
      <w:r w:rsidRPr="0071774C">
        <w:t>or</w:t>
      </w:r>
      <w:r>
        <w:t xml:space="preserve"> </w:t>
      </w:r>
      <w:r w:rsidRPr="0071774C">
        <w:t>processes</w:t>
      </w:r>
      <w:r>
        <w:t xml:space="preserve"> </w:t>
      </w:r>
      <w:r w:rsidRPr="0071774C">
        <w:t>for</w:t>
      </w:r>
      <w:r>
        <w:t xml:space="preserve"> </w:t>
      </w:r>
      <w:r w:rsidRPr="0071774C">
        <w:t>integrating</w:t>
      </w:r>
      <w:r>
        <w:t xml:space="preserve"> </w:t>
      </w:r>
      <w:r w:rsidRPr="0071774C">
        <w:t>Aboriginal</w:t>
      </w:r>
      <w:r>
        <w:t xml:space="preserve"> </w:t>
      </w:r>
      <w:r w:rsidRPr="0071774C">
        <w:t>and</w:t>
      </w:r>
      <w:r>
        <w:t xml:space="preserve"> </w:t>
      </w:r>
      <w:r w:rsidRPr="0071774C">
        <w:t>Torres</w:t>
      </w:r>
      <w:r>
        <w:t xml:space="preserve"> </w:t>
      </w:r>
      <w:r w:rsidRPr="0071774C">
        <w:t>Strait</w:t>
      </w:r>
      <w:r>
        <w:t xml:space="preserve"> </w:t>
      </w:r>
      <w:r w:rsidRPr="0071774C">
        <w:t>Islander</w:t>
      </w:r>
      <w:r>
        <w:t xml:space="preserve"> </w:t>
      </w:r>
      <w:r w:rsidRPr="0071774C">
        <w:t>Women’s</w:t>
      </w:r>
      <w:r>
        <w:t xml:space="preserve"> </w:t>
      </w:r>
      <w:r w:rsidRPr="0071774C">
        <w:t>leadership,</w:t>
      </w:r>
      <w:r>
        <w:t xml:space="preserve"> </w:t>
      </w:r>
      <w:r w:rsidRPr="0071774C">
        <w:t>perspectives</w:t>
      </w:r>
      <w:r>
        <w:t xml:space="preserve"> </w:t>
      </w:r>
      <w:r w:rsidRPr="0071774C">
        <w:t>and</w:t>
      </w:r>
      <w:r>
        <w:t xml:space="preserve"> </w:t>
      </w:r>
      <w:r w:rsidRPr="0071774C">
        <w:t>voices</w:t>
      </w:r>
      <w:r>
        <w:t xml:space="preserve"> </w:t>
      </w:r>
      <w:r w:rsidRPr="0071774C">
        <w:t>in</w:t>
      </w:r>
      <w:r>
        <w:t xml:space="preserve"> </w:t>
      </w:r>
      <w:r w:rsidRPr="0071774C">
        <w:t>the</w:t>
      </w:r>
      <w:r>
        <w:t xml:space="preserve"> </w:t>
      </w:r>
      <w:r w:rsidRPr="0071774C">
        <w:t>development</w:t>
      </w:r>
      <w:r>
        <w:t xml:space="preserve"> </w:t>
      </w:r>
      <w:r w:rsidRPr="0071774C">
        <w:t>of</w:t>
      </w:r>
      <w:r>
        <w:t xml:space="preserve"> </w:t>
      </w:r>
      <w:r w:rsidRPr="0071774C">
        <w:t>prevention</w:t>
      </w:r>
      <w:r>
        <w:t xml:space="preserve"> </w:t>
      </w:r>
      <w:r w:rsidRPr="0071774C">
        <w:t>activity.</w:t>
      </w:r>
      <w:r>
        <w:t xml:space="preserve"> </w:t>
      </w:r>
      <w:r w:rsidRPr="0071774C">
        <w:t>Continued</w:t>
      </w:r>
      <w:r>
        <w:t xml:space="preserve"> </w:t>
      </w:r>
      <w:r w:rsidRPr="0071774C">
        <w:t>investment</w:t>
      </w:r>
      <w:r>
        <w:t xml:space="preserve"> </w:t>
      </w:r>
      <w:r w:rsidRPr="0071774C">
        <w:t>in</w:t>
      </w:r>
      <w:r>
        <w:t xml:space="preserve"> </w:t>
      </w:r>
      <w:r w:rsidRPr="0071774C">
        <w:t>community-controlled</w:t>
      </w:r>
      <w:r>
        <w:t xml:space="preserve"> </w:t>
      </w:r>
      <w:r w:rsidRPr="0071774C">
        <w:t>programs</w:t>
      </w:r>
      <w:r w:rsidR="00225E34">
        <w:t xml:space="preserve"> a</w:t>
      </w:r>
      <w:r w:rsidR="001B4B30">
        <w:t>nd self-determined organisations</w:t>
      </w:r>
      <w:r w:rsidR="00DE6D1F">
        <w:t>,</w:t>
      </w:r>
      <w:r w:rsidR="001B4B30">
        <w:t xml:space="preserve"> structures and processes are</w:t>
      </w:r>
      <w:r>
        <w:t xml:space="preserve"> </w:t>
      </w:r>
      <w:r w:rsidRPr="0071774C">
        <w:t>required</w:t>
      </w:r>
      <w:r>
        <w:t xml:space="preserve"> </w:t>
      </w:r>
      <w:r w:rsidRPr="0071774C">
        <w:t>to</w:t>
      </w:r>
      <w:r>
        <w:t xml:space="preserve"> </w:t>
      </w:r>
      <w:r w:rsidRPr="0071774C">
        <w:t>ensure</w:t>
      </w:r>
      <w:r>
        <w:t xml:space="preserve"> </w:t>
      </w:r>
      <w:r w:rsidRPr="0071774C">
        <w:t>this</w:t>
      </w:r>
      <w:r>
        <w:t xml:space="preserve"> </w:t>
      </w:r>
      <w:r w:rsidRPr="0071774C">
        <w:t>action</w:t>
      </w:r>
      <w:r>
        <w:t xml:space="preserve"> </w:t>
      </w:r>
      <w:r w:rsidRPr="0071774C">
        <w:t>is</w:t>
      </w:r>
      <w:r>
        <w:t xml:space="preserve"> </w:t>
      </w:r>
      <w:r w:rsidRPr="0071774C">
        <w:t>fully</w:t>
      </w:r>
      <w:r>
        <w:t xml:space="preserve"> </w:t>
      </w:r>
      <w:r w:rsidRPr="0071774C">
        <w:t>realised.</w:t>
      </w:r>
    </w:p>
    <w:p w14:paraId="0FB67943" w14:textId="29952C87" w:rsidR="002C2EC7" w:rsidRDefault="002C2EC7" w:rsidP="00790783">
      <w:pPr>
        <w:pStyle w:val="BodyText"/>
      </w:pPr>
      <w:r w:rsidRPr="0071774C">
        <w:t>While</w:t>
      </w:r>
      <w:r>
        <w:t xml:space="preserve"> </w:t>
      </w:r>
      <w:r w:rsidRPr="0071774C">
        <w:t>there</w:t>
      </w:r>
      <w:r>
        <w:t xml:space="preserve"> </w:t>
      </w:r>
      <w:r w:rsidRPr="0071774C">
        <w:t>are</w:t>
      </w:r>
      <w:r>
        <w:t xml:space="preserve"> </w:t>
      </w:r>
      <w:r w:rsidRPr="0071774C">
        <w:t>some</w:t>
      </w:r>
      <w:r>
        <w:t xml:space="preserve"> </w:t>
      </w:r>
      <w:r w:rsidRPr="0071774C">
        <w:t>examples</w:t>
      </w:r>
      <w:r>
        <w:t xml:space="preserve"> </w:t>
      </w:r>
      <w:r w:rsidRPr="0071774C">
        <w:t>of</w:t>
      </w:r>
      <w:r>
        <w:t xml:space="preserve"> </w:t>
      </w:r>
      <w:r w:rsidRPr="0071774C">
        <w:t>progress</w:t>
      </w:r>
      <w:r>
        <w:t xml:space="preserve"> </w:t>
      </w:r>
      <w:r w:rsidRPr="0071774C">
        <w:t>against</w:t>
      </w:r>
      <w:r>
        <w:t xml:space="preserve"> </w:t>
      </w:r>
      <w:r w:rsidRPr="0071774C">
        <w:t>this</w:t>
      </w:r>
      <w:r>
        <w:t xml:space="preserve"> </w:t>
      </w:r>
      <w:r w:rsidRPr="0071774C">
        <w:t>indicator,</w:t>
      </w:r>
      <w:r>
        <w:t xml:space="preserve"> </w:t>
      </w:r>
      <w:r w:rsidRPr="0071774C">
        <w:t>there</w:t>
      </w:r>
      <w:r>
        <w:t xml:space="preserve"> </w:t>
      </w:r>
      <w:r w:rsidRPr="0071774C">
        <w:t>are</w:t>
      </w:r>
      <w:r>
        <w:t xml:space="preserve"> </w:t>
      </w:r>
      <w:r w:rsidRPr="0071774C">
        <w:t>also</w:t>
      </w:r>
      <w:r>
        <w:t xml:space="preserve"> </w:t>
      </w:r>
      <w:r w:rsidRPr="0071774C">
        <w:t>developments</w:t>
      </w:r>
      <w:r>
        <w:t xml:space="preserve"> </w:t>
      </w:r>
      <w:r w:rsidRPr="0071774C">
        <w:t>that</w:t>
      </w:r>
      <w:r>
        <w:t xml:space="preserve"> </w:t>
      </w:r>
      <w:r w:rsidRPr="0071774C">
        <w:t>may</w:t>
      </w:r>
      <w:r>
        <w:t xml:space="preserve"> </w:t>
      </w:r>
      <w:r w:rsidRPr="0071774C">
        <w:t>undermine</w:t>
      </w:r>
      <w:r>
        <w:t xml:space="preserve"> </w:t>
      </w:r>
      <w:r w:rsidRPr="0071774C">
        <w:t>or</w:t>
      </w:r>
      <w:r>
        <w:t xml:space="preserve"> </w:t>
      </w:r>
      <w:r w:rsidRPr="0071774C">
        <w:t>hinder</w:t>
      </w:r>
      <w:r>
        <w:t xml:space="preserve"> </w:t>
      </w:r>
      <w:r w:rsidRPr="0071774C">
        <w:t>progress.</w:t>
      </w:r>
      <w:r>
        <w:t xml:space="preserve"> </w:t>
      </w:r>
      <w:r w:rsidRPr="0071774C">
        <w:t>For</w:t>
      </w:r>
      <w:r>
        <w:t xml:space="preserve"> </w:t>
      </w:r>
      <w:r w:rsidRPr="0071774C">
        <w:t>example,</w:t>
      </w:r>
      <w:r>
        <w:t xml:space="preserve"> </w:t>
      </w:r>
      <w:r w:rsidRPr="0071774C">
        <w:t>in</w:t>
      </w:r>
      <w:r>
        <w:t xml:space="preserve"> </w:t>
      </w:r>
      <w:r w:rsidRPr="0071774C">
        <w:t>2019</w:t>
      </w:r>
      <w:r>
        <w:t xml:space="preserve"> </w:t>
      </w:r>
      <w:r w:rsidRPr="0071774C">
        <w:t>the</w:t>
      </w:r>
      <w:r>
        <w:t xml:space="preserve"> </w:t>
      </w:r>
      <w:r w:rsidR="6B0F462E">
        <w:t xml:space="preserve">Australian </w:t>
      </w:r>
      <w:r w:rsidR="21A49E78">
        <w:t>G</w:t>
      </w:r>
      <w:r w:rsidR="2AC7C71E" w:rsidRPr="0071774C">
        <w:t>overnment</w:t>
      </w:r>
      <w:r>
        <w:t xml:space="preserve"> </w:t>
      </w:r>
      <w:r w:rsidRPr="0071774C">
        <w:t>announced</w:t>
      </w:r>
      <w:r>
        <w:t xml:space="preserve"> </w:t>
      </w:r>
      <w:r w:rsidRPr="0071774C">
        <w:t>that</w:t>
      </w:r>
      <w:r>
        <w:t xml:space="preserve"> </w:t>
      </w:r>
      <w:r w:rsidRPr="0071774C">
        <w:t>funding</w:t>
      </w:r>
      <w:r>
        <w:t xml:space="preserve"> </w:t>
      </w:r>
      <w:r w:rsidRPr="0071774C">
        <w:t>to</w:t>
      </w:r>
      <w:r>
        <w:t xml:space="preserve"> </w:t>
      </w:r>
      <w:r w:rsidRPr="0071774C">
        <w:t>the</w:t>
      </w:r>
      <w:r>
        <w:t xml:space="preserve"> </w:t>
      </w:r>
      <w:r w:rsidRPr="0071774C">
        <w:t>National</w:t>
      </w:r>
      <w:r>
        <w:t xml:space="preserve"> </w:t>
      </w:r>
      <w:r w:rsidRPr="0071774C">
        <w:t>Family</w:t>
      </w:r>
      <w:r>
        <w:t xml:space="preserve"> </w:t>
      </w:r>
      <w:r w:rsidRPr="0071774C">
        <w:t>Violence</w:t>
      </w:r>
      <w:r>
        <w:t xml:space="preserve"> </w:t>
      </w:r>
      <w:r w:rsidRPr="0071774C">
        <w:t>Prevention</w:t>
      </w:r>
      <w:r>
        <w:t xml:space="preserve"> </w:t>
      </w:r>
      <w:r w:rsidRPr="0071774C">
        <w:t>Legal</w:t>
      </w:r>
      <w:r>
        <w:t xml:space="preserve"> </w:t>
      </w:r>
      <w:r w:rsidRPr="0071774C">
        <w:t>Service</w:t>
      </w:r>
      <w:r>
        <w:t xml:space="preserve"> </w:t>
      </w:r>
      <w:r w:rsidRPr="0071774C">
        <w:t>Forum</w:t>
      </w:r>
      <w:r w:rsidR="001B4B30">
        <w:t xml:space="preserve"> (the only national peak body for Aboriginal and Torres Strait Islander victim</w:t>
      </w:r>
      <w:r w:rsidR="5D93185D">
        <w:t>–</w:t>
      </w:r>
      <w:r w:rsidR="001B4B30">
        <w:t>survivors of family violence and sexual assault)</w:t>
      </w:r>
      <w:r>
        <w:t xml:space="preserve"> </w:t>
      </w:r>
      <w:r w:rsidRPr="0071774C">
        <w:t>would</w:t>
      </w:r>
      <w:r>
        <w:t xml:space="preserve"> </w:t>
      </w:r>
      <w:r w:rsidRPr="0071774C">
        <w:t>be</w:t>
      </w:r>
      <w:r>
        <w:t xml:space="preserve"> </w:t>
      </w:r>
      <w:r w:rsidRPr="0071774C">
        <w:t>discontinued</w:t>
      </w:r>
      <w:r>
        <w:t xml:space="preserve"> </w:t>
      </w:r>
      <w:r w:rsidRPr="0071774C">
        <w:t>from</w:t>
      </w:r>
      <w:r>
        <w:t xml:space="preserve"> </w:t>
      </w:r>
      <w:r w:rsidRPr="0071774C">
        <w:t>mid</w:t>
      </w:r>
      <w:r w:rsidR="49665907" w:rsidRPr="0071774C">
        <w:t>-</w:t>
      </w:r>
      <w:r w:rsidRPr="0071774C">
        <w:t>2020</w:t>
      </w:r>
      <w:r>
        <w:t>.</w:t>
      </w:r>
      <w:r w:rsidRPr="24ED14A9">
        <w:rPr>
          <w:rStyle w:val="EndnoteReference"/>
        </w:rPr>
        <w:endnoteReference w:id="95"/>
      </w:r>
      <w:r>
        <w:t xml:space="preserve"> </w:t>
      </w:r>
      <w:r w:rsidR="009060BE">
        <w:t xml:space="preserve">A six month extension has now been </w:t>
      </w:r>
      <w:r w:rsidR="00732E1A">
        <w:t>granted</w:t>
      </w:r>
      <w:r w:rsidR="009060BE">
        <w:t xml:space="preserve">, however an ‘adequately funded National body for Aboriginal and Torres Strait Islander people at risk or experiencing </w:t>
      </w:r>
      <w:r w:rsidR="00732E1A">
        <w:t>family violence</w:t>
      </w:r>
      <w:r w:rsidR="00595961">
        <w:t>’</w:t>
      </w:r>
      <w:r w:rsidR="00732E1A">
        <w:t xml:space="preserve"> remains critical.</w:t>
      </w:r>
    </w:p>
    <w:p w14:paraId="2886BD0C" w14:textId="77777777" w:rsidR="002C2EC7" w:rsidRPr="00FB7F22" w:rsidRDefault="002C2EC7" w:rsidP="00790783">
      <w:pPr>
        <w:pStyle w:val="Heading3"/>
        <w:rPr>
          <w:rStyle w:val="OWCharacterCharcoal"/>
        </w:rPr>
      </w:pPr>
      <w:bookmarkStart w:id="52" w:name="_Toc41559731"/>
      <w:bookmarkStart w:id="53" w:name="_Toc55053307"/>
      <w:r w:rsidRPr="00FB7F22">
        <w:rPr>
          <w:rStyle w:val="OWCharacterCharcoal"/>
        </w:rPr>
        <w:lastRenderedPageBreak/>
        <w:t>Domain 4: Mechanisms for coordination, collaboration and quality assurance</w:t>
      </w:r>
      <w:bookmarkEnd w:id="52"/>
      <w:bookmarkEnd w:id="53"/>
    </w:p>
    <w:p w14:paraId="540F31FA" w14:textId="330392F4" w:rsidR="002C2EC7" w:rsidRDefault="002C2EC7" w:rsidP="00790783">
      <w:pPr>
        <w:pStyle w:val="BodyText"/>
      </w:pPr>
      <w:r w:rsidRPr="0071774C">
        <w:t>Preventing</w:t>
      </w:r>
      <w:r>
        <w:t xml:space="preserve"> </w:t>
      </w:r>
      <w:r w:rsidRPr="0071774C">
        <w:t>violence</w:t>
      </w:r>
      <w:r>
        <w:t xml:space="preserve"> </w:t>
      </w:r>
      <w:r w:rsidRPr="0071774C">
        <w:t>against</w:t>
      </w:r>
      <w:r>
        <w:t xml:space="preserve"> </w:t>
      </w:r>
      <w:r w:rsidRPr="0071774C">
        <w:t>women</w:t>
      </w:r>
      <w:r>
        <w:t xml:space="preserve"> </w:t>
      </w:r>
      <w:r w:rsidRPr="0071774C">
        <w:t>requires</w:t>
      </w:r>
      <w:r>
        <w:t xml:space="preserve"> </w:t>
      </w:r>
      <w:r w:rsidRPr="0071774C">
        <w:t>coordination</w:t>
      </w:r>
      <w:r>
        <w:t xml:space="preserve"> </w:t>
      </w:r>
      <w:r w:rsidRPr="0071774C">
        <w:t>of</w:t>
      </w:r>
      <w:r>
        <w:t xml:space="preserve"> </w:t>
      </w:r>
      <w:r w:rsidRPr="0071774C">
        <w:t>actions</w:t>
      </w:r>
      <w:r>
        <w:t xml:space="preserve"> </w:t>
      </w:r>
      <w:r w:rsidRPr="0071774C">
        <w:t>and</w:t>
      </w:r>
      <w:r>
        <w:t xml:space="preserve"> </w:t>
      </w:r>
      <w:r w:rsidRPr="0071774C">
        <w:t>approaches</w:t>
      </w:r>
      <w:r>
        <w:t xml:space="preserve"> </w:t>
      </w:r>
      <w:r w:rsidRPr="0071774C">
        <w:t>across</w:t>
      </w:r>
      <w:r w:rsidR="001670E3">
        <w:t> </w:t>
      </w:r>
      <w:r w:rsidRPr="0071774C">
        <w:t>all</w:t>
      </w:r>
      <w:r>
        <w:t xml:space="preserve"> </w:t>
      </w:r>
      <w:r w:rsidRPr="0071774C">
        <w:t>prevention</w:t>
      </w:r>
      <w:r>
        <w:t xml:space="preserve"> </w:t>
      </w:r>
      <w:r w:rsidRPr="0071774C">
        <w:t>activity</w:t>
      </w:r>
      <w:r>
        <w:t xml:space="preserve"> </w:t>
      </w:r>
      <w:r w:rsidRPr="0071774C">
        <w:t>to</w:t>
      </w:r>
      <w:r>
        <w:t xml:space="preserve"> </w:t>
      </w:r>
      <w:r w:rsidRPr="0071774C">
        <w:t>support</w:t>
      </w:r>
      <w:r>
        <w:t xml:space="preserve"> </w:t>
      </w:r>
      <w:r w:rsidRPr="0071774C">
        <w:t>an</w:t>
      </w:r>
      <w:r>
        <w:t xml:space="preserve"> </w:t>
      </w:r>
      <w:r w:rsidRPr="0071774C">
        <w:t>effective</w:t>
      </w:r>
      <w:r>
        <w:t xml:space="preserve"> </w:t>
      </w:r>
      <w:r w:rsidRPr="0071774C">
        <w:t>and</w:t>
      </w:r>
      <w:r>
        <w:t xml:space="preserve"> </w:t>
      </w:r>
      <w:r w:rsidRPr="0071774C">
        <w:t>mutually</w:t>
      </w:r>
      <w:r>
        <w:t xml:space="preserve"> </w:t>
      </w:r>
      <w:r w:rsidRPr="0071774C">
        <w:t>reinforcing</w:t>
      </w:r>
      <w:r>
        <w:t xml:space="preserve"> </w:t>
      </w:r>
      <w:r w:rsidRPr="0071774C">
        <w:t>approach</w:t>
      </w:r>
      <w:r>
        <w:t xml:space="preserve"> </w:t>
      </w:r>
      <w:r w:rsidRPr="0071774C">
        <w:t>across</w:t>
      </w:r>
      <w:r>
        <w:t xml:space="preserve"> </w:t>
      </w:r>
      <w:r w:rsidRPr="0071774C">
        <w:t>Australia</w:t>
      </w:r>
      <w:r>
        <w:t>.</w:t>
      </w:r>
      <w:r w:rsidRPr="0071774C">
        <w:rPr>
          <w:rStyle w:val="EndnoteReference"/>
          <w:szCs w:val="22"/>
        </w:rPr>
        <w:endnoteReference w:id="96"/>
      </w:r>
      <w:r>
        <w:t xml:space="preserve"> </w:t>
      </w:r>
      <w:r w:rsidRPr="0071774C">
        <w:t>This</w:t>
      </w:r>
      <w:r>
        <w:t xml:space="preserve"> </w:t>
      </w:r>
      <w:r w:rsidRPr="0071774C">
        <w:t>requires</w:t>
      </w:r>
      <w:r>
        <w:t xml:space="preserve"> </w:t>
      </w:r>
      <w:r w:rsidRPr="0071774C">
        <w:t>the</w:t>
      </w:r>
      <w:r>
        <w:t xml:space="preserve"> </w:t>
      </w:r>
      <w:r w:rsidRPr="0071774C">
        <w:t>deliberate</w:t>
      </w:r>
      <w:r>
        <w:t xml:space="preserve"> </w:t>
      </w:r>
      <w:r w:rsidRPr="0071774C">
        <w:t>development</w:t>
      </w:r>
      <w:r>
        <w:t xml:space="preserve"> </w:t>
      </w:r>
      <w:r w:rsidRPr="0071774C">
        <w:t>of</w:t>
      </w:r>
      <w:r>
        <w:t xml:space="preserve">, </w:t>
      </w:r>
      <w:r w:rsidRPr="0071774C">
        <w:t>and</w:t>
      </w:r>
      <w:r>
        <w:t xml:space="preserve"> </w:t>
      </w:r>
      <w:r w:rsidRPr="0071774C">
        <w:t>investment</w:t>
      </w:r>
      <w:r>
        <w:t xml:space="preserve"> </w:t>
      </w:r>
      <w:r w:rsidRPr="0071774C">
        <w:t>in</w:t>
      </w:r>
      <w:r>
        <w:t xml:space="preserve">, </w:t>
      </w:r>
      <w:r w:rsidRPr="0071774C">
        <w:t>quality</w:t>
      </w:r>
      <w:r w:rsidR="001670E3">
        <w:t> </w:t>
      </w:r>
      <w:r w:rsidRPr="0071774C">
        <w:t>standards</w:t>
      </w:r>
      <w:r>
        <w:t xml:space="preserve">, </w:t>
      </w:r>
      <w:r w:rsidRPr="0071774C">
        <w:t>governance</w:t>
      </w:r>
      <w:r>
        <w:t xml:space="preserve"> </w:t>
      </w:r>
      <w:r w:rsidRPr="0071774C">
        <w:t>mechanisms</w:t>
      </w:r>
      <w:r>
        <w:t xml:space="preserve"> </w:t>
      </w:r>
      <w:r w:rsidRPr="0071774C">
        <w:t>to</w:t>
      </w:r>
      <w:r>
        <w:t xml:space="preserve"> </w:t>
      </w:r>
      <w:r w:rsidRPr="0071774C">
        <w:t>support</w:t>
      </w:r>
      <w:r>
        <w:t xml:space="preserve"> </w:t>
      </w:r>
      <w:r w:rsidRPr="0071774C">
        <w:t>coordination,</w:t>
      </w:r>
      <w:r>
        <w:t xml:space="preserve"> </w:t>
      </w:r>
      <w:r w:rsidRPr="0071774C">
        <w:t>advisory</w:t>
      </w:r>
      <w:r>
        <w:t xml:space="preserve"> </w:t>
      </w:r>
      <w:r w:rsidRPr="0071774C">
        <w:t>bodies</w:t>
      </w:r>
      <w:r>
        <w:t xml:space="preserve"> </w:t>
      </w:r>
      <w:r w:rsidRPr="0071774C">
        <w:t>and</w:t>
      </w:r>
      <w:r w:rsidR="00C11BA2">
        <w:t> </w:t>
      </w:r>
      <w:r w:rsidRPr="0071774C">
        <w:t>communication</w:t>
      </w:r>
      <w:r>
        <w:t xml:space="preserve"> </w:t>
      </w:r>
      <w:r w:rsidRPr="0071774C">
        <w:t>activities.</w:t>
      </w:r>
      <w:r>
        <w:t xml:space="preserve"> </w:t>
      </w:r>
      <w:r w:rsidR="000A453E" w:rsidRPr="000A453E">
        <w:t>The development of these mechanisms requires explicit consideration of how they operate and who they engage, including their ability to centre the</w:t>
      </w:r>
      <w:r w:rsidR="000A453E">
        <w:t xml:space="preserve"> </w:t>
      </w:r>
      <w:r w:rsidR="000A453E" w:rsidRPr="000A453E">
        <w:t>voices of women most affected by both gender inequality and other forms of oppression.</w:t>
      </w:r>
    </w:p>
    <w:p w14:paraId="65FD1BA2" w14:textId="77777777" w:rsidR="002C2EC7" w:rsidRDefault="002C2EC7" w:rsidP="00790783">
      <w:pPr>
        <w:pStyle w:val="BodyText"/>
      </w:pPr>
      <w:r w:rsidRPr="0071774C">
        <w:t>In</w:t>
      </w:r>
      <w:r>
        <w:t xml:space="preserve"> </w:t>
      </w:r>
      <w:r w:rsidRPr="0071774C">
        <w:t>this</w:t>
      </w:r>
      <w:r>
        <w:t xml:space="preserve"> </w:t>
      </w:r>
      <w:r w:rsidRPr="0071774C">
        <w:t>context,</w:t>
      </w:r>
      <w:r>
        <w:t xml:space="preserve"> </w:t>
      </w:r>
      <w:r w:rsidRPr="0071774C">
        <w:t>coordination</w:t>
      </w:r>
      <w:r>
        <w:t xml:space="preserve"> </w:t>
      </w:r>
      <w:r w:rsidRPr="0071774C">
        <w:t>and</w:t>
      </w:r>
      <w:r>
        <w:t xml:space="preserve"> </w:t>
      </w:r>
      <w:r w:rsidRPr="0071774C">
        <w:t>collaboration</w:t>
      </w:r>
      <w:r>
        <w:t xml:space="preserve"> </w:t>
      </w:r>
      <w:r w:rsidRPr="0071774C">
        <w:t>mechanisms:</w:t>
      </w:r>
    </w:p>
    <w:p w14:paraId="3A1A118F" w14:textId="77777777" w:rsidR="002C2EC7" w:rsidRDefault="002C2EC7" w:rsidP="00790783">
      <w:pPr>
        <w:pStyle w:val="OWBullet1"/>
      </w:pPr>
      <w:r w:rsidRPr="0071774C">
        <w:t>enable</w:t>
      </w:r>
      <w:r>
        <w:t xml:space="preserve"> </w:t>
      </w:r>
      <w:r w:rsidRPr="0071774C">
        <w:t>mutually</w:t>
      </w:r>
      <w:r>
        <w:t xml:space="preserve"> </w:t>
      </w:r>
      <w:r w:rsidRPr="0071774C">
        <w:t>reinforcing</w:t>
      </w:r>
      <w:r>
        <w:t xml:space="preserve"> </w:t>
      </w:r>
      <w:r w:rsidRPr="0071774C">
        <w:t>activities</w:t>
      </w:r>
      <w:r>
        <w:t xml:space="preserve"> </w:t>
      </w:r>
      <w:r w:rsidRPr="0071774C">
        <w:t>across</w:t>
      </w:r>
      <w:r>
        <w:t xml:space="preserve"> </w:t>
      </w:r>
      <w:r w:rsidRPr="0071774C">
        <w:t>multiple</w:t>
      </w:r>
      <w:r>
        <w:t xml:space="preserve"> </w:t>
      </w:r>
      <w:r w:rsidRPr="0071774C">
        <w:t>levels</w:t>
      </w:r>
      <w:r>
        <w:t xml:space="preserve"> </w:t>
      </w:r>
      <w:r w:rsidRPr="0071774C">
        <w:t>and</w:t>
      </w:r>
      <w:r>
        <w:t xml:space="preserve"> </w:t>
      </w:r>
      <w:r w:rsidRPr="0071774C">
        <w:t>settings</w:t>
      </w:r>
      <w:r>
        <w:t xml:space="preserve"> </w:t>
      </w:r>
      <w:r w:rsidRPr="0071774C">
        <w:t>and</w:t>
      </w:r>
      <w:r>
        <w:t xml:space="preserve"> </w:t>
      </w:r>
      <w:r w:rsidRPr="0071774C">
        <w:t>alongside</w:t>
      </w:r>
      <w:r>
        <w:t xml:space="preserve"> </w:t>
      </w:r>
      <w:r w:rsidRPr="0071774C">
        <w:t>other</w:t>
      </w:r>
      <w:r>
        <w:t xml:space="preserve"> </w:t>
      </w:r>
      <w:r w:rsidRPr="0071774C">
        <w:t>social</w:t>
      </w:r>
      <w:r>
        <w:t xml:space="preserve"> </w:t>
      </w:r>
      <w:r w:rsidRPr="0071774C">
        <w:t>policy</w:t>
      </w:r>
      <w:r>
        <w:t xml:space="preserve"> </w:t>
      </w:r>
      <w:r w:rsidRPr="0071774C">
        <w:t>issues</w:t>
      </w:r>
    </w:p>
    <w:p w14:paraId="15207085" w14:textId="77777777" w:rsidR="002C2EC7" w:rsidRPr="0071774C" w:rsidRDefault="002C2EC7" w:rsidP="00790783">
      <w:pPr>
        <w:pStyle w:val="OWBullet1"/>
      </w:pPr>
      <w:r>
        <w:t>e</w:t>
      </w:r>
      <w:r w:rsidRPr="0071774C">
        <w:t>nsure</w:t>
      </w:r>
      <w:r>
        <w:t xml:space="preserve"> </w:t>
      </w:r>
      <w:r w:rsidRPr="0071774C">
        <w:t>consistency</w:t>
      </w:r>
      <w:r>
        <w:t xml:space="preserve"> </w:t>
      </w:r>
      <w:r w:rsidRPr="0071774C">
        <w:t>between</w:t>
      </w:r>
      <w:r>
        <w:t xml:space="preserve"> </w:t>
      </w:r>
      <w:r w:rsidRPr="0071774C">
        <w:t>legislative</w:t>
      </w:r>
      <w:r>
        <w:t xml:space="preserve"> </w:t>
      </w:r>
      <w:r w:rsidRPr="0071774C">
        <w:t>and</w:t>
      </w:r>
      <w:r>
        <w:t xml:space="preserve"> </w:t>
      </w:r>
      <w:r w:rsidRPr="0071774C">
        <w:t>policy</w:t>
      </w:r>
      <w:r>
        <w:t xml:space="preserve"> </w:t>
      </w:r>
      <w:r w:rsidRPr="0071774C">
        <w:t>reforms,</w:t>
      </w:r>
      <w:r>
        <w:t xml:space="preserve"> </w:t>
      </w:r>
      <w:r w:rsidRPr="0071774C">
        <w:t>programs,</w:t>
      </w:r>
      <w:r>
        <w:t xml:space="preserve"> </w:t>
      </w:r>
      <w:r w:rsidRPr="0071774C">
        <w:t>communications</w:t>
      </w:r>
      <w:r>
        <w:t xml:space="preserve"> </w:t>
      </w:r>
      <w:r w:rsidRPr="0071774C">
        <w:t>campaigns</w:t>
      </w:r>
      <w:r>
        <w:t xml:space="preserve"> </w:t>
      </w:r>
      <w:r w:rsidRPr="0071774C">
        <w:t>and</w:t>
      </w:r>
      <w:r>
        <w:t xml:space="preserve"> </w:t>
      </w:r>
      <w:r w:rsidRPr="0071774C">
        <w:t>other</w:t>
      </w:r>
      <w:r>
        <w:t xml:space="preserve"> </w:t>
      </w:r>
      <w:r w:rsidRPr="0071774C">
        <w:t>prevention</w:t>
      </w:r>
      <w:r>
        <w:t xml:space="preserve"> </w:t>
      </w:r>
      <w:r w:rsidRPr="0071774C">
        <w:t>efforts</w:t>
      </w:r>
    </w:p>
    <w:p w14:paraId="1889626E" w14:textId="77777777" w:rsidR="002C2EC7" w:rsidRPr="0071774C" w:rsidRDefault="002C2EC7" w:rsidP="00790783">
      <w:pPr>
        <w:pStyle w:val="OWBullet1"/>
      </w:pPr>
      <w:r w:rsidRPr="0071774C">
        <w:t>support</w:t>
      </w:r>
      <w:r>
        <w:t xml:space="preserve"> </w:t>
      </w:r>
      <w:r w:rsidRPr="0071774C">
        <w:t>the</w:t>
      </w:r>
      <w:r>
        <w:t xml:space="preserve"> </w:t>
      </w:r>
      <w:r w:rsidRPr="0071774C">
        <w:t>integration</w:t>
      </w:r>
      <w:r>
        <w:t xml:space="preserve"> </w:t>
      </w:r>
      <w:r w:rsidRPr="0071774C">
        <w:t>of</w:t>
      </w:r>
      <w:r>
        <w:t xml:space="preserve"> </w:t>
      </w:r>
      <w:r w:rsidRPr="0071774C">
        <w:t>gender</w:t>
      </w:r>
      <w:r>
        <w:t xml:space="preserve"> </w:t>
      </w:r>
      <w:r w:rsidRPr="0071774C">
        <w:t>equality</w:t>
      </w:r>
      <w:r>
        <w:t xml:space="preserve"> </w:t>
      </w:r>
      <w:r w:rsidRPr="0071774C">
        <w:t>and</w:t>
      </w:r>
      <w:r>
        <w:t xml:space="preserve"> </w:t>
      </w:r>
      <w:r w:rsidRPr="0071774C">
        <w:t>violence</w:t>
      </w:r>
      <w:r>
        <w:t xml:space="preserve"> </w:t>
      </w:r>
      <w:r w:rsidRPr="0071774C">
        <w:t>prevention</w:t>
      </w:r>
      <w:r>
        <w:t xml:space="preserve"> </w:t>
      </w:r>
      <w:r w:rsidRPr="0071774C">
        <w:t>into</w:t>
      </w:r>
      <w:r>
        <w:t xml:space="preserve"> </w:t>
      </w:r>
      <w:r w:rsidRPr="0071774C">
        <w:t>the</w:t>
      </w:r>
      <w:r>
        <w:t xml:space="preserve"> </w:t>
      </w:r>
      <w:r w:rsidRPr="0071774C">
        <w:t>work</w:t>
      </w:r>
      <w:r>
        <w:t xml:space="preserve"> </w:t>
      </w:r>
      <w:r w:rsidRPr="0071774C">
        <w:t>of</w:t>
      </w:r>
      <w:r>
        <w:t xml:space="preserve"> </w:t>
      </w:r>
      <w:r w:rsidRPr="0071774C">
        <w:t>established</w:t>
      </w:r>
      <w:r>
        <w:t xml:space="preserve"> </w:t>
      </w:r>
      <w:r w:rsidRPr="0071774C">
        <w:t>agencies,</w:t>
      </w:r>
      <w:r>
        <w:t xml:space="preserve"> </w:t>
      </w:r>
      <w:r w:rsidRPr="0071774C">
        <w:t>organisations</w:t>
      </w:r>
      <w:r>
        <w:t xml:space="preserve"> </w:t>
      </w:r>
      <w:r w:rsidRPr="0071774C">
        <w:t>and</w:t>
      </w:r>
      <w:r>
        <w:t xml:space="preserve"> </w:t>
      </w:r>
      <w:r w:rsidRPr="0071774C">
        <w:t>networks</w:t>
      </w:r>
      <w:r>
        <w:t xml:space="preserve"> </w:t>
      </w:r>
      <w:r w:rsidRPr="0071774C">
        <w:t>and</w:t>
      </w:r>
      <w:r>
        <w:t xml:space="preserve"> </w:t>
      </w:r>
      <w:r w:rsidRPr="0071774C">
        <w:t>use</w:t>
      </w:r>
      <w:r>
        <w:t xml:space="preserve"> </w:t>
      </w:r>
      <w:r w:rsidRPr="0071774C">
        <w:t>existing</w:t>
      </w:r>
      <w:r>
        <w:t xml:space="preserve"> </w:t>
      </w:r>
      <w:r w:rsidRPr="0071774C">
        <w:t>infrastructure</w:t>
      </w:r>
      <w:r>
        <w:t xml:space="preserve"> </w:t>
      </w:r>
      <w:r w:rsidRPr="0071774C">
        <w:t>at</w:t>
      </w:r>
      <w:r>
        <w:t xml:space="preserve"> </w:t>
      </w:r>
      <w:r w:rsidRPr="0071774C">
        <w:t>the</w:t>
      </w:r>
      <w:r>
        <w:t xml:space="preserve"> </w:t>
      </w:r>
      <w:r w:rsidRPr="0071774C">
        <w:t>national,</w:t>
      </w:r>
      <w:r>
        <w:t xml:space="preserve"> </w:t>
      </w:r>
      <w:r w:rsidRPr="0071774C">
        <w:t>state,</w:t>
      </w:r>
      <w:r>
        <w:t xml:space="preserve"> </w:t>
      </w:r>
      <w:r w:rsidRPr="0071774C">
        <w:t>regional</w:t>
      </w:r>
      <w:r>
        <w:t xml:space="preserve"> </w:t>
      </w:r>
      <w:r w:rsidRPr="0071774C">
        <w:t>and</w:t>
      </w:r>
      <w:r>
        <w:t xml:space="preserve"> </w:t>
      </w:r>
      <w:r w:rsidRPr="0071774C">
        <w:t>local</w:t>
      </w:r>
      <w:r>
        <w:t xml:space="preserve"> </w:t>
      </w:r>
      <w:r w:rsidRPr="0071774C">
        <w:t>levels</w:t>
      </w:r>
    </w:p>
    <w:p w14:paraId="6991CDB5" w14:textId="39B06286" w:rsidR="002C2EC7" w:rsidRDefault="002C2EC7" w:rsidP="00790783">
      <w:pPr>
        <w:pStyle w:val="OWBullet1"/>
      </w:pPr>
      <w:r w:rsidRPr="0071774C">
        <w:t>support</w:t>
      </w:r>
      <w:r>
        <w:t xml:space="preserve"> </w:t>
      </w:r>
      <w:r w:rsidRPr="0071774C">
        <w:t>the</w:t>
      </w:r>
      <w:r>
        <w:t xml:space="preserve"> </w:t>
      </w:r>
      <w:r w:rsidRPr="0071774C">
        <w:t>scale</w:t>
      </w:r>
      <w:r>
        <w:t>-</w:t>
      </w:r>
      <w:r w:rsidRPr="0071774C">
        <w:t>up,</w:t>
      </w:r>
      <w:r>
        <w:t xml:space="preserve"> </w:t>
      </w:r>
      <w:r w:rsidRPr="0071774C">
        <w:t>systematisation</w:t>
      </w:r>
      <w:r>
        <w:t xml:space="preserve"> </w:t>
      </w:r>
      <w:r w:rsidRPr="0071774C">
        <w:t>and</w:t>
      </w:r>
      <w:r>
        <w:t xml:space="preserve"> </w:t>
      </w:r>
      <w:r w:rsidRPr="0071774C">
        <w:t>embedding</w:t>
      </w:r>
      <w:r>
        <w:t xml:space="preserve"> </w:t>
      </w:r>
      <w:r w:rsidRPr="0071774C">
        <w:t>of</w:t>
      </w:r>
      <w:r>
        <w:t xml:space="preserve"> </w:t>
      </w:r>
      <w:r w:rsidRPr="0071774C">
        <w:t>approaches</w:t>
      </w:r>
      <w:r>
        <w:t xml:space="preserve"> </w:t>
      </w:r>
      <w:r w:rsidRPr="0071774C">
        <w:t>that</w:t>
      </w:r>
      <w:r>
        <w:t xml:space="preserve"> </w:t>
      </w:r>
      <w:r w:rsidRPr="0071774C">
        <w:t>are</w:t>
      </w:r>
      <w:r>
        <w:t xml:space="preserve"> </w:t>
      </w:r>
      <w:r w:rsidRPr="0071774C">
        <w:t>effective</w:t>
      </w:r>
      <w:r>
        <w:t xml:space="preserve"> </w:t>
      </w:r>
      <w:r w:rsidRPr="0071774C">
        <w:t>at</w:t>
      </w:r>
      <w:r>
        <w:t xml:space="preserve"> </w:t>
      </w:r>
      <w:r w:rsidRPr="0071774C">
        <w:t>preventing</w:t>
      </w:r>
      <w:r>
        <w:t xml:space="preserve"> </w:t>
      </w:r>
      <w:r w:rsidRPr="0071774C">
        <w:t>violence</w:t>
      </w:r>
      <w:r>
        <w:t xml:space="preserve"> </w:t>
      </w:r>
      <w:r w:rsidRPr="0071774C">
        <w:t>against</w:t>
      </w:r>
      <w:r>
        <w:t xml:space="preserve"> </w:t>
      </w:r>
      <w:r w:rsidRPr="0071774C">
        <w:t>women</w:t>
      </w:r>
      <w:r w:rsidR="002D4C1C">
        <w:t>,</w:t>
      </w:r>
      <w:r>
        <w:t xml:space="preserve"> </w:t>
      </w:r>
      <w:r w:rsidRPr="0071774C">
        <w:t>and</w:t>
      </w:r>
      <w:r>
        <w:t xml:space="preserve"> </w:t>
      </w:r>
      <w:r w:rsidRPr="0071774C">
        <w:t>funding</w:t>
      </w:r>
      <w:r>
        <w:t xml:space="preserve"> </w:t>
      </w:r>
      <w:r w:rsidRPr="0071774C">
        <w:t>of</w:t>
      </w:r>
      <w:r>
        <w:t xml:space="preserve"> </w:t>
      </w:r>
      <w:r w:rsidRPr="0071774C">
        <w:t>grants</w:t>
      </w:r>
      <w:r>
        <w:t xml:space="preserve"> </w:t>
      </w:r>
      <w:r w:rsidRPr="0071774C">
        <w:t>to</w:t>
      </w:r>
      <w:r>
        <w:t xml:space="preserve"> </w:t>
      </w:r>
      <w:r w:rsidRPr="0071774C">
        <w:t>support</w:t>
      </w:r>
      <w:r>
        <w:t xml:space="preserve"> </w:t>
      </w:r>
      <w:r w:rsidRPr="0071774C">
        <w:t>evidence</w:t>
      </w:r>
      <w:r>
        <w:t xml:space="preserve"> </w:t>
      </w:r>
      <w:r w:rsidRPr="0071774C">
        <w:t>building.</w:t>
      </w:r>
    </w:p>
    <w:p w14:paraId="198D77FE" w14:textId="77777777" w:rsidR="002C2EC7" w:rsidRDefault="002C2EC7" w:rsidP="00790783">
      <w:pPr>
        <w:pStyle w:val="OWBodytextafterlist"/>
      </w:pPr>
      <w:r w:rsidRPr="0071774C">
        <w:t>Quality</w:t>
      </w:r>
      <w:r>
        <w:t xml:space="preserve"> </w:t>
      </w:r>
      <w:r w:rsidRPr="0071774C">
        <w:t>assurance</w:t>
      </w:r>
      <w:r>
        <w:t xml:space="preserve"> </w:t>
      </w:r>
      <w:r w:rsidRPr="0071774C">
        <w:t>mechanisms</w:t>
      </w:r>
      <w:r>
        <w:t xml:space="preserve"> </w:t>
      </w:r>
      <w:r w:rsidRPr="0071774C">
        <w:t>for</w:t>
      </w:r>
      <w:r>
        <w:t xml:space="preserve"> </w:t>
      </w:r>
      <w:r w:rsidRPr="0071774C">
        <w:t>policy</w:t>
      </w:r>
      <w:r>
        <w:t xml:space="preserve"> </w:t>
      </w:r>
      <w:r w:rsidRPr="0071774C">
        <w:t>and</w:t>
      </w:r>
      <w:r>
        <w:t xml:space="preserve"> </w:t>
      </w:r>
      <w:r w:rsidRPr="0071774C">
        <w:t>activity</w:t>
      </w:r>
      <w:r>
        <w:t xml:space="preserve"> </w:t>
      </w:r>
      <w:r w:rsidRPr="0071774C">
        <w:t>delivery</w:t>
      </w:r>
      <w:r>
        <w:t xml:space="preserve"> </w:t>
      </w:r>
      <w:r w:rsidRPr="0071774C">
        <w:t>can</w:t>
      </w:r>
      <w:r>
        <w:t xml:space="preserve"> </w:t>
      </w:r>
      <w:r w:rsidRPr="0071774C">
        <w:t>include:</w:t>
      </w:r>
    </w:p>
    <w:p w14:paraId="6340F994" w14:textId="77777777" w:rsidR="002C2EC7" w:rsidRDefault="002C2EC7" w:rsidP="00790783">
      <w:pPr>
        <w:pStyle w:val="OWBullet1"/>
      </w:pPr>
      <w:r w:rsidRPr="0071774C">
        <w:t>establishing</w:t>
      </w:r>
      <w:r>
        <w:t xml:space="preserve"> </w:t>
      </w:r>
      <w:r w:rsidRPr="0071774C">
        <w:t>criteria</w:t>
      </w:r>
      <w:r>
        <w:t xml:space="preserve"> </w:t>
      </w:r>
      <w:r w:rsidRPr="0071774C">
        <w:t>for</w:t>
      </w:r>
      <w:r>
        <w:t xml:space="preserve"> </w:t>
      </w:r>
      <w:r w:rsidRPr="0071774C">
        <w:t>activity</w:t>
      </w:r>
      <w:r>
        <w:t xml:space="preserve"> </w:t>
      </w:r>
      <w:r w:rsidRPr="0071774C">
        <w:t>funding</w:t>
      </w:r>
      <w:r>
        <w:t xml:space="preserve"> </w:t>
      </w:r>
      <w:r w:rsidRPr="0071774C">
        <w:t>and</w:t>
      </w:r>
      <w:r>
        <w:t xml:space="preserve"> </w:t>
      </w:r>
      <w:r w:rsidRPr="0071774C">
        <w:t>evaluation</w:t>
      </w:r>
    </w:p>
    <w:p w14:paraId="4EB38658" w14:textId="77777777" w:rsidR="002C2EC7" w:rsidRDefault="002C2EC7" w:rsidP="00790783">
      <w:pPr>
        <w:pStyle w:val="OWBullet1"/>
      </w:pPr>
      <w:r w:rsidRPr="0071774C">
        <w:t>creating</w:t>
      </w:r>
      <w:r>
        <w:t xml:space="preserve"> </w:t>
      </w:r>
      <w:r w:rsidRPr="0071774C">
        <w:t>accredited</w:t>
      </w:r>
      <w:r>
        <w:t xml:space="preserve"> </w:t>
      </w:r>
      <w:r w:rsidRPr="0071774C">
        <w:t>and</w:t>
      </w:r>
      <w:r>
        <w:t xml:space="preserve"> </w:t>
      </w:r>
      <w:r w:rsidRPr="0071774C">
        <w:t>non-accredited</w:t>
      </w:r>
      <w:r>
        <w:t xml:space="preserve"> </w:t>
      </w:r>
      <w:r w:rsidRPr="0071774C">
        <w:t>training</w:t>
      </w:r>
      <w:r>
        <w:t xml:space="preserve"> </w:t>
      </w:r>
      <w:r w:rsidRPr="0071774C">
        <w:t>to</w:t>
      </w:r>
      <w:r>
        <w:t xml:space="preserve"> </w:t>
      </w:r>
      <w:r w:rsidRPr="0071774C">
        <w:t>ensure</w:t>
      </w:r>
      <w:r>
        <w:t xml:space="preserve"> </w:t>
      </w:r>
      <w:r w:rsidRPr="0071774C">
        <w:t>adequately</w:t>
      </w:r>
      <w:r>
        <w:t xml:space="preserve"> </w:t>
      </w:r>
      <w:r w:rsidRPr="0071774C">
        <w:t>skilled</w:t>
      </w:r>
      <w:r>
        <w:t xml:space="preserve"> </w:t>
      </w:r>
      <w:r w:rsidRPr="0071774C">
        <w:t>practitioners</w:t>
      </w:r>
    </w:p>
    <w:p w14:paraId="5835C72B" w14:textId="77777777" w:rsidR="002C2EC7" w:rsidRDefault="002C2EC7" w:rsidP="00790783">
      <w:pPr>
        <w:pStyle w:val="OWBullet1"/>
      </w:pPr>
      <w:r w:rsidRPr="0071774C">
        <w:t>implementation</w:t>
      </w:r>
      <w:r>
        <w:t xml:space="preserve"> </w:t>
      </w:r>
      <w:r w:rsidRPr="0071774C">
        <w:t>and</w:t>
      </w:r>
      <w:r>
        <w:t xml:space="preserve"> </w:t>
      </w:r>
      <w:r w:rsidRPr="0071774C">
        <w:t>monitoring</w:t>
      </w:r>
      <w:r>
        <w:t xml:space="preserve"> </w:t>
      </w:r>
      <w:r w:rsidRPr="0071774C">
        <w:t>of</w:t>
      </w:r>
      <w:r>
        <w:t xml:space="preserve"> </w:t>
      </w:r>
      <w:r w:rsidRPr="0071774C">
        <w:t>established</w:t>
      </w:r>
      <w:r>
        <w:t xml:space="preserve"> </w:t>
      </w:r>
      <w:r w:rsidRPr="0071774C">
        <w:t>practice</w:t>
      </w:r>
      <w:r>
        <w:t xml:space="preserve"> </w:t>
      </w:r>
      <w:r w:rsidRPr="0071774C">
        <w:t>standards</w:t>
      </w:r>
      <w:r>
        <w:t xml:space="preserve"> </w:t>
      </w:r>
      <w:r w:rsidRPr="0071774C">
        <w:t>where</w:t>
      </w:r>
      <w:r>
        <w:t xml:space="preserve"> </w:t>
      </w:r>
      <w:r w:rsidRPr="0071774C">
        <w:t>they</w:t>
      </w:r>
      <w:r>
        <w:t xml:space="preserve"> </w:t>
      </w:r>
      <w:r w:rsidRPr="0071774C">
        <w:t>exist</w:t>
      </w:r>
      <w:r>
        <w:t xml:space="preserve"> </w:t>
      </w:r>
      <w:r w:rsidRPr="0071774C">
        <w:t>(such</w:t>
      </w:r>
      <w:r>
        <w:t xml:space="preserve"> </w:t>
      </w:r>
      <w:r w:rsidRPr="0071774C">
        <w:t>as</w:t>
      </w:r>
      <w:r>
        <w:t xml:space="preserve"> </w:t>
      </w:r>
      <w:r w:rsidRPr="0071774C">
        <w:t>the</w:t>
      </w:r>
      <w:r>
        <w:t xml:space="preserve"> </w:t>
      </w:r>
      <w:r w:rsidRPr="0071774C">
        <w:t>National</w:t>
      </w:r>
      <w:r>
        <w:t xml:space="preserve"> </w:t>
      </w:r>
      <w:r w:rsidRPr="0071774C">
        <w:t>Association</w:t>
      </w:r>
      <w:r>
        <w:t xml:space="preserve"> </w:t>
      </w:r>
      <w:r w:rsidRPr="0071774C">
        <w:t>of</w:t>
      </w:r>
      <w:r>
        <w:t xml:space="preserve"> </w:t>
      </w:r>
      <w:r w:rsidRPr="0071774C">
        <w:t>Services</w:t>
      </w:r>
      <w:r>
        <w:t xml:space="preserve"> </w:t>
      </w:r>
      <w:r w:rsidRPr="0071774C">
        <w:t>against</w:t>
      </w:r>
      <w:r>
        <w:t xml:space="preserve"> </w:t>
      </w:r>
      <w:r w:rsidRPr="0071774C">
        <w:t>Sexual</w:t>
      </w:r>
      <w:r>
        <w:t xml:space="preserve"> </w:t>
      </w:r>
      <w:r w:rsidRPr="0071774C">
        <w:t>Violence</w:t>
      </w:r>
      <w:r>
        <w:t xml:space="preserve">’s National </w:t>
      </w:r>
      <w:r w:rsidRPr="0071774C">
        <w:t>Standards</w:t>
      </w:r>
      <w:r>
        <w:t xml:space="preserve"> </w:t>
      </w:r>
      <w:r w:rsidRPr="0071774C">
        <w:t>for</w:t>
      </w:r>
      <w:r>
        <w:t xml:space="preserve"> </w:t>
      </w:r>
      <w:r w:rsidRPr="0071774C">
        <w:t>Sexual</w:t>
      </w:r>
      <w:r>
        <w:t xml:space="preserve"> </w:t>
      </w:r>
      <w:r w:rsidRPr="0071774C">
        <w:t>Assault</w:t>
      </w:r>
      <w:r>
        <w:t xml:space="preserve"> </w:t>
      </w:r>
      <w:r w:rsidRPr="0071774C">
        <w:t>Prevention</w:t>
      </w:r>
      <w:r>
        <w:t xml:space="preserve"> </w:t>
      </w:r>
      <w:r w:rsidRPr="0071774C">
        <w:t>Education)</w:t>
      </w:r>
    </w:p>
    <w:p w14:paraId="2226975D" w14:textId="77777777" w:rsidR="002C2EC7" w:rsidRDefault="002C2EC7" w:rsidP="00790783">
      <w:pPr>
        <w:pStyle w:val="OWBullet1"/>
      </w:pPr>
      <w:r w:rsidRPr="0071774C">
        <w:t>development</w:t>
      </w:r>
      <w:r>
        <w:t xml:space="preserve"> </w:t>
      </w:r>
      <w:r w:rsidRPr="0071774C">
        <w:t>of</w:t>
      </w:r>
      <w:r>
        <w:t xml:space="preserve"> </w:t>
      </w:r>
      <w:r w:rsidRPr="0071774C">
        <w:t>appropriate</w:t>
      </w:r>
      <w:r>
        <w:t xml:space="preserve"> </w:t>
      </w:r>
      <w:r w:rsidRPr="0071774C">
        <w:t>practice</w:t>
      </w:r>
      <w:r>
        <w:t xml:space="preserve"> </w:t>
      </w:r>
      <w:r w:rsidRPr="0071774C">
        <w:t>standards</w:t>
      </w:r>
      <w:r>
        <w:t xml:space="preserve"> </w:t>
      </w:r>
      <w:r w:rsidRPr="0071774C">
        <w:t>where</w:t>
      </w:r>
      <w:r>
        <w:t xml:space="preserve"> </w:t>
      </w:r>
      <w:r w:rsidRPr="0071774C">
        <w:t>they</w:t>
      </w:r>
      <w:r>
        <w:t xml:space="preserve"> </w:t>
      </w:r>
      <w:r w:rsidRPr="0071774C">
        <w:t>don’t</w:t>
      </w:r>
      <w:r>
        <w:t xml:space="preserve"> </w:t>
      </w:r>
      <w:r w:rsidRPr="0071774C">
        <w:t>currently</w:t>
      </w:r>
      <w:r>
        <w:t xml:space="preserve"> </w:t>
      </w:r>
      <w:r w:rsidRPr="0071774C">
        <w:t>exist</w:t>
      </w:r>
      <w:r>
        <w:t>.</w:t>
      </w:r>
    </w:p>
    <w:p w14:paraId="3D897CFD" w14:textId="77777777" w:rsidR="002C2EC7" w:rsidRDefault="002C2EC7" w:rsidP="00790783">
      <w:pPr>
        <w:pStyle w:val="OWBodytextafterlist"/>
      </w:pPr>
      <w:r w:rsidRPr="0071774C">
        <w:t>A</w:t>
      </w:r>
      <w:r>
        <w:t xml:space="preserve"> </w:t>
      </w:r>
      <w:r w:rsidRPr="0071774C">
        <w:t>strong</w:t>
      </w:r>
      <w:r>
        <w:t xml:space="preserve"> </w:t>
      </w:r>
      <w:r w:rsidRPr="0071774C">
        <w:t>response</w:t>
      </w:r>
      <w:r>
        <w:t xml:space="preserve"> </w:t>
      </w:r>
      <w:r w:rsidRPr="0071774C">
        <w:t>system</w:t>
      </w:r>
      <w:r>
        <w:t xml:space="preserve"> </w:t>
      </w:r>
      <w:r w:rsidRPr="0071774C">
        <w:t>is</w:t>
      </w:r>
      <w:r>
        <w:t xml:space="preserve"> </w:t>
      </w:r>
      <w:r w:rsidRPr="0071774C">
        <w:t>a</w:t>
      </w:r>
      <w:r>
        <w:t xml:space="preserve"> </w:t>
      </w:r>
      <w:r w:rsidRPr="0071774C">
        <w:t>vital</w:t>
      </w:r>
      <w:r>
        <w:t xml:space="preserve"> </w:t>
      </w:r>
      <w:r w:rsidRPr="0071774C">
        <w:t>foundation</w:t>
      </w:r>
      <w:r>
        <w:t xml:space="preserve"> </w:t>
      </w:r>
      <w:r w:rsidRPr="0071774C">
        <w:t>for</w:t>
      </w:r>
      <w:r>
        <w:t xml:space="preserve"> </w:t>
      </w:r>
      <w:r w:rsidRPr="0071774C">
        <w:t>effective</w:t>
      </w:r>
      <w:r>
        <w:t xml:space="preserve"> </w:t>
      </w:r>
      <w:r w:rsidRPr="0071774C">
        <w:t>prevention</w:t>
      </w:r>
      <w:r>
        <w:t>.</w:t>
      </w:r>
      <w:r w:rsidRPr="0071774C">
        <w:rPr>
          <w:rStyle w:val="EndnoteReference"/>
          <w:szCs w:val="22"/>
        </w:rPr>
        <w:endnoteReference w:id="97"/>
      </w:r>
      <w:r>
        <w:t xml:space="preserve"> </w:t>
      </w:r>
      <w:r w:rsidRPr="0071774C">
        <w:t>Strong</w:t>
      </w:r>
      <w:r>
        <w:t xml:space="preserve"> </w:t>
      </w:r>
      <w:r w:rsidRPr="0071774C">
        <w:t>links</w:t>
      </w:r>
      <w:r>
        <w:t xml:space="preserve"> </w:t>
      </w:r>
      <w:r w:rsidRPr="0071774C">
        <w:t>between</w:t>
      </w:r>
      <w:r>
        <w:t xml:space="preserve"> </w:t>
      </w:r>
      <w:r w:rsidRPr="0071774C">
        <w:t>prevention</w:t>
      </w:r>
      <w:r>
        <w:t xml:space="preserve"> </w:t>
      </w:r>
      <w:r w:rsidRPr="0071774C">
        <w:t>activities</w:t>
      </w:r>
      <w:r>
        <w:t xml:space="preserve"> </w:t>
      </w:r>
      <w:r w:rsidRPr="0071774C">
        <w:t>and</w:t>
      </w:r>
      <w:r>
        <w:t xml:space="preserve"> </w:t>
      </w:r>
      <w:r w:rsidRPr="0071774C">
        <w:t>the</w:t>
      </w:r>
      <w:r>
        <w:t xml:space="preserve"> </w:t>
      </w:r>
      <w:r w:rsidRPr="0071774C">
        <w:t>response</w:t>
      </w:r>
      <w:r>
        <w:t xml:space="preserve"> </w:t>
      </w:r>
      <w:r w:rsidRPr="0071774C">
        <w:t>system</w:t>
      </w:r>
      <w:r>
        <w:t xml:space="preserve"> </w:t>
      </w:r>
      <w:r w:rsidRPr="0071774C">
        <w:t>are</w:t>
      </w:r>
      <w:r>
        <w:t xml:space="preserve"> </w:t>
      </w:r>
      <w:r w:rsidRPr="0071774C">
        <w:t>required</w:t>
      </w:r>
      <w:r>
        <w:t xml:space="preserve"> </w:t>
      </w:r>
      <w:r w:rsidRPr="0071774C">
        <w:t>to</w:t>
      </w:r>
      <w:r>
        <w:t xml:space="preserve"> </w:t>
      </w:r>
      <w:r w:rsidRPr="0071774C">
        <w:t>ensure</w:t>
      </w:r>
      <w:r>
        <w:t xml:space="preserve"> </w:t>
      </w:r>
      <w:r w:rsidRPr="0071774C">
        <w:t>that</w:t>
      </w:r>
      <w:r>
        <w:t xml:space="preserve"> </w:t>
      </w:r>
      <w:r w:rsidRPr="0071774C">
        <w:t>activities</w:t>
      </w:r>
      <w:r>
        <w:t xml:space="preserve"> </w:t>
      </w:r>
      <w:r w:rsidRPr="0071774C">
        <w:t>and</w:t>
      </w:r>
      <w:r>
        <w:t xml:space="preserve"> </w:t>
      </w:r>
      <w:r w:rsidRPr="0071774C">
        <w:t>communications</w:t>
      </w:r>
      <w:r>
        <w:t xml:space="preserve"> </w:t>
      </w:r>
      <w:r w:rsidRPr="0071774C">
        <w:t>in</w:t>
      </w:r>
      <w:r>
        <w:t xml:space="preserve"> </w:t>
      </w:r>
      <w:r w:rsidRPr="0071774C">
        <w:t>both</w:t>
      </w:r>
      <w:r>
        <w:t xml:space="preserve"> areas </w:t>
      </w:r>
      <w:r w:rsidRPr="0071774C">
        <w:t>are</w:t>
      </w:r>
      <w:r>
        <w:t xml:space="preserve"> </w:t>
      </w:r>
      <w:r w:rsidRPr="0071774C">
        <w:t>mutually</w:t>
      </w:r>
      <w:r>
        <w:t xml:space="preserve"> </w:t>
      </w:r>
      <w:r w:rsidRPr="0071774C">
        <w:t>reinforcing.</w:t>
      </w:r>
    </w:p>
    <w:p w14:paraId="5E8CC435" w14:textId="77777777" w:rsidR="002C2EC7" w:rsidRPr="00FB7F22" w:rsidRDefault="002C2EC7" w:rsidP="00790783">
      <w:pPr>
        <w:pStyle w:val="Heading4"/>
        <w:rPr>
          <w:rStyle w:val="OWCharacterCharcoal"/>
        </w:rPr>
      </w:pPr>
      <w:bookmarkStart w:id="54" w:name="_Toc41559732"/>
      <w:r w:rsidRPr="00FB7F22">
        <w:rPr>
          <w:rStyle w:val="OWCharacterCharcoal"/>
        </w:rPr>
        <w:t>Mechanisms for coordination, collaboration and quality assurance: summary of findings</w:t>
      </w:r>
      <w:bookmarkEnd w:id="54"/>
    </w:p>
    <w:p w14:paraId="59501E56" w14:textId="15F83695" w:rsidR="002C2EC7" w:rsidRDefault="002C2EC7" w:rsidP="00790783">
      <w:pPr>
        <w:pStyle w:val="BodyText"/>
      </w:pPr>
      <w:r w:rsidRPr="005068F2">
        <w:t>The</w:t>
      </w:r>
      <w:r w:rsidRPr="00ED4674">
        <w:t xml:space="preserve"> </w:t>
      </w:r>
      <w:r w:rsidRPr="00E6594A">
        <w:t>National</w:t>
      </w:r>
      <w:r>
        <w:t xml:space="preserve"> </w:t>
      </w:r>
      <w:r w:rsidRPr="00E6594A">
        <w:t>Plan</w:t>
      </w:r>
      <w:r>
        <w:t>,</w:t>
      </w:r>
      <w:r w:rsidRPr="0071774C">
        <w:rPr>
          <w:rStyle w:val="EndnoteReference"/>
          <w:szCs w:val="22"/>
        </w:rPr>
        <w:endnoteReference w:id="98"/>
      </w:r>
      <w:r>
        <w:t xml:space="preserve"> </w:t>
      </w:r>
      <w:r w:rsidRPr="00ED4674">
        <w:rPr>
          <w:rStyle w:val="Emphasis"/>
        </w:rPr>
        <w:t xml:space="preserve">Change the story </w:t>
      </w:r>
      <w:r w:rsidRPr="0071774C">
        <w:rPr>
          <w:iCs/>
        </w:rPr>
        <w:t>(2015)</w:t>
      </w:r>
      <w:r w:rsidRPr="005068F2">
        <w:rPr>
          <w:rStyle w:val="EndnoteReference"/>
          <w:szCs w:val="22"/>
        </w:rPr>
        <w:endnoteReference w:id="99"/>
      </w:r>
      <w:r>
        <w:rPr>
          <w:iCs/>
        </w:rPr>
        <w:t xml:space="preserve"> </w:t>
      </w:r>
      <w:r w:rsidRPr="0071774C">
        <w:t>and</w:t>
      </w:r>
      <w:r>
        <w:t xml:space="preserve"> </w:t>
      </w:r>
      <w:r w:rsidRPr="0071774C">
        <w:t>a</w:t>
      </w:r>
      <w:r>
        <w:t xml:space="preserve"> </w:t>
      </w:r>
      <w:r w:rsidRPr="0071774C">
        <w:t>range</w:t>
      </w:r>
      <w:r>
        <w:t xml:space="preserve"> </w:t>
      </w:r>
      <w:r w:rsidRPr="0071774C">
        <w:t>of</w:t>
      </w:r>
      <w:r>
        <w:t xml:space="preserve"> s</w:t>
      </w:r>
      <w:r w:rsidRPr="0071774C">
        <w:t>tate/</w:t>
      </w:r>
      <w:r>
        <w:t>t</w:t>
      </w:r>
      <w:r w:rsidRPr="0071774C">
        <w:t>erritory</w:t>
      </w:r>
      <w:r>
        <w:t xml:space="preserve"> </w:t>
      </w:r>
      <w:r w:rsidRPr="0071774C">
        <w:t>plans</w:t>
      </w:r>
      <w:r>
        <w:t xml:space="preserve"> </w:t>
      </w:r>
      <w:r w:rsidRPr="0071774C">
        <w:t>have</w:t>
      </w:r>
      <w:r>
        <w:t xml:space="preserve"> </w:t>
      </w:r>
      <w:r w:rsidRPr="0071774C">
        <w:t>been</w:t>
      </w:r>
      <w:r>
        <w:t xml:space="preserve"> </w:t>
      </w:r>
      <w:r w:rsidRPr="0071774C">
        <w:t>developed</w:t>
      </w:r>
      <w:r>
        <w:t xml:space="preserve"> </w:t>
      </w:r>
      <w:r w:rsidRPr="0071774C">
        <w:t>to</w:t>
      </w:r>
      <w:r>
        <w:t xml:space="preserve"> </w:t>
      </w:r>
      <w:r w:rsidRPr="0071774C">
        <w:t>support</w:t>
      </w:r>
      <w:r>
        <w:t xml:space="preserve"> </w:t>
      </w:r>
      <w:r w:rsidRPr="0071774C">
        <w:t>the</w:t>
      </w:r>
      <w:r>
        <w:t xml:space="preserve"> </w:t>
      </w:r>
      <w:r w:rsidRPr="0071774C">
        <w:t>broad</w:t>
      </w:r>
      <w:r>
        <w:t xml:space="preserve"> </w:t>
      </w:r>
      <w:r w:rsidRPr="0071774C">
        <w:t>aim</w:t>
      </w:r>
      <w:r>
        <w:t xml:space="preserve"> </w:t>
      </w:r>
      <w:r w:rsidRPr="0071774C">
        <w:t>of</w:t>
      </w:r>
      <w:r>
        <w:t xml:space="preserve"> </w:t>
      </w:r>
      <w:r w:rsidRPr="0071774C">
        <w:t>guiding</w:t>
      </w:r>
      <w:r>
        <w:t xml:space="preserve"> </w:t>
      </w:r>
      <w:r w:rsidRPr="0071774C">
        <w:t>coordinated</w:t>
      </w:r>
      <w:r>
        <w:t xml:space="preserve"> </w:t>
      </w:r>
      <w:r w:rsidRPr="0071774C">
        <w:t>and</w:t>
      </w:r>
      <w:r>
        <w:t xml:space="preserve"> </w:t>
      </w:r>
      <w:r w:rsidRPr="0071774C">
        <w:t>aligned</w:t>
      </w:r>
      <w:r>
        <w:t xml:space="preserve"> </w:t>
      </w:r>
      <w:r w:rsidRPr="0071774C">
        <w:t>prevention</w:t>
      </w:r>
      <w:r>
        <w:t xml:space="preserve"> </w:t>
      </w:r>
      <w:r w:rsidRPr="0071774C">
        <w:t>work.</w:t>
      </w:r>
      <w:r>
        <w:t xml:space="preserve"> </w:t>
      </w:r>
      <w:r w:rsidRPr="0071774C">
        <w:t>A</w:t>
      </w:r>
      <w:r>
        <w:t xml:space="preserve"> </w:t>
      </w:r>
      <w:r w:rsidRPr="0071774C">
        <w:t>number</w:t>
      </w:r>
      <w:r>
        <w:t xml:space="preserve"> </w:t>
      </w:r>
      <w:r w:rsidRPr="0071774C">
        <w:t>of</w:t>
      </w:r>
      <w:r>
        <w:t xml:space="preserve"> </w:t>
      </w:r>
      <w:r w:rsidRPr="0071774C">
        <w:t>mechanisms</w:t>
      </w:r>
      <w:r>
        <w:t xml:space="preserve"> </w:t>
      </w:r>
      <w:r w:rsidRPr="0071774C">
        <w:t>and</w:t>
      </w:r>
      <w:r>
        <w:t xml:space="preserve"> </w:t>
      </w:r>
      <w:r w:rsidRPr="0071774C">
        <w:t>time-limited</w:t>
      </w:r>
      <w:r>
        <w:t xml:space="preserve"> </w:t>
      </w:r>
      <w:r w:rsidRPr="0071774C">
        <w:t>advisory</w:t>
      </w:r>
      <w:r>
        <w:t xml:space="preserve"> </w:t>
      </w:r>
      <w:r w:rsidRPr="0071774C">
        <w:t>bodies</w:t>
      </w:r>
      <w:r>
        <w:t xml:space="preserve"> </w:t>
      </w:r>
      <w:r w:rsidRPr="0071774C">
        <w:t>have</w:t>
      </w:r>
      <w:r>
        <w:t xml:space="preserve"> </w:t>
      </w:r>
      <w:r w:rsidRPr="0071774C">
        <w:t>been</w:t>
      </w:r>
      <w:r>
        <w:t xml:space="preserve"> </w:t>
      </w:r>
      <w:r w:rsidRPr="0071774C">
        <w:t>established</w:t>
      </w:r>
      <w:r>
        <w:t xml:space="preserve"> </w:t>
      </w:r>
      <w:r w:rsidRPr="0071774C">
        <w:t>to</w:t>
      </w:r>
      <w:r>
        <w:t xml:space="preserve"> </w:t>
      </w:r>
      <w:r w:rsidRPr="0071774C">
        <w:t>support</w:t>
      </w:r>
      <w:r>
        <w:t xml:space="preserve"> </w:t>
      </w:r>
      <w:r w:rsidRPr="0071774C">
        <w:t>delivery</w:t>
      </w:r>
      <w:r>
        <w:t xml:space="preserve"> </w:t>
      </w:r>
      <w:r w:rsidRPr="0071774C">
        <w:t>of</w:t>
      </w:r>
      <w:r>
        <w:t xml:space="preserve"> </w:t>
      </w:r>
      <w:r w:rsidRPr="0071774C">
        <w:t>these</w:t>
      </w:r>
      <w:r>
        <w:t xml:space="preserve"> </w:t>
      </w:r>
      <w:r w:rsidRPr="0071774C">
        <w:t>national</w:t>
      </w:r>
      <w:r>
        <w:t xml:space="preserve"> </w:t>
      </w:r>
      <w:r w:rsidRPr="0071774C">
        <w:t>and</w:t>
      </w:r>
      <w:r>
        <w:t xml:space="preserve"> </w:t>
      </w:r>
      <w:r w:rsidRPr="0071774C">
        <w:t>state/territory</w:t>
      </w:r>
      <w:r>
        <w:t xml:space="preserve"> </w:t>
      </w:r>
      <w:r w:rsidRPr="0071774C">
        <w:t>plans</w:t>
      </w:r>
      <w:r>
        <w:t xml:space="preserve"> </w:t>
      </w:r>
      <w:r w:rsidRPr="0071774C">
        <w:t>and</w:t>
      </w:r>
      <w:r>
        <w:t xml:space="preserve"> </w:t>
      </w:r>
      <w:r w:rsidRPr="0071774C">
        <w:t>strategies.</w:t>
      </w:r>
      <w:r>
        <w:t xml:space="preserve"> </w:t>
      </w:r>
      <w:r w:rsidRPr="0071774C">
        <w:t>These</w:t>
      </w:r>
      <w:r>
        <w:t xml:space="preserve"> </w:t>
      </w:r>
      <w:r w:rsidRPr="0071774C">
        <w:t>include</w:t>
      </w:r>
      <w:r>
        <w:t xml:space="preserve"> </w:t>
      </w:r>
      <w:r w:rsidRPr="0071774C">
        <w:t>government</w:t>
      </w:r>
      <w:r>
        <w:t xml:space="preserve"> </w:t>
      </w:r>
      <w:r w:rsidRPr="0071774C">
        <w:t>advisory</w:t>
      </w:r>
      <w:r>
        <w:t xml:space="preserve"> </w:t>
      </w:r>
      <w:r w:rsidRPr="0071774C">
        <w:t>bodies,</w:t>
      </w:r>
      <w:r>
        <w:t xml:space="preserve"> </w:t>
      </w:r>
      <w:r w:rsidRPr="0071774C">
        <w:t>the</w:t>
      </w:r>
      <w:r>
        <w:t xml:space="preserve"> </w:t>
      </w:r>
      <w:r w:rsidRPr="0071774C">
        <w:t>six</w:t>
      </w:r>
      <w:r>
        <w:t xml:space="preserve"> </w:t>
      </w:r>
      <w:r w:rsidRPr="0071774C">
        <w:t>funded</w:t>
      </w:r>
      <w:r>
        <w:t xml:space="preserve"> </w:t>
      </w:r>
      <w:r w:rsidRPr="0071774C">
        <w:t>National</w:t>
      </w:r>
      <w:r>
        <w:t xml:space="preserve"> </w:t>
      </w:r>
      <w:r w:rsidRPr="0071774C">
        <w:t>Women’s</w:t>
      </w:r>
      <w:r>
        <w:t xml:space="preserve"> </w:t>
      </w:r>
      <w:r w:rsidRPr="0071774C">
        <w:t>Alliances</w:t>
      </w:r>
      <w:r w:rsidRPr="0071774C">
        <w:rPr>
          <w:rStyle w:val="EndnoteReference"/>
          <w:szCs w:val="22"/>
        </w:rPr>
        <w:endnoteReference w:id="100"/>
      </w:r>
      <w:r>
        <w:t xml:space="preserve"> </w:t>
      </w:r>
      <w:r w:rsidRPr="0071774C">
        <w:t>and</w:t>
      </w:r>
      <w:r>
        <w:t xml:space="preserve"> </w:t>
      </w:r>
      <w:r w:rsidRPr="0071774C">
        <w:t>organisations</w:t>
      </w:r>
      <w:r>
        <w:t xml:space="preserve"> </w:t>
      </w:r>
      <w:r w:rsidRPr="0071774C">
        <w:t>established</w:t>
      </w:r>
      <w:r>
        <w:t xml:space="preserve"> </w:t>
      </w:r>
      <w:r w:rsidRPr="0071774C">
        <w:t>to</w:t>
      </w:r>
      <w:r>
        <w:t xml:space="preserve"> </w:t>
      </w:r>
      <w:r w:rsidRPr="0071774C">
        <w:t>provide</w:t>
      </w:r>
      <w:r>
        <w:t xml:space="preserve"> </w:t>
      </w:r>
      <w:r w:rsidRPr="0071774C">
        <w:t>national</w:t>
      </w:r>
      <w:r>
        <w:t xml:space="preserve"> </w:t>
      </w:r>
      <w:r w:rsidRPr="0071774C">
        <w:t>leadership</w:t>
      </w:r>
      <w:r>
        <w:t xml:space="preserve"> </w:t>
      </w:r>
      <w:r w:rsidRPr="0071774C">
        <w:t>in</w:t>
      </w:r>
      <w:r>
        <w:t xml:space="preserve"> </w:t>
      </w:r>
      <w:r w:rsidRPr="0071774C">
        <w:t>research</w:t>
      </w:r>
      <w:r>
        <w:t xml:space="preserve"> </w:t>
      </w:r>
      <w:r w:rsidRPr="0071774C">
        <w:t>and</w:t>
      </w:r>
      <w:r>
        <w:t xml:space="preserve"> </w:t>
      </w:r>
      <w:r w:rsidRPr="0071774C">
        <w:t>practice</w:t>
      </w:r>
      <w:r>
        <w:t xml:space="preserve"> </w:t>
      </w:r>
      <w:r w:rsidRPr="0071774C">
        <w:t>to</w:t>
      </w:r>
      <w:r>
        <w:t xml:space="preserve"> </w:t>
      </w:r>
      <w:r w:rsidRPr="0071774C">
        <w:t>prevent</w:t>
      </w:r>
      <w:r>
        <w:t xml:space="preserve"> </w:t>
      </w:r>
      <w:r w:rsidRPr="0071774C">
        <w:t>violence</w:t>
      </w:r>
      <w:r>
        <w:t xml:space="preserve"> </w:t>
      </w:r>
      <w:r w:rsidRPr="0071774C">
        <w:t>against</w:t>
      </w:r>
      <w:r>
        <w:t xml:space="preserve"> </w:t>
      </w:r>
      <w:r w:rsidRPr="0071774C">
        <w:t>women.</w:t>
      </w:r>
    </w:p>
    <w:p w14:paraId="71A8B776" w14:textId="77777777" w:rsidR="002C2EC7" w:rsidRDefault="002C2EC7" w:rsidP="00790783">
      <w:pPr>
        <w:pStyle w:val="BodyText"/>
      </w:pPr>
      <w:r w:rsidRPr="0071774C">
        <w:lastRenderedPageBreak/>
        <w:t>The</w:t>
      </w:r>
      <w:r>
        <w:t xml:space="preserve"> </w:t>
      </w:r>
      <w:r w:rsidRPr="0071774C">
        <w:t>survey</w:t>
      </w:r>
      <w:r>
        <w:t xml:space="preserve"> </w:t>
      </w:r>
      <w:r w:rsidRPr="0071774C">
        <w:t>data</w:t>
      </w:r>
      <w:r>
        <w:t xml:space="preserve"> </w:t>
      </w:r>
      <w:r w:rsidRPr="0071774C">
        <w:t>indicates</w:t>
      </w:r>
      <w:r>
        <w:t xml:space="preserve"> </w:t>
      </w:r>
      <w:r w:rsidRPr="0071774C">
        <w:t>that</w:t>
      </w:r>
      <w:r>
        <w:t xml:space="preserve"> </w:t>
      </w:r>
      <w:r w:rsidRPr="0071774C">
        <w:t>these</w:t>
      </w:r>
      <w:r>
        <w:t xml:space="preserve"> </w:t>
      </w:r>
      <w:r w:rsidRPr="0071774C">
        <w:t>organisations,</w:t>
      </w:r>
      <w:r>
        <w:t xml:space="preserve"> </w:t>
      </w:r>
      <w:r w:rsidRPr="0071774C">
        <w:t>alongside</w:t>
      </w:r>
      <w:r>
        <w:t xml:space="preserve"> </w:t>
      </w:r>
      <w:r w:rsidRPr="0071774C">
        <w:t>peak</w:t>
      </w:r>
      <w:r>
        <w:t xml:space="preserve"> </w:t>
      </w:r>
      <w:r w:rsidRPr="0071774C">
        <w:t>bodies,</w:t>
      </w:r>
      <w:r>
        <w:t xml:space="preserve"> </w:t>
      </w:r>
      <w:r w:rsidRPr="0071774C">
        <w:t>women’s</w:t>
      </w:r>
      <w:r>
        <w:t xml:space="preserve"> </w:t>
      </w:r>
      <w:r w:rsidRPr="0071774C">
        <w:t>health</w:t>
      </w:r>
      <w:r>
        <w:t xml:space="preserve"> </w:t>
      </w:r>
      <w:r w:rsidRPr="0071774C">
        <w:t>and</w:t>
      </w:r>
      <w:r>
        <w:t xml:space="preserve"> </w:t>
      </w:r>
      <w:r w:rsidRPr="0071774C">
        <w:t>gender</w:t>
      </w:r>
      <w:r>
        <w:t xml:space="preserve"> </w:t>
      </w:r>
      <w:r w:rsidRPr="0071774C">
        <w:t>equality</w:t>
      </w:r>
      <w:r>
        <w:t xml:space="preserve"> </w:t>
      </w:r>
      <w:r w:rsidRPr="0071774C">
        <w:t>organisations</w:t>
      </w:r>
      <w:r>
        <w:t xml:space="preserve"> </w:t>
      </w:r>
      <w:r w:rsidRPr="0071774C">
        <w:t>and</w:t>
      </w:r>
      <w:r>
        <w:t xml:space="preserve"> </w:t>
      </w:r>
      <w:r w:rsidRPr="0071774C">
        <w:t>individuals</w:t>
      </w:r>
      <w:r>
        <w:t xml:space="preserve"> </w:t>
      </w:r>
      <w:r w:rsidRPr="0071774C">
        <w:t>with</w:t>
      </w:r>
      <w:r>
        <w:t xml:space="preserve"> </w:t>
      </w:r>
      <w:r w:rsidRPr="0071774C">
        <w:t>lived</w:t>
      </w:r>
      <w:r>
        <w:t xml:space="preserve"> </w:t>
      </w:r>
      <w:r w:rsidRPr="0071774C">
        <w:t>experience,</w:t>
      </w:r>
      <w:r>
        <w:t xml:space="preserve"> </w:t>
      </w:r>
      <w:r w:rsidRPr="0071774C">
        <w:t>are</w:t>
      </w:r>
      <w:r>
        <w:t xml:space="preserve"> </w:t>
      </w:r>
      <w:r w:rsidRPr="0071774C">
        <w:t>playing</w:t>
      </w:r>
      <w:r>
        <w:t xml:space="preserve"> </w:t>
      </w:r>
      <w:r w:rsidRPr="0071774C">
        <w:t>a</w:t>
      </w:r>
      <w:r>
        <w:t xml:space="preserve"> </w:t>
      </w:r>
      <w:r w:rsidRPr="0071774C">
        <w:t>key</w:t>
      </w:r>
      <w:r>
        <w:t xml:space="preserve"> </w:t>
      </w:r>
      <w:r w:rsidRPr="0071774C">
        <w:t>role</w:t>
      </w:r>
      <w:r>
        <w:t xml:space="preserve"> </w:t>
      </w:r>
      <w:r w:rsidRPr="0071774C">
        <w:t>in</w:t>
      </w:r>
      <w:r>
        <w:t xml:space="preserve"> </w:t>
      </w:r>
      <w:r w:rsidRPr="0071774C">
        <w:t>shaping</w:t>
      </w:r>
      <w:r>
        <w:t xml:space="preserve"> </w:t>
      </w:r>
      <w:r w:rsidRPr="0071774C">
        <w:t>primary</w:t>
      </w:r>
      <w:r>
        <w:t xml:space="preserve"> </w:t>
      </w:r>
      <w:r w:rsidRPr="0071774C">
        <w:t>prevention</w:t>
      </w:r>
      <w:r>
        <w:t xml:space="preserve"> </w:t>
      </w:r>
      <w:r w:rsidRPr="0071774C">
        <w:t>work</w:t>
      </w:r>
      <w:r>
        <w:t xml:space="preserve"> </w:t>
      </w:r>
      <w:r w:rsidRPr="0071774C">
        <w:t>across</w:t>
      </w:r>
      <w:r>
        <w:t xml:space="preserve"> </w:t>
      </w:r>
      <w:r w:rsidRPr="0071774C">
        <w:t>Australia.</w:t>
      </w:r>
      <w:r>
        <w:t xml:space="preserve"> </w:t>
      </w:r>
      <w:r w:rsidRPr="0071774C">
        <w:t>At</w:t>
      </w:r>
      <w:r>
        <w:t xml:space="preserve"> </w:t>
      </w:r>
      <w:r w:rsidRPr="0071774C">
        <w:t>an</w:t>
      </w:r>
      <w:r>
        <w:t xml:space="preserve"> </w:t>
      </w:r>
      <w:r w:rsidRPr="0071774C">
        <w:t>organisational</w:t>
      </w:r>
      <w:r>
        <w:t xml:space="preserve"> </w:t>
      </w:r>
      <w:r w:rsidRPr="0071774C">
        <w:t>level,</w:t>
      </w:r>
      <w:r>
        <w:t xml:space="preserve"> </w:t>
      </w:r>
      <w:r w:rsidRPr="0071774C">
        <w:t>coordination</w:t>
      </w:r>
      <w:r>
        <w:t xml:space="preserve"> </w:t>
      </w:r>
      <w:r w:rsidRPr="0071774C">
        <w:t>and</w:t>
      </w:r>
      <w:r>
        <w:t xml:space="preserve"> </w:t>
      </w:r>
      <w:r w:rsidRPr="0071774C">
        <w:t>collaboration</w:t>
      </w:r>
      <w:r>
        <w:t xml:space="preserve"> </w:t>
      </w:r>
      <w:r w:rsidRPr="0071774C">
        <w:t>between</w:t>
      </w:r>
      <w:r>
        <w:t xml:space="preserve"> </w:t>
      </w:r>
      <w:r w:rsidRPr="0071774C">
        <w:t>organisations</w:t>
      </w:r>
      <w:r>
        <w:t xml:space="preserve"> </w:t>
      </w:r>
      <w:r w:rsidRPr="0071774C">
        <w:t>has</w:t>
      </w:r>
      <w:r>
        <w:t xml:space="preserve"> </w:t>
      </w:r>
      <w:r w:rsidRPr="0071774C">
        <w:t>taken</w:t>
      </w:r>
      <w:r>
        <w:t xml:space="preserve"> </w:t>
      </w:r>
      <w:r w:rsidRPr="0071774C">
        <w:t>the</w:t>
      </w:r>
      <w:r>
        <w:t xml:space="preserve"> </w:t>
      </w:r>
      <w:r w:rsidRPr="0071774C">
        <w:t>form</w:t>
      </w:r>
      <w:r>
        <w:t xml:space="preserve"> </w:t>
      </w:r>
      <w:r w:rsidRPr="0071774C">
        <w:t>of</w:t>
      </w:r>
      <w:r>
        <w:t xml:space="preserve"> </w:t>
      </w:r>
      <w:r w:rsidRPr="0071774C">
        <w:t>partnerships,</w:t>
      </w:r>
      <w:r>
        <w:t xml:space="preserve"> </w:t>
      </w:r>
      <w:r w:rsidRPr="0071774C">
        <w:t>mutual</w:t>
      </w:r>
      <w:r>
        <w:t xml:space="preserve"> </w:t>
      </w:r>
      <w:r w:rsidRPr="0071774C">
        <w:t>capacity-building</w:t>
      </w:r>
      <w:r>
        <w:t xml:space="preserve"> </w:t>
      </w:r>
      <w:r w:rsidRPr="0071774C">
        <w:t>and</w:t>
      </w:r>
      <w:r>
        <w:t xml:space="preserve"> </w:t>
      </w:r>
      <w:r w:rsidRPr="0071774C">
        <w:t>expertise</w:t>
      </w:r>
      <w:r>
        <w:t xml:space="preserve"> </w:t>
      </w:r>
      <w:r w:rsidRPr="0071774C">
        <w:t>sharing</w:t>
      </w:r>
      <w:r>
        <w:t xml:space="preserve"> </w:t>
      </w:r>
      <w:r w:rsidRPr="0071774C">
        <w:t>as</w:t>
      </w:r>
      <w:r>
        <w:t xml:space="preserve"> </w:t>
      </w:r>
      <w:r w:rsidRPr="0071774C">
        <w:t>well</w:t>
      </w:r>
      <w:r>
        <w:t xml:space="preserve"> </w:t>
      </w:r>
      <w:r w:rsidRPr="0071774C">
        <w:t>as</w:t>
      </w:r>
      <w:r>
        <w:t xml:space="preserve"> </w:t>
      </w:r>
      <w:r w:rsidRPr="0071774C">
        <w:t>the</w:t>
      </w:r>
      <w:r>
        <w:t xml:space="preserve"> </w:t>
      </w:r>
      <w:r w:rsidRPr="0071774C">
        <w:t>issuing</w:t>
      </w:r>
      <w:r>
        <w:t xml:space="preserve"> </w:t>
      </w:r>
      <w:r w:rsidRPr="0071774C">
        <w:t>of</w:t>
      </w:r>
      <w:r>
        <w:t xml:space="preserve"> </w:t>
      </w:r>
      <w:r w:rsidRPr="0071774C">
        <w:t>joint</w:t>
      </w:r>
      <w:r>
        <w:t xml:space="preserve"> </w:t>
      </w:r>
      <w:r w:rsidRPr="0071774C">
        <w:t>statements</w:t>
      </w:r>
      <w:r>
        <w:t xml:space="preserve"> </w:t>
      </w:r>
      <w:r w:rsidRPr="0071774C">
        <w:t>or</w:t>
      </w:r>
      <w:r>
        <w:t xml:space="preserve"> </w:t>
      </w:r>
      <w:r w:rsidRPr="0071774C">
        <w:t>co-delivery</w:t>
      </w:r>
      <w:r>
        <w:t xml:space="preserve"> </w:t>
      </w:r>
      <w:r w:rsidRPr="0071774C">
        <w:t>of</w:t>
      </w:r>
      <w:r>
        <w:t xml:space="preserve"> </w:t>
      </w:r>
      <w:r w:rsidRPr="0071774C">
        <w:t>activities.</w:t>
      </w:r>
      <w:r>
        <w:t xml:space="preserve"> </w:t>
      </w:r>
      <w:r w:rsidRPr="0071774C">
        <w:t>Often</w:t>
      </w:r>
      <w:r>
        <w:t xml:space="preserve"> </w:t>
      </w:r>
      <w:r w:rsidRPr="0071774C">
        <w:t>these</w:t>
      </w:r>
      <w:r>
        <w:t xml:space="preserve"> </w:t>
      </w:r>
      <w:r w:rsidRPr="0071774C">
        <w:t>are</w:t>
      </w:r>
      <w:r>
        <w:t xml:space="preserve"> </w:t>
      </w:r>
      <w:r w:rsidRPr="0071774C">
        <w:t>unfunded</w:t>
      </w:r>
      <w:r>
        <w:t xml:space="preserve"> </w:t>
      </w:r>
      <w:r w:rsidRPr="0071774C">
        <w:t>activities,</w:t>
      </w:r>
      <w:r>
        <w:t xml:space="preserve"> </w:t>
      </w:r>
      <w:r w:rsidRPr="0071774C">
        <w:t>creating</w:t>
      </w:r>
      <w:r>
        <w:t xml:space="preserve"> </w:t>
      </w:r>
      <w:r w:rsidRPr="0071774C">
        <w:t>an</w:t>
      </w:r>
      <w:r>
        <w:t xml:space="preserve"> </w:t>
      </w:r>
      <w:r w:rsidRPr="0071774C">
        <w:t>ongoing</w:t>
      </w:r>
      <w:r>
        <w:t xml:space="preserve"> </w:t>
      </w:r>
      <w:r w:rsidRPr="0071774C">
        <w:t>resourcing</w:t>
      </w:r>
      <w:r>
        <w:t xml:space="preserve"> </w:t>
      </w:r>
      <w:r w:rsidRPr="0071774C">
        <w:t>challenge</w:t>
      </w:r>
      <w:r>
        <w:t xml:space="preserve"> </w:t>
      </w:r>
      <w:r w:rsidRPr="0071774C">
        <w:t>for</w:t>
      </w:r>
      <w:r>
        <w:t xml:space="preserve"> </w:t>
      </w:r>
      <w:r w:rsidRPr="0071774C">
        <w:t>partnering</w:t>
      </w:r>
      <w:r>
        <w:t xml:space="preserve"> </w:t>
      </w:r>
      <w:r w:rsidRPr="0071774C">
        <w:t>organisations.</w:t>
      </w:r>
    </w:p>
    <w:p w14:paraId="70930B1F" w14:textId="069126C4" w:rsidR="002C2EC7" w:rsidRDefault="002C2EC7" w:rsidP="00790783">
      <w:pPr>
        <w:pStyle w:val="BodyText"/>
      </w:pPr>
      <w:r>
        <w:t>Taken a</w:t>
      </w:r>
      <w:r w:rsidRPr="0071774C">
        <w:t>ll</w:t>
      </w:r>
      <w:r>
        <w:t xml:space="preserve"> </w:t>
      </w:r>
      <w:r w:rsidRPr="0071774C">
        <w:t>together,</w:t>
      </w:r>
      <w:r>
        <w:t xml:space="preserve"> </w:t>
      </w:r>
      <w:r w:rsidRPr="0071774C">
        <w:t>these</w:t>
      </w:r>
      <w:r>
        <w:t xml:space="preserve"> </w:t>
      </w:r>
      <w:r w:rsidRPr="0071774C">
        <w:t>are</w:t>
      </w:r>
      <w:r>
        <w:t xml:space="preserve"> </w:t>
      </w:r>
      <w:r w:rsidRPr="0071774C">
        <w:t>promising</w:t>
      </w:r>
      <w:r>
        <w:t xml:space="preserve"> </w:t>
      </w:r>
      <w:r w:rsidRPr="0071774C">
        <w:t>developments</w:t>
      </w:r>
      <w:r>
        <w:t>. H</w:t>
      </w:r>
      <w:r w:rsidRPr="0071774C">
        <w:t>owever,</w:t>
      </w:r>
      <w:r>
        <w:t xml:space="preserve"> </w:t>
      </w:r>
      <w:r w:rsidRPr="0071774C">
        <w:t>to</w:t>
      </w:r>
      <w:r>
        <w:t xml:space="preserve"> </w:t>
      </w:r>
      <w:r w:rsidRPr="0071774C">
        <w:t>support</w:t>
      </w:r>
      <w:r>
        <w:t xml:space="preserve"> </w:t>
      </w:r>
      <w:r w:rsidRPr="0071774C">
        <w:t>increased</w:t>
      </w:r>
      <w:r>
        <w:t xml:space="preserve"> </w:t>
      </w:r>
      <w:r w:rsidRPr="0071774C">
        <w:t>coordination</w:t>
      </w:r>
      <w:r>
        <w:t xml:space="preserve"> </w:t>
      </w:r>
      <w:r w:rsidRPr="0071774C">
        <w:t>and</w:t>
      </w:r>
      <w:r>
        <w:t xml:space="preserve"> </w:t>
      </w:r>
      <w:r w:rsidRPr="0071774C">
        <w:t>long-term</w:t>
      </w:r>
      <w:r>
        <w:t xml:space="preserve"> </w:t>
      </w:r>
      <w:r w:rsidRPr="0071774C">
        <w:t>sustainability</w:t>
      </w:r>
      <w:r>
        <w:t xml:space="preserve"> </w:t>
      </w:r>
      <w:r w:rsidRPr="0071774C">
        <w:t>across</w:t>
      </w:r>
      <w:r>
        <w:t xml:space="preserve"> </w:t>
      </w:r>
      <w:r w:rsidRPr="0071774C">
        <w:t>Australia</w:t>
      </w:r>
      <w:r>
        <w:t xml:space="preserve">, </w:t>
      </w:r>
      <w:r w:rsidR="007D3547">
        <w:t>it is necessary to</w:t>
      </w:r>
      <w:r w:rsidR="00AD6D86">
        <w:t xml:space="preserve"> ensure</w:t>
      </w:r>
      <w:r>
        <w:t>:</w:t>
      </w:r>
    </w:p>
    <w:p w14:paraId="541E9BC5" w14:textId="3A3E011A" w:rsidR="002C2EC7" w:rsidRDefault="002C2EC7" w:rsidP="00790783">
      <w:pPr>
        <w:pStyle w:val="OWBullet1"/>
      </w:pPr>
      <w:r w:rsidRPr="005068F2">
        <w:t>increased</w:t>
      </w:r>
      <w:r>
        <w:t xml:space="preserve"> </w:t>
      </w:r>
      <w:r w:rsidRPr="005068F2">
        <w:t>attention</w:t>
      </w:r>
      <w:r>
        <w:t xml:space="preserve"> </w:t>
      </w:r>
      <w:r w:rsidRPr="005068F2">
        <w:t>to</w:t>
      </w:r>
      <w:r>
        <w:t xml:space="preserve"> </w:t>
      </w:r>
      <w:r w:rsidRPr="005068F2">
        <w:t>the</w:t>
      </w:r>
      <w:r>
        <w:t xml:space="preserve"> </w:t>
      </w:r>
      <w:r w:rsidRPr="005068F2">
        <w:t>creation</w:t>
      </w:r>
      <w:r>
        <w:t xml:space="preserve"> </w:t>
      </w:r>
      <w:r w:rsidRPr="005068F2">
        <w:t>of</w:t>
      </w:r>
      <w:r>
        <w:t xml:space="preserve"> </w:t>
      </w:r>
      <w:r w:rsidRPr="005068F2">
        <w:t>dedicated</w:t>
      </w:r>
      <w:r>
        <w:t xml:space="preserve"> </w:t>
      </w:r>
      <w:r w:rsidRPr="005068F2">
        <w:t>mechanisms</w:t>
      </w:r>
      <w:r>
        <w:t xml:space="preserve"> </w:t>
      </w:r>
      <w:r w:rsidRPr="005068F2">
        <w:t>to</w:t>
      </w:r>
      <w:r>
        <w:t xml:space="preserve"> </w:t>
      </w:r>
      <w:r w:rsidRPr="005068F2">
        <w:t>coordinate</w:t>
      </w:r>
      <w:r>
        <w:t xml:space="preserve"> </w:t>
      </w:r>
      <w:r w:rsidRPr="005068F2">
        <w:t>intra-</w:t>
      </w:r>
      <w:r>
        <w:t xml:space="preserve"> </w:t>
      </w:r>
      <w:r w:rsidRPr="005068F2">
        <w:t>and</w:t>
      </w:r>
      <w:r w:rsidR="00C11BA2">
        <w:t> </w:t>
      </w:r>
      <w:r w:rsidRPr="005068F2">
        <w:t>inter-governmental</w:t>
      </w:r>
      <w:r>
        <w:t xml:space="preserve"> </w:t>
      </w:r>
      <w:r w:rsidRPr="005068F2">
        <w:t>work</w:t>
      </w:r>
    </w:p>
    <w:p w14:paraId="354AC9FB" w14:textId="77777777" w:rsidR="002C2EC7" w:rsidRDefault="002C2EC7" w:rsidP="00790783">
      <w:pPr>
        <w:pStyle w:val="OWBullet1"/>
      </w:pPr>
      <w:r w:rsidRPr="005068F2">
        <w:t>more</w:t>
      </w:r>
      <w:r>
        <w:t xml:space="preserve"> </w:t>
      </w:r>
      <w:r w:rsidRPr="005068F2">
        <w:t>formal</w:t>
      </w:r>
      <w:r>
        <w:t xml:space="preserve"> </w:t>
      </w:r>
      <w:r w:rsidRPr="005068F2">
        <w:t>and</w:t>
      </w:r>
      <w:r>
        <w:t xml:space="preserve"> </w:t>
      </w:r>
      <w:r w:rsidRPr="005068F2">
        <w:t>transparent</w:t>
      </w:r>
      <w:r>
        <w:t xml:space="preserve"> </w:t>
      </w:r>
      <w:r w:rsidRPr="005068F2">
        <w:t>opportunities</w:t>
      </w:r>
      <w:r>
        <w:t xml:space="preserve"> </w:t>
      </w:r>
      <w:r w:rsidRPr="005068F2">
        <w:t>for</w:t>
      </w:r>
      <w:r>
        <w:t xml:space="preserve"> </w:t>
      </w:r>
      <w:r w:rsidRPr="005068F2">
        <w:t>effective</w:t>
      </w:r>
      <w:r>
        <w:t xml:space="preserve"> </w:t>
      </w:r>
      <w:r w:rsidRPr="005068F2">
        <w:t>civil</w:t>
      </w:r>
      <w:r>
        <w:t xml:space="preserve"> </w:t>
      </w:r>
      <w:r w:rsidRPr="005068F2">
        <w:t>society</w:t>
      </w:r>
      <w:r>
        <w:t xml:space="preserve"> </w:t>
      </w:r>
      <w:r w:rsidRPr="005068F2">
        <w:t>engagement,</w:t>
      </w:r>
      <w:r>
        <w:t xml:space="preserve"> </w:t>
      </w:r>
      <w:r w:rsidRPr="005068F2">
        <w:t>and</w:t>
      </w:r>
    </w:p>
    <w:p w14:paraId="11336DDD" w14:textId="42CCB6EB" w:rsidR="002C2EC7" w:rsidRDefault="002C2EC7" w:rsidP="00790783">
      <w:pPr>
        <w:pStyle w:val="OWBullet1"/>
      </w:pPr>
      <w:r w:rsidRPr="005068F2">
        <w:t>increased</w:t>
      </w:r>
      <w:r>
        <w:t xml:space="preserve"> </w:t>
      </w:r>
      <w:r w:rsidRPr="005068F2">
        <w:t>funding</w:t>
      </w:r>
      <w:r>
        <w:t xml:space="preserve"> </w:t>
      </w:r>
      <w:r w:rsidRPr="005068F2">
        <w:t>to</w:t>
      </w:r>
      <w:r>
        <w:t xml:space="preserve"> </w:t>
      </w:r>
      <w:r w:rsidRPr="005068F2">
        <w:t>support</w:t>
      </w:r>
      <w:r>
        <w:t xml:space="preserve"> </w:t>
      </w:r>
      <w:r w:rsidRPr="005068F2">
        <w:t>collaboration</w:t>
      </w:r>
      <w:r w:rsidR="00EE0396">
        <w:t xml:space="preserve"> and partnerships</w:t>
      </w:r>
      <w:r w:rsidRPr="005068F2">
        <w:t>.</w:t>
      </w:r>
    </w:p>
    <w:p w14:paraId="7D0A7C4A" w14:textId="77777777" w:rsidR="002C2EC7" w:rsidRDefault="002C2EC7" w:rsidP="00790783">
      <w:pPr>
        <w:pStyle w:val="Heading5"/>
      </w:pPr>
      <w:bookmarkStart w:id="55" w:name="_Toc41559733"/>
      <w:r w:rsidRPr="0071774C">
        <w:t>Supporting</w:t>
      </w:r>
      <w:r>
        <w:t xml:space="preserve"> </w:t>
      </w:r>
      <w:r w:rsidRPr="0071774C">
        <w:t>coordination</w:t>
      </w:r>
      <w:bookmarkEnd w:id="55"/>
    </w:p>
    <w:p w14:paraId="164F2E41" w14:textId="45253656" w:rsidR="002C2EC7" w:rsidRDefault="002C2EC7" w:rsidP="00790783">
      <w:pPr>
        <w:pStyle w:val="BodyText"/>
      </w:pPr>
      <w:r w:rsidRPr="0071774C">
        <w:t>The</w:t>
      </w:r>
      <w:r>
        <w:t xml:space="preserve"> </w:t>
      </w:r>
      <w:r w:rsidRPr="0071774C">
        <w:t>last</w:t>
      </w:r>
      <w:r>
        <w:t xml:space="preserve"> </w:t>
      </w:r>
      <w:r w:rsidRPr="0071774C">
        <w:t>ten</w:t>
      </w:r>
      <w:r>
        <w:t xml:space="preserve"> </w:t>
      </w:r>
      <w:r w:rsidRPr="0071774C">
        <w:t>years</w:t>
      </w:r>
      <w:r>
        <w:t xml:space="preserve"> </w:t>
      </w:r>
      <w:r w:rsidRPr="0071774C">
        <w:t>has</w:t>
      </w:r>
      <w:r>
        <w:t xml:space="preserve"> </w:t>
      </w:r>
      <w:r w:rsidRPr="0071774C">
        <w:t>seen</w:t>
      </w:r>
      <w:r>
        <w:t xml:space="preserve"> </w:t>
      </w:r>
      <w:r w:rsidRPr="0071774C">
        <w:t>the</w:t>
      </w:r>
      <w:r>
        <w:t xml:space="preserve"> </w:t>
      </w:r>
      <w:r w:rsidRPr="0071774C">
        <w:t>establishment</w:t>
      </w:r>
      <w:r>
        <w:t xml:space="preserve"> </w:t>
      </w:r>
      <w:r w:rsidRPr="0071774C">
        <w:t>of</w:t>
      </w:r>
      <w:r>
        <w:t xml:space="preserve"> </w:t>
      </w:r>
      <w:r w:rsidRPr="0071774C">
        <w:t>some</w:t>
      </w:r>
      <w:r>
        <w:t xml:space="preserve"> </w:t>
      </w:r>
      <w:r w:rsidRPr="0071774C">
        <w:t>mechanisms</w:t>
      </w:r>
      <w:r>
        <w:t xml:space="preserve"> </w:t>
      </w:r>
      <w:r w:rsidRPr="0071774C">
        <w:t>to</w:t>
      </w:r>
      <w:r>
        <w:t xml:space="preserve"> </w:t>
      </w:r>
      <w:r w:rsidRPr="0071774C">
        <w:t>support</w:t>
      </w:r>
      <w:r>
        <w:t xml:space="preserve"> </w:t>
      </w:r>
      <w:r w:rsidRPr="0071774C">
        <w:t>coordination</w:t>
      </w:r>
      <w:r>
        <w:t xml:space="preserve"> </w:t>
      </w:r>
      <w:r w:rsidRPr="0071774C">
        <w:t>across</w:t>
      </w:r>
      <w:r>
        <w:t xml:space="preserve"> </w:t>
      </w:r>
      <w:r w:rsidRPr="0071774C">
        <w:t>different</w:t>
      </w:r>
      <w:r>
        <w:t xml:space="preserve"> </w:t>
      </w:r>
      <w:r w:rsidRPr="0071774C">
        <w:t>levels</w:t>
      </w:r>
      <w:r>
        <w:t xml:space="preserve"> </w:t>
      </w:r>
      <w:r w:rsidRPr="0071774C">
        <w:t>of</w:t>
      </w:r>
      <w:r>
        <w:t xml:space="preserve"> </w:t>
      </w:r>
      <w:r w:rsidRPr="0071774C">
        <w:t>government,</w:t>
      </w:r>
      <w:r>
        <w:t xml:space="preserve"> </w:t>
      </w:r>
      <w:r w:rsidRPr="0071774C">
        <w:t>designed</w:t>
      </w:r>
      <w:r>
        <w:t xml:space="preserve"> </w:t>
      </w:r>
      <w:r w:rsidRPr="0071774C">
        <w:t>to</w:t>
      </w:r>
      <w:r>
        <w:t xml:space="preserve"> </w:t>
      </w:r>
      <w:r w:rsidRPr="0071774C">
        <w:t>ensure</w:t>
      </w:r>
      <w:r>
        <w:t xml:space="preserve"> </w:t>
      </w:r>
      <w:r w:rsidRPr="0071774C">
        <w:t>consistency</w:t>
      </w:r>
      <w:r>
        <w:t xml:space="preserve"> </w:t>
      </w:r>
      <w:r w:rsidRPr="0071774C">
        <w:t>between</w:t>
      </w:r>
      <w:r>
        <w:t xml:space="preserve"> </w:t>
      </w:r>
      <w:r w:rsidRPr="0071774C">
        <w:t>legislative</w:t>
      </w:r>
      <w:r>
        <w:t xml:space="preserve"> </w:t>
      </w:r>
      <w:r w:rsidRPr="0071774C">
        <w:t>and</w:t>
      </w:r>
      <w:r>
        <w:t xml:space="preserve"> </w:t>
      </w:r>
      <w:r w:rsidRPr="0071774C">
        <w:t>policy</w:t>
      </w:r>
      <w:r>
        <w:t xml:space="preserve"> </w:t>
      </w:r>
      <w:r w:rsidRPr="0071774C">
        <w:t>reforms,</w:t>
      </w:r>
      <w:r>
        <w:t xml:space="preserve"> </w:t>
      </w:r>
      <w:r w:rsidRPr="0071774C">
        <w:t>programs,</w:t>
      </w:r>
      <w:r>
        <w:t xml:space="preserve"> </w:t>
      </w:r>
      <w:r w:rsidRPr="0071774C">
        <w:t>communications,</w:t>
      </w:r>
      <w:r>
        <w:t xml:space="preserve"> </w:t>
      </w:r>
      <w:r w:rsidRPr="0071774C">
        <w:t>campaigns</w:t>
      </w:r>
      <w:r w:rsidR="00916185">
        <w:t>,</w:t>
      </w:r>
      <w:r>
        <w:t xml:space="preserve"> </w:t>
      </w:r>
      <w:r w:rsidRPr="0071774C">
        <w:t>and</w:t>
      </w:r>
      <w:r>
        <w:t xml:space="preserve"> </w:t>
      </w:r>
      <w:r w:rsidRPr="0071774C">
        <w:t>other</w:t>
      </w:r>
      <w:r>
        <w:t xml:space="preserve"> </w:t>
      </w:r>
      <w:r w:rsidRPr="0071774C">
        <w:t>prevention</w:t>
      </w:r>
      <w:r>
        <w:t xml:space="preserve"> </w:t>
      </w:r>
      <w:r w:rsidRPr="0071774C">
        <w:t>efforts.</w:t>
      </w:r>
      <w:r>
        <w:t xml:space="preserve"> </w:t>
      </w:r>
      <w:r w:rsidRPr="0071774C">
        <w:t>These</w:t>
      </w:r>
      <w:r>
        <w:t xml:space="preserve"> </w:t>
      </w:r>
      <w:r w:rsidRPr="0071774C">
        <w:t>are</w:t>
      </w:r>
      <w:r>
        <w:t xml:space="preserve"> </w:t>
      </w:r>
      <w:r w:rsidRPr="0071774C">
        <w:t>encouraging</w:t>
      </w:r>
      <w:r>
        <w:t xml:space="preserve"> </w:t>
      </w:r>
      <w:r w:rsidRPr="0071774C">
        <w:t>signs</w:t>
      </w:r>
      <w:r>
        <w:t xml:space="preserve"> </w:t>
      </w:r>
      <w:r w:rsidRPr="0071774C">
        <w:t>of</w:t>
      </w:r>
      <w:r>
        <w:t xml:space="preserve"> </w:t>
      </w:r>
      <w:r w:rsidRPr="0071774C">
        <w:t>steps</w:t>
      </w:r>
      <w:r>
        <w:t xml:space="preserve"> </w:t>
      </w:r>
      <w:r w:rsidRPr="0071774C">
        <w:t>towards</w:t>
      </w:r>
      <w:r>
        <w:t xml:space="preserve"> </w:t>
      </w:r>
      <w:r w:rsidRPr="0071774C">
        <w:t>building</w:t>
      </w:r>
      <w:r>
        <w:t xml:space="preserve"> </w:t>
      </w:r>
      <w:r w:rsidRPr="0071774C">
        <w:t>this</w:t>
      </w:r>
      <w:r>
        <w:t xml:space="preserve"> </w:t>
      </w:r>
      <w:r w:rsidRPr="0071774C">
        <w:t>element</w:t>
      </w:r>
      <w:r>
        <w:t xml:space="preserve"> </w:t>
      </w:r>
      <w:r w:rsidRPr="0071774C">
        <w:t>of</w:t>
      </w:r>
      <w:r>
        <w:t xml:space="preserve"> </w:t>
      </w:r>
      <w:r w:rsidRPr="0071774C">
        <w:t>prevention</w:t>
      </w:r>
      <w:r>
        <w:t xml:space="preserve"> </w:t>
      </w:r>
      <w:r w:rsidRPr="0071774C">
        <w:t>infrastructure.</w:t>
      </w:r>
    </w:p>
    <w:p w14:paraId="76AE2164" w14:textId="2E0915D0" w:rsidR="002C2EC7" w:rsidRPr="00187A71" w:rsidRDefault="002C2EC7" w:rsidP="00790783">
      <w:pPr>
        <w:pStyle w:val="BodyText"/>
      </w:pPr>
      <w:r w:rsidRPr="0071774C">
        <w:t>However,</w:t>
      </w:r>
      <w:r>
        <w:t xml:space="preserve"> </w:t>
      </w:r>
      <w:r w:rsidRPr="0071774C">
        <w:t>there</w:t>
      </w:r>
      <w:r>
        <w:t xml:space="preserve"> </w:t>
      </w:r>
      <w:r w:rsidRPr="0071774C">
        <w:t>is</w:t>
      </w:r>
      <w:r>
        <w:t xml:space="preserve"> </w:t>
      </w:r>
      <w:r w:rsidRPr="0071774C">
        <w:t>more</w:t>
      </w:r>
      <w:r>
        <w:t xml:space="preserve"> </w:t>
      </w:r>
      <w:r w:rsidRPr="0071774C">
        <w:t>work</w:t>
      </w:r>
      <w:r>
        <w:t xml:space="preserve"> </w:t>
      </w:r>
      <w:r w:rsidRPr="0071774C">
        <w:t>required</w:t>
      </w:r>
      <w:r>
        <w:t xml:space="preserve"> </w:t>
      </w:r>
      <w:r w:rsidRPr="0071774C">
        <w:t>to</w:t>
      </w:r>
      <w:r>
        <w:t xml:space="preserve"> </w:t>
      </w:r>
      <w:r w:rsidRPr="0071774C">
        <w:t>ensure</w:t>
      </w:r>
      <w:r>
        <w:t xml:space="preserve"> </w:t>
      </w:r>
      <w:r w:rsidRPr="0071774C">
        <w:t>that</w:t>
      </w:r>
      <w:r>
        <w:t xml:space="preserve"> </w:t>
      </w:r>
      <w:r w:rsidRPr="0071774C">
        <w:t>these</w:t>
      </w:r>
      <w:r>
        <w:t xml:space="preserve"> </w:t>
      </w:r>
      <w:r w:rsidRPr="0071774C">
        <w:t>mechanisms</w:t>
      </w:r>
      <w:r>
        <w:t xml:space="preserve"> </w:t>
      </w:r>
      <w:r w:rsidRPr="0071774C">
        <w:t>are</w:t>
      </w:r>
      <w:r>
        <w:t xml:space="preserve"> </w:t>
      </w:r>
      <w:r w:rsidRPr="0071774C">
        <w:t>able</w:t>
      </w:r>
      <w:r>
        <w:t xml:space="preserve"> </w:t>
      </w:r>
      <w:r w:rsidRPr="0071774C">
        <w:t>to</w:t>
      </w:r>
      <w:r>
        <w:t xml:space="preserve"> </w:t>
      </w:r>
      <w:r w:rsidRPr="0071774C">
        <w:t>coordinate</w:t>
      </w:r>
      <w:r>
        <w:t xml:space="preserve"> </w:t>
      </w:r>
      <w:r w:rsidRPr="0071774C">
        <w:t>and</w:t>
      </w:r>
      <w:r>
        <w:t xml:space="preserve"> </w:t>
      </w:r>
      <w:r w:rsidRPr="0071774C">
        <w:t>manage</w:t>
      </w:r>
      <w:r>
        <w:t xml:space="preserve"> </w:t>
      </w:r>
      <w:r w:rsidRPr="0071774C">
        <w:t>the</w:t>
      </w:r>
      <w:r>
        <w:t xml:space="preserve"> </w:t>
      </w:r>
      <w:r w:rsidRPr="0071774C">
        <w:t>complex</w:t>
      </w:r>
      <w:r>
        <w:t xml:space="preserve"> </w:t>
      </w:r>
      <w:r w:rsidRPr="0071774C">
        <w:t>work</w:t>
      </w:r>
      <w:r>
        <w:t xml:space="preserve"> </w:t>
      </w:r>
      <w:r w:rsidRPr="0071774C">
        <w:t>of</w:t>
      </w:r>
      <w:r>
        <w:t xml:space="preserve"> </w:t>
      </w:r>
      <w:r w:rsidRPr="0071774C">
        <w:t>undertaking</w:t>
      </w:r>
      <w:r>
        <w:t xml:space="preserve"> </w:t>
      </w:r>
      <w:r w:rsidRPr="0071774C">
        <w:t>the</w:t>
      </w:r>
      <w:r>
        <w:t xml:space="preserve"> </w:t>
      </w:r>
      <w:r w:rsidRPr="0071774C">
        <w:t>multi-level</w:t>
      </w:r>
      <w:r>
        <w:t xml:space="preserve"> </w:t>
      </w:r>
      <w:r w:rsidRPr="0071774C">
        <w:t>staged</w:t>
      </w:r>
      <w:r>
        <w:t xml:space="preserve"> </w:t>
      </w:r>
      <w:r w:rsidRPr="0071774C">
        <w:t>systems</w:t>
      </w:r>
      <w:r>
        <w:t xml:space="preserve"> </w:t>
      </w:r>
      <w:r w:rsidRPr="0071774C">
        <w:t>reforms</w:t>
      </w:r>
      <w:r>
        <w:t xml:space="preserve"> </w:t>
      </w:r>
      <w:r w:rsidRPr="0071774C">
        <w:t>required</w:t>
      </w:r>
      <w:r>
        <w:t xml:space="preserve"> </w:t>
      </w:r>
      <w:r w:rsidRPr="0071774C">
        <w:t>for</w:t>
      </w:r>
      <w:r>
        <w:t xml:space="preserve"> </w:t>
      </w:r>
      <w:r w:rsidRPr="0071774C">
        <w:t>sustained,</w:t>
      </w:r>
      <w:r>
        <w:t xml:space="preserve"> </w:t>
      </w:r>
      <w:r w:rsidRPr="0071774C">
        <w:t>long-term</w:t>
      </w:r>
      <w:r>
        <w:t xml:space="preserve"> </w:t>
      </w:r>
      <w:r w:rsidRPr="0071774C">
        <w:t>prevention.</w:t>
      </w:r>
      <w:r>
        <w:t xml:space="preserve"> </w:t>
      </w:r>
      <w:r w:rsidRPr="00187A71">
        <w:t xml:space="preserve">This point has been articulated within </w:t>
      </w:r>
      <w:r w:rsidR="00916185" w:rsidRPr="00187A71">
        <w:t>several</w:t>
      </w:r>
      <w:r w:rsidRPr="00187A71">
        <w:t xml:space="preserve"> reports, including the 2015 Senate Finance and Public Administration Committee report to parliament that included recommendations for the Commonwealth government to</w:t>
      </w:r>
      <w:r w:rsidR="001670E3">
        <w:t> </w:t>
      </w:r>
      <w:r w:rsidRPr="00187A71">
        <w:t>lead on improving coordination mechanisms, including that it:</w:t>
      </w:r>
    </w:p>
    <w:p w14:paraId="1143F8DC" w14:textId="08A3815C" w:rsidR="002C2EC7" w:rsidRPr="00ED4674" w:rsidRDefault="002C2EC7" w:rsidP="00790783">
      <w:pPr>
        <w:pStyle w:val="Quote"/>
      </w:pPr>
      <w:r w:rsidRPr="007C552E">
        <w:t>‘investigate</w:t>
      </w:r>
      <w:r>
        <w:t xml:space="preserve"> </w:t>
      </w:r>
      <w:r w:rsidRPr="007C552E">
        <w:t>ways</w:t>
      </w:r>
      <w:r>
        <w:t xml:space="preserve"> </w:t>
      </w:r>
      <w:r w:rsidRPr="007C552E">
        <w:t>to</w:t>
      </w:r>
      <w:r>
        <w:t xml:space="preserve"> </w:t>
      </w:r>
      <w:r w:rsidRPr="007C552E">
        <w:t>improve</w:t>
      </w:r>
      <w:r>
        <w:t xml:space="preserve"> </w:t>
      </w:r>
      <w:r w:rsidRPr="007C552E">
        <w:t>consultation</w:t>
      </w:r>
      <w:r>
        <w:t xml:space="preserve"> </w:t>
      </w:r>
      <w:r w:rsidRPr="007C552E">
        <w:t>with</w:t>
      </w:r>
      <w:r>
        <w:t xml:space="preserve"> </w:t>
      </w:r>
      <w:r w:rsidRPr="007C552E">
        <w:t>the</w:t>
      </w:r>
      <w:r>
        <w:t xml:space="preserve"> </w:t>
      </w:r>
      <w:r w:rsidRPr="007C552E">
        <w:t>domestic</w:t>
      </w:r>
      <w:r>
        <w:t xml:space="preserve"> </w:t>
      </w:r>
      <w:r w:rsidRPr="007C552E">
        <w:t>and</w:t>
      </w:r>
      <w:r>
        <w:t xml:space="preserve"> </w:t>
      </w:r>
      <w:r w:rsidRPr="007C552E">
        <w:t>family</w:t>
      </w:r>
      <w:r>
        <w:t xml:space="preserve"> </w:t>
      </w:r>
      <w:r w:rsidRPr="007C552E">
        <w:t>violence</w:t>
      </w:r>
      <w:r>
        <w:t xml:space="preserve"> </w:t>
      </w:r>
      <w:r w:rsidRPr="007C552E">
        <w:t>sector,</w:t>
      </w:r>
      <w:r>
        <w:t xml:space="preserve"> </w:t>
      </w:r>
      <w:r w:rsidRPr="007C552E">
        <w:t>particularly</w:t>
      </w:r>
      <w:r>
        <w:t xml:space="preserve"> </w:t>
      </w:r>
      <w:r w:rsidRPr="007C552E">
        <w:t>in</w:t>
      </w:r>
      <w:r>
        <w:t xml:space="preserve"> </w:t>
      </w:r>
      <w:r w:rsidRPr="007C552E">
        <w:t>relation</w:t>
      </w:r>
      <w:r>
        <w:t xml:space="preserve"> </w:t>
      </w:r>
      <w:r w:rsidRPr="007C552E">
        <w:t>to</w:t>
      </w:r>
      <w:r>
        <w:t xml:space="preserve"> </w:t>
      </w:r>
      <w:r w:rsidRPr="007C552E">
        <w:t>the</w:t>
      </w:r>
      <w:r>
        <w:t xml:space="preserve"> </w:t>
      </w:r>
      <w:r w:rsidRPr="007C552E">
        <w:t>evaluation</w:t>
      </w:r>
      <w:r>
        <w:t xml:space="preserve"> </w:t>
      </w:r>
      <w:r w:rsidRPr="007C552E">
        <w:t>of</w:t>
      </w:r>
      <w:r>
        <w:t xml:space="preserve"> </w:t>
      </w:r>
      <w:r w:rsidRPr="007C552E">
        <w:t>the</w:t>
      </w:r>
      <w:r>
        <w:t xml:space="preserve"> </w:t>
      </w:r>
      <w:r w:rsidRPr="007C552E">
        <w:t>National</w:t>
      </w:r>
      <w:r>
        <w:t xml:space="preserve"> </w:t>
      </w:r>
      <w:r w:rsidRPr="007C552E">
        <w:t>Plan</w:t>
      </w:r>
      <w:r>
        <w:t xml:space="preserve"> </w:t>
      </w:r>
      <w:r w:rsidRPr="007C552E">
        <w:t>and</w:t>
      </w:r>
      <w:r>
        <w:t xml:space="preserve"> </w:t>
      </w:r>
      <w:r w:rsidRPr="007C552E">
        <w:t>Action</w:t>
      </w:r>
      <w:r>
        <w:t xml:space="preserve"> </w:t>
      </w:r>
      <w:r w:rsidRPr="007C552E">
        <w:t>Plans</w:t>
      </w:r>
      <w:r>
        <w:t xml:space="preserve"> </w:t>
      </w:r>
      <w:r w:rsidRPr="007C552E">
        <w:t>and</w:t>
      </w:r>
      <w:r>
        <w:t xml:space="preserve"> </w:t>
      </w:r>
      <w:r w:rsidRPr="007C552E">
        <w:t>to</w:t>
      </w:r>
      <w:r>
        <w:t xml:space="preserve"> </w:t>
      </w:r>
      <w:r w:rsidRPr="007C552E">
        <w:t>inform</w:t>
      </w:r>
      <w:r>
        <w:t xml:space="preserve"> </w:t>
      </w:r>
      <w:r w:rsidRPr="007C552E">
        <w:t>the</w:t>
      </w:r>
      <w:r>
        <w:t xml:space="preserve"> </w:t>
      </w:r>
      <w:r w:rsidRPr="007C552E">
        <w:t>development</w:t>
      </w:r>
      <w:r>
        <w:t xml:space="preserve"> </w:t>
      </w:r>
      <w:r w:rsidRPr="007C552E">
        <w:t>of</w:t>
      </w:r>
      <w:r>
        <w:t xml:space="preserve"> </w:t>
      </w:r>
      <w:r w:rsidRPr="007C552E">
        <w:t>future</w:t>
      </w:r>
      <w:r>
        <w:t xml:space="preserve"> </w:t>
      </w:r>
      <w:r w:rsidRPr="007C552E">
        <w:t>Action</w:t>
      </w:r>
      <w:r>
        <w:t xml:space="preserve"> </w:t>
      </w:r>
      <w:r w:rsidRPr="007C552E">
        <w:t>Plans</w:t>
      </w:r>
      <w:r w:rsidR="006E590F">
        <w:t>.</w:t>
      </w:r>
      <w:r w:rsidRPr="007C552E">
        <w:t>’</w:t>
      </w:r>
      <w:r w:rsidRPr="005068F2">
        <w:rPr>
          <w:rStyle w:val="EndnoteReference"/>
          <w:iCs/>
          <w:color w:val="000000"/>
        </w:rPr>
        <w:endnoteReference w:id="101"/>
      </w:r>
    </w:p>
    <w:p w14:paraId="77AEC964" w14:textId="77777777" w:rsidR="002C2EC7" w:rsidRDefault="002C2EC7" w:rsidP="00790783">
      <w:pPr>
        <w:pStyle w:val="BodyText"/>
      </w:pPr>
      <w:r w:rsidRPr="0071774C">
        <w:t>The</w:t>
      </w:r>
      <w:r>
        <w:t xml:space="preserve"> </w:t>
      </w:r>
      <w:r w:rsidRPr="0071774C">
        <w:t>report</w:t>
      </w:r>
      <w:r>
        <w:t xml:space="preserve"> </w:t>
      </w:r>
      <w:r w:rsidRPr="0071774C">
        <w:t>went</w:t>
      </w:r>
      <w:r>
        <w:t xml:space="preserve"> </w:t>
      </w:r>
      <w:r w:rsidRPr="0071774C">
        <w:t>on</w:t>
      </w:r>
      <w:r>
        <w:t xml:space="preserve"> </w:t>
      </w:r>
      <w:r w:rsidRPr="0071774C">
        <w:t>to</w:t>
      </w:r>
      <w:r>
        <w:t xml:space="preserve"> </w:t>
      </w:r>
      <w:r w:rsidRPr="0071774C">
        <w:t>recommend</w:t>
      </w:r>
      <w:r>
        <w:t xml:space="preserve"> </w:t>
      </w:r>
      <w:r w:rsidRPr="0071774C">
        <w:t>that:</w:t>
      </w:r>
    </w:p>
    <w:p w14:paraId="0770E762" w14:textId="4ECF2D9D" w:rsidR="002C2EC7" w:rsidRDefault="002C2EC7" w:rsidP="00790783">
      <w:pPr>
        <w:pStyle w:val="Quote"/>
        <w:rPr>
          <w:color w:val="000000" w:themeColor="text1"/>
        </w:rPr>
      </w:pPr>
      <w:r w:rsidRPr="007C552E">
        <w:t>‘in</w:t>
      </w:r>
      <w:r>
        <w:t xml:space="preserve"> </w:t>
      </w:r>
      <w:r w:rsidRPr="007C552E">
        <w:t>light</w:t>
      </w:r>
      <w:r>
        <w:t xml:space="preserve"> </w:t>
      </w:r>
      <w:r w:rsidRPr="007C552E">
        <w:t>of</w:t>
      </w:r>
      <w:r>
        <w:t xml:space="preserve"> </w:t>
      </w:r>
      <w:r w:rsidRPr="007C552E">
        <w:t>the</w:t>
      </w:r>
      <w:r>
        <w:t xml:space="preserve"> </w:t>
      </w:r>
      <w:r w:rsidRPr="007C552E">
        <w:t>strong</w:t>
      </w:r>
      <w:r>
        <w:t xml:space="preserve"> </w:t>
      </w:r>
      <w:r w:rsidRPr="007C552E">
        <w:t>evidence</w:t>
      </w:r>
      <w:r>
        <w:t xml:space="preserve"> </w:t>
      </w:r>
      <w:r w:rsidRPr="007C552E">
        <w:t>pointing</w:t>
      </w:r>
      <w:r>
        <w:t xml:space="preserve"> </w:t>
      </w:r>
      <w:r w:rsidRPr="007C552E">
        <w:t>to</w:t>
      </w:r>
      <w:r>
        <w:t xml:space="preserve"> </w:t>
      </w:r>
      <w:r w:rsidRPr="007C552E">
        <w:t>the</w:t>
      </w:r>
      <w:r>
        <w:t xml:space="preserve"> </w:t>
      </w:r>
      <w:r w:rsidRPr="007C552E">
        <w:t>crucial</w:t>
      </w:r>
      <w:r>
        <w:t xml:space="preserve"> </w:t>
      </w:r>
      <w:r w:rsidRPr="007C552E">
        <w:t>need</w:t>
      </w:r>
      <w:r>
        <w:t xml:space="preserve"> </w:t>
      </w:r>
      <w:r w:rsidRPr="007C552E">
        <w:t>to</w:t>
      </w:r>
      <w:r>
        <w:t xml:space="preserve"> </w:t>
      </w:r>
      <w:r w:rsidRPr="007C552E">
        <w:t>prioritise</w:t>
      </w:r>
      <w:r>
        <w:t xml:space="preserve"> </w:t>
      </w:r>
      <w:r w:rsidRPr="007C552E">
        <w:t>primary</w:t>
      </w:r>
      <w:r>
        <w:t xml:space="preserve"> </w:t>
      </w:r>
      <w:r w:rsidRPr="007C552E">
        <w:t>prevention,</w:t>
      </w:r>
      <w:r>
        <w:t xml:space="preserve"> </w:t>
      </w:r>
      <w:r w:rsidRPr="007C552E">
        <w:t>[the</w:t>
      </w:r>
      <w:r>
        <w:t xml:space="preserve"> </w:t>
      </w:r>
      <w:r w:rsidRPr="007C552E">
        <w:t>Commonwealth</w:t>
      </w:r>
      <w:r>
        <w:t xml:space="preserve"> </w:t>
      </w:r>
      <w:r w:rsidRPr="007C552E">
        <w:t>Government]</w:t>
      </w:r>
      <w:r>
        <w:t xml:space="preserve"> </w:t>
      </w:r>
      <w:r w:rsidRPr="007C552E">
        <w:t>take</w:t>
      </w:r>
      <w:r>
        <w:t xml:space="preserve"> </w:t>
      </w:r>
      <w:r w:rsidRPr="007C552E">
        <w:t>responsibility</w:t>
      </w:r>
      <w:r>
        <w:t xml:space="preserve"> </w:t>
      </w:r>
      <w:r w:rsidRPr="007C552E">
        <w:t>to</w:t>
      </w:r>
      <w:r>
        <w:t xml:space="preserve"> </w:t>
      </w:r>
      <w:r w:rsidRPr="007C552E">
        <w:t>lead</w:t>
      </w:r>
      <w:r>
        <w:t xml:space="preserve"> </w:t>
      </w:r>
      <w:r w:rsidRPr="007C552E">
        <w:t>and</w:t>
      </w:r>
      <w:r>
        <w:t xml:space="preserve"> </w:t>
      </w:r>
      <w:r w:rsidRPr="007C552E">
        <w:t>coordinate</w:t>
      </w:r>
      <w:r>
        <w:t xml:space="preserve"> </w:t>
      </w:r>
      <w:r w:rsidRPr="007C552E">
        <w:t>the</w:t>
      </w:r>
      <w:r>
        <w:t xml:space="preserve"> </w:t>
      </w:r>
      <w:r w:rsidRPr="007C552E">
        <w:t>delivery</w:t>
      </w:r>
      <w:r>
        <w:t xml:space="preserve"> </w:t>
      </w:r>
      <w:r w:rsidRPr="007C552E">
        <w:t>of</w:t>
      </w:r>
      <w:r>
        <w:t xml:space="preserve"> </w:t>
      </w:r>
      <w:r w:rsidRPr="007C552E">
        <w:t>these</w:t>
      </w:r>
      <w:r>
        <w:t xml:space="preserve"> </w:t>
      </w:r>
      <w:r w:rsidRPr="007C552E">
        <w:t>essential</w:t>
      </w:r>
      <w:r>
        <w:t xml:space="preserve"> </w:t>
      </w:r>
      <w:r w:rsidRPr="007C552E">
        <w:t>programs</w:t>
      </w:r>
      <w:r w:rsidR="006E590F">
        <w:t>.</w:t>
      </w:r>
      <w:r w:rsidRPr="007C552E">
        <w:t>’</w:t>
      </w:r>
      <w:r w:rsidRPr="005068F2">
        <w:rPr>
          <w:rStyle w:val="EndnoteReference"/>
          <w:iCs/>
        </w:rPr>
        <w:endnoteReference w:id="102"/>
      </w:r>
    </w:p>
    <w:p w14:paraId="11695D5E" w14:textId="1D667B64" w:rsidR="002C2EC7" w:rsidRDefault="002C2EC7" w:rsidP="00790783">
      <w:pPr>
        <w:pStyle w:val="BodyText"/>
      </w:pPr>
      <w:r w:rsidRPr="0071774C">
        <w:t>Similarly,</w:t>
      </w:r>
      <w:r>
        <w:t xml:space="preserve"> </w:t>
      </w:r>
      <w:r w:rsidRPr="0071774C">
        <w:t>a</w:t>
      </w:r>
      <w:r>
        <w:t xml:space="preserve"> </w:t>
      </w:r>
      <w:r w:rsidRPr="0071774C">
        <w:t>report</w:t>
      </w:r>
      <w:r>
        <w:t xml:space="preserve"> </w:t>
      </w:r>
      <w:r w:rsidRPr="0071774C">
        <w:t>from</w:t>
      </w:r>
      <w:r>
        <w:t xml:space="preserve"> </w:t>
      </w:r>
      <w:r w:rsidRPr="0071774C">
        <w:t>Victoria’s</w:t>
      </w:r>
      <w:r>
        <w:t xml:space="preserve"> </w:t>
      </w:r>
      <w:r w:rsidRPr="0071774C">
        <w:t>Family</w:t>
      </w:r>
      <w:r>
        <w:t xml:space="preserve"> </w:t>
      </w:r>
      <w:r w:rsidRPr="0071774C">
        <w:t>Violence</w:t>
      </w:r>
      <w:r>
        <w:t xml:space="preserve"> </w:t>
      </w:r>
      <w:r w:rsidRPr="0071774C">
        <w:t>Implementation</w:t>
      </w:r>
      <w:r>
        <w:t xml:space="preserve"> </w:t>
      </w:r>
      <w:r w:rsidRPr="0071774C">
        <w:t>Reform</w:t>
      </w:r>
      <w:r>
        <w:t xml:space="preserve"> </w:t>
      </w:r>
      <w:r w:rsidRPr="0071774C">
        <w:t>Monitor</w:t>
      </w:r>
      <w:r>
        <w:t xml:space="preserve"> </w:t>
      </w:r>
      <w:r w:rsidRPr="0071774C">
        <w:t>tabled</w:t>
      </w:r>
      <w:r>
        <w:t xml:space="preserve"> </w:t>
      </w:r>
      <w:r w:rsidRPr="0071774C">
        <w:t>in</w:t>
      </w:r>
      <w:r w:rsidR="00C11BA2">
        <w:t> </w:t>
      </w:r>
      <w:r w:rsidRPr="0071774C">
        <w:t>May</w:t>
      </w:r>
      <w:r>
        <w:t xml:space="preserve"> </w:t>
      </w:r>
      <w:r w:rsidRPr="0071774C">
        <w:t>2018</w:t>
      </w:r>
      <w:r w:rsidRPr="00187A71">
        <w:rPr>
          <w:rStyle w:val="EndnoteReference"/>
        </w:rPr>
        <w:endnoteReference w:id="103"/>
      </w:r>
      <w:r>
        <w:rPr>
          <w:color w:val="0078D4"/>
        </w:rPr>
        <w:t xml:space="preserve"> </w:t>
      </w:r>
      <w:r w:rsidRPr="0071774C">
        <w:t>noted</w:t>
      </w:r>
      <w:r>
        <w:t xml:space="preserve"> </w:t>
      </w:r>
      <w:r w:rsidRPr="0071774C">
        <w:t>foundational</w:t>
      </w:r>
      <w:r>
        <w:t xml:space="preserve"> </w:t>
      </w:r>
      <w:r w:rsidRPr="0071774C">
        <w:t>issues</w:t>
      </w:r>
      <w:r>
        <w:t xml:space="preserve"> </w:t>
      </w:r>
      <w:r w:rsidRPr="0071774C">
        <w:t>with</w:t>
      </w:r>
      <w:r>
        <w:t xml:space="preserve"> </w:t>
      </w:r>
      <w:r w:rsidRPr="0071774C">
        <w:t>the</w:t>
      </w:r>
      <w:r>
        <w:t xml:space="preserve"> </w:t>
      </w:r>
      <w:r w:rsidRPr="0071774C">
        <w:t>implementation</w:t>
      </w:r>
      <w:r>
        <w:t xml:space="preserve"> </w:t>
      </w:r>
      <w:r w:rsidRPr="0071774C">
        <w:t>of</w:t>
      </w:r>
      <w:r>
        <w:t xml:space="preserve"> </w:t>
      </w:r>
      <w:r w:rsidRPr="0071774C">
        <w:t>reforms</w:t>
      </w:r>
      <w:r>
        <w:t xml:space="preserve"> </w:t>
      </w:r>
      <w:r w:rsidRPr="0071774C">
        <w:t>in</w:t>
      </w:r>
      <w:r>
        <w:t xml:space="preserve"> </w:t>
      </w:r>
      <w:r w:rsidRPr="0071774C">
        <w:t>Victoria.</w:t>
      </w:r>
      <w:r>
        <w:t xml:space="preserve"> </w:t>
      </w:r>
      <w:r w:rsidRPr="0071774C">
        <w:t>These</w:t>
      </w:r>
      <w:r>
        <w:t xml:space="preserve"> </w:t>
      </w:r>
      <w:r w:rsidRPr="0071774C">
        <w:t>included</w:t>
      </w:r>
      <w:r>
        <w:t xml:space="preserve"> </w:t>
      </w:r>
      <w:r w:rsidRPr="0071774C">
        <w:t>a</w:t>
      </w:r>
      <w:r>
        <w:t xml:space="preserve"> </w:t>
      </w:r>
      <w:r w:rsidRPr="0071774C">
        <w:t>tendency</w:t>
      </w:r>
      <w:r>
        <w:t xml:space="preserve"> </w:t>
      </w:r>
      <w:r w:rsidRPr="0071774C">
        <w:t>to</w:t>
      </w:r>
      <w:r>
        <w:t xml:space="preserve"> </w:t>
      </w:r>
      <w:r w:rsidRPr="0071774C">
        <w:t>focus</w:t>
      </w:r>
      <w:r>
        <w:t xml:space="preserve"> </w:t>
      </w:r>
      <w:r w:rsidRPr="0071774C">
        <w:t>too</w:t>
      </w:r>
      <w:r>
        <w:t xml:space="preserve"> </w:t>
      </w:r>
      <w:r w:rsidRPr="0071774C">
        <w:t>much</w:t>
      </w:r>
      <w:r>
        <w:t xml:space="preserve"> </w:t>
      </w:r>
      <w:r w:rsidRPr="0071774C">
        <w:t>on</w:t>
      </w:r>
      <w:r>
        <w:t xml:space="preserve"> </w:t>
      </w:r>
      <w:r w:rsidRPr="0071774C">
        <w:t>acquitting</w:t>
      </w:r>
      <w:r>
        <w:t xml:space="preserve"> </w:t>
      </w:r>
      <w:r w:rsidRPr="0071774C">
        <w:t>reforms</w:t>
      </w:r>
      <w:r>
        <w:t xml:space="preserve"> </w:t>
      </w:r>
      <w:r w:rsidRPr="0071774C">
        <w:t>rather</w:t>
      </w:r>
      <w:r>
        <w:t xml:space="preserve"> </w:t>
      </w:r>
      <w:r w:rsidRPr="0071774C">
        <w:t>than</w:t>
      </w:r>
      <w:r>
        <w:t xml:space="preserve"> </w:t>
      </w:r>
      <w:r w:rsidRPr="0071774C">
        <w:t>on</w:t>
      </w:r>
      <w:r>
        <w:t xml:space="preserve"> </w:t>
      </w:r>
      <w:r w:rsidRPr="0071774C">
        <w:t>the</w:t>
      </w:r>
      <w:r>
        <w:t xml:space="preserve"> </w:t>
      </w:r>
      <w:r w:rsidRPr="0071774C">
        <w:t>complex</w:t>
      </w:r>
      <w:r>
        <w:t xml:space="preserve"> </w:t>
      </w:r>
      <w:r w:rsidRPr="0071774C">
        <w:t>system</w:t>
      </w:r>
      <w:r>
        <w:t xml:space="preserve"> </w:t>
      </w:r>
      <w:r w:rsidRPr="0071774C">
        <w:t>reform</w:t>
      </w:r>
      <w:r>
        <w:t xml:space="preserve"> </w:t>
      </w:r>
      <w:r w:rsidRPr="0071774C">
        <w:t>required</w:t>
      </w:r>
      <w:r>
        <w:t xml:space="preserve"> </w:t>
      </w:r>
      <w:r w:rsidRPr="0071774C">
        <w:t>to</w:t>
      </w:r>
      <w:r>
        <w:t xml:space="preserve"> </w:t>
      </w:r>
      <w:r w:rsidRPr="0071774C">
        <w:t>embed</w:t>
      </w:r>
      <w:r>
        <w:t xml:space="preserve"> </w:t>
      </w:r>
      <w:r w:rsidRPr="0071774C">
        <w:t>long</w:t>
      </w:r>
      <w:r>
        <w:t>-</w:t>
      </w:r>
      <w:r w:rsidRPr="0071774C">
        <w:t>term</w:t>
      </w:r>
      <w:r>
        <w:t xml:space="preserve"> </w:t>
      </w:r>
      <w:r w:rsidRPr="0071774C">
        <w:t>change.</w:t>
      </w:r>
      <w:r>
        <w:t xml:space="preserve"> </w:t>
      </w:r>
      <w:r w:rsidRPr="0071774C">
        <w:t>A</w:t>
      </w:r>
      <w:r>
        <w:t xml:space="preserve"> </w:t>
      </w:r>
      <w:r w:rsidRPr="0071774C">
        <w:t>second</w:t>
      </w:r>
      <w:r>
        <w:t xml:space="preserve"> </w:t>
      </w:r>
      <w:r w:rsidRPr="0071774C">
        <w:t>report</w:t>
      </w:r>
      <w:r>
        <w:t xml:space="preserve"> </w:t>
      </w:r>
      <w:r w:rsidRPr="0071774C">
        <w:t>identified</w:t>
      </w:r>
      <w:r>
        <w:t xml:space="preserve"> </w:t>
      </w:r>
      <w:r w:rsidRPr="0071774C">
        <w:t>a</w:t>
      </w:r>
      <w:r w:rsidR="00C11BA2">
        <w:t> </w:t>
      </w:r>
      <w:r w:rsidRPr="0071774C">
        <w:t>need</w:t>
      </w:r>
      <w:r>
        <w:t xml:space="preserve"> </w:t>
      </w:r>
      <w:r w:rsidRPr="0071774C">
        <w:t>to</w:t>
      </w:r>
      <w:r>
        <w:t xml:space="preserve"> </w:t>
      </w:r>
      <w:r w:rsidRPr="0071774C">
        <w:t>map</w:t>
      </w:r>
      <w:r>
        <w:t xml:space="preserve"> </w:t>
      </w:r>
      <w:r w:rsidRPr="0071774C">
        <w:t>dependencies</w:t>
      </w:r>
      <w:r>
        <w:t xml:space="preserve"> </w:t>
      </w:r>
      <w:r w:rsidRPr="0071774C">
        <w:t>at</w:t>
      </w:r>
      <w:r>
        <w:t xml:space="preserve"> </w:t>
      </w:r>
      <w:r w:rsidRPr="0071774C">
        <w:t>a</w:t>
      </w:r>
      <w:r>
        <w:t xml:space="preserve"> ‘</w:t>
      </w:r>
      <w:r w:rsidRPr="0071774C">
        <w:t>whole-of-reform</w:t>
      </w:r>
      <w:r>
        <w:t xml:space="preserve"> </w:t>
      </w:r>
      <w:r w:rsidRPr="0071774C">
        <w:t>level</w:t>
      </w:r>
      <w:r>
        <w:t xml:space="preserve">’ </w:t>
      </w:r>
      <w:r w:rsidRPr="0071774C">
        <w:t>in</w:t>
      </w:r>
      <w:r>
        <w:t xml:space="preserve"> </w:t>
      </w:r>
      <w:r w:rsidRPr="0071774C">
        <w:t>order</w:t>
      </w:r>
      <w:r>
        <w:t xml:space="preserve"> </w:t>
      </w:r>
      <w:r w:rsidRPr="0071774C">
        <w:t>to</w:t>
      </w:r>
      <w:r>
        <w:t xml:space="preserve"> </w:t>
      </w:r>
      <w:r w:rsidRPr="0071774C">
        <w:t>understand</w:t>
      </w:r>
      <w:r>
        <w:t xml:space="preserve"> </w:t>
      </w:r>
      <w:r w:rsidRPr="0071774C">
        <w:t>how</w:t>
      </w:r>
      <w:r>
        <w:t xml:space="preserve"> </w:t>
      </w:r>
      <w:r w:rsidRPr="0071774C">
        <w:t>key</w:t>
      </w:r>
      <w:r>
        <w:t xml:space="preserve"> </w:t>
      </w:r>
      <w:r w:rsidRPr="0071774C">
        <w:t>reforms</w:t>
      </w:r>
      <w:r>
        <w:t xml:space="preserve"> </w:t>
      </w:r>
      <w:r w:rsidRPr="0071774C">
        <w:t>relate</w:t>
      </w:r>
      <w:r>
        <w:t xml:space="preserve"> </w:t>
      </w:r>
      <w:r w:rsidRPr="0071774C">
        <w:t>to</w:t>
      </w:r>
      <w:r>
        <w:t xml:space="preserve"> </w:t>
      </w:r>
      <w:r w:rsidRPr="0071774C">
        <w:t>and</w:t>
      </w:r>
      <w:r>
        <w:t xml:space="preserve"> </w:t>
      </w:r>
      <w:r w:rsidRPr="0071774C">
        <w:t>influence</w:t>
      </w:r>
      <w:r>
        <w:t xml:space="preserve"> </w:t>
      </w:r>
      <w:r w:rsidRPr="0071774C">
        <w:t>one</w:t>
      </w:r>
      <w:r>
        <w:t xml:space="preserve"> </w:t>
      </w:r>
      <w:r w:rsidRPr="0071774C">
        <w:t>another,</w:t>
      </w:r>
      <w:r>
        <w:t xml:space="preserve"> </w:t>
      </w:r>
      <w:r w:rsidRPr="0071774C">
        <w:t>and</w:t>
      </w:r>
      <w:r>
        <w:t xml:space="preserve"> </w:t>
      </w:r>
      <w:r w:rsidRPr="0071774C">
        <w:t>a</w:t>
      </w:r>
      <w:r>
        <w:t xml:space="preserve"> </w:t>
      </w:r>
      <w:r w:rsidRPr="0071774C">
        <w:t>specific</w:t>
      </w:r>
      <w:r>
        <w:t xml:space="preserve"> </w:t>
      </w:r>
      <w:r w:rsidRPr="0071774C">
        <w:t>need</w:t>
      </w:r>
      <w:r>
        <w:t xml:space="preserve"> </w:t>
      </w:r>
      <w:r w:rsidRPr="0071774C">
        <w:t>for</w:t>
      </w:r>
      <w:r>
        <w:t xml:space="preserve"> </w:t>
      </w:r>
      <w:r w:rsidRPr="0071774C">
        <w:t>a</w:t>
      </w:r>
      <w:r>
        <w:t xml:space="preserve"> </w:t>
      </w:r>
      <w:r w:rsidRPr="0071774C">
        <w:t>governance</w:t>
      </w:r>
      <w:r>
        <w:t xml:space="preserve"> </w:t>
      </w:r>
      <w:r w:rsidRPr="0071774C">
        <w:t>body</w:t>
      </w:r>
      <w:r>
        <w:t xml:space="preserve"> </w:t>
      </w:r>
      <w:r w:rsidRPr="0071774C">
        <w:t>coordinating</w:t>
      </w:r>
      <w:r>
        <w:t xml:space="preserve"> </w:t>
      </w:r>
      <w:r w:rsidRPr="0071774C">
        <w:t>and</w:t>
      </w:r>
      <w:r>
        <w:t xml:space="preserve"> </w:t>
      </w:r>
      <w:r w:rsidRPr="0071774C">
        <w:t>managing</w:t>
      </w:r>
      <w:r>
        <w:t xml:space="preserve"> </w:t>
      </w:r>
      <w:r w:rsidRPr="0071774C">
        <w:t>prevention</w:t>
      </w:r>
      <w:r>
        <w:t xml:space="preserve"> </w:t>
      </w:r>
      <w:r w:rsidRPr="0071774C">
        <w:t>activities</w:t>
      </w:r>
      <w:r>
        <w:t xml:space="preserve"> </w:t>
      </w:r>
      <w:r w:rsidRPr="0071774C">
        <w:t>as</w:t>
      </w:r>
      <w:r>
        <w:t xml:space="preserve"> </w:t>
      </w:r>
      <w:r w:rsidRPr="0071774C">
        <w:t>a</w:t>
      </w:r>
      <w:r>
        <w:t xml:space="preserve"> </w:t>
      </w:r>
      <w:r w:rsidRPr="0071774C">
        <w:t>whole</w:t>
      </w:r>
      <w:r w:rsidRPr="005068F2">
        <w:t>.</w:t>
      </w:r>
      <w:r w:rsidRPr="005068F2">
        <w:rPr>
          <w:rStyle w:val="EndnoteReference"/>
          <w:szCs w:val="22"/>
        </w:rPr>
        <w:endnoteReference w:id="104"/>
      </w:r>
    </w:p>
    <w:p w14:paraId="122F8C8F" w14:textId="77777777" w:rsidR="002C2EC7" w:rsidRDefault="002C2EC7" w:rsidP="00790783">
      <w:pPr>
        <w:pStyle w:val="BodyText"/>
      </w:pPr>
      <w:r w:rsidRPr="0071774C">
        <w:t>Finally,</w:t>
      </w:r>
      <w:r>
        <w:t xml:space="preserve"> </w:t>
      </w:r>
      <w:r w:rsidRPr="0071774C">
        <w:t>a</w:t>
      </w:r>
      <w:r>
        <w:t xml:space="preserve"> </w:t>
      </w:r>
      <w:r w:rsidRPr="0071774C">
        <w:t>2019</w:t>
      </w:r>
      <w:r>
        <w:t xml:space="preserve"> </w:t>
      </w:r>
      <w:r w:rsidRPr="0071774C">
        <w:t>report</w:t>
      </w:r>
      <w:r>
        <w:t xml:space="preserve"> </w:t>
      </w:r>
      <w:r w:rsidRPr="0071774C">
        <w:t>conducted</w:t>
      </w:r>
      <w:r>
        <w:t xml:space="preserve"> </w:t>
      </w:r>
      <w:r w:rsidRPr="0071774C">
        <w:t>by</w:t>
      </w:r>
      <w:r>
        <w:t xml:space="preserve"> </w:t>
      </w:r>
      <w:r w:rsidRPr="0071774C">
        <w:t>the</w:t>
      </w:r>
      <w:r>
        <w:t xml:space="preserve"> </w:t>
      </w:r>
      <w:r w:rsidRPr="0071774C">
        <w:t>Australian</w:t>
      </w:r>
      <w:r>
        <w:t xml:space="preserve"> </w:t>
      </w:r>
      <w:r w:rsidRPr="0071774C">
        <w:t>National</w:t>
      </w:r>
      <w:r>
        <w:t xml:space="preserve"> </w:t>
      </w:r>
      <w:r w:rsidRPr="0071774C">
        <w:t>Audit</w:t>
      </w:r>
      <w:r>
        <w:t xml:space="preserve"> </w:t>
      </w:r>
      <w:r w:rsidRPr="0071774C">
        <w:t>Office</w:t>
      </w:r>
      <w:r>
        <w:t xml:space="preserve"> </w:t>
      </w:r>
      <w:r w:rsidRPr="0071774C">
        <w:t>found</w:t>
      </w:r>
      <w:r>
        <w:t xml:space="preserve"> </w:t>
      </w:r>
      <w:r w:rsidRPr="0071774C">
        <w:t>that</w:t>
      </w:r>
      <w:r>
        <w:t xml:space="preserve"> </w:t>
      </w:r>
      <w:r w:rsidRPr="0071774C">
        <w:t>while</w:t>
      </w:r>
      <w:r>
        <w:t xml:space="preserve"> </w:t>
      </w:r>
      <w:r w:rsidRPr="0071774C">
        <w:t>National</w:t>
      </w:r>
      <w:r>
        <w:t xml:space="preserve"> </w:t>
      </w:r>
      <w:r w:rsidRPr="0071774C">
        <w:t>Plan</w:t>
      </w:r>
      <w:r>
        <w:t xml:space="preserve"> </w:t>
      </w:r>
      <w:r w:rsidRPr="0071774C">
        <w:t>governance</w:t>
      </w:r>
      <w:r>
        <w:t xml:space="preserve"> </w:t>
      </w:r>
      <w:r w:rsidRPr="0071774C">
        <w:t>arrangements</w:t>
      </w:r>
      <w:r>
        <w:t xml:space="preserve"> </w:t>
      </w:r>
      <w:r w:rsidRPr="0071774C">
        <w:t>had</w:t>
      </w:r>
      <w:r>
        <w:t xml:space="preserve"> </w:t>
      </w:r>
      <w:r w:rsidRPr="0071774C">
        <w:t>been</w:t>
      </w:r>
      <w:r>
        <w:t xml:space="preserve"> </w:t>
      </w:r>
      <w:r w:rsidRPr="0071774C">
        <w:t>established</w:t>
      </w:r>
      <w:r>
        <w:t xml:space="preserve"> </w:t>
      </w:r>
      <w:r w:rsidRPr="0071774C">
        <w:t>to</w:t>
      </w:r>
      <w:r>
        <w:t xml:space="preserve"> </w:t>
      </w:r>
      <w:r w:rsidRPr="0071774C">
        <w:t>implement</w:t>
      </w:r>
      <w:r>
        <w:t xml:space="preserve"> </w:t>
      </w:r>
      <w:r w:rsidRPr="0071774C">
        <w:t>the</w:t>
      </w:r>
      <w:r>
        <w:t xml:space="preserve"> </w:t>
      </w:r>
      <w:r w:rsidRPr="0071774C">
        <w:t>Plan,</w:t>
      </w:r>
      <w:r>
        <w:t xml:space="preserve"> </w:t>
      </w:r>
      <w:r w:rsidRPr="0071774C">
        <w:t>the</w:t>
      </w:r>
      <w:r>
        <w:t xml:space="preserve"> </w:t>
      </w:r>
      <w:r w:rsidRPr="0071774C">
        <w:t>effectiveness</w:t>
      </w:r>
      <w:r>
        <w:t xml:space="preserve"> </w:t>
      </w:r>
      <w:r w:rsidRPr="0071774C">
        <w:t>of</w:t>
      </w:r>
      <w:r>
        <w:t xml:space="preserve"> </w:t>
      </w:r>
      <w:r w:rsidRPr="0071774C">
        <w:t>implementation</w:t>
      </w:r>
      <w:r>
        <w:t xml:space="preserve"> </w:t>
      </w:r>
      <w:r w:rsidRPr="0071774C">
        <w:t>was</w:t>
      </w:r>
      <w:r>
        <w:t xml:space="preserve"> ‘</w:t>
      </w:r>
      <w:r w:rsidRPr="0071774C">
        <w:t>reduced</w:t>
      </w:r>
      <w:r>
        <w:t xml:space="preserve"> </w:t>
      </w:r>
      <w:r w:rsidRPr="0071774C">
        <w:t>by</w:t>
      </w:r>
      <w:r>
        <w:t xml:space="preserve"> </w:t>
      </w:r>
      <w:r w:rsidRPr="0071774C">
        <w:t>a</w:t>
      </w:r>
      <w:r>
        <w:t xml:space="preserve"> </w:t>
      </w:r>
      <w:r w:rsidRPr="0071774C">
        <w:t>lack</w:t>
      </w:r>
      <w:r>
        <w:t xml:space="preserve"> </w:t>
      </w:r>
      <w:r w:rsidRPr="0071774C">
        <w:t>of</w:t>
      </w:r>
      <w:r>
        <w:t xml:space="preserve"> </w:t>
      </w:r>
      <w:r w:rsidRPr="0071774C">
        <w:t>attention</w:t>
      </w:r>
      <w:r>
        <w:t xml:space="preserve"> </w:t>
      </w:r>
      <w:r w:rsidRPr="0071774C">
        <w:t>to</w:t>
      </w:r>
      <w:r>
        <w:t xml:space="preserve"> </w:t>
      </w:r>
      <w:r w:rsidRPr="0071774C">
        <w:t>implementation</w:t>
      </w:r>
      <w:r>
        <w:t xml:space="preserve"> </w:t>
      </w:r>
      <w:r w:rsidRPr="0071774C">
        <w:lastRenderedPageBreak/>
        <w:t>planning</w:t>
      </w:r>
      <w:r>
        <w:t xml:space="preserve"> </w:t>
      </w:r>
      <w:r w:rsidRPr="0071774C">
        <w:t>and</w:t>
      </w:r>
      <w:r>
        <w:t xml:space="preserve"> </w:t>
      </w:r>
      <w:r w:rsidRPr="0071774C">
        <w:t>performance</w:t>
      </w:r>
      <w:r>
        <w:t xml:space="preserve"> </w:t>
      </w:r>
      <w:r w:rsidRPr="0071774C">
        <w:t>measurement</w:t>
      </w:r>
      <w:r>
        <w:t>’</w:t>
      </w:r>
      <w:r w:rsidRPr="0071774C">
        <w:t>,</w:t>
      </w:r>
      <w:r>
        <w:t xml:space="preserve"> </w:t>
      </w:r>
      <w:r w:rsidRPr="0071774C">
        <w:t>including</w:t>
      </w:r>
      <w:r>
        <w:t xml:space="preserve"> </w:t>
      </w:r>
      <w:r w:rsidRPr="0071774C">
        <w:t>the</w:t>
      </w:r>
      <w:r>
        <w:t xml:space="preserve"> </w:t>
      </w:r>
      <w:r w:rsidRPr="0071774C">
        <w:t>lack</w:t>
      </w:r>
      <w:r>
        <w:t xml:space="preserve"> </w:t>
      </w:r>
      <w:r w:rsidRPr="0071774C">
        <w:t>of</w:t>
      </w:r>
      <w:r>
        <w:t xml:space="preserve"> </w:t>
      </w:r>
      <w:r w:rsidRPr="0071774C">
        <w:t>an</w:t>
      </w:r>
      <w:r>
        <w:t xml:space="preserve"> </w:t>
      </w:r>
      <w:r w:rsidRPr="0071774C">
        <w:t>implementation</w:t>
      </w:r>
      <w:r>
        <w:t xml:space="preserve"> </w:t>
      </w:r>
      <w:r w:rsidRPr="0071774C">
        <w:t>plan</w:t>
      </w:r>
      <w:r>
        <w:t xml:space="preserve"> </w:t>
      </w:r>
      <w:r w:rsidRPr="0071774C">
        <w:t>for</w:t>
      </w:r>
      <w:r>
        <w:t xml:space="preserve"> </w:t>
      </w:r>
      <w:r w:rsidRPr="0071774C">
        <w:t>the</w:t>
      </w:r>
      <w:r>
        <w:t xml:space="preserve"> </w:t>
      </w:r>
      <w:r w:rsidRPr="0071774C">
        <w:t>Third</w:t>
      </w:r>
      <w:r>
        <w:t xml:space="preserve"> </w:t>
      </w:r>
      <w:r w:rsidRPr="0071774C">
        <w:t>Action</w:t>
      </w:r>
      <w:r>
        <w:t xml:space="preserve"> </w:t>
      </w:r>
      <w:r w:rsidRPr="0071774C">
        <w:t>Plan</w:t>
      </w:r>
      <w:r w:rsidRPr="007C14E4">
        <w:t>.</w:t>
      </w:r>
      <w:r>
        <w:rPr>
          <w:vertAlign w:val="superscript"/>
        </w:rPr>
        <w:t>’</w:t>
      </w:r>
      <w:r w:rsidRPr="00187A71">
        <w:rPr>
          <w:rStyle w:val="EndnoteReference"/>
          <w:szCs w:val="22"/>
        </w:rPr>
        <w:endnoteReference w:id="105"/>
      </w:r>
      <w:r>
        <w:t xml:space="preserve"> A</w:t>
      </w:r>
      <w:r w:rsidRPr="0071774C">
        <w:t>s</w:t>
      </w:r>
      <w:r>
        <w:t xml:space="preserve"> </w:t>
      </w:r>
      <w:r w:rsidRPr="0071774C">
        <w:t>a</w:t>
      </w:r>
      <w:r>
        <w:t xml:space="preserve"> </w:t>
      </w:r>
      <w:r w:rsidRPr="0071774C">
        <w:t>result,</w:t>
      </w:r>
      <w:r>
        <w:t xml:space="preserve"> </w:t>
      </w:r>
      <w:r w:rsidRPr="0071774C">
        <w:t>an</w:t>
      </w:r>
      <w:r>
        <w:t xml:space="preserve"> </w:t>
      </w:r>
      <w:r w:rsidRPr="0071774C">
        <w:t>Implementation</w:t>
      </w:r>
      <w:r>
        <w:t xml:space="preserve"> </w:t>
      </w:r>
      <w:r w:rsidRPr="0071774C">
        <w:t>Plan</w:t>
      </w:r>
      <w:r>
        <w:t xml:space="preserve"> </w:t>
      </w:r>
      <w:r w:rsidRPr="0071774C">
        <w:t>has</w:t>
      </w:r>
      <w:r>
        <w:t xml:space="preserve"> </w:t>
      </w:r>
      <w:r w:rsidRPr="0071774C">
        <w:t>been</w:t>
      </w:r>
      <w:r>
        <w:t xml:space="preserve"> </w:t>
      </w:r>
      <w:r w:rsidRPr="0071774C">
        <w:t>developed</w:t>
      </w:r>
      <w:r>
        <w:t xml:space="preserve"> </w:t>
      </w:r>
      <w:r w:rsidRPr="0071774C">
        <w:t>for</w:t>
      </w:r>
      <w:r>
        <w:t xml:space="preserve"> </w:t>
      </w:r>
      <w:r w:rsidRPr="0071774C">
        <w:t>the</w:t>
      </w:r>
      <w:r>
        <w:t xml:space="preserve"> </w:t>
      </w:r>
      <w:r w:rsidRPr="0071774C">
        <w:t>Fourth</w:t>
      </w:r>
      <w:r>
        <w:t xml:space="preserve"> </w:t>
      </w:r>
      <w:r w:rsidRPr="0071774C">
        <w:t>Action</w:t>
      </w:r>
      <w:r>
        <w:t xml:space="preserve"> </w:t>
      </w:r>
      <w:r w:rsidRPr="0071774C">
        <w:t>Plan.</w:t>
      </w:r>
    </w:p>
    <w:p w14:paraId="45300046" w14:textId="73071969" w:rsidR="002C2EC7" w:rsidRDefault="002C2EC7" w:rsidP="00790783">
      <w:pPr>
        <w:pStyle w:val="BodyText"/>
      </w:pPr>
      <w:r w:rsidRPr="0071774C">
        <w:t>At</w:t>
      </w:r>
      <w:r>
        <w:t xml:space="preserve"> </w:t>
      </w:r>
      <w:r w:rsidRPr="0071774C">
        <w:t>the</w:t>
      </w:r>
      <w:r>
        <w:t xml:space="preserve"> </w:t>
      </w:r>
      <w:r w:rsidRPr="0071774C">
        <w:t>national</w:t>
      </w:r>
      <w:r>
        <w:t xml:space="preserve"> </w:t>
      </w:r>
      <w:r w:rsidRPr="0071774C">
        <w:t>level,</w:t>
      </w:r>
      <w:r>
        <w:t xml:space="preserve"> </w:t>
      </w:r>
      <w:r w:rsidR="00963B2A" w:rsidRPr="0071774C">
        <w:t>several</w:t>
      </w:r>
      <w:r>
        <w:t xml:space="preserve"> </w:t>
      </w:r>
      <w:r w:rsidRPr="0071774C">
        <w:t>time-limited</w:t>
      </w:r>
      <w:r>
        <w:t xml:space="preserve"> </w:t>
      </w:r>
      <w:r w:rsidRPr="0071774C">
        <w:t>advisory</w:t>
      </w:r>
      <w:r>
        <w:t xml:space="preserve"> </w:t>
      </w:r>
      <w:r w:rsidRPr="0071774C">
        <w:t>groups</w:t>
      </w:r>
      <w:r>
        <w:t xml:space="preserve"> </w:t>
      </w:r>
      <w:r w:rsidRPr="0071774C">
        <w:t>have</w:t>
      </w:r>
      <w:r>
        <w:t xml:space="preserve"> </w:t>
      </w:r>
      <w:r w:rsidRPr="0071774C">
        <w:t>been</w:t>
      </w:r>
      <w:r>
        <w:t xml:space="preserve"> </w:t>
      </w:r>
      <w:r w:rsidRPr="0071774C">
        <w:t>convened</w:t>
      </w:r>
      <w:r>
        <w:t xml:space="preserve"> </w:t>
      </w:r>
      <w:r w:rsidRPr="0071774C">
        <w:t>to</w:t>
      </w:r>
      <w:r>
        <w:t xml:space="preserve"> </w:t>
      </w:r>
      <w:r w:rsidRPr="0071774C">
        <w:t>support</w:t>
      </w:r>
      <w:r>
        <w:t xml:space="preserve"> </w:t>
      </w:r>
      <w:r w:rsidRPr="0071774C">
        <w:t>quality</w:t>
      </w:r>
      <w:r>
        <w:t xml:space="preserve"> primary </w:t>
      </w:r>
      <w:r w:rsidRPr="0071774C">
        <w:t>prevention</w:t>
      </w:r>
      <w:r>
        <w:t xml:space="preserve"> </w:t>
      </w:r>
      <w:r w:rsidRPr="0071774C">
        <w:t>policy</w:t>
      </w:r>
      <w:r>
        <w:t xml:space="preserve"> </w:t>
      </w:r>
      <w:r w:rsidRPr="0071774C">
        <w:t>and</w:t>
      </w:r>
      <w:r>
        <w:t xml:space="preserve"> </w:t>
      </w:r>
      <w:r w:rsidRPr="0071774C">
        <w:t>activity</w:t>
      </w:r>
      <w:r>
        <w:t xml:space="preserve"> </w:t>
      </w:r>
      <w:r w:rsidRPr="0071774C">
        <w:t>through</w:t>
      </w:r>
      <w:r>
        <w:t xml:space="preserve"> </w:t>
      </w:r>
      <w:r w:rsidRPr="0071774C">
        <w:t>development</w:t>
      </w:r>
      <w:r>
        <w:t xml:space="preserve"> </w:t>
      </w:r>
      <w:r w:rsidRPr="0071774C">
        <w:t>and</w:t>
      </w:r>
      <w:r>
        <w:t xml:space="preserve"> </w:t>
      </w:r>
      <w:r w:rsidRPr="0071774C">
        <w:t>delivery</w:t>
      </w:r>
      <w:r>
        <w:t xml:space="preserve"> </w:t>
      </w:r>
      <w:r w:rsidRPr="0071774C">
        <w:t>of</w:t>
      </w:r>
      <w:r w:rsidR="001670E3">
        <w:t xml:space="preserve"> </w:t>
      </w:r>
      <w:r w:rsidRPr="0071774C">
        <w:t>the</w:t>
      </w:r>
      <w:r>
        <w:t xml:space="preserve"> </w:t>
      </w:r>
      <w:r w:rsidRPr="0071774C">
        <w:t>National</w:t>
      </w:r>
      <w:r>
        <w:t xml:space="preserve"> </w:t>
      </w:r>
      <w:r w:rsidRPr="0071774C">
        <w:t>Plan.</w:t>
      </w:r>
      <w:r>
        <w:t xml:space="preserve"> </w:t>
      </w:r>
      <w:r w:rsidRPr="0071774C">
        <w:t>While</w:t>
      </w:r>
      <w:r>
        <w:t xml:space="preserve"> </w:t>
      </w:r>
      <w:r w:rsidRPr="0071774C">
        <w:t>these</w:t>
      </w:r>
      <w:r>
        <w:t xml:space="preserve"> </w:t>
      </w:r>
      <w:r w:rsidRPr="0071774C">
        <w:t>groups</w:t>
      </w:r>
      <w:r>
        <w:t xml:space="preserve"> </w:t>
      </w:r>
      <w:r w:rsidRPr="0071774C">
        <w:t>are</w:t>
      </w:r>
      <w:r>
        <w:t xml:space="preserve"> </w:t>
      </w:r>
      <w:r w:rsidRPr="0071774C">
        <w:t>inconsistently</w:t>
      </w:r>
      <w:r>
        <w:t xml:space="preserve"> </w:t>
      </w:r>
      <w:r w:rsidRPr="0071774C">
        <w:t>referenced</w:t>
      </w:r>
      <w:r>
        <w:t xml:space="preserve"> </w:t>
      </w:r>
      <w:r w:rsidRPr="0071774C">
        <w:t>in</w:t>
      </w:r>
      <w:r>
        <w:t xml:space="preserve"> </w:t>
      </w:r>
      <w:r w:rsidRPr="0071774C">
        <w:t>governance</w:t>
      </w:r>
      <w:r>
        <w:t xml:space="preserve"> </w:t>
      </w:r>
      <w:r w:rsidRPr="0071774C">
        <w:t>documents</w:t>
      </w:r>
      <w:r>
        <w:t xml:space="preserve"> </w:t>
      </w:r>
      <w:r w:rsidRPr="0071774C">
        <w:t>and</w:t>
      </w:r>
      <w:r>
        <w:t xml:space="preserve"> </w:t>
      </w:r>
      <w:r w:rsidRPr="0071774C">
        <w:t>action</w:t>
      </w:r>
      <w:r>
        <w:t xml:space="preserve"> </w:t>
      </w:r>
      <w:r w:rsidRPr="0071774C">
        <w:t>plans,</w:t>
      </w:r>
      <w:r>
        <w:t xml:space="preserve"> </w:t>
      </w:r>
      <w:r w:rsidRPr="0071774C">
        <w:t>it</w:t>
      </w:r>
      <w:r>
        <w:t xml:space="preserve"> </w:t>
      </w:r>
      <w:r w:rsidRPr="0071774C">
        <w:t>is</w:t>
      </w:r>
      <w:r>
        <w:t xml:space="preserve"> </w:t>
      </w:r>
      <w:r w:rsidRPr="0071774C">
        <w:t>apparent</w:t>
      </w:r>
      <w:r>
        <w:t xml:space="preserve"> </w:t>
      </w:r>
      <w:r w:rsidRPr="0071774C">
        <w:t>that</w:t>
      </w:r>
      <w:r>
        <w:t xml:space="preserve"> </w:t>
      </w:r>
      <w:r w:rsidRPr="0071774C">
        <w:t>over</w:t>
      </w:r>
      <w:r>
        <w:t xml:space="preserve"> </w:t>
      </w:r>
      <w:r w:rsidRPr="0071774C">
        <w:t>time</w:t>
      </w:r>
      <w:r>
        <w:t xml:space="preserve"> </w:t>
      </w:r>
      <w:r w:rsidRPr="0071774C">
        <w:t>there</w:t>
      </w:r>
      <w:r>
        <w:t xml:space="preserve"> </w:t>
      </w:r>
      <w:r w:rsidRPr="0071774C">
        <w:t>have</w:t>
      </w:r>
      <w:r>
        <w:t xml:space="preserve"> </w:t>
      </w:r>
      <w:r w:rsidRPr="0071774C">
        <w:t>been</w:t>
      </w:r>
      <w:r>
        <w:t xml:space="preserve"> </w:t>
      </w:r>
      <w:r w:rsidRPr="0071774C">
        <w:t>multiple</w:t>
      </w:r>
      <w:r>
        <w:t xml:space="preserve"> </w:t>
      </w:r>
      <w:r w:rsidRPr="0071774C">
        <w:t>advisory</w:t>
      </w:r>
      <w:r>
        <w:t xml:space="preserve"> </w:t>
      </w:r>
      <w:r w:rsidRPr="0071774C">
        <w:t>groups</w:t>
      </w:r>
      <w:r>
        <w:t xml:space="preserve"> </w:t>
      </w:r>
      <w:r w:rsidRPr="0071774C">
        <w:t>providing</w:t>
      </w:r>
      <w:r>
        <w:t xml:space="preserve"> </w:t>
      </w:r>
      <w:r w:rsidRPr="0071774C">
        <w:t>advice</w:t>
      </w:r>
      <w:r>
        <w:t xml:space="preserve"> </w:t>
      </w:r>
      <w:r w:rsidRPr="0071774C">
        <w:t>over</w:t>
      </w:r>
      <w:r>
        <w:t xml:space="preserve"> </w:t>
      </w:r>
      <w:r w:rsidRPr="0071774C">
        <w:t>relatively</w:t>
      </w:r>
      <w:r>
        <w:t xml:space="preserve"> </w:t>
      </w:r>
      <w:r w:rsidRPr="0071774C">
        <w:t>short</w:t>
      </w:r>
      <w:r>
        <w:t xml:space="preserve"> </w:t>
      </w:r>
      <w:r w:rsidRPr="0071774C">
        <w:t>time</w:t>
      </w:r>
      <w:r>
        <w:t xml:space="preserve"> </w:t>
      </w:r>
      <w:r w:rsidRPr="0071774C">
        <w:t>periods.</w:t>
      </w:r>
      <w:r>
        <w:t xml:space="preserve"> </w:t>
      </w:r>
      <w:r w:rsidRPr="0071774C">
        <w:t>Over</w:t>
      </w:r>
      <w:r>
        <w:t xml:space="preserve"> </w:t>
      </w:r>
      <w:r w:rsidRPr="0071774C">
        <w:t>time,</w:t>
      </w:r>
      <w:r>
        <w:t xml:space="preserve"> </w:t>
      </w:r>
      <w:r w:rsidRPr="0071774C">
        <w:t>these</w:t>
      </w:r>
      <w:r>
        <w:t xml:space="preserve"> </w:t>
      </w:r>
      <w:r w:rsidRPr="0071774C">
        <w:t>advisory</w:t>
      </w:r>
      <w:r>
        <w:t xml:space="preserve"> </w:t>
      </w:r>
      <w:r w:rsidRPr="0071774C">
        <w:t>groups</w:t>
      </w:r>
      <w:r>
        <w:t xml:space="preserve"> </w:t>
      </w:r>
      <w:r w:rsidRPr="0071774C">
        <w:t>appear</w:t>
      </w:r>
      <w:r>
        <w:t xml:space="preserve"> </w:t>
      </w:r>
      <w:r w:rsidRPr="0071774C">
        <w:t>to</w:t>
      </w:r>
      <w:r>
        <w:t xml:space="preserve"> </w:t>
      </w:r>
      <w:r w:rsidRPr="0071774C">
        <w:t>have</w:t>
      </w:r>
      <w:r>
        <w:t xml:space="preserve"> </w:t>
      </w:r>
      <w:r w:rsidRPr="0071774C">
        <w:t>become</w:t>
      </w:r>
      <w:r>
        <w:t xml:space="preserve"> </w:t>
      </w:r>
      <w:r w:rsidRPr="0071774C">
        <w:t>less</w:t>
      </w:r>
      <w:r>
        <w:t xml:space="preserve"> </w:t>
      </w:r>
      <w:r w:rsidRPr="0071774C">
        <w:t>likely</w:t>
      </w:r>
      <w:r>
        <w:t xml:space="preserve"> </w:t>
      </w:r>
      <w:r w:rsidRPr="0071774C">
        <w:t>to</w:t>
      </w:r>
      <w:r>
        <w:t xml:space="preserve"> </w:t>
      </w:r>
      <w:r w:rsidRPr="0071774C">
        <w:t>include</w:t>
      </w:r>
      <w:r>
        <w:t xml:space="preserve"> </w:t>
      </w:r>
      <w:r w:rsidRPr="0071774C">
        <w:t>civil</w:t>
      </w:r>
      <w:r>
        <w:t xml:space="preserve"> </w:t>
      </w:r>
      <w:r w:rsidRPr="0071774C">
        <w:t>society</w:t>
      </w:r>
      <w:r>
        <w:t xml:space="preserve"> </w:t>
      </w:r>
      <w:r w:rsidRPr="0071774C">
        <w:t>representatives</w:t>
      </w:r>
      <w:r>
        <w:t xml:space="preserve"> </w:t>
      </w:r>
      <w:r w:rsidRPr="0071774C">
        <w:t>providing</w:t>
      </w:r>
      <w:r>
        <w:t xml:space="preserve"> </w:t>
      </w:r>
      <w:r w:rsidRPr="0071774C">
        <w:t>expertise</w:t>
      </w:r>
      <w:r>
        <w:t xml:space="preserve"> </w:t>
      </w:r>
      <w:r w:rsidRPr="0071774C">
        <w:t>in</w:t>
      </w:r>
      <w:r>
        <w:t xml:space="preserve"> </w:t>
      </w:r>
      <w:r w:rsidRPr="0071774C">
        <w:t>their</w:t>
      </w:r>
      <w:r>
        <w:t xml:space="preserve"> </w:t>
      </w:r>
      <w:r w:rsidRPr="0071774C">
        <w:t>areas,</w:t>
      </w:r>
      <w:r>
        <w:t xml:space="preserve"> </w:t>
      </w:r>
      <w:r w:rsidRPr="0071774C">
        <w:t>and</w:t>
      </w:r>
      <w:r>
        <w:t xml:space="preserve"> </w:t>
      </w:r>
      <w:r w:rsidRPr="0071774C">
        <w:t>more</w:t>
      </w:r>
      <w:r>
        <w:t xml:space="preserve"> </w:t>
      </w:r>
      <w:r w:rsidRPr="0071774C">
        <w:t>likely</w:t>
      </w:r>
      <w:r>
        <w:t xml:space="preserve"> </w:t>
      </w:r>
      <w:r w:rsidRPr="0071774C">
        <w:t>to</w:t>
      </w:r>
      <w:r>
        <w:t xml:space="preserve"> </w:t>
      </w:r>
      <w:r w:rsidRPr="0071774C">
        <w:t>include</w:t>
      </w:r>
      <w:r>
        <w:t xml:space="preserve"> </w:t>
      </w:r>
      <w:r w:rsidRPr="0071774C">
        <w:t>only</w:t>
      </w:r>
      <w:r>
        <w:t xml:space="preserve"> </w:t>
      </w:r>
      <w:r w:rsidRPr="0071774C">
        <w:t>government</w:t>
      </w:r>
      <w:r>
        <w:t xml:space="preserve"> </w:t>
      </w:r>
      <w:r w:rsidRPr="0071774C">
        <w:t>representatives</w:t>
      </w:r>
      <w:r>
        <w:t xml:space="preserve"> </w:t>
      </w:r>
      <w:r w:rsidRPr="0071774C">
        <w:t>across</w:t>
      </w:r>
      <w:r>
        <w:t xml:space="preserve"> </w:t>
      </w:r>
      <w:r w:rsidRPr="0071774C">
        <w:t>jurisdictions</w:t>
      </w:r>
      <w:r>
        <w:t xml:space="preserve"> </w:t>
      </w:r>
      <w:r w:rsidRPr="0071774C">
        <w:t>(</w:t>
      </w:r>
      <w:r>
        <w:t xml:space="preserve">for more details, </w:t>
      </w:r>
      <w:r w:rsidRPr="0071774C">
        <w:t>see</w:t>
      </w:r>
      <w:r>
        <w:t xml:space="preserve"> </w:t>
      </w:r>
      <w:r w:rsidRPr="0071774C">
        <w:t>Appendix</w:t>
      </w:r>
      <w:r>
        <w:t xml:space="preserve"> </w:t>
      </w:r>
      <w:r w:rsidRPr="0071774C">
        <w:t>C</w:t>
      </w:r>
      <w:r>
        <w:t>: Time-limited advisory groups linked to the</w:t>
      </w:r>
      <w:r w:rsidR="00C11BA2">
        <w:t> </w:t>
      </w:r>
      <w:r>
        <w:t>National Plan</w:t>
      </w:r>
      <w:r w:rsidRPr="0071774C">
        <w:t>).</w:t>
      </w:r>
    </w:p>
    <w:p w14:paraId="5D874B5B" w14:textId="2F3657D0" w:rsidR="002C2EC7" w:rsidRDefault="002C2EC7" w:rsidP="00790783">
      <w:pPr>
        <w:pStyle w:val="BodyText"/>
      </w:pPr>
      <w:r w:rsidRPr="0071774C">
        <w:t>These</w:t>
      </w:r>
      <w:r>
        <w:t xml:space="preserve"> </w:t>
      </w:r>
      <w:r w:rsidRPr="0071774C">
        <w:t>various</w:t>
      </w:r>
      <w:r>
        <w:t xml:space="preserve"> </w:t>
      </w:r>
      <w:r w:rsidRPr="0071774C">
        <w:t>findings</w:t>
      </w:r>
      <w:r>
        <w:t xml:space="preserve"> </w:t>
      </w:r>
      <w:r w:rsidRPr="0071774C">
        <w:t>reinforce</w:t>
      </w:r>
      <w:r>
        <w:t xml:space="preserve"> </w:t>
      </w:r>
      <w:r w:rsidRPr="0071774C">
        <w:t>the</w:t>
      </w:r>
      <w:r>
        <w:t xml:space="preserve"> </w:t>
      </w:r>
      <w:r w:rsidRPr="0071774C">
        <w:t>need</w:t>
      </w:r>
      <w:r>
        <w:t xml:space="preserve"> </w:t>
      </w:r>
      <w:r w:rsidRPr="0071774C">
        <w:t>for</w:t>
      </w:r>
      <w:r>
        <w:t xml:space="preserve"> </w:t>
      </w:r>
      <w:r w:rsidRPr="0071774C">
        <w:t>improved</w:t>
      </w:r>
      <w:r>
        <w:t xml:space="preserve"> </w:t>
      </w:r>
      <w:r w:rsidRPr="0071774C">
        <w:t>coordination</w:t>
      </w:r>
      <w:r>
        <w:t xml:space="preserve"> </w:t>
      </w:r>
      <w:r w:rsidRPr="0071774C">
        <w:t>mechanisms</w:t>
      </w:r>
      <w:r>
        <w:t xml:space="preserve"> </w:t>
      </w:r>
      <w:r w:rsidRPr="0071774C">
        <w:t>to</w:t>
      </w:r>
      <w:r>
        <w:t xml:space="preserve"> </w:t>
      </w:r>
      <w:r w:rsidRPr="0071774C">
        <w:t>oversee</w:t>
      </w:r>
      <w:r w:rsidR="00C11BA2">
        <w:t> </w:t>
      </w:r>
      <w:r w:rsidRPr="0071774C">
        <w:t>a</w:t>
      </w:r>
      <w:r>
        <w:t xml:space="preserve"> </w:t>
      </w:r>
      <w:r w:rsidRPr="0071774C">
        <w:t>systematic,</w:t>
      </w:r>
      <w:r>
        <w:t xml:space="preserve"> </w:t>
      </w:r>
      <w:r w:rsidRPr="0071774C">
        <w:t>staged</w:t>
      </w:r>
      <w:r>
        <w:t xml:space="preserve"> </w:t>
      </w:r>
      <w:r w:rsidRPr="0071774C">
        <w:t>delivery</w:t>
      </w:r>
      <w:r>
        <w:t xml:space="preserve"> </w:t>
      </w:r>
      <w:r w:rsidRPr="0071774C">
        <w:t>of</w:t>
      </w:r>
      <w:r>
        <w:t xml:space="preserve"> primary </w:t>
      </w:r>
      <w:r w:rsidRPr="0071774C">
        <w:t>prevention</w:t>
      </w:r>
      <w:r>
        <w:t xml:space="preserve"> </w:t>
      </w:r>
      <w:r w:rsidRPr="0071774C">
        <w:t>activities</w:t>
      </w:r>
      <w:r>
        <w:t xml:space="preserve"> </w:t>
      </w:r>
      <w:r w:rsidRPr="0071774C">
        <w:t>that</w:t>
      </w:r>
      <w:r>
        <w:t xml:space="preserve"> </w:t>
      </w:r>
      <w:r w:rsidRPr="0071774C">
        <w:t>is</w:t>
      </w:r>
      <w:r>
        <w:t xml:space="preserve"> </w:t>
      </w:r>
      <w:r w:rsidRPr="0071774C">
        <w:t>conscious</w:t>
      </w:r>
      <w:r>
        <w:t xml:space="preserve"> </w:t>
      </w:r>
      <w:r w:rsidRPr="0071774C">
        <w:t>of</w:t>
      </w:r>
      <w:r>
        <w:t xml:space="preserve"> </w:t>
      </w:r>
      <w:r w:rsidRPr="0071774C">
        <w:t>the</w:t>
      </w:r>
      <w:r w:rsidR="00C11BA2">
        <w:t> </w:t>
      </w:r>
      <w:r w:rsidRPr="0071774C">
        <w:t>necessary</w:t>
      </w:r>
      <w:r>
        <w:t xml:space="preserve"> </w:t>
      </w:r>
      <w:r w:rsidRPr="0071774C">
        <w:t>dependencies</w:t>
      </w:r>
      <w:r>
        <w:t xml:space="preserve"> and nuances </w:t>
      </w:r>
      <w:r w:rsidRPr="0071774C">
        <w:t>required</w:t>
      </w:r>
      <w:r>
        <w:t xml:space="preserve"> </w:t>
      </w:r>
      <w:r w:rsidRPr="0071774C">
        <w:t>to</w:t>
      </w:r>
      <w:r>
        <w:t xml:space="preserve"> </w:t>
      </w:r>
      <w:r w:rsidRPr="0071774C">
        <w:t>achieve</w:t>
      </w:r>
      <w:r>
        <w:t xml:space="preserve"> </w:t>
      </w:r>
      <w:r w:rsidRPr="0071774C">
        <w:t>meaningful</w:t>
      </w:r>
      <w:r>
        <w:t xml:space="preserve"> </w:t>
      </w:r>
      <w:r w:rsidRPr="0071774C">
        <w:t>transformation</w:t>
      </w:r>
      <w:r>
        <w:t xml:space="preserve"> </w:t>
      </w:r>
      <w:r w:rsidRPr="0071774C">
        <w:t>for</w:t>
      </w:r>
      <w:r w:rsidR="00C11BA2">
        <w:t> </w:t>
      </w:r>
      <w:r w:rsidRPr="0071774C">
        <w:t>all</w:t>
      </w:r>
      <w:r>
        <w:t xml:space="preserve"> </w:t>
      </w:r>
      <w:r w:rsidRPr="0071774C">
        <w:t>women,</w:t>
      </w:r>
      <w:r>
        <w:t xml:space="preserve"> </w:t>
      </w:r>
      <w:r w:rsidRPr="0071774C">
        <w:t>across</w:t>
      </w:r>
      <w:r>
        <w:t xml:space="preserve"> </w:t>
      </w:r>
      <w:r w:rsidRPr="0071774C">
        <w:t>all</w:t>
      </w:r>
      <w:r>
        <w:t xml:space="preserve"> </w:t>
      </w:r>
      <w:r w:rsidRPr="0071774C">
        <w:t>jurisdictions</w:t>
      </w:r>
      <w:r>
        <w:t xml:space="preserve"> </w:t>
      </w:r>
      <w:r w:rsidRPr="0071774C">
        <w:t>and</w:t>
      </w:r>
      <w:r>
        <w:t xml:space="preserve"> </w:t>
      </w:r>
      <w:r w:rsidRPr="0071774C">
        <w:t>within</w:t>
      </w:r>
      <w:r>
        <w:t xml:space="preserve"> </w:t>
      </w:r>
      <w:r w:rsidRPr="0071774C">
        <w:t>all</w:t>
      </w:r>
      <w:r>
        <w:t xml:space="preserve"> </w:t>
      </w:r>
      <w:r w:rsidRPr="0071774C">
        <w:t>settings.</w:t>
      </w:r>
    </w:p>
    <w:p w14:paraId="2A62B84D" w14:textId="77777777" w:rsidR="002C2EC7" w:rsidRDefault="002C2EC7" w:rsidP="00790783">
      <w:pPr>
        <w:pStyle w:val="Heading5"/>
      </w:pPr>
      <w:bookmarkStart w:id="56" w:name="_Toc41559734"/>
      <w:r w:rsidRPr="0071774C">
        <w:t>Supporting</w:t>
      </w:r>
      <w:r>
        <w:t xml:space="preserve"> </w:t>
      </w:r>
      <w:r w:rsidRPr="0071774C">
        <w:t>mutually</w:t>
      </w:r>
      <w:r>
        <w:t xml:space="preserve"> </w:t>
      </w:r>
      <w:r w:rsidRPr="0071774C">
        <w:t>reinforcing</w:t>
      </w:r>
      <w:r>
        <w:t xml:space="preserve"> </w:t>
      </w:r>
      <w:r w:rsidRPr="0071774C">
        <w:t>activity</w:t>
      </w:r>
      <w:bookmarkEnd w:id="56"/>
    </w:p>
    <w:p w14:paraId="28453E70" w14:textId="2D1ECECE" w:rsidR="002C2EC7" w:rsidRDefault="002C2EC7" w:rsidP="00790783">
      <w:pPr>
        <w:pStyle w:val="BodyText"/>
      </w:pPr>
      <w:r w:rsidRPr="0071774C">
        <w:t>Between</w:t>
      </w:r>
      <w:r>
        <w:t xml:space="preserve"> </w:t>
      </w:r>
      <w:r w:rsidRPr="0071774C">
        <w:t>2009</w:t>
      </w:r>
      <w:r>
        <w:t xml:space="preserve"> and </w:t>
      </w:r>
      <w:r w:rsidRPr="0071774C">
        <w:t>2019,</w:t>
      </w:r>
      <w:r>
        <w:t xml:space="preserve"> </w:t>
      </w:r>
      <w:r w:rsidR="00CF46B1" w:rsidRPr="0071774C">
        <w:t>several</w:t>
      </w:r>
      <w:r>
        <w:t xml:space="preserve"> </w:t>
      </w:r>
      <w:r w:rsidRPr="0071774C">
        <w:t>key</w:t>
      </w:r>
      <w:r>
        <w:t xml:space="preserve"> </w:t>
      </w:r>
      <w:r w:rsidRPr="0071774C">
        <w:t>documents</w:t>
      </w:r>
      <w:r>
        <w:t xml:space="preserve"> </w:t>
      </w:r>
      <w:r w:rsidRPr="0071774C">
        <w:t>were</w:t>
      </w:r>
      <w:r>
        <w:t xml:space="preserve"> </w:t>
      </w:r>
      <w:r w:rsidRPr="0071774C">
        <w:t>developed</w:t>
      </w:r>
      <w:r>
        <w:t xml:space="preserve"> </w:t>
      </w:r>
      <w:r w:rsidRPr="0071774C">
        <w:t>with</w:t>
      </w:r>
      <w:r>
        <w:t xml:space="preserve"> </w:t>
      </w:r>
      <w:r w:rsidRPr="0071774C">
        <w:t>the</w:t>
      </w:r>
      <w:r>
        <w:t xml:space="preserve"> </w:t>
      </w:r>
      <w:r w:rsidRPr="0071774C">
        <w:t>intention</w:t>
      </w:r>
      <w:r>
        <w:t xml:space="preserve"> </w:t>
      </w:r>
      <w:r w:rsidRPr="0071774C">
        <w:t>of</w:t>
      </w:r>
      <w:r w:rsidR="001670E3">
        <w:t xml:space="preserve"> </w:t>
      </w:r>
      <w:r w:rsidRPr="0071774C">
        <w:t>both</w:t>
      </w:r>
      <w:r>
        <w:t xml:space="preserve"> </w:t>
      </w:r>
      <w:r w:rsidRPr="0071774C">
        <w:t>coordinating</w:t>
      </w:r>
      <w:r>
        <w:t xml:space="preserve"> </w:t>
      </w:r>
      <w:r w:rsidRPr="0071774C">
        <w:t>and</w:t>
      </w:r>
      <w:r>
        <w:t xml:space="preserve"> </w:t>
      </w:r>
      <w:r w:rsidRPr="0071774C">
        <w:t>guiding</w:t>
      </w:r>
      <w:r>
        <w:t xml:space="preserve"> </w:t>
      </w:r>
      <w:r w:rsidRPr="0071774C">
        <w:t>primary</w:t>
      </w:r>
      <w:r>
        <w:t xml:space="preserve"> </w:t>
      </w:r>
      <w:r w:rsidRPr="0071774C">
        <w:t>prevention</w:t>
      </w:r>
      <w:r>
        <w:t xml:space="preserve"> </w:t>
      </w:r>
      <w:r w:rsidRPr="0071774C">
        <w:t>work</w:t>
      </w:r>
      <w:r>
        <w:t xml:space="preserve"> </w:t>
      </w:r>
      <w:r w:rsidRPr="0071774C">
        <w:t>in</w:t>
      </w:r>
      <w:r>
        <w:t xml:space="preserve"> </w:t>
      </w:r>
      <w:r w:rsidRPr="0071774C">
        <w:t>Australia.</w:t>
      </w:r>
      <w:r>
        <w:t xml:space="preserve"> </w:t>
      </w:r>
      <w:r w:rsidRPr="0071774C">
        <w:t>These</w:t>
      </w:r>
      <w:r>
        <w:t xml:space="preserve"> </w:t>
      </w:r>
      <w:r w:rsidRPr="0071774C">
        <w:t>include</w:t>
      </w:r>
      <w:r>
        <w:t xml:space="preserve"> </w:t>
      </w:r>
      <w:r w:rsidRPr="0071774C">
        <w:t>the</w:t>
      </w:r>
      <w:r>
        <w:t xml:space="preserve"> </w:t>
      </w:r>
      <w:r w:rsidRPr="00E6594A">
        <w:t>National</w:t>
      </w:r>
      <w:r>
        <w:t xml:space="preserve"> </w:t>
      </w:r>
      <w:r w:rsidRPr="00E6594A">
        <w:t>Plan</w:t>
      </w:r>
      <w:r w:rsidRPr="0071774C">
        <w:t>,</w:t>
      </w:r>
      <w:r>
        <w:t xml:space="preserve"> </w:t>
      </w:r>
      <w:r w:rsidRPr="00ED4674">
        <w:rPr>
          <w:rStyle w:val="Emphasis"/>
        </w:rPr>
        <w:t xml:space="preserve">Change the story </w:t>
      </w:r>
      <w:r w:rsidRPr="005068F2">
        <w:t>(2015)</w:t>
      </w:r>
      <w:r>
        <w:t>,</w:t>
      </w:r>
      <w:r w:rsidRPr="00187A71">
        <w:rPr>
          <w:rStyle w:val="EndnoteReference"/>
          <w:szCs w:val="22"/>
        </w:rPr>
        <w:endnoteReference w:id="106"/>
      </w:r>
      <w:r>
        <w:t xml:space="preserve"> </w:t>
      </w:r>
      <w:r w:rsidRPr="0071774C">
        <w:t>and</w:t>
      </w:r>
      <w:r>
        <w:t xml:space="preserve"> </w:t>
      </w:r>
      <w:r w:rsidRPr="00ED4674">
        <w:rPr>
          <w:rStyle w:val="Emphasis"/>
        </w:rPr>
        <w:t xml:space="preserve">Changing the picture </w:t>
      </w:r>
      <w:r w:rsidRPr="005068F2">
        <w:t>(</w:t>
      </w:r>
      <w:r w:rsidRPr="009F4F71">
        <w:t>2018</w:t>
      </w:r>
      <w:r w:rsidRPr="00854CA7">
        <w:t>)</w:t>
      </w:r>
      <w:r w:rsidRPr="005068F2">
        <w:t>,</w:t>
      </w:r>
      <w:r w:rsidRPr="00187A71">
        <w:rPr>
          <w:rStyle w:val="EndnoteReference"/>
          <w:szCs w:val="22"/>
        </w:rPr>
        <w:endnoteReference w:id="107"/>
      </w:r>
      <w:r>
        <w:t xml:space="preserve"> </w:t>
      </w:r>
      <w:r w:rsidRPr="0071774C">
        <w:t>which</w:t>
      </w:r>
      <w:r>
        <w:t xml:space="preserve"> </w:t>
      </w:r>
      <w:r w:rsidRPr="0071774C">
        <w:t>focuses</w:t>
      </w:r>
      <w:r>
        <w:t xml:space="preserve"> </w:t>
      </w:r>
      <w:r w:rsidRPr="0071774C">
        <w:t>on</w:t>
      </w:r>
      <w:r>
        <w:t xml:space="preserve"> </w:t>
      </w:r>
      <w:r w:rsidRPr="0071774C">
        <w:t>the</w:t>
      </w:r>
      <w:r w:rsidR="001670E3">
        <w:t>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Aboriginal</w:t>
      </w:r>
      <w:r>
        <w:t xml:space="preserve"> </w:t>
      </w:r>
      <w:r w:rsidRPr="0071774C">
        <w:t>and</w:t>
      </w:r>
      <w:r>
        <w:t xml:space="preserve"> </w:t>
      </w:r>
      <w:r w:rsidRPr="0071774C">
        <w:t>Torres</w:t>
      </w:r>
      <w:r>
        <w:t xml:space="preserve"> </w:t>
      </w:r>
      <w:r w:rsidRPr="0071774C">
        <w:t>Strait</w:t>
      </w:r>
      <w:r>
        <w:t xml:space="preserve"> </w:t>
      </w:r>
      <w:r w:rsidRPr="0071774C">
        <w:t>Islander</w:t>
      </w:r>
      <w:r>
        <w:t xml:space="preserve"> </w:t>
      </w:r>
      <w:r w:rsidRPr="0071774C">
        <w:t>women.</w:t>
      </w:r>
      <w:r>
        <w:t xml:space="preserve"> </w:t>
      </w:r>
      <w:r w:rsidRPr="0071774C">
        <w:t>These</w:t>
      </w:r>
      <w:r>
        <w:t xml:space="preserve"> </w:t>
      </w:r>
      <w:r w:rsidRPr="0071774C">
        <w:t>documents</w:t>
      </w:r>
      <w:r>
        <w:t xml:space="preserve"> </w:t>
      </w:r>
      <w:r w:rsidRPr="0071774C">
        <w:t>provide</w:t>
      </w:r>
      <w:r>
        <w:t xml:space="preserve"> </w:t>
      </w:r>
      <w:r w:rsidRPr="0071774C">
        <w:t>a</w:t>
      </w:r>
      <w:r w:rsidR="00C11BA2">
        <w:t> </w:t>
      </w:r>
      <w:r w:rsidRPr="0071774C">
        <w:t>framework</w:t>
      </w:r>
      <w:r w:rsidR="005573E8">
        <w:t xml:space="preserve"> and guide respectively</w:t>
      </w:r>
      <w:r>
        <w:t xml:space="preserve"> </w:t>
      </w:r>
      <w:r w:rsidRPr="0071774C">
        <w:t>for</w:t>
      </w:r>
      <w:r>
        <w:t xml:space="preserve"> </w:t>
      </w:r>
      <w:r w:rsidRPr="0071774C">
        <w:t>promoting</w:t>
      </w:r>
      <w:r>
        <w:t xml:space="preserve"> </w:t>
      </w:r>
      <w:r w:rsidRPr="0071774C">
        <w:t>consistency</w:t>
      </w:r>
      <w:r>
        <w:t xml:space="preserve"> </w:t>
      </w:r>
      <w:r w:rsidRPr="0071774C">
        <w:t>between</w:t>
      </w:r>
      <w:r>
        <w:t xml:space="preserve"> </w:t>
      </w:r>
      <w:r w:rsidRPr="0071774C">
        <w:t>prevention</w:t>
      </w:r>
      <w:r>
        <w:t xml:space="preserve"> </w:t>
      </w:r>
      <w:r w:rsidRPr="0071774C">
        <w:t>efforts</w:t>
      </w:r>
      <w:r w:rsidR="00ED696B">
        <w:t> </w:t>
      </w:r>
      <w:r w:rsidRPr="0071774C">
        <w:t>at</w:t>
      </w:r>
      <w:r>
        <w:t xml:space="preserve"> </w:t>
      </w:r>
      <w:r w:rsidRPr="0071774C">
        <w:t>a</w:t>
      </w:r>
      <w:r>
        <w:t xml:space="preserve"> </w:t>
      </w:r>
      <w:r w:rsidRPr="0071774C">
        <w:t>national,</w:t>
      </w:r>
      <w:r>
        <w:t xml:space="preserve"> </w:t>
      </w:r>
      <w:r w:rsidRPr="0071774C">
        <w:t>state/territory</w:t>
      </w:r>
      <w:r>
        <w:t xml:space="preserve"> </w:t>
      </w:r>
      <w:r w:rsidRPr="0071774C">
        <w:t>and</w:t>
      </w:r>
      <w:r>
        <w:t xml:space="preserve"> </w:t>
      </w:r>
      <w:r w:rsidRPr="0071774C">
        <w:t>local</w:t>
      </w:r>
      <w:r>
        <w:t xml:space="preserve"> </w:t>
      </w:r>
      <w:r w:rsidRPr="0071774C">
        <w:t>level.</w:t>
      </w:r>
      <w:r>
        <w:t xml:space="preserve"> </w:t>
      </w:r>
      <w:r w:rsidRPr="0071774C">
        <w:t>Data</w:t>
      </w:r>
      <w:r>
        <w:t xml:space="preserve"> </w:t>
      </w:r>
      <w:r w:rsidRPr="0071774C">
        <w:t>from</w:t>
      </w:r>
      <w:r>
        <w:t xml:space="preserve"> </w:t>
      </w:r>
      <w:r w:rsidRPr="0071774C">
        <w:t>our</w:t>
      </w:r>
      <w:r>
        <w:t xml:space="preserve"> </w:t>
      </w:r>
      <w:r w:rsidRPr="0071774C">
        <w:t>survey</w:t>
      </w:r>
      <w:r>
        <w:t xml:space="preserve"> </w:t>
      </w:r>
      <w:r w:rsidRPr="0071774C">
        <w:t>indicated</w:t>
      </w:r>
      <w:r>
        <w:t xml:space="preserve"> </w:t>
      </w:r>
      <w:r w:rsidRPr="0071774C">
        <w:t>that</w:t>
      </w:r>
      <w:r>
        <w:t xml:space="preserve"> </w:t>
      </w:r>
      <w:r w:rsidRPr="0071774C">
        <w:t>respondents,</w:t>
      </w:r>
      <w:r>
        <w:t xml:space="preserve"> </w:t>
      </w:r>
      <w:r w:rsidRPr="0071774C">
        <w:t>who</w:t>
      </w:r>
      <w:r>
        <w:t xml:space="preserve"> </w:t>
      </w:r>
      <w:r w:rsidRPr="0071774C">
        <w:t>are</w:t>
      </w:r>
      <w:r>
        <w:t xml:space="preserve"> </w:t>
      </w:r>
      <w:r w:rsidRPr="0071774C">
        <w:t>part</w:t>
      </w:r>
      <w:r>
        <w:t xml:space="preserve"> </w:t>
      </w:r>
      <w:r w:rsidRPr="0071774C">
        <w:t>of</w:t>
      </w:r>
      <w:r>
        <w:t xml:space="preserve"> </w:t>
      </w:r>
      <w:r w:rsidRPr="0071774C">
        <w:t>the</w:t>
      </w:r>
      <w:r>
        <w:t xml:space="preserve"> </w:t>
      </w:r>
      <w:r w:rsidRPr="0071774C">
        <w:t>emerging</w:t>
      </w:r>
      <w:r>
        <w:t xml:space="preserve"> </w:t>
      </w:r>
      <w:r w:rsidRPr="0071774C">
        <w:t>prevention</w:t>
      </w:r>
      <w:r>
        <w:t xml:space="preserve"> </w:t>
      </w:r>
      <w:r w:rsidRPr="0071774C">
        <w:t>workforce,</w:t>
      </w:r>
      <w:r>
        <w:t xml:space="preserve"> </w:t>
      </w:r>
      <w:r w:rsidRPr="0071774C">
        <w:t>commonly</w:t>
      </w:r>
      <w:r>
        <w:t xml:space="preserve"> </w:t>
      </w:r>
      <w:r w:rsidRPr="0071774C">
        <w:t>engage</w:t>
      </w:r>
      <w:r>
        <w:t xml:space="preserve"> </w:t>
      </w:r>
      <w:r w:rsidRPr="0071774C">
        <w:t>in</w:t>
      </w:r>
      <w:r>
        <w:t xml:space="preserve"> </w:t>
      </w:r>
      <w:r w:rsidRPr="0071774C">
        <w:t>work</w:t>
      </w:r>
      <w:r>
        <w:t xml:space="preserve"> </w:t>
      </w:r>
      <w:r w:rsidRPr="0071774C">
        <w:t>that</w:t>
      </w:r>
      <w:r>
        <w:t xml:space="preserve"> </w:t>
      </w:r>
      <w:r w:rsidRPr="0071774C">
        <w:t>is</w:t>
      </w:r>
      <w:r>
        <w:t xml:space="preserve"> </w:t>
      </w:r>
      <w:r w:rsidRPr="0071774C">
        <w:t>linked</w:t>
      </w:r>
      <w:r>
        <w:t xml:space="preserve"> </w:t>
      </w:r>
      <w:r w:rsidRPr="0071774C">
        <w:t>to</w:t>
      </w:r>
      <w:r>
        <w:t xml:space="preserve"> </w:t>
      </w:r>
      <w:r w:rsidRPr="0071774C">
        <w:t>a</w:t>
      </w:r>
      <w:r>
        <w:t xml:space="preserve"> </w:t>
      </w:r>
      <w:r w:rsidRPr="0071774C">
        <w:t>state</w:t>
      </w:r>
      <w:r>
        <w:t xml:space="preserve"> </w:t>
      </w:r>
      <w:r w:rsidRPr="0071774C">
        <w:t>or</w:t>
      </w:r>
      <w:r>
        <w:t xml:space="preserve"> </w:t>
      </w:r>
      <w:r w:rsidRPr="0071774C">
        <w:t>territory</w:t>
      </w:r>
      <w:r>
        <w:t xml:space="preserve"> </w:t>
      </w:r>
      <w:r w:rsidRPr="00A80589">
        <w:t>government</w:t>
      </w:r>
      <w:r>
        <w:t xml:space="preserve"> </w:t>
      </w:r>
      <w:r w:rsidRPr="00A80589">
        <w:t>primary</w:t>
      </w:r>
      <w:r>
        <w:t xml:space="preserve"> </w:t>
      </w:r>
      <w:r w:rsidRPr="00A80589">
        <w:t>prevention</w:t>
      </w:r>
      <w:r>
        <w:t xml:space="preserve"> </w:t>
      </w:r>
      <w:r w:rsidRPr="00A80589">
        <w:t>strategy</w:t>
      </w:r>
      <w:r>
        <w:t xml:space="preserve"> </w:t>
      </w:r>
      <w:r w:rsidRPr="00A80589">
        <w:t>or</w:t>
      </w:r>
      <w:r>
        <w:t xml:space="preserve"> </w:t>
      </w:r>
      <w:r w:rsidRPr="00A80589">
        <w:t>plan,</w:t>
      </w:r>
      <w:r>
        <w:t xml:space="preserve"> </w:t>
      </w:r>
      <w:r w:rsidRPr="00A80589">
        <w:t>and</w:t>
      </w:r>
      <w:r>
        <w:t xml:space="preserve"> </w:t>
      </w:r>
      <w:r w:rsidRPr="00A80589">
        <w:t>to</w:t>
      </w:r>
      <w:r>
        <w:t xml:space="preserve"> </w:t>
      </w:r>
      <w:r w:rsidRPr="00A80589">
        <w:t>shared</w:t>
      </w:r>
      <w:r>
        <w:t xml:space="preserve"> </w:t>
      </w:r>
      <w:r w:rsidRPr="00A80589">
        <w:t>national</w:t>
      </w:r>
      <w:r>
        <w:t xml:space="preserve"> </w:t>
      </w:r>
      <w:r w:rsidRPr="00A80589">
        <w:t>frameworks</w:t>
      </w:r>
      <w:r>
        <w:t xml:space="preserve"> </w:t>
      </w:r>
      <w:r w:rsidRPr="00A80589">
        <w:t>or</w:t>
      </w:r>
      <w:r>
        <w:t xml:space="preserve"> </w:t>
      </w:r>
      <w:r w:rsidRPr="00A80589">
        <w:t>guides</w:t>
      </w:r>
      <w:r>
        <w:t xml:space="preserve"> </w:t>
      </w:r>
      <w:r w:rsidRPr="00A80589">
        <w:t>and</w:t>
      </w:r>
      <w:r>
        <w:t xml:space="preserve"> </w:t>
      </w:r>
      <w:r w:rsidRPr="00A80589">
        <w:t>that</w:t>
      </w:r>
      <w:r>
        <w:t xml:space="preserve"> </w:t>
      </w:r>
      <w:r w:rsidRPr="00A80589">
        <w:t>these</w:t>
      </w:r>
      <w:r>
        <w:t xml:space="preserve"> </w:t>
      </w:r>
      <w:r w:rsidRPr="00A80589">
        <w:t>documents</w:t>
      </w:r>
      <w:r>
        <w:t xml:space="preserve"> </w:t>
      </w:r>
      <w:r w:rsidRPr="00A80589">
        <w:t>also</w:t>
      </w:r>
      <w:r>
        <w:t xml:space="preserve"> </w:t>
      </w:r>
      <w:r w:rsidRPr="00A80589">
        <w:t>commonly</w:t>
      </w:r>
      <w:r>
        <w:t xml:space="preserve"> </w:t>
      </w:r>
      <w:r w:rsidRPr="00A80589">
        <w:t>guide</w:t>
      </w:r>
      <w:r>
        <w:t xml:space="preserve"> </w:t>
      </w:r>
      <w:r w:rsidRPr="004B02DE">
        <w:t>their</w:t>
      </w:r>
      <w:r>
        <w:t xml:space="preserve"> </w:t>
      </w:r>
      <w:r w:rsidRPr="00A80589">
        <w:t>work.</w:t>
      </w:r>
      <w:r>
        <w:t xml:space="preserve"> </w:t>
      </w:r>
      <w:r w:rsidRPr="00A80589">
        <w:t>The</w:t>
      </w:r>
      <w:r>
        <w:t xml:space="preserve"> </w:t>
      </w:r>
      <w:r w:rsidRPr="00A80589">
        <w:t>semi-structured</w:t>
      </w:r>
      <w:r>
        <w:t xml:space="preserve"> </w:t>
      </w:r>
      <w:r w:rsidRPr="00A80589">
        <w:t>interview</w:t>
      </w:r>
      <w:r>
        <w:t xml:space="preserve"> </w:t>
      </w:r>
      <w:r w:rsidRPr="00A80589">
        <w:t>participants</w:t>
      </w:r>
      <w:r>
        <w:t xml:space="preserve"> </w:t>
      </w:r>
      <w:r w:rsidRPr="00A80589">
        <w:t>also</w:t>
      </w:r>
      <w:r>
        <w:t xml:space="preserve"> </w:t>
      </w:r>
      <w:r w:rsidRPr="00A80589">
        <w:t>reflected</w:t>
      </w:r>
      <w:r>
        <w:t xml:space="preserve"> </w:t>
      </w:r>
      <w:r w:rsidRPr="00A80589">
        <w:t>on</w:t>
      </w:r>
      <w:r>
        <w:t xml:space="preserve"> </w:t>
      </w:r>
      <w:r w:rsidRPr="00A80589">
        <w:t>the</w:t>
      </w:r>
      <w:r w:rsidR="001670E3">
        <w:t> </w:t>
      </w:r>
      <w:r w:rsidRPr="00A80589">
        <w:t>role</w:t>
      </w:r>
      <w:r>
        <w:t xml:space="preserve"> </w:t>
      </w:r>
      <w:r w:rsidRPr="00A80589">
        <w:t>of</w:t>
      </w:r>
      <w:r>
        <w:t xml:space="preserve"> </w:t>
      </w:r>
      <w:r w:rsidRPr="00ED4674">
        <w:rPr>
          <w:rStyle w:val="Emphasis"/>
        </w:rPr>
        <w:t>Change the story</w:t>
      </w:r>
      <w:r>
        <w:t xml:space="preserve"> </w:t>
      </w:r>
      <w:r w:rsidRPr="00A80589">
        <w:t>in</w:t>
      </w:r>
      <w:r>
        <w:t xml:space="preserve"> </w:t>
      </w:r>
      <w:r w:rsidRPr="00A80589">
        <w:t>catalysing</w:t>
      </w:r>
      <w:r w:rsidR="0077764B">
        <w:t xml:space="preserve"> increased knowledge of primary prevention and more specifically a</w:t>
      </w:r>
      <w:r>
        <w:t xml:space="preserve"> </w:t>
      </w:r>
      <w:r w:rsidRPr="00A80589">
        <w:t>shared</w:t>
      </w:r>
      <w:r>
        <w:t xml:space="preserve"> </w:t>
      </w:r>
      <w:r w:rsidRPr="00A80589">
        <w:t>language</w:t>
      </w:r>
      <w:r>
        <w:t xml:space="preserve"> </w:t>
      </w:r>
      <w:r w:rsidRPr="00A80589">
        <w:t>and</w:t>
      </w:r>
      <w:r>
        <w:t xml:space="preserve"> </w:t>
      </w:r>
      <w:r w:rsidRPr="00A80589">
        <w:t>ways</w:t>
      </w:r>
      <w:r>
        <w:t xml:space="preserve"> </w:t>
      </w:r>
      <w:r w:rsidRPr="00A80589">
        <w:t>of</w:t>
      </w:r>
      <w:r>
        <w:t xml:space="preserve"> </w:t>
      </w:r>
      <w:r w:rsidRPr="00A80589">
        <w:t>talking</w:t>
      </w:r>
      <w:r>
        <w:t xml:space="preserve"> </w:t>
      </w:r>
      <w:r w:rsidRPr="00A80589">
        <w:t>about</w:t>
      </w:r>
      <w:r>
        <w:t xml:space="preserve"> </w:t>
      </w:r>
      <w:r w:rsidRPr="00A80589">
        <w:t>primary</w:t>
      </w:r>
      <w:r>
        <w:t xml:space="preserve"> </w:t>
      </w:r>
      <w:r w:rsidRPr="00A80589">
        <w:t>prevention.</w:t>
      </w:r>
    </w:p>
    <w:p w14:paraId="037907B6" w14:textId="7DFE4198" w:rsidR="002C2EC7" w:rsidRPr="005B6FC8" w:rsidRDefault="002C2EC7" w:rsidP="00790783">
      <w:pPr>
        <w:pStyle w:val="BodyText"/>
      </w:pPr>
      <w:r w:rsidRPr="005B6FC8">
        <w:t>In addition to government coordination mechanisms, a range of national and state/territory organisations and alliances</w:t>
      </w:r>
      <w:r w:rsidR="004F6931" w:rsidRPr="004F6931">
        <w:t>, statutory bodies and commissions</w:t>
      </w:r>
      <w:r w:rsidRPr="005B6FC8">
        <w:t xml:space="preserve"> play a role in promoting consistency in evidence, practice and policy across tertiary, secondary and primary prevention.</w:t>
      </w:r>
      <w:r w:rsidRPr="005B6FC8">
        <w:rPr>
          <w:b/>
          <w:bCs/>
        </w:rPr>
        <w:t xml:space="preserve"> </w:t>
      </w:r>
      <w:r w:rsidRPr="005B6FC8">
        <w:t>The National Plan included establishment of several key national organisations. One of these is Australia’s National Research Organisation for Women’s Safety, or ANROWS, a national research organisation established to produce, disseminate and assist in applying evidence for policy and practice addressing violence against women and their children.</w:t>
      </w:r>
      <w:r w:rsidRPr="005B6FC8">
        <w:rPr>
          <w:rStyle w:val="EndnoteReference"/>
          <w:szCs w:val="22"/>
        </w:rPr>
        <w:endnoteReference w:id="108"/>
      </w:r>
      <w:r w:rsidRPr="005B6FC8">
        <w:t xml:space="preserve"> The second is Our Watch, an independent organisation with a specific focus on primary prevention, established to create nationwide change in the culture, behaviours and power imbalances that drive violence against women and their children. Under the National Plan, funding was also provided to six National Women’s Alliances representing over 180 women’s organisations across Australia. This includes three ‘issues-based’ alliances: Australian Women Against Violence Alliance (AWAVA), Economic Security for Women (eS4W), and the Equality Rights Alliance (ERA), as well as three ‘sector-based’ alliances advocating for the rights of specific </w:t>
      </w:r>
      <w:r w:rsidR="000E39FE">
        <w:t>communities</w:t>
      </w:r>
      <w:r w:rsidRPr="005B6FC8">
        <w:t xml:space="preserve">: Harmony Alliance (migrant and refugee women), the National </w:t>
      </w:r>
      <w:r w:rsidRPr="005B6FC8">
        <w:lastRenderedPageBreak/>
        <w:t>Aboriginal and Torres Strait Islander Women’s Alliance (NATSIWA), and the National Rural Women’s Coalition (NRWC).</w:t>
      </w:r>
    </w:p>
    <w:p w14:paraId="55298D5C" w14:textId="5886C8EF" w:rsidR="002C2EC7" w:rsidRDefault="002C2EC7" w:rsidP="00790783">
      <w:pPr>
        <w:pStyle w:val="BodyText"/>
      </w:pPr>
      <w:r w:rsidRPr="0071774C">
        <w:t>Other</w:t>
      </w:r>
      <w:r>
        <w:t xml:space="preserve"> </w:t>
      </w:r>
      <w:r w:rsidRPr="0071774C">
        <w:t>organisations</w:t>
      </w:r>
      <w:r>
        <w:t xml:space="preserve"> </w:t>
      </w:r>
      <w:r w:rsidRPr="0071774C">
        <w:t>also</w:t>
      </w:r>
      <w:r>
        <w:t xml:space="preserve"> </w:t>
      </w:r>
      <w:r w:rsidRPr="0071774C">
        <w:t>play</w:t>
      </w:r>
      <w:r>
        <w:t xml:space="preserve"> </w:t>
      </w:r>
      <w:r w:rsidRPr="0071774C">
        <w:t>a</w:t>
      </w:r>
      <w:r>
        <w:t xml:space="preserve"> </w:t>
      </w:r>
      <w:r w:rsidRPr="0071774C">
        <w:t>role</w:t>
      </w:r>
      <w:r>
        <w:t xml:space="preserve"> </w:t>
      </w:r>
      <w:r w:rsidRPr="0071774C">
        <w:t>in</w:t>
      </w:r>
      <w:r>
        <w:t xml:space="preserve"> </w:t>
      </w:r>
      <w:r w:rsidRPr="0071774C">
        <w:t>promoting</w:t>
      </w:r>
      <w:r>
        <w:t xml:space="preserve"> </w:t>
      </w:r>
      <w:r w:rsidRPr="0071774C">
        <w:t>consistency</w:t>
      </w:r>
      <w:r>
        <w:t xml:space="preserve"> </w:t>
      </w:r>
      <w:r w:rsidRPr="0071774C">
        <w:t>and</w:t>
      </w:r>
      <w:r>
        <w:t xml:space="preserve"> </w:t>
      </w:r>
      <w:r w:rsidRPr="0071774C">
        <w:t>coordination</w:t>
      </w:r>
      <w:r>
        <w:t xml:space="preserve">, </w:t>
      </w:r>
      <w:r w:rsidRPr="0071774C">
        <w:t>including</w:t>
      </w:r>
      <w:r>
        <w:t xml:space="preserve"> </w:t>
      </w:r>
      <w:r w:rsidRPr="0071774C">
        <w:t>Women</w:t>
      </w:r>
      <w:r>
        <w:t xml:space="preserve"> </w:t>
      </w:r>
      <w:r w:rsidRPr="0071774C">
        <w:t>with</w:t>
      </w:r>
      <w:r>
        <w:t xml:space="preserve"> </w:t>
      </w:r>
      <w:r w:rsidRPr="0071774C">
        <w:t>Disabilities</w:t>
      </w:r>
      <w:r>
        <w:t xml:space="preserve"> </w:t>
      </w:r>
      <w:r w:rsidRPr="0071774C">
        <w:t>Australia</w:t>
      </w:r>
      <w:r>
        <w:t xml:space="preserve"> </w:t>
      </w:r>
      <w:r w:rsidRPr="0071774C">
        <w:t>(</w:t>
      </w:r>
      <w:r>
        <w:t xml:space="preserve">or WWDA), </w:t>
      </w:r>
      <w:r w:rsidRPr="0071774C">
        <w:t>which</w:t>
      </w:r>
      <w:r>
        <w:t xml:space="preserve"> </w:t>
      </w:r>
      <w:r w:rsidRPr="0071774C">
        <w:t>receives</w:t>
      </w:r>
      <w:r>
        <w:t xml:space="preserve"> </w:t>
      </w:r>
      <w:r w:rsidRPr="0071774C">
        <w:t>operational</w:t>
      </w:r>
      <w:r>
        <w:t xml:space="preserve"> </w:t>
      </w:r>
      <w:r w:rsidRPr="0071774C">
        <w:t>funding</w:t>
      </w:r>
      <w:r>
        <w:t xml:space="preserve"> </w:t>
      </w:r>
      <w:r w:rsidRPr="0071774C">
        <w:t>through</w:t>
      </w:r>
      <w:r>
        <w:t xml:space="preserve"> </w:t>
      </w:r>
      <w:r w:rsidRPr="0071774C">
        <w:t>the</w:t>
      </w:r>
      <w:r>
        <w:t xml:space="preserve"> </w:t>
      </w:r>
      <w:r w:rsidRPr="0071774C">
        <w:t>Commonwealth</w:t>
      </w:r>
      <w:r>
        <w:t xml:space="preserve"> </w:t>
      </w:r>
      <w:r w:rsidRPr="0071774C">
        <w:t>Department</w:t>
      </w:r>
      <w:r>
        <w:t xml:space="preserve"> </w:t>
      </w:r>
      <w:r w:rsidRPr="0071774C">
        <w:t>of</w:t>
      </w:r>
      <w:r>
        <w:t xml:space="preserve"> </w:t>
      </w:r>
      <w:r w:rsidRPr="0071774C">
        <w:t>Social</w:t>
      </w:r>
      <w:r>
        <w:t xml:space="preserve"> </w:t>
      </w:r>
      <w:r w:rsidRPr="0071774C">
        <w:t>Services</w:t>
      </w:r>
      <w:r>
        <w:t xml:space="preserve"> </w:t>
      </w:r>
      <w:r w:rsidRPr="0071774C">
        <w:t>and</w:t>
      </w:r>
      <w:r>
        <w:t xml:space="preserve"> </w:t>
      </w:r>
      <w:r w:rsidRPr="0071774C">
        <w:t>the</w:t>
      </w:r>
      <w:r>
        <w:t xml:space="preserve"> </w:t>
      </w:r>
      <w:r w:rsidRPr="0071774C">
        <w:t>National</w:t>
      </w:r>
      <w:r>
        <w:t xml:space="preserve"> </w:t>
      </w:r>
      <w:r w:rsidRPr="0071774C">
        <w:t>Family</w:t>
      </w:r>
      <w:r>
        <w:t xml:space="preserve"> </w:t>
      </w:r>
      <w:r w:rsidRPr="0071774C">
        <w:t>Violence</w:t>
      </w:r>
      <w:r>
        <w:t xml:space="preserve"> </w:t>
      </w:r>
      <w:r w:rsidRPr="0071774C">
        <w:t>Prevention</w:t>
      </w:r>
      <w:r>
        <w:t xml:space="preserve"> </w:t>
      </w:r>
      <w:r w:rsidRPr="0071774C">
        <w:t>Legal</w:t>
      </w:r>
      <w:r>
        <w:t xml:space="preserve"> </w:t>
      </w:r>
      <w:r w:rsidRPr="0071774C">
        <w:t>Services</w:t>
      </w:r>
      <w:r>
        <w:t xml:space="preserve"> </w:t>
      </w:r>
      <w:r w:rsidRPr="0071774C">
        <w:t>Forum,</w:t>
      </w:r>
      <w:r>
        <w:t xml:space="preserve"> </w:t>
      </w:r>
      <w:r w:rsidRPr="0071774C">
        <w:t>which</w:t>
      </w:r>
      <w:r>
        <w:t xml:space="preserve"> </w:t>
      </w:r>
      <w:r w:rsidRPr="0071774C">
        <w:t>was</w:t>
      </w:r>
      <w:r>
        <w:t xml:space="preserve"> </w:t>
      </w:r>
      <w:r w:rsidRPr="0071774C">
        <w:t>established</w:t>
      </w:r>
      <w:r>
        <w:t xml:space="preserve"> </w:t>
      </w:r>
      <w:r w:rsidRPr="0071774C">
        <w:t>in</w:t>
      </w:r>
      <w:r>
        <w:t xml:space="preserve"> </w:t>
      </w:r>
      <w:r w:rsidRPr="0071774C">
        <w:t>2012</w:t>
      </w:r>
      <w:r>
        <w:t xml:space="preserve"> </w:t>
      </w:r>
      <w:r w:rsidRPr="0071774C">
        <w:t>and</w:t>
      </w:r>
      <w:r>
        <w:t xml:space="preserve"> </w:t>
      </w:r>
      <w:r w:rsidRPr="0071774C">
        <w:t>provides</w:t>
      </w:r>
      <w:r>
        <w:t xml:space="preserve"> </w:t>
      </w:r>
      <w:r w:rsidRPr="0071774C">
        <w:t>collaboration</w:t>
      </w:r>
      <w:r>
        <w:t xml:space="preserve"> </w:t>
      </w:r>
      <w:r w:rsidRPr="0071774C">
        <w:t>across</w:t>
      </w:r>
      <w:r>
        <w:t xml:space="preserve"> </w:t>
      </w:r>
      <w:r w:rsidRPr="0071774C">
        <w:t>the</w:t>
      </w:r>
      <w:r>
        <w:t xml:space="preserve"> thirteen </w:t>
      </w:r>
      <w:r w:rsidRPr="0071774C">
        <w:t>services</w:t>
      </w:r>
      <w:r>
        <w:t xml:space="preserve"> </w:t>
      </w:r>
      <w:r w:rsidRPr="0071774C">
        <w:t>it</w:t>
      </w:r>
      <w:r>
        <w:t xml:space="preserve"> </w:t>
      </w:r>
      <w:r w:rsidRPr="0071774C">
        <w:t>represents,</w:t>
      </w:r>
      <w:r>
        <w:t xml:space="preserve"> </w:t>
      </w:r>
      <w:r w:rsidRPr="0071774C">
        <w:t>as</w:t>
      </w:r>
      <w:r>
        <w:t xml:space="preserve"> </w:t>
      </w:r>
      <w:r w:rsidRPr="0071774C">
        <w:t>well</w:t>
      </w:r>
      <w:r>
        <w:t xml:space="preserve"> </w:t>
      </w:r>
      <w:r w:rsidRPr="0071774C">
        <w:t>as</w:t>
      </w:r>
      <w:r>
        <w:t xml:space="preserve"> </w:t>
      </w:r>
      <w:r w:rsidRPr="0071774C">
        <w:t>‘advice</w:t>
      </w:r>
      <w:r>
        <w:t xml:space="preserve"> </w:t>
      </w:r>
      <w:r w:rsidRPr="0071774C">
        <w:t>and</w:t>
      </w:r>
      <w:r>
        <w:t xml:space="preserve"> </w:t>
      </w:r>
      <w:r w:rsidRPr="0071774C">
        <w:t>input</w:t>
      </w:r>
      <w:r>
        <w:t xml:space="preserve"> </w:t>
      </w:r>
      <w:r w:rsidRPr="0071774C">
        <w:t>to</w:t>
      </w:r>
      <w:r>
        <w:t xml:space="preserve"> </w:t>
      </w:r>
      <w:r w:rsidRPr="0071774C">
        <w:t>Government</w:t>
      </w:r>
      <w:r>
        <w:t xml:space="preserve"> </w:t>
      </w:r>
      <w:r w:rsidRPr="0071774C">
        <w:t>and</w:t>
      </w:r>
      <w:r>
        <w:t xml:space="preserve"> </w:t>
      </w:r>
      <w:r w:rsidRPr="0071774C">
        <w:t>ensuring</w:t>
      </w:r>
      <w:r>
        <w:t xml:space="preserve"> </w:t>
      </w:r>
      <w:r w:rsidRPr="0071774C">
        <w:t>a</w:t>
      </w:r>
      <w:r>
        <w:t xml:space="preserve"> </w:t>
      </w:r>
      <w:r w:rsidRPr="0071774C">
        <w:t>unified</w:t>
      </w:r>
      <w:r>
        <w:t xml:space="preserve"> </w:t>
      </w:r>
      <w:r w:rsidRPr="0071774C">
        <w:t>FVPLS</w:t>
      </w:r>
      <w:r>
        <w:t xml:space="preserve"> </w:t>
      </w:r>
      <w:r w:rsidRPr="0071774C">
        <w:t>response</w:t>
      </w:r>
      <w:r>
        <w:t xml:space="preserve"> </w:t>
      </w:r>
      <w:r w:rsidRPr="0071774C">
        <w:t>to</w:t>
      </w:r>
      <w:r>
        <w:t xml:space="preserve"> </w:t>
      </w:r>
      <w:r w:rsidRPr="0071774C">
        <w:t>addressing</w:t>
      </w:r>
      <w:r>
        <w:t xml:space="preserve"> </w:t>
      </w:r>
      <w:r w:rsidRPr="0071774C">
        <w:t>Aboriginal</w:t>
      </w:r>
      <w:r>
        <w:t xml:space="preserve"> </w:t>
      </w:r>
      <w:r w:rsidRPr="0071774C">
        <w:t>and</w:t>
      </w:r>
      <w:r>
        <w:t xml:space="preserve"> </w:t>
      </w:r>
      <w:r w:rsidRPr="0071774C">
        <w:t>Torres</w:t>
      </w:r>
      <w:r>
        <w:t xml:space="preserve"> </w:t>
      </w:r>
      <w:r w:rsidRPr="0071774C">
        <w:t>Strait</w:t>
      </w:r>
      <w:r>
        <w:t xml:space="preserve"> </w:t>
      </w:r>
      <w:r w:rsidRPr="0071774C">
        <w:t>Islander</w:t>
      </w:r>
      <w:r>
        <w:t xml:space="preserve"> </w:t>
      </w:r>
      <w:r w:rsidRPr="0071774C">
        <w:t>family</w:t>
      </w:r>
      <w:r>
        <w:t xml:space="preserve"> </w:t>
      </w:r>
      <w:r w:rsidRPr="0071774C">
        <w:t>violence’</w:t>
      </w:r>
      <w:r w:rsidR="00AA7598">
        <w:t>.</w:t>
      </w:r>
      <w:r w:rsidRPr="76501DE7">
        <w:rPr>
          <w:rStyle w:val="EndnoteReference"/>
        </w:rPr>
        <w:endnoteReference w:id="109"/>
      </w:r>
      <w:r>
        <w:t xml:space="preserve"> </w:t>
      </w:r>
      <w:r w:rsidRPr="0071774C">
        <w:t>Other</w:t>
      </w:r>
      <w:r>
        <w:t xml:space="preserve"> organisations </w:t>
      </w:r>
      <w:r w:rsidR="008A2A37">
        <w:t>contribute to coordination across social policy areas where</w:t>
      </w:r>
      <w:r w:rsidR="7B11D611">
        <w:t xml:space="preserve"> </w:t>
      </w:r>
      <w:r w:rsidR="008A2A37">
        <w:t>their</w:t>
      </w:r>
      <w:r>
        <w:t xml:space="preserve"> </w:t>
      </w:r>
      <w:r w:rsidRPr="0071774C">
        <w:t>work</w:t>
      </w:r>
      <w:r>
        <w:t xml:space="preserve"> </w:t>
      </w:r>
      <w:r w:rsidRPr="0071774C">
        <w:t>intersects</w:t>
      </w:r>
      <w:r>
        <w:t xml:space="preserve"> </w:t>
      </w:r>
      <w:r w:rsidRPr="0071774C">
        <w:t>with</w:t>
      </w:r>
      <w:r>
        <w:t xml:space="preserve"> </w:t>
      </w:r>
      <w:r w:rsidRPr="0071774C">
        <w:t>or</w:t>
      </w:r>
      <w:r>
        <w:t xml:space="preserve"> </w:t>
      </w:r>
      <w:r w:rsidRPr="0071774C">
        <w:t>includes</w:t>
      </w:r>
      <w:r>
        <w:t xml:space="preserve"> </w:t>
      </w:r>
      <w:r w:rsidRPr="0071774C">
        <w:t>violence</w:t>
      </w:r>
      <w:r>
        <w:t xml:space="preserve"> </w:t>
      </w:r>
      <w:r w:rsidRPr="0071774C">
        <w:t>prevention</w:t>
      </w:r>
      <w:r>
        <w:t xml:space="preserve"> </w:t>
      </w:r>
      <w:r w:rsidRPr="0071774C">
        <w:t>activity</w:t>
      </w:r>
      <w:r w:rsidR="008A2A37">
        <w:t>, for example</w:t>
      </w:r>
      <w:r>
        <w:t xml:space="preserve"> </w:t>
      </w:r>
      <w:r w:rsidRPr="0071774C">
        <w:t>the</w:t>
      </w:r>
      <w:r>
        <w:t xml:space="preserve"> </w:t>
      </w:r>
      <w:r w:rsidRPr="0071774C">
        <w:t>national</w:t>
      </w:r>
      <w:r>
        <w:t xml:space="preserve"> </w:t>
      </w:r>
      <w:r w:rsidRPr="0071774C">
        <w:t>LGBTI</w:t>
      </w:r>
      <w:r>
        <w:t xml:space="preserve"> </w:t>
      </w:r>
      <w:r w:rsidRPr="0071774C">
        <w:t>Health</w:t>
      </w:r>
      <w:r>
        <w:t xml:space="preserve"> </w:t>
      </w:r>
      <w:r w:rsidRPr="0071774C">
        <w:t>Alliance</w:t>
      </w:r>
      <w:r>
        <w:t xml:space="preserve">, </w:t>
      </w:r>
      <w:r w:rsidRPr="0071774C">
        <w:t>which</w:t>
      </w:r>
      <w:r>
        <w:t xml:space="preserve"> </w:t>
      </w:r>
      <w:r w:rsidRPr="0071774C">
        <w:t>is</w:t>
      </w:r>
      <w:r>
        <w:t xml:space="preserve"> </w:t>
      </w:r>
      <w:r w:rsidRPr="0071774C">
        <w:t>funded</w:t>
      </w:r>
      <w:r>
        <w:t xml:space="preserve"> </w:t>
      </w:r>
      <w:r w:rsidRPr="0071774C">
        <w:t>from</w:t>
      </w:r>
      <w:r>
        <w:t xml:space="preserve"> </w:t>
      </w:r>
      <w:r w:rsidRPr="0071774C">
        <w:t>various</w:t>
      </w:r>
      <w:r>
        <w:t xml:space="preserve"> </w:t>
      </w:r>
      <w:r w:rsidRPr="0071774C">
        <w:t>government</w:t>
      </w:r>
      <w:r>
        <w:t xml:space="preserve"> </w:t>
      </w:r>
      <w:r w:rsidRPr="0071774C">
        <w:t>jurisdictions,</w:t>
      </w:r>
      <w:r>
        <w:t xml:space="preserve"> </w:t>
      </w:r>
      <w:r w:rsidRPr="0071774C">
        <w:t>and</w:t>
      </w:r>
      <w:r>
        <w:t xml:space="preserve"> </w:t>
      </w:r>
      <w:r w:rsidRPr="0071774C">
        <w:t>Elder</w:t>
      </w:r>
      <w:r>
        <w:t xml:space="preserve"> </w:t>
      </w:r>
      <w:r w:rsidRPr="0071774C">
        <w:t>Abuse</w:t>
      </w:r>
      <w:r>
        <w:t xml:space="preserve"> </w:t>
      </w:r>
      <w:r w:rsidRPr="0071774C">
        <w:t>Action</w:t>
      </w:r>
      <w:r>
        <w:t xml:space="preserve"> </w:t>
      </w:r>
      <w:r w:rsidRPr="0071774C">
        <w:t>Australia</w:t>
      </w:r>
      <w:r>
        <w:t xml:space="preserve"> (EAAA)</w:t>
      </w:r>
      <w:r w:rsidRPr="0071774C">
        <w:t>,</w:t>
      </w:r>
      <w:r>
        <w:t xml:space="preserve"> </w:t>
      </w:r>
      <w:r w:rsidRPr="0071774C">
        <w:t>a</w:t>
      </w:r>
      <w:r>
        <w:t xml:space="preserve"> </w:t>
      </w:r>
      <w:r w:rsidRPr="0071774C">
        <w:t>peak</w:t>
      </w:r>
      <w:r>
        <w:t xml:space="preserve"> </w:t>
      </w:r>
      <w:r w:rsidRPr="0071774C">
        <w:t>body</w:t>
      </w:r>
      <w:r>
        <w:t xml:space="preserve"> </w:t>
      </w:r>
      <w:r w:rsidRPr="0071774C">
        <w:t>to</w:t>
      </w:r>
      <w:r>
        <w:t xml:space="preserve"> </w:t>
      </w:r>
      <w:r w:rsidRPr="0071774C">
        <w:t>respond</w:t>
      </w:r>
      <w:r>
        <w:t xml:space="preserve"> </w:t>
      </w:r>
      <w:r w:rsidRPr="0071774C">
        <w:t>to</w:t>
      </w:r>
      <w:r>
        <w:t xml:space="preserve"> </w:t>
      </w:r>
      <w:r w:rsidRPr="0071774C">
        <w:t>and</w:t>
      </w:r>
      <w:r>
        <w:t xml:space="preserve"> </w:t>
      </w:r>
      <w:r w:rsidRPr="0071774C">
        <w:t>prevent</w:t>
      </w:r>
      <w:r>
        <w:t xml:space="preserve"> </w:t>
      </w:r>
      <w:r w:rsidRPr="0071774C">
        <w:t>elder</w:t>
      </w:r>
      <w:r>
        <w:t xml:space="preserve"> </w:t>
      </w:r>
      <w:r w:rsidRPr="0071774C">
        <w:t>abuse,</w:t>
      </w:r>
      <w:r>
        <w:t xml:space="preserve"> </w:t>
      </w:r>
      <w:r w:rsidRPr="0071774C">
        <w:t>established</w:t>
      </w:r>
      <w:r>
        <w:t xml:space="preserve"> </w:t>
      </w:r>
      <w:r w:rsidRPr="0071774C">
        <w:t>in</w:t>
      </w:r>
      <w:r>
        <w:t xml:space="preserve"> </w:t>
      </w:r>
      <w:r w:rsidRPr="0071774C">
        <w:t>2018</w:t>
      </w:r>
      <w:r>
        <w:t xml:space="preserve"> </w:t>
      </w:r>
      <w:r w:rsidRPr="0071774C">
        <w:t>with</w:t>
      </w:r>
      <w:r>
        <w:t xml:space="preserve"> </w:t>
      </w:r>
      <w:r w:rsidRPr="0071774C">
        <w:t>funding</w:t>
      </w:r>
      <w:r>
        <w:t xml:space="preserve"> </w:t>
      </w:r>
      <w:r w:rsidRPr="0071774C">
        <w:t>through</w:t>
      </w:r>
      <w:r>
        <w:t xml:space="preserve"> </w:t>
      </w:r>
      <w:r w:rsidRPr="0071774C">
        <w:t>the</w:t>
      </w:r>
      <w:r>
        <w:t xml:space="preserve"> </w:t>
      </w:r>
      <w:r w:rsidRPr="0071774C">
        <w:t>Commonwealth</w:t>
      </w:r>
      <w:r>
        <w:t xml:space="preserve"> </w:t>
      </w:r>
      <w:r w:rsidRPr="0071774C">
        <w:t>Attorney-General</w:t>
      </w:r>
      <w:r>
        <w:t>’</w:t>
      </w:r>
      <w:r w:rsidRPr="0071774C">
        <w:t>s</w:t>
      </w:r>
      <w:r>
        <w:t xml:space="preserve"> </w:t>
      </w:r>
      <w:r w:rsidRPr="0071774C">
        <w:t>Department.</w:t>
      </w:r>
    </w:p>
    <w:p w14:paraId="3620DDC3" w14:textId="66B0E992" w:rsidR="002C2EC7" w:rsidRDefault="002C2EC7" w:rsidP="00790783">
      <w:pPr>
        <w:pStyle w:val="BodyText"/>
      </w:pPr>
      <w:r w:rsidRPr="00A80589">
        <w:rPr>
          <w:bCs/>
        </w:rPr>
        <w:t>Results</w:t>
      </w:r>
      <w:r>
        <w:rPr>
          <w:bCs/>
        </w:rPr>
        <w:t xml:space="preserve"> </w:t>
      </w:r>
      <w:r w:rsidRPr="00A80589">
        <w:rPr>
          <w:bCs/>
        </w:rPr>
        <w:t>of</w:t>
      </w:r>
      <w:r>
        <w:rPr>
          <w:bCs/>
        </w:rPr>
        <w:t xml:space="preserve"> </w:t>
      </w:r>
      <w:r w:rsidRPr="00A80589">
        <w:rPr>
          <w:bCs/>
        </w:rPr>
        <w:t>the</w:t>
      </w:r>
      <w:r>
        <w:rPr>
          <w:bCs/>
        </w:rPr>
        <w:t xml:space="preserve"> </w:t>
      </w:r>
      <w:r w:rsidRPr="00A80589">
        <w:rPr>
          <w:bCs/>
        </w:rPr>
        <w:t>survey</w:t>
      </w:r>
      <w:r>
        <w:rPr>
          <w:bCs/>
        </w:rPr>
        <w:t xml:space="preserve"> </w:t>
      </w:r>
      <w:r w:rsidRPr="00A80589">
        <w:rPr>
          <w:bCs/>
        </w:rPr>
        <w:t>show</w:t>
      </w:r>
      <w:r>
        <w:rPr>
          <w:bCs/>
        </w:rPr>
        <w:t xml:space="preserve"> </w:t>
      </w:r>
      <w:r w:rsidRPr="00A80589">
        <w:rPr>
          <w:bCs/>
        </w:rPr>
        <w:t>that</w:t>
      </w:r>
      <w:r>
        <w:rPr>
          <w:bCs/>
        </w:rPr>
        <w:t xml:space="preserve"> </w:t>
      </w:r>
      <w:r w:rsidRPr="00A80589">
        <w:rPr>
          <w:bCs/>
        </w:rPr>
        <w:t>the</w:t>
      </w:r>
      <w:r>
        <w:rPr>
          <w:bCs/>
        </w:rPr>
        <w:t xml:space="preserve"> </w:t>
      </w:r>
      <w:r w:rsidRPr="00A80589">
        <w:rPr>
          <w:bCs/>
        </w:rPr>
        <w:t>organisations</w:t>
      </w:r>
      <w:r>
        <w:rPr>
          <w:bCs/>
        </w:rPr>
        <w:t xml:space="preserve"> </w:t>
      </w:r>
      <w:r w:rsidRPr="00A80589">
        <w:rPr>
          <w:bCs/>
        </w:rPr>
        <w:t>most</w:t>
      </w:r>
      <w:r>
        <w:rPr>
          <w:bCs/>
        </w:rPr>
        <w:t xml:space="preserve"> </w:t>
      </w:r>
      <w:r w:rsidRPr="00A80589">
        <w:rPr>
          <w:bCs/>
        </w:rPr>
        <w:t>likely</w:t>
      </w:r>
      <w:r>
        <w:rPr>
          <w:bCs/>
        </w:rPr>
        <w:t xml:space="preserve"> </w:t>
      </w:r>
      <w:r w:rsidRPr="00A80589">
        <w:rPr>
          <w:bCs/>
        </w:rPr>
        <w:t>to</w:t>
      </w:r>
      <w:r>
        <w:rPr>
          <w:bCs/>
        </w:rPr>
        <w:t xml:space="preserve"> </w:t>
      </w:r>
      <w:r w:rsidRPr="00A80589">
        <w:rPr>
          <w:bCs/>
        </w:rPr>
        <w:t>shape</w:t>
      </w:r>
      <w:r>
        <w:rPr>
          <w:bCs/>
        </w:rPr>
        <w:t xml:space="preserve"> </w:t>
      </w:r>
      <w:r w:rsidRPr="00A80589">
        <w:rPr>
          <w:bCs/>
        </w:rPr>
        <w:t>and</w:t>
      </w:r>
      <w:r>
        <w:rPr>
          <w:bCs/>
        </w:rPr>
        <w:t xml:space="preserve"> </w:t>
      </w:r>
      <w:r w:rsidRPr="00A80589">
        <w:rPr>
          <w:bCs/>
        </w:rPr>
        <w:t>determine</w:t>
      </w:r>
      <w:r>
        <w:rPr>
          <w:bCs/>
        </w:rPr>
        <w:t xml:space="preserve"> </w:t>
      </w:r>
      <w:r w:rsidRPr="00A80589">
        <w:rPr>
          <w:bCs/>
        </w:rPr>
        <w:t>the</w:t>
      </w:r>
      <w:r>
        <w:rPr>
          <w:bCs/>
        </w:rPr>
        <w:t xml:space="preserve"> </w:t>
      </w:r>
      <w:r w:rsidRPr="00A80589">
        <w:rPr>
          <w:bCs/>
        </w:rPr>
        <w:t>specific</w:t>
      </w:r>
      <w:r>
        <w:rPr>
          <w:bCs/>
        </w:rPr>
        <w:t xml:space="preserve"> </w:t>
      </w:r>
      <w:r w:rsidRPr="00A80589">
        <w:rPr>
          <w:bCs/>
        </w:rPr>
        <w:t>kinds</w:t>
      </w:r>
      <w:r>
        <w:rPr>
          <w:bCs/>
        </w:rPr>
        <w:t xml:space="preserve"> </w:t>
      </w:r>
      <w:r w:rsidRPr="00A80589">
        <w:rPr>
          <w:bCs/>
        </w:rPr>
        <w:t>of</w:t>
      </w:r>
      <w:r>
        <w:rPr>
          <w:bCs/>
        </w:rPr>
        <w:t xml:space="preserve"> </w:t>
      </w:r>
      <w:r w:rsidRPr="00A80589">
        <w:rPr>
          <w:bCs/>
        </w:rPr>
        <w:t>primary</w:t>
      </w:r>
      <w:r>
        <w:rPr>
          <w:bCs/>
        </w:rPr>
        <w:t xml:space="preserve"> </w:t>
      </w:r>
      <w:r w:rsidRPr="00A80589">
        <w:rPr>
          <w:bCs/>
        </w:rPr>
        <w:t>prevention</w:t>
      </w:r>
      <w:r>
        <w:rPr>
          <w:bCs/>
        </w:rPr>
        <w:t xml:space="preserve"> </w:t>
      </w:r>
      <w:r w:rsidRPr="00A80589">
        <w:rPr>
          <w:bCs/>
        </w:rPr>
        <w:t>activities</w:t>
      </w:r>
      <w:r>
        <w:rPr>
          <w:bCs/>
        </w:rPr>
        <w:t xml:space="preserve"> </w:t>
      </w:r>
      <w:r w:rsidRPr="00A80589">
        <w:rPr>
          <w:bCs/>
        </w:rPr>
        <w:t>undertaken</w:t>
      </w:r>
      <w:r>
        <w:rPr>
          <w:bCs/>
        </w:rPr>
        <w:t xml:space="preserve"> </w:t>
      </w:r>
      <w:r w:rsidRPr="00A80589">
        <w:rPr>
          <w:bCs/>
        </w:rPr>
        <w:t>by</w:t>
      </w:r>
      <w:r>
        <w:rPr>
          <w:bCs/>
        </w:rPr>
        <w:t xml:space="preserve"> </w:t>
      </w:r>
      <w:r w:rsidRPr="00A80589">
        <w:rPr>
          <w:bCs/>
        </w:rPr>
        <w:t>respondents’</w:t>
      </w:r>
      <w:r>
        <w:rPr>
          <w:bCs/>
        </w:rPr>
        <w:t xml:space="preserve"> </w:t>
      </w:r>
      <w:r w:rsidRPr="00A80589">
        <w:rPr>
          <w:bCs/>
        </w:rPr>
        <w:t>organisations</w:t>
      </w:r>
      <w:r>
        <w:rPr>
          <w:bCs/>
        </w:rPr>
        <w:t xml:space="preserve"> </w:t>
      </w:r>
      <w:r w:rsidRPr="00A80589">
        <w:rPr>
          <w:bCs/>
        </w:rPr>
        <w:t>were</w:t>
      </w:r>
      <w:r>
        <w:rPr>
          <w:bCs/>
        </w:rPr>
        <w:t xml:space="preserve"> </w:t>
      </w:r>
      <w:r w:rsidRPr="00A80589">
        <w:t>women’s</w:t>
      </w:r>
      <w:r>
        <w:t xml:space="preserve"> </w:t>
      </w:r>
      <w:r w:rsidRPr="00A80589">
        <w:t>health</w:t>
      </w:r>
      <w:r>
        <w:t xml:space="preserve"> </w:t>
      </w:r>
      <w:r w:rsidRPr="00A80589">
        <w:t>and</w:t>
      </w:r>
      <w:r>
        <w:t xml:space="preserve"> </w:t>
      </w:r>
      <w:r w:rsidRPr="00A80589">
        <w:t>gender</w:t>
      </w:r>
      <w:r>
        <w:t xml:space="preserve"> </w:t>
      </w:r>
      <w:r w:rsidRPr="00A80589">
        <w:t>equality</w:t>
      </w:r>
      <w:r>
        <w:t xml:space="preserve"> </w:t>
      </w:r>
      <w:r w:rsidRPr="00A80589">
        <w:t>organisations,</w:t>
      </w:r>
      <w:r>
        <w:t xml:space="preserve"> </w:t>
      </w:r>
      <w:r w:rsidRPr="00A80589">
        <w:t>peak</w:t>
      </w:r>
      <w:r>
        <w:t xml:space="preserve"> </w:t>
      </w:r>
      <w:r w:rsidRPr="00A80589">
        <w:t>bodies</w:t>
      </w:r>
      <w:r>
        <w:t xml:space="preserve"> </w:t>
      </w:r>
      <w:r w:rsidRPr="00A80589">
        <w:t>and</w:t>
      </w:r>
      <w:r>
        <w:t xml:space="preserve"> </w:t>
      </w:r>
      <w:r w:rsidRPr="00A80589">
        <w:t>government</w:t>
      </w:r>
      <w:r>
        <w:t xml:space="preserve"> </w:t>
      </w:r>
      <w:r w:rsidRPr="00A80589">
        <w:t>funding</w:t>
      </w:r>
      <w:r>
        <w:t xml:space="preserve"> </w:t>
      </w:r>
      <w:r w:rsidRPr="00A80589">
        <w:t>bodies.</w:t>
      </w:r>
      <w:r>
        <w:t xml:space="preserve"> </w:t>
      </w:r>
      <w:r w:rsidRPr="00A80589">
        <w:t>With</w:t>
      </w:r>
      <w:r>
        <w:t xml:space="preserve"> </w:t>
      </w:r>
      <w:r w:rsidRPr="00A80589">
        <w:t>respect</w:t>
      </w:r>
      <w:r>
        <w:t xml:space="preserve"> </w:t>
      </w:r>
      <w:r w:rsidRPr="00A80589">
        <w:t>to</w:t>
      </w:r>
      <w:r>
        <w:t xml:space="preserve"> </w:t>
      </w:r>
      <w:r w:rsidRPr="00A80589">
        <w:t>respondents</w:t>
      </w:r>
      <w:r>
        <w:t xml:space="preserve"> </w:t>
      </w:r>
      <w:r w:rsidRPr="00A80589">
        <w:t>developing</w:t>
      </w:r>
      <w:r>
        <w:t xml:space="preserve"> </w:t>
      </w:r>
      <w:r w:rsidRPr="00A80589">
        <w:t>their</w:t>
      </w:r>
      <w:r>
        <w:t xml:space="preserve"> </w:t>
      </w:r>
      <w:r w:rsidRPr="00A80589">
        <w:t>overall</w:t>
      </w:r>
      <w:r>
        <w:t xml:space="preserve"> </w:t>
      </w:r>
      <w:r w:rsidRPr="00A80589">
        <w:t>approach</w:t>
      </w:r>
      <w:r>
        <w:t xml:space="preserve"> </w:t>
      </w:r>
      <w:r w:rsidRPr="00A80589">
        <w:t>to</w:t>
      </w:r>
      <w:r>
        <w:t xml:space="preserve"> </w:t>
      </w:r>
      <w:r w:rsidRPr="00A80589">
        <w:t>primary</w:t>
      </w:r>
      <w:r>
        <w:t xml:space="preserve"> </w:t>
      </w:r>
      <w:r w:rsidRPr="00A80589">
        <w:t>prevention,</w:t>
      </w:r>
      <w:r>
        <w:t xml:space="preserve"> </w:t>
      </w:r>
      <w:r w:rsidRPr="00A80589">
        <w:t>national</w:t>
      </w:r>
      <w:r>
        <w:t xml:space="preserve"> </w:t>
      </w:r>
      <w:r w:rsidRPr="00A80589">
        <w:t>organisations</w:t>
      </w:r>
      <w:r>
        <w:t xml:space="preserve"> </w:t>
      </w:r>
      <w:r w:rsidRPr="00A80589">
        <w:t>funded</w:t>
      </w:r>
      <w:r>
        <w:t xml:space="preserve"> </w:t>
      </w:r>
      <w:r w:rsidRPr="00A80589">
        <w:t>under</w:t>
      </w:r>
      <w:r>
        <w:t xml:space="preserve"> </w:t>
      </w:r>
      <w:r w:rsidRPr="00A80589">
        <w:t>the</w:t>
      </w:r>
      <w:r>
        <w:t xml:space="preserve"> </w:t>
      </w:r>
      <w:r w:rsidRPr="00A80589">
        <w:t>National</w:t>
      </w:r>
      <w:r>
        <w:t xml:space="preserve"> </w:t>
      </w:r>
      <w:r w:rsidRPr="00A80589">
        <w:t>Plan</w:t>
      </w:r>
      <w:r>
        <w:t xml:space="preserve"> </w:t>
      </w:r>
      <w:r w:rsidRPr="00A80589">
        <w:t>and</w:t>
      </w:r>
      <w:r>
        <w:t xml:space="preserve"> </w:t>
      </w:r>
      <w:r w:rsidRPr="00A80589">
        <w:t>individuals</w:t>
      </w:r>
      <w:r>
        <w:t xml:space="preserve"> </w:t>
      </w:r>
      <w:r w:rsidRPr="00A80589">
        <w:t>with</w:t>
      </w:r>
      <w:r>
        <w:t xml:space="preserve"> </w:t>
      </w:r>
      <w:r w:rsidRPr="00A80589">
        <w:t>lived</w:t>
      </w:r>
      <w:r>
        <w:t xml:space="preserve"> </w:t>
      </w:r>
      <w:r w:rsidRPr="00A80589">
        <w:t>experience</w:t>
      </w:r>
      <w:r>
        <w:t xml:space="preserve"> </w:t>
      </w:r>
      <w:r w:rsidRPr="00A80589">
        <w:t>of</w:t>
      </w:r>
      <w:r>
        <w:t xml:space="preserve"> </w:t>
      </w:r>
      <w:r w:rsidRPr="00A80589">
        <w:t>violence</w:t>
      </w:r>
      <w:r>
        <w:t xml:space="preserve"> </w:t>
      </w:r>
      <w:r w:rsidRPr="00A80589">
        <w:t>against</w:t>
      </w:r>
      <w:r>
        <w:t xml:space="preserve"> </w:t>
      </w:r>
      <w:r w:rsidRPr="00A80589">
        <w:t>women</w:t>
      </w:r>
      <w:r>
        <w:t xml:space="preserve"> </w:t>
      </w:r>
      <w:r w:rsidRPr="00A80589">
        <w:t>were</w:t>
      </w:r>
      <w:r>
        <w:t xml:space="preserve"> </w:t>
      </w:r>
      <w:r w:rsidRPr="00A80589">
        <w:t>the</w:t>
      </w:r>
      <w:r>
        <w:t xml:space="preserve"> </w:t>
      </w:r>
      <w:r w:rsidRPr="00A80589">
        <w:t>most</w:t>
      </w:r>
      <w:r>
        <w:t xml:space="preserve"> </w:t>
      </w:r>
      <w:r w:rsidRPr="00A80589">
        <w:t>influential.</w:t>
      </w:r>
      <w:r>
        <w:t xml:space="preserve"> </w:t>
      </w:r>
      <w:r w:rsidRPr="00A80589">
        <w:t>When</w:t>
      </w:r>
      <w:r>
        <w:t xml:space="preserve"> </w:t>
      </w:r>
      <w:r w:rsidRPr="00A80589">
        <w:t>combined,</w:t>
      </w:r>
      <w:r>
        <w:t xml:space="preserve"> </w:t>
      </w:r>
      <w:r w:rsidRPr="00A80589">
        <w:t>these</w:t>
      </w:r>
      <w:r>
        <w:t xml:space="preserve"> </w:t>
      </w:r>
      <w:r w:rsidRPr="00A80589">
        <w:t>findings</w:t>
      </w:r>
      <w:r>
        <w:t xml:space="preserve"> </w:t>
      </w:r>
      <w:r w:rsidRPr="00A80589">
        <w:t>demonstrate</w:t>
      </w:r>
      <w:r>
        <w:t xml:space="preserve"> </w:t>
      </w:r>
      <w:r w:rsidRPr="00A80589">
        <w:t>that</w:t>
      </w:r>
      <w:r>
        <w:t xml:space="preserve"> </w:t>
      </w:r>
      <w:r w:rsidRPr="00A80589">
        <w:t>the</w:t>
      </w:r>
      <w:r>
        <w:t xml:space="preserve"> </w:t>
      </w:r>
      <w:r w:rsidRPr="00A80589">
        <w:t>consistency</w:t>
      </w:r>
      <w:r>
        <w:t xml:space="preserve"> </w:t>
      </w:r>
      <w:r w:rsidRPr="00A80589">
        <w:t>of</w:t>
      </w:r>
      <w:r>
        <w:t xml:space="preserve"> </w:t>
      </w:r>
      <w:r w:rsidRPr="00A80589">
        <w:t>approach</w:t>
      </w:r>
      <w:r>
        <w:t xml:space="preserve"> </w:t>
      </w:r>
      <w:r w:rsidRPr="00A80589">
        <w:t>across</w:t>
      </w:r>
      <w:r>
        <w:t xml:space="preserve"> </w:t>
      </w:r>
      <w:r w:rsidRPr="00A80589">
        <w:t>women’s</w:t>
      </w:r>
      <w:r>
        <w:t xml:space="preserve"> </w:t>
      </w:r>
      <w:r w:rsidRPr="00A80589">
        <w:t>health</w:t>
      </w:r>
      <w:r>
        <w:t xml:space="preserve"> </w:t>
      </w:r>
      <w:r w:rsidRPr="00A80589">
        <w:t>and</w:t>
      </w:r>
      <w:r>
        <w:t xml:space="preserve"> </w:t>
      </w:r>
      <w:r w:rsidRPr="00A80589">
        <w:t>gender</w:t>
      </w:r>
      <w:r>
        <w:t xml:space="preserve"> </w:t>
      </w:r>
      <w:r w:rsidRPr="00A80589">
        <w:t>equality</w:t>
      </w:r>
      <w:r>
        <w:t xml:space="preserve"> </w:t>
      </w:r>
      <w:r w:rsidRPr="00A80589">
        <w:t>organisations,</w:t>
      </w:r>
      <w:r>
        <w:t xml:space="preserve"> </w:t>
      </w:r>
      <w:r w:rsidRPr="00A80589">
        <w:t>peak</w:t>
      </w:r>
      <w:r>
        <w:t xml:space="preserve"> </w:t>
      </w:r>
      <w:r w:rsidRPr="00A80589">
        <w:t>bodies</w:t>
      </w:r>
      <w:r>
        <w:t xml:space="preserve"> </w:t>
      </w:r>
      <w:r w:rsidRPr="00A80589">
        <w:t>and</w:t>
      </w:r>
      <w:r>
        <w:t xml:space="preserve"> </w:t>
      </w:r>
      <w:r w:rsidRPr="00A80589">
        <w:t>government</w:t>
      </w:r>
      <w:r>
        <w:t xml:space="preserve"> </w:t>
      </w:r>
      <w:r w:rsidRPr="00A80589">
        <w:t>bodies</w:t>
      </w:r>
      <w:r>
        <w:t xml:space="preserve"> </w:t>
      </w:r>
      <w:r w:rsidRPr="00A80589">
        <w:t>will</w:t>
      </w:r>
      <w:r>
        <w:t xml:space="preserve"> </w:t>
      </w:r>
      <w:r w:rsidRPr="00A80589">
        <w:t>influence</w:t>
      </w:r>
      <w:r>
        <w:t xml:space="preserve"> </w:t>
      </w:r>
      <w:r w:rsidRPr="00A80589">
        <w:t>the</w:t>
      </w:r>
      <w:r>
        <w:t xml:space="preserve"> </w:t>
      </w:r>
      <w:r w:rsidRPr="00A80589">
        <w:t>extent</w:t>
      </w:r>
      <w:r>
        <w:t xml:space="preserve"> </w:t>
      </w:r>
      <w:r w:rsidRPr="00A80589">
        <w:t>to</w:t>
      </w:r>
      <w:r>
        <w:t xml:space="preserve"> </w:t>
      </w:r>
      <w:r w:rsidRPr="00A80589">
        <w:t>which</w:t>
      </w:r>
      <w:r>
        <w:t xml:space="preserve"> </w:t>
      </w:r>
      <w:r w:rsidRPr="00A80589">
        <w:t>prevention</w:t>
      </w:r>
      <w:r>
        <w:t xml:space="preserve"> </w:t>
      </w:r>
      <w:r w:rsidRPr="00A80589">
        <w:t>activities</w:t>
      </w:r>
      <w:r>
        <w:t xml:space="preserve"> </w:t>
      </w:r>
      <w:r w:rsidRPr="00A80589">
        <w:t>and</w:t>
      </w:r>
      <w:r>
        <w:t xml:space="preserve"> </w:t>
      </w:r>
      <w:r w:rsidRPr="00A80589">
        <w:t>efforts</w:t>
      </w:r>
      <w:r>
        <w:t xml:space="preserve"> </w:t>
      </w:r>
      <w:r w:rsidRPr="00A80589">
        <w:t>are</w:t>
      </w:r>
      <w:r>
        <w:t xml:space="preserve"> </w:t>
      </w:r>
      <w:r w:rsidRPr="00A80589">
        <w:t>working</w:t>
      </w:r>
      <w:r>
        <w:t xml:space="preserve"> </w:t>
      </w:r>
      <w:r w:rsidRPr="00A80589">
        <w:t>together</w:t>
      </w:r>
      <w:r w:rsidR="00841510">
        <w:t xml:space="preserve"> across Australia</w:t>
      </w:r>
      <w:r w:rsidRPr="00A80589">
        <w:t>.</w:t>
      </w:r>
      <w:r>
        <w:t xml:space="preserve"> </w:t>
      </w:r>
      <w:r w:rsidRPr="00A80589">
        <w:t>The</w:t>
      </w:r>
      <w:r>
        <w:t xml:space="preserve"> </w:t>
      </w:r>
      <w:r w:rsidRPr="00A80589">
        <w:t>fact</w:t>
      </w:r>
      <w:r>
        <w:t xml:space="preserve"> </w:t>
      </w:r>
      <w:r w:rsidRPr="00A80589">
        <w:t>that</w:t>
      </w:r>
      <w:r>
        <w:t xml:space="preserve"> </w:t>
      </w:r>
      <w:r w:rsidRPr="00A80589">
        <w:t>national</w:t>
      </w:r>
      <w:r>
        <w:t xml:space="preserve"> </w:t>
      </w:r>
      <w:r w:rsidRPr="00A80589">
        <w:t>organisations</w:t>
      </w:r>
      <w:r>
        <w:t xml:space="preserve"> </w:t>
      </w:r>
      <w:r w:rsidRPr="00A80589">
        <w:t>funded</w:t>
      </w:r>
      <w:r>
        <w:t xml:space="preserve"> </w:t>
      </w:r>
      <w:r w:rsidRPr="00A80589">
        <w:t>under</w:t>
      </w:r>
      <w:r>
        <w:t xml:space="preserve"> </w:t>
      </w:r>
      <w:r w:rsidRPr="00A80589">
        <w:t>the</w:t>
      </w:r>
      <w:r>
        <w:t xml:space="preserve"> </w:t>
      </w:r>
      <w:r w:rsidRPr="00A80589">
        <w:t>National</w:t>
      </w:r>
      <w:r>
        <w:t xml:space="preserve"> </w:t>
      </w:r>
      <w:r w:rsidRPr="00A80589">
        <w:t>Plan</w:t>
      </w:r>
      <w:r w:rsidR="00815A4D">
        <w:t xml:space="preserve"> and individuals with lived experience</w:t>
      </w:r>
      <w:r>
        <w:t xml:space="preserve"> </w:t>
      </w:r>
      <w:r w:rsidRPr="00A80589">
        <w:t>are</w:t>
      </w:r>
      <w:r>
        <w:t xml:space="preserve"> </w:t>
      </w:r>
      <w:r w:rsidRPr="00A80589">
        <w:t>widely</w:t>
      </w:r>
      <w:r>
        <w:t xml:space="preserve"> </w:t>
      </w:r>
      <w:r w:rsidRPr="00A80589">
        <w:t>referred</w:t>
      </w:r>
      <w:r>
        <w:t xml:space="preserve"> </w:t>
      </w:r>
      <w:r w:rsidRPr="00A80589">
        <w:t>to</w:t>
      </w:r>
      <w:r>
        <w:t xml:space="preserve"> </w:t>
      </w:r>
      <w:r w:rsidRPr="00A80589">
        <w:t>as</w:t>
      </w:r>
      <w:r>
        <w:t xml:space="preserve"> </w:t>
      </w:r>
      <w:r w:rsidRPr="00A80589">
        <w:t>influential</w:t>
      </w:r>
      <w:r>
        <w:t xml:space="preserve"> </w:t>
      </w:r>
      <w:r w:rsidRPr="00A80589">
        <w:t>in</w:t>
      </w:r>
      <w:r>
        <w:t xml:space="preserve"> </w:t>
      </w:r>
      <w:r w:rsidRPr="00A80589">
        <w:t>the</w:t>
      </w:r>
      <w:r>
        <w:t xml:space="preserve"> </w:t>
      </w:r>
      <w:r w:rsidRPr="00A80589">
        <w:t>development</w:t>
      </w:r>
      <w:r>
        <w:t xml:space="preserve"> </w:t>
      </w:r>
      <w:r w:rsidRPr="00A80589">
        <w:t>of</w:t>
      </w:r>
      <w:r>
        <w:t xml:space="preserve"> </w:t>
      </w:r>
      <w:r w:rsidRPr="00A80589">
        <w:t>approaches</w:t>
      </w:r>
      <w:r>
        <w:t xml:space="preserve"> </w:t>
      </w:r>
      <w:r w:rsidRPr="00A80589">
        <w:t>to</w:t>
      </w:r>
      <w:r>
        <w:t xml:space="preserve"> </w:t>
      </w:r>
      <w:r w:rsidRPr="00A80589">
        <w:t>primary</w:t>
      </w:r>
      <w:r>
        <w:t xml:space="preserve"> </w:t>
      </w:r>
      <w:r w:rsidRPr="00A80589">
        <w:t>prevention</w:t>
      </w:r>
      <w:r>
        <w:t xml:space="preserve"> </w:t>
      </w:r>
      <w:r w:rsidRPr="00A80589">
        <w:t>demonstrates</w:t>
      </w:r>
      <w:r>
        <w:t xml:space="preserve"> </w:t>
      </w:r>
      <w:r w:rsidRPr="00A80589">
        <w:t>the</w:t>
      </w:r>
      <w:r>
        <w:t xml:space="preserve"> </w:t>
      </w:r>
      <w:r w:rsidRPr="00A62D44">
        <w:t>important</w:t>
      </w:r>
      <w:r>
        <w:t xml:space="preserve"> </w:t>
      </w:r>
      <w:r w:rsidRPr="00A80589">
        <w:t>role</w:t>
      </w:r>
      <w:r>
        <w:t xml:space="preserve"> </w:t>
      </w:r>
      <w:r w:rsidRPr="00A80589">
        <w:t>of</w:t>
      </w:r>
      <w:r>
        <w:t xml:space="preserve"> </w:t>
      </w:r>
      <w:r w:rsidRPr="004C00F4">
        <w:t>these</w:t>
      </w:r>
      <w:r>
        <w:t xml:space="preserve"> </w:t>
      </w:r>
      <w:r w:rsidRPr="00A80589">
        <w:t>organisations</w:t>
      </w:r>
      <w:r w:rsidR="007C1018">
        <w:t xml:space="preserve"> and individuals</w:t>
      </w:r>
      <w:r>
        <w:t xml:space="preserve"> </w:t>
      </w:r>
      <w:r w:rsidRPr="00A80589">
        <w:t>in</w:t>
      </w:r>
      <w:r>
        <w:t xml:space="preserve"> </w:t>
      </w:r>
      <w:r w:rsidRPr="00A80589">
        <w:t>supporting</w:t>
      </w:r>
      <w:r>
        <w:t xml:space="preserve"> </w:t>
      </w:r>
      <w:r w:rsidRPr="00A80589">
        <w:t>and</w:t>
      </w:r>
      <w:r>
        <w:t xml:space="preserve"> </w:t>
      </w:r>
      <w:r w:rsidRPr="00A80589">
        <w:t>enabling</w:t>
      </w:r>
      <w:r>
        <w:t xml:space="preserve"> </w:t>
      </w:r>
      <w:r w:rsidRPr="00A80589">
        <w:t>coordination</w:t>
      </w:r>
      <w:r>
        <w:t xml:space="preserve"> </w:t>
      </w:r>
      <w:r w:rsidRPr="00A80589">
        <w:t>and</w:t>
      </w:r>
      <w:r>
        <w:t xml:space="preserve"> </w:t>
      </w:r>
      <w:r w:rsidRPr="00A80589">
        <w:t>collaboration.</w:t>
      </w:r>
      <w:r>
        <w:t xml:space="preserve"> </w:t>
      </w:r>
      <w:r w:rsidRPr="0071774C">
        <w:t>Survey</w:t>
      </w:r>
      <w:r>
        <w:t xml:space="preserve"> </w:t>
      </w:r>
      <w:r w:rsidRPr="0071774C">
        <w:t>respondents</w:t>
      </w:r>
      <w:r>
        <w:t xml:space="preserve"> </w:t>
      </w:r>
      <w:r w:rsidRPr="0071774C">
        <w:t>indicated</w:t>
      </w:r>
      <w:r>
        <w:t xml:space="preserve"> </w:t>
      </w:r>
      <w:r w:rsidRPr="0071774C">
        <w:t>that</w:t>
      </w:r>
      <w:r>
        <w:t xml:space="preserve"> </w:t>
      </w:r>
      <w:r w:rsidRPr="0071774C">
        <w:t>their</w:t>
      </w:r>
      <w:r>
        <w:t xml:space="preserve"> </w:t>
      </w:r>
      <w:r w:rsidRPr="0071774C">
        <w:t>work</w:t>
      </w:r>
      <w:r>
        <w:t xml:space="preserve"> </w:t>
      </w:r>
      <w:r w:rsidRPr="0071774C">
        <w:t>was</w:t>
      </w:r>
      <w:r>
        <w:t xml:space="preserve"> </w:t>
      </w:r>
      <w:r w:rsidRPr="0071774C">
        <w:t>most</w:t>
      </w:r>
      <w:r>
        <w:t xml:space="preserve"> </w:t>
      </w:r>
      <w:r w:rsidRPr="0071774C">
        <w:t>commonly</w:t>
      </w:r>
      <w:r>
        <w:t xml:space="preserve"> </w:t>
      </w:r>
      <w:r w:rsidRPr="0071774C">
        <w:t>linked</w:t>
      </w:r>
      <w:r>
        <w:t xml:space="preserve"> </w:t>
      </w:r>
      <w:r w:rsidRPr="0071774C">
        <w:t>to</w:t>
      </w:r>
      <w:r>
        <w:t xml:space="preserve"> s</w:t>
      </w:r>
      <w:r w:rsidRPr="0071774C">
        <w:t>tate/</w:t>
      </w:r>
      <w:r>
        <w:t>t</w:t>
      </w:r>
      <w:r w:rsidRPr="0071774C">
        <w:t>erritory</w:t>
      </w:r>
      <w:r>
        <w:t xml:space="preserve"> </w:t>
      </w:r>
      <w:r w:rsidRPr="0071774C">
        <w:t>governments’</w:t>
      </w:r>
      <w:r>
        <w:t xml:space="preserve"> </w:t>
      </w:r>
      <w:r w:rsidRPr="0071774C">
        <w:t>prevention</w:t>
      </w:r>
      <w:r>
        <w:t xml:space="preserve"> </w:t>
      </w:r>
      <w:r w:rsidRPr="0071774C">
        <w:t>strategies</w:t>
      </w:r>
      <w:r>
        <w:t xml:space="preserve"> </w:t>
      </w:r>
      <w:r w:rsidRPr="0071774C">
        <w:t>or</w:t>
      </w:r>
      <w:r>
        <w:t xml:space="preserve"> </w:t>
      </w:r>
      <w:r w:rsidRPr="0071774C">
        <w:t>plans,</w:t>
      </w:r>
      <w:r>
        <w:t xml:space="preserve"> </w:t>
      </w:r>
      <w:r w:rsidRPr="00ED4674">
        <w:rPr>
          <w:rStyle w:val="Emphasis"/>
        </w:rPr>
        <w:t>Change the story</w:t>
      </w:r>
      <w:r w:rsidRPr="0071774C">
        <w:t>,</w:t>
      </w:r>
      <w:r>
        <w:t xml:space="preserve"> </w:t>
      </w:r>
      <w:r w:rsidRPr="0071774C">
        <w:t>and/or</w:t>
      </w:r>
      <w:r>
        <w:t xml:space="preserve"> </w:t>
      </w:r>
      <w:r w:rsidRPr="0071774C">
        <w:t>the</w:t>
      </w:r>
      <w:r>
        <w:t xml:space="preserve"> </w:t>
      </w:r>
      <w:r w:rsidRPr="0071774C">
        <w:t>National</w:t>
      </w:r>
      <w:r>
        <w:t xml:space="preserve"> </w:t>
      </w:r>
      <w:r w:rsidRPr="0071774C">
        <w:t>Plan/Fourth</w:t>
      </w:r>
      <w:r>
        <w:t xml:space="preserve"> </w:t>
      </w:r>
      <w:r w:rsidRPr="0071774C">
        <w:t>Action</w:t>
      </w:r>
      <w:r>
        <w:t xml:space="preserve"> </w:t>
      </w:r>
      <w:r w:rsidRPr="0071774C">
        <w:t>Plan.</w:t>
      </w:r>
      <w:r>
        <w:t xml:space="preserve"> </w:t>
      </w:r>
      <w:r w:rsidRPr="0071774C">
        <w:t>Further</w:t>
      </w:r>
      <w:r>
        <w:t xml:space="preserve"> </w:t>
      </w:r>
      <w:r w:rsidRPr="0071774C">
        <w:t>research</w:t>
      </w:r>
      <w:r>
        <w:t xml:space="preserve"> </w:t>
      </w:r>
      <w:r w:rsidRPr="0071774C">
        <w:t>could</w:t>
      </w:r>
      <w:r>
        <w:t xml:space="preserve"> </w:t>
      </w:r>
      <w:r w:rsidRPr="0071774C">
        <w:t>investigate</w:t>
      </w:r>
      <w:r>
        <w:t xml:space="preserve"> </w:t>
      </w:r>
      <w:r w:rsidRPr="0071774C">
        <w:t>the</w:t>
      </w:r>
      <w:r>
        <w:t xml:space="preserve"> </w:t>
      </w:r>
      <w:r w:rsidRPr="0071774C">
        <w:t>extent</w:t>
      </w:r>
      <w:r>
        <w:t xml:space="preserve"> </w:t>
      </w:r>
      <w:r w:rsidRPr="0071774C">
        <w:t>to</w:t>
      </w:r>
      <w:r>
        <w:t xml:space="preserve"> </w:t>
      </w:r>
      <w:r w:rsidRPr="0071774C">
        <w:t>which</w:t>
      </w:r>
      <w:r>
        <w:t xml:space="preserve"> </w:t>
      </w:r>
      <w:r w:rsidRPr="0071774C">
        <w:t>these</w:t>
      </w:r>
      <w:r>
        <w:t xml:space="preserve"> </w:t>
      </w:r>
      <w:r w:rsidRPr="0071774C">
        <w:t>plans</w:t>
      </w:r>
      <w:r w:rsidR="00777095">
        <w:t xml:space="preserve"> </w:t>
      </w:r>
      <w:r w:rsidRPr="0071774C">
        <w:t>and</w:t>
      </w:r>
      <w:r>
        <w:t xml:space="preserve"> </w:t>
      </w:r>
      <w:r w:rsidRPr="0071774C">
        <w:t>strategies</w:t>
      </w:r>
      <w:r>
        <w:t xml:space="preserve"> </w:t>
      </w:r>
      <w:r w:rsidRPr="0071774C">
        <w:t>reinforce</w:t>
      </w:r>
      <w:r>
        <w:t xml:space="preserve"> </w:t>
      </w:r>
      <w:r w:rsidRPr="0071774C">
        <w:t>each</w:t>
      </w:r>
      <w:r>
        <w:t xml:space="preserve"> </w:t>
      </w:r>
      <w:r w:rsidRPr="0071774C">
        <w:t>other</w:t>
      </w:r>
      <w:r>
        <w:t xml:space="preserve"> </w:t>
      </w:r>
      <w:r w:rsidRPr="0071774C">
        <w:t>and</w:t>
      </w:r>
      <w:r>
        <w:t xml:space="preserve"> </w:t>
      </w:r>
      <w:r w:rsidRPr="0071774C">
        <w:t>support</w:t>
      </w:r>
      <w:r>
        <w:t xml:space="preserve"> </w:t>
      </w:r>
      <w:r w:rsidRPr="0071774C">
        <w:t>consistency</w:t>
      </w:r>
      <w:r>
        <w:t xml:space="preserve"> </w:t>
      </w:r>
      <w:r w:rsidRPr="0071774C">
        <w:t>across</w:t>
      </w:r>
      <w:r>
        <w:t xml:space="preserve"> </w:t>
      </w:r>
      <w:r w:rsidRPr="0071774C">
        <w:t>the</w:t>
      </w:r>
      <w:r>
        <w:t xml:space="preserve"> </w:t>
      </w:r>
      <w:r w:rsidRPr="0071774C">
        <w:t>wide</w:t>
      </w:r>
      <w:r>
        <w:t xml:space="preserve"> </w:t>
      </w:r>
      <w:r w:rsidRPr="0071774C">
        <w:t>range</w:t>
      </w:r>
      <w:r>
        <w:t xml:space="preserve"> </w:t>
      </w:r>
      <w:r w:rsidRPr="0071774C">
        <w:t>of</w:t>
      </w:r>
      <w:r w:rsidR="00777095">
        <w:t xml:space="preserve"> </w:t>
      </w:r>
      <w:r w:rsidRPr="0071774C">
        <w:t>prevention</w:t>
      </w:r>
      <w:r>
        <w:t xml:space="preserve"> </w:t>
      </w:r>
      <w:r w:rsidRPr="0071774C">
        <w:t>efforts</w:t>
      </w:r>
      <w:r>
        <w:t xml:space="preserve"> </w:t>
      </w:r>
      <w:r w:rsidRPr="0071774C">
        <w:t>captured</w:t>
      </w:r>
      <w:r>
        <w:t xml:space="preserve"> </w:t>
      </w:r>
      <w:r w:rsidRPr="0071774C">
        <w:t>in</w:t>
      </w:r>
      <w:r>
        <w:t xml:space="preserve"> </w:t>
      </w:r>
      <w:r w:rsidRPr="0071774C">
        <w:t>this</w:t>
      </w:r>
      <w:r>
        <w:t xml:space="preserve"> </w:t>
      </w:r>
      <w:r w:rsidRPr="0071774C">
        <w:t>survey</w:t>
      </w:r>
      <w:r>
        <w:t xml:space="preserve"> </w:t>
      </w:r>
      <w:r w:rsidRPr="0071774C">
        <w:t>and</w:t>
      </w:r>
      <w:r>
        <w:t xml:space="preserve"> </w:t>
      </w:r>
      <w:r w:rsidRPr="0071774C">
        <w:t>beyond.</w:t>
      </w:r>
    </w:p>
    <w:p w14:paraId="25E8456D" w14:textId="057BF05B" w:rsidR="002C2EC7" w:rsidRDefault="002C2EC7" w:rsidP="00790783">
      <w:pPr>
        <w:pStyle w:val="BodyText"/>
      </w:pPr>
      <w:r w:rsidRPr="00EF619E">
        <w:t>Beyond government and organisational coordination mechanisms, partnerships provided another mechanism for collaboration and coordination. A</w:t>
      </w:r>
      <w:r>
        <w:rPr>
          <w:bCs/>
        </w:rPr>
        <w:t xml:space="preserve"> </w:t>
      </w:r>
      <w:r w:rsidRPr="0071774C">
        <w:rPr>
          <w:bCs/>
        </w:rPr>
        <w:t>majority</w:t>
      </w:r>
      <w:r>
        <w:rPr>
          <w:bCs/>
        </w:rPr>
        <w:t xml:space="preserve"> </w:t>
      </w:r>
      <w:r w:rsidRPr="0071774C">
        <w:rPr>
          <w:bCs/>
        </w:rPr>
        <w:t>of</w:t>
      </w:r>
      <w:r>
        <w:rPr>
          <w:bCs/>
        </w:rPr>
        <w:t xml:space="preserve"> </w:t>
      </w:r>
      <w:r w:rsidRPr="0071774C">
        <w:rPr>
          <w:bCs/>
        </w:rPr>
        <w:t>organisations</w:t>
      </w:r>
      <w:r>
        <w:rPr>
          <w:bCs/>
        </w:rPr>
        <w:t xml:space="preserve"> </w:t>
      </w:r>
      <w:r w:rsidRPr="0071774C">
        <w:rPr>
          <w:bCs/>
        </w:rPr>
        <w:t>that</w:t>
      </w:r>
      <w:r>
        <w:rPr>
          <w:bCs/>
        </w:rPr>
        <w:t xml:space="preserve"> </w:t>
      </w:r>
      <w:r w:rsidRPr="0071774C">
        <w:rPr>
          <w:bCs/>
        </w:rPr>
        <w:t>responded</w:t>
      </w:r>
      <w:r>
        <w:rPr>
          <w:bCs/>
        </w:rPr>
        <w:t xml:space="preserve"> </w:t>
      </w:r>
      <w:r w:rsidRPr="0071774C">
        <w:rPr>
          <w:bCs/>
        </w:rPr>
        <w:t>to</w:t>
      </w:r>
      <w:r>
        <w:rPr>
          <w:bCs/>
        </w:rPr>
        <w:t xml:space="preserve"> </w:t>
      </w:r>
      <w:r w:rsidRPr="0071774C">
        <w:rPr>
          <w:bCs/>
        </w:rPr>
        <w:t>the</w:t>
      </w:r>
      <w:r>
        <w:rPr>
          <w:bCs/>
        </w:rPr>
        <w:t xml:space="preserve"> </w:t>
      </w:r>
      <w:r w:rsidRPr="0071774C">
        <w:rPr>
          <w:bCs/>
        </w:rPr>
        <w:t>survey</w:t>
      </w:r>
      <w:r>
        <w:rPr>
          <w:bCs/>
        </w:rPr>
        <w:t xml:space="preserve"> </w:t>
      </w:r>
      <w:r w:rsidRPr="0071774C">
        <w:rPr>
          <w:bCs/>
        </w:rPr>
        <w:t>noted</w:t>
      </w:r>
      <w:r>
        <w:rPr>
          <w:bCs/>
        </w:rPr>
        <w:t xml:space="preserve"> that </w:t>
      </w:r>
      <w:r w:rsidRPr="0071774C">
        <w:rPr>
          <w:bCs/>
        </w:rPr>
        <w:t>they</w:t>
      </w:r>
      <w:r>
        <w:rPr>
          <w:bCs/>
        </w:rPr>
        <w:t xml:space="preserve"> </w:t>
      </w:r>
      <w:r w:rsidRPr="0071774C">
        <w:rPr>
          <w:bCs/>
        </w:rPr>
        <w:t>regularly</w:t>
      </w:r>
      <w:r>
        <w:rPr>
          <w:bCs/>
        </w:rPr>
        <w:t xml:space="preserve"> </w:t>
      </w:r>
      <w:r w:rsidRPr="0071774C">
        <w:rPr>
          <w:bCs/>
        </w:rPr>
        <w:t>partnered</w:t>
      </w:r>
      <w:r>
        <w:rPr>
          <w:bCs/>
        </w:rPr>
        <w:t xml:space="preserve"> </w:t>
      </w:r>
      <w:r w:rsidRPr="0071774C">
        <w:rPr>
          <w:bCs/>
        </w:rPr>
        <w:t>with</w:t>
      </w:r>
      <w:r>
        <w:rPr>
          <w:bCs/>
        </w:rPr>
        <w:t xml:space="preserve"> </w:t>
      </w:r>
      <w:r w:rsidRPr="0071774C">
        <w:rPr>
          <w:bCs/>
        </w:rPr>
        <w:t>other</w:t>
      </w:r>
      <w:r>
        <w:rPr>
          <w:bCs/>
        </w:rPr>
        <w:t xml:space="preserve"> </w:t>
      </w:r>
      <w:r w:rsidRPr="0071774C">
        <w:rPr>
          <w:bCs/>
        </w:rPr>
        <w:t>organisations</w:t>
      </w:r>
      <w:r>
        <w:rPr>
          <w:bCs/>
        </w:rPr>
        <w:t xml:space="preserve"> </w:t>
      </w:r>
      <w:r w:rsidRPr="0071774C">
        <w:rPr>
          <w:bCs/>
        </w:rPr>
        <w:t>or</w:t>
      </w:r>
      <w:r>
        <w:rPr>
          <w:bCs/>
        </w:rPr>
        <w:t xml:space="preserve"> </w:t>
      </w:r>
      <w:r w:rsidRPr="0071774C">
        <w:rPr>
          <w:bCs/>
        </w:rPr>
        <w:t>alliances</w:t>
      </w:r>
      <w:r>
        <w:rPr>
          <w:bCs/>
        </w:rPr>
        <w:t xml:space="preserve"> </w:t>
      </w:r>
      <w:r w:rsidRPr="0071774C">
        <w:rPr>
          <w:bCs/>
        </w:rPr>
        <w:t>working</w:t>
      </w:r>
      <w:r>
        <w:rPr>
          <w:bCs/>
        </w:rPr>
        <w:t xml:space="preserve"> </w:t>
      </w:r>
      <w:r w:rsidRPr="0071774C">
        <w:rPr>
          <w:bCs/>
        </w:rPr>
        <w:t>to</w:t>
      </w:r>
      <w:r>
        <w:rPr>
          <w:bCs/>
        </w:rPr>
        <w:t xml:space="preserve"> </w:t>
      </w:r>
      <w:r w:rsidRPr="0071774C">
        <w:rPr>
          <w:bCs/>
        </w:rPr>
        <w:t>prevent</w:t>
      </w:r>
      <w:r>
        <w:rPr>
          <w:bCs/>
        </w:rPr>
        <w:t xml:space="preserve"> </w:t>
      </w:r>
      <w:r w:rsidRPr="0071774C">
        <w:rPr>
          <w:bCs/>
        </w:rPr>
        <w:t>violence</w:t>
      </w:r>
      <w:r>
        <w:rPr>
          <w:bCs/>
        </w:rPr>
        <w:t xml:space="preserve"> </w:t>
      </w:r>
      <w:r w:rsidRPr="0071774C">
        <w:rPr>
          <w:bCs/>
        </w:rPr>
        <w:t>against</w:t>
      </w:r>
      <w:r>
        <w:rPr>
          <w:bCs/>
        </w:rPr>
        <w:t xml:space="preserve"> </w:t>
      </w:r>
      <w:r w:rsidRPr="0071774C">
        <w:rPr>
          <w:bCs/>
        </w:rPr>
        <w:t>women</w:t>
      </w:r>
      <w:r>
        <w:rPr>
          <w:bCs/>
        </w:rPr>
        <w:t xml:space="preserve"> </w:t>
      </w:r>
      <w:r w:rsidRPr="0071774C">
        <w:rPr>
          <w:bCs/>
        </w:rPr>
        <w:t>(80%).</w:t>
      </w:r>
      <w:r>
        <w:t xml:space="preserve"> </w:t>
      </w:r>
      <w:r w:rsidRPr="0071774C">
        <w:t>While</w:t>
      </w:r>
      <w:r>
        <w:t xml:space="preserve"> </w:t>
      </w:r>
      <w:r w:rsidRPr="0071774C">
        <w:t>a</w:t>
      </w:r>
      <w:r>
        <w:t xml:space="preserve"> </w:t>
      </w:r>
      <w:r w:rsidRPr="0071774C">
        <w:t>wide</w:t>
      </w:r>
      <w:r>
        <w:t xml:space="preserve"> </w:t>
      </w:r>
      <w:r w:rsidRPr="0071774C">
        <w:t>variety</w:t>
      </w:r>
      <w:r>
        <w:t xml:space="preserve"> </w:t>
      </w:r>
      <w:r w:rsidRPr="0071774C">
        <w:t>of</w:t>
      </w:r>
      <w:r>
        <w:t xml:space="preserve"> </w:t>
      </w:r>
      <w:r w:rsidRPr="0071774C">
        <w:t>partners</w:t>
      </w:r>
      <w:r w:rsidR="00C11BA2">
        <w:t> </w:t>
      </w:r>
      <w:r w:rsidRPr="0071774C">
        <w:t>were</w:t>
      </w:r>
      <w:r>
        <w:t xml:space="preserve"> </w:t>
      </w:r>
      <w:r w:rsidRPr="0071774C">
        <w:t>identified,</w:t>
      </w:r>
      <w:r>
        <w:t xml:space="preserve"> </w:t>
      </w:r>
      <w:r w:rsidRPr="0071774C">
        <w:t>common</w:t>
      </w:r>
      <w:r>
        <w:t xml:space="preserve"> </w:t>
      </w:r>
      <w:r w:rsidRPr="0071774C">
        <w:t>partners</w:t>
      </w:r>
      <w:r>
        <w:t xml:space="preserve"> </w:t>
      </w:r>
      <w:r w:rsidRPr="0071774C">
        <w:t>included</w:t>
      </w:r>
      <w:r>
        <w:t xml:space="preserve"> </w:t>
      </w:r>
      <w:r w:rsidRPr="0071774C">
        <w:t>family</w:t>
      </w:r>
      <w:r>
        <w:t xml:space="preserve"> </w:t>
      </w:r>
      <w:r w:rsidRPr="0071774C">
        <w:t>violence/violence</w:t>
      </w:r>
      <w:r>
        <w:t xml:space="preserve"> </w:t>
      </w:r>
      <w:r w:rsidRPr="0071774C">
        <w:t>against</w:t>
      </w:r>
      <w:r>
        <w:t xml:space="preserve"> </w:t>
      </w:r>
      <w:r w:rsidRPr="0071774C">
        <w:t>women</w:t>
      </w:r>
      <w:r>
        <w:t xml:space="preserve"> </w:t>
      </w:r>
      <w:r w:rsidRPr="0071774C">
        <w:t>organisations,</w:t>
      </w:r>
      <w:r>
        <w:t xml:space="preserve"> </w:t>
      </w:r>
      <w:r w:rsidRPr="0071774C">
        <w:t>community</w:t>
      </w:r>
      <w:r>
        <w:t xml:space="preserve"> </w:t>
      </w:r>
      <w:r w:rsidRPr="0071774C">
        <w:t>organisations,</w:t>
      </w:r>
      <w:r>
        <w:t xml:space="preserve"> </w:t>
      </w:r>
      <w:r w:rsidRPr="0071774C">
        <w:t>women’s</w:t>
      </w:r>
      <w:r>
        <w:t xml:space="preserve"> health </w:t>
      </w:r>
      <w:r w:rsidRPr="0071774C">
        <w:t>organisations,</w:t>
      </w:r>
      <w:r>
        <w:t xml:space="preserve"> advocacy organisations </w:t>
      </w:r>
      <w:r w:rsidRPr="0071774C">
        <w:t>and</w:t>
      </w:r>
      <w:r>
        <w:t xml:space="preserve"> </w:t>
      </w:r>
      <w:r w:rsidRPr="0071774C">
        <w:t>state</w:t>
      </w:r>
      <w:r>
        <w:t xml:space="preserve"> </w:t>
      </w:r>
      <w:r w:rsidRPr="0071774C">
        <w:t>and</w:t>
      </w:r>
      <w:r>
        <w:t xml:space="preserve"> </w:t>
      </w:r>
      <w:r w:rsidRPr="0071774C">
        <w:t>local</w:t>
      </w:r>
      <w:r>
        <w:t xml:space="preserve"> </w:t>
      </w:r>
      <w:r w:rsidRPr="0071774C">
        <w:t>government</w:t>
      </w:r>
      <w:r>
        <w:t>.</w:t>
      </w:r>
      <w:r w:rsidRPr="00D8674A">
        <w:rPr>
          <w:rStyle w:val="OWSuperscript"/>
        </w:rPr>
        <w:footnoteReference w:id="10"/>
      </w:r>
      <w:r>
        <w:t xml:space="preserve"> </w:t>
      </w:r>
      <w:r w:rsidRPr="0071774C">
        <w:t>Just</w:t>
      </w:r>
      <w:r>
        <w:t xml:space="preserve"> </w:t>
      </w:r>
      <w:r w:rsidRPr="0071774C">
        <w:t>over</w:t>
      </w:r>
      <w:r>
        <w:t xml:space="preserve"> </w:t>
      </w:r>
      <w:r w:rsidRPr="0071774C">
        <w:t>half</w:t>
      </w:r>
      <w:r>
        <w:t xml:space="preserve"> </w:t>
      </w:r>
      <w:r w:rsidRPr="0071774C">
        <w:t>(55%)</w:t>
      </w:r>
      <w:r>
        <w:t xml:space="preserve"> </w:t>
      </w:r>
      <w:r w:rsidRPr="0071774C">
        <w:t>of</w:t>
      </w:r>
      <w:r>
        <w:t xml:space="preserve"> </w:t>
      </w:r>
      <w:r w:rsidRPr="0071774C">
        <w:t>the</w:t>
      </w:r>
      <w:r>
        <w:t xml:space="preserve"> </w:t>
      </w:r>
      <w:r w:rsidRPr="0071774C">
        <w:t>survey</w:t>
      </w:r>
      <w:r>
        <w:t xml:space="preserve"> </w:t>
      </w:r>
      <w:r w:rsidRPr="0071774C">
        <w:t>respondents</w:t>
      </w:r>
      <w:r>
        <w:t xml:space="preserve"> </w:t>
      </w:r>
      <w:r w:rsidRPr="0071774C">
        <w:t>regularly</w:t>
      </w:r>
      <w:r>
        <w:t xml:space="preserve"> </w:t>
      </w:r>
      <w:r w:rsidRPr="0071774C">
        <w:t>partnered</w:t>
      </w:r>
      <w:r>
        <w:t xml:space="preserve"> </w:t>
      </w:r>
      <w:r w:rsidRPr="0071774C">
        <w:t>with</w:t>
      </w:r>
      <w:r>
        <w:t xml:space="preserve"> </w:t>
      </w:r>
      <w:r w:rsidRPr="0071774C">
        <w:t>other</w:t>
      </w:r>
      <w:r>
        <w:t xml:space="preserve"> </w:t>
      </w:r>
      <w:r w:rsidRPr="0071774C">
        <w:t>organisations</w:t>
      </w:r>
      <w:r>
        <w:t xml:space="preserve"> </w:t>
      </w:r>
      <w:r w:rsidRPr="0071774C">
        <w:t>or</w:t>
      </w:r>
      <w:r>
        <w:t xml:space="preserve"> </w:t>
      </w:r>
      <w:r w:rsidRPr="0071774C">
        <w:t>alliances</w:t>
      </w:r>
      <w:r>
        <w:t xml:space="preserve"> </w:t>
      </w:r>
      <w:r w:rsidRPr="0071774C">
        <w:t>working</w:t>
      </w:r>
      <w:r>
        <w:t xml:space="preserve"> </w:t>
      </w:r>
      <w:r w:rsidRPr="0071774C">
        <w:t>on</w:t>
      </w:r>
      <w:r>
        <w:t xml:space="preserve"> </w:t>
      </w:r>
      <w:r w:rsidRPr="0071774C">
        <w:t>any</w:t>
      </w:r>
      <w:r>
        <w:t xml:space="preserve"> </w:t>
      </w:r>
      <w:r w:rsidRPr="0071774C">
        <w:t>forms</w:t>
      </w:r>
      <w:r>
        <w:t xml:space="preserve"> </w:t>
      </w:r>
      <w:r w:rsidRPr="0071774C">
        <w:t>of</w:t>
      </w:r>
      <w:r>
        <w:t xml:space="preserve"> </w:t>
      </w:r>
      <w:r w:rsidRPr="0071774C">
        <w:t>injustice</w:t>
      </w:r>
      <w:r>
        <w:t xml:space="preserve"> </w:t>
      </w:r>
      <w:r w:rsidRPr="0071774C">
        <w:t>and</w:t>
      </w:r>
      <w:r>
        <w:t xml:space="preserve"> </w:t>
      </w:r>
      <w:r w:rsidRPr="0071774C">
        <w:t>discrimination.</w:t>
      </w:r>
      <w:r>
        <w:t xml:space="preserve"> </w:t>
      </w:r>
      <w:r w:rsidRPr="0071774C">
        <w:t>Partner</w:t>
      </w:r>
      <w:r>
        <w:t xml:space="preserve"> </w:t>
      </w:r>
      <w:r w:rsidRPr="0071774C">
        <w:t>organisations</w:t>
      </w:r>
      <w:r>
        <w:t xml:space="preserve"> </w:t>
      </w:r>
      <w:r w:rsidRPr="0071774C">
        <w:t>included</w:t>
      </w:r>
      <w:r>
        <w:t xml:space="preserve"> </w:t>
      </w:r>
      <w:r w:rsidRPr="0071774C">
        <w:t>those</w:t>
      </w:r>
      <w:r>
        <w:t xml:space="preserve"> </w:t>
      </w:r>
      <w:r w:rsidRPr="0071774C">
        <w:t>with</w:t>
      </w:r>
      <w:r>
        <w:t xml:space="preserve"> </w:t>
      </w:r>
      <w:r w:rsidRPr="0071774C">
        <w:t>a</w:t>
      </w:r>
      <w:r>
        <w:t xml:space="preserve"> </w:t>
      </w:r>
      <w:r w:rsidRPr="0071774C">
        <w:t>focus</w:t>
      </w:r>
      <w:r>
        <w:t xml:space="preserve"> </w:t>
      </w:r>
      <w:r w:rsidRPr="0071774C">
        <w:t>on</w:t>
      </w:r>
      <w:r>
        <w:t xml:space="preserve"> </w:t>
      </w:r>
      <w:r w:rsidRPr="0071774C">
        <w:t>law</w:t>
      </w:r>
      <w:r>
        <w:t xml:space="preserve"> </w:t>
      </w:r>
      <w:r w:rsidRPr="0071774C">
        <w:t>and</w:t>
      </w:r>
      <w:r>
        <w:t xml:space="preserve"> </w:t>
      </w:r>
      <w:r w:rsidRPr="0071774C">
        <w:t>justice</w:t>
      </w:r>
      <w:r>
        <w:t xml:space="preserve"> </w:t>
      </w:r>
      <w:r w:rsidRPr="0071774C">
        <w:t>or</w:t>
      </w:r>
      <w:r>
        <w:t xml:space="preserve"> </w:t>
      </w:r>
      <w:r w:rsidRPr="0071774C">
        <w:t>human</w:t>
      </w:r>
      <w:r>
        <w:t xml:space="preserve"> </w:t>
      </w:r>
      <w:r w:rsidRPr="0071774C">
        <w:t>rights</w:t>
      </w:r>
      <w:r>
        <w:t xml:space="preserve"> </w:t>
      </w:r>
      <w:r w:rsidRPr="0071774C">
        <w:t>and</w:t>
      </w:r>
      <w:r>
        <w:t xml:space="preserve"> </w:t>
      </w:r>
      <w:r w:rsidRPr="0071774C">
        <w:t>discrimination,</w:t>
      </w:r>
      <w:r>
        <w:t xml:space="preserve"> </w:t>
      </w:r>
      <w:r w:rsidRPr="0071774C">
        <w:t>as</w:t>
      </w:r>
      <w:r>
        <w:t xml:space="preserve"> </w:t>
      </w:r>
      <w:r w:rsidRPr="0071774C">
        <w:t>well</w:t>
      </w:r>
      <w:r>
        <w:t xml:space="preserve"> </w:t>
      </w:r>
      <w:r w:rsidRPr="0071774C">
        <w:t>as</w:t>
      </w:r>
      <w:r>
        <w:t xml:space="preserve"> </w:t>
      </w:r>
      <w:r w:rsidRPr="0071774C">
        <w:t>organisations</w:t>
      </w:r>
      <w:r>
        <w:t xml:space="preserve"> </w:t>
      </w:r>
      <w:r w:rsidRPr="0071774C">
        <w:t>working</w:t>
      </w:r>
      <w:r>
        <w:t xml:space="preserve"> </w:t>
      </w:r>
      <w:r w:rsidRPr="0071774C">
        <w:t>with</w:t>
      </w:r>
      <w:r>
        <w:t xml:space="preserve"> </w:t>
      </w:r>
      <w:r w:rsidRPr="0071774C">
        <w:t>migrant</w:t>
      </w:r>
      <w:r>
        <w:t xml:space="preserve"> </w:t>
      </w:r>
      <w:r w:rsidRPr="0071774C">
        <w:lastRenderedPageBreak/>
        <w:t>and</w:t>
      </w:r>
      <w:r>
        <w:t xml:space="preserve"> </w:t>
      </w:r>
      <w:r w:rsidRPr="0071774C">
        <w:t>refugee</w:t>
      </w:r>
      <w:r>
        <w:t xml:space="preserve"> </w:t>
      </w:r>
      <w:r w:rsidRPr="0071774C">
        <w:t>communities,</w:t>
      </w:r>
      <w:r>
        <w:t xml:space="preserve"> </w:t>
      </w:r>
      <w:r w:rsidRPr="0071774C">
        <w:t>Aboriginal</w:t>
      </w:r>
      <w:r>
        <w:t xml:space="preserve"> </w:t>
      </w:r>
      <w:r w:rsidRPr="0071774C">
        <w:t>and</w:t>
      </w:r>
      <w:r>
        <w:t xml:space="preserve"> </w:t>
      </w:r>
      <w:r w:rsidRPr="0071774C">
        <w:t>Torres</w:t>
      </w:r>
      <w:r>
        <w:t xml:space="preserve"> </w:t>
      </w:r>
      <w:r w:rsidRPr="0071774C">
        <w:t>Strait</w:t>
      </w:r>
      <w:r>
        <w:t xml:space="preserve"> </w:t>
      </w:r>
      <w:r w:rsidRPr="0071774C">
        <w:t>Islander</w:t>
      </w:r>
      <w:r>
        <w:t xml:space="preserve"> </w:t>
      </w:r>
      <w:r w:rsidRPr="0071774C">
        <w:t>communities,</w:t>
      </w:r>
      <w:r>
        <w:t xml:space="preserve"> </w:t>
      </w:r>
      <w:r w:rsidRPr="0071774C">
        <w:t>children</w:t>
      </w:r>
      <w:r>
        <w:t xml:space="preserve"> </w:t>
      </w:r>
      <w:r w:rsidRPr="0071774C">
        <w:t>and</w:t>
      </w:r>
      <w:r>
        <w:t xml:space="preserve"> </w:t>
      </w:r>
      <w:r w:rsidRPr="0071774C">
        <w:t>young</w:t>
      </w:r>
      <w:r>
        <w:t xml:space="preserve"> </w:t>
      </w:r>
      <w:r w:rsidRPr="0071774C">
        <w:t>people,</w:t>
      </w:r>
      <w:r>
        <w:t xml:space="preserve"> </w:t>
      </w:r>
      <w:r w:rsidRPr="0071774C">
        <w:t>LGBTIQ</w:t>
      </w:r>
      <w:r>
        <w:t xml:space="preserve"> </w:t>
      </w:r>
      <w:r w:rsidRPr="0071774C">
        <w:t>people</w:t>
      </w:r>
      <w:r>
        <w:t xml:space="preserve"> </w:t>
      </w:r>
      <w:r w:rsidRPr="0071774C">
        <w:t>and</w:t>
      </w:r>
      <w:r>
        <w:t xml:space="preserve"> </w:t>
      </w:r>
      <w:r w:rsidRPr="0071774C">
        <w:t>people</w:t>
      </w:r>
      <w:r>
        <w:t xml:space="preserve"> </w:t>
      </w:r>
      <w:r w:rsidRPr="0071774C">
        <w:t>with</w:t>
      </w:r>
      <w:r>
        <w:t xml:space="preserve"> </w:t>
      </w:r>
      <w:r w:rsidRPr="0071774C">
        <w:t>disabilit</w:t>
      </w:r>
      <w:r>
        <w:t>y</w:t>
      </w:r>
      <w:r w:rsidRPr="0071774C">
        <w:t>.</w:t>
      </w:r>
      <w:r>
        <w:t xml:space="preserve"> </w:t>
      </w:r>
      <w:r w:rsidRPr="0071774C">
        <w:t>Partnerships</w:t>
      </w:r>
      <w:r>
        <w:t xml:space="preserve"> </w:t>
      </w:r>
      <w:r w:rsidRPr="0071774C">
        <w:t>led</w:t>
      </w:r>
      <w:r>
        <w:t xml:space="preserve"> </w:t>
      </w:r>
      <w:r w:rsidRPr="0071774C">
        <w:t>by</w:t>
      </w:r>
      <w:r>
        <w:t xml:space="preserve"> </w:t>
      </w:r>
      <w:r w:rsidRPr="0071774C">
        <w:t>groups</w:t>
      </w:r>
      <w:r>
        <w:t xml:space="preserve"> </w:t>
      </w:r>
      <w:r w:rsidRPr="0071774C">
        <w:t>affected</w:t>
      </w:r>
      <w:r>
        <w:t xml:space="preserve"> </w:t>
      </w:r>
      <w:r w:rsidRPr="0071774C">
        <w:t>by</w:t>
      </w:r>
      <w:r>
        <w:t xml:space="preserve"> </w:t>
      </w:r>
      <w:r w:rsidRPr="0071774C">
        <w:t>intersecting</w:t>
      </w:r>
      <w:r>
        <w:t xml:space="preserve"> </w:t>
      </w:r>
      <w:r w:rsidR="00FD032C" w:rsidRPr="00FD032C">
        <w:t>drivers of violence (other forms of oppression and discrimination)</w:t>
      </w:r>
      <w:r>
        <w:t xml:space="preserve"> </w:t>
      </w:r>
      <w:r w:rsidRPr="0071774C">
        <w:t>will</w:t>
      </w:r>
      <w:r>
        <w:t xml:space="preserve"> </w:t>
      </w:r>
      <w:r w:rsidRPr="0071774C">
        <w:t>continue</w:t>
      </w:r>
      <w:r>
        <w:t xml:space="preserve"> </w:t>
      </w:r>
      <w:r w:rsidRPr="0071774C">
        <w:t>to</w:t>
      </w:r>
      <w:r>
        <w:t xml:space="preserve"> </w:t>
      </w:r>
      <w:r w:rsidRPr="0071774C">
        <w:t>be</w:t>
      </w:r>
      <w:r>
        <w:t xml:space="preserve"> </w:t>
      </w:r>
      <w:r w:rsidRPr="0071774C">
        <w:t>needed</w:t>
      </w:r>
      <w:r>
        <w:t xml:space="preserve"> </w:t>
      </w:r>
      <w:r w:rsidRPr="0071774C">
        <w:t>in</w:t>
      </w:r>
      <w:r>
        <w:t xml:space="preserve"> </w:t>
      </w:r>
      <w:r w:rsidRPr="0071774C">
        <w:t>both</w:t>
      </w:r>
      <w:r>
        <w:t xml:space="preserve"> </w:t>
      </w:r>
      <w:r w:rsidRPr="0071774C">
        <w:t>whole-of-population</w:t>
      </w:r>
      <w:r>
        <w:t xml:space="preserve"> </w:t>
      </w:r>
      <w:r w:rsidRPr="0071774C">
        <w:t>activities</w:t>
      </w:r>
      <w:r>
        <w:t xml:space="preserve"> </w:t>
      </w:r>
      <w:r w:rsidRPr="0071774C">
        <w:t>and</w:t>
      </w:r>
      <w:r>
        <w:t xml:space="preserve"> </w:t>
      </w:r>
      <w:r w:rsidRPr="0071774C">
        <w:t>those</w:t>
      </w:r>
      <w:r>
        <w:t xml:space="preserve"> </w:t>
      </w:r>
      <w:r w:rsidRPr="0071774C">
        <w:t>targeted</w:t>
      </w:r>
      <w:r>
        <w:t xml:space="preserve"> </w:t>
      </w:r>
      <w:r w:rsidRPr="0071774C">
        <w:t>at</w:t>
      </w:r>
      <w:r>
        <w:t xml:space="preserve"> </w:t>
      </w:r>
      <w:r w:rsidRPr="0071774C">
        <w:t>the</w:t>
      </w:r>
      <w:r>
        <w:t xml:space="preserve"> </w:t>
      </w:r>
      <w:r w:rsidRPr="0071774C">
        <w:t>norms,</w:t>
      </w:r>
      <w:r>
        <w:t xml:space="preserve"> </w:t>
      </w:r>
      <w:r w:rsidRPr="0071774C">
        <w:t>practices</w:t>
      </w:r>
      <w:r>
        <w:t xml:space="preserve"> </w:t>
      </w:r>
      <w:r w:rsidRPr="0071774C">
        <w:t>and</w:t>
      </w:r>
      <w:r>
        <w:t xml:space="preserve"> </w:t>
      </w:r>
      <w:r w:rsidRPr="0071774C">
        <w:t>structures</w:t>
      </w:r>
      <w:r>
        <w:t xml:space="preserve"> </w:t>
      </w:r>
      <w:r w:rsidRPr="0071774C">
        <w:t>that</w:t>
      </w:r>
      <w:r>
        <w:t xml:space="preserve"> </w:t>
      </w:r>
      <w:r w:rsidRPr="0071774C">
        <w:t>create</w:t>
      </w:r>
      <w:r>
        <w:t xml:space="preserve"> </w:t>
      </w:r>
      <w:r w:rsidRPr="0071774C">
        <w:t>complex</w:t>
      </w:r>
      <w:r>
        <w:t xml:space="preserve"> </w:t>
      </w:r>
      <w:r w:rsidRPr="0071774C">
        <w:t>and</w:t>
      </w:r>
      <w:r>
        <w:t xml:space="preserve"> </w:t>
      </w:r>
      <w:r w:rsidRPr="0071774C">
        <w:t>intersecting</w:t>
      </w:r>
      <w:r>
        <w:t xml:space="preserve"> </w:t>
      </w:r>
      <w:r w:rsidRPr="0071774C">
        <w:t>forms</w:t>
      </w:r>
      <w:r>
        <w:t xml:space="preserve"> </w:t>
      </w:r>
      <w:r w:rsidRPr="0071774C">
        <w:t>of</w:t>
      </w:r>
      <w:r>
        <w:t xml:space="preserve"> </w:t>
      </w:r>
      <w:r w:rsidRPr="0071774C">
        <w:t>discrimination</w:t>
      </w:r>
      <w:r>
        <w:t xml:space="preserve"> </w:t>
      </w:r>
      <w:r w:rsidRPr="0071774C">
        <w:t>and</w:t>
      </w:r>
      <w:r>
        <w:t xml:space="preserve"> </w:t>
      </w:r>
      <w:r w:rsidRPr="0071774C">
        <w:t>privilege.</w:t>
      </w:r>
      <w:r>
        <w:rPr>
          <w:color w:val="D13438"/>
        </w:rPr>
        <w:t xml:space="preserve"> </w:t>
      </w:r>
      <w:r w:rsidRPr="0071774C">
        <w:t>These</w:t>
      </w:r>
      <w:r>
        <w:t xml:space="preserve"> </w:t>
      </w:r>
      <w:r w:rsidRPr="0071774C">
        <w:t>partnerships</w:t>
      </w:r>
      <w:r>
        <w:t xml:space="preserve"> </w:t>
      </w:r>
      <w:r w:rsidRPr="0071774C">
        <w:t>can</w:t>
      </w:r>
      <w:r>
        <w:t xml:space="preserve"> </w:t>
      </w:r>
      <w:r w:rsidRPr="0071774C">
        <w:t>work</w:t>
      </w:r>
      <w:r>
        <w:t xml:space="preserve"> </w:t>
      </w:r>
      <w:r w:rsidRPr="0071774C">
        <w:t>towards</w:t>
      </w:r>
      <w:r>
        <w:t xml:space="preserve"> </w:t>
      </w:r>
      <w:r w:rsidRPr="0071774C">
        <w:t>shared</w:t>
      </w:r>
      <w:r>
        <w:t xml:space="preserve"> </w:t>
      </w:r>
      <w:r w:rsidRPr="0071774C">
        <w:t>goals</w:t>
      </w:r>
      <w:r>
        <w:t xml:space="preserve"> </w:t>
      </w:r>
      <w:r w:rsidRPr="0071774C">
        <w:t>by</w:t>
      </w:r>
      <w:r>
        <w:t xml:space="preserve"> </w:t>
      </w:r>
      <w:r w:rsidRPr="0071774C">
        <w:t>recognising</w:t>
      </w:r>
      <w:r>
        <w:t xml:space="preserve"> </w:t>
      </w:r>
      <w:r w:rsidRPr="0071774C">
        <w:t>the</w:t>
      </w:r>
      <w:r>
        <w:t xml:space="preserve"> </w:t>
      </w:r>
      <w:r w:rsidRPr="0071774C">
        <w:t>relevance</w:t>
      </w:r>
      <w:r>
        <w:t xml:space="preserve"> </w:t>
      </w:r>
      <w:r w:rsidRPr="0071774C">
        <w:t>of</w:t>
      </w:r>
      <w:r>
        <w:t xml:space="preserve"> </w:t>
      </w:r>
      <w:r w:rsidRPr="0071774C">
        <w:t>other</w:t>
      </w:r>
      <w:r>
        <w:t xml:space="preserve"> </w:t>
      </w:r>
      <w:r w:rsidRPr="0071774C">
        <w:t>social</w:t>
      </w:r>
      <w:r>
        <w:t xml:space="preserve"> </w:t>
      </w:r>
      <w:r w:rsidRPr="0071774C">
        <w:t>policy</w:t>
      </w:r>
      <w:r>
        <w:t xml:space="preserve"> </w:t>
      </w:r>
      <w:r w:rsidRPr="0071774C">
        <w:t>issues</w:t>
      </w:r>
      <w:r>
        <w:t xml:space="preserve"> </w:t>
      </w:r>
      <w:r w:rsidRPr="0071774C">
        <w:t>to</w:t>
      </w:r>
      <w:r>
        <w:t xml:space="preserve"> </w:t>
      </w:r>
      <w:r w:rsidRPr="0071774C">
        <w:t>violence</w:t>
      </w:r>
      <w:r>
        <w:t xml:space="preserve"> </w:t>
      </w:r>
      <w:r w:rsidRPr="0071774C">
        <w:t>against</w:t>
      </w:r>
      <w:r>
        <w:t xml:space="preserve"> </w:t>
      </w:r>
      <w:r w:rsidRPr="0071774C">
        <w:t>women</w:t>
      </w:r>
      <w:r>
        <w:t xml:space="preserve"> </w:t>
      </w:r>
      <w:r w:rsidRPr="0071774C">
        <w:t>and</w:t>
      </w:r>
      <w:r>
        <w:t xml:space="preserve"> </w:t>
      </w:r>
      <w:r w:rsidRPr="0071774C">
        <w:t>gender</w:t>
      </w:r>
      <w:r>
        <w:t xml:space="preserve"> </w:t>
      </w:r>
      <w:r w:rsidRPr="0071774C">
        <w:t>equality</w:t>
      </w:r>
      <w:r>
        <w:t xml:space="preserve">, </w:t>
      </w:r>
      <w:r w:rsidRPr="0071774C">
        <w:t>as</w:t>
      </w:r>
      <w:r w:rsidR="00FD032C">
        <w:t> </w:t>
      </w:r>
      <w:r w:rsidRPr="0071774C">
        <w:t>well</w:t>
      </w:r>
      <w:r>
        <w:t xml:space="preserve"> </w:t>
      </w:r>
      <w:r w:rsidRPr="0071774C">
        <w:t>as</w:t>
      </w:r>
      <w:r>
        <w:t xml:space="preserve"> </w:t>
      </w:r>
      <w:r w:rsidRPr="0071774C">
        <w:t>the</w:t>
      </w:r>
      <w:r>
        <w:t xml:space="preserve"> </w:t>
      </w:r>
      <w:r w:rsidRPr="0071774C">
        <w:t>importance</w:t>
      </w:r>
      <w:r>
        <w:t xml:space="preserve"> </w:t>
      </w:r>
      <w:r w:rsidRPr="0071774C">
        <w:t>of</w:t>
      </w:r>
      <w:r>
        <w:t xml:space="preserve"> </w:t>
      </w:r>
      <w:r w:rsidRPr="0071774C">
        <w:t>a</w:t>
      </w:r>
      <w:r>
        <w:t xml:space="preserve"> </w:t>
      </w:r>
      <w:r w:rsidRPr="0071774C">
        <w:t>gendered</w:t>
      </w:r>
      <w:r>
        <w:t xml:space="preserve"> </w:t>
      </w:r>
      <w:r w:rsidRPr="0071774C">
        <w:t>analysis</w:t>
      </w:r>
      <w:r>
        <w:t xml:space="preserve"> </w:t>
      </w:r>
      <w:r w:rsidRPr="0071774C">
        <w:t>in</w:t>
      </w:r>
      <w:r>
        <w:t xml:space="preserve"> </w:t>
      </w:r>
      <w:r w:rsidRPr="0071774C">
        <w:t>order</w:t>
      </w:r>
      <w:r>
        <w:t xml:space="preserve"> </w:t>
      </w:r>
      <w:r w:rsidRPr="0071774C">
        <w:t>to</w:t>
      </w:r>
      <w:r>
        <w:t xml:space="preserve"> </w:t>
      </w:r>
      <w:r w:rsidRPr="0071774C">
        <w:t>better</w:t>
      </w:r>
      <w:r>
        <w:t xml:space="preserve"> </w:t>
      </w:r>
      <w:r w:rsidRPr="0071774C">
        <w:t>address</w:t>
      </w:r>
      <w:r>
        <w:t xml:space="preserve"> </w:t>
      </w:r>
      <w:r w:rsidRPr="0071774C">
        <w:t>(and</w:t>
      </w:r>
      <w:r>
        <w:t xml:space="preserve"> </w:t>
      </w:r>
      <w:r w:rsidRPr="0071774C">
        <w:t>avoid</w:t>
      </w:r>
      <w:r>
        <w:t xml:space="preserve"> </w:t>
      </w:r>
      <w:r w:rsidRPr="0071774C">
        <w:t>reinforcing)</w:t>
      </w:r>
      <w:r>
        <w:t xml:space="preserve"> </w:t>
      </w:r>
      <w:r w:rsidRPr="0071774C">
        <w:t>the</w:t>
      </w:r>
      <w:r>
        <w:t xml:space="preserve"> </w:t>
      </w:r>
      <w:r w:rsidRPr="0071774C">
        <w:t>drivers</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across</w:t>
      </w:r>
      <w:r>
        <w:t xml:space="preserve"> </w:t>
      </w:r>
      <w:r w:rsidRPr="0071774C">
        <w:t>all</w:t>
      </w:r>
      <w:r>
        <w:t xml:space="preserve"> </w:t>
      </w:r>
      <w:r w:rsidRPr="0071774C">
        <w:t>social</w:t>
      </w:r>
      <w:r>
        <w:t xml:space="preserve"> </w:t>
      </w:r>
      <w:r w:rsidRPr="0071774C">
        <w:t>policy</w:t>
      </w:r>
      <w:r>
        <w:t xml:space="preserve"> </w:t>
      </w:r>
      <w:r w:rsidRPr="0071774C">
        <w:t>areas.</w:t>
      </w:r>
    </w:p>
    <w:p w14:paraId="5ABC3A4B" w14:textId="77777777" w:rsidR="002C2EC7" w:rsidRDefault="002C2EC7" w:rsidP="00790783">
      <w:pPr>
        <w:pStyle w:val="Heading5"/>
      </w:pPr>
      <w:bookmarkStart w:id="57" w:name="_Toc41559735"/>
      <w:r w:rsidRPr="0071774C">
        <w:t>Resourcing</w:t>
      </w:r>
      <w:r>
        <w:t xml:space="preserve"> </w:t>
      </w:r>
      <w:r w:rsidRPr="0071774C">
        <w:t>and</w:t>
      </w:r>
      <w:r>
        <w:t xml:space="preserve"> </w:t>
      </w:r>
      <w:r w:rsidRPr="0071774C">
        <w:t>capacity</w:t>
      </w:r>
      <w:bookmarkEnd w:id="57"/>
    </w:p>
    <w:p w14:paraId="021524F8" w14:textId="77777777" w:rsidR="002C2EC7" w:rsidRPr="00EF619E" w:rsidRDefault="002C2EC7" w:rsidP="00790783">
      <w:pPr>
        <w:pStyle w:val="BodyText"/>
      </w:pPr>
      <w:r w:rsidRPr="00EF619E">
        <w:t>As noted in other sections of this report, capacity and resourcing are an ongoing challenge for organisations in this field. A third (31%) of those survey respondents whose organisations do partner with other organisations and alliances to prevent violence against women reported providing services that they are not funded to deliver. This most commonly includes add-on or in-kind work, which often focuses on building the capacity of others outside their own organisations in relation to primary prevention and gender equality. Organisations reporting this include those with specialist expertise, which often experience higher demand than they are able to meet for partnerships, capacity-building and expert review. Of respondents whose organisations are partnering to address any form of injustice and discrimination, 58% receive funding for primary prevention of violence against women, and 32% provide services they are not funded to deliver. Just over half (53%) of those whose organisations are involved in some kind of partnership in relation to primary prevention indicated that their organisation provides ‘specialist knowledge and advice on the way multiple forms of discrimination and privilege intersect with gender inequality’, as well as other more generalist forms of advice and support. Similarly, of those engaged in prevention partnerships of some kind, 60% regularly undertake, as part of their role, activities that develop and apply knowledge of the way multiple forms of discrimination and privilege intersect with gender inequality.</w:t>
      </w:r>
    </w:p>
    <w:p w14:paraId="0037E9C8" w14:textId="28054486" w:rsidR="002C2EC7" w:rsidRPr="00EF619E" w:rsidRDefault="002C2EC7" w:rsidP="00790783">
      <w:pPr>
        <w:pStyle w:val="BodyText"/>
      </w:pPr>
      <w:r w:rsidRPr="00EF619E">
        <w:rPr>
          <w:bCs/>
        </w:rPr>
        <w:t xml:space="preserve">While a majority of respondents (70%) use strategies to address forms of inequality other than gender inequality in their primary prevention work, only a small number explicitly mentioned how this occurred in their partnership work. </w:t>
      </w:r>
      <w:r w:rsidRPr="00EF619E">
        <w:t xml:space="preserve">Examples included building relationships and developing partnerships with specialist organisations and partnering with communities to design community-led primary prevention activities. Notably, respondents were more likely to say they draw on skills in cultural awareness and safety in their work if their organisation partnered with others in relation to injustice and discrimination, suggesting the value of such partnerships </w:t>
      </w:r>
      <w:r w:rsidR="002300F6">
        <w:t xml:space="preserve">and the importance of funding </w:t>
      </w:r>
      <w:r w:rsidR="00541096">
        <w:t>this work</w:t>
      </w:r>
      <w:r w:rsidRPr="00EF619E">
        <w:t>.</w:t>
      </w:r>
    </w:p>
    <w:p w14:paraId="7C104D29" w14:textId="3654B561" w:rsidR="002C2EC7" w:rsidRDefault="002C2EC7" w:rsidP="00790783">
      <w:pPr>
        <w:pStyle w:val="Heading5"/>
      </w:pPr>
      <w:bookmarkStart w:id="58" w:name="_Toc41559736"/>
      <w:bookmarkStart w:id="59" w:name="_Ref47952083"/>
      <w:r w:rsidRPr="0071774C">
        <w:t>Tools,</w:t>
      </w:r>
      <w:r>
        <w:t xml:space="preserve"> </w:t>
      </w:r>
      <w:r w:rsidRPr="0071774C">
        <w:t>resources</w:t>
      </w:r>
      <w:r>
        <w:t xml:space="preserve"> </w:t>
      </w:r>
      <w:r w:rsidRPr="0071774C">
        <w:t>and</w:t>
      </w:r>
      <w:r>
        <w:t xml:space="preserve"> </w:t>
      </w:r>
      <w:r w:rsidRPr="0071774C">
        <w:t>guides</w:t>
      </w:r>
      <w:r>
        <w:t xml:space="preserve"> </w:t>
      </w:r>
      <w:r w:rsidRPr="0071774C">
        <w:t>to</w:t>
      </w:r>
      <w:r>
        <w:t xml:space="preserve"> </w:t>
      </w:r>
      <w:r w:rsidRPr="0071774C">
        <w:t>support</w:t>
      </w:r>
      <w:r>
        <w:t xml:space="preserve"> </w:t>
      </w:r>
      <w:r w:rsidRPr="0071774C">
        <w:t>the</w:t>
      </w:r>
      <w:r>
        <w:t xml:space="preserve"> </w:t>
      </w:r>
      <w:r w:rsidRPr="0071774C">
        <w:t>design,</w:t>
      </w:r>
      <w:r>
        <w:t xml:space="preserve"> </w:t>
      </w:r>
      <w:r w:rsidRPr="0071774C">
        <w:t>implementation</w:t>
      </w:r>
      <w:r>
        <w:t xml:space="preserve"> </w:t>
      </w:r>
      <w:r w:rsidRPr="0071774C">
        <w:t>and</w:t>
      </w:r>
      <w:r w:rsidR="002F36E8">
        <w:t> </w:t>
      </w:r>
      <w:r w:rsidRPr="0071774C">
        <w:t>evaluation</w:t>
      </w:r>
      <w:r>
        <w:t xml:space="preserve"> </w:t>
      </w:r>
      <w:r w:rsidRPr="0071774C">
        <w:t>of</w:t>
      </w:r>
      <w:r>
        <w:t xml:space="preserve"> </w:t>
      </w:r>
      <w:r w:rsidRPr="0071774C">
        <w:t>primary</w:t>
      </w:r>
      <w:r>
        <w:t xml:space="preserve"> </w:t>
      </w:r>
      <w:r w:rsidRPr="0071774C">
        <w:t>prevention</w:t>
      </w:r>
      <w:bookmarkEnd w:id="58"/>
      <w:bookmarkEnd w:id="59"/>
    </w:p>
    <w:p w14:paraId="186D14E1" w14:textId="1284C5B2" w:rsidR="002C2EC7" w:rsidRPr="00EF619E" w:rsidRDefault="002C2EC7" w:rsidP="00790783">
      <w:pPr>
        <w:pStyle w:val="BodyText"/>
      </w:pPr>
      <w:r w:rsidRPr="00EF619E">
        <w:t>The 2009–2019 period saw the development of many tools, resources and guides to support the design, implementation and evaluation of primary prevention activity; the volume and scope of tools being developed has increased. This is evidenced by the Action to Prevent Violence Against Women website run by GEN VIC,</w:t>
      </w:r>
      <w:r w:rsidRPr="00EF619E">
        <w:rPr>
          <w:rStyle w:val="EndnoteReference"/>
          <w:szCs w:val="22"/>
        </w:rPr>
        <w:endnoteReference w:id="110"/>
      </w:r>
      <w:r w:rsidRPr="00EF619E">
        <w:t xml:space="preserve"> which has a resource library of primary prevention tools containing 100 resources developed in Australia since 2009, and the </w:t>
      </w:r>
      <w:r w:rsidRPr="00EF619E">
        <w:lastRenderedPageBreak/>
        <w:t>Women’s Health Victoria (WHV) Library,</w:t>
      </w:r>
      <w:r w:rsidRPr="00EF619E">
        <w:rPr>
          <w:rStyle w:val="EndnoteReference"/>
          <w:szCs w:val="22"/>
        </w:rPr>
        <w:endnoteReference w:id="111"/>
      </w:r>
      <w:r w:rsidRPr="00EF619E">
        <w:t xml:space="preserve"> which added 110 Australian-developed resources under ‘violence prevention’ over the same period. A number of practitioner hubs have also been launched in this period, including</w:t>
      </w:r>
      <w:r w:rsidR="002F612D">
        <w:t xml:space="preserve"> Level Playground</w:t>
      </w:r>
      <w:r w:rsidR="00ED696B">
        <w:t>,</w:t>
      </w:r>
      <w:r w:rsidR="002F612D">
        <w:rPr>
          <w:rStyle w:val="EndnoteReference"/>
        </w:rPr>
        <w:endnoteReference w:id="112"/>
      </w:r>
      <w:r w:rsidRPr="00EF619E">
        <w:t xml:space="preserve"> Workplace Equality and Respect,</w:t>
      </w:r>
      <w:r w:rsidRPr="00EF619E">
        <w:rPr>
          <w:rStyle w:val="EndnoteReference"/>
          <w:szCs w:val="22"/>
        </w:rPr>
        <w:endnoteReference w:id="113"/>
      </w:r>
      <w:r w:rsidRPr="00EF619E">
        <w:t xml:space="preserve"> Respectful Relationships Education</w:t>
      </w:r>
      <w:r w:rsidR="00541096">
        <w:t>,</w:t>
      </w:r>
      <w:r w:rsidRPr="00EF619E">
        <w:rPr>
          <w:rStyle w:val="EndnoteReference"/>
          <w:szCs w:val="22"/>
        </w:rPr>
        <w:endnoteReference w:id="114"/>
      </w:r>
      <w:r w:rsidRPr="00EF619E">
        <w:t xml:space="preserve"> </w:t>
      </w:r>
      <w:bookmarkStart w:id="60" w:name="_Hlk47950030"/>
      <w:r w:rsidR="00541096">
        <w:t xml:space="preserve">Municipal Association of Victoria </w:t>
      </w:r>
      <w:r w:rsidR="00CC71EA">
        <w:t>Promising Practice Portal</w:t>
      </w:r>
      <w:bookmarkStart w:id="61" w:name="_Hlk47950051"/>
      <w:r w:rsidR="00CC71EA">
        <w:rPr>
          <w:rStyle w:val="EndnoteReference"/>
        </w:rPr>
        <w:endnoteReference w:id="115"/>
      </w:r>
      <w:bookmarkEnd w:id="61"/>
      <w:r w:rsidR="00CC71EA">
        <w:t xml:space="preserve"> </w:t>
      </w:r>
      <w:bookmarkEnd w:id="60"/>
      <w:r w:rsidRPr="00EF619E">
        <w:t>and Media Making Change.</w:t>
      </w:r>
      <w:r w:rsidRPr="00EF619E">
        <w:rPr>
          <w:rStyle w:val="EndnoteReference"/>
          <w:szCs w:val="22"/>
        </w:rPr>
        <w:endnoteReference w:id="116"/>
      </w:r>
      <w:r w:rsidRPr="00EF619E">
        <w:t xml:space="preserve"> While only a quarter of respondents to the survey had developed tools, resources or guides, a majority reported providing a range of advice and support functions to other organisations and individuals to</w:t>
      </w:r>
      <w:r w:rsidR="00473135">
        <w:t> </w:t>
      </w:r>
      <w:r w:rsidRPr="00EF619E">
        <w:t>support effective, coordinated primary prevention practice, as outlined in Domain 3.</w:t>
      </w:r>
    </w:p>
    <w:p w14:paraId="005F211B" w14:textId="142611BD" w:rsidR="002C2EC7" w:rsidRPr="00FB7F22" w:rsidRDefault="002C2EC7" w:rsidP="00790783">
      <w:pPr>
        <w:pStyle w:val="Heading3"/>
        <w:rPr>
          <w:rStyle w:val="OWCharacterCharcoal"/>
        </w:rPr>
      </w:pPr>
      <w:bookmarkStart w:id="62" w:name="_Toc41559737"/>
      <w:bookmarkStart w:id="63" w:name="_Toc55053308"/>
      <w:r w:rsidRPr="00FB7F22">
        <w:rPr>
          <w:rStyle w:val="OWCharacterCharcoal"/>
        </w:rPr>
        <w:lastRenderedPageBreak/>
        <w:t>Domain 5: Monitoring, reporting and evaluation</w:t>
      </w:r>
      <w:r w:rsidR="005F7F67" w:rsidRPr="00FB7F22">
        <w:rPr>
          <w:rStyle w:val="OWCharacterCharcoal"/>
        </w:rPr>
        <w:t> </w:t>
      </w:r>
      <w:r w:rsidRPr="00FB7F22">
        <w:rPr>
          <w:rStyle w:val="OWCharacterCharcoal"/>
        </w:rPr>
        <w:t>frameworks</w:t>
      </w:r>
      <w:bookmarkEnd w:id="62"/>
      <w:bookmarkEnd w:id="63"/>
    </w:p>
    <w:p w14:paraId="5C85B0BE" w14:textId="1E0C320C" w:rsidR="002C2EC7" w:rsidRDefault="002C2EC7" w:rsidP="00790783">
      <w:pPr>
        <w:pStyle w:val="BodyText"/>
      </w:pPr>
      <w:r w:rsidRPr="0071774C">
        <w:t>Building,</w:t>
      </w:r>
      <w:r>
        <w:t xml:space="preserve"> </w:t>
      </w:r>
      <w:r w:rsidRPr="0071774C">
        <w:t>consolidating</w:t>
      </w:r>
      <w:r>
        <w:t xml:space="preserve"> </w:t>
      </w:r>
      <w:r w:rsidRPr="0071774C">
        <w:t>and</w:t>
      </w:r>
      <w:r>
        <w:t xml:space="preserve"> </w:t>
      </w:r>
      <w:r w:rsidRPr="0071774C">
        <w:t>further</w:t>
      </w:r>
      <w:r>
        <w:t xml:space="preserve"> </w:t>
      </w:r>
      <w:r w:rsidRPr="0071774C">
        <w:t>developing</w:t>
      </w:r>
      <w:r>
        <w:t xml:space="preserve"> </w:t>
      </w:r>
      <w:r w:rsidRPr="0071774C">
        <w:t>the</w:t>
      </w:r>
      <w:r>
        <w:t xml:space="preserve"> </w:t>
      </w:r>
      <w:r w:rsidRPr="0071774C">
        <w:t>primary</w:t>
      </w:r>
      <w:r>
        <w:t xml:space="preserve"> </w:t>
      </w:r>
      <w:r w:rsidRPr="0071774C">
        <w:t>prevention</w:t>
      </w:r>
      <w:r>
        <w:t xml:space="preserve"> </w:t>
      </w:r>
      <w:r w:rsidRPr="0071774C">
        <w:t>evidence</w:t>
      </w:r>
      <w:r>
        <w:t xml:space="preserve"> </w:t>
      </w:r>
      <w:r w:rsidRPr="0071774C">
        <w:t>base</w:t>
      </w:r>
      <w:r>
        <w:t xml:space="preserve"> </w:t>
      </w:r>
      <w:r w:rsidRPr="0071774C">
        <w:t>has</w:t>
      </w:r>
      <w:r w:rsidR="00C11BA2">
        <w:t> </w:t>
      </w:r>
      <w:r w:rsidRPr="0071774C">
        <w:t>been</w:t>
      </w:r>
      <w:r>
        <w:t xml:space="preserve"> </w:t>
      </w:r>
      <w:r w:rsidRPr="0071774C">
        <w:t>recognised</w:t>
      </w:r>
      <w:r>
        <w:t xml:space="preserve"> </w:t>
      </w:r>
      <w:r w:rsidRPr="0071774C">
        <w:t>as</w:t>
      </w:r>
      <w:r>
        <w:t xml:space="preserve"> </w:t>
      </w:r>
      <w:r w:rsidRPr="0071774C">
        <w:t>critical</w:t>
      </w:r>
      <w:r>
        <w:t xml:space="preserve"> </w:t>
      </w:r>
      <w:r w:rsidRPr="0071774C">
        <w:t>to</w:t>
      </w:r>
      <w:r>
        <w:t xml:space="preserve"> </w:t>
      </w:r>
      <w:r w:rsidRPr="0071774C">
        <w:t>the</w:t>
      </w:r>
      <w:r>
        <w:t xml:space="preserve"> </w:t>
      </w:r>
      <w:r w:rsidRPr="0071774C">
        <w:t>effective</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in</w:t>
      </w:r>
      <w:r w:rsidR="00C11BA2">
        <w:t> </w:t>
      </w:r>
      <w:r w:rsidRPr="0071774C">
        <w:t>Australia.</w:t>
      </w:r>
      <w:r>
        <w:t xml:space="preserve"> </w:t>
      </w:r>
      <w:r w:rsidRPr="0071774C">
        <w:t>As</w:t>
      </w:r>
      <w:r>
        <w:t xml:space="preserve"> </w:t>
      </w:r>
      <w:r w:rsidRPr="0071774C">
        <w:t>stated</w:t>
      </w:r>
      <w:r>
        <w:t xml:space="preserve"> </w:t>
      </w:r>
      <w:r w:rsidRPr="0071774C">
        <w:t>in</w:t>
      </w:r>
      <w:r>
        <w:t xml:space="preserve"> </w:t>
      </w:r>
      <w:r w:rsidRPr="00ED4674">
        <w:rPr>
          <w:rStyle w:val="Emphasis"/>
        </w:rPr>
        <w:t>Change the story</w:t>
      </w:r>
      <w:r>
        <w:t>:</w:t>
      </w:r>
      <w:r w:rsidRPr="005068F2">
        <w:rPr>
          <w:rStyle w:val="EndnoteReference"/>
          <w:szCs w:val="22"/>
        </w:rPr>
        <w:endnoteReference w:id="117"/>
      </w:r>
    </w:p>
    <w:p w14:paraId="0FDA621D" w14:textId="77777777" w:rsidR="002C2EC7" w:rsidRDefault="002C2EC7" w:rsidP="00790783">
      <w:pPr>
        <w:pStyle w:val="Quote"/>
      </w:pPr>
      <w:r>
        <w:t>‘</w:t>
      </w:r>
      <w:r w:rsidRPr="007C552E">
        <w:t>A</w:t>
      </w:r>
      <w:r>
        <w:t xml:space="preserve"> </w:t>
      </w:r>
      <w:r w:rsidRPr="007C552E">
        <w:t>national</w:t>
      </w:r>
      <w:r>
        <w:t xml:space="preserve"> </w:t>
      </w:r>
      <w:r w:rsidRPr="007C552E">
        <w:t>approach</w:t>
      </w:r>
      <w:r>
        <w:t xml:space="preserve"> </w:t>
      </w:r>
      <w:r w:rsidRPr="007C552E">
        <w:t>to</w:t>
      </w:r>
      <w:r>
        <w:t xml:space="preserve"> </w:t>
      </w:r>
      <w:r w:rsidRPr="007C552E">
        <w:t>prevention</w:t>
      </w:r>
      <w:r>
        <w:t xml:space="preserve"> </w:t>
      </w:r>
      <w:r w:rsidRPr="007C552E">
        <w:t>requires</w:t>
      </w:r>
      <w:r>
        <w:t xml:space="preserve"> </w:t>
      </w:r>
      <w:r w:rsidRPr="007C552E">
        <w:t>a</w:t>
      </w:r>
      <w:r>
        <w:t xml:space="preserve"> </w:t>
      </w:r>
      <w:r w:rsidRPr="007C552E">
        <w:t>comprehensive,</w:t>
      </w:r>
      <w:r>
        <w:t xml:space="preserve"> </w:t>
      </w:r>
      <w:r w:rsidRPr="007C552E">
        <w:t>coordinated</w:t>
      </w:r>
      <w:r>
        <w:t xml:space="preserve"> </w:t>
      </w:r>
      <w:r w:rsidRPr="007C552E">
        <w:t>system</w:t>
      </w:r>
      <w:r>
        <w:t xml:space="preserve"> </w:t>
      </w:r>
      <w:r w:rsidRPr="007C552E">
        <w:t>for</w:t>
      </w:r>
      <w:r>
        <w:t xml:space="preserve"> </w:t>
      </w:r>
      <w:r w:rsidRPr="007C552E">
        <w:t>monitoring,</w:t>
      </w:r>
      <w:r>
        <w:t xml:space="preserve"> </w:t>
      </w:r>
      <w:r w:rsidRPr="007C552E">
        <w:t>accountability,</w:t>
      </w:r>
      <w:r>
        <w:t xml:space="preserve"> </w:t>
      </w:r>
      <w:r w:rsidRPr="007C552E">
        <w:t>reporting</w:t>
      </w:r>
      <w:r>
        <w:t xml:space="preserve"> </w:t>
      </w:r>
      <w:r w:rsidRPr="007C552E">
        <w:t>and</w:t>
      </w:r>
      <w:r>
        <w:t xml:space="preserve"> </w:t>
      </w:r>
      <w:r w:rsidRPr="007C552E">
        <w:t>evaluatio</w:t>
      </w:r>
      <w:r w:rsidRPr="00ED4674">
        <w:t>n.</w:t>
      </w:r>
      <w:r>
        <w:t>’</w:t>
      </w:r>
      <w:r w:rsidRPr="0071774C">
        <w:rPr>
          <w:rStyle w:val="EndnoteReference"/>
        </w:rPr>
        <w:endnoteReference w:id="118"/>
      </w:r>
    </w:p>
    <w:p w14:paraId="47F2A26A" w14:textId="77777777" w:rsidR="002C2EC7" w:rsidRDefault="002C2EC7" w:rsidP="00790783">
      <w:pPr>
        <w:pStyle w:val="BodyText"/>
      </w:pPr>
      <w:r w:rsidRPr="0071774C">
        <w:t>Principles</w:t>
      </w:r>
      <w:r>
        <w:t xml:space="preserve"> </w:t>
      </w:r>
      <w:r w:rsidRPr="0071774C">
        <w:t>to</w:t>
      </w:r>
      <w:r>
        <w:t xml:space="preserve"> </w:t>
      </w:r>
      <w:r w:rsidRPr="0071774C">
        <w:t>guide</w:t>
      </w:r>
      <w:r>
        <w:t xml:space="preserve"> </w:t>
      </w:r>
      <w:r w:rsidRPr="0071774C">
        <w:t>the</w:t>
      </w:r>
      <w:r>
        <w:t xml:space="preserve"> </w:t>
      </w:r>
      <w:r w:rsidRPr="0071774C">
        <w:t>development</w:t>
      </w:r>
      <w:r>
        <w:t xml:space="preserve"> </w:t>
      </w:r>
      <w:r w:rsidRPr="0071774C">
        <w:t>of</w:t>
      </w:r>
      <w:r>
        <w:t xml:space="preserve"> </w:t>
      </w:r>
      <w:r w:rsidRPr="0071774C">
        <w:t>effective</w:t>
      </w:r>
      <w:r>
        <w:t xml:space="preserve"> </w:t>
      </w:r>
      <w:r w:rsidRPr="0071774C">
        <w:t>prevention</w:t>
      </w:r>
      <w:r>
        <w:t xml:space="preserve"> </w:t>
      </w:r>
      <w:r w:rsidRPr="0071774C">
        <w:t>infrastructure</w:t>
      </w:r>
      <w:r>
        <w:t xml:space="preserve"> </w:t>
      </w:r>
      <w:r w:rsidRPr="0071774C">
        <w:t>include:</w:t>
      </w:r>
    </w:p>
    <w:p w14:paraId="424D98F8" w14:textId="77777777" w:rsidR="002C2EC7" w:rsidRDefault="002C2EC7" w:rsidP="00790783">
      <w:pPr>
        <w:pStyle w:val="OWBullet1"/>
      </w:pPr>
      <w:r>
        <w:t>C</w:t>
      </w:r>
      <w:r w:rsidRPr="0071774C">
        <w:t>omprehensive</w:t>
      </w:r>
      <w:r>
        <w:t xml:space="preserve"> </w:t>
      </w:r>
      <w:r w:rsidRPr="0071774C">
        <w:t>and</w:t>
      </w:r>
      <w:r>
        <w:t xml:space="preserve"> </w:t>
      </w:r>
      <w:r w:rsidRPr="0071774C">
        <w:t>coordinated</w:t>
      </w:r>
      <w:r>
        <w:t xml:space="preserve"> </w:t>
      </w:r>
      <w:r w:rsidRPr="0071774C">
        <w:t>systems</w:t>
      </w:r>
      <w:r>
        <w:t xml:space="preserve"> </w:t>
      </w:r>
      <w:r w:rsidRPr="0071774C">
        <w:t>exist</w:t>
      </w:r>
      <w:r>
        <w:t xml:space="preserve"> </w:t>
      </w:r>
      <w:r w:rsidRPr="0071774C">
        <w:t>for</w:t>
      </w:r>
      <w:r>
        <w:t xml:space="preserve"> </w:t>
      </w:r>
      <w:r w:rsidRPr="0071774C">
        <w:t>data</w:t>
      </w:r>
      <w:r>
        <w:t xml:space="preserve"> </w:t>
      </w:r>
      <w:r w:rsidRPr="0071774C">
        <w:t>collection</w:t>
      </w:r>
      <w:r>
        <w:t xml:space="preserve"> </w:t>
      </w:r>
      <w:r w:rsidRPr="0071774C">
        <w:t>and</w:t>
      </w:r>
      <w:r>
        <w:t xml:space="preserve"> </w:t>
      </w:r>
      <w:r w:rsidRPr="0071774C">
        <w:t>analysis,</w:t>
      </w:r>
      <w:r>
        <w:t xml:space="preserve"> </w:t>
      </w:r>
      <w:r w:rsidRPr="0071774C">
        <w:t>monitoring,</w:t>
      </w:r>
      <w:r>
        <w:t xml:space="preserve"> </w:t>
      </w:r>
      <w:r w:rsidRPr="0071774C">
        <w:t>accountability,</w:t>
      </w:r>
      <w:r>
        <w:t xml:space="preserve"> </w:t>
      </w:r>
      <w:r w:rsidRPr="0071774C">
        <w:t>reporting</w:t>
      </w:r>
      <w:r>
        <w:t xml:space="preserve"> </w:t>
      </w:r>
      <w:r w:rsidRPr="0071774C">
        <w:t>and</w:t>
      </w:r>
      <w:r>
        <w:t xml:space="preserve"> </w:t>
      </w:r>
      <w:r w:rsidRPr="0071774C">
        <w:t>evaluation</w:t>
      </w:r>
      <w:r>
        <w:t xml:space="preserve"> </w:t>
      </w:r>
      <w:r w:rsidRPr="0071774C">
        <w:t>at</w:t>
      </w:r>
      <w:r>
        <w:t xml:space="preserve"> </w:t>
      </w:r>
      <w:r w:rsidRPr="0071774C">
        <w:t>all</w:t>
      </w:r>
      <w:r>
        <w:t xml:space="preserve"> </w:t>
      </w:r>
      <w:r w:rsidRPr="0071774C">
        <w:t>levels.</w:t>
      </w:r>
    </w:p>
    <w:p w14:paraId="35F2417A" w14:textId="77777777" w:rsidR="002C2EC7" w:rsidRDefault="002C2EC7" w:rsidP="00790783">
      <w:pPr>
        <w:pStyle w:val="OWBullet1"/>
      </w:pPr>
      <w:r>
        <w:t>A</w:t>
      </w:r>
      <w:r w:rsidRPr="0071774C">
        <w:t>ll</w:t>
      </w:r>
      <w:r>
        <w:t xml:space="preserve"> </w:t>
      </w:r>
      <w:r w:rsidRPr="0071774C">
        <w:t>partners</w:t>
      </w:r>
      <w:r>
        <w:t xml:space="preserve"> </w:t>
      </w:r>
      <w:r w:rsidRPr="0071774C">
        <w:t>implementing</w:t>
      </w:r>
      <w:r>
        <w:t xml:space="preserve"> </w:t>
      </w:r>
      <w:r w:rsidRPr="0071774C">
        <w:t>prevention</w:t>
      </w:r>
      <w:r>
        <w:t xml:space="preserve"> </w:t>
      </w:r>
      <w:r w:rsidRPr="0071774C">
        <w:t>activity</w:t>
      </w:r>
      <w:r>
        <w:t xml:space="preserve"> </w:t>
      </w:r>
      <w:r w:rsidRPr="0071774C">
        <w:t>(governments,</w:t>
      </w:r>
      <w:r>
        <w:t xml:space="preserve"> </w:t>
      </w:r>
      <w:r w:rsidRPr="0071774C">
        <w:t>civil</w:t>
      </w:r>
      <w:r>
        <w:t xml:space="preserve"> </w:t>
      </w:r>
      <w:r w:rsidRPr="0071774C">
        <w:t>society,</w:t>
      </w:r>
      <w:r>
        <w:t xml:space="preserve"> </w:t>
      </w:r>
      <w:r w:rsidRPr="0071774C">
        <w:t>public</w:t>
      </w:r>
      <w:r>
        <w:t xml:space="preserve"> </w:t>
      </w:r>
      <w:r w:rsidRPr="0071774C">
        <w:t>and</w:t>
      </w:r>
      <w:r>
        <w:t xml:space="preserve"> </w:t>
      </w:r>
      <w:r w:rsidRPr="0071774C">
        <w:t>private</w:t>
      </w:r>
      <w:r>
        <w:t xml:space="preserve"> </w:t>
      </w:r>
      <w:r w:rsidRPr="0071774C">
        <w:t>sector</w:t>
      </w:r>
      <w:r>
        <w:t xml:space="preserve"> </w:t>
      </w:r>
      <w:r w:rsidRPr="0071774C">
        <w:t>institutions</w:t>
      </w:r>
      <w:r>
        <w:t xml:space="preserve"> </w:t>
      </w:r>
      <w:r w:rsidRPr="0071774C">
        <w:t>and</w:t>
      </w:r>
      <w:r>
        <w:t xml:space="preserve"> </w:t>
      </w:r>
      <w:r w:rsidRPr="0071774C">
        <w:t>organisations)</w:t>
      </w:r>
      <w:r>
        <w:t xml:space="preserve"> </w:t>
      </w:r>
      <w:r w:rsidRPr="0071774C">
        <w:t>report</w:t>
      </w:r>
      <w:r>
        <w:t xml:space="preserve"> </w:t>
      </w:r>
      <w:r w:rsidRPr="0071774C">
        <w:t>on</w:t>
      </w:r>
      <w:r>
        <w:t xml:space="preserve"> </w:t>
      </w:r>
      <w:r w:rsidRPr="0071774C">
        <w:t>progress,</w:t>
      </w:r>
      <w:r>
        <w:t xml:space="preserve"> </w:t>
      </w:r>
      <w:r w:rsidRPr="0071774C">
        <w:t>and</w:t>
      </w:r>
      <w:r>
        <w:t xml:space="preserve"> </w:t>
      </w:r>
      <w:r w:rsidRPr="0071774C">
        <w:t>evaluate</w:t>
      </w:r>
      <w:r>
        <w:t xml:space="preserve"> </w:t>
      </w:r>
      <w:r w:rsidRPr="0071774C">
        <w:t>their</w:t>
      </w:r>
      <w:r>
        <w:t xml:space="preserve"> </w:t>
      </w:r>
      <w:r w:rsidRPr="0071774C">
        <w:t>efforts</w:t>
      </w:r>
      <w:r>
        <w:t xml:space="preserve"> </w:t>
      </w:r>
      <w:r w:rsidRPr="0071774C">
        <w:t>against</w:t>
      </w:r>
      <w:r>
        <w:t xml:space="preserve"> </w:t>
      </w:r>
      <w:r w:rsidRPr="0071774C">
        <w:t>shared</w:t>
      </w:r>
      <w:r>
        <w:t xml:space="preserve"> </w:t>
      </w:r>
      <w:r w:rsidRPr="0071774C">
        <w:t>short</w:t>
      </w:r>
      <w:r>
        <w:t>-</w:t>
      </w:r>
      <w:r w:rsidRPr="0071774C">
        <w:t>,</w:t>
      </w:r>
      <w:r>
        <w:t xml:space="preserve"> </w:t>
      </w:r>
      <w:r w:rsidRPr="0071774C">
        <w:t>mid</w:t>
      </w:r>
      <w:r>
        <w:t xml:space="preserve">- </w:t>
      </w:r>
      <w:r w:rsidRPr="0071774C">
        <w:t>and</w:t>
      </w:r>
      <w:r>
        <w:t xml:space="preserve"> </w:t>
      </w:r>
      <w:r w:rsidRPr="0071774C">
        <w:t>long-term</w:t>
      </w:r>
      <w:r>
        <w:t xml:space="preserve"> </w:t>
      </w:r>
      <w:r w:rsidRPr="0071774C">
        <w:t>objectives.</w:t>
      </w:r>
    </w:p>
    <w:p w14:paraId="29C6C7ED" w14:textId="77777777" w:rsidR="002C2EC7" w:rsidRDefault="002C2EC7" w:rsidP="00790783">
      <w:pPr>
        <w:pStyle w:val="OWBullet1"/>
      </w:pPr>
      <w:r>
        <w:t>M</w:t>
      </w:r>
      <w:r w:rsidRPr="0071774C">
        <w:t>easures</w:t>
      </w:r>
      <w:r>
        <w:t xml:space="preserve"> </w:t>
      </w:r>
      <w:r w:rsidRPr="0071774C">
        <w:t>and</w:t>
      </w:r>
      <w:r>
        <w:t xml:space="preserve"> </w:t>
      </w:r>
      <w:r w:rsidRPr="0071774C">
        <w:t>targets</w:t>
      </w:r>
      <w:r>
        <w:t xml:space="preserve"> </w:t>
      </w:r>
      <w:r w:rsidRPr="0071774C">
        <w:t>are</w:t>
      </w:r>
      <w:r>
        <w:t xml:space="preserve"> </w:t>
      </w:r>
      <w:r w:rsidRPr="0071774C">
        <w:t>developed</w:t>
      </w:r>
      <w:r>
        <w:t xml:space="preserve"> </w:t>
      </w:r>
      <w:r w:rsidRPr="0071774C">
        <w:t>using</w:t>
      </w:r>
      <w:r>
        <w:t xml:space="preserve"> </w:t>
      </w:r>
      <w:r w:rsidRPr="0071774C">
        <w:t>an</w:t>
      </w:r>
      <w:r>
        <w:t xml:space="preserve"> </w:t>
      </w:r>
      <w:r w:rsidRPr="0071774C">
        <w:t>intersectional</w:t>
      </w:r>
      <w:r>
        <w:t xml:space="preserve"> </w:t>
      </w:r>
      <w:r w:rsidRPr="0071774C">
        <w:t>approach</w:t>
      </w:r>
      <w:r>
        <w:t xml:space="preserve"> </w:t>
      </w:r>
      <w:r w:rsidRPr="0071774C">
        <w:t>and</w:t>
      </w:r>
      <w:r>
        <w:t xml:space="preserve"> </w:t>
      </w:r>
      <w:r w:rsidRPr="0071774C">
        <w:t>reflect</w:t>
      </w:r>
      <w:r>
        <w:t xml:space="preserve"> </w:t>
      </w:r>
      <w:r w:rsidRPr="0071774C">
        <w:t>those</w:t>
      </w:r>
      <w:r>
        <w:t xml:space="preserve"> </w:t>
      </w:r>
      <w:r w:rsidRPr="0071774C">
        <w:t>outlined</w:t>
      </w:r>
      <w:r>
        <w:t xml:space="preserve"> </w:t>
      </w:r>
      <w:r w:rsidRPr="0071774C">
        <w:t>in</w:t>
      </w:r>
      <w:r>
        <w:t xml:space="preserve"> </w:t>
      </w:r>
      <w:r w:rsidRPr="00ED4674">
        <w:rPr>
          <w:rStyle w:val="Emphasis"/>
        </w:rPr>
        <w:t xml:space="preserve">Counting on change </w:t>
      </w:r>
      <w:r w:rsidRPr="0071774C">
        <w:t>where</w:t>
      </w:r>
      <w:r>
        <w:t xml:space="preserve"> </w:t>
      </w:r>
      <w:r w:rsidRPr="0071774C">
        <w:t>appropriate.</w:t>
      </w:r>
      <w:r>
        <w:t xml:space="preserve"> </w:t>
      </w:r>
      <w:r w:rsidRPr="0071774C">
        <w:t>Additional</w:t>
      </w:r>
      <w:r>
        <w:t xml:space="preserve"> </w:t>
      </w:r>
      <w:r w:rsidRPr="0071774C">
        <w:t>measures</w:t>
      </w:r>
      <w:r>
        <w:t xml:space="preserve"> </w:t>
      </w:r>
      <w:r w:rsidRPr="0071774C">
        <w:t>and</w:t>
      </w:r>
      <w:r>
        <w:t xml:space="preserve"> </w:t>
      </w:r>
      <w:r w:rsidRPr="0071774C">
        <w:t>targets</w:t>
      </w:r>
      <w:r>
        <w:t xml:space="preserve"> </w:t>
      </w:r>
      <w:r w:rsidRPr="0071774C">
        <w:t>reflect</w:t>
      </w:r>
      <w:r>
        <w:t xml:space="preserve"> </w:t>
      </w:r>
      <w:r w:rsidRPr="0071774C">
        <w:t>the</w:t>
      </w:r>
      <w:r>
        <w:t xml:space="preserve"> </w:t>
      </w:r>
      <w:r w:rsidRPr="0071774C">
        <w:t>specific</w:t>
      </w:r>
      <w:r>
        <w:t xml:space="preserve"> </w:t>
      </w:r>
      <w:r w:rsidRPr="0071774C">
        <w:t>context</w:t>
      </w:r>
      <w:r>
        <w:t xml:space="preserve"> </w:t>
      </w:r>
      <w:r w:rsidRPr="0071774C">
        <w:t>and</w:t>
      </w:r>
      <w:r>
        <w:t xml:space="preserve"> </w:t>
      </w:r>
      <w:r w:rsidRPr="0071774C">
        <w:t>objectives</w:t>
      </w:r>
      <w:r>
        <w:t xml:space="preserve"> </w:t>
      </w:r>
      <w:r w:rsidRPr="0071774C">
        <w:t>of</w:t>
      </w:r>
      <w:r>
        <w:t xml:space="preserve"> </w:t>
      </w:r>
      <w:r w:rsidRPr="0071774C">
        <w:t>the</w:t>
      </w:r>
      <w:r>
        <w:t xml:space="preserve"> </w:t>
      </w:r>
      <w:r w:rsidRPr="0071774C">
        <w:t>activity/policy</w:t>
      </w:r>
      <w:r>
        <w:t xml:space="preserve"> </w:t>
      </w:r>
      <w:r w:rsidRPr="0071774C">
        <w:t>in</w:t>
      </w:r>
      <w:r>
        <w:t xml:space="preserve"> </w:t>
      </w:r>
      <w:r w:rsidRPr="0071774C">
        <w:t>question.</w:t>
      </w:r>
    </w:p>
    <w:p w14:paraId="49F0AA6F" w14:textId="4683AB97" w:rsidR="002C2EC7" w:rsidRDefault="002C2EC7" w:rsidP="00790783">
      <w:pPr>
        <w:pStyle w:val="OWBodytextafterlist"/>
      </w:pPr>
      <w:r w:rsidRPr="0071774C">
        <w:t>The</w:t>
      </w:r>
      <w:r>
        <w:t xml:space="preserve"> </w:t>
      </w:r>
      <w:r w:rsidRPr="00BD3CF6">
        <w:t>National</w:t>
      </w:r>
      <w:r>
        <w:t xml:space="preserve"> </w:t>
      </w:r>
      <w:r w:rsidRPr="00BD3CF6">
        <w:t>Plan</w:t>
      </w:r>
      <w:r w:rsidRPr="0071774C">
        <w:rPr>
          <w:rStyle w:val="EndnoteReference"/>
          <w:szCs w:val="22"/>
        </w:rPr>
        <w:endnoteReference w:id="119"/>
      </w:r>
      <w:r>
        <w:t xml:space="preserve"> </w:t>
      </w:r>
      <w:r w:rsidRPr="0071774C">
        <w:t>also</w:t>
      </w:r>
      <w:r>
        <w:t xml:space="preserve"> </w:t>
      </w:r>
      <w:r w:rsidRPr="0071774C">
        <w:t>identifies</w:t>
      </w:r>
      <w:r>
        <w:t xml:space="preserve"> </w:t>
      </w:r>
      <w:r w:rsidRPr="0071774C">
        <w:t>evidence</w:t>
      </w:r>
      <w:r>
        <w:t xml:space="preserve"> </w:t>
      </w:r>
      <w:r w:rsidRPr="0071774C">
        <w:t>building</w:t>
      </w:r>
      <w:r>
        <w:t xml:space="preserve"> </w:t>
      </w:r>
      <w:r w:rsidRPr="0071774C">
        <w:t>as</w:t>
      </w:r>
      <w:r>
        <w:t xml:space="preserve"> </w:t>
      </w:r>
      <w:r w:rsidRPr="0071774C">
        <w:t>a</w:t>
      </w:r>
      <w:r>
        <w:t xml:space="preserve"> </w:t>
      </w:r>
      <w:r w:rsidRPr="0071774C">
        <w:t>key</w:t>
      </w:r>
      <w:r>
        <w:t xml:space="preserve"> </w:t>
      </w:r>
      <w:r w:rsidRPr="0071774C">
        <w:t>focus,</w:t>
      </w:r>
      <w:r>
        <w:t xml:space="preserve"> </w:t>
      </w:r>
      <w:r w:rsidRPr="0071774C">
        <w:t>stating</w:t>
      </w:r>
      <w:r>
        <w:t xml:space="preserve"> </w:t>
      </w:r>
      <w:r w:rsidRPr="0071774C">
        <w:t>that</w:t>
      </w:r>
      <w:r>
        <w:t xml:space="preserve"> ‘</w:t>
      </w:r>
      <w:r w:rsidRPr="0071774C">
        <w:t>(a)ll</w:t>
      </w:r>
      <w:r>
        <w:t xml:space="preserve"> </w:t>
      </w:r>
      <w:r w:rsidRPr="0071774C">
        <w:t>governments</w:t>
      </w:r>
      <w:r>
        <w:t xml:space="preserve"> </w:t>
      </w:r>
      <w:r w:rsidRPr="0071774C">
        <w:t>recognise</w:t>
      </w:r>
      <w:r>
        <w:t xml:space="preserve"> </w:t>
      </w:r>
      <w:r w:rsidRPr="0071774C">
        <w:t>that</w:t>
      </w:r>
      <w:r>
        <w:t xml:space="preserve"> </w:t>
      </w:r>
      <w:r w:rsidRPr="0071774C">
        <w:t>outcomes</w:t>
      </w:r>
      <w:r>
        <w:t xml:space="preserve"> </w:t>
      </w:r>
      <w:r w:rsidRPr="0071774C">
        <w:t>for</w:t>
      </w:r>
      <w:r>
        <w:t xml:space="preserve"> </w:t>
      </w:r>
      <w:r w:rsidRPr="0071774C">
        <w:t>women</w:t>
      </w:r>
      <w:r>
        <w:t xml:space="preserve"> </w:t>
      </w:r>
      <w:r w:rsidRPr="0071774C">
        <w:t>and</w:t>
      </w:r>
      <w:r>
        <w:t xml:space="preserve"> </w:t>
      </w:r>
      <w:r w:rsidRPr="0071774C">
        <w:t>their</w:t>
      </w:r>
      <w:r>
        <w:t xml:space="preserve"> </w:t>
      </w:r>
      <w:r w:rsidRPr="0071774C">
        <w:t>children</w:t>
      </w:r>
      <w:r>
        <w:t xml:space="preserve"> </w:t>
      </w:r>
      <w:r w:rsidRPr="0071774C">
        <w:t>could</w:t>
      </w:r>
      <w:r>
        <w:t xml:space="preserve"> </w:t>
      </w:r>
      <w:r w:rsidRPr="0071774C">
        <w:t>be</w:t>
      </w:r>
      <w:r>
        <w:t xml:space="preserve"> </w:t>
      </w:r>
      <w:r w:rsidRPr="0071774C">
        <w:t>improved</w:t>
      </w:r>
      <w:r>
        <w:t xml:space="preserve"> </w:t>
      </w:r>
      <w:r w:rsidRPr="0071774C">
        <w:t>by</w:t>
      </w:r>
      <w:r>
        <w:t xml:space="preserve"> </w:t>
      </w:r>
      <w:r w:rsidRPr="0071774C">
        <w:t>governments</w:t>
      </w:r>
      <w:r>
        <w:t xml:space="preserve"> </w:t>
      </w:r>
      <w:r w:rsidRPr="0071774C">
        <w:t>working</w:t>
      </w:r>
      <w:r>
        <w:t xml:space="preserve"> </w:t>
      </w:r>
      <w:r w:rsidRPr="0071774C">
        <w:t>more</w:t>
      </w:r>
      <w:r>
        <w:t xml:space="preserve"> </w:t>
      </w:r>
      <w:r w:rsidRPr="0071774C">
        <w:t>collaboratively</w:t>
      </w:r>
      <w:r>
        <w:t xml:space="preserve"> </w:t>
      </w:r>
      <w:r w:rsidRPr="0071774C">
        <w:t>through</w:t>
      </w:r>
      <w:r>
        <w:t xml:space="preserve"> </w:t>
      </w:r>
      <w:r w:rsidRPr="0071774C">
        <w:t>building</w:t>
      </w:r>
      <w:r>
        <w:t xml:space="preserve"> </w:t>
      </w:r>
      <w:r w:rsidRPr="0071774C">
        <w:t>the</w:t>
      </w:r>
      <w:r>
        <w:t xml:space="preserve"> </w:t>
      </w:r>
      <w:r w:rsidRPr="0071774C">
        <w:t>evidence</w:t>
      </w:r>
      <w:r>
        <w:t xml:space="preserve"> </w:t>
      </w:r>
      <w:r w:rsidRPr="0071774C">
        <w:t>base,</w:t>
      </w:r>
      <w:r>
        <w:t xml:space="preserve"> </w:t>
      </w:r>
      <w:r w:rsidRPr="0071774C">
        <w:t>sharing</w:t>
      </w:r>
      <w:r>
        <w:t xml:space="preserve"> </w:t>
      </w:r>
      <w:r w:rsidRPr="0071774C">
        <w:t>information</w:t>
      </w:r>
      <w:r>
        <w:t xml:space="preserve"> </w:t>
      </w:r>
      <w:r w:rsidRPr="0071774C">
        <w:t>and</w:t>
      </w:r>
      <w:r>
        <w:t xml:space="preserve"> </w:t>
      </w:r>
      <w:r w:rsidRPr="0071774C">
        <w:t>tracking</w:t>
      </w:r>
      <w:r>
        <w:t xml:space="preserve"> </w:t>
      </w:r>
      <w:r w:rsidRPr="0071774C">
        <w:t>performance.</w:t>
      </w:r>
      <w:r>
        <w:t xml:space="preserve"> </w:t>
      </w:r>
      <w:r w:rsidRPr="0071774C">
        <w:t>A</w:t>
      </w:r>
      <w:r>
        <w:t xml:space="preserve"> </w:t>
      </w:r>
      <w:r w:rsidRPr="0071774C">
        <w:t>key</w:t>
      </w:r>
      <w:r>
        <w:t xml:space="preserve"> </w:t>
      </w:r>
      <w:r w:rsidRPr="0071774C">
        <w:t>priority</w:t>
      </w:r>
      <w:r>
        <w:t xml:space="preserve"> </w:t>
      </w:r>
      <w:r w:rsidRPr="0071774C">
        <w:t>of</w:t>
      </w:r>
      <w:r>
        <w:t xml:space="preserve"> </w:t>
      </w:r>
      <w:r w:rsidRPr="0071774C">
        <w:t>the</w:t>
      </w:r>
      <w:r>
        <w:t xml:space="preserve"> </w:t>
      </w:r>
      <w:r w:rsidRPr="0071774C">
        <w:t>National</w:t>
      </w:r>
      <w:r>
        <w:t xml:space="preserve"> </w:t>
      </w:r>
      <w:r w:rsidRPr="0071774C">
        <w:t>Plan</w:t>
      </w:r>
      <w:r>
        <w:t xml:space="preserve"> </w:t>
      </w:r>
      <w:r w:rsidRPr="0071774C">
        <w:t>is</w:t>
      </w:r>
      <w:r>
        <w:t xml:space="preserve"> </w:t>
      </w:r>
      <w:r w:rsidRPr="0071774C">
        <w:t>to</w:t>
      </w:r>
      <w:r>
        <w:t xml:space="preserve"> </w:t>
      </w:r>
      <w:r w:rsidRPr="0071774C">
        <w:t>build</w:t>
      </w:r>
      <w:r>
        <w:t xml:space="preserve"> </w:t>
      </w:r>
      <w:r w:rsidRPr="0071774C">
        <w:t>a</w:t>
      </w:r>
      <w:r>
        <w:t xml:space="preserve"> </w:t>
      </w:r>
      <w:r w:rsidRPr="0071774C">
        <w:t>strong</w:t>
      </w:r>
      <w:r>
        <w:t xml:space="preserve"> </w:t>
      </w:r>
      <w:r w:rsidRPr="0071774C">
        <w:t>and</w:t>
      </w:r>
      <w:r>
        <w:t xml:space="preserve"> </w:t>
      </w:r>
      <w:r w:rsidRPr="0071774C">
        <w:t>lasting</w:t>
      </w:r>
      <w:r>
        <w:t xml:space="preserve"> </w:t>
      </w:r>
      <w:r w:rsidRPr="0071774C">
        <w:t>evidence</w:t>
      </w:r>
      <w:r>
        <w:t xml:space="preserve"> </w:t>
      </w:r>
      <w:r w:rsidRPr="0071774C">
        <w:t>base</w:t>
      </w:r>
      <w:r>
        <w:t>.’</w:t>
      </w:r>
      <w:r w:rsidRPr="0071774C">
        <w:rPr>
          <w:rStyle w:val="EndnoteReference"/>
          <w:szCs w:val="22"/>
        </w:rPr>
        <w:endnoteReference w:id="120"/>
      </w:r>
    </w:p>
    <w:p w14:paraId="30C74E46" w14:textId="76717C85" w:rsidR="002C2EC7" w:rsidRDefault="002C2EC7" w:rsidP="00790783">
      <w:pPr>
        <w:pStyle w:val="BodyText"/>
      </w:pPr>
      <w:r w:rsidRPr="0071774C">
        <w:t>Three</w:t>
      </w:r>
      <w:r>
        <w:t xml:space="preserve"> </w:t>
      </w:r>
      <w:r w:rsidRPr="0071774C">
        <w:t>critical</w:t>
      </w:r>
      <w:r>
        <w:t xml:space="preserve"> </w:t>
      </w:r>
      <w:r w:rsidRPr="0071774C">
        <w:t>priorities</w:t>
      </w:r>
      <w:r>
        <w:t xml:space="preserve"> </w:t>
      </w:r>
      <w:r w:rsidRPr="0071774C">
        <w:t>for</w:t>
      </w:r>
      <w:r>
        <w:t xml:space="preserve"> </w:t>
      </w:r>
      <w:r w:rsidRPr="0071774C">
        <w:t>evidence</w:t>
      </w:r>
      <w:r>
        <w:t xml:space="preserve"> </w:t>
      </w:r>
      <w:r w:rsidRPr="0071774C">
        <w:t>building</w:t>
      </w:r>
      <w:r>
        <w:t xml:space="preserve"> </w:t>
      </w:r>
      <w:r w:rsidRPr="0071774C">
        <w:t>have</w:t>
      </w:r>
      <w:r>
        <w:t xml:space="preserve"> </w:t>
      </w:r>
      <w:r w:rsidRPr="0071774C">
        <w:t>emerged</w:t>
      </w:r>
      <w:r>
        <w:t xml:space="preserve"> </w:t>
      </w:r>
      <w:r w:rsidRPr="0071774C">
        <w:t>from</w:t>
      </w:r>
      <w:r>
        <w:t xml:space="preserve"> </w:t>
      </w:r>
      <w:r w:rsidRPr="0071774C">
        <w:t>overarching</w:t>
      </w:r>
      <w:r>
        <w:t xml:space="preserve"> </w:t>
      </w:r>
      <w:r w:rsidRPr="0071774C">
        <w:t>primary</w:t>
      </w:r>
      <w:r>
        <w:t xml:space="preserve"> </w:t>
      </w:r>
      <w:r w:rsidRPr="0071774C">
        <w:t>prevention</w:t>
      </w:r>
      <w:r>
        <w:t xml:space="preserve"> </w:t>
      </w:r>
      <w:r w:rsidRPr="0071774C">
        <w:t>frameworks</w:t>
      </w:r>
      <w:r>
        <w:t xml:space="preserve"> </w:t>
      </w:r>
      <w:r w:rsidRPr="0071774C">
        <w:t>and</w:t>
      </w:r>
      <w:r>
        <w:t xml:space="preserve"> </w:t>
      </w:r>
      <w:r w:rsidRPr="0071774C">
        <w:t>plans</w:t>
      </w:r>
      <w:r>
        <w:t xml:space="preserve"> </w:t>
      </w:r>
      <w:r w:rsidRPr="0071774C">
        <w:t>such</w:t>
      </w:r>
      <w:r>
        <w:t xml:space="preserve"> </w:t>
      </w:r>
      <w:r w:rsidRPr="0071774C">
        <w:t>as</w:t>
      </w:r>
      <w:r>
        <w:t xml:space="preserve"> </w:t>
      </w:r>
      <w:r w:rsidRPr="00ED4674">
        <w:rPr>
          <w:rStyle w:val="Emphasis"/>
        </w:rPr>
        <w:t xml:space="preserve">Change the story </w:t>
      </w:r>
      <w:r w:rsidRPr="0071774C">
        <w:t>and</w:t>
      </w:r>
      <w:r>
        <w:t xml:space="preserve"> </w:t>
      </w:r>
      <w:r w:rsidRPr="0071774C">
        <w:t>the</w:t>
      </w:r>
      <w:r>
        <w:t xml:space="preserve"> </w:t>
      </w:r>
      <w:r w:rsidRPr="00957FFA">
        <w:t>National Plan:</w:t>
      </w:r>
    </w:p>
    <w:p w14:paraId="6912A71F" w14:textId="77777777" w:rsidR="002C2EC7" w:rsidRPr="0071774C" w:rsidRDefault="002C2EC7" w:rsidP="0063349D">
      <w:pPr>
        <w:pStyle w:val="OWNumberdigit"/>
        <w:numPr>
          <w:ilvl w:val="0"/>
          <w:numId w:val="53"/>
        </w:numPr>
      </w:pPr>
      <w:r>
        <w:t>i</w:t>
      </w:r>
      <w:r w:rsidRPr="0071774C">
        <w:t>nvestment</w:t>
      </w:r>
      <w:r>
        <w:t xml:space="preserve"> </w:t>
      </w:r>
      <w:r w:rsidRPr="0071774C">
        <w:t>in</w:t>
      </w:r>
      <w:r>
        <w:t xml:space="preserve"> </w:t>
      </w:r>
      <w:r w:rsidRPr="0071774C">
        <w:t>monitoring,</w:t>
      </w:r>
      <w:r>
        <w:t xml:space="preserve"> </w:t>
      </w:r>
      <w:r w:rsidRPr="0071774C">
        <w:t>evaluation,</w:t>
      </w:r>
      <w:r>
        <w:t xml:space="preserve"> </w:t>
      </w:r>
      <w:r w:rsidRPr="0071774C">
        <w:t>learning</w:t>
      </w:r>
      <w:r>
        <w:t xml:space="preserve"> </w:t>
      </w:r>
      <w:r w:rsidRPr="0071774C">
        <w:t>and</w:t>
      </w:r>
      <w:r>
        <w:t xml:space="preserve"> </w:t>
      </w:r>
      <w:r w:rsidRPr="0071774C">
        <w:t>reporting,</w:t>
      </w:r>
      <w:r>
        <w:t xml:space="preserve"> </w:t>
      </w:r>
      <w:r w:rsidRPr="0071774C">
        <w:t>including</w:t>
      </w:r>
      <w:r>
        <w:t xml:space="preserve"> </w:t>
      </w:r>
      <w:r w:rsidRPr="0071774C">
        <w:t>shared</w:t>
      </w:r>
      <w:r>
        <w:t xml:space="preserve"> </w:t>
      </w:r>
      <w:r w:rsidRPr="0071774C">
        <w:t>frameworks,</w:t>
      </w:r>
      <w:r>
        <w:t xml:space="preserve"> </w:t>
      </w:r>
      <w:r w:rsidRPr="0071774C">
        <w:t>in</w:t>
      </w:r>
      <w:r>
        <w:t xml:space="preserve"> </w:t>
      </w:r>
      <w:r w:rsidRPr="0071774C">
        <w:t>order</w:t>
      </w:r>
      <w:r>
        <w:t xml:space="preserve"> </w:t>
      </w:r>
      <w:r w:rsidRPr="0071774C">
        <w:t>to</w:t>
      </w:r>
      <w:r>
        <w:t xml:space="preserve"> </w:t>
      </w:r>
      <w:r w:rsidRPr="0071774C">
        <w:t>understand,</w:t>
      </w:r>
      <w:r>
        <w:t xml:space="preserve"> </w:t>
      </w:r>
      <w:r w:rsidRPr="0071774C">
        <w:t>learn</w:t>
      </w:r>
      <w:r>
        <w:t xml:space="preserve"> </w:t>
      </w:r>
      <w:r w:rsidRPr="0071774C">
        <w:t>from</w:t>
      </w:r>
      <w:r>
        <w:t xml:space="preserve"> </w:t>
      </w:r>
      <w:r w:rsidRPr="0071774C">
        <w:t>and</w:t>
      </w:r>
      <w:r>
        <w:t xml:space="preserve"> </w:t>
      </w:r>
      <w:r w:rsidRPr="0071774C">
        <w:t>account</w:t>
      </w:r>
      <w:r>
        <w:t xml:space="preserve"> </w:t>
      </w:r>
      <w:r w:rsidRPr="0071774C">
        <w:t>for</w:t>
      </w:r>
      <w:r>
        <w:t xml:space="preserve"> </w:t>
      </w:r>
      <w:r w:rsidRPr="0071774C">
        <w:t>our</w:t>
      </w:r>
      <w:r>
        <w:t xml:space="preserve"> </w:t>
      </w:r>
      <w:r w:rsidRPr="0071774C">
        <w:t>progress,</w:t>
      </w:r>
      <w:r>
        <w:t xml:space="preserve"> </w:t>
      </w:r>
      <w:r w:rsidRPr="0071774C">
        <w:t>effectiveness,</w:t>
      </w:r>
      <w:r>
        <w:t xml:space="preserve"> </w:t>
      </w:r>
      <w:r w:rsidRPr="0071774C">
        <w:t>learning</w:t>
      </w:r>
      <w:r>
        <w:t xml:space="preserve"> </w:t>
      </w:r>
      <w:r w:rsidRPr="0071774C">
        <w:t>and</w:t>
      </w:r>
      <w:r>
        <w:t xml:space="preserve"> </w:t>
      </w:r>
      <w:r w:rsidRPr="0071774C">
        <w:t>strategies</w:t>
      </w:r>
    </w:p>
    <w:p w14:paraId="0BA24C59" w14:textId="4FED2B56" w:rsidR="002C2EC7" w:rsidRDefault="002C2EC7" w:rsidP="00790783">
      <w:pPr>
        <w:pStyle w:val="OWNumberdigit"/>
      </w:pPr>
      <w:r>
        <w:t>e</w:t>
      </w:r>
      <w:r w:rsidRPr="0071774C">
        <w:t>thical</w:t>
      </w:r>
      <w:r>
        <w:t xml:space="preserve"> </w:t>
      </w:r>
      <w:r w:rsidRPr="0071774C">
        <w:t>and</w:t>
      </w:r>
      <w:r>
        <w:t xml:space="preserve"> </w:t>
      </w:r>
      <w:r w:rsidRPr="0071774C">
        <w:t>strategic</w:t>
      </w:r>
      <w:r>
        <w:t xml:space="preserve"> </w:t>
      </w:r>
      <w:r w:rsidRPr="0071774C">
        <w:t>research,</w:t>
      </w:r>
      <w:r>
        <w:t xml:space="preserve"> </w:t>
      </w:r>
      <w:r w:rsidRPr="0071774C">
        <w:t>data</w:t>
      </w:r>
      <w:r>
        <w:t xml:space="preserve"> </w:t>
      </w:r>
      <w:r w:rsidRPr="0071774C">
        <w:t>collection</w:t>
      </w:r>
      <w:r>
        <w:t xml:space="preserve"> </w:t>
      </w:r>
      <w:r w:rsidRPr="0071774C">
        <w:t>and</w:t>
      </w:r>
      <w:r>
        <w:t xml:space="preserve"> </w:t>
      </w:r>
      <w:r w:rsidRPr="0071774C">
        <w:t>data</w:t>
      </w:r>
      <w:r>
        <w:t xml:space="preserve"> </w:t>
      </w:r>
      <w:r w:rsidRPr="0071774C">
        <w:t>analysis</w:t>
      </w:r>
      <w:r>
        <w:t xml:space="preserve"> </w:t>
      </w:r>
      <w:r w:rsidRPr="0071774C">
        <w:t>into</w:t>
      </w:r>
      <w:r>
        <w:t xml:space="preserve"> </w:t>
      </w:r>
      <w:r w:rsidRPr="0071774C">
        <w:t>emerging</w:t>
      </w:r>
      <w:r>
        <w:t xml:space="preserve"> </w:t>
      </w:r>
      <w:r w:rsidRPr="0071774C">
        <w:t>issues,</w:t>
      </w:r>
      <w:r>
        <w:t xml:space="preserve"> </w:t>
      </w:r>
      <w:r w:rsidRPr="0071774C">
        <w:t>critical</w:t>
      </w:r>
      <w:r>
        <w:t xml:space="preserve"> </w:t>
      </w:r>
      <w:r w:rsidRPr="0071774C">
        <w:t>knowledge</w:t>
      </w:r>
      <w:r>
        <w:t xml:space="preserve"> </w:t>
      </w:r>
      <w:r w:rsidRPr="0071774C">
        <w:t>gaps</w:t>
      </w:r>
      <w:r>
        <w:t xml:space="preserve"> </w:t>
      </w:r>
      <w:r w:rsidRPr="0071774C">
        <w:t>and</w:t>
      </w:r>
      <w:r>
        <w:t xml:space="preserve"> </w:t>
      </w:r>
      <w:r w:rsidRPr="0071774C">
        <w:t>population-level</w:t>
      </w:r>
      <w:r>
        <w:t xml:space="preserve"> </w:t>
      </w:r>
      <w:r w:rsidRPr="0071774C">
        <w:t>or</w:t>
      </w:r>
      <w:r>
        <w:t xml:space="preserve"> </w:t>
      </w:r>
      <w:r w:rsidRPr="0071774C">
        <w:t>cohort</w:t>
      </w:r>
      <w:r>
        <w:t xml:space="preserve"> </w:t>
      </w:r>
      <w:r w:rsidRPr="0071774C">
        <w:t>trends</w:t>
      </w:r>
      <w:r>
        <w:t xml:space="preserve"> </w:t>
      </w:r>
      <w:r w:rsidRPr="0071774C">
        <w:t>to</w:t>
      </w:r>
      <w:r>
        <w:t xml:space="preserve"> </w:t>
      </w:r>
      <w:r w:rsidRPr="0071774C">
        <w:t>further</w:t>
      </w:r>
      <w:r>
        <w:t xml:space="preserve"> </w:t>
      </w:r>
      <w:r w:rsidRPr="0071774C">
        <w:t>our</w:t>
      </w:r>
      <w:r>
        <w:t xml:space="preserve"> </w:t>
      </w:r>
      <w:r w:rsidRPr="0071774C">
        <w:t>understanding</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the</w:t>
      </w:r>
      <w:r>
        <w:t xml:space="preserve"> </w:t>
      </w:r>
      <w:r w:rsidRPr="0071774C">
        <w:t>drivers,</w:t>
      </w:r>
      <w:r>
        <w:t xml:space="preserve"> </w:t>
      </w:r>
      <w:r w:rsidRPr="0071774C">
        <w:t>and</w:t>
      </w:r>
      <w:r>
        <w:t xml:space="preserve"> </w:t>
      </w:r>
      <w:r w:rsidRPr="0071774C">
        <w:t>how</w:t>
      </w:r>
      <w:r>
        <w:t xml:space="preserve"> </w:t>
      </w:r>
      <w:r w:rsidRPr="0071774C">
        <w:t>and</w:t>
      </w:r>
      <w:r>
        <w:t xml:space="preserve"> </w:t>
      </w:r>
      <w:r w:rsidRPr="0071774C">
        <w:t>why</w:t>
      </w:r>
      <w:r>
        <w:t xml:space="preserve"> </w:t>
      </w:r>
      <w:r w:rsidRPr="0071774C">
        <w:t>social</w:t>
      </w:r>
      <w:r>
        <w:t xml:space="preserve"> </w:t>
      </w:r>
      <w:r w:rsidRPr="0071774C">
        <w:t>change</w:t>
      </w:r>
      <w:r>
        <w:t xml:space="preserve"> </w:t>
      </w:r>
      <w:r w:rsidRPr="0071774C">
        <w:t>is</w:t>
      </w:r>
      <w:r w:rsidR="00C11BA2">
        <w:t> </w:t>
      </w:r>
      <w:r w:rsidRPr="0071774C">
        <w:t>occurring</w:t>
      </w:r>
      <w:r>
        <w:t xml:space="preserve">, </w:t>
      </w:r>
      <w:r w:rsidRPr="0071774C">
        <w:t>and</w:t>
      </w:r>
    </w:p>
    <w:p w14:paraId="6C579E03" w14:textId="77777777" w:rsidR="002C2EC7" w:rsidRDefault="002C2EC7" w:rsidP="00790783">
      <w:pPr>
        <w:pStyle w:val="OWNumberdigit"/>
      </w:pPr>
      <w:r>
        <w:t>d</w:t>
      </w:r>
      <w:r w:rsidRPr="0071774C">
        <w:t>evelopment</w:t>
      </w:r>
      <w:r>
        <w:t xml:space="preserve"> </w:t>
      </w:r>
      <w:r w:rsidRPr="0071774C">
        <w:t>of</w:t>
      </w:r>
      <w:r>
        <w:t xml:space="preserve"> </w:t>
      </w:r>
      <w:r w:rsidRPr="0071774C">
        <w:t>appropriate</w:t>
      </w:r>
      <w:r>
        <w:t xml:space="preserve"> </w:t>
      </w:r>
      <w:r w:rsidRPr="0071774C">
        <w:t>infrastructure</w:t>
      </w:r>
      <w:r>
        <w:t xml:space="preserve"> </w:t>
      </w:r>
      <w:r w:rsidRPr="0071774C">
        <w:t>to</w:t>
      </w:r>
      <w:r>
        <w:t xml:space="preserve"> </w:t>
      </w:r>
      <w:r w:rsidRPr="0071774C">
        <w:t>support</w:t>
      </w:r>
      <w:r>
        <w:t xml:space="preserve"> </w:t>
      </w:r>
      <w:r w:rsidRPr="0071774C">
        <w:t>evidence</w:t>
      </w:r>
      <w:r>
        <w:t xml:space="preserve"> </w:t>
      </w:r>
      <w:r w:rsidRPr="0071774C">
        <w:t>building</w:t>
      </w:r>
      <w:r>
        <w:t xml:space="preserve"> </w:t>
      </w:r>
      <w:r w:rsidRPr="0071774C">
        <w:t>and</w:t>
      </w:r>
      <w:r>
        <w:t xml:space="preserve"> </w:t>
      </w:r>
      <w:r w:rsidRPr="0071774C">
        <w:t>evidence</w:t>
      </w:r>
      <w:r>
        <w:t xml:space="preserve"> </w:t>
      </w:r>
      <w:r w:rsidRPr="0071774C">
        <w:t>use</w:t>
      </w:r>
      <w:r>
        <w:t xml:space="preserve"> </w:t>
      </w:r>
      <w:r w:rsidRPr="0071774C">
        <w:t>for</w:t>
      </w:r>
      <w:r>
        <w:t xml:space="preserve"> </w:t>
      </w:r>
      <w:r w:rsidRPr="0071774C">
        <w:t>the</w:t>
      </w:r>
      <w:r>
        <w:t xml:space="preserve"> </w:t>
      </w:r>
      <w:r w:rsidRPr="0071774C">
        <w:t>prevention</w:t>
      </w:r>
      <w:r>
        <w:t xml:space="preserve"> </w:t>
      </w:r>
      <w:r w:rsidRPr="0071774C">
        <w:t>of</w:t>
      </w:r>
      <w:r>
        <w:t xml:space="preserve"> </w:t>
      </w:r>
      <w:r w:rsidRPr="0071774C">
        <w:t>violence</w:t>
      </w:r>
      <w:r>
        <w:t xml:space="preserve"> against </w:t>
      </w:r>
      <w:r w:rsidRPr="0071774C">
        <w:t>women.</w:t>
      </w:r>
    </w:p>
    <w:p w14:paraId="7855D551" w14:textId="565AFA29" w:rsidR="002C2EC7" w:rsidRDefault="002C2EC7" w:rsidP="00790783">
      <w:pPr>
        <w:pStyle w:val="OWBodytextafterlist"/>
      </w:pPr>
      <w:r w:rsidRPr="0071774C">
        <w:t>In</w:t>
      </w:r>
      <w:r>
        <w:t xml:space="preserve"> </w:t>
      </w:r>
      <w:r w:rsidRPr="0071774C">
        <w:t>order</w:t>
      </w:r>
      <w:r>
        <w:t xml:space="preserve"> </w:t>
      </w:r>
      <w:r w:rsidRPr="0071774C">
        <w:t>to</w:t>
      </w:r>
      <w:r>
        <w:t xml:space="preserve"> </w:t>
      </w:r>
      <w:r w:rsidRPr="0071774C">
        <w:t>get</w:t>
      </w:r>
      <w:r>
        <w:t xml:space="preserve"> </w:t>
      </w:r>
      <w:r w:rsidRPr="0071774C">
        <w:t>a</w:t>
      </w:r>
      <w:r>
        <w:t xml:space="preserve"> </w:t>
      </w:r>
      <w:r w:rsidRPr="0071774C">
        <w:t>sense</w:t>
      </w:r>
      <w:r>
        <w:t xml:space="preserve"> </w:t>
      </w:r>
      <w:r w:rsidRPr="0071774C">
        <w:t>of</w:t>
      </w:r>
      <w:r>
        <w:t xml:space="preserve"> </w:t>
      </w:r>
      <w:r w:rsidRPr="0071774C">
        <w:t>how</w:t>
      </w:r>
      <w:r>
        <w:t xml:space="preserve"> </w:t>
      </w:r>
      <w:r w:rsidRPr="0071774C">
        <w:t>Australia</w:t>
      </w:r>
      <w:r>
        <w:t xml:space="preserve"> </w:t>
      </w:r>
      <w:r w:rsidRPr="0071774C">
        <w:t>is</w:t>
      </w:r>
      <w:r>
        <w:t xml:space="preserve"> </w:t>
      </w:r>
      <w:r w:rsidRPr="0071774C">
        <w:t>tracking</w:t>
      </w:r>
      <w:r>
        <w:t xml:space="preserve"> </w:t>
      </w:r>
      <w:r w:rsidRPr="0071774C">
        <w:t>in</w:t>
      </w:r>
      <w:r>
        <w:t xml:space="preserve"> </w:t>
      </w:r>
      <w:r w:rsidRPr="0071774C">
        <w:t>building</w:t>
      </w:r>
      <w:r>
        <w:t xml:space="preserve"> </w:t>
      </w:r>
      <w:r w:rsidRPr="0071774C">
        <w:t>an</w:t>
      </w:r>
      <w:r>
        <w:t xml:space="preserve"> </w:t>
      </w:r>
      <w:r w:rsidRPr="0071774C">
        <w:t>evidence</w:t>
      </w:r>
      <w:r>
        <w:t xml:space="preserve"> </w:t>
      </w:r>
      <w:r w:rsidRPr="0071774C">
        <w:t>base</w:t>
      </w:r>
      <w:r>
        <w:t xml:space="preserve"> </w:t>
      </w:r>
      <w:r w:rsidRPr="0071774C">
        <w:t>and</w:t>
      </w:r>
      <w:r>
        <w:t xml:space="preserve"> </w:t>
      </w:r>
      <w:r w:rsidRPr="0071774C">
        <w:t>monitoring</w:t>
      </w:r>
      <w:r>
        <w:t xml:space="preserve"> </w:t>
      </w:r>
      <w:r w:rsidRPr="0071774C">
        <w:t>and</w:t>
      </w:r>
      <w:r>
        <w:t xml:space="preserve"> </w:t>
      </w:r>
      <w:r w:rsidRPr="0071774C">
        <w:t>evaluating</w:t>
      </w:r>
      <w:r>
        <w:t xml:space="preserve"> </w:t>
      </w:r>
      <w:r w:rsidRPr="0071774C">
        <w:t>change</w:t>
      </w:r>
      <w:r>
        <w:t xml:space="preserve"> </w:t>
      </w:r>
      <w:r w:rsidRPr="0071774C">
        <w:t>in</w:t>
      </w:r>
      <w:r>
        <w:t xml:space="preserve"> </w:t>
      </w:r>
      <w:r w:rsidRPr="0071774C">
        <w:t>primary</w:t>
      </w:r>
      <w:r>
        <w:t xml:space="preserve"> </w:t>
      </w:r>
      <w:r w:rsidRPr="0071774C">
        <w:t>prevention,</w:t>
      </w:r>
      <w:r>
        <w:t xml:space="preserve"> </w:t>
      </w:r>
      <w:r w:rsidRPr="0071774C">
        <w:t>this</w:t>
      </w:r>
      <w:r>
        <w:t xml:space="preserve"> </w:t>
      </w:r>
      <w:r w:rsidRPr="0071774C">
        <w:t>domain</w:t>
      </w:r>
      <w:r>
        <w:t xml:space="preserve"> </w:t>
      </w:r>
      <w:r w:rsidRPr="0071774C">
        <w:t>explores</w:t>
      </w:r>
      <w:r>
        <w:t xml:space="preserve"> </w:t>
      </w:r>
      <w:r w:rsidRPr="0071774C">
        <w:t>whether</w:t>
      </w:r>
      <w:r>
        <w:t xml:space="preserve"> </w:t>
      </w:r>
      <w:r w:rsidRPr="0071774C">
        <w:t>there</w:t>
      </w:r>
      <w:r>
        <w:t xml:space="preserve"> </w:t>
      </w:r>
      <w:r w:rsidRPr="0071774C">
        <w:t>are</w:t>
      </w:r>
      <w:r>
        <w:t xml:space="preserve"> </w:t>
      </w:r>
      <w:r w:rsidRPr="0071774C">
        <w:t>any</w:t>
      </w:r>
      <w:r>
        <w:t xml:space="preserve"> </w:t>
      </w:r>
      <w:r w:rsidRPr="0071774C">
        <w:t>discernible</w:t>
      </w:r>
      <w:r>
        <w:t xml:space="preserve"> </w:t>
      </w:r>
      <w:r w:rsidRPr="0071774C">
        <w:t>trends</w:t>
      </w:r>
      <w:r>
        <w:t xml:space="preserve"> </w:t>
      </w:r>
      <w:r w:rsidRPr="0071774C">
        <w:t>in</w:t>
      </w:r>
      <w:r>
        <w:t xml:space="preserve"> </w:t>
      </w:r>
      <w:r w:rsidRPr="0071774C">
        <w:t>the</w:t>
      </w:r>
      <w:r>
        <w:t xml:space="preserve"> </w:t>
      </w:r>
      <w:r w:rsidRPr="0071774C">
        <w:t>building</w:t>
      </w:r>
      <w:r>
        <w:t xml:space="preserve"> </w:t>
      </w:r>
      <w:r w:rsidRPr="0071774C">
        <w:t>and</w:t>
      </w:r>
      <w:r>
        <w:t xml:space="preserve"> </w:t>
      </w:r>
      <w:r w:rsidRPr="0071774C">
        <w:t>use</w:t>
      </w:r>
      <w:r>
        <w:t xml:space="preserve"> </w:t>
      </w:r>
      <w:r w:rsidRPr="0071774C">
        <w:t>of</w:t>
      </w:r>
      <w:r>
        <w:t xml:space="preserve"> </w:t>
      </w:r>
      <w:r w:rsidRPr="0071774C">
        <w:t>the</w:t>
      </w:r>
      <w:r>
        <w:t xml:space="preserve"> </w:t>
      </w:r>
      <w:r w:rsidRPr="0071774C">
        <w:t>primary</w:t>
      </w:r>
      <w:r>
        <w:t xml:space="preserve"> </w:t>
      </w:r>
      <w:r w:rsidRPr="0071774C">
        <w:t>prevention</w:t>
      </w:r>
      <w:r>
        <w:t xml:space="preserve"> </w:t>
      </w:r>
      <w:r w:rsidRPr="0071774C">
        <w:t>evidence</w:t>
      </w:r>
      <w:r>
        <w:t xml:space="preserve"> </w:t>
      </w:r>
      <w:r w:rsidRPr="0071774C">
        <w:t>base</w:t>
      </w:r>
      <w:r>
        <w:t xml:space="preserve"> </w:t>
      </w:r>
      <w:r w:rsidRPr="0071774C">
        <w:t>in</w:t>
      </w:r>
      <w:r>
        <w:t xml:space="preserve"> </w:t>
      </w:r>
      <w:r w:rsidRPr="0071774C">
        <w:t>the</w:t>
      </w:r>
      <w:r>
        <w:t xml:space="preserve"> </w:t>
      </w:r>
      <w:r w:rsidRPr="0071774C">
        <w:t>last</w:t>
      </w:r>
      <w:r>
        <w:t xml:space="preserve"> </w:t>
      </w:r>
      <w:r w:rsidRPr="0071774C">
        <w:t>ten</w:t>
      </w:r>
      <w:r>
        <w:t xml:space="preserve"> </w:t>
      </w:r>
      <w:r w:rsidRPr="0071774C">
        <w:t>years.</w:t>
      </w:r>
    </w:p>
    <w:p w14:paraId="0FE58AED" w14:textId="77777777" w:rsidR="002C2EC7" w:rsidRPr="00FB7F22" w:rsidRDefault="002C2EC7" w:rsidP="00790783">
      <w:pPr>
        <w:pStyle w:val="Heading4"/>
        <w:rPr>
          <w:rStyle w:val="OWCharacterCharcoal"/>
        </w:rPr>
      </w:pPr>
      <w:bookmarkStart w:id="64" w:name="_Toc41559738"/>
      <w:r w:rsidRPr="00FB7F22">
        <w:rPr>
          <w:rStyle w:val="OWCharacterCharcoal"/>
        </w:rPr>
        <w:t>Monitoring, reporting and evaluation frameworks: summary of findings</w:t>
      </w:r>
      <w:bookmarkEnd w:id="64"/>
    </w:p>
    <w:p w14:paraId="740F5B5E" w14:textId="77777777" w:rsidR="002C2EC7" w:rsidRDefault="002C2EC7" w:rsidP="00790783">
      <w:pPr>
        <w:pStyle w:val="BodyText"/>
      </w:pPr>
      <w:r w:rsidRPr="0071774C">
        <w:t>There</w:t>
      </w:r>
      <w:r>
        <w:t xml:space="preserve"> </w:t>
      </w:r>
      <w:r w:rsidRPr="0071774C">
        <w:t>has</w:t>
      </w:r>
      <w:r>
        <w:t xml:space="preserve"> </w:t>
      </w:r>
      <w:r w:rsidRPr="0071774C">
        <w:t>been</w:t>
      </w:r>
      <w:r>
        <w:t xml:space="preserve"> </w:t>
      </w:r>
      <w:r w:rsidRPr="0071774C">
        <w:t>important</w:t>
      </w:r>
      <w:r>
        <w:t xml:space="preserve"> </w:t>
      </w:r>
      <w:r w:rsidRPr="0071774C">
        <w:t>investment</w:t>
      </w:r>
      <w:r>
        <w:t xml:space="preserve"> </w:t>
      </w:r>
      <w:r w:rsidRPr="0071774C">
        <w:t>in</w:t>
      </w:r>
      <w:r>
        <w:t xml:space="preserve"> </w:t>
      </w:r>
      <w:r w:rsidRPr="0071774C">
        <w:t>the</w:t>
      </w:r>
      <w:r>
        <w:t xml:space="preserve"> </w:t>
      </w:r>
      <w:r w:rsidRPr="0071774C">
        <w:t>development</w:t>
      </w:r>
      <w:r>
        <w:t xml:space="preserve"> </w:t>
      </w:r>
      <w:r w:rsidRPr="0071774C">
        <w:t>of</w:t>
      </w:r>
      <w:r>
        <w:t xml:space="preserve"> </w:t>
      </w:r>
      <w:r w:rsidRPr="0071774C">
        <w:t>a</w:t>
      </w:r>
      <w:r>
        <w:t xml:space="preserve"> </w:t>
      </w:r>
      <w:r w:rsidRPr="0071774C">
        <w:t>national</w:t>
      </w:r>
      <w:r>
        <w:t xml:space="preserve"> </w:t>
      </w:r>
      <w:r w:rsidRPr="0071774C">
        <w:t>guide</w:t>
      </w:r>
      <w:r>
        <w:t xml:space="preserve"> </w:t>
      </w:r>
      <w:r w:rsidRPr="0071774C">
        <w:t>to</w:t>
      </w:r>
      <w:r>
        <w:t xml:space="preserve"> </w:t>
      </w:r>
      <w:r w:rsidRPr="0071774C">
        <w:t>monitoring,</w:t>
      </w:r>
      <w:r>
        <w:t xml:space="preserve"> </w:t>
      </w:r>
      <w:r w:rsidRPr="00ED4674">
        <w:rPr>
          <w:rStyle w:val="Emphasis"/>
        </w:rPr>
        <w:t>Counting on change</w:t>
      </w:r>
      <w:r>
        <w:t xml:space="preserve">, </w:t>
      </w:r>
      <w:r w:rsidRPr="0071774C">
        <w:t>a</w:t>
      </w:r>
      <w:r>
        <w:t xml:space="preserve"> </w:t>
      </w:r>
      <w:r w:rsidRPr="0071774C">
        <w:t>national</w:t>
      </w:r>
      <w:r>
        <w:t xml:space="preserve"> </w:t>
      </w:r>
      <w:r w:rsidRPr="0071774C">
        <w:t>research</w:t>
      </w:r>
      <w:r>
        <w:t xml:space="preserve"> </w:t>
      </w:r>
      <w:r w:rsidRPr="0071774C">
        <w:t>agenda</w:t>
      </w:r>
      <w:r>
        <w:t xml:space="preserve"> </w:t>
      </w:r>
      <w:r w:rsidRPr="0071774C">
        <w:t>(ANROWS),</w:t>
      </w:r>
      <w:r>
        <w:t xml:space="preserve"> </w:t>
      </w:r>
      <w:r w:rsidRPr="0071774C">
        <w:t>and</w:t>
      </w:r>
      <w:r>
        <w:t xml:space="preserve"> </w:t>
      </w:r>
      <w:r w:rsidRPr="0071774C">
        <w:t>the</w:t>
      </w:r>
      <w:r>
        <w:t xml:space="preserve"> </w:t>
      </w:r>
      <w:r w:rsidRPr="0071774C">
        <w:t>development</w:t>
      </w:r>
      <w:r>
        <w:t xml:space="preserve"> </w:t>
      </w:r>
      <w:r w:rsidRPr="0071774C">
        <w:t>of</w:t>
      </w:r>
      <w:r>
        <w:t xml:space="preserve"> </w:t>
      </w:r>
      <w:r w:rsidRPr="0071774C">
        <w:t>data</w:t>
      </w:r>
      <w:r>
        <w:t xml:space="preserve"> </w:t>
      </w:r>
      <w:r w:rsidRPr="0071774C">
        <w:t>platforms</w:t>
      </w:r>
      <w:r>
        <w:t xml:space="preserve"> </w:t>
      </w:r>
      <w:r w:rsidRPr="0071774C">
        <w:t>and</w:t>
      </w:r>
      <w:r>
        <w:t xml:space="preserve"> </w:t>
      </w:r>
      <w:r w:rsidRPr="0071774C">
        <w:t>tools</w:t>
      </w:r>
      <w:r>
        <w:t xml:space="preserve"> </w:t>
      </w:r>
      <w:r w:rsidRPr="0071774C">
        <w:t>(such</w:t>
      </w:r>
      <w:r>
        <w:t xml:space="preserve"> </w:t>
      </w:r>
      <w:r w:rsidRPr="0071774C">
        <w:t>as</w:t>
      </w:r>
      <w:r>
        <w:t xml:space="preserve"> </w:t>
      </w:r>
      <w:r w:rsidRPr="0071774C">
        <w:t>the</w:t>
      </w:r>
      <w:r>
        <w:t xml:space="preserve"> </w:t>
      </w:r>
      <w:r w:rsidRPr="0071774C">
        <w:t>ABS</w:t>
      </w:r>
      <w:r>
        <w:t xml:space="preserve"> </w:t>
      </w:r>
      <w:r w:rsidRPr="0071774C">
        <w:t>Gender</w:t>
      </w:r>
      <w:r>
        <w:t xml:space="preserve"> </w:t>
      </w:r>
      <w:r w:rsidRPr="0071774C">
        <w:t>Indicators.).</w:t>
      </w:r>
      <w:r>
        <w:t xml:space="preserve"> </w:t>
      </w:r>
      <w:r w:rsidRPr="0071774C">
        <w:t>There</w:t>
      </w:r>
      <w:r>
        <w:t xml:space="preserve"> </w:t>
      </w:r>
      <w:r w:rsidRPr="0071774C">
        <w:t>is</w:t>
      </w:r>
      <w:r>
        <w:t xml:space="preserve"> </w:t>
      </w:r>
      <w:r w:rsidRPr="0071774C">
        <w:t>also</w:t>
      </w:r>
      <w:r>
        <w:t xml:space="preserve"> </w:t>
      </w:r>
      <w:r w:rsidRPr="0071774C">
        <w:t>evidence</w:t>
      </w:r>
      <w:r>
        <w:t xml:space="preserve"> </w:t>
      </w:r>
      <w:r w:rsidRPr="0071774C">
        <w:t>of</w:t>
      </w:r>
      <w:r>
        <w:t xml:space="preserve"> </w:t>
      </w:r>
      <w:r w:rsidRPr="0071774C">
        <w:lastRenderedPageBreak/>
        <w:t>commitment</w:t>
      </w:r>
      <w:r>
        <w:t xml:space="preserve"> </w:t>
      </w:r>
      <w:r w:rsidRPr="0071774C">
        <w:t>to</w:t>
      </w:r>
      <w:r>
        <w:t xml:space="preserve"> </w:t>
      </w:r>
      <w:r w:rsidRPr="0071774C">
        <w:t>national</w:t>
      </w:r>
      <w:r>
        <w:t xml:space="preserve"> </w:t>
      </w:r>
      <w:r w:rsidRPr="0071774C">
        <w:t>data</w:t>
      </w:r>
      <w:r>
        <w:t xml:space="preserve"> </w:t>
      </w:r>
      <w:r w:rsidRPr="0071774C">
        <w:t>collection,</w:t>
      </w:r>
      <w:r>
        <w:t xml:space="preserve"> </w:t>
      </w:r>
      <w:r w:rsidRPr="0071774C">
        <w:t>management</w:t>
      </w:r>
      <w:r>
        <w:t xml:space="preserve"> </w:t>
      </w:r>
      <w:r w:rsidRPr="0071774C">
        <w:t>and</w:t>
      </w:r>
      <w:r>
        <w:t xml:space="preserve"> </w:t>
      </w:r>
      <w:r w:rsidRPr="0071774C">
        <w:t>dissemination</w:t>
      </w:r>
      <w:r>
        <w:t xml:space="preserve"> </w:t>
      </w:r>
      <w:r w:rsidRPr="0071774C">
        <w:t>strategies,</w:t>
      </w:r>
      <w:r>
        <w:t xml:space="preserve"> </w:t>
      </w:r>
      <w:r w:rsidRPr="0071774C">
        <w:t>with</w:t>
      </w:r>
      <w:r>
        <w:t xml:space="preserve"> </w:t>
      </w:r>
      <w:r w:rsidRPr="0071774C">
        <w:t>clear</w:t>
      </w:r>
      <w:r>
        <w:t xml:space="preserve"> </w:t>
      </w:r>
      <w:r w:rsidRPr="0071774C">
        <w:t>efforts</w:t>
      </w:r>
      <w:r>
        <w:t xml:space="preserve"> </w:t>
      </w:r>
      <w:r w:rsidRPr="0071774C">
        <w:t>being</w:t>
      </w:r>
      <w:r>
        <w:t xml:space="preserve"> </w:t>
      </w:r>
      <w:r w:rsidRPr="0071774C">
        <w:t>made</w:t>
      </w:r>
      <w:r>
        <w:t xml:space="preserve"> </w:t>
      </w:r>
      <w:r w:rsidRPr="0071774C">
        <w:t>to</w:t>
      </w:r>
      <w:r>
        <w:t xml:space="preserve"> </w:t>
      </w:r>
      <w:r w:rsidRPr="0071774C">
        <w:t>continually</w:t>
      </w:r>
      <w:r>
        <w:t xml:space="preserve"> </w:t>
      </w:r>
      <w:r w:rsidRPr="0071774C">
        <w:t>refine</w:t>
      </w:r>
      <w:r>
        <w:t xml:space="preserve"> </w:t>
      </w:r>
      <w:r w:rsidRPr="0071774C">
        <w:t>shared</w:t>
      </w:r>
      <w:r>
        <w:t xml:space="preserve"> </w:t>
      </w:r>
      <w:r w:rsidRPr="0071774C">
        <w:t>datasets</w:t>
      </w:r>
      <w:r>
        <w:t xml:space="preserve"> </w:t>
      </w:r>
      <w:r w:rsidRPr="0071774C">
        <w:t>at</w:t>
      </w:r>
      <w:r>
        <w:t xml:space="preserve"> </w:t>
      </w:r>
      <w:r w:rsidRPr="0071774C">
        <w:t>the</w:t>
      </w:r>
      <w:r>
        <w:t xml:space="preserve"> </w:t>
      </w:r>
      <w:r w:rsidRPr="0071774C">
        <w:t>population</w:t>
      </w:r>
      <w:r>
        <w:t xml:space="preserve"> </w:t>
      </w:r>
      <w:r w:rsidRPr="0071774C">
        <w:t>level.</w:t>
      </w:r>
      <w:r>
        <w:t xml:space="preserve"> </w:t>
      </w:r>
      <w:r w:rsidRPr="0071774C">
        <w:t>However</w:t>
      </w:r>
      <w:r>
        <w:t xml:space="preserve">, </w:t>
      </w:r>
      <w:r w:rsidRPr="0071774C">
        <w:t>this</w:t>
      </w:r>
      <w:r>
        <w:t xml:space="preserve"> </w:t>
      </w:r>
      <w:r w:rsidRPr="0071774C">
        <w:t>work</w:t>
      </w:r>
      <w:r>
        <w:t xml:space="preserve"> </w:t>
      </w:r>
      <w:r w:rsidRPr="0071774C">
        <w:t>could</w:t>
      </w:r>
      <w:r>
        <w:t xml:space="preserve"> </w:t>
      </w:r>
      <w:r w:rsidRPr="0071774C">
        <w:t>be</w:t>
      </w:r>
      <w:r>
        <w:t xml:space="preserve"> </w:t>
      </w:r>
      <w:r w:rsidRPr="0071774C">
        <w:t>further</w:t>
      </w:r>
      <w:r>
        <w:t xml:space="preserve"> </w:t>
      </w:r>
      <w:r w:rsidRPr="0071774C">
        <w:t>supported</w:t>
      </w:r>
      <w:r>
        <w:t xml:space="preserve"> </w:t>
      </w:r>
      <w:r w:rsidRPr="0071774C">
        <w:t>through</w:t>
      </w:r>
      <w:r>
        <w:t xml:space="preserve"> </w:t>
      </w:r>
      <w:r w:rsidRPr="0071774C">
        <w:t>the</w:t>
      </w:r>
      <w:r>
        <w:t xml:space="preserve"> </w:t>
      </w:r>
      <w:r w:rsidRPr="0071774C">
        <w:t>establishment</w:t>
      </w:r>
      <w:r>
        <w:t xml:space="preserve"> </w:t>
      </w:r>
      <w:r w:rsidRPr="0071774C">
        <w:t>of</w:t>
      </w:r>
      <w:r>
        <w:t xml:space="preserve"> </w:t>
      </w:r>
      <w:r w:rsidRPr="0071774C">
        <w:t>a</w:t>
      </w:r>
      <w:r>
        <w:t xml:space="preserve"> </w:t>
      </w:r>
      <w:r w:rsidRPr="0071774C">
        <w:t>coordinating</w:t>
      </w:r>
      <w:r>
        <w:t xml:space="preserve"> </w:t>
      </w:r>
      <w:r w:rsidRPr="0071774C">
        <w:t>body</w:t>
      </w:r>
      <w:r>
        <w:t xml:space="preserve"> </w:t>
      </w:r>
      <w:r w:rsidRPr="0071774C">
        <w:t>or</w:t>
      </w:r>
      <w:r>
        <w:t xml:space="preserve"> </w:t>
      </w:r>
      <w:r w:rsidRPr="0071774C">
        <w:t>mechanism</w:t>
      </w:r>
      <w:r>
        <w:t xml:space="preserve"> </w:t>
      </w:r>
      <w:r w:rsidRPr="0071774C">
        <w:t>for</w:t>
      </w:r>
      <w:r>
        <w:t xml:space="preserve"> </w:t>
      </w:r>
      <w:r w:rsidRPr="0071774C">
        <w:t>measuring</w:t>
      </w:r>
      <w:r>
        <w:t xml:space="preserve"> </w:t>
      </w:r>
      <w:r w:rsidRPr="0071774C">
        <w:t>progress</w:t>
      </w:r>
      <w:r>
        <w:t xml:space="preserve"> </w:t>
      </w:r>
      <w:r w:rsidRPr="0071774C">
        <w:t>at</w:t>
      </w:r>
      <w:r>
        <w:t xml:space="preserve"> </w:t>
      </w:r>
      <w:r w:rsidRPr="0071774C">
        <w:t>the</w:t>
      </w:r>
      <w:r>
        <w:t xml:space="preserve"> </w:t>
      </w:r>
      <w:r w:rsidRPr="0071774C">
        <w:t>national</w:t>
      </w:r>
      <w:r>
        <w:t xml:space="preserve"> </w:t>
      </w:r>
      <w:r w:rsidRPr="0071774C">
        <w:t>level.</w:t>
      </w:r>
      <w:r>
        <w:t xml:space="preserve"> </w:t>
      </w:r>
      <w:r w:rsidRPr="0071774C">
        <w:t>Until</w:t>
      </w:r>
      <w:r>
        <w:t xml:space="preserve"> </w:t>
      </w:r>
      <w:r w:rsidRPr="0071774C">
        <w:t>some</w:t>
      </w:r>
      <w:r>
        <w:t xml:space="preserve"> </w:t>
      </w:r>
      <w:r w:rsidRPr="0071774C">
        <w:t>form</w:t>
      </w:r>
      <w:r>
        <w:t xml:space="preserve"> </w:t>
      </w:r>
      <w:r w:rsidRPr="0071774C">
        <w:t>of</w:t>
      </w:r>
      <w:r>
        <w:t xml:space="preserve"> </w:t>
      </w:r>
      <w:r w:rsidRPr="0071774C">
        <w:t>ongoing</w:t>
      </w:r>
      <w:r>
        <w:t xml:space="preserve"> </w:t>
      </w:r>
      <w:r w:rsidRPr="0071774C">
        <w:t>commitment</w:t>
      </w:r>
      <w:r>
        <w:t xml:space="preserve"> </w:t>
      </w:r>
      <w:r w:rsidRPr="0071774C">
        <w:t>exists</w:t>
      </w:r>
      <w:r>
        <w:t xml:space="preserve"> </w:t>
      </w:r>
      <w:r w:rsidRPr="0071774C">
        <w:t>it</w:t>
      </w:r>
      <w:r>
        <w:t xml:space="preserve"> </w:t>
      </w:r>
      <w:r w:rsidRPr="0071774C">
        <w:t>cannot</w:t>
      </w:r>
      <w:r>
        <w:t xml:space="preserve"> </w:t>
      </w:r>
      <w:r w:rsidRPr="0071774C">
        <w:t>be</w:t>
      </w:r>
      <w:r>
        <w:t xml:space="preserve"> </w:t>
      </w:r>
      <w:r w:rsidRPr="0071774C">
        <w:t>concluded</w:t>
      </w:r>
      <w:r>
        <w:t xml:space="preserve"> </w:t>
      </w:r>
      <w:r w:rsidRPr="0071774C">
        <w:t>that</w:t>
      </w:r>
      <w:r>
        <w:t xml:space="preserve"> </w:t>
      </w:r>
      <w:r w:rsidRPr="0071774C">
        <w:t>there</w:t>
      </w:r>
      <w:r>
        <w:t xml:space="preserve"> </w:t>
      </w:r>
      <w:r w:rsidRPr="0071774C">
        <w:t>is</w:t>
      </w:r>
      <w:r>
        <w:t xml:space="preserve"> </w:t>
      </w:r>
      <w:r w:rsidRPr="0071774C">
        <w:t>a</w:t>
      </w:r>
      <w:r>
        <w:t xml:space="preserve"> </w:t>
      </w:r>
      <w:r w:rsidRPr="0071774C">
        <w:t>shared,</w:t>
      </w:r>
      <w:r>
        <w:t xml:space="preserve"> </w:t>
      </w:r>
      <w:r w:rsidRPr="0071774C">
        <w:t>coordinated</w:t>
      </w:r>
      <w:r>
        <w:t xml:space="preserve"> </w:t>
      </w:r>
      <w:r w:rsidRPr="0071774C">
        <w:t>approach</w:t>
      </w:r>
      <w:r>
        <w:t xml:space="preserve"> </w:t>
      </w:r>
      <w:r w:rsidRPr="0071774C">
        <w:t>to</w:t>
      </w:r>
      <w:r>
        <w:t xml:space="preserve"> </w:t>
      </w:r>
      <w:r w:rsidRPr="0071774C">
        <w:t>data</w:t>
      </w:r>
      <w:r>
        <w:t xml:space="preserve"> </w:t>
      </w:r>
      <w:r w:rsidRPr="0071774C">
        <w:t>and</w:t>
      </w:r>
      <w:r>
        <w:t xml:space="preserve"> </w:t>
      </w:r>
      <w:r w:rsidRPr="0071774C">
        <w:t>measuring</w:t>
      </w:r>
      <w:r>
        <w:t xml:space="preserve"> </w:t>
      </w:r>
      <w:r w:rsidRPr="0071774C">
        <w:t>progress,</w:t>
      </w:r>
      <w:r>
        <w:t xml:space="preserve"> </w:t>
      </w:r>
      <w:r w:rsidRPr="0071774C">
        <w:t>based</w:t>
      </w:r>
      <w:r>
        <w:t xml:space="preserve"> </w:t>
      </w:r>
      <w:r w:rsidRPr="0071774C">
        <w:t>on</w:t>
      </w:r>
      <w:r>
        <w:t xml:space="preserve"> </w:t>
      </w:r>
      <w:r w:rsidRPr="0071774C">
        <w:t>a</w:t>
      </w:r>
      <w:r>
        <w:t xml:space="preserve"> </w:t>
      </w:r>
      <w:r w:rsidRPr="0071774C">
        <w:t>shared</w:t>
      </w:r>
      <w:r>
        <w:t xml:space="preserve"> </w:t>
      </w:r>
      <w:r w:rsidRPr="0071774C">
        <w:t>understanding</w:t>
      </w:r>
      <w:r>
        <w:t xml:space="preserve"> </w:t>
      </w:r>
      <w:r w:rsidRPr="0071774C">
        <w:t>of</w:t>
      </w:r>
      <w:r>
        <w:t xml:space="preserve"> </w:t>
      </w:r>
      <w:r w:rsidRPr="0071774C">
        <w:t>the</w:t>
      </w:r>
      <w:r>
        <w:t xml:space="preserve"> </w:t>
      </w:r>
      <w:r w:rsidRPr="0071774C">
        <w:t>evidence.</w:t>
      </w:r>
    </w:p>
    <w:p w14:paraId="0C312AF9" w14:textId="58CAB37E" w:rsidR="002C2EC7" w:rsidRDefault="002C2EC7" w:rsidP="00ED696B">
      <w:pPr>
        <w:pStyle w:val="BodyText"/>
      </w:pPr>
      <w:r w:rsidRPr="0071774C">
        <w:t>Governance</w:t>
      </w:r>
      <w:r>
        <w:t xml:space="preserve"> </w:t>
      </w:r>
      <w:r w:rsidRPr="0071774C">
        <w:t>mechanisms</w:t>
      </w:r>
      <w:r>
        <w:t xml:space="preserve"> </w:t>
      </w:r>
      <w:r w:rsidRPr="0071774C">
        <w:t>for</w:t>
      </w:r>
      <w:r>
        <w:t xml:space="preserve"> </w:t>
      </w:r>
      <w:r w:rsidRPr="0071774C">
        <w:t>overseeing</w:t>
      </w:r>
      <w:r>
        <w:t xml:space="preserve"> </w:t>
      </w:r>
      <w:r w:rsidRPr="0071774C">
        <w:t>implementation</w:t>
      </w:r>
      <w:r>
        <w:t xml:space="preserve"> </w:t>
      </w:r>
      <w:r w:rsidRPr="0071774C">
        <w:t>and</w:t>
      </w:r>
      <w:r>
        <w:t xml:space="preserve"> </w:t>
      </w:r>
      <w:r w:rsidRPr="0071774C">
        <w:t>monitoring</w:t>
      </w:r>
      <w:r>
        <w:t xml:space="preserve"> </w:t>
      </w:r>
      <w:r w:rsidRPr="0071774C">
        <w:t>of</w:t>
      </w:r>
      <w:r>
        <w:t xml:space="preserve"> </w:t>
      </w:r>
      <w:r w:rsidRPr="0071774C">
        <w:t>primary</w:t>
      </w:r>
      <w:r>
        <w:t xml:space="preserve"> </w:t>
      </w:r>
      <w:r w:rsidRPr="0071774C">
        <w:t>prevention</w:t>
      </w:r>
      <w:r>
        <w:t xml:space="preserve"> </w:t>
      </w:r>
      <w:r w:rsidRPr="0071774C">
        <w:t>activities</w:t>
      </w:r>
      <w:r>
        <w:t xml:space="preserve"> are</w:t>
      </w:r>
      <w:r w:rsidR="006F4E7A">
        <w:t xml:space="preserve"> larg</w:t>
      </w:r>
      <w:r w:rsidR="00ED696B">
        <w:t>e</w:t>
      </w:r>
      <w:r w:rsidR="006F4E7A">
        <w:t>ly</w:t>
      </w:r>
      <w:r>
        <w:t xml:space="preserve"> </w:t>
      </w:r>
      <w:r w:rsidRPr="0071774C">
        <w:t>the</w:t>
      </w:r>
      <w:r>
        <w:t xml:space="preserve"> </w:t>
      </w:r>
      <w:r w:rsidRPr="0071774C">
        <w:t>responsibility</w:t>
      </w:r>
      <w:r>
        <w:t xml:space="preserve"> </w:t>
      </w:r>
      <w:r w:rsidRPr="0071774C">
        <w:t>of</w:t>
      </w:r>
      <w:r>
        <w:t xml:space="preserve"> </w:t>
      </w:r>
      <w:r w:rsidRPr="0071774C">
        <w:t>the</w:t>
      </w:r>
      <w:r>
        <w:t xml:space="preserve"> </w:t>
      </w:r>
      <w:r w:rsidRPr="0071774C">
        <w:t>jurisdiction</w:t>
      </w:r>
      <w:r>
        <w:t xml:space="preserve"> </w:t>
      </w:r>
      <w:r w:rsidRPr="0071774C">
        <w:t>funding</w:t>
      </w:r>
      <w:r>
        <w:t xml:space="preserve"> </w:t>
      </w:r>
      <w:r w:rsidRPr="0071774C">
        <w:t>that</w:t>
      </w:r>
      <w:r>
        <w:t xml:space="preserve"> </w:t>
      </w:r>
      <w:r w:rsidRPr="0071774C">
        <w:t>activity.</w:t>
      </w:r>
      <w:r>
        <w:t xml:space="preserve"> </w:t>
      </w:r>
      <w:r w:rsidRPr="0071774C">
        <w:t>This</w:t>
      </w:r>
      <w:r>
        <w:t xml:space="preserve"> </w:t>
      </w:r>
      <w:r w:rsidRPr="0071774C">
        <w:t>means</w:t>
      </w:r>
      <w:r>
        <w:t xml:space="preserve"> </w:t>
      </w:r>
      <w:r w:rsidRPr="0071774C">
        <w:t>general</w:t>
      </w:r>
      <w:r>
        <w:t xml:space="preserve"> </w:t>
      </w:r>
      <w:r w:rsidRPr="0071774C">
        <w:t>monitoring</w:t>
      </w:r>
      <w:r>
        <w:t xml:space="preserve"> </w:t>
      </w:r>
      <w:r w:rsidRPr="0071774C">
        <w:t>activities</w:t>
      </w:r>
      <w:r>
        <w:t xml:space="preserve"> </w:t>
      </w:r>
      <w:r w:rsidRPr="0071774C">
        <w:t>are</w:t>
      </w:r>
      <w:r>
        <w:t xml:space="preserve"> </w:t>
      </w:r>
      <w:r w:rsidRPr="0071774C">
        <w:t>being</w:t>
      </w:r>
      <w:r>
        <w:t xml:space="preserve"> </w:t>
      </w:r>
      <w:r w:rsidRPr="0071774C">
        <w:t>informed</w:t>
      </w:r>
      <w:r>
        <w:t xml:space="preserve"> </w:t>
      </w:r>
      <w:r w:rsidRPr="0071774C">
        <w:t>by</w:t>
      </w:r>
      <w:r>
        <w:t xml:space="preserve"> </w:t>
      </w:r>
      <w:r w:rsidRPr="0071774C">
        <w:t>whatever</w:t>
      </w:r>
      <w:r>
        <w:t xml:space="preserve"> </w:t>
      </w:r>
      <w:r w:rsidRPr="0071774C">
        <w:t>processes</w:t>
      </w:r>
      <w:r>
        <w:t xml:space="preserve"> </w:t>
      </w:r>
      <w:r w:rsidRPr="0071774C">
        <w:t>and</w:t>
      </w:r>
      <w:r>
        <w:t xml:space="preserve"> </w:t>
      </w:r>
      <w:r w:rsidRPr="0071774C">
        <w:t>platforms</w:t>
      </w:r>
      <w:r>
        <w:t xml:space="preserve"> </w:t>
      </w:r>
      <w:r w:rsidRPr="0071774C">
        <w:t>each</w:t>
      </w:r>
      <w:r>
        <w:t xml:space="preserve"> </w:t>
      </w:r>
      <w:r w:rsidRPr="0071774C">
        <w:t>jurisdiction</w:t>
      </w:r>
      <w:r>
        <w:t xml:space="preserve"> </w:t>
      </w:r>
      <w:r w:rsidRPr="0071774C">
        <w:t>has</w:t>
      </w:r>
      <w:r>
        <w:t xml:space="preserve"> </w:t>
      </w:r>
      <w:r w:rsidRPr="0071774C">
        <w:t>in</w:t>
      </w:r>
      <w:r>
        <w:t xml:space="preserve"> </w:t>
      </w:r>
      <w:r w:rsidRPr="0071774C">
        <w:t>place</w:t>
      </w:r>
      <w:r w:rsidR="00412753">
        <w:t xml:space="preserve"> for monitoring and reporting on funded programs. </w:t>
      </w:r>
      <w:r w:rsidRPr="0071774C">
        <w:t>As</w:t>
      </w:r>
      <w:r w:rsidR="00ED696B">
        <w:t> </w:t>
      </w:r>
      <w:r w:rsidRPr="0071774C">
        <w:t>such,</w:t>
      </w:r>
      <w:r>
        <w:t xml:space="preserve"> </w:t>
      </w:r>
      <w:r w:rsidRPr="0071774C">
        <w:t>it</w:t>
      </w:r>
      <w:r>
        <w:t xml:space="preserve"> </w:t>
      </w:r>
      <w:r w:rsidRPr="0071774C">
        <w:t>is</w:t>
      </w:r>
      <w:r>
        <w:t xml:space="preserve"> </w:t>
      </w:r>
      <w:r w:rsidRPr="0071774C">
        <w:t>critical</w:t>
      </w:r>
      <w:r>
        <w:t xml:space="preserve"> </w:t>
      </w:r>
      <w:r w:rsidRPr="0071774C">
        <w:t>that</w:t>
      </w:r>
      <w:r>
        <w:t xml:space="preserve"> primary </w:t>
      </w:r>
      <w:r w:rsidRPr="0071774C">
        <w:t>prevention</w:t>
      </w:r>
      <w:r>
        <w:t xml:space="preserve"> </w:t>
      </w:r>
      <w:r w:rsidRPr="0071774C">
        <w:t>monitoring,</w:t>
      </w:r>
      <w:r>
        <w:t xml:space="preserve"> </w:t>
      </w:r>
      <w:r w:rsidRPr="0071774C">
        <w:t>reporting</w:t>
      </w:r>
      <w:r>
        <w:t xml:space="preserve"> </w:t>
      </w:r>
      <w:r w:rsidRPr="0071774C">
        <w:t>and</w:t>
      </w:r>
      <w:r>
        <w:t xml:space="preserve"> </w:t>
      </w:r>
      <w:r w:rsidRPr="0071774C">
        <w:t>evaluation</w:t>
      </w:r>
      <w:r>
        <w:t xml:space="preserve"> </w:t>
      </w:r>
      <w:r w:rsidRPr="0071774C">
        <w:t>frameworks</w:t>
      </w:r>
      <w:r>
        <w:t xml:space="preserve"> </w:t>
      </w:r>
      <w:r w:rsidRPr="0071774C">
        <w:t>draw</w:t>
      </w:r>
      <w:r>
        <w:t xml:space="preserve"> </w:t>
      </w:r>
      <w:r w:rsidRPr="0071774C">
        <w:t>on</w:t>
      </w:r>
      <w:r>
        <w:t xml:space="preserve"> </w:t>
      </w:r>
      <w:r w:rsidRPr="0071774C">
        <w:t>the</w:t>
      </w:r>
      <w:r>
        <w:t xml:space="preserve"> </w:t>
      </w:r>
      <w:r w:rsidRPr="0071774C">
        <w:t>best</w:t>
      </w:r>
      <w:r>
        <w:t xml:space="preserve"> </w:t>
      </w:r>
      <w:r w:rsidRPr="0071774C">
        <w:t>available</w:t>
      </w:r>
      <w:r>
        <w:t xml:space="preserve"> </w:t>
      </w:r>
      <w:r w:rsidRPr="0071774C">
        <w:t>evidence</w:t>
      </w:r>
      <w:r>
        <w:t xml:space="preserve"> </w:t>
      </w:r>
      <w:r w:rsidRPr="0071774C">
        <w:t>and</w:t>
      </w:r>
      <w:r>
        <w:t xml:space="preserve"> </w:t>
      </w:r>
      <w:r w:rsidRPr="0071774C">
        <w:t>shared</w:t>
      </w:r>
      <w:r>
        <w:t xml:space="preserve"> </w:t>
      </w:r>
      <w:r w:rsidRPr="0071774C">
        <w:t>national</w:t>
      </w:r>
      <w:r>
        <w:t xml:space="preserve"> </w:t>
      </w:r>
      <w:r w:rsidRPr="0071774C">
        <w:t>frameworks.</w:t>
      </w:r>
    </w:p>
    <w:p w14:paraId="554A55D1" w14:textId="39E6ADF9" w:rsidR="002C2EC7" w:rsidRDefault="002C2EC7" w:rsidP="00790783">
      <w:pPr>
        <w:pStyle w:val="BodyText"/>
      </w:pPr>
      <w:r w:rsidRPr="0071774C">
        <w:t>An</w:t>
      </w:r>
      <w:r>
        <w:t xml:space="preserve"> </w:t>
      </w:r>
      <w:r w:rsidRPr="0071774C">
        <w:t>emerging</w:t>
      </w:r>
      <w:r>
        <w:t xml:space="preserve"> </w:t>
      </w:r>
      <w:r w:rsidRPr="0071774C">
        <w:t>gap</w:t>
      </w:r>
      <w:r>
        <w:t xml:space="preserve"> </w:t>
      </w:r>
      <w:r w:rsidRPr="0071774C">
        <w:t>in</w:t>
      </w:r>
      <w:r>
        <w:t xml:space="preserve"> the </w:t>
      </w:r>
      <w:r w:rsidRPr="0071774C">
        <w:t>infrastructure</w:t>
      </w:r>
      <w:r>
        <w:t xml:space="preserve"> </w:t>
      </w:r>
      <w:r w:rsidRPr="0071774C">
        <w:t>is</w:t>
      </w:r>
      <w:r>
        <w:t xml:space="preserve"> </w:t>
      </w:r>
      <w:r w:rsidRPr="0071774C">
        <w:t>the</w:t>
      </w:r>
      <w:r>
        <w:t xml:space="preserve"> </w:t>
      </w:r>
      <w:r w:rsidRPr="0071774C">
        <w:t>relatively</w:t>
      </w:r>
      <w:r>
        <w:t xml:space="preserve"> </w:t>
      </w:r>
      <w:r w:rsidRPr="0071774C">
        <w:t>limited</w:t>
      </w:r>
      <w:r>
        <w:t xml:space="preserve"> </w:t>
      </w:r>
      <w:r w:rsidRPr="0071774C">
        <w:t>investment</w:t>
      </w:r>
      <w:r>
        <w:t xml:space="preserve"> </w:t>
      </w:r>
      <w:r w:rsidRPr="0071774C">
        <w:t>in</w:t>
      </w:r>
      <w:r>
        <w:t xml:space="preserve"> </w:t>
      </w:r>
      <w:r w:rsidRPr="0071774C">
        <w:t>evaluation</w:t>
      </w:r>
      <w:r>
        <w:t xml:space="preserve"> </w:t>
      </w:r>
      <w:r w:rsidRPr="0071774C">
        <w:t>frameworks</w:t>
      </w:r>
      <w:r>
        <w:t xml:space="preserve"> </w:t>
      </w:r>
      <w:r w:rsidRPr="0071774C">
        <w:t>and</w:t>
      </w:r>
      <w:r>
        <w:t xml:space="preserve"> </w:t>
      </w:r>
      <w:r w:rsidRPr="0071774C">
        <w:t>strategies</w:t>
      </w:r>
      <w:r>
        <w:t xml:space="preserve"> </w:t>
      </w:r>
      <w:r w:rsidRPr="0071774C">
        <w:t>to</w:t>
      </w:r>
      <w:r>
        <w:t xml:space="preserve"> </w:t>
      </w:r>
      <w:r w:rsidRPr="0071774C">
        <w:t>evaluate</w:t>
      </w:r>
      <w:r>
        <w:t xml:space="preserve"> </w:t>
      </w:r>
      <w:r w:rsidRPr="0071774C">
        <w:t>collective</w:t>
      </w:r>
      <w:r>
        <w:t xml:space="preserve"> </w:t>
      </w:r>
      <w:r w:rsidRPr="0071774C">
        <w:t>and</w:t>
      </w:r>
      <w:r>
        <w:t xml:space="preserve"> </w:t>
      </w:r>
      <w:r w:rsidRPr="0071774C">
        <w:t>coordinated</w:t>
      </w:r>
      <w:r>
        <w:t xml:space="preserve"> </w:t>
      </w:r>
      <w:r w:rsidRPr="0071774C">
        <w:t>primary</w:t>
      </w:r>
      <w:r>
        <w:t xml:space="preserve"> </w:t>
      </w:r>
      <w:r w:rsidRPr="0071774C">
        <w:t>prevention</w:t>
      </w:r>
      <w:r>
        <w:t xml:space="preserve"> </w:t>
      </w:r>
      <w:r w:rsidRPr="0071774C">
        <w:t>impact</w:t>
      </w:r>
      <w:r>
        <w:t xml:space="preserve"> </w:t>
      </w:r>
      <w:r w:rsidRPr="0071774C">
        <w:t>more</w:t>
      </w:r>
      <w:r>
        <w:t xml:space="preserve"> </w:t>
      </w:r>
      <w:r w:rsidRPr="0071774C">
        <w:t>broadly.</w:t>
      </w:r>
      <w:r>
        <w:t xml:space="preserve"> </w:t>
      </w:r>
      <w:r w:rsidRPr="0071774C">
        <w:t>Primary</w:t>
      </w:r>
      <w:r>
        <w:t xml:space="preserve"> </w:t>
      </w:r>
      <w:r w:rsidRPr="0071774C">
        <w:t>prevention</w:t>
      </w:r>
      <w:r>
        <w:t xml:space="preserve"> </w:t>
      </w:r>
      <w:r w:rsidRPr="0071774C">
        <w:t>activities</w:t>
      </w:r>
      <w:r>
        <w:t xml:space="preserve"> </w:t>
      </w:r>
      <w:r w:rsidRPr="0071774C">
        <w:t>are</w:t>
      </w:r>
      <w:r>
        <w:t xml:space="preserve"> </w:t>
      </w:r>
      <w:r w:rsidRPr="0071774C">
        <w:t>typically</w:t>
      </w:r>
      <w:r>
        <w:t xml:space="preserve"> </w:t>
      </w:r>
      <w:r w:rsidRPr="0071774C">
        <w:t>designed</w:t>
      </w:r>
      <w:r>
        <w:t xml:space="preserve"> </w:t>
      </w:r>
      <w:r w:rsidRPr="0071774C">
        <w:t>and</w:t>
      </w:r>
      <w:r>
        <w:t xml:space="preserve"> </w:t>
      </w:r>
      <w:r w:rsidRPr="0071774C">
        <w:t>funded</w:t>
      </w:r>
      <w:r>
        <w:t xml:space="preserve"> </w:t>
      </w:r>
      <w:r w:rsidRPr="0071774C">
        <w:t>in</w:t>
      </w:r>
      <w:r>
        <w:t xml:space="preserve"> </w:t>
      </w:r>
      <w:r w:rsidRPr="0071774C">
        <w:t>a</w:t>
      </w:r>
      <w:r>
        <w:t xml:space="preserve"> </w:t>
      </w:r>
      <w:r w:rsidRPr="0071774C">
        <w:t>way</w:t>
      </w:r>
      <w:r>
        <w:t xml:space="preserve"> </w:t>
      </w:r>
      <w:r w:rsidRPr="0071774C">
        <w:t>that</w:t>
      </w:r>
      <w:r>
        <w:t xml:space="preserve"> </w:t>
      </w:r>
      <w:r w:rsidRPr="0071774C">
        <w:t>only</w:t>
      </w:r>
      <w:r>
        <w:t xml:space="preserve"> enables </w:t>
      </w:r>
      <w:r w:rsidRPr="0071774C">
        <w:t>process</w:t>
      </w:r>
      <w:r>
        <w:t xml:space="preserve"> </w:t>
      </w:r>
      <w:r w:rsidRPr="0071774C">
        <w:t>evaluation,</w:t>
      </w:r>
      <w:r>
        <w:t xml:space="preserve"> </w:t>
      </w:r>
      <w:r w:rsidRPr="0071774C">
        <w:t>or</w:t>
      </w:r>
      <w:r>
        <w:t xml:space="preserve"> </w:t>
      </w:r>
      <w:r w:rsidRPr="0071774C">
        <w:t>evaluation</w:t>
      </w:r>
      <w:r>
        <w:t xml:space="preserve"> </w:t>
      </w:r>
      <w:r w:rsidRPr="0071774C">
        <w:t>of</w:t>
      </w:r>
      <w:r>
        <w:t xml:space="preserve"> </w:t>
      </w:r>
      <w:r w:rsidRPr="0071774C">
        <w:t>short-term</w:t>
      </w:r>
      <w:r>
        <w:t xml:space="preserve"> </w:t>
      </w:r>
      <w:r w:rsidRPr="0071774C">
        <w:t>impact</w:t>
      </w:r>
      <w:r>
        <w:t xml:space="preserve"> </w:t>
      </w:r>
      <w:r w:rsidRPr="0071774C">
        <w:t>of</w:t>
      </w:r>
      <w:r>
        <w:t xml:space="preserve"> </w:t>
      </w:r>
      <w:r w:rsidRPr="0071774C">
        <w:t>individual</w:t>
      </w:r>
      <w:r>
        <w:t xml:space="preserve"> </w:t>
      </w:r>
      <w:r w:rsidRPr="0071774C">
        <w:t>activities</w:t>
      </w:r>
      <w:r>
        <w:t xml:space="preserve"> </w:t>
      </w:r>
      <w:r w:rsidRPr="0071774C">
        <w:t>or</w:t>
      </w:r>
      <w:r>
        <w:t xml:space="preserve"> </w:t>
      </w:r>
      <w:r w:rsidRPr="0071774C">
        <w:t>interventions.</w:t>
      </w:r>
      <w:r>
        <w:t xml:space="preserve"> This means that </w:t>
      </w:r>
      <w:r w:rsidR="009058FD" w:rsidRPr="0071774C">
        <w:t>most of the</w:t>
      </w:r>
      <w:r>
        <w:t xml:space="preserve"> </w:t>
      </w:r>
      <w:r w:rsidRPr="0071774C">
        <w:t>evaluation</w:t>
      </w:r>
      <w:r>
        <w:t xml:space="preserve"> </w:t>
      </w:r>
      <w:r w:rsidRPr="0071774C">
        <w:t>work</w:t>
      </w:r>
      <w:r>
        <w:t xml:space="preserve"> </w:t>
      </w:r>
      <w:r w:rsidRPr="0071774C">
        <w:t>being</w:t>
      </w:r>
      <w:r>
        <w:t xml:space="preserve"> </w:t>
      </w:r>
      <w:r w:rsidRPr="0071774C">
        <w:t>done</w:t>
      </w:r>
      <w:r>
        <w:t xml:space="preserve"> </w:t>
      </w:r>
      <w:r w:rsidRPr="0071774C">
        <w:t>and</w:t>
      </w:r>
      <w:r>
        <w:t xml:space="preserve"> </w:t>
      </w:r>
      <w:r w:rsidRPr="0071774C">
        <w:t>published</w:t>
      </w:r>
      <w:r>
        <w:t xml:space="preserve"> </w:t>
      </w:r>
      <w:r w:rsidRPr="0071774C">
        <w:t>is</w:t>
      </w:r>
      <w:r>
        <w:t xml:space="preserve"> </w:t>
      </w:r>
      <w:r w:rsidRPr="0071774C">
        <w:t>not</w:t>
      </w:r>
      <w:r>
        <w:t xml:space="preserve"> </w:t>
      </w:r>
      <w:r w:rsidRPr="0071774C">
        <w:t>suitable</w:t>
      </w:r>
      <w:r>
        <w:t xml:space="preserve"> </w:t>
      </w:r>
      <w:r w:rsidRPr="0071774C">
        <w:t>or</w:t>
      </w:r>
      <w:r>
        <w:t xml:space="preserve"> </w:t>
      </w:r>
      <w:r w:rsidRPr="0071774C">
        <w:t>sufficient</w:t>
      </w:r>
      <w:r>
        <w:t xml:space="preserve"> </w:t>
      </w:r>
      <w:r w:rsidRPr="0071774C">
        <w:t>to</w:t>
      </w:r>
      <w:r>
        <w:t xml:space="preserve"> </w:t>
      </w:r>
      <w:r w:rsidRPr="0071774C">
        <w:t>inform</w:t>
      </w:r>
      <w:r>
        <w:t xml:space="preserve"> </w:t>
      </w:r>
      <w:r w:rsidRPr="0071774C">
        <w:t>strong</w:t>
      </w:r>
      <w:r>
        <w:t xml:space="preserve"> </w:t>
      </w:r>
      <w:r w:rsidRPr="0071774C">
        <w:t>coordinated</w:t>
      </w:r>
      <w:r>
        <w:t xml:space="preserve"> </w:t>
      </w:r>
      <w:r w:rsidRPr="0071774C">
        <w:t>and</w:t>
      </w:r>
      <w:r>
        <w:t xml:space="preserve"> </w:t>
      </w:r>
      <w:r w:rsidRPr="0071774C">
        <w:t>reinforcing</w:t>
      </w:r>
      <w:r>
        <w:t xml:space="preserve"> </w:t>
      </w:r>
      <w:r w:rsidRPr="0071774C">
        <w:t>activity</w:t>
      </w:r>
      <w:r>
        <w:t xml:space="preserve"> </w:t>
      </w:r>
      <w:r w:rsidRPr="0071774C">
        <w:t>design</w:t>
      </w:r>
      <w:r>
        <w:t xml:space="preserve"> </w:t>
      </w:r>
      <w:r w:rsidRPr="0071774C">
        <w:t>and</w:t>
      </w:r>
      <w:r>
        <w:t xml:space="preserve"> </w:t>
      </w:r>
      <w:r w:rsidRPr="0071774C">
        <w:t>strategic</w:t>
      </w:r>
      <w:r>
        <w:t xml:space="preserve"> </w:t>
      </w:r>
      <w:r w:rsidRPr="0071774C">
        <w:t>investment.</w:t>
      </w:r>
      <w:r>
        <w:t xml:space="preserve"> </w:t>
      </w:r>
      <w:r w:rsidRPr="0071774C">
        <w:t>We</w:t>
      </w:r>
      <w:r>
        <w:t xml:space="preserve"> </w:t>
      </w:r>
      <w:r w:rsidRPr="0071774C">
        <w:t>know</w:t>
      </w:r>
      <w:r>
        <w:t xml:space="preserve"> </w:t>
      </w:r>
      <w:r w:rsidRPr="0071774C">
        <w:t>change</w:t>
      </w:r>
      <w:r>
        <w:t xml:space="preserve"> </w:t>
      </w:r>
      <w:r w:rsidRPr="0071774C">
        <w:t>is</w:t>
      </w:r>
      <w:r>
        <w:t xml:space="preserve"> </w:t>
      </w:r>
      <w:r w:rsidRPr="0071774C">
        <w:t>a</w:t>
      </w:r>
      <w:r>
        <w:t xml:space="preserve"> </w:t>
      </w:r>
      <w:r w:rsidRPr="0071774C">
        <w:t>long</w:t>
      </w:r>
      <w:r>
        <w:t>-</w:t>
      </w:r>
      <w:r w:rsidRPr="0071774C">
        <w:t>term,</w:t>
      </w:r>
      <w:r>
        <w:t xml:space="preserve"> </w:t>
      </w:r>
      <w:r w:rsidR="00560247" w:rsidRPr="0071774C">
        <w:t>multifaceted,</w:t>
      </w:r>
      <w:r>
        <w:t xml:space="preserve"> </w:t>
      </w:r>
      <w:r w:rsidRPr="0071774C">
        <w:t>and</w:t>
      </w:r>
      <w:r>
        <w:t xml:space="preserve"> </w:t>
      </w:r>
      <w:r w:rsidRPr="0071774C">
        <w:t>complex</w:t>
      </w:r>
      <w:r>
        <w:t xml:space="preserve"> </w:t>
      </w:r>
      <w:r w:rsidRPr="0071774C">
        <w:t>endeavour,</w:t>
      </w:r>
      <w:r>
        <w:t xml:space="preserve"> </w:t>
      </w:r>
      <w:r w:rsidRPr="0071774C">
        <w:t>and</w:t>
      </w:r>
      <w:r>
        <w:t xml:space="preserve"> </w:t>
      </w:r>
      <w:r w:rsidRPr="0071774C">
        <w:t>that:</w:t>
      </w:r>
    </w:p>
    <w:p w14:paraId="1FCB1815" w14:textId="77777777" w:rsidR="002C2EC7" w:rsidRDefault="002C2EC7" w:rsidP="00790783">
      <w:pPr>
        <w:pStyle w:val="Quote"/>
      </w:pPr>
      <w:r w:rsidRPr="007C552E">
        <w:t>‘while</w:t>
      </w:r>
      <w:r>
        <w:t xml:space="preserve"> </w:t>
      </w:r>
      <w:r w:rsidRPr="007C552E">
        <w:t>power</w:t>
      </w:r>
      <w:r>
        <w:t xml:space="preserve"> </w:t>
      </w:r>
      <w:r w:rsidRPr="007C552E">
        <w:t>structures</w:t>
      </w:r>
      <w:r>
        <w:t xml:space="preserve"> </w:t>
      </w:r>
      <w:r w:rsidRPr="007C552E">
        <w:t>may</w:t>
      </w:r>
      <w:r>
        <w:t xml:space="preserve"> </w:t>
      </w:r>
      <w:r w:rsidRPr="007C552E">
        <w:t>appear</w:t>
      </w:r>
      <w:r>
        <w:t xml:space="preserve"> </w:t>
      </w:r>
      <w:r w:rsidRPr="007C552E">
        <w:t>to</w:t>
      </w:r>
      <w:r>
        <w:t xml:space="preserve"> </w:t>
      </w:r>
      <w:r w:rsidRPr="007C552E">
        <w:t>change,</w:t>
      </w:r>
      <w:r>
        <w:t xml:space="preserve"> </w:t>
      </w:r>
      <w:r w:rsidRPr="007C552E">
        <w:t>ultimately</w:t>
      </w:r>
      <w:r>
        <w:t xml:space="preserve"> </w:t>
      </w:r>
      <w:r w:rsidRPr="007C552E">
        <w:t>deeper</w:t>
      </w:r>
      <w:r>
        <w:t xml:space="preserve"> </w:t>
      </w:r>
      <w:r w:rsidRPr="007C552E">
        <w:t>transformations</w:t>
      </w:r>
      <w:r>
        <w:t xml:space="preserve"> </w:t>
      </w:r>
      <w:r w:rsidRPr="007C552E">
        <w:t>in</w:t>
      </w:r>
      <w:r>
        <w:t xml:space="preserve"> </w:t>
      </w:r>
      <w:r w:rsidRPr="007C552E">
        <w:t>the</w:t>
      </w:r>
      <w:r>
        <w:t xml:space="preserve"> </w:t>
      </w:r>
      <w:r w:rsidRPr="007C552E">
        <w:t>status</w:t>
      </w:r>
      <w:r>
        <w:t xml:space="preserve"> </w:t>
      </w:r>
      <w:r w:rsidRPr="007C552E">
        <w:t>quo</w:t>
      </w:r>
      <w:r>
        <w:t xml:space="preserve"> </w:t>
      </w:r>
      <w:r w:rsidRPr="007C552E">
        <w:t>do</w:t>
      </w:r>
      <w:r>
        <w:t xml:space="preserve"> </w:t>
      </w:r>
      <w:r w:rsidRPr="007C552E">
        <w:t>not</w:t>
      </w:r>
      <w:r>
        <w:t xml:space="preserve"> </w:t>
      </w:r>
      <w:r w:rsidRPr="007C552E">
        <w:t>necessarily</w:t>
      </w:r>
      <w:r>
        <w:t xml:space="preserve"> </w:t>
      </w:r>
      <w:r w:rsidRPr="007C552E">
        <w:t>occur.</w:t>
      </w:r>
      <w:r>
        <w:t xml:space="preserve"> </w:t>
      </w:r>
      <w:r w:rsidRPr="007C552E">
        <w:t>And</w:t>
      </w:r>
      <w:r>
        <w:t xml:space="preserve"> </w:t>
      </w:r>
      <w:r w:rsidRPr="007C552E">
        <w:t>in</w:t>
      </w:r>
      <w:r>
        <w:t xml:space="preserve"> </w:t>
      </w:r>
      <w:r w:rsidRPr="007C552E">
        <w:t>some</w:t>
      </w:r>
      <w:r>
        <w:t xml:space="preserve"> </w:t>
      </w:r>
      <w:r w:rsidRPr="007C552E">
        <w:t>cases,</w:t>
      </w:r>
      <w:r>
        <w:t xml:space="preserve"> </w:t>
      </w:r>
      <w:r w:rsidRPr="007C552E">
        <w:t>a</w:t>
      </w:r>
      <w:r>
        <w:t xml:space="preserve"> </w:t>
      </w:r>
      <w:r w:rsidRPr="007C552E">
        <w:t>strategy</w:t>
      </w:r>
      <w:r>
        <w:t xml:space="preserve"> </w:t>
      </w:r>
      <w:r w:rsidRPr="007C552E">
        <w:t>that</w:t>
      </w:r>
      <w:r>
        <w:t xml:space="preserve"> </w:t>
      </w:r>
      <w:r w:rsidRPr="007C552E">
        <w:t>has</w:t>
      </w:r>
      <w:r>
        <w:t xml:space="preserve"> </w:t>
      </w:r>
      <w:r w:rsidRPr="007C552E">
        <w:t>worked</w:t>
      </w:r>
      <w:r>
        <w:t xml:space="preserve"> </w:t>
      </w:r>
      <w:r w:rsidRPr="007C552E">
        <w:t>in</w:t>
      </w:r>
      <w:r>
        <w:t xml:space="preserve"> </w:t>
      </w:r>
      <w:r w:rsidRPr="007C552E">
        <w:t>the</w:t>
      </w:r>
      <w:r>
        <w:t xml:space="preserve"> </w:t>
      </w:r>
      <w:r w:rsidRPr="007C552E">
        <w:t>past</w:t>
      </w:r>
      <w:r>
        <w:t xml:space="preserve"> </w:t>
      </w:r>
      <w:r w:rsidRPr="007C552E">
        <w:t>may</w:t>
      </w:r>
      <w:r>
        <w:t xml:space="preserve"> </w:t>
      </w:r>
      <w:r w:rsidRPr="007C552E">
        <w:t>not</w:t>
      </w:r>
      <w:r>
        <w:t xml:space="preserve"> </w:t>
      </w:r>
      <w:r w:rsidRPr="007C552E">
        <w:t>work</w:t>
      </w:r>
      <w:r>
        <w:t xml:space="preserve"> </w:t>
      </w:r>
      <w:r w:rsidRPr="007C552E">
        <w:t>again</w:t>
      </w:r>
      <w:r>
        <w:t xml:space="preserve"> </w:t>
      </w:r>
      <w:r w:rsidRPr="007C552E">
        <w:t>even</w:t>
      </w:r>
      <w:r>
        <w:t xml:space="preserve"> </w:t>
      </w:r>
      <w:r w:rsidRPr="007C552E">
        <w:t>in</w:t>
      </w:r>
      <w:r>
        <w:t xml:space="preserve"> </w:t>
      </w:r>
      <w:r w:rsidRPr="007C552E">
        <w:t>the</w:t>
      </w:r>
      <w:r>
        <w:t xml:space="preserve"> </w:t>
      </w:r>
      <w:r w:rsidRPr="007C552E">
        <w:t>same</w:t>
      </w:r>
      <w:r>
        <w:t xml:space="preserve"> </w:t>
      </w:r>
      <w:r w:rsidRPr="007C552E">
        <w:t>context,</w:t>
      </w:r>
      <w:r>
        <w:t xml:space="preserve"> </w:t>
      </w:r>
      <w:r w:rsidRPr="007C552E">
        <w:t>given</w:t>
      </w:r>
      <w:r>
        <w:t xml:space="preserve"> </w:t>
      </w:r>
      <w:r w:rsidRPr="007C552E">
        <w:t>the</w:t>
      </w:r>
      <w:r>
        <w:t xml:space="preserve"> </w:t>
      </w:r>
      <w:r w:rsidRPr="007C552E">
        <w:t>prior</w:t>
      </w:r>
      <w:r>
        <w:t xml:space="preserve"> </w:t>
      </w:r>
      <w:r w:rsidRPr="007C552E">
        <w:t>change</w:t>
      </w:r>
      <w:r>
        <w:t xml:space="preserve"> </w:t>
      </w:r>
      <w:r w:rsidRPr="007C552E">
        <w:t>that</w:t>
      </w:r>
      <w:r>
        <w:t xml:space="preserve"> </w:t>
      </w:r>
      <w:r w:rsidRPr="007C552E">
        <w:t>has</w:t>
      </w:r>
      <w:r>
        <w:t xml:space="preserve"> </w:t>
      </w:r>
      <w:r w:rsidRPr="007C552E">
        <w:t>been</w:t>
      </w:r>
      <w:r>
        <w:t xml:space="preserve"> </w:t>
      </w:r>
      <w:r w:rsidRPr="007C552E">
        <w:t>achieved.’</w:t>
      </w:r>
      <w:r>
        <w:rPr>
          <w:rStyle w:val="EndnoteReference"/>
        </w:rPr>
        <w:t xml:space="preserve"> </w:t>
      </w:r>
      <w:r w:rsidRPr="0071774C">
        <w:rPr>
          <w:rStyle w:val="EndnoteReference"/>
        </w:rPr>
        <w:endnoteReference w:id="121"/>
      </w:r>
    </w:p>
    <w:p w14:paraId="4D679959" w14:textId="56C5CEE5" w:rsidR="002C2EC7" w:rsidRDefault="002C2EC7" w:rsidP="00790783">
      <w:pPr>
        <w:pStyle w:val="BodyText"/>
      </w:pPr>
      <w:r w:rsidRPr="0071774C">
        <w:t>Future</w:t>
      </w:r>
      <w:r>
        <w:t xml:space="preserve"> </w:t>
      </w:r>
      <w:r w:rsidRPr="0071774C">
        <w:t>tracking</w:t>
      </w:r>
      <w:r>
        <w:t xml:space="preserve"> </w:t>
      </w:r>
      <w:r w:rsidRPr="0071774C">
        <w:t>reports</w:t>
      </w:r>
      <w:r>
        <w:t xml:space="preserve"> </w:t>
      </w:r>
      <w:r w:rsidRPr="0071774C">
        <w:t>could</w:t>
      </w:r>
      <w:r>
        <w:t xml:space="preserve"> </w:t>
      </w:r>
      <w:r w:rsidRPr="0071774C">
        <w:t>investigate</w:t>
      </w:r>
      <w:r>
        <w:t xml:space="preserve"> </w:t>
      </w:r>
      <w:r w:rsidRPr="0071774C">
        <w:t>how</w:t>
      </w:r>
      <w:r>
        <w:t xml:space="preserve"> </w:t>
      </w:r>
      <w:r w:rsidRPr="0071774C">
        <w:t>our</w:t>
      </w:r>
      <w:r>
        <w:t xml:space="preserve"> </w:t>
      </w:r>
      <w:r w:rsidRPr="0071774C">
        <w:t>evaluation</w:t>
      </w:r>
      <w:r>
        <w:t xml:space="preserve"> </w:t>
      </w:r>
      <w:r w:rsidRPr="0071774C">
        <w:t>approaches</w:t>
      </w:r>
      <w:r>
        <w:t xml:space="preserve"> </w:t>
      </w:r>
      <w:r w:rsidRPr="0071774C">
        <w:t>can</w:t>
      </w:r>
      <w:r>
        <w:t xml:space="preserve"> </w:t>
      </w:r>
      <w:r w:rsidRPr="0071774C">
        <w:t>avoid</w:t>
      </w:r>
      <w:r>
        <w:t xml:space="preserve"> </w:t>
      </w:r>
      <w:r w:rsidRPr="0071774C">
        <w:t>confusing</w:t>
      </w:r>
      <w:r>
        <w:t xml:space="preserve"> </w:t>
      </w:r>
      <w:r w:rsidRPr="0071774C">
        <w:t>or</w:t>
      </w:r>
      <w:r>
        <w:t xml:space="preserve"> </w:t>
      </w:r>
      <w:r w:rsidRPr="0071774C">
        <w:t>conflating</w:t>
      </w:r>
      <w:r>
        <w:t xml:space="preserve"> </w:t>
      </w:r>
      <w:r w:rsidRPr="0071774C">
        <w:t>short-term</w:t>
      </w:r>
      <w:r>
        <w:t xml:space="preserve"> </w:t>
      </w:r>
      <w:r w:rsidRPr="0071774C">
        <w:t>appearance</w:t>
      </w:r>
      <w:r>
        <w:t xml:space="preserve"> </w:t>
      </w:r>
      <w:r w:rsidRPr="0071774C">
        <w:t>of</w:t>
      </w:r>
      <w:r>
        <w:t xml:space="preserve"> </w:t>
      </w:r>
      <w:r w:rsidRPr="0071774C">
        <w:t>change</w:t>
      </w:r>
      <w:r>
        <w:t xml:space="preserve"> </w:t>
      </w:r>
      <w:r w:rsidRPr="0071774C">
        <w:t>with</w:t>
      </w:r>
      <w:r>
        <w:t xml:space="preserve"> </w:t>
      </w:r>
      <w:r w:rsidRPr="0071774C">
        <w:t>sustainable</w:t>
      </w:r>
      <w:r>
        <w:t xml:space="preserve"> </w:t>
      </w:r>
      <w:r w:rsidRPr="0071774C">
        <w:t>change</w:t>
      </w:r>
      <w:r>
        <w:t xml:space="preserve"> </w:t>
      </w:r>
      <w:r w:rsidRPr="0071774C">
        <w:t>by</w:t>
      </w:r>
      <w:r>
        <w:t xml:space="preserve"> </w:t>
      </w:r>
      <w:r w:rsidRPr="0071774C">
        <w:t>identifying</w:t>
      </w:r>
      <w:r>
        <w:t xml:space="preserve"> </w:t>
      </w:r>
      <w:r w:rsidRPr="0071774C">
        <w:t>how</w:t>
      </w:r>
      <w:r>
        <w:t xml:space="preserve"> </w:t>
      </w:r>
      <w:r w:rsidRPr="0071774C">
        <w:t>we</w:t>
      </w:r>
      <w:r>
        <w:t xml:space="preserve"> </w:t>
      </w:r>
      <w:r w:rsidRPr="0071774C">
        <w:t>can</w:t>
      </w:r>
      <w:r>
        <w:t xml:space="preserve"> </w:t>
      </w:r>
      <w:r w:rsidRPr="0071774C">
        <w:t>best</w:t>
      </w:r>
      <w:r>
        <w:t xml:space="preserve"> </w:t>
      </w:r>
      <w:r w:rsidRPr="0071774C">
        <w:t>describe</w:t>
      </w:r>
      <w:r>
        <w:t xml:space="preserve"> </w:t>
      </w:r>
      <w:r w:rsidRPr="0071774C">
        <w:t>and</w:t>
      </w:r>
      <w:r>
        <w:t xml:space="preserve"> </w:t>
      </w:r>
      <w:r w:rsidRPr="0071774C">
        <w:t>take</w:t>
      </w:r>
      <w:r>
        <w:t xml:space="preserve"> </w:t>
      </w:r>
      <w:r w:rsidRPr="0071774C">
        <w:t>into</w:t>
      </w:r>
      <w:r>
        <w:t xml:space="preserve"> </w:t>
      </w:r>
      <w:r w:rsidRPr="0071774C">
        <w:t>account</w:t>
      </w:r>
      <w:r>
        <w:t xml:space="preserve"> </w:t>
      </w:r>
      <w:r w:rsidRPr="0071774C">
        <w:t>successes</w:t>
      </w:r>
      <w:r>
        <w:t xml:space="preserve"> </w:t>
      </w:r>
      <w:r w:rsidRPr="0071774C">
        <w:t>along</w:t>
      </w:r>
      <w:r>
        <w:t xml:space="preserve"> </w:t>
      </w:r>
      <w:r w:rsidRPr="0071774C">
        <w:t>the</w:t>
      </w:r>
      <w:r>
        <w:t xml:space="preserve"> </w:t>
      </w:r>
      <w:r w:rsidRPr="0071774C">
        <w:t>way,</w:t>
      </w:r>
      <w:r>
        <w:t xml:space="preserve"> </w:t>
      </w:r>
      <w:r w:rsidRPr="0071774C">
        <w:t>while</w:t>
      </w:r>
      <w:r w:rsidR="00C11BA2">
        <w:t> </w:t>
      </w:r>
      <w:r w:rsidRPr="0071774C">
        <w:t>remaining</w:t>
      </w:r>
      <w:r>
        <w:t xml:space="preserve"> </w:t>
      </w:r>
      <w:r w:rsidRPr="0071774C">
        <w:t>focused</w:t>
      </w:r>
      <w:r>
        <w:t xml:space="preserve"> </w:t>
      </w:r>
      <w:r w:rsidRPr="0071774C">
        <w:t>on</w:t>
      </w:r>
      <w:r>
        <w:t xml:space="preserve"> </w:t>
      </w:r>
      <w:r w:rsidRPr="0071774C">
        <w:t>the</w:t>
      </w:r>
      <w:r>
        <w:t xml:space="preserve"> </w:t>
      </w:r>
      <w:r w:rsidRPr="0071774C">
        <w:t>need</w:t>
      </w:r>
      <w:r>
        <w:t xml:space="preserve"> </w:t>
      </w:r>
      <w:r w:rsidRPr="0071774C">
        <w:t>for</w:t>
      </w:r>
      <w:r>
        <w:t xml:space="preserve"> </w:t>
      </w:r>
      <w:r w:rsidRPr="0071774C">
        <w:t>long-term</w:t>
      </w:r>
      <w:r>
        <w:t xml:space="preserve"> </w:t>
      </w:r>
      <w:r w:rsidRPr="0071774C">
        <w:t>transformation.</w:t>
      </w:r>
    </w:p>
    <w:p w14:paraId="1A72BC42" w14:textId="1E474A2D" w:rsidR="002C2EC7" w:rsidRDefault="002C2EC7" w:rsidP="00790783">
      <w:pPr>
        <w:pStyle w:val="BodyText"/>
      </w:pPr>
      <w:r w:rsidRPr="0071774C">
        <w:t>In</w:t>
      </w:r>
      <w:r>
        <w:t xml:space="preserve"> </w:t>
      </w:r>
      <w:r w:rsidRPr="0071774C">
        <w:t>terms</w:t>
      </w:r>
      <w:r>
        <w:t xml:space="preserve"> </w:t>
      </w:r>
      <w:r w:rsidRPr="0071774C">
        <w:t>of</w:t>
      </w:r>
      <w:r>
        <w:t xml:space="preserve"> </w:t>
      </w:r>
      <w:r w:rsidRPr="0071774C">
        <w:t>evaluation</w:t>
      </w:r>
      <w:r>
        <w:t xml:space="preserve"> </w:t>
      </w:r>
      <w:r w:rsidRPr="0071774C">
        <w:t>and</w:t>
      </w:r>
      <w:r>
        <w:t xml:space="preserve"> </w:t>
      </w:r>
      <w:r w:rsidRPr="0071774C">
        <w:t>learning,</w:t>
      </w:r>
      <w:r>
        <w:t xml:space="preserve"> </w:t>
      </w:r>
      <w:r w:rsidRPr="0071774C">
        <w:t>there</w:t>
      </w:r>
      <w:r>
        <w:t xml:space="preserve"> </w:t>
      </w:r>
      <w:r w:rsidRPr="0071774C">
        <w:t>are</w:t>
      </w:r>
      <w:r>
        <w:t xml:space="preserve"> </w:t>
      </w:r>
      <w:r w:rsidRPr="0071774C">
        <w:t>currently</w:t>
      </w:r>
      <w:r>
        <w:t xml:space="preserve"> </w:t>
      </w:r>
      <w:r w:rsidRPr="0071774C">
        <w:t>no</w:t>
      </w:r>
      <w:r>
        <w:t xml:space="preserve"> </w:t>
      </w:r>
      <w:r w:rsidRPr="0071774C">
        <w:t>agreed</w:t>
      </w:r>
      <w:r>
        <w:t xml:space="preserve"> </w:t>
      </w:r>
      <w:r w:rsidRPr="0071774C">
        <w:t>or</w:t>
      </w:r>
      <w:r>
        <w:t xml:space="preserve"> </w:t>
      </w:r>
      <w:r w:rsidRPr="0071774C">
        <w:t>shared</w:t>
      </w:r>
      <w:r>
        <w:t xml:space="preserve"> </w:t>
      </w:r>
      <w:r w:rsidRPr="0071774C">
        <w:t>evaluation</w:t>
      </w:r>
      <w:r>
        <w:t xml:space="preserve"> </w:t>
      </w:r>
      <w:r w:rsidRPr="0071774C">
        <w:t>frameworks</w:t>
      </w:r>
      <w:r>
        <w:t xml:space="preserve"> </w:t>
      </w:r>
      <w:r w:rsidRPr="0071774C">
        <w:t>that</w:t>
      </w:r>
      <w:r>
        <w:t xml:space="preserve"> </w:t>
      </w:r>
      <w:r w:rsidRPr="0071774C">
        <w:t>are</w:t>
      </w:r>
      <w:r>
        <w:t xml:space="preserve"> </w:t>
      </w:r>
      <w:r w:rsidRPr="0071774C">
        <w:t>widely</w:t>
      </w:r>
      <w:r>
        <w:t xml:space="preserve"> </w:t>
      </w:r>
      <w:r w:rsidRPr="0071774C">
        <w:t>adhered</w:t>
      </w:r>
      <w:r>
        <w:t xml:space="preserve"> </w:t>
      </w:r>
      <w:r w:rsidRPr="0071774C">
        <w:t>to.</w:t>
      </w:r>
      <w:r>
        <w:t xml:space="preserve"> </w:t>
      </w:r>
      <w:r w:rsidRPr="0071774C">
        <w:t>However,</w:t>
      </w:r>
      <w:r>
        <w:t xml:space="preserve"> </w:t>
      </w:r>
      <w:r w:rsidRPr="0071774C">
        <w:t>several</w:t>
      </w:r>
      <w:r>
        <w:t xml:space="preserve"> </w:t>
      </w:r>
      <w:r w:rsidRPr="0071774C">
        <w:t>evaluation</w:t>
      </w:r>
      <w:r>
        <w:t xml:space="preserve"> </w:t>
      </w:r>
      <w:r w:rsidRPr="0071774C">
        <w:t>frameworks</w:t>
      </w:r>
      <w:r>
        <w:t xml:space="preserve"> </w:t>
      </w:r>
      <w:r w:rsidRPr="0071774C">
        <w:t>have</w:t>
      </w:r>
      <w:r>
        <w:t xml:space="preserve"> </w:t>
      </w:r>
      <w:r w:rsidRPr="0071774C">
        <w:t>been</w:t>
      </w:r>
      <w:r>
        <w:t xml:space="preserve"> </w:t>
      </w:r>
      <w:r w:rsidRPr="0071774C">
        <w:t>developed,</w:t>
      </w:r>
      <w:r>
        <w:t xml:space="preserve"> </w:t>
      </w:r>
      <w:r w:rsidRPr="0071774C">
        <w:t>some</w:t>
      </w:r>
      <w:r>
        <w:t xml:space="preserve"> </w:t>
      </w:r>
      <w:r w:rsidRPr="0071774C">
        <w:t>by</w:t>
      </w:r>
      <w:r>
        <w:t xml:space="preserve"> </w:t>
      </w:r>
      <w:r w:rsidRPr="0071774C">
        <w:t>health</w:t>
      </w:r>
      <w:r>
        <w:t xml:space="preserve"> </w:t>
      </w:r>
      <w:r w:rsidRPr="0071774C">
        <w:t>organisations</w:t>
      </w:r>
      <w:r>
        <w:t xml:space="preserve"> </w:t>
      </w:r>
      <w:r w:rsidRPr="0071774C">
        <w:t>and</w:t>
      </w:r>
      <w:r>
        <w:t xml:space="preserve"> </w:t>
      </w:r>
      <w:r w:rsidRPr="0071774C">
        <w:t>universities</w:t>
      </w:r>
      <w:r w:rsidRPr="0071774C">
        <w:rPr>
          <w:rStyle w:val="EndnoteReference"/>
          <w:szCs w:val="22"/>
        </w:rPr>
        <w:endnoteReference w:id="122"/>
      </w:r>
      <w:r>
        <w:t xml:space="preserve"> </w:t>
      </w:r>
      <w:r w:rsidRPr="0071774C">
        <w:rPr>
          <w:rStyle w:val="EndnoteReference"/>
          <w:szCs w:val="22"/>
        </w:rPr>
        <w:endnoteReference w:id="123"/>
      </w:r>
      <w:r>
        <w:t xml:space="preserve"> </w:t>
      </w:r>
      <w:r w:rsidRPr="0071774C">
        <w:rPr>
          <w:rStyle w:val="EndnoteReference"/>
          <w:szCs w:val="22"/>
        </w:rPr>
        <w:endnoteReference w:id="124"/>
      </w:r>
      <w:r>
        <w:t xml:space="preserve"> </w:t>
      </w:r>
      <w:r w:rsidRPr="0071774C">
        <w:t>and</w:t>
      </w:r>
      <w:r>
        <w:t xml:space="preserve"> </w:t>
      </w:r>
      <w:r w:rsidRPr="0071774C">
        <w:t>others</w:t>
      </w:r>
      <w:r>
        <w:t xml:space="preserve"> </w:t>
      </w:r>
      <w:r w:rsidRPr="0071774C">
        <w:t>to</w:t>
      </w:r>
      <w:r>
        <w:t xml:space="preserve"> </w:t>
      </w:r>
      <w:r w:rsidRPr="0071774C">
        <w:t>support</w:t>
      </w:r>
      <w:r>
        <w:t xml:space="preserve"> </w:t>
      </w:r>
      <w:r w:rsidRPr="0071774C">
        <w:t>evaluative</w:t>
      </w:r>
      <w:r>
        <w:t xml:space="preserve"> </w:t>
      </w:r>
      <w:r w:rsidRPr="0071774C">
        <w:t>approaches</w:t>
      </w:r>
      <w:r>
        <w:t xml:space="preserve"> </w:t>
      </w:r>
      <w:r w:rsidRPr="0071774C">
        <w:t>to</w:t>
      </w:r>
      <w:r>
        <w:t xml:space="preserve"> </w:t>
      </w:r>
      <w:r w:rsidRPr="0071774C">
        <w:t>state</w:t>
      </w:r>
      <w:r>
        <w:t xml:space="preserve"> </w:t>
      </w:r>
      <w:r w:rsidRPr="0071774C">
        <w:t>or</w:t>
      </w:r>
      <w:r>
        <w:t xml:space="preserve"> </w:t>
      </w:r>
      <w:r w:rsidRPr="0071774C">
        <w:t>regional</w:t>
      </w:r>
      <w:r>
        <w:t xml:space="preserve"> </w:t>
      </w:r>
      <w:r w:rsidRPr="0071774C">
        <w:t>prevention</w:t>
      </w:r>
      <w:r>
        <w:t xml:space="preserve"> </w:t>
      </w:r>
      <w:r w:rsidRPr="0071774C">
        <w:t>strategies</w:t>
      </w:r>
      <w:r>
        <w:t>.</w:t>
      </w:r>
      <w:r w:rsidRPr="0071774C">
        <w:rPr>
          <w:rStyle w:val="EndnoteReference"/>
          <w:szCs w:val="22"/>
        </w:rPr>
        <w:endnoteReference w:id="125"/>
      </w:r>
      <w:r>
        <w:t xml:space="preserve"> </w:t>
      </w:r>
      <w:r w:rsidRPr="0071774C">
        <w:t>There</w:t>
      </w:r>
      <w:r>
        <w:t xml:space="preserve"> </w:t>
      </w:r>
      <w:r w:rsidRPr="0071774C">
        <w:t>are</w:t>
      </w:r>
      <w:r>
        <w:t xml:space="preserve"> </w:t>
      </w:r>
      <w:r w:rsidRPr="0071774C">
        <w:t>also</w:t>
      </w:r>
      <w:r>
        <w:t xml:space="preserve"> </w:t>
      </w:r>
      <w:r w:rsidRPr="0071774C">
        <w:t>a</w:t>
      </w:r>
      <w:r>
        <w:t xml:space="preserve"> </w:t>
      </w:r>
      <w:r w:rsidRPr="0071774C">
        <w:t>range</w:t>
      </w:r>
      <w:r>
        <w:t xml:space="preserve"> </w:t>
      </w:r>
      <w:r w:rsidRPr="0071774C">
        <w:t>of</w:t>
      </w:r>
      <w:r>
        <w:t xml:space="preserve"> </w:t>
      </w:r>
      <w:r w:rsidRPr="0071774C">
        <w:t>best-practice</w:t>
      </w:r>
      <w:r>
        <w:t xml:space="preserve"> </w:t>
      </w:r>
      <w:r w:rsidRPr="0071774C">
        <w:t>guides,</w:t>
      </w:r>
      <w:r>
        <w:t xml:space="preserve"> </w:t>
      </w:r>
      <w:r w:rsidRPr="0071774C">
        <w:t>briefly</w:t>
      </w:r>
      <w:r>
        <w:t xml:space="preserve"> </w:t>
      </w:r>
      <w:r w:rsidRPr="0071774C">
        <w:t>explored</w:t>
      </w:r>
      <w:r>
        <w:t xml:space="preserve"> </w:t>
      </w:r>
      <w:r w:rsidRPr="0071774C">
        <w:t>below,</w:t>
      </w:r>
      <w:r>
        <w:t xml:space="preserve"> which provide </w:t>
      </w:r>
      <w:r w:rsidRPr="0071774C">
        <w:t>guidance</w:t>
      </w:r>
      <w:r>
        <w:t xml:space="preserve"> </w:t>
      </w:r>
      <w:r w:rsidRPr="0071774C">
        <w:t>on</w:t>
      </w:r>
      <w:r>
        <w:t xml:space="preserve"> </w:t>
      </w:r>
      <w:r w:rsidRPr="0071774C">
        <w:t>evaluating</w:t>
      </w:r>
      <w:r>
        <w:t xml:space="preserve"> </w:t>
      </w:r>
      <w:r w:rsidRPr="0071774C">
        <w:t>primary</w:t>
      </w:r>
      <w:r>
        <w:t xml:space="preserve"> </w:t>
      </w:r>
      <w:r w:rsidRPr="0071774C">
        <w:t>prevention</w:t>
      </w:r>
      <w:r>
        <w:t xml:space="preserve"> </w:t>
      </w:r>
      <w:r w:rsidRPr="0071774C">
        <w:t>activities.</w:t>
      </w:r>
      <w:r>
        <w:t xml:space="preserve"> </w:t>
      </w:r>
      <w:r w:rsidRPr="0071774C">
        <w:t>However,</w:t>
      </w:r>
      <w:r>
        <w:t xml:space="preserve"> </w:t>
      </w:r>
      <w:r w:rsidRPr="0071774C">
        <w:t>the</w:t>
      </w:r>
      <w:r>
        <w:t xml:space="preserve"> </w:t>
      </w:r>
      <w:r w:rsidRPr="0071774C">
        <w:t>extent</w:t>
      </w:r>
      <w:r>
        <w:t xml:space="preserve"> </w:t>
      </w:r>
      <w:r w:rsidRPr="0071774C">
        <w:t>to</w:t>
      </w:r>
      <w:r>
        <w:t xml:space="preserve"> </w:t>
      </w:r>
      <w:r w:rsidRPr="0071774C">
        <w:t>which</w:t>
      </w:r>
      <w:r>
        <w:t xml:space="preserve"> </w:t>
      </w:r>
      <w:r w:rsidR="00A33195" w:rsidRPr="0071774C">
        <w:t>monitoring</w:t>
      </w:r>
      <w:r>
        <w:t xml:space="preserve"> </w:t>
      </w:r>
      <w:r w:rsidRPr="0071774C">
        <w:t>and</w:t>
      </w:r>
      <w:r>
        <w:t xml:space="preserve"> </w:t>
      </w:r>
      <w:r w:rsidRPr="0071774C">
        <w:t>evaluation</w:t>
      </w:r>
      <w:r>
        <w:t xml:space="preserve"> </w:t>
      </w:r>
      <w:r w:rsidRPr="0071774C">
        <w:t>practices</w:t>
      </w:r>
      <w:r>
        <w:t xml:space="preserve"> </w:t>
      </w:r>
      <w:r w:rsidRPr="0071774C">
        <w:t>are</w:t>
      </w:r>
      <w:r>
        <w:t xml:space="preserve"> </w:t>
      </w:r>
      <w:r w:rsidRPr="0071774C">
        <w:t>informed</w:t>
      </w:r>
      <w:r>
        <w:t xml:space="preserve"> </w:t>
      </w:r>
      <w:r w:rsidRPr="0071774C">
        <w:t>by</w:t>
      </w:r>
      <w:r>
        <w:t xml:space="preserve"> </w:t>
      </w:r>
      <w:r w:rsidRPr="0071774C">
        <w:t>rigorous</w:t>
      </w:r>
      <w:r>
        <w:t xml:space="preserve"> </w:t>
      </w:r>
      <w:r w:rsidRPr="0071774C">
        <w:t>research</w:t>
      </w:r>
      <w:r>
        <w:t xml:space="preserve"> </w:t>
      </w:r>
      <w:r w:rsidRPr="0071774C">
        <w:t>principles</w:t>
      </w:r>
      <w:r>
        <w:t xml:space="preserve"> </w:t>
      </w:r>
      <w:r w:rsidRPr="0071774C">
        <w:t>and</w:t>
      </w:r>
      <w:r>
        <w:t xml:space="preserve"> </w:t>
      </w:r>
      <w:r w:rsidRPr="0071774C">
        <w:t>are</w:t>
      </w:r>
      <w:r>
        <w:t xml:space="preserve"> </w:t>
      </w:r>
      <w:r w:rsidRPr="0071774C">
        <w:t>ethical</w:t>
      </w:r>
      <w:r>
        <w:t xml:space="preserve"> </w:t>
      </w:r>
      <w:r w:rsidRPr="0071774C">
        <w:t>and</w:t>
      </w:r>
      <w:r>
        <w:t xml:space="preserve"> </w:t>
      </w:r>
      <w:r w:rsidRPr="0071774C">
        <w:t>fit-for-purpose,</w:t>
      </w:r>
      <w:r>
        <w:t xml:space="preserve"> </w:t>
      </w:r>
      <w:r w:rsidRPr="0071774C">
        <w:t>depends</w:t>
      </w:r>
      <w:r>
        <w:t xml:space="preserve"> </w:t>
      </w:r>
      <w:r w:rsidRPr="0071774C">
        <w:t>on</w:t>
      </w:r>
      <w:r>
        <w:t xml:space="preserve"> </w:t>
      </w:r>
      <w:r w:rsidRPr="0071774C">
        <w:t>the</w:t>
      </w:r>
      <w:r>
        <w:t xml:space="preserve"> </w:t>
      </w:r>
      <w:r w:rsidRPr="0071774C">
        <w:t>support,</w:t>
      </w:r>
      <w:r>
        <w:t xml:space="preserve"> </w:t>
      </w:r>
      <w:r w:rsidRPr="0071774C">
        <w:t>resources</w:t>
      </w:r>
      <w:r>
        <w:t xml:space="preserve"> </w:t>
      </w:r>
      <w:r w:rsidRPr="0071774C">
        <w:t>and</w:t>
      </w:r>
      <w:r>
        <w:t xml:space="preserve"> </w:t>
      </w:r>
      <w:r w:rsidRPr="0071774C">
        <w:t>capability</w:t>
      </w:r>
      <w:r>
        <w:t xml:space="preserve"> </w:t>
      </w:r>
      <w:r w:rsidRPr="0071774C">
        <w:t>of</w:t>
      </w:r>
      <w:r>
        <w:t xml:space="preserve"> </w:t>
      </w:r>
      <w:r w:rsidRPr="0071774C">
        <w:t>those</w:t>
      </w:r>
      <w:r>
        <w:t xml:space="preserve"> </w:t>
      </w:r>
      <w:r w:rsidRPr="0071774C">
        <w:t>designing</w:t>
      </w:r>
      <w:r>
        <w:t xml:space="preserve"> </w:t>
      </w:r>
      <w:r w:rsidRPr="0071774C">
        <w:t>and</w:t>
      </w:r>
      <w:r>
        <w:t xml:space="preserve"> </w:t>
      </w:r>
      <w:r w:rsidRPr="0071774C">
        <w:t>implementing</w:t>
      </w:r>
      <w:r>
        <w:t xml:space="preserve"> </w:t>
      </w:r>
      <w:r w:rsidRPr="0071774C">
        <w:t>the</w:t>
      </w:r>
      <w:r>
        <w:t xml:space="preserve"> </w:t>
      </w:r>
      <w:r w:rsidRPr="0071774C">
        <w:t>activity</w:t>
      </w:r>
      <w:r>
        <w:t xml:space="preserve"> </w:t>
      </w:r>
      <w:r w:rsidRPr="0071774C">
        <w:t>and</w:t>
      </w:r>
      <w:r>
        <w:t xml:space="preserve"> </w:t>
      </w:r>
      <w:r w:rsidRPr="0071774C">
        <w:t>evaluation.</w:t>
      </w:r>
      <w:r>
        <w:t xml:space="preserve"> </w:t>
      </w:r>
      <w:r w:rsidRPr="0071774C">
        <w:t>Therefore,</w:t>
      </w:r>
      <w:r>
        <w:t xml:space="preserve"> </w:t>
      </w:r>
      <w:r w:rsidRPr="0071774C">
        <w:t>the</w:t>
      </w:r>
      <w:r>
        <w:t xml:space="preserve"> </w:t>
      </w:r>
      <w:r w:rsidRPr="0071774C">
        <w:t>skills</w:t>
      </w:r>
      <w:r>
        <w:t xml:space="preserve"> </w:t>
      </w:r>
      <w:r w:rsidRPr="0071774C">
        <w:t>of</w:t>
      </w:r>
      <w:r>
        <w:t xml:space="preserve"> </w:t>
      </w:r>
      <w:r w:rsidRPr="0071774C">
        <w:t>the</w:t>
      </w:r>
      <w:r>
        <w:t xml:space="preserve"> </w:t>
      </w:r>
      <w:r w:rsidRPr="0071774C">
        <w:t>prevention</w:t>
      </w:r>
      <w:r>
        <w:t xml:space="preserve"> </w:t>
      </w:r>
      <w:r w:rsidRPr="0071774C">
        <w:t>workforce</w:t>
      </w:r>
      <w:r>
        <w:t xml:space="preserve"> </w:t>
      </w:r>
      <w:r w:rsidRPr="0071774C">
        <w:t>and</w:t>
      </w:r>
      <w:r>
        <w:t xml:space="preserve"> </w:t>
      </w:r>
      <w:r w:rsidRPr="0071774C">
        <w:t>the</w:t>
      </w:r>
      <w:r>
        <w:t xml:space="preserve"> </w:t>
      </w:r>
      <w:r w:rsidRPr="0071774C">
        <w:t>quality</w:t>
      </w:r>
      <w:r>
        <w:t xml:space="preserve"> </w:t>
      </w:r>
      <w:r w:rsidRPr="0071774C">
        <w:t>of</w:t>
      </w:r>
      <w:r>
        <w:t xml:space="preserve"> </w:t>
      </w:r>
      <w:r w:rsidRPr="0071774C">
        <w:t>supporting</w:t>
      </w:r>
      <w:r>
        <w:t xml:space="preserve"> </w:t>
      </w:r>
      <w:r w:rsidRPr="0071774C">
        <w:t>national</w:t>
      </w:r>
      <w:r>
        <w:t xml:space="preserve"> </w:t>
      </w:r>
      <w:r w:rsidRPr="0071774C">
        <w:t>frameworks</w:t>
      </w:r>
      <w:r>
        <w:t xml:space="preserve"> </w:t>
      </w:r>
      <w:r w:rsidRPr="0071774C">
        <w:t>and</w:t>
      </w:r>
      <w:r>
        <w:t xml:space="preserve"> </w:t>
      </w:r>
      <w:r w:rsidRPr="0071774C">
        <w:t>plans</w:t>
      </w:r>
      <w:r>
        <w:t xml:space="preserve"> </w:t>
      </w:r>
      <w:r w:rsidRPr="0071774C">
        <w:t>are</w:t>
      </w:r>
      <w:r>
        <w:t xml:space="preserve"> </w:t>
      </w:r>
      <w:r w:rsidRPr="0071774C">
        <w:t>critical</w:t>
      </w:r>
      <w:r>
        <w:t xml:space="preserve"> </w:t>
      </w:r>
      <w:r w:rsidRPr="0071774C">
        <w:t>elements</w:t>
      </w:r>
      <w:r>
        <w:t xml:space="preserve"> </w:t>
      </w:r>
      <w:r w:rsidRPr="0071774C">
        <w:t>of</w:t>
      </w:r>
      <w:r>
        <w:t xml:space="preserve"> </w:t>
      </w:r>
      <w:r w:rsidRPr="0071774C">
        <w:t>monitoring</w:t>
      </w:r>
      <w:r>
        <w:t xml:space="preserve"> </w:t>
      </w:r>
      <w:r w:rsidRPr="0071774C">
        <w:t>and</w:t>
      </w:r>
      <w:r>
        <w:t xml:space="preserve"> </w:t>
      </w:r>
      <w:r w:rsidRPr="0071774C">
        <w:t>evaluation.</w:t>
      </w:r>
    </w:p>
    <w:p w14:paraId="3EACEA0C" w14:textId="1041DB9F" w:rsidR="002C2EC7" w:rsidRDefault="002C2EC7" w:rsidP="00790783">
      <w:pPr>
        <w:pStyle w:val="BodyText"/>
      </w:pPr>
      <w:r w:rsidRPr="0071774C">
        <w:t>While</w:t>
      </w:r>
      <w:r>
        <w:t xml:space="preserve"> </w:t>
      </w:r>
      <w:r w:rsidRPr="0071774C">
        <w:t>evidence</w:t>
      </w:r>
      <w:r>
        <w:t xml:space="preserve"> </w:t>
      </w:r>
      <w:r w:rsidRPr="0071774C">
        <w:t>generation</w:t>
      </w:r>
      <w:r>
        <w:t xml:space="preserve"> </w:t>
      </w:r>
      <w:r w:rsidRPr="0071774C">
        <w:t>through</w:t>
      </w:r>
      <w:r>
        <w:t xml:space="preserve"> </w:t>
      </w:r>
      <w:r w:rsidRPr="0071774C">
        <w:t>research</w:t>
      </w:r>
      <w:r>
        <w:t xml:space="preserve"> </w:t>
      </w:r>
      <w:r w:rsidRPr="0071774C">
        <w:t>and</w:t>
      </w:r>
      <w:r>
        <w:t xml:space="preserve"> </w:t>
      </w:r>
      <w:r w:rsidRPr="0071774C">
        <w:t>syntheses</w:t>
      </w:r>
      <w:r>
        <w:t xml:space="preserve"> </w:t>
      </w:r>
      <w:r w:rsidRPr="0071774C">
        <w:t>to</w:t>
      </w:r>
      <w:r>
        <w:t xml:space="preserve"> </w:t>
      </w:r>
      <w:r w:rsidRPr="0071774C">
        <w:t>inform</w:t>
      </w:r>
      <w:r>
        <w:t xml:space="preserve"> </w:t>
      </w:r>
      <w:r w:rsidRPr="0071774C">
        <w:t>the</w:t>
      </w:r>
      <w:r>
        <w:t xml:space="preserve"> </w:t>
      </w:r>
      <w:r w:rsidRPr="0071774C">
        <w:t>emerging</w:t>
      </w:r>
      <w:r>
        <w:t xml:space="preserve"> </w:t>
      </w:r>
      <w:r w:rsidRPr="0071774C">
        <w:t>field</w:t>
      </w:r>
      <w:r>
        <w:t xml:space="preserve"> </w:t>
      </w:r>
      <w:r w:rsidRPr="0071774C">
        <w:t>of</w:t>
      </w:r>
      <w:r w:rsidR="00ED696B">
        <w:t> </w:t>
      </w:r>
      <w:r w:rsidRPr="0071774C">
        <w:t>primary</w:t>
      </w:r>
      <w:r>
        <w:t xml:space="preserve"> </w:t>
      </w:r>
      <w:r w:rsidRPr="0071774C">
        <w:t>prevention</w:t>
      </w:r>
      <w:r>
        <w:t xml:space="preserve"> </w:t>
      </w:r>
      <w:r w:rsidRPr="0071774C">
        <w:t>has</w:t>
      </w:r>
      <w:r>
        <w:t xml:space="preserve"> </w:t>
      </w:r>
      <w:r w:rsidRPr="0071774C">
        <w:t>been</w:t>
      </w:r>
      <w:r>
        <w:t xml:space="preserve"> </w:t>
      </w:r>
      <w:r w:rsidRPr="0071774C">
        <w:t>developing,</w:t>
      </w:r>
      <w:r>
        <w:t xml:space="preserve"> </w:t>
      </w:r>
      <w:r w:rsidRPr="0071774C">
        <w:t>researchers</w:t>
      </w:r>
      <w:r w:rsidR="003771BA">
        <w:t xml:space="preserve"> and</w:t>
      </w:r>
      <w:r>
        <w:t xml:space="preserve"> </w:t>
      </w:r>
      <w:r w:rsidRPr="0071774C">
        <w:t>organisations</w:t>
      </w:r>
      <w:r>
        <w:rPr>
          <w:rStyle w:val="EndnoteReference"/>
          <w:szCs w:val="22"/>
        </w:rPr>
        <w:endnoteReference w:id="126"/>
      </w:r>
      <w:r>
        <w:t xml:space="preserve"> </w:t>
      </w:r>
      <w:r w:rsidRPr="0071774C">
        <w:t>have</w:t>
      </w:r>
      <w:r>
        <w:t xml:space="preserve"> </w:t>
      </w:r>
      <w:r w:rsidRPr="0071774C">
        <w:t>been</w:t>
      </w:r>
      <w:r>
        <w:t xml:space="preserve"> </w:t>
      </w:r>
      <w:r w:rsidRPr="0071774C">
        <w:t>advocating</w:t>
      </w:r>
      <w:r>
        <w:t xml:space="preserve"> </w:t>
      </w:r>
      <w:r w:rsidRPr="0071774C">
        <w:t>for</w:t>
      </w:r>
      <w:r>
        <w:t xml:space="preserve"> </w:t>
      </w:r>
      <w:r w:rsidRPr="0071774C">
        <w:t>greater</w:t>
      </w:r>
      <w:r>
        <w:t xml:space="preserve"> </w:t>
      </w:r>
      <w:r w:rsidRPr="0071774C">
        <w:t>attention</w:t>
      </w:r>
      <w:r>
        <w:t xml:space="preserve"> </w:t>
      </w:r>
      <w:r w:rsidRPr="0071774C">
        <w:t>and</w:t>
      </w:r>
      <w:r>
        <w:t xml:space="preserve"> </w:t>
      </w:r>
      <w:r w:rsidRPr="0071774C">
        <w:t>recognition</w:t>
      </w:r>
      <w:r>
        <w:t xml:space="preserve"> to </w:t>
      </w:r>
      <w:r w:rsidRPr="0071774C">
        <w:t>be</w:t>
      </w:r>
      <w:r>
        <w:t xml:space="preserve"> </w:t>
      </w:r>
      <w:r w:rsidRPr="0071774C">
        <w:t>paid</w:t>
      </w:r>
      <w:r>
        <w:t xml:space="preserve"> </w:t>
      </w:r>
      <w:r w:rsidRPr="0071774C">
        <w:t>to</w:t>
      </w:r>
      <w:r>
        <w:t xml:space="preserve"> </w:t>
      </w:r>
      <w:r w:rsidRPr="0071774C">
        <w:t>the</w:t>
      </w:r>
      <w:r>
        <w:t xml:space="preserve"> </w:t>
      </w:r>
      <w:r w:rsidRPr="0071774C">
        <w:t>dimensions</w:t>
      </w:r>
      <w:r>
        <w:t xml:space="preserve"> </w:t>
      </w:r>
      <w:r w:rsidRPr="0071774C">
        <w:t>of</w:t>
      </w:r>
      <w:r>
        <w:t xml:space="preserve"> </w:t>
      </w:r>
      <w:r w:rsidRPr="0071774C">
        <w:t>power</w:t>
      </w:r>
      <w:r>
        <w:t xml:space="preserve"> </w:t>
      </w:r>
      <w:r w:rsidRPr="0071774C">
        <w:t>that</w:t>
      </w:r>
      <w:r>
        <w:t xml:space="preserve"> </w:t>
      </w:r>
      <w:r w:rsidRPr="0071774C">
        <w:t>privilege</w:t>
      </w:r>
      <w:r>
        <w:t xml:space="preserve"> </w:t>
      </w:r>
      <w:r w:rsidRPr="0071774C">
        <w:t>particular</w:t>
      </w:r>
      <w:r>
        <w:t xml:space="preserve"> </w:t>
      </w:r>
      <w:r w:rsidRPr="0071774C">
        <w:t>epistemological</w:t>
      </w:r>
      <w:r>
        <w:t xml:space="preserve"> </w:t>
      </w:r>
      <w:r w:rsidRPr="0071774C">
        <w:t>and</w:t>
      </w:r>
      <w:r>
        <w:t xml:space="preserve"> </w:t>
      </w:r>
      <w:r w:rsidRPr="0071774C">
        <w:t>methodological</w:t>
      </w:r>
      <w:r>
        <w:t xml:space="preserve"> </w:t>
      </w:r>
      <w:r w:rsidRPr="0071774C">
        <w:t>approaches</w:t>
      </w:r>
      <w:r>
        <w:t xml:space="preserve"> </w:t>
      </w:r>
      <w:r w:rsidRPr="0071774C">
        <w:t>to</w:t>
      </w:r>
      <w:r>
        <w:t xml:space="preserve"> </w:t>
      </w:r>
      <w:r w:rsidRPr="0071774C">
        <w:t>primary</w:t>
      </w:r>
      <w:r>
        <w:t xml:space="preserve"> </w:t>
      </w:r>
      <w:r w:rsidRPr="0071774C">
        <w:t>prevention</w:t>
      </w:r>
      <w:r>
        <w:t xml:space="preserve"> </w:t>
      </w:r>
      <w:r w:rsidRPr="0071774C">
        <w:t>planning,</w:t>
      </w:r>
      <w:r>
        <w:t xml:space="preserve"> </w:t>
      </w:r>
      <w:r w:rsidRPr="0071774C">
        <w:t>monitoring</w:t>
      </w:r>
      <w:r>
        <w:t xml:space="preserve"> </w:t>
      </w:r>
      <w:r w:rsidRPr="0071774C">
        <w:t>and</w:t>
      </w:r>
      <w:r>
        <w:t xml:space="preserve"> </w:t>
      </w:r>
      <w:r w:rsidRPr="0071774C">
        <w:t>evaluation.</w:t>
      </w:r>
      <w:r>
        <w:t xml:space="preserve"> </w:t>
      </w:r>
      <w:r w:rsidRPr="0071774C">
        <w:t>As</w:t>
      </w:r>
      <w:r>
        <w:t xml:space="preserve"> </w:t>
      </w:r>
      <w:r w:rsidRPr="0071774C">
        <w:t>such,</w:t>
      </w:r>
      <w:r>
        <w:t xml:space="preserve"> </w:t>
      </w:r>
      <w:r w:rsidRPr="0071774C">
        <w:t>there</w:t>
      </w:r>
      <w:r>
        <w:t xml:space="preserve"> </w:t>
      </w:r>
      <w:r w:rsidRPr="0071774C">
        <w:t>is</w:t>
      </w:r>
      <w:r>
        <w:t xml:space="preserve"> </w:t>
      </w:r>
      <w:r w:rsidRPr="0071774C">
        <w:t>a</w:t>
      </w:r>
      <w:r>
        <w:t xml:space="preserve"> </w:t>
      </w:r>
      <w:r w:rsidRPr="0071774C">
        <w:t>need</w:t>
      </w:r>
      <w:r>
        <w:t xml:space="preserve"> </w:t>
      </w:r>
      <w:r w:rsidRPr="0071774C">
        <w:t>for</w:t>
      </w:r>
      <w:r>
        <w:t xml:space="preserve"> </w:t>
      </w:r>
      <w:r w:rsidRPr="0071774C">
        <w:t>a</w:t>
      </w:r>
      <w:r>
        <w:t xml:space="preserve"> </w:t>
      </w:r>
      <w:r w:rsidRPr="0071774C">
        <w:t>much</w:t>
      </w:r>
      <w:r>
        <w:t xml:space="preserve"> </w:t>
      </w:r>
      <w:r w:rsidRPr="0071774C">
        <w:t>deeper</w:t>
      </w:r>
      <w:r>
        <w:t xml:space="preserve"> </w:t>
      </w:r>
      <w:r w:rsidRPr="0071774C">
        <w:t>and</w:t>
      </w:r>
      <w:r>
        <w:t xml:space="preserve"> </w:t>
      </w:r>
      <w:r w:rsidRPr="0071774C">
        <w:t>broader</w:t>
      </w:r>
      <w:r>
        <w:t xml:space="preserve"> </w:t>
      </w:r>
      <w:r w:rsidRPr="0071774C">
        <w:t>understanding</w:t>
      </w:r>
      <w:r>
        <w:t xml:space="preserve"> </w:t>
      </w:r>
      <w:r w:rsidRPr="0071774C">
        <w:t>of</w:t>
      </w:r>
      <w:r>
        <w:t xml:space="preserve"> </w:t>
      </w:r>
      <w:r w:rsidRPr="0071774C">
        <w:t>what</w:t>
      </w:r>
      <w:r>
        <w:t xml:space="preserve"> </w:t>
      </w:r>
      <w:r w:rsidRPr="0071774C">
        <w:t>constitutes</w:t>
      </w:r>
      <w:r>
        <w:t xml:space="preserve"> </w:t>
      </w:r>
      <w:r w:rsidRPr="0071774C">
        <w:t>research</w:t>
      </w:r>
      <w:r>
        <w:t xml:space="preserve"> </w:t>
      </w:r>
      <w:r w:rsidRPr="0071774C">
        <w:t>and</w:t>
      </w:r>
      <w:r>
        <w:t xml:space="preserve"> </w:t>
      </w:r>
      <w:r w:rsidRPr="0071774C">
        <w:t>evidence,</w:t>
      </w:r>
      <w:r>
        <w:t xml:space="preserve"> </w:t>
      </w:r>
      <w:r w:rsidRPr="0071774C">
        <w:t>who</w:t>
      </w:r>
      <w:r>
        <w:t xml:space="preserve"> </w:t>
      </w:r>
      <w:r w:rsidRPr="0071774C">
        <w:t>defines</w:t>
      </w:r>
      <w:r>
        <w:t xml:space="preserve"> </w:t>
      </w:r>
      <w:r w:rsidRPr="0071774C">
        <w:t>this,</w:t>
      </w:r>
      <w:r>
        <w:t xml:space="preserve"> </w:t>
      </w:r>
      <w:r w:rsidRPr="0071774C">
        <w:t>and</w:t>
      </w:r>
      <w:r>
        <w:t xml:space="preserve"> </w:t>
      </w:r>
      <w:r w:rsidRPr="0071774C">
        <w:t>how</w:t>
      </w:r>
      <w:r>
        <w:t xml:space="preserve"> </w:t>
      </w:r>
      <w:r w:rsidRPr="0071774C">
        <w:t>it</w:t>
      </w:r>
      <w:r>
        <w:t xml:space="preserve"> </w:t>
      </w:r>
      <w:r w:rsidRPr="0071774C">
        <w:t>will</w:t>
      </w:r>
      <w:r>
        <w:t xml:space="preserve"> </w:t>
      </w:r>
      <w:r w:rsidRPr="0071774C">
        <w:t>be</w:t>
      </w:r>
      <w:r>
        <w:t xml:space="preserve"> </w:t>
      </w:r>
      <w:r w:rsidRPr="0071774C">
        <w:t>collected</w:t>
      </w:r>
      <w:r>
        <w:t xml:space="preserve"> </w:t>
      </w:r>
      <w:r w:rsidRPr="0071774C">
        <w:t>and</w:t>
      </w:r>
      <w:r>
        <w:t xml:space="preserve"> </w:t>
      </w:r>
      <w:r w:rsidRPr="0071774C">
        <w:t>reported</w:t>
      </w:r>
      <w:r>
        <w:t xml:space="preserve"> </w:t>
      </w:r>
      <w:r w:rsidRPr="0071774C">
        <w:t>on.</w:t>
      </w:r>
      <w:r>
        <w:t xml:space="preserve"> </w:t>
      </w:r>
      <w:r w:rsidRPr="0071774C">
        <w:t>Evidence</w:t>
      </w:r>
      <w:r>
        <w:t xml:space="preserve"> </w:t>
      </w:r>
      <w:r w:rsidRPr="0071774C">
        <w:t>generation</w:t>
      </w:r>
      <w:r>
        <w:t xml:space="preserve"> </w:t>
      </w:r>
      <w:r w:rsidRPr="0071774C">
        <w:t>through</w:t>
      </w:r>
      <w:r>
        <w:t xml:space="preserve"> </w:t>
      </w:r>
      <w:r w:rsidRPr="0071774C">
        <w:t>research</w:t>
      </w:r>
      <w:r>
        <w:t xml:space="preserve"> </w:t>
      </w:r>
      <w:r w:rsidRPr="0071774C">
        <w:t>and</w:t>
      </w:r>
      <w:r>
        <w:t xml:space="preserve"> </w:t>
      </w:r>
      <w:r w:rsidRPr="0071774C">
        <w:t>data</w:t>
      </w:r>
      <w:r>
        <w:t xml:space="preserve"> </w:t>
      </w:r>
      <w:r w:rsidRPr="0071774C">
        <w:t>collection</w:t>
      </w:r>
      <w:r>
        <w:t xml:space="preserve"> </w:t>
      </w:r>
      <w:r w:rsidRPr="0071774C">
        <w:t>is</w:t>
      </w:r>
      <w:r>
        <w:t xml:space="preserve"> </w:t>
      </w:r>
      <w:r w:rsidRPr="0071774C">
        <w:lastRenderedPageBreak/>
        <w:t>not</w:t>
      </w:r>
      <w:r>
        <w:t xml:space="preserve"> </w:t>
      </w:r>
      <w:r w:rsidRPr="0071774C">
        <w:t>a</w:t>
      </w:r>
      <w:r>
        <w:t xml:space="preserve"> </w:t>
      </w:r>
      <w:r w:rsidRPr="0071774C">
        <w:t>neutral</w:t>
      </w:r>
      <w:r>
        <w:t xml:space="preserve"> </w:t>
      </w:r>
      <w:r w:rsidRPr="0071774C">
        <w:t>exercise.</w:t>
      </w:r>
      <w:r>
        <w:t xml:space="preserve"> </w:t>
      </w:r>
      <w:r w:rsidRPr="0071774C">
        <w:t>To</w:t>
      </w:r>
      <w:r>
        <w:t xml:space="preserve"> </w:t>
      </w:r>
      <w:r w:rsidRPr="0071774C">
        <w:t>be</w:t>
      </w:r>
      <w:r>
        <w:t xml:space="preserve"> </w:t>
      </w:r>
      <w:r w:rsidRPr="0071774C">
        <w:t>effective,</w:t>
      </w:r>
      <w:r>
        <w:t xml:space="preserve"> </w:t>
      </w:r>
      <w:r w:rsidRPr="0071774C">
        <w:t>choices</w:t>
      </w:r>
      <w:r>
        <w:t xml:space="preserve"> </w:t>
      </w:r>
      <w:r w:rsidRPr="0071774C">
        <w:t>about</w:t>
      </w:r>
      <w:r>
        <w:t xml:space="preserve"> </w:t>
      </w:r>
      <w:r w:rsidRPr="0071774C">
        <w:t>evidence</w:t>
      </w:r>
      <w:r>
        <w:t xml:space="preserve"> </w:t>
      </w:r>
      <w:r w:rsidRPr="0071774C">
        <w:t>generation</w:t>
      </w:r>
      <w:r>
        <w:t xml:space="preserve"> </w:t>
      </w:r>
      <w:r w:rsidRPr="0071774C">
        <w:t>need</w:t>
      </w:r>
      <w:r>
        <w:t xml:space="preserve"> </w:t>
      </w:r>
      <w:r w:rsidRPr="0071774C">
        <w:t>to</w:t>
      </w:r>
      <w:r>
        <w:t xml:space="preserve"> </w:t>
      </w:r>
      <w:r w:rsidRPr="0071774C">
        <w:t>be</w:t>
      </w:r>
      <w:r>
        <w:t xml:space="preserve"> </w:t>
      </w:r>
      <w:r w:rsidRPr="0071774C">
        <w:t>strategic</w:t>
      </w:r>
      <w:r>
        <w:t xml:space="preserve"> </w:t>
      </w:r>
      <w:r w:rsidRPr="0071774C">
        <w:t>and</w:t>
      </w:r>
      <w:r>
        <w:t xml:space="preserve"> </w:t>
      </w:r>
      <w:r w:rsidRPr="0071774C">
        <w:t>include</w:t>
      </w:r>
      <w:r>
        <w:t xml:space="preserve"> </w:t>
      </w:r>
      <w:r w:rsidRPr="0071774C">
        <w:t>discussions</w:t>
      </w:r>
      <w:r>
        <w:t xml:space="preserve"> </w:t>
      </w:r>
      <w:r w:rsidRPr="0071774C">
        <w:t>about</w:t>
      </w:r>
      <w:r>
        <w:t xml:space="preserve"> </w:t>
      </w:r>
      <w:r w:rsidRPr="0071774C">
        <w:t>the</w:t>
      </w:r>
      <w:r>
        <w:t xml:space="preserve"> </w:t>
      </w:r>
      <w:r w:rsidRPr="0071774C">
        <w:t>need</w:t>
      </w:r>
      <w:r>
        <w:t xml:space="preserve"> </w:t>
      </w:r>
      <w:r w:rsidRPr="0071774C">
        <w:t>for</w:t>
      </w:r>
      <w:r>
        <w:t xml:space="preserve">, </w:t>
      </w:r>
      <w:r w:rsidRPr="0071774C">
        <w:t>and</w:t>
      </w:r>
      <w:r>
        <w:t xml:space="preserve"> </w:t>
      </w:r>
      <w:r w:rsidRPr="0071774C">
        <w:t>use</w:t>
      </w:r>
      <w:r>
        <w:t xml:space="preserve"> </w:t>
      </w:r>
      <w:r w:rsidRPr="0071774C">
        <w:t>of</w:t>
      </w:r>
      <w:r>
        <w:t xml:space="preserve">, </w:t>
      </w:r>
      <w:r w:rsidRPr="0071774C">
        <w:t>evidence.</w:t>
      </w:r>
      <w:r>
        <w:t xml:space="preserve"> </w:t>
      </w:r>
      <w:r w:rsidRPr="0071774C">
        <w:t>Evidence</w:t>
      </w:r>
      <w:r>
        <w:t xml:space="preserve"> </w:t>
      </w:r>
      <w:r w:rsidRPr="0071774C">
        <w:t>building</w:t>
      </w:r>
      <w:r>
        <w:t xml:space="preserve"> </w:t>
      </w:r>
      <w:r w:rsidRPr="0071774C">
        <w:t>choices</w:t>
      </w:r>
      <w:r>
        <w:t xml:space="preserve"> </w:t>
      </w:r>
      <w:r w:rsidRPr="0071774C">
        <w:t>need</w:t>
      </w:r>
      <w:r>
        <w:t xml:space="preserve"> </w:t>
      </w:r>
      <w:r w:rsidRPr="0071774C">
        <w:t>to</w:t>
      </w:r>
      <w:r>
        <w:t xml:space="preserve"> </w:t>
      </w:r>
      <w:r w:rsidRPr="0071774C">
        <w:t>be</w:t>
      </w:r>
      <w:r>
        <w:t xml:space="preserve"> </w:t>
      </w:r>
      <w:r w:rsidRPr="0071774C">
        <w:t>guided</w:t>
      </w:r>
      <w:r>
        <w:t xml:space="preserve"> </w:t>
      </w:r>
      <w:r w:rsidRPr="0071774C">
        <w:t>and</w:t>
      </w:r>
      <w:r>
        <w:t xml:space="preserve"> </w:t>
      </w:r>
      <w:r w:rsidRPr="0071774C">
        <w:t>interrogated</w:t>
      </w:r>
      <w:r>
        <w:t xml:space="preserve"> </w:t>
      </w:r>
      <w:r w:rsidRPr="0071774C">
        <w:t>by</w:t>
      </w:r>
      <w:r>
        <w:t xml:space="preserve"> </w:t>
      </w:r>
      <w:r w:rsidRPr="0071774C">
        <w:t>considerations</w:t>
      </w:r>
      <w:r>
        <w:t xml:space="preserve"> </w:t>
      </w:r>
      <w:r w:rsidRPr="0071774C">
        <w:t>of</w:t>
      </w:r>
      <w:r>
        <w:t xml:space="preserve"> </w:t>
      </w:r>
      <w:r w:rsidRPr="0071774C">
        <w:t>power</w:t>
      </w:r>
      <w:r>
        <w:t xml:space="preserve"> </w:t>
      </w:r>
      <w:r w:rsidRPr="0071774C">
        <w:t>and</w:t>
      </w:r>
      <w:r>
        <w:t xml:space="preserve"> </w:t>
      </w:r>
      <w:r w:rsidRPr="0071774C">
        <w:t>privilege,</w:t>
      </w:r>
      <w:r>
        <w:t xml:space="preserve"> </w:t>
      </w:r>
      <w:r w:rsidRPr="0071774C">
        <w:t>asking</w:t>
      </w:r>
      <w:r>
        <w:t xml:space="preserve"> </w:t>
      </w:r>
      <w:r w:rsidRPr="0071774C">
        <w:t>questions</w:t>
      </w:r>
      <w:r>
        <w:t xml:space="preserve"> </w:t>
      </w:r>
      <w:r w:rsidRPr="0071774C">
        <w:t>such</w:t>
      </w:r>
      <w:r>
        <w:t xml:space="preserve"> </w:t>
      </w:r>
      <w:r w:rsidRPr="0071774C">
        <w:t>as:</w:t>
      </w:r>
      <w:r>
        <w:t xml:space="preserve"> </w:t>
      </w:r>
      <w:r w:rsidRPr="0071774C">
        <w:t>what</w:t>
      </w:r>
      <w:r>
        <w:t xml:space="preserve"> </w:t>
      </w:r>
      <w:r w:rsidRPr="0071774C">
        <w:t>is</w:t>
      </w:r>
      <w:r>
        <w:t xml:space="preserve"> </w:t>
      </w:r>
      <w:r w:rsidRPr="0071774C">
        <w:t>the</w:t>
      </w:r>
      <w:r>
        <w:t xml:space="preserve"> </w:t>
      </w:r>
      <w:r w:rsidRPr="0071774C">
        <w:t>purpose</w:t>
      </w:r>
      <w:r>
        <w:t xml:space="preserve"> </w:t>
      </w:r>
      <w:r w:rsidRPr="0071774C">
        <w:t>of</w:t>
      </w:r>
      <w:r>
        <w:t xml:space="preserve"> </w:t>
      </w:r>
      <w:r w:rsidRPr="0071774C">
        <w:t>this</w:t>
      </w:r>
      <w:r>
        <w:t xml:space="preserve"> </w:t>
      </w:r>
      <w:r w:rsidRPr="0071774C">
        <w:t>research</w:t>
      </w:r>
      <w:r>
        <w:t xml:space="preserve"> </w:t>
      </w:r>
      <w:r w:rsidRPr="0071774C">
        <w:t>and</w:t>
      </w:r>
      <w:r>
        <w:t xml:space="preserve"> </w:t>
      </w:r>
      <w:r w:rsidRPr="0071774C">
        <w:t>data</w:t>
      </w:r>
      <w:r>
        <w:t xml:space="preserve"> </w:t>
      </w:r>
      <w:r w:rsidRPr="0071774C">
        <w:t>collection?</w:t>
      </w:r>
      <w:r>
        <w:t xml:space="preserve"> W</w:t>
      </w:r>
      <w:r w:rsidRPr="0071774C">
        <w:t>ho</w:t>
      </w:r>
      <w:r>
        <w:t xml:space="preserve"> </w:t>
      </w:r>
      <w:r w:rsidRPr="0071774C">
        <w:t>will</w:t>
      </w:r>
      <w:r>
        <w:t xml:space="preserve"> </w:t>
      </w:r>
      <w:r w:rsidRPr="0071774C">
        <w:t>guide</w:t>
      </w:r>
      <w:r>
        <w:t xml:space="preserve"> </w:t>
      </w:r>
      <w:r w:rsidRPr="0071774C">
        <w:t>the</w:t>
      </w:r>
      <w:r>
        <w:t xml:space="preserve"> </w:t>
      </w:r>
      <w:r w:rsidRPr="0071774C">
        <w:t>process?</w:t>
      </w:r>
      <w:r>
        <w:t xml:space="preserve"> H</w:t>
      </w:r>
      <w:r w:rsidRPr="0071774C">
        <w:t>ow</w:t>
      </w:r>
      <w:r>
        <w:t xml:space="preserve"> </w:t>
      </w:r>
      <w:r w:rsidRPr="0071774C">
        <w:t>will</w:t>
      </w:r>
      <w:r>
        <w:t xml:space="preserve"> </w:t>
      </w:r>
      <w:r w:rsidRPr="0071774C">
        <w:t>the</w:t>
      </w:r>
      <w:r>
        <w:t xml:space="preserve"> </w:t>
      </w:r>
      <w:r w:rsidRPr="0071774C">
        <w:t>data</w:t>
      </w:r>
      <w:r>
        <w:t xml:space="preserve"> </w:t>
      </w:r>
      <w:r w:rsidRPr="0071774C">
        <w:t>be</w:t>
      </w:r>
      <w:r>
        <w:t xml:space="preserve"> </w:t>
      </w:r>
      <w:r w:rsidRPr="0071774C">
        <w:t>used?</w:t>
      </w:r>
      <w:r>
        <w:t xml:space="preserve"> W</w:t>
      </w:r>
      <w:r w:rsidRPr="0071774C">
        <w:t>ho</w:t>
      </w:r>
      <w:r>
        <w:t xml:space="preserve"> </w:t>
      </w:r>
      <w:r w:rsidRPr="0071774C">
        <w:t>will</w:t>
      </w:r>
      <w:r>
        <w:t xml:space="preserve"> </w:t>
      </w:r>
      <w:r w:rsidRPr="0071774C">
        <w:t>own</w:t>
      </w:r>
      <w:r>
        <w:t xml:space="preserve"> </w:t>
      </w:r>
      <w:r w:rsidRPr="0071774C">
        <w:t>it?</w:t>
      </w:r>
      <w:r>
        <w:t xml:space="preserve"> W</w:t>
      </w:r>
      <w:r w:rsidRPr="0071774C">
        <w:t>hich</w:t>
      </w:r>
      <w:r>
        <w:t xml:space="preserve"> </w:t>
      </w:r>
      <w:r w:rsidRPr="0071774C">
        <w:t>forms</w:t>
      </w:r>
      <w:r>
        <w:t xml:space="preserve"> </w:t>
      </w:r>
      <w:r w:rsidRPr="0071774C">
        <w:t>of</w:t>
      </w:r>
      <w:r>
        <w:t xml:space="preserve"> </w:t>
      </w:r>
      <w:r w:rsidRPr="0071774C">
        <w:t>knowledge</w:t>
      </w:r>
      <w:r>
        <w:t xml:space="preserve"> </w:t>
      </w:r>
      <w:r w:rsidRPr="0071774C">
        <w:t>are</w:t>
      </w:r>
      <w:r>
        <w:t xml:space="preserve"> </w:t>
      </w:r>
      <w:r w:rsidRPr="0071774C">
        <w:t>being</w:t>
      </w:r>
      <w:r>
        <w:t xml:space="preserve"> </w:t>
      </w:r>
      <w:r w:rsidRPr="0071774C">
        <w:t>privileged</w:t>
      </w:r>
      <w:r>
        <w:t xml:space="preserve"> </w:t>
      </w:r>
      <w:r w:rsidRPr="0071774C">
        <w:t>and</w:t>
      </w:r>
      <w:r>
        <w:t xml:space="preserve"> </w:t>
      </w:r>
      <w:r w:rsidRPr="0071774C">
        <w:t>which</w:t>
      </w:r>
      <w:r>
        <w:t xml:space="preserve"> </w:t>
      </w:r>
      <w:r w:rsidRPr="0071774C">
        <w:t>are</w:t>
      </w:r>
      <w:r>
        <w:t xml:space="preserve"> </w:t>
      </w:r>
      <w:r w:rsidRPr="0071774C">
        <w:t>not?</w:t>
      </w:r>
      <w:r>
        <w:t xml:space="preserve"> </w:t>
      </w:r>
      <w:r w:rsidRPr="0071774C">
        <w:t>What</w:t>
      </w:r>
      <w:r>
        <w:t xml:space="preserve"> </w:t>
      </w:r>
      <w:r w:rsidRPr="0071774C">
        <w:t>are</w:t>
      </w:r>
      <w:r>
        <w:t xml:space="preserve"> </w:t>
      </w:r>
      <w:r w:rsidRPr="0071774C">
        <w:t>the</w:t>
      </w:r>
      <w:r>
        <w:t xml:space="preserve"> </w:t>
      </w:r>
      <w:r w:rsidRPr="0071774C">
        <w:t>assumptions,</w:t>
      </w:r>
      <w:r>
        <w:t xml:space="preserve"> </w:t>
      </w:r>
      <w:r w:rsidRPr="0071774C">
        <w:t>silences</w:t>
      </w:r>
      <w:r>
        <w:t xml:space="preserve"> </w:t>
      </w:r>
      <w:r w:rsidRPr="0071774C">
        <w:t>and</w:t>
      </w:r>
      <w:r>
        <w:t xml:space="preserve"> </w:t>
      </w:r>
      <w:r w:rsidRPr="0071774C">
        <w:t>invisibilities</w:t>
      </w:r>
      <w:r>
        <w:t xml:space="preserve"> </w:t>
      </w:r>
      <w:r w:rsidRPr="0071774C">
        <w:t>in</w:t>
      </w:r>
      <w:r>
        <w:t xml:space="preserve"> </w:t>
      </w:r>
      <w:r w:rsidRPr="0071774C">
        <w:t>the</w:t>
      </w:r>
      <w:r>
        <w:t xml:space="preserve"> </w:t>
      </w:r>
      <w:r w:rsidRPr="0071774C">
        <w:t>process?</w:t>
      </w:r>
      <w:r>
        <w:t xml:space="preserve"> </w:t>
      </w:r>
      <w:r w:rsidRPr="0071774C">
        <w:t>The</w:t>
      </w:r>
      <w:r>
        <w:t xml:space="preserve"> </w:t>
      </w:r>
      <w:r w:rsidRPr="0071774C">
        <w:t>next</w:t>
      </w:r>
      <w:r>
        <w:t xml:space="preserve"> </w:t>
      </w:r>
      <w:r w:rsidRPr="0071774C">
        <w:t>monitoring</w:t>
      </w:r>
      <w:r>
        <w:t xml:space="preserve"> </w:t>
      </w:r>
      <w:r w:rsidRPr="0071774C">
        <w:t>report</w:t>
      </w:r>
      <w:r>
        <w:t xml:space="preserve"> </w:t>
      </w:r>
      <w:r w:rsidRPr="0071774C">
        <w:t>could</w:t>
      </w:r>
      <w:r>
        <w:t xml:space="preserve"> </w:t>
      </w:r>
      <w:r w:rsidRPr="0071774C">
        <w:t>investigate</w:t>
      </w:r>
      <w:r>
        <w:t xml:space="preserve"> </w:t>
      </w:r>
      <w:r w:rsidRPr="0071774C">
        <w:t>how</w:t>
      </w:r>
      <w:r>
        <w:t xml:space="preserve"> </w:t>
      </w:r>
      <w:r w:rsidRPr="0071774C">
        <w:t>this</w:t>
      </w:r>
      <w:r>
        <w:t xml:space="preserve"> </w:t>
      </w:r>
      <w:r w:rsidRPr="0071774C">
        <w:t>analysis</w:t>
      </w:r>
      <w:r>
        <w:t xml:space="preserve"> </w:t>
      </w:r>
      <w:r w:rsidRPr="0071774C">
        <w:t>is</w:t>
      </w:r>
      <w:r>
        <w:t xml:space="preserve"> </w:t>
      </w:r>
      <w:r w:rsidRPr="0071774C">
        <w:t>being</w:t>
      </w:r>
      <w:r>
        <w:t xml:space="preserve"> </w:t>
      </w:r>
      <w:r w:rsidRPr="0071774C">
        <w:t>supported</w:t>
      </w:r>
      <w:r>
        <w:t xml:space="preserve"> </w:t>
      </w:r>
      <w:r w:rsidRPr="0071774C">
        <w:t>in</w:t>
      </w:r>
      <w:r>
        <w:t xml:space="preserve"> </w:t>
      </w:r>
      <w:r w:rsidRPr="0071774C">
        <w:t>monitoring</w:t>
      </w:r>
      <w:r>
        <w:t xml:space="preserve"> </w:t>
      </w:r>
      <w:r w:rsidRPr="0071774C">
        <w:t>and</w:t>
      </w:r>
      <w:r>
        <w:t xml:space="preserve"> </w:t>
      </w:r>
      <w:r w:rsidRPr="0071774C">
        <w:t>evaluative</w:t>
      </w:r>
      <w:r>
        <w:t xml:space="preserve"> </w:t>
      </w:r>
      <w:r w:rsidRPr="0071774C">
        <w:t>approaches,</w:t>
      </w:r>
      <w:r>
        <w:t xml:space="preserve"> </w:t>
      </w:r>
      <w:r w:rsidRPr="0071774C">
        <w:t>including</w:t>
      </w:r>
      <w:r>
        <w:t xml:space="preserve"> </w:t>
      </w:r>
      <w:r w:rsidRPr="0071774C">
        <w:t>evaluation</w:t>
      </w:r>
      <w:r>
        <w:t xml:space="preserve"> </w:t>
      </w:r>
      <w:r w:rsidRPr="0071774C">
        <w:t>of</w:t>
      </w:r>
      <w:r>
        <w:t xml:space="preserve"> </w:t>
      </w:r>
      <w:r w:rsidRPr="0071774C">
        <w:t>strategy</w:t>
      </w:r>
      <w:r>
        <w:t xml:space="preserve"> </w:t>
      </w:r>
      <w:r w:rsidRPr="0071774C">
        <w:t>and</w:t>
      </w:r>
      <w:r>
        <w:t xml:space="preserve"> </w:t>
      </w:r>
      <w:r w:rsidRPr="0071774C">
        <w:t>framework</w:t>
      </w:r>
      <w:r>
        <w:t xml:space="preserve"> </w:t>
      </w:r>
      <w:r w:rsidRPr="0071774C">
        <w:t>design,</w:t>
      </w:r>
      <w:r>
        <w:t xml:space="preserve"> </w:t>
      </w:r>
      <w:r w:rsidRPr="0071774C">
        <w:t>guides</w:t>
      </w:r>
      <w:r>
        <w:t xml:space="preserve"> </w:t>
      </w:r>
      <w:r w:rsidRPr="0071774C">
        <w:t>and</w:t>
      </w:r>
      <w:r>
        <w:t xml:space="preserve"> </w:t>
      </w:r>
      <w:r w:rsidRPr="0071774C">
        <w:t>tools</w:t>
      </w:r>
      <w:r>
        <w:t xml:space="preserve">, </w:t>
      </w:r>
      <w:r w:rsidRPr="0071774C">
        <w:t>and</w:t>
      </w:r>
      <w:r>
        <w:t xml:space="preserve"> </w:t>
      </w:r>
      <w:r w:rsidRPr="0071774C">
        <w:t>skill</w:t>
      </w:r>
      <w:r>
        <w:t xml:space="preserve"> </w:t>
      </w:r>
      <w:r w:rsidRPr="0071774C">
        <w:t>development</w:t>
      </w:r>
      <w:r>
        <w:t xml:space="preserve"> </w:t>
      </w:r>
      <w:r w:rsidRPr="0071774C">
        <w:t>activities.</w:t>
      </w:r>
    </w:p>
    <w:p w14:paraId="0A9B9F6F" w14:textId="77777777" w:rsidR="002C2EC7" w:rsidRDefault="002C2EC7" w:rsidP="00790783">
      <w:pPr>
        <w:pStyle w:val="Heading5"/>
      </w:pPr>
      <w:bookmarkStart w:id="65" w:name="_Toc41559739"/>
      <w:r w:rsidRPr="0071774C">
        <w:t>Monitoring</w:t>
      </w:r>
      <w:r>
        <w:t xml:space="preserve"> </w:t>
      </w:r>
      <w:r w:rsidRPr="0071774C">
        <w:t>and</w:t>
      </w:r>
      <w:r>
        <w:t xml:space="preserve"> </w:t>
      </w:r>
      <w:r w:rsidRPr="0071774C">
        <w:t>evaluation</w:t>
      </w:r>
      <w:r>
        <w:t xml:space="preserve"> </w:t>
      </w:r>
      <w:r w:rsidRPr="0071774C">
        <w:t>frameworks</w:t>
      </w:r>
      <w:bookmarkEnd w:id="65"/>
    </w:p>
    <w:p w14:paraId="0F402D55" w14:textId="3D8CBEF6" w:rsidR="002C2EC7" w:rsidRDefault="002C2EC7" w:rsidP="00790783">
      <w:pPr>
        <w:pStyle w:val="BodyText"/>
      </w:pPr>
      <w:r w:rsidRPr="00ED4674">
        <w:rPr>
          <w:rStyle w:val="Emphasis"/>
        </w:rPr>
        <w:t xml:space="preserve">Counting on change </w:t>
      </w:r>
      <w:r w:rsidRPr="0071774C">
        <w:t>is</w:t>
      </w:r>
      <w:r>
        <w:t xml:space="preserve"> </w:t>
      </w:r>
      <w:r w:rsidRPr="0071774C">
        <w:t>a</w:t>
      </w:r>
      <w:r>
        <w:t xml:space="preserve"> </w:t>
      </w:r>
      <w:r w:rsidRPr="0071774C">
        <w:t>significant</w:t>
      </w:r>
      <w:r>
        <w:t xml:space="preserve"> </w:t>
      </w:r>
      <w:r w:rsidRPr="0071774C">
        <w:t>global</w:t>
      </w:r>
      <w:r>
        <w:t xml:space="preserve"> </w:t>
      </w:r>
      <w:r w:rsidRPr="0071774C">
        <w:t>advancement</w:t>
      </w:r>
      <w:r>
        <w:t xml:space="preserve"> </w:t>
      </w:r>
      <w:r w:rsidRPr="0071774C">
        <w:t>in</w:t>
      </w:r>
      <w:r>
        <w:t xml:space="preserve"> </w:t>
      </w:r>
      <w:r w:rsidRPr="0071774C">
        <w:t>relation</w:t>
      </w:r>
      <w:r>
        <w:t xml:space="preserve"> </w:t>
      </w:r>
      <w:r w:rsidRPr="0071774C">
        <w:t>to</w:t>
      </w:r>
      <w:r>
        <w:t xml:space="preserve"> </w:t>
      </w:r>
      <w:r w:rsidRPr="0071774C">
        <w:t>the</w:t>
      </w:r>
      <w:r>
        <w:t xml:space="preserve"> </w:t>
      </w:r>
      <w:r w:rsidRPr="0071774C">
        <w:t>monitoring</w:t>
      </w:r>
      <w:r>
        <w:t xml:space="preserve"> </w:t>
      </w:r>
      <w:r w:rsidRPr="0071774C">
        <w:t>of</w:t>
      </w:r>
      <w:r>
        <w:t xml:space="preserve"> </w:t>
      </w:r>
      <w:r w:rsidRPr="0071774C">
        <w:t>population-level</w:t>
      </w:r>
      <w:r>
        <w:t xml:space="preserve"> </w:t>
      </w:r>
      <w:r w:rsidRPr="0071774C">
        <w:t>change.</w:t>
      </w:r>
      <w:r>
        <w:t xml:space="preserve"> </w:t>
      </w:r>
      <w:r w:rsidRPr="0071774C">
        <w:t>Alongside</w:t>
      </w:r>
      <w:r>
        <w:t xml:space="preserve"> </w:t>
      </w:r>
      <w:r w:rsidRPr="00ED4674">
        <w:rPr>
          <w:rStyle w:val="Emphasis"/>
        </w:rPr>
        <w:t>Counting on change</w:t>
      </w:r>
      <w:r w:rsidRPr="00ED4674">
        <w:t>, th</w:t>
      </w:r>
      <w:r w:rsidRPr="0071774C">
        <w:t>ere</w:t>
      </w:r>
      <w:r>
        <w:t xml:space="preserve"> </w:t>
      </w:r>
      <w:r w:rsidRPr="0071774C">
        <w:t>has</w:t>
      </w:r>
      <w:r>
        <w:t xml:space="preserve"> </w:t>
      </w:r>
      <w:r w:rsidRPr="0071774C">
        <w:t>been</w:t>
      </w:r>
      <w:r>
        <w:t xml:space="preserve"> </w:t>
      </w:r>
      <w:r w:rsidRPr="0071774C">
        <w:t>some</w:t>
      </w:r>
      <w:r>
        <w:t xml:space="preserve"> </w:t>
      </w:r>
      <w:r w:rsidRPr="0071774C">
        <w:t>increase</w:t>
      </w:r>
      <w:r>
        <w:t xml:space="preserve"> </w:t>
      </w:r>
      <w:r w:rsidRPr="0071774C">
        <w:t>in</w:t>
      </w:r>
      <w:r>
        <w:t xml:space="preserve"> </w:t>
      </w:r>
      <w:r w:rsidRPr="0071774C">
        <w:t>the</w:t>
      </w:r>
      <w:r w:rsidR="007C6FB4">
        <w:t> </w:t>
      </w:r>
      <w:r w:rsidRPr="0071774C">
        <w:t>development</w:t>
      </w:r>
      <w:r>
        <w:t xml:space="preserve"> </w:t>
      </w:r>
      <w:r w:rsidRPr="0071774C">
        <w:t>of</w:t>
      </w:r>
      <w:r>
        <w:t xml:space="preserve"> </w:t>
      </w:r>
      <w:r w:rsidRPr="0071774C">
        <w:t>monitoring</w:t>
      </w:r>
      <w:r>
        <w:t xml:space="preserve"> </w:t>
      </w:r>
      <w:r w:rsidRPr="0071774C">
        <w:t>and</w:t>
      </w:r>
      <w:r>
        <w:t xml:space="preserve"> </w:t>
      </w:r>
      <w:r w:rsidRPr="0071774C">
        <w:t>reporting</w:t>
      </w:r>
      <w:r>
        <w:t xml:space="preserve"> </w:t>
      </w:r>
      <w:r w:rsidRPr="0071774C">
        <w:t>frameworks,</w:t>
      </w:r>
      <w:r>
        <w:t xml:space="preserve"> </w:t>
      </w:r>
      <w:r w:rsidRPr="0071774C">
        <w:t>most</w:t>
      </w:r>
      <w:r>
        <w:t xml:space="preserve"> </w:t>
      </w:r>
      <w:r w:rsidRPr="0071774C">
        <w:t>of</w:t>
      </w:r>
      <w:r>
        <w:t xml:space="preserve"> </w:t>
      </w:r>
      <w:r w:rsidRPr="0071774C">
        <w:t>which</w:t>
      </w:r>
      <w:r>
        <w:t xml:space="preserve"> </w:t>
      </w:r>
      <w:r w:rsidRPr="0071774C">
        <w:t>sit</w:t>
      </w:r>
      <w:r>
        <w:t xml:space="preserve"> </w:t>
      </w:r>
      <w:r w:rsidRPr="0071774C">
        <w:t>alongside</w:t>
      </w:r>
      <w:r>
        <w:t xml:space="preserve"> </w:t>
      </w:r>
      <w:r w:rsidRPr="0071774C">
        <w:t>jurisdictional</w:t>
      </w:r>
      <w:r>
        <w:t xml:space="preserve"> </w:t>
      </w:r>
      <w:r w:rsidRPr="0071774C">
        <w:t>plans</w:t>
      </w:r>
      <w:r>
        <w:t xml:space="preserve"> </w:t>
      </w:r>
      <w:r w:rsidRPr="0071774C">
        <w:t>and</w:t>
      </w:r>
      <w:r>
        <w:t xml:space="preserve"> </w:t>
      </w:r>
      <w:r w:rsidRPr="0071774C">
        <w:t>strategies</w:t>
      </w:r>
      <w:r>
        <w:t xml:space="preserve"> </w:t>
      </w:r>
      <w:r w:rsidRPr="0071774C">
        <w:t>with</w:t>
      </w:r>
      <w:r>
        <w:t xml:space="preserve"> </w:t>
      </w:r>
      <w:r w:rsidRPr="0071774C">
        <w:t>accountabilities</w:t>
      </w:r>
      <w:r>
        <w:t xml:space="preserve"> </w:t>
      </w:r>
      <w:r w:rsidRPr="0071774C">
        <w:t>largely</w:t>
      </w:r>
      <w:r>
        <w:t xml:space="preserve"> </w:t>
      </w:r>
      <w:r w:rsidRPr="0071774C">
        <w:t>articulated</w:t>
      </w:r>
      <w:r>
        <w:t xml:space="preserve"> </w:t>
      </w:r>
      <w:r w:rsidRPr="0071774C">
        <w:t>at</w:t>
      </w:r>
      <w:r>
        <w:t xml:space="preserve"> </w:t>
      </w:r>
      <w:r w:rsidRPr="0071774C">
        <w:t>the</w:t>
      </w:r>
      <w:r>
        <w:t xml:space="preserve"> </w:t>
      </w:r>
      <w:r w:rsidRPr="0071774C">
        <w:t>jurisdictional</w:t>
      </w:r>
      <w:r>
        <w:t xml:space="preserve"> </w:t>
      </w:r>
      <w:r w:rsidRPr="0071774C">
        <w:t>level</w:t>
      </w:r>
      <w:r>
        <w:t xml:space="preserve"> </w:t>
      </w:r>
      <w:r w:rsidRPr="0071774C">
        <w:t>and</w:t>
      </w:r>
      <w:r>
        <w:t xml:space="preserve"> </w:t>
      </w:r>
      <w:r w:rsidRPr="0071774C">
        <w:t>primarily</w:t>
      </w:r>
      <w:r>
        <w:t xml:space="preserve"> </w:t>
      </w:r>
      <w:r w:rsidRPr="0071774C">
        <w:t>related</w:t>
      </w:r>
      <w:r>
        <w:t xml:space="preserve"> </w:t>
      </w:r>
      <w:r w:rsidRPr="0071774C">
        <w:t>to</w:t>
      </w:r>
      <w:r>
        <w:t xml:space="preserve"> </w:t>
      </w:r>
      <w:r w:rsidRPr="0071774C">
        <w:t>data</w:t>
      </w:r>
      <w:r>
        <w:t xml:space="preserve"> </w:t>
      </w:r>
      <w:r w:rsidRPr="0071774C">
        <w:t>collection.</w:t>
      </w:r>
      <w:r>
        <w:t xml:space="preserve"> </w:t>
      </w:r>
      <w:r w:rsidRPr="0071774C">
        <w:t>The</w:t>
      </w:r>
      <w:r>
        <w:t xml:space="preserve"> </w:t>
      </w:r>
      <w:r w:rsidRPr="0071774C">
        <w:t>forms</w:t>
      </w:r>
      <w:r>
        <w:t xml:space="preserve"> </w:t>
      </w:r>
      <w:r w:rsidRPr="0071774C">
        <w:t>that</w:t>
      </w:r>
      <w:r>
        <w:t xml:space="preserve"> </w:t>
      </w:r>
      <w:r w:rsidRPr="0071774C">
        <w:t>these</w:t>
      </w:r>
      <w:r>
        <w:t xml:space="preserve"> </w:t>
      </w:r>
      <w:r w:rsidRPr="0071774C">
        <w:t>frameworks</w:t>
      </w:r>
      <w:r>
        <w:t xml:space="preserve"> </w:t>
      </w:r>
      <w:r w:rsidRPr="0071774C">
        <w:t>take</w:t>
      </w:r>
      <w:r>
        <w:t xml:space="preserve"> </w:t>
      </w:r>
      <w:r w:rsidRPr="0071774C">
        <w:t>is</w:t>
      </w:r>
      <w:r>
        <w:t xml:space="preserve"> </w:t>
      </w:r>
      <w:r w:rsidRPr="0071774C">
        <w:t>linked</w:t>
      </w:r>
      <w:r>
        <w:t xml:space="preserve"> </w:t>
      </w:r>
      <w:r w:rsidRPr="0071774C">
        <w:t>to</w:t>
      </w:r>
      <w:r>
        <w:t xml:space="preserve"> </w:t>
      </w:r>
      <w:r w:rsidRPr="0071774C">
        <w:t>the</w:t>
      </w:r>
      <w:r>
        <w:t xml:space="preserve"> </w:t>
      </w:r>
      <w:r w:rsidRPr="0071774C">
        <w:t>approach</w:t>
      </w:r>
      <w:r>
        <w:t xml:space="preserve"> </w:t>
      </w:r>
      <w:r w:rsidRPr="0071774C">
        <w:t>of</w:t>
      </w:r>
      <w:r>
        <w:t xml:space="preserve"> </w:t>
      </w:r>
      <w:r w:rsidRPr="0071774C">
        <w:t>the</w:t>
      </w:r>
      <w:r>
        <w:t xml:space="preserve"> </w:t>
      </w:r>
      <w:r w:rsidRPr="0071774C">
        <w:t>jurisdiction</w:t>
      </w:r>
      <w:r>
        <w:t xml:space="preserve"> </w:t>
      </w:r>
      <w:r w:rsidRPr="0071774C">
        <w:t>and</w:t>
      </w:r>
      <w:r>
        <w:t xml:space="preserve"> </w:t>
      </w:r>
      <w:r w:rsidRPr="0071774C">
        <w:t>ranges</w:t>
      </w:r>
      <w:r>
        <w:t xml:space="preserve"> </w:t>
      </w:r>
      <w:r w:rsidRPr="0071774C">
        <w:t>from</w:t>
      </w:r>
      <w:r>
        <w:t xml:space="preserve"> </w:t>
      </w:r>
      <w:r w:rsidRPr="0071774C">
        <w:t>outcomes</w:t>
      </w:r>
      <w:r>
        <w:t xml:space="preserve"> </w:t>
      </w:r>
      <w:r w:rsidRPr="0071774C">
        <w:t>frameworks</w:t>
      </w:r>
      <w:r>
        <w:t xml:space="preserve"> </w:t>
      </w:r>
      <w:r w:rsidRPr="0071774C">
        <w:t>(with</w:t>
      </w:r>
      <w:r>
        <w:t xml:space="preserve"> </w:t>
      </w:r>
      <w:r w:rsidRPr="0071774C">
        <w:t>anticipated</w:t>
      </w:r>
      <w:r>
        <w:t xml:space="preserve"> </w:t>
      </w:r>
      <w:r w:rsidRPr="0071774C">
        <w:t>monitoring,</w:t>
      </w:r>
      <w:r>
        <w:t xml:space="preserve"> </w:t>
      </w:r>
      <w:r w:rsidRPr="0071774C">
        <w:t>evaluation</w:t>
      </w:r>
      <w:r w:rsidR="005D5D61">
        <w:t>,</w:t>
      </w:r>
      <w:r>
        <w:t xml:space="preserve"> </w:t>
      </w:r>
      <w:r w:rsidRPr="0071774C">
        <w:t>and</w:t>
      </w:r>
      <w:r>
        <w:t xml:space="preserve"> </w:t>
      </w:r>
      <w:r w:rsidRPr="0071774C">
        <w:t>reporting</w:t>
      </w:r>
      <w:r>
        <w:t xml:space="preserve"> </w:t>
      </w:r>
      <w:r w:rsidRPr="0071774C">
        <w:t>frameworks),</w:t>
      </w:r>
      <w:r>
        <w:t xml:space="preserve"> </w:t>
      </w:r>
      <w:r w:rsidRPr="0071774C">
        <w:t>to</w:t>
      </w:r>
      <w:r>
        <w:t xml:space="preserve"> </w:t>
      </w:r>
      <w:r w:rsidRPr="0071774C">
        <w:t>evaluation</w:t>
      </w:r>
      <w:r>
        <w:t xml:space="preserve"> </w:t>
      </w:r>
      <w:r w:rsidRPr="0071774C">
        <w:t>frameworks</w:t>
      </w:r>
      <w:r>
        <w:t xml:space="preserve"> </w:t>
      </w:r>
      <w:r w:rsidRPr="0071774C">
        <w:t>linked</w:t>
      </w:r>
      <w:r>
        <w:t xml:space="preserve"> </w:t>
      </w:r>
      <w:r w:rsidRPr="0071774C">
        <w:t>to</w:t>
      </w:r>
      <w:r>
        <w:t xml:space="preserve"> </w:t>
      </w:r>
      <w:r w:rsidRPr="0071774C">
        <w:t>specific</w:t>
      </w:r>
      <w:r>
        <w:t xml:space="preserve"> </w:t>
      </w:r>
      <w:r w:rsidRPr="0071774C">
        <w:t>strategies.</w:t>
      </w:r>
      <w:r>
        <w:t xml:space="preserve"> </w:t>
      </w:r>
      <w:r w:rsidRPr="0071774C">
        <w:t>Accountabilities</w:t>
      </w:r>
      <w:r>
        <w:t xml:space="preserve"> </w:t>
      </w:r>
      <w:r w:rsidRPr="0071774C">
        <w:t>relating</w:t>
      </w:r>
      <w:r>
        <w:t xml:space="preserve"> </w:t>
      </w:r>
      <w:r w:rsidRPr="0071774C">
        <w:t>to</w:t>
      </w:r>
      <w:r>
        <w:t xml:space="preserve"> </w:t>
      </w:r>
      <w:r w:rsidRPr="0071774C">
        <w:t>the</w:t>
      </w:r>
      <w:r>
        <w:t xml:space="preserve"> </w:t>
      </w:r>
      <w:r w:rsidRPr="0071774C">
        <w:t>use</w:t>
      </w:r>
      <w:r>
        <w:t xml:space="preserve"> </w:t>
      </w:r>
      <w:r w:rsidRPr="0071774C">
        <w:t>of</w:t>
      </w:r>
      <w:r>
        <w:t xml:space="preserve"> </w:t>
      </w:r>
      <w:r w:rsidRPr="0071774C">
        <w:t>shared</w:t>
      </w:r>
      <w:r>
        <w:t xml:space="preserve"> </w:t>
      </w:r>
      <w:r w:rsidRPr="0071774C">
        <w:t>monitoring</w:t>
      </w:r>
      <w:r>
        <w:t xml:space="preserve"> </w:t>
      </w:r>
      <w:r w:rsidRPr="0071774C">
        <w:t>and/or</w:t>
      </w:r>
      <w:r>
        <w:t xml:space="preserve"> </w:t>
      </w:r>
      <w:r w:rsidRPr="0071774C">
        <w:t>evaluation</w:t>
      </w:r>
      <w:r>
        <w:t xml:space="preserve"> </w:t>
      </w:r>
      <w:r w:rsidRPr="0071774C">
        <w:t>frameworks</w:t>
      </w:r>
      <w:r>
        <w:t xml:space="preserve"> </w:t>
      </w:r>
      <w:r w:rsidRPr="0071774C">
        <w:t>are</w:t>
      </w:r>
      <w:r>
        <w:t xml:space="preserve"> </w:t>
      </w:r>
      <w:r w:rsidRPr="0071774C">
        <w:t>also</w:t>
      </w:r>
      <w:r>
        <w:t xml:space="preserve"> </w:t>
      </w:r>
      <w:r w:rsidRPr="0071774C">
        <w:t>largely</w:t>
      </w:r>
      <w:r>
        <w:t xml:space="preserve"> </w:t>
      </w:r>
      <w:r w:rsidRPr="0071774C">
        <w:t>articulated</w:t>
      </w:r>
      <w:r>
        <w:t xml:space="preserve"> </w:t>
      </w:r>
      <w:r w:rsidRPr="0071774C">
        <w:t>at</w:t>
      </w:r>
      <w:r>
        <w:t xml:space="preserve"> </w:t>
      </w:r>
      <w:r w:rsidRPr="0071774C">
        <w:t>the</w:t>
      </w:r>
      <w:r>
        <w:t xml:space="preserve"> </w:t>
      </w:r>
      <w:r w:rsidRPr="0071774C">
        <w:t>jurisdictional</w:t>
      </w:r>
      <w:r>
        <w:t xml:space="preserve"> </w:t>
      </w:r>
      <w:r w:rsidRPr="0071774C">
        <w:t>level.</w:t>
      </w:r>
    </w:p>
    <w:p w14:paraId="2C17DEB6" w14:textId="7C5BB7A5" w:rsidR="002C2EC7" w:rsidRDefault="002C2EC7" w:rsidP="00790783">
      <w:pPr>
        <w:pStyle w:val="BodyText"/>
      </w:pPr>
      <w:r w:rsidRPr="0071774C">
        <w:t>Below</w:t>
      </w:r>
      <w:r>
        <w:t xml:space="preserve"> </w:t>
      </w:r>
      <w:r w:rsidRPr="0071774C">
        <w:t>the</w:t>
      </w:r>
      <w:r>
        <w:t xml:space="preserve"> </w:t>
      </w:r>
      <w:r w:rsidRPr="0071774C">
        <w:t>jurisdictional</w:t>
      </w:r>
      <w:r>
        <w:t xml:space="preserve"> </w:t>
      </w:r>
      <w:r w:rsidRPr="0071774C">
        <w:t>level,</w:t>
      </w:r>
      <w:r>
        <w:t xml:space="preserve"> </w:t>
      </w:r>
      <w:r w:rsidRPr="0071774C">
        <w:rPr>
          <w:bCs/>
        </w:rPr>
        <w:t>there</w:t>
      </w:r>
      <w:r>
        <w:rPr>
          <w:bCs/>
        </w:rPr>
        <w:t xml:space="preserve"> </w:t>
      </w:r>
      <w:r w:rsidRPr="0071774C">
        <w:rPr>
          <w:bCs/>
        </w:rPr>
        <w:t>is</w:t>
      </w:r>
      <w:r>
        <w:rPr>
          <w:bCs/>
        </w:rPr>
        <w:t xml:space="preserve"> </w:t>
      </w:r>
      <w:r w:rsidRPr="0071774C">
        <w:rPr>
          <w:bCs/>
        </w:rPr>
        <w:t>a</w:t>
      </w:r>
      <w:r>
        <w:rPr>
          <w:bCs/>
        </w:rPr>
        <w:t xml:space="preserve"> </w:t>
      </w:r>
      <w:r w:rsidRPr="0071774C">
        <w:rPr>
          <w:bCs/>
        </w:rPr>
        <w:t>general</w:t>
      </w:r>
      <w:r>
        <w:rPr>
          <w:bCs/>
        </w:rPr>
        <w:t xml:space="preserve"> </w:t>
      </w:r>
      <w:r w:rsidRPr="0071774C">
        <w:rPr>
          <w:bCs/>
        </w:rPr>
        <w:t>lack</w:t>
      </w:r>
      <w:r>
        <w:rPr>
          <w:bCs/>
        </w:rPr>
        <w:t xml:space="preserve"> </w:t>
      </w:r>
      <w:r w:rsidRPr="0071774C">
        <w:rPr>
          <w:bCs/>
        </w:rPr>
        <w:t>of</w:t>
      </w:r>
      <w:r>
        <w:rPr>
          <w:bCs/>
        </w:rPr>
        <w:t xml:space="preserve"> </w:t>
      </w:r>
      <w:r w:rsidRPr="0071774C">
        <w:rPr>
          <w:bCs/>
        </w:rPr>
        <w:t>transparency</w:t>
      </w:r>
      <w:r>
        <w:rPr>
          <w:bCs/>
        </w:rPr>
        <w:t xml:space="preserve"> </w:t>
      </w:r>
      <w:r w:rsidRPr="0071774C">
        <w:rPr>
          <w:bCs/>
        </w:rPr>
        <w:t>about</w:t>
      </w:r>
      <w:r>
        <w:rPr>
          <w:bCs/>
        </w:rPr>
        <w:t xml:space="preserve"> </w:t>
      </w:r>
      <w:r w:rsidRPr="0071774C">
        <w:rPr>
          <w:bCs/>
        </w:rPr>
        <w:t>how</w:t>
      </w:r>
      <w:r>
        <w:rPr>
          <w:bCs/>
        </w:rPr>
        <w:t xml:space="preserve"> </w:t>
      </w:r>
      <w:r w:rsidRPr="0071774C">
        <w:rPr>
          <w:bCs/>
        </w:rPr>
        <w:t>monitoring,</w:t>
      </w:r>
      <w:r>
        <w:rPr>
          <w:bCs/>
        </w:rPr>
        <w:t xml:space="preserve"> </w:t>
      </w:r>
      <w:r w:rsidRPr="0071774C">
        <w:rPr>
          <w:bCs/>
        </w:rPr>
        <w:t>evaluation</w:t>
      </w:r>
      <w:r>
        <w:rPr>
          <w:bCs/>
        </w:rPr>
        <w:t xml:space="preserve"> </w:t>
      </w:r>
      <w:r w:rsidRPr="0071774C">
        <w:rPr>
          <w:bCs/>
        </w:rPr>
        <w:t>and</w:t>
      </w:r>
      <w:r>
        <w:rPr>
          <w:bCs/>
        </w:rPr>
        <w:t xml:space="preserve"> </w:t>
      </w:r>
      <w:r w:rsidRPr="0071774C">
        <w:rPr>
          <w:bCs/>
        </w:rPr>
        <w:t>reporting</w:t>
      </w:r>
      <w:r>
        <w:rPr>
          <w:bCs/>
        </w:rPr>
        <w:t xml:space="preserve"> </w:t>
      </w:r>
      <w:r w:rsidRPr="0071774C">
        <w:rPr>
          <w:bCs/>
        </w:rPr>
        <w:t>on</w:t>
      </w:r>
      <w:r>
        <w:rPr>
          <w:bCs/>
        </w:rPr>
        <w:t xml:space="preserve"> </w:t>
      </w:r>
      <w:r w:rsidRPr="0071774C">
        <w:rPr>
          <w:bCs/>
        </w:rPr>
        <w:t>process,</w:t>
      </w:r>
      <w:r>
        <w:rPr>
          <w:bCs/>
        </w:rPr>
        <w:t xml:space="preserve"> </w:t>
      </w:r>
      <w:r w:rsidRPr="0071774C">
        <w:rPr>
          <w:bCs/>
        </w:rPr>
        <w:t>outputs</w:t>
      </w:r>
      <w:r>
        <w:rPr>
          <w:bCs/>
        </w:rPr>
        <w:t xml:space="preserve"> </w:t>
      </w:r>
      <w:r w:rsidRPr="0071774C">
        <w:rPr>
          <w:bCs/>
        </w:rPr>
        <w:t>and</w:t>
      </w:r>
      <w:r>
        <w:rPr>
          <w:bCs/>
        </w:rPr>
        <w:t xml:space="preserve"> </w:t>
      </w:r>
      <w:r w:rsidRPr="0071774C">
        <w:rPr>
          <w:bCs/>
        </w:rPr>
        <w:t>outcomes</w:t>
      </w:r>
      <w:r>
        <w:rPr>
          <w:bCs/>
        </w:rPr>
        <w:t xml:space="preserve"> </w:t>
      </w:r>
      <w:r w:rsidRPr="0071774C">
        <w:rPr>
          <w:bCs/>
        </w:rPr>
        <w:t>occurs,</w:t>
      </w:r>
      <w:r>
        <w:rPr>
          <w:bCs/>
        </w:rPr>
        <w:t xml:space="preserve"> </w:t>
      </w:r>
      <w:r w:rsidRPr="0071774C">
        <w:rPr>
          <w:bCs/>
        </w:rPr>
        <w:t>including</w:t>
      </w:r>
      <w:r>
        <w:rPr>
          <w:bCs/>
        </w:rPr>
        <w:t xml:space="preserve"> </w:t>
      </w:r>
      <w:r w:rsidRPr="0071774C">
        <w:rPr>
          <w:bCs/>
        </w:rPr>
        <w:t>in</w:t>
      </w:r>
      <w:r>
        <w:rPr>
          <w:bCs/>
        </w:rPr>
        <w:t xml:space="preserve"> </w:t>
      </w:r>
      <w:r w:rsidRPr="0071774C">
        <w:rPr>
          <w:bCs/>
        </w:rPr>
        <w:t>terms</w:t>
      </w:r>
      <w:r>
        <w:rPr>
          <w:bCs/>
        </w:rPr>
        <w:t xml:space="preserve"> </w:t>
      </w:r>
      <w:r w:rsidRPr="0071774C">
        <w:rPr>
          <w:bCs/>
        </w:rPr>
        <w:t>of</w:t>
      </w:r>
      <w:r>
        <w:rPr>
          <w:bCs/>
        </w:rPr>
        <w:t xml:space="preserve"> </w:t>
      </w:r>
      <w:r w:rsidRPr="0071774C">
        <w:rPr>
          <w:bCs/>
        </w:rPr>
        <w:t>implementation</w:t>
      </w:r>
      <w:r>
        <w:rPr>
          <w:bCs/>
        </w:rPr>
        <w:t xml:space="preserve"> </w:t>
      </w:r>
      <w:r w:rsidRPr="0071774C">
        <w:rPr>
          <w:bCs/>
        </w:rPr>
        <w:t>partners.</w:t>
      </w:r>
      <w:r>
        <w:t xml:space="preserve"> </w:t>
      </w:r>
      <w:r w:rsidRPr="0071774C">
        <w:t>This</w:t>
      </w:r>
      <w:r>
        <w:t xml:space="preserve"> </w:t>
      </w:r>
      <w:r w:rsidRPr="0071774C">
        <w:t>is</w:t>
      </w:r>
      <w:r>
        <w:t xml:space="preserve"> </w:t>
      </w:r>
      <w:r w:rsidRPr="0071774C">
        <w:t>also</w:t>
      </w:r>
      <w:r>
        <w:t xml:space="preserve"> </w:t>
      </w:r>
      <w:r w:rsidRPr="0071774C">
        <w:t>complicated</w:t>
      </w:r>
      <w:r>
        <w:t xml:space="preserve"> </w:t>
      </w:r>
      <w:r w:rsidRPr="0071774C">
        <w:t>by</w:t>
      </w:r>
      <w:r>
        <w:t xml:space="preserve"> </w:t>
      </w:r>
      <w:r w:rsidRPr="0071774C">
        <w:t>the</w:t>
      </w:r>
      <w:r>
        <w:t xml:space="preserve"> </w:t>
      </w:r>
      <w:r w:rsidRPr="0071774C">
        <w:t>fact</w:t>
      </w:r>
      <w:r>
        <w:t xml:space="preserve"> </w:t>
      </w:r>
      <w:r w:rsidRPr="0071774C">
        <w:t>that</w:t>
      </w:r>
      <w:r>
        <w:t xml:space="preserve"> </w:t>
      </w:r>
      <w:r w:rsidRPr="0071774C">
        <w:t>accountabilities</w:t>
      </w:r>
      <w:r>
        <w:t xml:space="preserve"> </w:t>
      </w:r>
      <w:r w:rsidRPr="0071774C">
        <w:t>for</w:t>
      </w:r>
      <w:r>
        <w:t xml:space="preserve"> </w:t>
      </w:r>
      <w:r w:rsidRPr="0071774C">
        <w:t>implementing</w:t>
      </w:r>
      <w:r>
        <w:t xml:space="preserve"> </w:t>
      </w:r>
      <w:r w:rsidRPr="0071774C">
        <w:t>partners</w:t>
      </w:r>
      <w:r>
        <w:t xml:space="preserve"> </w:t>
      </w:r>
      <w:r w:rsidRPr="0071774C">
        <w:t>are</w:t>
      </w:r>
      <w:r>
        <w:t xml:space="preserve"> </w:t>
      </w:r>
      <w:r w:rsidRPr="0071774C">
        <w:t>rarely</w:t>
      </w:r>
      <w:r>
        <w:t xml:space="preserve"> </w:t>
      </w:r>
      <w:r w:rsidRPr="0071774C">
        <w:t>articulated</w:t>
      </w:r>
      <w:r>
        <w:t xml:space="preserve"> </w:t>
      </w:r>
      <w:r w:rsidRPr="0071774C">
        <w:t>in</w:t>
      </w:r>
      <w:r>
        <w:t xml:space="preserve"> </w:t>
      </w:r>
      <w:r w:rsidRPr="0071774C">
        <w:t>the</w:t>
      </w:r>
      <w:r>
        <w:t xml:space="preserve"> </w:t>
      </w:r>
      <w:r w:rsidRPr="0071774C">
        <w:t>public</w:t>
      </w:r>
      <w:r>
        <w:t xml:space="preserve"> </w:t>
      </w:r>
      <w:r w:rsidRPr="0071774C">
        <w:t>domain</w:t>
      </w:r>
      <w:r>
        <w:t xml:space="preserve"> </w:t>
      </w:r>
      <w:r w:rsidRPr="0071774C">
        <w:t>beyond</w:t>
      </w:r>
      <w:r>
        <w:t xml:space="preserve"> </w:t>
      </w:r>
      <w:r w:rsidRPr="0071774C">
        <w:t>high</w:t>
      </w:r>
      <w:r>
        <w:t>-</w:t>
      </w:r>
      <w:r w:rsidRPr="0071774C">
        <w:t>level</w:t>
      </w:r>
      <w:r>
        <w:t xml:space="preserve"> </w:t>
      </w:r>
      <w:r w:rsidRPr="0071774C">
        <w:t>references</w:t>
      </w:r>
      <w:r>
        <w:t xml:space="preserve"> </w:t>
      </w:r>
      <w:r w:rsidRPr="0071774C">
        <w:t>to</w:t>
      </w:r>
      <w:r>
        <w:t xml:space="preserve"> </w:t>
      </w:r>
      <w:r w:rsidRPr="0071774C">
        <w:t>what</w:t>
      </w:r>
      <w:r>
        <w:t xml:space="preserve"> </w:t>
      </w:r>
      <w:r w:rsidRPr="0071774C">
        <w:t>outcomes</w:t>
      </w:r>
      <w:r>
        <w:t xml:space="preserve"> </w:t>
      </w:r>
      <w:r w:rsidRPr="0071774C">
        <w:t>frameworks</w:t>
      </w:r>
      <w:r>
        <w:t xml:space="preserve"> </w:t>
      </w:r>
      <w:r w:rsidRPr="0071774C">
        <w:t>are</w:t>
      </w:r>
      <w:r>
        <w:t xml:space="preserve"> </w:t>
      </w:r>
      <w:r w:rsidRPr="0071774C">
        <w:t>in</w:t>
      </w:r>
      <w:r>
        <w:t xml:space="preserve"> </w:t>
      </w:r>
      <w:r w:rsidRPr="0071774C">
        <w:t>place</w:t>
      </w:r>
      <w:r>
        <w:t xml:space="preserve"> </w:t>
      </w:r>
      <w:r w:rsidRPr="0071774C">
        <w:t>and</w:t>
      </w:r>
      <w:r>
        <w:t xml:space="preserve"> </w:t>
      </w:r>
      <w:r w:rsidRPr="0071774C">
        <w:t>how</w:t>
      </w:r>
      <w:r>
        <w:t xml:space="preserve"> </w:t>
      </w:r>
      <w:r w:rsidRPr="0071774C">
        <w:t>these</w:t>
      </w:r>
      <w:r>
        <w:t xml:space="preserve"> </w:t>
      </w:r>
      <w:r w:rsidRPr="0071774C">
        <w:t>relate</w:t>
      </w:r>
      <w:r>
        <w:t xml:space="preserve"> </w:t>
      </w:r>
      <w:r w:rsidRPr="0071774C">
        <w:t>to</w:t>
      </w:r>
      <w:r>
        <w:t xml:space="preserve"> </w:t>
      </w:r>
      <w:r w:rsidRPr="0071774C">
        <w:t>existing</w:t>
      </w:r>
      <w:r>
        <w:t xml:space="preserve"> </w:t>
      </w:r>
      <w:r w:rsidRPr="0071774C">
        <w:t>and</w:t>
      </w:r>
      <w:r w:rsidR="007C6FB4">
        <w:t> </w:t>
      </w:r>
      <w:r w:rsidRPr="0071774C">
        <w:t>available</w:t>
      </w:r>
      <w:r>
        <w:t xml:space="preserve"> </w:t>
      </w:r>
      <w:r w:rsidRPr="0071774C">
        <w:t>data</w:t>
      </w:r>
      <w:r>
        <w:t xml:space="preserve"> </w:t>
      </w:r>
      <w:r w:rsidRPr="0071774C">
        <w:t>repositories.</w:t>
      </w:r>
      <w:r>
        <w:t xml:space="preserve"> </w:t>
      </w:r>
      <w:r w:rsidRPr="0071774C">
        <w:t>Unsurprisingly,</w:t>
      </w:r>
      <w:r>
        <w:t xml:space="preserve"> </w:t>
      </w:r>
      <w:r w:rsidRPr="0071774C">
        <w:rPr>
          <w:bCs/>
        </w:rPr>
        <w:t>expected</w:t>
      </w:r>
      <w:r>
        <w:rPr>
          <w:bCs/>
        </w:rPr>
        <w:t xml:space="preserve"> </w:t>
      </w:r>
      <w:r w:rsidRPr="0071774C">
        <w:rPr>
          <w:bCs/>
        </w:rPr>
        <w:t>and</w:t>
      </w:r>
      <w:r>
        <w:rPr>
          <w:bCs/>
        </w:rPr>
        <w:t xml:space="preserve"> </w:t>
      </w:r>
      <w:r w:rsidRPr="0071774C">
        <w:rPr>
          <w:bCs/>
        </w:rPr>
        <w:t>desired</w:t>
      </w:r>
      <w:r>
        <w:rPr>
          <w:bCs/>
        </w:rPr>
        <w:t xml:space="preserve"> </w:t>
      </w:r>
      <w:r w:rsidRPr="0071774C">
        <w:rPr>
          <w:bCs/>
        </w:rPr>
        <w:t>outcomes</w:t>
      </w:r>
      <w:r>
        <w:rPr>
          <w:bCs/>
        </w:rPr>
        <w:t xml:space="preserve"> </w:t>
      </w:r>
      <w:r w:rsidRPr="0071774C">
        <w:rPr>
          <w:bCs/>
        </w:rPr>
        <w:t>are</w:t>
      </w:r>
      <w:r>
        <w:rPr>
          <w:bCs/>
        </w:rPr>
        <w:t xml:space="preserve"> </w:t>
      </w:r>
      <w:r w:rsidRPr="0071774C">
        <w:rPr>
          <w:bCs/>
        </w:rPr>
        <w:t>more</w:t>
      </w:r>
      <w:r>
        <w:rPr>
          <w:bCs/>
        </w:rPr>
        <w:t xml:space="preserve"> </w:t>
      </w:r>
      <w:r w:rsidRPr="0071774C">
        <w:rPr>
          <w:bCs/>
        </w:rPr>
        <w:t>likely</w:t>
      </w:r>
      <w:r>
        <w:rPr>
          <w:bCs/>
        </w:rPr>
        <w:t xml:space="preserve"> </w:t>
      </w:r>
      <w:r w:rsidRPr="0071774C">
        <w:rPr>
          <w:bCs/>
        </w:rPr>
        <w:t>to</w:t>
      </w:r>
      <w:r>
        <w:rPr>
          <w:bCs/>
        </w:rPr>
        <w:t xml:space="preserve"> </w:t>
      </w:r>
      <w:r w:rsidRPr="0071774C">
        <w:rPr>
          <w:bCs/>
        </w:rPr>
        <w:t>be</w:t>
      </w:r>
      <w:r>
        <w:rPr>
          <w:bCs/>
        </w:rPr>
        <w:t xml:space="preserve"> </w:t>
      </w:r>
      <w:r w:rsidRPr="0071774C">
        <w:rPr>
          <w:bCs/>
        </w:rPr>
        <w:t>published</w:t>
      </w:r>
      <w:r>
        <w:rPr>
          <w:bCs/>
        </w:rPr>
        <w:t xml:space="preserve"> </w:t>
      </w:r>
      <w:r w:rsidRPr="0071774C">
        <w:rPr>
          <w:bCs/>
        </w:rPr>
        <w:t>and</w:t>
      </w:r>
      <w:r>
        <w:rPr>
          <w:bCs/>
        </w:rPr>
        <w:t xml:space="preserve"> </w:t>
      </w:r>
      <w:r w:rsidRPr="0071774C">
        <w:rPr>
          <w:bCs/>
        </w:rPr>
        <w:t>publicly</w:t>
      </w:r>
      <w:r>
        <w:rPr>
          <w:bCs/>
        </w:rPr>
        <w:t xml:space="preserve"> </w:t>
      </w:r>
      <w:r w:rsidRPr="0071774C">
        <w:rPr>
          <w:bCs/>
        </w:rPr>
        <w:t>referred</w:t>
      </w:r>
      <w:r>
        <w:rPr>
          <w:bCs/>
        </w:rPr>
        <w:t xml:space="preserve"> </w:t>
      </w:r>
      <w:r w:rsidRPr="0071774C">
        <w:rPr>
          <w:bCs/>
        </w:rPr>
        <w:t>to</w:t>
      </w:r>
      <w:r>
        <w:rPr>
          <w:bCs/>
        </w:rPr>
        <w:t xml:space="preserve"> </w:t>
      </w:r>
      <w:r w:rsidRPr="0071774C">
        <w:rPr>
          <w:bCs/>
        </w:rPr>
        <w:t>where</w:t>
      </w:r>
      <w:r>
        <w:rPr>
          <w:bCs/>
        </w:rPr>
        <w:t xml:space="preserve"> </w:t>
      </w:r>
      <w:r w:rsidRPr="0071774C">
        <w:rPr>
          <w:bCs/>
        </w:rPr>
        <w:t>there</w:t>
      </w:r>
      <w:r>
        <w:rPr>
          <w:bCs/>
        </w:rPr>
        <w:t xml:space="preserve"> </w:t>
      </w:r>
      <w:r w:rsidRPr="0071774C">
        <w:t>is</w:t>
      </w:r>
      <w:r>
        <w:t xml:space="preserve"> </w:t>
      </w:r>
      <w:r w:rsidRPr="0071774C">
        <w:t>an</w:t>
      </w:r>
      <w:r>
        <w:t xml:space="preserve"> </w:t>
      </w:r>
      <w:r w:rsidRPr="0071774C">
        <w:t>outcomes</w:t>
      </w:r>
      <w:r>
        <w:t xml:space="preserve"> </w:t>
      </w:r>
      <w:r w:rsidRPr="0071774C">
        <w:t>framework</w:t>
      </w:r>
      <w:r>
        <w:t xml:space="preserve"> </w:t>
      </w:r>
      <w:r w:rsidRPr="0071774C">
        <w:t>accompanying</w:t>
      </w:r>
      <w:r>
        <w:t xml:space="preserve"> </w:t>
      </w:r>
      <w:r w:rsidRPr="0071774C">
        <w:t>a</w:t>
      </w:r>
      <w:r>
        <w:t xml:space="preserve"> </w:t>
      </w:r>
      <w:r w:rsidRPr="0071774C">
        <w:t>particular</w:t>
      </w:r>
      <w:r>
        <w:t xml:space="preserve"> </w:t>
      </w:r>
      <w:r w:rsidRPr="0071774C">
        <w:t>jurisdictional</w:t>
      </w:r>
      <w:r>
        <w:t xml:space="preserve"> </w:t>
      </w:r>
      <w:r w:rsidRPr="0071774C">
        <w:t>strategy.</w:t>
      </w:r>
      <w:r>
        <w:t xml:space="preserve"> </w:t>
      </w:r>
      <w:r w:rsidRPr="0071774C">
        <w:t>Targets</w:t>
      </w:r>
      <w:r>
        <w:t xml:space="preserve"> </w:t>
      </w:r>
      <w:r w:rsidRPr="0071774C">
        <w:t>are</w:t>
      </w:r>
      <w:r>
        <w:t xml:space="preserve"> </w:t>
      </w:r>
      <w:r w:rsidRPr="0071774C">
        <w:t>rarely</w:t>
      </w:r>
      <w:r>
        <w:t xml:space="preserve"> </w:t>
      </w:r>
      <w:r w:rsidRPr="0071774C">
        <w:t>articulated,</w:t>
      </w:r>
      <w:r>
        <w:t xml:space="preserve"> </w:t>
      </w:r>
      <w:r w:rsidRPr="0071774C">
        <w:t>potentially</w:t>
      </w:r>
      <w:r>
        <w:t xml:space="preserve"> </w:t>
      </w:r>
      <w:r w:rsidRPr="0071774C">
        <w:t>because</w:t>
      </w:r>
      <w:r>
        <w:t xml:space="preserve"> </w:t>
      </w:r>
      <w:r w:rsidRPr="0071774C">
        <w:t>of</w:t>
      </w:r>
      <w:r>
        <w:t xml:space="preserve"> </w:t>
      </w:r>
      <w:r w:rsidRPr="0071774C">
        <w:t>the</w:t>
      </w:r>
      <w:r>
        <w:t xml:space="preserve"> </w:t>
      </w:r>
      <w:r w:rsidRPr="0071774C">
        <w:t>variety</w:t>
      </w:r>
      <w:r>
        <w:t xml:space="preserve"> </w:t>
      </w:r>
      <w:r w:rsidRPr="0071774C">
        <w:t>of</w:t>
      </w:r>
      <w:r>
        <w:t xml:space="preserve"> </w:t>
      </w:r>
      <w:r w:rsidRPr="0071774C">
        <w:t>indicators</w:t>
      </w:r>
      <w:r>
        <w:t xml:space="preserve"> </w:t>
      </w:r>
      <w:r w:rsidRPr="0071774C">
        <w:t>in</w:t>
      </w:r>
      <w:r>
        <w:t xml:space="preserve"> </w:t>
      </w:r>
      <w:r w:rsidRPr="0071774C">
        <w:t>use,</w:t>
      </w:r>
      <w:r>
        <w:t xml:space="preserve"> </w:t>
      </w:r>
      <w:r w:rsidRPr="0071774C">
        <w:t>many</w:t>
      </w:r>
      <w:r>
        <w:t xml:space="preserve"> </w:t>
      </w:r>
      <w:r w:rsidRPr="0071774C">
        <w:t>of</w:t>
      </w:r>
      <w:r>
        <w:t xml:space="preserve"> </w:t>
      </w:r>
      <w:r w:rsidRPr="0071774C">
        <w:t>which</w:t>
      </w:r>
      <w:r>
        <w:t xml:space="preserve"> </w:t>
      </w:r>
      <w:r w:rsidRPr="0071774C">
        <w:t>do</w:t>
      </w:r>
      <w:r>
        <w:t xml:space="preserve"> </w:t>
      </w:r>
      <w:r w:rsidRPr="0071774C">
        <w:t>not</w:t>
      </w:r>
      <w:r>
        <w:t xml:space="preserve"> </w:t>
      </w:r>
      <w:r w:rsidRPr="0071774C">
        <w:t>lend</w:t>
      </w:r>
      <w:r>
        <w:t xml:space="preserve"> </w:t>
      </w:r>
      <w:r w:rsidRPr="0071774C">
        <w:t>themselves</w:t>
      </w:r>
      <w:r>
        <w:t xml:space="preserve"> </w:t>
      </w:r>
      <w:r w:rsidRPr="0071774C">
        <w:t>to</w:t>
      </w:r>
      <w:r>
        <w:t xml:space="preserve"> </w:t>
      </w:r>
      <w:r w:rsidRPr="0071774C">
        <w:t>simple</w:t>
      </w:r>
      <w:r>
        <w:t xml:space="preserve"> </w:t>
      </w:r>
      <w:r w:rsidRPr="0071774C">
        <w:t>quantification.</w:t>
      </w:r>
      <w:r>
        <w:t xml:space="preserve"> </w:t>
      </w:r>
      <w:r w:rsidRPr="0071774C">
        <w:t>Evaluation</w:t>
      </w:r>
      <w:r>
        <w:t xml:space="preserve"> </w:t>
      </w:r>
      <w:r w:rsidRPr="0071774C">
        <w:t>of</w:t>
      </w:r>
      <w:r>
        <w:t xml:space="preserve"> </w:t>
      </w:r>
      <w:r w:rsidRPr="0071774C">
        <w:t>individual</w:t>
      </w:r>
      <w:r>
        <w:t xml:space="preserve"> </w:t>
      </w:r>
      <w:r w:rsidRPr="0071774C">
        <w:t>activities</w:t>
      </w:r>
      <w:r>
        <w:t xml:space="preserve"> </w:t>
      </w:r>
      <w:r w:rsidRPr="0071774C">
        <w:t>has</w:t>
      </w:r>
      <w:r>
        <w:t xml:space="preserve"> </w:t>
      </w:r>
      <w:r w:rsidRPr="0071774C">
        <w:t>received</w:t>
      </w:r>
      <w:r>
        <w:t xml:space="preserve"> </w:t>
      </w:r>
      <w:r w:rsidRPr="0071774C">
        <w:t>investment</w:t>
      </w:r>
      <w:r>
        <w:t xml:space="preserve"> </w:t>
      </w:r>
      <w:r w:rsidRPr="0071774C">
        <w:t>to</w:t>
      </w:r>
      <w:r>
        <w:t xml:space="preserve"> </w:t>
      </w:r>
      <w:r w:rsidRPr="0071774C">
        <w:t>varying</w:t>
      </w:r>
      <w:r>
        <w:t xml:space="preserve"> </w:t>
      </w:r>
      <w:r w:rsidRPr="0071774C">
        <w:t>extents</w:t>
      </w:r>
      <w:r>
        <w:t xml:space="preserve"> </w:t>
      </w:r>
      <w:r w:rsidRPr="0071774C">
        <w:t>through</w:t>
      </w:r>
      <w:r>
        <w:t xml:space="preserve"> </w:t>
      </w:r>
      <w:r w:rsidRPr="0071774C">
        <w:t>allocations</w:t>
      </w:r>
      <w:r>
        <w:t xml:space="preserve"> </w:t>
      </w:r>
      <w:r w:rsidRPr="0071774C">
        <w:t>in</w:t>
      </w:r>
      <w:r>
        <w:t xml:space="preserve"> </w:t>
      </w:r>
      <w:r w:rsidRPr="0071774C">
        <w:t>activity</w:t>
      </w:r>
      <w:r>
        <w:t xml:space="preserve"> </w:t>
      </w:r>
      <w:r w:rsidRPr="0071774C">
        <w:t>budgets,</w:t>
      </w:r>
      <w:r>
        <w:t xml:space="preserve"> </w:t>
      </w:r>
      <w:r w:rsidRPr="0071774C">
        <w:t>albeit</w:t>
      </w:r>
      <w:r>
        <w:t xml:space="preserve"> </w:t>
      </w:r>
      <w:r w:rsidRPr="0071774C">
        <w:t>without</w:t>
      </w:r>
      <w:r>
        <w:t xml:space="preserve"> </w:t>
      </w:r>
      <w:r w:rsidRPr="0071774C">
        <w:t>any</w:t>
      </w:r>
      <w:r>
        <w:t xml:space="preserve"> </w:t>
      </w:r>
      <w:r w:rsidRPr="0071774C">
        <w:t>consistency</w:t>
      </w:r>
      <w:r>
        <w:t xml:space="preserve"> </w:t>
      </w:r>
      <w:r w:rsidRPr="0071774C">
        <w:t>of</w:t>
      </w:r>
      <w:r>
        <w:t xml:space="preserve"> </w:t>
      </w:r>
      <w:r w:rsidRPr="0071774C">
        <w:t>approach.</w:t>
      </w:r>
      <w:r>
        <w:t xml:space="preserve"> </w:t>
      </w:r>
      <w:r w:rsidRPr="0071774C">
        <w:t>There</w:t>
      </w:r>
      <w:r>
        <w:t xml:space="preserve"> </w:t>
      </w:r>
      <w:r w:rsidRPr="0071774C">
        <w:t>has</w:t>
      </w:r>
      <w:r>
        <w:t xml:space="preserve"> </w:t>
      </w:r>
      <w:r w:rsidRPr="0071774C">
        <w:t>been</w:t>
      </w:r>
      <w:r>
        <w:t xml:space="preserve"> </w:t>
      </w:r>
      <w:r w:rsidRPr="0071774C">
        <w:t>relatively</w:t>
      </w:r>
      <w:r>
        <w:t xml:space="preserve"> </w:t>
      </w:r>
      <w:r w:rsidRPr="0071774C">
        <w:t>less</w:t>
      </w:r>
      <w:r>
        <w:t xml:space="preserve"> </w:t>
      </w:r>
      <w:r w:rsidRPr="0071774C">
        <w:t>investment</w:t>
      </w:r>
      <w:r>
        <w:t xml:space="preserve"> </w:t>
      </w:r>
      <w:r w:rsidRPr="0071774C">
        <w:t>in</w:t>
      </w:r>
      <w:r>
        <w:t xml:space="preserve"> </w:t>
      </w:r>
      <w:r w:rsidRPr="0071774C">
        <w:t>evaluation</w:t>
      </w:r>
      <w:r>
        <w:t xml:space="preserve"> </w:t>
      </w:r>
      <w:r w:rsidRPr="0071774C">
        <w:t>frameworks</w:t>
      </w:r>
      <w:r>
        <w:t xml:space="preserve"> </w:t>
      </w:r>
      <w:r w:rsidRPr="0071774C">
        <w:t>and</w:t>
      </w:r>
      <w:r>
        <w:t xml:space="preserve"> </w:t>
      </w:r>
      <w:r w:rsidRPr="0071774C">
        <w:t>strategies</w:t>
      </w:r>
      <w:r>
        <w:t xml:space="preserve"> </w:t>
      </w:r>
      <w:r w:rsidRPr="0071774C">
        <w:t>for</w:t>
      </w:r>
      <w:r>
        <w:t xml:space="preserve"> </w:t>
      </w:r>
      <w:r w:rsidRPr="0071774C">
        <w:t>primary</w:t>
      </w:r>
      <w:r>
        <w:t xml:space="preserve"> </w:t>
      </w:r>
      <w:r w:rsidRPr="0071774C">
        <w:t>prevention</w:t>
      </w:r>
      <w:r>
        <w:t xml:space="preserve"> </w:t>
      </w:r>
      <w:r w:rsidRPr="0071774C">
        <w:t>efforts</w:t>
      </w:r>
      <w:r>
        <w:t xml:space="preserve"> </w:t>
      </w:r>
      <w:r w:rsidRPr="0071774C">
        <w:t>and</w:t>
      </w:r>
      <w:r>
        <w:t xml:space="preserve"> </w:t>
      </w:r>
      <w:r w:rsidRPr="0071774C">
        <w:t>demonstrating</w:t>
      </w:r>
      <w:r>
        <w:t xml:space="preserve"> </w:t>
      </w:r>
      <w:r w:rsidRPr="0071774C">
        <w:t>collective</w:t>
      </w:r>
      <w:r>
        <w:t xml:space="preserve"> </w:t>
      </w:r>
      <w:r w:rsidRPr="0071774C">
        <w:t>impact</w:t>
      </w:r>
      <w:r>
        <w:t xml:space="preserve"> </w:t>
      </w:r>
      <w:r w:rsidRPr="0071774C">
        <w:t>more</w:t>
      </w:r>
      <w:r>
        <w:t xml:space="preserve"> </w:t>
      </w:r>
      <w:r w:rsidRPr="0071774C">
        <w:t>broadly.</w:t>
      </w:r>
    </w:p>
    <w:p w14:paraId="2AC7B4E0" w14:textId="12769C8D" w:rsidR="002C2EC7" w:rsidRDefault="001E75F6" w:rsidP="00790783">
      <w:pPr>
        <w:pStyle w:val="BodyText"/>
      </w:pPr>
      <w:r w:rsidRPr="001E75F6">
        <w:t>A number of data projects responding to limitations and gaps in current data collection platforms and approaches have led to new projects, such as a project examining the extent of violence against people with disability in Australia led by the Disability and Health Unit and the Melbourne Disability Institute at the University of Melbourne with the Centre of Research Excellence in Disability and Health</w:t>
      </w:r>
      <w:r w:rsidR="002C2EC7" w:rsidRPr="0071774C">
        <w:rPr>
          <w:rStyle w:val="EndnoteReference"/>
          <w:szCs w:val="22"/>
        </w:rPr>
        <w:endnoteReference w:id="127"/>
      </w:r>
      <w:r w:rsidR="002C2EC7">
        <w:t xml:space="preserve"> </w:t>
      </w:r>
      <w:r w:rsidRPr="001E75F6">
        <w:t xml:space="preserve">(see page </w:t>
      </w:r>
      <w:r>
        <w:rPr>
          <w:color w:val="2B579A"/>
          <w:shd w:val="clear" w:color="auto" w:fill="E6E6E6"/>
        </w:rPr>
        <w:fldChar w:fldCharType="begin"/>
      </w:r>
      <w:r>
        <w:instrText xml:space="preserve"> PAGEREF DataProjectCaseStudy \h </w:instrText>
      </w:r>
      <w:r>
        <w:rPr>
          <w:color w:val="2B579A"/>
          <w:shd w:val="clear" w:color="auto" w:fill="E6E6E6"/>
        </w:rPr>
      </w:r>
      <w:r>
        <w:rPr>
          <w:color w:val="2B579A"/>
          <w:shd w:val="clear" w:color="auto" w:fill="E6E6E6"/>
        </w:rPr>
        <w:fldChar w:fldCharType="separate"/>
      </w:r>
      <w:r w:rsidR="00F53B39">
        <w:rPr>
          <w:noProof/>
        </w:rPr>
        <w:t>283</w:t>
      </w:r>
      <w:r>
        <w:rPr>
          <w:color w:val="2B579A"/>
          <w:shd w:val="clear" w:color="auto" w:fill="E6E6E6"/>
        </w:rPr>
        <w:fldChar w:fldCharType="end"/>
      </w:r>
      <w:r>
        <w:t xml:space="preserve"> </w:t>
      </w:r>
      <w:r w:rsidRPr="001E75F6">
        <w:t>for more details)</w:t>
      </w:r>
      <w:r w:rsidR="002C2EC7" w:rsidRPr="0071774C">
        <w:t>.</w:t>
      </w:r>
      <w:r w:rsidR="002C2EC7">
        <w:t xml:space="preserve"> </w:t>
      </w:r>
      <w:r w:rsidR="002C2EC7" w:rsidRPr="0071774C">
        <w:t>Further</w:t>
      </w:r>
      <w:r w:rsidR="002C2EC7">
        <w:t xml:space="preserve"> </w:t>
      </w:r>
      <w:r w:rsidR="002C2EC7" w:rsidRPr="0071774C">
        <w:t>exploration</w:t>
      </w:r>
      <w:r w:rsidR="002C2EC7">
        <w:t xml:space="preserve"> </w:t>
      </w:r>
      <w:r w:rsidR="002C2EC7" w:rsidRPr="0071774C">
        <w:t>of</w:t>
      </w:r>
      <w:r w:rsidR="002C2EC7">
        <w:t xml:space="preserve"> </w:t>
      </w:r>
      <w:r w:rsidR="002C2EC7" w:rsidRPr="0071774C">
        <w:t>other</w:t>
      </w:r>
      <w:r w:rsidR="002C2EC7">
        <w:t xml:space="preserve"> </w:t>
      </w:r>
      <w:r w:rsidR="002C2EC7" w:rsidRPr="0071774C">
        <w:t>fields</w:t>
      </w:r>
      <w:r w:rsidR="002C2EC7">
        <w:t xml:space="preserve"> </w:t>
      </w:r>
      <w:r w:rsidR="002C2EC7" w:rsidRPr="0071774C">
        <w:t>of</w:t>
      </w:r>
      <w:r w:rsidR="002C2EC7">
        <w:t xml:space="preserve"> </w:t>
      </w:r>
      <w:r w:rsidR="002C2EC7" w:rsidRPr="0071774C">
        <w:t>research</w:t>
      </w:r>
      <w:r w:rsidR="002C2EC7">
        <w:t xml:space="preserve"> </w:t>
      </w:r>
      <w:r w:rsidR="002C2EC7" w:rsidRPr="0071774C">
        <w:t>and</w:t>
      </w:r>
      <w:r w:rsidR="002C2EC7">
        <w:t xml:space="preserve"> </w:t>
      </w:r>
      <w:r w:rsidR="002C2EC7" w:rsidRPr="0071774C">
        <w:t>practice</w:t>
      </w:r>
      <w:r w:rsidR="002C2EC7">
        <w:t xml:space="preserve"> </w:t>
      </w:r>
      <w:r w:rsidR="002C2EC7" w:rsidRPr="0071774C">
        <w:t>which</w:t>
      </w:r>
      <w:r w:rsidR="002C2EC7">
        <w:t xml:space="preserve"> </w:t>
      </w:r>
      <w:r w:rsidR="002C2EC7" w:rsidRPr="0071774C">
        <w:t>could</w:t>
      </w:r>
      <w:r w:rsidR="002C2EC7">
        <w:t xml:space="preserve"> </w:t>
      </w:r>
      <w:r w:rsidR="002C2EC7" w:rsidRPr="0071774C">
        <w:t>yield</w:t>
      </w:r>
      <w:r w:rsidR="002C2EC7">
        <w:t xml:space="preserve"> </w:t>
      </w:r>
      <w:r w:rsidR="002C2EC7" w:rsidRPr="0071774C">
        <w:t>useful</w:t>
      </w:r>
      <w:r w:rsidR="002C2EC7">
        <w:t xml:space="preserve"> </w:t>
      </w:r>
      <w:r w:rsidR="002C2EC7" w:rsidRPr="0071774C">
        <w:t>evidence</w:t>
      </w:r>
      <w:r w:rsidR="002C2EC7">
        <w:t xml:space="preserve"> </w:t>
      </w:r>
      <w:r w:rsidR="002C2EC7" w:rsidRPr="0071774C">
        <w:t>about</w:t>
      </w:r>
      <w:r w:rsidR="002C2EC7">
        <w:t xml:space="preserve"> </w:t>
      </w:r>
      <w:r w:rsidR="002C2EC7" w:rsidRPr="0071774C">
        <w:t>what</w:t>
      </w:r>
      <w:r w:rsidR="002C2EC7">
        <w:t xml:space="preserve"> </w:t>
      </w:r>
      <w:r w:rsidR="002C2EC7" w:rsidRPr="0071774C">
        <w:t>works,</w:t>
      </w:r>
      <w:r w:rsidR="002C2EC7">
        <w:t xml:space="preserve"> </w:t>
      </w:r>
      <w:r w:rsidR="002C2EC7" w:rsidRPr="0071774C">
        <w:t>for</w:t>
      </w:r>
      <w:r w:rsidR="002C2EC7">
        <w:t xml:space="preserve"> </w:t>
      </w:r>
      <w:r w:rsidR="002C2EC7" w:rsidRPr="0071774C">
        <w:t>whom,</w:t>
      </w:r>
      <w:r w:rsidR="002C2EC7">
        <w:t xml:space="preserve"> </w:t>
      </w:r>
      <w:r w:rsidR="002C2EC7" w:rsidRPr="0071774C">
        <w:t>and</w:t>
      </w:r>
      <w:r w:rsidR="002C2EC7">
        <w:t xml:space="preserve"> </w:t>
      </w:r>
      <w:r w:rsidR="002C2EC7" w:rsidRPr="0071774C">
        <w:t>in</w:t>
      </w:r>
      <w:r w:rsidR="002C2EC7">
        <w:t xml:space="preserve"> </w:t>
      </w:r>
      <w:r w:rsidR="002C2EC7" w:rsidRPr="0071774C">
        <w:t>what</w:t>
      </w:r>
      <w:r w:rsidR="002C2EC7">
        <w:t xml:space="preserve"> </w:t>
      </w:r>
      <w:r w:rsidR="002C2EC7" w:rsidRPr="0071774C">
        <w:t>circumstances</w:t>
      </w:r>
      <w:r w:rsidR="002C2EC7">
        <w:t xml:space="preserve"> </w:t>
      </w:r>
      <w:r w:rsidR="002C2EC7" w:rsidRPr="0071774C">
        <w:t>should</w:t>
      </w:r>
      <w:r w:rsidR="002C2EC7">
        <w:t xml:space="preserve"> </w:t>
      </w:r>
      <w:r w:rsidR="002C2EC7" w:rsidRPr="0071774C">
        <w:t>be</w:t>
      </w:r>
      <w:r w:rsidR="002C2EC7">
        <w:t xml:space="preserve"> </w:t>
      </w:r>
      <w:r w:rsidR="002C2EC7" w:rsidRPr="0071774C">
        <w:t>investigated</w:t>
      </w:r>
      <w:r w:rsidR="002C2EC7">
        <w:t xml:space="preserve"> </w:t>
      </w:r>
      <w:r w:rsidR="002C2EC7" w:rsidRPr="0071774C">
        <w:t>and</w:t>
      </w:r>
      <w:r w:rsidR="002C2EC7">
        <w:t xml:space="preserve"> </w:t>
      </w:r>
      <w:r w:rsidR="002C2EC7" w:rsidRPr="0071774C">
        <w:t>incorporated</w:t>
      </w:r>
      <w:r w:rsidR="002C2EC7">
        <w:t xml:space="preserve"> </w:t>
      </w:r>
      <w:r w:rsidR="002C2EC7" w:rsidRPr="0071774C">
        <w:t>into</w:t>
      </w:r>
      <w:r w:rsidR="002C2EC7">
        <w:t xml:space="preserve"> </w:t>
      </w:r>
      <w:r w:rsidR="002C2EC7" w:rsidRPr="0071774C">
        <w:t>national</w:t>
      </w:r>
      <w:r w:rsidR="002C2EC7">
        <w:t xml:space="preserve"> </w:t>
      </w:r>
      <w:r w:rsidR="002C2EC7" w:rsidRPr="0071774C">
        <w:t>and</w:t>
      </w:r>
      <w:r w:rsidR="002C2EC7">
        <w:t xml:space="preserve"> </w:t>
      </w:r>
      <w:r w:rsidR="002C2EC7" w:rsidRPr="0071774C">
        <w:t>state/territory</w:t>
      </w:r>
      <w:r w:rsidR="002C2EC7">
        <w:t xml:space="preserve"> </w:t>
      </w:r>
      <w:r w:rsidR="002C2EC7" w:rsidRPr="0071774C">
        <w:t>frameworks</w:t>
      </w:r>
      <w:r w:rsidR="002C2EC7">
        <w:t xml:space="preserve"> </w:t>
      </w:r>
      <w:r w:rsidR="002C2EC7" w:rsidRPr="0071774C">
        <w:t>and</w:t>
      </w:r>
      <w:r w:rsidR="002C2EC7">
        <w:t xml:space="preserve"> </w:t>
      </w:r>
      <w:r w:rsidR="002C2EC7" w:rsidRPr="0071774C">
        <w:t>plans,</w:t>
      </w:r>
      <w:r w:rsidR="002C2EC7">
        <w:t xml:space="preserve"> </w:t>
      </w:r>
      <w:r w:rsidR="002C2EC7" w:rsidRPr="0071774C">
        <w:t>primary</w:t>
      </w:r>
      <w:r w:rsidR="002C2EC7">
        <w:t xml:space="preserve"> </w:t>
      </w:r>
      <w:r w:rsidR="002C2EC7" w:rsidRPr="0071774C">
        <w:t>prevention</w:t>
      </w:r>
      <w:r w:rsidR="002C2EC7">
        <w:t xml:space="preserve"> </w:t>
      </w:r>
      <w:r w:rsidR="002C2EC7" w:rsidRPr="0071774C">
        <w:t>activity</w:t>
      </w:r>
      <w:r w:rsidR="002C2EC7">
        <w:t xml:space="preserve"> </w:t>
      </w:r>
      <w:r w:rsidR="002C2EC7" w:rsidRPr="0071774C">
        <w:t>and</w:t>
      </w:r>
      <w:r w:rsidR="002C2EC7">
        <w:t xml:space="preserve"> </w:t>
      </w:r>
      <w:r w:rsidR="002C2EC7" w:rsidRPr="0071774C">
        <w:t>workforce</w:t>
      </w:r>
      <w:r w:rsidR="002C2EC7">
        <w:t xml:space="preserve"> </w:t>
      </w:r>
      <w:r w:rsidR="002C2EC7" w:rsidRPr="0071774C">
        <w:t>development</w:t>
      </w:r>
      <w:r w:rsidR="002C2EC7">
        <w:t xml:space="preserve"> </w:t>
      </w:r>
      <w:r w:rsidR="002C2EC7" w:rsidRPr="0071774C">
        <w:t>activities.</w:t>
      </w:r>
      <w:r w:rsidR="002C2EC7">
        <w:t xml:space="preserve"> </w:t>
      </w:r>
      <w:r w:rsidR="002C2EC7" w:rsidRPr="0071774C">
        <w:t>Section</w:t>
      </w:r>
      <w:r w:rsidR="002C2EC7">
        <w:t xml:space="preserve"> </w:t>
      </w:r>
      <w:r w:rsidR="0044154C">
        <w:t>2</w:t>
      </w:r>
      <w:r w:rsidR="002C2EC7">
        <w:t xml:space="preserve"> </w:t>
      </w:r>
      <w:r w:rsidR="002C2EC7" w:rsidRPr="0071774C">
        <w:t>of</w:t>
      </w:r>
      <w:r w:rsidR="002C2EC7">
        <w:t xml:space="preserve"> </w:t>
      </w:r>
      <w:r w:rsidR="002C2EC7" w:rsidRPr="0071774C">
        <w:t>this</w:t>
      </w:r>
      <w:r w:rsidR="002C2EC7">
        <w:t xml:space="preserve"> </w:t>
      </w:r>
      <w:r w:rsidR="002C2EC7" w:rsidRPr="0071774C">
        <w:t>report,</w:t>
      </w:r>
      <w:r w:rsidR="002C2EC7">
        <w:t xml:space="preserve"> </w:t>
      </w:r>
      <w:r w:rsidR="002C2EC7" w:rsidRPr="0071774C">
        <w:t>which</w:t>
      </w:r>
      <w:r w:rsidR="002C2EC7">
        <w:t xml:space="preserve"> </w:t>
      </w:r>
      <w:r w:rsidR="002C2EC7" w:rsidRPr="0071774C">
        <w:t>considers</w:t>
      </w:r>
      <w:r w:rsidR="002C2EC7">
        <w:t xml:space="preserve"> </w:t>
      </w:r>
      <w:r w:rsidR="002C2EC7" w:rsidRPr="0071774C">
        <w:t>population-level</w:t>
      </w:r>
      <w:r w:rsidR="002C2EC7">
        <w:t xml:space="preserve"> </w:t>
      </w:r>
      <w:r w:rsidR="002C2EC7" w:rsidRPr="0071774C">
        <w:t>outcomes,</w:t>
      </w:r>
      <w:r w:rsidR="002C2EC7">
        <w:t xml:space="preserve"> </w:t>
      </w:r>
      <w:r w:rsidR="002C2EC7" w:rsidRPr="0071774C">
        <w:t>paints</w:t>
      </w:r>
      <w:r w:rsidR="002C2EC7">
        <w:t xml:space="preserve"> </w:t>
      </w:r>
      <w:r w:rsidR="002C2EC7" w:rsidRPr="0071774C">
        <w:t>a</w:t>
      </w:r>
      <w:r w:rsidR="002C2EC7">
        <w:t xml:space="preserve"> </w:t>
      </w:r>
      <w:r w:rsidR="002C2EC7" w:rsidRPr="0071774C">
        <w:t>picture</w:t>
      </w:r>
      <w:r w:rsidR="002C2EC7">
        <w:t xml:space="preserve"> </w:t>
      </w:r>
      <w:r w:rsidR="002C2EC7" w:rsidRPr="0071774C">
        <w:t>of</w:t>
      </w:r>
      <w:r w:rsidR="002C2EC7">
        <w:t xml:space="preserve"> </w:t>
      </w:r>
      <w:r w:rsidR="002C2EC7" w:rsidRPr="0071774C">
        <w:t>what</w:t>
      </w:r>
      <w:r w:rsidR="002C2EC7">
        <w:t xml:space="preserve"> </w:t>
      </w:r>
      <w:r w:rsidR="002C2EC7" w:rsidRPr="0071774C">
        <w:t>some</w:t>
      </w:r>
      <w:r w:rsidR="002C2EC7">
        <w:t xml:space="preserve"> </w:t>
      </w:r>
      <w:r w:rsidR="002C2EC7" w:rsidRPr="0071774C">
        <w:t>of</w:t>
      </w:r>
      <w:r w:rsidR="002C2EC7">
        <w:t xml:space="preserve"> </w:t>
      </w:r>
      <w:r w:rsidR="002C2EC7" w:rsidRPr="0071774C">
        <w:t>these</w:t>
      </w:r>
      <w:r w:rsidR="002C2EC7">
        <w:t xml:space="preserve"> </w:t>
      </w:r>
      <w:r w:rsidR="002C2EC7" w:rsidRPr="0071774C">
        <w:t>interconnecting</w:t>
      </w:r>
      <w:r w:rsidR="002C2EC7">
        <w:t xml:space="preserve"> </w:t>
      </w:r>
      <w:r w:rsidR="002C2EC7" w:rsidRPr="0071774C">
        <w:t>sources</w:t>
      </w:r>
      <w:r w:rsidR="002C2EC7">
        <w:t xml:space="preserve"> </w:t>
      </w:r>
      <w:r w:rsidR="002C2EC7" w:rsidRPr="0071774C">
        <w:t>of</w:t>
      </w:r>
      <w:r w:rsidR="002C2EC7">
        <w:t xml:space="preserve"> </w:t>
      </w:r>
      <w:r w:rsidR="002C2EC7" w:rsidRPr="0071774C">
        <w:t>evidence</w:t>
      </w:r>
      <w:r w:rsidR="002C2EC7">
        <w:t xml:space="preserve"> </w:t>
      </w:r>
      <w:r w:rsidR="002C2EC7" w:rsidRPr="0071774C">
        <w:t>may</w:t>
      </w:r>
      <w:r w:rsidR="002C2EC7">
        <w:t xml:space="preserve"> </w:t>
      </w:r>
      <w:r w:rsidR="002C2EC7" w:rsidRPr="0071774C">
        <w:t>be.</w:t>
      </w:r>
    </w:p>
    <w:p w14:paraId="4A72B729" w14:textId="77777777" w:rsidR="002C2EC7" w:rsidRDefault="002C2EC7" w:rsidP="00790783">
      <w:pPr>
        <w:pStyle w:val="Heading5"/>
      </w:pPr>
      <w:bookmarkStart w:id="66" w:name="_Toc41559740"/>
      <w:r w:rsidRPr="0071774C">
        <w:lastRenderedPageBreak/>
        <w:t>National</w:t>
      </w:r>
      <w:r>
        <w:t xml:space="preserve"> </w:t>
      </w:r>
      <w:r w:rsidRPr="0071774C">
        <w:t>evaluation</w:t>
      </w:r>
      <w:r>
        <w:t xml:space="preserve"> </w:t>
      </w:r>
      <w:r w:rsidRPr="0071774C">
        <w:t>efforts</w:t>
      </w:r>
      <w:bookmarkEnd w:id="66"/>
    </w:p>
    <w:p w14:paraId="2DE98C2B" w14:textId="77777777" w:rsidR="002C2EC7" w:rsidRDefault="002C2EC7" w:rsidP="00595961">
      <w:pPr>
        <w:pStyle w:val="OWBodytextafterlist"/>
      </w:pPr>
      <w:r w:rsidRPr="0071774C">
        <w:t>The</w:t>
      </w:r>
      <w:r>
        <w:t xml:space="preserve"> </w:t>
      </w:r>
      <w:r w:rsidRPr="0071774C">
        <w:t>evaluation</w:t>
      </w:r>
      <w:r>
        <w:t xml:space="preserve"> </w:t>
      </w:r>
      <w:r w:rsidRPr="0071774C">
        <w:t>of</w:t>
      </w:r>
      <w:r>
        <w:t xml:space="preserve"> </w:t>
      </w:r>
      <w:r w:rsidRPr="0071774C">
        <w:t>the</w:t>
      </w:r>
      <w:r>
        <w:t xml:space="preserve"> </w:t>
      </w:r>
      <w:r w:rsidRPr="00595961">
        <w:t>National Plan</w:t>
      </w:r>
      <w:r>
        <w:t xml:space="preserve"> </w:t>
      </w:r>
      <w:r w:rsidRPr="0071774C">
        <w:t>is</w:t>
      </w:r>
      <w:r>
        <w:t xml:space="preserve"> </w:t>
      </w:r>
      <w:r w:rsidRPr="0071774C">
        <w:t>informed</w:t>
      </w:r>
      <w:r>
        <w:t xml:space="preserve"> </w:t>
      </w:r>
      <w:r w:rsidRPr="0071774C">
        <w:t>by</w:t>
      </w:r>
      <w:r>
        <w:t xml:space="preserve"> </w:t>
      </w:r>
      <w:r w:rsidRPr="0071774C">
        <w:t>an</w:t>
      </w:r>
      <w:r>
        <w:t xml:space="preserve"> </w:t>
      </w:r>
      <w:r w:rsidRPr="0071774C">
        <w:t>evaluation</w:t>
      </w:r>
      <w:r>
        <w:t xml:space="preserve"> </w:t>
      </w:r>
      <w:r w:rsidRPr="0071774C">
        <w:t>plan</w:t>
      </w:r>
      <w:r w:rsidRPr="00595961">
        <w:rPr>
          <w:rStyle w:val="EndnoteReference"/>
        </w:rPr>
        <w:endnoteReference w:id="128"/>
      </w:r>
      <w:r>
        <w:t xml:space="preserve"> </w:t>
      </w:r>
      <w:r w:rsidRPr="0071774C">
        <w:t>published</w:t>
      </w:r>
      <w:r>
        <w:t xml:space="preserve"> </w:t>
      </w:r>
      <w:r w:rsidRPr="0071774C">
        <w:t>in</w:t>
      </w:r>
      <w:r>
        <w:t xml:space="preserve"> </w:t>
      </w:r>
      <w:r w:rsidRPr="0071774C">
        <w:t>2014,</w:t>
      </w:r>
      <w:r>
        <w:t xml:space="preserve"> </w:t>
      </w:r>
      <w:r w:rsidRPr="0071774C">
        <w:t>the</w:t>
      </w:r>
      <w:r>
        <w:t xml:space="preserve"> </w:t>
      </w:r>
      <w:r w:rsidRPr="0071774C">
        <w:t>purpose</w:t>
      </w:r>
      <w:r>
        <w:t xml:space="preserve"> </w:t>
      </w:r>
      <w:r w:rsidRPr="0071774C">
        <w:t>of</w:t>
      </w:r>
      <w:r>
        <w:t xml:space="preserve"> </w:t>
      </w:r>
      <w:r w:rsidRPr="0071774C">
        <w:t>which</w:t>
      </w:r>
      <w:r>
        <w:t xml:space="preserve"> </w:t>
      </w:r>
      <w:r w:rsidRPr="0071774C">
        <w:t>is</w:t>
      </w:r>
      <w:r>
        <w:t xml:space="preserve"> </w:t>
      </w:r>
      <w:r w:rsidRPr="0071774C">
        <w:t>to:</w:t>
      </w:r>
    </w:p>
    <w:p w14:paraId="73B31327" w14:textId="77777777" w:rsidR="002C2EC7" w:rsidRDefault="002C2EC7" w:rsidP="00790783">
      <w:pPr>
        <w:pStyle w:val="Quote"/>
        <w:rPr>
          <w:rFonts w:eastAsia="Yu Mincho"/>
        </w:rPr>
      </w:pPr>
      <w:r w:rsidRPr="007C552E">
        <w:t>‘determine</w:t>
      </w:r>
      <w:r>
        <w:t xml:space="preserve"> </w:t>
      </w:r>
      <w:r w:rsidRPr="007C552E">
        <w:t>its</w:t>
      </w:r>
      <w:r>
        <w:t xml:space="preserve"> </w:t>
      </w:r>
      <w:r w:rsidRPr="007C552E">
        <w:t>effectiveness</w:t>
      </w:r>
      <w:r>
        <w:t xml:space="preserve"> </w:t>
      </w:r>
      <w:r w:rsidRPr="007C552E">
        <w:t>as</w:t>
      </w:r>
      <w:r>
        <w:t xml:space="preserve"> </w:t>
      </w:r>
      <w:r w:rsidRPr="007C552E">
        <w:t>an</w:t>
      </w:r>
      <w:r>
        <w:t xml:space="preserve"> </w:t>
      </w:r>
      <w:r w:rsidRPr="007C552E">
        <w:t>overarching</w:t>
      </w:r>
      <w:r>
        <w:t xml:space="preserve"> </w:t>
      </w:r>
      <w:r w:rsidRPr="007C552E">
        <w:t>policy</w:t>
      </w:r>
      <w:r>
        <w:t xml:space="preserve"> </w:t>
      </w:r>
      <w:r w:rsidRPr="007C552E">
        <w:t>on</w:t>
      </w:r>
      <w:r>
        <w:t xml:space="preserve"> </w:t>
      </w:r>
      <w:r w:rsidRPr="007C552E">
        <w:t>an</w:t>
      </w:r>
      <w:r>
        <w:t xml:space="preserve"> </w:t>
      </w:r>
      <w:r w:rsidRPr="007C552E">
        <w:t>ongoing</w:t>
      </w:r>
      <w:r>
        <w:t xml:space="preserve"> </w:t>
      </w:r>
      <w:r w:rsidRPr="007C552E">
        <w:t>basis,</w:t>
      </w:r>
      <w:r>
        <w:t xml:space="preserve"> </w:t>
      </w:r>
      <w:r w:rsidRPr="007C552E">
        <w:t>to</w:t>
      </w:r>
      <w:r>
        <w:t xml:space="preserve"> </w:t>
      </w:r>
      <w:r w:rsidRPr="007C552E">
        <w:t>inform</w:t>
      </w:r>
      <w:r>
        <w:t xml:space="preserve"> </w:t>
      </w:r>
      <w:r w:rsidRPr="007C552E">
        <w:t>the</w:t>
      </w:r>
      <w:r>
        <w:t xml:space="preserve"> </w:t>
      </w:r>
      <w:r w:rsidRPr="007C552E">
        <w:t>focus</w:t>
      </w:r>
      <w:r>
        <w:t xml:space="preserve"> </w:t>
      </w:r>
      <w:r w:rsidRPr="007C552E">
        <w:t>of</w:t>
      </w:r>
      <w:r>
        <w:t xml:space="preserve"> </w:t>
      </w:r>
      <w:r w:rsidRPr="007C552E">
        <w:t>future</w:t>
      </w:r>
      <w:r>
        <w:t xml:space="preserve"> </w:t>
      </w:r>
      <w:r w:rsidRPr="007C552E">
        <w:t>directions</w:t>
      </w:r>
      <w:r>
        <w:t xml:space="preserve"> </w:t>
      </w:r>
      <w:r w:rsidRPr="007C552E">
        <w:t>of</w:t>
      </w:r>
      <w:r>
        <w:t xml:space="preserve"> </w:t>
      </w:r>
      <w:r w:rsidRPr="007C552E">
        <w:t>the</w:t>
      </w:r>
      <w:r>
        <w:t xml:space="preserve"> </w:t>
      </w:r>
      <w:r w:rsidRPr="007C552E">
        <w:t>National</w:t>
      </w:r>
      <w:r>
        <w:t xml:space="preserve"> </w:t>
      </w:r>
      <w:r w:rsidRPr="007C552E">
        <w:t>Plan</w:t>
      </w:r>
      <w:r>
        <w:t xml:space="preserve"> </w:t>
      </w:r>
      <w:r w:rsidRPr="007C552E">
        <w:t>and</w:t>
      </w:r>
      <w:r>
        <w:t xml:space="preserve"> </w:t>
      </w:r>
      <w:r w:rsidRPr="007C552E">
        <w:t>remain</w:t>
      </w:r>
      <w:r>
        <w:t xml:space="preserve"> </w:t>
      </w:r>
      <w:r w:rsidRPr="007C552E">
        <w:t>responsive</w:t>
      </w:r>
      <w:r>
        <w:t xml:space="preserve"> </w:t>
      </w:r>
      <w:r w:rsidRPr="007C552E">
        <w:t>to</w:t>
      </w:r>
      <w:r>
        <w:t xml:space="preserve"> </w:t>
      </w:r>
      <w:r w:rsidRPr="007C552E">
        <w:t>emerging</w:t>
      </w:r>
      <w:r>
        <w:t xml:space="preserve"> </w:t>
      </w:r>
      <w:r w:rsidRPr="007C552E">
        <w:t>priorities.’</w:t>
      </w:r>
      <w:r w:rsidRPr="0071774C">
        <w:rPr>
          <w:rStyle w:val="EndnoteReference"/>
          <w:color w:val="000000"/>
        </w:rPr>
        <w:endnoteReference w:id="129"/>
      </w:r>
    </w:p>
    <w:p w14:paraId="37F2AE96" w14:textId="5F867C1A" w:rsidR="002C2EC7" w:rsidRDefault="002C2EC7" w:rsidP="00790783">
      <w:pPr>
        <w:pStyle w:val="BodyText"/>
      </w:pPr>
      <w:r w:rsidRPr="0071774C">
        <w:t>Also</w:t>
      </w:r>
      <w:r>
        <w:t xml:space="preserve"> </w:t>
      </w:r>
      <w:r w:rsidRPr="0071774C">
        <w:t>at</w:t>
      </w:r>
      <w:r>
        <w:t xml:space="preserve"> </w:t>
      </w:r>
      <w:r w:rsidRPr="0071774C">
        <w:t>the</w:t>
      </w:r>
      <w:r>
        <w:t xml:space="preserve"> </w:t>
      </w:r>
      <w:r w:rsidRPr="0071774C">
        <w:t>national</w:t>
      </w:r>
      <w:r>
        <w:t xml:space="preserve"> </w:t>
      </w:r>
      <w:r w:rsidRPr="0071774C">
        <w:t>level,</w:t>
      </w:r>
      <w:r>
        <w:t xml:space="preserve"> </w:t>
      </w:r>
      <w:r w:rsidRPr="0071774C">
        <w:t>the</w:t>
      </w:r>
      <w:r>
        <w:t xml:space="preserve"> </w:t>
      </w:r>
      <w:r w:rsidRPr="0071774C">
        <w:t>Productivity</w:t>
      </w:r>
      <w:r>
        <w:t xml:space="preserve"> </w:t>
      </w:r>
      <w:r w:rsidRPr="0071774C">
        <w:t>Commission</w:t>
      </w:r>
      <w:r>
        <w:t xml:space="preserve"> </w:t>
      </w:r>
      <w:r w:rsidRPr="0071774C">
        <w:t>has</w:t>
      </w:r>
      <w:r>
        <w:t xml:space="preserve"> </w:t>
      </w:r>
      <w:r w:rsidRPr="0071774C">
        <w:t>been</w:t>
      </w:r>
      <w:r>
        <w:t xml:space="preserve"> </w:t>
      </w:r>
      <w:r w:rsidRPr="0071774C">
        <w:t>asked</w:t>
      </w:r>
      <w:r>
        <w:t xml:space="preserve"> </w:t>
      </w:r>
      <w:r w:rsidRPr="0071774C">
        <w:t>by</w:t>
      </w:r>
      <w:r>
        <w:t xml:space="preserve"> </w:t>
      </w:r>
      <w:r w:rsidRPr="0071774C">
        <w:t>the</w:t>
      </w:r>
      <w:r>
        <w:t xml:space="preserve"> </w:t>
      </w:r>
      <w:r w:rsidRPr="0071774C">
        <w:t>Australian</w:t>
      </w:r>
      <w:r>
        <w:t xml:space="preserve"> </w:t>
      </w:r>
      <w:r w:rsidR="0E354EE4">
        <w:t>G</w:t>
      </w:r>
      <w:r w:rsidRPr="0071774C">
        <w:t>overnment</w:t>
      </w:r>
      <w:r>
        <w:t xml:space="preserve"> </w:t>
      </w:r>
      <w:r w:rsidRPr="0071774C">
        <w:t>to</w:t>
      </w:r>
      <w:r>
        <w:t xml:space="preserve"> </w:t>
      </w:r>
      <w:r w:rsidRPr="0071774C">
        <w:t>develop</w:t>
      </w:r>
      <w:r>
        <w:t xml:space="preserve"> </w:t>
      </w:r>
      <w:r w:rsidRPr="0071774C">
        <w:t>a</w:t>
      </w:r>
      <w:r>
        <w:t xml:space="preserve"> </w:t>
      </w:r>
      <w:r w:rsidRPr="0071774C">
        <w:t>whole-of-government</w:t>
      </w:r>
      <w:r>
        <w:t xml:space="preserve"> </w:t>
      </w:r>
      <w:r w:rsidRPr="0071774C">
        <w:t>evaluation</w:t>
      </w:r>
      <w:r>
        <w:t xml:space="preserve"> </w:t>
      </w:r>
      <w:r w:rsidRPr="0071774C">
        <w:t>strategy</w:t>
      </w:r>
      <w:r>
        <w:t xml:space="preserve"> </w:t>
      </w:r>
      <w:r w:rsidRPr="0071774C">
        <w:t>for</w:t>
      </w:r>
      <w:r>
        <w:t xml:space="preserve"> </w:t>
      </w:r>
      <w:r w:rsidRPr="0071774C">
        <w:t>policies</w:t>
      </w:r>
      <w:r>
        <w:t xml:space="preserve"> </w:t>
      </w:r>
      <w:r w:rsidRPr="0071774C">
        <w:t>and</w:t>
      </w:r>
      <w:r>
        <w:t xml:space="preserve"> </w:t>
      </w:r>
      <w:r w:rsidRPr="0071774C">
        <w:t>programs</w:t>
      </w:r>
      <w:r>
        <w:t xml:space="preserve"> </w:t>
      </w:r>
      <w:r w:rsidRPr="0071774C">
        <w:t>affecting</w:t>
      </w:r>
      <w:r>
        <w:t xml:space="preserve"> </w:t>
      </w:r>
      <w:r w:rsidRPr="0071774C">
        <w:t>Aboriginal</w:t>
      </w:r>
      <w:r>
        <w:t xml:space="preserve"> </w:t>
      </w:r>
      <w:r w:rsidRPr="0071774C">
        <w:t>and</w:t>
      </w:r>
      <w:r>
        <w:t xml:space="preserve"> </w:t>
      </w:r>
      <w:r w:rsidRPr="0071774C">
        <w:t>Torres</w:t>
      </w:r>
      <w:r>
        <w:t xml:space="preserve"> </w:t>
      </w:r>
      <w:r w:rsidRPr="0071774C">
        <w:t>Strait</w:t>
      </w:r>
      <w:r>
        <w:t xml:space="preserve"> </w:t>
      </w:r>
      <w:r w:rsidRPr="0071774C">
        <w:t>Islander</w:t>
      </w:r>
      <w:r>
        <w:t xml:space="preserve"> </w:t>
      </w:r>
      <w:r w:rsidRPr="0071774C">
        <w:t>people,</w:t>
      </w:r>
      <w:r>
        <w:t xml:space="preserve"> </w:t>
      </w:r>
      <w:r w:rsidRPr="0071774C">
        <w:t>to</w:t>
      </w:r>
      <w:r>
        <w:t xml:space="preserve"> </w:t>
      </w:r>
      <w:r w:rsidRPr="0071774C">
        <w:t>be</w:t>
      </w:r>
      <w:r>
        <w:t xml:space="preserve"> </w:t>
      </w:r>
      <w:r w:rsidRPr="0071774C">
        <w:t>used</w:t>
      </w:r>
      <w:r>
        <w:t xml:space="preserve"> </w:t>
      </w:r>
      <w:r w:rsidRPr="0071774C">
        <w:t>by</w:t>
      </w:r>
      <w:r>
        <w:t xml:space="preserve"> </w:t>
      </w:r>
      <w:r w:rsidRPr="0071774C">
        <w:t>all</w:t>
      </w:r>
      <w:r>
        <w:t xml:space="preserve"> </w:t>
      </w:r>
      <w:r w:rsidRPr="0071774C">
        <w:t>Australian</w:t>
      </w:r>
      <w:r>
        <w:t xml:space="preserve"> </w:t>
      </w:r>
      <w:r w:rsidR="4BD7D286">
        <w:t>G</w:t>
      </w:r>
      <w:r w:rsidRPr="0071774C">
        <w:t>overnment</w:t>
      </w:r>
      <w:r>
        <w:t xml:space="preserve"> </w:t>
      </w:r>
      <w:r w:rsidRPr="0071774C">
        <w:t>agencies</w:t>
      </w:r>
      <w:r>
        <w:t>.</w:t>
      </w:r>
      <w:r w:rsidRPr="24ED14A9">
        <w:rPr>
          <w:rStyle w:val="EndnoteReference"/>
        </w:rPr>
        <w:endnoteReference w:id="130"/>
      </w:r>
    </w:p>
    <w:p w14:paraId="74208E3A" w14:textId="2A5A1838" w:rsidR="002C2EC7" w:rsidRDefault="002C2EC7" w:rsidP="00790783">
      <w:pPr>
        <w:pStyle w:val="BodyText"/>
      </w:pPr>
      <w:r w:rsidRPr="0071774C">
        <w:t>In</w:t>
      </w:r>
      <w:r>
        <w:t xml:space="preserve"> </w:t>
      </w:r>
      <w:r w:rsidRPr="0071774C">
        <w:t>terms</w:t>
      </w:r>
      <w:r>
        <w:t xml:space="preserve"> </w:t>
      </w:r>
      <w:r w:rsidRPr="0071774C">
        <w:t>of</w:t>
      </w:r>
      <w:r>
        <w:t xml:space="preserve"> </w:t>
      </w:r>
      <w:r w:rsidRPr="0071774C">
        <w:t>evaluation</w:t>
      </w:r>
      <w:r>
        <w:t xml:space="preserve"> </w:t>
      </w:r>
      <w:r w:rsidRPr="0071774C">
        <w:t>and</w:t>
      </w:r>
      <w:r>
        <w:t xml:space="preserve"> </w:t>
      </w:r>
      <w:r w:rsidRPr="0071774C">
        <w:t>learning,</w:t>
      </w:r>
      <w:r>
        <w:t xml:space="preserve"> </w:t>
      </w:r>
      <w:r w:rsidRPr="0071774C">
        <w:t>there</w:t>
      </w:r>
      <w:r>
        <w:t xml:space="preserve"> </w:t>
      </w:r>
      <w:r w:rsidRPr="0071774C">
        <w:t>are</w:t>
      </w:r>
      <w:r>
        <w:t xml:space="preserve"> </w:t>
      </w:r>
      <w:r w:rsidRPr="0071774C">
        <w:t>currently</w:t>
      </w:r>
      <w:r>
        <w:t xml:space="preserve"> </w:t>
      </w:r>
      <w:r w:rsidRPr="0071774C">
        <w:t>no</w:t>
      </w:r>
      <w:r>
        <w:t xml:space="preserve"> </w:t>
      </w:r>
      <w:r w:rsidRPr="0071774C">
        <w:t>agreed</w:t>
      </w:r>
      <w:r>
        <w:t xml:space="preserve"> </w:t>
      </w:r>
      <w:r w:rsidRPr="0071774C">
        <w:t>evaluation</w:t>
      </w:r>
      <w:r>
        <w:t xml:space="preserve"> </w:t>
      </w:r>
      <w:r w:rsidRPr="0071774C">
        <w:t>frameworks</w:t>
      </w:r>
      <w:r>
        <w:t xml:space="preserve"> </w:t>
      </w:r>
      <w:r w:rsidRPr="0071774C">
        <w:t>that</w:t>
      </w:r>
      <w:r>
        <w:t xml:space="preserve"> </w:t>
      </w:r>
      <w:r w:rsidRPr="0071774C">
        <w:t>are</w:t>
      </w:r>
      <w:r>
        <w:t xml:space="preserve"> </w:t>
      </w:r>
      <w:r w:rsidRPr="0071774C">
        <w:t>shared</w:t>
      </w:r>
      <w:r>
        <w:t xml:space="preserve"> </w:t>
      </w:r>
      <w:r w:rsidRPr="0071774C">
        <w:t>and</w:t>
      </w:r>
      <w:r>
        <w:t xml:space="preserve"> </w:t>
      </w:r>
      <w:r w:rsidRPr="0071774C">
        <w:t>widely</w:t>
      </w:r>
      <w:r>
        <w:t xml:space="preserve"> </w:t>
      </w:r>
      <w:r w:rsidRPr="0071774C">
        <w:t>adhered</w:t>
      </w:r>
      <w:r>
        <w:t xml:space="preserve"> </w:t>
      </w:r>
      <w:r w:rsidRPr="0071774C">
        <w:t>to.</w:t>
      </w:r>
      <w:r>
        <w:t xml:space="preserve"> </w:t>
      </w:r>
      <w:r w:rsidRPr="0071774C">
        <w:t>However,</w:t>
      </w:r>
      <w:r>
        <w:t xml:space="preserve"> </w:t>
      </w:r>
      <w:r w:rsidRPr="0071774C">
        <w:t>a</w:t>
      </w:r>
      <w:r>
        <w:t xml:space="preserve"> </w:t>
      </w:r>
      <w:r w:rsidRPr="0071774C">
        <w:t>desktop</w:t>
      </w:r>
      <w:r>
        <w:t xml:space="preserve"> </w:t>
      </w:r>
      <w:r w:rsidRPr="0071774C">
        <w:t>search</w:t>
      </w:r>
      <w:r>
        <w:t xml:space="preserve"> </w:t>
      </w:r>
      <w:r w:rsidRPr="0071774C">
        <w:t>revealed</w:t>
      </w:r>
      <w:r>
        <w:t xml:space="preserve"> </w:t>
      </w:r>
      <w:r w:rsidRPr="0071774C">
        <w:t>several</w:t>
      </w:r>
      <w:r>
        <w:t xml:space="preserve"> </w:t>
      </w:r>
      <w:r w:rsidRPr="0071774C">
        <w:t>evaluation</w:t>
      </w:r>
      <w:r>
        <w:t xml:space="preserve"> </w:t>
      </w:r>
      <w:r w:rsidRPr="0071774C">
        <w:t>frameworks</w:t>
      </w:r>
      <w:r>
        <w:t xml:space="preserve"> </w:t>
      </w:r>
      <w:r w:rsidRPr="0071774C">
        <w:t>developed</w:t>
      </w:r>
      <w:r>
        <w:t xml:space="preserve"> </w:t>
      </w:r>
      <w:r w:rsidRPr="0071774C">
        <w:t>to</w:t>
      </w:r>
      <w:r>
        <w:t xml:space="preserve"> </w:t>
      </w:r>
      <w:r w:rsidRPr="0071774C">
        <w:t>evaluate</w:t>
      </w:r>
      <w:r>
        <w:t xml:space="preserve"> </w:t>
      </w:r>
      <w:r w:rsidRPr="0071774C">
        <w:t>primary</w:t>
      </w:r>
      <w:r>
        <w:t xml:space="preserve"> </w:t>
      </w:r>
      <w:r w:rsidRPr="0071774C">
        <w:t>prevention</w:t>
      </w:r>
      <w:r>
        <w:t xml:space="preserve"> </w:t>
      </w:r>
      <w:r w:rsidRPr="0071774C">
        <w:t>activities</w:t>
      </w:r>
      <w:r>
        <w:t xml:space="preserve"> </w:t>
      </w:r>
      <w:r w:rsidRPr="0071774C">
        <w:t>between</w:t>
      </w:r>
      <w:r>
        <w:t xml:space="preserve"> </w:t>
      </w:r>
      <w:r w:rsidRPr="0071774C">
        <w:t>2013</w:t>
      </w:r>
      <w:r>
        <w:t xml:space="preserve"> </w:t>
      </w:r>
      <w:r w:rsidRPr="0071774C">
        <w:t>and</w:t>
      </w:r>
      <w:r>
        <w:t xml:space="preserve"> </w:t>
      </w:r>
      <w:r w:rsidRPr="0071774C">
        <w:t>2017.</w:t>
      </w:r>
      <w:r>
        <w:t xml:space="preserve"> </w:t>
      </w:r>
      <w:r w:rsidRPr="0071774C">
        <w:t>These</w:t>
      </w:r>
      <w:r>
        <w:t xml:space="preserve"> </w:t>
      </w:r>
      <w:r w:rsidRPr="0071774C">
        <w:t>were</w:t>
      </w:r>
      <w:r>
        <w:t xml:space="preserve"> </w:t>
      </w:r>
      <w:r w:rsidRPr="0071774C">
        <w:t>primarily</w:t>
      </w:r>
      <w:r>
        <w:t xml:space="preserve"> </w:t>
      </w:r>
      <w:r w:rsidRPr="0071774C">
        <w:t>developed</w:t>
      </w:r>
      <w:r>
        <w:t xml:space="preserve"> </w:t>
      </w:r>
      <w:r w:rsidRPr="0071774C">
        <w:t>by</w:t>
      </w:r>
      <w:r>
        <w:t xml:space="preserve"> </w:t>
      </w:r>
      <w:r w:rsidRPr="0071774C">
        <w:t>health</w:t>
      </w:r>
      <w:r>
        <w:t xml:space="preserve"> </w:t>
      </w:r>
      <w:r w:rsidRPr="0071774C">
        <w:t>organisations</w:t>
      </w:r>
      <w:r>
        <w:t xml:space="preserve"> </w:t>
      </w:r>
      <w:r w:rsidRPr="0071774C">
        <w:t>and</w:t>
      </w:r>
      <w:r>
        <w:t xml:space="preserve"> </w:t>
      </w:r>
      <w:r w:rsidRPr="0071774C">
        <w:t>universities</w:t>
      </w:r>
      <w:r>
        <w:t xml:space="preserve"> </w:t>
      </w:r>
      <w:r w:rsidRPr="0071774C">
        <w:t>to</w:t>
      </w:r>
      <w:r>
        <w:t xml:space="preserve"> </w:t>
      </w:r>
      <w:r w:rsidRPr="0071774C">
        <w:t>guide</w:t>
      </w:r>
      <w:r>
        <w:t xml:space="preserve"> </w:t>
      </w:r>
      <w:r w:rsidRPr="0071774C">
        <w:t>evaluation</w:t>
      </w:r>
      <w:r>
        <w:t xml:space="preserve"> </w:t>
      </w:r>
      <w:r w:rsidRPr="0071774C">
        <w:t>linked</w:t>
      </w:r>
      <w:r>
        <w:t xml:space="preserve"> </w:t>
      </w:r>
      <w:r w:rsidRPr="0071774C">
        <w:t>to</w:t>
      </w:r>
      <w:r>
        <w:t xml:space="preserve"> </w:t>
      </w:r>
      <w:r w:rsidRPr="0071774C">
        <w:t>state</w:t>
      </w:r>
      <w:r>
        <w:t xml:space="preserve"> </w:t>
      </w:r>
      <w:r w:rsidRPr="0071774C">
        <w:t>government</w:t>
      </w:r>
      <w:r>
        <w:t xml:space="preserve"> </w:t>
      </w:r>
      <w:r w:rsidRPr="0071774C">
        <w:t>strategies,</w:t>
      </w:r>
      <w:r>
        <w:t xml:space="preserve"> </w:t>
      </w:r>
      <w:r w:rsidRPr="0071774C">
        <w:t>such</w:t>
      </w:r>
      <w:r>
        <w:t xml:space="preserve"> </w:t>
      </w:r>
      <w:r w:rsidRPr="0071774C">
        <w:t>as</w:t>
      </w:r>
      <w:r>
        <w:t xml:space="preserve"> </w:t>
      </w:r>
      <w:r w:rsidRPr="0071774C">
        <w:t>the</w:t>
      </w:r>
      <w:r>
        <w:t xml:space="preserve"> </w:t>
      </w:r>
      <w:r w:rsidRPr="0071774C">
        <w:t>Victorian</w:t>
      </w:r>
      <w:r>
        <w:t xml:space="preserve"> </w:t>
      </w:r>
      <w:r w:rsidR="5F9619AC">
        <w:t>G</w:t>
      </w:r>
      <w:r w:rsidR="2AC7C71E" w:rsidRPr="0071774C">
        <w:t>overnment’s</w:t>
      </w:r>
      <w:r>
        <w:t xml:space="preserve"> </w:t>
      </w:r>
      <w:r w:rsidRPr="0071774C">
        <w:t>Free</w:t>
      </w:r>
      <w:r>
        <w:t xml:space="preserve"> </w:t>
      </w:r>
      <w:r w:rsidRPr="0071774C">
        <w:t>From</w:t>
      </w:r>
      <w:r>
        <w:t xml:space="preserve"> </w:t>
      </w:r>
      <w:r w:rsidRPr="0071774C">
        <w:t>Violence</w:t>
      </w:r>
      <w:r>
        <w:t xml:space="preserve"> </w:t>
      </w:r>
      <w:r w:rsidRPr="0071774C">
        <w:t>Outcomes</w:t>
      </w:r>
      <w:r>
        <w:t xml:space="preserve"> </w:t>
      </w:r>
      <w:r w:rsidRPr="0071774C">
        <w:t>Framework</w:t>
      </w:r>
      <w:r w:rsidRPr="24ED14A9">
        <w:rPr>
          <w:rStyle w:val="EndnoteReference"/>
        </w:rPr>
        <w:endnoteReference w:id="131"/>
      </w:r>
      <w:r>
        <w:rPr>
          <w:color w:val="0078D4"/>
        </w:rPr>
        <w:t xml:space="preserve"> </w:t>
      </w:r>
      <w:r w:rsidRPr="0071774C">
        <w:t>and</w:t>
      </w:r>
      <w:r>
        <w:t xml:space="preserve"> </w:t>
      </w:r>
      <w:r w:rsidRPr="0071774C">
        <w:t>the</w:t>
      </w:r>
      <w:r>
        <w:t xml:space="preserve"> </w:t>
      </w:r>
      <w:r w:rsidRPr="0071774C">
        <w:t>Queensland</w:t>
      </w:r>
      <w:r>
        <w:t xml:space="preserve"> </w:t>
      </w:r>
      <w:r w:rsidR="7C658B6A">
        <w:t>G</w:t>
      </w:r>
      <w:r w:rsidR="2AC7C71E" w:rsidRPr="0071774C">
        <w:t>overnment’s</w:t>
      </w:r>
      <w:r>
        <w:t xml:space="preserve"> </w:t>
      </w:r>
      <w:r w:rsidRPr="0071774C">
        <w:t>evaluation</w:t>
      </w:r>
      <w:r>
        <w:t xml:space="preserve"> </w:t>
      </w:r>
      <w:r w:rsidRPr="0071774C">
        <w:t>framework</w:t>
      </w:r>
      <w:r>
        <w:t xml:space="preserve"> </w:t>
      </w:r>
      <w:r w:rsidRPr="0071774C">
        <w:t>for</w:t>
      </w:r>
      <w:r>
        <w:t xml:space="preserve"> </w:t>
      </w:r>
      <w:r w:rsidRPr="0071774C">
        <w:t>the</w:t>
      </w:r>
      <w:r>
        <w:t xml:space="preserve"> </w:t>
      </w:r>
      <w:r w:rsidRPr="00ED4674">
        <w:rPr>
          <w:rStyle w:val="Emphasis"/>
        </w:rPr>
        <w:t>Domestic and Family Violence Prevention Strategy 2016–2026</w:t>
      </w:r>
      <w:r>
        <w:t>,</w:t>
      </w:r>
      <w:r w:rsidRPr="24ED14A9">
        <w:rPr>
          <w:rStyle w:val="EndnoteReference"/>
        </w:rPr>
        <w:endnoteReference w:id="132"/>
      </w:r>
      <w:r>
        <w:t xml:space="preserve"> </w:t>
      </w:r>
      <w:r w:rsidRPr="0071774C">
        <w:t>and/or</w:t>
      </w:r>
      <w:r>
        <w:t xml:space="preserve"> </w:t>
      </w:r>
      <w:r w:rsidRPr="0071774C">
        <w:t>evaluations</w:t>
      </w:r>
      <w:r>
        <w:t xml:space="preserve"> </w:t>
      </w:r>
      <w:r w:rsidRPr="0071774C">
        <w:t>of</w:t>
      </w:r>
      <w:r>
        <w:t xml:space="preserve"> primary </w:t>
      </w:r>
      <w:r w:rsidRPr="0071774C">
        <w:t>prevention</w:t>
      </w:r>
      <w:r>
        <w:t xml:space="preserve"> </w:t>
      </w:r>
      <w:r w:rsidRPr="0071774C">
        <w:t>activities</w:t>
      </w:r>
      <w:r>
        <w:t xml:space="preserve"> </w:t>
      </w:r>
      <w:r w:rsidRPr="0071774C">
        <w:t>coordinated</w:t>
      </w:r>
      <w:r>
        <w:t xml:space="preserve"> </w:t>
      </w:r>
      <w:r w:rsidRPr="0071774C">
        <w:t>by</w:t>
      </w:r>
      <w:r>
        <w:t xml:space="preserve"> </w:t>
      </w:r>
      <w:r w:rsidRPr="0071774C">
        <w:t>regional</w:t>
      </w:r>
      <w:r>
        <w:t xml:space="preserve"> </w:t>
      </w:r>
      <w:r w:rsidRPr="0071774C">
        <w:t>networks</w:t>
      </w:r>
      <w:r>
        <w:t>.</w:t>
      </w:r>
      <w:r w:rsidRPr="24ED14A9">
        <w:rPr>
          <w:rStyle w:val="EndnoteReference"/>
        </w:rPr>
        <w:endnoteReference w:id="133"/>
      </w:r>
      <w:r>
        <w:t xml:space="preserve"> </w:t>
      </w:r>
      <w:r w:rsidRPr="24ED14A9">
        <w:rPr>
          <w:rStyle w:val="EndnoteReference"/>
        </w:rPr>
        <w:endnoteReference w:id="134"/>
      </w:r>
    </w:p>
    <w:p w14:paraId="1FFD29D4" w14:textId="46A0267E" w:rsidR="002C2EC7" w:rsidRDefault="002C2EC7" w:rsidP="00790783">
      <w:pPr>
        <w:pStyle w:val="BodyText"/>
      </w:pPr>
      <w:r w:rsidRPr="0071774C">
        <w:t>In</w:t>
      </w:r>
      <w:r>
        <w:t xml:space="preserve"> </w:t>
      </w:r>
      <w:r w:rsidRPr="0071774C">
        <w:t>addition</w:t>
      </w:r>
      <w:r>
        <w:t xml:space="preserve"> </w:t>
      </w:r>
      <w:r w:rsidRPr="0071774C">
        <w:t>to</w:t>
      </w:r>
      <w:r>
        <w:t xml:space="preserve"> </w:t>
      </w:r>
      <w:r w:rsidRPr="0071774C">
        <w:t>these</w:t>
      </w:r>
      <w:r>
        <w:t xml:space="preserve"> </w:t>
      </w:r>
      <w:r w:rsidRPr="0071774C">
        <w:t>frameworks</w:t>
      </w:r>
      <w:r>
        <w:t xml:space="preserve">, </w:t>
      </w:r>
      <w:r w:rsidRPr="0071774C">
        <w:t>and</w:t>
      </w:r>
      <w:r>
        <w:t xml:space="preserve"> </w:t>
      </w:r>
      <w:r w:rsidRPr="0071774C">
        <w:t>reflecting</w:t>
      </w:r>
      <w:r>
        <w:t xml:space="preserve"> </w:t>
      </w:r>
      <w:r w:rsidRPr="0071774C">
        <w:t>the</w:t>
      </w:r>
      <w:r>
        <w:t xml:space="preserve"> </w:t>
      </w:r>
      <w:r w:rsidRPr="0071774C">
        <w:t>widespread</w:t>
      </w:r>
      <w:r>
        <w:t xml:space="preserve"> </w:t>
      </w:r>
      <w:r w:rsidRPr="0071774C">
        <w:t>recognition</w:t>
      </w:r>
      <w:r>
        <w:t xml:space="preserve"> </w:t>
      </w:r>
      <w:r w:rsidRPr="0071774C">
        <w:t>of</w:t>
      </w:r>
      <w:r>
        <w:t xml:space="preserve"> </w:t>
      </w:r>
      <w:r w:rsidRPr="0071774C">
        <w:t>the</w:t>
      </w:r>
      <w:r>
        <w:t xml:space="preserve"> </w:t>
      </w:r>
      <w:r w:rsidRPr="0071774C">
        <w:t>importance</w:t>
      </w:r>
      <w:r>
        <w:t xml:space="preserve"> </w:t>
      </w:r>
      <w:r w:rsidRPr="0071774C">
        <w:t>of</w:t>
      </w:r>
      <w:r>
        <w:t xml:space="preserve"> </w:t>
      </w:r>
      <w:r w:rsidRPr="0071774C">
        <w:t>evaluating</w:t>
      </w:r>
      <w:r>
        <w:t xml:space="preserve"> </w:t>
      </w:r>
      <w:r w:rsidRPr="0071774C">
        <w:t>primary</w:t>
      </w:r>
      <w:r>
        <w:t xml:space="preserve"> </w:t>
      </w:r>
      <w:r w:rsidRPr="0071774C">
        <w:t>prevention</w:t>
      </w:r>
      <w:r>
        <w:t xml:space="preserve"> </w:t>
      </w:r>
      <w:r w:rsidRPr="0071774C">
        <w:t>activity</w:t>
      </w:r>
      <w:r>
        <w:t xml:space="preserve"> </w:t>
      </w:r>
      <w:r w:rsidRPr="0071774C">
        <w:t>and</w:t>
      </w:r>
      <w:r>
        <w:t xml:space="preserve"> </w:t>
      </w:r>
      <w:r w:rsidRPr="0071774C">
        <w:t>the</w:t>
      </w:r>
      <w:r>
        <w:t xml:space="preserve"> </w:t>
      </w:r>
      <w:r w:rsidRPr="0071774C">
        <w:t>need</w:t>
      </w:r>
      <w:r>
        <w:t xml:space="preserve"> </w:t>
      </w:r>
      <w:r w:rsidRPr="0071774C">
        <w:t>for</w:t>
      </w:r>
      <w:r>
        <w:t xml:space="preserve"> </w:t>
      </w:r>
      <w:r w:rsidRPr="0071774C">
        <w:t>support</w:t>
      </w:r>
      <w:r>
        <w:t xml:space="preserve"> </w:t>
      </w:r>
      <w:r w:rsidRPr="0071774C">
        <w:t>with</w:t>
      </w:r>
      <w:r>
        <w:t xml:space="preserve"> </w:t>
      </w:r>
      <w:r w:rsidRPr="0071774C">
        <w:t>evaluation</w:t>
      </w:r>
      <w:r>
        <w:t xml:space="preserve"> </w:t>
      </w:r>
      <w:r w:rsidRPr="0071774C">
        <w:t>capacity</w:t>
      </w:r>
      <w:r>
        <w:t xml:space="preserve"> </w:t>
      </w:r>
      <w:r w:rsidRPr="0071774C">
        <w:t>building,</w:t>
      </w:r>
      <w:r>
        <w:t xml:space="preserve"> </w:t>
      </w:r>
      <w:r w:rsidRPr="0071774C">
        <w:t>there</w:t>
      </w:r>
      <w:r>
        <w:t xml:space="preserve"> </w:t>
      </w:r>
      <w:r w:rsidRPr="0071774C">
        <w:t>are</w:t>
      </w:r>
      <w:r>
        <w:t xml:space="preserve"> </w:t>
      </w:r>
      <w:r w:rsidRPr="0071774C">
        <w:t>a</w:t>
      </w:r>
      <w:r>
        <w:t xml:space="preserve"> </w:t>
      </w:r>
      <w:r w:rsidRPr="0071774C">
        <w:t>range</w:t>
      </w:r>
      <w:r>
        <w:t xml:space="preserve"> </w:t>
      </w:r>
      <w:r w:rsidRPr="0071774C">
        <w:t>of</w:t>
      </w:r>
      <w:r>
        <w:t xml:space="preserve"> </w:t>
      </w:r>
      <w:r w:rsidRPr="0071774C">
        <w:t>best-practice</w:t>
      </w:r>
      <w:r>
        <w:t xml:space="preserve"> </w:t>
      </w:r>
      <w:r w:rsidRPr="0071774C">
        <w:t>guides</w:t>
      </w:r>
      <w:r>
        <w:t xml:space="preserve"> </w:t>
      </w:r>
      <w:r w:rsidRPr="0071774C">
        <w:t>on</w:t>
      </w:r>
      <w:r>
        <w:t xml:space="preserve"> </w:t>
      </w:r>
      <w:r w:rsidRPr="0071774C">
        <w:t>the</w:t>
      </w:r>
      <w:r>
        <w:t xml:space="preserve"> </w:t>
      </w:r>
      <w:r w:rsidRPr="0071774C">
        <w:t>evaluation</w:t>
      </w:r>
      <w:r>
        <w:t xml:space="preserve"> </w:t>
      </w:r>
      <w:r w:rsidRPr="0071774C">
        <w:t>of</w:t>
      </w:r>
      <w:r w:rsidR="00ED696B">
        <w:t> </w:t>
      </w:r>
      <w:r>
        <w:t xml:space="preserve">activities aimed at the </w:t>
      </w:r>
      <w:r w:rsidRPr="0071774C">
        <w:t>primary</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r>
        <w:rPr>
          <w:rStyle w:val="EndnoteReference"/>
          <w:szCs w:val="22"/>
        </w:rPr>
        <w:endnoteReference w:id="135"/>
      </w:r>
      <w:r>
        <w:t xml:space="preserve"> </w:t>
      </w:r>
      <w:r w:rsidRPr="0071774C">
        <w:t>These</w:t>
      </w:r>
      <w:r>
        <w:t xml:space="preserve"> </w:t>
      </w:r>
      <w:r w:rsidRPr="0071774C">
        <w:t>vary</w:t>
      </w:r>
      <w:r>
        <w:t xml:space="preserve"> </w:t>
      </w:r>
      <w:r w:rsidRPr="0071774C">
        <w:t>in</w:t>
      </w:r>
      <w:r>
        <w:t xml:space="preserve"> </w:t>
      </w:r>
      <w:r w:rsidRPr="0071774C">
        <w:t>audience</w:t>
      </w:r>
      <w:r>
        <w:t xml:space="preserve"> </w:t>
      </w:r>
      <w:r w:rsidRPr="0071774C">
        <w:t>and</w:t>
      </w:r>
      <w:r>
        <w:t xml:space="preserve"> </w:t>
      </w:r>
      <w:r w:rsidRPr="0071774C">
        <w:t>approach,</w:t>
      </w:r>
      <w:r>
        <w:t xml:space="preserve"> </w:t>
      </w:r>
      <w:r w:rsidRPr="0071774C">
        <w:t>and</w:t>
      </w:r>
      <w:r>
        <w:t xml:space="preserve"> </w:t>
      </w:r>
      <w:r w:rsidRPr="0071774C">
        <w:t>include</w:t>
      </w:r>
      <w:r>
        <w:t xml:space="preserve"> </w:t>
      </w:r>
      <w:r w:rsidRPr="0071774C">
        <w:t>compendiums</w:t>
      </w:r>
      <w:r>
        <w:t xml:space="preserve"> </w:t>
      </w:r>
      <w:r w:rsidRPr="0071774C">
        <w:t>of</w:t>
      </w:r>
      <w:r>
        <w:t xml:space="preserve"> </w:t>
      </w:r>
      <w:r w:rsidRPr="0071774C">
        <w:t>measures</w:t>
      </w:r>
      <w:r>
        <w:t>,</w:t>
      </w:r>
      <w:r w:rsidRPr="0071774C">
        <w:rPr>
          <w:rStyle w:val="EndnoteReference"/>
          <w:szCs w:val="22"/>
        </w:rPr>
        <w:endnoteReference w:id="136"/>
      </w:r>
      <w:r>
        <w:t xml:space="preserve"> </w:t>
      </w:r>
      <w:r w:rsidRPr="0071774C">
        <w:t>guides</w:t>
      </w:r>
      <w:r>
        <w:t xml:space="preserve"> </w:t>
      </w:r>
      <w:r w:rsidRPr="0071774C">
        <w:t>to</w:t>
      </w:r>
      <w:r>
        <w:t xml:space="preserve"> </w:t>
      </w:r>
      <w:r w:rsidRPr="0071774C">
        <w:t>evaluating</w:t>
      </w:r>
      <w:r>
        <w:t xml:space="preserve"> </w:t>
      </w:r>
      <w:r w:rsidRPr="0071774C">
        <w:t>interventions</w:t>
      </w:r>
      <w:r>
        <w:t xml:space="preserve"> </w:t>
      </w:r>
      <w:r w:rsidRPr="0071774C">
        <w:t>related</w:t>
      </w:r>
      <w:r>
        <w:t xml:space="preserve"> </w:t>
      </w:r>
      <w:r w:rsidRPr="0071774C">
        <w:t>to</w:t>
      </w:r>
      <w:r>
        <w:t xml:space="preserve"> </w:t>
      </w:r>
      <w:r w:rsidRPr="0071774C">
        <w:t>violence</w:t>
      </w:r>
      <w:r>
        <w:t xml:space="preserve"> </w:t>
      </w:r>
      <w:r w:rsidRPr="0071774C">
        <w:t>against</w:t>
      </w:r>
      <w:r>
        <w:t xml:space="preserve"> </w:t>
      </w:r>
      <w:r w:rsidRPr="0071774C">
        <w:t>women</w:t>
      </w:r>
      <w:r>
        <w:t>,</w:t>
      </w:r>
      <w:r w:rsidRPr="0071774C">
        <w:rPr>
          <w:rStyle w:val="EndnoteReference"/>
          <w:szCs w:val="22"/>
        </w:rPr>
        <w:endnoteReference w:id="137"/>
      </w:r>
      <w:r>
        <w:t xml:space="preserve"> </w:t>
      </w:r>
      <w:r w:rsidRPr="0071774C">
        <w:rPr>
          <w:rStyle w:val="EndnoteReference"/>
          <w:szCs w:val="22"/>
        </w:rPr>
        <w:endnoteReference w:id="138"/>
      </w:r>
      <w:r>
        <w:t xml:space="preserve"> </w:t>
      </w:r>
      <w:r w:rsidRPr="0071774C">
        <w:rPr>
          <w:rStyle w:val="EndnoteReference"/>
          <w:szCs w:val="22"/>
        </w:rPr>
        <w:endnoteReference w:id="139"/>
      </w:r>
      <w:r>
        <w:t xml:space="preserve"> </w:t>
      </w:r>
      <w:r w:rsidRPr="0071774C">
        <w:t>practitioner</w:t>
      </w:r>
      <w:r>
        <w:t xml:space="preserve"> </w:t>
      </w:r>
      <w:r w:rsidRPr="0071774C">
        <w:t>fact</w:t>
      </w:r>
      <w:r>
        <w:t xml:space="preserve"> </w:t>
      </w:r>
      <w:r w:rsidRPr="0071774C">
        <w:t>sheets</w:t>
      </w:r>
      <w:r>
        <w:t xml:space="preserve"> </w:t>
      </w:r>
      <w:r w:rsidRPr="0071774C">
        <w:t>for</w:t>
      </w:r>
      <w:r>
        <w:t xml:space="preserve"> </w:t>
      </w:r>
      <w:r w:rsidRPr="0071774C">
        <w:t>evaluating</w:t>
      </w:r>
      <w:r>
        <w:t xml:space="preserve"> </w:t>
      </w:r>
      <w:r w:rsidRPr="0071774C">
        <w:t>projects</w:t>
      </w:r>
      <w:r>
        <w:t xml:space="preserve"> </w:t>
      </w:r>
      <w:r w:rsidRPr="0071774C">
        <w:t>working</w:t>
      </w:r>
      <w:r>
        <w:t xml:space="preserve"> </w:t>
      </w:r>
      <w:r w:rsidRPr="0071774C">
        <w:t>to</w:t>
      </w:r>
      <w:r>
        <w:t xml:space="preserve"> </w:t>
      </w:r>
      <w:r w:rsidRPr="0071774C">
        <w:t>prevent</w:t>
      </w:r>
      <w:r>
        <w:t xml:space="preserve"> </w:t>
      </w:r>
      <w:r w:rsidRPr="0071774C">
        <w:t>violence</w:t>
      </w:r>
      <w:r>
        <w:t xml:space="preserve"> </w:t>
      </w:r>
      <w:r w:rsidRPr="0071774C">
        <w:t>against</w:t>
      </w:r>
      <w:r>
        <w:t xml:space="preserve"> </w:t>
      </w:r>
      <w:r w:rsidRPr="0071774C">
        <w:t>women</w:t>
      </w:r>
      <w:r>
        <w:t>,</w:t>
      </w:r>
      <w:r w:rsidRPr="0071774C">
        <w:rPr>
          <w:rStyle w:val="EndnoteReference"/>
          <w:szCs w:val="22"/>
        </w:rPr>
        <w:endnoteReference w:id="140"/>
      </w:r>
      <w:r>
        <w:t xml:space="preserve"> </w:t>
      </w:r>
      <w:r w:rsidRPr="0071774C">
        <w:t>and</w:t>
      </w:r>
      <w:r>
        <w:t xml:space="preserve"> </w:t>
      </w:r>
      <w:r w:rsidRPr="0071774C">
        <w:t>websites</w:t>
      </w:r>
      <w:r>
        <w:t xml:space="preserve"> </w:t>
      </w:r>
      <w:r w:rsidRPr="0071774C">
        <w:t>such</w:t>
      </w:r>
      <w:r>
        <w:t xml:space="preserve"> </w:t>
      </w:r>
      <w:r w:rsidRPr="0071774C">
        <w:t>as</w:t>
      </w:r>
      <w:r>
        <w:t xml:space="preserve"> </w:t>
      </w:r>
      <w:r w:rsidRPr="0071774C">
        <w:t>Maiam</w:t>
      </w:r>
      <w:r>
        <w:t xml:space="preserve"> </w:t>
      </w:r>
      <w:r w:rsidRPr="0071774C">
        <w:t>nayri</w:t>
      </w:r>
      <w:r>
        <w:t xml:space="preserve"> </w:t>
      </w:r>
      <w:r w:rsidRPr="0071774C">
        <w:t>Wingara</w:t>
      </w:r>
      <w:r>
        <w:t xml:space="preserve"> </w:t>
      </w:r>
      <w:r w:rsidRPr="0071774C">
        <w:t>Indigenous</w:t>
      </w:r>
      <w:r>
        <w:t xml:space="preserve"> </w:t>
      </w:r>
      <w:r w:rsidRPr="0071774C">
        <w:t>Data</w:t>
      </w:r>
      <w:r>
        <w:t xml:space="preserve"> </w:t>
      </w:r>
      <w:r w:rsidRPr="0071774C">
        <w:t>Sovereignty</w:t>
      </w:r>
      <w:r>
        <w:t xml:space="preserve"> </w:t>
      </w:r>
      <w:r w:rsidRPr="0071774C">
        <w:t>Collective</w:t>
      </w:r>
      <w:r>
        <w:t>,</w:t>
      </w:r>
      <w:r w:rsidRPr="0071774C">
        <w:rPr>
          <w:rStyle w:val="EndnoteReference"/>
          <w:szCs w:val="22"/>
        </w:rPr>
        <w:endnoteReference w:id="141"/>
      </w:r>
      <w:r>
        <w:t xml:space="preserve"> </w:t>
      </w:r>
      <w:r w:rsidRPr="0071774C">
        <w:t>which</w:t>
      </w:r>
      <w:r>
        <w:t xml:space="preserve"> </w:t>
      </w:r>
      <w:r w:rsidRPr="0071774C">
        <w:t>outlines</w:t>
      </w:r>
      <w:r>
        <w:t xml:space="preserve"> </w:t>
      </w:r>
      <w:r w:rsidRPr="0071774C">
        <w:t>key</w:t>
      </w:r>
      <w:r>
        <w:t xml:space="preserve"> </w:t>
      </w:r>
      <w:r w:rsidRPr="0071774C">
        <w:t>principles</w:t>
      </w:r>
      <w:r>
        <w:t xml:space="preserve"> </w:t>
      </w:r>
      <w:r w:rsidRPr="0071774C">
        <w:t>of</w:t>
      </w:r>
      <w:r>
        <w:t xml:space="preserve"> </w:t>
      </w:r>
      <w:r w:rsidRPr="0071774C">
        <w:t>Indigenous</w:t>
      </w:r>
      <w:r>
        <w:t xml:space="preserve"> </w:t>
      </w:r>
      <w:r w:rsidRPr="0071774C">
        <w:t>Data</w:t>
      </w:r>
      <w:r>
        <w:t xml:space="preserve"> </w:t>
      </w:r>
      <w:r w:rsidRPr="0071774C">
        <w:t>Sovereignty</w:t>
      </w:r>
      <w:r>
        <w:t xml:space="preserve"> </w:t>
      </w:r>
      <w:r w:rsidRPr="0071774C">
        <w:t>and</w:t>
      </w:r>
      <w:r>
        <w:t xml:space="preserve"> </w:t>
      </w:r>
      <w:r w:rsidRPr="0071774C">
        <w:t>Indigenous</w:t>
      </w:r>
      <w:r>
        <w:t xml:space="preserve"> </w:t>
      </w:r>
      <w:r w:rsidRPr="0071774C">
        <w:t>Data</w:t>
      </w:r>
      <w:r>
        <w:t xml:space="preserve"> </w:t>
      </w:r>
      <w:r w:rsidRPr="0071774C">
        <w:t>Governance</w:t>
      </w:r>
      <w:r>
        <w:t xml:space="preserve"> </w:t>
      </w:r>
      <w:r w:rsidRPr="0071774C">
        <w:t>and</w:t>
      </w:r>
      <w:r>
        <w:t xml:space="preserve"> </w:t>
      </w:r>
      <w:r w:rsidRPr="0071774C">
        <w:t>provides</w:t>
      </w:r>
      <w:r>
        <w:t xml:space="preserve"> </w:t>
      </w:r>
      <w:r w:rsidRPr="0071774C">
        <w:t>links</w:t>
      </w:r>
      <w:r>
        <w:t xml:space="preserve"> </w:t>
      </w:r>
      <w:r w:rsidRPr="0071774C">
        <w:t>to</w:t>
      </w:r>
      <w:r>
        <w:t xml:space="preserve"> </w:t>
      </w:r>
      <w:r w:rsidRPr="0071774C">
        <w:t>publications.</w:t>
      </w:r>
      <w:r>
        <w:t xml:space="preserve"> </w:t>
      </w:r>
      <w:r w:rsidRPr="0071774C">
        <w:t>Other</w:t>
      </w:r>
      <w:r>
        <w:t xml:space="preserve"> </w:t>
      </w:r>
      <w:r w:rsidRPr="0071774C">
        <w:t>evaluation</w:t>
      </w:r>
      <w:r>
        <w:t xml:space="preserve"> </w:t>
      </w:r>
      <w:r w:rsidRPr="0071774C">
        <w:t>guides</w:t>
      </w:r>
      <w:r>
        <w:t xml:space="preserve"> </w:t>
      </w:r>
      <w:r w:rsidRPr="0071774C">
        <w:t>can</w:t>
      </w:r>
      <w:r>
        <w:t xml:space="preserve"> </w:t>
      </w:r>
      <w:r w:rsidRPr="0071774C">
        <w:t>be</w:t>
      </w:r>
      <w:r>
        <w:t xml:space="preserve"> </w:t>
      </w:r>
      <w:r w:rsidRPr="0071774C">
        <w:t>found</w:t>
      </w:r>
      <w:r>
        <w:t xml:space="preserve"> </w:t>
      </w:r>
      <w:r w:rsidRPr="0071774C">
        <w:t>in</w:t>
      </w:r>
      <w:r>
        <w:t xml:space="preserve"> </w:t>
      </w:r>
      <w:r w:rsidRPr="0071774C">
        <w:t>national</w:t>
      </w:r>
      <w:r>
        <w:t xml:space="preserve"> </w:t>
      </w:r>
      <w:r w:rsidRPr="0071774C">
        <w:t>and</w:t>
      </w:r>
      <w:r>
        <w:t xml:space="preserve"> </w:t>
      </w:r>
      <w:r w:rsidRPr="0071774C">
        <w:t>international</w:t>
      </w:r>
      <w:r>
        <w:t xml:space="preserve"> </w:t>
      </w:r>
      <w:r w:rsidRPr="0071774C">
        <w:t>primary</w:t>
      </w:r>
      <w:r>
        <w:t xml:space="preserve"> </w:t>
      </w:r>
      <w:r w:rsidRPr="0071774C">
        <w:t>prevention</w:t>
      </w:r>
      <w:r>
        <w:t xml:space="preserve"> </w:t>
      </w:r>
      <w:r w:rsidRPr="0071774C">
        <w:t>activity</w:t>
      </w:r>
      <w:r>
        <w:t xml:space="preserve"> </w:t>
      </w:r>
      <w:r w:rsidRPr="0071774C">
        <w:t>design</w:t>
      </w:r>
      <w:r>
        <w:t xml:space="preserve"> </w:t>
      </w:r>
      <w:r w:rsidRPr="0071774C">
        <w:t>and</w:t>
      </w:r>
      <w:r>
        <w:t xml:space="preserve"> </w:t>
      </w:r>
      <w:r w:rsidRPr="0071774C">
        <w:t>implementation</w:t>
      </w:r>
      <w:r>
        <w:t xml:space="preserve"> </w:t>
      </w:r>
      <w:r w:rsidRPr="0071774C">
        <w:t>guides</w:t>
      </w:r>
      <w:r>
        <w:t xml:space="preserve"> </w:t>
      </w:r>
      <w:r w:rsidRPr="0071774C">
        <w:t>which</w:t>
      </w:r>
      <w:r>
        <w:t xml:space="preserve"> </w:t>
      </w:r>
      <w:r w:rsidRPr="0071774C">
        <w:t>include</w:t>
      </w:r>
      <w:r>
        <w:t xml:space="preserve"> </w:t>
      </w:r>
      <w:r w:rsidRPr="0071774C">
        <w:t>a</w:t>
      </w:r>
      <w:r>
        <w:t xml:space="preserve"> </w:t>
      </w:r>
      <w:r w:rsidRPr="0071774C">
        <w:t>section</w:t>
      </w:r>
      <w:r>
        <w:t xml:space="preserve"> </w:t>
      </w:r>
      <w:r w:rsidRPr="0071774C">
        <w:t>on</w:t>
      </w:r>
      <w:r w:rsidR="00C11BA2">
        <w:t> </w:t>
      </w:r>
      <w:r w:rsidRPr="0071774C">
        <w:t>evaluation</w:t>
      </w:r>
      <w:r>
        <w:t>.</w:t>
      </w:r>
      <w:r w:rsidRPr="0071774C">
        <w:rPr>
          <w:rStyle w:val="EndnoteReference"/>
          <w:szCs w:val="22"/>
        </w:rPr>
        <w:endnoteReference w:id="142"/>
      </w:r>
    </w:p>
    <w:p w14:paraId="4E3A6D13" w14:textId="1150C2FB" w:rsidR="002C2EC7" w:rsidRDefault="002C2EC7" w:rsidP="00790783">
      <w:pPr>
        <w:pStyle w:val="BodyText"/>
      </w:pPr>
      <w:r w:rsidRPr="0071774C">
        <w:t>At</w:t>
      </w:r>
      <w:r>
        <w:t xml:space="preserve"> </w:t>
      </w:r>
      <w:r w:rsidRPr="0071774C">
        <w:t>the</w:t>
      </w:r>
      <w:r>
        <w:t xml:space="preserve"> </w:t>
      </w:r>
      <w:r w:rsidRPr="0071774C">
        <w:t>individual</w:t>
      </w:r>
      <w:r>
        <w:t xml:space="preserve"> </w:t>
      </w:r>
      <w:r w:rsidRPr="0071774C">
        <w:t>activity</w:t>
      </w:r>
      <w:r>
        <w:t xml:space="preserve"> </w:t>
      </w:r>
      <w:r w:rsidRPr="0071774C">
        <w:t>level,</w:t>
      </w:r>
      <w:r>
        <w:t xml:space="preserve"> </w:t>
      </w:r>
      <w:r w:rsidRPr="0071774C">
        <w:t>survey</w:t>
      </w:r>
      <w:r>
        <w:t xml:space="preserve"> </w:t>
      </w:r>
      <w:r w:rsidRPr="0071774C">
        <w:t>data</w:t>
      </w:r>
      <w:r>
        <w:t xml:space="preserve"> </w:t>
      </w:r>
      <w:r w:rsidRPr="0071774C">
        <w:t>indicates</w:t>
      </w:r>
      <w:r>
        <w:t xml:space="preserve"> </w:t>
      </w:r>
      <w:r w:rsidRPr="0071774C">
        <w:t>that</w:t>
      </w:r>
      <w:r>
        <w:t xml:space="preserve"> </w:t>
      </w:r>
      <w:r w:rsidRPr="0071774C">
        <w:t>many</w:t>
      </w:r>
      <w:r>
        <w:t xml:space="preserve"> </w:t>
      </w:r>
      <w:r w:rsidRPr="0071774C">
        <w:t>respondents</w:t>
      </w:r>
      <w:r>
        <w:t xml:space="preserve"> </w:t>
      </w:r>
      <w:r w:rsidRPr="0071774C">
        <w:t>typically</w:t>
      </w:r>
      <w:r>
        <w:t xml:space="preserve"> </w:t>
      </w:r>
      <w:r w:rsidRPr="0071774C">
        <w:t>create</w:t>
      </w:r>
      <w:r>
        <w:t xml:space="preserve"> </w:t>
      </w:r>
      <w:r w:rsidRPr="0071774C">
        <w:t>their</w:t>
      </w:r>
      <w:r>
        <w:t xml:space="preserve"> </w:t>
      </w:r>
      <w:r w:rsidRPr="0071774C">
        <w:t>own</w:t>
      </w:r>
      <w:r>
        <w:t xml:space="preserve"> </w:t>
      </w:r>
      <w:r w:rsidRPr="0071774C">
        <w:t>evaluation</w:t>
      </w:r>
      <w:r>
        <w:t xml:space="preserve"> </w:t>
      </w:r>
      <w:r w:rsidRPr="0071774C">
        <w:t>plans</w:t>
      </w:r>
      <w:r>
        <w:t xml:space="preserve"> </w:t>
      </w:r>
      <w:r w:rsidRPr="0071774C">
        <w:t>and</w:t>
      </w:r>
      <w:r>
        <w:t xml:space="preserve"> </w:t>
      </w:r>
      <w:r w:rsidRPr="0071774C">
        <w:t>frameworks</w:t>
      </w:r>
      <w:r>
        <w:t xml:space="preserve">, </w:t>
      </w:r>
      <w:r w:rsidRPr="0071774C">
        <w:t>with</w:t>
      </w:r>
      <w:r>
        <w:t xml:space="preserve"> </w:t>
      </w:r>
      <w:r w:rsidRPr="0071774C">
        <w:t>tailored</w:t>
      </w:r>
      <w:r>
        <w:t xml:space="preserve"> </w:t>
      </w:r>
      <w:r w:rsidRPr="0071774C">
        <w:t>or</w:t>
      </w:r>
      <w:r>
        <w:t xml:space="preserve"> </w:t>
      </w:r>
      <w:r w:rsidRPr="0071774C">
        <w:t>adapted</w:t>
      </w:r>
      <w:r>
        <w:t xml:space="preserve"> </w:t>
      </w:r>
      <w:r w:rsidRPr="0071774C">
        <w:t>outcome</w:t>
      </w:r>
      <w:r>
        <w:t xml:space="preserve"> </w:t>
      </w:r>
      <w:r w:rsidRPr="0071774C">
        <w:t>measures</w:t>
      </w:r>
      <w:r>
        <w:t xml:space="preserve"> </w:t>
      </w:r>
      <w:r w:rsidRPr="0071774C">
        <w:t>and</w:t>
      </w:r>
      <w:r>
        <w:t xml:space="preserve"> </w:t>
      </w:r>
      <w:r w:rsidRPr="0071774C">
        <w:t>indicators</w:t>
      </w:r>
      <w:r>
        <w:t xml:space="preserve">. </w:t>
      </w:r>
      <w:r w:rsidRPr="0071774C">
        <w:t>Almost</w:t>
      </w:r>
      <w:r>
        <w:t xml:space="preserve"> </w:t>
      </w:r>
      <w:r w:rsidRPr="0071774C">
        <w:t>half</w:t>
      </w:r>
      <w:r>
        <w:t xml:space="preserve"> </w:t>
      </w:r>
      <w:r w:rsidRPr="0071774C">
        <w:t>(45%)</w:t>
      </w:r>
      <w:r>
        <w:t xml:space="preserve"> </w:t>
      </w:r>
      <w:r w:rsidRPr="0071774C">
        <w:t>of</w:t>
      </w:r>
      <w:r>
        <w:t xml:space="preserve"> </w:t>
      </w:r>
      <w:r w:rsidRPr="0071774C">
        <w:t>the</w:t>
      </w:r>
      <w:r>
        <w:t xml:space="preserve"> </w:t>
      </w:r>
      <w:r w:rsidRPr="0071774C">
        <w:t>survey</w:t>
      </w:r>
      <w:r>
        <w:t xml:space="preserve"> </w:t>
      </w:r>
      <w:r w:rsidRPr="0071774C">
        <w:t>respondents</w:t>
      </w:r>
      <w:r>
        <w:rPr>
          <w:color w:val="0078D4"/>
        </w:rPr>
        <w:t xml:space="preserve"> </w:t>
      </w:r>
      <w:r w:rsidRPr="0071774C">
        <w:t>indicated</w:t>
      </w:r>
      <w:r>
        <w:t xml:space="preserve"> </w:t>
      </w:r>
      <w:r w:rsidRPr="0071774C">
        <w:t>that</w:t>
      </w:r>
      <w:r>
        <w:t xml:space="preserve"> </w:t>
      </w:r>
      <w:r w:rsidRPr="0071774C">
        <w:t>the</w:t>
      </w:r>
      <w:r>
        <w:t xml:space="preserve"> </w:t>
      </w:r>
      <w:r w:rsidRPr="0071774C">
        <w:t>organisation</w:t>
      </w:r>
      <w:r>
        <w:t xml:space="preserve"> </w:t>
      </w:r>
      <w:r w:rsidRPr="0071774C">
        <w:t>they</w:t>
      </w:r>
      <w:r>
        <w:t xml:space="preserve"> </w:t>
      </w:r>
      <w:r w:rsidRPr="0071774C">
        <w:t>worked</w:t>
      </w:r>
      <w:r>
        <w:t xml:space="preserve"> </w:t>
      </w:r>
      <w:r w:rsidRPr="0071774C">
        <w:t>for</w:t>
      </w:r>
      <w:r>
        <w:t xml:space="preserve"> </w:t>
      </w:r>
      <w:r w:rsidRPr="0071774C">
        <w:t>conducted</w:t>
      </w:r>
      <w:r>
        <w:t xml:space="preserve"> </w:t>
      </w:r>
      <w:r w:rsidRPr="0071774C">
        <w:t>formal</w:t>
      </w:r>
      <w:r>
        <w:t xml:space="preserve"> </w:t>
      </w:r>
      <w:r w:rsidRPr="0071774C">
        <w:t>evaluations.</w:t>
      </w:r>
      <w:r>
        <w:t xml:space="preserve"> </w:t>
      </w:r>
      <w:r w:rsidRPr="0071774C">
        <w:t>Of</w:t>
      </w:r>
      <w:r>
        <w:t xml:space="preserve"> </w:t>
      </w:r>
      <w:r w:rsidRPr="0071774C">
        <w:t>these,</w:t>
      </w:r>
      <w:r>
        <w:t xml:space="preserve"> </w:t>
      </w:r>
      <w:r w:rsidRPr="0071774C">
        <w:t>25%</w:t>
      </w:r>
      <w:r>
        <w:t xml:space="preserve"> </w:t>
      </w:r>
      <w:r w:rsidRPr="0071774C">
        <w:t>reported</w:t>
      </w:r>
      <w:r>
        <w:t xml:space="preserve"> </w:t>
      </w:r>
      <w:r w:rsidRPr="0071774C">
        <w:t>that</w:t>
      </w:r>
      <w:r>
        <w:t xml:space="preserve"> </w:t>
      </w:r>
      <w:r w:rsidR="00443BD9" w:rsidRPr="0071774C">
        <w:t>all</w:t>
      </w:r>
      <w:r>
        <w:t xml:space="preserve"> </w:t>
      </w:r>
      <w:r w:rsidRPr="0071774C">
        <w:t>their</w:t>
      </w:r>
      <w:r>
        <w:t xml:space="preserve"> </w:t>
      </w:r>
      <w:r w:rsidRPr="0071774C">
        <w:t>programs</w:t>
      </w:r>
      <w:r>
        <w:t xml:space="preserve"> </w:t>
      </w:r>
      <w:r w:rsidRPr="0071774C">
        <w:t>had</w:t>
      </w:r>
      <w:r>
        <w:t xml:space="preserve"> </w:t>
      </w:r>
      <w:r w:rsidRPr="0071774C">
        <w:t>funding</w:t>
      </w:r>
      <w:r>
        <w:t xml:space="preserve"> </w:t>
      </w:r>
      <w:r w:rsidRPr="0071774C">
        <w:t>allocated</w:t>
      </w:r>
      <w:r>
        <w:t xml:space="preserve"> </w:t>
      </w:r>
      <w:r w:rsidRPr="0071774C">
        <w:t>to</w:t>
      </w:r>
      <w:r>
        <w:t xml:space="preserve"> </w:t>
      </w:r>
      <w:r w:rsidRPr="0071774C">
        <w:t>evaluation,</w:t>
      </w:r>
      <w:r>
        <w:t xml:space="preserve"> </w:t>
      </w:r>
      <w:r w:rsidRPr="0071774C">
        <w:t>50%</w:t>
      </w:r>
      <w:r>
        <w:t xml:space="preserve"> </w:t>
      </w:r>
      <w:r w:rsidRPr="0071774C">
        <w:t>said</w:t>
      </w:r>
      <w:r>
        <w:t xml:space="preserve"> </w:t>
      </w:r>
      <w:r w:rsidRPr="0071774C">
        <w:t>that</w:t>
      </w:r>
      <w:r>
        <w:t xml:space="preserve"> </w:t>
      </w:r>
      <w:r w:rsidRPr="0071774C">
        <w:t>some</w:t>
      </w:r>
      <w:r>
        <w:t xml:space="preserve"> </w:t>
      </w:r>
      <w:r w:rsidRPr="0071774C">
        <w:t>programs</w:t>
      </w:r>
      <w:r>
        <w:t xml:space="preserve"> </w:t>
      </w:r>
      <w:r w:rsidRPr="0071774C">
        <w:t>did,</w:t>
      </w:r>
      <w:r>
        <w:t xml:space="preserve"> </w:t>
      </w:r>
      <w:r w:rsidRPr="0071774C">
        <w:t>and</w:t>
      </w:r>
      <w:r>
        <w:t xml:space="preserve"> </w:t>
      </w:r>
      <w:r w:rsidRPr="0071774C">
        <w:t>11%</w:t>
      </w:r>
      <w:r>
        <w:rPr>
          <w:color w:val="0078D4"/>
        </w:rPr>
        <w:t xml:space="preserve"> </w:t>
      </w:r>
      <w:r w:rsidRPr="0071774C">
        <w:t>reported</w:t>
      </w:r>
      <w:r>
        <w:t xml:space="preserve"> </w:t>
      </w:r>
      <w:r w:rsidRPr="0071774C">
        <w:t>that</w:t>
      </w:r>
      <w:r>
        <w:t xml:space="preserve"> </w:t>
      </w:r>
      <w:r w:rsidRPr="0071774C">
        <w:t>their</w:t>
      </w:r>
      <w:r>
        <w:t xml:space="preserve"> </w:t>
      </w:r>
      <w:r w:rsidRPr="0071774C">
        <w:t>evaluation</w:t>
      </w:r>
      <w:r>
        <w:t xml:space="preserve"> </w:t>
      </w:r>
      <w:r w:rsidRPr="0071774C">
        <w:t>work</w:t>
      </w:r>
      <w:r>
        <w:t xml:space="preserve"> </w:t>
      </w:r>
      <w:r w:rsidRPr="0071774C">
        <w:t>is</w:t>
      </w:r>
      <w:r>
        <w:t xml:space="preserve"> </w:t>
      </w:r>
      <w:r w:rsidRPr="0071774C">
        <w:t>not</w:t>
      </w:r>
      <w:r>
        <w:t xml:space="preserve"> </w:t>
      </w:r>
      <w:r w:rsidRPr="0071774C">
        <w:t>funded.</w:t>
      </w:r>
      <w:r>
        <w:t xml:space="preserve"> </w:t>
      </w:r>
      <w:r w:rsidRPr="0071774C">
        <w:t>The</w:t>
      </w:r>
      <w:r>
        <w:t xml:space="preserve"> </w:t>
      </w:r>
      <w:r w:rsidRPr="0071774C">
        <w:t>survey</w:t>
      </w:r>
      <w:r>
        <w:t xml:space="preserve"> </w:t>
      </w:r>
      <w:r w:rsidRPr="0071774C">
        <w:t>found</w:t>
      </w:r>
      <w:r>
        <w:t xml:space="preserve"> </w:t>
      </w:r>
      <w:r w:rsidRPr="0071774C">
        <w:t>that</w:t>
      </w:r>
      <w:r>
        <w:t xml:space="preserve"> </w:t>
      </w:r>
      <w:r w:rsidRPr="0071774C">
        <w:t>only</w:t>
      </w:r>
      <w:r>
        <w:t xml:space="preserve"> </w:t>
      </w:r>
      <w:r w:rsidRPr="0071774C">
        <w:t>a</w:t>
      </w:r>
      <w:r w:rsidR="008B1F19">
        <w:t> </w:t>
      </w:r>
      <w:r w:rsidRPr="0071774C">
        <w:t>limited</w:t>
      </w:r>
      <w:r>
        <w:t xml:space="preserve"> </w:t>
      </w:r>
      <w:r w:rsidRPr="0071774C">
        <w:t>number</w:t>
      </w:r>
      <w:r>
        <w:t xml:space="preserve"> </w:t>
      </w:r>
      <w:r w:rsidRPr="0071774C">
        <w:t>of</w:t>
      </w:r>
      <w:r>
        <w:t xml:space="preserve"> </w:t>
      </w:r>
      <w:r w:rsidRPr="0071774C">
        <w:t>evaluations</w:t>
      </w:r>
      <w:r>
        <w:t xml:space="preserve"> </w:t>
      </w:r>
      <w:r w:rsidRPr="0071774C">
        <w:t>and</w:t>
      </w:r>
      <w:r>
        <w:t xml:space="preserve"> </w:t>
      </w:r>
      <w:r w:rsidRPr="0071774C">
        <w:t>outcomes</w:t>
      </w:r>
      <w:r>
        <w:t xml:space="preserve"> </w:t>
      </w:r>
      <w:r w:rsidRPr="0071774C">
        <w:t>are</w:t>
      </w:r>
      <w:r>
        <w:t xml:space="preserve"> </w:t>
      </w:r>
      <w:r w:rsidRPr="0071774C">
        <w:t>published,</w:t>
      </w:r>
      <w:r>
        <w:t xml:space="preserve"> </w:t>
      </w:r>
      <w:r w:rsidRPr="0071774C">
        <w:t>with</w:t>
      </w:r>
      <w:r>
        <w:t xml:space="preserve"> </w:t>
      </w:r>
      <w:r w:rsidRPr="0071774C">
        <w:t>only</w:t>
      </w:r>
      <w:r>
        <w:t xml:space="preserve"> </w:t>
      </w:r>
      <w:r w:rsidRPr="0071774C">
        <w:t>36%</w:t>
      </w:r>
      <w:r>
        <w:t xml:space="preserve"> </w:t>
      </w:r>
      <w:r w:rsidRPr="0071774C">
        <w:t>of</w:t>
      </w:r>
      <w:r>
        <w:t xml:space="preserve"> </w:t>
      </w:r>
      <w:r w:rsidRPr="0071774C">
        <w:t>respondents</w:t>
      </w:r>
      <w:r>
        <w:t xml:space="preserve"> </w:t>
      </w:r>
      <w:r w:rsidRPr="0071774C">
        <w:t>reporting</w:t>
      </w:r>
      <w:r>
        <w:t xml:space="preserve"> </w:t>
      </w:r>
      <w:r w:rsidRPr="0071774C">
        <w:t>that</w:t>
      </w:r>
      <w:r>
        <w:t xml:space="preserve"> </w:t>
      </w:r>
      <w:r w:rsidRPr="0071774C">
        <w:t>their</w:t>
      </w:r>
      <w:r>
        <w:t xml:space="preserve"> </w:t>
      </w:r>
      <w:r w:rsidRPr="0071774C">
        <w:t>organisation</w:t>
      </w:r>
      <w:r>
        <w:t xml:space="preserve"> </w:t>
      </w:r>
      <w:r w:rsidRPr="0071774C">
        <w:t>has</w:t>
      </w:r>
      <w:r>
        <w:t xml:space="preserve"> </w:t>
      </w:r>
      <w:r w:rsidRPr="0071774C">
        <w:t>publicly</w:t>
      </w:r>
      <w:r>
        <w:t xml:space="preserve"> </w:t>
      </w:r>
      <w:r w:rsidRPr="0071774C">
        <w:t>available</w:t>
      </w:r>
      <w:r>
        <w:t xml:space="preserve"> </w:t>
      </w:r>
      <w:r w:rsidRPr="0071774C">
        <w:t>evaluations,</w:t>
      </w:r>
      <w:r>
        <w:t xml:space="preserve"> </w:t>
      </w:r>
      <w:r w:rsidRPr="0071774C">
        <w:t>case</w:t>
      </w:r>
      <w:r>
        <w:t xml:space="preserve"> </w:t>
      </w:r>
      <w:r w:rsidRPr="0071774C">
        <w:t>studies,</w:t>
      </w:r>
      <w:r>
        <w:t xml:space="preserve"> </w:t>
      </w:r>
      <w:r w:rsidRPr="0071774C">
        <w:t>learning</w:t>
      </w:r>
      <w:r>
        <w:t xml:space="preserve"> </w:t>
      </w:r>
      <w:r w:rsidRPr="0071774C">
        <w:t>papers</w:t>
      </w:r>
      <w:r>
        <w:t xml:space="preserve"> </w:t>
      </w:r>
      <w:r w:rsidRPr="0071774C">
        <w:t>and/or</w:t>
      </w:r>
      <w:r>
        <w:t xml:space="preserve"> </w:t>
      </w:r>
      <w:r w:rsidRPr="0071774C">
        <w:t>other</w:t>
      </w:r>
      <w:r>
        <w:t xml:space="preserve"> </w:t>
      </w:r>
      <w:r w:rsidRPr="0071774C">
        <w:t>relevant</w:t>
      </w:r>
      <w:r>
        <w:t xml:space="preserve"> </w:t>
      </w:r>
      <w:r w:rsidRPr="0071774C">
        <w:t>publications.</w:t>
      </w:r>
      <w:r>
        <w:t xml:space="preserve"> </w:t>
      </w:r>
      <w:r w:rsidRPr="0071774C">
        <w:t>Only</w:t>
      </w:r>
      <w:r>
        <w:t xml:space="preserve"> </w:t>
      </w:r>
      <w:r w:rsidRPr="0071774C">
        <w:t>17%</w:t>
      </w:r>
      <w:r>
        <w:t xml:space="preserve"> </w:t>
      </w:r>
      <w:r w:rsidRPr="0071774C">
        <w:t>reported</w:t>
      </w:r>
      <w:r>
        <w:t xml:space="preserve"> </w:t>
      </w:r>
      <w:r w:rsidRPr="0071774C">
        <w:t>that</w:t>
      </w:r>
      <w:r>
        <w:t xml:space="preserve"> </w:t>
      </w:r>
      <w:r w:rsidRPr="0071774C">
        <w:t>their</w:t>
      </w:r>
      <w:r>
        <w:t xml:space="preserve"> </w:t>
      </w:r>
      <w:r w:rsidRPr="0071774C">
        <w:t>reports,</w:t>
      </w:r>
      <w:r>
        <w:t xml:space="preserve"> </w:t>
      </w:r>
      <w:r w:rsidRPr="0071774C">
        <w:t>evaluations,</w:t>
      </w:r>
      <w:r>
        <w:t xml:space="preserve"> </w:t>
      </w:r>
      <w:r w:rsidRPr="0071774C">
        <w:t>and</w:t>
      </w:r>
      <w:r>
        <w:t xml:space="preserve"> </w:t>
      </w:r>
      <w:r w:rsidRPr="0071774C">
        <w:t>reflections</w:t>
      </w:r>
      <w:r>
        <w:t xml:space="preserve"> </w:t>
      </w:r>
      <w:r w:rsidRPr="0071774C">
        <w:t>in</w:t>
      </w:r>
      <w:r>
        <w:t xml:space="preserve"> </w:t>
      </w:r>
      <w:r w:rsidRPr="0071774C">
        <w:t>primary</w:t>
      </w:r>
      <w:r>
        <w:t xml:space="preserve"> </w:t>
      </w:r>
      <w:r w:rsidRPr="0071774C">
        <w:t>prevention</w:t>
      </w:r>
      <w:r>
        <w:t xml:space="preserve"> </w:t>
      </w:r>
      <w:r w:rsidRPr="0071774C">
        <w:t>are</w:t>
      </w:r>
      <w:r>
        <w:t xml:space="preserve"> </w:t>
      </w:r>
      <w:r w:rsidRPr="0071774C">
        <w:t>always</w:t>
      </w:r>
      <w:r>
        <w:t xml:space="preserve"> </w:t>
      </w:r>
      <w:r w:rsidRPr="0071774C">
        <w:t>or</w:t>
      </w:r>
      <w:r>
        <w:t xml:space="preserve"> </w:t>
      </w:r>
      <w:r w:rsidRPr="0071774C">
        <w:t>mostly</w:t>
      </w:r>
      <w:r>
        <w:t xml:space="preserve"> </w:t>
      </w:r>
      <w:r w:rsidRPr="0071774C">
        <w:t>publicly</w:t>
      </w:r>
      <w:r>
        <w:t xml:space="preserve"> </w:t>
      </w:r>
      <w:r w:rsidRPr="0071774C">
        <w:t>available.</w:t>
      </w:r>
      <w:r>
        <w:t xml:space="preserve"> </w:t>
      </w:r>
      <w:r w:rsidRPr="0071774C">
        <w:t>The</w:t>
      </w:r>
      <w:r>
        <w:t xml:space="preserve"> </w:t>
      </w:r>
      <w:r w:rsidRPr="0071774C">
        <w:t>majority</w:t>
      </w:r>
      <w:r>
        <w:t xml:space="preserve"> </w:t>
      </w:r>
      <w:r w:rsidRPr="0071774C">
        <w:t>(53%)</w:t>
      </w:r>
      <w:r>
        <w:t xml:space="preserve"> </w:t>
      </w:r>
      <w:r w:rsidRPr="0071774C">
        <w:t>reported</w:t>
      </w:r>
      <w:r>
        <w:t xml:space="preserve"> </w:t>
      </w:r>
      <w:r w:rsidRPr="0071774C">
        <w:t>that</w:t>
      </w:r>
      <w:r>
        <w:t xml:space="preserve"> </w:t>
      </w:r>
      <w:r w:rsidRPr="0071774C">
        <w:t>they</w:t>
      </w:r>
      <w:r>
        <w:t xml:space="preserve"> </w:t>
      </w:r>
      <w:r w:rsidRPr="0071774C">
        <w:t>are</w:t>
      </w:r>
      <w:r>
        <w:t xml:space="preserve"> </w:t>
      </w:r>
      <w:r w:rsidRPr="0071774C">
        <w:t>publicly</w:t>
      </w:r>
      <w:r>
        <w:t xml:space="preserve"> </w:t>
      </w:r>
      <w:r w:rsidRPr="0071774C">
        <w:t>available</w:t>
      </w:r>
      <w:r>
        <w:t xml:space="preserve"> </w:t>
      </w:r>
      <w:r w:rsidRPr="0071774C">
        <w:t>half</w:t>
      </w:r>
      <w:r>
        <w:t xml:space="preserve"> </w:t>
      </w:r>
      <w:r w:rsidRPr="0071774C">
        <w:t>the</w:t>
      </w:r>
      <w:r>
        <w:t xml:space="preserve"> </w:t>
      </w:r>
      <w:r w:rsidRPr="0071774C">
        <w:t>time</w:t>
      </w:r>
      <w:r>
        <w:t xml:space="preserve"> </w:t>
      </w:r>
      <w:r w:rsidRPr="0071774C">
        <w:t>or</w:t>
      </w:r>
      <w:r>
        <w:t xml:space="preserve"> </w:t>
      </w:r>
      <w:r w:rsidRPr="0071774C">
        <w:t>less,</w:t>
      </w:r>
      <w:r>
        <w:t xml:space="preserve"> </w:t>
      </w:r>
      <w:r w:rsidRPr="0071774C">
        <w:t>with</w:t>
      </w:r>
      <w:r>
        <w:t xml:space="preserve"> </w:t>
      </w:r>
      <w:r w:rsidRPr="0071774C">
        <w:t>a</w:t>
      </w:r>
      <w:r>
        <w:t xml:space="preserve"> </w:t>
      </w:r>
      <w:r w:rsidRPr="0071774C">
        <w:t>further</w:t>
      </w:r>
      <w:r>
        <w:t xml:space="preserve"> </w:t>
      </w:r>
      <w:r w:rsidRPr="0071774C">
        <w:t>29</w:t>
      </w:r>
      <w:r w:rsidRPr="004B02DE">
        <w:t>%</w:t>
      </w:r>
      <w:r>
        <w:t xml:space="preserve"> </w:t>
      </w:r>
      <w:r w:rsidRPr="004B02DE">
        <w:t>unsure.</w:t>
      </w:r>
      <w:r>
        <w:t xml:space="preserve"> </w:t>
      </w:r>
      <w:r w:rsidRPr="004B02DE">
        <w:t>This</w:t>
      </w:r>
      <w:r>
        <w:t xml:space="preserve"> </w:t>
      </w:r>
      <w:r w:rsidRPr="004B02DE">
        <w:t>was</w:t>
      </w:r>
      <w:r>
        <w:t xml:space="preserve"> </w:t>
      </w:r>
      <w:r w:rsidRPr="004B02DE">
        <w:t>reiterated</w:t>
      </w:r>
      <w:r>
        <w:t xml:space="preserve"> </w:t>
      </w:r>
      <w:r w:rsidRPr="004B02DE">
        <w:t>in</w:t>
      </w:r>
      <w:r>
        <w:t xml:space="preserve"> </w:t>
      </w:r>
      <w:r w:rsidRPr="004B02DE">
        <w:t>the</w:t>
      </w:r>
      <w:r>
        <w:t xml:space="preserve"> </w:t>
      </w:r>
      <w:r w:rsidRPr="004B02DE">
        <w:t>semi-structured</w:t>
      </w:r>
      <w:r>
        <w:t xml:space="preserve"> </w:t>
      </w:r>
      <w:r w:rsidRPr="004B02DE">
        <w:t>interviews,</w:t>
      </w:r>
      <w:r>
        <w:t xml:space="preserve"> </w:t>
      </w:r>
      <w:r w:rsidRPr="004B02DE">
        <w:t>with</w:t>
      </w:r>
      <w:r>
        <w:t xml:space="preserve"> </w:t>
      </w:r>
      <w:r w:rsidRPr="004B02DE">
        <w:t>one</w:t>
      </w:r>
      <w:r>
        <w:t xml:space="preserve"> </w:t>
      </w:r>
      <w:r w:rsidRPr="004B02DE">
        <w:t>participant</w:t>
      </w:r>
      <w:r>
        <w:t xml:space="preserve"> </w:t>
      </w:r>
      <w:r w:rsidRPr="004B02DE">
        <w:t>stating</w:t>
      </w:r>
      <w:r>
        <w:t xml:space="preserve"> </w:t>
      </w:r>
      <w:r w:rsidRPr="004B02DE">
        <w:t>that</w:t>
      </w:r>
      <w:r>
        <w:t xml:space="preserve"> </w:t>
      </w:r>
      <w:r w:rsidRPr="004B02DE">
        <w:t>‘a</w:t>
      </w:r>
      <w:r>
        <w:t xml:space="preserve"> </w:t>
      </w:r>
      <w:r w:rsidRPr="004B02DE">
        <w:t>lot</w:t>
      </w:r>
      <w:r>
        <w:t xml:space="preserve"> </w:t>
      </w:r>
      <w:r w:rsidRPr="004B02DE">
        <w:t>of</w:t>
      </w:r>
      <w:r>
        <w:t xml:space="preserve"> </w:t>
      </w:r>
      <w:r w:rsidRPr="004B02DE">
        <w:t>the</w:t>
      </w:r>
      <w:r>
        <w:t xml:space="preserve"> </w:t>
      </w:r>
      <w:r w:rsidRPr="004B02DE">
        <w:t>work</w:t>
      </w:r>
      <w:r>
        <w:t xml:space="preserve"> </w:t>
      </w:r>
      <w:r w:rsidRPr="004B02DE">
        <w:t>gets</w:t>
      </w:r>
      <w:r>
        <w:t xml:space="preserve"> </w:t>
      </w:r>
      <w:r w:rsidRPr="004B02DE">
        <w:t>done</w:t>
      </w:r>
      <w:r>
        <w:t xml:space="preserve"> </w:t>
      </w:r>
      <w:r w:rsidRPr="004B02DE">
        <w:t>[but]</w:t>
      </w:r>
      <w:r>
        <w:t xml:space="preserve"> </w:t>
      </w:r>
      <w:r w:rsidRPr="004B02DE">
        <w:t>the</w:t>
      </w:r>
      <w:r>
        <w:t xml:space="preserve"> </w:t>
      </w:r>
      <w:r w:rsidRPr="004B02DE">
        <w:t>only</w:t>
      </w:r>
      <w:r>
        <w:t xml:space="preserve"> </w:t>
      </w:r>
      <w:r w:rsidRPr="004B02DE">
        <w:t>people</w:t>
      </w:r>
      <w:r>
        <w:t xml:space="preserve"> </w:t>
      </w:r>
      <w:r w:rsidRPr="004B02DE">
        <w:t>who</w:t>
      </w:r>
      <w:r>
        <w:t xml:space="preserve"> </w:t>
      </w:r>
      <w:r w:rsidRPr="004B02DE">
        <w:t>know</w:t>
      </w:r>
      <w:r>
        <w:t xml:space="preserve"> </w:t>
      </w:r>
      <w:r w:rsidRPr="004B02DE">
        <w:t>about</w:t>
      </w:r>
      <w:r>
        <w:t xml:space="preserve"> </w:t>
      </w:r>
      <w:r w:rsidRPr="004B02DE">
        <w:t>the</w:t>
      </w:r>
      <w:r>
        <w:t xml:space="preserve"> </w:t>
      </w:r>
      <w:r w:rsidRPr="004B02DE">
        <w:t>evaluation</w:t>
      </w:r>
      <w:r>
        <w:t xml:space="preserve"> </w:t>
      </w:r>
      <w:r w:rsidRPr="004B02DE">
        <w:t>findings</w:t>
      </w:r>
      <w:r>
        <w:t xml:space="preserve"> </w:t>
      </w:r>
      <w:r w:rsidRPr="004B02DE">
        <w:t>are</w:t>
      </w:r>
      <w:r>
        <w:t xml:space="preserve"> </w:t>
      </w:r>
      <w:r w:rsidRPr="004B02DE">
        <w:t>the</w:t>
      </w:r>
      <w:r>
        <w:t xml:space="preserve"> </w:t>
      </w:r>
      <w:r w:rsidRPr="004B02DE">
        <w:t>people</w:t>
      </w:r>
      <w:r>
        <w:t xml:space="preserve"> </w:t>
      </w:r>
      <w:r w:rsidRPr="004B02DE">
        <w:t>who</w:t>
      </w:r>
      <w:r>
        <w:t xml:space="preserve"> </w:t>
      </w:r>
      <w:r w:rsidRPr="004B02DE">
        <w:t>fund</w:t>
      </w:r>
      <w:r>
        <w:t xml:space="preserve"> </w:t>
      </w:r>
      <w:r w:rsidRPr="004B02DE">
        <w:t>it</w:t>
      </w:r>
      <w:r>
        <w:t xml:space="preserve"> </w:t>
      </w:r>
      <w:r w:rsidRPr="004B02DE">
        <w:t>and</w:t>
      </w:r>
      <w:r>
        <w:t xml:space="preserve"> </w:t>
      </w:r>
      <w:r w:rsidRPr="004B02DE">
        <w:t>the</w:t>
      </w:r>
      <w:r>
        <w:t xml:space="preserve"> </w:t>
      </w:r>
      <w:r w:rsidRPr="004B02DE">
        <w:t>people</w:t>
      </w:r>
      <w:r>
        <w:t xml:space="preserve"> </w:t>
      </w:r>
      <w:r w:rsidRPr="004B02DE">
        <w:t>who</w:t>
      </w:r>
      <w:r>
        <w:t xml:space="preserve"> </w:t>
      </w:r>
      <w:r w:rsidRPr="004B02DE">
        <w:t>implement</w:t>
      </w:r>
      <w:r>
        <w:t xml:space="preserve"> </w:t>
      </w:r>
      <w:r w:rsidRPr="004B02DE">
        <w:t>it.</w:t>
      </w:r>
      <w:r>
        <w:t xml:space="preserve"> </w:t>
      </w:r>
      <w:r w:rsidRPr="004B02DE">
        <w:t>So</w:t>
      </w:r>
      <w:r>
        <w:t xml:space="preserve"> </w:t>
      </w:r>
      <w:r w:rsidRPr="004B02DE">
        <w:t>I</w:t>
      </w:r>
      <w:r>
        <w:t xml:space="preserve"> </w:t>
      </w:r>
      <w:r w:rsidRPr="004B02DE">
        <w:t>think</w:t>
      </w:r>
      <w:r>
        <w:t xml:space="preserve"> </w:t>
      </w:r>
      <w:r w:rsidRPr="004B02DE">
        <w:t>more</w:t>
      </w:r>
      <w:r>
        <w:t xml:space="preserve"> </w:t>
      </w:r>
      <w:r w:rsidRPr="004B02DE">
        <w:t>work</w:t>
      </w:r>
      <w:r>
        <w:t xml:space="preserve"> </w:t>
      </w:r>
      <w:r w:rsidRPr="004B02DE">
        <w:t>can</w:t>
      </w:r>
      <w:r>
        <w:t xml:space="preserve"> </w:t>
      </w:r>
      <w:r w:rsidRPr="004B02DE">
        <w:t>be</w:t>
      </w:r>
      <w:r>
        <w:t xml:space="preserve"> </w:t>
      </w:r>
      <w:r w:rsidRPr="004B02DE">
        <w:t>done</w:t>
      </w:r>
      <w:r>
        <w:t xml:space="preserve"> </w:t>
      </w:r>
      <w:r w:rsidRPr="004B02DE">
        <w:t>to</w:t>
      </w:r>
      <w:r>
        <w:t xml:space="preserve"> </w:t>
      </w:r>
      <w:r w:rsidRPr="004B02DE">
        <w:t>share</w:t>
      </w:r>
      <w:r>
        <w:t xml:space="preserve"> </w:t>
      </w:r>
      <w:r w:rsidRPr="004B02DE">
        <w:t>the</w:t>
      </w:r>
      <w:r>
        <w:t xml:space="preserve"> </w:t>
      </w:r>
      <w:r w:rsidRPr="004B02DE">
        <w:t>knowledge,</w:t>
      </w:r>
      <w:r>
        <w:t xml:space="preserve"> </w:t>
      </w:r>
      <w:r w:rsidRPr="004B02DE">
        <w:t>not</w:t>
      </w:r>
      <w:r>
        <w:t xml:space="preserve"> </w:t>
      </w:r>
      <w:r w:rsidRPr="004B02DE">
        <w:t>only</w:t>
      </w:r>
      <w:r>
        <w:t xml:space="preserve"> </w:t>
      </w:r>
      <w:r w:rsidRPr="004B02DE">
        <w:t>with</w:t>
      </w:r>
      <w:r>
        <w:t xml:space="preserve"> </w:t>
      </w:r>
      <w:r w:rsidRPr="004B02DE">
        <w:t>the</w:t>
      </w:r>
      <w:r>
        <w:t xml:space="preserve"> </w:t>
      </w:r>
      <w:r w:rsidRPr="004B02DE">
        <w:t>rest</w:t>
      </w:r>
      <w:r>
        <w:t xml:space="preserve"> </w:t>
      </w:r>
      <w:r w:rsidRPr="004B02DE">
        <w:t>of</w:t>
      </w:r>
      <w:r>
        <w:t xml:space="preserve"> </w:t>
      </w:r>
      <w:r w:rsidRPr="004B02DE">
        <w:t>the</w:t>
      </w:r>
      <w:r>
        <w:t xml:space="preserve"> </w:t>
      </w:r>
      <w:r w:rsidRPr="004B02DE">
        <w:t>sector</w:t>
      </w:r>
      <w:r>
        <w:t xml:space="preserve"> </w:t>
      </w:r>
      <w:r w:rsidRPr="004B02DE">
        <w:t>but</w:t>
      </w:r>
      <w:r>
        <w:t xml:space="preserve"> </w:t>
      </w:r>
      <w:r w:rsidRPr="004B02DE">
        <w:t>with</w:t>
      </w:r>
      <w:r>
        <w:t xml:space="preserve"> </w:t>
      </w:r>
      <w:r w:rsidRPr="004B02DE">
        <w:t>the</w:t>
      </w:r>
      <w:r>
        <w:t xml:space="preserve"> </w:t>
      </w:r>
      <w:r w:rsidRPr="004B02DE">
        <w:t>community</w:t>
      </w:r>
      <w:r>
        <w:t xml:space="preserve"> </w:t>
      </w:r>
      <w:r w:rsidRPr="004B02DE">
        <w:t>as</w:t>
      </w:r>
      <w:r>
        <w:t xml:space="preserve"> </w:t>
      </w:r>
      <w:r w:rsidRPr="004B02DE">
        <w:t>well</w:t>
      </w:r>
      <w:r>
        <w:t>.</w:t>
      </w:r>
      <w:r w:rsidRPr="004B02DE">
        <w:t>’</w:t>
      </w:r>
      <w:r>
        <w:t xml:space="preserve"> </w:t>
      </w:r>
      <w:r w:rsidRPr="004B02DE">
        <w:lastRenderedPageBreak/>
        <w:t>The</w:t>
      </w:r>
      <w:r>
        <w:t xml:space="preserve"> </w:t>
      </w:r>
      <w:r w:rsidRPr="004B02DE">
        <w:t>desktop</w:t>
      </w:r>
      <w:r>
        <w:t xml:space="preserve"> </w:t>
      </w:r>
      <w:r w:rsidRPr="0071774C">
        <w:t>scan</w:t>
      </w:r>
      <w:r>
        <w:t xml:space="preserve"> </w:t>
      </w:r>
      <w:r w:rsidRPr="0071774C">
        <w:t>revealed</w:t>
      </w:r>
      <w:r>
        <w:t xml:space="preserve"> </w:t>
      </w:r>
      <w:r w:rsidRPr="0071774C">
        <w:t>that</w:t>
      </w:r>
      <w:r>
        <w:t xml:space="preserve"> </w:t>
      </w:r>
      <w:r w:rsidRPr="0071774C">
        <w:t>evaluations</w:t>
      </w:r>
      <w:r>
        <w:t xml:space="preserve"> </w:t>
      </w:r>
      <w:r w:rsidRPr="0071774C">
        <w:t>and</w:t>
      </w:r>
      <w:r>
        <w:t xml:space="preserve"> </w:t>
      </w:r>
      <w:r w:rsidRPr="0071774C">
        <w:t>outcomes</w:t>
      </w:r>
      <w:r>
        <w:t xml:space="preserve"> </w:t>
      </w:r>
      <w:r w:rsidRPr="0071774C">
        <w:t>that</w:t>
      </w:r>
      <w:r>
        <w:t xml:space="preserve"> </w:t>
      </w:r>
      <w:r w:rsidRPr="0071774C">
        <w:t>were</w:t>
      </w:r>
      <w:r>
        <w:t xml:space="preserve"> </w:t>
      </w:r>
      <w:r w:rsidRPr="0071774C">
        <w:t>most</w:t>
      </w:r>
      <w:r>
        <w:t xml:space="preserve"> </w:t>
      </w:r>
      <w:r w:rsidRPr="0071774C">
        <w:t>likely</w:t>
      </w:r>
      <w:r>
        <w:t xml:space="preserve"> </w:t>
      </w:r>
      <w:r w:rsidRPr="0071774C">
        <w:t>to</w:t>
      </w:r>
      <w:r>
        <w:t xml:space="preserve"> </w:t>
      </w:r>
      <w:r w:rsidRPr="0071774C">
        <w:t>be</w:t>
      </w:r>
      <w:r>
        <w:t xml:space="preserve"> </w:t>
      </w:r>
      <w:r w:rsidRPr="0071774C">
        <w:t>published</w:t>
      </w:r>
      <w:r>
        <w:t xml:space="preserve"> </w:t>
      </w:r>
      <w:r w:rsidRPr="0071774C">
        <w:t>or</w:t>
      </w:r>
      <w:r>
        <w:t xml:space="preserve"> </w:t>
      </w:r>
      <w:r w:rsidRPr="0071774C">
        <w:t>made</w:t>
      </w:r>
      <w:r>
        <w:t xml:space="preserve"> </w:t>
      </w:r>
      <w:r w:rsidRPr="0071774C">
        <w:t>publicly</w:t>
      </w:r>
      <w:r>
        <w:t xml:space="preserve"> </w:t>
      </w:r>
      <w:r w:rsidRPr="0071774C">
        <w:t>available</w:t>
      </w:r>
      <w:r>
        <w:t xml:space="preserve"> </w:t>
      </w:r>
      <w:r w:rsidRPr="0071774C">
        <w:t>were</w:t>
      </w:r>
      <w:r>
        <w:t xml:space="preserve"> </w:t>
      </w:r>
      <w:r w:rsidRPr="0071774C">
        <w:t>those</w:t>
      </w:r>
      <w:r>
        <w:t xml:space="preserve"> </w:t>
      </w:r>
      <w:r w:rsidRPr="0071774C">
        <w:t>that</w:t>
      </w:r>
      <w:r>
        <w:t xml:space="preserve"> </w:t>
      </w:r>
      <w:r w:rsidRPr="0071774C">
        <w:t>linked</w:t>
      </w:r>
      <w:r>
        <w:t xml:space="preserve"> </w:t>
      </w:r>
      <w:r w:rsidRPr="0071774C">
        <w:t>to</w:t>
      </w:r>
      <w:r>
        <w:t xml:space="preserve"> </w:t>
      </w:r>
      <w:r w:rsidRPr="0071774C">
        <w:t>a</w:t>
      </w:r>
      <w:r>
        <w:t xml:space="preserve"> </w:t>
      </w:r>
      <w:r w:rsidRPr="0071774C">
        <w:t>jurisdictional</w:t>
      </w:r>
      <w:r>
        <w:t xml:space="preserve"> </w:t>
      </w:r>
      <w:r w:rsidRPr="0071774C">
        <w:t>outcomes</w:t>
      </w:r>
      <w:r>
        <w:t xml:space="preserve"> </w:t>
      </w:r>
      <w:r w:rsidRPr="0071774C">
        <w:t>framework</w:t>
      </w:r>
      <w:r>
        <w:t xml:space="preserve"> </w:t>
      </w:r>
      <w:r w:rsidRPr="0071774C">
        <w:t>or</w:t>
      </w:r>
      <w:r>
        <w:t xml:space="preserve"> </w:t>
      </w:r>
      <w:r w:rsidRPr="0071774C">
        <w:t>that</w:t>
      </w:r>
      <w:r>
        <w:t xml:space="preserve"> </w:t>
      </w:r>
      <w:r w:rsidRPr="0071774C">
        <w:t>had</w:t>
      </w:r>
      <w:r>
        <w:t xml:space="preserve"> </w:t>
      </w:r>
      <w:r w:rsidRPr="0071774C">
        <w:t>a</w:t>
      </w:r>
      <w:r>
        <w:t xml:space="preserve"> </w:t>
      </w:r>
      <w:r w:rsidRPr="0071774C">
        <w:t>clear</w:t>
      </w:r>
      <w:r>
        <w:t xml:space="preserve"> </w:t>
      </w:r>
      <w:r w:rsidRPr="0071774C">
        <w:t>reference</w:t>
      </w:r>
      <w:r>
        <w:t xml:space="preserve"> </w:t>
      </w:r>
      <w:r w:rsidRPr="0071774C">
        <w:t>to</w:t>
      </w:r>
      <w:r>
        <w:t xml:space="preserve"> </w:t>
      </w:r>
      <w:r w:rsidRPr="0071774C">
        <w:t>the</w:t>
      </w:r>
      <w:r>
        <w:t xml:space="preserve"> </w:t>
      </w:r>
      <w:r w:rsidRPr="0071774C">
        <w:t>National</w:t>
      </w:r>
      <w:r>
        <w:t xml:space="preserve"> </w:t>
      </w:r>
      <w:r w:rsidRPr="0071774C">
        <w:t>Plan</w:t>
      </w:r>
      <w:r>
        <w:t xml:space="preserve"> </w:t>
      </w:r>
      <w:r w:rsidRPr="0071774C">
        <w:t>and/or</w:t>
      </w:r>
      <w:r>
        <w:t xml:space="preserve"> </w:t>
      </w:r>
      <w:r w:rsidRPr="0071774C">
        <w:t>its</w:t>
      </w:r>
      <w:r>
        <w:t xml:space="preserve"> </w:t>
      </w:r>
      <w:r w:rsidRPr="0071774C">
        <w:t>Action</w:t>
      </w:r>
      <w:r>
        <w:t xml:space="preserve"> </w:t>
      </w:r>
      <w:r w:rsidRPr="0071774C">
        <w:t>Plans,</w:t>
      </w:r>
      <w:r>
        <w:t xml:space="preserve"> </w:t>
      </w:r>
      <w:r w:rsidRPr="0071774C">
        <w:t>or</w:t>
      </w:r>
      <w:r>
        <w:t xml:space="preserve"> </w:t>
      </w:r>
      <w:r w:rsidRPr="0071774C">
        <w:t>where</w:t>
      </w:r>
      <w:r>
        <w:t xml:space="preserve"> </w:t>
      </w:r>
      <w:r w:rsidRPr="0071774C">
        <w:t>an</w:t>
      </w:r>
      <w:r>
        <w:t xml:space="preserve"> </w:t>
      </w:r>
      <w:r w:rsidRPr="0071774C">
        <w:t>activity</w:t>
      </w:r>
      <w:r>
        <w:t xml:space="preserve"> </w:t>
      </w:r>
      <w:r w:rsidRPr="0071774C">
        <w:t>specific</w:t>
      </w:r>
      <w:r>
        <w:t xml:space="preserve"> </w:t>
      </w:r>
      <w:r w:rsidRPr="0071774C">
        <w:t>evaluation</w:t>
      </w:r>
      <w:r>
        <w:t xml:space="preserve"> </w:t>
      </w:r>
      <w:r w:rsidRPr="0071774C">
        <w:t>framework</w:t>
      </w:r>
      <w:r>
        <w:t xml:space="preserve"> </w:t>
      </w:r>
      <w:r w:rsidRPr="0071774C">
        <w:t>had</w:t>
      </w:r>
      <w:r>
        <w:t xml:space="preserve"> </w:t>
      </w:r>
      <w:r w:rsidRPr="0071774C">
        <w:t>been</w:t>
      </w:r>
      <w:r>
        <w:t xml:space="preserve"> </w:t>
      </w:r>
      <w:r w:rsidRPr="0071774C">
        <w:t>created.</w:t>
      </w:r>
    </w:p>
    <w:p w14:paraId="3277618C" w14:textId="3398471F" w:rsidR="002C2EC7" w:rsidRDefault="002C2EC7" w:rsidP="00790783">
      <w:pPr>
        <w:pStyle w:val="BodyText"/>
      </w:pPr>
      <w:r w:rsidRPr="0071774C">
        <w:t>The</w:t>
      </w:r>
      <w:r>
        <w:t xml:space="preserve"> </w:t>
      </w:r>
      <w:r w:rsidRPr="0071774C">
        <w:t>complexity</w:t>
      </w:r>
      <w:r>
        <w:t xml:space="preserve"> </w:t>
      </w:r>
      <w:r w:rsidRPr="0071774C">
        <w:t>of</w:t>
      </w:r>
      <w:r>
        <w:t xml:space="preserve"> </w:t>
      </w:r>
      <w:r w:rsidRPr="0071774C">
        <w:t>the</w:t>
      </w:r>
      <w:r>
        <w:t xml:space="preserve"> </w:t>
      </w:r>
      <w:r w:rsidRPr="0071774C">
        <w:t>interrelated</w:t>
      </w:r>
      <w:r>
        <w:t xml:space="preserve"> </w:t>
      </w:r>
      <w:r w:rsidRPr="0071774C">
        <w:t>but</w:t>
      </w:r>
      <w:r>
        <w:t xml:space="preserve"> </w:t>
      </w:r>
      <w:r w:rsidRPr="0071774C">
        <w:t>distinct</w:t>
      </w:r>
      <w:r>
        <w:t xml:space="preserve"> </w:t>
      </w:r>
      <w:r w:rsidRPr="0071774C">
        <w:t>layers</w:t>
      </w:r>
      <w:r>
        <w:t xml:space="preserve"> </w:t>
      </w:r>
      <w:r w:rsidRPr="0071774C">
        <w:t>of</w:t>
      </w:r>
      <w:r>
        <w:t xml:space="preserve"> </w:t>
      </w:r>
      <w:r w:rsidRPr="0071774C">
        <w:t>change</w:t>
      </w:r>
      <w:r>
        <w:t xml:space="preserve"> </w:t>
      </w:r>
      <w:r w:rsidRPr="0071774C">
        <w:t>inherent</w:t>
      </w:r>
      <w:r>
        <w:t xml:space="preserve"> </w:t>
      </w:r>
      <w:r w:rsidRPr="0071774C">
        <w:t>in</w:t>
      </w:r>
      <w:r>
        <w:t xml:space="preserve"> </w:t>
      </w:r>
      <w:r w:rsidRPr="0071774C">
        <w:t>this</w:t>
      </w:r>
      <w:r>
        <w:t xml:space="preserve"> </w:t>
      </w:r>
      <w:r w:rsidRPr="0071774C">
        <w:t>work</w:t>
      </w:r>
      <w:r>
        <w:t xml:space="preserve"> </w:t>
      </w:r>
      <w:r w:rsidRPr="0071774C">
        <w:t>has</w:t>
      </w:r>
      <w:r>
        <w:t xml:space="preserve"> </w:t>
      </w:r>
      <w:r w:rsidRPr="0071774C">
        <w:t>been</w:t>
      </w:r>
      <w:r>
        <w:t xml:space="preserve"> </w:t>
      </w:r>
      <w:r w:rsidRPr="0071774C">
        <w:t>widely</w:t>
      </w:r>
      <w:r>
        <w:t xml:space="preserve"> </w:t>
      </w:r>
      <w:r w:rsidRPr="0071774C">
        <w:t>recognised</w:t>
      </w:r>
      <w:r>
        <w:t xml:space="preserve"> </w:t>
      </w:r>
      <w:r w:rsidRPr="0071774C">
        <w:t>to</w:t>
      </w:r>
      <w:r>
        <w:t xml:space="preserve"> </w:t>
      </w:r>
      <w:r w:rsidRPr="0071774C">
        <w:t>create</w:t>
      </w:r>
      <w:r>
        <w:t xml:space="preserve"> </w:t>
      </w:r>
      <w:r w:rsidRPr="0071774C">
        <w:t>challenges</w:t>
      </w:r>
      <w:r>
        <w:t xml:space="preserve"> with respect to </w:t>
      </w:r>
      <w:r w:rsidRPr="0071774C">
        <w:t>collecting</w:t>
      </w:r>
      <w:r>
        <w:t xml:space="preserve"> </w:t>
      </w:r>
      <w:r w:rsidRPr="0071774C">
        <w:t>and</w:t>
      </w:r>
      <w:r>
        <w:t xml:space="preserve"> </w:t>
      </w:r>
      <w:r w:rsidRPr="0071774C">
        <w:t>presenting</w:t>
      </w:r>
      <w:r>
        <w:t xml:space="preserve"> </w:t>
      </w:r>
      <w:r w:rsidRPr="0071774C">
        <w:t>reliable</w:t>
      </w:r>
      <w:r>
        <w:t xml:space="preserve"> </w:t>
      </w:r>
      <w:r w:rsidRPr="0071774C">
        <w:t>data.</w:t>
      </w:r>
      <w:r>
        <w:t xml:space="preserve"> </w:t>
      </w:r>
      <w:r w:rsidRPr="0071774C">
        <w:t>So</w:t>
      </w:r>
      <w:r>
        <w:t xml:space="preserve"> </w:t>
      </w:r>
      <w:r w:rsidRPr="0071774C">
        <w:t>far,</w:t>
      </w:r>
      <w:r>
        <w:t xml:space="preserve"> </w:t>
      </w:r>
      <w:r w:rsidRPr="0071774C">
        <w:t>efforts</w:t>
      </w:r>
      <w:r>
        <w:t xml:space="preserve"> </w:t>
      </w:r>
      <w:r w:rsidRPr="0071774C">
        <w:t>to</w:t>
      </w:r>
      <w:r>
        <w:t xml:space="preserve"> </w:t>
      </w:r>
      <w:r w:rsidRPr="0071774C">
        <w:t>present</w:t>
      </w:r>
      <w:r>
        <w:t xml:space="preserve"> </w:t>
      </w:r>
      <w:r w:rsidRPr="0071774C">
        <w:t>reliable</w:t>
      </w:r>
      <w:r>
        <w:t xml:space="preserve"> </w:t>
      </w:r>
      <w:r w:rsidRPr="0071774C">
        <w:t>data</w:t>
      </w:r>
      <w:r>
        <w:t xml:space="preserve"> </w:t>
      </w:r>
      <w:r w:rsidRPr="0071774C">
        <w:t>have</w:t>
      </w:r>
      <w:r>
        <w:t xml:space="preserve"> </w:t>
      </w:r>
      <w:r w:rsidRPr="0071774C">
        <w:t>led</w:t>
      </w:r>
      <w:r>
        <w:t xml:space="preserve"> </w:t>
      </w:r>
      <w:r w:rsidRPr="0071774C">
        <w:t>to</w:t>
      </w:r>
      <w:r>
        <w:t xml:space="preserve"> </w:t>
      </w:r>
      <w:r w:rsidRPr="0071774C">
        <w:t>additional</w:t>
      </w:r>
      <w:r>
        <w:t xml:space="preserve"> </w:t>
      </w:r>
      <w:r w:rsidRPr="0071774C">
        <w:t>datasets,</w:t>
      </w:r>
      <w:r>
        <w:t xml:space="preserve"> </w:t>
      </w:r>
      <w:r w:rsidRPr="0071774C">
        <w:t>such</w:t>
      </w:r>
      <w:r>
        <w:t xml:space="preserve"> </w:t>
      </w:r>
      <w:r w:rsidRPr="0071774C">
        <w:t>as</w:t>
      </w:r>
      <w:r w:rsidR="00C11BA2">
        <w:t> </w:t>
      </w:r>
      <w:r w:rsidRPr="0071774C">
        <w:t>the</w:t>
      </w:r>
      <w:r>
        <w:t xml:space="preserve"> </w:t>
      </w:r>
      <w:r w:rsidRPr="0071774C">
        <w:t>ABS</w:t>
      </w:r>
      <w:r>
        <w:t xml:space="preserve"> </w:t>
      </w:r>
      <w:r w:rsidRPr="0071774C">
        <w:t>Gender</w:t>
      </w:r>
      <w:r>
        <w:t xml:space="preserve"> </w:t>
      </w:r>
      <w:r w:rsidRPr="0071774C">
        <w:t>Indicators</w:t>
      </w:r>
      <w:r>
        <w:t>,</w:t>
      </w:r>
      <w:r w:rsidRPr="0071774C">
        <w:rPr>
          <w:rStyle w:val="EndnoteReference"/>
          <w:szCs w:val="22"/>
        </w:rPr>
        <w:endnoteReference w:id="143"/>
      </w:r>
      <w:r>
        <w:t xml:space="preserve"> </w:t>
      </w:r>
      <w:r w:rsidRPr="0071774C">
        <w:t>the</w:t>
      </w:r>
      <w:r>
        <w:t xml:space="preserve"> </w:t>
      </w:r>
      <w:r w:rsidRPr="0071774C">
        <w:t>Directory</w:t>
      </w:r>
      <w:r>
        <w:t xml:space="preserve"> </w:t>
      </w:r>
      <w:r w:rsidRPr="0071774C">
        <w:t>of</w:t>
      </w:r>
      <w:r>
        <w:t xml:space="preserve"> </w:t>
      </w:r>
      <w:r w:rsidRPr="0071774C">
        <w:t>Family,</w:t>
      </w:r>
      <w:r>
        <w:t xml:space="preserve"> </w:t>
      </w:r>
      <w:r w:rsidRPr="0071774C">
        <w:t>Domestic</w:t>
      </w:r>
      <w:r>
        <w:t xml:space="preserve"> </w:t>
      </w:r>
      <w:r w:rsidRPr="0071774C">
        <w:t>and</w:t>
      </w:r>
      <w:r>
        <w:t xml:space="preserve"> </w:t>
      </w:r>
      <w:r w:rsidRPr="0071774C">
        <w:t>Sexual</w:t>
      </w:r>
      <w:r>
        <w:t xml:space="preserve"> </w:t>
      </w:r>
      <w:r w:rsidRPr="0071774C">
        <w:t>Violence</w:t>
      </w:r>
      <w:r>
        <w:t xml:space="preserve"> </w:t>
      </w:r>
      <w:r w:rsidRPr="0071774C">
        <w:t>Statistics</w:t>
      </w:r>
      <w:r w:rsidRPr="0071774C">
        <w:rPr>
          <w:rStyle w:val="EndnoteReference"/>
          <w:szCs w:val="22"/>
        </w:rPr>
        <w:endnoteReference w:id="144"/>
      </w:r>
      <w:r>
        <w:t xml:space="preserve"> and the </w:t>
      </w:r>
      <w:r w:rsidRPr="0071774C">
        <w:t>Victorian</w:t>
      </w:r>
      <w:r>
        <w:t xml:space="preserve"> </w:t>
      </w:r>
      <w:r w:rsidRPr="0071774C">
        <w:t>Women’s</w:t>
      </w:r>
      <w:r>
        <w:t xml:space="preserve"> </w:t>
      </w:r>
      <w:r w:rsidRPr="0071774C">
        <w:t>Health</w:t>
      </w:r>
      <w:r>
        <w:t xml:space="preserve"> </w:t>
      </w:r>
      <w:r w:rsidRPr="0071774C">
        <w:t>Atlas</w:t>
      </w:r>
      <w:r>
        <w:t>,</w:t>
      </w:r>
      <w:r w:rsidRPr="0071774C">
        <w:rPr>
          <w:rStyle w:val="EndnoteReference"/>
          <w:szCs w:val="22"/>
        </w:rPr>
        <w:endnoteReference w:id="145"/>
      </w:r>
      <w:r>
        <w:t xml:space="preserve"> </w:t>
      </w:r>
      <w:r w:rsidRPr="0071774C">
        <w:t>as</w:t>
      </w:r>
      <w:r>
        <w:t xml:space="preserve"> </w:t>
      </w:r>
      <w:r w:rsidRPr="0071774C">
        <w:t>well</w:t>
      </w:r>
      <w:r>
        <w:t xml:space="preserve"> </w:t>
      </w:r>
      <w:r w:rsidRPr="0071774C">
        <w:t>as</w:t>
      </w:r>
      <w:r>
        <w:t xml:space="preserve"> having </w:t>
      </w:r>
      <w:r w:rsidRPr="0071774C">
        <w:t>supported</w:t>
      </w:r>
      <w:r>
        <w:t xml:space="preserve"> </w:t>
      </w:r>
      <w:r w:rsidRPr="0071774C">
        <w:t>the</w:t>
      </w:r>
      <w:r>
        <w:t xml:space="preserve"> </w:t>
      </w:r>
      <w:r w:rsidRPr="0071774C">
        <w:t>continuation</w:t>
      </w:r>
      <w:r>
        <w:t xml:space="preserve"> </w:t>
      </w:r>
      <w:r w:rsidRPr="0071774C">
        <w:t>of</w:t>
      </w:r>
      <w:r>
        <w:t xml:space="preserve"> </w:t>
      </w:r>
      <w:r w:rsidRPr="0071774C">
        <w:t>the</w:t>
      </w:r>
      <w:r>
        <w:t xml:space="preserve"> </w:t>
      </w:r>
      <w:r w:rsidRPr="0071774C">
        <w:t>Personal</w:t>
      </w:r>
      <w:r>
        <w:t xml:space="preserve"> </w:t>
      </w:r>
      <w:r w:rsidRPr="0071774C">
        <w:t>Safety</w:t>
      </w:r>
      <w:r>
        <w:t xml:space="preserve"> </w:t>
      </w:r>
      <w:r w:rsidRPr="0071774C">
        <w:t>Survey</w:t>
      </w:r>
      <w:r w:rsidRPr="0071774C">
        <w:rPr>
          <w:rStyle w:val="EndnoteReference"/>
          <w:szCs w:val="22"/>
        </w:rPr>
        <w:endnoteReference w:id="146"/>
      </w:r>
      <w:r>
        <w:t xml:space="preserve"> </w:t>
      </w:r>
      <w:r w:rsidRPr="0071774C">
        <w:t>as</w:t>
      </w:r>
      <w:r>
        <w:t xml:space="preserve"> </w:t>
      </w:r>
      <w:r w:rsidRPr="0071774C">
        <w:t>a</w:t>
      </w:r>
      <w:r>
        <w:t xml:space="preserve"> </w:t>
      </w:r>
      <w:r w:rsidRPr="0071774C">
        <w:t>key</w:t>
      </w:r>
      <w:r>
        <w:t xml:space="preserve"> </w:t>
      </w:r>
      <w:r w:rsidRPr="0071774C">
        <w:t>prevalence</w:t>
      </w:r>
      <w:r>
        <w:t xml:space="preserve"> </w:t>
      </w:r>
      <w:r w:rsidRPr="0071774C">
        <w:t>survey</w:t>
      </w:r>
      <w:r>
        <w:t xml:space="preserve"> </w:t>
      </w:r>
      <w:r w:rsidRPr="0071774C">
        <w:t>instrument.</w:t>
      </w:r>
      <w:r>
        <w:t xml:space="preserve"> </w:t>
      </w:r>
      <w:r w:rsidRPr="0071774C">
        <w:t>These</w:t>
      </w:r>
      <w:r>
        <w:t xml:space="preserve"> </w:t>
      </w:r>
      <w:r w:rsidRPr="0071774C">
        <w:t>activities</w:t>
      </w:r>
      <w:r>
        <w:t xml:space="preserve"> </w:t>
      </w:r>
      <w:r w:rsidRPr="0071774C">
        <w:t>suggest</w:t>
      </w:r>
      <w:r>
        <w:t xml:space="preserve"> </w:t>
      </w:r>
      <w:r w:rsidRPr="0071774C">
        <w:t>a</w:t>
      </w:r>
      <w:r>
        <w:t xml:space="preserve"> </w:t>
      </w:r>
      <w:r w:rsidRPr="0071774C">
        <w:t>recent</w:t>
      </w:r>
      <w:r>
        <w:t xml:space="preserve"> </w:t>
      </w:r>
      <w:r w:rsidRPr="0071774C">
        <w:t>proliferation</w:t>
      </w:r>
      <w:r>
        <w:t xml:space="preserve"> </w:t>
      </w:r>
      <w:r w:rsidRPr="0071774C">
        <w:t>of</w:t>
      </w:r>
      <w:r>
        <w:t xml:space="preserve"> </w:t>
      </w:r>
      <w:r w:rsidRPr="0071774C">
        <w:t>effort</w:t>
      </w:r>
      <w:r>
        <w:t xml:space="preserve"> </w:t>
      </w:r>
      <w:r w:rsidRPr="0071774C">
        <w:t>to</w:t>
      </w:r>
      <w:r>
        <w:t xml:space="preserve"> </w:t>
      </w:r>
      <w:r w:rsidRPr="0071774C">
        <w:t>consolidate</w:t>
      </w:r>
      <w:r>
        <w:t xml:space="preserve"> </w:t>
      </w:r>
      <w:r w:rsidRPr="0071774C">
        <w:t>datasets</w:t>
      </w:r>
      <w:r>
        <w:t xml:space="preserve"> </w:t>
      </w:r>
      <w:r w:rsidRPr="0071774C">
        <w:t>in</w:t>
      </w:r>
      <w:r>
        <w:t xml:space="preserve"> </w:t>
      </w:r>
      <w:r w:rsidRPr="0071774C">
        <w:t>single</w:t>
      </w:r>
      <w:r>
        <w:t xml:space="preserve"> </w:t>
      </w:r>
      <w:r w:rsidRPr="0071774C">
        <w:t>places</w:t>
      </w:r>
      <w:r>
        <w:t xml:space="preserve">, </w:t>
      </w:r>
      <w:r w:rsidRPr="0071774C">
        <w:t>but</w:t>
      </w:r>
      <w:r>
        <w:t xml:space="preserve"> </w:t>
      </w:r>
      <w:r w:rsidRPr="0071774C">
        <w:t>strategic</w:t>
      </w:r>
      <w:r>
        <w:t xml:space="preserve"> </w:t>
      </w:r>
      <w:r w:rsidRPr="0071774C">
        <w:t>application</w:t>
      </w:r>
      <w:r>
        <w:t xml:space="preserve"> </w:t>
      </w:r>
      <w:r w:rsidRPr="0071774C">
        <w:t>and</w:t>
      </w:r>
      <w:r>
        <w:t xml:space="preserve"> </w:t>
      </w:r>
      <w:r w:rsidRPr="0071774C">
        <w:t>incorporation</w:t>
      </w:r>
      <w:r>
        <w:t xml:space="preserve"> </w:t>
      </w:r>
      <w:r w:rsidRPr="0071774C">
        <w:t>of</w:t>
      </w:r>
      <w:r>
        <w:t xml:space="preserve"> </w:t>
      </w:r>
      <w:r w:rsidRPr="0071774C">
        <w:t>the</w:t>
      </w:r>
      <w:r>
        <w:t xml:space="preserve"> </w:t>
      </w:r>
      <w:r w:rsidRPr="0071774C">
        <w:t>data</w:t>
      </w:r>
      <w:r>
        <w:t xml:space="preserve"> </w:t>
      </w:r>
      <w:r w:rsidRPr="0071774C">
        <w:t>in</w:t>
      </w:r>
      <w:r>
        <w:t xml:space="preserve"> </w:t>
      </w:r>
      <w:r w:rsidRPr="0071774C">
        <w:t>the</w:t>
      </w:r>
      <w:r>
        <w:t xml:space="preserve"> </w:t>
      </w:r>
      <w:r w:rsidRPr="0071774C">
        <w:t>reports</w:t>
      </w:r>
      <w:r>
        <w:t xml:space="preserve"> </w:t>
      </w:r>
      <w:r w:rsidRPr="0071774C">
        <w:t>flowing</w:t>
      </w:r>
      <w:r>
        <w:t xml:space="preserve"> </w:t>
      </w:r>
      <w:r w:rsidRPr="00187A71">
        <w:t xml:space="preserve">from such datasets is, for the most part, yet to be realised. As part of the National Plan, the Australian Bureau of Statistics is currently working on a national data collection and reporting </w:t>
      </w:r>
      <w:r w:rsidRPr="0071774C">
        <w:t>framework</w:t>
      </w:r>
      <w:r>
        <w:t xml:space="preserve">, </w:t>
      </w:r>
      <w:r w:rsidRPr="0071774C">
        <w:t>and</w:t>
      </w:r>
      <w:r>
        <w:t xml:space="preserve"> a </w:t>
      </w:r>
      <w:r w:rsidRPr="0071774C">
        <w:t>coordinated</w:t>
      </w:r>
      <w:r>
        <w:t xml:space="preserve"> </w:t>
      </w:r>
      <w:r w:rsidRPr="0071774C">
        <w:t>and</w:t>
      </w:r>
      <w:r>
        <w:t xml:space="preserve"> </w:t>
      </w:r>
      <w:r w:rsidRPr="0071774C">
        <w:t>consolidated</w:t>
      </w:r>
      <w:r>
        <w:t xml:space="preserve"> </w:t>
      </w:r>
      <w:r w:rsidRPr="0071774C">
        <w:t>approach</w:t>
      </w:r>
      <w:r>
        <w:t xml:space="preserve"> </w:t>
      </w:r>
      <w:r w:rsidRPr="0071774C">
        <w:t>to</w:t>
      </w:r>
      <w:r>
        <w:t xml:space="preserve"> </w:t>
      </w:r>
      <w:r w:rsidRPr="0071774C">
        <w:t>data</w:t>
      </w:r>
      <w:r>
        <w:t xml:space="preserve"> </w:t>
      </w:r>
      <w:r w:rsidRPr="0071774C">
        <w:t>collection.</w:t>
      </w:r>
      <w:r>
        <w:t xml:space="preserve"> </w:t>
      </w:r>
      <w:r w:rsidRPr="0071774C">
        <w:t>A</w:t>
      </w:r>
      <w:r>
        <w:t xml:space="preserve"> </w:t>
      </w:r>
      <w:r w:rsidRPr="0071774C">
        <w:t>shared</w:t>
      </w:r>
      <w:r>
        <w:t xml:space="preserve"> </w:t>
      </w:r>
      <w:r w:rsidRPr="0071774C">
        <w:t>understanding</w:t>
      </w:r>
      <w:r>
        <w:t xml:space="preserve"> </w:t>
      </w:r>
      <w:r w:rsidRPr="0071774C">
        <w:t>of</w:t>
      </w:r>
      <w:r>
        <w:t xml:space="preserve"> </w:t>
      </w:r>
      <w:r w:rsidRPr="0071774C">
        <w:t>data</w:t>
      </w:r>
      <w:r>
        <w:t xml:space="preserve"> </w:t>
      </w:r>
      <w:r w:rsidRPr="0071774C">
        <w:t>priorities</w:t>
      </w:r>
      <w:r>
        <w:t xml:space="preserve"> </w:t>
      </w:r>
      <w:r w:rsidRPr="0071774C">
        <w:t>is</w:t>
      </w:r>
      <w:r>
        <w:t xml:space="preserve"> </w:t>
      </w:r>
      <w:r w:rsidRPr="0071774C">
        <w:t>one</w:t>
      </w:r>
      <w:r>
        <w:t xml:space="preserve"> </w:t>
      </w:r>
      <w:r w:rsidRPr="0071774C">
        <w:t>of</w:t>
      </w:r>
      <w:r>
        <w:t xml:space="preserve"> </w:t>
      </w:r>
      <w:r w:rsidRPr="0071774C">
        <w:t>many</w:t>
      </w:r>
      <w:r>
        <w:t xml:space="preserve"> </w:t>
      </w:r>
      <w:r w:rsidRPr="0071774C">
        <w:t>goals</w:t>
      </w:r>
      <w:r>
        <w:t xml:space="preserve"> </w:t>
      </w:r>
      <w:r w:rsidRPr="0071774C">
        <w:t>this</w:t>
      </w:r>
      <w:r>
        <w:t xml:space="preserve"> </w:t>
      </w:r>
      <w:r w:rsidRPr="0071774C">
        <w:t>work</w:t>
      </w:r>
      <w:r>
        <w:t xml:space="preserve"> </w:t>
      </w:r>
      <w:r w:rsidRPr="0071774C">
        <w:t>seeks</w:t>
      </w:r>
      <w:r>
        <w:t xml:space="preserve"> </w:t>
      </w:r>
      <w:r w:rsidRPr="0071774C">
        <w:t>to</w:t>
      </w:r>
      <w:r>
        <w:t xml:space="preserve"> </w:t>
      </w:r>
      <w:r w:rsidRPr="0071774C">
        <w:t>foster</w:t>
      </w:r>
      <w:r>
        <w:t xml:space="preserve"> </w:t>
      </w:r>
      <w:r w:rsidRPr="0071774C">
        <w:t>and</w:t>
      </w:r>
      <w:r>
        <w:t xml:space="preserve"> </w:t>
      </w:r>
      <w:r w:rsidRPr="0071774C">
        <w:t>make</w:t>
      </w:r>
      <w:r>
        <w:t xml:space="preserve"> </w:t>
      </w:r>
      <w:r w:rsidRPr="0071774C">
        <w:t>possible.</w:t>
      </w:r>
      <w:r>
        <w:t xml:space="preserve"> </w:t>
      </w:r>
      <w:r w:rsidRPr="00962F6B">
        <w:t>Broadening</w:t>
      </w:r>
      <w:r>
        <w:t xml:space="preserve"> </w:t>
      </w:r>
      <w:r w:rsidRPr="00962F6B">
        <w:t>and</w:t>
      </w:r>
      <w:r>
        <w:t xml:space="preserve"> </w:t>
      </w:r>
      <w:r w:rsidRPr="00962F6B">
        <w:t>consolidating</w:t>
      </w:r>
      <w:r>
        <w:t xml:space="preserve"> </w:t>
      </w:r>
      <w:r w:rsidRPr="00962F6B">
        <w:t>national</w:t>
      </w:r>
      <w:r>
        <w:t xml:space="preserve"> </w:t>
      </w:r>
      <w:r w:rsidRPr="00962F6B">
        <w:t>data</w:t>
      </w:r>
      <w:r>
        <w:t xml:space="preserve"> </w:t>
      </w:r>
      <w:r w:rsidRPr="00962F6B">
        <w:t>management</w:t>
      </w:r>
      <w:r>
        <w:t xml:space="preserve"> </w:t>
      </w:r>
      <w:r w:rsidRPr="00962F6B">
        <w:t>is</w:t>
      </w:r>
      <w:r>
        <w:t xml:space="preserve"> </w:t>
      </w:r>
      <w:r w:rsidRPr="00962F6B">
        <w:t>receiving</w:t>
      </w:r>
      <w:r>
        <w:t xml:space="preserve"> </w:t>
      </w:r>
      <w:r w:rsidRPr="00962F6B">
        <w:t>ongoing</w:t>
      </w:r>
      <w:r>
        <w:t xml:space="preserve"> </w:t>
      </w:r>
      <w:r w:rsidRPr="00962F6B">
        <w:t>investment</w:t>
      </w:r>
      <w:r>
        <w:t xml:space="preserve"> </w:t>
      </w:r>
      <w:r w:rsidRPr="00962F6B">
        <w:t>under</w:t>
      </w:r>
      <w:r>
        <w:t xml:space="preserve"> </w:t>
      </w:r>
      <w:r w:rsidRPr="00962F6B">
        <w:t>the</w:t>
      </w:r>
      <w:r>
        <w:t xml:space="preserve"> </w:t>
      </w:r>
      <w:r w:rsidRPr="00962F6B">
        <w:t>Fourth</w:t>
      </w:r>
      <w:r>
        <w:t xml:space="preserve"> </w:t>
      </w:r>
      <w:r w:rsidRPr="00962F6B">
        <w:t>Action</w:t>
      </w:r>
      <w:r>
        <w:t xml:space="preserve"> </w:t>
      </w:r>
      <w:r w:rsidRPr="00962F6B">
        <w:t>Plan</w:t>
      </w:r>
      <w:r w:rsidRPr="009D5C4A">
        <w:t>.</w:t>
      </w:r>
      <w:r w:rsidRPr="009D5C4A">
        <w:rPr>
          <w:rStyle w:val="EndnoteReference"/>
          <w:szCs w:val="22"/>
        </w:rPr>
        <w:endnoteReference w:id="147"/>
      </w:r>
      <w:r>
        <w:t xml:space="preserve"> </w:t>
      </w:r>
      <w:r w:rsidRPr="0071774C">
        <w:t>While</w:t>
      </w:r>
      <w:r>
        <w:t xml:space="preserve"> </w:t>
      </w:r>
      <w:r w:rsidRPr="0071774C">
        <w:t>the</w:t>
      </w:r>
      <w:r>
        <w:t xml:space="preserve"> </w:t>
      </w:r>
      <w:r w:rsidRPr="0071774C">
        <w:t>sequencing</w:t>
      </w:r>
      <w:r>
        <w:t xml:space="preserve"> </w:t>
      </w:r>
      <w:r w:rsidRPr="0071774C">
        <w:t>and</w:t>
      </w:r>
      <w:r>
        <w:t xml:space="preserve"> </w:t>
      </w:r>
      <w:r w:rsidRPr="0071774C">
        <w:t>coordination</w:t>
      </w:r>
      <w:r>
        <w:t xml:space="preserve"> </w:t>
      </w:r>
      <w:r w:rsidRPr="0071774C">
        <w:t>of</w:t>
      </w:r>
      <w:r>
        <w:t xml:space="preserve"> </w:t>
      </w:r>
      <w:r w:rsidRPr="0071774C">
        <w:t>monitoring</w:t>
      </w:r>
      <w:r>
        <w:t xml:space="preserve"> </w:t>
      </w:r>
      <w:r w:rsidRPr="0071774C">
        <w:t>reports</w:t>
      </w:r>
      <w:r>
        <w:t xml:space="preserve"> </w:t>
      </w:r>
      <w:r w:rsidRPr="0071774C">
        <w:t>continues</w:t>
      </w:r>
      <w:r>
        <w:t xml:space="preserve"> </w:t>
      </w:r>
      <w:r w:rsidRPr="0071774C">
        <w:t>to</w:t>
      </w:r>
      <w:r>
        <w:t xml:space="preserve"> </w:t>
      </w:r>
      <w:r w:rsidRPr="0071774C">
        <w:t>evolve,</w:t>
      </w:r>
      <w:r>
        <w:t xml:space="preserve"> </w:t>
      </w:r>
      <w:r w:rsidRPr="0071774C">
        <w:t>efforts</w:t>
      </w:r>
      <w:r>
        <w:t xml:space="preserve"> </w:t>
      </w:r>
      <w:r w:rsidRPr="0071774C">
        <w:t>could</w:t>
      </w:r>
      <w:r>
        <w:t xml:space="preserve"> </w:t>
      </w:r>
      <w:r w:rsidRPr="0071774C">
        <w:t>be</w:t>
      </w:r>
      <w:r>
        <w:t xml:space="preserve"> </w:t>
      </w:r>
      <w:r w:rsidRPr="0071774C">
        <w:t>enhanced</w:t>
      </w:r>
      <w:r>
        <w:t xml:space="preserve"> </w:t>
      </w:r>
      <w:r w:rsidRPr="0071774C">
        <w:t>and</w:t>
      </w:r>
      <w:r>
        <w:t xml:space="preserve"> </w:t>
      </w:r>
      <w:r w:rsidRPr="0071774C">
        <w:t>greater</w:t>
      </w:r>
      <w:r>
        <w:t xml:space="preserve"> </w:t>
      </w:r>
      <w:r w:rsidRPr="0071774C">
        <w:t>gender</w:t>
      </w:r>
      <w:r>
        <w:t xml:space="preserve"> </w:t>
      </w:r>
      <w:r w:rsidRPr="0071774C">
        <w:t>equality</w:t>
      </w:r>
      <w:r>
        <w:t xml:space="preserve"> </w:t>
      </w:r>
      <w:r w:rsidRPr="0071774C">
        <w:t>for</w:t>
      </w:r>
      <w:r>
        <w:t xml:space="preserve"> </w:t>
      </w:r>
      <w:r w:rsidRPr="0071774C">
        <w:t>all</w:t>
      </w:r>
      <w:r>
        <w:t xml:space="preserve"> </w:t>
      </w:r>
      <w:r w:rsidRPr="0071774C">
        <w:t>women</w:t>
      </w:r>
      <w:r>
        <w:t xml:space="preserve"> </w:t>
      </w:r>
      <w:r w:rsidRPr="0071774C">
        <w:t>achieved</w:t>
      </w:r>
      <w:r>
        <w:t xml:space="preserve"> </w:t>
      </w:r>
      <w:r w:rsidRPr="0071774C">
        <w:t>if</w:t>
      </w:r>
      <w:r>
        <w:t xml:space="preserve"> </w:t>
      </w:r>
      <w:r w:rsidRPr="0071774C">
        <w:t>the</w:t>
      </w:r>
      <w:r>
        <w:t xml:space="preserve"> </w:t>
      </w:r>
      <w:r w:rsidRPr="0071774C">
        <w:t>data</w:t>
      </w:r>
      <w:r>
        <w:t xml:space="preserve"> </w:t>
      </w:r>
      <w:r w:rsidRPr="0071774C">
        <w:t>limitations</w:t>
      </w:r>
      <w:r>
        <w:t xml:space="preserve"> </w:t>
      </w:r>
      <w:r w:rsidRPr="0071774C">
        <w:t>highlighted</w:t>
      </w:r>
      <w:r>
        <w:t xml:space="preserve"> </w:t>
      </w:r>
      <w:r w:rsidRPr="0071774C">
        <w:t>in</w:t>
      </w:r>
      <w:r>
        <w:t xml:space="preserve"> </w:t>
      </w:r>
      <w:r w:rsidR="0044154C">
        <w:t>S</w:t>
      </w:r>
      <w:r w:rsidRPr="0071774C">
        <w:t>ection</w:t>
      </w:r>
      <w:r>
        <w:t xml:space="preserve"> </w:t>
      </w:r>
      <w:r w:rsidR="0044154C">
        <w:t>2</w:t>
      </w:r>
      <w:r>
        <w:t xml:space="preserve"> </w:t>
      </w:r>
      <w:r w:rsidRPr="0071774C">
        <w:t>are</w:t>
      </w:r>
      <w:r>
        <w:t xml:space="preserve"> </w:t>
      </w:r>
      <w:r w:rsidRPr="0071774C">
        <w:t>addressed.</w:t>
      </w:r>
    </w:p>
    <w:p w14:paraId="1B36A93D" w14:textId="28DB0A78" w:rsidR="002C2EC7" w:rsidRPr="00FB7F22" w:rsidRDefault="002C2EC7" w:rsidP="00790783">
      <w:pPr>
        <w:pStyle w:val="Heading3"/>
        <w:rPr>
          <w:rStyle w:val="OWCharacterCharcoal"/>
        </w:rPr>
      </w:pPr>
      <w:bookmarkStart w:id="67" w:name="_Toc41559741"/>
      <w:bookmarkStart w:id="68" w:name="_Toc55053309"/>
      <w:r w:rsidRPr="00FB7F22">
        <w:rPr>
          <w:rStyle w:val="OWCharacterCharcoal"/>
        </w:rPr>
        <w:lastRenderedPageBreak/>
        <w:t>Domain 6</w:t>
      </w:r>
      <w:r w:rsidR="003974E9">
        <w:rPr>
          <w:rStyle w:val="OWCharacterCharcoal"/>
        </w:rPr>
        <w:t xml:space="preserve">: </w:t>
      </w:r>
      <w:r w:rsidRPr="00FB7F22">
        <w:rPr>
          <w:rStyle w:val="OWCharacterCharcoal"/>
        </w:rPr>
        <w:t>Quality primary prevention programming</w:t>
      </w:r>
      <w:bookmarkEnd w:id="67"/>
      <w:bookmarkEnd w:id="68"/>
    </w:p>
    <w:p w14:paraId="1B075152" w14:textId="07CD8F8B" w:rsidR="002C2EC7" w:rsidRDefault="002C2EC7" w:rsidP="00790783">
      <w:pPr>
        <w:pStyle w:val="BodyText"/>
      </w:pPr>
      <w:r w:rsidRPr="0071774C">
        <w:t>Quality</w:t>
      </w:r>
      <w:r>
        <w:t xml:space="preserve"> primary </w:t>
      </w:r>
      <w:r w:rsidRPr="0071774C">
        <w:t>prevention</w:t>
      </w:r>
      <w:r>
        <w:t xml:space="preserve"> </w:t>
      </w:r>
      <w:r w:rsidRPr="0071774C">
        <w:t>programming</w:t>
      </w:r>
      <w:r>
        <w:t xml:space="preserve"> </w:t>
      </w:r>
      <w:r w:rsidRPr="0071774C">
        <w:t>requires</w:t>
      </w:r>
      <w:r>
        <w:t xml:space="preserve"> </w:t>
      </w:r>
      <w:r w:rsidRPr="0071774C">
        <w:t>attention</w:t>
      </w:r>
      <w:r>
        <w:t xml:space="preserve"> </w:t>
      </w:r>
      <w:r w:rsidRPr="0071774C">
        <w:t>to</w:t>
      </w:r>
      <w:r>
        <w:t xml:space="preserve"> </w:t>
      </w:r>
      <w:r w:rsidRPr="0071774C">
        <w:t>the</w:t>
      </w:r>
      <w:r>
        <w:t xml:space="preserve"> </w:t>
      </w:r>
      <w:r w:rsidRPr="0071774C">
        <w:t>effectiveness</w:t>
      </w:r>
      <w:r>
        <w:t xml:space="preserve"> </w:t>
      </w:r>
      <w:r w:rsidRPr="0071774C">
        <w:t>of</w:t>
      </w:r>
      <w:r>
        <w:t xml:space="preserve"> </w:t>
      </w:r>
      <w:r w:rsidRPr="0071774C">
        <w:t>interventions</w:t>
      </w:r>
      <w:r>
        <w:t xml:space="preserve"> </w:t>
      </w:r>
      <w:r w:rsidRPr="0071774C">
        <w:t>designed</w:t>
      </w:r>
      <w:r>
        <w:t xml:space="preserve"> </w:t>
      </w:r>
      <w:r w:rsidRPr="0071774C">
        <w:t>to</w:t>
      </w:r>
      <w:r>
        <w:t xml:space="preserve"> </w:t>
      </w:r>
      <w:r w:rsidRPr="0071774C">
        <w:t>prevent</w:t>
      </w:r>
      <w:r>
        <w:t xml:space="preserve"> </w:t>
      </w:r>
      <w:r w:rsidRPr="0071774C">
        <w:t>violence</w:t>
      </w:r>
      <w:r>
        <w:t xml:space="preserve"> </w:t>
      </w:r>
      <w:r w:rsidRPr="0071774C">
        <w:t>against</w:t>
      </w:r>
      <w:r>
        <w:t xml:space="preserve"> </w:t>
      </w:r>
      <w:r w:rsidRPr="0071774C">
        <w:t>women</w:t>
      </w:r>
      <w:r>
        <w:t xml:space="preserve"> </w:t>
      </w:r>
      <w:r w:rsidRPr="0071774C">
        <w:t>and</w:t>
      </w:r>
      <w:r>
        <w:t xml:space="preserve"> </w:t>
      </w:r>
      <w:r w:rsidRPr="0071774C">
        <w:t>promote</w:t>
      </w:r>
      <w:r>
        <w:t xml:space="preserve"> </w:t>
      </w:r>
      <w:r w:rsidRPr="0071774C">
        <w:t>gender</w:t>
      </w:r>
      <w:r>
        <w:t xml:space="preserve"> </w:t>
      </w:r>
      <w:r w:rsidRPr="0071774C">
        <w:t>equality.</w:t>
      </w:r>
      <w:r>
        <w:t xml:space="preserve"> </w:t>
      </w:r>
      <w:r w:rsidRPr="0071774C">
        <w:t>Best-practice</w:t>
      </w:r>
      <w:r>
        <w:t xml:space="preserve"> </w:t>
      </w:r>
      <w:r w:rsidRPr="0071774C">
        <w:t>primary</w:t>
      </w:r>
      <w:r>
        <w:t xml:space="preserve"> </w:t>
      </w:r>
      <w:r w:rsidRPr="0071774C">
        <w:t>prevention</w:t>
      </w:r>
      <w:r>
        <w:t xml:space="preserve"> </w:t>
      </w:r>
      <w:r w:rsidRPr="0071774C">
        <w:t>programming</w:t>
      </w:r>
      <w:r>
        <w:t xml:space="preserve"> </w:t>
      </w:r>
      <w:r w:rsidRPr="0071774C">
        <w:t>is</w:t>
      </w:r>
      <w:r>
        <w:t xml:space="preserve"> </w:t>
      </w:r>
      <w:r w:rsidRPr="0071774C">
        <w:t>about</w:t>
      </w:r>
      <w:r>
        <w:t xml:space="preserve"> </w:t>
      </w:r>
      <w:r w:rsidRPr="0071774C">
        <w:t>taking</w:t>
      </w:r>
      <w:r>
        <w:t xml:space="preserve"> </w:t>
      </w:r>
      <w:r w:rsidRPr="0071774C">
        <w:t>a</w:t>
      </w:r>
      <w:r>
        <w:t xml:space="preserve"> </w:t>
      </w:r>
      <w:r w:rsidRPr="0071774C">
        <w:t>long-term</w:t>
      </w:r>
      <w:r>
        <w:t xml:space="preserve"> </w:t>
      </w:r>
      <w:r w:rsidRPr="0071774C">
        <w:t>view</w:t>
      </w:r>
      <w:r>
        <w:t xml:space="preserve"> </w:t>
      </w:r>
      <w:r w:rsidRPr="0071774C">
        <w:t>and</w:t>
      </w:r>
      <w:r>
        <w:t xml:space="preserve"> </w:t>
      </w:r>
      <w:r w:rsidRPr="0071774C">
        <w:t>seeing</w:t>
      </w:r>
      <w:r>
        <w:t xml:space="preserve"> </w:t>
      </w:r>
      <w:r w:rsidRPr="0071774C">
        <w:t>programs</w:t>
      </w:r>
      <w:r>
        <w:t xml:space="preserve"> </w:t>
      </w:r>
      <w:r w:rsidRPr="0071774C">
        <w:t>as</w:t>
      </w:r>
      <w:r>
        <w:t xml:space="preserve"> </w:t>
      </w:r>
      <w:r w:rsidRPr="0071774C">
        <w:t>part</w:t>
      </w:r>
      <w:r>
        <w:t xml:space="preserve"> </w:t>
      </w:r>
      <w:r w:rsidRPr="0071774C">
        <w:t>of</w:t>
      </w:r>
      <w:r>
        <w:t xml:space="preserve"> </w:t>
      </w:r>
      <w:r w:rsidRPr="0071774C">
        <w:t>a</w:t>
      </w:r>
      <w:r>
        <w:t xml:space="preserve"> </w:t>
      </w:r>
      <w:r w:rsidRPr="0071774C">
        <w:t>holistic</w:t>
      </w:r>
      <w:r>
        <w:t xml:space="preserve"> </w:t>
      </w:r>
      <w:r w:rsidRPr="0071774C">
        <w:t>strategy</w:t>
      </w:r>
      <w:r>
        <w:t xml:space="preserve"> </w:t>
      </w:r>
      <w:r w:rsidRPr="0071774C">
        <w:t>spanning</w:t>
      </w:r>
      <w:r>
        <w:t xml:space="preserve"> </w:t>
      </w:r>
      <w:r w:rsidRPr="0071774C">
        <w:t>the</w:t>
      </w:r>
      <w:r>
        <w:t xml:space="preserve"> </w:t>
      </w:r>
      <w:r w:rsidRPr="0071774C">
        <w:t>socio-ecological</w:t>
      </w:r>
      <w:r>
        <w:t xml:space="preserve"> </w:t>
      </w:r>
      <w:r w:rsidRPr="0071774C">
        <w:t>model.</w:t>
      </w:r>
      <w:r>
        <w:t xml:space="preserve"> </w:t>
      </w:r>
      <w:r w:rsidRPr="0071774C">
        <w:t>To</w:t>
      </w:r>
      <w:r>
        <w:t xml:space="preserve"> </w:t>
      </w:r>
      <w:r w:rsidRPr="0071774C">
        <w:t>achieve</w:t>
      </w:r>
      <w:r>
        <w:t xml:space="preserve"> </w:t>
      </w:r>
      <w:r w:rsidRPr="0071774C">
        <w:t>this,</w:t>
      </w:r>
      <w:r>
        <w:t xml:space="preserve"> </w:t>
      </w:r>
      <w:r w:rsidRPr="0071774C">
        <w:t>programs</w:t>
      </w:r>
      <w:r>
        <w:t xml:space="preserve"> </w:t>
      </w:r>
      <w:r w:rsidRPr="0071774C">
        <w:t>and</w:t>
      </w:r>
      <w:r>
        <w:t xml:space="preserve"> </w:t>
      </w:r>
      <w:r w:rsidRPr="0071774C">
        <w:t>activities</w:t>
      </w:r>
      <w:r>
        <w:t xml:space="preserve"> </w:t>
      </w:r>
      <w:r w:rsidRPr="0071774C">
        <w:t>must</w:t>
      </w:r>
      <w:r>
        <w:t xml:space="preserve"> </w:t>
      </w:r>
      <w:r w:rsidRPr="0071774C">
        <w:t>be</w:t>
      </w:r>
      <w:r>
        <w:t xml:space="preserve"> </w:t>
      </w:r>
      <w:r w:rsidRPr="0071774C">
        <w:t>supported</w:t>
      </w:r>
      <w:r>
        <w:t xml:space="preserve"> </w:t>
      </w:r>
      <w:r w:rsidRPr="0071774C">
        <w:t>to</w:t>
      </w:r>
      <w:r>
        <w:t xml:space="preserve"> </w:t>
      </w:r>
      <w:r w:rsidRPr="0071774C">
        <w:t>adapt,</w:t>
      </w:r>
      <w:r>
        <w:t xml:space="preserve"> </w:t>
      </w:r>
      <w:r w:rsidRPr="0071774C">
        <w:t>improve,</w:t>
      </w:r>
      <w:r>
        <w:t xml:space="preserve"> </w:t>
      </w:r>
      <w:r w:rsidRPr="0071774C">
        <w:t>expand</w:t>
      </w:r>
      <w:r>
        <w:t xml:space="preserve"> </w:t>
      </w:r>
      <w:r w:rsidRPr="0071774C">
        <w:t>and,</w:t>
      </w:r>
      <w:r>
        <w:t xml:space="preserve"> </w:t>
      </w:r>
      <w:r w:rsidRPr="0071774C">
        <w:t>crucially,</w:t>
      </w:r>
      <w:r>
        <w:t xml:space="preserve"> </w:t>
      </w:r>
      <w:r w:rsidRPr="0071774C">
        <w:t>to</w:t>
      </w:r>
      <w:r>
        <w:t xml:space="preserve"> </w:t>
      </w:r>
      <w:r w:rsidR="00506EAA">
        <w:t xml:space="preserve">make </w:t>
      </w:r>
      <w:r w:rsidRPr="0071774C">
        <w:t>key</w:t>
      </w:r>
      <w:r>
        <w:t xml:space="preserve"> </w:t>
      </w:r>
      <w:r w:rsidRPr="0071774C">
        <w:t>learnings</w:t>
      </w:r>
      <w:r>
        <w:t xml:space="preserve"> </w:t>
      </w:r>
      <w:r w:rsidRPr="0071774C">
        <w:t>available</w:t>
      </w:r>
      <w:r>
        <w:t xml:space="preserve"> </w:t>
      </w:r>
      <w:r w:rsidR="00557E6D">
        <w:t>as part of a shared and</w:t>
      </w:r>
      <w:r>
        <w:t xml:space="preserve"> </w:t>
      </w:r>
      <w:r w:rsidRPr="0071774C">
        <w:t>accessible</w:t>
      </w:r>
      <w:r>
        <w:t xml:space="preserve"> </w:t>
      </w:r>
      <w:r w:rsidRPr="0071774C">
        <w:t>evidence</w:t>
      </w:r>
      <w:r>
        <w:t xml:space="preserve"> </w:t>
      </w:r>
      <w:r w:rsidRPr="0071774C">
        <w:t>base.</w:t>
      </w:r>
      <w:r>
        <w:t xml:space="preserve"> </w:t>
      </w:r>
      <w:r w:rsidRPr="0071774C">
        <w:t>This</w:t>
      </w:r>
      <w:r>
        <w:t xml:space="preserve"> </w:t>
      </w:r>
      <w:r w:rsidRPr="0071774C">
        <w:t>is</w:t>
      </w:r>
      <w:r>
        <w:t xml:space="preserve"> </w:t>
      </w:r>
      <w:r w:rsidRPr="0071774C">
        <w:t>a</w:t>
      </w:r>
      <w:r>
        <w:t xml:space="preserve"> </w:t>
      </w:r>
      <w:r w:rsidRPr="0071774C">
        <w:t>shared</w:t>
      </w:r>
      <w:r>
        <w:t xml:space="preserve"> </w:t>
      </w:r>
      <w:r w:rsidRPr="0071774C">
        <w:t>responsibility</w:t>
      </w:r>
      <w:r>
        <w:t xml:space="preserve"> </w:t>
      </w:r>
      <w:r w:rsidRPr="0071774C">
        <w:t>that</w:t>
      </w:r>
      <w:r>
        <w:t xml:space="preserve"> </w:t>
      </w:r>
      <w:r w:rsidRPr="0071774C">
        <w:t>must</w:t>
      </w:r>
      <w:r>
        <w:t xml:space="preserve"> </w:t>
      </w:r>
      <w:r w:rsidRPr="0071774C">
        <w:t>be</w:t>
      </w:r>
      <w:r>
        <w:t xml:space="preserve"> </w:t>
      </w:r>
      <w:r w:rsidRPr="0071774C">
        <w:t>recognised</w:t>
      </w:r>
      <w:r>
        <w:t xml:space="preserve"> </w:t>
      </w:r>
      <w:r w:rsidRPr="0071774C">
        <w:t>as</w:t>
      </w:r>
      <w:r>
        <w:t xml:space="preserve"> </w:t>
      </w:r>
      <w:r w:rsidRPr="0071774C">
        <w:t>a</w:t>
      </w:r>
      <w:r>
        <w:t xml:space="preserve"> </w:t>
      </w:r>
      <w:r w:rsidRPr="0071774C">
        <w:t>foundation</w:t>
      </w:r>
      <w:r>
        <w:t xml:space="preserve"> </w:t>
      </w:r>
      <w:r w:rsidRPr="0071774C">
        <w:t>of</w:t>
      </w:r>
      <w:r>
        <w:t xml:space="preserve"> </w:t>
      </w:r>
      <w:r w:rsidRPr="0071774C">
        <w:t>progress</w:t>
      </w:r>
      <w:r>
        <w:t xml:space="preserve"> </w:t>
      </w:r>
      <w:r w:rsidRPr="0071774C">
        <w:t>in</w:t>
      </w:r>
      <w:r>
        <w:t xml:space="preserve"> primary </w:t>
      </w:r>
      <w:r w:rsidRPr="0071774C">
        <w:t>prevention.</w:t>
      </w:r>
    </w:p>
    <w:p w14:paraId="02C76732" w14:textId="527B726B" w:rsidR="002C2EC7" w:rsidRDefault="002C2EC7" w:rsidP="00790783">
      <w:pPr>
        <w:pStyle w:val="BodyText"/>
      </w:pPr>
      <w:r w:rsidRPr="0071774C">
        <w:t>This</w:t>
      </w:r>
      <w:r>
        <w:t xml:space="preserve"> </w:t>
      </w:r>
      <w:r w:rsidRPr="0071774C">
        <w:t>domain</w:t>
      </w:r>
      <w:r>
        <w:t xml:space="preserve"> </w:t>
      </w:r>
      <w:r w:rsidRPr="0071774C">
        <w:t>provides</w:t>
      </w:r>
      <w:r>
        <w:t xml:space="preserve"> </w:t>
      </w:r>
      <w:r w:rsidRPr="0071774C">
        <w:t>some</w:t>
      </w:r>
      <w:r>
        <w:t xml:space="preserve"> </w:t>
      </w:r>
      <w:r w:rsidRPr="0071774C">
        <w:t>insights</w:t>
      </w:r>
      <w:r>
        <w:t xml:space="preserve"> </w:t>
      </w:r>
      <w:r w:rsidRPr="0071774C">
        <w:t>into</w:t>
      </w:r>
      <w:r>
        <w:t xml:space="preserve"> </w:t>
      </w:r>
      <w:r w:rsidRPr="0071774C">
        <w:t>the</w:t>
      </w:r>
      <w:r>
        <w:t xml:space="preserve"> </w:t>
      </w:r>
      <w:r w:rsidRPr="0071774C">
        <w:t>range</w:t>
      </w:r>
      <w:r>
        <w:t xml:space="preserve"> </w:t>
      </w:r>
      <w:r w:rsidRPr="0071774C">
        <w:t>of</w:t>
      </w:r>
      <w:r>
        <w:t xml:space="preserve"> primary </w:t>
      </w:r>
      <w:r w:rsidRPr="0071774C">
        <w:t>prevention</w:t>
      </w:r>
      <w:r>
        <w:t xml:space="preserve"> </w:t>
      </w:r>
      <w:r w:rsidRPr="0071774C">
        <w:t>activities</w:t>
      </w:r>
      <w:r>
        <w:t xml:space="preserve"> </w:t>
      </w:r>
      <w:r w:rsidRPr="0071774C">
        <w:t>being</w:t>
      </w:r>
      <w:r>
        <w:t xml:space="preserve"> </w:t>
      </w:r>
      <w:r w:rsidRPr="0071774C">
        <w:t>undertaken</w:t>
      </w:r>
      <w:r>
        <w:t xml:space="preserve"> </w:t>
      </w:r>
      <w:r w:rsidRPr="0071774C">
        <w:t>in</w:t>
      </w:r>
      <w:r>
        <w:t xml:space="preserve"> </w:t>
      </w:r>
      <w:r w:rsidRPr="0071774C">
        <w:t>Australia,</w:t>
      </w:r>
      <w:r>
        <w:t xml:space="preserve"> </w:t>
      </w:r>
      <w:r w:rsidRPr="0071774C">
        <w:t>and</w:t>
      </w:r>
      <w:r>
        <w:t xml:space="preserve"> </w:t>
      </w:r>
      <w:r w:rsidRPr="0071774C">
        <w:t>broadly</w:t>
      </w:r>
      <w:r>
        <w:t xml:space="preserve"> </w:t>
      </w:r>
      <w:r w:rsidRPr="0071774C">
        <w:t>how</w:t>
      </w:r>
      <w:r>
        <w:t xml:space="preserve"> </w:t>
      </w:r>
      <w:r w:rsidRPr="0071774C">
        <w:t>this</w:t>
      </w:r>
      <w:r>
        <w:t xml:space="preserve"> </w:t>
      </w:r>
      <w:r w:rsidRPr="0071774C">
        <w:t>work</w:t>
      </w:r>
      <w:r>
        <w:t xml:space="preserve"> </w:t>
      </w:r>
      <w:r w:rsidRPr="0071774C">
        <w:t>is</w:t>
      </w:r>
      <w:r>
        <w:t xml:space="preserve"> </w:t>
      </w:r>
      <w:r w:rsidRPr="0071774C">
        <w:t>incorporating</w:t>
      </w:r>
      <w:r>
        <w:t xml:space="preserve"> </w:t>
      </w:r>
      <w:r w:rsidRPr="0071774C">
        <w:t>available</w:t>
      </w:r>
      <w:r>
        <w:t xml:space="preserve"> </w:t>
      </w:r>
      <w:r w:rsidRPr="0071774C">
        <w:t>evidence,</w:t>
      </w:r>
      <w:r>
        <w:t xml:space="preserve"> </w:t>
      </w:r>
      <w:r w:rsidRPr="0071774C">
        <w:t>what</w:t>
      </w:r>
      <w:r>
        <w:t xml:space="preserve"> </w:t>
      </w:r>
      <w:r w:rsidRPr="0071774C">
        <w:t>the</w:t>
      </w:r>
      <w:r>
        <w:t xml:space="preserve"> </w:t>
      </w:r>
      <w:r w:rsidRPr="0071774C">
        <w:t>evidence</w:t>
      </w:r>
      <w:r>
        <w:t xml:space="preserve"> </w:t>
      </w:r>
      <w:r w:rsidRPr="0071774C">
        <w:t>tells</w:t>
      </w:r>
      <w:r>
        <w:t xml:space="preserve"> </w:t>
      </w:r>
      <w:r w:rsidRPr="0071774C">
        <w:t>us</w:t>
      </w:r>
      <w:r>
        <w:t xml:space="preserve"> </w:t>
      </w:r>
      <w:r w:rsidRPr="0071774C">
        <w:t>about</w:t>
      </w:r>
      <w:r>
        <w:t xml:space="preserve"> </w:t>
      </w:r>
      <w:r w:rsidRPr="0071774C">
        <w:t>effective</w:t>
      </w:r>
      <w:r>
        <w:t xml:space="preserve"> </w:t>
      </w:r>
      <w:r w:rsidRPr="0071774C">
        <w:t>primary</w:t>
      </w:r>
      <w:r>
        <w:t xml:space="preserve"> </w:t>
      </w:r>
      <w:r w:rsidRPr="0071774C">
        <w:t>prevention</w:t>
      </w:r>
      <w:r>
        <w:t xml:space="preserve"> </w:t>
      </w:r>
      <w:r w:rsidRPr="0071774C">
        <w:t>and</w:t>
      </w:r>
      <w:r>
        <w:t xml:space="preserve"> </w:t>
      </w:r>
      <w:r w:rsidRPr="0071774C">
        <w:t>the</w:t>
      </w:r>
      <w:r>
        <w:t xml:space="preserve"> </w:t>
      </w:r>
      <w:r w:rsidRPr="0071774C">
        <w:t>opportunities</w:t>
      </w:r>
      <w:r>
        <w:t xml:space="preserve"> </w:t>
      </w:r>
      <w:r w:rsidRPr="0071774C">
        <w:t>to</w:t>
      </w:r>
      <w:r>
        <w:t xml:space="preserve"> </w:t>
      </w:r>
      <w:r w:rsidRPr="0071774C">
        <w:t>build</w:t>
      </w:r>
      <w:r>
        <w:t xml:space="preserve"> </w:t>
      </w:r>
      <w:r w:rsidRPr="0071774C">
        <w:t>on</w:t>
      </w:r>
      <w:r>
        <w:t xml:space="preserve"> </w:t>
      </w:r>
      <w:r w:rsidRPr="0071774C">
        <w:t>progress</w:t>
      </w:r>
      <w:r>
        <w:t xml:space="preserve"> </w:t>
      </w:r>
      <w:r w:rsidRPr="0071774C">
        <w:t>made</w:t>
      </w:r>
      <w:r>
        <w:t xml:space="preserve"> </w:t>
      </w:r>
      <w:r w:rsidRPr="0071774C">
        <w:t>to</w:t>
      </w:r>
      <w:r>
        <w:t xml:space="preserve"> </w:t>
      </w:r>
      <w:r w:rsidRPr="0071774C">
        <w:t>date.</w:t>
      </w:r>
    </w:p>
    <w:p w14:paraId="36CEA9AE" w14:textId="77777777" w:rsidR="002C2EC7" w:rsidRPr="00FB7F22" w:rsidRDefault="002C2EC7" w:rsidP="00790783">
      <w:pPr>
        <w:pStyle w:val="Heading4"/>
        <w:rPr>
          <w:rStyle w:val="OWCharacterCharcoal"/>
        </w:rPr>
      </w:pPr>
      <w:bookmarkStart w:id="69" w:name="_Toc41559742"/>
      <w:r w:rsidRPr="00FB7F22">
        <w:rPr>
          <w:rStyle w:val="OWCharacterCharcoal"/>
        </w:rPr>
        <w:t>Quality primary prevention programming: summary of findings</w:t>
      </w:r>
      <w:bookmarkEnd w:id="69"/>
    </w:p>
    <w:p w14:paraId="31503AC0" w14:textId="72BCE799" w:rsidR="002C2EC7" w:rsidRDefault="002C2EC7" w:rsidP="00790783">
      <w:pPr>
        <w:pStyle w:val="BodyText"/>
      </w:pPr>
      <w:r w:rsidRPr="0071774C">
        <w:t>Prevention</w:t>
      </w:r>
      <w:r>
        <w:t xml:space="preserve"> </w:t>
      </w:r>
      <w:r w:rsidRPr="0071774C">
        <w:t>programming</w:t>
      </w:r>
      <w:r>
        <w:rPr>
          <w:color w:val="D13438"/>
        </w:rPr>
        <w:t xml:space="preserve"> </w:t>
      </w:r>
      <w:r w:rsidRPr="0071774C">
        <w:t>in</w:t>
      </w:r>
      <w:r>
        <w:t xml:space="preserve"> </w:t>
      </w:r>
      <w:r w:rsidRPr="0071774C">
        <w:t>Australia</w:t>
      </w:r>
      <w:r>
        <w:t xml:space="preserve"> </w:t>
      </w:r>
      <w:r w:rsidRPr="0071774C">
        <w:t>appears</w:t>
      </w:r>
      <w:r>
        <w:t xml:space="preserve"> </w:t>
      </w:r>
      <w:r w:rsidRPr="0071774C">
        <w:t>to</w:t>
      </w:r>
      <w:r>
        <w:t xml:space="preserve"> </w:t>
      </w:r>
      <w:r w:rsidRPr="0071774C">
        <w:t>be</w:t>
      </w:r>
      <w:r>
        <w:t xml:space="preserve"> </w:t>
      </w:r>
      <w:r w:rsidRPr="0071774C">
        <w:t>growing</w:t>
      </w:r>
      <w:r>
        <w:t xml:space="preserve"> </w:t>
      </w:r>
      <w:r w:rsidRPr="0071774C">
        <w:t>in</w:t>
      </w:r>
      <w:r>
        <w:t xml:space="preserve"> </w:t>
      </w:r>
      <w:r w:rsidRPr="0071774C">
        <w:t>complexity</w:t>
      </w:r>
      <w:r>
        <w:t xml:space="preserve"> </w:t>
      </w:r>
      <w:r w:rsidRPr="0071774C">
        <w:t>of</w:t>
      </w:r>
      <w:r>
        <w:t xml:space="preserve"> </w:t>
      </w:r>
      <w:r w:rsidRPr="0071774C">
        <w:t>approach</w:t>
      </w:r>
      <w:r>
        <w:t xml:space="preserve"> </w:t>
      </w:r>
      <w:r w:rsidRPr="0071774C">
        <w:t>and</w:t>
      </w:r>
      <w:r>
        <w:t xml:space="preserve"> </w:t>
      </w:r>
      <w:r w:rsidRPr="0071774C">
        <w:t>there</w:t>
      </w:r>
      <w:r>
        <w:t xml:space="preserve"> </w:t>
      </w:r>
      <w:r w:rsidRPr="0071774C">
        <w:t>is</w:t>
      </w:r>
      <w:r>
        <w:t xml:space="preserve"> </w:t>
      </w:r>
      <w:r w:rsidRPr="0071774C">
        <w:t>evidence</w:t>
      </w:r>
      <w:r>
        <w:t xml:space="preserve"> </w:t>
      </w:r>
      <w:r w:rsidRPr="0071774C">
        <w:t>of</w:t>
      </w:r>
      <w:r>
        <w:t xml:space="preserve"> </w:t>
      </w:r>
      <w:r w:rsidRPr="0071774C">
        <w:t>a</w:t>
      </w:r>
      <w:r>
        <w:t xml:space="preserve"> </w:t>
      </w:r>
      <w:r w:rsidRPr="0071774C">
        <w:t>range</w:t>
      </w:r>
      <w:r>
        <w:t xml:space="preserve"> </w:t>
      </w:r>
      <w:r w:rsidRPr="0071774C">
        <w:t>of</w:t>
      </w:r>
      <w:r>
        <w:t xml:space="preserve"> </w:t>
      </w:r>
      <w:r w:rsidRPr="0071774C">
        <w:t>combinations</w:t>
      </w:r>
      <w:r>
        <w:t xml:space="preserve"> </w:t>
      </w:r>
      <w:r w:rsidRPr="0071774C">
        <w:t>of</w:t>
      </w:r>
      <w:r>
        <w:t xml:space="preserve"> </w:t>
      </w:r>
      <w:r w:rsidRPr="0071774C">
        <w:t>settings</w:t>
      </w:r>
      <w:r>
        <w:t xml:space="preserve"> </w:t>
      </w:r>
      <w:r w:rsidRPr="0071774C">
        <w:t>and</w:t>
      </w:r>
      <w:r>
        <w:t xml:space="preserve"> </w:t>
      </w:r>
      <w:r w:rsidRPr="0071774C">
        <w:t>techniques.</w:t>
      </w:r>
      <w:r>
        <w:t xml:space="preserve"> </w:t>
      </w:r>
      <w:r w:rsidRPr="0071774C">
        <w:t>Though</w:t>
      </w:r>
      <w:r>
        <w:t xml:space="preserve"> </w:t>
      </w:r>
      <w:r w:rsidRPr="0071774C">
        <w:t>some</w:t>
      </w:r>
      <w:r>
        <w:t xml:space="preserve"> </w:t>
      </w:r>
      <w:r w:rsidRPr="0071774C">
        <w:t>of</w:t>
      </w:r>
      <w:r>
        <w:t xml:space="preserve"> </w:t>
      </w:r>
      <w:r w:rsidRPr="0071774C">
        <w:t>the</w:t>
      </w:r>
      <w:r>
        <w:t xml:space="preserve"> </w:t>
      </w:r>
      <w:r w:rsidRPr="0071774C">
        <w:t>eleven</w:t>
      </w:r>
      <w:r>
        <w:t xml:space="preserve"> </w:t>
      </w:r>
      <w:r w:rsidRPr="0071774C">
        <w:t>settings</w:t>
      </w:r>
      <w:r>
        <w:t xml:space="preserve"> </w:t>
      </w:r>
      <w:r w:rsidRPr="0071774C">
        <w:t>recommended</w:t>
      </w:r>
      <w:r>
        <w:t xml:space="preserve"> </w:t>
      </w:r>
      <w:r w:rsidRPr="0071774C">
        <w:t>in</w:t>
      </w:r>
      <w:r>
        <w:t xml:space="preserve"> </w:t>
      </w:r>
      <w:r w:rsidRPr="00ED4674">
        <w:rPr>
          <w:rStyle w:val="Emphasis"/>
        </w:rPr>
        <w:t>Change the story</w:t>
      </w:r>
      <w:r w:rsidRPr="24ED14A9">
        <w:rPr>
          <w:rStyle w:val="EndnoteReference"/>
        </w:rPr>
        <w:endnoteReference w:id="148"/>
      </w:r>
      <w:r>
        <w:t xml:space="preserve"> </w:t>
      </w:r>
      <w:r w:rsidRPr="0071774C">
        <w:t>have</w:t>
      </w:r>
      <w:r>
        <w:t xml:space="preserve"> </w:t>
      </w:r>
      <w:r w:rsidRPr="0071774C">
        <w:t>been</w:t>
      </w:r>
      <w:r>
        <w:t xml:space="preserve"> </w:t>
      </w:r>
      <w:r w:rsidRPr="0071774C">
        <w:t>less</w:t>
      </w:r>
      <w:r>
        <w:t xml:space="preserve"> </w:t>
      </w:r>
      <w:r w:rsidRPr="0071774C">
        <w:t>of</w:t>
      </w:r>
      <w:r>
        <w:t xml:space="preserve"> </w:t>
      </w:r>
      <w:r w:rsidRPr="0071774C">
        <w:t>a</w:t>
      </w:r>
      <w:r>
        <w:t xml:space="preserve"> </w:t>
      </w:r>
      <w:r w:rsidRPr="0071774C">
        <w:t>focus</w:t>
      </w:r>
      <w:r>
        <w:t xml:space="preserve"> </w:t>
      </w:r>
      <w:r w:rsidRPr="0071774C">
        <w:t>than</w:t>
      </w:r>
      <w:r>
        <w:t xml:space="preserve"> </w:t>
      </w:r>
      <w:r w:rsidRPr="0071774C">
        <w:t>others,</w:t>
      </w:r>
      <w:r>
        <w:t xml:space="preserve"> </w:t>
      </w:r>
      <w:r w:rsidRPr="0071774C">
        <w:t>this</w:t>
      </w:r>
      <w:r>
        <w:t xml:space="preserve"> </w:t>
      </w:r>
      <w:r w:rsidRPr="0071774C">
        <w:t>is</w:t>
      </w:r>
      <w:r>
        <w:t xml:space="preserve"> </w:t>
      </w:r>
      <w:r w:rsidRPr="0071774C">
        <w:t>to</w:t>
      </w:r>
      <w:r>
        <w:t xml:space="preserve"> </w:t>
      </w:r>
      <w:r w:rsidRPr="0071774C">
        <w:t>be</w:t>
      </w:r>
      <w:r>
        <w:t xml:space="preserve"> </w:t>
      </w:r>
      <w:r w:rsidRPr="0071774C">
        <w:t>expected</w:t>
      </w:r>
      <w:r>
        <w:t xml:space="preserve">, </w:t>
      </w:r>
      <w:r w:rsidRPr="0071774C">
        <w:t>as</w:t>
      </w:r>
      <w:r>
        <w:t xml:space="preserve"> </w:t>
      </w:r>
      <w:r w:rsidRPr="0071774C">
        <w:t>the</w:t>
      </w:r>
      <w:r>
        <w:t xml:space="preserve"> </w:t>
      </w:r>
      <w:r w:rsidRPr="0071774C">
        <w:t>framework,</w:t>
      </w:r>
      <w:r>
        <w:t xml:space="preserve"> </w:t>
      </w:r>
      <w:r w:rsidRPr="0071774C">
        <w:t>launched</w:t>
      </w:r>
      <w:r>
        <w:t xml:space="preserve"> </w:t>
      </w:r>
      <w:r w:rsidRPr="0071774C">
        <w:t>in</w:t>
      </w:r>
      <w:r>
        <w:t xml:space="preserve"> </w:t>
      </w:r>
      <w:r w:rsidRPr="0071774C">
        <w:t>2015,</w:t>
      </w:r>
      <w:r>
        <w:t xml:space="preserve"> </w:t>
      </w:r>
      <w:r w:rsidRPr="0071774C">
        <w:t>is</w:t>
      </w:r>
      <w:r>
        <w:t xml:space="preserve"> </w:t>
      </w:r>
      <w:r w:rsidRPr="0071774C">
        <w:t>gradually</w:t>
      </w:r>
      <w:r>
        <w:t xml:space="preserve"> </w:t>
      </w:r>
      <w:r w:rsidRPr="0071774C">
        <w:t>incorporated</w:t>
      </w:r>
      <w:r>
        <w:t xml:space="preserve"> </w:t>
      </w:r>
      <w:r w:rsidRPr="0071774C">
        <w:t>into</w:t>
      </w:r>
      <w:r>
        <w:t xml:space="preserve"> </w:t>
      </w:r>
      <w:r w:rsidRPr="0071774C">
        <w:t>policy</w:t>
      </w:r>
      <w:r>
        <w:t xml:space="preserve"> </w:t>
      </w:r>
      <w:r w:rsidRPr="0071774C">
        <w:t>and</w:t>
      </w:r>
      <w:r>
        <w:t xml:space="preserve"> </w:t>
      </w:r>
      <w:r w:rsidRPr="0071774C">
        <w:t>practice.</w:t>
      </w:r>
      <w:r>
        <w:t xml:space="preserve"> </w:t>
      </w:r>
      <w:r w:rsidRPr="00ED4674">
        <w:rPr>
          <w:rStyle w:val="Emphasis"/>
        </w:rPr>
        <w:t xml:space="preserve">Change the story </w:t>
      </w:r>
      <w:r w:rsidRPr="0071774C">
        <w:t>makes</w:t>
      </w:r>
      <w:r>
        <w:t xml:space="preserve"> </w:t>
      </w:r>
      <w:r w:rsidRPr="0071774C">
        <w:t>it</w:t>
      </w:r>
      <w:r>
        <w:t xml:space="preserve"> </w:t>
      </w:r>
      <w:r w:rsidRPr="0071774C">
        <w:t>clear</w:t>
      </w:r>
      <w:r>
        <w:t xml:space="preserve"> </w:t>
      </w:r>
      <w:r w:rsidRPr="0071774C">
        <w:t>that</w:t>
      </w:r>
      <w:r>
        <w:t xml:space="preserve"> </w:t>
      </w:r>
      <w:r w:rsidRPr="0071774C">
        <w:t>prevention</w:t>
      </w:r>
      <w:r>
        <w:t xml:space="preserve"> </w:t>
      </w:r>
      <w:r w:rsidRPr="0071774C">
        <w:t>work</w:t>
      </w:r>
      <w:r>
        <w:t xml:space="preserve"> </w:t>
      </w:r>
      <w:r w:rsidRPr="0071774C">
        <w:t>is</w:t>
      </w:r>
      <w:r>
        <w:t xml:space="preserve"> </w:t>
      </w:r>
      <w:r w:rsidRPr="0071774C">
        <w:t>needed</w:t>
      </w:r>
      <w:r>
        <w:t xml:space="preserve"> </w:t>
      </w:r>
      <w:r w:rsidRPr="0071774C">
        <w:t>across</w:t>
      </w:r>
      <w:r>
        <w:t xml:space="preserve"> </w:t>
      </w:r>
      <w:r w:rsidRPr="0071774C">
        <w:t>all</w:t>
      </w:r>
      <w:r w:rsidR="00C11BA2">
        <w:t> </w:t>
      </w:r>
      <w:r w:rsidRPr="0071774C">
        <w:t>levels</w:t>
      </w:r>
      <w:r>
        <w:t xml:space="preserve"> </w:t>
      </w:r>
      <w:r w:rsidRPr="0071774C">
        <w:t>of</w:t>
      </w:r>
      <w:r>
        <w:t xml:space="preserve"> </w:t>
      </w:r>
      <w:r w:rsidRPr="0071774C">
        <w:t>the</w:t>
      </w:r>
      <w:r>
        <w:t xml:space="preserve"> </w:t>
      </w:r>
      <w:r w:rsidRPr="0071774C">
        <w:t>socio</w:t>
      </w:r>
      <w:r>
        <w:t>-</w:t>
      </w:r>
      <w:r w:rsidRPr="0071774C">
        <w:t>ecological</w:t>
      </w:r>
      <w:r>
        <w:t xml:space="preserve"> </w:t>
      </w:r>
      <w:r w:rsidRPr="0071774C">
        <w:t>model</w:t>
      </w:r>
      <w:r>
        <w:t xml:space="preserve"> </w:t>
      </w:r>
      <w:r w:rsidRPr="0071774C">
        <w:t>and</w:t>
      </w:r>
      <w:r>
        <w:t xml:space="preserve"> </w:t>
      </w:r>
      <w:r w:rsidR="008A3C48">
        <w:t xml:space="preserve">its adoption as the national framework </w:t>
      </w:r>
      <w:r w:rsidRPr="0071774C">
        <w:t>is</w:t>
      </w:r>
      <w:r>
        <w:t xml:space="preserve"> </w:t>
      </w:r>
      <w:r w:rsidRPr="0071774C">
        <w:t>a</w:t>
      </w:r>
      <w:r>
        <w:t xml:space="preserve"> </w:t>
      </w:r>
      <w:r w:rsidRPr="0071774C">
        <w:t>significant</w:t>
      </w:r>
      <w:r>
        <w:t xml:space="preserve"> </w:t>
      </w:r>
      <w:r w:rsidRPr="0071774C">
        <w:t>achievement</w:t>
      </w:r>
      <w:r>
        <w:t xml:space="preserve"> </w:t>
      </w:r>
      <w:r w:rsidRPr="0071774C">
        <w:t>in</w:t>
      </w:r>
      <w:r>
        <w:t xml:space="preserve"> </w:t>
      </w:r>
      <w:r w:rsidRPr="0071774C">
        <w:t>supporting</w:t>
      </w:r>
      <w:r>
        <w:t xml:space="preserve"> </w:t>
      </w:r>
      <w:r w:rsidRPr="0071774C">
        <w:t>coordinated</w:t>
      </w:r>
      <w:r>
        <w:t xml:space="preserve"> </w:t>
      </w:r>
      <w:r w:rsidRPr="0071774C">
        <w:t>programming</w:t>
      </w:r>
      <w:r>
        <w:t xml:space="preserve"> </w:t>
      </w:r>
      <w:r w:rsidRPr="0071774C">
        <w:t>across</w:t>
      </w:r>
      <w:r>
        <w:t xml:space="preserve"> </w:t>
      </w:r>
      <w:r w:rsidRPr="0071774C">
        <w:t>Australia.</w:t>
      </w:r>
      <w:r>
        <w:t xml:space="preserve"> </w:t>
      </w:r>
      <w:r w:rsidRPr="0071774C">
        <w:t>However</w:t>
      </w:r>
      <w:r>
        <w:t xml:space="preserve">, </w:t>
      </w:r>
      <w:r w:rsidRPr="0071774C">
        <w:t>current</w:t>
      </w:r>
      <w:r>
        <w:t xml:space="preserve"> </w:t>
      </w:r>
      <w:r w:rsidRPr="0071774C">
        <w:t>funded</w:t>
      </w:r>
      <w:r>
        <w:t xml:space="preserve"> </w:t>
      </w:r>
      <w:r w:rsidRPr="0071774C">
        <w:t>activity</w:t>
      </w:r>
      <w:r>
        <w:t xml:space="preserve"> </w:t>
      </w:r>
      <w:r w:rsidRPr="0071774C">
        <w:t>tends</w:t>
      </w:r>
      <w:r>
        <w:t xml:space="preserve"> </w:t>
      </w:r>
      <w:r w:rsidRPr="0071774C">
        <w:t>to</w:t>
      </w:r>
      <w:r>
        <w:t xml:space="preserve"> </w:t>
      </w:r>
      <w:r w:rsidRPr="0071774C">
        <w:t>be</w:t>
      </w:r>
      <w:r>
        <w:t xml:space="preserve"> </w:t>
      </w:r>
      <w:r w:rsidRPr="0071774C">
        <w:t>skewed</w:t>
      </w:r>
      <w:r>
        <w:t xml:space="preserve"> </w:t>
      </w:r>
      <w:r w:rsidRPr="0071774C">
        <w:t>towards</w:t>
      </w:r>
      <w:r>
        <w:t xml:space="preserve"> </w:t>
      </w:r>
      <w:r w:rsidRPr="0071774C">
        <w:t>the</w:t>
      </w:r>
      <w:r>
        <w:t xml:space="preserve"> </w:t>
      </w:r>
      <w:r w:rsidRPr="0071774C">
        <w:t>individual</w:t>
      </w:r>
      <w:r>
        <w:t xml:space="preserve"> </w:t>
      </w:r>
      <w:r w:rsidRPr="0071774C">
        <w:t>and</w:t>
      </w:r>
      <w:r>
        <w:t xml:space="preserve"> </w:t>
      </w:r>
      <w:r w:rsidRPr="0071774C">
        <w:t>community</w:t>
      </w:r>
      <w:r>
        <w:t xml:space="preserve"> </w:t>
      </w:r>
      <w:r w:rsidRPr="0071774C">
        <w:t>levels,</w:t>
      </w:r>
      <w:r>
        <w:t xml:space="preserve"> </w:t>
      </w:r>
      <w:r w:rsidRPr="0071774C">
        <w:t>with</w:t>
      </w:r>
      <w:r>
        <w:t xml:space="preserve"> </w:t>
      </w:r>
      <w:r w:rsidRPr="0071774C">
        <w:t>the</w:t>
      </w:r>
      <w:r>
        <w:t xml:space="preserve"> </w:t>
      </w:r>
      <w:r w:rsidRPr="0071774C">
        <w:t>aim</w:t>
      </w:r>
      <w:r>
        <w:t xml:space="preserve"> </w:t>
      </w:r>
      <w:r w:rsidRPr="0071774C">
        <w:t>of</w:t>
      </w:r>
      <w:r>
        <w:t xml:space="preserve"> </w:t>
      </w:r>
      <w:r w:rsidRPr="0071774C">
        <w:t>achieving</w:t>
      </w:r>
      <w:r>
        <w:t xml:space="preserve"> </w:t>
      </w:r>
      <w:r w:rsidRPr="0071774C">
        <w:t>attitudinal</w:t>
      </w:r>
      <w:r>
        <w:t xml:space="preserve"> </w:t>
      </w:r>
      <w:r w:rsidRPr="0071774C">
        <w:t>change,</w:t>
      </w:r>
      <w:r>
        <w:t xml:space="preserve"> </w:t>
      </w:r>
      <w:r w:rsidRPr="0071774C">
        <w:t>rather</w:t>
      </w:r>
      <w:r>
        <w:t xml:space="preserve"> </w:t>
      </w:r>
      <w:r w:rsidRPr="0071774C">
        <w:t>than</w:t>
      </w:r>
      <w:r>
        <w:t xml:space="preserve"> </w:t>
      </w:r>
      <w:r w:rsidRPr="0071774C">
        <w:t>supporting</w:t>
      </w:r>
      <w:r>
        <w:t xml:space="preserve"> </w:t>
      </w:r>
      <w:r w:rsidRPr="0071774C">
        <w:t>actions</w:t>
      </w:r>
      <w:r>
        <w:t xml:space="preserve"> </w:t>
      </w:r>
      <w:r w:rsidRPr="0071774C">
        <w:t>that</w:t>
      </w:r>
      <w:r>
        <w:t xml:space="preserve"> </w:t>
      </w:r>
      <w:r w:rsidRPr="0071774C">
        <w:t>will</w:t>
      </w:r>
      <w:r>
        <w:t xml:space="preserve"> </w:t>
      </w:r>
      <w:r w:rsidRPr="0071774C">
        <w:t>drive</w:t>
      </w:r>
      <w:r>
        <w:t xml:space="preserve"> </w:t>
      </w:r>
      <w:r w:rsidRPr="0071774C">
        <w:t>institutional,</w:t>
      </w:r>
      <w:r>
        <w:t xml:space="preserve"> </w:t>
      </w:r>
      <w:r w:rsidRPr="0071774C">
        <w:t>systemic</w:t>
      </w:r>
      <w:r>
        <w:t xml:space="preserve"> </w:t>
      </w:r>
      <w:r w:rsidRPr="0071774C">
        <w:t>and</w:t>
      </w:r>
      <w:r>
        <w:t xml:space="preserve"> </w:t>
      </w:r>
      <w:r w:rsidRPr="0071774C">
        <w:t>structural</w:t>
      </w:r>
      <w:r>
        <w:t xml:space="preserve"> </w:t>
      </w:r>
      <w:r w:rsidRPr="0071774C">
        <w:t>change,</w:t>
      </w:r>
      <w:r>
        <w:t xml:space="preserve"> </w:t>
      </w:r>
      <w:r w:rsidRPr="0071774C">
        <w:t>as</w:t>
      </w:r>
      <w:r>
        <w:t xml:space="preserve"> </w:t>
      </w:r>
      <w:r w:rsidRPr="0071774C">
        <w:t>outlined</w:t>
      </w:r>
      <w:r>
        <w:t xml:space="preserve"> </w:t>
      </w:r>
      <w:r w:rsidRPr="0071774C">
        <w:t>in</w:t>
      </w:r>
      <w:r>
        <w:t xml:space="preserve"> </w:t>
      </w:r>
      <w:r w:rsidR="008846C8">
        <w:t xml:space="preserve">the </w:t>
      </w:r>
      <w:hyperlink w:anchor="CaseStudy" w:history="1">
        <w:r w:rsidR="008846C8" w:rsidRPr="008846C8">
          <w:rPr>
            <w:rStyle w:val="Hyperlink"/>
          </w:rPr>
          <w:t>c</w:t>
        </w:r>
        <w:r w:rsidRPr="008846C8">
          <w:rPr>
            <w:rStyle w:val="Hyperlink"/>
          </w:rPr>
          <w:t>ase study</w:t>
        </w:r>
      </w:hyperlink>
      <w:r w:rsidR="008846C8">
        <w:t xml:space="preserve"> on page </w:t>
      </w:r>
      <w:r w:rsidR="008846C8">
        <w:rPr>
          <w:color w:val="2B579A"/>
          <w:shd w:val="clear" w:color="auto" w:fill="E6E6E6"/>
        </w:rPr>
        <w:fldChar w:fldCharType="begin"/>
      </w:r>
      <w:r w:rsidR="008846C8">
        <w:instrText xml:space="preserve"> PAGEREF CaseStudy \h </w:instrText>
      </w:r>
      <w:r w:rsidR="008846C8">
        <w:rPr>
          <w:color w:val="2B579A"/>
          <w:shd w:val="clear" w:color="auto" w:fill="E6E6E6"/>
        </w:rPr>
      </w:r>
      <w:r w:rsidR="008846C8">
        <w:rPr>
          <w:color w:val="2B579A"/>
          <w:shd w:val="clear" w:color="auto" w:fill="E6E6E6"/>
        </w:rPr>
        <w:fldChar w:fldCharType="separate"/>
      </w:r>
      <w:r w:rsidR="00F53B39">
        <w:rPr>
          <w:noProof/>
        </w:rPr>
        <w:t>63</w:t>
      </w:r>
      <w:r w:rsidR="008846C8">
        <w:rPr>
          <w:color w:val="2B579A"/>
          <w:shd w:val="clear" w:color="auto" w:fill="E6E6E6"/>
        </w:rPr>
        <w:fldChar w:fldCharType="end"/>
      </w:r>
      <w:r w:rsidRPr="0071774C">
        <w:t>.</w:t>
      </w:r>
      <w:r>
        <w:t xml:space="preserve"> </w:t>
      </w:r>
      <w:r w:rsidRPr="0071774C">
        <w:t>This</w:t>
      </w:r>
      <w:r>
        <w:t xml:space="preserve"> </w:t>
      </w:r>
      <w:r w:rsidRPr="0071774C">
        <w:t>is</w:t>
      </w:r>
      <w:r>
        <w:t xml:space="preserve"> </w:t>
      </w:r>
      <w:r w:rsidRPr="0071774C">
        <w:t>a</w:t>
      </w:r>
      <w:r>
        <w:t xml:space="preserve"> </w:t>
      </w:r>
      <w:r w:rsidRPr="0071774C">
        <w:t>significant</w:t>
      </w:r>
      <w:r>
        <w:t xml:space="preserve"> </w:t>
      </w:r>
      <w:r w:rsidRPr="0071774C">
        <w:t>gap</w:t>
      </w:r>
      <w:r>
        <w:t xml:space="preserve"> </w:t>
      </w:r>
      <w:r w:rsidRPr="0071774C">
        <w:t>as</w:t>
      </w:r>
      <w:r>
        <w:t xml:space="preserve"> </w:t>
      </w:r>
      <w:r w:rsidRPr="0071774C">
        <w:t>evidence</w:t>
      </w:r>
      <w:r>
        <w:t xml:space="preserve"> </w:t>
      </w:r>
      <w:r w:rsidRPr="0071774C">
        <w:t>points</w:t>
      </w:r>
      <w:r>
        <w:t xml:space="preserve"> </w:t>
      </w:r>
      <w:r w:rsidRPr="0071774C">
        <w:t>to</w:t>
      </w:r>
      <w:r>
        <w:t xml:space="preserve"> </w:t>
      </w:r>
      <w:r w:rsidRPr="0071774C">
        <w:t>the</w:t>
      </w:r>
      <w:r>
        <w:t xml:space="preserve"> </w:t>
      </w:r>
      <w:r w:rsidRPr="0071774C">
        <w:t>need</w:t>
      </w:r>
      <w:r>
        <w:t xml:space="preserve"> </w:t>
      </w:r>
      <w:r w:rsidRPr="0071774C">
        <w:t>for</w:t>
      </w:r>
      <w:r>
        <w:t xml:space="preserve"> </w:t>
      </w:r>
      <w:r w:rsidRPr="0071774C">
        <w:t>mutually</w:t>
      </w:r>
      <w:r>
        <w:t xml:space="preserve"> </w:t>
      </w:r>
      <w:r w:rsidRPr="0071774C">
        <w:t>reinforcing</w:t>
      </w:r>
      <w:r>
        <w:t xml:space="preserve"> </w:t>
      </w:r>
      <w:r w:rsidRPr="0071774C">
        <w:t>multidimensional</w:t>
      </w:r>
      <w:r>
        <w:t xml:space="preserve"> </w:t>
      </w:r>
      <w:r w:rsidRPr="0071774C">
        <w:t>approaches</w:t>
      </w:r>
      <w:r>
        <w:t xml:space="preserve"> </w:t>
      </w:r>
      <w:r w:rsidRPr="0071774C">
        <w:t>for</w:t>
      </w:r>
      <w:r>
        <w:t xml:space="preserve"> </w:t>
      </w:r>
      <w:r w:rsidRPr="0071774C">
        <w:t>primary</w:t>
      </w:r>
      <w:r>
        <w:t xml:space="preserve"> </w:t>
      </w:r>
      <w:r w:rsidRPr="0071774C">
        <w:t>prevention</w:t>
      </w:r>
      <w:r>
        <w:t xml:space="preserve"> </w:t>
      </w:r>
      <w:r w:rsidRPr="0071774C">
        <w:t>to</w:t>
      </w:r>
      <w:r>
        <w:t xml:space="preserve"> </w:t>
      </w:r>
      <w:r w:rsidRPr="0071774C">
        <w:t>be</w:t>
      </w:r>
      <w:r>
        <w:t xml:space="preserve"> </w:t>
      </w:r>
      <w:r w:rsidRPr="0071774C">
        <w:t>effective.</w:t>
      </w:r>
    </w:p>
    <w:p w14:paraId="6DEAAD9E" w14:textId="77777777" w:rsidR="002C2EC7" w:rsidRDefault="002C2EC7" w:rsidP="00790783">
      <w:pPr>
        <w:pStyle w:val="BodyText"/>
      </w:pPr>
      <w:r w:rsidRPr="0071774C">
        <w:t>The</w:t>
      </w:r>
      <w:r>
        <w:t xml:space="preserve"> </w:t>
      </w:r>
      <w:r w:rsidRPr="0071774C">
        <w:t>strength</w:t>
      </w:r>
      <w:r>
        <w:t xml:space="preserve"> </w:t>
      </w:r>
      <w:r w:rsidRPr="0071774C">
        <w:t>of</w:t>
      </w:r>
      <w:r>
        <w:t xml:space="preserve"> </w:t>
      </w:r>
      <w:r w:rsidRPr="0071774C">
        <w:t>prevention</w:t>
      </w:r>
      <w:r>
        <w:t xml:space="preserve"> </w:t>
      </w:r>
      <w:r w:rsidRPr="0071774C">
        <w:t>programming</w:t>
      </w:r>
      <w:r>
        <w:t xml:space="preserve"> </w:t>
      </w:r>
      <w:r w:rsidRPr="0071774C">
        <w:t>depends</w:t>
      </w:r>
      <w:r>
        <w:t xml:space="preserve"> </w:t>
      </w:r>
      <w:r w:rsidRPr="0071774C">
        <w:t>upon</w:t>
      </w:r>
      <w:r>
        <w:t xml:space="preserve"> </w:t>
      </w:r>
      <w:r w:rsidRPr="0071774C">
        <w:t>the</w:t>
      </w:r>
      <w:r>
        <w:t xml:space="preserve"> </w:t>
      </w:r>
      <w:r w:rsidRPr="0071774C">
        <w:t>development</w:t>
      </w:r>
      <w:r>
        <w:t xml:space="preserve"> </w:t>
      </w:r>
      <w:r w:rsidRPr="0071774C">
        <w:t>of</w:t>
      </w:r>
      <w:r>
        <w:t xml:space="preserve"> </w:t>
      </w:r>
      <w:r w:rsidRPr="0071774C">
        <w:t>infrastructure</w:t>
      </w:r>
      <w:r>
        <w:t xml:space="preserve"> </w:t>
      </w:r>
      <w:r w:rsidRPr="0071774C">
        <w:t>across</w:t>
      </w:r>
      <w:r>
        <w:t xml:space="preserve"> </w:t>
      </w:r>
      <w:r w:rsidRPr="0071774C">
        <w:t>domains,</w:t>
      </w:r>
      <w:r>
        <w:t xml:space="preserve"> </w:t>
      </w:r>
      <w:r w:rsidRPr="0071774C">
        <w:t>including</w:t>
      </w:r>
      <w:r>
        <w:t xml:space="preserve"> </w:t>
      </w:r>
      <w:r w:rsidRPr="0071774C">
        <w:t>mechanisms</w:t>
      </w:r>
      <w:r>
        <w:t xml:space="preserve"> </w:t>
      </w:r>
      <w:r w:rsidRPr="0071774C">
        <w:t>that</w:t>
      </w:r>
      <w:r>
        <w:t xml:space="preserve"> </w:t>
      </w:r>
      <w:r w:rsidRPr="0071774C">
        <w:t>generate</w:t>
      </w:r>
      <w:r>
        <w:t xml:space="preserve"> </w:t>
      </w:r>
      <w:r w:rsidRPr="0071774C">
        <w:t>and</w:t>
      </w:r>
      <w:r>
        <w:t xml:space="preserve"> </w:t>
      </w:r>
      <w:r w:rsidRPr="0071774C">
        <w:t>support</w:t>
      </w:r>
      <w:r>
        <w:t xml:space="preserve"> </w:t>
      </w:r>
      <w:r w:rsidRPr="0071774C">
        <w:t>the</w:t>
      </w:r>
      <w:r>
        <w:t xml:space="preserve"> </w:t>
      </w:r>
      <w:r w:rsidRPr="0071774C">
        <w:t>publication</w:t>
      </w:r>
      <w:r>
        <w:t xml:space="preserve"> </w:t>
      </w:r>
      <w:r w:rsidRPr="0071774C">
        <w:t>of</w:t>
      </w:r>
      <w:r>
        <w:t xml:space="preserve"> </w:t>
      </w:r>
      <w:r w:rsidRPr="0071774C">
        <w:t>evidence-based</w:t>
      </w:r>
      <w:r>
        <w:t xml:space="preserve"> </w:t>
      </w:r>
      <w:r w:rsidRPr="0071774C">
        <w:t>guidance</w:t>
      </w:r>
      <w:r>
        <w:t xml:space="preserve"> </w:t>
      </w:r>
      <w:r w:rsidRPr="0071774C">
        <w:t>on</w:t>
      </w:r>
      <w:r>
        <w:t xml:space="preserve"> </w:t>
      </w:r>
      <w:r w:rsidRPr="0071774C">
        <w:t>best-practice</w:t>
      </w:r>
      <w:r>
        <w:t xml:space="preserve"> </w:t>
      </w:r>
      <w:r w:rsidRPr="0071774C">
        <w:t>principles</w:t>
      </w:r>
      <w:r>
        <w:t xml:space="preserve"> </w:t>
      </w:r>
      <w:r w:rsidRPr="0071774C">
        <w:t>and</w:t>
      </w:r>
      <w:r>
        <w:t xml:space="preserve"> </w:t>
      </w:r>
      <w:r w:rsidRPr="0071774C">
        <w:t>proven</w:t>
      </w:r>
      <w:r>
        <w:t xml:space="preserve"> </w:t>
      </w:r>
      <w:r w:rsidRPr="0071774C">
        <w:t>or</w:t>
      </w:r>
      <w:r>
        <w:t xml:space="preserve"> </w:t>
      </w:r>
      <w:r w:rsidRPr="0071774C">
        <w:t>promising</w:t>
      </w:r>
      <w:r>
        <w:t xml:space="preserve"> </w:t>
      </w:r>
      <w:r w:rsidRPr="0071774C">
        <w:t>techniques.</w:t>
      </w:r>
      <w:r>
        <w:t xml:space="preserve"> </w:t>
      </w:r>
      <w:r w:rsidRPr="0071774C">
        <w:t>This</w:t>
      </w:r>
      <w:r>
        <w:t xml:space="preserve"> </w:t>
      </w:r>
      <w:r w:rsidRPr="0071774C">
        <w:t>has</w:t>
      </w:r>
      <w:r>
        <w:t xml:space="preserve"> </w:t>
      </w:r>
      <w:r w:rsidRPr="0071774C">
        <w:t>been</w:t>
      </w:r>
      <w:r>
        <w:t xml:space="preserve"> </w:t>
      </w:r>
      <w:r w:rsidRPr="0071774C">
        <w:t>progressing</w:t>
      </w:r>
      <w:r>
        <w:t xml:space="preserve"> </w:t>
      </w:r>
      <w:r w:rsidRPr="0071774C">
        <w:t>over</w:t>
      </w:r>
      <w:r>
        <w:t xml:space="preserve"> </w:t>
      </w:r>
      <w:r w:rsidRPr="0071774C">
        <w:t>the</w:t>
      </w:r>
      <w:r>
        <w:t xml:space="preserve"> </w:t>
      </w:r>
      <w:r w:rsidRPr="0071774C">
        <w:t>past</w:t>
      </w:r>
      <w:r>
        <w:t xml:space="preserve"> </w:t>
      </w:r>
      <w:r w:rsidRPr="0071774C">
        <w:t>ten</w:t>
      </w:r>
      <w:r>
        <w:t xml:space="preserve"> </w:t>
      </w:r>
      <w:r w:rsidRPr="0071774C">
        <w:t>years</w:t>
      </w:r>
      <w:r>
        <w:t xml:space="preserve">, </w:t>
      </w:r>
      <w:r w:rsidRPr="0071774C">
        <w:t>but</w:t>
      </w:r>
      <w:r>
        <w:t xml:space="preserve"> </w:t>
      </w:r>
      <w:r w:rsidRPr="0071774C">
        <w:t>there</w:t>
      </w:r>
      <w:r>
        <w:t xml:space="preserve"> </w:t>
      </w:r>
      <w:r w:rsidRPr="0071774C">
        <w:t>continues</w:t>
      </w:r>
      <w:r>
        <w:t xml:space="preserve"> </w:t>
      </w:r>
      <w:r w:rsidRPr="0071774C">
        <w:t>to</w:t>
      </w:r>
      <w:r>
        <w:t xml:space="preserve"> </w:t>
      </w:r>
      <w:r w:rsidRPr="0071774C">
        <w:t>be</w:t>
      </w:r>
      <w:r>
        <w:t xml:space="preserve"> </w:t>
      </w:r>
      <w:r w:rsidRPr="0071774C">
        <w:t>a</w:t>
      </w:r>
      <w:r>
        <w:t xml:space="preserve"> </w:t>
      </w:r>
      <w:r w:rsidRPr="0071774C">
        <w:t>sizeable</w:t>
      </w:r>
      <w:r>
        <w:t xml:space="preserve"> </w:t>
      </w:r>
      <w:r w:rsidRPr="0071774C">
        <w:t>gap</w:t>
      </w:r>
      <w:r>
        <w:t xml:space="preserve"> </w:t>
      </w:r>
      <w:r w:rsidRPr="0071774C">
        <w:t>between</w:t>
      </w:r>
      <w:r>
        <w:t xml:space="preserve"> </w:t>
      </w:r>
      <w:r w:rsidRPr="0071774C">
        <w:t>the</w:t>
      </w:r>
      <w:r>
        <w:t xml:space="preserve"> </w:t>
      </w:r>
      <w:r w:rsidRPr="0071774C">
        <w:t>number</w:t>
      </w:r>
      <w:r>
        <w:t xml:space="preserve"> </w:t>
      </w:r>
      <w:r w:rsidRPr="0071774C">
        <w:t>of</w:t>
      </w:r>
      <w:r>
        <w:t xml:space="preserve"> </w:t>
      </w:r>
      <w:r w:rsidRPr="0071774C">
        <w:t>activities</w:t>
      </w:r>
      <w:r>
        <w:t xml:space="preserve"> </w:t>
      </w:r>
      <w:r w:rsidRPr="0071774C">
        <w:t>being</w:t>
      </w:r>
      <w:r>
        <w:t xml:space="preserve"> </w:t>
      </w:r>
      <w:r w:rsidRPr="0071774C">
        <w:t>implemented</w:t>
      </w:r>
      <w:r>
        <w:t xml:space="preserve"> </w:t>
      </w:r>
      <w:r w:rsidRPr="0071774C">
        <w:t>and</w:t>
      </w:r>
      <w:r>
        <w:t xml:space="preserve"> </w:t>
      </w:r>
      <w:r w:rsidRPr="0071774C">
        <w:t>the</w:t>
      </w:r>
      <w:r>
        <w:t xml:space="preserve"> </w:t>
      </w:r>
      <w:r w:rsidRPr="0071774C">
        <w:t>number</w:t>
      </w:r>
      <w:r>
        <w:t xml:space="preserve"> </w:t>
      </w:r>
      <w:r w:rsidRPr="0071774C">
        <w:t>that</w:t>
      </w:r>
      <w:r>
        <w:t xml:space="preserve"> </w:t>
      </w:r>
      <w:r w:rsidRPr="0071774C">
        <w:t>produce</w:t>
      </w:r>
      <w:r>
        <w:t xml:space="preserve"> </w:t>
      </w:r>
      <w:r w:rsidRPr="0071774C">
        <w:t>publicly</w:t>
      </w:r>
      <w:r>
        <w:t xml:space="preserve"> </w:t>
      </w:r>
      <w:r w:rsidRPr="0071774C">
        <w:t>accessible</w:t>
      </w:r>
      <w:r>
        <w:t xml:space="preserve"> </w:t>
      </w:r>
      <w:r w:rsidRPr="0071774C">
        <w:t>evaluations.</w:t>
      </w:r>
    </w:p>
    <w:p w14:paraId="5F136661" w14:textId="0BD35D8F" w:rsidR="002C2EC7" w:rsidRDefault="002C2EC7" w:rsidP="00790783">
      <w:pPr>
        <w:pStyle w:val="BodyText"/>
      </w:pPr>
      <w:r w:rsidRPr="0071774C">
        <w:t>Over</w:t>
      </w:r>
      <w:r>
        <w:t xml:space="preserve"> </w:t>
      </w:r>
      <w:r w:rsidRPr="0071774C">
        <w:t>time,</w:t>
      </w:r>
      <w:r>
        <w:t xml:space="preserve"> </w:t>
      </w:r>
      <w:r w:rsidRPr="0071774C">
        <w:t>prevention</w:t>
      </w:r>
      <w:r>
        <w:t xml:space="preserve"> </w:t>
      </w:r>
      <w:r w:rsidRPr="0071774C">
        <w:t>programming</w:t>
      </w:r>
      <w:r>
        <w:t xml:space="preserve"> </w:t>
      </w:r>
      <w:r w:rsidRPr="0071774C">
        <w:t>has</w:t>
      </w:r>
      <w:r>
        <w:t xml:space="preserve"> </w:t>
      </w:r>
      <w:r w:rsidRPr="0071774C">
        <w:t>become</w:t>
      </w:r>
      <w:r>
        <w:t xml:space="preserve"> </w:t>
      </w:r>
      <w:r w:rsidRPr="0071774C">
        <w:t>increasingly</w:t>
      </w:r>
      <w:r>
        <w:t xml:space="preserve"> </w:t>
      </w:r>
      <w:r w:rsidRPr="0071774C">
        <w:t>informed</w:t>
      </w:r>
      <w:r>
        <w:t xml:space="preserve"> </w:t>
      </w:r>
      <w:r w:rsidRPr="0071774C">
        <w:t>by</w:t>
      </w:r>
      <w:r>
        <w:t xml:space="preserve"> </w:t>
      </w:r>
      <w:r w:rsidRPr="0071774C">
        <w:t>the</w:t>
      </w:r>
      <w:r>
        <w:t xml:space="preserve"> </w:t>
      </w:r>
      <w:r w:rsidRPr="0071774C">
        <w:t>work</w:t>
      </w:r>
      <w:r>
        <w:t xml:space="preserve"> </w:t>
      </w:r>
      <w:r w:rsidRPr="0071774C">
        <w:t>of</w:t>
      </w:r>
      <w:r>
        <w:t xml:space="preserve"> </w:t>
      </w:r>
      <w:r w:rsidRPr="0071774C">
        <w:t>specialist</w:t>
      </w:r>
      <w:r>
        <w:t xml:space="preserve"> </w:t>
      </w:r>
      <w:r w:rsidRPr="0071774C">
        <w:t>organisations</w:t>
      </w:r>
      <w:r>
        <w:t xml:space="preserve"> </w:t>
      </w:r>
      <w:r w:rsidRPr="0071774C">
        <w:t>and</w:t>
      </w:r>
      <w:r>
        <w:t xml:space="preserve"> </w:t>
      </w:r>
      <w:r w:rsidRPr="0071774C">
        <w:t>advocates</w:t>
      </w:r>
      <w:r>
        <w:t xml:space="preserve"> </w:t>
      </w:r>
      <w:r w:rsidRPr="0071774C">
        <w:t>who</w:t>
      </w:r>
      <w:r>
        <w:t xml:space="preserve"> </w:t>
      </w:r>
      <w:r w:rsidRPr="0071774C">
        <w:t>have</w:t>
      </w:r>
      <w:r>
        <w:t xml:space="preserve"> </w:t>
      </w:r>
      <w:r w:rsidRPr="0071774C">
        <w:t>developed</w:t>
      </w:r>
      <w:r>
        <w:t xml:space="preserve"> </w:t>
      </w:r>
      <w:r w:rsidRPr="0071774C">
        <w:t>numerous</w:t>
      </w:r>
      <w:r>
        <w:t xml:space="preserve"> </w:t>
      </w:r>
      <w:r w:rsidRPr="0071774C">
        <w:t>guiding</w:t>
      </w:r>
      <w:r>
        <w:t xml:space="preserve"> </w:t>
      </w:r>
      <w:r w:rsidRPr="0071774C">
        <w:t>documents</w:t>
      </w:r>
      <w:r>
        <w:t xml:space="preserve"> </w:t>
      </w:r>
      <w:r w:rsidRPr="0071774C">
        <w:t>to</w:t>
      </w:r>
      <w:r w:rsidR="006B08D1">
        <w:t> </w:t>
      </w:r>
      <w:r w:rsidRPr="0071774C">
        <w:t>support</w:t>
      </w:r>
      <w:r>
        <w:t xml:space="preserve"> </w:t>
      </w:r>
      <w:r w:rsidRPr="0071774C">
        <w:t>intersectional</w:t>
      </w:r>
      <w:r>
        <w:t xml:space="preserve"> </w:t>
      </w:r>
      <w:r w:rsidRPr="0071774C">
        <w:t>approaches</w:t>
      </w:r>
      <w:r>
        <w:t xml:space="preserve"> </w:t>
      </w:r>
      <w:r w:rsidRPr="0071774C">
        <w:t>to</w:t>
      </w:r>
      <w:r>
        <w:t xml:space="preserve"> </w:t>
      </w:r>
      <w:r w:rsidRPr="0071774C">
        <w:t>prevention</w:t>
      </w:r>
      <w:r>
        <w:t xml:space="preserve"> </w:t>
      </w:r>
      <w:r w:rsidRPr="0071774C">
        <w:t>work.</w:t>
      </w:r>
      <w:r w:rsidR="002B47AA">
        <w:t xml:space="preserve"> </w:t>
      </w:r>
      <w:r w:rsidRPr="0071774C">
        <w:t>A</w:t>
      </w:r>
      <w:r>
        <w:t xml:space="preserve"> </w:t>
      </w:r>
      <w:r w:rsidRPr="0071774C">
        <w:t>key</w:t>
      </w:r>
      <w:r>
        <w:t xml:space="preserve"> </w:t>
      </w:r>
      <w:r w:rsidRPr="0071774C">
        <w:t>aspect</w:t>
      </w:r>
      <w:r>
        <w:t xml:space="preserve"> </w:t>
      </w:r>
      <w:r w:rsidRPr="0071774C">
        <w:t>common</w:t>
      </w:r>
      <w:r>
        <w:t xml:space="preserve"> </w:t>
      </w:r>
      <w:r w:rsidRPr="0071774C">
        <w:t>to</w:t>
      </w:r>
      <w:r>
        <w:t xml:space="preserve"> </w:t>
      </w:r>
      <w:r w:rsidRPr="0071774C">
        <w:t>several</w:t>
      </w:r>
      <w:r>
        <w:t xml:space="preserve"> </w:t>
      </w:r>
      <w:r w:rsidRPr="0071774C">
        <w:t>guiding</w:t>
      </w:r>
      <w:r>
        <w:t xml:space="preserve"> </w:t>
      </w:r>
      <w:r w:rsidRPr="0071774C">
        <w:t>documents</w:t>
      </w:r>
      <w:r>
        <w:t xml:space="preserve"> </w:t>
      </w:r>
      <w:r w:rsidRPr="0071774C">
        <w:t>is</w:t>
      </w:r>
      <w:r>
        <w:t xml:space="preserve"> </w:t>
      </w:r>
      <w:r w:rsidRPr="0071774C">
        <w:t>the</w:t>
      </w:r>
      <w:r>
        <w:t xml:space="preserve"> </w:t>
      </w:r>
      <w:r w:rsidRPr="0071774C">
        <w:t>importance</w:t>
      </w:r>
      <w:r>
        <w:t xml:space="preserve"> </w:t>
      </w:r>
      <w:r w:rsidRPr="0071774C">
        <w:t>of</w:t>
      </w:r>
      <w:r>
        <w:t xml:space="preserve"> </w:t>
      </w:r>
      <w:r w:rsidRPr="0071774C">
        <w:t>community</w:t>
      </w:r>
      <w:r>
        <w:t>-</w:t>
      </w:r>
      <w:r w:rsidRPr="0071774C">
        <w:t>led,</w:t>
      </w:r>
      <w:r>
        <w:t xml:space="preserve"> </w:t>
      </w:r>
      <w:r w:rsidRPr="0071774C">
        <w:t>designed</w:t>
      </w:r>
      <w:r>
        <w:t xml:space="preserve"> </w:t>
      </w:r>
      <w:r w:rsidRPr="0071774C">
        <w:t>and</w:t>
      </w:r>
      <w:r>
        <w:t xml:space="preserve"> </w:t>
      </w:r>
      <w:r w:rsidRPr="0071774C">
        <w:t>initiated</w:t>
      </w:r>
      <w:r>
        <w:t xml:space="preserve"> </w:t>
      </w:r>
      <w:r w:rsidRPr="0071774C">
        <w:t>activities,</w:t>
      </w:r>
      <w:r>
        <w:t xml:space="preserve"> </w:t>
      </w:r>
      <w:r w:rsidRPr="0071774C">
        <w:t>and</w:t>
      </w:r>
      <w:r>
        <w:t xml:space="preserve"> </w:t>
      </w:r>
      <w:r w:rsidRPr="0071774C">
        <w:t>the</w:t>
      </w:r>
      <w:r>
        <w:t xml:space="preserve"> </w:t>
      </w:r>
      <w:r w:rsidRPr="0071774C">
        <w:t>importance</w:t>
      </w:r>
      <w:r>
        <w:t xml:space="preserve"> </w:t>
      </w:r>
      <w:r w:rsidRPr="0071774C">
        <w:t>of</w:t>
      </w:r>
      <w:r>
        <w:t xml:space="preserve"> </w:t>
      </w:r>
      <w:r w:rsidRPr="0071774C">
        <w:t>building</w:t>
      </w:r>
      <w:r>
        <w:t xml:space="preserve"> </w:t>
      </w:r>
      <w:r w:rsidRPr="0071774C">
        <w:t>genuine</w:t>
      </w:r>
      <w:r>
        <w:t xml:space="preserve"> </w:t>
      </w:r>
      <w:r w:rsidRPr="0071774C">
        <w:t>trusting</w:t>
      </w:r>
      <w:r>
        <w:t xml:space="preserve"> </w:t>
      </w:r>
      <w:r w:rsidR="001E2894">
        <w:t xml:space="preserve">reciprocal </w:t>
      </w:r>
      <w:r w:rsidRPr="0071774C">
        <w:t>relationships</w:t>
      </w:r>
      <w:r>
        <w:t>.</w:t>
      </w:r>
      <w:r w:rsidRPr="005068F2">
        <w:rPr>
          <w:rStyle w:val="EndnoteReference"/>
          <w:rFonts w:ascii="Calibri" w:hAnsi="Calibri"/>
          <w:szCs w:val="22"/>
          <w:lang w:eastAsia="en-GB"/>
        </w:rPr>
        <w:endnoteReference w:id="149"/>
      </w:r>
      <w:r w:rsidRPr="00187A71">
        <w:rPr>
          <w:lang w:eastAsia="en-GB"/>
        </w:rPr>
        <w:t xml:space="preserve"> </w:t>
      </w:r>
      <w:r w:rsidRPr="0071774C">
        <w:t>While</w:t>
      </w:r>
      <w:r>
        <w:t xml:space="preserve"> </w:t>
      </w:r>
      <w:r w:rsidRPr="0071774C">
        <w:t>there</w:t>
      </w:r>
      <w:r>
        <w:t xml:space="preserve"> </w:t>
      </w:r>
      <w:r w:rsidRPr="0071774C">
        <w:t>is</w:t>
      </w:r>
      <w:r>
        <w:t xml:space="preserve"> </w:t>
      </w:r>
      <w:r w:rsidRPr="0071774C">
        <w:t>evidence</w:t>
      </w:r>
      <w:r>
        <w:t xml:space="preserve"> </w:t>
      </w:r>
      <w:r w:rsidRPr="0071774C">
        <w:t>of</w:t>
      </w:r>
      <w:r>
        <w:t xml:space="preserve"> </w:t>
      </w:r>
      <w:r w:rsidRPr="0071774C">
        <w:t>increasing</w:t>
      </w:r>
      <w:r>
        <w:t xml:space="preserve"> </w:t>
      </w:r>
      <w:r w:rsidRPr="0071774C">
        <w:t>awareness</w:t>
      </w:r>
      <w:r>
        <w:t xml:space="preserve"> </w:t>
      </w:r>
      <w:r w:rsidRPr="0071774C">
        <w:t>of</w:t>
      </w:r>
      <w:r>
        <w:t xml:space="preserve"> </w:t>
      </w:r>
      <w:r w:rsidRPr="0071774C">
        <w:t>the</w:t>
      </w:r>
      <w:r>
        <w:t xml:space="preserve"> </w:t>
      </w:r>
      <w:r w:rsidRPr="0071774C">
        <w:t>need</w:t>
      </w:r>
      <w:r>
        <w:t xml:space="preserve"> </w:t>
      </w:r>
      <w:r w:rsidRPr="0071774C">
        <w:t>for</w:t>
      </w:r>
      <w:r>
        <w:t xml:space="preserve"> </w:t>
      </w:r>
      <w:r w:rsidRPr="0071774C">
        <w:t>prevention</w:t>
      </w:r>
      <w:r>
        <w:t xml:space="preserve"> </w:t>
      </w:r>
      <w:r w:rsidRPr="0071774C">
        <w:t>activities</w:t>
      </w:r>
      <w:r>
        <w:t xml:space="preserve"> </w:t>
      </w:r>
      <w:r w:rsidRPr="0071774C">
        <w:t>to</w:t>
      </w:r>
      <w:r>
        <w:t xml:space="preserve"> </w:t>
      </w:r>
      <w:r w:rsidRPr="0071774C">
        <w:t>emerge</w:t>
      </w:r>
      <w:r>
        <w:t xml:space="preserve"> </w:t>
      </w:r>
      <w:r w:rsidRPr="0071774C">
        <w:t>from</w:t>
      </w:r>
      <w:r>
        <w:t xml:space="preserve"> </w:t>
      </w:r>
      <w:r w:rsidRPr="0071774C">
        <w:t>community</w:t>
      </w:r>
      <w:r>
        <w:t>-</w:t>
      </w:r>
      <w:r w:rsidRPr="0071774C">
        <w:t>led</w:t>
      </w:r>
      <w:r>
        <w:t xml:space="preserve"> </w:t>
      </w:r>
      <w:r w:rsidRPr="0071774C">
        <w:t>design</w:t>
      </w:r>
      <w:r>
        <w:t xml:space="preserve"> </w:t>
      </w:r>
      <w:r w:rsidRPr="0071774C">
        <w:t>processes</w:t>
      </w:r>
      <w:r>
        <w:t xml:space="preserve"> </w:t>
      </w:r>
      <w:r w:rsidRPr="0071774C">
        <w:t>and</w:t>
      </w:r>
      <w:r>
        <w:t xml:space="preserve"> </w:t>
      </w:r>
      <w:r w:rsidRPr="0071774C">
        <w:t>approaches</w:t>
      </w:r>
      <w:r>
        <w:t xml:space="preserve"> </w:t>
      </w:r>
      <w:r w:rsidRPr="0071774C">
        <w:t>that</w:t>
      </w:r>
      <w:r>
        <w:t xml:space="preserve"> </w:t>
      </w:r>
      <w:r w:rsidRPr="0071774C">
        <w:t>articulate</w:t>
      </w:r>
      <w:r>
        <w:t xml:space="preserve"> </w:t>
      </w:r>
      <w:r w:rsidRPr="0071774C">
        <w:t>and</w:t>
      </w:r>
      <w:r>
        <w:t xml:space="preserve"> </w:t>
      </w:r>
      <w:r w:rsidRPr="0071774C">
        <w:t>respond</w:t>
      </w:r>
      <w:r>
        <w:t xml:space="preserve"> </w:t>
      </w:r>
      <w:r w:rsidRPr="0071774C">
        <w:t>to</w:t>
      </w:r>
      <w:r>
        <w:t xml:space="preserve"> </w:t>
      </w:r>
      <w:r w:rsidRPr="0071774C">
        <w:t>multiple</w:t>
      </w:r>
      <w:r>
        <w:t xml:space="preserve"> </w:t>
      </w:r>
      <w:r w:rsidRPr="0071774C">
        <w:t>forms</w:t>
      </w:r>
      <w:r>
        <w:t xml:space="preserve"> </w:t>
      </w:r>
      <w:r w:rsidRPr="0071774C">
        <w:t>of</w:t>
      </w:r>
      <w:r>
        <w:t xml:space="preserve"> </w:t>
      </w:r>
      <w:r w:rsidRPr="0071774C">
        <w:t>discrimination</w:t>
      </w:r>
      <w:r>
        <w:t xml:space="preserve"> </w:t>
      </w:r>
      <w:r w:rsidRPr="0071774C">
        <w:t>alongside</w:t>
      </w:r>
      <w:r>
        <w:t xml:space="preserve"> </w:t>
      </w:r>
      <w:r w:rsidRPr="0071774C">
        <w:t>gender</w:t>
      </w:r>
      <w:r>
        <w:t xml:space="preserve"> </w:t>
      </w:r>
      <w:r w:rsidRPr="0071774C">
        <w:t>inequality,</w:t>
      </w:r>
      <w:r>
        <w:t xml:space="preserve"> </w:t>
      </w:r>
      <w:r w:rsidRPr="0071774C">
        <w:t>this</w:t>
      </w:r>
      <w:r>
        <w:t xml:space="preserve"> </w:t>
      </w:r>
      <w:r w:rsidRPr="0071774C">
        <w:t>awareness</w:t>
      </w:r>
      <w:r>
        <w:t xml:space="preserve"> </w:t>
      </w:r>
      <w:r w:rsidRPr="0071774C">
        <w:t>is</w:t>
      </w:r>
      <w:r>
        <w:t xml:space="preserve"> </w:t>
      </w:r>
      <w:r w:rsidRPr="0071774C">
        <w:t>not</w:t>
      </w:r>
      <w:r>
        <w:t xml:space="preserve"> </w:t>
      </w:r>
      <w:r w:rsidRPr="0071774C">
        <w:t>yet</w:t>
      </w:r>
      <w:r>
        <w:t xml:space="preserve"> </w:t>
      </w:r>
      <w:r w:rsidRPr="0071774C">
        <w:t>being</w:t>
      </w:r>
      <w:r>
        <w:t xml:space="preserve"> </w:t>
      </w:r>
      <w:r w:rsidRPr="0071774C">
        <w:t>consistently</w:t>
      </w:r>
      <w:r>
        <w:t xml:space="preserve"> </w:t>
      </w:r>
      <w:r w:rsidRPr="0071774C">
        <w:t>translated</w:t>
      </w:r>
      <w:r>
        <w:t xml:space="preserve"> </w:t>
      </w:r>
      <w:r w:rsidRPr="0071774C">
        <w:t>into</w:t>
      </w:r>
      <w:r>
        <w:t xml:space="preserve"> </w:t>
      </w:r>
      <w:r w:rsidRPr="0071774C">
        <w:t>practice.</w:t>
      </w:r>
      <w:r>
        <w:t xml:space="preserve"> </w:t>
      </w:r>
      <w:r w:rsidRPr="0071774C">
        <w:t>In</w:t>
      </w:r>
      <w:r>
        <w:t xml:space="preserve"> </w:t>
      </w:r>
      <w:r w:rsidRPr="0071774C">
        <w:t>addition,</w:t>
      </w:r>
      <w:r>
        <w:t xml:space="preserve"> </w:t>
      </w:r>
      <w:r w:rsidRPr="0071774C">
        <w:t>there</w:t>
      </w:r>
      <w:r>
        <w:t xml:space="preserve"> </w:t>
      </w:r>
      <w:r w:rsidRPr="0071774C">
        <w:t>is</w:t>
      </w:r>
      <w:r>
        <w:t xml:space="preserve"> </w:t>
      </w:r>
      <w:r w:rsidRPr="0071774C">
        <w:t>evidence</w:t>
      </w:r>
      <w:r>
        <w:t xml:space="preserve"> </w:t>
      </w:r>
      <w:r w:rsidRPr="0071774C">
        <w:t>of</w:t>
      </w:r>
      <w:r>
        <w:t xml:space="preserve"> </w:t>
      </w:r>
      <w:r w:rsidRPr="0071774C">
        <w:t>effective</w:t>
      </w:r>
      <w:r>
        <w:t xml:space="preserve"> </w:t>
      </w:r>
      <w:r w:rsidRPr="0071774C">
        <w:t>community</w:t>
      </w:r>
      <w:r>
        <w:t xml:space="preserve"> </w:t>
      </w:r>
      <w:r w:rsidRPr="0071774C">
        <w:t>designed</w:t>
      </w:r>
      <w:r>
        <w:t xml:space="preserve"> </w:t>
      </w:r>
      <w:r w:rsidRPr="0071774C">
        <w:t>and</w:t>
      </w:r>
      <w:r w:rsidR="006B08D1">
        <w:t> </w:t>
      </w:r>
      <w:r w:rsidRPr="0071774C">
        <w:t>initiated</w:t>
      </w:r>
      <w:r>
        <w:t xml:space="preserve"> </w:t>
      </w:r>
      <w:r w:rsidRPr="0071774C">
        <w:t>activities</w:t>
      </w:r>
      <w:r>
        <w:t xml:space="preserve"> </w:t>
      </w:r>
      <w:r w:rsidRPr="0071774C">
        <w:t>running</w:t>
      </w:r>
      <w:r>
        <w:t xml:space="preserve"> </w:t>
      </w:r>
      <w:r w:rsidRPr="0071774C">
        <w:t>without</w:t>
      </w:r>
      <w:r>
        <w:t xml:space="preserve"> </w:t>
      </w:r>
      <w:r w:rsidRPr="0071774C">
        <w:t>the</w:t>
      </w:r>
      <w:r>
        <w:t xml:space="preserve"> </w:t>
      </w:r>
      <w:r w:rsidRPr="0071774C">
        <w:t>necessary</w:t>
      </w:r>
      <w:r>
        <w:t xml:space="preserve"> </w:t>
      </w:r>
      <w:r w:rsidRPr="0071774C">
        <w:t>funding</w:t>
      </w:r>
      <w:r>
        <w:t xml:space="preserve"> </w:t>
      </w:r>
      <w:r w:rsidRPr="0071774C">
        <w:t>to</w:t>
      </w:r>
      <w:r>
        <w:t xml:space="preserve"> </w:t>
      </w:r>
      <w:r w:rsidRPr="0071774C">
        <w:t>sustain</w:t>
      </w:r>
      <w:r>
        <w:t xml:space="preserve"> </w:t>
      </w:r>
      <w:r w:rsidRPr="0071774C">
        <w:t>and</w:t>
      </w:r>
      <w:r>
        <w:t xml:space="preserve"> </w:t>
      </w:r>
      <w:r w:rsidRPr="0071774C">
        <w:t>scale</w:t>
      </w:r>
      <w:r>
        <w:t xml:space="preserve"> </w:t>
      </w:r>
      <w:r w:rsidRPr="0071774C">
        <w:lastRenderedPageBreak/>
        <w:t>them</w:t>
      </w:r>
      <w:r>
        <w:t xml:space="preserve"> </w:t>
      </w:r>
      <w:r w:rsidRPr="0071774C">
        <w:t>up,</w:t>
      </w:r>
      <w:r>
        <w:t xml:space="preserve"> </w:t>
      </w:r>
      <w:r w:rsidRPr="0071774C">
        <w:t>and</w:t>
      </w:r>
      <w:r>
        <w:t xml:space="preserve"> </w:t>
      </w:r>
      <w:r w:rsidRPr="0071774C">
        <w:t>it</w:t>
      </w:r>
      <w:r>
        <w:t xml:space="preserve"> </w:t>
      </w:r>
      <w:r w:rsidRPr="0071774C">
        <w:t>appears</w:t>
      </w:r>
      <w:r>
        <w:t xml:space="preserve"> </w:t>
      </w:r>
      <w:r w:rsidRPr="0071774C">
        <w:t>that</w:t>
      </w:r>
      <w:r>
        <w:t xml:space="preserve"> </w:t>
      </w:r>
      <w:r w:rsidRPr="0071774C">
        <w:t>specialist</w:t>
      </w:r>
      <w:r>
        <w:t xml:space="preserve"> </w:t>
      </w:r>
      <w:r w:rsidRPr="0071774C">
        <w:t>organisations</w:t>
      </w:r>
      <w:r>
        <w:t xml:space="preserve"> </w:t>
      </w:r>
      <w:r w:rsidRPr="0071774C">
        <w:t>are</w:t>
      </w:r>
      <w:r>
        <w:t xml:space="preserve"> </w:t>
      </w:r>
      <w:r w:rsidRPr="0071774C">
        <w:t>increasingly</w:t>
      </w:r>
      <w:r>
        <w:t xml:space="preserve"> </w:t>
      </w:r>
      <w:r w:rsidRPr="0071774C">
        <w:t>bearing</w:t>
      </w:r>
      <w:r>
        <w:t xml:space="preserve"> </w:t>
      </w:r>
      <w:r w:rsidRPr="0071774C">
        <w:t>the</w:t>
      </w:r>
      <w:r>
        <w:t xml:space="preserve"> </w:t>
      </w:r>
      <w:r w:rsidRPr="0071774C">
        <w:t>cost</w:t>
      </w:r>
      <w:r>
        <w:t xml:space="preserve"> </w:t>
      </w:r>
      <w:r w:rsidRPr="0071774C">
        <w:t>of</w:t>
      </w:r>
      <w:r>
        <w:t xml:space="preserve"> </w:t>
      </w:r>
      <w:r w:rsidRPr="0071774C">
        <w:t>upskilling</w:t>
      </w:r>
      <w:r>
        <w:t xml:space="preserve"> </w:t>
      </w:r>
      <w:r w:rsidRPr="0071774C">
        <w:t>prevention</w:t>
      </w:r>
      <w:r>
        <w:t xml:space="preserve"> </w:t>
      </w:r>
      <w:r w:rsidRPr="0071774C">
        <w:t>practitioners.</w:t>
      </w:r>
    </w:p>
    <w:p w14:paraId="064B8B4E" w14:textId="1D49821D" w:rsidR="002C2EC7" w:rsidRDefault="002C2EC7" w:rsidP="00790783">
      <w:pPr>
        <w:pStyle w:val="BodyText"/>
      </w:pPr>
      <w:r w:rsidRPr="0071774C">
        <w:t>As</w:t>
      </w:r>
      <w:r>
        <w:t xml:space="preserve"> </w:t>
      </w:r>
      <w:r w:rsidRPr="0071774C">
        <w:t>noted</w:t>
      </w:r>
      <w:r>
        <w:t xml:space="preserve"> </w:t>
      </w:r>
      <w:r w:rsidRPr="0071774C">
        <w:t>in</w:t>
      </w:r>
      <w:r>
        <w:t xml:space="preserve"> </w:t>
      </w:r>
      <w:r w:rsidRPr="00ED4674">
        <w:rPr>
          <w:rStyle w:val="Emphasis"/>
        </w:rPr>
        <w:t>Change the story three years on</w:t>
      </w:r>
      <w:r>
        <w:t>, ‘</w:t>
      </w:r>
      <w:r w:rsidRPr="0071774C">
        <w:t>A</w:t>
      </w:r>
      <w:r>
        <w:t xml:space="preserve"> </w:t>
      </w:r>
      <w:r w:rsidRPr="0071774C">
        <w:t>whole-of-population</w:t>
      </w:r>
      <w:r>
        <w:t xml:space="preserve"> </w:t>
      </w:r>
      <w:r w:rsidRPr="0071774C">
        <w:t>approach</w:t>
      </w:r>
      <w:r>
        <w:t xml:space="preserve"> </w:t>
      </w:r>
      <w:r w:rsidRPr="0071774C">
        <w:t>requires</w:t>
      </w:r>
      <w:r>
        <w:t xml:space="preserve"> </w:t>
      </w:r>
      <w:r w:rsidRPr="0071774C">
        <w:t>allocating</w:t>
      </w:r>
      <w:r>
        <w:t xml:space="preserve"> </w:t>
      </w:r>
      <w:r w:rsidRPr="0071774C">
        <w:t>time</w:t>
      </w:r>
      <w:r>
        <w:t xml:space="preserve"> </w:t>
      </w:r>
      <w:r w:rsidRPr="0071774C">
        <w:t>to</w:t>
      </w:r>
      <w:r>
        <w:t xml:space="preserve"> </w:t>
      </w:r>
      <w:r w:rsidRPr="0071774C">
        <w:t>understand</w:t>
      </w:r>
      <w:r>
        <w:t xml:space="preserve"> </w:t>
      </w:r>
      <w:r w:rsidRPr="0071774C">
        <w:t>complexity,</w:t>
      </w:r>
      <w:r>
        <w:t xml:space="preserve"> </w:t>
      </w:r>
      <w:r w:rsidRPr="0071774C">
        <w:t>difference,</w:t>
      </w:r>
      <w:r>
        <w:t xml:space="preserve"> </w:t>
      </w:r>
      <w:r w:rsidRPr="0071774C">
        <w:t>and</w:t>
      </w:r>
      <w:r>
        <w:t xml:space="preserve"> </w:t>
      </w:r>
      <w:r w:rsidRPr="0071774C">
        <w:t>nuance</w:t>
      </w:r>
      <w:r>
        <w:t xml:space="preserve"> </w:t>
      </w:r>
      <w:r w:rsidRPr="0071774C">
        <w:t>across</w:t>
      </w:r>
      <w:r>
        <w:t xml:space="preserve"> </w:t>
      </w:r>
      <w:r w:rsidRPr="0071774C">
        <w:t>the</w:t>
      </w:r>
      <w:r>
        <w:t xml:space="preserve"> </w:t>
      </w:r>
      <w:r w:rsidRPr="0071774C">
        <w:t>population</w:t>
      </w:r>
      <w:r>
        <w:t>.’</w:t>
      </w:r>
      <w:r w:rsidRPr="0071774C">
        <w:rPr>
          <w:rStyle w:val="EndnoteReference"/>
          <w:szCs w:val="22"/>
        </w:rPr>
        <w:endnoteReference w:id="150"/>
      </w:r>
      <w:r>
        <w:t xml:space="preserve"> </w:t>
      </w:r>
      <w:r w:rsidRPr="0071774C">
        <w:t>It</w:t>
      </w:r>
      <w:r>
        <w:t xml:space="preserve"> </w:t>
      </w:r>
      <w:r w:rsidRPr="0071774C">
        <w:t>also</w:t>
      </w:r>
      <w:r>
        <w:t xml:space="preserve"> </w:t>
      </w:r>
      <w:r w:rsidRPr="0071774C">
        <w:t>requires</w:t>
      </w:r>
      <w:r>
        <w:t xml:space="preserve"> </w:t>
      </w:r>
      <w:r w:rsidRPr="0071774C">
        <w:t>focus</w:t>
      </w:r>
      <w:r>
        <w:t xml:space="preserve"> </w:t>
      </w:r>
      <w:r w:rsidRPr="0071774C">
        <w:t>on</w:t>
      </w:r>
      <w:r>
        <w:t xml:space="preserve"> </w:t>
      </w:r>
      <w:r w:rsidRPr="0071774C">
        <w:t>the</w:t>
      </w:r>
      <w:r>
        <w:t xml:space="preserve"> </w:t>
      </w:r>
      <w:r w:rsidRPr="0071774C">
        <w:t>social</w:t>
      </w:r>
      <w:r>
        <w:t xml:space="preserve"> </w:t>
      </w:r>
      <w:r w:rsidRPr="0071774C">
        <w:t>systems,</w:t>
      </w:r>
      <w:r>
        <w:t xml:space="preserve"> </w:t>
      </w:r>
      <w:r w:rsidRPr="0071774C">
        <w:t>structures,</w:t>
      </w:r>
      <w:r>
        <w:t xml:space="preserve"> </w:t>
      </w:r>
      <w:r w:rsidRPr="0071774C">
        <w:t>norms</w:t>
      </w:r>
      <w:r>
        <w:t xml:space="preserve"> </w:t>
      </w:r>
      <w:r w:rsidRPr="0071774C">
        <w:t>and</w:t>
      </w:r>
      <w:r>
        <w:t xml:space="preserve"> </w:t>
      </w:r>
      <w:r w:rsidRPr="0071774C">
        <w:t>practices</w:t>
      </w:r>
      <w:r>
        <w:t xml:space="preserve"> </w:t>
      </w:r>
      <w:r w:rsidRPr="0071774C">
        <w:t>that</w:t>
      </w:r>
      <w:r>
        <w:t xml:space="preserve"> </w:t>
      </w:r>
      <w:r w:rsidRPr="0071774C">
        <w:t>create</w:t>
      </w:r>
      <w:r>
        <w:t xml:space="preserve"> </w:t>
      </w:r>
      <w:r w:rsidRPr="0071774C">
        <w:t>complex</w:t>
      </w:r>
      <w:r>
        <w:t xml:space="preserve"> </w:t>
      </w:r>
      <w:r w:rsidRPr="0071774C">
        <w:t>intersecting</w:t>
      </w:r>
      <w:r>
        <w:t xml:space="preserve"> </w:t>
      </w:r>
      <w:r w:rsidRPr="0071774C">
        <w:t>forms</w:t>
      </w:r>
      <w:r>
        <w:t xml:space="preserve"> </w:t>
      </w:r>
      <w:r w:rsidRPr="0071774C">
        <w:t>of</w:t>
      </w:r>
      <w:r>
        <w:t xml:space="preserve"> </w:t>
      </w:r>
      <w:r w:rsidRPr="0071774C">
        <w:t>discrimination</w:t>
      </w:r>
      <w:r>
        <w:t xml:space="preserve"> </w:t>
      </w:r>
      <w:r w:rsidRPr="0071774C">
        <w:t>and</w:t>
      </w:r>
      <w:r>
        <w:t xml:space="preserve"> </w:t>
      </w:r>
      <w:r w:rsidRPr="0071774C">
        <w:t>privilege,</w:t>
      </w:r>
      <w:r>
        <w:t xml:space="preserve"> </w:t>
      </w:r>
      <w:r w:rsidRPr="0071774C">
        <w:t>and</w:t>
      </w:r>
      <w:r>
        <w:t xml:space="preserve"> </w:t>
      </w:r>
      <w:r w:rsidRPr="0071774C">
        <w:t>that</w:t>
      </w:r>
      <w:r>
        <w:t xml:space="preserve"> </w:t>
      </w:r>
      <w:r w:rsidRPr="0071774C">
        <w:t>influence</w:t>
      </w:r>
      <w:r>
        <w:t xml:space="preserve"> </w:t>
      </w:r>
      <w:r w:rsidRPr="0071774C">
        <w:t>patterns</w:t>
      </w:r>
      <w:r>
        <w:t xml:space="preserve"> </w:t>
      </w:r>
      <w:r w:rsidRPr="0071774C">
        <w:t>of</w:t>
      </w:r>
      <w:r>
        <w:t xml:space="preserve"> </w:t>
      </w:r>
      <w:r w:rsidRPr="0071774C">
        <w:t>perpetration</w:t>
      </w:r>
      <w:r>
        <w:t xml:space="preserve"> </w:t>
      </w:r>
      <w:r w:rsidRPr="0071774C">
        <w:t>as</w:t>
      </w:r>
      <w:r>
        <w:t xml:space="preserve"> </w:t>
      </w:r>
      <w:r w:rsidRPr="0071774C">
        <w:t>well</w:t>
      </w:r>
      <w:r>
        <w:t xml:space="preserve"> </w:t>
      </w:r>
      <w:r w:rsidRPr="0071774C">
        <w:t>as</w:t>
      </w:r>
      <w:r>
        <w:t xml:space="preserve"> </w:t>
      </w:r>
      <w:r w:rsidRPr="0071774C">
        <w:t>experiences</w:t>
      </w:r>
      <w:r>
        <w:t xml:space="preserve"> </w:t>
      </w:r>
      <w:r w:rsidRPr="0071774C">
        <w:t>of</w:t>
      </w:r>
      <w:r>
        <w:t xml:space="preserve"> </w:t>
      </w:r>
      <w:r w:rsidRPr="0071774C">
        <w:t>violence.</w:t>
      </w:r>
      <w:r>
        <w:t xml:space="preserve"> </w:t>
      </w:r>
      <w:r w:rsidRPr="0071774C">
        <w:t>In</w:t>
      </w:r>
      <w:r>
        <w:t xml:space="preserve"> </w:t>
      </w:r>
      <w:r w:rsidRPr="0071774C">
        <w:t>the</w:t>
      </w:r>
      <w:r>
        <w:t xml:space="preserve"> </w:t>
      </w:r>
      <w:r w:rsidRPr="0071774C">
        <w:t>context</w:t>
      </w:r>
      <w:r>
        <w:t xml:space="preserve"> </w:t>
      </w:r>
      <w:r w:rsidRPr="0071774C">
        <w:t>of</w:t>
      </w:r>
      <w:r>
        <w:t xml:space="preserve"> </w:t>
      </w:r>
      <w:r w:rsidRPr="0071774C">
        <w:t>quality</w:t>
      </w:r>
      <w:r>
        <w:t xml:space="preserve"> primary </w:t>
      </w:r>
      <w:r w:rsidRPr="0071774C">
        <w:t>prevention</w:t>
      </w:r>
      <w:r>
        <w:t xml:space="preserve"> </w:t>
      </w:r>
      <w:r w:rsidRPr="0071774C">
        <w:t>programming,</w:t>
      </w:r>
      <w:r>
        <w:t xml:space="preserve"> </w:t>
      </w:r>
      <w:r w:rsidRPr="0071774C">
        <w:t>this</w:t>
      </w:r>
      <w:r>
        <w:t xml:space="preserve"> </w:t>
      </w:r>
      <w:r w:rsidRPr="0071774C">
        <w:t>means</w:t>
      </w:r>
      <w:r>
        <w:t xml:space="preserve"> </w:t>
      </w:r>
      <w:r w:rsidRPr="0071774C">
        <w:t>explicitly</w:t>
      </w:r>
      <w:r>
        <w:t xml:space="preserve"> </w:t>
      </w:r>
      <w:r w:rsidR="006E0909">
        <w:t>redistributing</w:t>
      </w:r>
      <w:r>
        <w:t xml:space="preserve"> </w:t>
      </w:r>
      <w:r w:rsidRPr="0071774C">
        <w:t>power</w:t>
      </w:r>
      <w:r>
        <w:t xml:space="preserve"> </w:t>
      </w:r>
      <w:r w:rsidRPr="0071774C">
        <w:t>and</w:t>
      </w:r>
      <w:r>
        <w:t xml:space="preserve"> </w:t>
      </w:r>
      <w:r w:rsidRPr="0071774C">
        <w:t>resources</w:t>
      </w:r>
      <w:r>
        <w:t xml:space="preserve"> so that </w:t>
      </w:r>
      <w:r w:rsidRPr="0071774C">
        <w:t>people</w:t>
      </w:r>
      <w:r>
        <w:t xml:space="preserve"> </w:t>
      </w:r>
      <w:r w:rsidRPr="0071774C">
        <w:t>affected</w:t>
      </w:r>
      <w:r>
        <w:t xml:space="preserve"> </w:t>
      </w:r>
      <w:r w:rsidRPr="0071774C">
        <w:t>by</w:t>
      </w:r>
      <w:r>
        <w:t xml:space="preserve"> </w:t>
      </w:r>
      <w:r w:rsidRPr="0071774C">
        <w:t>multiple</w:t>
      </w:r>
      <w:r>
        <w:t xml:space="preserve"> </w:t>
      </w:r>
      <w:r w:rsidRPr="0071774C">
        <w:t>forms</w:t>
      </w:r>
      <w:r>
        <w:t xml:space="preserve"> </w:t>
      </w:r>
      <w:r w:rsidRPr="0071774C">
        <w:t>of</w:t>
      </w:r>
      <w:r>
        <w:t xml:space="preserve"> </w:t>
      </w:r>
      <w:r w:rsidRPr="0071774C">
        <w:t>inequality</w:t>
      </w:r>
      <w:r>
        <w:t xml:space="preserve"> </w:t>
      </w:r>
      <w:r w:rsidRPr="0071774C">
        <w:t>and</w:t>
      </w:r>
      <w:r>
        <w:t xml:space="preserve"> </w:t>
      </w:r>
      <w:r w:rsidRPr="0071774C">
        <w:t>oppression</w:t>
      </w:r>
      <w:r w:rsidR="00E656BE">
        <w:t>, and organisations representing them,</w:t>
      </w:r>
      <w:r>
        <w:t xml:space="preserve"> are</w:t>
      </w:r>
      <w:r w:rsidR="00C9119A">
        <w:t xml:space="preserve"> directing </w:t>
      </w:r>
      <w:r w:rsidRPr="0071774C">
        <w:t>decisions</w:t>
      </w:r>
      <w:r>
        <w:t xml:space="preserve"> </w:t>
      </w:r>
      <w:r w:rsidRPr="0071774C">
        <w:t>about</w:t>
      </w:r>
      <w:r>
        <w:t xml:space="preserve"> </w:t>
      </w:r>
      <w:r w:rsidRPr="0071774C">
        <w:t>both</w:t>
      </w:r>
      <w:r>
        <w:t xml:space="preserve"> </w:t>
      </w:r>
      <w:r w:rsidRPr="00ED4674">
        <w:rPr>
          <w:rStyle w:val="Emphasis"/>
        </w:rPr>
        <w:t>what</w:t>
      </w:r>
      <w:r>
        <w:t xml:space="preserve"> </w:t>
      </w:r>
      <w:r w:rsidRPr="0071774C">
        <w:t>and</w:t>
      </w:r>
      <w:r>
        <w:t xml:space="preserve"> </w:t>
      </w:r>
      <w:r w:rsidRPr="00ED4674">
        <w:rPr>
          <w:rStyle w:val="Emphasis"/>
        </w:rPr>
        <w:t>how</w:t>
      </w:r>
      <w:r>
        <w:t xml:space="preserve"> </w:t>
      </w:r>
      <w:r w:rsidRPr="0071774C">
        <w:t>primary</w:t>
      </w:r>
      <w:r>
        <w:t xml:space="preserve"> </w:t>
      </w:r>
      <w:r w:rsidRPr="0071774C">
        <w:t>prevention</w:t>
      </w:r>
      <w:r>
        <w:t xml:space="preserve"> </w:t>
      </w:r>
      <w:r w:rsidRPr="0071774C">
        <w:t>programming</w:t>
      </w:r>
      <w:r>
        <w:t xml:space="preserve"> </w:t>
      </w:r>
      <w:r w:rsidRPr="0071774C">
        <w:t>occurs</w:t>
      </w:r>
      <w:r w:rsidR="00202A2B">
        <w:t>, and are funded to lead this work</w:t>
      </w:r>
      <w:r w:rsidRPr="0071774C">
        <w:t>.</w:t>
      </w:r>
      <w:r>
        <w:t xml:space="preserve"> </w:t>
      </w:r>
      <w:r w:rsidRPr="0071774C">
        <w:t>It</w:t>
      </w:r>
      <w:r>
        <w:t xml:space="preserve"> </w:t>
      </w:r>
      <w:r w:rsidRPr="0071774C">
        <w:t>is</w:t>
      </w:r>
      <w:r>
        <w:t xml:space="preserve"> </w:t>
      </w:r>
      <w:r w:rsidRPr="0071774C">
        <w:t>suggested</w:t>
      </w:r>
      <w:r>
        <w:t xml:space="preserve"> </w:t>
      </w:r>
      <w:r w:rsidRPr="0071774C">
        <w:t>that</w:t>
      </w:r>
      <w:r>
        <w:t xml:space="preserve"> </w:t>
      </w:r>
      <w:r w:rsidRPr="0071774C">
        <w:t>future</w:t>
      </w:r>
      <w:r>
        <w:t xml:space="preserve"> </w:t>
      </w:r>
      <w:r w:rsidRPr="0071774C">
        <w:t>monitoring</w:t>
      </w:r>
      <w:r>
        <w:t xml:space="preserve"> </w:t>
      </w:r>
      <w:r w:rsidRPr="0071774C">
        <w:t>reports</w:t>
      </w:r>
      <w:r>
        <w:t xml:space="preserve"> </w:t>
      </w:r>
      <w:r w:rsidRPr="0071774C">
        <w:t>focus</w:t>
      </w:r>
      <w:r>
        <w:t xml:space="preserve"> </w:t>
      </w:r>
      <w:r w:rsidRPr="0071774C">
        <w:t>more</w:t>
      </w:r>
      <w:r>
        <w:t xml:space="preserve"> </w:t>
      </w:r>
      <w:r w:rsidRPr="0071774C">
        <w:t>closely</w:t>
      </w:r>
      <w:r>
        <w:t xml:space="preserve"> </w:t>
      </w:r>
      <w:r w:rsidRPr="0071774C">
        <w:t>on</w:t>
      </w:r>
      <w:r>
        <w:t xml:space="preserve"> </w:t>
      </w:r>
      <w:r w:rsidRPr="0071774C">
        <w:t>such</w:t>
      </w:r>
      <w:r>
        <w:t xml:space="preserve"> </w:t>
      </w:r>
      <w:r w:rsidRPr="0071774C">
        <w:t>analysis</w:t>
      </w:r>
      <w:r>
        <w:t xml:space="preserve"> </w:t>
      </w:r>
      <w:r w:rsidRPr="0071774C">
        <w:t>by</w:t>
      </w:r>
      <w:r>
        <w:t xml:space="preserve"> </w:t>
      </w:r>
      <w:r w:rsidRPr="0071774C">
        <w:t>identifying</w:t>
      </w:r>
      <w:r>
        <w:t xml:space="preserve"> </w:t>
      </w:r>
      <w:r w:rsidRPr="0071774C">
        <w:t>where</w:t>
      </w:r>
      <w:r>
        <w:t xml:space="preserve"> </w:t>
      </w:r>
      <w:r w:rsidRPr="0071774C">
        <w:t>this</w:t>
      </w:r>
      <w:r>
        <w:t xml:space="preserve"> </w:t>
      </w:r>
      <w:r w:rsidRPr="0071774C">
        <w:t>approach</w:t>
      </w:r>
      <w:r>
        <w:t xml:space="preserve"> </w:t>
      </w:r>
      <w:r w:rsidRPr="0071774C">
        <w:t>has</w:t>
      </w:r>
      <w:r>
        <w:t xml:space="preserve"> </w:t>
      </w:r>
      <w:r w:rsidRPr="0071774C">
        <w:t>been</w:t>
      </w:r>
      <w:r>
        <w:t xml:space="preserve"> </w:t>
      </w:r>
      <w:r w:rsidRPr="0071774C">
        <w:t>successful</w:t>
      </w:r>
      <w:r>
        <w:t xml:space="preserve"> </w:t>
      </w:r>
      <w:r w:rsidRPr="0071774C">
        <w:t>and</w:t>
      </w:r>
      <w:r>
        <w:t xml:space="preserve"> </w:t>
      </w:r>
      <w:r w:rsidRPr="0071774C">
        <w:t>what</w:t>
      </w:r>
      <w:r>
        <w:t xml:space="preserve"> </w:t>
      </w:r>
      <w:r w:rsidRPr="0071774C">
        <w:t>infrastructure</w:t>
      </w:r>
      <w:r>
        <w:t xml:space="preserve"> </w:t>
      </w:r>
      <w:r w:rsidRPr="0071774C">
        <w:t>was</w:t>
      </w:r>
      <w:r>
        <w:t xml:space="preserve"> </w:t>
      </w:r>
      <w:r w:rsidRPr="0071774C">
        <w:t>in</w:t>
      </w:r>
      <w:r>
        <w:t xml:space="preserve"> </w:t>
      </w:r>
      <w:r w:rsidRPr="0071774C">
        <w:t>place</w:t>
      </w:r>
      <w:r>
        <w:t xml:space="preserve"> </w:t>
      </w:r>
      <w:r w:rsidRPr="0071774C">
        <w:t>to</w:t>
      </w:r>
      <w:r>
        <w:t xml:space="preserve"> </w:t>
      </w:r>
      <w:r w:rsidRPr="0071774C">
        <w:t>support</w:t>
      </w:r>
      <w:r>
        <w:t xml:space="preserve"> </w:t>
      </w:r>
      <w:r w:rsidRPr="0071774C">
        <w:t>it.</w:t>
      </w:r>
    </w:p>
    <w:p w14:paraId="1B2BF0AD" w14:textId="5FBBFBFC" w:rsidR="002C2EC7" w:rsidRDefault="002C2EC7" w:rsidP="00790783">
      <w:pPr>
        <w:pStyle w:val="BodyText"/>
      </w:pPr>
      <w:r w:rsidRPr="0071774C">
        <w:t>P</w:t>
      </w:r>
      <w:r>
        <w:t>rimary p</w:t>
      </w:r>
      <w:r w:rsidRPr="0071774C">
        <w:t>revention</w:t>
      </w:r>
      <w:r>
        <w:t xml:space="preserve"> </w:t>
      </w:r>
      <w:r w:rsidRPr="0071774C">
        <w:t>programming</w:t>
      </w:r>
      <w:r>
        <w:t xml:space="preserve"> requires </w:t>
      </w:r>
      <w:r w:rsidRPr="0071774C">
        <w:t>a</w:t>
      </w:r>
      <w:r>
        <w:t xml:space="preserve"> </w:t>
      </w:r>
      <w:r w:rsidRPr="0071774C">
        <w:t>supportive</w:t>
      </w:r>
      <w:r>
        <w:t xml:space="preserve"> </w:t>
      </w:r>
      <w:r w:rsidRPr="0071774C">
        <w:t>context,</w:t>
      </w:r>
      <w:r>
        <w:t xml:space="preserve"> </w:t>
      </w:r>
      <w:r w:rsidRPr="0071774C">
        <w:t>including</w:t>
      </w:r>
      <w:r>
        <w:t xml:space="preserve"> </w:t>
      </w:r>
      <w:r w:rsidRPr="0071774C">
        <w:t>policy</w:t>
      </w:r>
      <w:r>
        <w:t xml:space="preserve"> </w:t>
      </w:r>
      <w:r w:rsidRPr="0071774C">
        <w:t>levers</w:t>
      </w:r>
      <w:r>
        <w:t xml:space="preserve"> </w:t>
      </w:r>
      <w:r w:rsidRPr="0071774C">
        <w:t>to</w:t>
      </w:r>
      <w:r w:rsidR="006B08D1">
        <w:t> </w:t>
      </w:r>
      <w:r w:rsidRPr="0071774C">
        <w:t>drive</w:t>
      </w:r>
      <w:r>
        <w:t xml:space="preserve"> </w:t>
      </w:r>
      <w:r w:rsidRPr="0071774C">
        <w:t>structural</w:t>
      </w:r>
      <w:r>
        <w:t xml:space="preserve"> </w:t>
      </w:r>
      <w:r w:rsidRPr="0071774C">
        <w:t>change,</w:t>
      </w:r>
      <w:r>
        <w:t xml:space="preserve"> </w:t>
      </w:r>
      <w:r w:rsidRPr="0071774C">
        <w:t>and</w:t>
      </w:r>
      <w:r>
        <w:t xml:space="preserve"> </w:t>
      </w:r>
      <w:r w:rsidRPr="0071774C">
        <w:t>sources</w:t>
      </w:r>
      <w:r>
        <w:t xml:space="preserve"> </w:t>
      </w:r>
      <w:r w:rsidRPr="0071774C">
        <w:t>of</w:t>
      </w:r>
      <w:r>
        <w:t xml:space="preserve"> </w:t>
      </w:r>
      <w:r w:rsidRPr="0071774C">
        <w:t>funding</w:t>
      </w:r>
      <w:r>
        <w:t xml:space="preserve"> </w:t>
      </w:r>
      <w:r w:rsidRPr="0071774C">
        <w:t>that</w:t>
      </w:r>
      <w:r>
        <w:t xml:space="preserve"> </w:t>
      </w:r>
      <w:r w:rsidRPr="0071774C">
        <w:t>support</w:t>
      </w:r>
      <w:r>
        <w:t xml:space="preserve"> </w:t>
      </w:r>
      <w:r w:rsidRPr="0071774C">
        <w:t>longer-term,</w:t>
      </w:r>
      <w:r>
        <w:t xml:space="preserve"> </w:t>
      </w:r>
      <w:r w:rsidRPr="0071774C">
        <w:t>interrelated</w:t>
      </w:r>
      <w:r>
        <w:t xml:space="preserve"> </w:t>
      </w:r>
      <w:r w:rsidRPr="0071774C">
        <w:t>prevention</w:t>
      </w:r>
      <w:r>
        <w:t xml:space="preserve"> </w:t>
      </w:r>
      <w:r w:rsidRPr="0071774C">
        <w:t>activity,</w:t>
      </w:r>
      <w:r>
        <w:t xml:space="preserve"> </w:t>
      </w:r>
      <w:r w:rsidRPr="0071774C">
        <w:t>where</w:t>
      </w:r>
      <w:r>
        <w:t xml:space="preserve"> </w:t>
      </w:r>
      <w:r w:rsidRPr="0071774C">
        <w:t>collective</w:t>
      </w:r>
      <w:r>
        <w:t xml:space="preserve"> </w:t>
      </w:r>
      <w:r w:rsidRPr="0071774C">
        <w:t>impact</w:t>
      </w:r>
      <w:r>
        <w:t xml:space="preserve"> </w:t>
      </w:r>
      <w:r w:rsidRPr="0071774C">
        <w:t>is</w:t>
      </w:r>
      <w:r>
        <w:t xml:space="preserve"> </w:t>
      </w:r>
      <w:r w:rsidRPr="0071774C">
        <w:t>the</w:t>
      </w:r>
      <w:r>
        <w:t xml:space="preserve"> </w:t>
      </w:r>
      <w:r w:rsidRPr="0071774C">
        <w:t>reference</w:t>
      </w:r>
      <w:r>
        <w:t xml:space="preserve"> </w:t>
      </w:r>
      <w:r w:rsidRPr="0071774C">
        <w:t>point</w:t>
      </w:r>
      <w:r>
        <w:t xml:space="preserve"> </w:t>
      </w:r>
      <w:r w:rsidRPr="0071774C">
        <w:t>for</w:t>
      </w:r>
      <w:r>
        <w:t xml:space="preserve"> </w:t>
      </w:r>
      <w:r w:rsidRPr="0071774C">
        <w:t>quality</w:t>
      </w:r>
      <w:r>
        <w:t xml:space="preserve"> </w:t>
      </w:r>
      <w:r w:rsidRPr="0071774C">
        <w:t>and</w:t>
      </w:r>
      <w:r>
        <w:t xml:space="preserve"> </w:t>
      </w:r>
      <w:r w:rsidRPr="0071774C">
        <w:t>accountability.</w:t>
      </w:r>
      <w:r>
        <w:t xml:space="preserve"> </w:t>
      </w:r>
      <w:r w:rsidRPr="0071774C">
        <w:t>Structural</w:t>
      </w:r>
      <w:r>
        <w:t xml:space="preserve"> </w:t>
      </w:r>
      <w:r w:rsidRPr="0071774C">
        <w:t>changes</w:t>
      </w:r>
      <w:r>
        <w:t xml:space="preserve"> </w:t>
      </w:r>
      <w:r w:rsidRPr="0071774C">
        <w:t>to</w:t>
      </w:r>
      <w:r>
        <w:t xml:space="preserve"> </w:t>
      </w:r>
      <w:r w:rsidRPr="0071774C">
        <w:t>support</w:t>
      </w:r>
      <w:r>
        <w:t xml:space="preserve"> </w:t>
      </w:r>
      <w:r w:rsidRPr="0071774C">
        <w:t>greater</w:t>
      </w:r>
      <w:r>
        <w:t xml:space="preserve"> </w:t>
      </w:r>
      <w:r w:rsidRPr="0071774C">
        <w:t>investment</w:t>
      </w:r>
      <w:r>
        <w:t xml:space="preserve"> </w:t>
      </w:r>
      <w:r w:rsidRPr="0071774C">
        <w:t>and</w:t>
      </w:r>
      <w:r>
        <w:t xml:space="preserve"> </w:t>
      </w:r>
      <w:r w:rsidRPr="0071774C">
        <w:t>longer-term</w:t>
      </w:r>
      <w:r>
        <w:t xml:space="preserve"> </w:t>
      </w:r>
      <w:r w:rsidRPr="0071774C">
        <w:t>funding</w:t>
      </w:r>
      <w:r>
        <w:t xml:space="preserve"> </w:t>
      </w:r>
      <w:r w:rsidRPr="0071774C">
        <w:t>for</w:t>
      </w:r>
      <w:r>
        <w:t xml:space="preserve"> primary </w:t>
      </w:r>
      <w:r w:rsidRPr="0071774C">
        <w:t>prevention,</w:t>
      </w:r>
      <w:r>
        <w:t xml:space="preserve"> </w:t>
      </w:r>
      <w:r w:rsidRPr="0071774C">
        <w:t>and</w:t>
      </w:r>
      <w:r>
        <w:t xml:space="preserve"> </w:t>
      </w:r>
      <w:r w:rsidRPr="0071774C">
        <w:t>increased</w:t>
      </w:r>
      <w:r>
        <w:t xml:space="preserve"> </w:t>
      </w:r>
      <w:r w:rsidRPr="0071774C">
        <w:t>policy</w:t>
      </w:r>
      <w:r>
        <w:t xml:space="preserve"> </w:t>
      </w:r>
      <w:r w:rsidRPr="0071774C">
        <w:t>focus</w:t>
      </w:r>
      <w:r>
        <w:t xml:space="preserve"> </w:t>
      </w:r>
      <w:r w:rsidRPr="0071774C">
        <w:t>on</w:t>
      </w:r>
      <w:r>
        <w:t xml:space="preserve"> </w:t>
      </w:r>
      <w:r w:rsidRPr="0071774C">
        <w:t>coordinated</w:t>
      </w:r>
      <w:r>
        <w:t xml:space="preserve"> </w:t>
      </w:r>
      <w:r w:rsidRPr="0071774C">
        <w:t>and</w:t>
      </w:r>
      <w:r>
        <w:t xml:space="preserve"> </w:t>
      </w:r>
      <w:r w:rsidRPr="0071774C">
        <w:t>strategic</w:t>
      </w:r>
      <w:r>
        <w:t xml:space="preserve"> </w:t>
      </w:r>
      <w:r w:rsidRPr="0071774C">
        <w:t>workforce</w:t>
      </w:r>
      <w:r>
        <w:t xml:space="preserve"> </w:t>
      </w:r>
      <w:r w:rsidRPr="0071774C">
        <w:t>investment</w:t>
      </w:r>
      <w:r>
        <w:t xml:space="preserve">, </w:t>
      </w:r>
      <w:r w:rsidRPr="0071774C">
        <w:t>would</w:t>
      </w:r>
      <w:r w:rsidR="00E07592">
        <w:t xml:space="preserve"> </w:t>
      </w:r>
      <w:r w:rsidRPr="0071774C">
        <w:t>support</w:t>
      </w:r>
      <w:r>
        <w:t xml:space="preserve"> </w:t>
      </w:r>
      <w:r w:rsidRPr="0071774C">
        <w:t>greater</w:t>
      </w:r>
      <w:r>
        <w:t xml:space="preserve"> </w:t>
      </w:r>
      <w:r w:rsidRPr="0071774C">
        <w:t>progress</w:t>
      </w:r>
      <w:r>
        <w:t xml:space="preserve"> </w:t>
      </w:r>
      <w:r w:rsidRPr="0071774C">
        <w:t>in</w:t>
      </w:r>
      <w:r>
        <w:t xml:space="preserve"> </w:t>
      </w:r>
      <w:r w:rsidRPr="0071774C">
        <w:t>prevention</w:t>
      </w:r>
      <w:r>
        <w:t xml:space="preserve"> </w:t>
      </w:r>
      <w:r w:rsidRPr="0071774C">
        <w:t>activity</w:t>
      </w:r>
      <w:r>
        <w:t xml:space="preserve"> </w:t>
      </w:r>
      <w:r w:rsidRPr="0071774C">
        <w:t>overall.</w:t>
      </w:r>
      <w:r>
        <w:t xml:space="preserve"> </w:t>
      </w:r>
      <w:r w:rsidRPr="0071774C">
        <w:t>However</w:t>
      </w:r>
      <w:r>
        <w:t xml:space="preserve">, </w:t>
      </w:r>
      <w:r w:rsidRPr="0071774C">
        <w:t>short-term</w:t>
      </w:r>
      <w:r>
        <w:t xml:space="preserve"> </w:t>
      </w:r>
      <w:r w:rsidRPr="0071774C">
        <w:t>funding</w:t>
      </w:r>
      <w:r>
        <w:t xml:space="preserve"> </w:t>
      </w:r>
      <w:r w:rsidRPr="0071774C">
        <w:t>cycles,</w:t>
      </w:r>
      <w:r>
        <w:t xml:space="preserve"> </w:t>
      </w:r>
      <w:r w:rsidRPr="0071774C">
        <w:t>coupled</w:t>
      </w:r>
      <w:r>
        <w:t xml:space="preserve"> </w:t>
      </w:r>
      <w:r w:rsidRPr="0071774C">
        <w:t>with</w:t>
      </w:r>
      <w:r>
        <w:t xml:space="preserve"> </w:t>
      </w:r>
      <w:r w:rsidRPr="0071774C">
        <w:t>competition</w:t>
      </w:r>
      <w:r>
        <w:t xml:space="preserve"> </w:t>
      </w:r>
      <w:r w:rsidRPr="0071774C">
        <w:t>for</w:t>
      </w:r>
      <w:r>
        <w:t xml:space="preserve"> </w:t>
      </w:r>
      <w:r w:rsidRPr="0071774C">
        <w:t>funding,</w:t>
      </w:r>
      <w:r>
        <w:t xml:space="preserve"> </w:t>
      </w:r>
      <w:r w:rsidRPr="0071774C">
        <w:t>are</w:t>
      </w:r>
      <w:r>
        <w:t xml:space="preserve"> </w:t>
      </w:r>
      <w:r w:rsidRPr="0071774C">
        <w:t>cited</w:t>
      </w:r>
      <w:r>
        <w:t xml:space="preserve"> </w:t>
      </w:r>
      <w:r w:rsidRPr="0071774C">
        <w:t>by</w:t>
      </w:r>
      <w:r>
        <w:t xml:space="preserve"> </w:t>
      </w:r>
      <w:r w:rsidRPr="0071774C">
        <w:t>many</w:t>
      </w:r>
      <w:r>
        <w:t xml:space="preserve"> </w:t>
      </w:r>
      <w:r w:rsidRPr="0071774C">
        <w:t>working</w:t>
      </w:r>
      <w:r>
        <w:t xml:space="preserve"> </w:t>
      </w:r>
      <w:r w:rsidRPr="0071774C">
        <w:t>in</w:t>
      </w:r>
      <w:r>
        <w:t xml:space="preserve"> </w:t>
      </w:r>
      <w:r w:rsidRPr="0071774C">
        <w:t>this</w:t>
      </w:r>
      <w:r>
        <w:t xml:space="preserve"> </w:t>
      </w:r>
      <w:r w:rsidRPr="0071774C">
        <w:t>sector</w:t>
      </w:r>
      <w:r>
        <w:t xml:space="preserve"> </w:t>
      </w:r>
      <w:r w:rsidRPr="0071774C">
        <w:t>as</w:t>
      </w:r>
      <w:r>
        <w:t xml:space="preserve"> </w:t>
      </w:r>
      <w:r w:rsidRPr="0071774C">
        <w:t>constraints</w:t>
      </w:r>
      <w:r>
        <w:t xml:space="preserve"> </w:t>
      </w:r>
      <w:r w:rsidRPr="0071774C">
        <w:t>that</w:t>
      </w:r>
      <w:r>
        <w:t xml:space="preserve"> </w:t>
      </w:r>
      <w:r w:rsidRPr="0071774C">
        <w:t>hinder</w:t>
      </w:r>
      <w:r>
        <w:t xml:space="preserve"> </w:t>
      </w:r>
      <w:r w:rsidRPr="0071774C">
        <w:t>quality</w:t>
      </w:r>
      <w:r>
        <w:t xml:space="preserve"> </w:t>
      </w:r>
      <w:r w:rsidRPr="0071774C">
        <w:t>programming.</w:t>
      </w:r>
      <w:r>
        <w:rPr>
          <w:rStyle w:val="EndnoteReference"/>
          <w:szCs w:val="22"/>
        </w:rPr>
        <w:endnoteReference w:id="151"/>
      </w:r>
    </w:p>
    <w:p w14:paraId="0BCFB7F6" w14:textId="7BCD1092" w:rsidR="002C2EC7" w:rsidRPr="001C4DD0" w:rsidRDefault="002C2EC7" w:rsidP="00790783">
      <w:pPr>
        <w:pStyle w:val="Heading5"/>
        <w:rPr>
          <w:rFonts w:cs="Calibri"/>
          <w:color w:val="1F3763"/>
          <w:szCs w:val="22"/>
        </w:rPr>
      </w:pPr>
      <w:bookmarkStart w:id="70" w:name="_Toc41559743"/>
      <w:r w:rsidRPr="0071774C">
        <w:t>Primary</w:t>
      </w:r>
      <w:r>
        <w:t xml:space="preserve"> </w:t>
      </w:r>
      <w:r w:rsidRPr="0071774C">
        <w:t>prevention</w:t>
      </w:r>
      <w:r>
        <w:t xml:space="preserve"> </w:t>
      </w:r>
      <w:r w:rsidRPr="0071774C">
        <w:t>programming</w:t>
      </w:r>
      <w:bookmarkEnd w:id="70"/>
    </w:p>
    <w:p w14:paraId="3AD11F53" w14:textId="0BB7A0E2" w:rsidR="002C2EC7" w:rsidRDefault="002C2EC7" w:rsidP="00790783">
      <w:pPr>
        <w:pStyle w:val="BodyText"/>
      </w:pPr>
      <w:r w:rsidRPr="0071774C">
        <w:t>Primary</w:t>
      </w:r>
      <w:r>
        <w:t xml:space="preserve"> </w:t>
      </w:r>
      <w:r w:rsidRPr="0071774C">
        <w:t>prevention</w:t>
      </w:r>
      <w:r>
        <w:t xml:space="preserve"> </w:t>
      </w:r>
      <w:r w:rsidRPr="0071774C">
        <w:t>efforts</w:t>
      </w:r>
      <w:r>
        <w:t xml:space="preserve"> </w:t>
      </w:r>
      <w:r w:rsidRPr="0071774C">
        <w:t>in</w:t>
      </w:r>
      <w:r>
        <w:t xml:space="preserve"> </w:t>
      </w:r>
      <w:r w:rsidRPr="0071774C">
        <w:t>Australia</w:t>
      </w:r>
      <w:r>
        <w:t xml:space="preserve"> </w:t>
      </w:r>
      <w:r w:rsidRPr="0071774C">
        <w:t>reflect</w:t>
      </w:r>
      <w:r>
        <w:t xml:space="preserve"> </w:t>
      </w:r>
      <w:r w:rsidRPr="0071774C">
        <w:t>ambitious</w:t>
      </w:r>
      <w:r>
        <w:t xml:space="preserve"> </w:t>
      </w:r>
      <w:r w:rsidRPr="0071774C">
        <w:t>and</w:t>
      </w:r>
      <w:r>
        <w:t xml:space="preserve"> ground</w:t>
      </w:r>
      <w:r w:rsidR="1F2F824A">
        <w:t xml:space="preserve"> </w:t>
      </w:r>
      <w:r>
        <w:t xml:space="preserve">breaking </w:t>
      </w:r>
      <w:r w:rsidRPr="0071774C">
        <w:t>work</w:t>
      </w:r>
      <w:r>
        <w:t xml:space="preserve"> </w:t>
      </w:r>
      <w:r w:rsidRPr="0071774C">
        <w:t>led</w:t>
      </w:r>
      <w:r>
        <w:t xml:space="preserve"> </w:t>
      </w:r>
      <w:r w:rsidRPr="0071774C">
        <w:t>by</w:t>
      </w:r>
      <w:r>
        <w:t xml:space="preserve"> </w:t>
      </w:r>
      <w:r w:rsidRPr="0071774C">
        <w:t>a</w:t>
      </w:r>
      <w:r w:rsidR="006B08D1">
        <w:t> </w:t>
      </w:r>
      <w:r w:rsidRPr="0071774C">
        <w:t>range</w:t>
      </w:r>
      <w:r>
        <w:t xml:space="preserve"> </w:t>
      </w:r>
      <w:r w:rsidRPr="0071774C">
        <w:t>of</w:t>
      </w:r>
      <w:r>
        <w:t xml:space="preserve"> </w:t>
      </w:r>
      <w:r w:rsidRPr="0071774C">
        <w:t>stakeholders</w:t>
      </w:r>
      <w:r>
        <w:t xml:space="preserve"> </w:t>
      </w:r>
      <w:r w:rsidRPr="0071774C">
        <w:t>including</w:t>
      </w:r>
      <w:r>
        <w:t xml:space="preserve"> </w:t>
      </w:r>
      <w:r w:rsidRPr="0071774C">
        <w:t>governments,</w:t>
      </w:r>
      <w:r>
        <w:t xml:space="preserve"> </w:t>
      </w:r>
      <w:r w:rsidRPr="0071774C">
        <w:t>non-government</w:t>
      </w:r>
      <w:r>
        <w:t xml:space="preserve"> </w:t>
      </w:r>
      <w:r w:rsidRPr="0071774C">
        <w:t>organisations,</w:t>
      </w:r>
      <w:r>
        <w:t xml:space="preserve"> </w:t>
      </w:r>
      <w:r w:rsidRPr="0071774C">
        <w:t>those</w:t>
      </w:r>
      <w:r>
        <w:t xml:space="preserve"> </w:t>
      </w:r>
      <w:r w:rsidRPr="0071774C">
        <w:t>working</w:t>
      </w:r>
      <w:r>
        <w:t xml:space="preserve"> </w:t>
      </w:r>
      <w:r w:rsidRPr="0071774C">
        <w:t>in</w:t>
      </w:r>
      <w:r>
        <w:t xml:space="preserve"> </w:t>
      </w:r>
      <w:r w:rsidRPr="0071774C">
        <w:t>key</w:t>
      </w:r>
      <w:r>
        <w:t xml:space="preserve"> </w:t>
      </w:r>
      <w:r w:rsidRPr="0071774C">
        <w:t>settings</w:t>
      </w:r>
      <w:r>
        <w:t xml:space="preserve"> </w:t>
      </w:r>
      <w:r w:rsidRPr="0071774C">
        <w:t>and</w:t>
      </w:r>
      <w:r>
        <w:t xml:space="preserve"> </w:t>
      </w:r>
      <w:r w:rsidRPr="0071774C">
        <w:t>sectors,</w:t>
      </w:r>
      <w:r>
        <w:t xml:space="preserve"> </w:t>
      </w:r>
      <w:r w:rsidRPr="0071774C">
        <w:t>and</w:t>
      </w:r>
      <w:r>
        <w:t xml:space="preserve"> </w:t>
      </w:r>
      <w:r w:rsidRPr="0071774C">
        <w:t>local</w:t>
      </w:r>
      <w:r>
        <w:t xml:space="preserve"> </w:t>
      </w:r>
      <w:r w:rsidRPr="0071774C">
        <w:t>communities.</w:t>
      </w:r>
      <w:r>
        <w:t xml:space="preserve"> </w:t>
      </w:r>
      <w:r w:rsidRPr="00ED4674">
        <w:rPr>
          <w:rStyle w:val="Emphasis"/>
        </w:rPr>
        <w:t>Change the story</w:t>
      </w:r>
      <w:r>
        <w:t xml:space="preserve"> </w:t>
      </w:r>
      <w:r w:rsidRPr="0071774C">
        <w:t>is</w:t>
      </w:r>
      <w:r>
        <w:t xml:space="preserve"> </w:t>
      </w:r>
      <w:r w:rsidRPr="0071774C">
        <w:t>a</w:t>
      </w:r>
      <w:r>
        <w:t xml:space="preserve"> </w:t>
      </w:r>
      <w:r w:rsidRPr="0071774C">
        <w:t>significant</w:t>
      </w:r>
      <w:r>
        <w:t xml:space="preserve"> </w:t>
      </w:r>
      <w:r w:rsidRPr="0071774C">
        <w:t>development</w:t>
      </w:r>
      <w:r>
        <w:t xml:space="preserve"> </w:t>
      </w:r>
      <w:r w:rsidRPr="0071774C">
        <w:t>from</w:t>
      </w:r>
      <w:r>
        <w:t xml:space="preserve"> </w:t>
      </w:r>
      <w:r w:rsidRPr="0071774C">
        <w:t>the</w:t>
      </w:r>
      <w:r>
        <w:t xml:space="preserve"> </w:t>
      </w:r>
      <w:r w:rsidRPr="0071774C">
        <w:t>latter</w:t>
      </w:r>
      <w:r>
        <w:t xml:space="preserve"> </w:t>
      </w:r>
      <w:r w:rsidRPr="0071774C">
        <w:t>half</w:t>
      </w:r>
      <w:r>
        <w:t xml:space="preserve"> </w:t>
      </w:r>
      <w:r w:rsidRPr="0071774C">
        <w:t>of</w:t>
      </w:r>
      <w:r>
        <w:t xml:space="preserve"> </w:t>
      </w:r>
      <w:r w:rsidRPr="0071774C">
        <w:t>this</w:t>
      </w:r>
      <w:r>
        <w:t xml:space="preserve"> </w:t>
      </w:r>
      <w:r w:rsidRPr="0071774C">
        <w:t>period</w:t>
      </w:r>
      <w:r>
        <w:t xml:space="preserve">, </w:t>
      </w:r>
      <w:r w:rsidRPr="0071774C">
        <w:t>as</w:t>
      </w:r>
      <w:r>
        <w:t xml:space="preserve"> </w:t>
      </w:r>
      <w:r w:rsidRPr="0071774C">
        <w:t>it</w:t>
      </w:r>
      <w:r>
        <w:t xml:space="preserve"> </w:t>
      </w:r>
      <w:r w:rsidRPr="0071774C">
        <w:t>provides</w:t>
      </w:r>
      <w:r>
        <w:t xml:space="preserve"> </w:t>
      </w:r>
      <w:r w:rsidRPr="0071774C">
        <w:t>a</w:t>
      </w:r>
      <w:r>
        <w:t xml:space="preserve"> </w:t>
      </w:r>
      <w:r w:rsidRPr="0071774C">
        <w:t>clear</w:t>
      </w:r>
      <w:r>
        <w:t xml:space="preserve"> </w:t>
      </w:r>
      <w:r w:rsidRPr="0071774C">
        <w:t>framework</w:t>
      </w:r>
      <w:r>
        <w:t xml:space="preserve"> </w:t>
      </w:r>
      <w:r w:rsidRPr="0071774C">
        <w:t>for</w:t>
      </w:r>
      <w:r>
        <w:t xml:space="preserve"> </w:t>
      </w:r>
      <w:r w:rsidRPr="0071774C">
        <w:t>shared</w:t>
      </w:r>
      <w:r>
        <w:t xml:space="preserve"> </w:t>
      </w:r>
      <w:r w:rsidRPr="0071774C">
        <w:t>national</w:t>
      </w:r>
      <w:r>
        <w:t xml:space="preserve"> </w:t>
      </w:r>
      <w:r w:rsidRPr="0071774C">
        <w:t>prevention</w:t>
      </w:r>
      <w:r>
        <w:t xml:space="preserve"> </w:t>
      </w:r>
      <w:r w:rsidRPr="0071774C">
        <w:t>effort.</w:t>
      </w:r>
    </w:p>
    <w:p w14:paraId="03AB8D85" w14:textId="77777777" w:rsidR="002C2EC7" w:rsidRDefault="002C2EC7" w:rsidP="00790783">
      <w:pPr>
        <w:pStyle w:val="BodyText"/>
      </w:pPr>
      <w:r w:rsidRPr="0071774C">
        <w:t>Primary</w:t>
      </w:r>
      <w:r>
        <w:t xml:space="preserve"> </w:t>
      </w:r>
      <w:r w:rsidRPr="0071774C">
        <w:t>prevention</w:t>
      </w:r>
      <w:r>
        <w:t xml:space="preserve"> </w:t>
      </w:r>
      <w:r w:rsidRPr="0071774C">
        <w:t>programming</w:t>
      </w:r>
      <w:r>
        <w:t xml:space="preserve"> </w:t>
      </w:r>
      <w:r w:rsidRPr="0071774C">
        <w:t>is</w:t>
      </w:r>
      <w:r>
        <w:t xml:space="preserve"> </w:t>
      </w:r>
      <w:r w:rsidRPr="0071774C">
        <w:t>a</w:t>
      </w:r>
      <w:r>
        <w:t xml:space="preserve"> </w:t>
      </w:r>
      <w:r w:rsidRPr="0071774C">
        <w:t>development</w:t>
      </w:r>
      <w:r>
        <w:t xml:space="preserve"> </w:t>
      </w:r>
      <w:r w:rsidRPr="0071774C">
        <w:t>cycle</w:t>
      </w:r>
      <w:r>
        <w:t xml:space="preserve"> </w:t>
      </w:r>
      <w:r w:rsidRPr="0071774C">
        <w:t>that</w:t>
      </w:r>
      <w:r>
        <w:t xml:space="preserve"> </w:t>
      </w:r>
      <w:r w:rsidRPr="0071774C">
        <w:t>needs</w:t>
      </w:r>
      <w:r>
        <w:t xml:space="preserve"> </w:t>
      </w:r>
      <w:r w:rsidRPr="0071774C">
        <w:t>consistent</w:t>
      </w:r>
      <w:r>
        <w:t xml:space="preserve"> </w:t>
      </w:r>
      <w:r w:rsidRPr="0071774C">
        <w:t>funding</w:t>
      </w:r>
      <w:r>
        <w:t xml:space="preserve"> </w:t>
      </w:r>
      <w:r w:rsidRPr="0071774C">
        <w:t>and</w:t>
      </w:r>
      <w:r>
        <w:t xml:space="preserve"> </w:t>
      </w:r>
      <w:r w:rsidRPr="004B02DE">
        <w:t>accountability</w:t>
      </w:r>
      <w:r>
        <w:t xml:space="preserve"> </w:t>
      </w:r>
      <w:r w:rsidRPr="004B02DE">
        <w:t>measures,</w:t>
      </w:r>
      <w:r>
        <w:t xml:space="preserve"> </w:t>
      </w:r>
      <w:r w:rsidRPr="004B02DE">
        <w:t>to</w:t>
      </w:r>
      <w:r>
        <w:t xml:space="preserve"> </w:t>
      </w:r>
      <w:r w:rsidRPr="004B02DE">
        <w:t>ensure</w:t>
      </w:r>
      <w:r>
        <w:t xml:space="preserve"> </w:t>
      </w:r>
      <w:r w:rsidRPr="004B02DE">
        <w:t>new</w:t>
      </w:r>
      <w:r>
        <w:t xml:space="preserve"> </w:t>
      </w:r>
      <w:r w:rsidRPr="004B02DE">
        <w:t>knowledge</w:t>
      </w:r>
      <w:r>
        <w:t xml:space="preserve"> </w:t>
      </w:r>
      <w:r w:rsidRPr="004B02DE">
        <w:t>is</w:t>
      </w:r>
      <w:r>
        <w:t xml:space="preserve"> </w:t>
      </w:r>
      <w:r w:rsidRPr="004B02DE">
        <w:t>both</w:t>
      </w:r>
      <w:r>
        <w:t xml:space="preserve"> </w:t>
      </w:r>
      <w:r w:rsidRPr="004B02DE">
        <w:t>shared</w:t>
      </w:r>
      <w:r>
        <w:t xml:space="preserve"> </w:t>
      </w:r>
      <w:r w:rsidRPr="004B02DE">
        <w:t>and</w:t>
      </w:r>
      <w:r>
        <w:t xml:space="preserve"> </w:t>
      </w:r>
      <w:r w:rsidRPr="004B02DE">
        <w:t>used</w:t>
      </w:r>
      <w:r>
        <w:t xml:space="preserve"> </w:t>
      </w:r>
      <w:r w:rsidRPr="004B02DE">
        <w:t>to</w:t>
      </w:r>
      <w:r>
        <w:t xml:space="preserve"> </w:t>
      </w:r>
      <w:r w:rsidRPr="004B02DE">
        <w:t>support</w:t>
      </w:r>
      <w:r>
        <w:t xml:space="preserve"> </w:t>
      </w:r>
      <w:r w:rsidRPr="004B02DE">
        <w:t>the</w:t>
      </w:r>
      <w:r>
        <w:t xml:space="preserve"> </w:t>
      </w:r>
      <w:r w:rsidRPr="004B02DE">
        <w:t>continuous</w:t>
      </w:r>
      <w:r>
        <w:t xml:space="preserve"> </w:t>
      </w:r>
      <w:r w:rsidRPr="004B02DE">
        <w:t>improvement</w:t>
      </w:r>
      <w:r>
        <w:t xml:space="preserve"> </w:t>
      </w:r>
      <w:r w:rsidRPr="004B02DE">
        <w:t>of</w:t>
      </w:r>
      <w:r>
        <w:t xml:space="preserve"> </w:t>
      </w:r>
      <w:r w:rsidRPr="004B02DE">
        <w:t>existing</w:t>
      </w:r>
      <w:r>
        <w:t xml:space="preserve"> </w:t>
      </w:r>
      <w:r w:rsidRPr="004B02DE">
        <w:t>efforts</w:t>
      </w:r>
      <w:r>
        <w:t xml:space="preserve"> </w:t>
      </w:r>
      <w:r w:rsidRPr="004B02DE">
        <w:t>and</w:t>
      </w:r>
      <w:r>
        <w:t xml:space="preserve"> </w:t>
      </w:r>
      <w:r w:rsidRPr="004B02DE">
        <w:t>the</w:t>
      </w:r>
      <w:r>
        <w:t xml:space="preserve"> </w:t>
      </w:r>
      <w:r w:rsidRPr="004B02DE">
        <w:t>development</w:t>
      </w:r>
      <w:r>
        <w:t xml:space="preserve"> </w:t>
      </w:r>
      <w:r w:rsidRPr="0071774C">
        <w:t>of</w:t>
      </w:r>
      <w:r>
        <w:t xml:space="preserve"> </w:t>
      </w:r>
      <w:r w:rsidRPr="0071774C">
        <w:t>new</w:t>
      </w:r>
      <w:r>
        <w:t xml:space="preserve"> </w:t>
      </w:r>
      <w:r w:rsidRPr="0071774C">
        <w:t>activities.</w:t>
      </w:r>
      <w:r>
        <w:t xml:space="preserve"> </w:t>
      </w:r>
      <w:r w:rsidRPr="0071774C">
        <w:t>Short-term</w:t>
      </w:r>
      <w:r>
        <w:t xml:space="preserve"> </w:t>
      </w:r>
      <w:r w:rsidRPr="0071774C">
        <w:t>funding</w:t>
      </w:r>
      <w:r>
        <w:t xml:space="preserve"> </w:t>
      </w:r>
      <w:r w:rsidRPr="0071774C">
        <w:t>cycles,</w:t>
      </w:r>
      <w:r>
        <w:t xml:space="preserve"> </w:t>
      </w:r>
      <w:r w:rsidRPr="0071774C">
        <w:t>coupled</w:t>
      </w:r>
      <w:r>
        <w:t xml:space="preserve"> </w:t>
      </w:r>
      <w:r w:rsidRPr="0071774C">
        <w:t>with</w:t>
      </w:r>
      <w:r>
        <w:t xml:space="preserve"> </w:t>
      </w:r>
      <w:r w:rsidRPr="0071774C">
        <w:t>competition</w:t>
      </w:r>
      <w:r>
        <w:t xml:space="preserve"> </w:t>
      </w:r>
      <w:r w:rsidRPr="0071774C">
        <w:t>for</w:t>
      </w:r>
      <w:r>
        <w:t xml:space="preserve"> </w:t>
      </w:r>
      <w:r w:rsidRPr="0071774C">
        <w:t>funding,</w:t>
      </w:r>
      <w:r>
        <w:t xml:space="preserve"> </w:t>
      </w:r>
      <w:r w:rsidRPr="0071774C">
        <w:t>are</w:t>
      </w:r>
      <w:r>
        <w:t xml:space="preserve"> </w:t>
      </w:r>
      <w:r w:rsidRPr="0071774C">
        <w:t>cited</w:t>
      </w:r>
      <w:r>
        <w:t xml:space="preserve"> </w:t>
      </w:r>
      <w:r w:rsidRPr="0071774C">
        <w:t>by</w:t>
      </w:r>
      <w:r>
        <w:t xml:space="preserve"> </w:t>
      </w:r>
      <w:r w:rsidRPr="0071774C">
        <w:t>many</w:t>
      </w:r>
      <w:r>
        <w:t xml:space="preserve"> </w:t>
      </w:r>
      <w:r w:rsidRPr="0071774C">
        <w:t>working</w:t>
      </w:r>
      <w:r>
        <w:t xml:space="preserve"> </w:t>
      </w:r>
      <w:r w:rsidRPr="0071774C">
        <w:t>in</w:t>
      </w:r>
      <w:r>
        <w:t xml:space="preserve"> </w:t>
      </w:r>
      <w:r w:rsidRPr="0071774C">
        <w:t>this</w:t>
      </w:r>
      <w:r>
        <w:t xml:space="preserve"> </w:t>
      </w:r>
      <w:r w:rsidRPr="0071774C">
        <w:t>sector</w:t>
      </w:r>
      <w:r>
        <w:t xml:space="preserve"> </w:t>
      </w:r>
      <w:r w:rsidRPr="0071774C">
        <w:t>as</w:t>
      </w:r>
      <w:r>
        <w:t xml:space="preserve"> </w:t>
      </w:r>
      <w:r w:rsidRPr="0071774C">
        <w:t>constraints</w:t>
      </w:r>
      <w:r>
        <w:t xml:space="preserve"> </w:t>
      </w:r>
      <w:r w:rsidRPr="0071774C">
        <w:t>that</w:t>
      </w:r>
      <w:r>
        <w:t xml:space="preserve"> </w:t>
      </w:r>
      <w:r w:rsidRPr="0071774C">
        <w:t>hinder</w:t>
      </w:r>
      <w:r>
        <w:t xml:space="preserve"> </w:t>
      </w:r>
      <w:r w:rsidRPr="0071774C">
        <w:t>quality</w:t>
      </w:r>
      <w:r>
        <w:t xml:space="preserve"> </w:t>
      </w:r>
      <w:r w:rsidRPr="0071774C">
        <w:t>programming.</w:t>
      </w:r>
      <w:r w:rsidRPr="0071774C">
        <w:rPr>
          <w:rStyle w:val="EndnoteReference"/>
          <w:szCs w:val="22"/>
        </w:rPr>
        <w:endnoteReference w:id="152"/>
      </w:r>
      <w:r>
        <w:t xml:space="preserve"> </w:t>
      </w:r>
      <w:r w:rsidRPr="0071774C">
        <w:t>Strong</w:t>
      </w:r>
      <w:r>
        <w:t xml:space="preserve"> </w:t>
      </w:r>
      <w:r w:rsidRPr="0071774C">
        <w:t>prevention</w:t>
      </w:r>
      <w:r>
        <w:t xml:space="preserve"> </w:t>
      </w:r>
      <w:r w:rsidRPr="0071774C">
        <w:t>programming</w:t>
      </w:r>
      <w:r>
        <w:t xml:space="preserve"> </w:t>
      </w:r>
      <w:r w:rsidRPr="0071774C">
        <w:t>depends</w:t>
      </w:r>
      <w:r>
        <w:rPr>
          <w:strike/>
          <w:color w:val="D13438"/>
        </w:rPr>
        <w:t xml:space="preserve"> </w:t>
      </w:r>
      <w:r w:rsidRPr="0071774C">
        <w:t>upon</w:t>
      </w:r>
      <w:r>
        <w:t xml:space="preserve"> </w:t>
      </w:r>
      <w:r w:rsidRPr="0071774C">
        <w:t>resourcing</w:t>
      </w:r>
      <w:r>
        <w:t xml:space="preserve"> </w:t>
      </w:r>
      <w:r w:rsidRPr="0071774C">
        <w:t>that</w:t>
      </w:r>
      <w:r>
        <w:t xml:space="preserve"> </w:t>
      </w:r>
      <w:r w:rsidRPr="0071774C">
        <w:t>generates</w:t>
      </w:r>
      <w:r>
        <w:t xml:space="preserve"> </w:t>
      </w:r>
      <w:r w:rsidRPr="0071774C">
        <w:t>and</w:t>
      </w:r>
      <w:r>
        <w:t xml:space="preserve"> </w:t>
      </w:r>
      <w:r w:rsidRPr="0071774C">
        <w:t>supports</w:t>
      </w:r>
      <w:r>
        <w:t xml:space="preserve"> </w:t>
      </w:r>
      <w:r w:rsidRPr="0071774C">
        <w:t>the</w:t>
      </w:r>
      <w:r>
        <w:t xml:space="preserve"> </w:t>
      </w:r>
      <w:r w:rsidRPr="0071774C">
        <w:t>publication</w:t>
      </w:r>
      <w:r>
        <w:t xml:space="preserve"> </w:t>
      </w:r>
      <w:r w:rsidRPr="0071774C">
        <w:t>of</w:t>
      </w:r>
      <w:r>
        <w:t xml:space="preserve"> </w:t>
      </w:r>
      <w:r w:rsidRPr="0071774C">
        <w:t>evidence-based</w:t>
      </w:r>
      <w:r>
        <w:t xml:space="preserve"> </w:t>
      </w:r>
      <w:r w:rsidRPr="0071774C">
        <w:t>guidance</w:t>
      </w:r>
      <w:r>
        <w:t xml:space="preserve"> </w:t>
      </w:r>
      <w:r w:rsidRPr="0071774C">
        <w:t>on</w:t>
      </w:r>
      <w:r>
        <w:t xml:space="preserve"> </w:t>
      </w:r>
      <w:r w:rsidRPr="0071774C">
        <w:t>best-practice</w:t>
      </w:r>
      <w:r>
        <w:t xml:space="preserve"> </w:t>
      </w:r>
      <w:r w:rsidRPr="0071774C">
        <w:t>principles</w:t>
      </w:r>
      <w:r>
        <w:t xml:space="preserve"> </w:t>
      </w:r>
      <w:r w:rsidRPr="0071774C">
        <w:t>and</w:t>
      </w:r>
      <w:r>
        <w:t xml:space="preserve"> </w:t>
      </w:r>
      <w:r w:rsidRPr="0071774C">
        <w:t>proven</w:t>
      </w:r>
      <w:r>
        <w:t xml:space="preserve"> </w:t>
      </w:r>
      <w:r w:rsidRPr="0071774C">
        <w:t>or</w:t>
      </w:r>
      <w:r>
        <w:t xml:space="preserve"> </w:t>
      </w:r>
      <w:r w:rsidRPr="0071774C">
        <w:t>promising</w:t>
      </w:r>
      <w:r>
        <w:t xml:space="preserve"> </w:t>
      </w:r>
      <w:r w:rsidRPr="0071774C">
        <w:t>techniques</w:t>
      </w:r>
      <w:r>
        <w:t xml:space="preserve"> </w:t>
      </w:r>
      <w:r w:rsidRPr="0071774C">
        <w:t>in</w:t>
      </w:r>
      <w:r>
        <w:t xml:space="preserve"> </w:t>
      </w:r>
      <w:r w:rsidRPr="0071774C">
        <w:t>different</w:t>
      </w:r>
      <w:r>
        <w:t xml:space="preserve"> </w:t>
      </w:r>
      <w:r w:rsidRPr="0071774C">
        <w:t>settings.</w:t>
      </w:r>
    </w:p>
    <w:p w14:paraId="6760DD0A" w14:textId="7AC0F650" w:rsidR="002C2EC7" w:rsidRDefault="002C2EC7" w:rsidP="00790783">
      <w:pPr>
        <w:pStyle w:val="BodyText"/>
      </w:pPr>
      <w:r w:rsidRPr="0071774C">
        <w:t>There</w:t>
      </w:r>
      <w:r>
        <w:t xml:space="preserve"> </w:t>
      </w:r>
      <w:r w:rsidRPr="0071774C">
        <w:t>is</w:t>
      </w:r>
      <w:r>
        <w:t xml:space="preserve"> </w:t>
      </w:r>
      <w:r w:rsidRPr="0071774C">
        <w:t>evidence</w:t>
      </w:r>
      <w:r>
        <w:t xml:space="preserve"> </w:t>
      </w:r>
      <w:r w:rsidRPr="0071774C">
        <w:t>of</w:t>
      </w:r>
      <w:r>
        <w:t xml:space="preserve"> </w:t>
      </w:r>
      <w:r w:rsidRPr="0071774C">
        <w:t>greater</w:t>
      </w:r>
      <w:r>
        <w:t xml:space="preserve"> </w:t>
      </w:r>
      <w:r w:rsidRPr="0071774C">
        <w:t>use</w:t>
      </w:r>
      <w:r>
        <w:t xml:space="preserve"> </w:t>
      </w:r>
      <w:r w:rsidRPr="0071774C">
        <w:t>of</w:t>
      </w:r>
      <w:r>
        <w:t xml:space="preserve"> </w:t>
      </w:r>
      <w:r w:rsidRPr="0071774C">
        <w:t>shared</w:t>
      </w:r>
      <w:r>
        <w:t xml:space="preserve"> </w:t>
      </w:r>
      <w:r w:rsidRPr="0071774C">
        <w:t>frameworks,</w:t>
      </w:r>
      <w:r>
        <w:t xml:space="preserve"> </w:t>
      </w:r>
      <w:r w:rsidRPr="0071774C">
        <w:t>particularly</w:t>
      </w:r>
      <w:r>
        <w:t xml:space="preserve"> </w:t>
      </w:r>
      <w:r w:rsidRPr="0071774C">
        <w:t>over</w:t>
      </w:r>
      <w:r>
        <w:t xml:space="preserve"> </w:t>
      </w:r>
      <w:r w:rsidRPr="0071774C">
        <w:t>the</w:t>
      </w:r>
      <w:r>
        <w:t xml:space="preserve"> </w:t>
      </w:r>
      <w:r w:rsidRPr="0071774C">
        <w:t>past</w:t>
      </w:r>
      <w:r>
        <w:t xml:space="preserve"> </w:t>
      </w:r>
      <w:r w:rsidRPr="0071774C">
        <w:t>five</w:t>
      </w:r>
      <w:r>
        <w:t xml:space="preserve"> </w:t>
      </w:r>
      <w:r w:rsidRPr="0071774C">
        <w:t>years,</w:t>
      </w:r>
      <w:r>
        <w:t xml:space="preserve"> </w:t>
      </w:r>
      <w:r w:rsidRPr="0071774C">
        <w:t>with</w:t>
      </w:r>
      <w:r>
        <w:t xml:space="preserve"> </w:t>
      </w:r>
      <w:r w:rsidRPr="0071774C">
        <w:t>survey</w:t>
      </w:r>
      <w:r>
        <w:t xml:space="preserve"> </w:t>
      </w:r>
      <w:r w:rsidRPr="0071774C">
        <w:t>data</w:t>
      </w:r>
      <w:r>
        <w:t xml:space="preserve"> </w:t>
      </w:r>
      <w:r w:rsidRPr="0071774C">
        <w:t>showing</w:t>
      </w:r>
      <w:r>
        <w:t xml:space="preserve"> </w:t>
      </w:r>
      <w:r w:rsidRPr="0071774C">
        <w:t>evidence</w:t>
      </w:r>
      <w:r>
        <w:t xml:space="preserve"> </w:t>
      </w:r>
      <w:r w:rsidRPr="0071774C">
        <w:t>of</w:t>
      </w:r>
      <w:r>
        <w:t xml:space="preserve"> </w:t>
      </w:r>
      <w:r w:rsidRPr="0071774C">
        <w:t>widespread</w:t>
      </w:r>
      <w:r>
        <w:t xml:space="preserve"> </w:t>
      </w:r>
      <w:r w:rsidRPr="0071774C">
        <w:t>adoption</w:t>
      </w:r>
      <w:r>
        <w:t xml:space="preserve"> </w:t>
      </w:r>
      <w:r w:rsidRPr="0071774C">
        <w:t>and</w:t>
      </w:r>
      <w:r>
        <w:t xml:space="preserve"> </w:t>
      </w:r>
      <w:r w:rsidRPr="0071774C">
        <w:t>reference</w:t>
      </w:r>
      <w:r>
        <w:t xml:space="preserve"> </w:t>
      </w:r>
      <w:r w:rsidRPr="0071774C">
        <w:t>to</w:t>
      </w:r>
      <w:r>
        <w:t xml:space="preserve"> </w:t>
      </w:r>
      <w:r w:rsidRPr="00ED4674">
        <w:rPr>
          <w:rStyle w:val="Emphasis"/>
        </w:rPr>
        <w:t>Change the story</w:t>
      </w:r>
      <w:r w:rsidRPr="0071774C">
        <w:t>,</w:t>
      </w:r>
      <w:r>
        <w:t xml:space="preserve"> </w:t>
      </w:r>
      <w:r w:rsidRPr="0071774C">
        <w:t>and</w:t>
      </w:r>
      <w:r>
        <w:t xml:space="preserve"> </w:t>
      </w:r>
      <w:r w:rsidRPr="0071774C">
        <w:t>some</w:t>
      </w:r>
      <w:r>
        <w:t xml:space="preserve"> </w:t>
      </w:r>
      <w:r w:rsidRPr="0071774C">
        <w:t>references</w:t>
      </w:r>
      <w:r>
        <w:t xml:space="preserve"> </w:t>
      </w:r>
      <w:r w:rsidRPr="0071774C">
        <w:t>to</w:t>
      </w:r>
      <w:r>
        <w:t xml:space="preserve"> </w:t>
      </w:r>
      <w:r w:rsidRPr="00ED4674">
        <w:rPr>
          <w:rStyle w:val="Emphasis"/>
        </w:rPr>
        <w:t>Changing the picture</w:t>
      </w:r>
      <w:r>
        <w:t>.</w:t>
      </w:r>
      <w:r w:rsidRPr="24ED14A9">
        <w:rPr>
          <w:rStyle w:val="EndnoteReference"/>
        </w:rPr>
        <w:endnoteReference w:id="153"/>
      </w:r>
      <w:r w:rsidRPr="00AA7570">
        <w:t xml:space="preserve"> </w:t>
      </w:r>
      <w:r w:rsidRPr="0071774C">
        <w:t>The</w:t>
      </w:r>
      <w:r>
        <w:t xml:space="preserve"> </w:t>
      </w:r>
      <w:r w:rsidRPr="0071774C">
        <w:t>findings</w:t>
      </w:r>
      <w:r>
        <w:t xml:space="preserve"> </w:t>
      </w:r>
      <w:r w:rsidRPr="0071774C">
        <w:t>of</w:t>
      </w:r>
      <w:r>
        <w:t xml:space="preserve"> </w:t>
      </w:r>
      <w:r w:rsidRPr="0071774C">
        <w:t>both</w:t>
      </w:r>
      <w:r>
        <w:t xml:space="preserve"> </w:t>
      </w:r>
      <w:r w:rsidRPr="0071774C">
        <w:t>the</w:t>
      </w:r>
      <w:r>
        <w:t xml:space="preserve"> </w:t>
      </w:r>
      <w:r w:rsidR="00E855A7">
        <w:t>research</w:t>
      </w:r>
      <w:r>
        <w:t xml:space="preserve"> </w:t>
      </w:r>
      <w:r w:rsidRPr="0071774C">
        <w:t>survey</w:t>
      </w:r>
      <w:r>
        <w:t xml:space="preserve"> </w:t>
      </w:r>
      <w:r w:rsidRPr="0071774C">
        <w:t>and</w:t>
      </w:r>
      <w:r>
        <w:t xml:space="preserve"> </w:t>
      </w:r>
      <w:r w:rsidRPr="0071774C">
        <w:t>a</w:t>
      </w:r>
      <w:r>
        <w:t xml:space="preserve"> </w:t>
      </w:r>
      <w:r w:rsidRPr="0071774C">
        <w:t>similar</w:t>
      </w:r>
      <w:r>
        <w:t xml:space="preserve"> </w:t>
      </w:r>
      <w:r w:rsidRPr="0071774C">
        <w:t>2019</w:t>
      </w:r>
      <w:r>
        <w:t xml:space="preserve"> </w:t>
      </w:r>
      <w:r w:rsidRPr="0071774C">
        <w:t>survey</w:t>
      </w:r>
      <w:r>
        <w:t xml:space="preserve"> </w:t>
      </w:r>
      <w:r w:rsidRPr="0071774C">
        <w:t>of</w:t>
      </w:r>
      <w:r>
        <w:t xml:space="preserve"> </w:t>
      </w:r>
      <w:r w:rsidRPr="0071774C">
        <w:t>the</w:t>
      </w:r>
      <w:r>
        <w:t xml:space="preserve"> </w:t>
      </w:r>
      <w:r w:rsidRPr="0071774C">
        <w:t>prevention</w:t>
      </w:r>
      <w:r>
        <w:t xml:space="preserve"> </w:t>
      </w:r>
      <w:r w:rsidRPr="0071774C">
        <w:t>workforce</w:t>
      </w:r>
      <w:r>
        <w:t xml:space="preserve"> </w:t>
      </w:r>
      <w:r w:rsidRPr="0071774C">
        <w:t>carried</w:t>
      </w:r>
      <w:r>
        <w:t xml:space="preserve"> </w:t>
      </w:r>
      <w:r w:rsidRPr="0071774C">
        <w:t>out</w:t>
      </w:r>
      <w:r>
        <w:t xml:space="preserve"> </w:t>
      </w:r>
      <w:r w:rsidRPr="0071774C">
        <w:t>by</w:t>
      </w:r>
      <w:r>
        <w:t xml:space="preserve"> </w:t>
      </w:r>
      <w:r w:rsidRPr="0071774C">
        <w:t>the</w:t>
      </w:r>
      <w:r>
        <w:t xml:space="preserve"> </w:t>
      </w:r>
      <w:r w:rsidRPr="0071774C">
        <w:t>Australian</w:t>
      </w:r>
      <w:r>
        <w:t xml:space="preserve"> </w:t>
      </w:r>
      <w:r w:rsidRPr="0071774C">
        <w:t>Women</w:t>
      </w:r>
      <w:r>
        <w:t xml:space="preserve"> A</w:t>
      </w:r>
      <w:r w:rsidRPr="0071774C">
        <w:t>gainst</w:t>
      </w:r>
      <w:r>
        <w:t xml:space="preserve"> </w:t>
      </w:r>
      <w:r w:rsidRPr="0071774C">
        <w:t>Violence</w:t>
      </w:r>
      <w:r>
        <w:t xml:space="preserve"> </w:t>
      </w:r>
      <w:r w:rsidRPr="0071774C">
        <w:t>Alliance</w:t>
      </w:r>
      <w:r>
        <w:t xml:space="preserve"> </w:t>
      </w:r>
      <w:r w:rsidRPr="0071774C">
        <w:t>showed</w:t>
      </w:r>
      <w:r>
        <w:t xml:space="preserve"> </w:t>
      </w:r>
      <w:r w:rsidRPr="0071774C">
        <w:t>clear</w:t>
      </w:r>
      <w:r>
        <w:t xml:space="preserve"> </w:t>
      </w:r>
      <w:r w:rsidRPr="0071774C">
        <w:t>evidence</w:t>
      </w:r>
      <w:r>
        <w:t xml:space="preserve"> </w:t>
      </w:r>
      <w:r w:rsidRPr="0071774C">
        <w:t>of</w:t>
      </w:r>
      <w:r>
        <w:t xml:space="preserve"> </w:t>
      </w:r>
      <w:r w:rsidRPr="0071774C">
        <w:t>an</w:t>
      </w:r>
      <w:r>
        <w:t xml:space="preserve"> </w:t>
      </w:r>
      <w:r w:rsidRPr="0071774C">
        <w:t>appetite</w:t>
      </w:r>
      <w:r>
        <w:t xml:space="preserve"> </w:t>
      </w:r>
      <w:r w:rsidRPr="0071774C">
        <w:t>for</w:t>
      </w:r>
      <w:r>
        <w:t xml:space="preserve"> </w:t>
      </w:r>
      <w:r w:rsidRPr="0071774C">
        <w:t>shared</w:t>
      </w:r>
      <w:r>
        <w:t xml:space="preserve"> </w:t>
      </w:r>
      <w:r w:rsidRPr="0071774C">
        <w:t>guidelines,</w:t>
      </w:r>
      <w:r>
        <w:t xml:space="preserve"> </w:t>
      </w:r>
      <w:r w:rsidRPr="0071774C">
        <w:t>tools</w:t>
      </w:r>
      <w:r>
        <w:t xml:space="preserve"> </w:t>
      </w:r>
      <w:r w:rsidRPr="0071774C">
        <w:t>and</w:t>
      </w:r>
      <w:r>
        <w:t xml:space="preserve"> </w:t>
      </w:r>
      <w:r w:rsidRPr="0071774C">
        <w:t>resources</w:t>
      </w:r>
      <w:r>
        <w:t xml:space="preserve"> </w:t>
      </w:r>
      <w:r w:rsidRPr="0071774C">
        <w:t>and</w:t>
      </w:r>
      <w:r>
        <w:t xml:space="preserve"> </w:t>
      </w:r>
      <w:r w:rsidRPr="0071774C">
        <w:t>a</w:t>
      </w:r>
      <w:r>
        <w:t xml:space="preserve"> </w:t>
      </w:r>
      <w:r w:rsidRPr="0071774C">
        <w:t>readiness</w:t>
      </w:r>
      <w:r>
        <w:t xml:space="preserve"> </w:t>
      </w:r>
      <w:r w:rsidRPr="0071774C">
        <w:t>to</w:t>
      </w:r>
      <w:r>
        <w:t xml:space="preserve"> </w:t>
      </w:r>
      <w:r w:rsidRPr="0071774C">
        <w:t>adopt</w:t>
      </w:r>
      <w:r>
        <w:t xml:space="preserve"> </w:t>
      </w:r>
      <w:r w:rsidRPr="0071774C">
        <w:t>and</w:t>
      </w:r>
      <w:r>
        <w:t xml:space="preserve"> </w:t>
      </w:r>
      <w:r w:rsidRPr="0071774C">
        <w:t>use</w:t>
      </w:r>
      <w:r>
        <w:t xml:space="preserve"> </w:t>
      </w:r>
      <w:r w:rsidRPr="0071774C">
        <w:t>these</w:t>
      </w:r>
      <w:r>
        <w:t xml:space="preserve"> </w:t>
      </w:r>
      <w:r w:rsidRPr="0071774C">
        <w:t>to</w:t>
      </w:r>
      <w:r>
        <w:t xml:space="preserve"> </w:t>
      </w:r>
      <w:r w:rsidRPr="0071774C">
        <w:t>guide</w:t>
      </w:r>
      <w:r>
        <w:t xml:space="preserve"> </w:t>
      </w:r>
      <w:r w:rsidRPr="0071774C">
        <w:t>prevention</w:t>
      </w:r>
      <w:r>
        <w:t xml:space="preserve"> </w:t>
      </w:r>
      <w:r w:rsidRPr="0071774C">
        <w:t>planning</w:t>
      </w:r>
      <w:r>
        <w:t xml:space="preserve"> </w:t>
      </w:r>
      <w:r w:rsidRPr="0071774C">
        <w:t>and</w:t>
      </w:r>
      <w:r>
        <w:t xml:space="preserve"> </w:t>
      </w:r>
      <w:r w:rsidRPr="0071774C">
        <w:t>implementation</w:t>
      </w:r>
      <w:r>
        <w:t>.</w:t>
      </w:r>
      <w:r w:rsidRPr="24ED14A9">
        <w:rPr>
          <w:rStyle w:val="EndnoteReference"/>
        </w:rPr>
        <w:endnoteReference w:id="154"/>
      </w:r>
      <w:r>
        <w:t xml:space="preserve"> </w:t>
      </w:r>
      <w:r w:rsidRPr="0071774C">
        <w:t>However</w:t>
      </w:r>
      <w:r>
        <w:t xml:space="preserve">, </w:t>
      </w:r>
      <w:r w:rsidRPr="0071774C">
        <w:t>there</w:t>
      </w:r>
      <w:r>
        <w:t xml:space="preserve"> </w:t>
      </w:r>
      <w:r w:rsidRPr="0071774C">
        <w:t>continues</w:t>
      </w:r>
      <w:r>
        <w:t xml:space="preserve"> </w:t>
      </w:r>
      <w:r w:rsidRPr="0071774C">
        <w:t>to</w:t>
      </w:r>
      <w:r>
        <w:t xml:space="preserve"> </w:t>
      </w:r>
      <w:r w:rsidRPr="0071774C">
        <w:t>be</w:t>
      </w:r>
      <w:r>
        <w:t xml:space="preserve"> </w:t>
      </w:r>
      <w:r w:rsidRPr="0071774C">
        <w:t>a</w:t>
      </w:r>
      <w:r>
        <w:t xml:space="preserve"> </w:t>
      </w:r>
      <w:r w:rsidRPr="0071774C">
        <w:t>gap</w:t>
      </w:r>
      <w:r>
        <w:t xml:space="preserve"> </w:t>
      </w:r>
      <w:r w:rsidRPr="0071774C">
        <w:t>between</w:t>
      </w:r>
      <w:r>
        <w:t xml:space="preserve"> </w:t>
      </w:r>
      <w:r w:rsidRPr="0071774C">
        <w:t>the</w:t>
      </w:r>
      <w:r>
        <w:t xml:space="preserve"> </w:t>
      </w:r>
      <w:r w:rsidRPr="0071774C">
        <w:t>number</w:t>
      </w:r>
      <w:r>
        <w:t xml:space="preserve"> </w:t>
      </w:r>
      <w:r w:rsidRPr="0071774C">
        <w:t>of</w:t>
      </w:r>
      <w:r>
        <w:t xml:space="preserve"> </w:t>
      </w:r>
      <w:r w:rsidRPr="0071774C">
        <w:t>activities</w:t>
      </w:r>
      <w:r>
        <w:t xml:space="preserve"> </w:t>
      </w:r>
      <w:r w:rsidRPr="0071774C">
        <w:t>being</w:t>
      </w:r>
      <w:r>
        <w:t xml:space="preserve"> </w:t>
      </w:r>
      <w:r w:rsidRPr="0071774C">
        <w:t>implemented</w:t>
      </w:r>
      <w:r>
        <w:t xml:space="preserve"> </w:t>
      </w:r>
      <w:r w:rsidRPr="0071774C">
        <w:t>and</w:t>
      </w:r>
      <w:r>
        <w:t xml:space="preserve"> </w:t>
      </w:r>
      <w:r w:rsidRPr="0071774C">
        <w:t>the</w:t>
      </w:r>
      <w:r>
        <w:t xml:space="preserve"> </w:t>
      </w:r>
      <w:r w:rsidRPr="0071774C">
        <w:t>number</w:t>
      </w:r>
      <w:r>
        <w:t xml:space="preserve"> </w:t>
      </w:r>
      <w:r w:rsidRPr="0071774C">
        <w:t>that</w:t>
      </w:r>
      <w:r>
        <w:t xml:space="preserve"> </w:t>
      </w:r>
      <w:r w:rsidRPr="0071774C">
        <w:t>produce</w:t>
      </w:r>
      <w:r>
        <w:t xml:space="preserve"> </w:t>
      </w:r>
      <w:r w:rsidRPr="0071774C">
        <w:t>publicly</w:t>
      </w:r>
      <w:r>
        <w:t xml:space="preserve"> </w:t>
      </w:r>
      <w:r w:rsidRPr="0071774C">
        <w:t>accessible</w:t>
      </w:r>
      <w:r>
        <w:t xml:space="preserve"> </w:t>
      </w:r>
      <w:r w:rsidRPr="0071774C">
        <w:t>evaluations.</w:t>
      </w:r>
    </w:p>
    <w:p w14:paraId="0A0CAB8B" w14:textId="77777777" w:rsidR="002C2EC7" w:rsidRDefault="002C2EC7" w:rsidP="00790783">
      <w:pPr>
        <w:pStyle w:val="BodyText"/>
      </w:pPr>
      <w:r w:rsidRPr="0071774C">
        <w:lastRenderedPageBreak/>
        <w:t>The</w:t>
      </w:r>
      <w:r>
        <w:t xml:space="preserve"> </w:t>
      </w:r>
      <w:r w:rsidRPr="0071774C">
        <w:t>diverse</w:t>
      </w:r>
      <w:r>
        <w:t xml:space="preserve"> </w:t>
      </w:r>
      <w:r w:rsidRPr="0071774C">
        <w:t>funding</w:t>
      </w:r>
      <w:r>
        <w:t xml:space="preserve"> </w:t>
      </w:r>
      <w:r w:rsidRPr="0071774C">
        <w:t>sources</w:t>
      </w:r>
      <w:r>
        <w:t xml:space="preserve"> </w:t>
      </w:r>
      <w:r w:rsidRPr="0071774C">
        <w:t>for</w:t>
      </w:r>
      <w:r>
        <w:t xml:space="preserve"> </w:t>
      </w:r>
      <w:r w:rsidRPr="0071774C">
        <w:t>primary</w:t>
      </w:r>
      <w:r>
        <w:t xml:space="preserve"> </w:t>
      </w:r>
      <w:r w:rsidRPr="0071774C">
        <w:t>prevention</w:t>
      </w:r>
      <w:r>
        <w:t xml:space="preserve"> </w:t>
      </w:r>
      <w:r w:rsidRPr="0071774C">
        <w:t>activities</w:t>
      </w:r>
      <w:r>
        <w:t xml:space="preserve">, </w:t>
      </w:r>
      <w:r w:rsidRPr="0071774C">
        <w:t>and</w:t>
      </w:r>
      <w:r>
        <w:t xml:space="preserve"> </w:t>
      </w:r>
      <w:r w:rsidRPr="0071774C">
        <w:t>the</w:t>
      </w:r>
      <w:r>
        <w:t xml:space="preserve"> </w:t>
      </w:r>
      <w:r w:rsidRPr="0071774C">
        <w:t>tendency</w:t>
      </w:r>
      <w:r>
        <w:t xml:space="preserve"> </w:t>
      </w:r>
      <w:r w:rsidRPr="0071774C">
        <w:t>for</w:t>
      </w:r>
      <w:r>
        <w:t xml:space="preserve"> </w:t>
      </w:r>
      <w:r w:rsidRPr="0071774C">
        <w:t>funding</w:t>
      </w:r>
      <w:r>
        <w:t xml:space="preserve"> </w:t>
      </w:r>
      <w:r w:rsidRPr="0071774C">
        <w:t>to</w:t>
      </w:r>
      <w:r>
        <w:t xml:space="preserve"> </w:t>
      </w:r>
      <w:r w:rsidRPr="0071774C">
        <w:t>be</w:t>
      </w:r>
      <w:r>
        <w:t xml:space="preserve"> </w:t>
      </w:r>
      <w:r w:rsidRPr="0071774C">
        <w:t>one-off</w:t>
      </w:r>
      <w:r>
        <w:t xml:space="preserve"> </w:t>
      </w:r>
      <w:r w:rsidRPr="0071774C">
        <w:t>and</w:t>
      </w:r>
      <w:r>
        <w:t xml:space="preserve"> </w:t>
      </w:r>
      <w:r w:rsidRPr="0071774C">
        <w:t>relatively</w:t>
      </w:r>
      <w:r>
        <w:t xml:space="preserve"> </w:t>
      </w:r>
      <w:r w:rsidRPr="0071774C">
        <w:t>short-term,</w:t>
      </w:r>
      <w:r>
        <w:t xml:space="preserve"> </w:t>
      </w:r>
      <w:r w:rsidRPr="0071774C">
        <w:t>results</w:t>
      </w:r>
      <w:r>
        <w:t xml:space="preserve"> </w:t>
      </w:r>
      <w:r w:rsidRPr="0071774C">
        <w:t>in</w:t>
      </w:r>
      <w:r>
        <w:t xml:space="preserve"> </w:t>
      </w:r>
      <w:r w:rsidRPr="0071774C">
        <w:t>the</w:t>
      </w:r>
      <w:r>
        <w:t xml:space="preserve"> </w:t>
      </w:r>
      <w:r w:rsidRPr="0071774C">
        <w:t>constant</w:t>
      </w:r>
      <w:r>
        <w:t xml:space="preserve"> </w:t>
      </w:r>
      <w:r w:rsidRPr="0071774C">
        <w:t>emergence</w:t>
      </w:r>
      <w:r>
        <w:t xml:space="preserve"> </w:t>
      </w:r>
      <w:r w:rsidRPr="0071774C">
        <w:t>of</w:t>
      </w:r>
      <w:r>
        <w:t xml:space="preserve"> </w:t>
      </w:r>
      <w:r w:rsidRPr="0071774C">
        <w:t>new</w:t>
      </w:r>
      <w:r>
        <w:t xml:space="preserve"> </w:t>
      </w:r>
      <w:r w:rsidRPr="0071774C">
        <w:t>activities</w:t>
      </w:r>
      <w:r>
        <w:t xml:space="preserve"> </w:t>
      </w:r>
      <w:r w:rsidRPr="0071774C">
        <w:t>and</w:t>
      </w:r>
      <w:r>
        <w:t xml:space="preserve"> </w:t>
      </w:r>
      <w:r w:rsidRPr="0071774C">
        <w:t>the</w:t>
      </w:r>
      <w:r>
        <w:t xml:space="preserve"> </w:t>
      </w:r>
      <w:r w:rsidRPr="0071774C">
        <w:t>disappearance</w:t>
      </w:r>
      <w:r>
        <w:t xml:space="preserve"> </w:t>
      </w:r>
      <w:r w:rsidRPr="0071774C">
        <w:t>of</w:t>
      </w:r>
      <w:r>
        <w:t xml:space="preserve"> </w:t>
      </w:r>
      <w:r w:rsidRPr="0071774C">
        <w:t>old</w:t>
      </w:r>
      <w:r>
        <w:t xml:space="preserve"> </w:t>
      </w:r>
      <w:r w:rsidRPr="0071774C">
        <w:t>ones,</w:t>
      </w:r>
      <w:r>
        <w:t xml:space="preserve"> </w:t>
      </w:r>
      <w:r w:rsidRPr="0071774C">
        <w:t>regardless</w:t>
      </w:r>
      <w:r>
        <w:t xml:space="preserve"> </w:t>
      </w:r>
      <w:r w:rsidRPr="0071774C">
        <w:t>of</w:t>
      </w:r>
      <w:r>
        <w:t xml:space="preserve"> </w:t>
      </w:r>
      <w:r w:rsidRPr="0071774C">
        <w:t>their</w:t>
      </w:r>
      <w:r>
        <w:t xml:space="preserve"> </w:t>
      </w:r>
      <w:r w:rsidRPr="0071774C">
        <w:t>effectiveness.</w:t>
      </w:r>
      <w:r>
        <w:t xml:space="preserve"> </w:t>
      </w:r>
      <w:r w:rsidRPr="0071774C">
        <w:t>At</w:t>
      </w:r>
      <w:r>
        <w:t xml:space="preserve"> </w:t>
      </w:r>
      <w:r w:rsidRPr="0071774C">
        <w:t>various</w:t>
      </w:r>
      <w:r>
        <w:t xml:space="preserve"> </w:t>
      </w:r>
      <w:r w:rsidRPr="0071774C">
        <w:t>points</w:t>
      </w:r>
      <w:r>
        <w:t xml:space="preserve"> </w:t>
      </w:r>
      <w:r w:rsidRPr="0071774C">
        <w:t>in</w:t>
      </w:r>
      <w:r>
        <w:t xml:space="preserve"> </w:t>
      </w:r>
      <w:r w:rsidRPr="0071774C">
        <w:t>time,</w:t>
      </w:r>
      <w:r>
        <w:t xml:space="preserve"> </w:t>
      </w:r>
      <w:r w:rsidRPr="0071774C">
        <w:t>there</w:t>
      </w:r>
      <w:r>
        <w:t xml:space="preserve"> </w:t>
      </w:r>
      <w:r w:rsidRPr="0071774C">
        <w:t>have</w:t>
      </w:r>
      <w:r>
        <w:t xml:space="preserve"> </w:t>
      </w:r>
      <w:r w:rsidRPr="0071774C">
        <w:t>been</w:t>
      </w:r>
      <w:r>
        <w:t xml:space="preserve"> </w:t>
      </w:r>
      <w:r w:rsidRPr="0071774C">
        <w:t>attempts</w:t>
      </w:r>
      <w:r>
        <w:t xml:space="preserve"> </w:t>
      </w:r>
      <w:r w:rsidRPr="0071774C">
        <w:t>to</w:t>
      </w:r>
      <w:r>
        <w:t xml:space="preserve"> </w:t>
      </w:r>
      <w:r w:rsidRPr="0071774C">
        <w:t>collate</w:t>
      </w:r>
      <w:r>
        <w:t xml:space="preserve"> </w:t>
      </w:r>
      <w:r w:rsidRPr="0071774C">
        <w:t>and</w:t>
      </w:r>
      <w:r>
        <w:t xml:space="preserve"> </w:t>
      </w:r>
      <w:r w:rsidRPr="0071774C">
        <w:t>distil</w:t>
      </w:r>
      <w:r>
        <w:t xml:space="preserve"> </w:t>
      </w:r>
      <w:r w:rsidRPr="0071774C">
        <w:t>information</w:t>
      </w:r>
      <w:r>
        <w:t xml:space="preserve"> </w:t>
      </w:r>
      <w:r w:rsidRPr="0071774C">
        <w:t>on</w:t>
      </w:r>
      <w:r>
        <w:t xml:space="preserve"> </w:t>
      </w:r>
      <w:r w:rsidRPr="0071774C">
        <w:t>a</w:t>
      </w:r>
      <w:r>
        <w:t xml:space="preserve"> </w:t>
      </w:r>
      <w:r w:rsidRPr="0071774C">
        <w:t>range</w:t>
      </w:r>
      <w:r>
        <w:t xml:space="preserve"> </w:t>
      </w:r>
      <w:r w:rsidRPr="0071774C">
        <w:t>of</w:t>
      </w:r>
      <w:r>
        <w:t xml:space="preserve"> </w:t>
      </w:r>
      <w:r w:rsidRPr="0071774C">
        <w:t>actions</w:t>
      </w:r>
      <w:r>
        <w:t xml:space="preserve"> </w:t>
      </w:r>
      <w:r w:rsidRPr="0071774C">
        <w:t>across</w:t>
      </w:r>
      <w:r>
        <w:t xml:space="preserve"> </w:t>
      </w:r>
      <w:r w:rsidRPr="005068F2">
        <w:t>the</w:t>
      </w:r>
      <w:r>
        <w:t xml:space="preserve"> </w:t>
      </w:r>
      <w:r w:rsidRPr="005068F2">
        <w:t>country,</w:t>
      </w:r>
      <w:r w:rsidRPr="005068F2">
        <w:rPr>
          <w:vertAlign w:val="superscript"/>
        </w:rPr>
        <w:endnoteReference w:id="155"/>
      </w:r>
      <w:r>
        <w:t xml:space="preserve"> </w:t>
      </w:r>
      <w:r w:rsidRPr="0092788A">
        <w:t>but</w:t>
      </w:r>
      <w:r>
        <w:t xml:space="preserve"> </w:t>
      </w:r>
      <w:r w:rsidRPr="0092788A">
        <w:t>in</w:t>
      </w:r>
      <w:r>
        <w:t xml:space="preserve"> </w:t>
      </w:r>
      <w:r w:rsidRPr="0092788A">
        <w:t>general</w:t>
      </w:r>
      <w:r>
        <w:t xml:space="preserve"> </w:t>
      </w:r>
      <w:r w:rsidRPr="0092788A">
        <w:t>this</w:t>
      </w:r>
      <w:r>
        <w:t xml:space="preserve"> </w:t>
      </w:r>
      <w:r w:rsidRPr="0092788A">
        <w:t>tendency</w:t>
      </w:r>
      <w:r>
        <w:t xml:space="preserve"> </w:t>
      </w:r>
      <w:r w:rsidRPr="0092788A">
        <w:t>for</w:t>
      </w:r>
      <w:r>
        <w:t xml:space="preserve"> </w:t>
      </w:r>
      <w:r w:rsidRPr="0092788A">
        <w:t>short-term</w:t>
      </w:r>
      <w:r>
        <w:t xml:space="preserve"> </w:t>
      </w:r>
      <w:r w:rsidRPr="0092788A">
        <w:t>approaches</w:t>
      </w:r>
      <w:r>
        <w:t xml:space="preserve"> </w:t>
      </w:r>
      <w:r w:rsidRPr="00C73869">
        <w:t>makes</w:t>
      </w:r>
      <w:r>
        <w:t xml:space="preserve"> </w:t>
      </w:r>
      <w:r w:rsidRPr="00C73869">
        <w:t>creating</w:t>
      </w:r>
      <w:r>
        <w:t xml:space="preserve"> </w:t>
      </w:r>
      <w:r w:rsidRPr="00C73869">
        <w:t>a</w:t>
      </w:r>
      <w:r>
        <w:t xml:space="preserve"> </w:t>
      </w:r>
      <w:r w:rsidRPr="00C73869">
        <w:t>reliable</w:t>
      </w:r>
      <w:r>
        <w:t xml:space="preserve"> </w:t>
      </w:r>
      <w:r w:rsidRPr="00C73869">
        <w:t>snapshot</w:t>
      </w:r>
      <w:r>
        <w:t xml:space="preserve"> </w:t>
      </w:r>
      <w:r w:rsidRPr="00C73869">
        <w:t>of</w:t>
      </w:r>
      <w:r>
        <w:t xml:space="preserve"> </w:t>
      </w:r>
      <w:r w:rsidRPr="00C73869">
        <w:t>primary</w:t>
      </w:r>
      <w:r>
        <w:t xml:space="preserve"> </w:t>
      </w:r>
      <w:r w:rsidRPr="00C73869">
        <w:t>prevention</w:t>
      </w:r>
      <w:r>
        <w:t xml:space="preserve"> </w:t>
      </w:r>
      <w:r w:rsidRPr="00C73869">
        <w:t>activity</w:t>
      </w:r>
      <w:r>
        <w:t xml:space="preserve"> </w:t>
      </w:r>
      <w:r w:rsidRPr="00C73869">
        <w:t>challenging.</w:t>
      </w:r>
    </w:p>
    <w:p w14:paraId="231D9DFC" w14:textId="3139F4AA" w:rsidR="002C2EC7" w:rsidRDefault="002C2EC7" w:rsidP="00437ED1">
      <w:pPr>
        <w:pStyle w:val="OWBodytextlargespacebelow"/>
      </w:pPr>
      <w:r w:rsidRPr="0071774C">
        <w:t>In</w:t>
      </w:r>
      <w:r>
        <w:t xml:space="preserve"> </w:t>
      </w:r>
      <w:r w:rsidRPr="0071774C">
        <w:t>recognition</w:t>
      </w:r>
      <w:r>
        <w:t xml:space="preserve"> </w:t>
      </w:r>
      <w:r w:rsidRPr="0071774C">
        <w:t>of</w:t>
      </w:r>
      <w:r>
        <w:t xml:space="preserve"> </w:t>
      </w:r>
      <w:r w:rsidRPr="0071774C">
        <w:t>a</w:t>
      </w:r>
      <w:r>
        <w:t xml:space="preserve"> </w:t>
      </w:r>
      <w:r w:rsidRPr="0071774C">
        <w:t>need</w:t>
      </w:r>
      <w:r>
        <w:t xml:space="preserve"> </w:t>
      </w:r>
      <w:r w:rsidRPr="0071774C">
        <w:t>for</w:t>
      </w:r>
      <w:r>
        <w:t xml:space="preserve"> </w:t>
      </w:r>
      <w:r w:rsidRPr="0071774C">
        <w:t>improved</w:t>
      </w:r>
      <w:r>
        <w:t xml:space="preserve"> </w:t>
      </w:r>
      <w:r w:rsidRPr="0071774C">
        <w:t>information</w:t>
      </w:r>
      <w:r>
        <w:t xml:space="preserve"> </w:t>
      </w:r>
      <w:r w:rsidRPr="0071774C">
        <w:t>sharing</w:t>
      </w:r>
      <w:r>
        <w:t xml:space="preserve"> </w:t>
      </w:r>
      <w:r w:rsidRPr="0071774C">
        <w:t>and</w:t>
      </w:r>
      <w:r>
        <w:t xml:space="preserve"> </w:t>
      </w:r>
      <w:r w:rsidRPr="0071774C">
        <w:t>knowledge</w:t>
      </w:r>
      <w:r>
        <w:t xml:space="preserve"> </w:t>
      </w:r>
      <w:r w:rsidRPr="0071774C">
        <w:t>translation</w:t>
      </w:r>
      <w:r>
        <w:t xml:space="preserve"> </w:t>
      </w:r>
      <w:r w:rsidRPr="0071774C">
        <w:t>to</w:t>
      </w:r>
      <w:r>
        <w:t xml:space="preserve"> </w:t>
      </w:r>
      <w:r w:rsidRPr="0071774C">
        <w:t>inform</w:t>
      </w:r>
      <w:r>
        <w:rPr>
          <w:color w:val="0078D4"/>
        </w:rPr>
        <w:t xml:space="preserve"> </w:t>
      </w:r>
      <w:r w:rsidRPr="0092788A">
        <w:t>primary</w:t>
      </w:r>
      <w:r>
        <w:t xml:space="preserve"> </w:t>
      </w:r>
      <w:r w:rsidRPr="0071774C">
        <w:t>prevention</w:t>
      </w:r>
      <w:r>
        <w:t xml:space="preserve"> </w:t>
      </w:r>
      <w:r w:rsidRPr="0071774C">
        <w:t>planning</w:t>
      </w:r>
      <w:r>
        <w:t xml:space="preserve"> </w:t>
      </w:r>
      <w:r w:rsidRPr="0071774C">
        <w:t>and</w:t>
      </w:r>
      <w:r>
        <w:t xml:space="preserve"> </w:t>
      </w:r>
      <w:r w:rsidRPr="0071774C">
        <w:t>implementation,</w:t>
      </w:r>
      <w:r>
        <w:t xml:space="preserve"> </w:t>
      </w:r>
      <w:r w:rsidRPr="0071774C">
        <w:t>several</w:t>
      </w:r>
      <w:r>
        <w:rPr>
          <w:color w:val="0078D4"/>
        </w:rPr>
        <w:t xml:space="preserve"> </w:t>
      </w:r>
      <w:r w:rsidRPr="0071774C">
        <w:t>prevention</w:t>
      </w:r>
      <w:r>
        <w:t xml:space="preserve"> </w:t>
      </w:r>
      <w:r w:rsidRPr="0071774C">
        <w:t>hubs</w:t>
      </w:r>
      <w:r>
        <w:t xml:space="preserve"> </w:t>
      </w:r>
      <w:r w:rsidRPr="0071774C">
        <w:t>are</w:t>
      </w:r>
      <w:r>
        <w:t xml:space="preserve"> </w:t>
      </w:r>
      <w:r w:rsidRPr="0071774C">
        <w:t>now</w:t>
      </w:r>
      <w:r>
        <w:t xml:space="preserve"> </w:t>
      </w:r>
      <w:r w:rsidRPr="0071774C">
        <w:t>emer</w:t>
      </w:r>
      <w:r w:rsidRPr="00691B07">
        <w:t>ging</w:t>
      </w:r>
      <w:r w:rsidR="00BA1D61" w:rsidRPr="00691B07">
        <w:t xml:space="preserve"> </w:t>
      </w:r>
      <w:r w:rsidR="00ED696B" w:rsidRPr="00691B07">
        <w:t>–</w:t>
      </w:r>
      <w:r w:rsidR="00BA1D61" w:rsidRPr="00691B07">
        <w:t xml:space="preserve"> includ</w:t>
      </w:r>
      <w:r w:rsidR="00691B07" w:rsidRPr="00691B07">
        <w:t>ing</w:t>
      </w:r>
      <w:r w:rsidR="00BA1D61" w:rsidRPr="00691B07">
        <w:t xml:space="preserve"> those mentioned</w:t>
      </w:r>
      <w:r w:rsidR="003E7F07" w:rsidRPr="00691B07">
        <w:t xml:space="preserve"> previously</w:t>
      </w:r>
      <w:r w:rsidR="00ED63BB" w:rsidRPr="00691B07">
        <w:t xml:space="preserve"> (p.</w:t>
      </w:r>
      <w:r w:rsidR="00ED696B" w:rsidRPr="00691B07">
        <w:t xml:space="preserve"> </w:t>
      </w:r>
      <w:r w:rsidR="008D6EEA">
        <w:rPr>
          <w:color w:val="2B579A"/>
          <w:shd w:val="clear" w:color="auto" w:fill="E6E6E6"/>
        </w:rPr>
        <w:fldChar w:fldCharType="begin"/>
      </w:r>
      <w:r w:rsidR="008D6EEA">
        <w:instrText xml:space="preserve"> PAGEREF _Ref47952083 \h </w:instrText>
      </w:r>
      <w:r w:rsidR="008D6EEA">
        <w:rPr>
          <w:color w:val="2B579A"/>
          <w:shd w:val="clear" w:color="auto" w:fill="E6E6E6"/>
        </w:rPr>
      </w:r>
      <w:r w:rsidR="008D6EEA">
        <w:rPr>
          <w:color w:val="2B579A"/>
          <w:shd w:val="clear" w:color="auto" w:fill="E6E6E6"/>
        </w:rPr>
        <w:fldChar w:fldCharType="separate"/>
      </w:r>
      <w:r w:rsidR="00F53B39">
        <w:rPr>
          <w:noProof/>
        </w:rPr>
        <w:t>53</w:t>
      </w:r>
      <w:r w:rsidR="008D6EEA">
        <w:rPr>
          <w:color w:val="2B579A"/>
          <w:shd w:val="clear" w:color="auto" w:fill="E6E6E6"/>
        </w:rPr>
        <w:fldChar w:fldCharType="end"/>
      </w:r>
      <w:r w:rsidR="00ED63BB" w:rsidRPr="00691B07">
        <w:t>).</w:t>
      </w:r>
      <w:r w:rsidR="00ED696B" w:rsidRPr="00691B07">
        <w:t xml:space="preserve"> </w:t>
      </w:r>
      <w:r w:rsidRPr="00691B07">
        <w:t>Onl</w:t>
      </w:r>
      <w:r w:rsidRPr="0071774C">
        <w:t>ine</w:t>
      </w:r>
      <w:r>
        <w:t xml:space="preserve"> </w:t>
      </w:r>
      <w:r w:rsidRPr="0071774C">
        <w:t>since</w:t>
      </w:r>
      <w:r>
        <w:t xml:space="preserve"> </w:t>
      </w:r>
      <w:r w:rsidRPr="0071774C">
        <w:t>2017,</w:t>
      </w:r>
      <w:r>
        <w:t xml:space="preserve"> </w:t>
      </w:r>
      <w:r w:rsidRPr="0071774C">
        <w:t>the</w:t>
      </w:r>
      <w:r>
        <w:t xml:space="preserve"> </w:t>
      </w:r>
      <w:r w:rsidRPr="0071774C">
        <w:t>GEN</w:t>
      </w:r>
      <w:r>
        <w:t xml:space="preserve"> </w:t>
      </w:r>
      <w:r w:rsidRPr="0071774C">
        <w:t>VIC</w:t>
      </w:r>
      <w:r>
        <w:t xml:space="preserve"> </w:t>
      </w:r>
      <w:r w:rsidRPr="0071774C">
        <w:t>Action</w:t>
      </w:r>
      <w:r>
        <w:t xml:space="preserve"> </w:t>
      </w:r>
      <w:r w:rsidRPr="0071774C">
        <w:t>to</w:t>
      </w:r>
      <w:r>
        <w:t xml:space="preserve"> </w:t>
      </w:r>
      <w:r w:rsidRPr="0071774C">
        <w:t>Prevent</w:t>
      </w:r>
      <w:r>
        <w:t xml:space="preserve"> </w:t>
      </w:r>
      <w:r w:rsidRPr="0071774C">
        <w:t>Violence</w:t>
      </w:r>
      <w:r>
        <w:t xml:space="preserve"> </w:t>
      </w:r>
      <w:r w:rsidRPr="0071774C">
        <w:t>Against</w:t>
      </w:r>
      <w:r>
        <w:t xml:space="preserve"> </w:t>
      </w:r>
      <w:r w:rsidRPr="0071774C">
        <w:t>Women</w:t>
      </w:r>
      <w:r>
        <w:t xml:space="preserve"> </w:t>
      </w:r>
      <w:r w:rsidRPr="0071774C">
        <w:t>resource</w:t>
      </w:r>
      <w:r>
        <w:t xml:space="preserve"> </w:t>
      </w:r>
      <w:r w:rsidRPr="0071774C">
        <w:t>hub</w:t>
      </w:r>
      <w:r w:rsidRPr="79C6772F">
        <w:rPr>
          <w:rStyle w:val="EndnoteReference"/>
        </w:rPr>
        <w:endnoteReference w:id="156"/>
      </w:r>
      <w:r>
        <w:t xml:space="preserve"> </w:t>
      </w:r>
      <w:r w:rsidRPr="0071774C">
        <w:t>aims</w:t>
      </w:r>
      <w:r>
        <w:t xml:space="preserve"> </w:t>
      </w:r>
      <w:r w:rsidRPr="0071774C">
        <w:t>to</w:t>
      </w:r>
      <w:r>
        <w:t xml:space="preserve"> </w:t>
      </w:r>
      <w:r w:rsidRPr="0071774C">
        <w:t>promote</w:t>
      </w:r>
      <w:r>
        <w:t xml:space="preserve"> </w:t>
      </w:r>
      <w:r w:rsidRPr="0071774C">
        <w:t>strategic</w:t>
      </w:r>
      <w:r>
        <w:t xml:space="preserve"> </w:t>
      </w:r>
      <w:r w:rsidRPr="0071774C">
        <w:t>and</w:t>
      </w:r>
      <w:r>
        <w:t xml:space="preserve"> </w:t>
      </w:r>
      <w:r w:rsidRPr="0071774C">
        <w:t>collaborative</w:t>
      </w:r>
      <w:r>
        <w:t xml:space="preserve"> </w:t>
      </w:r>
      <w:r w:rsidRPr="0071774C">
        <w:t>prevention</w:t>
      </w:r>
      <w:r>
        <w:t xml:space="preserve"> </w:t>
      </w:r>
      <w:r w:rsidRPr="0071774C">
        <w:t>efforts,</w:t>
      </w:r>
      <w:r>
        <w:t xml:space="preserve"> </w:t>
      </w:r>
      <w:r w:rsidRPr="0071774C">
        <w:t>while</w:t>
      </w:r>
      <w:r>
        <w:t xml:space="preserve"> </w:t>
      </w:r>
      <w:r w:rsidRPr="0071774C">
        <w:t>also</w:t>
      </w:r>
      <w:r>
        <w:t xml:space="preserve"> </w:t>
      </w:r>
      <w:r w:rsidRPr="0071774C">
        <w:t>building</w:t>
      </w:r>
      <w:r>
        <w:t xml:space="preserve"> ‘</w:t>
      </w:r>
      <w:r w:rsidRPr="0071774C">
        <w:t>the</w:t>
      </w:r>
      <w:r>
        <w:t xml:space="preserve"> </w:t>
      </w:r>
      <w:r w:rsidRPr="0071774C">
        <w:t>skills</w:t>
      </w:r>
      <w:r>
        <w:t xml:space="preserve"> </w:t>
      </w:r>
      <w:r w:rsidRPr="0071774C">
        <w:t>and</w:t>
      </w:r>
      <w:r>
        <w:t xml:space="preserve"> </w:t>
      </w:r>
      <w:r w:rsidRPr="0071774C">
        <w:t>knowledge</w:t>
      </w:r>
      <w:r>
        <w:t xml:space="preserve"> </w:t>
      </w:r>
      <w:r w:rsidRPr="0071774C">
        <w:t>of</w:t>
      </w:r>
      <w:r>
        <w:t xml:space="preserve"> </w:t>
      </w:r>
      <w:r w:rsidRPr="0071774C">
        <w:t>professionals</w:t>
      </w:r>
      <w:r>
        <w:t xml:space="preserve"> </w:t>
      </w:r>
      <w:r w:rsidRPr="0071774C">
        <w:t>to</w:t>
      </w:r>
      <w:r>
        <w:t xml:space="preserve"> </w:t>
      </w:r>
      <w:r w:rsidRPr="0071774C">
        <w:t>deliver</w:t>
      </w:r>
      <w:r>
        <w:t xml:space="preserve"> </w:t>
      </w:r>
      <w:r w:rsidRPr="0071774C">
        <w:t>effective</w:t>
      </w:r>
      <w:r>
        <w:t xml:space="preserve"> </w:t>
      </w:r>
      <w:r w:rsidRPr="0071774C">
        <w:t>violence</w:t>
      </w:r>
      <w:r>
        <w:t xml:space="preserve"> </w:t>
      </w:r>
      <w:r w:rsidRPr="0071774C">
        <w:t>prevention</w:t>
      </w:r>
      <w:r>
        <w:t xml:space="preserve"> </w:t>
      </w:r>
      <w:r w:rsidRPr="0071774C">
        <w:t>initiatives</w:t>
      </w:r>
      <w:r>
        <w:t>’.</w:t>
      </w:r>
      <w:r w:rsidRPr="79C6772F">
        <w:rPr>
          <w:rStyle w:val="EndnoteReference"/>
        </w:rPr>
        <w:endnoteReference w:id="157"/>
      </w:r>
      <w:r>
        <w:t xml:space="preserve"> </w:t>
      </w:r>
      <w:r w:rsidRPr="0071774C">
        <w:t>This</w:t>
      </w:r>
      <w:r>
        <w:t xml:space="preserve"> </w:t>
      </w:r>
      <w:r w:rsidRPr="0071774C">
        <w:t>site</w:t>
      </w:r>
      <w:r>
        <w:t xml:space="preserve"> </w:t>
      </w:r>
      <w:r w:rsidRPr="0071774C">
        <w:t>contains</w:t>
      </w:r>
      <w:r>
        <w:t xml:space="preserve"> </w:t>
      </w:r>
      <w:r w:rsidRPr="0071774C">
        <w:t>links</w:t>
      </w:r>
      <w:r>
        <w:t xml:space="preserve"> </w:t>
      </w:r>
      <w:r w:rsidRPr="0071774C">
        <w:t>to</w:t>
      </w:r>
      <w:r>
        <w:t xml:space="preserve"> </w:t>
      </w:r>
      <w:r w:rsidRPr="0071774C">
        <w:t>information</w:t>
      </w:r>
      <w:r>
        <w:t xml:space="preserve"> </w:t>
      </w:r>
      <w:r w:rsidRPr="0071774C">
        <w:t>about</w:t>
      </w:r>
      <w:r>
        <w:t xml:space="preserve"> </w:t>
      </w:r>
      <w:r w:rsidRPr="0071774C">
        <w:t>training,</w:t>
      </w:r>
      <w:r>
        <w:t xml:space="preserve"> </w:t>
      </w:r>
      <w:r w:rsidRPr="0071774C">
        <w:t>resources,</w:t>
      </w:r>
      <w:r>
        <w:t xml:space="preserve"> </w:t>
      </w:r>
      <w:r w:rsidRPr="0071774C">
        <w:t>policy</w:t>
      </w:r>
      <w:r>
        <w:t xml:space="preserve"> </w:t>
      </w:r>
      <w:r w:rsidRPr="0071774C">
        <w:t>guidance</w:t>
      </w:r>
      <w:r>
        <w:t xml:space="preserve">, </w:t>
      </w:r>
      <w:r w:rsidRPr="0071774C">
        <w:t>and</w:t>
      </w:r>
      <w:r>
        <w:t xml:space="preserve"> </w:t>
      </w:r>
      <w:r w:rsidRPr="0071774C">
        <w:t>locations</w:t>
      </w:r>
      <w:r>
        <w:t xml:space="preserve"> </w:t>
      </w:r>
      <w:r w:rsidRPr="0071774C">
        <w:t>and</w:t>
      </w:r>
      <w:r>
        <w:t xml:space="preserve"> </w:t>
      </w:r>
      <w:r w:rsidRPr="0071774C">
        <w:t>activities</w:t>
      </w:r>
      <w:r>
        <w:t xml:space="preserve"> </w:t>
      </w:r>
      <w:r w:rsidRPr="0071774C">
        <w:t>of</w:t>
      </w:r>
      <w:r>
        <w:t xml:space="preserve"> </w:t>
      </w:r>
      <w:r w:rsidRPr="0071774C">
        <w:t>various</w:t>
      </w:r>
      <w:r>
        <w:t xml:space="preserve"> </w:t>
      </w:r>
      <w:r w:rsidRPr="0071774C">
        <w:t>regional</w:t>
      </w:r>
      <w:r>
        <w:t xml:space="preserve"> </w:t>
      </w:r>
      <w:r w:rsidRPr="0071774C">
        <w:t>partnerships</w:t>
      </w:r>
      <w:r>
        <w:t xml:space="preserve"> </w:t>
      </w:r>
      <w:r w:rsidRPr="0071774C">
        <w:t>across</w:t>
      </w:r>
      <w:r>
        <w:t xml:space="preserve"> </w:t>
      </w:r>
      <w:r w:rsidRPr="0071774C">
        <w:t>Victoria.</w:t>
      </w:r>
      <w:r>
        <w:t xml:space="preserve"> </w:t>
      </w:r>
      <w:r w:rsidRPr="0071774C">
        <w:t>Through</w:t>
      </w:r>
      <w:r>
        <w:t xml:space="preserve"> </w:t>
      </w:r>
      <w:r w:rsidRPr="0071774C">
        <w:t>its</w:t>
      </w:r>
      <w:r>
        <w:t xml:space="preserve"> </w:t>
      </w:r>
      <w:r w:rsidRPr="0071774C">
        <w:t>library</w:t>
      </w:r>
      <w:r>
        <w:t xml:space="preserve"> </w:t>
      </w:r>
      <w:r w:rsidRPr="0071774C">
        <w:t>of</w:t>
      </w:r>
      <w:r>
        <w:t xml:space="preserve"> </w:t>
      </w:r>
      <w:r w:rsidRPr="0071774C">
        <w:t>resources,</w:t>
      </w:r>
      <w:r>
        <w:t xml:space="preserve"> </w:t>
      </w:r>
      <w:r w:rsidRPr="0071774C">
        <w:t>this</w:t>
      </w:r>
      <w:r>
        <w:t xml:space="preserve"> </w:t>
      </w:r>
      <w:r w:rsidRPr="0071774C">
        <w:t>site</w:t>
      </w:r>
      <w:r>
        <w:t xml:space="preserve"> </w:t>
      </w:r>
      <w:r w:rsidRPr="0071774C">
        <w:t>shares</w:t>
      </w:r>
      <w:r>
        <w:t xml:space="preserve"> </w:t>
      </w:r>
      <w:r w:rsidRPr="0071774C">
        <w:t>information</w:t>
      </w:r>
      <w:r>
        <w:t xml:space="preserve"> </w:t>
      </w:r>
      <w:r w:rsidRPr="0071774C">
        <w:t>and</w:t>
      </w:r>
      <w:r>
        <w:t xml:space="preserve"> </w:t>
      </w:r>
      <w:r w:rsidRPr="0071774C">
        <w:t>connects</w:t>
      </w:r>
      <w:r>
        <w:t xml:space="preserve"> </w:t>
      </w:r>
      <w:r w:rsidRPr="0071774C">
        <w:t>prevention</w:t>
      </w:r>
      <w:r>
        <w:t xml:space="preserve"> </w:t>
      </w:r>
      <w:r w:rsidRPr="0071774C">
        <w:t>practitioners</w:t>
      </w:r>
      <w:r>
        <w:t xml:space="preserve">, </w:t>
      </w:r>
      <w:r w:rsidRPr="0071774C">
        <w:t>with</w:t>
      </w:r>
      <w:r>
        <w:t xml:space="preserve"> </w:t>
      </w:r>
      <w:r w:rsidRPr="0071774C">
        <w:t>the</w:t>
      </w:r>
      <w:r>
        <w:t xml:space="preserve"> </w:t>
      </w:r>
      <w:r w:rsidRPr="0071774C">
        <w:t>ultimate</w:t>
      </w:r>
      <w:r>
        <w:t xml:space="preserve"> </w:t>
      </w:r>
      <w:r w:rsidRPr="0071774C">
        <w:t>aim</w:t>
      </w:r>
      <w:r>
        <w:t xml:space="preserve"> </w:t>
      </w:r>
      <w:r w:rsidRPr="0071774C">
        <w:t>of</w:t>
      </w:r>
      <w:r>
        <w:t xml:space="preserve"> </w:t>
      </w:r>
      <w:r w:rsidRPr="0071774C">
        <w:t>influencing</w:t>
      </w:r>
      <w:r>
        <w:t xml:space="preserve"> </w:t>
      </w:r>
      <w:r w:rsidRPr="0071774C">
        <w:t>policy,</w:t>
      </w:r>
      <w:r>
        <w:t xml:space="preserve"> </w:t>
      </w:r>
      <w:r w:rsidRPr="0071774C">
        <w:t>reducing</w:t>
      </w:r>
      <w:r>
        <w:t xml:space="preserve"> </w:t>
      </w:r>
      <w:r w:rsidRPr="0071774C">
        <w:t>social</w:t>
      </w:r>
      <w:r>
        <w:t xml:space="preserve"> </w:t>
      </w:r>
      <w:r w:rsidRPr="0071774C">
        <w:t>inequities,</w:t>
      </w:r>
      <w:r>
        <w:t xml:space="preserve"> </w:t>
      </w:r>
      <w:r w:rsidRPr="0071774C">
        <w:t>and</w:t>
      </w:r>
      <w:r>
        <w:t xml:space="preserve"> </w:t>
      </w:r>
      <w:r w:rsidRPr="0071774C">
        <w:t>promoting</w:t>
      </w:r>
      <w:r>
        <w:t xml:space="preserve"> </w:t>
      </w:r>
      <w:r w:rsidRPr="0071774C">
        <w:t>health.</w:t>
      </w:r>
      <w:r>
        <w:t xml:space="preserve"> </w:t>
      </w:r>
      <w:r w:rsidRPr="0071774C">
        <w:t>The</w:t>
      </w:r>
      <w:r>
        <w:t xml:space="preserve"> </w:t>
      </w:r>
      <w:r w:rsidRPr="0071774C">
        <w:t>emergence</w:t>
      </w:r>
      <w:r>
        <w:t xml:space="preserve"> </w:t>
      </w:r>
      <w:r w:rsidRPr="0071774C">
        <w:t>of</w:t>
      </w:r>
      <w:r>
        <w:t xml:space="preserve"> </w:t>
      </w:r>
      <w:r w:rsidRPr="0071774C">
        <w:t>such</w:t>
      </w:r>
      <w:r>
        <w:t xml:space="preserve"> </w:t>
      </w:r>
      <w:r w:rsidRPr="0071774C">
        <w:t>hubs</w:t>
      </w:r>
      <w:r>
        <w:t xml:space="preserve"> </w:t>
      </w:r>
      <w:r w:rsidRPr="0071774C">
        <w:t>demonstrates</w:t>
      </w:r>
      <w:r>
        <w:t xml:space="preserve"> </w:t>
      </w:r>
      <w:r w:rsidRPr="0071774C">
        <w:t>that</w:t>
      </w:r>
      <w:r>
        <w:t xml:space="preserve"> </w:t>
      </w:r>
      <w:r w:rsidRPr="0071774C">
        <w:t>there</w:t>
      </w:r>
      <w:r>
        <w:t xml:space="preserve"> </w:t>
      </w:r>
      <w:r w:rsidRPr="0071774C">
        <w:t>is</w:t>
      </w:r>
      <w:r>
        <w:t xml:space="preserve"> </w:t>
      </w:r>
      <w:r w:rsidRPr="0071774C">
        <w:t>movement</w:t>
      </w:r>
      <w:r>
        <w:t xml:space="preserve"> </w:t>
      </w:r>
      <w:r w:rsidRPr="0071774C">
        <w:t>towards</w:t>
      </w:r>
      <w:r>
        <w:t xml:space="preserve"> </w:t>
      </w:r>
      <w:r w:rsidRPr="0071774C">
        <w:t>sharing</w:t>
      </w:r>
      <w:r>
        <w:t xml:space="preserve"> </w:t>
      </w:r>
      <w:r w:rsidRPr="0071774C">
        <w:t>and</w:t>
      </w:r>
      <w:r>
        <w:t xml:space="preserve"> </w:t>
      </w:r>
      <w:r w:rsidRPr="0071774C">
        <w:t>communicating</w:t>
      </w:r>
      <w:r>
        <w:t xml:space="preserve"> </w:t>
      </w:r>
      <w:r w:rsidRPr="0071774C">
        <w:t>published</w:t>
      </w:r>
      <w:r>
        <w:t xml:space="preserve"> </w:t>
      </w:r>
      <w:r w:rsidRPr="0071774C">
        <w:t>information</w:t>
      </w:r>
      <w:r>
        <w:t xml:space="preserve"> </w:t>
      </w:r>
      <w:r w:rsidRPr="0071774C">
        <w:t>broadly.</w:t>
      </w:r>
      <w:r>
        <w:t xml:space="preserve"> </w:t>
      </w:r>
      <w:r w:rsidRPr="0071774C">
        <w:t>The</w:t>
      </w:r>
      <w:r>
        <w:t xml:space="preserve"> </w:t>
      </w:r>
      <w:r w:rsidRPr="0071774C">
        <w:t>next</w:t>
      </w:r>
      <w:r>
        <w:t xml:space="preserve"> </w:t>
      </w:r>
      <w:r w:rsidRPr="0071774C">
        <w:t>step</w:t>
      </w:r>
      <w:r>
        <w:t xml:space="preserve"> </w:t>
      </w:r>
      <w:r w:rsidRPr="0071774C">
        <w:t>may</w:t>
      </w:r>
      <w:r>
        <w:t xml:space="preserve"> </w:t>
      </w:r>
      <w:r w:rsidRPr="0071774C">
        <w:t>be</w:t>
      </w:r>
      <w:r>
        <w:t xml:space="preserve"> </w:t>
      </w:r>
      <w:r w:rsidRPr="0071774C">
        <w:t>to</w:t>
      </w:r>
      <w:r>
        <w:t xml:space="preserve"> </w:t>
      </w:r>
      <w:r w:rsidRPr="0071774C">
        <w:t>synthes</w:t>
      </w:r>
      <w:r>
        <w:t>is</w:t>
      </w:r>
      <w:r w:rsidRPr="0071774C">
        <w:t>e</w:t>
      </w:r>
      <w:r>
        <w:t xml:space="preserve"> </w:t>
      </w:r>
      <w:r w:rsidRPr="0071774C">
        <w:t>and</w:t>
      </w:r>
      <w:r>
        <w:t xml:space="preserve"> </w:t>
      </w:r>
      <w:r w:rsidRPr="0071774C">
        <w:t>draw</w:t>
      </w:r>
      <w:r>
        <w:t xml:space="preserve"> </w:t>
      </w:r>
      <w:r w:rsidRPr="0071774C">
        <w:t>this</w:t>
      </w:r>
      <w:r>
        <w:t xml:space="preserve"> </w:t>
      </w:r>
      <w:r w:rsidRPr="0071774C">
        <w:t>together</w:t>
      </w:r>
      <w:r>
        <w:t xml:space="preserve"> </w:t>
      </w:r>
      <w:r w:rsidRPr="0071774C">
        <w:t>in</w:t>
      </w:r>
      <w:r>
        <w:t xml:space="preserve"> </w:t>
      </w:r>
      <w:r w:rsidRPr="0071774C">
        <w:t>ways</w:t>
      </w:r>
      <w:r>
        <w:t xml:space="preserve"> </w:t>
      </w:r>
      <w:r w:rsidRPr="0071774C">
        <w:t>that</w:t>
      </w:r>
      <w:r>
        <w:t xml:space="preserve"> </w:t>
      </w:r>
      <w:r w:rsidRPr="0071774C">
        <w:t>can</w:t>
      </w:r>
      <w:r>
        <w:t xml:space="preserve"> </w:t>
      </w:r>
      <w:r w:rsidRPr="0071774C">
        <w:t>inform</w:t>
      </w:r>
      <w:r>
        <w:t xml:space="preserve"> primary </w:t>
      </w:r>
      <w:r w:rsidRPr="0071774C">
        <w:t>prevention</w:t>
      </w:r>
      <w:r>
        <w:t xml:space="preserve"> </w:t>
      </w:r>
      <w:r w:rsidRPr="0071774C">
        <w:t>programming</w:t>
      </w:r>
      <w:r>
        <w:t xml:space="preserve"> </w:t>
      </w:r>
      <w:r w:rsidRPr="0071774C">
        <w:t>and</w:t>
      </w:r>
      <w:r>
        <w:t xml:space="preserve"> </w:t>
      </w:r>
      <w:r w:rsidRPr="0071774C">
        <w:t>efforts</w:t>
      </w:r>
      <w:r>
        <w:t xml:space="preserve"> </w:t>
      </w:r>
      <w:r w:rsidRPr="0071774C">
        <w:t>across</w:t>
      </w:r>
      <w:r>
        <w:t xml:space="preserve"> </w:t>
      </w:r>
      <w:r w:rsidRPr="0071774C">
        <w:t>the</w:t>
      </w:r>
      <w:r>
        <w:t xml:space="preserve"> </w:t>
      </w:r>
      <w:r w:rsidRPr="0071774C">
        <w:t>domains.</w:t>
      </w:r>
      <w:r>
        <w:t xml:space="preserve"> </w:t>
      </w:r>
      <w:r w:rsidRPr="0071774C">
        <w:t>An</w:t>
      </w:r>
      <w:r>
        <w:t xml:space="preserve"> </w:t>
      </w:r>
      <w:r w:rsidRPr="0071774C">
        <w:t>analysis</w:t>
      </w:r>
      <w:r>
        <w:t xml:space="preserve"> </w:t>
      </w:r>
      <w:r w:rsidRPr="0071774C">
        <w:t>of</w:t>
      </w:r>
      <w:r>
        <w:t xml:space="preserve"> </w:t>
      </w:r>
      <w:r w:rsidRPr="0071774C">
        <w:t>such</w:t>
      </w:r>
      <w:r>
        <w:t xml:space="preserve"> </w:t>
      </w:r>
      <w:r w:rsidRPr="0071774C">
        <w:t>resources</w:t>
      </w:r>
      <w:r>
        <w:t xml:space="preserve"> </w:t>
      </w:r>
      <w:r w:rsidRPr="0071774C">
        <w:t>may</w:t>
      </w:r>
      <w:r>
        <w:t xml:space="preserve"> </w:t>
      </w:r>
      <w:r w:rsidRPr="0071774C">
        <w:t>also</w:t>
      </w:r>
      <w:r>
        <w:t xml:space="preserve"> </w:t>
      </w:r>
      <w:r w:rsidRPr="0071774C">
        <w:t>allow</w:t>
      </w:r>
      <w:r>
        <w:t xml:space="preserve"> </w:t>
      </w:r>
      <w:r w:rsidRPr="0071774C">
        <w:t>for</w:t>
      </w:r>
      <w:r>
        <w:t xml:space="preserve"> </w:t>
      </w:r>
      <w:r w:rsidRPr="0071774C">
        <w:t>gaps</w:t>
      </w:r>
      <w:r>
        <w:t xml:space="preserve"> </w:t>
      </w:r>
      <w:r w:rsidRPr="0071774C">
        <w:t>and</w:t>
      </w:r>
      <w:r>
        <w:t xml:space="preserve"> </w:t>
      </w:r>
      <w:r w:rsidRPr="0071774C">
        <w:t>opportunities</w:t>
      </w:r>
      <w:r>
        <w:t xml:space="preserve"> </w:t>
      </w:r>
      <w:r w:rsidRPr="0071774C">
        <w:t>to</w:t>
      </w:r>
      <w:r>
        <w:t xml:space="preserve"> </w:t>
      </w:r>
      <w:r w:rsidRPr="0071774C">
        <w:t>be</w:t>
      </w:r>
      <w:r>
        <w:t xml:space="preserve"> </w:t>
      </w:r>
      <w:r w:rsidRPr="0071774C">
        <w:t>identified</w:t>
      </w:r>
      <w:r>
        <w:t xml:space="preserve"> </w:t>
      </w:r>
      <w:r w:rsidRPr="0071774C">
        <w:t>and</w:t>
      </w:r>
      <w:r>
        <w:t xml:space="preserve"> </w:t>
      </w:r>
      <w:r w:rsidRPr="0071774C">
        <w:t>acted</w:t>
      </w:r>
      <w:r>
        <w:t xml:space="preserve"> </w:t>
      </w:r>
      <w:r w:rsidRPr="0071774C">
        <w:t>upon.</w:t>
      </w:r>
    </w:p>
    <w:tbl>
      <w:tblPr>
        <w:tblStyle w:val="Casestudycharcoal"/>
        <w:tblW w:w="0" w:type="auto"/>
        <w:tblCellMar>
          <w:top w:w="284" w:type="dxa"/>
        </w:tblCellMar>
        <w:tblLook w:val="0600" w:firstRow="0" w:lastRow="0" w:firstColumn="0" w:lastColumn="0" w:noHBand="1" w:noVBand="1"/>
      </w:tblPr>
      <w:tblGrid>
        <w:gridCol w:w="9010"/>
      </w:tblGrid>
      <w:tr w:rsidR="002C2EC7" w:rsidRPr="0071774C" w14:paraId="2DF9BD70" w14:textId="77777777" w:rsidTr="008F3E9A">
        <w:tc>
          <w:tcPr>
            <w:tcW w:w="9010" w:type="dxa"/>
          </w:tcPr>
          <w:p w14:paraId="42427FA6" w14:textId="0E1BC442" w:rsidR="002C2EC7" w:rsidRPr="00437ED1" w:rsidRDefault="002C2EC7" w:rsidP="00437ED1">
            <w:pPr>
              <w:pStyle w:val="OWBoxheading"/>
              <w:spacing w:before="0"/>
            </w:pPr>
            <w:bookmarkStart w:id="71" w:name="CaseStudy"/>
            <w:r w:rsidRPr="00437ED1">
              <w:lastRenderedPageBreak/>
              <w:t>Case study: Implementation of primary prevention activity in the past decade – primary prevention activities in the National Plan and four Action Plans</w:t>
            </w:r>
          </w:p>
          <w:bookmarkEnd w:id="71"/>
          <w:p w14:paraId="0C27D880" w14:textId="77777777" w:rsidR="002C2EC7" w:rsidRDefault="002C2EC7" w:rsidP="00437ED1">
            <w:pPr>
              <w:pStyle w:val="OWTablebodyleft"/>
            </w:pPr>
            <w:r w:rsidRPr="0071774C">
              <w:t>The</w:t>
            </w:r>
            <w:r>
              <w:t xml:space="preserve"> </w:t>
            </w:r>
            <w:r w:rsidRPr="0071774C">
              <w:t>implementation</w:t>
            </w:r>
            <w:r>
              <w:t xml:space="preserve"> </w:t>
            </w:r>
            <w:r w:rsidRPr="0071774C">
              <w:t>of</w:t>
            </w:r>
            <w:r>
              <w:t xml:space="preserve"> </w:t>
            </w:r>
            <w:r w:rsidRPr="0071774C">
              <w:t>national</w:t>
            </w:r>
            <w:r>
              <w:t xml:space="preserve"> </w:t>
            </w:r>
            <w:r w:rsidRPr="0071774C">
              <w:t>primary</w:t>
            </w:r>
            <w:r>
              <w:t xml:space="preserve"> </w:t>
            </w:r>
            <w:r w:rsidRPr="0071774C">
              <w:t>prevention</w:t>
            </w:r>
            <w:r>
              <w:t xml:space="preserve"> </w:t>
            </w:r>
            <w:r w:rsidRPr="0071774C">
              <w:t>efforts</w:t>
            </w:r>
            <w:r>
              <w:t xml:space="preserve"> </w:t>
            </w:r>
            <w:r w:rsidRPr="0071774C">
              <w:t>began</w:t>
            </w:r>
            <w:r>
              <w:t xml:space="preserve"> </w:t>
            </w:r>
            <w:r w:rsidRPr="0071774C">
              <w:t>in</w:t>
            </w:r>
            <w:r>
              <w:t xml:space="preserve"> </w:t>
            </w:r>
            <w:r w:rsidRPr="0071774C">
              <w:t>earnest</w:t>
            </w:r>
            <w:r>
              <w:t xml:space="preserve"> </w:t>
            </w:r>
            <w:r w:rsidRPr="0071774C">
              <w:t>following</w:t>
            </w:r>
            <w:r>
              <w:t xml:space="preserve"> </w:t>
            </w:r>
            <w:r w:rsidRPr="0071774C">
              <w:t>the</w:t>
            </w:r>
            <w:r>
              <w:t xml:space="preserve"> </w:t>
            </w:r>
            <w:r w:rsidRPr="0071774C">
              <w:t>publication</w:t>
            </w:r>
            <w:r>
              <w:t xml:space="preserve"> </w:t>
            </w:r>
            <w:r w:rsidRPr="0071774C">
              <w:t>of</w:t>
            </w:r>
            <w:r>
              <w:t xml:space="preserve"> </w:t>
            </w:r>
            <w:r w:rsidRPr="0071774C">
              <w:t>the</w:t>
            </w:r>
            <w:r>
              <w:t xml:space="preserve"> </w:t>
            </w:r>
            <w:r w:rsidRPr="0071774C">
              <w:t>National</w:t>
            </w:r>
            <w:r>
              <w:t xml:space="preserve"> </w:t>
            </w:r>
            <w:r w:rsidRPr="0071774C">
              <w:t>Plan</w:t>
            </w:r>
            <w:r>
              <w:t>.</w:t>
            </w:r>
            <w:r w:rsidRPr="0071774C">
              <w:rPr>
                <w:rStyle w:val="EndnoteReference"/>
              </w:rPr>
              <w:endnoteReference w:id="158"/>
            </w:r>
            <w:r>
              <w:t xml:space="preserve"> </w:t>
            </w:r>
            <w:r w:rsidRPr="0071774C">
              <w:t>The</w:t>
            </w:r>
            <w:r>
              <w:t xml:space="preserve"> </w:t>
            </w:r>
            <w:r w:rsidRPr="0071774C">
              <w:t>four</w:t>
            </w:r>
            <w:r>
              <w:t xml:space="preserve"> </w:t>
            </w:r>
            <w:r w:rsidRPr="0071774C">
              <w:t>Action</w:t>
            </w:r>
            <w:r>
              <w:t xml:space="preserve"> </w:t>
            </w:r>
            <w:r w:rsidRPr="0071774C">
              <w:t>Plans</w:t>
            </w:r>
            <w:r>
              <w:t xml:space="preserve"> </w:t>
            </w:r>
            <w:r w:rsidRPr="0071774C">
              <w:t>that</w:t>
            </w:r>
            <w:r>
              <w:t xml:space="preserve"> </w:t>
            </w:r>
            <w:r w:rsidRPr="0071774C">
              <w:t>have</w:t>
            </w:r>
            <w:r>
              <w:t xml:space="preserve"> </w:t>
            </w:r>
            <w:r w:rsidRPr="0071774C">
              <w:t>been</w:t>
            </w:r>
            <w:r>
              <w:t xml:space="preserve"> </w:t>
            </w:r>
            <w:r w:rsidRPr="0071774C">
              <w:t>published</w:t>
            </w:r>
            <w:r>
              <w:t xml:space="preserve"> </w:t>
            </w:r>
            <w:r w:rsidRPr="0071774C">
              <w:t>under</w:t>
            </w:r>
            <w:r>
              <w:t xml:space="preserve"> </w:t>
            </w:r>
            <w:r w:rsidRPr="0071774C">
              <w:t>the</w:t>
            </w:r>
            <w:r>
              <w:t xml:space="preserve"> </w:t>
            </w:r>
            <w:r w:rsidRPr="0071774C">
              <w:t>National</w:t>
            </w:r>
            <w:r>
              <w:t xml:space="preserve"> </w:t>
            </w:r>
            <w:r w:rsidRPr="0071774C">
              <w:t>Plan</w:t>
            </w:r>
            <w:r>
              <w:t xml:space="preserve"> </w:t>
            </w:r>
            <w:r w:rsidRPr="0071774C">
              <w:t>to</w:t>
            </w:r>
            <w:r>
              <w:t xml:space="preserve"> </w:t>
            </w:r>
            <w:r w:rsidRPr="0071774C">
              <w:t>date</w:t>
            </w:r>
            <w:r>
              <w:t xml:space="preserve"> </w:t>
            </w:r>
            <w:r w:rsidRPr="0071774C">
              <w:t>show</w:t>
            </w:r>
            <w:r>
              <w:t xml:space="preserve"> </w:t>
            </w:r>
            <w:r w:rsidRPr="0071774C">
              <w:t>the</w:t>
            </w:r>
            <w:r>
              <w:t xml:space="preserve"> </w:t>
            </w:r>
            <w:r w:rsidRPr="0071774C">
              <w:t>evolution</w:t>
            </w:r>
            <w:r>
              <w:t xml:space="preserve"> </w:t>
            </w:r>
            <w:r w:rsidRPr="0071774C">
              <w:t>of</w:t>
            </w:r>
            <w:r>
              <w:t xml:space="preserve"> </w:t>
            </w:r>
            <w:r w:rsidRPr="0071774C">
              <w:t>the</w:t>
            </w:r>
            <w:r>
              <w:t xml:space="preserve"> </w:t>
            </w:r>
            <w:r w:rsidRPr="0071774C">
              <w:t>national</w:t>
            </w:r>
            <w:r>
              <w:t xml:space="preserve"> </w:t>
            </w:r>
            <w:r w:rsidRPr="0071774C">
              <w:t>priorities</w:t>
            </w:r>
            <w:r>
              <w:t xml:space="preserve"> </w:t>
            </w:r>
            <w:r w:rsidRPr="0071774C">
              <w:t>for</w:t>
            </w:r>
            <w:r>
              <w:t xml:space="preserve"> </w:t>
            </w:r>
            <w:r w:rsidRPr="0071774C">
              <w:t>implementation</w:t>
            </w:r>
            <w:r>
              <w:t xml:space="preserve"> </w:t>
            </w:r>
            <w:r w:rsidRPr="0071774C">
              <w:t>efforts</w:t>
            </w:r>
            <w:r>
              <w:t xml:space="preserve"> </w:t>
            </w:r>
            <w:r w:rsidRPr="0071774C">
              <w:t>across</w:t>
            </w:r>
            <w:r>
              <w:t xml:space="preserve"> </w:t>
            </w:r>
            <w:r w:rsidRPr="0071774C">
              <w:t>Australia.</w:t>
            </w:r>
            <w:r>
              <w:t xml:space="preserve"> </w:t>
            </w:r>
            <w:r w:rsidRPr="0071774C">
              <w:t>By</w:t>
            </w:r>
            <w:r>
              <w:t xml:space="preserve"> </w:t>
            </w:r>
            <w:r w:rsidRPr="0071774C">
              <w:t>tracing</w:t>
            </w:r>
            <w:r>
              <w:t xml:space="preserve"> this evolution </w:t>
            </w:r>
            <w:r w:rsidRPr="0071774C">
              <w:t>over</w:t>
            </w:r>
            <w:r>
              <w:t xml:space="preserve"> </w:t>
            </w:r>
            <w:r w:rsidRPr="0071774C">
              <w:t>the</w:t>
            </w:r>
            <w:r>
              <w:t xml:space="preserve"> </w:t>
            </w:r>
            <w:r w:rsidRPr="0071774C">
              <w:t>past</w:t>
            </w:r>
            <w:r>
              <w:t xml:space="preserve"> </w:t>
            </w:r>
            <w:r w:rsidRPr="0071774C">
              <w:t>ten</w:t>
            </w:r>
            <w:r>
              <w:t xml:space="preserve"> </w:t>
            </w:r>
            <w:r w:rsidRPr="0071774C">
              <w:t>years,</w:t>
            </w:r>
            <w:r>
              <w:t xml:space="preserve"> </w:t>
            </w:r>
            <w:r w:rsidRPr="0071774C">
              <w:t>and</w:t>
            </w:r>
            <w:r>
              <w:t xml:space="preserve"> </w:t>
            </w:r>
            <w:r w:rsidRPr="0071774C">
              <w:t>the</w:t>
            </w:r>
            <w:r>
              <w:t xml:space="preserve"> </w:t>
            </w:r>
            <w:r w:rsidRPr="0071774C">
              <w:t>guiding</w:t>
            </w:r>
            <w:r>
              <w:t xml:space="preserve"> </w:t>
            </w:r>
            <w:r w:rsidRPr="0071774C">
              <w:t>documents</w:t>
            </w:r>
            <w:r>
              <w:t xml:space="preserve"> </w:t>
            </w:r>
            <w:r w:rsidRPr="0071774C">
              <w:t>that</w:t>
            </w:r>
            <w:r>
              <w:t xml:space="preserve"> </w:t>
            </w:r>
            <w:r w:rsidRPr="0071774C">
              <w:t>have</w:t>
            </w:r>
            <w:r>
              <w:t xml:space="preserve"> </w:t>
            </w:r>
            <w:r w:rsidRPr="0071774C">
              <w:t>influenced</w:t>
            </w:r>
            <w:r>
              <w:t xml:space="preserve"> </w:t>
            </w:r>
            <w:r w:rsidRPr="0071774C">
              <w:t>these</w:t>
            </w:r>
            <w:r>
              <w:t xml:space="preserve"> priorities</w:t>
            </w:r>
            <w:r w:rsidRPr="0071774C">
              <w:t>,</w:t>
            </w:r>
            <w:r>
              <w:t xml:space="preserve"> </w:t>
            </w:r>
            <w:r w:rsidRPr="0071774C">
              <w:t>we</w:t>
            </w:r>
            <w:r>
              <w:t xml:space="preserve"> </w:t>
            </w:r>
            <w:r w:rsidRPr="0071774C">
              <w:t>can</w:t>
            </w:r>
            <w:r>
              <w:t xml:space="preserve"> </w:t>
            </w:r>
            <w:r w:rsidRPr="0071774C">
              <w:t>also</w:t>
            </w:r>
            <w:r>
              <w:t xml:space="preserve"> </w:t>
            </w:r>
            <w:r w:rsidRPr="0071774C">
              <w:t>begin</w:t>
            </w:r>
            <w:r>
              <w:t xml:space="preserve"> </w:t>
            </w:r>
            <w:r w:rsidRPr="0071774C">
              <w:t>to</w:t>
            </w:r>
            <w:r>
              <w:t xml:space="preserve"> </w:t>
            </w:r>
            <w:r w:rsidRPr="0071774C">
              <w:t>chart</w:t>
            </w:r>
            <w:r>
              <w:t xml:space="preserve"> </w:t>
            </w:r>
            <w:r w:rsidRPr="0071774C">
              <w:t>the</w:t>
            </w:r>
            <w:r>
              <w:t xml:space="preserve"> </w:t>
            </w:r>
            <w:r w:rsidRPr="0071774C">
              <w:t>influence</w:t>
            </w:r>
            <w:r>
              <w:t xml:space="preserve"> </w:t>
            </w:r>
            <w:r w:rsidRPr="0071774C">
              <w:t>of</w:t>
            </w:r>
            <w:r>
              <w:t xml:space="preserve"> </w:t>
            </w:r>
            <w:r w:rsidRPr="0071774C">
              <w:t>the</w:t>
            </w:r>
            <w:r>
              <w:t xml:space="preserve"> </w:t>
            </w:r>
            <w:r w:rsidRPr="0071774C">
              <w:t>shared</w:t>
            </w:r>
            <w:r>
              <w:t xml:space="preserve"> </w:t>
            </w:r>
            <w:r w:rsidRPr="0071774C">
              <w:t>national</w:t>
            </w:r>
            <w:r>
              <w:t xml:space="preserve"> </w:t>
            </w:r>
            <w:r w:rsidRPr="0071774C">
              <w:t>framework</w:t>
            </w:r>
            <w:r>
              <w:t xml:space="preserve"> </w:t>
            </w:r>
            <w:r w:rsidRPr="00ED4674">
              <w:rPr>
                <w:rStyle w:val="Emphasis"/>
              </w:rPr>
              <w:t>Change the story</w:t>
            </w:r>
            <w:r w:rsidRPr="0092788A">
              <w:rPr>
                <w:rStyle w:val="EndnoteReference"/>
              </w:rPr>
              <w:endnoteReference w:id="159"/>
            </w:r>
            <w:r>
              <w:t xml:space="preserve"> </w:t>
            </w:r>
            <w:r w:rsidRPr="0071774C">
              <w:t>in</w:t>
            </w:r>
            <w:r>
              <w:t xml:space="preserve"> </w:t>
            </w:r>
            <w:r w:rsidRPr="0071774C">
              <w:t>shaping</w:t>
            </w:r>
            <w:r>
              <w:t xml:space="preserve"> </w:t>
            </w:r>
            <w:r w:rsidRPr="0071774C">
              <w:t>and</w:t>
            </w:r>
            <w:r>
              <w:t xml:space="preserve"> </w:t>
            </w:r>
            <w:r w:rsidRPr="0071774C">
              <w:t>informing</w:t>
            </w:r>
            <w:r>
              <w:t xml:space="preserve"> </w:t>
            </w:r>
            <w:r w:rsidRPr="0071774C">
              <w:t>national</w:t>
            </w:r>
            <w:r>
              <w:t xml:space="preserve"> </w:t>
            </w:r>
            <w:r w:rsidRPr="0071774C">
              <w:t>implementation</w:t>
            </w:r>
            <w:r>
              <w:t xml:space="preserve"> </w:t>
            </w:r>
            <w:r w:rsidRPr="0071774C">
              <w:t>efforts.</w:t>
            </w:r>
            <w:r>
              <w:t xml:space="preserve"> </w:t>
            </w:r>
            <w:r w:rsidRPr="0071774C">
              <w:t>This</w:t>
            </w:r>
            <w:r>
              <w:t xml:space="preserve"> </w:t>
            </w:r>
            <w:r w:rsidRPr="0071774C">
              <w:t>can</w:t>
            </w:r>
            <w:r>
              <w:t xml:space="preserve"> </w:t>
            </w:r>
            <w:r w:rsidRPr="0071774C">
              <w:t>also</w:t>
            </w:r>
            <w:r>
              <w:t xml:space="preserve"> </w:t>
            </w:r>
            <w:r w:rsidRPr="0071774C">
              <w:t>help</w:t>
            </w:r>
            <w:r>
              <w:t xml:space="preserve"> </w:t>
            </w:r>
            <w:r w:rsidRPr="0071774C">
              <w:t>us</w:t>
            </w:r>
            <w:r>
              <w:t xml:space="preserve"> </w:t>
            </w:r>
            <w:r w:rsidRPr="0071774C">
              <w:t>to</w:t>
            </w:r>
            <w:r>
              <w:t xml:space="preserve"> </w:t>
            </w:r>
            <w:r w:rsidRPr="0071774C">
              <w:t>critically</w:t>
            </w:r>
            <w:r>
              <w:t xml:space="preserve"> </w:t>
            </w:r>
            <w:r w:rsidRPr="0071774C">
              <w:t>reflect</w:t>
            </w:r>
            <w:r>
              <w:t xml:space="preserve"> </w:t>
            </w:r>
            <w:r w:rsidRPr="0071774C">
              <w:t>on</w:t>
            </w:r>
            <w:r>
              <w:t xml:space="preserve"> </w:t>
            </w:r>
            <w:r w:rsidRPr="0071774C">
              <w:t>the</w:t>
            </w:r>
            <w:r>
              <w:t xml:space="preserve"> </w:t>
            </w:r>
            <w:r w:rsidRPr="0071774C">
              <w:t>progress</w:t>
            </w:r>
            <w:r>
              <w:t xml:space="preserve"> </w:t>
            </w:r>
            <w:r w:rsidRPr="0071774C">
              <w:t>of</w:t>
            </w:r>
            <w:r>
              <w:t xml:space="preserve"> </w:t>
            </w:r>
            <w:r w:rsidRPr="0071774C">
              <w:t>primary</w:t>
            </w:r>
            <w:r>
              <w:t xml:space="preserve"> </w:t>
            </w:r>
            <w:r w:rsidRPr="0071774C">
              <w:t>prevention</w:t>
            </w:r>
            <w:r>
              <w:t xml:space="preserve"> </w:t>
            </w:r>
            <w:r w:rsidRPr="0071774C">
              <w:t>activity</w:t>
            </w:r>
            <w:r>
              <w:t xml:space="preserve"> </w:t>
            </w:r>
            <w:r w:rsidRPr="0071774C">
              <w:t>as</w:t>
            </w:r>
            <w:r>
              <w:t xml:space="preserve"> </w:t>
            </w:r>
            <w:r w:rsidRPr="0071774C">
              <w:t>a</w:t>
            </w:r>
            <w:r>
              <w:t xml:space="preserve"> </w:t>
            </w:r>
            <w:r w:rsidRPr="0071774C">
              <w:t>whole.</w:t>
            </w:r>
          </w:p>
          <w:p w14:paraId="6FA96E21" w14:textId="4DCC7436" w:rsidR="002C2EC7" w:rsidRDefault="002C2EC7" w:rsidP="00437ED1">
            <w:pPr>
              <w:pStyle w:val="OWTablebodyleft"/>
            </w:pPr>
            <w:r w:rsidRPr="0071774C">
              <w:t>As</w:t>
            </w:r>
            <w:r>
              <w:t xml:space="preserve"> </w:t>
            </w:r>
            <w:r w:rsidRPr="0071774C">
              <w:t>the</w:t>
            </w:r>
            <w:r>
              <w:t xml:space="preserve"> </w:t>
            </w:r>
            <w:r w:rsidRPr="0071774C">
              <w:t>primary</w:t>
            </w:r>
            <w:r>
              <w:t xml:space="preserve"> </w:t>
            </w:r>
            <w:r w:rsidRPr="0071774C">
              <w:t>document</w:t>
            </w:r>
            <w:r>
              <w:t xml:space="preserve"> </w:t>
            </w:r>
            <w:r w:rsidRPr="0071774C">
              <w:t>guiding</w:t>
            </w:r>
            <w:r>
              <w:t xml:space="preserve"> </w:t>
            </w:r>
            <w:r w:rsidRPr="0071774C">
              <w:t>prevention</w:t>
            </w:r>
            <w:r>
              <w:t xml:space="preserve"> </w:t>
            </w:r>
            <w:r w:rsidRPr="0071774C">
              <w:t>activity</w:t>
            </w:r>
            <w:r>
              <w:t xml:space="preserve"> </w:t>
            </w:r>
            <w:r w:rsidRPr="0071774C">
              <w:t>in</w:t>
            </w:r>
            <w:r>
              <w:t xml:space="preserve"> </w:t>
            </w:r>
            <w:r w:rsidRPr="0071774C">
              <w:t>Australia</w:t>
            </w:r>
            <w:r>
              <w:t xml:space="preserve"> </w:t>
            </w:r>
            <w:r w:rsidRPr="0071774C">
              <w:t>over</w:t>
            </w:r>
            <w:r>
              <w:t xml:space="preserve"> </w:t>
            </w:r>
            <w:r w:rsidRPr="0071774C">
              <w:t>the</w:t>
            </w:r>
            <w:r>
              <w:t xml:space="preserve"> </w:t>
            </w:r>
            <w:r w:rsidRPr="0071774C">
              <w:t>past</w:t>
            </w:r>
            <w:r>
              <w:t xml:space="preserve"> </w:t>
            </w:r>
            <w:r w:rsidRPr="0071774C">
              <w:t>decade,</w:t>
            </w:r>
            <w:r>
              <w:t xml:space="preserve"> </w:t>
            </w:r>
            <w:r w:rsidRPr="0071774C">
              <w:t>the</w:t>
            </w:r>
            <w:r>
              <w:t xml:space="preserve"> </w:t>
            </w:r>
            <w:r w:rsidRPr="0071774C">
              <w:t>National</w:t>
            </w:r>
            <w:r>
              <w:t xml:space="preserve"> </w:t>
            </w:r>
            <w:r w:rsidRPr="0071774C">
              <w:t>Plan</w:t>
            </w:r>
            <w:r>
              <w:t xml:space="preserve"> </w:t>
            </w:r>
            <w:r w:rsidRPr="0071774C">
              <w:t>identifies</w:t>
            </w:r>
            <w:r>
              <w:t xml:space="preserve"> </w:t>
            </w:r>
            <w:r w:rsidRPr="0071774C">
              <w:t>the</w:t>
            </w:r>
            <w:r>
              <w:t xml:space="preserve"> </w:t>
            </w:r>
            <w:r w:rsidRPr="0071774C">
              <w:t>need</w:t>
            </w:r>
            <w:r>
              <w:t xml:space="preserve"> </w:t>
            </w:r>
            <w:r w:rsidRPr="0071774C">
              <w:t>to</w:t>
            </w:r>
            <w:r>
              <w:t xml:space="preserve"> </w:t>
            </w:r>
            <w:r w:rsidRPr="0071774C">
              <w:t>engage</w:t>
            </w:r>
            <w:r>
              <w:t xml:space="preserve"> </w:t>
            </w:r>
            <w:r w:rsidRPr="0071774C">
              <w:t>a</w:t>
            </w:r>
            <w:r>
              <w:t xml:space="preserve"> </w:t>
            </w:r>
            <w:r w:rsidRPr="0071774C">
              <w:t>range</w:t>
            </w:r>
            <w:r>
              <w:t xml:space="preserve"> </w:t>
            </w:r>
            <w:r w:rsidRPr="0071774C">
              <w:t>of</w:t>
            </w:r>
            <w:r>
              <w:t xml:space="preserve"> </w:t>
            </w:r>
            <w:r w:rsidRPr="0071774C">
              <w:t>communities</w:t>
            </w:r>
            <w:r>
              <w:t xml:space="preserve"> </w:t>
            </w:r>
            <w:r w:rsidRPr="0071774C">
              <w:t>and</w:t>
            </w:r>
            <w:r w:rsidR="006B08D1">
              <w:t> </w:t>
            </w:r>
            <w:r w:rsidRPr="0071774C">
              <w:t>priority</w:t>
            </w:r>
            <w:r>
              <w:t xml:space="preserve"> </w:t>
            </w:r>
            <w:r w:rsidRPr="0071774C">
              <w:t>population</w:t>
            </w:r>
            <w:r>
              <w:t xml:space="preserve"> </w:t>
            </w:r>
            <w:r w:rsidRPr="0071774C">
              <w:t>groups</w:t>
            </w:r>
            <w:r>
              <w:t xml:space="preserve"> </w:t>
            </w:r>
            <w:r w:rsidRPr="0071774C">
              <w:t>experiencing</w:t>
            </w:r>
            <w:r>
              <w:t xml:space="preserve"> </w:t>
            </w:r>
            <w:r w:rsidRPr="0071774C">
              <w:t>intersecting</w:t>
            </w:r>
            <w:r>
              <w:t xml:space="preserve"> </w:t>
            </w:r>
            <w:r w:rsidRPr="0071774C">
              <w:t>forms</w:t>
            </w:r>
            <w:r>
              <w:t xml:space="preserve"> </w:t>
            </w:r>
            <w:r w:rsidRPr="0071774C">
              <w:t>of</w:t>
            </w:r>
            <w:r>
              <w:t xml:space="preserve"> </w:t>
            </w:r>
            <w:r w:rsidRPr="0071774C">
              <w:t>discrimination.</w:t>
            </w:r>
            <w:r>
              <w:t xml:space="preserve"> </w:t>
            </w:r>
            <w:r w:rsidRPr="0071774C">
              <w:t>However</w:t>
            </w:r>
            <w:r>
              <w:t xml:space="preserve">, </w:t>
            </w:r>
            <w:r w:rsidRPr="0071774C">
              <w:t>it</w:t>
            </w:r>
            <w:r>
              <w:t xml:space="preserve"> </w:t>
            </w:r>
            <w:r w:rsidRPr="0071774C">
              <w:t>does</w:t>
            </w:r>
            <w:r>
              <w:t xml:space="preserve"> </w:t>
            </w:r>
            <w:r w:rsidRPr="0071774C">
              <w:t>not</w:t>
            </w:r>
            <w:r>
              <w:t xml:space="preserve"> </w:t>
            </w:r>
            <w:r w:rsidRPr="0071774C">
              <w:t>provide</w:t>
            </w:r>
            <w:r>
              <w:t xml:space="preserve"> </w:t>
            </w:r>
            <w:r w:rsidRPr="0071774C">
              <w:t>a</w:t>
            </w:r>
            <w:r>
              <w:t xml:space="preserve"> </w:t>
            </w:r>
            <w:r w:rsidRPr="0071774C">
              <w:t>roadmap</w:t>
            </w:r>
            <w:r>
              <w:t xml:space="preserve"> </w:t>
            </w:r>
            <w:r w:rsidRPr="0071774C">
              <w:t>for</w:t>
            </w:r>
            <w:r>
              <w:t xml:space="preserve"> </w:t>
            </w:r>
            <w:r w:rsidRPr="0071774C">
              <w:t>addressing</w:t>
            </w:r>
            <w:r>
              <w:t xml:space="preserve"> </w:t>
            </w:r>
            <w:r w:rsidRPr="0071774C">
              <w:t>the</w:t>
            </w:r>
            <w:r>
              <w:t xml:space="preserve"> </w:t>
            </w:r>
            <w:r w:rsidRPr="0071774C">
              <w:t>structural</w:t>
            </w:r>
            <w:r>
              <w:t xml:space="preserve"> </w:t>
            </w:r>
            <w:r w:rsidRPr="0071774C">
              <w:t>and</w:t>
            </w:r>
            <w:r>
              <w:t xml:space="preserve"> </w:t>
            </w:r>
            <w:r w:rsidRPr="0071774C">
              <w:t>systemic</w:t>
            </w:r>
            <w:r>
              <w:t xml:space="preserve"> </w:t>
            </w:r>
            <w:r w:rsidRPr="0071774C">
              <w:t>inequalities</w:t>
            </w:r>
            <w:r>
              <w:t xml:space="preserve"> </w:t>
            </w:r>
            <w:r w:rsidRPr="0071774C">
              <w:t>that</w:t>
            </w:r>
            <w:r>
              <w:t xml:space="preserve"> </w:t>
            </w:r>
            <w:r w:rsidRPr="0071774C">
              <w:t>drive</w:t>
            </w:r>
            <w:r>
              <w:t xml:space="preserve"> </w:t>
            </w:r>
            <w:r w:rsidRPr="0071774C">
              <w:t>disproportionate</w:t>
            </w:r>
            <w:r>
              <w:t xml:space="preserve"> </w:t>
            </w:r>
            <w:r w:rsidRPr="0071774C">
              <w:t>rates</w:t>
            </w:r>
            <w:r>
              <w:t xml:space="preserve"> </w:t>
            </w:r>
            <w:r w:rsidRPr="0071774C">
              <w:t>of</w:t>
            </w:r>
            <w:r>
              <w:t xml:space="preserve"> </w:t>
            </w:r>
            <w:r w:rsidRPr="0071774C">
              <w:t>violence</w:t>
            </w:r>
            <w:r>
              <w:t xml:space="preserve"> </w:t>
            </w:r>
            <w:r w:rsidRPr="0071774C">
              <w:t>experienced</w:t>
            </w:r>
            <w:r>
              <w:t xml:space="preserve"> </w:t>
            </w:r>
            <w:r w:rsidRPr="0071774C">
              <w:t>by</w:t>
            </w:r>
            <w:r>
              <w:t xml:space="preserve"> </w:t>
            </w:r>
            <w:r w:rsidRPr="0071774C">
              <w:t>women.</w:t>
            </w:r>
          </w:p>
          <w:p w14:paraId="51F2DAB4" w14:textId="26B4215B" w:rsidR="002C2EC7" w:rsidRDefault="002C2EC7" w:rsidP="00437ED1">
            <w:pPr>
              <w:pStyle w:val="OWTablebodyleft"/>
            </w:pPr>
            <w:r w:rsidRPr="0071774C">
              <w:t>National</w:t>
            </w:r>
            <w:r>
              <w:t xml:space="preserve"> </w:t>
            </w:r>
            <w:r w:rsidRPr="0071774C">
              <w:t>priority</w:t>
            </w:r>
            <w:r>
              <w:t xml:space="preserve"> </w:t>
            </w:r>
            <w:r w:rsidRPr="0071774C">
              <w:t>1</w:t>
            </w:r>
            <w:r>
              <w:t xml:space="preserve"> </w:t>
            </w:r>
            <w:r w:rsidRPr="0071774C">
              <w:t>in</w:t>
            </w:r>
            <w:r>
              <w:t xml:space="preserve"> </w:t>
            </w:r>
            <w:r w:rsidRPr="0071774C">
              <w:t>the</w:t>
            </w:r>
            <w:r>
              <w:t xml:space="preserve"> </w:t>
            </w:r>
            <w:r w:rsidRPr="0071774C">
              <w:t>First</w:t>
            </w:r>
            <w:r>
              <w:t xml:space="preserve"> </w:t>
            </w:r>
            <w:r w:rsidRPr="0071774C">
              <w:t>Action</w:t>
            </w:r>
            <w:r>
              <w:t xml:space="preserve"> </w:t>
            </w:r>
            <w:r w:rsidRPr="0071774C">
              <w:t>Plan</w:t>
            </w:r>
            <w:r>
              <w:t xml:space="preserve"> </w:t>
            </w:r>
            <w:r w:rsidRPr="0071774C">
              <w:t>(2010</w:t>
            </w:r>
            <w:r>
              <w:t>–</w:t>
            </w:r>
            <w:r w:rsidRPr="0071774C">
              <w:t>2013)</w:t>
            </w:r>
            <w:r w:rsidRPr="0071774C">
              <w:rPr>
                <w:rStyle w:val="EndnoteReference"/>
              </w:rPr>
              <w:endnoteReference w:id="160"/>
            </w:r>
            <w:r>
              <w:t xml:space="preserve"> </w:t>
            </w:r>
            <w:r w:rsidRPr="0071774C">
              <w:t>was</w:t>
            </w:r>
            <w:r>
              <w:t xml:space="preserve"> </w:t>
            </w:r>
            <w:r w:rsidRPr="0071774C">
              <w:t>‘building</w:t>
            </w:r>
            <w:r>
              <w:t xml:space="preserve"> </w:t>
            </w:r>
            <w:r w:rsidRPr="0071774C">
              <w:t>primary</w:t>
            </w:r>
            <w:r>
              <w:t xml:space="preserve"> </w:t>
            </w:r>
            <w:r w:rsidRPr="0071774C">
              <w:t>prevention</w:t>
            </w:r>
            <w:r>
              <w:t xml:space="preserve"> </w:t>
            </w:r>
            <w:r w:rsidRPr="0071774C">
              <w:t>capacity’.</w:t>
            </w:r>
            <w:r>
              <w:t xml:space="preserve"> </w:t>
            </w:r>
            <w:r w:rsidRPr="0071774C">
              <w:t>Primary</w:t>
            </w:r>
            <w:r>
              <w:t xml:space="preserve"> </w:t>
            </w:r>
            <w:r w:rsidRPr="0071774C">
              <w:t>prevention</w:t>
            </w:r>
            <w:r>
              <w:t xml:space="preserve"> </w:t>
            </w:r>
            <w:r w:rsidRPr="0071774C">
              <w:t>activities</w:t>
            </w:r>
            <w:r>
              <w:t xml:space="preserve"> </w:t>
            </w:r>
            <w:r w:rsidRPr="0071774C">
              <w:t>at</w:t>
            </w:r>
            <w:r>
              <w:t xml:space="preserve"> </w:t>
            </w:r>
            <w:r w:rsidRPr="0071774C">
              <w:t>this</w:t>
            </w:r>
            <w:r>
              <w:t xml:space="preserve"> </w:t>
            </w:r>
            <w:r w:rsidRPr="0071774C">
              <w:t>point</w:t>
            </w:r>
            <w:r>
              <w:t xml:space="preserve"> </w:t>
            </w:r>
            <w:r w:rsidRPr="0071774C">
              <w:t>were</w:t>
            </w:r>
            <w:r>
              <w:t xml:space="preserve"> </w:t>
            </w:r>
            <w:r w:rsidRPr="0071774C">
              <w:t>informed</w:t>
            </w:r>
            <w:r>
              <w:t xml:space="preserve"> </w:t>
            </w:r>
            <w:r w:rsidRPr="0071774C">
              <w:t>by</w:t>
            </w:r>
            <w:r>
              <w:t xml:space="preserve"> </w:t>
            </w:r>
            <w:r w:rsidRPr="0071774C">
              <w:t>the</w:t>
            </w:r>
            <w:r w:rsidR="006B08D1">
              <w:t> </w:t>
            </w:r>
            <w:r w:rsidRPr="0071774C">
              <w:t>Victorian</w:t>
            </w:r>
            <w:r>
              <w:t xml:space="preserve"> </w:t>
            </w:r>
            <w:r w:rsidRPr="0071774C">
              <w:t>Framework,</w:t>
            </w:r>
            <w:r>
              <w:t xml:space="preserve"> </w:t>
            </w:r>
            <w:r w:rsidRPr="0071774C">
              <w:t>VicHealth’s</w:t>
            </w:r>
            <w:r>
              <w:t xml:space="preserve"> </w:t>
            </w:r>
            <w:r w:rsidRPr="0071774C">
              <w:t>Preventing</w:t>
            </w:r>
            <w:r>
              <w:t xml:space="preserve"> </w:t>
            </w:r>
            <w:r w:rsidRPr="0071774C">
              <w:t>Violence</w:t>
            </w:r>
            <w:r>
              <w:t xml:space="preserve"> </w:t>
            </w:r>
            <w:r w:rsidRPr="0071774C">
              <w:t>Before</w:t>
            </w:r>
            <w:r>
              <w:t xml:space="preserve"> </w:t>
            </w:r>
            <w:r w:rsidRPr="0071774C">
              <w:t>it</w:t>
            </w:r>
            <w:r>
              <w:t xml:space="preserve"> </w:t>
            </w:r>
            <w:r w:rsidRPr="0071774C">
              <w:t>Occurs</w:t>
            </w:r>
            <w:r>
              <w:t>,</w:t>
            </w:r>
            <w:r w:rsidRPr="0071774C">
              <w:rPr>
                <w:rStyle w:val="EndnoteReference"/>
              </w:rPr>
              <w:endnoteReference w:id="161"/>
            </w:r>
            <w:r>
              <w:t xml:space="preserve"> </w:t>
            </w:r>
            <w:r w:rsidRPr="0071774C">
              <w:t>which</w:t>
            </w:r>
            <w:r>
              <w:t xml:space="preserve"> </w:t>
            </w:r>
            <w:r w:rsidRPr="0071774C">
              <w:t>outlined</w:t>
            </w:r>
            <w:r>
              <w:t xml:space="preserve"> </w:t>
            </w:r>
            <w:r w:rsidRPr="0071774C">
              <w:t>a</w:t>
            </w:r>
            <w:r>
              <w:t xml:space="preserve"> </w:t>
            </w:r>
            <w:r w:rsidRPr="0071774C">
              <w:t>series</w:t>
            </w:r>
            <w:r>
              <w:t xml:space="preserve"> </w:t>
            </w:r>
            <w:r w:rsidRPr="0071774C">
              <w:t>of</w:t>
            </w:r>
            <w:r>
              <w:t xml:space="preserve"> </w:t>
            </w:r>
            <w:r w:rsidRPr="0071774C">
              <w:t>‘promising</w:t>
            </w:r>
            <w:r>
              <w:t xml:space="preserve"> </w:t>
            </w:r>
            <w:r w:rsidRPr="0071774C">
              <w:t>strategies’</w:t>
            </w:r>
            <w:r>
              <w:t xml:space="preserve"> </w:t>
            </w:r>
            <w:r w:rsidRPr="0071774C">
              <w:t>or</w:t>
            </w:r>
            <w:r>
              <w:t xml:space="preserve"> </w:t>
            </w:r>
            <w:r w:rsidRPr="0071774C">
              <w:t>priority</w:t>
            </w:r>
            <w:r>
              <w:t xml:space="preserve"> </w:t>
            </w:r>
            <w:r w:rsidRPr="0071774C">
              <w:t>approaches</w:t>
            </w:r>
            <w:r>
              <w:t xml:space="preserve"> </w:t>
            </w:r>
            <w:r w:rsidRPr="0071774C">
              <w:t>for</w:t>
            </w:r>
            <w:r>
              <w:t xml:space="preserve"> </w:t>
            </w:r>
            <w:r w:rsidRPr="0071774C">
              <w:t>policymakers</w:t>
            </w:r>
            <w:r>
              <w:t xml:space="preserve"> </w:t>
            </w:r>
            <w:r w:rsidRPr="0071774C">
              <w:t>to</w:t>
            </w:r>
            <w:r>
              <w:t xml:space="preserve"> </w:t>
            </w:r>
            <w:r w:rsidRPr="0071774C">
              <w:t>consider.</w:t>
            </w:r>
            <w:r>
              <w:t xml:space="preserve"> </w:t>
            </w:r>
            <w:r w:rsidRPr="0071774C">
              <w:t>Noting</w:t>
            </w:r>
            <w:r>
              <w:t xml:space="preserve"> </w:t>
            </w:r>
            <w:r w:rsidRPr="0071774C">
              <w:t>this</w:t>
            </w:r>
            <w:r>
              <w:t xml:space="preserve"> </w:t>
            </w:r>
            <w:r w:rsidRPr="0071774C">
              <w:t>was</w:t>
            </w:r>
            <w:r>
              <w:t xml:space="preserve"> </w:t>
            </w:r>
            <w:r w:rsidRPr="0071774C">
              <w:t>pre-</w:t>
            </w:r>
            <w:r w:rsidRPr="00ED4674">
              <w:rPr>
                <w:rStyle w:val="Emphasis"/>
              </w:rPr>
              <w:t>Change the story</w:t>
            </w:r>
            <w:r>
              <w:t>,</w:t>
            </w:r>
            <w:r w:rsidRPr="0092788A">
              <w:rPr>
                <w:rStyle w:val="EndnoteReference"/>
              </w:rPr>
              <w:endnoteReference w:id="162"/>
            </w:r>
            <w:r>
              <w:t xml:space="preserve"> </w:t>
            </w:r>
            <w:r w:rsidRPr="0071774C">
              <w:t>the</w:t>
            </w:r>
            <w:r>
              <w:t xml:space="preserve"> </w:t>
            </w:r>
            <w:r w:rsidRPr="0071774C">
              <w:t>activities</w:t>
            </w:r>
            <w:r>
              <w:t xml:space="preserve"> </w:t>
            </w:r>
            <w:r w:rsidRPr="0071774C">
              <w:t>reported</w:t>
            </w:r>
            <w:r>
              <w:t xml:space="preserve"> </w:t>
            </w:r>
            <w:r w:rsidRPr="0071774C">
              <w:t>on</w:t>
            </w:r>
            <w:r>
              <w:t xml:space="preserve"> </w:t>
            </w:r>
            <w:r w:rsidRPr="0071774C">
              <w:t>in</w:t>
            </w:r>
            <w:r>
              <w:t xml:space="preserve"> </w:t>
            </w:r>
            <w:r w:rsidRPr="0071774C">
              <w:t>the</w:t>
            </w:r>
            <w:r>
              <w:t xml:space="preserve"> </w:t>
            </w:r>
            <w:r w:rsidRPr="0071774C">
              <w:t>2010</w:t>
            </w:r>
            <w:r>
              <w:t>–</w:t>
            </w:r>
            <w:r w:rsidRPr="0071774C">
              <w:t>12</w:t>
            </w:r>
            <w:r>
              <w:t xml:space="preserve"> </w:t>
            </w:r>
            <w:r w:rsidRPr="0071774C">
              <w:t>Annual</w:t>
            </w:r>
            <w:r>
              <w:t xml:space="preserve"> </w:t>
            </w:r>
            <w:r w:rsidRPr="0071774C">
              <w:t>Progress</w:t>
            </w:r>
            <w:r>
              <w:t xml:space="preserve"> </w:t>
            </w:r>
            <w:r w:rsidRPr="0071774C">
              <w:t>Report</w:t>
            </w:r>
            <w:r>
              <w:t xml:space="preserve"> </w:t>
            </w:r>
            <w:r w:rsidRPr="0071774C">
              <w:t>on</w:t>
            </w:r>
            <w:r>
              <w:t xml:space="preserve"> </w:t>
            </w:r>
            <w:r w:rsidRPr="0071774C">
              <w:t>the</w:t>
            </w:r>
            <w:r>
              <w:t xml:space="preserve"> </w:t>
            </w:r>
            <w:r w:rsidRPr="0071774C">
              <w:t>First</w:t>
            </w:r>
            <w:r>
              <w:t xml:space="preserve"> </w:t>
            </w:r>
            <w:r w:rsidRPr="0071774C">
              <w:t>Action</w:t>
            </w:r>
            <w:r>
              <w:t xml:space="preserve"> </w:t>
            </w:r>
            <w:r w:rsidRPr="0071774C">
              <w:t>Plan</w:t>
            </w:r>
            <w:r>
              <w:t xml:space="preserve"> </w:t>
            </w:r>
            <w:r w:rsidRPr="0071774C">
              <w:t>under</w:t>
            </w:r>
            <w:r>
              <w:t xml:space="preserve"> </w:t>
            </w:r>
            <w:r w:rsidRPr="0071774C">
              <w:t>this</w:t>
            </w:r>
            <w:r>
              <w:t xml:space="preserve"> </w:t>
            </w:r>
            <w:r w:rsidRPr="0071774C">
              <w:t>priority</w:t>
            </w:r>
            <w:r>
              <w:t xml:space="preserve"> </w:t>
            </w:r>
            <w:r w:rsidRPr="0071774C">
              <w:t>reflect</w:t>
            </w:r>
            <w:r>
              <w:t xml:space="preserve"> </w:t>
            </w:r>
            <w:r w:rsidRPr="0071774C">
              <w:t>a</w:t>
            </w:r>
            <w:r w:rsidR="006B08D1">
              <w:t> </w:t>
            </w:r>
            <w:r w:rsidRPr="0071774C">
              <w:t>range</w:t>
            </w:r>
            <w:r>
              <w:t xml:space="preserve"> </w:t>
            </w:r>
            <w:r w:rsidRPr="0071774C">
              <w:t>of</w:t>
            </w:r>
            <w:r>
              <w:t xml:space="preserve"> </w:t>
            </w:r>
            <w:r w:rsidRPr="0071774C">
              <w:t>funded</w:t>
            </w:r>
            <w:r>
              <w:t xml:space="preserve"> </w:t>
            </w:r>
            <w:r w:rsidRPr="0071774C">
              <w:t>initiatives,</w:t>
            </w:r>
            <w:r>
              <w:t xml:space="preserve"> </w:t>
            </w:r>
            <w:r w:rsidRPr="0071774C">
              <w:t>which</w:t>
            </w:r>
            <w:r>
              <w:t xml:space="preserve"> </w:t>
            </w:r>
            <w:r w:rsidRPr="0071774C">
              <w:t>include</w:t>
            </w:r>
            <w:r>
              <w:t xml:space="preserve"> </w:t>
            </w:r>
            <w:r w:rsidRPr="0071774C">
              <w:t>several</w:t>
            </w:r>
            <w:r>
              <w:t xml:space="preserve"> </w:t>
            </w:r>
            <w:r w:rsidRPr="0071774C">
              <w:t>social</w:t>
            </w:r>
            <w:r>
              <w:t xml:space="preserve"> </w:t>
            </w:r>
            <w:r w:rsidRPr="0071774C">
              <w:t>marketing</w:t>
            </w:r>
            <w:r>
              <w:t xml:space="preserve"> </w:t>
            </w:r>
            <w:r w:rsidRPr="0071774C">
              <w:t>campaigns,</w:t>
            </w:r>
            <w:r>
              <w:t xml:space="preserve"> </w:t>
            </w:r>
            <w:r w:rsidRPr="0071774C">
              <w:t>resources</w:t>
            </w:r>
            <w:r>
              <w:t xml:space="preserve"> </w:t>
            </w:r>
            <w:r w:rsidRPr="0071774C">
              <w:t>aimed</w:t>
            </w:r>
            <w:r>
              <w:t xml:space="preserve"> </w:t>
            </w:r>
            <w:r w:rsidRPr="0071774C">
              <w:t>at</w:t>
            </w:r>
            <w:r>
              <w:t xml:space="preserve"> </w:t>
            </w:r>
            <w:r w:rsidRPr="0071774C">
              <w:t>young</w:t>
            </w:r>
            <w:r>
              <w:t xml:space="preserve"> </w:t>
            </w:r>
            <w:r w:rsidRPr="0071774C">
              <w:t>people,</w:t>
            </w:r>
            <w:r>
              <w:t xml:space="preserve"> </w:t>
            </w:r>
            <w:r w:rsidRPr="0071774C">
              <w:t>several</w:t>
            </w:r>
            <w:r>
              <w:t xml:space="preserve"> </w:t>
            </w:r>
            <w:r w:rsidRPr="0071774C">
              <w:t>activities</w:t>
            </w:r>
            <w:r>
              <w:t xml:space="preserve"> </w:t>
            </w:r>
            <w:r w:rsidRPr="0071774C">
              <w:t>in</w:t>
            </w:r>
            <w:r>
              <w:t xml:space="preserve"> </w:t>
            </w:r>
            <w:r w:rsidRPr="0071774C">
              <w:t>sports</w:t>
            </w:r>
            <w:r>
              <w:t xml:space="preserve"> </w:t>
            </w:r>
            <w:r w:rsidRPr="0071774C">
              <w:t>settings,</w:t>
            </w:r>
            <w:r>
              <w:t xml:space="preserve"> </w:t>
            </w:r>
            <w:r w:rsidRPr="0071774C">
              <w:t>and</w:t>
            </w:r>
            <w:r>
              <w:t xml:space="preserve"> </w:t>
            </w:r>
            <w:r w:rsidRPr="0071774C">
              <w:t>several</w:t>
            </w:r>
            <w:r>
              <w:t xml:space="preserve"> </w:t>
            </w:r>
            <w:r w:rsidRPr="0071774C">
              <w:t>workplace-focused</w:t>
            </w:r>
            <w:r>
              <w:t xml:space="preserve"> </w:t>
            </w:r>
            <w:r w:rsidRPr="0071774C">
              <w:t>activities.</w:t>
            </w:r>
          </w:p>
          <w:p w14:paraId="6CBD08D3" w14:textId="1F79A25B" w:rsidR="002C2EC7" w:rsidRPr="00324E32" w:rsidRDefault="002C2EC7" w:rsidP="00437ED1">
            <w:pPr>
              <w:pStyle w:val="OWTablebodyleft"/>
            </w:pPr>
            <w:r w:rsidRPr="0071774C">
              <w:t>Under</w:t>
            </w:r>
            <w:r>
              <w:t xml:space="preserve"> </w:t>
            </w:r>
            <w:r w:rsidRPr="0071774C">
              <w:t>the</w:t>
            </w:r>
            <w:r>
              <w:t xml:space="preserve"> </w:t>
            </w:r>
            <w:r w:rsidRPr="0071774C">
              <w:t>Second</w:t>
            </w:r>
            <w:r>
              <w:t xml:space="preserve"> </w:t>
            </w:r>
            <w:r w:rsidRPr="0071774C">
              <w:t>Action</w:t>
            </w:r>
            <w:r>
              <w:t xml:space="preserve"> </w:t>
            </w:r>
            <w:r w:rsidRPr="0071774C">
              <w:t>Plan</w:t>
            </w:r>
            <w:r>
              <w:t xml:space="preserve"> </w:t>
            </w:r>
            <w:r w:rsidRPr="0071774C">
              <w:t>(2013</w:t>
            </w:r>
            <w:r w:rsidR="009040A6">
              <w:t>–</w:t>
            </w:r>
            <w:r w:rsidRPr="0071774C">
              <w:t>2016)</w:t>
            </w:r>
            <w:r>
              <w:t>,</w:t>
            </w:r>
            <w:r w:rsidRPr="0071774C">
              <w:rPr>
                <w:rStyle w:val="EndnoteReference"/>
              </w:rPr>
              <w:endnoteReference w:id="163"/>
            </w:r>
            <w:r>
              <w:t xml:space="preserve"> </w:t>
            </w:r>
            <w:r w:rsidRPr="0071774C">
              <w:t>primary</w:t>
            </w:r>
            <w:r>
              <w:t xml:space="preserve"> </w:t>
            </w:r>
            <w:r w:rsidRPr="0071774C">
              <w:t>prevention</w:t>
            </w:r>
            <w:r>
              <w:t xml:space="preserve"> </w:t>
            </w:r>
            <w:r w:rsidRPr="0071774C">
              <w:t>fell</w:t>
            </w:r>
            <w:r>
              <w:t xml:space="preserve"> </w:t>
            </w:r>
            <w:r w:rsidRPr="0071774C">
              <w:t>under</w:t>
            </w:r>
            <w:r>
              <w:t xml:space="preserve"> </w:t>
            </w:r>
            <w:r w:rsidRPr="0071774C">
              <w:t>national</w:t>
            </w:r>
            <w:r>
              <w:t xml:space="preserve"> </w:t>
            </w:r>
            <w:r w:rsidRPr="0071774C">
              <w:t>priority</w:t>
            </w:r>
            <w:r>
              <w:t xml:space="preserve"> </w:t>
            </w:r>
            <w:r w:rsidRPr="0071774C">
              <w:t>1</w:t>
            </w:r>
            <w:r>
              <w:t xml:space="preserve">, </w:t>
            </w:r>
            <w:r w:rsidRPr="0071774C">
              <w:t>which</w:t>
            </w:r>
            <w:r>
              <w:t xml:space="preserve"> </w:t>
            </w:r>
            <w:r w:rsidRPr="0071774C">
              <w:t>became,</w:t>
            </w:r>
            <w:r>
              <w:t xml:space="preserve"> </w:t>
            </w:r>
            <w:r w:rsidRPr="0071774C">
              <w:t>‘drive</w:t>
            </w:r>
            <w:r>
              <w:t xml:space="preserve"> </w:t>
            </w:r>
            <w:r w:rsidRPr="0071774C">
              <w:t>whole-of-community</w:t>
            </w:r>
            <w:r>
              <w:t xml:space="preserve"> </w:t>
            </w:r>
            <w:r w:rsidRPr="0071774C">
              <w:t>action</w:t>
            </w:r>
            <w:r>
              <w:t xml:space="preserve"> </w:t>
            </w:r>
            <w:r w:rsidRPr="0071774C">
              <w:t>to</w:t>
            </w:r>
            <w:r>
              <w:t xml:space="preserve"> </w:t>
            </w:r>
            <w:r w:rsidRPr="0071774C">
              <w:t>prevent</w:t>
            </w:r>
            <w:r>
              <w:t xml:space="preserve"> </w:t>
            </w:r>
            <w:r w:rsidRPr="0071774C">
              <w:t>violence’.</w:t>
            </w:r>
          </w:p>
          <w:p w14:paraId="2B0873E6" w14:textId="2B0F10E4" w:rsidR="002C2EC7" w:rsidRDefault="002C2EC7" w:rsidP="00437ED1">
            <w:pPr>
              <w:pStyle w:val="OWTablebodyleft"/>
            </w:pPr>
            <w:r>
              <w:t xml:space="preserve">There was </w:t>
            </w:r>
            <w:r w:rsidRPr="0071774C">
              <w:t>further</w:t>
            </w:r>
            <w:r>
              <w:t xml:space="preserve"> </w:t>
            </w:r>
            <w:r w:rsidRPr="0071774C">
              <w:t>investment</w:t>
            </w:r>
            <w:r>
              <w:t xml:space="preserve"> </w:t>
            </w:r>
            <w:r w:rsidRPr="0071774C">
              <w:t>in</w:t>
            </w:r>
            <w:r>
              <w:t xml:space="preserve"> </w:t>
            </w:r>
            <w:r w:rsidRPr="0071774C">
              <w:t>social</w:t>
            </w:r>
            <w:r>
              <w:t xml:space="preserve"> </w:t>
            </w:r>
            <w:r w:rsidRPr="0071774C">
              <w:t>marketing</w:t>
            </w:r>
            <w:r>
              <w:t xml:space="preserve"> </w:t>
            </w:r>
            <w:r w:rsidRPr="0071774C">
              <w:t>campaigns</w:t>
            </w:r>
            <w:r>
              <w:t xml:space="preserve"> </w:t>
            </w:r>
            <w:r w:rsidRPr="0071774C">
              <w:t>and</w:t>
            </w:r>
            <w:r>
              <w:t xml:space="preserve"> </w:t>
            </w:r>
            <w:r w:rsidRPr="0071774C">
              <w:t>school</w:t>
            </w:r>
            <w:r>
              <w:t xml:space="preserve"> </w:t>
            </w:r>
            <w:r w:rsidRPr="0071774C">
              <w:t>settings,</w:t>
            </w:r>
            <w:r>
              <w:t xml:space="preserve"> </w:t>
            </w:r>
            <w:r w:rsidRPr="0071774C">
              <w:t>and</w:t>
            </w:r>
            <w:r>
              <w:t xml:space="preserve"> </w:t>
            </w:r>
            <w:r w:rsidRPr="0071774C">
              <w:t>a</w:t>
            </w:r>
            <w:r>
              <w:t xml:space="preserve"> </w:t>
            </w:r>
            <w:r w:rsidRPr="0071774C">
              <w:t>range</w:t>
            </w:r>
            <w:r>
              <w:t xml:space="preserve"> </w:t>
            </w:r>
            <w:r w:rsidRPr="0071774C">
              <w:t>of</w:t>
            </w:r>
            <w:r>
              <w:t xml:space="preserve"> </w:t>
            </w:r>
            <w:r w:rsidRPr="0071774C">
              <w:t>initiatives</w:t>
            </w:r>
            <w:r>
              <w:t xml:space="preserve"> </w:t>
            </w:r>
            <w:r w:rsidRPr="0071774C">
              <w:t>aimed</w:t>
            </w:r>
            <w:r>
              <w:t xml:space="preserve"> </w:t>
            </w:r>
            <w:r w:rsidRPr="0071774C">
              <w:t>at</w:t>
            </w:r>
            <w:r>
              <w:t xml:space="preserve"> </w:t>
            </w:r>
            <w:r w:rsidRPr="0071774C">
              <w:t>specific</w:t>
            </w:r>
            <w:r>
              <w:t xml:space="preserve"> </w:t>
            </w:r>
            <w:r w:rsidRPr="0071774C">
              <w:t>communities,</w:t>
            </w:r>
            <w:r>
              <w:t xml:space="preserve"> </w:t>
            </w:r>
            <w:r w:rsidRPr="0071774C">
              <w:t>such</w:t>
            </w:r>
            <w:r>
              <w:t xml:space="preserve"> </w:t>
            </w:r>
            <w:r w:rsidRPr="0071774C">
              <w:t>as</w:t>
            </w:r>
            <w:r>
              <w:t xml:space="preserve"> </w:t>
            </w:r>
            <w:r w:rsidRPr="0071774C">
              <w:t>committees,</w:t>
            </w:r>
            <w:r>
              <w:t xml:space="preserve"> </w:t>
            </w:r>
            <w:r w:rsidRPr="0071774C">
              <w:t>grants</w:t>
            </w:r>
            <w:r>
              <w:t xml:space="preserve"> </w:t>
            </w:r>
            <w:r w:rsidRPr="0071774C">
              <w:t>and</w:t>
            </w:r>
            <w:r>
              <w:t xml:space="preserve"> </w:t>
            </w:r>
            <w:r w:rsidRPr="0071774C">
              <w:t>awards</w:t>
            </w:r>
            <w:r>
              <w:t xml:space="preserve"> </w:t>
            </w:r>
            <w:r w:rsidRPr="0071774C">
              <w:t>programs.</w:t>
            </w:r>
            <w:r>
              <w:t xml:space="preserve"> </w:t>
            </w:r>
            <w:r w:rsidRPr="0071774C">
              <w:t>Workplaces</w:t>
            </w:r>
            <w:r>
              <w:t xml:space="preserve"> </w:t>
            </w:r>
            <w:r w:rsidRPr="0071774C">
              <w:t>and</w:t>
            </w:r>
            <w:r>
              <w:t xml:space="preserve"> </w:t>
            </w:r>
            <w:r w:rsidRPr="0071774C">
              <w:t>sports</w:t>
            </w:r>
            <w:r>
              <w:t xml:space="preserve"> </w:t>
            </w:r>
            <w:r w:rsidRPr="0071774C">
              <w:t>settings</w:t>
            </w:r>
            <w:r>
              <w:t xml:space="preserve"> </w:t>
            </w:r>
            <w:r w:rsidRPr="0071774C">
              <w:t>also</w:t>
            </w:r>
            <w:r>
              <w:t xml:space="preserve"> </w:t>
            </w:r>
            <w:r w:rsidRPr="0071774C">
              <w:t>continue</w:t>
            </w:r>
            <w:r>
              <w:t xml:space="preserve"> </w:t>
            </w:r>
            <w:r w:rsidRPr="0071774C">
              <w:t>to</w:t>
            </w:r>
            <w:r>
              <w:t xml:space="preserve"> </w:t>
            </w:r>
            <w:r w:rsidRPr="0071774C">
              <w:t>receive</w:t>
            </w:r>
            <w:r>
              <w:t xml:space="preserve"> </w:t>
            </w:r>
            <w:r w:rsidRPr="0071774C">
              <w:t>attention.</w:t>
            </w:r>
            <w:r>
              <w:t xml:space="preserve"> </w:t>
            </w:r>
            <w:r w:rsidRPr="0071774C">
              <w:t>This</w:t>
            </w:r>
            <w:r>
              <w:t xml:space="preserve"> </w:t>
            </w:r>
            <w:r w:rsidRPr="0071774C">
              <w:t>period</w:t>
            </w:r>
            <w:r>
              <w:t xml:space="preserve"> </w:t>
            </w:r>
            <w:r w:rsidRPr="0071774C">
              <w:t>also</w:t>
            </w:r>
            <w:r>
              <w:t xml:space="preserve"> </w:t>
            </w:r>
            <w:r w:rsidRPr="0071774C">
              <w:t>sees</w:t>
            </w:r>
            <w:r>
              <w:t xml:space="preserve"> </w:t>
            </w:r>
            <w:r w:rsidRPr="0071774C">
              <w:t>the</w:t>
            </w:r>
            <w:r>
              <w:t xml:space="preserve"> </w:t>
            </w:r>
            <w:r w:rsidRPr="0071774C">
              <w:t>establishment</w:t>
            </w:r>
            <w:r>
              <w:t xml:space="preserve"> </w:t>
            </w:r>
            <w:r w:rsidRPr="0071774C">
              <w:t>of</w:t>
            </w:r>
            <w:r>
              <w:t xml:space="preserve"> </w:t>
            </w:r>
            <w:r w:rsidRPr="0071774C">
              <w:t>Our</w:t>
            </w:r>
            <w:r>
              <w:t xml:space="preserve"> </w:t>
            </w:r>
            <w:r w:rsidRPr="0071774C">
              <w:t>Watch</w:t>
            </w:r>
            <w:r>
              <w:t xml:space="preserve"> </w:t>
            </w:r>
            <w:r w:rsidRPr="0071774C">
              <w:t>–</w:t>
            </w:r>
            <w:r>
              <w:t xml:space="preserve"> </w:t>
            </w:r>
            <w:r w:rsidRPr="0071774C">
              <w:t>a</w:t>
            </w:r>
            <w:r>
              <w:t xml:space="preserve"> </w:t>
            </w:r>
            <w:r w:rsidRPr="0071774C">
              <w:t>significant</w:t>
            </w:r>
            <w:r>
              <w:t xml:space="preserve"> </w:t>
            </w:r>
            <w:r w:rsidRPr="0071774C">
              <w:t>contribution</w:t>
            </w:r>
            <w:r>
              <w:t xml:space="preserve"> </w:t>
            </w:r>
            <w:r w:rsidRPr="0071774C">
              <w:t>to</w:t>
            </w:r>
            <w:r>
              <w:t xml:space="preserve"> </w:t>
            </w:r>
            <w:r w:rsidRPr="0071774C">
              <w:t>the</w:t>
            </w:r>
            <w:r>
              <w:t xml:space="preserve"> </w:t>
            </w:r>
            <w:r w:rsidRPr="0071774C">
              <w:t>development</w:t>
            </w:r>
            <w:r>
              <w:t xml:space="preserve"> </w:t>
            </w:r>
            <w:r w:rsidRPr="0071774C">
              <w:t>of</w:t>
            </w:r>
            <w:r>
              <w:t xml:space="preserve"> </w:t>
            </w:r>
            <w:r w:rsidRPr="0071774C">
              <w:t>prevention</w:t>
            </w:r>
            <w:r>
              <w:t xml:space="preserve"> </w:t>
            </w:r>
            <w:r w:rsidRPr="0071774C">
              <w:t>infrastructure</w:t>
            </w:r>
            <w:r w:rsidR="00867C2D">
              <w:t xml:space="preserve"> and ANROWS, </w:t>
            </w:r>
            <w:r w:rsidR="00867C2D" w:rsidRPr="005B6FC8">
              <w:t>a national research organisation established to produce, disseminate and assist in applying evidence for policy and practice addressing violence against women and their children</w:t>
            </w:r>
            <w:r w:rsidRPr="0071774C">
              <w:t>.</w:t>
            </w:r>
          </w:p>
          <w:p w14:paraId="7E531219" w14:textId="0F2E855D" w:rsidR="002C2EC7" w:rsidRDefault="002C2EC7" w:rsidP="00437ED1">
            <w:pPr>
              <w:pStyle w:val="OWTablebodyleft"/>
            </w:pPr>
            <w:r w:rsidRPr="0071774C">
              <w:t>Meanwhile,</w:t>
            </w:r>
            <w:r>
              <w:t xml:space="preserve"> </w:t>
            </w:r>
            <w:r w:rsidRPr="0071774C">
              <w:t>evidence</w:t>
            </w:r>
            <w:r>
              <w:t xml:space="preserve"> </w:t>
            </w:r>
            <w:r w:rsidRPr="0071774C">
              <w:t>on</w:t>
            </w:r>
            <w:r>
              <w:t xml:space="preserve"> </w:t>
            </w:r>
            <w:r w:rsidRPr="0071774C">
              <w:t>what</w:t>
            </w:r>
            <w:r>
              <w:t xml:space="preserve"> </w:t>
            </w:r>
            <w:r w:rsidRPr="0071774C">
              <w:t>works</w:t>
            </w:r>
            <w:r>
              <w:t xml:space="preserve"> </w:t>
            </w:r>
            <w:r w:rsidRPr="0071774C">
              <w:t>in</w:t>
            </w:r>
            <w:r>
              <w:t xml:space="preserve"> primary </w:t>
            </w:r>
            <w:r w:rsidRPr="0071774C">
              <w:t>prevention</w:t>
            </w:r>
            <w:r>
              <w:t xml:space="preserve"> </w:t>
            </w:r>
            <w:r w:rsidRPr="0071774C">
              <w:t>was</w:t>
            </w:r>
            <w:r>
              <w:t xml:space="preserve"> </w:t>
            </w:r>
            <w:r w:rsidRPr="0071774C">
              <w:t>being</w:t>
            </w:r>
            <w:r>
              <w:t xml:space="preserve"> </w:t>
            </w:r>
            <w:r w:rsidRPr="0071774C">
              <w:t>collated</w:t>
            </w:r>
            <w:r>
              <w:t xml:space="preserve"> </w:t>
            </w:r>
            <w:r w:rsidRPr="0071774C">
              <w:t>by</w:t>
            </w:r>
            <w:r>
              <w:t xml:space="preserve"> </w:t>
            </w:r>
            <w:r w:rsidRPr="0071774C">
              <w:t>a</w:t>
            </w:r>
            <w:r>
              <w:t xml:space="preserve"> </w:t>
            </w:r>
            <w:r w:rsidRPr="0071774C">
              <w:t>number</w:t>
            </w:r>
            <w:r>
              <w:t xml:space="preserve"> </w:t>
            </w:r>
            <w:r w:rsidRPr="0071774C">
              <w:t>of</w:t>
            </w:r>
            <w:r>
              <w:t xml:space="preserve"> </w:t>
            </w:r>
            <w:r w:rsidRPr="0071774C">
              <w:t>organisations,</w:t>
            </w:r>
            <w:r>
              <w:t xml:space="preserve"> </w:t>
            </w:r>
            <w:r w:rsidRPr="0071774C">
              <w:t>researchers</w:t>
            </w:r>
            <w:r>
              <w:t xml:space="preserve"> </w:t>
            </w:r>
            <w:r w:rsidRPr="0071774C">
              <w:t>and</w:t>
            </w:r>
            <w:r>
              <w:t xml:space="preserve"> </w:t>
            </w:r>
            <w:r w:rsidRPr="0071774C">
              <w:t>institutions.</w:t>
            </w:r>
            <w:r>
              <w:t xml:space="preserve"> </w:t>
            </w:r>
            <w:r w:rsidRPr="0071774C">
              <w:t>New</w:t>
            </w:r>
            <w:r>
              <w:t xml:space="preserve"> </w:t>
            </w:r>
            <w:r w:rsidRPr="0071774C">
              <w:t>publications</w:t>
            </w:r>
            <w:r>
              <w:t xml:space="preserve"> </w:t>
            </w:r>
            <w:r w:rsidRPr="0071774C">
              <w:t>meant</w:t>
            </w:r>
            <w:r>
              <w:t xml:space="preserve"> </w:t>
            </w:r>
            <w:r w:rsidRPr="0071774C">
              <w:t>that</w:t>
            </w:r>
            <w:r>
              <w:t xml:space="preserve"> </w:t>
            </w:r>
            <w:r w:rsidRPr="0071774C">
              <w:t>policymakers</w:t>
            </w:r>
            <w:r>
              <w:t xml:space="preserve"> </w:t>
            </w:r>
            <w:r w:rsidRPr="0071774C">
              <w:t>and</w:t>
            </w:r>
            <w:r>
              <w:t xml:space="preserve"> </w:t>
            </w:r>
            <w:r w:rsidRPr="0071774C">
              <w:t>activity</w:t>
            </w:r>
            <w:r>
              <w:t xml:space="preserve"> </w:t>
            </w:r>
            <w:r w:rsidRPr="0071774C">
              <w:t>designers</w:t>
            </w:r>
            <w:r>
              <w:t xml:space="preserve"> </w:t>
            </w:r>
            <w:r w:rsidRPr="0071774C">
              <w:t>could</w:t>
            </w:r>
            <w:r>
              <w:t xml:space="preserve"> </w:t>
            </w:r>
            <w:r w:rsidRPr="0071774C">
              <w:t>develop</w:t>
            </w:r>
            <w:r>
              <w:t xml:space="preserve"> </w:t>
            </w:r>
            <w:r w:rsidRPr="0071774C">
              <w:t>prevention</w:t>
            </w:r>
            <w:r>
              <w:t xml:space="preserve"> </w:t>
            </w:r>
            <w:r w:rsidRPr="0071774C">
              <w:t>activities</w:t>
            </w:r>
            <w:r>
              <w:t xml:space="preserve"> </w:t>
            </w:r>
            <w:r w:rsidRPr="0071774C">
              <w:t>based</w:t>
            </w:r>
            <w:r>
              <w:t xml:space="preserve"> </w:t>
            </w:r>
            <w:r w:rsidRPr="0071774C">
              <w:t>on</w:t>
            </w:r>
            <w:r>
              <w:t xml:space="preserve"> </w:t>
            </w:r>
            <w:r w:rsidRPr="0071774C">
              <w:t>evidence</w:t>
            </w:r>
            <w:r>
              <w:t xml:space="preserve"> for </w:t>
            </w:r>
            <w:r w:rsidRPr="0071774C">
              <w:t>what</w:t>
            </w:r>
            <w:r>
              <w:t xml:space="preserve"> </w:t>
            </w:r>
            <w:r w:rsidRPr="0071774C">
              <w:t>does</w:t>
            </w:r>
            <w:r>
              <w:t xml:space="preserve"> </w:t>
            </w:r>
            <w:r w:rsidRPr="0071774C">
              <w:t>and</w:t>
            </w:r>
            <w:r>
              <w:t xml:space="preserve"> </w:t>
            </w:r>
            <w:r w:rsidRPr="0071774C">
              <w:t>doesn’t</w:t>
            </w:r>
            <w:r>
              <w:t xml:space="preserve"> </w:t>
            </w:r>
            <w:r w:rsidRPr="0071774C">
              <w:t>work</w:t>
            </w:r>
            <w:r w:rsidRPr="0071774C">
              <w:rPr>
                <w:rStyle w:val="EndnoteReference"/>
              </w:rPr>
              <w:endnoteReference w:id="164"/>
            </w:r>
            <w:r>
              <w:t xml:space="preserve"> </w:t>
            </w:r>
            <w:r w:rsidRPr="0071774C">
              <w:rPr>
                <w:rStyle w:val="EndnoteReference"/>
              </w:rPr>
              <w:endnoteReference w:id="165"/>
            </w:r>
            <w:r>
              <w:t xml:space="preserve"> </w:t>
            </w:r>
            <w:r w:rsidRPr="0071774C">
              <w:t>and</w:t>
            </w:r>
            <w:r>
              <w:t xml:space="preserve"> </w:t>
            </w:r>
            <w:r w:rsidRPr="0071774C">
              <w:t>principles</w:t>
            </w:r>
            <w:r>
              <w:t xml:space="preserve"> </w:t>
            </w:r>
            <w:r w:rsidRPr="0071774C">
              <w:t>for</w:t>
            </w:r>
            <w:r>
              <w:t xml:space="preserve"> </w:t>
            </w:r>
            <w:r w:rsidRPr="0071774C">
              <w:t>effective</w:t>
            </w:r>
            <w:r>
              <w:t xml:space="preserve"> </w:t>
            </w:r>
            <w:r w:rsidRPr="0071774C">
              <w:t>prevention</w:t>
            </w:r>
            <w:r>
              <w:t xml:space="preserve"> </w:t>
            </w:r>
            <w:r w:rsidRPr="0071774C">
              <w:t>techniques</w:t>
            </w:r>
            <w:r>
              <w:t>.</w:t>
            </w:r>
            <w:r w:rsidRPr="0071774C">
              <w:rPr>
                <w:rStyle w:val="EndnoteReference"/>
              </w:rPr>
              <w:endnoteReference w:id="166"/>
            </w:r>
            <w:r>
              <w:t xml:space="preserve"> </w:t>
            </w:r>
            <w:r w:rsidRPr="0071774C">
              <w:rPr>
                <w:rStyle w:val="EndnoteReference"/>
              </w:rPr>
              <w:endnoteReference w:id="167"/>
            </w:r>
            <w:r>
              <w:t xml:space="preserve"> </w:t>
            </w:r>
            <w:r w:rsidRPr="0071774C">
              <w:t>However</w:t>
            </w:r>
            <w:r>
              <w:t xml:space="preserve">, </w:t>
            </w:r>
            <w:r w:rsidRPr="0071774C">
              <w:t>the</w:t>
            </w:r>
            <w:r>
              <w:t xml:space="preserve"> </w:t>
            </w:r>
            <w:r w:rsidRPr="0071774C">
              <w:t>evidence</w:t>
            </w:r>
            <w:r>
              <w:t xml:space="preserve"> </w:t>
            </w:r>
            <w:r w:rsidRPr="0071774C">
              <w:t>to</w:t>
            </w:r>
            <w:r>
              <w:t xml:space="preserve"> </w:t>
            </w:r>
            <w:r w:rsidRPr="0071774C">
              <w:t>inform</w:t>
            </w:r>
            <w:r>
              <w:t xml:space="preserve"> </w:t>
            </w:r>
            <w:r w:rsidRPr="0071774C">
              <w:t>activity</w:t>
            </w:r>
            <w:r>
              <w:t xml:space="preserve"> </w:t>
            </w:r>
            <w:r w:rsidRPr="0071774C">
              <w:t>planning</w:t>
            </w:r>
            <w:r>
              <w:t xml:space="preserve"> </w:t>
            </w:r>
            <w:r w:rsidRPr="0071774C">
              <w:t>was</w:t>
            </w:r>
            <w:r w:rsidR="006B08D1">
              <w:t> </w:t>
            </w:r>
            <w:r w:rsidRPr="0071774C">
              <w:t>still</w:t>
            </w:r>
            <w:r>
              <w:t xml:space="preserve"> </w:t>
            </w:r>
            <w:r w:rsidRPr="0071774C">
              <w:t>limited</w:t>
            </w:r>
            <w:r>
              <w:t xml:space="preserve"> </w:t>
            </w:r>
            <w:r w:rsidRPr="0071774C">
              <w:t>by</w:t>
            </w:r>
            <w:r>
              <w:t xml:space="preserve"> </w:t>
            </w:r>
            <w:r w:rsidRPr="0071774C">
              <w:t>the</w:t>
            </w:r>
            <w:r>
              <w:t xml:space="preserve"> </w:t>
            </w:r>
            <w:r w:rsidRPr="0071774C">
              <w:t>lack</w:t>
            </w:r>
            <w:r>
              <w:t xml:space="preserve"> </w:t>
            </w:r>
            <w:r w:rsidRPr="0071774C">
              <w:t>of</w:t>
            </w:r>
            <w:r>
              <w:t xml:space="preserve"> </w:t>
            </w:r>
            <w:r w:rsidRPr="0071774C">
              <w:t>published</w:t>
            </w:r>
            <w:r>
              <w:t xml:space="preserve"> </w:t>
            </w:r>
            <w:r w:rsidRPr="0071774C">
              <w:t>evaluations</w:t>
            </w:r>
            <w:r>
              <w:t xml:space="preserve"> </w:t>
            </w:r>
            <w:r w:rsidRPr="0071774C">
              <w:t>with</w:t>
            </w:r>
            <w:r>
              <w:t xml:space="preserve"> </w:t>
            </w:r>
            <w:r w:rsidRPr="0071774C">
              <w:t>a</w:t>
            </w:r>
            <w:r>
              <w:t xml:space="preserve"> </w:t>
            </w:r>
            <w:r w:rsidRPr="0071774C">
              <w:t>focus</w:t>
            </w:r>
            <w:r>
              <w:t xml:space="preserve"> </w:t>
            </w:r>
            <w:r w:rsidRPr="0071774C">
              <w:t>on</w:t>
            </w:r>
            <w:r>
              <w:t xml:space="preserve"> </w:t>
            </w:r>
            <w:r w:rsidRPr="0071774C">
              <w:t>effectiveness,</w:t>
            </w:r>
            <w:r>
              <w:t xml:space="preserve"> </w:t>
            </w:r>
            <w:r w:rsidRPr="0071774C">
              <w:t>and</w:t>
            </w:r>
            <w:r>
              <w:t xml:space="preserve"> </w:t>
            </w:r>
            <w:r w:rsidRPr="0071774C">
              <w:t>the</w:t>
            </w:r>
            <w:r>
              <w:t xml:space="preserve"> </w:t>
            </w:r>
            <w:r w:rsidRPr="0071774C">
              <w:t>lack</w:t>
            </w:r>
            <w:r>
              <w:t xml:space="preserve"> </w:t>
            </w:r>
            <w:r w:rsidRPr="0071774C">
              <w:t>of</w:t>
            </w:r>
            <w:r>
              <w:t xml:space="preserve"> </w:t>
            </w:r>
            <w:r w:rsidRPr="0071774C">
              <w:t>meta-analyses</w:t>
            </w:r>
            <w:r>
              <w:t xml:space="preserve"> </w:t>
            </w:r>
            <w:r w:rsidRPr="0071774C">
              <w:t>of</w:t>
            </w:r>
            <w:r>
              <w:t xml:space="preserve"> </w:t>
            </w:r>
            <w:r w:rsidRPr="0071774C">
              <w:t>the</w:t>
            </w:r>
            <w:r>
              <w:t xml:space="preserve"> </w:t>
            </w:r>
            <w:r w:rsidRPr="0071774C">
              <w:t>effectiveness</w:t>
            </w:r>
            <w:r>
              <w:t xml:space="preserve"> </w:t>
            </w:r>
            <w:r w:rsidRPr="0071774C">
              <w:t>of</w:t>
            </w:r>
            <w:r>
              <w:t xml:space="preserve"> </w:t>
            </w:r>
            <w:r w:rsidRPr="0071774C">
              <w:t>activit</w:t>
            </w:r>
            <w:r>
              <w:t xml:space="preserve">ies </w:t>
            </w:r>
            <w:r w:rsidRPr="0071774C">
              <w:t>when</w:t>
            </w:r>
            <w:r>
              <w:t xml:space="preserve"> </w:t>
            </w:r>
            <w:r w:rsidRPr="0071774C">
              <w:t>used</w:t>
            </w:r>
            <w:r>
              <w:t xml:space="preserve"> </w:t>
            </w:r>
            <w:r w:rsidRPr="0071774C">
              <w:t>in</w:t>
            </w:r>
            <w:r>
              <w:t xml:space="preserve"> </w:t>
            </w:r>
            <w:r w:rsidRPr="0071774C">
              <w:t>combination</w:t>
            </w:r>
            <w:r>
              <w:t>.</w:t>
            </w:r>
            <w:r w:rsidRPr="0071774C">
              <w:rPr>
                <w:rStyle w:val="EndnoteReference"/>
              </w:rPr>
              <w:endnoteReference w:id="168"/>
            </w:r>
          </w:p>
          <w:p w14:paraId="53EA373A" w14:textId="77777777" w:rsidR="002C2EC7" w:rsidRPr="0071774C" w:rsidRDefault="002C2EC7" w:rsidP="00437ED1">
            <w:pPr>
              <w:pStyle w:val="OWTablebodyleft"/>
            </w:pPr>
            <w:r w:rsidRPr="0071774C">
              <w:t>During</w:t>
            </w:r>
            <w:r>
              <w:t xml:space="preserve"> </w:t>
            </w:r>
            <w:r w:rsidRPr="0071774C">
              <w:t>this</w:t>
            </w:r>
            <w:r>
              <w:t xml:space="preserve"> </w:t>
            </w:r>
            <w:r w:rsidRPr="0071774C">
              <w:t>time,</w:t>
            </w:r>
            <w:r>
              <w:t xml:space="preserve"> </w:t>
            </w:r>
            <w:r w:rsidRPr="0071774C">
              <w:t>prevention</w:t>
            </w:r>
            <w:r>
              <w:t xml:space="preserve"> </w:t>
            </w:r>
            <w:r w:rsidRPr="0071774C">
              <w:t>guides</w:t>
            </w:r>
            <w:r>
              <w:t xml:space="preserve"> </w:t>
            </w:r>
            <w:r w:rsidRPr="0071774C">
              <w:t>and</w:t>
            </w:r>
            <w:r>
              <w:t xml:space="preserve"> </w:t>
            </w:r>
            <w:r w:rsidRPr="0071774C">
              <w:t>resources</w:t>
            </w:r>
            <w:r>
              <w:t xml:space="preserve"> </w:t>
            </w:r>
            <w:r w:rsidRPr="0071774C">
              <w:t>were</w:t>
            </w:r>
            <w:r>
              <w:t xml:space="preserve"> </w:t>
            </w:r>
            <w:r w:rsidRPr="0071774C">
              <w:t>largely</w:t>
            </w:r>
            <w:r>
              <w:t xml:space="preserve"> </w:t>
            </w:r>
            <w:r w:rsidRPr="0071774C">
              <w:t>developed</w:t>
            </w:r>
            <w:r>
              <w:t xml:space="preserve"> </w:t>
            </w:r>
            <w:r w:rsidRPr="0071774C">
              <w:t>by</w:t>
            </w:r>
            <w:r>
              <w:t xml:space="preserve"> </w:t>
            </w:r>
            <w:r w:rsidRPr="0071774C">
              <w:t>civil</w:t>
            </w:r>
            <w:r>
              <w:t xml:space="preserve"> </w:t>
            </w:r>
            <w:r w:rsidRPr="0071774C">
              <w:t>society</w:t>
            </w:r>
            <w:r>
              <w:t xml:space="preserve"> </w:t>
            </w:r>
            <w:r w:rsidRPr="0071774C">
              <w:t>and</w:t>
            </w:r>
            <w:r>
              <w:t xml:space="preserve"> </w:t>
            </w:r>
            <w:r w:rsidRPr="0071774C">
              <w:t>not</w:t>
            </w:r>
            <w:r>
              <w:t>-</w:t>
            </w:r>
            <w:r w:rsidRPr="0071774C">
              <w:t>for</w:t>
            </w:r>
            <w:r>
              <w:t>-</w:t>
            </w:r>
            <w:r w:rsidRPr="0071774C">
              <w:t>profit</w:t>
            </w:r>
            <w:r>
              <w:t xml:space="preserve"> </w:t>
            </w:r>
            <w:r w:rsidRPr="0071774C">
              <w:t>organisations.</w:t>
            </w:r>
            <w:r>
              <w:t xml:space="preserve"> </w:t>
            </w:r>
            <w:r w:rsidRPr="0071774C">
              <w:t>For</w:t>
            </w:r>
            <w:r>
              <w:t xml:space="preserve"> </w:t>
            </w:r>
            <w:r w:rsidRPr="0071774C">
              <w:t>instance,</w:t>
            </w:r>
            <w:r>
              <w:t xml:space="preserve"> </w:t>
            </w:r>
            <w:r w:rsidRPr="0071774C">
              <w:t>in</w:t>
            </w:r>
            <w:r>
              <w:t xml:space="preserve"> </w:t>
            </w:r>
            <w:r w:rsidRPr="0071774C">
              <w:t>2011</w:t>
            </w:r>
            <w:r>
              <w:t xml:space="preserve"> </w:t>
            </w:r>
            <w:r w:rsidRPr="0071774C">
              <w:t>the</w:t>
            </w:r>
            <w:r>
              <w:t xml:space="preserve"> </w:t>
            </w:r>
            <w:r w:rsidRPr="0071774C">
              <w:t>Multicultural</w:t>
            </w:r>
            <w:r>
              <w:t xml:space="preserve"> </w:t>
            </w:r>
            <w:r w:rsidRPr="0071774C">
              <w:lastRenderedPageBreak/>
              <w:t>Centre</w:t>
            </w:r>
            <w:r>
              <w:t xml:space="preserve"> </w:t>
            </w:r>
            <w:r w:rsidRPr="0071774C">
              <w:t>for</w:t>
            </w:r>
            <w:r>
              <w:t xml:space="preserve"> </w:t>
            </w:r>
            <w:r w:rsidRPr="0071774C">
              <w:t>Women’s</w:t>
            </w:r>
            <w:r>
              <w:t xml:space="preserve"> </w:t>
            </w:r>
            <w:r w:rsidRPr="0071774C">
              <w:t>Health</w:t>
            </w:r>
            <w:r>
              <w:t xml:space="preserve"> </w:t>
            </w:r>
            <w:r w:rsidRPr="0071774C">
              <w:t>published</w:t>
            </w:r>
            <w:r>
              <w:t xml:space="preserve"> </w:t>
            </w:r>
            <w:r w:rsidRPr="00ED4674">
              <w:rPr>
                <w:rStyle w:val="Emphasis"/>
              </w:rPr>
              <w:t>On Her Way: Primary prevention of violence against immigrant and refugee women in Australia</w:t>
            </w:r>
            <w:r>
              <w:t>.</w:t>
            </w:r>
            <w:r w:rsidRPr="005A50EE">
              <w:rPr>
                <w:rStyle w:val="EndnoteReference"/>
              </w:rPr>
              <w:endnoteReference w:id="169"/>
            </w:r>
            <w:r>
              <w:t xml:space="preserve"> </w:t>
            </w:r>
            <w:r w:rsidRPr="0071774C">
              <w:t>This</w:t>
            </w:r>
            <w:r>
              <w:t xml:space="preserve"> </w:t>
            </w:r>
            <w:r w:rsidRPr="0071774C">
              <w:t>advocated</w:t>
            </w:r>
            <w:r>
              <w:t xml:space="preserve"> </w:t>
            </w:r>
            <w:r w:rsidRPr="0071774C">
              <w:t>for</w:t>
            </w:r>
            <w:r>
              <w:t xml:space="preserve"> </w:t>
            </w:r>
            <w:r w:rsidRPr="0071774C">
              <w:t>prevention</w:t>
            </w:r>
            <w:r>
              <w:t xml:space="preserve"> </w:t>
            </w:r>
            <w:r w:rsidRPr="0071774C">
              <w:t>approaches</w:t>
            </w:r>
            <w:r>
              <w:t xml:space="preserve"> </w:t>
            </w:r>
            <w:r w:rsidRPr="0071774C">
              <w:t>that</w:t>
            </w:r>
            <w:r>
              <w:t xml:space="preserve"> </w:t>
            </w:r>
            <w:r w:rsidRPr="0071774C">
              <w:t>recognise</w:t>
            </w:r>
            <w:r>
              <w:t xml:space="preserve"> </w:t>
            </w:r>
            <w:r w:rsidRPr="0071774C">
              <w:t>diversity</w:t>
            </w:r>
            <w:r>
              <w:t xml:space="preserve"> </w:t>
            </w:r>
            <w:r w:rsidRPr="0071774C">
              <w:t>among</w:t>
            </w:r>
            <w:r>
              <w:t xml:space="preserve"> </w:t>
            </w:r>
            <w:r w:rsidRPr="0071774C">
              <w:t>women</w:t>
            </w:r>
            <w:r>
              <w:t xml:space="preserve"> </w:t>
            </w:r>
            <w:r w:rsidRPr="0071774C">
              <w:t>and</w:t>
            </w:r>
            <w:r>
              <w:t xml:space="preserve"> </w:t>
            </w:r>
            <w:r w:rsidRPr="0071774C">
              <w:t>suggested</w:t>
            </w:r>
            <w:r>
              <w:t xml:space="preserve"> </w:t>
            </w:r>
            <w:r w:rsidRPr="0071774C">
              <w:t>that</w:t>
            </w:r>
            <w:r>
              <w:t xml:space="preserve"> </w:t>
            </w:r>
            <w:r w:rsidRPr="0071774C">
              <w:t>effective</w:t>
            </w:r>
            <w:r>
              <w:t xml:space="preserve"> </w:t>
            </w:r>
            <w:r w:rsidRPr="0071774C">
              <w:t>prevention</w:t>
            </w:r>
            <w:r>
              <w:t xml:space="preserve"> </w:t>
            </w:r>
            <w:r w:rsidRPr="0071774C">
              <w:t>requires</w:t>
            </w:r>
            <w:r>
              <w:t xml:space="preserve"> </w:t>
            </w:r>
            <w:r w:rsidRPr="0071774C">
              <w:t>long-term</w:t>
            </w:r>
            <w:r>
              <w:t xml:space="preserve"> </w:t>
            </w:r>
            <w:r w:rsidRPr="0071774C">
              <w:t>commitment</w:t>
            </w:r>
            <w:r>
              <w:t xml:space="preserve"> </w:t>
            </w:r>
            <w:r w:rsidRPr="0071774C">
              <w:t>to</w:t>
            </w:r>
            <w:r>
              <w:t xml:space="preserve"> </w:t>
            </w:r>
            <w:r w:rsidRPr="0071774C">
              <w:t>drive</w:t>
            </w:r>
            <w:r>
              <w:t xml:space="preserve"> ‘</w:t>
            </w:r>
            <w:r w:rsidRPr="0071774C">
              <w:t>major</w:t>
            </w:r>
            <w:r>
              <w:t xml:space="preserve"> </w:t>
            </w:r>
            <w:r w:rsidRPr="0071774C">
              <w:t>cultural</w:t>
            </w:r>
            <w:r>
              <w:t xml:space="preserve"> </w:t>
            </w:r>
            <w:r w:rsidRPr="0071774C">
              <w:t>and</w:t>
            </w:r>
            <w:r>
              <w:t xml:space="preserve"> </w:t>
            </w:r>
            <w:r w:rsidRPr="0071774C">
              <w:t>social</w:t>
            </w:r>
            <w:r>
              <w:t xml:space="preserve"> </w:t>
            </w:r>
            <w:r w:rsidRPr="0071774C">
              <w:t>change</w:t>
            </w:r>
            <w:r>
              <w:t>’.</w:t>
            </w:r>
            <w:r w:rsidRPr="0071774C">
              <w:rPr>
                <w:rStyle w:val="EndnoteReference"/>
              </w:rPr>
              <w:endnoteReference w:id="170"/>
            </w:r>
          </w:p>
          <w:p w14:paraId="5B558682" w14:textId="77777777" w:rsidR="002C2EC7" w:rsidRPr="0071774C" w:rsidRDefault="002C2EC7" w:rsidP="00437ED1">
            <w:pPr>
              <w:pStyle w:val="OWTablebodyleft"/>
            </w:pPr>
            <w:r w:rsidRPr="0071774C">
              <w:t>By</w:t>
            </w:r>
            <w:r>
              <w:t xml:space="preserve"> </w:t>
            </w:r>
            <w:r w:rsidRPr="0071774C">
              <w:t>the</w:t>
            </w:r>
            <w:r>
              <w:t xml:space="preserve"> </w:t>
            </w:r>
            <w:r w:rsidRPr="0071774C">
              <w:t>Third</w:t>
            </w:r>
            <w:r>
              <w:t xml:space="preserve"> </w:t>
            </w:r>
            <w:r w:rsidRPr="0071774C">
              <w:t>Action</w:t>
            </w:r>
            <w:r>
              <w:t xml:space="preserve"> </w:t>
            </w:r>
            <w:r w:rsidRPr="0071774C">
              <w:t>Plan</w:t>
            </w:r>
            <w:r>
              <w:t>,</w:t>
            </w:r>
            <w:r w:rsidRPr="0071774C">
              <w:rPr>
                <w:rStyle w:val="EndnoteReference"/>
              </w:rPr>
              <w:endnoteReference w:id="171"/>
            </w:r>
            <w:r>
              <w:t xml:space="preserve"> </w:t>
            </w:r>
            <w:r w:rsidRPr="0071774C">
              <w:t>prevention</w:t>
            </w:r>
            <w:r>
              <w:t xml:space="preserve"> </w:t>
            </w:r>
            <w:r w:rsidRPr="0071774C">
              <w:t>was</w:t>
            </w:r>
            <w:r>
              <w:t xml:space="preserve"> </w:t>
            </w:r>
            <w:r w:rsidRPr="0071774C">
              <w:t>one</w:t>
            </w:r>
            <w:r>
              <w:t xml:space="preserve"> </w:t>
            </w:r>
            <w:r w:rsidRPr="0071774C">
              <w:t>of</w:t>
            </w:r>
            <w:r>
              <w:t xml:space="preserve"> </w:t>
            </w:r>
            <w:r w:rsidRPr="0071774C">
              <w:t>six</w:t>
            </w:r>
            <w:r>
              <w:t xml:space="preserve"> </w:t>
            </w:r>
            <w:r w:rsidRPr="0071774C">
              <w:t>national</w:t>
            </w:r>
            <w:r>
              <w:t xml:space="preserve"> </w:t>
            </w:r>
            <w:r w:rsidRPr="0071774C">
              <w:t>priorities</w:t>
            </w:r>
            <w:r>
              <w:t xml:space="preserve"> </w:t>
            </w:r>
            <w:r w:rsidRPr="0071774C">
              <w:t>and</w:t>
            </w:r>
            <w:r>
              <w:t xml:space="preserve"> </w:t>
            </w:r>
            <w:r w:rsidRPr="0071774C">
              <w:t>was</w:t>
            </w:r>
            <w:r>
              <w:t xml:space="preserve"> </w:t>
            </w:r>
            <w:r w:rsidRPr="0071774C">
              <w:t>framed</w:t>
            </w:r>
            <w:r>
              <w:t xml:space="preserve"> </w:t>
            </w:r>
            <w:r w:rsidRPr="0071774C">
              <w:t>as</w:t>
            </w:r>
            <w:r>
              <w:t xml:space="preserve"> </w:t>
            </w:r>
            <w:r w:rsidRPr="0071774C">
              <w:t>‘prevention</w:t>
            </w:r>
            <w:r>
              <w:t xml:space="preserve"> </w:t>
            </w:r>
            <w:r w:rsidRPr="0071774C">
              <w:t>and</w:t>
            </w:r>
            <w:r>
              <w:t xml:space="preserve"> </w:t>
            </w:r>
            <w:r w:rsidRPr="0071774C">
              <w:t>early</w:t>
            </w:r>
            <w:r>
              <w:t xml:space="preserve"> </w:t>
            </w:r>
            <w:r w:rsidRPr="0071774C">
              <w:t>intervention’.</w:t>
            </w:r>
            <w:r>
              <w:t xml:space="preserve"> </w:t>
            </w:r>
            <w:r w:rsidRPr="0071774C">
              <w:t>In</w:t>
            </w:r>
            <w:r>
              <w:t xml:space="preserve"> </w:t>
            </w:r>
            <w:r w:rsidRPr="0071774C">
              <w:t>the</w:t>
            </w:r>
            <w:r>
              <w:t xml:space="preserve"> </w:t>
            </w:r>
            <w:r w:rsidRPr="0071774C">
              <w:t>2017</w:t>
            </w:r>
            <w:r>
              <w:t>–</w:t>
            </w:r>
            <w:r w:rsidRPr="0071774C">
              <w:t>18</w:t>
            </w:r>
            <w:r>
              <w:t xml:space="preserve"> </w:t>
            </w:r>
            <w:r w:rsidRPr="0071774C">
              <w:t>Annual</w:t>
            </w:r>
            <w:r>
              <w:t xml:space="preserve"> </w:t>
            </w:r>
            <w:r w:rsidRPr="0071774C">
              <w:t>Progress</w:t>
            </w:r>
            <w:r>
              <w:t xml:space="preserve"> </w:t>
            </w:r>
            <w:r w:rsidRPr="0071774C">
              <w:t>Report</w:t>
            </w:r>
            <w:r w:rsidRPr="0071774C">
              <w:rPr>
                <w:rStyle w:val="EndnoteReference"/>
              </w:rPr>
              <w:endnoteReference w:id="172"/>
            </w:r>
            <w:r>
              <w:t xml:space="preserve"> </w:t>
            </w:r>
            <w:r w:rsidRPr="0071774C">
              <w:t>under</w:t>
            </w:r>
            <w:r>
              <w:t xml:space="preserve"> </w:t>
            </w:r>
            <w:r w:rsidRPr="0071774C">
              <w:t>the</w:t>
            </w:r>
            <w:r>
              <w:t xml:space="preserve"> </w:t>
            </w:r>
            <w:r w:rsidRPr="0071774C">
              <w:t>Third</w:t>
            </w:r>
            <w:r>
              <w:t xml:space="preserve"> </w:t>
            </w:r>
            <w:r w:rsidRPr="0071774C">
              <w:t>Action</w:t>
            </w:r>
            <w:r>
              <w:t xml:space="preserve"> </w:t>
            </w:r>
            <w:r w:rsidRPr="0071774C">
              <w:t>Plan</w:t>
            </w:r>
            <w:r>
              <w:t xml:space="preserve">, </w:t>
            </w:r>
            <w:r w:rsidRPr="0071774C">
              <w:t>we</w:t>
            </w:r>
            <w:r>
              <w:t xml:space="preserve"> </w:t>
            </w:r>
            <w:r w:rsidRPr="0071774C">
              <w:t>start</w:t>
            </w:r>
            <w:r>
              <w:t xml:space="preserve"> </w:t>
            </w:r>
            <w:r w:rsidRPr="0071774C">
              <w:t>to</w:t>
            </w:r>
            <w:r>
              <w:t xml:space="preserve"> </w:t>
            </w:r>
            <w:r w:rsidRPr="0071774C">
              <w:t>see</w:t>
            </w:r>
            <w:r>
              <w:t xml:space="preserve"> </w:t>
            </w:r>
            <w:r w:rsidRPr="0071774C">
              <w:t>a</w:t>
            </w:r>
            <w:r>
              <w:t xml:space="preserve"> </w:t>
            </w:r>
            <w:r w:rsidRPr="0071774C">
              <w:t>wider</w:t>
            </w:r>
            <w:r>
              <w:t xml:space="preserve"> </w:t>
            </w:r>
            <w:r w:rsidRPr="0071774C">
              <w:t>range</w:t>
            </w:r>
            <w:r>
              <w:t xml:space="preserve"> of </w:t>
            </w:r>
            <w:r w:rsidRPr="0071774C">
              <w:t>funded</w:t>
            </w:r>
            <w:r>
              <w:t xml:space="preserve"> </w:t>
            </w:r>
            <w:r w:rsidRPr="0071774C">
              <w:t>activities</w:t>
            </w:r>
            <w:r>
              <w:t xml:space="preserve"> </w:t>
            </w:r>
            <w:r w:rsidRPr="0071774C">
              <w:t>in</w:t>
            </w:r>
            <w:r>
              <w:t xml:space="preserve"> </w:t>
            </w:r>
            <w:r w:rsidRPr="0071774C">
              <w:t>terms</w:t>
            </w:r>
            <w:r>
              <w:t xml:space="preserve"> </w:t>
            </w:r>
            <w:r w:rsidRPr="0071774C">
              <w:t>of</w:t>
            </w:r>
            <w:r>
              <w:t xml:space="preserve"> </w:t>
            </w:r>
            <w:r w:rsidRPr="0071774C">
              <w:t>both</w:t>
            </w:r>
            <w:r>
              <w:t xml:space="preserve"> </w:t>
            </w:r>
            <w:r w:rsidRPr="0071774C">
              <w:t>techniques</w:t>
            </w:r>
            <w:r>
              <w:t xml:space="preserve"> </w:t>
            </w:r>
            <w:r w:rsidRPr="0071774C">
              <w:t>and</w:t>
            </w:r>
            <w:r>
              <w:t xml:space="preserve"> </w:t>
            </w:r>
            <w:r w:rsidRPr="0071774C">
              <w:t>settings.</w:t>
            </w:r>
            <w:r>
              <w:t xml:space="preserve"> </w:t>
            </w:r>
            <w:r w:rsidRPr="0071774C">
              <w:t>Jurisdictions</w:t>
            </w:r>
            <w:r>
              <w:t xml:space="preserve"> we</w:t>
            </w:r>
            <w:r w:rsidRPr="0071774C">
              <w:t>re</w:t>
            </w:r>
            <w:r>
              <w:t xml:space="preserve"> </w:t>
            </w:r>
            <w:r w:rsidRPr="0071774C">
              <w:t>supporting</w:t>
            </w:r>
            <w:r>
              <w:t xml:space="preserve"> </w:t>
            </w:r>
            <w:r w:rsidRPr="0071774C">
              <w:t>a</w:t>
            </w:r>
            <w:r>
              <w:t xml:space="preserve"> </w:t>
            </w:r>
            <w:r w:rsidRPr="0071774C">
              <w:t>range</w:t>
            </w:r>
            <w:r>
              <w:t xml:space="preserve"> </w:t>
            </w:r>
            <w:r w:rsidRPr="0071774C">
              <w:t>of</w:t>
            </w:r>
            <w:r>
              <w:t xml:space="preserve"> </w:t>
            </w:r>
            <w:r w:rsidRPr="0071774C">
              <w:t>activities</w:t>
            </w:r>
            <w:r>
              <w:t xml:space="preserve"> </w:t>
            </w:r>
            <w:r w:rsidRPr="0071774C">
              <w:t>under</w:t>
            </w:r>
            <w:r>
              <w:t xml:space="preserve"> </w:t>
            </w:r>
            <w:r w:rsidRPr="0071774C">
              <w:t>special</w:t>
            </w:r>
            <w:r>
              <w:t xml:space="preserve"> </w:t>
            </w:r>
            <w:r w:rsidRPr="0071774C">
              <w:t>funding</w:t>
            </w:r>
            <w:r>
              <w:t xml:space="preserve"> </w:t>
            </w:r>
            <w:r w:rsidRPr="0071774C">
              <w:t>arrangements</w:t>
            </w:r>
            <w:r>
              <w:t xml:space="preserve"> </w:t>
            </w:r>
            <w:r w:rsidRPr="0071774C">
              <w:t>tailored</w:t>
            </w:r>
            <w:r>
              <w:t xml:space="preserve"> </w:t>
            </w:r>
            <w:r w:rsidRPr="0071774C">
              <w:t>to</w:t>
            </w:r>
            <w:r>
              <w:t xml:space="preserve"> </w:t>
            </w:r>
            <w:r w:rsidRPr="0071774C">
              <w:t>the</w:t>
            </w:r>
            <w:r>
              <w:t xml:space="preserve"> </w:t>
            </w:r>
            <w:r w:rsidRPr="0071774C">
              <w:t>local</w:t>
            </w:r>
            <w:r>
              <w:t xml:space="preserve"> </w:t>
            </w:r>
            <w:r w:rsidRPr="0071774C">
              <w:t>context</w:t>
            </w:r>
            <w:r>
              <w:t xml:space="preserve"> </w:t>
            </w:r>
            <w:r w:rsidRPr="0071774C">
              <w:t>and</w:t>
            </w:r>
            <w:r>
              <w:t xml:space="preserve"> </w:t>
            </w:r>
            <w:r w:rsidRPr="0071774C">
              <w:t>targeting</w:t>
            </w:r>
            <w:r>
              <w:t xml:space="preserve"> </w:t>
            </w:r>
            <w:r w:rsidRPr="0071774C">
              <w:t>a</w:t>
            </w:r>
            <w:r>
              <w:t xml:space="preserve"> </w:t>
            </w:r>
            <w:r w:rsidRPr="0071774C">
              <w:t>range</w:t>
            </w:r>
            <w:r>
              <w:t xml:space="preserve"> </w:t>
            </w:r>
            <w:r w:rsidRPr="0071774C">
              <w:t>of</w:t>
            </w:r>
            <w:r>
              <w:t xml:space="preserve"> </w:t>
            </w:r>
            <w:r w:rsidRPr="0071774C">
              <w:t>communities.</w:t>
            </w:r>
            <w:r>
              <w:t xml:space="preserve"> </w:t>
            </w:r>
            <w:r w:rsidRPr="0071774C">
              <w:t>A</w:t>
            </w:r>
            <w:r>
              <w:t xml:space="preserve"> </w:t>
            </w:r>
            <w:r w:rsidRPr="0071774C">
              <w:t>number</w:t>
            </w:r>
            <w:r>
              <w:t xml:space="preserve"> </w:t>
            </w:r>
            <w:r w:rsidRPr="0071774C">
              <w:t>of</w:t>
            </w:r>
            <w:r>
              <w:t xml:space="preserve"> </w:t>
            </w:r>
            <w:r w:rsidRPr="0071774C">
              <w:t>jurisdictions</w:t>
            </w:r>
            <w:r>
              <w:t xml:space="preserve"> we</w:t>
            </w:r>
            <w:r w:rsidRPr="0071774C">
              <w:t>re</w:t>
            </w:r>
            <w:r>
              <w:t xml:space="preserve"> </w:t>
            </w:r>
            <w:r w:rsidRPr="0071774C">
              <w:t>committing</w:t>
            </w:r>
            <w:r>
              <w:t xml:space="preserve"> </w:t>
            </w:r>
            <w:r w:rsidRPr="0071774C">
              <w:t>to</w:t>
            </w:r>
            <w:r>
              <w:t xml:space="preserve"> </w:t>
            </w:r>
            <w:r w:rsidRPr="0071774C">
              <w:t>forms</w:t>
            </w:r>
            <w:r>
              <w:t xml:space="preserve"> </w:t>
            </w:r>
            <w:r w:rsidRPr="0071774C">
              <w:t>of</w:t>
            </w:r>
            <w:r>
              <w:t xml:space="preserve"> </w:t>
            </w:r>
            <w:r w:rsidRPr="0071774C">
              <w:t>respectful</w:t>
            </w:r>
            <w:r>
              <w:t xml:space="preserve"> </w:t>
            </w:r>
            <w:r w:rsidRPr="0071774C">
              <w:t>relationships</w:t>
            </w:r>
            <w:r>
              <w:t xml:space="preserve"> </w:t>
            </w:r>
            <w:r w:rsidRPr="0071774C">
              <w:t>education.</w:t>
            </w:r>
            <w:r>
              <w:t xml:space="preserve"> </w:t>
            </w:r>
            <w:r w:rsidRPr="0071774C">
              <w:t>Primary</w:t>
            </w:r>
            <w:r>
              <w:t xml:space="preserve"> </w:t>
            </w:r>
            <w:r w:rsidRPr="0071774C">
              <w:t>prevention</w:t>
            </w:r>
            <w:r>
              <w:t xml:space="preserve"> wa</w:t>
            </w:r>
            <w:r w:rsidRPr="0071774C">
              <w:t>s</w:t>
            </w:r>
            <w:r>
              <w:t xml:space="preserve"> </w:t>
            </w:r>
            <w:r w:rsidRPr="0071774C">
              <w:t>still</w:t>
            </w:r>
            <w:r>
              <w:t xml:space="preserve"> </w:t>
            </w:r>
            <w:r w:rsidRPr="0071774C">
              <w:t>perhaps</w:t>
            </w:r>
            <w:r>
              <w:t xml:space="preserve"> </w:t>
            </w:r>
            <w:r w:rsidRPr="0071774C">
              <w:t>not</w:t>
            </w:r>
            <w:r>
              <w:t xml:space="preserve"> </w:t>
            </w:r>
            <w:r w:rsidRPr="0071774C">
              <w:t>sufficiently</w:t>
            </w:r>
            <w:r>
              <w:t xml:space="preserve"> </w:t>
            </w:r>
            <w:r w:rsidRPr="0071774C">
              <w:t>well</w:t>
            </w:r>
            <w:r>
              <w:t xml:space="preserve"> </w:t>
            </w:r>
            <w:r w:rsidRPr="0071774C">
              <w:t>defined</w:t>
            </w:r>
            <w:r>
              <w:t xml:space="preserve">, </w:t>
            </w:r>
            <w:r w:rsidRPr="0071774C">
              <w:t>however</w:t>
            </w:r>
            <w:r>
              <w:t xml:space="preserve">, </w:t>
            </w:r>
            <w:r w:rsidRPr="0071774C">
              <w:t>because</w:t>
            </w:r>
            <w:r>
              <w:t xml:space="preserve"> </w:t>
            </w:r>
            <w:r w:rsidRPr="0071774C">
              <w:t>activity</w:t>
            </w:r>
            <w:r>
              <w:t xml:space="preserve"> </w:t>
            </w:r>
            <w:r w:rsidRPr="0071774C">
              <w:t>examples</w:t>
            </w:r>
            <w:r>
              <w:t xml:space="preserve"> </w:t>
            </w:r>
            <w:r w:rsidRPr="0071774C">
              <w:t>cited</w:t>
            </w:r>
            <w:r>
              <w:t xml:space="preserve"> </w:t>
            </w:r>
            <w:r w:rsidRPr="0071774C">
              <w:t>in</w:t>
            </w:r>
            <w:r>
              <w:t xml:space="preserve"> </w:t>
            </w:r>
            <w:r w:rsidRPr="0071774C">
              <w:t>this</w:t>
            </w:r>
            <w:r>
              <w:t xml:space="preserve"> </w:t>
            </w:r>
            <w:r w:rsidRPr="0071774C">
              <w:t>report</w:t>
            </w:r>
            <w:r>
              <w:t xml:space="preserve"> </w:t>
            </w:r>
            <w:r w:rsidRPr="0071774C">
              <w:t>under</w:t>
            </w:r>
            <w:r>
              <w:t xml:space="preserve"> </w:t>
            </w:r>
            <w:r w:rsidRPr="0071774C">
              <w:t>the</w:t>
            </w:r>
            <w:r>
              <w:t xml:space="preserve"> </w:t>
            </w:r>
            <w:r w:rsidRPr="0071774C">
              <w:t>national</w:t>
            </w:r>
            <w:r>
              <w:t xml:space="preserve"> </w:t>
            </w:r>
            <w:r w:rsidRPr="0071774C">
              <w:t>priority</w:t>
            </w:r>
            <w:r>
              <w:t xml:space="preserve"> </w:t>
            </w:r>
            <w:r w:rsidRPr="0071774C">
              <w:t>of</w:t>
            </w:r>
            <w:r>
              <w:t xml:space="preserve"> </w:t>
            </w:r>
            <w:r w:rsidRPr="0071774C">
              <w:t>‘prevention</w:t>
            </w:r>
            <w:r>
              <w:t xml:space="preserve"> </w:t>
            </w:r>
            <w:r w:rsidRPr="0071774C">
              <w:t>and</w:t>
            </w:r>
            <w:r>
              <w:t xml:space="preserve"> </w:t>
            </w:r>
            <w:r w:rsidRPr="0071774C">
              <w:t>early</w:t>
            </w:r>
            <w:r>
              <w:t xml:space="preserve"> </w:t>
            </w:r>
            <w:r w:rsidRPr="0071774C">
              <w:t>intervention’</w:t>
            </w:r>
            <w:r>
              <w:t xml:space="preserve"> </w:t>
            </w:r>
            <w:r w:rsidRPr="0071774C">
              <w:t>include</w:t>
            </w:r>
            <w:r>
              <w:t xml:space="preserve"> </w:t>
            </w:r>
            <w:r w:rsidRPr="0071774C">
              <w:t>some</w:t>
            </w:r>
            <w:r>
              <w:t xml:space="preserve"> </w:t>
            </w:r>
            <w:r w:rsidRPr="0071774C">
              <w:t>that</w:t>
            </w:r>
            <w:r>
              <w:t xml:space="preserve"> </w:t>
            </w:r>
            <w:r w:rsidRPr="0071774C">
              <w:t>are</w:t>
            </w:r>
            <w:r>
              <w:t xml:space="preserve"> </w:t>
            </w:r>
            <w:r w:rsidRPr="0071774C">
              <w:t>better</w:t>
            </w:r>
            <w:r>
              <w:t xml:space="preserve"> </w:t>
            </w:r>
            <w:r w:rsidRPr="0071774C">
              <w:t>understood</w:t>
            </w:r>
            <w:r>
              <w:t xml:space="preserve"> </w:t>
            </w:r>
            <w:r w:rsidRPr="0071774C">
              <w:t>as</w:t>
            </w:r>
            <w:r>
              <w:t xml:space="preserve"> </w:t>
            </w:r>
            <w:r w:rsidRPr="0071774C">
              <w:t>response</w:t>
            </w:r>
            <w:r>
              <w:t xml:space="preserve"> </w:t>
            </w:r>
            <w:r w:rsidRPr="0071774C">
              <w:t>or</w:t>
            </w:r>
            <w:r>
              <w:t xml:space="preserve"> </w:t>
            </w:r>
            <w:r w:rsidRPr="0071774C">
              <w:t>early</w:t>
            </w:r>
            <w:r>
              <w:t xml:space="preserve"> </w:t>
            </w:r>
            <w:r w:rsidRPr="0071774C">
              <w:t>intervention</w:t>
            </w:r>
            <w:r>
              <w:t xml:space="preserve"> </w:t>
            </w:r>
            <w:r w:rsidRPr="0071774C">
              <w:t>rather</w:t>
            </w:r>
            <w:r>
              <w:t xml:space="preserve"> </w:t>
            </w:r>
            <w:r w:rsidRPr="0071774C">
              <w:t>than</w:t>
            </w:r>
            <w:r>
              <w:t xml:space="preserve"> </w:t>
            </w:r>
            <w:r w:rsidRPr="0071774C">
              <w:t>primary</w:t>
            </w:r>
            <w:r>
              <w:t xml:space="preserve"> </w:t>
            </w:r>
            <w:r w:rsidRPr="0071774C">
              <w:t>prevention.</w:t>
            </w:r>
          </w:p>
          <w:p w14:paraId="7B160C47" w14:textId="77777777" w:rsidR="002C2EC7" w:rsidRDefault="002C2EC7" w:rsidP="00437ED1">
            <w:pPr>
              <w:pStyle w:val="OWTablebodyleft"/>
            </w:pPr>
            <w:r w:rsidRPr="0071774C">
              <w:t>Meanwhile,</w:t>
            </w:r>
            <w:r>
              <w:t xml:space="preserve"> </w:t>
            </w:r>
            <w:r w:rsidRPr="0071774C">
              <w:t>a</w:t>
            </w:r>
            <w:r>
              <w:t xml:space="preserve"> </w:t>
            </w:r>
            <w:r w:rsidRPr="0071774C">
              <w:t>number</w:t>
            </w:r>
            <w:r>
              <w:t xml:space="preserve"> </w:t>
            </w:r>
            <w:r w:rsidRPr="0071774C">
              <w:t>of</w:t>
            </w:r>
            <w:r>
              <w:t xml:space="preserve"> </w:t>
            </w:r>
            <w:r w:rsidRPr="0071774C">
              <w:t>more</w:t>
            </w:r>
            <w:r>
              <w:t xml:space="preserve"> </w:t>
            </w:r>
            <w:r w:rsidRPr="0071774C">
              <w:t>specialised</w:t>
            </w:r>
            <w:r>
              <w:t xml:space="preserve"> </w:t>
            </w:r>
            <w:r w:rsidRPr="0071774C">
              <w:t>tools</w:t>
            </w:r>
            <w:r>
              <w:t xml:space="preserve"> </w:t>
            </w:r>
            <w:r w:rsidRPr="0071774C">
              <w:t>and</w:t>
            </w:r>
            <w:r>
              <w:t xml:space="preserve"> </w:t>
            </w:r>
            <w:r w:rsidRPr="0071774C">
              <w:t>resources</w:t>
            </w:r>
            <w:r>
              <w:t xml:space="preserve"> </w:t>
            </w:r>
            <w:r w:rsidRPr="0071774C">
              <w:t>to</w:t>
            </w:r>
            <w:r>
              <w:t xml:space="preserve"> </w:t>
            </w:r>
            <w:r w:rsidRPr="0071774C">
              <w:t>guide</w:t>
            </w:r>
            <w:r>
              <w:t xml:space="preserve"> </w:t>
            </w:r>
            <w:r w:rsidRPr="0071774C">
              <w:t>the</w:t>
            </w:r>
            <w:r>
              <w:t xml:space="preserve"> </w:t>
            </w:r>
            <w:r w:rsidRPr="0071774C">
              <w:t>design</w:t>
            </w:r>
            <w:r>
              <w:t xml:space="preserve"> </w:t>
            </w:r>
            <w:r w:rsidRPr="0071774C">
              <w:t>and</w:t>
            </w:r>
            <w:r>
              <w:t xml:space="preserve"> </w:t>
            </w:r>
            <w:r w:rsidRPr="0071774C">
              <w:t>implementation</w:t>
            </w:r>
            <w:r>
              <w:t xml:space="preserve"> </w:t>
            </w:r>
            <w:r w:rsidRPr="0071774C">
              <w:t>of</w:t>
            </w:r>
            <w:r>
              <w:t xml:space="preserve"> </w:t>
            </w:r>
            <w:r w:rsidRPr="0071774C">
              <w:t>more</w:t>
            </w:r>
            <w:r>
              <w:t xml:space="preserve"> </w:t>
            </w:r>
            <w:r w:rsidRPr="0071774C">
              <w:t>inclusive</w:t>
            </w:r>
            <w:r>
              <w:t xml:space="preserve"> </w:t>
            </w:r>
            <w:r w:rsidRPr="0071774C">
              <w:t>primary</w:t>
            </w:r>
            <w:r>
              <w:t xml:space="preserve"> </w:t>
            </w:r>
            <w:r w:rsidRPr="0071774C">
              <w:t>prevention</w:t>
            </w:r>
            <w:r>
              <w:t xml:space="preserve"> </w:t>
            </w:r>
            <w:r w:rsidRPr="0071774C">
              <w:t>activity</w:t>
            </w:r>
            <w:r>
              <w:t xml:space="preserve"> </w:t>
            </w:r>
            <w:r w:rsidRPr="0071774C">
              <w:t>became</w:t>
            </w:r>
            <w:r>
              <w:t xml:space="preserve"> </w:t>
            </w:r>
            <w:r w:rsidRPr="0071774C">
              <w:t>available.</w:t>
            </w:r>
            <w:r>
              <w:t xml:space="preserve"> </w:t>
            </w:r>
            <w:r w:rsidRPr="0071774C">
              <w:t>Touching</w:t>
            </w:r>
            <w:r>
              <w:t xml:space="preserve"> </w:t>
            </w:r>
            <w:r w:rsidRPr="0071774C">
              <w:t>on</w:t>
            </w:r>
            <w:r>
              <w:t xml:space="preserve"> </w:t>
            </w:r>
            <w:r w:rsidRPr="0071774C">
              <w:t>many</w:t>
            </w:r>
            <w:r>
              <w:t xml:space="preserve"> </w:t>
            </w:r>
            <w:r w:rsidRPr="0071774C">
              <w:t>of</w:t>
            </w:r>
            <w:r>
              <w:t xml:space="preserve"> </w:t>
            </w:r>
            <w:r w:rsidRPr="0071774C">
              <w:t>the</w:t>
            </w:r>
            <w:r>
              <w:t xml:space="preserve"> </w:t>
            </w:r>
            <w:r w:rsidRPr="0071774C">
              <w:t>limitations</w:t>
            </w:r>
            <w:r>
              <w:t xml:space="preserve"> </w:t>
            </w:r>
            <w:r w:rsidRPr="0071774C">
              <w:t>suggested</w:t>
            </w:r>
            <w:r>
              <w:t xml:space="preserve"> </w:t>
            </w:r>
            <w:r w:rsidRPr="0071774C">
              <w:t>in</w:t>
            </w:r>
            <w:r>
              <w:t xml:space="preserve"> </w:t>
            </w:r>
            <w:r w:rsidRPr="0071774C">
              <w:t>the</w:t>
            </w:r>
            <w:r>
              <w:t xml:space="preserve"> </w:t>
            </w:r>
            <w:r w:rsidRPr="0071774C">
              <w:t>evaluation</w:t>
            </w:r>
            <w:r>
              <w:t xml:space="preserve"> </w:t>
            </w:r>
            <w:r w:rsidRPr="0071774C">
              <w:t>of</w:t>
            </w:r>
            <w:r>
              <w:t xml:space="preserve"> </w:t>
            </w:r>
            <w:r w:rsidRPr="0071774C">
              <w:t>the</w:t>
            </w:r>
            <w:r>
              <w:t xml:space="preserve"> </w:t>
            </w:r>
            <w:r w:rsidRPr="0071774C">
              <w:t>Third</w:t>
            </w:r>
            <w:r>
              <w:t xml:space="preserve"> </w:t>
            </w:r>
            <w:r w:rsidRPr="0071774C">
              <w:t>Action</w:t>
            </w:r>
            <w:r>
              <w:t xml:space="preserve"> </w:t>
            </w:r>
            <w:r w:rsidRPr="0071774C">
              <w:t>Plan,</w:t>
            </w:r>
            <w:r>
              <w:t xml:space="preserve"> </w:t>
            </w:r>
            <w:r w:rsidRPr="0071774C">
              <w:t>Women</w:t>
            </w:r>
            <w:r>
              <w:t xml:space="preserve"> </w:t>
            </w:r>
            <w:r w:rsidRPr="0071774C">
              <w:t>with</w:t>
            </w:r>
            <w:r>
              <w:t xml:space="preserve"> </w:t>
            </w:r>
            <w:r w:rsidRPr="0071774C">
              <w:t>Disabilities</w:t>
            </w:r>
            <w:r>
              <w:t xml:space="preserve"> </w:t>
            </w:r>
            <w:r w:rsidRPr="0071774C">
              <w:t>Victoria</w:t>
            </w:r>
            <w:r>
              <w:t xml:space="preserve"> </w:t>
            </w:r>
            <w:r w:rsidRPr="0071774C">
              <w:t>published</w:t>
            </w:r>
            <w:r>
              <w:t xml:space="preserve"> </w:t>
            </w:r>
            <w:r w:rsidRPr="0071774C">
              <w:t>the</w:t>
            </w:r>
            <w:r>
              <w:t xml:space="preserve"> </w:t>
            </w:r>
            <w:r w:rsidRPr="0071774C">
              <w:t>Inclusive</w:t>
            </w:r>
            <w:r>
              <w:t xml:space="preserve"> </w:t>
            </w:r>
            <w:r w:rsidRPr="0071774C">
              <w:t>Planning</w:t>
            </w:r>
            <w:r>
              <w:t xml:space="preserve"> </w:t>
            </w:r>
            <w:r w:rsidRPr="0071774C">
              <w:t>Guidelines</w:t>
            </w:r>
            <w:r>
              <w:t xml:space="preserve"> </w:t>
            </w:r>
            <w:r w:rsidRPr="0071774C">
              <w:t>for</w:t>
            </w:r>
            <w:r>
              <w:t xml:space="preserve"> </w:t>
            </w:r>
            <w:r w:rsidRPr="0071774C">
              <w:t>the</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with</w:t>
            </w:r>
            <w:r>
              <w:t xml:space="preserve"> </w:t>
            </w:r>
            <w:r w:rsidRPr="0071774C">
              <w:t>Disabilities</w:t>
            </w:r>
            <w:r w:rsidRPr="0071774C">
              <w:rPr>
                <w:rStyle w:val="EndnoteReference"/>
              </w:rPr>
              <w:endnoteReference w:id="173"/>
            </w:r>
            <w:r>
              <w:t xml:space="preserve"> </w:t>
            </w:r>
            <w:r w:rsidRPr="0071774C">
              <w:t>in</w:t>
            </w:r>
            <w:r>
              <w:t xml:space="preserve"> </w:t>
            </w:r>
            <w:r w:rsidRPr="0071774C">
              <w:t>2017.</w:t>
            </w:r>
            <w:r>
              <w:t xml:space="preserve"> </w:t>
            </w:r>
            <w:r w:rsidRPr="0071774C">
              <w:t>This</w:t>
            </w:r>
            <w:r>
              <w:t xml:space="preserve"> </w:t>
            </w:r>
            <w:r w:rsidRPr="0071774C">
              <w:t>reflected</w:t>
            </w:r>
            <w:r>
              <w:t xml:space="preserve"> </w:t>
            </w:r>
            <w:r w:rsidRPr="0071774C">
              <w:t>the</w:t>
            </w:r>
            <w:r>
              <w:t xml:space="preserve"> </w:t>
            </w:r>
            <w:r w:rsidRPr="0071774C">
              <w:t>investment</w:t>
            </w:r>
            <w:r>
              <w:t xml:space="preserve"> </w:t>
            </w:r>
            <w:r w:rsidRPr="0071774C">
              <w:t>of</w:t>
            </w:r>
            <w:r>
              <w:t xml:space="preserve"> </w:t>
            </w:r>
            <w:r w:rsidRPr="0071774C">
              <w:t>prevention</w:t>
            </w:r>
            <w:r>
              <w:t xml:space="preserve"> </w:t>
            </w:r>
            <w:r w:rsidRPr="0071774C">
              <w:t>funds</w:t>
            </w:r>
            <w:r>
              <w:t xml:space="preserve"> </w:t>
            </w:r>
            <w:r w:rsidRPr="0071774C">
              <w:t>in</w:t>
            </w:r>
            <w:r>
              <w:t xml:space="preserve"> </w:t>
            </w:r>
            <w:r w:rsidRPr="0071774C">
              <w:t>Victoria</w:t>
            </w:r>
            <w:r>
              <w:t xml:space="preserve"> </w:t>
            </w:r>
            <w:r w:rsidRPr="0071774C">
              <w:t>towards:</w:t>
            </w:r>
          </w:p>
          <w:p w14:paraId="17E204F1" w14:textId="14CA7E7D" w:rsidR="002C2EC7" w:rsidRPr="001F3023" w:rsidRDefault="006E590F" w:rsidP="00437ED1">
            <w:pPr>
              <w:pStyle w:val="Quote"/>
            </w:pPr>
            <w:r>
              <w:t>‘</w:t>
            </w:r>
            <w:r w:rsidR="002C2EC7" w:rsidRPr="0092788A">
              <w:t>resources</w:t>
            </w:r>
            <w:r w:rsidR="002C2EC7">
              <w:t xml:space="preserve"> </w:t>
            </w:r>
            <w:r w:rsidR="002C2EC7" w:rsidRPr="0092788A">
              <w:t>on</w:t>
            </w:r>
            <w:r w:rsidR="002C2EC7">
              <w:t xml:space="preserve"> </w:t>
            </w:r>
            <w:r w:rsidR="002C2EC7" w:rsidRPr="0092788A">
              <w:t>best</w:t>
            </w:r>
            <w:r w:rsidR="002C2EC7">
              <w:t xml:space="preserve"> </w:t>
            </w:r>
            <w:r w:rsidR="002C2EC7" w:rsidRPr="0092788A">
              <w:t>practice</w:t>
            </w:r>
            <w:r w:rsidR="002C2EC7">
              <w:t xml:space="preserve"> </w:t>
            </w:r>
            <w:r w:rsidR="002C2EC7" w:rsidRPr="0092788A">
              <w:t>inclusive</w:t>
            </w:r>
            <w:r w:rsidR="002C2EC7">
              <w:t xml:space="preserve"> </w:t>
            </w:r>
            <w:r w:rsidR="002C2EC7" w:rsidRPr="0092788A">
              <w:t>approaches</w:t>
            </w:r>
            <w:r w:rsidR="002C2EC7">
              <w:t xml:space="preserve"> </w:t>
            </w:r>
            <w:r w:rsidR="002C2EC7" w:rsidRPr="0092788A">
              <w:t>to</w:t>
            </w:r>
            <w:r w:rsidR="002C2EC7">
              <w:t xml:space="preserve"> </w:t>
            </w:r>
            <w:r w:rsidR="002C2EC7" w:rsidRPr="0092788A">
              <w:t>PVAW</w:t>
            </w:r>
            <w:r w:rsidR="002C2EC7">
              <w:t xml:space="preserve"> </w:t>
            </w:r>
            <w:r w:rsidR="002C2EC7" w:rsidRPr="0092788A">
              <w:t>and</w:t>
            </w:r>
            <w:r w:rsidR="002C2EC7">
              <w:t xml:space="preserve"> </w:t>
            </w:r>
            <w:r w:rsidR="002C2EC7" w:rsidRPr="0092788A">
              <w:t>gender</w:t>
            </w:r>
            <w:r w:rsidR="002C2EC7">
              <w:t xml:space="preserve"> </w:t>
            </w:r>
            <w:r w:rsidR="002C2EC7" w:rsidRPr="0092788A">
              <w:t>equity</w:t>
            </w:r>
            <w:r w:rsidR="002C2EC7">
              <w:t xml:space="preserve"> </w:t>
            </w:r>
            <w:r w:rsidR="002C2EC7" w:rsidRPr="0092788A">
              <w:t>and</w:t>
            </w:r>
            <w:r w:rsidR="002C2EC7">
              <w:t xml:space="preserve"> </w:t>
            </w:r>
            <w:r w:rsidR="002C2EC7" w:rsidRPr="0092788A">
              <w:t>advi</w:t>
            </w:r>
            <w:r w:rsidR="002C2EC7">
              <w:t>c</w:t>
            </w:r>
            <w:r w:rsidR="002C2EC7" w:rsidRPr="0092788A">
              <w:t>e</w:t>
            </w:r>
            <w:r w:rsidR="002C2EC7">
              <w:t xml:space="preserve"> </w:t>
            </w:r>
            <w:r w:rsidR="002C2EC7" w:rsidRPr="0092788A">
              <w:t>on</w:t>
            </w:r>
            <w:r w:rsidR="002C2EC7">
              <w:t xml:space="preserve"> </w:t>
            </w:r>
            <w:r w:rsidR="002C2EC7" w:rsidRPr="0092788A">
              <w:t>strategic</w:t>
            </w:r>
            <w:r w:rsidR="002C2EC7">
              <w:t xml:space="preserve"> </w:t>
            </w:r>
            <w:r w:rsidR="002C2EC7" w:rsidRPr="0092788A">
              <w:t>engagement</w:t>
            </w:r>
            <w:r w:rsidR="002C2EC7">
              <w:t xml:space="preserve"> </w:t>
            </w:r>
            <w:r w:rsidR="002C2EC7" w:rsidRPr="0092788A">
              <w:t>of</w:t>
            </w:r>
            <w:r w:rsidR="002C2EC7">
              <w:t xml:space="preserve"> </w:t>
            </w:r>
            <w:r w:rsidR="002C2EC7" w:rsidRPr="0092788A">
              <w:t>CALD,</w:t>
            </w:r>
            <w:r w:rsidR="002C2EC7">
              <w:t xml:space="preserve"> </w:t>
            </w:r>
            <w:r w:rsidR="002C2EC7" w:rsidRPr="0092788A">
              <w:t>disability</w:t>
            </w:r>
            <w:r w:rsidR="002C2EC7">
              <w:t xml:space="preserve"> </w:t>
            </w:r>
            <w:r w:rsidR="002C2EC7" w:rsidRPr="0092788A">
              <w:t>and</w:t>
            </w:r>
            <w:r w:rsidR="002C2EC7">
              <w:t xml:space="preserve"> </w:t>
            </w:r>
            <w:r w:rsidR="002C2EC7" w:rsidRPr="0092788A">
              <w:t>LGBTI</w:t>
            </w:r>
            <w:r w:rsidR="002C2EC7">
              <w:t xml:space="preserve"> </w:t>
            </w:r>
            <w:r w:rsidR="002C2EC7" w:rsidRPr="0092788A">
              <w:t>organisation</w:t>
            </w:r>
            <w:r>
              <w:t>s</w:t>
            </w:r>
            <w:r w:rsidR="002C2EC7" w:rsidRPr="0092788A">
              <w:t>.</w:t>
            </w:r>
            <w:r>
              <w:t>’</w:t>
            </w:r>
            <w:r w:rsidR="002C2EC7" w:rsidRPr="0092788A">
              <w:rPr>
                <w:rStyle w:val="EndnoteReference"/>
              </w:rPr>
              <w:endnoteReference w:id="174"/>
            </w:r>
          </w:p>
          <w:p w14:paraId="54E462D9" w14:textId="77777777" w:rsidR="002C2EC7" w:rsidRDefault="002C2EC7" w:rsidP="00437ED1">
            <w:pPr>
              <w:pStyle w:val="OWTablebodyleft"/>
            </w:pPr>
            <w:r w:rsidRPr="0071774C">
              <w:t>With</w:t>
            </w:r>
            <w:r>
              <w:t xml:space="preserve"> </w:t>
            </w:r>
            <w:r w:rsidRPr="0071774C">
              <w:t>the</w:t>
            </w:r>
            <w:r>
              <w:t xml:space="preserve"> </w:t>
            </w:r>
            <w:r w:rsidRPr="0071774C">
              <w:t>same</w:t>
            </w:r>
            <w:r>
              <w:t xml:space="preserve"> </w:t>
            </w:r>
            <w:r w:rsidRPr="0071774C">
              <w:t>funding,</w:t>
            </w:r>
            <w:r>
              <w:t xml:space="preserve"> </w:t>
            </w:r>
            <w:r w:rsidRPr="0071774C">
              <w:t>the</w:t>
            </w:r>
            <w:r>
              <w:t xml:space="preserve"> </w:t>
            </w:r>
            <w:r w:rsidRPr="0071774C">
              <w:t>Multicultural</w:t>
            </w:r>
            <w:r>
              <w:t xml:space="preserve"> </w:t>
            </w:r>
            <w:r w:rsidRPr="0071774C">
              <w:t>Centre</w:t>
            </w:r>
            <w:r>
              <w:t xml:space="preserve"> </w:t>
            </w:r>
            <w:r w:rsidRPr="0071774C">
              <w:t>for</w:t>
            </w:r>
            <w:r>
              <w:t xml:space="preserve"> </w:t>
            </w:r>
            <w:r w:rsidRPr="0071774C">
              <w:t>Women’s</w:t>
            </w:r>
            <w:r>
              <w:t xml:space="preserve"> </w:t>
            </w:r>
            <w:r w:rsidRPr="0071774C">
              <w:t>Health</w:t>
            </w:r>
            <w:r>
              <w:t xml:space="preserve"> </w:t>
            </w:r>
            <w:r w:rsidRPr="0071774C">
              <w:t>developed</w:t>
            </w:r>
            <w:r>
              <w:t xml:space="preserve"> </w:t>
            </w:r>
            <w:r w:rsidRPr="00ED4674">
              <w:rPr>
                <w:rStyle w:val="Emphasis"/>
              </w:rPr>
              <w:t>Intersectionality Matters: A guide to engaging immigrant and refugee communities to prevent violence against women</w:t>
            </w:r>
            <w:r>
              <w:t>,</w:t>
            </w:r>
            <w:r w:rsidRPr="009C7D1B">
              <w:rPr>
                <w:rStyle w:val="EndnoteReference"/>
              </w:rPr>
              <w:endnoteReference w:id="175"/>
            </w:r>
            <w:r>
              <w:t xml:space="preserve"> </w:t>
            </w:r>
            <w:r w:rsidRPr="0071774C">
              <w:t>which</w:t>
            </w:r>
            <w:r>
              <w:t xml:space="preserve"> </w:t>
            </w:r>
            <w:r w:rsidRPr="0071774C">
              <w:t>gave</w:t>
            </w:r>
            <w:r>
              <w:t xml:space="preserve"> </w:t>
            </w:r>
            <w:r w:rsidRPr="0071774C">
              <w:t>activity</w:t>
            </w:r>
            <w:r>
              <w:t xml:space="preserve"> </w:t>
            </w:r>
            <w:r w:rsidRPr="0071774C">
              <w:t>designers</w:t>
            </w:r>
            <w:r>
              <w:t xml:space="preserve"> </w:t>
            </w:r>
            <w:r w:rsidRPr="0071774C">
              <w:t>and</w:t>
            </w:r>
            <w:r>
              <w:t xml:space="preserve"> </w:t>
            </w:r>
            <w:r w:rsidRPr="0071774C">
              <w:t>policymakers</w:t>
            </w:r>
            <w:r>
              <w:t xml:space="preserve"> </w:t>
            </w:r>
            <w:r w:rsidRPr="0071774C">
              <w:t>a</w:t>
            </w:r>
            <w:r>
              <w:t xml:space="preserve"> </w:t>
            </w:r>
            <w:r w:rsidRPr="0071774C">
              <w:t>comprehensive</w:t>
            </w:r>
            <w:r>
              <w:t xml:space="preserve"> </w:t>
            </w:r>
            <w:r w:rsidRPr="0071774C">
              <w:t>overview</w:t>
            </w:r>
            <w:r>
              <w:t xml:space="preserve"> </w:t>
            </w:r>
            <w:r w:rsidRPr="0071774C">
              <w:t>of</w:t>
            </w:r>
            <w:r>
              <w:t xml:space="preserve"> </w:t>
            </w:r>
            <w:r w:rsidRPr="0071774C">
              <w:t>practical</w:t>
            </w:r>
            <w:r>
              <w:t xml:space="preserve"> </w:t>
            </w:r>
            <w:r w:rsidRPr="0071774C">
              <w:t>ways</w:t>
            </w:r>
            <w:r>
              <w:t xml:space="preserve"> </w:t>
            </w:r>
            <w:r w:rsidRPr="0071774C">
              <w:t>to</w:t>
            </w:r>
            <w:r>
              <w:t xml:space="preserve"> </w:t>
            </w:r>
            <w:r w:rsidRPr="0071774C">
              <w:t>embed</w:t>
            </w:r>
            <w:r>
              <w:t xml:space="preserve"> </w:t>
            </w:r>
            <w:r w:rsidRPr="0071774C">
              <w:t>intersectionality</w:t>
            </w:r>
            <w:r>
              <w:t xml:space="preserve"> </w:t>
            </w:r>
            <w:r w:rsidRPr="0071774C">
              <w:t>as</w:t>
            </w:r>
            <w:r>
              <w:t xml:space="preserve"> </w:t>
            </w:r>
            <w:r w:rsidRPr="0071774C">
              <w:t>a</w:t>
            </w:r>
            <w:r>
              <w:t xml:space="preserve"> </w:t>
            </w:r>
            <w:r w:rsidRPr="0071774C">
              <w:t>marker</w:t>
            </w:r>
            <w:r>
              <w:t xml:space="preserve"> </w:t>
            </w:r>
            <w:r w:rsidRPr="0071774C">
              <w:t>of</w:t>
            </w:r>
            <w:r>
              <w:t xml:space="preserve"> </w:t>
            </w:r>
            <w:r w:rsidRPr="0071774C">
              <w:t>quality</w:t>
            </w:r>
            <w:r>
              <w:t xml:space="preserve"> </w:t>
            </w:r>
            <w:r w:rsidRPr="0071774C">
              <w:t>activity.</w:t>
            </w:r>
            <w:r>
              <w:t xml:space="preserve"> </w:t>
            </w:r>
            <w:r w:rsidRPr="0071774C">
              <w:t>This</w:t>
            </w:r>
            <w:r>
              <w:t xml:space="preserve"> </w:t>
            </w:r>
            <w:r w:rsidRPr="0071774C">
              <w:t>guide</w:t>
            </w:r>
            <w:r>
              <w:t xml:space="preserve"> </w:t>
            </w:r>
            <w:r w:rsidRPr="0071774C">
              <w:t>challenges</w:t>
            </w:r>
            <w:r>
              <w:t xml:space="preserve"> </w:t>
            </w:r>
            <w:r w:rsidRPr="0071774C">
              <w:t>racialised</w:t>
            </w:r>
            <w:r>
              <w:t xml:space="preserve"> </w:t>
            </w:r>
            <w:r w:rsidRPr="0071774C">
              <w:t>representations</w:t>
            </w:r>
            <w:r>
              <w:t xml:space="preserve"> </w:t>
            </w:r>
            <w:r w:rsidRPr="0071774C">
              <w:t>of</w:t>
            </w:r>
            <w:r>
              <w:t xml:space="preserve"> </w:t>
            </w:r>
            <w:r w:rsidRPr="0071774C">
              <w:t>violence,</w:t>
            </w:r>
            <w:r>
              <w:t xml:space="preserve"> </w:t>
            </w:r>
            <w:r w:rsidRPr="0071774C">
              <w:t>while</w:t>
            </w:r>
            <w:r>
              <w:t xml:space="preserve"> </w:t>
            </w:r>
            <w:r w:rsidRPr="0071774C">
              <w:t>outlining</w:t>
            </w:r>
            <w:r>
              <w:t xml:space="preserve"> </w:t>
            </w:r>
            <w:r w:rsidRPr="0071774C">
              <w:t>the</w:t>
            </w:r>
            <w:r>
              <w:t xml:space="preserve"> </w:t>
            </w:r>
            <w:r w:rsidRPr="0071774C">
              <w:t>essential</w:t>
            </w:r>
            <w:r>
              <w:t xml:space="preserve"> </w:t>
            </w:r>
            <w:r w:rsidRPr="0071774C">
              <w:t>components</w:t>
            </w:r>
            <w:r>
              <w:t xml:space="preserve"> </w:t>
            </w:r>
            <w:r w:rsidRPr="0071774C">
              <w:t>of</w:t>
            </w:r>
            <w:r>
              <w:t xml:space="preserve"> </w:t>
            </w:r>
            <w:r w:rsidRPr="0071774C">
              <w:t>effective</w:t>
            </w:r>
            <w:r>
              <w:t xml:space="preserve"> </w:t>
            </w:r>
            <w:r w:rsidRPr="0071774C">
              <w:t>intersectional</w:t>
            </w:r>
            <w:r>
              <w:t xml:space="preserve"> </w:t>
            </w:r>
            <w:r w:rsidRPr="0071774C">
              <w:t>prevention</w:t>
            </w:r>
            <w:r>
              <w:t xml:space="preserve"> </w:t>
            </w:r>
            <w:r w:rsidRPr="0071774C">
              <w:t>approaches.</w:t>
            </w:r>
            <w:r>
              <w:t xml:space="preserve"> </w:t>
            </w:r>
            <w:r w:rsidRPr="0071774C">
              <w:t>Guiding</w:t>
            </w:r>
            <w:r>
              <w:t xml:space="preserve"> </w:t>
            </w:r>
            <w:r w:rsidRPr="0071774C">
              <w:t>documents</w:t>
            </w:r>
            <w:r>
              <w:t xml:space="preserve"> </w:t>
            </w:r>
            <w:r w:rsidRPr="0071774C">
              <w:t>for</w:t>
            </w:r>
            <w:r>
              <w:t xml:space="preserve"> </w:t>
            </w:r>
            <w:r w:rsidRPr="0071774C">
              <w:t>more</w:t>
            </w:r>
            <w:r>
              <w:t xml:space="preserve"> </w:t>
            </w:r>
            <w:r w:rsidRPr="0071774C">
              <w:t>nuanced</w:t>
            </w:r>
            <w:r>
              <w:t xml:space="preserve"> </w:t>
            </w:r>
            <w:r w:rsidRPr="0071774C">
              <w:t>primary</w:t>
            </w:r>
            <w:r>
              <w:t xml:space="preserve"> </w:t>
            </w:r>
            <w:r w:rsidRPr="0071774C">
              <w:t>prevention</w:t>
            </w:r>
            <w:r>
              <w:t xml:space="preserve"> </w:t>
            </w:r>
            <w:r w:rsidRPr="0071774C">
              <w:t>approaches</w:t>
            </w:r>
            <w:r>
              <w:t xml:space="preserve"> </w:t>
            </w:r>
            <w:r w:rsidRPr="0071774C">
              <w:t>continue</w:t>
            </w:r>
            <w:r>
              <w:t xml:space="preserve"> </w:t>
            </w:r>
            <w:r w:rsidRPr="0071774C">
              <w:t>to</w:t>
            </w:r>
            <w:r>
              <w:t xml:space="preserve"> </w:t>
            </w:r>
            <w:r w:rsidRPr="0071774C">
              <w:t>emerge.</w:t>
            </w:r>
            <w:r>
              <w:t xml:space="preserve"> </w:t>
            </w:r>
            <w:r w:rsidRPr="0071774C">
              <w:t>One</w:t>
            </w:r>
            <w:r>
              <w:t xml:space="preserve"> </w:t>
            </w:r>
            <w:r w:rsidRPr="0071774C">
              <w:t>example</w:t>
            </w:r>
            <w:r>
              <w:t xml:space="preserve"> </w:t>
            </w:r>
            <w:r w:rsidRPr="0071774C">
              <w:t>of</w:t>
            </w:r>
            <w:r>
              <w:t xml:space="preserve"> </w:t>
            </w:r>
            <w:r w:rsidRPr="0071774C">
              <w:t>this</w:t>
            </w:r>
            <w:r>
              <w:t xml:space="preserve"> </w:t>
            </w:r>
            <w:r w:rsidRPr="0071774C">
              <w:t>is</w:t>
            </w:r>
            <w:r>
              <w:t xml:space="preserve"> </w:t>
            </w:r>
            <w:r w:rsidRPr="0071774C">
              <w:t>a</w:t>
            </w:r>
            <w:r>
              <w:t xml:space="preserve"> </w:t>
            </w:r>
            <w:r w:rsidRPr="0071774C">
              <w:t>report</w:t>
            </w:r>
            <w:r>
              <w:t xml:space="preserve"> </w:t>
            </w:r>
            <w:r w:rsidRPr="0071774C">
              <w:t>published</w:t>
            </w:r>
            <w:r>
              <w:t xml:space="preserve"> </w:t>
            </w:r>
            <w:r w:rsidRPr="0071774C">
              <w:t>by</w:t>
            </w:r>
            <w:r>
              <w:t xml:space="preserve"> </w:t>
            </w:r>
            <w:r w:rsidRPr="0071774C">
              <w:t>the</w:t>
            </w:r>
            <w:r>
              <w:t xml:space="preserve"> </w:t>
            </w:r>
            <w:r w:rsidRPr="0071774C">
              <w:t>Australian</w:t>
            </w:r>
            <w:r>
              <w:t xml:space="preserve"> </w:t>
            </w:r>
            <w:r w:rsidRPr="0071774C">
              <w:t>National</w:t>
            </w:r>
            <w:r>
              <w:t xml:space="preserve"> </w:t>
            </w:r>
            <w:r w:rsidRPr="0071774C">
              <w:t>University</w:t>
            </w:r>
            <w:r>
              <w:t xml:space="preserve"> </w:t>
            </w:r>
            <w:r w:rsidRPr="0071774C">
              <w:t>in</w:t>
            </w:r>
            <w:r>
              <w:t xml:space="preserve"> </w:t>
            </w:r>
            <w:r w:rsidRPr="0071774C">
              <w:t>2019</w:t>
            </w:r>
            <w:r>
              <w:t xml:space="preserve"> </w:t>
            </w:r>
            <w:r w:rsidRPr="0071774C">
              <w:t>titled</w:t>
            </w:r>
            <w:r>
              <w:t xml:space="preserve"> </w:t>
            </w:r>
            <w:r w:rsidRPr="00ED4674">
              <w:rPr>
                <w:rStyle w:val="Emphasis"/>
              </w:rPr>
              <w:t>Hopeful, Together, Strong</w:t>
            </w:r>
            <w:r>
              <w:t>.</w:t>
            </w:r>
            <w:r w:rsidRPr="0071774C">
              <w:rPr>
                <w:rStyle w:val="EndnoteReference"/>
              </w:rPr>
              <w:endnoteReference w:id="176"/>
            </w:r>
          </w:p>
          <w:p w14:paraId="58B0FBBE" w14:textId="77777777" w:rsidR="002C2EC7" w:rsidRDefault="002C2EC7" w:rsidP="00437ED1">
            <w:pPr>
              <w:pStyle w:val="OWTablebodyleft"/>
            </w:pPr>
            <w:r w:rsidRPr="0071774C">
              <w:t>Under</w:t>
            </w:r>
            <w:r>
              <w:t xml:space="preserve"> </w:t>
            </w:r>
            <w:r w:rsidRPr="0071774C">
              <w:t>the</w:t>
            </w:r>
            <w:r>
              <w:t xml:space="preserve"> </w:t>
            </w:r>
            <w:r w:rsidRPr="0071774C">
              <w:t>current,</w:t>
            </w:r>
            <w:r>
              <w:t xml:space="preserve"> </w:t>
            </w:r>
            <w:r w:rsidRPr="0071774C">
              <w:t>Fourth</w:t>
            </w:r>
            <w:r>
              <w:t xml:space="preserve"> </w:t>
            </w:r>
            <w:r w:rsidRPr="0071774C">
              <w:t>Action</w:t>
            </w:r>
            <w:r>
              <w:t xml:space="preserve"> </w:t>
            </w:r>
            <w:r w:rsidRPr="0071774C">
              <w:t>Plan</w:t>
            </w:r>
            <w:r>
              <w:t>,</w:t>
            </w:r>
            <w:r w:rsidRPr="0071774C">
              <w:rPr>
                <w:rStyle w:val="EndnoteReference"/>
              </w:rPr>
              <w:endnoteReference w:id="177"/>
            </w:r>
            <w:r>
              <w:t xml:space="preserve"> </w:t>
            </w:r>
            <w:r w:rsidRPr="0071774C">
              <w:t>prevention</w:t>
            </w:r>
            <w:r>
              <w:t xml:space="preserve"> </w:t>
            </w:r>
            <w:r w:rsidRPr="0071774C">
              <w:t>is</w:t>
            </w:r>
            <w:r>
              <w:t xml:space="preserve"> </w:t>
            </w:r>
            <w:r w:rsidRPr="0071774C">
              <w:t>the</w:t>
            </w:r>
            <w:r>
              <w:t xml:space="preserve"> </w:t>
            </w:r>
            <w:r w:rsidRPr="0071774C">
              <w:t>first</w:t>
            </w:r>
            <w:r>
              <w:t xml:space="preserve"> </w:t>
            </w:r>
            <w:r w:rsidRPr="0071774C">
              <w:t>of</w:t>
            </w:r>
            <w:r>
              <w:t xml:space="preserve"> </w:t>
            </w:r>
            <w:r w:rsidRPr="0071774C">
              <w:t>five</w:t>
            </w:r>
            <w:r>
              <w:t xml:space="preserve"> </w:t>
            </w:r>
            <w:r w:rsidRPr="0071774C">
              <w:t>national</w:t>
            </w:r>
            <w:r>
              <w:t xml:space="preserve"> </w:t>
            </w:r>
            <w:r w:rsidRPr="0071774C">
              <w:t>priorities</w:t>
            </w:r>
            <w:r>
              <w:t xml:space="preserve"> </w:t>
            </w:r>
            <w:r w:rsidRPr="0071774C">
              <w:t>and</w:t>
            </w:r>
            <w:r>
              <w:t xml:space="preserve"> </w:t>
            </w:r>
            <w:r w:rsidRPr="0071774C">
              <w:t>is</w:t>
            </w:r>
            <w:r>
              <w:t xml:space="preserve"> </w:t>
            </w:r>
            <w:r w:rsidRPr="0071774C">
              <w:t>entitled</w:t>
            </w:r>
            <w:r>
              <w:t xml:space="preserve"> </w:t>
            </w:r>
            <w:r w:rsidRPr="0071774C">
              <w:t>‘</w:t>
            </w:r>
            <w:r>
              <w:t>P</w:t>
            </w:r>
            <w:r w:rsidRPr="0071774C">
              <w:t>rimary</w:t>
            </w:r>
            <w:r>
              <w:t xml:space="preserve"> </w:t>
            </w:r>
            <w:r w:rsidRPr="0071774C">
              <w:t>prevention</w:t>
            </w:r>
            <w:r>
              <w:t xml:space="preserve"> </w:t>
            </w:r>
            <w:r w:rsidRPr="0071774C">
              <w:t>is</w:t>
            </w:r>
            <w:r>
              <w:t xml:space="preserve"> </w:t>
            </w:r>
            <w:r w:rsidRPr="0071774C">
              <w:t>key’.</w:t>
            </w:r>
            <w:r>
              <w:t xml:space="preserve"> </w:t>
            </w:r>
            <w:r w:rsidRPr="0071774C">
              <w:t>The</w:t>
            </w:r>
            <w:r>
              <w:t xml:space="preserve"> </w:t>
            </w:r>
            <w:r w:rsidRPr="0071774C">
              <w:t>Fourth</w:t>
            </w:r>
            <w:r>
              <w:t xml:space="preserve"> </w:t>
            </w:r>
            <w:r w:rsidRPr="0071774C">
              <w:t>Action</w:t>
            </w:r>
            <w:r>
              <w:t xml:space="preserve"> </w:t>
            </w:r>
            <w:r w:rsidRPr="0071774C">
              <w:t>Plan</w:t>
            </w:r>
            <w:r>
              <w:t xml:space="preserve"> </w:t>
            </w:r>
            <w:r w:rsidRPr="0071774C">
              <w:t>acknowledges</w:t>
            </w:r>
            <w:r>
              <w:t xml:space="preserve"> </w:t>
            </w:r>
            <w:r w:rsidRPr="0071774C">
              <w:t>diversity</w:t>
            </w:r>
            <w:r>
              <w:t xml:space="preserve"> </w:t>
            </w:r>
            <w:r w:rsidRPr="0071774C">
              <w:t>among</w:t>
            </w:r>
            <w:r>
              <w:t xml:space="preserve"> </w:t>
            </w:r>
            <w:r w:rsidRPr="0071774C">
              <w:t>Australian</w:t>
            </w:r>
            <w:r>
              <w:t xml:space="preserve"> </w:t>
            </w:r>
            <w:r w:rsidRPr="0071774C">
              <w:t>women</w:t>
            </w:r>
            <w:r>
              <w:t xml:space="preserve"> </w:t>
            </w:r>
            <w:r w:rsidRPr="0071774C">
              <w:t>in</w:t>
            </w:r>
            <w:r>
              <w:t xml:space="preserve"> </w:t>
            </w:r>
            <w:r w:rsidRPr="0071774C">
              <w:t>its</w:t>
            </w:r>
            <w:r>
              <w:t xml:space="preserve"> </w:t>
            </w:r>
            <w:r w:rsidRPr="0071774C">
              <w:t>principles,</w:t>
            </w:r>
            <w:r>
              <w:t xml:space="preserve"> </w:t>
            </w:r>
            <w:r w:rsidRPr="0071774C">
              <w:t>national</w:t>
            </w:r>
            <w:r>
              <w:t xml:space="preserve"> </w:t>
            </w:r>
            <w:r w:rsidRPr="0071774C">
              <w:t>priorities</w:t>
            </w:r>
            <w:r>
              <w:t xml:space="preserve"> </w:t>
            </w:r>
            <w:r w:rsidRPr="0071774C">
              <w:t>and</w:t>
            </w:r>
            <w:r>
              <w:t xml:space="preserve"> </w:t>
            </w:r>
            <w:r w:rsidRPr="0071774C">
              <w:t>actions</w:t>
            </w:r>
            <w:r>
              <w:t xml:space="preserve">, </w:t>
            </w:r>
            <w:r w:rsidRPr="0071774C">
              <w:t>but</w:t>
            </w:r>
            <w:r>
              <w:t xml:space="preserve"> </w:t>
            </w:r>
            <w:r w:rsidRPr="0071774C">
              <w:t>does</w:t>
            </w:r>
            <w:r>
              <w:t xml:space="preserve"> </w:t>
            </w:r>
            <w:r w:rsidRPr="0071774C">
              <w:t>not</w:t>
            </w:r>
            <w:r>
              <w:t xml:space="preserve"> </w:t>
            </w:r>
            <w:r w:rsidRPr="0071774C">
              <w:t>go</w:t>
            </w:r>
            <w:r>
              <w:t xml:space="preserve"> </w:t>
            </w:r>
            <w:r w:rsidRPr="0071774C">
              <w:t>into</w:t>
            </w:r>
            <w:r>
              <w:t xml:space="preserve"> </w:t>
            </w:r>
            <w:r w:rsidRPr="0071774C">
              <w:t>depth</w:t>
            </w:r>
            <w:r>
              <w:t xml:space="preserve"> </w:t>
            </w:r>
            <w:r w:rsidRPr="0071774C">
              <w:t>about</w:t>
            </w:r>
            <w:r>
              <w:t xml:space="preserve"> </w:t>
            </w:r>
            <w:r w:rsidRPr="0071774C">
              <w:t>what</w:t>
            </w:r>
            <w:r>
              <w:t xml:space="preserve"> </w:t>
            </w:r>
            <w:r w:rsidRPr="0071774C">
              <w:t>a</w:t>
            </w:r>
            <w:r>
              <w:t xml:space="preserve"> </w:t>
            </w:r>
            <w:r w:rsidRPr="0071774C">
              <w:t>nationally</w:t>
            </w:r>
            <w:r>
              <w:t xml:space="preserve"> </w:t>
            </w:r>
            <w:r w:rsidRPr="0071774C">
              <w:t>coordinated</w:t>
            </w:r>
            <w:r>
              <w:t xml:space="preserve"> </w:t>
            </w:r>
            <w:r w:rsidRPr="0071774C">
              <w:t>intersectional</w:t>
            </w:r>
            <w:r>
              <w:t xml:space="preserve"> </w:t>
            </w:r>
            <w:r w:rsidRPr="0071774C">
              <w:t>prevention</w:t>
            </w:r>
            <w:r>
              <w:t xml:space="preserve"> </w:t>
            </w:r>
            <w:r w:rsidRPr="0071774C">
              <w:t>approach</w:t>
            </w:r>
            <w:r>
              <w:t xml:space="preserve"> </w:t>
            </w:r>
            <w:r w:rsidRPr="0071774C">
              <w:t>might</w:t>
            </w:r>
            <w:r>
              <w:t xml:space="preserve"> </w:t>
            </w:r>
            <w:r w:rsidRPr="0071774C">
              <w:t>look</w:t>
            </w:r>
            <w:r>
              <w:t xml:space="preserve"> </w:t>
            </w:r>
            <w:r w:rsidRPr="0071774C">
              <w:t>like.</w:t>
            </w:r>
          </w:p>
          <w:p w14:paraId="18B68ADB" w14:textId="77777777" w:rsidR="002C2EC7" w:rsidRPr="0071774C" w:rsidRDefault="002C2EC7" w:rsidP="00437ED1">
            <w:pPr>
              <w:pStyle w:val="OWTablebodyleft"/>
            </w:pPr>
            <w:r w:rsidRPr="0071774C">
              <w:t>The</w:t>
            </w:r>
            <w:r>
              <w:t xml:space="preserve"> </w:t>
            </w:r>
            <w:r w:rsidRPr="0071774C">
              <w:t>Fourth</w:t>
            </w:r>
            <w:r>
              <w:t xml:space="preserve"> </w:t>
            </w:r>
            <w:r w:rsidRPr="0071774C">
              <w:t>Action</w:t>
            </w:r>
            <w:r>
              <w:t xml:space="preserve"> </w:t>
            </w:r>
            <w:r w:rsidRPr="0071774C">
              <w:t>Plan</w:t>
            </w:r>
            <w:r>
              <w:t xml:space="preserve"> </w:t>
            </w:r>
            <w:r w:rsidRPr="0071774C">
              <w:t>has</w:t>
            </w:r>
            <w:r>
              <w:t xml:space="preserve"> </w:t>
            </w:r>
            <w:r w:rsidRPr="0071774C">
              <w:t>an</w:t>
            </w:r>
            <w:r>
              <w:t xml:space="preserve"> </w:t>
            </w:r>
            <w:r w:rsidRPr="0071774C">
              <w:t>accompanying</w:t>
            </w:r>
            <w:r>
              <w:t xml:space="preserve"> </w:t>
            </w:r>
            <w:r w:rsidRPr="0071774C">
              <w:t>Implementation</w:t>
            </w:r>
            <w:r>
              <w:t xml:space="preserve"> </w:t>
            </w:r>
            <w:r w:rsidRPr="0071774C">
              <w:t>Plan</w:t>
            </w:r>
            <w:r>
              <w:t>,</w:t>
            </w:r>
            <w:r w:rsidRPr="0071774C">
              <w:rPr>
                <w:rStyle w:val="EndnoteReference"/>
              </w:rPr>
              <w:endnoteReference w:id="178"/>
            </w:r>
            <w:r>
              <w:t xml:space="preserve"> </w:t>
            </w:r>
            <w:r w:rsidRPr="0071774C">
              <w:t>in</w:t>
            </w:r>
            <w:r>
              <w:t xml:space="preserve"> </w:t>
            </w:r>
            <w:r w:rsidRPr="0071774C">
              <w:t>response</w:t>
            </w:r>
            <w:r>
              <w:t xml:space="preserve"> </w:t>
            </w:r>
            <w:r w:rsidRPr="0071774C">
              <w:t>to</w:t>
            </w:r>
            <w:r>
              <w:t xml:space="preserve"> </w:t>
            </w:r>
            <w:r w:rsidRPr="0071774C">
              <w:t>a</w:t>
            </w:r>
            <w:r>
              <w:t xml:space="preserve"> </w:t>
            </w:r>
            <w:r w:rsidRPr="0071774C">
              <w:t>recommendation</w:t>
            </w:r>
            <w:r>
              <w:t xml:space="preserve"> </w:t>
            </w:r>
            <w:r w:rsidRPr="0071774C">
              <w:t>of</w:t>
            </w:r>
            <w:r>
              <w:t xml:space="preserve"> </w:t>
            </w:r>
            <w:r w:rsidRPr="0071774C">
              <w:t>the</w:t>
            </w:r>
            <w:r>
              <w:t xml:space="preserve"> </w:t>
            </w:r>
            <w:r w:rsidRPr="0071774C">
              <w:t>Auditor</w:t>
            </w:r>
            <w:r>
              <w:t>-</w:t>
            </w:r>
            <w:r w:rsidRPr="0071774C">
              <w:t>General</w:t>
            </w:r>
            <w:r>
              <w:t xml:space="preserve"> </w:t>
            </w:r>
            <w:r w:rsidRPr="0071774C">
              <w:t>in</w:t>
            </w:r>
            <w:r>
              <w:t xml:space="preserve"> </w:t>
            </w:r>
            <w:r w:rsidRPr="0071774C">
              <w:t>the</w:t>
            </w:r>
            <w:r>
              <w:t xml:space="preserve"> </w:t>
            </w:r>
            <w:r w:rsidRPr="0071774C">
              <w:t>2019</w:t>
            </w:r>
            <w:r>
              <w:t xml:space="preserve"> </w:t>
            </w:r>
            <w:r w:rsidRPr="0071774C">
              <w:t>report</w:t>
            </w:r>
            <w:r>
              <w:t xml:space="preserve"> </w:t>
            </w:r>
            <w:r w:rsidRPr="0071774C">
              <w:t>on</w:t>
            </w:r>
            <w:r>
              <w:t xml:space="preserve"> </w:t>
            </w:r>
            <w:r w:rsidRPr="0071774C">
              <w:t>Coordinating</w:t>
            </w:r>
            <w:r>
              <w:t xml:space="preserve"> </w:t>
            </w:r>
            <w:r w:rsidRPr="0071774C">
              <w:t>and</w:t>
            </w:r>
            <w:r>
              <w:t xml:space="preserve"> </w:t>
            </w:r>
            <w:r w:rsidRPr="0071774C">
              <w:t>Targeting</w:t>
            </w:r>
            <w:r>
              <w:t xml:space="preserve"> of </w:t>
            </w:r>
            <w:r w:rsidRPr="0071774C">
              <w:t>Domestic</w:t>
            </w:r>
            <w:r>
              <w:t xml:space="preserve"> </w:t>
            </w:r>
            <w:r w:rsidRPr="0071774C">
              <w:t>Violence</w:t>
            </w:r>
            <w:r>
              <w:t xml:space="preserve"> </w:t>
            </w:r>
            <w:r w:rsidRPr="0071774C">
              <w:t>Funding</w:t>
            </w:r>
            <w:r>
              <w:t xml:space="preserve"> </w:t>
            </w:r>
            <w:r w:rsidRPr="0071774C">
              <w:t>and</w:t>
            </w:r>
            <w:r>
              <w:t xml:space="preserve"> </w:t>
            </w:r>
            <w:r w:rsidRPr="0071774C">
              <w:t>Actions</w:t>
            </w:r>
            <w:r>
              <w:t xml:space="preserve"> </w:t>
            </w:r>
            <w:r w:rsidRPr="0071774C">
              <w:t>addressing</w:t>
            </w:r>
            <w:r>
              <w:t xml:space="preserve"> </w:t>
            </w:r>
            <w:r w:rsidRPr="0071774C">
              <w:t>the</w:t>
            </w:r>
            <w:r>
              <w:t xml:space="preserve"> </w:t>
            </w:r>
            <w:r w:rsidRPr="0071774C">
              <w:t>role</w:t>
            </w:r>
            <w:r>
              <w:t xml:space="preserve"> </w:t>
            </w:r>
            <w:r w:rsidRPr="0071774C">
              <w:t>of</w:t>
            </w:r>
            <w:r>
              <w:t xml:space="preserve"> </w:t>
            </w:r>
            <w:r w:rsidRPr="0071774C">
              <w:t>the</w:t>
            </w:r>
            <w:r>
              <w:t xml:space="preserve"> </w:t>
            </w:r>
            <w:r w:rsidRPr="0071774C">
              <w:t>Department</w:t>
            </w:r>
            <w:r>
              <w:t xml:space="preserve"> </w:t>
            </w:r>
            <w:r w:rsidRPr="0071774C">
              <w:t>of</w:t>
            </w:r>
            <w:r>
              <w:t xml:space="preserve"> </w:t>
            </w:r>
            <w:r w:rsidRPr="0071774C">
              <w:t>Social</w:t>
            </w:r>
            <w:r>
              <w:t xml:space="preserve"> </w:t>
            </w:r>
            <w:r w:rsidRPr="0071774C">
              <w:t>Services</w:t>
            </w:r>
            <w:r>
              <w:t>.</w:t>
            </w:r>
            <w:r w:rsidRPr="0071774C">
              <w:rPr>
                <w:rStyle w:val="EndnoteReference"/>
              </w:rPr>
              <w:endnoteReference w:id="179"/>
            </w:r>
            <w:r>
              <w:t xml:space="preserve"> </w:t>
            </w:r>
            <w:r w:rsidRPr="0071774C">
              <w:t>The</w:t>
            </w:r>
            <w:r>
              <w:t xml:space="preserve"> </w:t>
            </w:r>
            <w:r w:rsidRPr="0071774C">
              <w:t>publication</w:t>
            </w:r>
            <w:r>
              <w:t xml:space="preserve"> </w:t>
            </w:r>
            <w:r w:rsidRPr="0071774C">
              <w:t>of</w:t>
            </w:r>
            <w:r>
              <w:t xml:space="preserve"> </w:t>
            </w:r>
            <w:r w:rsidRPr="0071774C">
              <w:t>an</w:t>
            </w:r>
            <w:r>
              <w:t xml:space="preserve"> </w:t>
            </w:r>
            <w:r w:rsidRPr="0071774C">
              <w:t>overarching</w:t>
            </w:r>
            <w:r>
              <w:t xml:space="preserve"> </w:t>
            </w:r>
            <w:r w:rsidRPr="0071774C">
              <w:t>national</w:t>
            </w:r>
            <w:r>
              <w:t xml:space="preserve"> </w:t>
            </w:r>
            <w:r w:rsidRPr="0071774C">
              <w:t>implementation</w:t>
            </w:r>
            <w:r>
              <w:t xml:space="preserve"> </w:t>
            </w:r>
            <w:r w:rsidRPr="0071774C">
              <w:t>plan</w:t>
            </w:r>
            <w:r>
              <w:t xml:space="preserve"> </w:t>
            </w:r>
            <w:r w:rsidRPr="0071774C">
              <w:t>is</w:t>
            </w:r>
            <w:r>
              <w:t xml:space="preserve"> an important step towards a more coordinated approach</w:t>
            </w:r>
            <w:r w:rsidRPr="0071774C">
              <w:t>.</w:t>
            </w:r>
          </w:p>
        </w:tc>
      </w:tr>
    </w:tbl>
    <w:p w14:paraId="60E54F45" w14:textId="6B9A95E4" w:rsidR="002C2EC7" w:rsidRDefault="002C2EC7" w:rsidP="00790783">
      <w:pPr>
        <w:pStyle w:val="OWBodytextlargespaceabove"/>
      </w:pPr>
      <w:r w:rsidRPr="0071774C">
        <w:lastRenderedPageBreak/>
        <w:t>The</w:t>
      </w:r>
      <w:r>
        <w:t xml:space="preserve"> </w:t>
      </w:r>
      <w:r w:rsidRPr="0071774C">
        <w:t>National</w:t>
      </w:r>
      <w:r>
        <w:t xml:space="preserve"> </w:t>
      </w:r>
      <w:r w:rsidRPr="0071774C">
        <w:t>Plan</w:t>
      </w:r>
      <w:r>
        <w:t xml:space="preserve"> </w:t>
      </w:r>
      <w:r w:rsidRPr="0071774C">
        <w:t>website</w:t>
      </w:r>
      <w:r w:rsidRPr="0071774C">
        <w:rPr>
          <w:rStyle w:val="EndnoteReference"/>
          <w:szCs w:val="22"/>
        </w:rPr>
        <w:endnoteReference w:id="180"/>
      </w:r>
      <w:r>
        <w:t xml:space="preserve"> </w:t>
      </w:r>
      <w:r w:rsidRPr="0071774C">
        <w:t>lists</w:t>
      </w:r>
      <w:r>
        <w:t xml:space="preserve"> </w:t>
      </w:r>
      <w:r w:rsidRPr="0071774C">
        <w:t>a</w:t>
      </w:r>
      <w:r>
        <w:t xml:space="preserve"> </w:t>
      </w:r>
      <w:r w:rsidRPr="0071774C">
        <w:t>total</w:t>
      </w:r>
      <w:r>
        <w:t xml:space="preserve"> </w:t>
      </w:r>
      <w:r w:rsidRPr="0071774C">
        <w:t>of</w:t>
      </w:r>
      <w:r>
        <w:t xml:space="preserve"> </w:t>
      </w:r>
      <w:r w:rsidRPr="0071774C">
        <w:t>164</w:t>
      </w:r>
      <w:r>
        <w:t xml:space="preserve"> </w:t>
      </w:r>
      <w:r w:rsidRPr="0071774C">
        <w:t>initiatives</w:t>
      </w:r>
      <w:r>
        <w:t xml:space="preserve"> </w:t>
      </w:r>
      <w:r w:rsidRPr="0071774C">
        <w:t>funded</w:t>
      </w:r>
      <w:r>
        <w:t xml:space="preserve"> </w:t>
      </w:r>
      <w:r w:rsidRPr="0071774C">
        <w:t>under</w:t>
      </w:r>
      <w:r>
        <w:t xml:space="preserve"> </w:t>
      </w:r>
      <w:r w:rsidRPr="0071774C">
        <w:t>the</w:t>
      </w:r>
      <w:r>
        <w:t xml:space="preserve"> </w:t>
      </w:r>
      <w:r w:rsidRPr="0071774C">
        <w:t>Fourth</w:t>
      </w:r>
      <w:r>
        <w:t xml:space="preserve"> </w:t>
      </w:r>
      <w:r w:rsidRPr="0071774C">
        <w:t>Action</w:t>
      </w:r>
      <w:r>
        <w:t xml:space="preserve"> </w:t>
      </w:r>
      <w:r w:rsidRPr="0071774C">
        <w:t>Plan</w:t>
      </w:r>
      <w:r>
        <w:t xml:space="preserve"> </w:t>
      </w:r>
      <w:r w:rsidRPr="0071774C">
        <w:t>(</w:t>
      </w:r>
      <w:r>
        <w:t xml:space="preserve">see </w:t>
      </w:r>
      <w:r w:rsidRPr="0071774C">
        <w:t>Appendix</w:t>
      </w:r>
      <w:r>
        <w:t xml:space="preserve"> D: Number of initiatives tagged under Fourth Key Action Plan primary prevention priority actions</w:t>
      </w:r>
      <w:r w:rsidRPr="0071774C">
        <w:t>).</w:t>
      </w:r>
      <w:r>
        <w:t xml:space="preserve"> </w:t>
      </w:r>
      <w:r w:rsidRPr="0071774C">
        <w:t>Of</w:t>
      </w:r>
      <w:r>
        <w:t xml:space="preserve"> </w:t>
      </w:r>
      <w:r w:rsidRPr="0071774C">
        <w:t>these</w:t>
      </w:r>
      <w:r w:rsidRPr="0092788A">
        <w:t>,</w:t>
      </w:r>
      <w:r>
        <w:t xml:space="preserve"> forty-four </w:t>
      </w:r>
      <w:r w:rsidRPr="0071774C">
        <w:t>(27%)</w:t>
      </w:r>
      <w:r>
        <w:t xml:space="preserve"> </w:t>
      </w:r>
      <w:r w:rsidRPr="0071774C">
        <w:t>have</w:t>
      </w:r>
      <w:r>
        <w:t xml:space="preserve"> </w:t>
      </w:r>
      <w:r w:rsidRPr="0071774C">
        <w:t>tagged</w:t>
      </w:r>
      <w:r>
        <w:t xml:space="preserve"> </w:t>
      </w:r>
      <w:r w:rsidRPr="0071774C">
        <w:t>one</w:t>
      </w:r>
      <w:r>
        <w:t xml:space="preserve"> </w:t>
      </w:r>
      <w:r w:rsidRPr="0071774C">
        <w:t>of</w:t>
      </w:r>
      <w:r>
        <w:t xml:space="preserve"> </w:t>
      </w:r>
      <w:r w:rsidRPr="0071774C">
        <w:t>the</w:t>
      </w:r>
      <w:r>
        <w:t xml:space="preserve"> </w:t>
      </w:r>
      <w:r w:rsidRPr="0071774C">
        <w:t>five</w:t>
      </w:r>
      <w:r>
        <w:t xml:space="preserve"> </w:t>
      </w:r>
      <w:r w:rsidRPr="0071774C">
        <w:t>actions</w:t>
      </w:r>
      <w:r>
        <w:t xml:space="preserve"> </w:t>
      </w:r>
      <w:r w:rsidRPr="0071774C">
        <w:t>under</w:t>
      </w:r>
      <w:r>
        <w:t xml:space="preserve"> </w:t>
      </w:r>
      <w:r w:rsidRPr="0071774C">
        <w:t>the</w:t>
      </w:r>
      <w:r>
        <w:t xml:space="preserve"> </w:t>
      </w:r>
      <w:r w:rsidRPr="0071774C">
        <w:t>primary</w:t>
      </w:r>
      <w:r>
        <w:t xml:space="preserve"> </w:t>
      </w:r>
      <w:r w:rsidRPr="0071774C">
        <w:t>prevention</w:t>
      </w:r>
      <w:r>
        <w:t xml:space="preserve"> </w:t>
      </w:r>
      <w:r w:rsidRPr="0071774C">
        <w:t>national</w:t>
      </w:r>
      <w:r>
        <w:t xml:space="preserve"> </w:t>
      </w:r>
      <w:r w:rsidRPr="0071774C">
        <w:t>priority</w:t>
      </w:r>
      <w:r>
        <w:t xml:space="preserve">. </w:t>
      </w:r>
      <w:r w:rsidRPr="0071774C">
        <w:t>Of</w:t>
      </w:r>
      <w:r>
        <w:t xml:space="preserve"> </w:t>
      </w:r>
      <w:r w:rsidRPr="0071774C">
        <w:t>these</w:t>
      </w:r>
      <w:r>
        <w:t xml:space="preserve"> forty-four </w:t>
      </w:r>
      <w:r w:rsidRPr="0071774C">
        <w:t>primary</w:t>
      </w:r>
      <w:r>
        <w:t xml:space="preserve"> </w:t>
      </w:r>
      <w:r w:rsidRPr="0071774C">
        <w:t>prevention</w:t>
      </w:r>
      <w:r>
        <w:t xml:space="preserve"> </w:t>
      </w:r>
      <w:r w:rsidRPr="0071774C">
        <w:t>initiatives,</w:t>
      </w:r>
      <w:r>
        <w:t xml:space="preserve"> twelve </w:t>
      </w:r>
      <w:r w:rsidRPr="0071774C">
        <w:t>are</w:t>
      </w:r>
      <w:r>
        <w:t xml:space="preserve"> </w:t>
      </w:r>
      <w:r w:rsidRPr="0071774C">
        <w:t>identified</w:t>
      </w:r>
      <w:r>
        <w:t xml:space="preserve"> </w:t>
      </w:r>
      <w:r w:rsidRPr="0071774C">
        <w:t>on</w:t>
      </w:r>
      <w:r>
        <w:t xml:space="preserve"> </w:t>
      </w:r>
      <w:r w:rsidRPr="0071774C">
        <w:t>the</w:t>
      </w:r>
      <w:r>
        <w:t xml:space="preserve"> </w:t>
      </w:r>
      <w:r w:rsidRPr="0071774C">
        <w:t>plan</w:t>
      </w:r>
      <w:r>
        <w:t xml:space="preserve"> </w:t>
      </w:r>
      <w:r w:rsidRPr="0071774C">
        <w:t>website</w:t>
      </w:r>
      <w:r>
        <w:t xml:space="preserve"> </w:t>
      </w:r>
      <w:r w:rsidRPr="0071774C">
        <w:t>as</w:t>
      </w:r>
      <w:r>
        <w:t xml:space="preserve"> </w:t>
      </w:r>
      <w:r w:rsidRPr="0071774C">
        <w:t>being</w:t>
      </w:r>
      <w:r>
        <w:t xml:space="preserve"> </w:t>
      </w:r>
      <w:r w:rsidRPr="0071774C">
        <w:t>initiatives</w:t>
      </w:r>
      <w:r>
        <w:t xml:space="preserve"> </w:t>
      </w:r>
      <w:r w:rsidRPr="0071774C">
        <w:t>designed</w:t>
      </w:r>
      <w:r>
        <w:t xml:space="preserve"> </w:t>
      </w:r>
      <w:r w:rsidRPr="0071774C">
        <w:t>by</w:t>
      </w:r>
      <w:r>
        <w:t xml:space="preserve"> </w:t>
      </w:r>
      <w:r w:rsidRPr="0071774C">
        <w:t>and/or</w:t>
      </w:r>
      <w:r>
        <w:t xml:space="preserve"> </w:t>
      </w:r>
      <w:r w:rsidRPr="0071774C">
        <w:t>tailored</w:t>
      </w:r>
      <w:r>
        <w:t xml:space="preserve"> </w:t>
      </w:r>
      <w:r w:rsidRPr="0071774C">
        <w:t>for</w:t>
      </w:r>
      <w:r>
        <w:t xml:space="preserve"> </w:t>
      </w:r>
      <w:r w:rsidRPr="0071774C">
        <w:t>specific</w:t>
      </w:r>
      <w:r>
        <w:t xml:space="preserve"> </w:t>
      </w:r>
      <w:r w:rsidRPr="0071774C">
        <w:t>communities.</w:t>
      </w:r>
    </w:p>
    <w:p w14:paraId="581F053F" w14:textId="530FF2FD" w:rsidR="002C2EC7" w:rsidRDefault="002C2EC7" w:rsidP="00790783">
      <w:pPr>
        <w:pStyle w:val="BodyText"/>
      </w:pPr>
      <w:r w:rsidRPr="0071774C">
        <w:t>The</w:t>
      </w:r>
      <w:r>
        <w:t xml:space="preserve"> </w:t>
      </w:r>
      <w:r w:rsidRPr="0071774C">
        <w:t>number</w:t>
      </w:r>
      <w:r>
        <w:t xml:space="preserve"> </w:t>
      </w:r>
      <w:r w:rsidRPr="0071774C">
        <w:t>of</w:t>
      </w:r>
      <w:r>
        <w:t xml:space="preserve"> </w:t>
      </w:r>
      <w:r w:rsidRPr="0071774C">
        <w:t>initiatives</w:t>
      </w:r>
      <w:r>
        <w:t xml:space="preserve"> </w:t>
      </w:r>
      <w:r w:rsidRPr="0071774C">
        <w:t>tagged</w:t>
      </w:r>
      <w:r>
        <w:t xml:space="preserve"> </w:t>
      </w:r>
      <w:r w:rsidRPr="0071774C">
        <w:t>under</w:t>
      </w:r>
      <w:r>
        <w:t xml:space="preserve"> </w:t>
      </w:r>
      <w:r w:rsidRPr="0071774C">
        <w:t>each</w:t>
      </w:r>
      <w:r>
        <w:t xml:space="preserve"> </w:t>
      </w:r>
      <w:r w:rsidRPr="0071774C">
        <w:t>of</w:t>
      </w:r>
      <w:r>
        <w:t xml:space="preserve"> </w:t>
      </w:r>
      <w:r w:rsidRPr="0071774C">
        <w:t>the</w:t>
      </w:r>
      <w:r>
        <w:t xml:space="preserve"> </w:t>
      </w:r>
      <w:r w:rsidRPr="0071774C">
        <w:t>primary</w:t>
      </w:r>
      <w:r>
        <w:t xml:space="preserve"> </w:t>
      </w:r>
      <w:r w:rsidRPr="0071774C">
        <w:t>prevention</w:t>
      </w:r>
      <w:r>
        <w:t xml:space="preserve"> </w:t>
      </w:r>
      <w:r w:rsidRPr="0071774C">
        <w:t>national</w:t>
      </w:r>
      <w:r>
        <w:t xml:space="preserve"> </w:t>
      </w:r>
      <w:r w:rsidRPr="0071774C">
        <w:t>priority</w:t>
      </w:r>
      <w:r>
        <w:t xml:space="preserve"> </w:t>
      </w:r>
      <w:r w:rsidRPr="0071774C">
        <w:t>actions</w:t>
      </w:r>
      <w:r>
        <w:t xml:space="preserve"> </w:t>
      </w:r>
      <w:r w:rsidRPr="0071774C">
        <w:t>is</w:t>
      </w:r>
      <w:r>
        <w:t xml:space="preserve"> </w:t>
      </w:r>
      <w:r w:rsidRPr="0071774C">
        <w:t>outlined</w:t>
      </w:r>
      <w:r>
        <w:t xml:space="preserve"> </w:t>
      </w:r>
      <w:r w:rsidRPr="0071774C">
        <w:t>in</w:t>
      </w:r>
      <w:r>
        <w:t xml:space="preserve"> </w:t>
      </w:r>
      <w:r w:rsidRPr="0071774C">
        <w:t>Appendix</w:t>
      </w:r>
      <w:r>
        <w:t xml:space="preserve"> D</w:t>
      </w:r>
      <w:r w:rsidRPr="0071774C">
        <w:t>.</w:t>
      </w:r>
      <w:r>
        <w:t xml:space="preserve"> </w:t>
      </w:r>
      <w:r w:rsidRPr="0071774C">
        <w:t>The</w:t>
      </w:r>
      <w:r>
        <w:t xml:space="preserve"> </w:t>
      </w:r>
      <w:r w:rsidRPr="0071774C">
        <w:t>most</w:t>
      </w:r>
      <w:r>
        <w:t xml:space="preserve"> </w:t>
      </w:r>
      <w:r w:rsidRPr="0071774C">
        <w:t>common</w:t>
      </w:r>
      <w:r>
        <w:t xml:space="preserve"> </w:t>
      </w:r>
      <w:r w:rsidRPr="0071774C">
        <w:t>action</w:t>
      </w:r>
      <w:r>
        <w:t xml:space="preserve"> </w:t>
      </w:r>
      <w:r w:rsidRPr="0071774C">
        <w:t>being</w:t>
      </w:r>
      <w:r>
        <w:t xml:space="preserve"> </w:t>
      </w:r>
      <w:r w:rsidRPr="0071774C">
        <w:t>addressed</w:t>
      </w:r>
      <w:r>
        <w:t xml:space="preserve"> </w:t>
      </w:r>
      <w:r w:rsidRPr="0071774C">
        <w:t>is</w:t>
      </w:r>
      <w:r>
        <w:t xml:space="preserve"> </w:t>
      </w:r>
      <w:r w:rsidRPr="0071774C">
        <w:t>advancing</w:t>
      </w:r>
      <w:r>
        <w:t xml:space="preserve"> </w:t>
      </w:r>
      <w:r w:rsidRPr="0071774C">
        <w:t>gender</w:t>
      </w:r>
      <w:r>
        <w:t xml:space="preserve"> </w:t>
      </w:r>
      <w:r w:rsidRPr="0071774C">
        <w:t>equality</w:t>
      </w:r>
      <w:r>
        <w:t xml:space="preserve"> </w:t>
      </w:r>
      <w:r w:rsidRPr="0071774C">
        <w:t>and</w:t>
      </w:r>
      <w:r>
        <w:t xml:space="preserve"> </w:t>
      </w:r>
      <w:r w:rsidRPr="0071774C">
        <w:t>respect</w:t>
      </w:r>
      <w:r>
        <w:t xml:space="preserve"> </w:t>
      </w:r>
      <w:r w:rsidRPr="0071774C">
        <w:t>for</w:t>
      </w:r>
      <w:r>
        <w:t xml:space="preserve"> </w:t>
      </w:r>
      <w:r w:rsidRPr="0071774C">
        <w:t>women,</w:t>
      </w:r>
      <w:r>
        <w:t xml:space="preserve"> </w:t>
      </w:r>
      <w:r w:rsidRPr="0071774C">
        <w:t>and</w:t>
      </w:r>
      <w:r>
        <w:t xml:space="preserve"> </w:t>
      </w:r>
      <w:r w:rsidRPr="0071774C">
        <w:t>the</w:t>
      </w:r>
      <w:r>
        <w:t xml:space="preserve"> </w:t>
      </w:r>
      <w:r w:rsidRPr="0071774C">
        <w:t>least</w:t>
      </w:r>
      <w:r>
        <w:t xml:space="preserve"> </w:t>
      </w:r>
      <w:r w:rsidRPr="0071774C">
        <w:t>common</w:t>
      </w:r>
      <w:r>
        <w:t xml:space="preserve"> </w:t>
      </w:r>
      <w:r w:rsidRPr="0071774C">
        <w:t>action</w:t>
      </w:r>
      <w:r>
        <w:t xml:space="preserve"> </w:t>
      </w:r>
      <w:r w:rsidRPr="0071774C">
        <w:t>is</w:t>
      </w:r>
      <w:r>
        <w:t xml:space="preserve"> </w:t>
      </w:r>
      <w:r w:rsidRPr="0071774C">
        <w:t>to</w:t>
      </w:r>
      <w:r>
        <w:t xml:space="preserve"> </w:t>
      </w:r>
      <w:r w:rsidRPr="0071774C">
        <w:t>address</w:t>
      </w:r>
      <w:r>
        <w:t xml:space="preserve"> </w:t>
      </w:r>
      <w:r w:rsidRPr="0071774C">
        <w:t>intergenerational</w:t>
      </w:r>
      <w:r>
        <w:t xml:space="preserve"> </w:t>
      </w:r>
      <w:r w:rsidRPr="76501DE7">
        <w:rPr>
          <w:rFonts w:cstheme="minorBidi"/>
        </w:rPr>
        <w:t>trauma</w:t>
      </w:r>
      <w:r>
        <w:t xml:space="preserve"> </w:t>
      </w:r>
      <w:r w:rsidRPr="0071774C">
        <w:t>for</w:t>
      </w:r>
      <w:r>
        <w:t xml:space="preserve"> </w:t>
      </w:r>
      <w:r w:rsidRPr="0071774C">
        <w:t>Aboriginal</w:t>
      </w:r>
      <w:r>
        <w:t xml:space="preserve"> </w:t>
      </w:r>
      <w:r w:rsidRPr="0071774C">
        <w:t>and</w:t>
      </w:r>
      <w:r>
        <w:t xml:space="preserve"> </w:t>
      </w:r>
      <w:r w:rsidRPr="0071774C">
        <w:t>Torres</w:t>
      </w:r>
      <w:r>
        <w:t xml:space="preserve"> </w:t>
      </w:r>
      <w:r w:rsidRPr="0071774C">
        <w:t>Strait</w:t>
      </w:r>
      <w:r>
        <w:t xml:space="preserve"> </w:t>
      </w:r>
      <w:r w:rsidRPr="0071774C">
        <w:t>Islander</w:t>
      </w:r>
      <w:r>
        <w:t xml:space="preserve"> </w:t>
      </w:r>
      <w:r w:rsidRPr="0071774C">
        <w:t>peoples</w:t>
      </w:r>
      <w:r>
        <w:t xml:space="preserve"> </w:t>
      </w:r>
      <w:r w:rsidRPr="0071774C">
        <w:t>through</w:t>
      </w:r>
      <w:r>
        <w:t xml:space="preserve"> </w:t>
      </w:r>
      <w:r w:rsidRPr="0071774C">
        <w:t>primary</w:t>
      </w:r>
      <w:r>
        <w:t xml:space="preserve"> </w:t>
      </w:r>
      <w:r w:rsidRPr="0071774C">
        <w:t>prevention</w:t>
      </w:r>
      <w:r>
        <w:t xml:space="preserve"> </w:t>
      </w:r>
      <w:r w:rsidRPr="0071774C">
        <w:t>including</w:t>
      </w:r>
      <w:r>
        <w:t xml:space="preserve"> </w:t>
      </w:r>
      <w:r w:rsidRPr="0071774C">
        <w:t>holistic</w:t>
      </w:r>
      <w:r>
        <w:t xml:space="preserve"> </w:t>
      </w:r>
      <w:r w:rsidRPr="0071774C">
        <w:t>healing</w:t>
      </w:r>
      <w:r>
        <w:t xml:space="preserve"> </w:t>
      </w:r>
      <w:r w:rsidRPr="0071774C">
        <w:t>strategies,</w:t>
      </w:r>
      <w:r>
        <w:t xml:space="preserve"> </w:t>
      </w:r>
      <w:r w:rsidRPr="0071774C">
        <w:t>and</w:t>
      </w:r>
      <w:r>
        <w:t xml:space="preserve"> </w:t>
      </w:r>
      <w:r w:rsidRPr="0071774C">
        <w:t>by</w:t>
      </w:r>
      <w:r>
        <w:t xml:space="preserve"> </w:t>
      </w:r>
      <w:r w:rsidRPr="0071774C">
        <w:t>strengthening</w:t>
      </w:r>
      <w:r>
        <w:t xml:space="preserve"> </w:t>
      </w:r>
      <w:r w:rsidRPr="0071774C">
        <w:t>connections</w:t>
      </w:r>
      <w:r>
        <w:t xml:space="preserve"> </w:t>
      </w:r>
      <w:r w:rsidRPr="0071774C">
        <w:t>to</w:t>
      </w:r>
      <w:r>
        <w:t xml:space="preserve"> </w:t>
      </w:r>
      <w:r w:rsidRPr="0071774C">
        <w:t>culture,</w:t>
      </w:r>
      <w:r>
        <w:t xml:space="preserve"> </w:t>
      </w:r>
      <w:r w:rsidRPr="0071774C">
        <w:t>language,</w:t>
      </w:r>
      <w:r>
        <w:t xml:space="preserve"> </w:t>
      </w:r>
      <w:r w:rsidRPr="0071774C">
        <w:t>knowledge</w:t>
      </w:r>
      <w:r>
        <w:t xml:space="preserve"> </w:t>
      </w:r>
      <w:r w:rsidRPr="0071774C">
        <w:t>and</w:t>
      </w:r>
      <w:r>
        <w:t xml:space="preserve"> </w:t>
      </w:r>
      <w:r w:rsidRPr="0071774C">
        <w:t>identity</w:t>
      </w:r>
      <w:r>
        <w:t xml:space="preserve">. </w:t>
      </w:r>
      <w:r w:rsidR="00C87A02">
        <w:t xml:space="preserve">While a detailed analysis hasn’t been undertaken, </w:t>
      </w:r>
      <w:r w:rsidR="00734C41">
        <w:t>t</w:t>
      </w:r>
      <w:r>
        <w:t xml:space="preserve">he initiatives tagged as primary prevention under the Third and Fourth Action Plans </w:t>
      </w:r>
      <w:r w:rsidR="00734C41">
        <w:t>may account for roughly</w:t>
      </w:r>
      <w:r w:rsidR="003B00D4">
        <w:t xml:space="preserve"> around</w:t>
      </w:r>
      <w:r>
        <w:t xml:space="preserve"> 20% of Commonwealth funding packages.</w:t>
      </w:r>
    </w:p>
    <w:p w14:paraId="198CAE53" w14:textId="243A3A2C" w:rsidR="008B552D" w:rsidRDefault="002C2EC7" w:rsidP="00790783">
      <w:pPr>
        <w:pStyle w:val="BodyText"/>
      </w:pPr>
      <w:r w:rsidRPr="00EF619E">
        <w:t xml:space="preserve">A number of the initiatives that are tagged under the primary prevention national priority are also tagged under a range of other national priority areas, indicating perhaps that a combination of primary prevention, early intervention and response is being undertaken. Under the Fourth Action Plan, all jurisdictions </w:t>
      </w:r>
      <w:r w:rsidR="006A3EAE">
        <w:t>have indicated that they are implementing respectful relationships education</w:t>
      </w:r>
      <w:r w:rsidR="008B1A79">
        <w:t xml:space="preserve"> to some degree</w:t>
      </w:r>
      <w:r w:rsidR="0038493E">
        <w:t xml:space="preserve">, </w:t>
      </w:r>
      <w:r w:rsidR="00DC65A7">
        <w:t xml:space="preserve">with </w:t>
      </w:r>
      <w:r w:rsidR="008719CD">
        <w:t xml:space="preserve">great variation in </w:t>
      </w:r>
      <w:r w:rsidR="0038493E">
        <w:t>content</w:t>
      </w:r>
      <w:r w:rsidR="00BB1EC3">
        <w:t xml:space="preserve">, delivery and audience </w:t>
      </w:r>
      <w:r w:rsidR="00040243">
        <w:t xml:space="preserve">between jurisdictions. </w:t>
      </w:r>
      <w:r w:rsidRPr="00EF619E">
        <w:t>Workplace activities are being targeted across a range of industries, including the public and corporate sectors. Flagship campaigns and media projects have a national focus. There is further investment in some elements of prevention infrastructure, including better data platforms and monitoring mechanisms, and</w:t>
      </w:r>
      <w:r w:rsidR="009040A6">
        <w:t xml:space="preserve"> </w:t>
      </w:r>
      <w:r w:rsidRPr="00EF619E">
        <w:t>community-focused/regional activities focused on building capacity and partnership approaches.</w:t>
      </w:r>
    </w:p>
    <w:p w14:paraId="16D5D761" w14:textId="3DF1E140" w:rsidR="002C2EC7" w:rsidRPr="00FB7F22" w:rsidRDefault="002C2EC7" w:rsidP="00437ED1">
      <w:pPr>
        <w:pStyle w:val="Heading3"/>
        <w:rPr>
          <w:rStyle w:val="OWCharacterCharcoal"/>
        </w:rPr>
      </w:pPr>
      <w:bookmarkStart w:id="72" w:name="_Toc55053310"/>
      <w:r w:rsidRPr="00FB7F22">
        <w:rPr>
          <w:rStyle w:val="OWCharacterCharcoal"/>
        </w:rPr>
        <w:lastRenderedPageBreak/>
        <w:t>Conclusion</w:t>
      </w:r>
      <w:bookmarkEnd w:id="72"/>
    </w:p>
    <w:p w14:paraId="5736C8C8" w14:textId="191CAB1E" w:rsidR="007B4A4B" w:rsidRDefault="007B4A4B" w:rsidP="007B4A4B">
      <w:pPr>
        <w:pStyle w:val="BodyText"/>
      </w:pPr>
      <w:r w:rsidRPr="0071774C">
        <w:t>In</w:t>
      </w:r>
      <w:r>
        <w:t xml:space="preserve"> </w:t>
      </w:r>
      <w:r w:rsidRPr="0071774C">
        <w:t>summary,</w:t>
      </w:r>
      <w:r>
        <w:t xml:space="preserve"> </w:t>
      </w:r>
      <w:r w:rsidRPr="0071774C">
        <w:t>the</w:t>
      </w:r>
      <w:r>
        <w:t xml:space="preserve"> </w:t>
      </w:r>
      <w:r w:rsidRPr="0071774C">
        <w:t>foundations</w:t>
      </w:r>
      <w:r>
        <w:t xml:space="preserve"> </w:t>
      </w:r>
      <w:r w:rsidRPr="0071774C">
        <w:t>or</w:t>
      </w:r>
      <w:r>
        <w:t xml:space="preserve"> </w:t>
      </w:r>
      <w:r w:rsidRPr="0071774C">
        <w:t>infrastructure</w:t>
      </w:r>
      <w:r>
        <w:t xml:space="preserve"> </w:t>
      </w:r>
      <w:r w:rsidRPr="0071774C">
        <w:t>to</w:t>
      </w:r>
      <w:r>
        <w:t xml:space="preserve"> </w:t>
      </w:r>
      <w:r w:rsidRPr="0071774C">
        <w:t>promote</w:t>
      </w:r>
      <w:r>
        <w:t xml:space="preserve"> </w:t>
      </w:r>
      <w:r w:rsidRPr="0071774C">
        <w:t>gender</w:t>
      </w:r>
      <w:r>
        <w:t xml:space="preserve"> </w:t>
      </w:r>
      <w:r w:rsidRPr="0071774C">
        <w:t>equality</w:t>
      </w:r>
      <w:r>
        <w:t xml:space="preserve"> </w:t>
      </w:r>
      <w:r w:rsidRPr="0071774C">
        <w:t>and</w:t>
      </w:r>
      <w:r>
        <w:t xml:space="preserve"> </w:t>
      </w:r>
      <w:r w:rsidRPr="0071774C">
        <w:t>prevent</w:t>
      </w:r>
      <w:r>
        <w:t xml:space="preserve"> </w:t>
      </w:r>
      <w:r w:rsidRPr="0071774C">
        <w:t>violence</w:t>
      </w:r>
      <w:r>
        <w:t xml:space="preserve"> </w:t>
      </w:r>
      <w:r w:rsidRPr="0071774C">
        <w:t>against</w:t>
      </w:r>
      <w:r>
        <w:t xml:space="preserve"> </w:t>
      </w:r>
      <w:r w:rsidRPr="0071774C">
        <w:t>women</w:t>
      </w:r>
      <w:r>
        <w:t xml:space="preserve"> </w:t>
      </w:r>
      <w:r w:rsidRPr="0071774C">
        <w:t>have</w:t>
      </w:r>
      <w:r>
        <w:t xml:space="preserve"> </w:t>
      </w:r>
      <w:r w:rsidRPr="0071774C">
        <w:t>been</w:t>
      </w:r>
      <w:r>
        <w:t xml:space="preserve"> </w:t>
      </w:r>
      <w:r w:rsidRPr="0071774C">
        <w:t>building</w:t>
      </w:r>
      <w:r>
        <w:t xml:space="preserve"> steadily </w:t>
      </w:r>
      <w:r w:rsidRPr="0071774C">
        <w:t>during</w:t>
      </w:r>
      <w:r>
        <w:t xml:space="preserve"> </w:t>
      </w:r>
      <w:r w:rsidRPr="0071774C">
        <w:t>the</w:t>
      </w:r>
      <w:r>
        <w:t xml:space="preserve"> </w:t>
      </w:r>
      <w:r w:rsidRPr="0071774C">
        <w:t>past</w:t>
      </w:r>
      <w:r>
        <w:t xml:space="preserve"> </w:t>
      </w:r>
      <w:r w:rsidRPr="0071774C">
        <w:t>ten</w:t>
      </w:r>
      <w:r>
        <w:t xml:space="preserve"> </w:t>
      </w:r>
      <w:r w:rsidRPr="0071774C">
        <w:t>years</w:t>
      </w:r>
      <w:r>
        <w:t>, with much activity happening in the latter five years in this time period</w:t>
      </w:r>
      <w:r w:rsidRPr="0071774C">
        <w:t>.</w:t>
      </w:r>
      <w:r>
        <w:t xml:space="preserve"> </w:t>
      </w:r>
      <w:r w:rsidR="00CE2BC0">
        <w:t>M</w:t>
      </w:r>
      <w:r w:rsidRPr="0071774C">
        <w:t>ore</w:t>
      </w:r>
      <w:r>
        <w:t xml:space="preserve"> </w:t>
      </w:r>
      <w:r w:rsidRPr="004B02DE">
        <w:t>sustained</w:t>
      </w:r>
      <w:r>
        <w:t xml:space="preserve"> </w:t>
      </w:r>
      <w:r w:rsidRPr="004B02DE">
        <w:t>effort</w:t>
      </w:r>
      <w:r>
        <w:t xml:space="preserve"> </w:t>
      </w:r>
      <w:r w:rsidRPr="004B02DE">
        <w:t>is</w:t>
      </w:r>
      <w:r w:rsidR="00CE2BC0">
        <w:t xml:space="preserve"> now</w:t>
      </w:r>
      <w:r>
        <w:t xml:space="preserve"> </w:t>
      </w:r>
      <w:r w:rsidRPr="004B02DE">
        <w:t>required</w:t>
      </w:r>
      <w:r>
        <w:t xml:space="preserve"> </w:t>
      </w:r>
      <w:r w:rsidRPr="004B02DE">
        <w:t>to</w:t>
      </w:r>
      <w:r>
        <w:t xml:space="preserve"> </w:t>
      </w:r>
      <w:r w:rsidRPr="004B02DE">
        <w:t>consolidate</w:t>
      </w:r>
      <w:r>
        <w:t xml:space="preserve"> </w:t>
      </w:r>
      <w:r w:rsidRPr="004B02DE">
        <w:t>the</w:t>
      </w:r>
      <w:r>
        <w:t xml:space="preserve"> </w:t>
      </w:r>
      <w:r w:rsidRPr="004B02DE">
        <w:t>progress</w:t>
      </w:r>
      <w:r>
        <w:t xml:space="preserve"> </w:t>
      </w:r>
      <w:r w:rsidRPr="004B02DE">
        <w:t>that</w:t>
      </w:r>
      <w:r>
        <w:t xml:space="preserve"> </w:t>
      </w:r>
      <w:r w:rsidRPr="004B02DE">
        <w:t>has</w:t>
      </w:r>
      <w:r>
        <w:t xml:space="preserve"> </w:t>
      </w:r>
      <w:r w:rsidRPr="004B02DE">
        <w:t>been</w:t>
      </w:r>
      <w:r>
        <w:t xml:space="preserve"> </w:t>
      </w:r>
      <w:r w:rsidRPr="004B02DE">
        <w:t>made</w:t>
      </w:r>
      <w:r>
        <w:t xml:space="preserve"> </w:t>
      </w:r>
      <w:r w:rsidRPr="004B02DE">
        <w:t>and</w:t>
      </w:r>
      <w:r>
        <w:t xml:space="preserve"> </w:t>
      </w:r>
      <w:r w:rsidRPr="004B02DE">
        <w:t>ensure</w:t>
      </w:r>
      <w:r>
        <w:t xml:space="preserve"> </w:t>
      </w:r>
      <w:r w:rsidRPr="00A62D44">
        <w:t>the</w:t>
      </w:r>
      <w:r>
        <w:t xml:space="preserve"> </w:t>
      </w:r>
      <w:r w:rsidRPr="00A62D44">
        <w:t>foundations</w:t>
      </w:r>
      <w:r>
        <w:t xml:space="preserve"> </w:t>
      </w:r>
      <w:r w:rsidRPr="00A62D44">
        <w:t>are</w:t>
      </w:r>
      <w:r>
        <w:t xml:space="preserve"> </w:t>
      </w:r>
      <w:r w:rsidRPr="004B02DE">
        <w:t>robust</w:t>
      </w:r>
      <w:r>
        <w:t xml:space="preserve"> </w:t>
      </w:r>
      <w:r w:rsidRPr="004B02DE">
        <w:t>enough</w:t>
      </w:r>
      <w:r>
        <w:t xml:space="preserve"> </w:t>
      </w:r>
      <w:r w:rsidRPr="004B02DE">
        <w:t>to</w:t>
      </w:r>
      <w:r>
        <w:t xml:space="preserve"> </w:t>
      </w:r>
      <w:r w:rsidRPr="004B02DE">
        <w:t>drive</w:t>
      </w:r>
      <w:r>
        <w:t xml:space="preserve"> </w:t>
      </w:r>
      <w:r w:rsidRPr="004B02DE">
        <w:t>and</w:t>
      </w:r>
      <w:r>
        <w:t xml:space="preserve"> </w:t>
      </w:r>
      <w:r w:rsidRPr="004B02DE">
        <w:t>sustain</w:t>
      </w:r>
      <w:r>
        <w:t xml:space="preserve"> </w:t>
      </w:r>
      <w:r w:rsidRPr="004B02DE">
        <w:t>long-term</w:t>
      </w:r>
      <w:r>
        <w:t xml:space="preserve"> </w:t>
      </w:r>
      <w:r w:rsidRPr="004B02DE">
        <w:t>change.</w:t>
      </w:r>
      <w:r>
        <w:t xml:space="preserve"> </w:t>
      </w:r>
      <w:r w:rsidRPr="0071774C">
        <w:t>As</w:t>
      </w:r>
      <w:r>
        <w:t xml:space="preserve"> </w:t>
      </w:r>
      <w:r w:rsidRPr="0071774C">
        <w:t>a</w:t>
      </w:r>
      <w:r>
        <w:t xml:space="preserve"> </w:t>
      </w:r>
      <w:r w:rsidRPr="0071774C">
        <w:t>matter</w:t>
      </w:r>
      <w:r>
        <w:t xml:space="preserve"> </w:t>
      </w:r>
      <w:r w:rsidRPr="0071774C">
        <w:t>of</w:t>
      </w:r>
      <w:r>
        <w:t xml:space="preserve"> </w:t>
      </w:r>
      <w:r w:rsidRPr="0071774C">
        <w:t>urgency,</w:t>
      </w:r>
      <w:r>
        <w:t xml:space="preserve"> </w:t>
      </w:r>
      <w:r w:rsidRPr="0071774C">
        <w:t>primary</w:t>
      </w:r>
      <w:r>
        <w:t xml:space="preserve"> </w:t>
      </w:r>
      <w:r w:rsidRPr="0071774C">
        <w:t>prevention</w:t>
      </w:r>
      <w:r>
        <w:t xml:space="preserve"> </w:t>
      </w:r>
      <w:r w:rsidRPr="0071774C">
        <w:t>foundation</w:t>
      </w:r>
      <w:r>
        <w:t xml:space="preserve"> </w:t>
      </w:r>
      <w:r w:rsidRPr="0071774C">
        <w:t>development</w:t>
      </w:r>
      <w:r>
        <w:t xml:space="preserve"> </w:t>
      </w:r>
      <w:r w:rsidRPr="0071774C">
        <w:t>must</w:t>
      </w:r>
      <w:r>
        <w:t xml:space="preserve"> </w:t>
      </w:r>
      <w:r w:rsidRPr="0071774C">
        <w:t>focus</w:t>
      </w:r>
      <w:r>
        <w:t xml:space="preserve"> </w:t>
      </w:r>
      <w:r w:rsidRPr="0071774C">
        <w:t>on</w:t>
      </w:r>
      <w:r>
        <w:t xml:space="preserve"> </w:t>
      </w:r>
      <w:r w:rsidRPr="0071774C">
        <w:t>embedding</w:t>
      </w:r>
      <w:r>
        <w:t xml:space="preserve"> </w:t>
      </w:r>
      <w:r w:rsidRPr="0071774C">
        <w:t>an</w:t>
      </w:r>
      <w:r>
        <w:t xml:space="preserve"> </w:t>
      </w:r>
      <w:r w:rsidRPr="0071774C">
        <w:t>intersectional</w:t>
      </w:r>
      <w:r>
        <w:t xml:space="preserve"> </w:t>
      </w:r>
      <w:r w:rsidRPr="0071774C">
        <w:t>approach</w:t>
      </w:r>
      <w:r w:rsidR="00CE2BC0">
        <w:t xml:space="preserve">, </w:t>
      </w:r>
      <w:r w:rsidR="004D0AEA">
        <w:t xml:space="preserve">to ensure </w:t>
      </w:r>
      <w:r w:rsidR="00CE2BC0">
        <w:t xml:space="preserve">primary prevention </w:t>
      </w:r>
      <w:r w:rsidR="00B911DA">
        <w:t>benefits all women</w:t>
      </w:r>
      <w:r w:rsidRPr="0071774C">
        <w:t>.</w:t>
      </w:r>
      <w:r>
        <w:t xml:space="preserve"> Following this, infrastructure building s</w:t>
      </w:r>
      <w:r w:rsidRPr="0071774C">
        <w:t>hould</w:t>
      </w:r>
      <w:r>
        <w:t xml:space="preserve"> </w:t>
      </w:r>
      <w:r w:rsidRPr="0071774C">
        <w:t>focus</w:t>
      </w:r>
      <w:r>
        <w:t xml:space="preserve"> </w:t>
      </w:r>
      <w:r w:rsidRPr="0071774C">
        <w:t>on</w:t>
      </w:r>
      <w:r>
        <w:t xml:space="preserve"> </w:t>
      </w:r>
      <w:r w:rsidRPr="0071774C">
        <w:t>identifying</w:t>
      </w:r>
      <w:r>
        <w:t xml:space="preserve"> </w:t>
      </w:r>
      <w:r w:rsidRPr="0071774C">
        <w:t>and</w:t>
      </w:r>
      <w:r>
        <w:t xml:space="preserve"> </w:t>
      </w:r>
      <w:r w:rsidRPr="0071774C">
        <w:t>addressing</w:t>
      </w:r>
      <w:r>
        <w:t xml:space="preserve"> </w:t>
      </w:r>
      <w:r w:rsidRPr="0071774C">
        <w:t>dependencies</w:t>
      </w:r>
      <w:r>
        <w:t xml:space="preserve"> </w:t>
      </w:r>
      <w:r w:rsidRPr="0071774C">
        <w:t>and</w:t>
      </w:r>
      <w:r>
        <w:t xml:space="preserve"> </w:t>
      </w:r>
      <w:r w:rsidRPr="0071774C">
        <w:t>sequencing</w:t>
      </w:r>
      <w:r>
        <w:t xml:space="preserve"> </w:t>
      </w:r>
      <w:r w:rsidR="7A837504">
        <w:t>and promoting a</w:t>
      </w:r>
      <w:r w:rsidR="00AA7570">
        <w:t> </w:t>
      </w:r>
      <w:r w:rsidR="4F08FDBA">
        <w:t>multifac</w:t>
      </w:r>
      <w:r w:rsidR="13310FBE">
        <w:t>e</w:t>
      </w:r>
      <w:r w:rsidR="4F08FDBA">
        <w:t>ted</w:t>
      </w:r>
      <w:r w:rsidR="7A837504">
        <w:t xml:space="preserve"> approach</w:t>
      </w:r>
      <w:r>
        <w:t xml:space="preserve"> </w:t>
      </w:r>
      <w:r w:rsidRPr="0071774C">
        <w:t>in</w:t>
      </w:r>
      <w:r>
        <w:t xml:space="preserve"> </w:t>
      </w:r>
      <w:r w:rsidRPr="0071774C">
        <w:t>order</w:t>
      </w:r>
      <w:r>
        <w:t xml:space="preserve"> </w:t>
      </w:r>
      <w:r w:rsidRPr="0071774C">
        <w:t>to</w:t>
      </w:r>
      <w:r>
        <w:t xml:space="preserve"> </w:t>
      </w:r>
      <w:r w:rsidRPr="0071774C">
        <w:t>ensure</w:t>
      </w:r>
      <w:r>
        <w:t xml:space="preserve"> </w:t>
      </w:r>
      <w:r w:rsidRPr="0071774C">
        <w:t>efficacy</w:t>
      </w:r>
      <w:r>
        <w:t xml:space="preserve"> </w:t>
      </w:r>
      <w:r w:rsidRPr="0071774C">
        <w:t>and</w:t>
      </w:r>
      <w:r>
        <w:t xml:space="preserve"> </w:t>
      </w:r>
      <w:r w:rsidRPr="0071774C">
        <w:t>long-term</w:t>
      </w:r>
      <w:r>
        <w:t xml:space="preserve"> </w:t>
      </w:r>
      <w:r w:rsidRPr="0071774C">
        <w:t>transformation.</w:t>
      </w:r>
    </w:p>
    <w:p w14:paraId="24B4595D" w14:textId="2B3C0AB9" w:rsidR="002C2EC7" w:rsidRDefault="00B911DA" w:rsidP="00790783">
      <w:pPr>
        <w:pStyle w:val="BodyText"/>
      </w:pPr>
      <w:r>
        <w:t>U</w:t>
      </w:r>
      <w:r w:rsidR="002C2EC7" w:rsidRPr="0071774C">
        <w:t>nderstanding</w:t>
      </w:r>
      <w:r w:rsidR="002C2EC7">
        <w:t xml:space="preserve"> </w:t>
      </w:r>
      <w:r w:rsidR="002C2EC7" w:rsidRPr="0071774C">
        <w:t>and</w:t>
      </w:r>
      <w:r w:rsidR="002C2EC7">
        <w:t xml:space="preserve"> </w:t>
      </w:r>
      <w:r w:rsidR="002C2EC7" w:rsidRPr="0071774C">
        <w:t>measuring</w:t>
      </w:r>
      <w:r w:rsidR="002C2EC7">
        <w:t xml:space="preserve"> </w:t>
      </w:r>
      <w:r w:rsidR="002C2EC7" w:rsidRPr="0071774C">
        <w:t>progress</w:t>
      </w:r>
      <w:r w:rsidR="002C2EC7">
        <w:t xml:space="preserve"> </w:t>
      </w:r>
      <w:r w:rsidR="002C2EC7" w:rsidRPr="0071774C">
        <w:t>in</w:t>
      </w:r>
      <w:r w:rsidR="00ED696B">
        <w:t xml:space="preserve"> </w:t>
      </w:r>
      <w:r w:rsidR="002C2EC7" w:rsidRPr="0071774C">
        <w:t>the</w:t>
      </w:r>
      <w:r w:rsidR="002C2EC7">
        <w:t xml:space="preserve"> </w:t>
      </w:r>
      <w:r w:rsidR="002C2EC7" w:rsidRPr="0071774C">
        <w:t>development</w:t>
      </w:r>
      <w:r w:rsidR="002C2EC7">
        <w:t xml:space="preserve"> </w:t>
      </w:r>
      <w:r w:rsidR="002C2EC7" w:rsidRPr="0071774C">
        <w:t>of,</w:t>
      </w:r>
      <w:r w:rsidR="002C2EC7">
        <w:t xml:space="preserve"> </w:t>
      </w:r>
      <w:r w:rsidR="002C2EC7" w:rsidRPr="0071774C">
        <w:t>and</w:t>
      </w:r>
      <w:r w:rsidR="002C2EC7">
        <w:t xml:space="preserve"> </w:t>
      </w:r>
      <w:r w:rsidR="002C2EC7" w:rsidRPr="0071774C">
        <w:t>investment</w:t>
      </w:r>
      <w:r w:rsidR="002C2EC7">
        <w:t xml:space="preserve"> </w:t>
      </w:r>
      <w:r w:rsidR="002C2EC7" w:rsidRPr="0071774C">
        <w:t>in,</w:t>
      </w:r>
      <w:r w:rsidR="002C2EC7">
        <w:t xml:space="preserve"> </w:t>
      </w:r>
      <w:r w:rsidR="002C2EC7" w:rsidRPr="0071774C">
        <w:t>prevention</w:t>
      </w:r>
      <w:r w:rsidR="002C2EC7">
        <w:t xml:space="preserve"> </w:t>
      </w:r>
      <w:r w:rsidR="002C2EC7" w:rsidRPr="0071774C">
        <w:t>infrastructure</w:t>
      </w:r>
      <w:r w:rsidR="002C2EC7">
        <w:t xml:space="preserve"> </w:t>
      </w:r>
      <w:r w:rsidR="002C2EC7" w:rsidRPr="0071774C">
        <w:t>and</w:t>
      </w:r>
      <w:r w:rsidR="002C2EC7">
        <w:t xml:space="preserve"> </w:t>
      </w:r>
      <w:r w:rsidR="002C2EC7" w:rsidRPr="0071774C">
        <w:t>programming</w:t>
      </w:r>
      <w:r w:rsidR="002C2EC7">
        <w:t xml:space="preserve"> </w:t>
      </w:r>
      <w:r w:rsidR="002C2EC7" w:rsidRPr="0071774C">
        <w:t>is</w:t>
      </w:r>
      <w:r w:rsidR="002C2EC7">
        <w:t xml:space="preserve"> </w:t>
      </w:r>
      <w:r w:rsidR="002C2EC7" w:rsidRPr="0071774C">
        <w:t>a</w:t>
      </w:r>
      <w:r w:rsidR="002C2EC7">
        <w:t xml:space="preserve"> </w:t>
      </w:r>
      <w:r w:rsidR="002C2EC7" w:rsidRPr="0071774C">
        <w:t>critically</w:t>
      </w:r>
      <w:r w:rsidR="002C2EC7">
        <w:t xml:space="preserve"> </w:t>
      </w:r>
      <w:r w:rsidR="002C2EC7" w:rsidRPr="0071774C">
        <w:t>important</w:t>
      </w:r>
      <w:r w:rsidR="002C2EC7">
        <w:t xml:space="preserve"> </w:t>
      </w:r>
      <w:r w:rsidR="002C2EC7" w:rsidRPr="0071774C">
        <w:t>piece</w:t>
      </w:r>
      <w:r w:rsidR="002C2EC7">
        <w:t xml:space="preserve"> </w:t>
      </w:r>
      <w:r w:rsidR="002C2EC7" w:rsidRPr="0071774C">
        <w:t>of</w:t>
      </w:r>
      <w:r w:rsidR="002C2EC7">
        <w:t xml:space="preserve"> </w:t>
      </w:r>
      <w:r w:rsidR="002C2EC7" w:rsidRPr="0071774C">
        <w:t>the</w:t>
      </w:r>
      <w:r w:rsidR="002C2EC7">
        <w:t xml:space="preserve"> </w:t>
      </w:r>
      <w:r w:rsidR="002C2EC7" w:rsidRPr="0071774C">
        <w:t>puzzle</w:t>
      </w:r>
      <w:r w:rsidR="002C2EC7">
        <w:t xml:space="preserve"> </w:t>
      </w:r>
      <w:r w:rsidR="002C2EC7" w:rsidRPr="0071774C">
        <w:t>that</w:t>
      </w:r>
      <w:r w:rsidR="00ED696B">
        <w:t> </w:t>
      </w:r>
      <w:r w:rsidR="002C2EC7" w:rsidRPr="0071774C">
        <w:t>tells</w:t>
      </w:r>
      <w:r w:rsidR="002C2EC7">
        <w:t xml:space="preserve"> us </w:t>
      </w:r>
      <w:r w:rsidR="002C2EC7" w:rsidRPr="0071774C">
        <w:t>whether</w:t>
      </w:r>
      <w:r w:rsidR="002C2EC7">
        <w:t xml:space="preserve"> </w:t>
      </w:r>
      <w:r w:rsidR="002C2EC7" w:rsidRPr="0071774C">
        <w:t>Australia</w:t>
      </w:r>
      <w:r w:rsidR="002C2EC7">
        <w:t xml:space="preserve"> </w:t>
      </w:r>
      <w:r w:rsidR="002C2EC7" w:rsidRPr="0071774C">
        <w:t>is</w:t>
      </w:r>
      <w:r w:rsidR="002C2EC7">
        <w:t xml:space="preserve"> </w:t>
      </w:r>
      <w:r w:rsidR="002C2EC7" w:rsidRPr="0071774C">
        <w:t>heading</w:t>
      </w:r>
      <w:r w:rsidR="002C2EC7">
        <w:t xml:space="preserve"> </w:t>
      </w:r>
      <w:r w:rsidR="002C2EC7" w:rsidRPr="0071774C">
        <w:t>in</w:t>
      </w:r>
      <w:r w:rsidR="002C2EC7">
        <w:t xml:space="preserve"> </w:t>
      </w:r>
      <w:r w:rsidR="002C2EC7" w:rsidRPr="0071774C">
        <w:t>the</w:t>
      </w:r>
      <w:r w:rsidR="002C2EC7">
        <w:t xml:space="preserve"> </w:t>
      </w:r>
      <w:r w:rsidR="002C2EC7" w:rsidRPr="0071774C">
        <w:t>right</w:t>
      </w:r>
      <w:r w:rsidR="002C2EC7">
        <w:t xml:space="preserve"> </w:t>
      </w:r>
      <w:r w:rsidR="002C2EC7" w:rsidRPr="0071774C">
        <w:t>direction</w:t>
      </w:r>
      <w:r w:rsidR="002C2EC7">
        <w:t xml:space="preserve"> </w:t>
      </w:r>
      <w:r w:rsidR="002C2EC7" w:rsidRPr="0071774C">
        <w:t>to</w:t>
      </w:r>
      <w:r w:rsidR="002C2EC7">
        <w:t xml:space="preserve"> </w:t>
      </w:r>
      <w:r w:rsidR="002C2EC7" w:rsidRPr="0071774C">
        <w:t>ultimately</w:t>
      </w:r>
      <w:r w:rsidR="002C2EC7">
        <w:t xml:space="preserve"> </w:t>
      </w:r>
      <w:r w:rsidR="002C2EC7" w:rsidRPr="0071774C">
        <w:t>reduce</w:t>
      </w:r>
      <w:r w:rsidR="002C2EC7">
        <w:t xml:space="preserve"> the </w:t>
      </w:r>
      <w:r w:rsidR="002C2EC7" w:rsidRPr="0071774C">
        <w:t>prevalence</w:t>
      </w:r>
      <w:r w:rsidR="002C2EC7">
        <w:t xml:space="preserve"> </w:t>
      </w:r>
      <w:r w:rsidR="002C2EC7" w:rsidRPr="0071774C">
        <w:t>of</w:t>
      </w:r>
      <w:r w:rsidR="002C2EC7">
        <w:t xml:space="preserve"> </w:t>
      </w:r>
      <w:r w:rsidR="002C2EC7" w:rsidRPr="0071774C">
        <w:t>violence</w:t>
      </w:r>
      <w:r w:rsidR="002C2EC7">
        <w:t xml:space="preserve"> </w:t>
      </w:r>
      <w:r w:rsidR="002C2EC7" w:rsidRPr="0071774C">
        <w:t>against</w:t>
      </w:r>
      <w:r w:rsidR="002C2EC7">
        <w:t xml:space="preserve"> </w:t>
      </w:r>
      <w:r w:rsidR="002C2EC7" w:rsidRPr="0071774C">
        <w:t>women.</w:t>
      </w:r>
      <w:r w:rsidR="002C2EC7">
        <w:t xml:space="preserve"> </w:t>
      </w:r>
      <w:r w:rsidR="002C2EC7" w:rsidRPr="0071774C">
        <w:t>The</w:t>
      </w:r>
      <w:r w:rsidR="002C2EC7">
        <w:t xml:space="preserve"> </w:t>
      </w:r>
      <w:r w:rsidR="002C2EC7" w:rsidRPr="0071774C">
        <w:t>findings</w:t>
      </w:r>
      <w:r w:rsidR="002C2EC7">
        <w:t xml:space="preserve"> </w:t>
      </w:r>
      <w:r>
        <w:t>discussed above provide</w:t>
      </w:r>
      <w:r w:rsidR="002C2EC7">
        <w:t xml:space="preserve"> </w:t>
      </w:r>
      <w:r w:rsidR="002C2EC7" w:rsidRPr="0071774C">
        <w:t>important</w:t>
      </w:r>
      <w:r w:rsidR="002C2EC7">
        <w:t xml:space="preserve"> </w:t>
      </w:r>
      <w:r w:rsidR="002C2EC7" w:rsidRPr="0071774C">
        <w:t>context</w:t>
      </w:r>
      <w:r w:rsidR="002C2EC7">
        <w:t xml:space="preserve"> </w:t>
      </w:r>
      <w:r w:rsidR="002C2EC7" w:rsidRPr="0071774C">
        <w:t>for</w:t>
      </w:r>
      <w:r w:rsidR="002C2EC7">
        <w:t xml:space="preserve"> </w:t>
      </w:r>
      <w:r w:rsidR="002C2EC7" w:rsidRPr="0071774C">
        <w:t>understanding</w:t>
      </w:r>
      <w:r w:rsidR="002C2EC7">
        <w:t xml:space="preserve"> </w:t>
      </w:r>
      <w:r w:rsidR="002C2EC7" w:rsidRPr="0071774C">
        <w:t>how</w:t>
      </w:r>
      <w:r w:rsidR="002C2EC7">
        <w:t xml:space="preserve"> </w:t>
      </w:r>
      <w:r w:rsidR="002C2EC7" w:rsidRPr="0071774C">
        <w:t>and</w:t>
      </w:r>
      <w:r w:rsidR="002C2EC7">
        <w:t xml:space="preserve"> </w:t>
      </w:r>
      <w:r w:rsidR="002C2EC7" w:rsidRPr="0071774C">
        <w:t>where</w:t>
      </w:r>
      <w:r w:rsidR="002C2EC7">
        <w:t xml:space="preserve"> </w:t>
      </w:r>
      <w:r w:rsidR="002C2EC7" w:rsidRPr="0071774C">
        <w:t>our</w:t>
      </w:r>
      <w:r w:rsidR="002C2EC7">
        <w:t xml:space="preserve"> </w:t>
      </w:r>
      <w:r w:rsidR="002C2EC7" w:rsidRPr="0071774C">
        <w:t>foundational</w:t>
      </w:r>
      <w:r w:rsidR="002C2EC7">
        <w:t xml:space="preserve"> </w:t>
      </w:r>
      <w:r w:rsidR="002C2EC7" w:rsidRPr="0071774C">
        <w:t>efforts</w:t>
      </w:r>
      <w:r w:rsidR="002C2EC7">
        <w:t xml:space="preserve"> </w:t>
      </w:r>
      <w:r w:rsidR="002C2EC7" w:rsidRPr="0071774C">
        <w:t>are</w:t>
      </w:r>
      <w:r w:rsidR="002C2EC7">
        <w:t xml:space="preserve"> </w:t>
      </w:r>
      <w:r w:rsidR="002C2EC7" w:rsidRPr="0071774C">
        <w:t>supporting</w:t>
      </w:r>
      <w:r w:rsidR="002C2EC7">
        <w:t xml:space="preserve"> </w:t>
      </w:r>
      <w:r w:rsidR="002C2EC7" w:rsidRPr="0071774C">
        <w:t>medium-</w:t>
      </w:r>
      <w:r w:rsidR="002C2EC7">
        <w:t xml:space="preserve"> </w:t>
      </w:r>
      <w:r w:rsidR="002C2EC7" w:rsidRPr="0071774C">
        <w:t>and</w:t>
      </w:r>
      <w:r w:rsidR="002C2EC7">
        <w:t xml:space="preserve"> </w:t>
      </w:r>
      <w:r w:rsidR="002C2EC7" w:rsidRPr="0071774C">
        <w:t>long-term</w:t>
      </w:r>
      <w:r w:rsidR="002C2EC7">
        <w:t xml:space="preserve"> </w:t>
      </w:r>
      <w:r w:rsidR="002C2EC7" w:rsidRPr="0071774C">
        <w:t>change</w:t>
      </w:r>
      <w:r w:rsidR="002C2EC7">
        <w:t xml:space="preserve"> </w:t>
      </w:r>
      <w:r w:rsidR="002C2EC7" w:rsidRPr="0071774C">
        <w:t>to</w:t>
      </w:r>
      <w:r w:rsidR="002C2EC7">
        <w:t xml:space="preserve"> </w:t>
      </w:r>
      <w:r w:rsidR="002C2EC7" w:rsidRPr="0071774C">
        <w:t>prevent</w:t>
      </w:r>
      <w:r w:rsidR="002C2EC7">
        <w:t xml:space="preserve"> </w:t>
      </w:r>
      <w:r w:rsidR="002C2EC7" w:rsidRPr="0071774C">
        <w:t>violence</w:t>
      </w:r>
      <w:r w:rsidR="002C2EC7">
        <w:t xml:space="preserve"> </w:t>
      </w:r>
      <w:r w:rsidR="002C2EC7" w:rsidRPr="0071774C">
        <w:t>against</w:t>
      </w:r>
      <w:r w:rsidR="002C2EC7">
        <w:t xml:space="preserve"> </w:t>
      </w:r>
      <w:r w:rsidR="002C2EC7" w:rsidRPr="0071774C">
        <w:t>women.</w:t>
      </w:r>
      <w:r w:rsidR="002C2EC7">
        <w:t xml:space="preserve"> </w:t>
      </w:r>
      <w:r w:rsidR="002C2EC7" w:rsidRPr="0071774C">
        <w:t>An</w:t>
      </w:r>
      <w:r w:rsidR="002C2EC7">
        <w:t xml:space="preserve"> </w:t>
      </w:r>
      <w:r w:rsidR="002C2EC7" w:rsidRPr="0071774C">
        <w:t>assessment</w:t>
      </w:r>
      <w:r w:rsidR="002C2EC7">
        <w:t xml:space="preserve"> </w:t>
      </w:r>
      <w:r w:rsidR="002C2EC7" w:rsidRPr="0071774C">
        <w:t>of</w:t>
      </w:r>
      <w:r w:rsidR="002C2EC7">
        <w:t xml:space="preserve"> </w:t>
      </w:r>
      <w:r w:rsidR="002C2EC7" w:rsidRPr="0071774C">
        <w:t>progress</w:t>
      </w:r>
      <w:r w:rsidR="002C2EC7">
        <w:t xml:space="preserve"> </w:t>
      </w:r>
      <w:r w:rsidR="002C2EC7" w:rsidRPr="0071774C">
        <w:t>against</w:t>
      </w:r>
      <w:r w:rsidR="002C2EC7">
        <w:t xml:space="preserve"> </w:t>
      </w:r>
      <w:r w:rsidR="002C2EC7" w:rsidRPr="0071774C">
        <w:t>medium</w:t>
      </w:r>
      <w:r w:rsidR="002C2EC7">
        <w:t xml:space="preserve">- </w:t>
      </w:r>
      <w:r w:rsidR="002C2EC7" w:rsidRPr="0071774C">
        <w:t>to</w:t>
      </w:r>
      <w:r w:rsidR="002C2EC7">
        <w:t xml:space="preserve"> </w:t>
      </w:r>
      <w:r w:rsidR="002C2EC7" w:rsidRPr="0071774C">
        <w:t>long-term</w:t>
      </w:r>
      <w:r w:rsidR="002C2EC7">
        <w:t xml:space="preserve"> </w:t>
      </w:r>
      <w:r w:rsidR="002C2EC7" w:rsidRPr="0071774C">
        <w:t>change</w:t>
      </w:r>
      <w:r w:rsidR="002C2EC7">
        <w:t xml:space="preserve"> </w:t>
      </w:r>
      <w:r w:rsidR="002C2EC7" w:rsidRPr="0071774C">
        <w:t>measures</w:t>
      </w:r>
      <w:r w:rsidR="002C2EC7">
        <w:t xml:space="preserve"> </w:t>
      </w:r>
      <w:r w:rsidR="002C2EC7" w:rsidRPr="0071774C">
        <w:t>is</w:t>
      </w:r>
      <w:r w:rsidR="002C2EC7">
        <w:t xml:space="preserve"> </w:t>
      </w:r>
      <w:r w:rsidR="002C2EC7" w:rsidRPr="0071774C">
        <w:t>the</w:t>
      </w:r>
      <w:r w:rsidR="002C2EC7">
        <w:t xml:space="preserve"> </w:t>
      </w:r>
      <w:r w:rsidR="002C2EC7" w:rsidRPr="0071774C">
        <w:t>focus</w:t>
      </w:r>
      <w:r w:rsidR="002C2EC7">
        <w:t xml:space="preserve"> </w:t>
      </w:r>
      <w:r w:rsidR="002C2EC7" w:rsidRPr="0071774C">
        <w:t>of</w:t>
      </w:r>
      <w:r w:rsidR="002C2EC7">
        <w:t xml:space="preserve"> </w:t>
      </w:r>
      <w:r w:rsidR="0044154C">
        <w:t>S</w:t>
      </w:r>
      <w:r w:rsidR="002C2EC7" w:rsidRPr="0071774C">
        <w:t>ection</w:t>
      </w:r>
      <w:r w:rsidR="002C2EC7">
        <w:t xml:space="preserve"> </w:t>
      </w:r>
      <w:r w:rsidR="0044154C">
        <w:t>2</w:t>
      </w:r>
      <w:r w:rsidR="002C2EC7">
        <w:t xml:space="preserve">, </w:t>
      </w:r>
      <w:r w:rsidR="002C2EC7" w:rsidRPr="0071774C">
        <w:t>below.</w:t>
      </w:r>
    </w:p>
    <w:p w14:paraId="11F84AF5" w14:textId="77777777" w:rsidR="002C2EC7" w:rsidRPr="002C2EC7" w:rsidRDefault="002C2EC7" w:rsidP="002C2EC7">
      <w:pPr>
        <w:pStyle w:val="BodyText"/>
      </w:pPr>
    </w:p>
    <w:p w14:paraId="3AE47BCD" w14:textId="62A29343" w:rsidR="002C2EC7" w:rsidRPr="002C2EC7" w:rsidRDefault="002C2EC7" w:rsidP="002C2EC7">
      <w:pPr>
        <w:pStyle w:val="BodyText"/>
        <w:sectPr w:rsidR="002C2EC7" w:rsidRPr="002C2EC7" w:rsidSect="008F2074">
          <w:footerReference w:type="default" r:id="rId35"/>
          <w:footnotePr>
            <w:numFmt w:val="lowerRoman"/>
          </w:footnotePr>
          <w:endnotePr>
            <w:numFmt w:val="decimal"/>
          </w:endnotePr>
          <w:pgSz w:w="11906" w:h="16838" w:code="9"/>
          <w:pgMar w:top="1418" w:right="1418" w:bottom="1418" w:left="1418" w:header="454" w:footer="454" w:gutter="0"/>
          <w:pgNumType w:start="1"/>
          <w:cols w:space="720"/>
          <w:noEndnote/>
        </w:sectPr>
      </w:pPr>
    </w:p>
    <w:p w14:paraId="4DA462B7" w14:textId="6F656302" w:rsidR="00514CC0" w:rsidRDefault="000A5ACD" w:rsidP="00666065">
      <w:pPr>
        <w:pStyle w:val="Heading2"/>
        <w:rPr>
          <w:rStyle w:val="OWCharacterTeal"/>
        </w:rPr>
      </w:pPr>
      <w:bookmarkStart w:id="73" w:name="_Toc55053311"/>
      <w:r>
        <w:rPr>
          <w:noProof/>
          <w:color w:val="00688C"/>
          <w:shd w:val="clear" w:color="auto" w:fill="E6E6E6"/>
          <w:lang w:val="en-US" w:eastAsia="en-US"/>
        </w:rPr>
        <w:lastRenderedPageBreak/>
        <w:drawing>
          <wp:anchor distT="0" distB="0" distL="114300" distR="114300" simplePos="0" relativeHeight="251658240" behindDoc="1" locked="1" layoutInCell="1" allowOverlap="1" wp14:anchorId="315A9935" wp14:editId="3C1B0FC9">
            <wp:simplePos x="900113" y="1219200"/>
            <wp:positionH relativeFrom="page">
              <wp:align>left</wp:align>
            </wp:positionH>
            <wp:positionV relativeFrom="page">
              <wp:align>top</wp:align>
            </wp:positionV>
            <wp:extent cx="7563600" cy="9726120"/>
            <wp:effectExtent l="0" t="0" r="0" b="8890"/>
            <wp:wrapNone/>
            <wp:docPr id="34" name="Picture 3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ection start teal.png"/>
                    <pic:cNvPicPr/>
                  </pic:nvPicPr>
                  <pic:blipFill>
                    <a:blip r:embed="rId36"/>
                    <a:stretch>
                      <a:fillRect/>
                    </a:stretch>
                  </pic:blipFill>
                  <pic:spPr>
                    <a:xfrm>
                      <a:off x="0" y="0"/>
                      <a:ext cx="7563600" cy="9726120"/>
                    </a:xfrm>
                    <a:prstGeom prst="rect">
                      <a:avLst/>
                    </a:prstGeom>
                  </pic:spPr>
                </pic:pic>
              </a:graphicData>
            </a:graphic>
            <wp14:sizeRelH relativeFrom="margin">
              <wp14:pctWidth>0</wp14:pctWidth>
            </wp14:sizeRelH>
            <wp14:sizeRelV relativeFrom="margin">
              <wp14:pctHeight>0</wp14:pctHeight>
            </wp14:sizeRelV>
          </wp:anchor>
        </w:drawing>
      </w:r>
      <w:r w:rsidR="003F4F30">
        <w:rPr>
          <w:rStyle w:val="OWCharacterTeal"/>
        </w:rPr>
        <w:t xml:space="preserve">Section 2 Part A: </w:t>
      </w:r>
      <w:r w:rsidR="00E72B49" w:rsidRPr="00D57483">
        <w:rPr>
          <w:rStyle w:val="OWCharacterTeal"/>
        </w:rPr>
        <w:t>Medium- to</w:t>
      </w:r>
      <w:r w:rsidR="003F4F30">
        <w:rPr>
          <w:rStyle w:val="OWCharacterTeal"/>
        </w:rPr>
        <w:br/>
      </w:r>
      <w:r w:rsidR="00E72B49" w:rsidRPr="00D57483">
        <w:rPr>
          <w:rStyle w:val="OWCharacterTeal"/>
        </w:rPr>
        <w:t>long-term outcomes: Change to the gendered drivers, intersecting</w:t>
      </w:r>
      <w:r w:rsidR="00666065" w:rsidRPr="00D57483">
        <w:rPr>
          <w:rStyle w:val="OWCharacterTeal"/>
        </w:rPr>
        <w:t xml:space="preserve"> </w:t>
      </w:r>
      <w:r w:rsidR="00E72B49" w:rsidRPr="00D57483">
        <w:rPr>
          <w:rStyle w:val="OWCharacterTeal"/>
        </w:rPr>
        <w:t>drivers and</w:t>
      </w:r>
      <w:r w:rsidR="00666065" w:rsidRPr="00D57483">
        <w:rPr>
          <w:rStyle w:val="OWCharacterTeal"/>
        </w:rPr>
        <w:t xml:space="preserve"> </w:t>
      </w:r>
      <w:r w:rsidR="00E72B49" w:rsidRPr="00D57483">
        <w:rPr>
          <w:rStyle w:val="OWCharacterTeal"/>
        </w:rPr>
        <w:t>reinforcing factors</w:t>
      </w:r>
      <w:bookmarkEnd w:id="73"/>
    </w:p>
    <w:p w14:paraId="770DD1DC" w14:textId="77777777" w:rsidR="00256C4F" w:rsidRDefault="00230856" w:rsidP="00AA7570">
      <w:pPr>
        <w:pStyle w:val="BodyText"/>
      </w:pPr>
      <w:r>
        <w:t xml:space="preserve">To </w:t>
      </w:r>
      <w:r w:rsidR="006E5E5F">
        <w:t xml:space="preserve">paint a picture </w:t>
      </w:r>
      <w:r w:rsidR="00AE3C69">
        <w:t xml:space="preserve">of progress in the primary prevention of violence against women, this section </w:t>
      </w:r>
      <w:r w:rsidR="00CB577B">
        <w:t>interprets quantitative findings</w:t>
      </w:r>
      <w:r w:rsidR="004A36E8">
        <w:t>, drawing on</w:t>
      </w:r>
      <w:r w:rsidR="00511DAF">
        <w:t xml:space="preserve"> our</w:t>
      </w:r>
      <w:r w:rsidR="00CB577B">
        <w:t xml:space="preserve"> qualitatively generated evidence base for what drives and prevents violence against women.</w:t>
      </w:r>
    </w:p>
    <w:p w14:paraId="38AFACAA" w14:textId="77777777" w:rsidR="00256C4F" w:rsidRDefault="004A36E8" w:rsidP="00AA7570">
      <w:pPr>
        <w:pStyle w:val="BodyText"/>
      </w:pPr>
      <w:r>
        <w:t xml:space="preserve">Section </w:t>
      </w:r>
      <w:r w:rsidR="009F378F">
        <w:t xml:space="preserve">2 Part A </w:t>
      </w:r>
      <w:r w:rsidR="00D310BE">
        <w:t>analyses</w:t>
      </w:r>
      <w:r w:rsidR="00631BF7">
        <w:t xml:space="preserve"> a </w:t>
      </w:r>
      <w:r w:rsidR="009F4D86">
        <w:t xml:space="preserve">wide range of </w:t>
      </w:r>
      <w:r w:rsidR="009F4D86" w:rsidRPr="179F55BC">
        <w:t>primarily population-level, publicly available, quantitative data</w:t>
      </w:r>
      <w:r w:rsidR="00673DCA">
        <w:t>sets</w:t>
      </w:r>
      <w:r w:rsidR="0063369E">
        <w:t xml:space="preserve"> </w:t>
      </w:r>
      <w:r w:rsidR="00233859">
        <w:t>against a sophisticated framework of indicators. These indicators were designed to align with the multiple facets of p</w:t>
      </w:r>
      <w:r w:rsidR="00521782">
        <w:t>opulation-level change we expect to see along the journey to large-scale prevention of violence against women.</w:t>
      </w:r>
    </w:p>
    <w:p w14:paraId="10DD0244" w14:textId="2B215467" w:rsidR="0063369E" w:rsidRDefault="0063369E" w:rsidP="00AA7570">
      <w:pPr>
        <w:pStyle w:val="BodyText"/>
      </w:pPr>
      <w:r>
        <w:t>Each domain begins with a</w:t>
      </w:r>
      <w:r w:rsidR="00C939B8">
        <w:t xml:space="preserve">n outline of the indicators, followed by a description of the domain and a qualitative summary of the findings </w:t>
      </w:r>
      <w:r>
        <w:t>drawn from the</w:t>
      </w:r>
      <w:r w:rsidR="00C427BA">
        <w:t xml:space="preserve"> entire ‘suite’ of </w:t>
      </w:r>
      <w:r>
        <w:t>indicators</w:t>
      </w:r>
      <w:r w:rsidR="009F378F">
        <w:t xml:space="preserve">. </w:t>
      </w:r>
      <w:r w:rsidR="00661427">
        <w:t>A</w:t>
      </w:r>
      <w:r w:rsidR="009F378F">
        <w:t xml:space="preserve"> detailed descriptive </w:t>
      </w:r>
      <w:r w:rsidR="00C72EB6">
        <w:t>analysis of evidence against each individual indicator</w:t>
      </w:r>
      <w:r w:rsidR="009F378F">
        <w:t xml:space="preserve"> is then provided</w:t>
      </w:r>
      <w:r w:rsidR="00C72EB6">
        <w:t>.</w:t>
      </w:r>
    </w:p>
    <w:p w14:paraId="727A50FE" w14:textId="77777777" w:rsidR="00256C4F" w:rsidRPr="00256C4F" w:rsidRDefault="00256C4F" w:rsidP="00256C4F">
      <w:pPr>
        <w:pStyle w:val="BodyText"/>
      </w:pPr>
      <w:r w:rsidRPr="00256C4F">
        <w:br w:type="page"/>
      </w:r>
    </w:p>
    <w:p w14:paraId="366BEE1B" w14:textId="148FFA19" w:rsidR="00514CC0" w:rsidRDefault="00E72B49" w:rsidP="00D374A1">
      <w:pPr>
        <w:pStyle w:val="Heading3"/>
        <w:pageBreakBefore w:val="0"/>
        <w:spacing w:before="300"/>
      </w:pPr>
      <w:bookmarkStart w:id="74" w:name="_Toc55053312"/>
      <w:r>
        <w:lastRenderedPageBreak/>
        <w:t>Gendered driver: Condoning of</w:t>
      </w:r>
      <w:r w:rsidR="005F6004">
        <w:t xml:space="preserve"> </w:t>
      </w:r>
      <w:r>
        <w:t>violence against</w:t>
      </w:r>
      <w:r w:rsidR="005F6004">
        <w:t> </w:t>
      </w:r>
      <w:r>
        <w:t>women</w:t>
      </w:r>
      <w:bookmarkEnd w:id="74"/>
    </w:p>
    <w:p w14:paraId="659A63AA" w14:textId="77777777" w:rsidR="00514CC0" w:rsidRDefault="00E72B49" w:rsidP="0034367F">
      <w:pPr>
        <w:pStyle w:val="Heading4"/>
        <w:spacing w:before="160"/>
      </w:pPr>
      <w:r>
        <w:t>Monitoring domain 1: Condoning of violence against women</w:t>
      </w:r>
    </w:p>
    <w:tbl>
      <w:tblPr>
        <w:tblW w:w="9072" w:type="dxa"/>
        <w:tblLayout w:type="fixed"/>
        <w:tblCellMar>
          <w:left w:w="0" w:type="dxa"/>
          <w:right w:w="0" w:type="dxa"/>
        </w:tblCellMar>
        <w:tblLook w:val="0680" w:firstRow="0" w:lastRow="0" w:firstColumn="1" w:lastColumn="0" w:noHBand="1" w:noVBand="1"/>
      </w:tblPr>
      <w:tblGrid>
        <w:gridCol w:w="1589"/>
        <w:gridCol w:w="7483"/>
      </w:tblGrid>
      <w:tr w:rsidR="00514CC0" w14:paraId="1C823B8A" w14:textId="77777777" w:rsidTr="00440A14">
        <w:trPr>
          <w:trHeight w:val="60"/>
        </w:trPr>
        <w:tc>
          <w:tcPr>
            <w:tcW w:w="1587" w:type="dxa"/>
            <w:tcBorders>
              <w:top w:val="single" w:sz="4" w:space="0" w:color="000000"/>
              <w:left w:val="single" w:sz="4" w:space="0" w:color="000000"/>
              <w:bottom w:val="single" w:sz="4" w:space="0" w:color="000000"/>
              <w:right w:val="single" w:sz="4" w:space="0" w:color="000000"/>
            </w:tcBorders>
            <w:shd w:val="solid" w:color="00688C" w:fill="auto"/>
            <w:tcMar>
              <w:top w:w="0" w:type="dxa"/>
              <w:left w:w="113" w:type="dxa"/>
              <w:bottom w:w="0" w:type="dxa"/>
              <w:right w:w="113" w:type="dxa"/>
            </w:tcMar>
          </w:tcPr>
          <w:p w14:paraId="6EEE5323" w14:textId="77777777" w:rsidR="00514CC0" w:rsidRDefault="00E72B49">
            <w:pPr>
              <w:pStyle w:val="OWTablebodyleftwhite"/>
            </w:pPr>
            <w:r>
              <w:t>Indicator 1.1</w:t>
            </w:r>
          </w:p>
        </w:tc>
        <w:tc>
          <w:tcPr>
            <w:tcW w:w="7474" w:type="dxa"/>
            <w:tcBorders>
              <w:top w:val="single" w:sz="4" w:space="0" w:color="000000"/>
              <w:left w:val="single" w:sz="4" w:space="0" w:color="000000"/>
              <w:bottom w:val="single" w:sz="4" w:space="0" w:color="000000"/>
              <w:right w:val="single" w:sz="4" w:space="0" w:color="000000"/>
            </w:tcBorders>
            <w:shd w:val="solid" w:color="00688C" w:fill="auto"/>
            <w:tcMar>
              <w:top w:w="0" w:type="dxa"/>
              <w:left w:w="113" w:type="dxa"/>
              <w:bottom w:w="0" w:type="dxa"/>
              <w:right w:w="113" w:type="dxa"/>
            </w:tcMar>
          </w:tcPr>
          <w:p w14:paraId="47F85283" w14:textId="77777777" w:rsidR="00514CC0" w:rsidRDefault="00E72B49">
            <w:pPr>
              <w:pStyle w:val="OWTablebodyleftwhite"/>
            </w:pPr>
            <w:r>
              <w:t>Community attitudes towards violence against women (justifying, excusing, trivialising or minimising violence; blame-shifting and rape myth acceptance)</w:t>
            </w:r>
          </w:p>
        </w:tc>
      </w:tr>
      <w:tr w:rsidR="00514CC0" w14:paraId="59472BFB" w14:textId="77777777" w:rsidTr="00440A14">
        <w:trPr>
          <w:trHeight w:val="60"/>
        </w:trPr>
        <w:tc>
          <w:tcPr>
            <w:tcW w:w="1587" w:type="dxa"/>
            <w:tcBorders>
              <w:top w:val="single" w:sz="4" w:space="0" w:color="000000"/>
              <w:left w:val="single" w:sz="4" w:space="0" w:color="000000"/>
              <w:bottom w:val="single" w:sz="4" w:space="0" w:color="000000"/>
              <w:right w:val="single" w:sz="4" w:space="0" w:color="000000"/>
            </w:tcBorders>
            <w:shd w:val="solid" w:color="00688C" w:fill="auto"/>
            <w:tcMar>
              <w:top w:w="0" w:type="dxa"/>
              <w:left w:w="113" w:type="dxa"/>
              <w:bottom w:w="0" w:type="dxa"/>
              <w:right w:w="113" w:type="dxa"/>
            </w:tcMar>
          </w:tcPr>
          <w:p w14:paraId="4B32EFB4" w14:textId="77777777" w:rsidR="00514CC0" w:rsidRDefault="00E72B49">
            <w:pPr>
              <w:pStyle w:val="OWTablebodyleftwhite"/>
            </w:pPr>
            <w:r>
              <w:t>Indicator 1.2</w:t>
            </w:r>
          </w:p>
        </w:tc>
        <w:tc>
          <w:tcPr>
            <w:tcW w:w="7474" w:type="dxa"/>
            <w:tcBorders>
              <w:top w:val="single" w:sz="4" w:space="0" w:color="000000"/>
              <w:left w:val="single" w:sz="4" w:space="0" w:color="000000"/>
              <w:bottom w:val="single" w:sz="4" w:space="0" w:color="000000"/>
              <w:right w:val="single" w:sz="4" w:space="0" w:color="000000"/>
            </w:tcBorders>
            <w:shd w:val="solid" w:color="00688C" w:fill="auto"/>
            <w:tcMar>
              <w:top w:w="0" w:type="dxa"/>
              <w:left w:w="113" w:type="dxa"/>
              <w:bottom w:w="0" w:type="dxa"/>
              <w:right w:w="113" w:type="dxa"/>
            </w:tcMar>
          </w:tcPr>
          <w:p w14:paraId="7C22ACAC" w14:textId="77777777" w:rsidR="00514CC0" w:rsidRDefault="00E72B49">
            <w:pPr>
              <w:pStyle w:val="OWTablebodyleftwhite"/>
            </w:pPr>
            <w:r>
              <w:t>Community’s (self-reported) willingness to intervene in violence and sexual harassment against women</w:t>
            </w:r>
          </w:p>
        </w:tc>
      </w:tr>
      <w:tr w:rsidR="00514CC0" w14:paraId="10681B9A" w14:textId="77777777" w:rsidTr="00440A14">
        <w:trPr>
          <w:trHeight w:val="60"/>
        </w:trPr>
        <w:tc>
          <w:tcPr>
            <w:tcW w:w="1587" w:type="dxa"/>
            <w:tcBorders>
              <w:top w:val="single" w:sz="4" w:space="0" w:color="000000"/>
              <w:left w:val="single" w:sz="4" w:space="0" w:color="000000"/>
              <w:bottom w:val="single" w:sz="4" w:space="0" w:color="000000"/>
              <w:right w:val="single" w:sz="4" w:space="0" w:color="000000"/>
            </w:tcBorders>
            <w:shd w:val="solid" w:color="00688C" w:fill="auto"/>
            <w:tcMar>
              <w:top w:w="0" w:type="dxa"/>
              <w:left w:w="113" w:type="dxa"/>
              <w:bottom w:w="0" w:type="dxa"/>
              <w:right w:w="113" w:type="dxa"/>
            </w:tcMar>
          </w:tcPr>
          <w:p w14:paraId="1A6F32CC" w14:textId="77777777" w:rsidR="00514CC0" w:rsidRDefault="00E72B49">
            <w:pPr>
              <w:pStyle w:val="OWTablebodyleftwhite"/>
            </w:pPr>
            <w:r>
              <w:t>Indicator 1.3</w:t>
            </w:r>
          </w:p>
        </w:tc>
        <w:tc>
          <w:tcPr>
            <w:tcW w:w="7474" w:type="dxa"/>
            <w:tcBorders>
              <w:top w:val="single" w:sz="4" w:space="0" w:color="000000"/>
              <w:left w:val="single" w:sz="4" w:space="0" w:color="000000"/>
              <w:bottom w:val="single" w:sz="4" w:space="0" w:color="000000"/>
              <w:right w:val="single" w:sz="4" w:space="0" w:color="000000"/>
            </w:tcBorders>
            <w:shd w:val="solid" w:color="00688C" w:fill="auto"/>
            <w:tcMar>
              <w:top w:w="0" w:type="dxa"/>
              <w:left w:w="113" w:type="dxa"/>
              <w:bottom w:w="0" w:type="dxa"/>
              <w:right w:w="113" w:type="dxa"/>
            </w:tcMar>
          </w:tcPr>
          <w:p w14:paraId="36FC8431" w14:textId="77777777" w:rsidR="00514CC0" w:rsidRDefault="00E72B49">
            <w:pPr>
              <w:pStyle w:val="OWTablebodyleftwhite"/>
            </w:pPr>
            <w:r>
              <w:t>Proportion of victims of violence against women who sought help from someone</w:t>
            </w:r>
          </w:p>
        </w:tc>
      </w:tr>
      <w:tr w:rsidR="00514CC0" w14:paraId="01D81CA3" w14:textId="77777777" w:rsidTr="00440A14">
        <w:trPr>
          <w:trHeight w:val="60"/>
        </w:trPr>
        <w:tc>
          <w:tcPr>
            <w:tcW w:w="1587" w:type="dxa"/>
            <w:tcBorders>
              <w:top w:val="single" w:sz="4" w:space="0" w:color="000000"/>
              <w:left w:val="single" w:sz="4" w:space="0" w:color="000000"/>
              <w:bottom w:val="single" w:sz="4" w:space="0" w:color="000000"/>
              <w:right w:val="single" w:sz="4" w:space="0" w:color="000000"/>
            </w:tcBorders>
            <w:shd w:val="solid" w:color="00688C" w:fill="auto"/>
            <w:tcMar>
              <w:top w:w="0" w:type="dxa"/>
              <w:left w:w="113" w:type="dxa"/>
              <w:bottom w:w="0" w:type="dxa"/>
              <w:right w:w="113" w:type="dxa"/>
            </w:tcMar>
          </w:tcPr>
          <w:p w14:paraId="04F7A795" w14:textId="77777777" w:rsidR="00514CC0" w:rsidRDefault="00E72B49">
            <w:pPr>
              <w:pStyle w:val="OWTablebodyleftwhite"/>
            </w:pPr>
            <w:r>
              <w:t>Indicator 1.4</w:t>
            </w:r>
          </w:p>
        </w:tc>
        <w:tc>
          <w:tcPr>
            <w:tcW w:w="7474" w:type="dxa"/>
            <w:tcBorders>
              <w:top w:val="single" w:sz="4" w:space="0" w:color="000000"/>
              <w:left w:val="single" w:sz="4" w:space="0" w:color="000000"/>
              <w:bottom w:val="single" w:sz="4" w:space="0" w:color="000000"/>
              <w:right w:val="single" w:sz="4" w:space="0" w:color="000000"/>
            </w:tcBorders>
            <w:shd w:val="solid" w:color="00688C" w:fill="auto"/>
            <w:tcMar>
              <w:top w:w="0" w:type="dxa"/>
              <w:left w:w="113" w:type="dxa"/>
              <w:bottom w:w="0" w:type="dxa"/>
              <w:right w:w="113" w:type="dxa"/>
            </w:tcMar>
          </w:tcPr>
          <w:p w14:paraId="2BE4C14B" w14:textId="5DB6D88A" w:rsidR="00514CC0" w:rsidRDefault="00E72B49">
            <w:pPr>
              <w:pStyle w:val="OWTablebodyleftwhite"/>
            </w:pPr>
            <w:r>
              <w:t>Growth in help sought from telephone helplines and specialist services</w:t>
            </w:r>
          </w:p>
        </w:tc>
      </w:tr>
      <w:tr w:rsidR="00514CC0" w14:paraId="35EB7791" w14:textId="77777777" w:rsidTr="00440A14">
        <w:trPr>
          <w:trHeight w:val="60"/>
        </w:trPr>
        <w:tc>
          <w:tcPr>
            <w:tcW w:w="1587" w:type="dxa"/>
            <w:tcBorders>
              <w:top w:val="single" w:sz="4" w:space="0" w:color="000000"/>
              <w:left w:val="single" w:sz="4" w:space="0" w:color="000000"/>
              <w:bottom w:val="single" w:sz="4" w:space="0" w:color="000000"/>
              <w:right w:val="single" w:sz="4" w:space="0" w:color="000000"/>
            </w:tcBorders>
            <w:shd w:val="solid" w:color="00688C" w:fill="auto"/>
            <w:tcMar>
              <w:top w:w="0" w:type="dxa"/>
              <w:left w:w="113" w:type="dxa"/>
              <w:bottom w:w="0" w:type="dxa"/>
              <w:right w:w="113" w:type="dxa"/>
            </w:tcMar>
          </w:tcPr>
          <w:p w14:paraId="5ACF4A24" w14:textId="77777777" w:rsidR="00514CC0" w:rsidRDefault="00E72B49">
            <w:pPr>
              <w:pStyle w:val="OWTablebodyleftwhite"/>
            </w:pPr>
            <w:r>
              <w:t>Indicator 1.5</w:t>
            </w:r>
          </w:p>
        </w:tc>
        <w:tc>
          <w:tcPr>
            <w:tcW w:w="7474" w:type="dxa"/>
            <w:tcBorders>
              <w:top w:val="single" w:sz="4" w:space="0" w:color="000000"/>
              <w:left w:val="single" w:sz="4" w:space="0" w:color="000000"/>
              <w:bottom w:val="single" w:sz="4" w:space="0" w:color="000000"/>
              <w:right w:val="single" w:sz="4" w:space="0" w:color="000000"/>
            </w:tcBorders>
            <w:shd w:val="solid" w:color="00688C" w:fill="auto"/>
            <w:tcMar>
              <w:top w:w="0" w:type="dxa"/>
              <w:left w:w="113" w:type="dxa"/>
              <w:bottom w:w="0" w:type="dxa"/>
              <w:right w:w="113" w:type="dxa"/>
            </w:tcMar>
          </w:tcPr>
          <w:p w14:paraId="5D5C385F" w14:textId="77777777" w:rsidR="00514CC0" w:rsidRDefault="00E72B49">
            <w:pPr>
              <w:pStyle w:val="OWTablebodyleftwhite"/>
            </w:pPr>
            <w:r>
              <w:t>Proportions of women who have experienced violence reporting police contact was made</w:t>
            </w:r>
          </w:p>
        </w:tc>
      </w:tr>
    </w:tbl>
    <w:p w14:paraId="0F218418" w14:textId="214358E5" w:rsidR="00514CC0" w:rsidRDefault="00E72B49" w:rsidP="00327E90">
      <w:pPr>
        <w:pStyle w:val="OWBodytextlargespaceabove"/>
      </w:pPr>
      <w:r>
        <w:t>When societies, institutions, communities or individuals support or condone violence against women, the prevalence of such violence are higher.</w:t>
      </w:r>
      <w:r w:rsidR="00C82A54">
        <w:rPr>
          <w:rStyle w:val="EndnoteReference"/>
        </w:rPr>
        <w:endnoteReference w:id="181"/>
      </w:r>
      <w:r>
        <w:t xml:space="preserve"> Men who hold such beliefs are more likely to perpetrate violence against women, and both women and men who hold such beliefs are less likely to support victims and hold perpetrators to account.</w:t>
      </w:r>
      <w:r w:rsidR="00793CC8">
        <w:rPr>
          <w:rStyle w:val="EndnoteReference"/>
        </w:rPr>
        <w:endnoteReference w:id="182"/>
      </w:r>
    </w:p>
    <w:p w14:paraId="13D53C4D" w14:textId="6496C32A" w:rsidR="00514CC0" w:rsidRDefault="00E72B49">
      <w:pPr>
        <w:pStyle w:val="BodyText"/>
      </w:pPr>
      <w:r>
        <w:t xml:space="preserve">Violence against women can be </w:t>
      </w:r>
      <w:r w:rsidRPr="003E209A">
        <w:rPr>
          <w:rStyle w:val="Emphasis"/>
        </w:rPr>
        <w:t>condoned</w:t>
      </w:r>
      <w:r>
        <w:t xml:space="preserve"> or excused through social attitudes and norms, practices or structures.</w:t>
      </w:r>
      <w:r w:rsidR="00793CC8">
        <w:rPr>
          <w:rStyle w:val="EndnoteReference"/>
        </w:rPr>
        <w:endnoteReference w:id="183"/>
      </w:r>
      <w:r>
        <w:t xml:space="preserve"> This driver includes:</w:t>
      </w:r>
    </w:p>
    <w:p w14:paraId="7677168F" w14:textId="77777777" w:rsidR="00514CC0" w:rsidRDefault="00E72B49">
      <w:pPr>
        <w:pStyle w:val="OWNumberalpha"/>
      </w:pPr>
      <w:r>
        <w:t>the justification of violence against women on the basis that it is acceptable for men to use violence in certain circumstances;</w:t>
      </w:r>
    </w:p>
    <w:p w14:paraId="51A95BD1" w14:textId="77777777" w:rsidR="00514CC0" w:rsidRDefault="00E72B49">
      <w:pPr>
        <w:pStyle w:val="OWNumberalpha"/>
      </w:pPr>
      <w:r>
        <w:t>the excusing of violence by attributing it to external factors or implying that men cannot be held fully responsible for their own behaviour;</w:t>
      </w:r>
    </w:p>
    <w:p w14:paraId="6934421B" w14:textId="77777777" w:rsidR="00514CC0" w:rsidRDefault="00E72B49">
      <w:pPr>
        <w:pStyle w:val="OWNumberalpha"/>
      </w:pPr>
      <w:r>
        <w:t>trivialising violence based on the view that its impacts are not adequately serious to warrant action;</w:t>
      </w:r>
    </w:p>
    <w:p w14:paraId="14D8F634" w14:textId="77777777" w:rsidR="00514CC0" w:rsidRDefault="00E72B49">
      <w:pPr>
        <w:pStyle w:val="OWNumberalpha"/>
      </w:pPr>
      <w:r>
        <w:t>downplaying violence by denying its seriousness, denying that it occurs or denying that certain behaviours constitute violence at all; and</w:t>
      </w:r>
    </w:p>
    <w:p w14:paraId="6269EE0C" w14:textId="77777777" w:rsidR="00514CC0" w:rsidRDefault="00E72B49">
      <w:pPr>
        <w:pStyle w:val="OWNumberalpha"/>
      </w:pPr>
      <w:r>
        <w:t>shifting blame for the violence from the perpetrator to the victim.</w:t>
      </w:r>
    </w:p>
    <w:p w14:paraId="14DE354D" w14:textId="196E6DAF" w:rsidR="00514CC0" w:rsidRDefault="00E72B49" w:rsidP="00AF2F90">
      <w:pPr>
        <w:pStyle w:val="OWBodytextafterlist"/>
      </w:pPr>
      <w:r>
        <w:t xml:space="preserve">As discussed in </w:t>
      </w:r>
      <w:r w:rsidRPr="003E209A">
        <w:rPr>
          <w:rStyle w:val="Emphasis"/>
        </w:rPr>
        <w:t>Changing the picture: A national resource to support the prevention of violence against Aboriginal and Torres Strait Islander women and their children</w:t>
      </w:r>
      <w:r>
        <w:t xml:space="preserve"> (2018) and </w:t>
      </w:r>
      <w:r w:rsidRPr="003E209A">
        <w:rPr>
          <w:rStyle w:val="Emphasis"/>
        </w:rPr>
        <w:t>Changing the picture, Background paper: Understanding violence against Aboriginal and Torres Strait Islander women</w:t>
      </w:r>
      <w:r>
        <w:t xml:space="preserve"> (2018), as well as </w:t>
      </w:r>
      <w:r w:rsidRPr="003E209A">
        <w:rPr>
          <w:rStyle w:val="Emphasis"/>
        </w:rPr>
        <w:t xml:space="preserve">Primary prevention of family violence against people from LGBTI communities </w:t>
      </w:r>
      <w:r>
        <w:t xml:space="preserve">(2017), and </w:t>
      </w:r>
      <w:r w:rsidRPr="003E209A">
        <w:rPr>
          <w:rStyle w:val="Emphasis"/>
        </w:rPr>
        <w:t xml:space="preserve">Change the story three years on </w:t>
      </w:r>
      <w:r>
        <w:t xml:space="preserve">(2019), both gendered factors and other intersecting forms of systemic social, political and economic </w:t>
      </w:r>
      <w:r w:rsidR="000630FC" w:rsidRPr="000630FC">
        <w:t>oppression and discrimination</w:t>
      </w:r>
      <w:r>
        <w:t xml:space="preserve"> that characterise our society (such as racism, ableism, homophobia and transphobia) drive and shape the condoning of violence against women in</w:t>
      </w:r>
      <w:r w:rsidR="001F1ACD">
        <w:t> </w:t>
      </w:r>
      <w:r>
        <w:t>specific ways.</w:t>
      </w:r>
      <w:r w:rsidR="00EE7984">
        <w:rPr>
          <w:rStyle w:val="EndnoteReference"/>
        </w:rPr>
        <w:endnoteReference w:id="184"/>
      </w:r>
      <w:r>
        <w:t xml:space="preserve"> For example, violence against Aboriginal and Torres Strait Islander women is typically legitimised, trivialised, downplayed and rendered less visible as a </w:t>
      </w:r>
      <w:r>
        <w:lastRenderedPageBreak/>
        <w:t>consequence of the intersection of racist and sexist attitudes, norms and practices, and the ongoing impacts of colonisation. The intersection of these factors affects</w:t>
      </w:r>
      <w:r w:rsidR="00287D9B">
        <w:t> </w:t>
      </w:r>
      <w:r>
        <w:t>the perceived place and value of Aboriginal and Torres Strait Islander women in contemporary Australia, such that First Nations women’s lives are rendered more apparently disposable and ‘out of sight, out of mind’.</w:t>
      </w:r>
      <w:r w:rsidR="007831EE">
        <w:rPr>
          <w:rStyle w:val="EndnoteReference"/>
        </w:rPr>
        <w:endnoteReference w:id="185"/>
      </w:r>
      <w:r>
        <w:t xml:space="preserve"> Racism, colonisation and sexism create a climate of ‘othering’, indifference, victim-blaming and stereotyping contributing to insufficient accountability for violence perpetrated against </w:t>
      </w:r>
      <w:r w:rsidR="00364841">
        <w:t>Aboriginal and Torres Strait Islander</w:t>
      </w:r>
      <w:r>
        <w:t xml:space="preserve"> women.</w:t>
      </w:r>
    </w:p>
    <w:p w14:paraId="2BAF96E0" w14:textId="6500CCB0" w:rsidR="00514CC0" w:rsidRDefault="00E72B49">
      <w:pPr>
        <w:pStyle w:val="BodyText"/>
      </w:pPr>
      <w:r>
        <w:t>Certain indicators under Monitoring domain 1: Condoning of violence against women reflect individual attitudes associated with the condoning of violence against women (justifying, excusing, trivialising, downplaying and victim-blaming) and assess how much such condoning attitudes have changed over recent years. One indicator measures attitudes towards ‘bystander action’, or the extent to which individuals intervene, or display attitudinal willingness to intervene, when witnessing violence, including sexual harassment, enacted towards someone in a public setting. Other indicators in this domain consider the extent of</w:t>
      </w:r>
      <w:r w:rsidR="001F1ACD">
        <w:t> </w:t>
      </w:r>
      <w:r>
        <w:t>progress (or perceived progress) towards the creation of an enabling environment to address and challenge violence against women. Help-seeking behaviours by women who have experienced violence are taken as proxy measures of progress in this regard, on the assumption that an increase in women disclosing violence and seeking help and support reflects increased confidence in recognising their own experiences as violence and in recognising that they deserve assistance. These measures also reflect the extent to which women who are subject to violence believe they will be supported by individuals, systems and institutions when they seek help for themselves and accountability for perpetrators.</w:t>
      </w:r>
    </w:p>
    <w:p w14:paraId="0A3BE94B" w14:textId="77777777" w:rsidR="00514CC0" w:rsidRDefault="00E72B49" w:rsidP="00F868FE">
      <w:pPr>
        <w:pStyle w:val="Heading5"/>
      </w:pPr>
      <w:r>
        <w:t>Challenging the condoning of violence against women: summary of change over time for Monitoring domain 1</w:t>
      </w:r>
    </w:p>
    <w:p w14:paraId="37719486" w14:textId="6A89B697" w:rsidR="00514CC0" w:rsidRDefault="00E72B49">
      <w:pPr>
        <w:pStyle w:val="BodyText"/>
      </w:pPr>
      <w:r>
        <w:t>As the data outlined in the coming section shows, in general there have been positive trends</w:t>
      </w:r>
      <w:r w:rsidR="001F1ACD">
        <w:t> </w:t>
      </w:r>
      <w:r>
        <w:t>in attitudes associated with condoning of violence against women (as measured by</w:t>
      </w:r>
      <w:r w:rsidR="001F1ACD">
        <w:t> </w:t>
      </w:r>
      <w:r>
        <w:t>the National Community Attitudes towards Violence against Women Survey or NCAS). Community understanding of violence against women has improved at an overall level, while the prevalence of community attitudes supportive of violence against women has declined. Notably, little to no change to these attitudes was evident between the 2009 and 2013 waves of the NCAS; however, significant gains in attitudinal progress were realised between the 2013 and 2017 survey waves. This change trajectory suggests that progress on community attitudes related to condoning of violence against women has been possible in a</w:t>
      </w:r>
      <w:r w:rsidR="00223673">
        <w:t> </w:t>
      </w:r>
      <w:r>
        <w:t>relatively short period of time (within the decade examined in this report). However, the time lag between investment and notable change also indicates the importance of sustaining primary prevention efforts over time.</w:t>
      </w:r>
    </w:p>
    <w:p w14:paraId="1B5BADF3" w14:textId="5F106C17" w:rsidR="00514CC0" w:rsidRDefault="00E72B49">
      <w:pPr>
        <w:pStyle w:val="BodyText"/>
      </w:pPr>
      <w:r>
        <w:t>While overall there is a positive picture of change to attitudes associated with condoning of</w:t>
      </w:r>
      <w:r w:rsidR="001F1ACD">
        <w:t> </w:t>
      </w:r>
      <w:r>
        <w:t>violence against women, some important nuances should be noted:</w:t>
      </w:r>
    </w:p>
    <w:p w14:paraId="272D11E1" w14:textId="77777777" w:rsidR="00514CC0" w:rsidRDefault="00E72B49">
      <w:pPr>
        <w:pStyle w:val="OWBullet1"/>
      </w:pPr>
      <w:r w:rsidRPr="002D0D52">
        <w:rPr>
          <w:rStyle w:val="Strong"/>
        </w:rPr>
        <w:t xml:space="preserve">Difference between men’s and women’s attitudes: </w:t>
      </w:r>
      <w:r>
        <w:t>While overall men’s attitudes have improved since 2013, men continue to display a lower level of understanding of violence against women, and a higher level of attitudinal support for violence against women, than women do.</w:t>
      </w:r>
    </w:p>
    <w:p w14:paraId="0713ACF9" w14:textId="77777777" w:rsidR="00514CC0" w:rsidRDefault="00E72B49" w:rsidP="001F1ACD">
      <w:pPr>
        <w:pStyle w:val="OWBullet1"/>
        <w:keepLines/>
      </w:pPr>
      <w:r w:rsidRPr="002D0D52">
        <w:rPr>
          <w:rStyle w:val="Strong"/>
        </w:rPr>
        <w:lastRenderedPageBreak/>
        <w:t xml:space="preserve">Thematic unevenness: </w:t>
      </w:r>
      <w:r>
        <w:t>While community understanding of the multiple forms of violence against women has improved across the board, and there has been an overall reduction in violence-supportive attitudes, there is also inconsistency between different themes. For example, Australians continue to be less likely to be aware of non-physical forms of violence than physical forms. In addition, a considerable proportion of individuals continue to falsely believe that women going through custody disputes often make up or exaggerate claims of domestic violence in order to improve their case, a perception that suggests widespread mistrust in women’s reports of violence. Further, the persistence of attitudes that disregard the need for consent in sexual relations between men and women is highly concerning.</w:t>
      </w:r>
    </w:p>
    <w:p w14:paraId="18DF83D5" w14:textId="77777777" w:rsidR="00514CC0" w:rsidRDefault="00E72B49">
      <w:pPr>
        <w:pStyle w:val="OWBullet1"/>
      </w:pPr>
      <w:r w:rsidRPr="002D0D52">
        <w:rPr>
          <w:rStyle w:val="Strong"/>
        </w:rPr>
        <w:t>Backlash:</w:t>
      </w:r>
      <w:r>
        <w:t xml:space="preserve"> A lessening proportion of individuals understand that men are more likely than women to perpetrate domestic violence, and women are more likely than men to be victims. This result may reflect the backlash against the recognition of the gendered nature of violence against women that continues to occur in some parts of the public and political conversation.</w:t>
      </w:r>
    </w:p>
    <w:p w14:paraId="51D13EC5" w14:textId="0DCA280D" w:rsidR="00514CC0" w:rsidRDefault="00E72B49">
      <w:pPr>
        <w:pStyle w:val="OWBullet1"/>
      </w:pPr>
      <w:r w:rsidRPr="002D0D52">
        <w:rPr>
          <w:rStyle w:val="Strong"/>
        </w:rPr>
        <w:t xml:space="preserve">Association between violence-condoning attitudes, lower subscription to gender equitable attitudes, and higher subscription to other discriminatory attitudes: </w:t>
      </w:r>
      <w:r>
        <w:t>The 2017 NCAS results revealed that the strongest predictors of attitudes supportive of violence against women are people having a low level of support for gender equality and</w:t>
      </w:r>
      <w:r w:rsidR="00FC59B2">
        <w:t> </w:t>
      </w:r>
      <w:r>
        <w:t>a low level of understanding of the multiple forms of violence against women. The</w:t>
      </w:r>
      <w:r w:rsidR="007C4B16">
        <w:t> </w:t>
      </w:r>
      <w:r>
        <w:t xml:space="preserve">results also demonstrated a strong correlation between people holding attitudes supportive of violence against women, and other forms of discriminatory attitudes, which speaks to the need for an approach to changing </w:t>
      </w:r>
      <w:r w:rsidR="00D83505">
        <w:t xml:space="preserve">all </w:t>
      </w:r>
      <w:r w:rsidR="00C245FC">
        <w:t>discriminatory</w:t>
      </w:r>
      <w:r w:rsidR="00D83505">
        <w:t xml:space="preserve"> </w:t>
      </w:r>
      <w:r>
        <w:t>attitudes and social norms.</w:t>
      </w:r>
    </w:p>
    <w:p w14:paraId="6361F4D7" w14:textId="77777777" w:rsidR="00514CC0" w:rsidRDefault="00E72B49" w:rsidP="00146956">
      <w:pPr>
        <w:pStyle w:val="OWBodytextafterlist"/>
      </w:pPr>
      <w:r>
        <w:t>These results should inform the development and refinement of primary prevention efforts that are focused on shifting the kinds of attitudes and norms that condone violence against women.</w:t>
      </w:r>
    </w:p>
    <w:p w14:paraId="3FFABDD0" w14:textId="09A2FD40" w:rsidR="00514CC0" w:rsidRDefault="00E72B49">
      <w:pPr>
        <w:pStyle w:val="BodyText"/>
      </w:pPr>
      <w:r>
        <w:t>The breadth of data consolidated in this report demonstrates that it is critical to monitor not</w:t>
      </w:r>
      <w:r w:rsidR="00FC59B2">
        <w:t> </w:t>
      </w:r>
      <w:r>
        <w:t>only changes to attitudes and prevalence rates of violence against women, but also the norms, behaviours and structural factors that are driving and reinforcing this violence. The data in this monitoring domain shows while we have seen some positive shifts to attitudes associated with condoning of violence against women, other forms of challenge to this driver, specifically behavioural shifts, have not been as evident.</w:t>
      </w:r>
    </w:p>
    <w:p w14:paraId="1150A903" w14:textId="23CC5745" w:rsidR="00514CC0" w:rsidRDefault="00E72B49">
      <w:pPr>
        <w:pStyle w:val="BodyText"/>
      </w:pPr>
      <w:r>
        <w:t>For example, the data demonstrates that while at a population level</w:t>
      </w:r>
      <w:r w:rsidR="007F0459">
        <w:t>,</w:t>
      </w:r>
      <w:r>
        <w:t xml:space="preserve"> individuals indicate a</w:t>
      </w:r>
      <w:r w:rsidR="00FC59B2">
        <w:t> </w:t>
      </w:r>
      <w:r>
        <w:t>high attitudinal willingness to undertake bystander action, these attitudes have not translated to a greater propensity to actually undertake such action. Indeed, results from Australian Human Rights Commission (AHRC) surveys on sexual harassment show that there has been a statistically significant decline between 2012 and 2018 in the proportion of witnesses to workplace sexual harassment who reported taking some form of action.</w:t>
      </w:r>
    </w:p>
    <w:p w14:paraId="5E708066" w14:textId="14AA7E1F" w:rsidR="00514CC0" w:rsidRDefault="00E72B49" w:rsidP="00CA2BBB">
      <w:pPr>
        <w:pStyle w:val="BodyText"/>
      </w:pPr>
      <w:r>
        <w:t xml:space="preserve">Moreover, in </w:t>
      </w:r>
      <w:r w:rsidRPr="003E209A">
        <w:rPr>
          <w:rStyle w:val="Emphasis"/>
        </w:rPr>
        <w:t xml:space="preserve">Counting on change: A guide to prevention monitoring </w:t>
      </w:r>
      <w:r>
        <w:t xml:space="preserve">we anticipated that as there is greater public awareness and a social environment which is increasingly challenging the condoning of violence against women, we would see a corresponding increase in help-seeking and justice-seeking behaviours among women experiencing violence. However, the data reveals a mixed picture of progress related to help-seeking behaviour among women who have experienced violence in the monitoring time period. </w:t>
      </w:r>
      <w:r w:rsidR="00CA2BBB">
        <w:t>There is a lack of publicly-</w:t>
      </w:r>
      <w:r w:rsidR="00CA2BBB">
        <w:lastRenderedPageBreak/>
        <w:t>available data looking at recent help-seeking behaviours and police contact rates, which makes it difficult to determine whether and how help-seeking behaviour is changing.</w:t>
      </w:r>
      <w:r w:rsidR="00CA2BBB" w:rsidRPr="00D8674A">
        <w:rPr>
          <w:rStyle w:val="OWSuperscript"/>
        </w:rPr>
        <w:footnoteReference w:id="11"/>
      </w:r>
      <w:r w:rsidR="00CA2BBB">
        <w:t xml:space="preserve"> However, the Australian Human Rights Commission’s data on workplace sexual harassment indicates we may be seeing a reduction in women's propensity to seek help.</w:t>
      </w:r>
    </w:p>
    <w:p w14:paraId="5A6F8D03" w14:textId="7815044A" w:rsidR="00514CC0" w:rsidRDefault="00F10EE1">
      <w:pPr>
        <w:pStyle w:val="BodyText"/>
      </w:pPr>
      <w:r w:rsidRPr="00F10EE1">
        <w:t>Evidence from the response sector indicates</w:t>
      </w:r>
      <w:r w:rsidR="00E72B49">
        <w:t xml:space="preserve"> a growing demand on helplines and specialist services from male victims of violence. PSS data reveals that among the women who have experienced sexual violence and/or physical violence and have sought advice or support, a higher proportion reported seeking advice or support from a counsellor, support worker or</w:t>
      </w:r>
      <w:r w:rsidR="00FC59B2">
        <w:t> </w:t>
      </w:r>
      <w:r w:rsidR="00E72B49">
        <w:t>telephone helpline in 2016 than in 2012. Anecdotal evidence from specialist service providers suggests that demand from female victim–survivors has increased during the time period under consideration. Moreover, anecdotal evidence from smaller service providers suggests a tendency for women with greater socioeconomic privilege to access Employee Assistance Programs and other forms of support such as private counsellors, while women facing more complex circumstances are now more likely to access specialist service providers than prior to 2009.</w:t>
      </w:r>
      <w:r w:rsidR="00E72B49">
        <w:rPr>
          <w:rStyle w:val="OWSuperscript"/>
        </w:rPr>
        <w:footnoteReference w:id="12"/>
      </w:r>
      <w:r w:rsidR="00E72B49">
        <w:t xml:space="preserve"> This trend toward complex case management has been reinforced by recent reports of demand upon 1800RESPECT, whereby one quarter of 1800RESPECT interactions in 2019 were from people who called more than once – something the funding model is not set up to properly account for.</w:t>
      </w:r>
      <w:r w:rsidR="00965CAF">
        <w:rPr>
          <w:rStyle w:val="EndnoteReference"/>
        </w:rPr>
        <w:endnoteReference w:id="186"/>
      </w:r>
      <w:r w:rsidR="00E72B49">
        <w:t xml:space="preserve"> These cases tend to require more attention and multiple forms of support, which limits the numbers of clients who can be supported by a given service. For these reasons, service providers caution that intake numbers should not be the sole metric for monitoring demand.</w:t>
      </w:r>
    </w:p>
    <w:p w14:paraId="04818F39" w14:textId="151FBD4B" w:rsidR="00514CC0" w:rsidRDefault="00E72B49">
      <w:pPr>
        <w:pStyle w:val="BodyText"/>
      </w:pPr>
      <w:r>
        <w:t>Overall, this data related to service providers indicates a growing demand upon services, and</w:t>
      </w:r>
      <w:r w:rsidR="00287D9B">
        <w:t> </w:t>
      </w:r>
      <w:r>
        <w:t xml:space="preserve">suggests a demand that is increasing in complexity. This is in line with predictions made in </w:t>
      </w:r>
      <w:r w:rsidRPr="003E209A">
        <w:rPr>
          <w:rStyle w:val="Emphasis"/>
        </w:rPr>
        <w:t>Counting on change</w:t>
      </w:r>
      <w:r>
        <w:t xml:space="preserve"> that, over time, successful challenges to the condoning of violence against women will result in increased disclosures and greater demand upon service providers by women who are experiencing violence. This underlines the need for both prevention and response to be appropriately resourced and working in tandem </w:t>
      </w:r>
      <w:r w:rsidR="00D6659E">
        <w:t>to</w:t>
      </w:r>
      <w:r>
        <w:t xml:space="preserve"> address the immediate needs of women and generate long-term change.</w:t>
      </w:r>
    </w:p>
    <w:p w14:paraId="79603D18" w14:textId="77777777" w:rsidR="00514CC0" w:rsidRDefault="00E72B49">
      <w:pPr>
        <w:pStyle w:val="BodyText"/>
      </w:pPr>
      <w:r>
        <w:t>At this point in time, from the data available, it is difficult to make conclusive statements about whether and how women who are currently experiencing (or have recently experienced) violence perceive the social environment to be less condoning of violence against women than it has been in the past. Future waves of population-level surveys will be telling, but further research, including practitioner consultation, is also needed.</w:t>
      </w:r>
    </w:p>
    <w:p w14:paraId="7C14B52E" w14:textId="63E7B795" w:rsidR="00514CC0" w:rsidRDefault="00E72B49">
      <w:pPr>
        <w:pStyle w:val="BodyText"/>
      </w:pPr>
      <w:r>
        <w:t xml:space="preserve">Beyond the data analysed in this monitoring domain, it is relevant to note that the global phenomenon of the #MeToo movement occurred in the time period analysed in this report, a development that represents a significant and perhaps unexpectedly influential challenge to social norms condoning violence against women. #MeToo has seen widespread social media and media-based disclosures of sexual harassment and sexual violence by women </w:t>
      </w:r>
      <w:r>
        <w:lastRenderedPageBreak/>
        <w:t xml:space="preserve">across the world. This wave of disclosure has begun to be reflected in the latest Australian sexual harassment prevalence data (examined in </w:t>
      </w:r>
      <w:r w:rsidR="0044154C">
        <w:t>Section 2 Part B</w:t>
      </w:r>
      <w:r>
        <w:t xml:space="preserve"> of this report, as well as</w:t>
      </w:r>
      <w:r w:rsidR="0044154C">
        <w:t> </w:t>
      </w:r>
      <w:r>
        <w:t>in</w:t>
      </w:r>
      <w:r w:rsidR="0044154C">
        <w:t> </w:t>
      </w:r>
      <w:r>
        <w:t>Monitoring domain 3: Men’s control of decision-making and limits to women’s independence in public life). It has been suggested in some literature that these patterns of</w:t>
      </w:r>
      <w:r w:rsidR="00FC59B2">
        <w:t> </w:t>
      </w:r>
      <w:r>
        <w:t>non-system disclosure reflect victim–survivors’ distrust in formal state systems such as police and judiciaries and in workplace processes.</w:t>
      </w:r>
      <w:r w:rsidR="00981107">
        <w:rPr>
          <w:rStyle w:val="EndnoteReference"/>
        </w:rPr>
        <w:endnoteReference w:id="187"/>
      </w:r>
      <w:r>
        <w:t xml:space="preserve"> The next waves of population survey data – especially the PSS and the AHRC sexual harassment surveys – will be critical for monitoring ongoing changes in disclosure and help</w:t>
      </w:r>
      <w:r w:rsidR="00CC2233">
        <w:t>-</w:t>
      </w:r>
      <w:r>
        <w:t>seeking behaviours among women as</w:t>
      </w:r>
      <w:r w:rsidR="00FC59B2">
        <w:t> </w:t>
      </w:r>
      <w:r>
        <w:t>a</w:t>
      </w:r>
      <w:r w:rsidR="00FC59B2">
        <w:t> </w:t>
      </w:r>
      <w:r>
        <w:t>result of the #MeToo movement.</w:t>
      </w:r>
    </w:p>
    <w:p w14:paraId="4177A277" w14:textId="37203F90" w:rsidR="00514CC0" w:rsidRDefault="00E72B49">
      <w:pPr>
        <w:pStyle w:val="BodyText"/>
      </w:pPr>
      <w:r>
        <w:t>In summary, in relation to challenging the condoning of violence against women, improvements are noted in associated attitudes. However, other indicators related to bystander and victim–survivor behaviours suggest an environment still in great flux regarding condoning of violence against women. This points strongly to the need for increased, deepened and sustained primary prevention efforts to challenge this driver of</w:t>
      </w:r>
      <w:r w:rsidR="00FC59B2">
        <w:t> </w:t>
      </w:r>
      <w:r>
        <w:t>violence against women. In addition, increased investment in systems response and in</w:t>
      </w:r>
      <w:r w:rsidR="00FC59B2">
        <w:t> </w:t>
      </w:r>
      <w:r>
        <w:t>resources for specialist response services available to diverse cohorts of women are necessary in order to enable appropriate responses to increased demand on these systems and services.</w:t>
      </w:r>
      <w:r w:rsidRPr="006E3B81">
        <w:rPr>
          <w:rStyle w:val="OWSuperscript"/>
        </w:rPr>
        <w:footnoteReference w:id="13"/>
      </w:r>
    </w:p>
    <w:p w14:paraId="25A099B5" w14:textId="77777777" w:rsidR="00514CC0" w:rsidRDefault="00E72B49" w:rsidP="00E1549C">
      <w:pPr>
        <w:pStyle w:val="Heading4"/>
      </w:pPr>
      <w:r>
        <w:t>Indicator 1.1: Community attitudes towards violence against women (justifying, excusing, trivialising or minimising violence; blame-shifting and rape myth acceptance)</w:t>
      </w:r>
    </w:p>
    <w:tbl>
      <w:tblPr>
        <w:tblStyle w:val="Indicatoroutlineteal"/>
        <w:tblW w:w="9072" w:type="dxa"/>
        <w:tblLayout w:type="fixed"/>
        <w:tblLook w:val="0680" w:firstRow="0" w:lastRow="0" w:firstColumn="1" w:lastColumn="0" w:noHBand="1" w:noVBand="1"/>
      </w:tblPr>
      <w:tblGrid>
        <w:gridCol w:w="3402"/>
        <w:gridCol w:w="5670"/>
      </w:tblGrid>
      <w:tr w:rsidR="00514CC0" w14:paraId="2B6985F8" w14:textId="77777777" w:rsidTr="004D60EA">
        <w:trPr>
          <w:cantSplit/>
          <w:trHeight w:val="60"/>
        </w:trPr>
        <w:tc>
          <w:tcPr>
            <w:tcW w:w="3402" w:type="dxa"/>
          </w:tcPr>
          <w:p w14:paraId="1D356C81" w14:textId="77777777" w:rsidR="00514CC0" w:rsidRDefault="00E72B49">
            <w:pPr>
              <w:pStyle w:val="OWTablebodyleft"/>
            </w:pPr>
            <w:r>
              <w:t>What does this indicator tell us about Monitoring domain 1: Condoning of violence against women?</w:t>
            </w:r>
          </w:p>
        </w:tc>
        <w:tc>
          <w:tcPr>
            <w:tcW w:w="5669" w:type="dxa"/>
          </w:tcPr>
          <w:p w14:paraId="259049BC" w14:textId="77777777" w:rsidR="00514CC0" w:rsidRDefault="00E72B49">
            <w:pPr>
              <w:pStyle w:val="OWTablebodyleft"/>
            </w:pPr>
            <w:r>
              <w:t>The extent of individuals’ attitudes which justify, excuse, trivialise or downplay violence or shift blame to the victim is a reflection of social condoning or excusing of violence against women.</w:t>
            </w:r>
          </w:p>
        </w:tc>
      </w:tr>
      <w:tr w:rsidR="00514CC0" w14:paraId="7CFFEECF" w14:textId="77777777" w:rsidTr="004D60EA">
        <w:trPr>
          <w:cantSplit/>
          <w:trHeight w:val="60"/>
        </w:trPr>
        <w:tc>
          <w:tcPr>
            <w:tcW w:w="3402" w:type="dxa"/>
          </w:tcPr>
          <w:p w14:paraId="0A453850" w14:textId="77777777" w:rsidR="00514CC0" w:rsidRDefault="00E72B49">
            <w:pPr>
              <w:pStyle w:val="OWTablebodyleft"/>
            </w:pPr>
            <w:r>
              <w:t>Expected change if high-quality programs and infrastructure for prevention of violence against women and gender equality are implemented</w:t>
            </w:r>
          </w:p>
        </w:tc>
        <w:tc>
          <w:tcPr>
            <w:tcW w:w="5669" w:type="dxa"/>
          </w:tcPr>
          <w:p w14:paraId="1C8E17E7" w14:textId="77777777" w:rsidR="00514CC0" w:rsidRDefault="00E72B49">
            <w:pPr>
              <w:pStyle w:val="OWTablebodyleft"/>
            </w:pPr>
            <w:r>
              <w:t>Short- and medium-term: proportion of the population who hold positive attitudes (i.e. attitudes which do not condone violence against women) will increase.</w:t>
            </w:r>
          </w:p>
          <w:p w14:paraId="1237AD4C" w14:textId="77777777" w:rsidR="00514CC0" w:rsidRDefault="00E72B49">
            <w:pPr>
              <w:pStyle w:val="OWTablebodyleft"/>
            </w:pPr>
            <w:r>
              <w:t>Long-term: proportion of the population who hold positive attitudes will peak and plateau.</w:t>
            </w:r>
          </w:p>
        </w:tc>
      </w:tr>
      <w:tr w:rsidR="00514CC0" w14:paraId="6CD1A874" w14:textId="77777777" w:rsidTr="004D60EA">
        <w:trPr>
          <w:cantSplit/>
          <w:trHeight w:val="60"/>
        </w:trPr>
        <w:tc>
          <w:tcPr>
            <w:tcW w:w="3402" w:type="dxa"/>
          </w:tcPr>
          <w:p w14:paraId="01796FDE" w14:textId="77777777" w:rsidR="00514CC0" w:rsidRDefault="00E72B49" w:rsidP="00477D8E">
            <w:pPr>
              <w:pStyle w:val="OWTablebodyleft"/>
            </w:pPr>
            <w:r>
              <w:t>Data source(s)</w:t>
            </w:r>
          </w:p>
        </w:tc>
        <w:tc>
          <w:tcPr>
            <w:tcW w:w="5669" w:type="dxa"/>
          </w:tcPr>
          <w:p w14:paraId="2AC54415" w14:textId="123F4A69" w:rsidR="00514CC0" w:rsidRDefault="00E72B49">
            <w:pPr>
              <w:pStyle w:val="OWTablenumberdigit"/>
            </w:pPr>
            <w:r>
              <w:t>National Community Attitudes towards Violence against Women Survey (NCAS) 2009, 2013 and 2017, Australia’s National Research Organisation for Women’s Safety (ANROWS) (previously auspiced by VicHealth)</w:t>
            </w:r>
            <w:r w:rsidR="00981107">
              <w:rPr>
                <w:rStyle w:val="EndnoteReference"/>
              </w:rPr>
              <w:endnoteReference w:id="188"/>
            </w:r>
          </w:p>
        </w:tc>
      </w:tr>
      <w:tr w:rsidR="00514CC0" w14:paraId="530D2662" w14:textId="77777777" w:rsidTr="004D60EA">
        <w:trPr>
          <w:cantSplit/>
          <w:trHeight w:val="60"/>
        </w:trPr>
        <w:tc>
          <w:tcPr>
            <w:tcW w:w="3402" w:type="dxa"/>
          </w:tcPr>
          <w:p w14:paraId="423852C7" w14:textId="77777777" w:rsidR="00514CC0" w:rsidRDefault="00E72B49">
            <w:pPr>
              <w:pStyle w:val="OWTablebodyleft"/>
            </w:pPr>
            <w:r>
              <w:lastRenderedPageBreak/>
              <w:t>Change over time summary: short-term change revealed by the data</w:t>
            </w:r>
          </w:p>
        </w:tc>
        <w:tc>
          <w:tcPr>
            <w:tcW w:w="5669" w:type="dxa"/>
          </w:tcPr>
          <w:p w14:paraId="05CC7C6E" w14:textId="77777777" w:rsidR="00514CC0" w:rsidRDefault="00E72B49">
            <w:pPr>
              <w:pStyle w:val="OWTablebodyleft"/>
            </w:pPr>
            <w:r>
              <w:t>Overall, community understanding of violence against women has improved between 2013 and 2017.</w:t>
            </w:r>
          </w:p>
          <w:p w14:paraId="10CE3D2A" w14:textId="77777777" w:rsidR="00514CC0" w:rsidRDefault="00E72B49">
            <w:pPr>
              <w:pStyle w:val="OWTablebodyleft"/>
            </w:pPr>
            <w:r>
              <w:t>Overall, community attitudes supportive of violence against women have decreased between 2013 and 2017.</w:t>
            </w:r>
          </w:p>
        </w:tc>
      </w:tr>
      <w:tr w:rsidR="00514CC0" w14:paraId="11103EA0" w14:textId="77777777" w:rsidTr="004D60EA">
        <w:trPr>
          <w:cantSplit/>
          <w:trHeight w:val="60"/>
        </w:trPr>
        <w:tc>
          <w:tcPr>
            <w:tcW w:w="3402" w:type="dxa"/>
          </w:tcPr>
          <w:p w14:paraId="3A866B4C" w14:textId="77777777" w:rsidR="00514CC0" w:rsidRDefault="00E72B49">
            <w:pPr>
              <w:pStyle w:val="OWTablebodyleft"/>
            </w:pPr>
            <w:r>
              <w:t>Does the change confirm or run contrary to expected change?</w:t>
            </w:r>
          </w:p>
        </w:tc>
        <w:tc>
          <w:tcPr>
            <w:tcW w:w="5669" w:type="dxa"/>
          </w:tcPr>
          <w:p w14:paraId="51CF1973" w14:textId="77777777" w:rsidR="00514CC0" w:rsidRDefault="00E72B49">
            <w:pPr>
              <w:pStyle w:val="OWTablebodyleft"/>
            </w:pPr>
            <w:r>
              <w:t>Confirms expected change</w:t>
            </w:r>
          </w:p>
        </w:tc>
      </w:tr>
      <w:tr w:rsidR="00514CC0" w14:paraId="459B26D3" w14:textId="77777777" w:rsidTr="004D60EA">
        <w:trPr>
          <w:cantSplit/>
          <w:trHeight w:val="60"/>
        </w:trPr>
        <w:tc>
          <w:tcPr>
            <w:tcW w:w="3402" w:type="dxa"/>
          </w:tcPr>
          <w:p w14:paraId="373F3E8B" w14:textId="77777777" w:rsidR="00514CC0" w:rsidRDefault="00E72B49">
            <w:pPr>
              <w:pStyle w:val="OWTablebodyleft"/>
            </w:pPr>
            <w:r>
              <w:t>Gaps in existing data</w:t>
            </w:r>
          </w:p>
        </w:tc>
        <w:tc>
          <w:tcPr>
            <w:tcW w:w="5669" w:type="dxa"/>
          </w:tcPr>
          <w:p w14:paraId="104F19BD" w14:textId="29F10006" w:rsidR="00514CC0" w:rsidRDefault="00E72B49">
            <w:pPr>
              <w:pStyle w:val="OWTablebodyleft"/>
            </w:pPr>
            <w:r>
              <w:t xml:space="preserve">To date, the NCAS has been focused on measuring the prevalence of certain kinds of individual attitudes associated with violence against women or its prevention. We know that individual attitudes can differ from prevailing social norms, and yet social norms can still affect individual behavioural choices, </w:t>
            </w:r>
            <w:r w:rsidRPr="003E209A">
              <w:rPr>
                <w:rStyle w:val="Emphasis"/>
              </w:rPr>
              <w:t xml:space="preserve">even when </w:t>
            </w:r>
            <w:r>
              <w:t>an individual’s attitude may differ from the</w:t>
            </w:r>
            <w:r w:rsidR="00FC59B2">
              <w:t> </w:t>
            </w:r>
            <w:r>
              <w:t>norm. Measuring social norms (as distinct from attitudes) is an important next step, and one that is currently being explored by the NCAS team for the next survey wave.</w:t>
            </w:r>
          </w:p>
        </w:tc>
      </w:tr>
    </w:tbl>
    <w:p w14:paraId="20AB394D" w14:textId="77777777" w:rsidR="00514CC0" w:rsidRDefault="00E72B49" w:rsidP="00F868FE">
      <w:pPr>
        <w:pStyle w:val="Heading5"/>
      </w:pPr>
      <w:r>
        <w:t>Community understanding of violence against women</w:t>
      </w:r>
    </w:p>
    <w:p w14:paraId="63C1FAFD" w14:textId="5291EAD6" w:rsidR="00514CC0" w:rsidRDefault="00E72B49">
      <w:pPr>
        <w:pStyle w:val="BodyText"/>
      </w:pPr>
      <w:r>
        <w:t xml:space="preserve">A key focus for the NCAS is on measuring community understanding of violence against women. </w:t>
      </w:r>
      <w:r w:rsidRPr="002D0D52">
        <w:rPr>
          <w:rStyle w:val="Strong"/>
        </w:rPr>
        <w:t>Overall, measured through a composite score across a number of questions, Australians’ understanding of what constitutes violence against women and its impacts and antecedents improved between 2013 and 2017</w:t>
      </w:r>
      <w:r>
        <w:t>, after being consistent between 2009 and 2013. In 2013, the national average for understanding violence against women stood at</w:t>
      </w:r>
      <w:r w:rsidR="00FC59B2">
        <w:t> </w:t>
      </w:r>
      <w:r>
        <w:t>64 out of 100; in 2017, the national average stood at 70, six points higher.</w:t>
      </w:r>
      <w:r w:rsidR="00C575E2">
        <w:rPr>
          <w:rStyle w:val="EndnoteReference"/>
        </w:rPr>
        <w:endnoteReference w:id="189"/>
      </w:r>
    </w:p>
    <w:p w14:paraId="23C6A8B5" w14:textId="4BD3AE49" w:rsidR="00514CC0" w:rsidRDefault="00E72B49">
      <w:pPr>
        <w:pStyle w:val="BodyText"/>
      </w:pPr>
      <w:r>
        <w:t xml:space="preserve">In each of the years the survey has been conducted, however, women on average have demonstrated a higher understanding than men of what constitutes violence against women. In 2017, women’s mean score was 74, compared with 66 for men – a considerable 8-point difference (see Figure </w:t>
      </w:r>
      <w:r w:rsidR="0017588F">
        <w:t>6</w:t>
      </w:r>
      <w:r>
        <w:t>, below).</w:t>
      </w:r>
      <w:r w:rsidR="00133517">
        <w:rPr>
          <w:rStyle w:val="EndnoteReference"/>
        </w:rPr>
        <w:endnoteReference w:id="190"/>
      </w:r>
    </w:p>
    <w:p w14:paraId="1742F7B5" w14:textId="1F55E4B9" w:rsidR="00514CC0" w:rsidRDefault="00E72B49">
      <w:pPr>
        <w:pStyle w:val="OWFigurecaption"/>
      </w:pPr>
      <w:r>
        <w:lastRenderedPageBreak/>
        <w:t xml:space="preserve">Figure </w:t>
      </w:r>
      <w:r w:rsidR="0017588F">
        <w:t>6</w:t>
      </w:r>
      <w:r>
        <w:t xml:space="preserve">: </w:t>
      </w:r>
      <w:r w:rsidR="008C6AAB">
        <w:t>U</w:t>
      </w:r>
      <w:r>
        <w:t xml:space="preserve">nderstanding of violence against women by gender, </w:t>
      </w:r>
      <w:r w:rsidR="008C6AAB" w:rsidRPr="008C6AAB">
        <w:t>2009, 2013 and 2017</w:t>
      </w:r>
    </w:p>
    <w:p w14:paraId="7F2586F5" w14:textId="2216C3D7" w:rsidR="00514CC0" w:rsidRDefault="00A22941" w:rsidP="00477D8E">
      <w:pPr>
        <w:pStyle w:val="OWFigureinline"/>
      </w:pPr>
      <w:r>
        <w:rPr>
          <w:noProof/>
        </w:rPr>
        <w:drawing>
          <wp:inline distT="0" distB="0" distL="0" distR="0" wp14:anchorId="13F2457E" wp14:editId="2A0799D7">
            <wp:extent cx="5651500" cy="3164205"/>
            <wp:effectExtent l="0" t="0" r="6350" b="0"/>
            <wp:docPr id="1158183052" name="Picture 33" descr="Line graph of the following data (Understanding Violence Against Women Score (UVAWS) – scale of 1 to 100). 2009: Women – 69; Men – 59; Overall – 64. 2013: Women – 68; Men – 60; Overall – 64. 2017: Women – 74; Men – 66; Overall –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83052" name="Picture 33" descr="Line graph of the following data (Understanding Violence Against Women Score (UVAWS) – scale of 1 to 100). 2009: Women – 69; Men – 59; Overall – 64. 2013: Women – 68; Men – 60; Overall – 64. 2017: Women – 74; Men – 66; Overall – 70."/>
                    <pic:cNvPicPr/>
                  </pic:nvPicPr>
                  <pic:blipFill>
                    <a:blip r:embed="rId37">
                      <a:extLst>
                        <a:ext uri="{28A0092B-C50C-407E-A947-70E740481C1C}">
                          <a14:useLocalDpi xmlns:a14="http://schemas.microsoft.com/office/drawing/2010/main" val="0"/>
                        </a:ext>
                      </a:extLst>
                    </a:blip>
                    <a:stretch>
                      <a:fillRect/>
                    </a:stretch>
                  </pic:blipFill>
                  <pic:spPr>
                    <a:xfrm>
                      <a:off x="0" y="0"/>
                      <a:ext cx="5651500" cy="3164205"/>
                    </a:xfrm>
                    <a:prstGeom prst="rect">
                      <a:avLst/>
                    </a:prstGeom>
                  </pic:spPr>
                </pic:pic>
              </a:graphicData>
            </a:graphic>
          </wp:inline>
        </w:drawing>
      </w:r>
    </w:p>
    <w:p w14:paraId="5DB76BA6" w14:textId="77777777" w:rsidR="00514CC0" w:rsidRDefault="00E72B49">
      <w:pPr>
        <w:pStyle w:val="OWFigurefootnote"/>
      </w:pPr>
      <w:r>
        <w:t>Source: NCAS 2017, p. 44</w:t>
      </w:r>
    </w:p>
    <w:p w14:paraId="60A9A8E1" w14:textId="77777777" w:rsidR="00514CC0" w:rsidRDefault="00E72B49" w:rsidP="00F868FE">
      <w:pPr>
        <w:pStyle w:val="Heading6"/>
      </w:pPr>
      <w:r>
        <w:t>Recognition of the different forms of violence against women</w:t>
      </w:r>
    </w:p>
    <w:p w14:paraId="67C096F4" w14:textId="693A76A9" w:rsidR="00514CC0" w:rsidRDefault="00E72B49">
      <w:pPr>
        <w:pStyle w:val="BodyText"/>
      </w:pPr>
      <w:r>
        <w:t>A key trend in terms of community understanding of violence against women is that, overall, Australians are less likely to recognise non-physical forms of violence than physical forms. However, recognition of non-physical forms of violence has improved in the 2013 to 2017 period, particularly with regard to financial control, repeated criticism, and controlling a partner’s social life (a form of coercive control). While there were not significant differences between women and men in relation to recognition of physical violence (which is very high across the board), men are less likely than women to recognise most forms of non-physical violence as a form of violence.</w:t>
      </w:r>
      <w:r w:rsidR="00133517">
        <w:rPr>
          <w:rStyle w:val="EndnoteReference"/>
        </w:rPr>
        <w:endnoteReference w:id="191"/>
      </w:r>
    </w:p>
    <w:p w14:paraId="626BF8F6" w14:textId="6BBC8EC0" w:rsidR="00514CC0" w:rsidRDefault="00E72B49">
      <w:pPr>
        <w:pStyle w:val="BodyText"/>
      </w:pPr>
      <w:r>
        <w:t>Australians’ recognition of financial abuse (‘Tries to control by denying partner money’) has improved by 11 points between 2013 and 2017 (70 to 81). A 6-point positive difference between these years is also apparent for the non-physical form of violence described as ‘repeatedly criticises to make partner feel bad or useless’ (86 in 2013 to 92 in 2017). Control of social life also saw a 6-point upswing between 2013 and 2017 (85 to 91). Smaller positive gains are evident on all other non-physical violence items which have been asked in successive waves.</w:t>
      </w:r>
      <w:r w:rsidR="00133517">
        <w:rPr>
          <w:rStyle w:val="EndnoteReference"/>
        </w:rPr>
        <w:endnoteReference w:id="192"/>
      </w:r>
    </w:p>
    <w:p w14:paraId="633AEBE7" w14:textId="77777777" w:rsidR="00514CC0" w:rsidRDefault="00E72B49" w:rsidP="00F868FE">
      <w:pPr>
        <w:pStyle w:val="Heading6"/>
      </w:pPr>
      <w:r>
        <w:t>Recognition of the prevalence of violence against women and the gendered nature of partner violence</w:t>
      </w:r>
    </w:p>
    <w:p w14:paraId="6678E464" w14:textId="4777B30A" w:rsidR="00514CC0" w:rsidRDefault="00F64BDD">
      <w:pPr>
        <w:pStyle w:val="BodyText"/>
      </w:pPr>
      <w:r>
        <w:t>Several</w:t>
      </w:r>
      <w:r w:rsidR="00E72B49">
        <w:t xml:space="preserve"> questions asked in the NCAS pertain to knowledge about prevalence of violence against women and the gendered nature of violence, both in terms of perpetration and victimisation. This data suggests some areas of concern. For example, the proportion of Australians who agree that violence against women is a prevalent problem has remained fairly consistent between 2009 and 2017, with a decline of 2 percentage points from 74% in</w:t>
      </w:r>
      <w:r w:rsidR="00FC59B2">
        <w:t> </w:t>
      </w:r>
      <w:r w:rsidR="00E72B49">
        <w:t xml:space="preserve">2009 to 72% in 2017. This has been accompanied by an increase in the proportion of </w:t>
      </w:r>
      <w:r w:rsidR="00E72B49">
        <w:lastRenderedPageBreak/>
        <w:t>Australians (from 15% to 20%, or one in five in 2017) that disagrees that violence against women is a common problem.</w:t>
      </w:r>
      <w:r w:rsidR="003758C8">
        <w:rPr>
          <w:rStyle w:val="EndnoteReference"/>
        </w:rPr>
        <w:endnoteReference w:id="193"/>
      </w:r>
    </w:p>
    <w:p w14:paraId="46DECA9C" w14:textId="44BE2BF9" w:rsidR="00514CC0" w:rsidRDefault="00E72B49">
      <w:pPr>
        <w:pStyle w:val="BodyText"/>
      </w:pPr>
      <w:r>
        <w:t>The data also reveals a decline in Australians’ understanding or recognition of the gendered nature of intimate partner violence – that men are far more likely than women to perpetrate such violence, and that the prevalence and impacts of victimisation for women are far higher and more serious than for men. Between the years 2009 and 2017 there has been a 10% decline in people’s understanding or recognition that men are more likely than women to be perpetrators of domestic violence, from nearly three-quarters (74%) of Australians in 2009 to under two-thirds (64%) in 2017. There has also been an 8% decline in the proportion of Australians who understand that women suffer greater physical impacts than men from domestic violence, from 89% in 2009 to 81% in 2017. Perhaps most disturbingly, in 2017 less</w:t>
      </w:r>
      <w:r w:rsidR="00FC59B2">
        <w:t> </w:t>
      </w:r>
      <w:r>
        <w:t>than half (49%) believed that women experience greater fear of domestic violence than men, and almost half (48%) believed that the level of fear is equal for women and men. This represents a drop of 6 percentage points in the proportion of Australians who recognise the gendered nature of fear of domestic violence since 2009.</w:t>
      </w:r>
      <w:r w:rsidR="003758C8">
        <w:rPr>
          <w:rStyle w:val="EndnoteReference"/>
        </w:rPr>
        <w:endnoteReference w:id="194"/>
      </w:r>
    </w:p>
    <w:p w14:paraId="6C0FAD4B" w14:textId="691D9044" w:rsidR="00514CC0" w:rsidRDefault="00E72B49" w:rsidP="00F868FE">
      <w:pPr>
        <w:pStyle w:val="Heading5"/>
      </w:pPr>
      <w:r>
        <w:t>Community attitudes supportive of violence against women</w:t>
      </w:r>
    </w:p>
    <w:p w14:paraId="3078024B" w14:textId="77777777" w:rsidR="00514CC0" w:rsidRDefault="00E72B49">
      <w:pPr>
        <w:pStyle w:val="BodyText"/>
      </w:pPr>
      <w:r>
        <w:t xml:space="preserve">While results were consistent in 2009 and 2013, </w:t>
      </w:r>
      <w:r w:rsidRPr="002D0D52">
        <w:rPr>
          <w:rStyle w:val="Strong"/>
        </w:rPr>
        <w:t>between 2013 and 2017 there was a decrease in attitudinal support for violence against women across the Australian population</w:t>
      </w:r>
      <w:r>
        <w:t>. Again, women are more likely than men to demonstrate lower attitudinal support for violence against women.</w:t>
      </w:r>
    </w:p>
    <w:p w14:paraId="06FCCE64" w14:textId="1AF5507A" w:rsidR="00514CC0" w:rsidRDefault="00E72B49">
      <w:pPr>
        <w:pStyle w:val="BodyText"/>
      </w:pPr>
      <w:r>
        <w:t>In 2009 and 2013, the overall population average for the Community Attitudes Supportive</w:t>
      </w:r>
      <w:r w:rsidR="00FC59B2">
        <w:t xml:space="preserve"> </w:t>
      </w:r>
      <w:r>
        <w:t>of</w:t>
      </w:r>
      <w:r w:rsidR="00FC59B2">
        <w:t> </w:t>
      </w:r>
      <w:r>
        <w:t>Violence Against Women Scale score was 36 out of 100, which then dropped by 3</w:t>
      </w:r>
      <w:r w:rsidR="00FC59B2">
        <w:t> </w:t>
      </w:r>
      <w:r>
        <w:t>percentage points in 2017 to 33. Men’s average scores have skewed slightly higher than the population averages and women’s slightly lower than the population averages in all years. In 2017, this means that there is a 3 percentage point difference between men’s and</w:t>
      </w:r>
      <w:r w:rsidR="00FC59B2">
        <w:t> </w:t>
      </w:r>
      <w:r>
        <w:t xml:space="preserve">women’s scores (35% and 32% respectively) (see Figure </w:t>
      </w:r>
      <w:r w:rsidR="0017588F">
        <w:t>7</w:t>
      </w:r>
      <w:r>
        <w:t>, below).</w:t>
      </w:r>
      <w:r w:rsidR="003758C8">
        <w:rPr>
          <w:rStyle w:val="EndnoteReference"/>
        </w:rPr>
        <w:endnoteReference w:id="195"/>
      </w:r>
    </w:p>
    <w:p w14:paraId="2B868F52" w14:textId="09AD10FF" w:rsidR="00514CC0" w:rsidRDefault="00E72B49">
      <w:pPr>
        <w:pStyle w:val="OWFigurecaption"/>
      </w:pPr>
      <w:r>
        <w:lastRenderedPageBreak/>
        <w:t xml:space="preserve">Figure </w:t>
      </w:r>
      <w:r w:rsidR="0017588F">
        <w:t>7</w:t>
      </w:r>
      <w:r>
        <w:t>: Community attitudes supportive of violence against women score by gender, 2009</w:t>
      </w:r>
      <w:r w:rsidR="001B6A1A">
        <w:t>, 2013 and</w:t>
      </w:r>
      <w:r>
        <w:t xml:space="preserve"> 2017</w:t>
      </w:r>
    </w:p>
    <w:p w14:paraId="64351115" w14:textId="7264AC01" w:rsidR="00514CC0" w:rsidRDefault="00A22941" w:rsidP="009462FD">
      <w:pPr>
        <w:pStyle w:val="OWFigureinline"/>
      </w:pPr>
      <w:r>
        <w:rPr>
          <w:noProof/>
        </w:rPr>
        <w:drawing>
          <wp:inline distT="0" distB="0" distL="0" distR="0" wp14:anchorId="1B7EAF64" wp14:editId="3AA3FD26">
            <wp:extent cx="5651500" cy="3164205"/>
            <wp:effectExtent l="0" t="0" r="6350" b="0"/>
            <wp:docPr id="1245343729" name="Picture 38" descr="Line graph of the following data (Community Attitudes Supportive of Violence Against Women Scale Score – scale of 1 to 100). 2009: Women – 35; Men – 37; Overall – 36. 2013: Women – 35; Men – 37; Overall – 36. 2017: Women – 32; Men – 35; Overall –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43729" name="Picture 38" descr="Line graph of the following data (Community Attitudes Supportive of Violence Against Women Scale Score – scale of 1 to 100). 2009: Women – 35; Men – 37; Overall – 36. 2013: Women – 35; Men – 37; Overall – 36. 2017: Women – 32; Men – 35; Overall – 33."/>
                    <pic:cNvPicPr/>
                  </pic:nvPicPr>
                  <pic:blipFill>
                    <a:blip r:embed="rId38">
                      <a:extLst>
                        <a:ext uri="{28A0092B-C50C-407E-A947-70E740481C1C}">
                          <a14:useLocalDpi xmlns:a14="http://schemas.microsoft.com/office/drawing/2010/main" val="0"/>
                        </a:ext>
                      </a:extLst>
                    </a:blip>
                    <a:stretch>
                      <a:fillRect/>
                    </a:stretch>
                  </pic:blipFill>
                  <pic:spPr>
                    <a:xfrm>
                      <a:off x="0" y="0"/>
                      <a:ext cx="5651500" cy="3164205"/>
                    </a:xfrm>
                    <a:prstGeom prst="rect">
                      <a:avLst/>
                    </a:prstGeom>
                  </pic:spPr>
                </pic:pic>
              </a:graphicData>
            </a:graphic>
          </wp:inline>
        </w:drawing>
      </w:r>
    </w:p>
    <w:p w14:paraId="62DD39BA" w14:textId="77777777" w:rsidR="00514CC0" w:rsidRDefault="00E72B49">
      <w:pPr>
        <w:pStyle w:val="OWFigurefootnote"/>
      </w:pPr>
      <w:r>
        <w:t>Source: NCAS 2017, p. 93</w:t>
      </w:r>
    </w:p>
    <w:p w14:paraId="5BFC9260" w14:textId="035B095D" w:rsidR="00514CC0" w:rsidRDefault="00E72B49">
      <w:pPr>
        <w:pStyle w:val="BodyText"/>
      </w:pPr>
      <w:r>
        <w:t>The NCAS tests different themes clustered under ‘community attitudes supportive of violence against women’. The survey results have found different levels of attitudinal support for violence against women per theme. There has been, for example, a higher degree of support for ‘mistrusting women’s reports of violence’ and ‘disregarding the need</w:t>
      </w:r>
      <w:r w:rsidR="00FC59B2">
        <w:t> </w:t>
      </w:r>
      <w:r>
        <w:t>to gain sexual consent’ than for the other two themes (‘minimising violence against women’ and ‘excusing the perpetrator and holding women to account’).</w:t>
      </w:r>
      <w:r>
        <w:rPr>
          <w:rStyle w:val="OWSuperscript"/>
        </w:rPr>
        <w:footnoteReference w:id="14"/>
      </w:r>
    </w:p>
    <w:p w14:paraId="038845BE" w14:textId="77777777" w:rsidR="00514CC0" w:rsidRDefault="00E72B49" w:rsidP="00F868FE">
      <w:pPr>
        <w:pStyle w:val="Heading6"/>
      </w:pPr>
      <w:r>
        <w:t>Predictors of community members’ understanding of violence against women and community attitudes supportive of violence against women</w:t>
      </w:r>
    </w:p>
    <w:p w14:paraId="2EB7F73C" w14:textId="38C226D3" w:rsidR="00F47929" w:rsidRDefault="00E72B49">
      <w:pPr>
        <w:pStyle w:val="BodyText"/>
      </w:pPr>
      <w:r>
        <w:t xml:space="preserve">The 2017 NCAS analysis reveals that gender and age are the strongest demographic factors predictive of respondents’ understanding of violence against women and endorsement of attitudes supportive of violence against women. That is, women are more likely than men to better understand violence against women and less likely to endorse attitudes supportive of violence against women. Older people are less likely than other age groups to demonstrate good understanding of violence against women and are more likely to endorse violence-supportive attitudes. Other demographic factors have a weaker association, and certain demographic factors such as Indigenous status or disability have no association whatsoever with respondents’ understanding of violence against women and endorsement of attitudes supportive of violence against women. What is far more predictive of violence-supportive </w:t>
      </w:r>
      <w:r>
        <w:lastRenderedPageBreak/>
        <w:t xml:space="preserve">attitudes and a lower understanding of violence against women is the degree to which respondents hold sexist attitudes and </w:t>
      </w:r>
      <w:r w:rsidR="00C110DD">
        <w:t xml:space="preserve">other </w:t>
      </w:r>
      <w:r w:rsidR="00DB0A5B">
        <w:t>prejudicial attitudes</w:t>
      </w:r>
      <w:r w:rsidR="00C110DD">
        <w:t xml:space="preserve"> (such as those based on</w:t>
      </w:r>
      <w:r w:rsidR="007C4B16">
        <w:t> </w:t>
      </w:r>
      <w:r w:rsidR="00B00120">
        <w:t>ethnicity, disability</w:t>
      </w:r>
      <w:r w:rsidR="0095278D">
        <w:t xml:space="preserve"> or</w:t>
      </w:r>
      <w:r w:rsidR="00550B9E">
        <w:t xml:space="preserve"> sexuality</w:t>
      </w:r>
      <w:r w:rsidR="00B00120">
        <w:t>)</w:t>
      </w:r>
      <w:r>
        <w:t>.</w:t>
      </w:r>
      <w:r w:rsidR="003068B0">
        <w:rPr>
          <w:rStyle w:val="EndnoteReference"/>
        </w:rPr>
        <w:endnoteReference w:id="196"/>
      </w:r>
    </w:p>
    <w:p w14:paraId="1DE84DD6" w14:textId="5535868F" w:rsidR="00514CC0" w:rsidRDefault="00E72B49">
      <w:pPr>
        <w:pStyle w:val="BodyText"/>
      </w:pPr>
      <w:r>
        <w:t>These associations are further discussed in Monitoring domain 6: Intersecting drivers of</w:t>
      </w:r>
      <w:r w:rsidR="00875C5C">
        <w:t> </w:t>
      </w:r>
      <w:r w:rsidR="00875C5C" w:rsidRPr="00875C5C">
        <w:t>drivers of violence (other forms of oppression and discrimination)</w:t>
      </w:r>
      <w:r>
        <w:t>, and Monitoring domain 10: Backlash factors.</w:t>
      </w:r>
    </w:p>
    <w:p w14:paraId="73FECCFA" w14:textId="77777777" w:rsidR="00514CC0" w:rsidRDefault="00E72B49" w:rsidP="00E1549C">
      <w:pPr>
        <w:pStyle w:val="Heading4"/>
      </w:pPr>
      <w:r>
        <w:t>Indicator 1.2: Community’s (self-reported) willingness to intervene in violence and sexual harassment against women</w:t>
      </w:r>
    </w:p>
    <w:tbl>
      <w:tblPr>
        <w:tblStyle w:val="Indicatoroutlineteal"/>
        <w:tblW w:w="9072" w:type="dxa"/>
        <w:tblLayout w:type="fixed"/>
        <w:tblLook w:val="0680" w:firstRow="0" w:lastRow="0" w:firstColumn="1" w:lastColumn="0" w:noHBand="1" w:noVBand="1"/>
      </w:tblPr>
      <w:tblGrid>
        <w:gridCol w:w="2268"/>
        <w:gridCol w:w="6804"/>
      </w:tblGrid>
      <w:tr w:rsidR="00514CC0" w14:paraId="10A74A83" w14:textId="77777777" w:rsidTr="005720A2">
        <w:trPr>
          <w:cantSplit/>
          <w:trHeight w:val="60"/>
        </w:trPr>
        <w:tc>
          <w:tcPr>
            <w:tcW w:w="2268" w:type="dxa"/>
          </w:tcPr>
          <w:p w14:paraId="110A828B" w14:textId="77777777" w:rsidR="00514CC0" w:rsidRDefault="00E72B49">
            <w:pPr>
              <w:pStyle w:val="OWTablebodyleft"/>
            </w:pPr>
            <w:r>
              <w:t>What does this indicator tell us about Monitoring domain 1: Condoning of violence against women?</w:t>
            </w:r>
          </w:p>
        </w:tc>
        <w:tc>
          <w:tcPr>
            <w:tcW w:w="6803" w:type="dxa"/>
          </w:tcPr>
          <w:p w14:paraId="5B3EBB60" w14:textId="77777777" w:rsidR="00514CC0" w:rsidRDefault="00E72B49">
            <w:pPr>
              <w:pStyle w:val="OWTablebodyleft"/>
            </w:pPr>
            <w:r>
              <w:t>The interventions people make when they are witness to violence-supportive and sexist attitudes, or incidents of violence or sexual harassment against women, are known as ‘bystander actions’. The extent to which individuals are willing to undertake bystander action reflects the extent to which they recognise violence or its antecedents, see violence against women as a problem, are willing to take responsibility to address it, are confident about what action to take, and feel they will receive support from others when they do so. In this sense, individuals’ willingness to undertake bystander action is a reflection of the extent to which the social norm of condoning of violence against women is being challenged.</w:t>
            </w:r>
          </w:p>
        </w:tc>
      </w:tr>
      <w:tr w:rsidR="00514CC0" w14:paraId="19FF64C3" w14:textId="77777777" w:rsidTr="005720A2">
        <w:trPr>
          <w:cantSplit/>
          <w:trHeight w:val="60"/>
        </w:trPr>
        <w:tc>
          <w:tcPr>
            <w:tcW w:w="2268" w:type="dxa"/>
          </w:tcPr>
          <w:p w14:paraId="7CE247FF" w14:textId="77777777" w:rsidR="00514CC0" w:rsidRDefault="00E72B49">
            <w:pPr>
              <w:pStyle w:val="OWTablebodyleft"/>
            </w:pPr>
            <w:r>
              <w:t>Expected change if high-quality programs and infrastructure for prevention of violence against women and gender equality are implemented</w:t>
            </w:r>
          </w:p>
        </w:tc>
        <w:tc>
          <w:tcPr>
            <w:tcW w:w="6803" w:type="dxa"/>
          </w:tcPr>
          <w:p w14:paraId="0FF0FBA0" w14:textId="77777777" w:rsidR="00514CC0" w:rsidRDefault="00E72B49">
            <w:pPr>
              <w:pStyle w:val="OWTablebodyleft"/>
            </w:pPr>
            <w:r>
              <w:t>Short- and medium-term: proportion of the population who say they would intervene will increase.</w:t>
            </w:r>
          </w:p>
          <w:p w14:paraId="2AF1D183" w14:textId="77777777" w:rsidR="00514CC0" w:rsidRDefault="00E72B49">
            <w:pPr>
              <w:pStyle w:val="OWTablebodyleft"/>
            </w:pPr>
            <w:r>
              <w:t>Long-term: proportion of the population who say they will intervene will peak and plateau.</w:t>
            </w:r>
          </w:p>
        </w:tc>
      </w:tr>
      <w:tr w:rsidR="00514CC0" w14:paraId="6CD3996B" w14:textId="77777777" w:rsidTr="005720A2">
        <w:trPr>
          <w:cantSplit/>
          <w:trHeight w:val="60"/>
        </w:trPr>
        <w:tc>
          <w:tcPr>
            <w:tcW w:w="2268" w:type="dxa"/>
          </w:tcPr>
          <w:p w14:paraId="75C93BF7" w14:textId="77777777" w:rsidR="00514CC0" w:rsidRDefault="00E72B49">
            <w:pPr>
              <w:pStyle w:val="OWTablebodyleft"/>
            </w:pPr>
            <w:r>
              <w:t>Data source(s)</w:t>
            </w:r>
          </w:p>
        </w:tc>
        <w:tc>
          <w:tcPr>
            <w:tcW w:w="6803" w:type="dxa"/>
          </w:tcPr>
          <w:p w14:paraId="440E7C99" w14:textId="77777777" w:rsidR="00514CC0" w:rsidRDefault="00E72B49" w:rsidP="002C2EC7">
            <w:pPr>
              <w:pStyle w:val="OWNumberdigit"/>
              <w:numPr>
                <w:ilvl w:val="0"/>
                <w:numId w:val="14"/>
              </w:numPr>
            </w:pPr>
            <w:r>
              <w:t>National Community Attitudes towards Violence against Women Survey (NCAS) 2017, Australia’s National Research Organisation for Women’s Safety (ANROWS)</w:t>
            </w:r>
          </w:p>
          <w:p w14:paraId="7ACEDBCF" w14:textId="7D71B537" w:rsidR="00514CC0" w:rsidRDefault="00E72B49">
            <w:pPr>
              <w:pStyle w:val="OWTablenumberdigit"/>
            </w:pPr>
            <w:r>
              <w:t>National Workplace Sexual Harassment Surveys 2012 and 2018, Australian Human Rights Commission (AHRC)</w:t>
            </w:r>
            <w:r w:rsidR="00921832">
              <w:rPr>
                <w:rStyle w:val="EndnoteReference"/>
              </w:rPr>
              <w:endnoteReference w:id="197"/>
            </w:r>
          </w:p>
        </w:tc>
      </w:tr>
      <w:tr w:rsidR="00514CC0" w14:paraId="331D4FCF" w14:textId="77777777" w:rsidTr="005720A2">
        <w:trPr>
          <w:cantSplit/>
          <w:trHeight w:val="60"/>
        </w:trPr>
        <w:tc>
          <w:tcPr>
            <w:tcW w:w="2268" w:type="dxa"/>
          </w:tcPr>
          <w:p w14:paraId="0CB19C94" w14:textId="77777777" w:rsidR="00514CC0" w:rsidRDefault="00E72B49">
            <w:pPr>
              <w:pStyle w:val="OWTablebodyleft"/>
            </w:pPr>
            <w:r>
              <w:t>Change over time summary: short-term change revealed by the data</w:t>
            </w:r>
          </w:p>
        </w:tc>
        <w:tc>
          <w:tcPr>
            <w:tcW w:w="6803" w:type="dxa"/>
          </w:tcPr>
          <w:p w14:paraId="14D0933D" w14:textId="77777777" w:rsidR="00514CC0" w:rsidRDefault="00E72B49">
            <w:pPr>
              <w:pStyle w:val="OWTablebodyleft"/>
            </w:pPr>
            <w:r>
              <w:t>Only baseline data is available from the NCAS, due to the addition of new questions in the 2017 survey. This data indicates a high level of willingness by individuals to undertake bystander action.</w:t>
            </w:r>
          </w:p>
          <w:p w14:paraId="20AD4ADA" w14:textId="77777777" w:rsidR="00514CC0" w:rsidRDefault="00E72B49">
            <w:pPr>
              <w:pStyle w:val="OWTablebodyleft"/>
            </w:pPr>
            <w:r>
              <w:t>The AHRC’s data on actual reported bystander action shows a considerable decrease in the proportion of the adult population that has witnessed workplace sexual harassment and actually taken action in response.</w:t>
            </w:r>
          </w:p>
        </w:tc>
      </w:tr>
      <w:tr w:rsidR="00514CC0" w14:paraId="66A53FA8" w14:textId="77777777" w:rsidTr="005720A2">
        <w:trPr>
          <w:cantSplit/>
          <w:trHeight w:val="60"/>
        </w:trPr>
        <w:tc>
          <w:tcPr>
            <w:tcW w:w="2268" w:type="dxa"/>
          </w:tcPr>
          <w:p w14:paraId="068B7E09" w14:textId="77777777" w:rsidR="00514CC0" w:rsidRDefault="00E72B49">
            <w:pPr>
              <w:pStyle w:val="OWTablebodyleft"/>
            </w:pPr>
            <w:r>
              <w:lastRenderedPageBreak/>
              <w:t>Does the change confirm or run contrary to expected change?</w:t>
            </w:r>
          </w:p>
        </w:tc>
        <w:tc>
          <w:tcPr>
            <w:tcW w:w="6803" w:type="dxa"/>
          </w:tcPr>
          <w:p w14:paraId="306EDDD6" w14:textId="2DF06A05" w:rsidR="00514CC0" w:rsidRDefault="00E72B49">
            <w:pPr>
              <w:pStyle w:val="OWTablebodyleft"/>
            </w:pPr>
            <w:r>
              <w:t>The AHRC’s data on a decreased propensity for witnesses to workplace sexual harassment to undertake bystander action runs</w:t>
            </w:r>
            <w:r w:rsidR="00FC59B2">
              <w:t> </w:t>
            </w:r>
            <w:r>
              <w:t>contrary to the expected increase in bystander action.</w:t>
            </w:r>
          </w:p>
          <w:p w14:paraId="284127EC" w14:textId="77777777" w:rsidR="00514CC0" w:rsidRDefault="00E72B49">
            <w:pPr>
              <w:pStyle w:val="OWTablebodyleft"/>
            </w:pPr>
            <w:r>
              <w:t>The next wave of the NCAS will reveal the extent of any change over time in relation to willingness to undertake bystander action.</w:t>
            </w:r>
          </w:p>
        </w:tc>
      </w:tr>
      <w:tr w:rsidR="00514CC0" w14:paraId="2EAA020F" w14:textId="77777777" w:rsidTr="005720A2">
        <w:trPr>
          <w:cantSplit/>
          <w:trHeight w:val="60"/>
        </w:trPr>
        <w:tc>
          <w:tcPr>
            <w:tcW w:w="2268" w:type="dxa"/>
          </w:tcPr>
          <w:p w14:paraId="6C87EF56" w14:textId="77777777" w:rsidR="00514CC0" w:rsidRDefault="00E72B49">
            <w:pPr>
              <w:pStyle w:val="OWTablebodyleft"/>
            </w:pPr>
            <w:r>
              <w:t>Gaps in existing data</w:t>
            </w:r>
          </w:p>
        </w:tc>
        <w:tc>
          <w:tcPr>
            <w:tcW w:w="6803" w:type="dxa"/>
          </w:tcPr>
          <w:p w14:paraId="35F5B83E" w14:textId="77777777" w:rsidR="00514CC0" w:rsidRDefault="00E72B49">
            <w:pPr>
              <w:pStyle w:val="OWTablebodyleft"/>
            </w:pPr>
            <w:r>
              <w:t>It is unclear at this point why there is a disjuncture between individuals’ attitudinal willingness to undertake bystander action, and a decline in actual bystander action.</w:t>
            </w:r>
          </w:p>
        </w:tc>
      </w:tr>
    </w:tbl>
    <w:p w14:paraId="4FE6CA95" w14:textId="77777777" w:rsidR="00514CC0" w:rsidRDefault="00E72B49" w:rsidP="00F868FE">
      <w:pPr>
        <w:pStyle w:val="Heading5"/>
      </w:pPr>
      <w:r>
        <w:t>Attitudinal willingness to undertake bystander action</w:t>
      </w:r>
    </w:p>
    <w:p w14:paraId="63F6A0D3" w14:textId="16371738" w:rsidR="00514CC0" w:rsidRDefault="00E72B49">
      <w:pPr>
        <w:pStyle w:val="BodyText"/>
      </w:pPr>
      <w:r>
        <w:t>The most recent NCAS wave (2017) revised the bystander questions to focus on scenarios of</w:t>
      </w:r>
      <w:r w:rsidR="00FC59B2">
        <w:t> </w:t>
      </w:r>
      <w:r>
        <w:t>witnessing sexism, discrimination and abuse in the public sphere. Of relevance to this indicator, respondents were asked how they would feel, whether they would be willing to act, whether they would know what to do, and whether they think they would have the support of their peers in intervening, in relation to a verbal abuse scenario.</w:t>
      </w:r>
    </w:p>
    <w:p w14:paraId="0784B1AC" w14:textId="5C3354AA" w:rsidR="00514CC0" w:rsidRDefault="00E72B49">
      <w:pPr>
        <w:pStyle w:val="BodyText"/>
      </w:pPr>
      <w:r>
        <w:t>Respondents were asked about a scenario in which they witness a man insulting or verbally abusing a female partner. For this bystander scenario, there was no significant difference in how women and men responded. Almost all Australians say that they would feel bothered by witnessing this scenario (98%).</w:t>
      </w:r>
      <w:r w:rsidR="00921832">
        <w:rPr>
          <w:rStyle w:val="EndnoteReference"/>
        </w:rPr>
        <w:endnoteReference w:id="198"/>
      </w:r>
      <w:r w:rsidRPr="00921832">
        <w:rPr>
          <w:rStyle w:val="EndnoteReference"/>
        </w:rPr>
        <w:t>,</w:t>
      </w:r>
      <w:r w:rsidR="00921832">
        <w:rPr>
          <w:rStyle w:val="EndnoteReference"/>
        </w:rPr>
        <w:endnoteReference w:id="199"/>
      </w:r>
      <w:r>
        <w:t xml:space="preserve"> Of those who indicated they would feel bothered by witnessing a man verbally abusing a woman, seven out of ten (70%) said that they would act,</w:t>
      </w:r>
      <w:r w:rsidR="00FC59B2">
        <w:t> </w:t>
      </w:r>
      <w:r>
        <w:t>22% said they would like to act but wouldn’t know how, and 5% said they would feel uncomfortable but would not know what to do.</w:t>
      </w:r>
      <w:r w:rsidR="00921832">
        <w:rPr>
          <w:rStyle w:val="EndnoteReference"/>
        </w:rPr>
        <w:endnoteReference w:id="200"/>
      </w:r>
      <w:r>
        <w:t xml:space="preserve"> The results indicate a reasonably high level of confidence in undertaking bystander action, though there is a considerable minority of individuals who indicate they would like to act but lack the knowledge or confidence to take bystander action.</w:t>
      </w:r>
    </w:p>
    <w:p w14:paraId="08A0BFFF" w14:textId="3F7B89A7" w:rsidR="00514CC0" w:rsidRDefault="00E72B49">
      <w:pPr>
        <w:pStyle w:val="BodyText"/>
      </w:pPr>
      <w:r>
        <w:t>In response to being asked whether they feel they would be supported by their peers in taking action, seven out of ten (69%) said that they would have the support of all or most of their friends. A further 22% said they would have the support of only some of their friends, while 7% said they would have the support of few, if any, of their friends in taking bystander action.</w:t>
      </w:r>
      <w:r w:rsidR="00921832">
        <w:rPr>
          <w:rStyle w:val="EndnoteReference"/>
        </w:rPr>
        <w:endnoteReference w:id="201"/>
      </w:r>
    </w:p>
    <w:p w14:paraId="19F24912" w14:textId="07705562" w:rsidR="00514CC0" w:rsidRDefault="00E72B49">
      <w:pPr>
        <w:pStyle w:val="BodyText"/>
      </w:pPr>
      <w:r>
        <w:t>While there were no significant gender differences, other demographic factors did have an influence on how individuals said they would respond to witnessing a man’s verbal abuse of a woman. Older people (65 years and over) indicated that they were less likely to act and more likely to not know how to act. The one exception to this is older people with disability (compared to other older Australians aged 65 years and over), who say they would have the</w:t>
      </w:r>
      <w:r w:rsidR="007C4B16">
        <w:t> </w:t>
      </w:r>
      <w:r>
        <w:t xml:space="preserve">support of at least some of their friends in </w:t>
      </w:r>
      <w:r w:rsidR="000350EA">
        <w:t>acting</w:t>
      </w:r>
      <w:r>
        <w:t xml:space="preserve">. Workers from certain blue-collar occupational categories (machinery operators and drivers) indicated that they were unlikely to have support from their friends to act, while labourers were more likely than workers from other occupations to say that they would not act. Employed people were more willing to </w:t>
      </w:r>
      <w:r w:rsidR="00B37BED">
        <w:t>act</w:t>
      </w:r>
      <w:r>
        <w:t xml:space="preserve">, and to expect to receive support for action. People living in remote areas were less likely to </w:t>
      </w:r>
      <w:r w:rsidR="00B37BED">
        <w:t>act</w:t>
      </w:r>
      <w:r>
        <w:t xml:space="preserve">, even if they felt uncomfortable about what they had witnessed. </w:t>
      </w:r>
      <w:r w:rsidRPr="006F208E">
        <w:t>People</w:t>
      </w:r>
      <w:r w:rsidRPr="00DB2B6B">
        <w:t xml:space="preserve"> living </w:t>
      </w:r>
      <w:r w:rsidRPr="00DB2B6B">
        <w:lastRenderedPageBreak/>
        <w:t>in</w:t>
      </w:r>
      <w:r w:rsidR="00256C4F">
        <w:t> </w:t>
      </w:r>
      <w:r w:rsidRPr="00DB2B6B">
        <w:t>circumstances aligning with the ‘most disadvantaged area’</w:t>
      </w:r>
      <w:r w:rsidR="00E754A5" w:rsidRPr="006F208E">
        <w:rPr>
          <w:rStyle w:val="FootnoteReference"/>
        </w:rPr>
        <w:footnoteReference w:id="15"/>
      </w:r>
      <w:r w:rsidRPr="006F208E">
        <w:t xml:space="preserve"> category were more likely to say they would have the support of few, if any, of their friends if they were to take action.</w:t>
      </w:r>
      <w:r w:rsidR="00921832" w:rsidRPr="006F208E">
        <w:rPr>
          <w:rStyle w:val="EndnoteReference"/>
        </w:rPr>
        <w:endnoteReference w:id="202"/>
      </w:r>
    </w:p>
    <w:p w14:paraId="7EE9EA30" w14:textId="77777777" w:rsidR="00514CC0" w:rsidRDefault="00E72B49" w:rsidP="00F868FE">
      <w:pPr>
        <w:pStyle w:val="Heading5"/>
      </w:pPr>
      <w:r>
        <w:t>Reported instances of bystander action on workplace sexual harassment</w:t>
      </w:r>
    </w:p>
    <w:p w14:paraId="6ECA2B8C" w14:textId="56DE74A6" w:rsidR="00514CC0" w:rsidRDefault="00E72B49">
      <w:pPr>
        <w:pStyle w:val="BodyText"/>
      </w:pPr>
      <w:r>
        <w:t>Whereas the NCAS results indicate a high level of willingness to intervene in violence against women based on hypothetical scenarios, results from successive Australian Human Rights Commission surveys provide a more sobering picture of the level of bystander action actually</w:t>
      </w:r>
      <w:r w:rsidR="00FC59B2">
        <w:t> </w:t>
      </w:r>
      <w:r>
        <w:t>taken by Australians who have witnessed or heard about workplace sexual harassment. In 2012, 13% of Australians reported that they had witnessed or heard about sexual harassment in their workplace in the previous five years. In 2018, this had increased threefold to 38%. While witnessed incidence has increased markedly, people’s willingness to</w:t>
      </w:r>
      <w:r w:rsidR="00FC59B2">
        <w:t> </w:t>
      </w:r>
      <w:r>
        <w:t xml:space="preserve">take action on workplace sexual harassment has decreased very significantly across the same time period. In 2012, half (51%) of those who reported witnessing or hearing about workplace sexual harassment in the previous five years said they took some form of action. This figure decreased by 16 percentage points in 2018 to 35% (see Figure </w:t>
      </w:r>
      <w:r w:rsidR="0017588F">
        <w:t>8</w:t>
      </w:r>
      <w:r>
        <w:t>, below). That is, in 2018, only one in three Australians who witnessed workplace sexual harassment in the past five years reported taking some form of action.</w:t>
      </w:r>
      <w:r w:rsidR="009F0D4B">
        <w:rPr>
          <w:rStyle w:val="EndnoteReference"/>
        </w:rPr>
        <w:endnoteReference w:id="203"/>
      </w:r>
    </w:p>
    <w:p w14:paraId="5CF57A4A" w14:textId="0F5C4FD9" w:rsidR="00514CC0" w:rsidRDefault="00E72B49">
      <w:pPr>
        <w:pStyle w:val="OWFigurecaption"/>
      </w:pPr>
      <w:r>
        <w:t xml:space="preserve">Figure </w:t>
      </w:r>
      <w:r w:rsidR="0017588F">
        <w:t>8</w:t>
      </w:r>
      <w:r>
        <w:t xml:space="preserve">: </w:t>
      </w:r>
      <w:r w:rsidR="003D66A3" w:rsidRPr="003D66A3">
        <w:t>Of surveyed Australians who reported they had witnessed or heard about sexual harassment in their workplace in the previous five years</w:t>
      </w:r>
      <w:r w:rsidR="003D66A3">
        <w:t>, p</w:t>
      </w:r>
      <w:r w:rsidR="003D66A3" w:rsidRPr="003D66A3">
        <w:t>roportion who said they took some form of action</w:t>
      </w:r>
    </w:p>
    <w:p w14:paraId="50616065" w14:textId="179E8378" w:rsidR="00514CC0" w:rsidRDefault="00652988" w:rsidP="004D60EA">
      <w:pPr>
        <w:pStyle w:val="OWFigureinline"/>
      </w:pPr>
      <w:r>
        <w:rPr>
          <w:noProof/>
        </w:rPr>
        <w:drawing>
          <wp:inline distT="0" distB="0" distL="0" distR="0" wp14:anchorId="064E4130" wp14:editId="6BF7B5D3">
            <wp:extent cx="4231005" cy="2554605"/>
            <wp:effectExtent l="0" t="0" r="0" b="0"/>
            <wp:docPr id="1149164747" name="Picture 1" descr="Line graph of the following data (proportion). 2012 – 51%; 2018 –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64747" name="Picture 1" descr="Line graph of the following data (proportion). 2012 – 51%; 2018 – 35%."/>
                    <pic:cNvPicPr/>
                  </pic:nvPicPr>
                  <pic:blipFill>
                    <a:blip r:embed="rId39">
                      <a:extLst>
                        <a:ext uri="{28A0092B-C50C-407E-A947-70E740481C1C}">
                          <a14:useLocalDpi xmlns:a14="http://schemas.microsoft.com/office/drawing/2010/main" val="0"/>
                        </a:ext>
                      </a:extLst>
                    </a:blip>
                    <a:stretch>
                      <a:fillRect/>
                    </a:stretch>
                  </pic:blipFill>
                  <pic:spPr>
                    <a:xfrm>
                      <a:off x="0" y="0"/>
                      <a:ext cx="4231005" cy="2554605"/>
                    </a:xfrm>
                    <a:prstGeom prst="rect">
                      <a:avLst/>
                    </a:prstGeom>
                  </pic:spPr>
                </pic:pic>
              </a:graphicData>
            </a:graphic>
          </wp:inline>
        </w:drawing>
      </w:r>
    </w:p>
    <w:p w14:paraId="42BBD1AA" w14:textId="77777777" w:rsidR="00514CC0" w:rsidRDefault="00E72B49">
      <w:pPr>
        <w:pStyle w:val="OWFigurefootnote"/>
      </w:pPr>
      <w:r>
        <w:t>Source: AHRC National Workplace Sexual Harassment Survey 2018, p. 94</w:t>
      </w:r>
    </w:p>
    <w:p w14:paraId="33D9B9C3" w14:textId="77777777" w:rsidR="00256C4F" w:rsidRPr="00256C4F" w:rsidRDefault="00256C4F" w:rsidP="00256C4F">
      <w:pPr>
        <w:pStyle w:val="BodyText"/>
      </w:pPr>
      <w:r w:rsidRPr="00256C4F">
        <w:br w:type="page"/>
      </w:r>
    </w:p>
    <w:p w14:paraId="3A6751D5" w14:textId="7B883803" w:rsidR="00514CC0" w:rsidRDefault="00E72B49">
      <w:pPr>
        <w:pStyle w:val="BodyText"/>
      </w:pPr>
      <w:r>
        <w:lastRenderedPageBreak/>
        <w:t xml:space="preserve">Of the actions taken, the most common response was to provide support to the victim, rather than to interrupt the perpetrator’s actions or hold the perpetrator publicly accountable. Seven in ten people (71%) who </w:t>
      </w:r>
      <w:r w:rsidR="00602F38">
        <w:t>acted</w:t>
      </w:r>
      <w:r>
        <w:t xml:space="preserve"> upon witnessing or hearing about</w:t>
      </w:r>
      <w:r w:rsidR="00FC59B2">
        <w:t> </w:t>
      </w:r>
      <w:r>
        <w:t>sexual harassment in the five years prior to 2018 said that they talked with or listened to the victim. Over half (59%) of women and half (50%) of men said they offered advice to the victim. Less than half spoke with the perpetrator (46% of men and 31% of women). In addition, less than half (47%) of witnessed cases were reported to the employer by the bystander.</w:t>
      </w:r>
      <w:r w:rsidR="009F0D4B">
        <w:rPr>
          <w:rStyle w:val="EndnoteReference"/>
        </w:rPr>
        <w:endnoteReference w:id="204"/>
      </w:r>
    </w:p>
    <w:p w14:paraId="28BB2183" w14:textId="77777777" w:rsidR="00514CC0" w:rsidRDefault="00E72B49">
      <w:pPr>
        <w:pStyle w:val="BodyText"/>
      </w:pPr>
      <w:r>
        <w:t>The AHRC survey is also instructive in terms of understanding why people do not take bystander action when witnessing violence against women. Of the majority of people who witnessed such incidents and did not take action, the most common reasons selected in 2018 were as follows:</w:t>
      </w:r>
    </w:p>
    <w:p w14:paraId="2E015CDB" w14:textId="77777777" w:rsidR="00514CC0" w:rsidRDefault="00E72B49">
      <w:pPr>
        <w:pStyle w:val="OWBullet1"/>
      </w:pPr>
      <w:r>
        <w:t>41% said there were already other people supporting the victim.</w:t>
      </w:r>
    </w:p>
    <w:p w14:paraId="0554153B" w14:textId="77777777" w:rsidR="00514CC0" w:rsidRDefault="00E72B49">
      <w:pPr>
        <w:pStyle w:val="OWBullet1"/>
      </w:pPr>
      <w:r>
        <w:t>25% said they didn’t want to make things worse for the victim.</w:t>
      </w:r>
    </w:p>
    <w:p w14:paraId="05BF197B" w14:textId="77777777" w:rsidR="00514CC0" w:rsidRDefault="00E72B49">
      <w:pPr>
        <w:pStyle w:val="OWBullet1"/>
      </w:pPr>
      <w:r>
        <w:t>21% said the victim asked the bystander not to act.</w:t>
      </w:r>
    </w:p>
    <w:p w14:paraId="0F413B22" w14:textId="77777777" w:rsidR="00514CC0" w:rsidRDefault="00E72B49">
      <w:pPr>
        <w:pStyle w:val="OWBullet1"/>
      </w:pPr>
      <w:r>
        <w:t>21% said they didn’t think it was serious enough to warrant intervention.</w:t>
      </w:r>
    </w:p>
    <w:p w14:paraId="54864AB6" w14:textId="77777777" w:rsidR="00514CC0" w:rsidRDefault="00E72B49">
      <w:pPr>
        <w:pStyle w:val="OWBullet1"/>
      </w:pPr>
      <w:r>
        <w:t>20% said they didn’t want to get involved.</w:t>
      </w:r>
    </w:p>
    <w:p w14:paraId="3EED0D45" w14:textId="77777777" w:rsidR="00514CC0" w:rsidRDefault="00E72B49">
      <w:pPr>
        <w:pStyle w:val="OWBullet1"/>
      </w:pPr>
      <w:r>
        <w:t>17% said they didn’t think it was their responsibility.</w:t>
      </w:r>
    </w:p>
    <w:p w14:paraId="2722F226" w14:textId="77777777" w:rsidR="00514CC0" w:rsidRDefault="00E72B49">
      <w:pPr>
        <w:pStyle w:val="OWBullet1"/>
      </w:pPr>
      <w:r>
        <w:t>16% said they didn’t know what to do.</w:t>
      </w:r>
    </w:p>
    <w:p w14:paraId="02B06CBB" w14:textId="77777777" w:rsidR="00514CC0" w:rsidRDefault="00E72B49">
      <w:pPr>
        <w:pStyle w:val="OWBullet1"/>
      </w:pPr>
      <w:r>
        <w:t>12% indicated they were worried about negative consequences for themselves if they were to act.</w:t>
      </w:r>
    </w:p>
    <w:p w14:paraId="4547FC01" w14:textId="48C79B26" w:rsidR="00514CC0" w:rsidRDefault="00E72B49">
      <w:pPr>
        <w:pStyle w:val="OWBullet1"/>
      </w:pPr>
      <w:r>
        <w:t>11% said that action had already been taken.</w:t>
      </w:r>
      <w:r w:rsidR="009F0D4B">
        <w:rPr>
          <w:rStyle w:val="EndnoteReference"/>
        </w:rPr>
        <w:endnoteReference w:id="205"/>
      </w:r>
    </w:p>
    <w:p w14:paraId="759B836F" w14:textId="084A6045" w:rsidR="00514CC0" w:rsidRDefault="00E72B49" w:rsidP="004D60EA">
      <w:pPr>
        <w:pStyle w:val="OWBodytextafterlist"/>
      </w:pPr>
      <w:r>
        <w:t>The results from the AHRC surveys on bystander behaviour stand in contrast to the attitudinal results from the NCAS. Together, the surveys provide an inconclusive picture of</w:t>
      </w:r>
      <w:r w:rsidR="00FC59B2">
        <w:t> </w:t>
      </w:r>
      <w:r>
        <w:t>how bystander attitudes and actions are reflecting any broader normative challenges to the condoning of violence against women in Australia. However, the AHRC survey results indicate a concerning trend away from individuals’ willingness to undertake bystander action.</w:t>
      </w:r>
    </w:p>
    <w:p w14:paraId="6A0E3EB2" w14:textId="6725407B" w:rsidR="00514CC0" w:rsidRDefault="00E72B49" w:rsidP="00E1549C">
      <w:pPr>
        <w:pStyle w:val="Heading4"/>
      </w:pPr>
      <w:r>
        <w:lastRenderedPageBreak/>
        <w:t>Indicator 1.3: Proportion of victims of violence against women who</w:t>
      </w:r>
      <w:r w:rsidR="00FC59B2">
        <w:t> </w:t>
      </w:r>
      <w:r>
        <w:t>sought help from someone</w:t>
      </w:r>
      <w:r w:rsidRPr="00487BBD">
        <w:rPr>
          <w:rStyle w:val="OWSuperscript"/>
        </w:rPr>
        <w:footnoteReference w:id="16"/>
      </w:r>
    </w:p>
    <w:tbl>
      <w:tblPr>
        <w:tblStyle w:val="Indicatoroutlineteal"/>
        <w:tblW w:w="9072" w:type="dxa"/>
        <w:tblLayout w:type="fixed"/>
        <w:tblLook w:val="0680" w:firstRow="0" w:lastRow="0" w:firstColumn="1" w:lastColumn="0" w:noHBand="1" w:noVBand="1"/>
      </w:tblPr>
      <w:tblGrid>
        <w:gridCol w:w="3406"/>
        <w:gridCol w:w="5666"/>
      </w:tblGrid>
      <w:tr w:rsidR="00514CC0" w14:paraId="54D0A35F" w14:textId="77777777" w:rsidTr="004D60EA">
        <w:trPr>
          <w:cantSplit/>
          <w:trHeight w:val="60"/>
        </w:trPr>
        <w:tc>
          <w:tcPr>
            <w:tcW w:w="3402" w:type="dxa"/>
          </w:tcPr>
          <w:p w14:paraId="3F8818CB" w14:textId="77777777" w:rsidR="00514CC0" w:rsidRDefault="00E72B49" w:rsidP="00652988">
            <w:pPr>
              <w:pStyle w:val="OWTablebodyleft"/>
            </w:pPr>
            <w:r>
              <w:t>What does this indicator tell us about Monitoring domain 1: Condoning of violence against women?</w:t>
            </w:r>
          </w:p>
        </w:tc>
        <w:tc>
          <w:tcPr>
            <w:tcW w:w="5659" w:type="dxa"/>
          </w:tcPr>
          <w:p w14:paraId="632BED53" w14:textId="77777777" w:rsidR="00514CC0" w:rsidRDefault="00E72B49">
            <w:pPr>
              <w:pStyle w:val="OWTablebodyleft"/>
            </w:pPr>
            <w:r>
              <w:t>This indicator relates to the condoning of violence against women by measuring the extent to which women subject to violence recognise their experience as violence, believe they can safely disclose their experience to someone, and feel able and willing to seek help.</w:t>
            </w:r>
          </w:p>
          <w:p w14:paraId="273C713B" w14:textId="34C0B70A" w:rsidR="00514CC0" w:rsidRDefault="00E72B49" w:rsidP="00C138A6">
            <w:pPr>
              <w:pStyle w:val="OWTablebodyleft"/>
            </w:pPr>
            <w:r>
              <w:t xml:space="preserve">The data presented here is primarily baseline data, due to the limitations of </w:t>
            </w:r>
            <w:r w:rsidR="00DC5F53">
              <w:t>publicly available</w:t>
            </w:r>
            <w:r>
              <w:t xml:space="preserve"> data being long-term in nature and therefore restricting the ability to compare to ascertain change over time</w:t>
            </w:r>
            <w:r w:rsidR="00C138A6">
              <w:t xml:space="preserve"> </w:t>
            </w:r>
            <w:r>
              <w:t>in</w:t>
            </w:r>
            <w:r w:rsidR="00C138A6">
              <w:t xml:space="preserve"> </w:t>
            </w:r>
            <w:r>
              <w:t>the</w:t>
            </w:r>
            <w:r w:rsidR="00C138A6">
              <w:t xml:space="preserve"> </w:t>
            </w:r>
            <w:r>
              <w:t>short</w:t>
            </w:r>
            <w:r>
              <w:rPr>
                <w:rFonts w:ascii="Cambria Math" w:hAnsi="Cambria Math" w:cs="Cambria Math"/>
              </w:rPr>
              <w:t>‑</w:t>
            </w:r>
            <w:r>
              <w:t>term.</w:t>
            </w:r>
          </w:p>
        </w:tc>
      </w:tr>
      <w:tr w:rsidR="00514CC0" w14:paraId="0B7FCA61" w14:textId="77777777" w:rsidTr="004D60EA">
        <w:trPr>
          <w:cantSplit/>
          <w:trHeight w:val="60"/>
        </w:trPr>
        <w:tc>
          <w:tcPr>
            <w:tcW w:w="3402" w:type="dxa"/>
          </w:tcPr>
          <w:p w14:paraId="63186387" w14:textId="77777777" w:rsidR="00514CC0" w:rsidRDefault="00E72B49">
            <w:pPr>
              <w:pStyle w:val="OWTablebodyleft"/>
            </w:pPr>
            <w:r>
              <w:t>Expected change if high-quality programs and infrastructure for prevention of violence against women and gender equality are implemented</w:t>
            </w:r>
          </w:p>
        </w:tc>
        <w:tc>
          <w:tcPr>
            <w:tcW w:w="5659" w:type="dxa"/>
          </w:tcPr>
          <w:p w14:paraId="39AF2116" w14:textId="77777777" w:rsidR="00514CC0" w:rsidRDefault="00E72B49">
            <w:pPr>
              <w:pStyle w:val="OWTablebodyleft"/>
            </w:pPr>
            <w:r>
              <w:t>Short- and medium-term: proportion of women who have experienced violence and have sought help will increase as people in the community become more supportive of survivors of violence and less condoning of violence against women.</w:t>
            </w:r>
          </w:p>
          <w:p w14:paraId="0E952A2D" w14:textId="77777777" w:rsidR="00514CC0" w:rsidRDefault="00E72B49">
            <w:pPr>
              <w:pStyle w:val="OWTablebodyleft"/>
            </w:pPr>
            <w:r>
              <w:t>Long-term: proportion of victims seeking help will plateau.</w:t>
            </w:r>
          </w:p>
        </w:tc>
      </w:tr>
      <w:tr w:rsidR="00514CC0" w14:paraId="5BED3D07" w14:textId="77777777" w:rsidTr="004D60EA">
        <w:trPr>
          <w:cantSplit/>
          <w:trHeight w:val="60"/>
        </w:trPr>
        <w:tc>
          <w:tcPr>
            <w:tcW w:w="3402" w:type="dxa"/>
          </w:tcPr>
          <w:p w14:paraId="4083B066" w14:textId="77777777" w:rsidR="00514CC0" w:rsidRDefault="00E72B49">
            <w:pPr>
              <w:pStyle w:val="OWTablebodyleft"/>
            </w:pPr>
            <w:r>
              <w:t>Data source(s)</w:t>
            </w:r>
          </w:p>
        </w:tc>
        <w:tc>
          <w:tcPr>
            <w:tcW w:w="5659" w:type="dxa"/>
          </w:tcPr>
          <w:p w14:paraId="171305A2" w14:textId="1ECEB888" w:rsidR="00514CC0" w:rsidRDefault="00E72B49" w:rsidP="002C2EC7">
            <w:pPr>
              <w:pStyle w:val="OWTablenumberdigit"/>
              <w:numPr>
                <w:ilvl w:val="0"/>
                <w:numId w:val="16"/>
              </w:numPr>
            </w:pPr>
            <w:r>
              <w:t>Personal Safety Survey (PSS)</w:t>
            </w:r>
            <w:r>
              <w:rPr>
                <w:rStyle w:val="OWSuperscript"/>
              </w:rPr>
              <w:footnoteReference w:id="17"/>
            </w:r>
            <w:r>
              <w:t xml:space="preserve"> 2012 and 2016, ABS</w:t>
            </w:r>
            <w:r w:rsidR="008E689E">
              <w:rPr>
                <w:rStyle w:val="EndnoteReference"/>
              </w:rPr>
              <w:endnoteReference w:id="206"/>
            </w:r>
          </w:p>
          <w:p w14:paraId="4FCBE3C1" w14:textId="77777777" w:rsidR="00514CC0" w:rsidRDefault="00E72B49">
            <w:pPr>
              <w:pStyle w:val="OWTablenumberdigit"/>
            </w:pPr>
            <w:r>
              <w:t>National Workplace Sexual Harassment Surveys 2012 and 2018, AHRC</w:t>
            </w:r>
          </w:p>
        </w:tc>
      </w:tr>
      <w:tr w:rsidR="00514CC0" w14:paraId="1FAA1546" w14:textId="77777777" w:rsidTr="004D60EA">
        <w:trPr>
          <w:cantSplit/>
          <w:trHeight w:val="60"/>
        </w:trPr>
        <w:tc>
          <w:tcPr>
            <w:tcW w:w="3402" w:type="dxa"/>
          </w:tcPr>
          <w:p w14:paraId="374B0E2F" w14:textId="77777777" w:rsidR="00514CC0" w:rsidRDefault="00E72B49">
            <w:pPr>
              <w:pStyle w:val="OWTablebodyleft"/>
            </w:pPr>
            <w:r>
              <w:lastRenderedPageBreak/>
              <w:t>Change over time summary: short-term change revealed by the data</w:t>
            </w:r>
          </w:p>
        </w:tc>
        <w:tc>
          <w:tcPr>
            <w:tcW w:w="5659" w:type="dxa"/>
          </w:tcPr>
          <w:p w14:paraId="556BF657" w14:textId="77777777" w:rsidR="00514CC0" w:rsidRDefault="00E72B49">
            <w:pPr>
              <w:pStyle w:val="OWTablebodyleft"/>
            </w:pPr>
            <w:r>
              <w:t>Due to the nature of the PSS data being long-term or lifetime, an analysis of change over time cannot be performed for this indicator. As such, only baseline PSS data is provided.</w:t>
            </w:r>
          </w:p>
          <w:p w14:paraId="29D65C92" w14:textId="77777777" w:rsidR="00514CC0" w:rsidRDefault="00E72B49">
            <w:pPr>
              <w:pStyle w:val="OWTablebodyleft"/>
            </w:pPr>
            <w:r>
              <w:t>AHRC workplace sexual harassment data suggests that there has been a decline in the proportion of women who have experienced workplace sexual harassment who have subsequently sought help or advice.</w:t>
            </w:r>
          </w:p>
        </w:tc>
      </w:tr>
      <w:tr w:rsidR="00514CC0" w14:paraId="73452657" w14:textId="77777777" w:rsidTr="004D60EA">
        <w:trPr>
          <w:cantSplit/>
          <w:trHeight w:val="60"/>
        </w:trPr>
        <w:tc>
          <w:tcPr>
            <w:tcW w:w="3402" w:type="dxa"/>
          </w:tcPr>
          <w:p w14:paraId="5AFED5CD" w14:textId="77777777" w:rsidR="00514CC0" w:rsidRDefault="00E72B49">
            <w:pPr>
              <w:pStyle w:val="OWTablebodyleft"/>
            </w:pPr>
            <w:r>
              <w:t>Does the change confirm or run contrary to expected change?</w:t>
            </w:r>
          </w:p>
        </w:tc>
        <w:tc>
          <w:tcPr>
            <w:tcW w:w="5659" w:type="dxa"/>
          </w:tcPr>
          <w:p w14:paraId="7D5CFC3A" w14:textId="77777777" w:rsidR="00514CC0" w:rsidRDefault="00E72B49">
            <w:pPr>
              <w:pStyle w:val="OWTablebodyleft"/>
            </w:pPr>
            <w:r>
              <w:t>Not applicable as mostly baseline data is presented here and no conclusive analysis of change over time is yet available.</w:t>
            </w:r>
          </w:p>
        </w:tc>
      </w:tr>
      <w:tr w:rsidR="00514CC0" w14:paraId="742989AE" w14:textId="77777777" w:rsidTr="004D60EA">
        <w:trPr>
          <w:cantSplit/>
          <w:trHeight w:val="60"/>
        </w:trPr>
        <w:tc>
          <w:tcPr>
            <w:tcW w:w="3402" w:type="dxa"/>
          </w:tcPr>
          <w:p w14:paraId="3EDCDFC0" w14:textId="77777777" w:rsidR="00514CC0" w:rsidRDefault="00E72B49">
            <w:pPr>
              <w:pStyle w:val="OWTablebodyleft"/>
            </w:pPr>
            <w:r>
              <w:t>Gaps in existing data</w:t>
            </w:r>
          </w:p>
        </w:tc>
        <w:tc>
          <w:tcPr>
            <w:tcW w:w="5659" w:type="dxa"/>
          </w:tcPr>
          <w:p w14:paraId="3A80A43D" w14:textId="77777777" w:rsidR="00514CC0" w:rsidRDefault="00E72B49">
            <w:pPr>
              <w:pStyle w:val="OWTablebodyleft"/>
            </w:pPr>
            <w:r>
              <w:t>The longer-term nature of publicly-available data for this indicator does not allow for an analysis of change over time. For this reason it is unclear whether there has been any change in help-seeking rates.</w:t>
            </w:r>
          </w:p>
        </w:tc>
      </w:tr>
    </w:tbl>
    <w:p w14:paraId="58BA4515" w14:textId="77777777" w:rsidR="00514CC0" w:rsidRDefault="00E72B49" w:rsidP="00F868FE">
      <w:pPr>
        <w:pStyle w:val="Heading5"/>
      </w:pPr>
      <w:r>
        <w:t>Sexual and physical violence against women by all male perpetrators: help</w:t>
      </w:r>
      <w:r>
        <w:rPr>
          <w:rFonts w:ascii="Cambria Math" w:hAnsi="Cambria Math" w:cs="Cambria Math"/>
        </w:rPr>
        <w:t>‑</w:t>
      </w:r>
      <w:r>
        <w:t>seeking rates</w:t>
      </w:r>
    </w:p>
    <w:p w14:paraId="7CF92F09" w14:textId="77777777" w:rsidR="00514CC0" w:rsidRDefault="00E72B49" w:rsidP="004D60EA">
      <w:pPr>
        <w:pStyle w:val="Heading6"/>
        <w:spacing w:before="160"/>
      </w:pPr>
      <w:r>
        <w:t>Sexual violence against women by a male perpetrator</w:t>
      </w:r>
      <w:r>
        <w:rPr>
          <w:rStyle w:val="OWSuperscript"/>
        </w:rPr>
        <w:footnoteReference w:id="18"/>
      </w:r>
    </w:p>
    <w:p w14:paraId="7E8E687F" w14:textId="14DABCE9" w:rsidR="00514CC0" w:rsidRDefault="0074522C">
      <w:pPr>
        <w:pStyle w:val="BodyText"/>
      </w:pPr>
      <w:r w:rsidRPr="0074522C">
        <w:t>The 2016 PSS results show that nearly half (49.6%) of those women who experienced sexual assault by a male perpetrator in the past ten years sought advice or support for their most recent incident, and two in five women (40.6%) who experienced sexual threat sought advice or support.</w:t>
      </w:r>
      <w:r>
        <w:rPr>
          <w:rStyle w:val="EndnoteReference"/>
        </w:rPr>
        <w:endnoteReference w:id="207"/>
      </w:r>
    </w:p>
    <w:p w14:paraId="384BD6A2" w14:textId="232EDEA0" w:rsidR="00514CC0" w:rsidRDefault="00E72B49">
      <w:pPr>
        <w:pStyle w:val="OWTablecaption"/>
      </w:pPr>
      <w:r>
        <w:t xml:space="preserve">Table </w:t>
      </w:r>
      <w:r w:rsidR="0017588F">
        <w:t>6</w:t>
      </w:r>
      <w:r>
        <w:t xml:space="preserve">: </w:t>
      </w:r>
      <w:r w:rsidR="00937FEF" w:rsidRPr="00937FEF">
        <w:t>Whether female victims sought support or advice for sexual assault, most recent incident, 2016, proportion (%) of women who experience sexual assault</w:t>
      </w:r>
    </w:p>
    <w:tbl>
      <w:tblPr>
        <w:tblStyle w:val="Datatableteal"/>
        <w:tblW w:w="9072" w:type="dxa"/>
        <w:tblLayout w:type="fixed"/>
        <w:tblLook w:val="06A0" w:firstRow="1" w:lastRow="0" w:firstColumn="1" w:lastColumn="0" w:noHBand="1" w:noVBand="1"/>
      </w:tblPr>
      <w:tblGrid>
        <w:gridCol w:w="5670"/>
        <w:gridCol w:w="3402"/>
      </w:tblGrid>
      <w:tr w:rsidR="006A434E" w14:paraId="00E960A0" w14:textId="77777777" w:rsidTr="005720A2">
        <w:trPr>
          <w:cnfStyle w:val="100000000000" w:firstRow="1" w:lastRow="0" w:firstColumn="0" w:lastColumn="0" w:oddVBand="0" w:evenVBand="0" w:oddHBand="0" w:evenHBand="0" w:firstRowFirstColumn="0" w:firstRowLastColumn="0" w:lastRowFirstColumn="0" w:lastRowLastColumn="0"/>
          <w:trHeight w:val="60"/>
          <w:tblHeader/>
        </w:trPr>
        <w:tc>
          <w:tcPr>
            <w:tcW w:w="5670" w:type="dxa"/>
          </w:tcPr>
          <w:p w14:paraId="5075E07D" w14:textId="77777777" w:rsidR="006A434E" w:rsidRPr="00F83DA0" w:rsidRDefault="006A434E">
            <w:pPr>
              <w:pStyle w:val="OWTablecolumnheadleft"/>
            </w:pPr>
            <w:r w:rsidRPr="00F83DA0">
              <w:t>Whether sought advice or support</w:t>
            </w:r>
          </w:p>
        </w:tc>
        <w:tc>
          <w:tcPr>
            <w:tcW w:w="3402" w:type="dxa"/>
          </w:tcPr>
          <w:p w14:paraId="79720038" w14:textId="2B2B67DE" w:rsidR="006A434E" w:rsidRPr="00F83DA0" w:rsidRDefault="006A434E">
            <w:pPr>
              <w:pStyle w:val="OWTablecolumnheadcentre"/>
            </w:pPr>
            <w:r>
              <w:t>Sexual assault 2016</w:t>
            </w:r>
          </w:p>
        </w:tc>
      </w:tr>
      <w:tr w:rsidR="006A434E" w14:paraId="4E39CCB5" w14:textId="77777777" w:rsidTr="005720A2">
        <w:trPr>
          <w:trHeight w:val="60"/>
        </w:trPr>
        <w:tc>
          <w:tcPr>
            <w:tcW w:w="5670" w:type="dxa"/>
          </w:tcPr>
          <w:p w14:paraId="142C9B3E" w14:textId="77777777" w:rsidR="006A434E" w:rsidRDefault="006A434E">
            <w:pPr>
              <w:pStyle w:val="OWTablebodyleft"/>
            </w:pPr>
            <w:r>
              <w:t>Sought advice or support</w:t>
            </w:r>
          </w:p>
        </w:tc>
        <w:tc>
          <w:tcPr>
            <w:tcW w:w="3402" w:type="dxa"/>
          </w:tcPr>
          <w:p w14:paraId="1F4FC064" w14:textId="77777777" w:rsidR="006A434E" w:rsidRDefault="006A434E">
            <w:pPr>
              <w:pStyle w:val="OWTablebodycentre"/>
            </w:pPr>
            <w:r>
              <w:t>49.6%</w:t>
            </w:r>
          </w:p>
        </w:tc>
      </w:tr>
      <w:tr w:rsidR="006A434E" w14:paraId="4402E367" w14:textId="77777777" w:rsidTr="005720A2">
        <w:trPr>
          <w:trHeight w:val="60"/>
        </w:trPr>
        <w:tc>
          <w:tcPr>
            <w:tcW w:w="5670" w:type="dxa"/>
          </w:tcPr>
          <w:p w14:paraId="1A6F2B79" w14:textId="77777777" w:rsidR="006A434E" w:rsidRDefault="006A434E">
            <w:pPr>
              <w:pStyle w:val="OWTablebodyleft"/>
            </w:pPr>
            <w:r>
              <w:t>Did not seek advice or support</w:t>
            </w:r>
          </w:p>
        </w:tc>
        <w:tc>
          <w:tcPr>
            <w:tcW w:w="3402" w:type="dxa"/>
          </w:tcPr>
          <w:p w14:paraId="76B6814A" w14:textId="77777777" w:rsidR="006A434E" w:rsidRDefault="006A434E">
            <w:pPr>
              <w:pStyle w:val="OWTablebodycentre"/>
            </w:pPr>
            <w:r>
              <w:t>51.2%</w:t>
            </w:r>
          </w:p>
        </w:tc>
      </w:tr>
    </w:tbl>
    <w:p w14:paraId="0E98186D" w14:textId="77777777" w:rsidR="00514CC0" w:rsidRDefault="00E72B49">
      <w:pPr>
        <w:pStyle w:val="OWTablefootnote"/>
      </w:pPr>
      <w:r>
        <w:t>Source: ABS, PSS 2016</w:t>
      </w:r>
    </w:p>
    <w:p w14:paraId="7BEDB5FB" w14:textId="77777777" w:rsidR="00514CC0" w:rsidRDefault="00E72B49" w:rsidP="00F868FE">
      <w:pPr>
        <w:pStyle w:val="Heading5"/>
      </w:pPr>
      <w:r>
        <w:t>Physical violence against women by a male perpetrator</w:t>
      </w:r>
    </w:p>
    <w:p w14:paraId="5683F41F" w14:textId="1D7FDD3C" w:rsidR="00514CC0" w:rsidRDefault="007A67EE">
      <w:pPr>
        <w:pStyle w:val="BodyText"/>
      </w:pPr>
      <w:r w:rsidRPr="007A67EE">
        <w:t xml:space="preserve">In 2016, approximately six in ten female victims of male-perpetrated physical assault (61.9%) and male-perpetrated physical threat (60.3%) reported seeking some form of advice or support following their most recent experience of violence (see Table </w:t>
      </w:r>
      <w:r w:rsidR="0017588F">
        <w:t>7</w:t>
      </w:r>
      <w:r w:rsidRPr="007A67EE">
        <w:t>, below).</w:t>
      </w:r>
      <w:r>
        <w:rPr>
          <w:rStyle w:val="EndnoteReference"/>
        </w:rPr>
        <w:endnoteReference w:id="208"/>
      </w:r>
    </w:p>
    <w:p w14:paraId="1F393AB5" w14:textId="072D0F78" w:rsidR="00514CC0" w:rsidRDefault="00E72B49">
      <w:pPr>
        <w:pStyle w:val="OWTablecaption"/>
      </w:pPr>
      <w:r>
        <w:lastRenderedPageBreak/>
        <w:t xml:space="preserve">Table </w:t>
      </w:r>
      <w:r w:rsidR="0017588F">
        <w:t>7</w:t>
      </w:r>
      <w:r>
        <w:t>: Whether female victims sought support or advice for male-perpetrated physical violence by type of violence (assault or threat), most recent incident, 2016, proportion (%) of women who have experienced physical assault and physical threat</w:t>
      </w:r>
    </w:p>
    <w:tbl>
      <w:tblPr>
        <w:tblStyle w:val="Datatableteal"/>
        <w:tblW w:w="9072" w:type="dxa"/>
        <w:tblLayout w:type="fixed"/>
        <w:tblLook w:val="06A0" w:firstRow="1" w:lastRow="0" w:firstColumn="1" w:lastColumn="0" w:noHBand="1" w:noVBand="1"/>
      </w:tblPr>
      <w:tblGrid>
        <w:gridCol w:w="5216"/>
        <w:gridCol w:w="1928"/>
        <w:gridCol w:w="1928"/>
      </w:tblGrid>
      <w:tr w:rsidR="003856F9" w14:paraId="7A3D7053" w14:textId="77777777" w:rsidTr="005720A2">
        <w:trPr>
          <w:cnfStyle w:val="100000000000" w:firstRow="1" w:lastRow="0" w:firstColumn="0" w:lastColumn="0" w:oddVBand="0" w:evenVBand="0" w:oddHBand="0" w:evenHBand="0" w:firstRowFirstColumn="0" w:firstRowLastColumn="0" w:lastRowFirstColumn="0" w:lastRowLastColumn="0"/>
          <w:trHeight w:val="60"/>
          <w:tblHeader/>
        </w:trPr>
        <w:tc>
          <w:tcPr>
            <w:tcW w:w="5216" w:type="dxa"/>
          </w:tcPr>
          <w:p w14:paraId="718DE560" w14:textId="77777777" w:rsidR="003856F9" w:rsidRPr="00F83DA0" w:rsidRDefault="003856F9">
            <w:pPr>
              <w:pStyle w:val="OWTablecolumnheadleft"/>
            </w:pPr>
            <w:r w:rsidRPr="00F83DA0">
              <w:t>Whether sought advice or support</w:t>
            </w:r>
          </w:p>
        </w:tc>
        <w:tc>
          <w:tcPr>
            <w:tcW w:w="1928" w:type="dxa"/>
          </w:tcPr>
          <w:p w14:paraId="4B0BEAFB" w14:textId="77777777" w:rsidR="003856F9" w:rsidRPr="00F83DA0" w:rsidRDefault="003856F9">
            <w:pPr>
              <w:pStyle w:val="OWTablecolumnheadcentre"/>
            </w:pPr>
            <w:r w:rsidRPr="00F83DA0">
              <w:t>Physical assault 2016</w:t>
            </w:r>
          </w:p>
        </w:tc>
        <w:tc>
          <w:tcPr>
            <w:tcW w:w="1928" w:type="dxa"/>
          </w:tcPr>
          <w:p w14:paraId="468BBF79" w14:textId="223EEE40" w:rsidR="003856F9" w:rsidRPr="00F83DA0" w:rsidRDefault="003856F9">
            <w:pPr>
              <w:pStyle w:val="OWTablecolumnheadcentre"/>
            </w:pPr>
            <w:r w:rsidRPr="00F83DA0">
              <w:t xml:space="preserve">Physical threat </w:t>
            </w:r>
            <w:r>
              <w:br/>
            </w:r>
            <w:r w:rsidRPr="00F83DA0">
              <w:t>2016</w:t>
            </w:r>
          </w:p>
        </w:tc>
      </w:tr>
      <w:tr w:rsidR="003856F9" w14:paraId="49CAAE4F" w14:textId="77777777" w:rsidTr="005720A2">
        <w:trPr>
          <w:trHeight w:val="60"/>
        </w:trPr>
        <w:tc>
          <w:tcPr>
            <w:tcW w:w="5216" w:type="dxa"/>
          </w:tcPr>
          <w:p w14:paraId="220B2B85" w14:textId="77777777" w:rsidR="003856F9" w:rsidRDefault="003856F9">
            <w:pPr>
              <w:pStyle w:val="OWTablebodyleft"/>
            </w:pPr>
            <w:r>
              <w:t>Sought advice or support</w:t>
            </w:r>
          </w:p>
        </w:tc>
        <w:tc>
          <w:tcPr>
            <w:tcW w:w="1928" w:type="dxa"/>
          </w:tcPr>
          <w:p w14:paraId="6154C508" w14:textId="77777777" w:rsidR="003856F9" w:rsidRDefault="003856F9">
            <w:pPr>
              <w:pStyle w:val="OWTablebodycentre"/>
            </w:pPr>
            <w:r>
              <w:t>61.9%</w:t>
            </w:r>
          </w:p>
        </w:tc>
        <w:tc>
          <w:tcPr>
            <w:tcW w:w="1928" w:type="dxa"/>
          </w:tcPr>
          <w:p w14:paraId="01EBAFFA" w14:textId="77777777" w:rsidR="003856F9" w:rsidRDefault="003856F9">
            <w:pPr>
              <w:pStyle w:val="OWTablebodycentre"/>
            </w:pPr>
            <w:r>
              <w:t>60.3%</w:t>
            </w:r>
          </w:p>
        </w:tc>
      </w:tr>
      <w:tr w:rsidR="003856F9" w14:paraId="4D956C22" w14:textId="77777777" w:rsidTr="005720A2">
        <w:trPr>
          <w:trHeight w:val="60"/>
        </w:trPr>
        <w:tc>
          <w:tcPr>
            <w:tcW w:w="5216" w:type="dxa"/>
          </w:tcPr>
          <w:p w14:paraId="7F8DF825" w14:textId="77777777" w:rsidR="003856F9" w:rsidRDefault="003856F9">
            <w:pPr>
              <w:pStyle w:val="OWTablebodyleft"/>
            </w:pPr>
            <w:r>
              <w:t>Did not seek advice or support</w:t>
            </w:r>
          </w:p>
        </w:tc>
        <w:tc>
          <w:tcPr>
            <w:tcW w:w="1928" w:type="dxa"/>
          </w:tcPr>
          <w:p w14:paraId="307E1DD4" w14:textId="77777777" w:rsidR="003856F9" w:rsidRDefault="003856F9">
            <w:pPr>
              <w:pStyle w:val="OWTablebodycentre"/>
            </w:pPr>
            <w:r>
              <w:t>37.9%</w:t>
            </w:r>
          </w:p>
        </w:tc>
        <w:tc>
          <w:tcPr>
            <w:tcW w:w="1928" w:type="dxa"/>
          </w:tcPr>
          <w:p w14:paraId="6B58ED53" w14:textId="77777777" w:rsidR="003856F9" w:rsidRDefault="003856F9">
            <w:pPr>
              <w:pStyle w:val="OWTablebodycentre"/>
            </w:pPr>
            <w:r>
              <w:t>40.1%</w:t>
            </w:r>
          </w:p>
        </w:tc>
      </w:tr>
    </w:tbl>
    <w:p w14:paraId="694822D5" w14:textId="416F92B7" w:rsidR="00514CC0" w:rsidRPr="00433321" w:rsidRDefault="00E72B49">
      <w:pPr>
        <w:pStyle w:val="OWTablefootnote"/>
      </w:pPr>
      <w:r w:rsidRPr="00433321">
        <w:t>Sources: ABS, PSS 2016</w:t>
      </w:r>
    </w:p>
    <w:p w14:paraId="0F6D3D31" w14:textId="77777777" w:rsidR="00514CC0" w:rsidRDefault="00E72B49" w:rsidP="00F868FE">
      <w:pPr>
        <w:pStyle w:val="Heading5"/>
      </w:pPr>
      <w:r>
        <w:t>Cohabiting partner physical and/or sexual violence against women: help</w:t>
      </w:r>
      <w:r>
        <w:rPr>
          <w:rFonts w:ascii="Cambria Math" w:hAnsi="Cambria Math" w:cs="Cambria Math"/>
        </w:rPr>
        <w:t>‑</w:t>
      </w:r>
      <w:r>
        <w:t>seeking rates</w:t>
      </w:r>
      <w:r>
        <w:rPr>
          <w:rStyle w:val="OWSuperscript"/>
        </w:rPr>
        <w:footnoteReference w:id="19"/>
      </w:r>
    </w:p>
    <w:p w14:paraId="6CD14548" w14:textId="2038D9A9" w:rsidR="00514CC0" w:rsidRDefault="00E72B49">
      <w:pPr>
        <w:pStyle w:val="BodyText"/>
      </w:pPr>
      <w:r>
        <w:t>In the PSS, data is also collected on women’s help-seeking behaviours following violence perpetrated by current and previous cohabiting partners.</w:t>
      </w:r>
      <w:r>
        <w:rPr>
          <w:rStyle w:val="OWSuperscript"/>
        </w:rPr>
        <w:footnoteReference w:id="20"/>
      </w:r>
      <w:r>
        <w:t xml:space="preserve"> In 2016, of the women who had ever experienced physical and/or sexual violence perpetrated by a current partner, 54.4% sought advice or support from someone. Less than two-thirds (62.9%) of women who reported having experienced violence from a previous partner sought advice or help from someone (see Table </w:t>
      </w:r>
      <w:r w:rsidR="0017588F">
        <w:t>8</w:t>
      </w:r>
      <w:r>
        <w:t>, below).</w:t>
      </w:r>
    </w:p>
    <w:p w14:paraId="6617E8E0" w14:textId="4A045CD0" w:rsidR="00514CC0" w:rsidRDefault="00E72B49">
      <w:pPr>
        <w:pStyle w:val="OWTablecaption"/>
      </w:pPr>
      <w:r>
        <w:t xml:space="preserve">Table </w:t>
      </w:r>
      <w:r w:rsidR="0017588F">
        <w:t>8</w:t>
      </w:r>
      <w:r>
        <w:t>: Women’s experiences of cohabiting violence by proportion of women victims who sought advice or support, 2016</w:t>
      </w:r>
    </w:p>
    <w:tbl>
      <w:tblPr>
        <w:tblStyle w:val="Datatableteal"/>
        <w:tblW w:w="0" w:type="auto"/>
        <w:tblLayout w:type="fixed"/>
        <w:tblLook w:val="06A0" w:firstRow="1" w:lastRow="0" w:firstColumn="1" w:lastColumn="0" w:noHBand="1" w:noVBand="1"/>
      </w:tblPr>
      <w:tblGrid>
        <w:gridCol w:w="5216"/>
        <w:gridCol w:w="1927"/>
        <w:gridCol w:w="1928"/>
      </w:tblGrid>
      <w:tr w:rsidR="00514CC0" w14:paraId="2DA50D9D" w14:textId="77777777" w:rsidTr="005720A2">
        <w:trPr>
          <w:cnfStyle w:val="100000000000" w:firstRow="1" w:lastRow="0" w:firstColumn="0" w:lastColumn="0" w:oddVBand="0" w:evenVBand="0" w:oddHBand="0" w:evenHBand="0" w:firstRowFirstColumn="0" w:firstRowLastColumn="0" w:lastRowFirstColumn="0" w:lastRowLastColumn="0"/>
          <w:trHeight w:val="60"/>
          <w:tblHeader/>
        </w:trPr>
        <w:tc>
          <w:tcPr>
            <w:tcW w:w="5216" w:type="dxa"/>
          </w:tcPr>
          <w:p w14:paraId="3E4DB6E3" w14:textId="77777777" w:rsidR="00514CC0" w:rsidRPr="0050142D" w:rsidRDefault="00E72B49">
            <w:pPr>
              <w:pStyle w:val="OWTablecolumnheadleft"/>
            </w:pPr>
            <w:r w:rsidRPr="0050142D">
              <w:t>Whether sought advice or support from someone</w:t>
            </w:r>
          </w:p>
        </w:tc>
        <w:tc>
          <w:tcPr>
            <w:tcW w:w="1927" w:type="dxa"/>
          </w:tcPr>
          <w:p w14:paraId="466DF051" w14:textId="6C01503A" w:rsidR="00514CC0" w:rsidRPr="0050142D" w:rsidRDefault="00E72B49">
            <w:pPr>
              <w:pStyle w:val="OWTablecolumnheadcentre"/>
            </w:pPr>
            <w:r w:rsidRPr="0050142D">
              <w:t>Current partner</w:t>
            </w:r>
            <w:r w:rsidR="00433321">
              <w:br/>
              <w:t>2016</w:t>
            </w:r>
          </w:p>
        </w:tc>
        <w:tc>
          <w:tcPr>
            <w:tcW w:w="1928" w:type="dxa"/>
          </w:tcPr>
          <w:p w14:paraId="02A922B4" w14:textId="1C3D4D96" w:rsidR="00514CC0" w:rsidRPr="0050142D" w:rsidRDefault="00E72B49">
            <w:pPr>
              <w:pStyle w:val="OWTablecolumnheadcentre"/>
            </w:pPr>
            <w:r w:rsidRPr="0050142D">
              <w:t>Previous partner</w:t>
            </w:r>
            <w:r w:rsidR="00433321">
              <w:br/>
              <w:t>2016</w:t>
            </w:r>
          </w:p>
        </w:tc>
      </w:tr>
      <w:tr w:rsidR="00514CC0" w14:paraId="778EEF95" w14:textId="77777777" w:rsidTr="005720A2">
        <w:trPr>
          <w:trHeight w:val="60"/>
        </w:trPr>
        <w:tc>
          <w:tcPr>
            <w:tcW w:w="5216" w:type="dxa"/>
          </w:tcPr>
          <w:p w14:paraId="3007F8AF" w14:textId="77777777" w:rsidR="00514CC0" w:rsidRDefault="00E72B49" w:rsidP="0050142D">
            <w:pPr>
              <w:pStyle w:val="OWTablebodyleft"/>
            </w:pPr>
            <w:r>
              <w:t>Sought advice or support</w:t>
            </w:r>
          </w:p>
        </w:tc>
        <w:tc>
          <w:tcPr>
            <w:tcW w:w="1927" w:type="dxa"/>
          </w:tcPr>
          <w:p w14:paraId="3CDC2857" w14:textId="77777777" w:rsidR="00514CC0" w:rsidRDefault="00E72B49">
            <w:pPr>
              <w:pStyle w:val="OWTablebodycentre"/>
            </w:pPr>
            <w:r>
              <w:t>54.4%</w:t>
            </w:r>
          </w:p>
        </w:tc>
        <w:tc>
          <w:tcPr>
            <w:tcW w:w="1928" w:type="dxa"/>
          </w:tcPr>
          <w:p w14:paraId="6504787B" w14:textId="77777777" w:rsidR="00514CC0" w:rsidRDefault="00E72B49">
            <w:pPr>
              <w:pStyle w:val="OWTablebodycentre"/>
            </w:pPr>
            <w:r>
              <w:t>62.9%</w:t>
            </w:r>
          </w:p>
        </w:tc>
      </w:tr>
      <w:tr w:rsidR="00514CC0" w14:paraId="3E9F0928" w14:textId="77777777" w:rsidTr="005720A2">
        <w:trPr>
          <w:trHeight w:val="60"/>
        </w:trPr>
        <w:tc>
          <w:tcPr>
            <w:tcW w:w="5216" w:type="dxa"/>
          </w:tcPr>
          <w:p w14:paraId="418A0C5B" w14:textId="77777777" w:rsidR="00514CC0" w:rsidRDefault="00E72B49">
            <w:pPr>
              <w:pStyle w:val="OWTablebodyleft"/>
            </w:pPr>
            <w:r>
              <w:t>Did not seek advice or support</w:t>
            </w:r>
          </w:p>
        </w:tc>
        <w:tc>
          <w:tcPr>
            <w:tcW w:w="1927" w:type="dxa"/>
          </w:tcPr>
          <w:p w14:paraId="6808E82E" w14:textId="77777777" w:rsidR="00514CC0" w:rsidRDefault="00E72B49">
            <w:pPr>
              <w:pStyle w:val="OWTablebodycentre"/>
            </w:pPr>
            <w:r>
              <w:t>56.1%</w:t>
            </w:r>
          </w:p>
        </w:tc>
        <w:tc>
          <w:tcPr>
            <w:tcW w:w="1928" w:type="dxa"/>
          </w:tcPr>
          <w:p w14:paraId="38C026D8" w14:textId="77777777" w:rsidR="00514CC0" w:rsidRDefault="00E72B49">
            <w:pPr>
              <w:pStyle w:val="OWTablebodycentre"/>
            </w:pPr>
            <w:r>
              <w:t>36.9%</w:t>
            </w:r>
          </w:p>
        </w:tc>
      </w:tr>
    </w:tbl>
    <w:p w14:paraId="06BD8BC0" w14:textId="77777777" w:rsidR="00514CC0" w:rsidRDefault="00E72B49">
      <w:pPr>
        <w:pStyle w:val="OWTablefootnote"/>
      </w:pPr>
      <w:r>
        <w:t>Source: ABS, PSS 2016</w:t>
      </w:r>
    </w:p>
    <w:p w14:paraId="30A6FAED" w14:textId="77777777" w:rsidR="00514CC0" w:rsidRDefault="00E72B49" w:rsidP="00F868FE">
      <w:pPr>
        <w:pStyle w:val="Heading5"/>
      </w:pPr>
      <w:r>
        <w:t>Insights into why substantial proportions of women who have experienced partner violence do not seek help</w:t>
      </w:r>
    </w:p>
    <w:p w14:paraId="10F51617" w14:textId="7A16C645" w:rsidR="00514CC0" w:rsidRDefault="00E72B49">
      <w:pPr>
        <w:pStyle w:val="BodyText"/>
      </w:pPr>
      <w:r>
        <w:t xml:space="preserve">The 2016 PSS data gives us insights into the reasons why substantial proportions of women do </w:t>
      </w:r>
      <w:r w:rsidRPr="003E209A">
        <w:rPr>
          <w:rStyle w:val="Emphasis"/>
        </w:rPr>
        <w:t xml:space="preserve">not </w:t>
      </w:r>
      <w:r>
        <w:t xml:space="preserve">seek help for partner violence. On the basis of the options provided in the survey, Table </w:t>
      </w:r>
      <w:r w:rsidR="0017588F">
        <w:t>9</w:t>
      </w:r>
      <w:r>
        <w:t xml:space="preserve"> (see below) lists the most common reasons cited by women who have experienced partner violence and have not sought help. For both current and previous partner violence, approximately half (49.7% and 47.0%) of the women said they ‘felt they could deal with it themselves’, and significant proportions also said that they ‘did not want or need help’ </w:t>
      </w:r>
      <w:r>
        <w:lastRenderedPageBreak/>
        <w:t>(23.6% for current partner violence and 10.1% for previous partner violence).</w:t>
      </w:r>
      <w:r w:rsidR="0000444C">
        <w:rPr>
          <w:rStyle w:val="EndnoteReference"/>
        </w:rPr>
        <w:endnoteReference w:id="209"/>
      </w:r>
      <w:r>
        <w:t xml:space="preserve"> Considerable proportions of women also said they believed it ‘to be not serious enough to seek help’ (36.2% for current partner violence and 17.5% for previous partner violence). These reasons all suggest that many women continue to minimise or dismiss their own experiences of partner violence, and/or feel alone in this experience, reflecting the persistence of social norms that condone or normalise male partner violence against women.</w:t>
      </w:r>
    </w:p>
    <w:p w14:paraId="255D287B" w14:textId="4FFB54D8" w:rsidR="00514CC0" w:rsidRDefault="00E72B49">
      <w:pPr>
        <w:pStyle w:val="OWTablecaption"/>
      </w:pPr>
      <w:r>
        <w:t xml:space="preserve">Table </w:t>
      </w:r>
      <w:r w:rsidR="0017588F">
        <w:t>9</w:t>
      </w:r>
      <w:r>
        <w:t>: Reasons why women who experienced partner violence did not seek help, 2016</w:t>
      </w:r>
      <w:r>
        <w:rPr>
          <w:rStyle w:val="OWSuperscript"/>
        </w:rPr>
        <w:footnoteReference w:id="21"/>
      </w:r>
    </w:p>
    <w:tbl>
      <w:tblPr>
        <w:tblStyle w:val="Datatableteal"/>
        <w:tblW w:w="9072" w:type="dxa"/>
        <w:tblLayout w:type="fixed"/>
        <w:tblLook w:val="06A0" w:firstRow="1" w:lastRow="0" w:firstColumn="1" w:lastColumn="0" w:noHBand="1" w:noVBand="1"/>
      </w:tblPr>
      <w:tblGrid>
        <w:gridCol w:w="7088"/>
        <w:gridCol w:w="1984"/>
      </w:tblGrid>
      <w:tr w:rsidR="00514CC0" w14:paraId="2607C356" w14:textId="77777777" w:rsidTr="005720A2">
        <w:trPr>
          <w:cnfStyle w:val="100000000000" w:firstRow="1" w:lastRow="0" w:firstColumn="0" w:lastColumn="0" w:oddVBand="0" w:evenVBand="0" w:oddHBand="0" w:evenHBand="0" w:firstRowFirstColumn="0" w:firstRowLastColumn="0" w:lastRowFirstColumn="0" w:lastRowLastColumn="0"/>
          <w:cantSplit/>
          <w:trHeight w:val="60"/>
          <w:tblHeader/>
        </w:trPr>
        <w:tc>
          <w:tcPr>
            <w:tcW w:w="7087" w:type="dxa"/>
          </w:tcPr>
          <w:p w14:paraId="01E6AC09" w14:textId="77777777" w:rsidR="00514CC0" w:rsidRDefault="00E72B49" w:rsidP="0050142D">
            <w:pPr>
              <w:pStyle w:val="OWTablecolumnheadleft"/>
            </w:pPr>
            <w:r>
              <w:t>Most commonly cited reasons</w:t>
            </w:r>
          </w:p>
        </w:tc>
        <w:tc>
          <w:tcPr>
            <w:tcW w:w="1984" w:type="dxa"/>
          </w:tcPr>
          <w:p w14:paraId="09629556" w14:textId="77777777" w:rsidR="00514CC0" w:rsidRDefault="00E72B49">
            <w:pPr>
              <w:pStyle w:val="OWTablecolumnheadcentre"/>
            </w:pPr>
            <w:r>
              <w:t>% of women citing this reason</w:t>
            </w:r>
          </w:p>
        </w:tc>
      </w:tr>
      <w:tr w:rsidR="00514CC0" w14:paraId="56E2DDB7" w14:textId="77777777" w:rsidTr="005720A2">
        <w:trPr>
          <w:cantSplit/>
          <w:trHeight w:val="60"/>
        </w:trPr>
        <w:tc>
          <w:tcPr>
            <w:tcW w:w="9071" w:type="dxa"/>
            <w:gridSpan w:val="2"/>
            <w:shd w:val="clear" w:color="auto" w:fill="DEE3E8" w:themeFill="background1"/>
          </w:tcPr>
          <w:p w14:paraId="12DD8277" w14:textId="77777777" w:rsidR="00514CC0" w:rsidRDefault="00E72B49" w:rsidP="0050142D">
            <w:pPr>
              <w:pStyle w:val="OWTablebodyleft"/>
            </w:pPr>
            <w:r w:rsidRPr="002D0D52">
              <w:rPr>
                <w:rStyle w:val="Strong"/>
              </w:rPr>
              <w:t>Current partner violence</w:t>
            </w:r>
          </w:p>
        </w:tc>
      </w:tr>
      <w:tr w:rsidR="00514CC0" w14:paraId="0CDFD22C" w14:textId="77777777" w:rsidTr="005720A2">
        <w:trPr>
          <w:cantSplit/>
          <w:trHeight w:val="60"/>
        </w:trPr>
        <w:tc>
          <w:tcPr>
            <w:tcW w:w="7087" w:type="dxa"/>
          </w:tcPr>
          <w:p w14:paraId="5860ACCD" w14:textId="77777777" w:rsidR="00514CC0" w:rsidRDefault="00E72B49" w:rsidP="002C2EC7">
            <w:pPr>
              <w:pStyle w:val="OWTablenumberdigit"/>
              <w:numPr>
                <w:ilvl w:val="0"/>
                <w:numId w:val="19"/>
              </w:numPr>
              <w:tabs>
                <w:tab w:val="left" w:pos="397"/>
              </w:tabs>
            </w:pPr>
            <w:r>
              <w:t>Felt they could deal with it themselves</w:t>
            </w:r>
          </w:p>
        </w:tc>
        <w:tc>
          <w:tcPr>
            <w:tcW w:w="1984" w:type="dxa"/>
          </w:tcPr>
          <w:p w14:paraId="0FD22B9D" w14:textId="77777777" w:rsidR="00514CC0" w:rsidRDefault="00E72B49">
            <w:pPr>
              <w:pStyle w:val="OWTablebodycentre"/>
            </w:pPr>
            <w:r>
              <w:t>49.7%</w:t>
            </w:r>
          </w:p>
        </w:tc>
      </w:tr>
      <w:tr w:rsidR="00514CC0" w14:paraId="203D1F4B" w14:textId="77777777" w:rsidTr="005720A2">
        <w:trPr>
          <w:cantSplit/>
          <w:trHeight w:val="60"/>
        </w:trPr>
        <w:tc>
          <w:tcPr>
            <w:tcW w:w="7087" w:type="dxa"/>
          </w:tcPr>
          <w:p w14:paraId="018E94F1" w14:textId="77777777" w:rsidR="00514CC0" w:rsidRDefault="00E72B49" w:rsidP="003D390D">
            <w:pPr>
              <w:pStyle w:val="OWTablenumberdigit"/>
              <w:tabs>
                <w:tab w:val="left" w:pos="397"/>
              </w:tabs>
            </w:pPr>
            <w:r>
              <w:t>Believed it to be not serious enough to seek help</w:t>
            </w:r>
          </w:p>
        </w:tc>
        <w:tc>
          <w:tcPr>
            <w:tcW w:w="1984" w:type="dxa"/>
          </w:tcPr>
          <w:p w14:paraId="55F48271" w14:textId="77777777" w:rsidR="00514CC0" w:rsidRDefault="00E72B49">
            <w:pPr>
              <w:pStyle w:val="OWTablebodycentre"/>
            </w:pPr>
            <w:r>
              <w:t>36.2%</w:t>
            </w:r>
          </w:p>
        </w:tc>
      </w:tr>
      <w:tr w:rsidR="00514CC0" w14:paraId="7D9C702B" w14:textId="77777777" w:rsidTr="005720A2">
        <w:trPr>
          <w:cantSplit/>
          <w:trHeight w:val="60"/>
        </w:trPr>
        <w:tc>
          <w:tcPr>
            <w:tcW w:w="7087" w:type="dxa"/>
          </w:tcPr>
          <w:p w14:paraId="63E630F3" w14:textId="77777777" w:rsidR="00514CC0" w:rsidRDefault="00E72B49" w:rsidP="003D390D">
            <w:pPr>
              <w:pStyle w:val="OWTablenumberdigit"/>
              <w:tabs>
                <w:tab w:val="left" w:pos="397"/>
              </w:tabs>
            </w:pPr>
            <w:r>
              <w:t>Felt they did not want or need help</w:t>
            </w:r>
          </w:p>
        </w:tc>
        <w:tc>
          <w:tcPr>
            <w:tcW w:w="1984" w:type="dxa"/>
          </w:tcPr>
          <w:p w14:paraId="10F0B6AB" w14:textId="77777777" w:rsidR="00514CC0" w:rsidRDefault="00E72B49">
            <w:pPr>
              <w:pStyle w:val="OWTablebodycentre"/>
            </w:pPr>
            <w:r>
              <w:t>23.6%</w:t>
            </w:r>
          </w:p>
        </w:tc>
      </w:tr>
      <w:tr w:rsidR="00514CC0" w14:paraId="116EE7AF" w14:textId="77777777" w:rsidTr="005720A2">
        <w:trPr>
          <w:cantSplit/>
          <w:trHeight w:val="60"/>
        </w:trPr>
        <w:tc>
          <w:tcPr>
            <w:tcW w:w="7087" w:type="dxa"/>
          </w:tcPr>
          <w:p w14:paraId="75882EB5" w14:textId="77777777" w:rsidR="00514CC0" w:rsidRDefault="00E72B49" w:rsidP="003D390D">
            <w:pPr>
              <w:pStyle w:val="OWTablenumberdigit"/>
              <w:tabs>
                <w:tab w:val="left" w:pos="397"/>
              </w:tabs>
            </w:pPr>
            <w:r>
              <w:t>Shame or embarrassment</w:t>
            </w:r>
          </w:p>
        </w:tc>
        <w:tc>
          <w:tcPr>
            <w:tcW w:w="1984" w:type="dxa"/>
          </w:tcPr>
          <w:p w14:paraId="0474D729" w14:textId="77777777" w:rsidR="00514CC0" w:rsidRDefault="00E72B49">
            <w:pPr>
              <w:pStyle w:val="OWTablebodycentre"/>
            </w:pPr>
            <w:r>
              <w:t>11.0%</w:t>
            </w:r>
          </w:p>
        </w:tc>
      </w:tr>
      <w:tr w:rsidR="00514CC0" w14:paraId="644654D2" w14:textId="77777777" w:rsidTr="005720A2">
        <w:trPr>
          <w:cantSplit/>
          <w:trHeight w:val="60"/>
        </w:trPr>
        <w:tc>
          <w:tcPr>
            <w:tcW w:w="7087" w:type="dxa"/>
          </w:tcPr>
          <w:p w14:paraId="66BAE95B" w14:textId="77777777" w:rsidR="00514CC0" w:rsidRDefault="00E72B49" w:rsidP="003D390D">
            <w:pPr>
              <w:pStyle w:val="OWTablenumberdigit"/>
              <w:tabs>
                <w:tab w:val="left" w:pos="397"/>
              </w:tabs>
            </w:pPr>
            <w:r>
              <w:t>Did not think they could help</w:t>
            </w:r>
          </w:p>
        </w:tc>
        <w:tc>
          <w:tcPr>
            <w:tcW w:w="1984" w:type="dxa"/>
          </w:tcPr>
          <w:p w14:paraId="2B973E86" w14:textId="77777777" w:rsidR="00514CC0" w:rsidRDefault="00E72B49">
            <w:pPr>
              <w:pStyle w:val="OWTablebodycentre"/>
            </w:pPr>
            <w:r>
              <w:t>3.2%</w:t>
            </w:r>
          </w:p>
        </w:tc>
      </w:tr>
      <w:tr w:rsidR="00514CC0" w14:paraId="291BE494" w14:textId="77777777" w:rsidTr="005720A2">
        <w:trPr>
          <w:cantSplit/>
          <w:trHeight w:val="60"/>
        </w:trPr>
        <w:tc>
          <w:tcPr>
            <w:tcW w:w="7087" w:type="dxa"/>
          </w:tcPr>
          <w:p w14:paraId="7930FAB1" w14:textId="77777777" w:rsidR="00514CC0" w:rsidRDefault="00E72B49" w:rsidP="003D390D">
            <w:pPr>
              <w:pStyle w:val="OWTablenumberdigit"/>
              <w:tabs>
                <w:tab w:val="left" w:pos="397"/>
              </w:tabs>
            </w:pPr>
            <w:r>
              <w:t>Other (including: did not know of any services, no access to transport/distance too far, fear of not being believed, bad experience of service(s) in the past, do not trust services, waiting time too long or not available at the time, cultural/language reasons, fear of perpetrator, too busy)</w:t>
            </w:r>
          </w:p>
        </w:tc>
        <w:tc>
          <w:tcPr>
            <w:tcW w:w="1984" w:type="dxa"/>
          </w:tcPr>
          <w:p w14:paraId="670E428C" w14:textId="77777777" w:rsidR="00514CC0" w:rsidRDefault="00E72B49">
            <w:pPr>
              <w:pStyle w:val="OWTablebodycentre"/>
            </w:pPr>
            <w:r>
              <w:t>10.8%</w:t>
            </w:r>
          </w:p>
        </w:tc>
      </w:tr>
      <w:tr w:rsidR="00514CC0" w14:paraId="2321C67E" w14:textId="77777777" w:rsidTr="005720A2">
        <w:trPr>
          <w:cantSplit/>
          <w:trHeight w:val="60"/>
        </w:trPr>
        <w:tc>
          <w:tcPr>
            <w:tcW w:w="9071" w:type="dxa"/>
            <w:gridSpan w:val="2"/>
            <w:shd w:val="clear" w:color="auto" w:fill="DEE3E8" w:themeFill="background1"/>
          </w:tcPr>
          <w:p w14:paraId="2E1CD4F0" w14:textId="77777777" w:rsidR="00514CC0" w:rsidRDefault="00E72B49" w:rsidP="0050142D">
            <w:pPr>
              <w:pStyle w:val="OWTablebodyleft"/>
            </w:pPr>
            <w:r w:rsidRPr="002D0D52">
              <w:rPr>
                <w:rStyle w:val="Strong"/>
              </w:rPr>
              <w:t>Previous partner violence</w:t>
            </w:r>
          </w:p>
        </w:tc>
      </w:tr>
      <w:tr w:rsidR="00514CC0" w14:paraId="5D341566" w14:textId="77777777" w:rsidTr="005720A2">
        <w:trPr>
          <w:cantSplit/>
          <w:trHeight w:val="60"/>
        </w:trPr>
        <w:tc>
          <w:tcPr>
            <w:tcW w:w="7087" w:type="dxa"/>
          </w:tcPr>
          <w:p w14:paraId="61C8984D" w14:textId="77777777" w:rsidR="00514CC0" w:rsidRPr="00D1152E" w:rsidRDefault="00E72B49" w:rsidP="00D1152E">
            <w:pPr>
              <w:pStyle w:val="OWTablenumberdigit"/>
            </w:pPr>
            <w:r w:rsidRPr="00D1152E">
              <w:t>Felt they could deal with it themselves</w:t>
            </w:r>
          </w:p>
        </w:tc>
        <w:tc>
          <w:tcPr>
            <w:tcW w:w="1984" w:type="dxa"/>
          </w:tcPr>
          <w:p w14:paraId="6787BB94" w14:textId="77777777" w:rsidR="00514CC0" w:rsidRDefault="00E72B49">
            <w:pPr>
              <w:pStyle w:val="OWTablebodycentre"/>
            </w:pPr>
            <w:r>
              <w:t>47.0%</w:t>
            </w:r>
          </w:p>
        </w:tc>
      </w:tr>
      <w:tr w:rsidR="00514CC0" w14:paraId="121FE7F8" w14:textId="77777777" w:rsidTr="005720A2">
        <w:trPr>
          <w:cantSplit/>
          <w:trHeight w:val="60"/>
        </w:trPr>
        <w:tc>
          <w:tcPr>
            <w:tcW w:w="7087" w:type="dxa"/>
          </w:tcPr>
          <w:p w14:paraId="3225D4D4" w14:textId="77777777" w:rsidR="00514CC0" w:rsidRPr="00D1152E" w:rsidRDefault="00E72B49" w:rsidP="00D1152E">
            <w:pPr>
              <w:pStyle w:val="OWTablenumberdigit"/>
            </w:pPr>
            <w:r w:rsidRPr="00D1152E">
              <w:t>Shame or embarrassment</w:t>
            </w:r>
          </w:p>
        </w:tc>
        <w:tc>
          <w:tcPr>
            <w:tcW w:w="1984" w:type="dxa"/>
          </w:tcPr>
          <w:p w14:paraId="70629CA2" w14:textId="77777777" w:rsidR="00514CC0" w:rsidRDefault="00E72B49">
            <w:pPr>
              <w:pStyle w:val="OWTablebodycentre"/>
            </w:pPr>
            <w:r>
              <w:t>24.7%</w:t>
            </w:r>
          </w:p>
        </w:tc>
      </w:tr>
      <w:tr w:rsidR="00514CC0" w14:paraId="2961F6E8" w14:textId="77777777" w:rsidTr="005720A2">
        <w:trPr>
          <w:cantSplit/>
          <w:trHeight w:val="60"/>
        </w:trPr>
        <w:tc>
          <w:tcPr>
            <w:tcW w:w="7087" w:type="dxa"/>
          </w:tcPr>
          <w:p w14:paraId="6D12C4F8" w14:textId="77777777" w:rsidR="00514CC0" w:rsidRPr="00D1152E" w:rsidRDefault="00E72B49" w:rsidP="00D1152E">
            <w:pPr>
              <w:pStyle w:val="OWTablenumberdigit"/>
            </w:pPr>
            <w:r w:rsidRPr="00D1152E">
              <w:t>Believed it to be not serious enough to seek help</w:t>
            </w:r>
          </w:p>
        </w:tc>
        <w:tc>
          <w:tcPr>
            <w:tcW w:w="1984" w:type="dxa"/>
          </w:tcPr>
          <w:p w14:paraId="041B60EC" w14:textId="77777777" w:rsidR="00514CC0" w:rsidRDefault="00E72B49">
            <w:pPr>
              <w:pStyle w:val="OWTablebodycentre"/>
            </w:pPr>
            <w:r>
              <w:t>17.5%</w:t>
            </w:r>
          </w:p>
        </w:tc>
      </w:tr>
      <w:tr w:rsidR="00514CC0" w14:paraId="7BB2F110" w14:textId="77777777" w:rsidTr="005720A2">
        <w:trPr>
          <w:cantSplit/>
          <w:trHeight w:val="60"/>
        </w:trPr>
        <w:tc>
          <w:tcPr>
            <w:tcW w:w="7087" w:type="dxa"/>
          </w:tcPr>
          <w:p w14:paraId="2E49EC76" w14:textId="77777777" w:rsidR="00514CC0" w:rsidRPr="00D1152E" w:rsidRDefault="00E72B49" w:rsidP="00D1152E">
            <w:pPr>
              <w:pStyle w:val="OWTablenumberdigit"/>
            </w:pPr>
            <w:r w:rsidRPr="00D1152E">
              <w:t>Fear of perpetrator</w:t>
            </w:r>
          </w:p>
        </w:tc>
        <w:tc>
          <w:tcPr>
            <w:tcW w:w="1984" w:type="dxa"/>
          </w:tcPr>
          <w:p w14:paraId="65013DF6" w14:textId="77777777" w:rsidR="00514CC0" w:rsidRDefault="00E72B49">
            <w:pPr>
              <w:pStyle w:val="OWTablebodycentre"/>
            </w:pPr>
            <w:r>
              <w:t>11.5%</w:t>
            </w:r>
          </w:p>
        </w:tc>
      </w:tr>
      <w:tr w:rsidR="00514CC0" w14:paraId="2D996221" w14:textId="77777777" w:rsidTr="005720A2">
        <w:trPr>
          <w:cantSplit/>
          <w:trHeight w:val="60"/>
        </w:trPr>
        <w:tc>
          <w:tcPr>
            <w:tcW w:w="7087" w:type="dxa"/>
          </w:tcPr>
          <w:p w14:paraId="1AD6E5D4" w14:textId="77777777" w:rsidR="00514CC0" w:rsidRPr="00D1152E" w:rsidRDefault="00E72B49" w:rsidP="00D1152E">
            <w:pPr>
              <w:pStyle w:val="OWTablenumberdigit"/>
            </w:pPr>
            <w:r w:rsidRPr="00D1152E">
              <w:t>Did not think they could help</w:t>
            </w:r>
          </w:p>
        </w:tc>
        <w:tc>
          <w:tcPr>
            <w:tcW w:w="1984" w:type="dxa"/>
          </w:tcPr>
          <w:p w14:paraId="413BC8F6" w14:textId="77777777" w:rsidR="00514CC0" w:rsidRDefault="00E72B49">
            <w:pPr>
              <w:pStyle w:val="OWTablebodycentre"/>
            </w:pPr>
            <w:r>
              <w:t>10.2%</w:t>
            </w:r>
          </w:p>
        </w:tc>
      </w:tr>
      <w:tr w:rsidR="00514CC0" w14:paraId="01DCB78C" w14:textId="77777777" w:rsidTr="005720A2">
        <w:trPr>
          <w:cantSplit/>
          <w:trHeight w:val="60"/>
        </w:trPr>
        <w:tc>
          <w:tcPr>
            <w:tcW w:w="7087" w:type="dxa"/>
          </w:tcPr>
          <w:p w14:paraId="705660E1" w14:textId="77777777" w:rsidR="00514CC0" w:rsidRPr="00D1152E" w:rsidRDefault="00E72B49" w:rsidP="00D1152E">
            <w:pPr>
              <w:pStyle w:val="OWTablenumberdigit"/>
            </w:pPr>
            <w:r w:rsidRPr="00D1152E">
              <w:t>Did not want or need help</w:t>
            </w:r>
          </w:p>
        </w:tc>
        <w:tc>
          <w:tcPr>
            <w:tcW w:w="1984" w:type="dxa"/>
          </w:tcPr>
          <w:p w14:paraId="3CCF9039" w14:textId="77777777" w:rsidR="00514CC0" w:rsidRDefault="00E72B49">
            <w:pPr>
              <w:pStyle w:val="OWTablebodycentre"/>
            </w:pPr>
            <w:r>
              <w:t>10.1%</w:t>
            </w:r>
          </w:p>
        </w:tc>
      </w:tr>
      <w:tr w:rsidR="00514CC0" w14:paraId="2FDAC171" w14:textId="77777777" w:rsidTr="005720A2">
        <w:trPr>
          <w:cantSplit/>
          <w:trHeight w:val="60"/>
        </w:trPr>
        <w:tc>
          <w:tcPr>
            <w:tcW w:w="7087" w:type="dxa"/>
          </w:tcPr>
          <w:p w14:paraId="0B7A2B5D" w14:textId="77777777" w:rsidR="00514CC0" w:rsidRPr="00D1152E" w:rsidRDefault="00E72B49" w:rsidP="00D1152E">
            <w:pPr>
              <w:pStyle w:val="OWTablenumberdigit"/>
            </w:pPr>
            <w:r w:rsidRPr="00D1152E">
              <w:t>Did not know of any services</w:t>
            </w:r>
          </w:p>
        </w:tc>
        <w:tc>
          <w:tcPr>
            <w:tcW w:w="1984" w:type="dxa"/>
          </w:tcPr>
          <w:p w14:paraId="68DE366C" w14:textId="77777777" w:rsidR="00514CC0" w:rsidRDefault="00E72B49">
            <w:pPr>
              <w:pStyle w:val="OWTablebodycentre"/>
            </w:pPr>
            <w:r>
              <w:t>7.1%</w:t>
            </w:r>
          </w:p>
        </w:tc>
      </w:tr>
    </w:tbl>
    <w:p w14:paraId="6F0F7A1D" w14:textId="77777777" w:rsidR="00514CC0" w:rsidRDefault="00E72B49">
      <w:pPr>
        <w:pStyle w:val="OWTablefootnote"/>
      </w:pPr>
      <w:r>
        <w:t>Source: ABS, PSS 2016</w:t>
      </w:r>
    </w:p>
    <w:p w14:paraId="3FCCACB0" w14:textId="77777777" w:rsidR="00514CC0" w:rsidRDefault="00E72B49" w:rsidP="00F868FE">
      <w:pPr>
        <w:pStyle w:val="Heading5"/>
      </w:pPr>
      <w:r>
        <w:lastRenderedPageBreak/>
        <w:t>Workplace sexual harassment: help-seeking rates</w:t>
      </w:r>
    </w:p>
    <w:p w14:paraId="2A09A30C" w14:textId="57892889" w:rsidR="00514CC0" w:rsidRDefault="00E72B49">
      <w:pPr>
        <w:pStyle w:val="BodyText"/>
      </w:pPr>
      <w:r>
        <w:t xml:space="preserve">The AHRC’s national workplace sexual harassment surveys provide insight into the help-seeking behaviours of people who have experienced sexual harassment in the workplace. </w:t>
      </w:r>
      <w:r w:rsidRPr="002D0D52">
        <w:rPr>
          <w:rStyle w:val="Strong"/>
        </w:rPr>
        <w:t>The proportion of women who experienced sexual harassment in the workplace in the five years prior who then sought support or advice has declined</w:t>
      </w:r>
      <w:r>
        <w:t xml:space="preserve">. In 2012, over one-third (35%) of women who had experienced sexual harassment in the workplace in the five years prior sought support or advice. This proportion declined to just one in five (20%) in the 2018 survey (see Figure </w:t>
      </w:r>
      <w:r w:rsidR="0017588F">
        <w:t>9</w:t>
      </w:r>
      <w:r>
        <w:t>, below).</w:t>
      </w:r>
    </w:p>
    <w:p w14:paraId="4EC0C54C" w14:textId="3FA0BA52" w:rsidR="00514CC0" w:rsidRDefault="00E72B49">
      <w:pPr>
        <w:pStyle w:val="OWFigurecaption"/>
      </w:pPr>
      <w:r>
        <w:t xml:space="preserve">Figure </w:t>
      </w:r>
      <w:r w:rsidR="0017588F">
        <w:t>9</w:t>
      </w:r>
      <w:r>
        <w:t xml:space="preserve">: </w:t>
      </w:r>
      <w:r w:rsidR="00DE6402" w:rsidRPr="00DE6402">
        <w:t>Proportion of women who reported experiencing workplace sexual harassment in</w:t>
      </w:r>
      <w:r w:rsidR="00FC59B2">
        <w:t> </w:t>
      </w:r>
      <w:r w:rsidR="00DE6402" w:rsidRPr="00DE6402">
        <w:t xml:space="preserve">the past </w:t>
      </w:r>
      <w:r w:rsidR="00645F17">
        <w:t>five</w:t>
      </w:r>
      <w:r w:rsidR="00DE6402" w:rsidRPr="00DE6402">
        <w:t xml:space="preserve"> years who sought support or advice, 2012 and 2018</w:t>
      </w:r>
    </w:p>
    <w:p w14:paraId="545DC874" w14:textId="67FC4AEB" w:rsidR="00514CC0" w:rsidRDefault="00652988" w:rsidP="00E25BC1">
      <w:pPr>
        <w:pStyle w:val="OWFigureinline"/>
      </w:pPr>
      <w:r>
        <w:rPr>
          <w:noProof/>
        </w:rPr>
        <w:drawing>
          <wp:inline distT="0" distB="0" distL="0" distR="0" wp14:anchorId="174DC381" wp14:editId="48490516">
            <wp:extent cx="4304030" cy="2566670"/>
            <wp:effectExtent l="0" t="0" r="1270" b="5080"/>
            <wp:docPr id="1778447703" name="Picture 9" descr="Column graph of the following data (proportion of women). 2012 – 35%; 2018 –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47703" name="Picture 9" descr="Column graph of the following data (proportion of women). 2012 – 35%; 2018 – 20%."/>
                    <pic:cNvPicPr/>
                  </pic:nvPicPr>
                  <pic:blipFill>
                    <a:blip r:embed="rId40">
                      <a:extLst>
                        <a:ext uri="{28A0092B-C50C-407E-A947-70E740481C1C}">
                          <a14:useLocalDpi xmlns:a14="http://schemas.microsoft.com/office/drawing/2010/main" val="0"/>
                        </a:ext>
                      </a:extLst>
                    </a:blip>
                    <a:stretch>
                      <a:fillRect/>
                    </a:stretch>
                  </pic:blipFill>
                  <pic:spPr>
                    <a:xfrm>
                      <a:off x="0" y="0"/>
                      <a:ext cx="4304030" cy="2566670"/>
                    </a:xfrm>
                    <a:prstGeom prst="rect">
                      <a:avLst/>
                    </a:prstGeom>
                  </pic:spPr>
                </pic:pic>
              </a:graphicData>
            </a:graphic>
          </wp:inline>
        </w:drawing>
      </w:r>
    </w:p>
    <w:p w14:paraId="2CDFEDCC" w14:textId="77777777" w:rsidR="00514CC0" w:rsidRDefault="00E72B49">
      <w:pPr>
        <w:pStyle w:val="OWFigurefootnote"/>
      </w:pPr>
      <w:r>
        <w:t>Source: AHRC National Workplace Sexual Harassment Survey 2018</w:t>
      </w:r>
    </w:p>
    <w:p w14:paraId="39ACE2B2" w14:textId="77777777" w:rsidR="008D6EEA" w:rsidRPr="008D6EEA" w:rsidRDefault="008D6EEA" w:rsidP="008D6EEA">
      <w:pPr>
        <w:pStyle w:val="BodyText"/>
      </w:pPr>
      <w:r w:rsidRPr="008D6EEA">
        <w:br w:type="page"/>
      </w:r>
    </w:p>
    <w:p w14:paraId="25B274EA" w14:textId="48B09765" w:rsidR="00514CC0" w:rsidRDefault="00E72B49" w:rsidP="00E1549C">
      <w:pPr>
        <w:pStyle w:val="Heading4"/>
      </w:pPr>
      <w:r>
        <w:lastRenderedPageBreak/>
        <w:t>Indicator 1.4: Growth in help sought from telephone helplines and specialist services</w:t>
      </w:r>
      <w:r>
        <w:rPr>
          <w:rStyle w:val="OWSuperscript"/>
        </w:rPr>
        <w:footnoteReference w:id="22"/>
      </w:r>
    </w:p>
    <w:tbl>
      <w:tblPr>
        <w:tblStyle w:val="Indicatoroutlineteal"/>
        <w:tblW w:w="9072" w:type="dxa"/>
        <w:tblLayout w:type="fixed"/>
        <w:tblLook w:val="0680" w:firstRow="0" w:lastRow="0" w:firstColumn="1" w:lastColumn="0" w:noHBand="1" w:noVBand="1"/>
      </w:tblPr>
      <w:tblGrid>
        <w:gridCol w:w="2268"/>
        <w:gridCol w:w="6804"/>
      </w:tblGrid>
      <w:tr w:rsidR="00514CC0" w14:paraId="4105A0F4" w14:textId="77777777" w:rsidTr="005720A2">
        <w:trPr>
          <w:cantSplit/>
          <w:trHeight w:val="60"/>
        </w:trPr>
        <w:tc>
          <w:tcPr>
            <w:tcW w:w="2268" w:type="dxa"/>
          </w:tcPr>
          <w:p w14:paraId="4A3C0BA0" w14:textId="77777777" w:rsidR="00514CC0" w:rsidRDefault="00E72B49">
            <w:pPr>
              <w:pStyle w:val="OWTablebodyleft"/>
            </w:pPr>
            <w:r>
              <w:t>What does this indicator tell us about Monitoring domain 1: Condoning of violence against women?</w:t>
            </w:r>
          </w:p>
        </w:tc>
        <w:tc>
          <w:tcPr>
            <w:tcW w:w="6803" w:type="dxa"/>
          </w:tcPr>
          <w:p w14:paraId="7C96D210" w14:textId="77777777" w:rsidR="00514CC0" w:rsidRDefault="00E72B49">
            <w:pPr>
              <w:pStyle w:val="OWTablebodyleft"/>
            </w:pPr>
            <w:r>
              <w:t>This indicator reflects condoning of violence against women by measuring the extent to which women recognise their experiences as violence, feel willing and able to disclose their experience and seek help from a specialist service, and are confident that there will be effective institutional response.</w:t>
            </w:r>
          </w:p>
        </w:tc>
      </w:tr>
      <w:tr w:rsidR="00514CC0" w14:paraId="349A2534" w14:textId="77777777" w:rsidTr="005720A2">
        <w:trPr>
          <w:cantSplit/>
          <w:trHeight w:val="60"/>
        </w:trPr>
        <w:tc>
          <w:tcPr>
            <w:tcW w:w="2268" w:type="dxa"/>
          </w:tcPr>
          <w:p w14:paraId="0FFC9546" w14:textId="77777777" w:rsidR="00514CC0" w:rsidRDefault="00E72B49">
            <w:pPr>
              <w:pStyle w:val="OWTablebodyleft"/>
            </w:pPr>
            <w:r>
              <w:t>Expected change if high-quality programs and infrastructure for prevention of violence against women and gender equality are implemented</w:t>
            </w:r>
          </w:p>
        </w:tc>
        <w:tc>
          <w:tcPr>
            <w:tcW w:w="6803" w:type="dxa"/>
          </w:tcPr>
          <w:p w14:paraId="67F74FBB" w14:textId="77777777" w:rsidR="00514CC0" w:rsidRDefault="00E72B49">
            <w:pPr>
              <w:pStyle w:val="OWTablebodyleft"/>
            </w:pPr>
            <w:r>
              <w:t>Short- and medium-term: increase in calls and contact made with specialist services as awareness grows and services improve and are adequately resourced. Changes in the medium term will be highly dependent on resourcing of helplines and specialist services.</w:t>
            </w:r>
          </w:p>
          <w:p w14:paraId="15BAA6B5" w14:textId="77777777" w:rsidR="00514CC0" w:rsidRDefault="00E72B49">
            <w:pPr>
              <w:pStyle w:val="OWTablebodyleft"/>
            </w:pPr>
            <w:r>
              <w:t>Long-term: stabilisation then reduction in demand upon specialist services.</w:t>
            </w:r>
          </w:p>
        </w:tc>
      </w:tr>
      <w:tr w:rsidR="00514CC0" w14:paraId="41B4C36C" w14:textId="77777777" w:rsidTr="005720A2">
        <w:trPr>
          <w:cantSplit/>
          <w:trHeight w:val="60"/>
        </w:trPr>
        <w:tc>
          <w:tcPr>
            <w:tcW w:w="2268" w:type="dxa"/>
          </w:tcPr>
          <w:p w14:paraId="1891FF41" w14:textId="77777777" w:rsidR="00514CC0" w:rsidRDefault="00E72B49">
            <w:pPr>
              <w:pStyle w:val="OWTablebodyleft"/>
            </w:pPr>
            <w:r>
              <w:t>Data source(s)</w:t>
            </w:r>
          </w:p>
        </w:tc>
        <w:tc>
          <w:tcPr>
            <w:tcW w:w="6803" w:type="dxa"/>
          </w:tcPr>
          <w:p w14:paraId="33FA1F67" w14:textId="77777777" w:rsidR="00514CC0" w:rsidRDefault="00E72B49" w:rsidP="002C2EC7">
            <w:pPr>
              <w:pStyle w:val="OWTablenumberdigit"/>
              <w:numPr>
                <w:ilvl w:val="0"/>
                <w:numId w:val="20"/>
              </w:numPr>
            </w:pPr>
            <w:r>
              <w:t>1800RESPECT helpline data</w:t>
            </w:r>
          </w:p>
          <w:p w14:paraId="1D939480" w14:textId="77777777" w:rsidR="00514CC0" w:rsidRDefault="00E72B49">
            <w:pPr>
              <w:pStyle w:val="OWTablenumberdigit"/>
            </w:pPr>
            <w:r>
              <w:t>Personal Safety Survey (PSS) 2012 and 2016, ABS</w:t>
            </w:r>
          </w:p>
        </w:tc>
      </w:tr>
      <w:tr w:rsidR="00514CC0" w14:paraId="5594E92B" w14:textId="77777777" w:rsidTr="005720A2">
        <w:trPr>
          <w:cantSplit/>
          <w:trHeight w:val="60"/>
        </w:trPr>
        <w:tc>
          <w:tcPr>
            <w:tcW w:w="2268" w:type="dxa"/>
          </w:tcPr>
          <w:p w14:paraId="4EB9E6AB" w14:textId="77777777" w:rsidR="00514CC0" w:rsidRDefault="00E72B49">
            <w:pPr>
              <w:pStyle w:val="OWTablebodyleft"/>
            </w:pPr>
            <w:r>
              <w:t>Change over time summary: short-term change revealed by the data</w:t>
            </w:r>
          </w:p>
        </w:tc>
        <w:tc>
          <w:tcPr>
            <w:tcW w:w="6803" w:type="dxa"/>
          </w:tcPr>
          <w:p w14:paraId="4CD2FF31" w14:textId="77777777" w:rsidR="00514CC0" w:rsidRDefault="00E72B49">
            <w:pPr>
              <w:pStyle w:val="OWTablebodyleft"/>
            </w:pPr>
            <w:r>
              <w:t>An increase to contact made with specialist hotlines and other specialist services by women who have experienced violence, both in terms of real numbers and proportions of victims.</w:t>
            </w:r>
          </w:p>
        </w:tc>
      </w:tr>
      <w:tr w:rsidR="00514CC0" w14:paraId="430F5A5D" w14:textId="77777777" w:rsidTr="005720A2">
        <w:trPr>
          <w:cantSplit/>
          <w:trHeight w:val="60"/>
        </w:trPr>
        <w:tc>
          <w:tcPr>
            <w:tcW w:w="2268" w:type="dxa"/>
          </w:tcPr>
          <w:p w14:paraId="4CC205D0" w14:textId="77777777" w:rsidR="00514CC0" w:rsidRDefault="00E72B49">
            <w:pPr>
              <w:pStyle w:val="OWTablebodyleft"/>
            </w:pPr>
            <w:r>
              <w:t>Does the change confirm or run contrary to expected change?</w:t>
            </w:r>
          </w:p>
        </w:tc>
        <w:tc>
          <w:tcPr>
            <w:tcW w:w="6803" w:type="dxa"/>
          </w:tcPr>
          <w:p w14:paraId="4A65EBAE" w14:textId="77777777" w:rsidR="00514CC0" w:rsidRDefault="00E72B49">
            <w:pPr>
              <w:pStyle w:val="OWTablebodyleft"/>
            </w:pPr>
            <w:r>
              <w:t>Confirms expected change</w:t>
            </w:r>
          </w:p>
        </w:tc>
      </w:tr>
      <w:tr w:rsidR="00514CC0" w14:paraId="2EDB71C9" w14:textId="77777777" w:rsidTr="005720A2">
        <w:trPr>
          <w:cantSplit/>
          <w:trHeight w:val="60"/>
        </w:trPr>
        <w:tc>
          <w:tcPr>
            <w:tcW w:w="2268" w:type="dxa"/>
          </w:tcPr>
          <w:p w14:paraId="3F0A67B2" w14:textId="5C5B11B0" w:rsidR="00514CC0" w:rsidRDefault="00DE3220">
            <w:pPr>
              <w:pStyle w:val="OWTablebodyleft"/>
            </w:pPr>
            <w:r>
              <w:lastRenderedPageBreak/>
              <w:t>Gaps in existing data</w:t>
            </w:r>
          </w:p>
        </w:tc>
        <w:tc>
          <w:tcPr>
            <w:tcW w:w="6803" w:type="dxa"/>
          </w:tcPr>
          <w:p w14:paraId="0D38DD33" w14:textId="677BEF28" w:rsidR="00514CC0" w:rsidRDefault="00E72B49">
            <w:pPr>
              <w:pStyle w:val="OWTablebodyleft"/>
            </w:pPr>
            <w:r>
              <w:t>As the national service, 1800RESPECT helpline data has been used here as a proxy for demand upon services. However, 1800RESPECT data is currently challenging to compare over time.</w:t>
            </w:r>
          </w:p>
          <w:p w14:paraId="598AB695" w14:textId="77777777" w:rsidR="00514CC0" w:rsidRDefault="00E72B49">
            <w:pPr>
              <w:pStyle w:val="OWTablebodyleft"/>
            </w:pPr>
            <w:r>
              <w:t>We recognise that besides 1800 RESPECT, there are many other specialist telephone helplines and services, including those with expertise for particular communities. In future monitoring waves, using data from such services will provide further insight into help-seeking behaviour.</w:t>
            </w:r>
          </w:p>
          <w:p w14:paraId="398B4FCA" w14:textId="15770D18" w:rsidR="00514CC0" w:rsidRDefault="00E72B49">
            <w:pPr>
              <w:pStyle w:val="OWTablebodyleft"/>
            </w:pPr>
            <w:r>
              <w:t>As advised by specialist services, caution should be noted in using growth in numbers of first contact made with services as an indicator of service performance. Anecdotally, specialist services note a rise in complex cases requiring case management and repeated contact over time. These cases tend to reflect complex needs arising from intersecting factors relating to multiple forms of</w:t>
            </w:r>
            <w:r w:rsidR="00287D9B">
              <w:t> </w:t>
            </w:r>
            <w:r>
              <w:t>inequality and disadvantage. Media reports suggest that 1800RESPECT is also experiencing a tension between a funding and</w:t>
            </w:r>
            <w:r w:rsidR="00287D9B">
              <w:t> </w:t>
            </w:r>
            <w:r>
              <w:t>monitoring model that is predicated on numbers of single callers, and the reality of the complex needs of many women who experience violence who require more than one point of contact or</w:t>
            </w:r>
            <w:r w:rsidR="00287D9B">
              <w:t> </w:t>
            </w:r>
            <w:r>
              <w:t>call to the service.</w:t>
            </w:r>
            <w:r w:rsidR="008A351E">
              <w:rPr>
                <w:rStyle w:val="EndnoteReference"/>
              </w:rPr>
              <w:endnoteReference w:id="210"/>
            </w:r>
          </w:p>
          <w:p w14:paraId="3080D42C" w14:textId="77777777" w:rsidR="00514CC0" w:rsidRDefault="00E72B49">
            <w:pPr>
              <w:pStyle w:val="OWTablebodyleft"/>
            </w:pPr>
            <w:r>
              <w:t>In this report, service demand is not being offered as a measure of service performance, but rather an indication of changing social norms which see victims feeling more able and willing to seek help.</w:t>
            </w:r>
          </w:p>
          <w:p w14:paraId="59586304" w14:textId="77777777" w:rsidR="00514CC0" w:rsidRDefault="00E72B49">
            <w:pPr>
              <w:pStyle w:val="OWTablebodyleft"/>
            </w:pPr>
            <w:r>
              <w:t>Further research is required to help interpret findings that show growth in demand upon specialist services, but overall declines in help-seeking behaviours among female victims.</w:t>
            </w:r>
          </w:p>
        </w:tc>
      </w:tr>
    </w:tbl>
    <w:p w14:paraId="760ABDD3" w14:textId="77777777" w:rsidR="00514CC0" w:rsidRDefault="00E72B49" w:rsidP="00F868FE">
      <w:pPr>
        <w:pStyle w:val="Heading5"/>
      </w:pPr>
      <w:r>
        <w:t>Growth in demand on 1800RESPECT</w:t>
      </w:r>
    </w:p>
    <w:p w14:paraId="15213B58" w14:textId="4BC3DA12" w:rsidR="00514CC0" w:rsidRDefault="00E72B49">
      <w:pPr>
        <w:pStyle w:val="BodyText"/>
      </w:pPr>
      <w:r>
        <w:t xml:space="preserve">1800RESPECT, the national sexual assault, domestic and family violence counselling and information referral service, was established in 2010 as part of the </w:t>
      </w:r>
      <w:r w:rsidR="005920A8" w:rsidRPr="007C4B16">
        <w:rPr>
          <w:rStyle w:val="Emphasis"/>
        </w:rPr>
        <w:t xml:space="preserve">National Plan to Reduce Violence against Women and </w:t>
      </w:r>
      <w:r w:rsidR="005920A8">
        <w:rPr>
          <w:rStyle w:val="Emphasis"/>
        </w:rPr>
        <w:t>t</w:t>
      </w:r>
      <w:r w:rsidR="005920A8" w:rsidRPr="005920A8">
        <w:rPr>
          <w:rStyle w:val="Emphasis"/>
        </w:rPr>
        <w:t>heir Children</w:t>
      </w:r>
      <w:r w:rsidR="005920A8">
        <w:rPr>
          <w:rStyle w:val="Emphasis"/>
        </w:rPr>
        <w:t xml:space="preserve"> </w:t>
      </w:r>
      <w:r w:rsidR="005920A8" w:rsidRPr="002D1570">
        <w:rPr>
          <w:rStyle w:val="Emphasis"/>
        </w:rPr>
        <w:t xml:space="preserve">2010–2022 </w:t>
      </w:r>
      <w:r w:rsidR="005920A8" w:rsidRPr="007C4B16">
        <w:t>(the National Plan)</w:t>
      </w:r>
      <w:r>
        <w:t xml:space="preserve"> and is funded by the Department of Social Services. </w:t>
      </w:r>
      <w:r w:rsidRPr="002D0D52">
        <w:rPr>
          <w:rStyle w:val="Strong"/>
        </w:rPr>
        <w:t>Between 2016–17 and 2017–18, 1800RESPECT reported a 54% increase in answering first response telephone and online contact</w:t>
      </w:r>
      <w:r>
        <w:t>, and a 102% increase in answers to contact by trauma specialist counsellors.</w:t>
      </w:r>
      <w:r w:rsidR="008A351E">
        <w:rPr>
          <w:rStyle w:val="EndnoteReference"/>
        </w:rPr>
        <w:endnoteReference w:id="211"/>
      </w:r>
      <w:r>
        <w:t xml:space="preserve"> </w:t>
      </w:r>
      <w:r w:rsidR="00E9681F">
        <w:t>As reported in the</w:t>
      </w:r>
      <w:r w:rsidR="00E9681F">
        <w:rPr>
          <w:rStyle w:val="Emphasis"/>
        </w:rPr>
        <w:t xml:space="preserve"> </w:t>
      </w:r>
      <w:r w:rsidR="00E9681F" w:rsidRPr="005A622A">
        <w:rPr>
          <w:i/>
          <w:iCs/>
          <w:lang w:val="en-US"/>
        </w:rPr>
        <w:t>Fourth</w:t>
      </w:r>
      <w:r w:rsidR="00E9681F">
        <w:rPr>
          <w:i/>
          <w:iCs/>
          <w:lang w:val="en-US"/>
        </w:rPr>
        <w:t> </w:t>
      </w:r>
      <w:r w:rsidR="00E9681F" w:rsidRPr="005A622A">
        <w:rPr>
          <w:i/>
          <w:iCs/>
          <w:lang w:val="en-US"/>
        </w:rPr>
        <w:t>Action Plan – National Plan to Reduce Violence against Women and their Children 2010–2022</w:t>
      </w:r>
      <w:r>
        <w:t>, first response counsellors answering contact grew 66% from the previous year (n=163,000 contacts in 2018–19).</w:t>
      </w:r>
      <w:r w:rsidR="008A351E">
        <w:rPr>
          <w:rStyle w:val="EndnoteReference"/>
        </w:rPr>
        <w:endnoteReference w:id="212"/>
      </w:r>
    </w:p>
    <w:p w14:paraId="36EE63D4" w14:textId="77777777" w:rsidR="00514CC0" w:rsidRDefault="00E72B49">
      <w:pPr>
        <w:pStyle w:val="BodyText"/>
      </w:pPr>
      <w:r>
        <w:t>1800RESPECT is currently working on improving its data capture and reporting systems and processes. This will support the tracking of comparable data over time for future primary prevention monitoring waves.</w:t>
      </w:r>
    </w:p>
    <w:p w14:paraId="72789314" w14:textId="77777777" w:rsidR="00514CC0" w:rsidRDefault="00E72B49" w:rsidP="00F868FE">
      <w:pPr>
        <w:pStyle w:val="Heading5"/>
      </w:pPr>
      <w:r>
        <w:lastRenderedPageBreak/>
        <w:t>Sources of help sought by women who have experienced sexual or physical violence</w:t>
      </w:r>
    </w:p>
    <w:p w14:paraId="16AF6905" w14:textId="77777777" w:rsidR="00514CC0" w:rsidRDefault="00E72B49">
      <w:pPr>
        <w:pStyle w:val="BodyText"/>
      </w:pPr>
      <w:r>
        <w:t xml:space="preserve">The PSS asks women (aged 18 years and over) who have experienced physical or sexual violence (since the age of 15, and perpetrated by a partner or non-partner) not only </w:t>
      </w:r>
      <w:r w:rsidRPr="003E209A">
        <w:rPr>
          <w:rStyle w:val="Emphasis"/>
        </w:rPr>
        <w:t xml:space="preserve">whether </w:t>
      </w:r>
      <w:r>
        <w:t xml:space="preserve">they sought advice or help, but </w:t>
      </w:r>
      <w:r w:rsidRPr="003E209A">
        <w:rPr>
          <w:rStyle w:val="Emphasis"/>
        </w:rPr>
        <w:t xml:space="preserve">where </w:t>
      </w:r>
      <w:r>
        <w:t>they sought help from. This allows assessment of the extent to which women’s help-seeking behaviour is being directed towards specialist services, and how this behaviour is changing over time.</w:t>
      </w:r>
    </w:p>
    <w:p w14:paraId="625C96F1" w14:textId="77777777" w:rsidR="00514CC0" w:rsidRDefault="00E72B49">
      <w:pPr>
        <w:pStyle w:val="BodyText"/>
      </w:pPr>
      <w:r w:rsidRPr="002D0D52">
        <w:rPr>
          <w:rStyle w:val="Strong"/>
        </w:rPr>
        <w:t>PSS data shows that growing proportions of women who have experienced physical and/or sexual violence have sought help from telephone helplines, support workers or counsellors for the most recent incident of violence</w:t>
      </w:r>
      <w:r>
        <w:t>.</w:t>
      </w:r>
    </w:p>
    <w:p w14:paraId="15178940" w14:textId="1B9BB966" w:rsidR="00514CC0" w:rsidRDefault="00E72B49">
      <w:pPr>
        <w:pStyle w:val="BodyText"/>
      </w:pPr>
      <w:r>
        <w:t>In 2012, 21.8% of women who had experienced</w:t>
      </w:r>
      <w:r w:rsidR="005477EF">
        <w:t xml:space="preserve"> male perpetrated</w:t>
      </w:r>
      <w:r>
        <w:t xml:space="preserve"> sexual assault since the age of 15 and sought</w:t>
      </w:r>
      <w:r w:rsidR="00FC59B2">
        <w:t> </w:t>
      </w:r>
      <w:r>
        <w:t>help</w:t>
      </w:r>
      <w:r w:rsidR="005477EF">
        <w:t xml:space="preserve"> after the most recent incident,</w:t>
      </w:r>
      <w:r>
        <w:t xml:space="preserve"> pursued advice or support from counsellors. This proportion increased by 4.8</w:t>
      </w:r>
      <w:r w:rsidR="00FC59B2">
        <w:t> </w:t>
      </w:r>
      <w:r>
        <w:t>percentage points to 26.6% in 2016.</w:t>
      </w:r>
      <w:r>
        <w:rPr>
          <w:rStyle w:val="OWSuperscript"/>
        </w:rPr>
        <w:footnoteReference w:id="23"/>
      </w:r>
      <w:r>
        <w:t xml:space="preserve"> Of the women who had experienced male-perpetrated physical assault since age 15 and sought help for the most recent incident of physical assault, in 2012 18.5% sought advice or support from a counsellor, support worker or telephone helpline. This proportion had increased by a considerable 9.8 percentage points to 28.3% in 2016 (see Table </w:t>
      </w:r>
      <w:r w:rsidR="0017588F">
        <w:t>10</w:t>
      </w:r>
      <w:r>
        <w:t>, below).</w:t>
      </w:r>
    </w:p>
    <w:p w14:paraId="42F90CBB" w14:textId="34846695" w:rsidR="00514CC0" w:rsidRDefault="00E72B49">
      <w:pPr>
        <w:pStyle w:val="OWTablecaption"/>
      </w:pPr>
      <w:r>
        <w:t xml:space="preserve">Table </w:t>
      </w:r>
      <w:r w:rsidR="0017588F">
        <w:t>10</w:t>
      </w:r>
      <w:r>
        <w:t>: Women who have experienced male-perpetrated sexual or physical violence since age 15 and have sought help for their most recent incident of violence, proportion (%) who sought advice or support from counsellor, support worker or telephone helpline</w:t>
      </w:r>
    </w:p>
    <w:tbl>
      <w:tblPr>
        <w:tblStyle w:val="Datatableteal"/>
        <w:tblW w:w="9072" w:type="dxa"/>
        <w:tblLayout w:type="fixed"/>
        <w:tblLook w:val="02A0" w:firstRow="1" w:lastRow="0" w:firstColumn="1" w:lastColumn="0" w:noHBand="1" w:noVBand="0"/>
      </w:tblPr>
      <w:tblGrid>
        <w:gridCol w:w="2269"/>
        <w:gridCol w:w="2267"/>
        <w:gridCol w:w="2268"/>
        <w:gridCol w:w="2268"/>
      </w:tblGrid>
      <w:tr w:rsidR="00514CC0" w14:paraId="3E1C54CA" w14:textId="77777777" w:rsidTr="005720A2">
        <w:trPr>
          <w:cnfStyle w:val="100000000000" w:firstRow="1" w:lastRow="0" w:firstColumn="0" w:lastColumn="0" w:oddVBand="0" w:evenVBand="0" w:oddHBand="0" w:evenHBand="0" w:firstRowFirstColumn="0" w:firstRowLastColumn="0" w:lastRowFirstColumn="0" w:lastRowLastColumn="0"/>
          <w:cantSplit/>
          <w:trHeight w:val="60"/>
          <w:tblHeader/>
        </w:trPr>
        <w:tc>
          <w:tcPr>
            <w:tcW w:w="4535" w:type="dxa"/>
            <w:gridSpan w:val="2"/>
          </w:tcPr>
          <w:p w14:paraId="676A296A" w14:textId="77777777" w:rsidR="00514CC0" w:rsidRPr="007150E1" w:rsidRDefault="00E72B49">
            <w:pPr>
              <w:pStyle w:val="OWTablecolumnheadleft"/>
            </w:pPr>
            <w:r w:rsidRPr="007150E1">
              <w:t>Type of male-perpetrated violence</w:t>
            </w:r>
          </w:p>
        </w:tc>
        <w:tc>
          <w:tcPr>
            <w:tcW w:w="2268" w:type="dxa"/>
          </w:tcPr>
          <w:p w14:paraId="6EC3AC49" w14:textId="77777777" w:rsidR="00514CC0" w:rsidRDefault="00E72B49">
            <w:pPr>
              <w:pStyle w:val="OWTablecolumnheadcentre"/>
            </w:pPr>
            <w:r w:rsidRPr="007150E1">
              <w:t>2012</w:t>
            </w:r>
            <w:r>
              <w:rPr>
                <w:rStyle w:val="OWSuperscript"/>
              </w:rPr>
              <w:footnoteReference w:id="24"/>
            </w:r>
          </w:p>
        </w:tc>
        <w:tc>
          <w:tcPr>
            <w:tcW w:w="2268" w:type="dxa"/>
          </w:tcPr>
          <w:p w14:paraId="63B5521F" w14:textId="77777777" w:rsidR="00514CC0" w:rsidRDefault="00E72B49">
            <w:pPr>
              <w:pStyle w:val="OWTablecolumnheadcentre"/>
            </w:pPr>
            <w:r w:rsidRPr="007150E1">
              <w:t>2016</w:t>
            </w:r>
            <w:r>
              <w:rPr>
                <w:rStyle w:val="OWSuperscript"/>
              </w:rPr>
              <w:footnoteReference w:id="25"/>
            </w:r>
          </w:p>
        </w:tc>
      </w:tr>
      <w:tr w:rsidR="00514CC0" w14:paraId="0B377F7C" w14:textId="77777777" w:rsidTr="005720A2">
        <w:trPr>
          <w:cantSplit/>
          <w:trHeight w:val="60"/>
        </w:trPr>
        <w:tc>
          <w:tcPr>
            <w:tcW w:w="2268" w:type="dxa"/>
            <w:vMerge w:val="restart"/>
          </w:tcPr>
          <w:p w14:paraId="5FEDA7F1" w14:textId="77777777" w:rsidR="00514CC0" w:rsidRDefault="00E72B49">
            <w:pPr>
              <w:pStyle w:val="OWTablebodyleft"/>
            </w:pPr>
            <w:r>
              <w:t>Sexual violence</w:t>
            </w:r>
          </w:p>
        </w:tc>
        <w:tc>
          <w:tcPr>
            <w:tcW w:w="2267" w:type="dxa"/>
          </w:tcPr>
          <w:p w14:paraId="3B50AB3B" w14:textId="77777777" w:rsidR="00514CC0" w:rsidRDefault="00E72B49">
            <w:pPr>
              <w:pStyle w:val="OWTablebodyleft"/>
            </w:pPr>
            <w:r>
              <w:t>Sexual assault</w:t>
            </w:r>
          </w:p>
        </w:tc>
        <w:tc>
          <w:tcPr>
            <w:tcW w:w="2268" w:type="dxa"/>
          </w:tcPr>
          <w:p w14:paraId="20C5D8BE" w14:textId="77777777" w:rsidR="00514CC0" w:rsidRDefault="00E72B49">
            <w:pPr>
              <w:pStyle w:val="OWTablebodycentre"/>
            </w:pPr>
            <w:r>
              <w:t>21.8%</w:t>
            </w:r>
          </w:p>
        </w:tc>
        <w:tc>
          <w:tcPr>
            <w:tcW w:w="2268" w:type="dxa"/>
          </w:tcPr>
          <w:p w14:paraId="6118B07C" w14:textId="77777777" w:rsidR="00514CC0" w:rsidRDefault="00E72B49">
            <w:pPr>
              <w:pStyle w:val="OWTablebodycentre"/>
            </w:pPr>
            <w:r>
              <w:t>26.6%</w:t>
            </w:r>
          </w:p>
        </w:tc>
      </w:tr>
      <w:tr w:rsidR="00514CC0" w14:paraId="105B3176" w14:textId="77777777" w:rsidTr="005720A2">
        <w:trPr>
          <w:cantSplit/>
          <w:trHeight w:val="60"/>
        </w:trPr>
        <w:tc>
          <w:tcPr>
            <w:tcW w:w="2268" w:type="dxa"/>
            <w:vMerge/>
          </w:tcPr>
          <w:p w14:paraId="6B2263E1" w14:textId="77777777" w:rsidR="00514CC0" w:rsidRDefault="00514CC0">
            <w:pPr>
              <w:pStyle w:val="OWDefault"/>
              <w:spacing w:line="240" w:lineRule="auto"/>
              <w:textAlignment w:val="auto"/>
              <w:rPr>
                <w:rFonts w:cs="Calibri"/>
              </w:rPr>
            </w:pPr>
          </w:p>
        </w:tc>
        <w:tc>
          <w:tcPr>
            <w:tcW w:w="2267" w:type="dxa"/>
          </w:tcPr>
          <w:p w14:paraId="215E928C" w14:textId="77777777" w:rsidR="00514CC0" w:rsidRDefault="00E72B49">
            <w:pPr>
              <w:pStyle w:val="OWTablebodyleft"/>
            </w:pPr>
            <w:r>
              <w:t>Sexual threat</w:t>
            </w:r>
          </w:p>
        </w:tc>
        <w:tc>
          <w:tcPr>
            <w:tcW w:w="2268" w:type="dxa"/>
          </w:tcPr>
          <w:p w14:paraId="4428B63D" w14:textId="77777777" w:rsidR="00514CC0" w:rsidRDefault="00E72B49">
            <w:pPr>
              <w:pStyle w:val="OWTablebodycentre"/>
            </w:pPr>
            <w:r>
              <w:t>13.3%</w:t>
            </w:r>
          </w:p>
        </w:tc>
        <w:tc>
          <w:tcPr>
            <w:tcW w:w="2268" w:type="dxa"/>
          </w:tcPr>
          <w:p w14:paraId="68E41088" w14:textId="77777777" w:rsidR="00514CC0" w:rsidRDefault="00E72B49">
            <w:pPr>
              <w:pStyle w:val="OWTablebodycentre"/>
            </w:pPr>
            <w:r>
              <w:t>18.3%</w:t>
            </w:r>
          </w:p>
        </w:tc>
      </w:tr>
      <w:tr w:rsidR="00514CC0" w14:paraId="3D72EC9D" w14:textId="77777777" w:rsidTr="005720A2">
        <w:trPr>
          <w:cantSplit/>
          <w:trHeight w:val="60"/>
        </w:trPr>
        <w:tc>
          <w:tcPr>
            <w:tcW w:w="2268" w:type="dxa"/>
            <w:vMerge w:val="restart"/>
          </w:tcPr>
          <w:p w14:paraId="15853F9B" w14:textId="77777777" w:rsidR="00514CC0" w:rsidRDefault="00E72B49">
            <w:pPr>
              <w:pStyle w:val="OWTablebodyleft"/>
            </w:pPr>
            <w:r>
              <w:t>Physical violence</w:t>
            </w:r>
          </w:p>
        </w:tc>
        <w:tc>
          <w:tcPr>
            <w:tcW w:w="2267" w:type="dxa"/>
          </w:tcPr>
          <w:p w14:paraId="33E5D894" w14:textId="77777777" w:rsidR="00514CC0" w:rsidRDefault="00E72B49">
            <w:pPr>
              <w:pStyle w:val="OWTablebodyleft"/>
            </w:pPr>
            <w:r>
              <w:t>Physical assault</w:t>
            </w:r>
          </w:p>
        </w:tc>
        <w:tc>
          <w:tcPr>
            <w:tcW w:w="2268" w:type="dxa"/>
          </w:tcPr>
          <w:p w14:paraId="13B2733F" w14:textId="77777777" w:rsidR="00514CC0" w:rsidRDefault="00E72B49">
            <w:pPr>
              <w:pStyle w:val="OWTablebodycentre"/>
            </w:pPr>
            <w:r>
              <w:t>18.5%</w:t>
            </w:r>
          </w:p>
        </w:tc>
        <w:tc>
          <w:tcPr>
            <w:tcW w:w="2268" w:type="dxa"/>
          </w:tcPr>
          <w:p w14:paraId="3FFBE452" w14:textId="77777777" w:rsidR="00514CC0" w:rsidRDefault="00E72B49">
            <w:pPr>
              <w:pStyle w:val="OWTablebodycentre"/>
            </w:pPr>
            <w:r>
              <w:t>28.3%</w:t>
            </w:r>
          </w:p>
        </w:tc>
      </w:tr>
      <w:tr w:rsidR="00514CC0" w14:paraId="28E7D997" w14:textId="77777777" w:rsidTr="005720A2">
        <w:trPr>
          <w:cantSplit/>
          <w:trHeight w:val="60"/>
        </w:trPr>
        <w:tc>
          <w:tcPr>
            <w:tcW w:w="2268" w:type="dxa"/>
            <w:vMerge/>
          </w:tcPr>
          <w:p w14:paraId="7CEC202B" w14:textId="77777777" w:rsidR="00514CC0" w:rsidRDefault="00514CC0">
            <w:pPr>
              <w:pStyle w:val="OWDefault"/>
              <w:spacing w:line="240" w:lineRule="auto"/>
              <w:textAlignment w:val="auto"/>
              <w:rPr>
                <w:rFonts w:cs="Calibri"/>
              </w:rPr>
            </w:pPr>
          </w:p>
        </w:tc>
        <w:tc>
          <w:tcPr>
            <w:tcW w:w="2267" w:type="dxa"/>
          </w:tcPr>
          <w:p w14:paraId="099B095C" w14:textId="77777777" w:rsidR="00514CC0" w:rsidRDefault="00E72B49">
            <w:pPr>
              <w:pStyle w:val="OWTablebodyleft"/>
            </w:pPr>
            <w:r>
              <w:t>Physical threat</w:t>
            </w:r>
          </w:p>
        </w:tc>
        <w:tc>
          <w:tcPr>
            <w:tcW w:w="2268" w:type="dxa"/>
          </w:tcPr>
          <w:p w14:paraId="1BC2CC17" w14:textId="77777777" w:rsidR="00514CC0" w:rsidRDefault="00E72B49">
            <w:pPr>
              <w:pStyle w:val="OWTablebodycentre"/>
            </w:pPr>
            <w:r>
              <w:t>12.1%</w:t>
            </w:r>
          </w:p>
        </w:tc>
        <w:tc>
          <w:tcPr>
            <w:tcW w:w="2268" w:type="dxa"/>
          </w:tcPr>
          <w:p w14:paraId="1B1C54A4" w14:textId="77777777" w:rsidR="00514CC0" w:rsidRDefault="00E72B49">
            <w:pPr>
              <w:pStyle w:val="OWTablebodycentre"/>
            </w:pPr>
            <w:r>
              <w:t>17.0%</w:t>
            </w:r>
          </w:p>
        </w:tc>
      </w:tr>
    </w:tbl>
    <w:p w14:paraId="6B8A8FA7" w14:textId="5A45D4FF" w:rsidR="00514CC0" w:rsidRDefault="00E72B49">
      <w:pPr>
        <w:pStyle w:val="OWTablefootnote"/>
      </w:pPr>
      <w:r>
        <w:t>Sources: ABS, PSS 2016; ANROWS, PSS 2012 additional analysis, Table A9</w:t>
      </w:r>
      <w:r w:rsidR="008A351E">
        <w:rPr>
          <w:rStyle w:val="EndnoteReference"/>
        </w:rPr>
        <w:endnoteReference w:id="213"/>
      </w:r>
    </w:p>
    <w:p w14:paraId="3DB5EA36" w14:textId="765D50D4" w:rsidR="00514CC0" w:rsidRDefault="00E72B49">
      <w:pPr>
        <w:pStyle w:val="OWBodytextlargespaceabove"/>
      </w:pPr>
      <w:r>
        <w:t>Based on PSS data, while there is a growing demand on specialist services including telephone helplines, women’s most common source of advice or support, across all types of physical or sexual violence, continues to be a friend or family member. For example, in 2016 nearly half (49.6%) of all women who had experienced</w:t>
      </w:r>
      <w:r w:rsidR="00801E2D">
        <w:t xml:space="preserve"> male-perpetrated</w:t>
      </w:r>
      <w:r>
        <w:t xml:space="preserve"> sexual assault since age 15 and sought help for their most recent incident turned to a friend or family </w:t>
      </w:r>
      <w:r>
        <w:lastRenderedPageBreak/>
        <w:t>member.</w:t>
      </w:r>
      <w:r w:rsidR="008A351E">
        <w:rPr>
          <w:rStyle w:val="EndnoteReference"/>
        </w:rPr>
        <w:endnoteReference w:id="214"/>
      </w:r>
      <w:r>
        <w:t xml:space="preserve"> Considerable proportions of women also seek support from GPs or other health professionals and police.</w:t>
      </w:r>
      <w:r>
        <w:rPr>
          <w:rStyle w:val="OWSuperscript"/>
        </w:rPr>
        <w:footnoteReference w:id="26"/>
      </w:r>
    </w:p>
    <w:p w14:paraId="06E6ECDE" w14:textId="77777777" w:rsidR="00514CC0" w:rsidRDefault="00E72B49" w:rsidP="00F868FE">
      <w:pPr>
        <w:pStyle w:val="Heading5"/>
      </w:pPr>
      <w:r>
        <w:t>Specialist help demand is growing, but help-seeking behaviour is on the decline</w:t>
      </w:r>
    </w:p>
    <w:p w14:paraId="6419AC8E" w14:textId="0AC449BC" w:rsidR="00514CC0" w:rsidRDefault="00E72B49">
      <w:pPr>
        <w:pStyle w:val="BodyText"/>
      </w:pPr>
      <w:r>
        <w:t xml:space="preserve">A note of caution should be sounded on these findings. While the PSS data suggests that more women are seeking help or advice from specialist services, the overall proportions of female victims seeking advice or support declined between 2012 and 2016. For example, in 2012, of the women who reported having experienced male-perpetrated sexual assault since the age of 15, 59.3% had sought advice or support from some source after the most recent incident of violence. This proportion had declined to 49.6% in 2016. Such declines in help-seeking behaviour among female victims were noted for all forms of male-perpetrated violence (see Table </w:t>
      </w:r>
      <w:r w:rsidR="0017588F">
        <w:t>11</w:t>
      </w:r>
      <w:r>
        <w:t>, below).</w:t>
      </w:r>
    </w:p>
    <w:p w14:paraId="47FDAE5C" w14:textId="704750FE" w:rsidR="00514CC0" w:rsidRDefault="00E72B49">
      <w:pPr>
        <w:pStyle w:val="OWTablecaption"/>
      </w:pPr>
      <w:r>
        <w:t xml:space="preserve">Table </w:t>
      </w:r>
      <w:r w:rsidR="0017588F">
        <w:t>11</w:t>
      </w:r>
      <w:r>
        <w:t>: Women who have experienced male-perpetrated sexual or physical violence since age 15, proportion (%) of women who sought advice or support from anyone, by type of violence</w:t>
      </w:r>
    </w:p>
    <w:tbl>
      <w:tblPr>
        <w:tblStyle w:val="Datatableteal"/>
        <w:tblW w:w="9072" w:type="dxa"/>
        <w:tblLayout w:type="fixed"/>
        <w:tblLook w:val="06A0" w:firstRow="1" w:lastRow="0" w:firstColumn="1" w:lastColumn="0" w:noHBand="1" w:noVBand="1"/>
      </w:tblPr>
      <w:tblGrid>
        <w:gridCol w:w="2269"/>
        <w:gridCol w:w="2267"/>
        <w:gridCol w:w="2268"/>
        <w:gridCol w:w="2268"/>
      </w:tblGrid>
      <w:tr w:rsidR="00514CC0" w14:paraId="66D6D114" w14:textId="77777777" w:rsidTr="005720A2">
        <w:trPr>
          <w:cnfStyle w:val="100000000000" w:firstRow="1" w:lastRow="0" w:firstColumn="0" w:lastColumn="0" w:oddVBand="0" w:evenVBand="0" w:oddHBand="0" w:evenHBand="0" w:firstRowFirstColumn="0" w:firstRowLastColumn="0" w:lastRowFirstColumn="0" w:lastRowLastColumn="0"/>
          <w:cantSplit/>
          <w:trHeight w:val="60"/>
          <w:tblHeader/>
        </w:trPr>
        <w:tc>
          <w:tcPr>
            <w:tcW w:w="4535" w:type="dxa"/>
            <w:gridSpan w:val="2"/>
          </w:tcPr>
          <w:p w14:paraId="6A16D30A" w14:textId="77777777" w:rsidR="00514CC0" w:rsidRPr="007150E1" w:rsidRDefault="00E72B49">
            <w:pPr>
              <w:pStyle w:val="OWTablecolumnheadleft"/>
            </w:pPr>
            <w:r w:rsidRPr="007150E1">
              <w:t>Type of male-perpetrated violence</w:t>
            </w:r>
          </w:p>
        </w:tc>
        <w:tc>
          <w:tcPr>
            <w:tcW w:w="2268" w:type="dxa"/>
          </w:tcPr>
          <w:p w14:paraId="08AB1BC0" w14:textId="77777777" w:rsidR="00514CC0" w:rsidRPr="007150E1" w:rsidRDefault="00E72B49">
            <w:pPr>
              <w:pStyle w:val="OWTablecolumnheadcentre"/>
            </w:pPr>
            <w:r w:rsidRPr="007150E1">
              <w:t>2012</w:t>
            </w:r>
          </w:p>
        </w:tc>
        <w:tc>
          <w:tcPr>
            <w:tcW w:w="2268" w:type="dxa"/>
          </w:tcPr>
          <w:p w14:paraId="2754448E" w14:textId="77777777" w:rsidR="00514CC0" w:rsidRPr="007150E1" w:rsidRDefault="00E72B49">
            <w:pPr>
              <w:pStyle w:val="OWTablecolumnheadcentre"/>
            </w:pPr>
            <w:r w:rsidRPr="007150E1">
              <w:t>2016</w:t>
            </w:r>
          </w:p>
        </w:tc>
      </w:tr>
      <w:tr w:rsidR="00514CC0" w14:paraId="2CE66E6B" w14:textId="77777777" w:rsidTr="005720A2">
        <w:trPr>
          <w:cantSplit/>
          <w:trHeight w:val="60"/>
        </w:trPr>
        <w:tc>
          <w:tcPr>
            <w:tcW w:w="2268" w:type="dxa"/>
            <w:vMerge w:val="restart"/>
          </w:tcPr>
          <w:p w14:paraId="5A1FCFC5" w14:textId="77777777" w:rsidR="00514CC0" w:rsidRDefault="00E72B49">
            <w:pPr>
              <w:pStyle w:val="OWTablebodyleft"/>
            </w:pPr>
            <w:r>
              <w:t>Sexual violence</w:t>
            </w:r>
          </w:p>
        </w:tc>
        <w:tc>
          <w:tcPr>
            <w:tcW w:w="2267" w:type="dxa"/>
          </w:tcPr>
          <w:p w14:paraId="11729ACD" w14:textId="77777777" w:rsidR="00514CC0" w:rsidRDefault="00E72B49">
            <w:pPr>
              <w:pStyle w:val="OWTablebodyleft"/>
            </w:pPr>
            <w:r>
              <w:t>Sexual assault</w:t>
            </w:r>
          </w:p>
        </w:tc>
        <w:tc>
          <w:tcPr>
            <w:tcW w:w="2268" w:type="dxa"/>
          </w:tcPr>
          <w:p w14:paraId="74A962F7" w14:textId="77777777" w:rsidR="00514CC0" w:rsidRDefault="00E72B49">
            <w:pPr>
              <w:pStyle w:val="OWTablebodycentre"/>
            </w:pPr>
            <w:r>
              <w:t>59.3%</w:t>
            </w:r>
          </w:p>
        </w:tc>
        <w:tc>
          <w:tcPr>
            <w:tcW w:w="2268" w:type="dxa"/>
          </w:tcPr>
          <w:p w14:paraId="21469C49" w14:textId="77777777" w:rsidR="00514CC0" w:rsidRDefault="00E72B49">
            <w:pPr>
              <w:pStyle w:val="OWTablebodycentre"/>
            </w:pPr>
            <w:r>
              <w:t>49.6%</w:t>
            </w:r>
          </w:p>
        </w:tc>
      </w:tr>
      <w:tr w:rsidR="00514CC0" w14:paraId="01D36419" w14:textId="77777777" w:rsidTr="005720A2">
        <w:trPr>
          <w:cantSplit/>
          <w:trHeight w:val="60"/>
        </w:trPr>
        <w:tc>
          <w:tcPr>
            <w:tcW w:w="2268" w:type="dxa"/>
            <w:vMerge/>
          </w:tcPr>
          <w:p w14:paraId="1F26C6CE" w14:textId="77777777" w:rsidR="00514CC0" w:rsidRDefault="00514CC0">
            <w:pPr>
              <w:pStyle w:val="OWDefault"/>
              <w:spacing w:line="240" w:lineRule="auto"/>
              <w:textAlignment w:val="auto"/>
              <w:rPr>
                <w:rFonts w:cs="Calibri"/>
              </w:rPr>
            </w:pPr>
          </w:p>
        </w:tc>
        <w:tc>
          <w:tcPr>
            <w:tcW w:w="2267" w:type="dxa"/>
          </w:tcPr>
          <w:p w14:paraId="2DA58EB3" w14:textId="77777777" w:rsidR="00514CC0" w:rsidRDefault="00E72B49">
            <w:pPr>
              <w:pStyle w:val="OWTablebodyleft"/>
            </w:pPr>
            <w:r>
              <w:t>Sexual threat</w:t>
            </w:r>
          </w:p>
        </w:tc>
        <w:tc>
          <w:tcPr>
            <w:tcW w:w="2268" w:type="dxa"/>
          </w:tcPr>
          <w:p w14:paraId="436035E7" w14:textId="77777777" w:rsidR="00514CC0" w:rsidRDefault="00E72B49">
            <w:pPr>
              <w:pStyle w:val="OWTablebodycentre"/>
            </w:pPr>
            <w:r>
              <w:t>61.0%</w:t>
            </w:r>
          </w:p>
        </w:tc>
        <w:tc>
          <w:tcPr>
            <w:tcW w:w="2268" w:type="dxa"/>
          </w:tcPr>
          <w:p w14:paraId="5D00C6B1" w14:textId="77777777" w:rsidR="00514CC0" w:rsidRDefault="00E72B49">
            <w:pPr>
              <w:pStyle w:val="OWTablebodycentre"/>
            </w:pPr>
            <w:r>
              <w:t>40.6%</w:t>
            </w:r>
          </w:p>
        </w:tc>
      </w:tr>
      <w:tr w:rsidR="00514CC0" w14:paraId="17514C5B" w14:textId="77777777" w:rsidTr="005720A2">
        <w:trPr>
          <w:cantSplit/>
          <w:trHeight w:val="60"/>
        </w:trPr>
        <w:tc>
          <w:tcPr>
            <w:tcW w:w="2268" w:type="dxa"/>
            <w:vMerge w:val="restart"/>
          </w:tcPr>
          <w:p w14:paraId="25B3C6DC" w14:textId="77777777" w:rsidR="00514CC0" w:rsidRDefault="00E72B49">
            <w:pPr>
              <w:pStyle w:val="OWTablebodyleft"/>
            </w:pPr>
            <w:r>
              <w:t>Physical violence</w:t>
            </w:r>
          </w:p>
        </w:tc>
        <w:tc>
          <w:tcPr>
            <w:tcW w:w="2267" w:type="dxa"/>
          </w:tcPr>
          <w:p w14:paraId="7CE0AD1A" w14:textId="77777777" w:rsidR="00514CC0" w:rsidRDefault="00E72B49">
            <w:pPr>
              <w:pStyle w:val="OWTablebodyleft"/>
            </w:pPr>
            <w:r>
              <w:t>Physical assault</w:t>
            </w:r>
          </w:p>
        </w:tc>
        <w:tc>
          <w:tcPr>
            <w:tcW w:w="2268" w:type="dxa"/>
          </w:tcPr>
          <w:p w14:paraId="525DC4B7" w14:textId="77777777" w:rsidR="00514CC0" w:rsidRDefault="00E72B49">
            <w:pPr>
              <w:pStyle w:val="OWTablebodycentre"/>
            </w:pPr>
            <w:r>
              <w:t>68.9%</w:t>
            </w:r>
          </w:p>
        </w:tc>
        <w:tc>
          <w:tcPr>
            <w:tcW w:w="2268" w:type="dxa"/>
          </w:tcPr>
          <w:p w14:paraId="72508D80" w14:textId="77777777" w:rsidR="00514CC0" w:rsidRDefault="00E72B49">
            <w:pPr>
              <w:pStyle w:val="OWTablebodycentre"/>
            </w:pPr>
            <w:r>
              <w:t>61.9%</w:t>
            </w:r>
          </w:p>
        </w:tc>
      </w:tr>
      <w:tr w:rsidR="00514CC0" w14:paraId="3FAD7088" w14:textId="77777777" w:rsidTr="005720A2">
        <w:trPr>
          <w:cantSplit/>
          <w:trHeight w:val="60"/>
        </w:trPr>
        <w:tc>
          <w:tcPr>
            <w:tcW w:w="2268" w:type="dxa"/>
            <w:vMerge/>
          </w:tcPr>
          <w:p w14:paraId="24EB056B" w14:textId="77777777" w:rsidR="00514CC0" w:rsidRDefault="00514CC0">
            <w:pPr>
              <w:pStyle w:val="OWDefault"/>
              <w:spacing w:line="240" w:lineRule="auto"/>
              <w:textAlignment w:val="auto"/>
              <w:rPr>
                <w:rFonts w:cs="Calibri"/>
              </w:rPr>
            </w:pPr>
          </w:p>
        </w:tc>
        <w:tc>
          <w:tcPr>
            <w:tcW w:w="2267" w:type="dxa"/>
          </w:tcPr>
          <w:p w14:paraId="673BA2D9" w14:textId="77777777" w:rsidR="00514CC0" w:rsidRDefault="00E72B49">
            <w:pPr>
              <w:pStyle w:val="OWTablebodyleft"/>
            </w:pPr>
            <w:r>
              <w:t>Physical threat</w:t>
            </w:r>
          </w:p>
        </w:tc>
        <w:tc>
          <w:tcPr>
            <w:tcW w:w="2268" w:type="dxa"/>
          </w:tcPr>
          <w:p w14:paraId="75E35BE2" w14:textId="77777777" w:rsidR="00514CC0" w:rsidRDefault="00E72B49">
            <w:pPr>
              <w:pStyle w:val="OWTablebodycentre"/>
            </w:pPr>
            <w:r>
              <w:t>67.3%</w:t>
            </w:r>
          </w:p>
        </w:tc>
        <w:tc>
          <w:tcPr>
            <w:tcW w:w="2268" w:type="dxa"/>
          </w:tcPr>
          <w:p w14:paraId="2E48F360" w14:textId="77777777" w:rsidR="00514CC0" w:rsidRDefault="00E72B49">
            <w:pPr>
              <w:pStyle w:val="OWTablebodycentre"/>
            </w:pPr>
            <w:r>
              <w:t>60.3%</w:t>
            </w:r>
          </w:p>
        </w:tc>
      </w:tr>
    </w:tbl>
    <w:p w14:paraId="016E2E8D" w14:textId="77777777" w:rsidR="00514CC0" w:rsidRDefault="00E72B49">
      <w:pPr>
        <w:pStyle w:val="OWTablefootnote"/>
      </w:pPr>
      <w:r>
        <w:t>Sources: ABS, PSS 2012 and PSS 2016</w:t>
      </w:r>
    </w:p>
    <w:p w14:paraId="7AFC9256" w14:textId="77777777" w:rsidR="00514CC0" w:rsidRDefault="00E72B49" w:rsidP="00E1549C">
      <w:pPr>
        <w:pStyle w:val="Heading4"/>
      </w:pPr>
      <w:r>
        <w:t>Indicator 1.5: Proportions of women who have experienced violence reporting police contact was made</w:t>
      </w:r>
    </w:p>
    <w:tbl>
      <w:tblPr>
        <w:tblStyle w:val="Indicatoroutlineteal"/>
        <w:tblW w:w="0" w:type="auto"/>
        <w:tblLayout w:type="fixed"/>
        <w:tblLook w:val="0080" w:firstRow="0" w:lastRow="0" w:firstColumn="1" w:lastColumn="0" w:noHBand="0" w:noVBand="0"/>
      </w:tblPr>
      <w:tblGrid>
        <w:gridCol w:w="2268"/>
        <w:gridCol w:w="6803"/>
      </w:tblGrid>
      <w:tr w:rsidR="00514CC0" w14:paraId="112369DE" w14:textId="77777777" w:rsidTr="007150E1">
        <w:trPr>
          <w:cantSplit/>
          <w:trHeight w:val="60"/>
        </w:trPr>
        <w:tc>
          <w:tcPr>
            <w:tcW w:w="2268" w:type="dxa"/>
          </w:tcPr>
          <w:p w14:paraId="4686F982" w14:textId="77777777" w:rsidR="00514CC0" w:rsidRDefault="00E72B49">
            <w:pPr>
              <w:pStyle w:val="OWTablebodyleft"/>
            </w:pPr>
            <w:r>
              <w:t>What does this indicator tell us about Monitoring domain 1: Condoning of violence against women?</w:t>
            </w:r>
          </w:p>
        </w:tc>
        <w:tc>
          <w:tcPr>
            <w:tcW w:w="6803" w:type="dxa"/>
          </w:tcPr>
          <w:p w14:paraId="431ED6CE" w14:textId="77777777" w:rsidR="00514CC0" w:rsidRDefault="00E72B49">
            <w:pPr>
              <w:pStyle w:val="OWTablebodyleft"/>
            </w:pPr>
            <w:r>
              <w:t>This indicator reflects condoning of violence against women by measuring the extent to which women recognise their experience as violence and as criminal in nature, feel willing and able to disclose their experience of violence and seek police help for themselves and accountability for the perpetrator, and are confident in an effective institutional response from the police.</w:t>
            </w:r>
          </w:p>
        </w:tc>
      </w:tr>
      <w:tr w:rsidR="00514CC0" w14:paraId="59B7F0D6" w14:textId="77777777" w:rsidTr="007150E1">
        <w:trPr>
          <w:cantSplit/>
          <w:trHeight w:val="60"/>
        </w:trPr>
        <w:tc>
          <w:tcPr>
            <w:tcW w:w="2268" w:type="dxa"/>
          </w:tcPr>
          <w:p w14:paraId="16A112A3" w14:textId="77777777" w:rsidR="00514CC0" w:rsidRDefault="00E72B49">
            <w:pPr>
              <w:pStyle w:val="OWTablebodyleft"/>
            </w:pPr>
            <w:r>
              <w:lastRenderedPageBreak/>
              <w:t>Expected change if high-quality programs and infrastructure for prevention of violence against women and gender equality are implemented</w:t>
            </w:r>
          </w:p>
        </w:tc>
        <w:tc>
          <w:tcPr>
            <w:tcW w:w="6803" w:type="dxa"/>
          </w:tcPr>
          <w:p w14:paraId="3C54B867" w14:textId="613038F6" w:rsidR="00514CC0" w:rsidRDefault="00E72B49">
            <w:pPr>
              <w:pStyle w:val="OWTablebodyleft"/>
            </w:pPr>
            <w:r>
              <w:t xml:space="preserve">Short- and medium-term: increase in police </w:t>
            </w:r>
            <w:r w:rsidR="008D5DD6">
              <w:t>callouts</w:t>
            </w:r>
            <w:r>
              <w:t xml:space="preserve"> for incidents of violence against women as awareness grows and trust in the police/system improves. Callout rates are expected to plateau in</w:t>
            </w:r>
            <w:r w:rsidR="007C4B16">
              <w:t> </w:t>
            </w:r>
            <w:r>
              <w:t>the medium-term.</w:t>
            </w:r>
          </w:p>
          <w:p w14:paraId="1933224F" w14:textId="414DCAC8" w:rsidR="00514CC0" w:rsidRDefault="00E72B49">
            <w:pPr>
              <w:pStyle w:val="OWTablebodyleft"/>
            </w:pPr>
            <w:r>
              <w:t xml:space="preserve">Long-term: </w:t>
            </w:r>
            <w:r w:rsidR="008D5DD6">
              <w:t>callouts</w:t>
            </w:r>
            <w:r>
              <w:t xml:space="preserve"> will fall as rates of intimate partner violence fall.</w:t>
            </w:r>
          </w:p>
        </w:tc>
      </w:tr>
      <w:tr w:rsidR="00514CC0" w14:paraId="1091EB6A" w14:textId="77777777" w:rsidTr="007150E1">
        <w:trPr>
          <w:cantSplit/>
          <w:trHeight w:val="828"/>
        </w:trPr>
        <w:tc>
          <w:tcPr>
            <w:tcW w:w="2268" w:type="dxa"/>
          </w:tcPr>
          <w:p w14:paraId="009F2E2B" w14:textId="77777777" w:rsidR="00514CC0" w:rsidRDefault="00E72B49">
            <w:pPr>
              <w:pStyle w:val="OWTablebodyleft"/>
            </w:pPr>
            <w:r>
              <w:t>Data source(s)</w:t>
            </w:r>
          </w:p>
        </w:tc>
        <w:tc>
          <w:tcPr>
            <w:tcW w:w="6803" w:type="dxa"/>
          </w:tcPr>
          <w:p w14:paraId="75BAD4BA" w14:textId="77777777" w:rsidR="00514CC0" w:rsidRDefault="00E72B49" w:rsidP="002C2EC7">
            <w:pPr>
              <w:pStyle w:val="OWTablenumberdigit"/>
              <w:numPr>
                <w:ilvl w:val="0"/>
                <w:numId w:val="21"/>
              </w:numPr>
            </w:pPr>
            <w:r>
              <w:t>Personal Safety Survey (PSS) 2012 and 2016, ABS</w:t>
            </w:r>
          </w:p>
          <w:p w14:paraId="1B7FCAC0" w14:textId="662CEDCB" w:rsidR="00514CC0" w:rsidRDefault="00E72B49">
            <w:pPr>
              <w:pStyle w:val="OWTablenumberdigit"/>
            </w:pPr>
            <w:r>
              <w:t>National Aboriginal and Torres Strait Islander Social Survey (NATSISS) 2008 and 2014–15, ABS</w:t>
            </w:r>
            <w:r w:rsidR="008A351E">
              <w:rPr>
                <w:rStyle w:val="EndnoteReference"/>
              </w:rPr>
              <w:endnoteReference w:id="215"/>
            </w:r>
          </w:p>
        </w:tc>
      </w:tr>
      <w:tr w:rsidR="00514CC0" w14:paraId="74C7F68D" w14:textId="77777777" w:rsidTr="007150E1">
        <w:trPr>
          <w:cantSplit/>
          <w:trHeight w:val="60"/>
        </w:trPr>
        <w:tc>
          <w:tcPr>
            <w:tcW w:w="2268" w:type="dxa"/>
          </w:tcPr>
          <w:p w14:paraId="4900F5CF" w14:textId="77777777" w:rsidR="00514CC0" w:rsidRDefault="00E72B49">
            <w:pPr>
              <w:pStyle w:val="OWTablebodyleft"/>
            </w:pPr>
            <w:r>
              <w:t>Change over time summary: short-term change revealed by the data</w:t>
            </w:r>
          </w:p>
        </w:tc>
        <w:tc>
          <w:tcPr>
            <w:tcW w:w="6803" w:type="dxa"/>
          </w:tcPr>
          <w:p w14:paraId="44E2D7CC" w14:textId="77777777" w:rsidR="00514CC0" w:rsidRDefault="00E72B49">
            <w:pPr>
              <w:pStyle w:val="OWTablebodyleft"/>
            </w:pPr>
            <w:r>
              <w:t>Overall population changes for women in Australia (PSS):</w:t>
            </w:r>
          </w:p>
          <w:p w14:paraId="4D7D7F88" w14:textId="00D731FC" w:rsidR="00514CC0" w:rsidRDefault="00E72B49">
            <w:pPr>
              <w:pStyle w:val="OWTablebullet1"/>
            </w:pPr>
            <w:r>
              <w:t>Minor decline in police contact made for most recent incidents of sexual assault experienced in the last 12 months, perpetrated by a man of any relationship to the female victim.</w:t>
            </w:r>
          </w:p>
          <w:p w14:paraId="629256C0" w14:textId="77777777" w:rsidR="00514CC0" w:rsidRDefault="00E72B49">
            <w:pPr>
              <w:pStyle w:val="OWTablebullet1"/>
            </w:pPr>
            <w:r>
              <w:t>Minor increase in police contact made for most recent incidents of physical assault experienced in the last 12 months, perpetrated by a man of any relationship to the female victim.</w:t>
            </w:r>
          </w:p>
          <w:p w14:paraId="2316F57E" w14:textId="77777777" w:rsidR="00514CC0" w:rsidRDefault="00E72B49">
            <w:pPr>
              <w:pStyle w:val="OWTablebodyleft"/>
            </w:pPr>
            <w:r>
              <w:t>Changes for Aboriginal and Torres Strait Islander women who have experienced violence (NATSISS):</w:t>
            </w:r>
          </w:p>
          <w:p w14:paraId="42D4B246" w14:textId="77777777" w:rsidR="00514CC0" w:rsidRDefault="00E72B49" w:rsidP="00FC59B2">
            <w:pPr>
              <w:pStyle w:val="OWTablebullet1"/>
              <w:spacing w:after="100"/>
              <w:ind w:left="284" w:hanging="284"/>
            </w:pPr>
            <w:r>
              <w:t>Difficult to ascertain change due to issues with comparability of publicly available data. However, the data suggests a decline in the proportion of Aboriginal and Torres Strait Islander women who have experienced physical violence in the past 12 months making contact with police regarding the most recent incident of violence they experienced.</w:t>
            </w:r>
          </w:p>
        </w:tc>
      </w:tr>
      <w:tr w:rsidR="00514CC0" w14:paraId="4F543CD2" w14:textId="77777777" w:rsidTr="007150E1">
        <w:trPr>
          <w:cantSplit/>
          <w:trHeight w:val="60"/>
        </w:trPr>
        <w:tc>
          <w:tcPr>
            <w:tcW w:w="2268" w:type="dxa"/>
          </w:tcPr>
          <w:p w14:paraId="364A783C" w14:textId="77777777" w:rsidR="00514CC0" w:rsidRDefault="00E72B49">
            <w:pPr>
              <w:pStyle w:val="OWTablebodyleft"/>
            </w:pPr>
            <w:r>
              <w:t>Does the change confirm or run contrary to expected change?</w:t>
            </w:r>
          </w:p>
        </w:tc>
        <w:tc>
          <w:tcPr>
            <w:tcW w:w="6803" w:type="dxa"/>
          </w:tcPr>
          <w:p w14:paraId="61F356C2" w14:textId="77777777" w:rsidR="00514CC0" w:rsidRDefault="00E72B49">
            <w:pPr>
              <w:pStyle w:val="OWTablebodyleft"/>
            </w:pPr>
            <w:r>
              <w:t>Little change has been noted in the data, which is contrary to expectations of a significant increase in people contacting police.</w:t>
            </w:r>
          </w:p>
        </w:tc>
      </w:tr>
      <w:tr w:rsidR="00514CC0" w14:paraId="7F45B943" w14:textId="77777777" w:rsidTr="007150E1">
        <w:trPr>
          <w:cantSplit/>
          <w:trHeight w:val="60"/>
        </w:trPr>
        <w:tc>
          <w:tcPr>
            <w:tcW w:w="2268" w:type="dxa"/>
          </w:tcPr>
          <w:p w14:paraId="6DAE3727" w14:textId="77777777" w:rsidR="00514CC0" w:rsidRDefault="00E72B49">
            <w:pPr>
              <w:pStyle w:val="OWTablebodyleft"/>
            </w:pPr>
            <w:r>
              <w:lastRenderedPageBreak/>
              <w:t>Gaps in existing data</w:t>
            </w:r>
          </w:p>
        </w:tc>
        <w:tc>
          <w:tcPr>
            <w:tcW w:w="6803" w:type="dxa"/>
          </w:tcPr>
          <w:p w14:paraId="4F86BE77" w14:textId="77777777" w:rsidR="00514CC0" w:rsidRDefault="00E72B49">
            <w:pPr>
              <w:pStyle w:val="OWTablebodyleft"/>
            </w:pPr>
            <w:r>
              <w:t>There are currently significant limitations to the comparability of police data from different jurisdictions as it is currently being collected and shared. Hence police data has not been used here, although it is noted that strong efforts are being made to strengthen, and make commensurable and public, police data related to violence against women or ‘family and domestic violence’.</w:t>
            </w:r>
            <w:r>
              <w:rPr>
                <w:rStyle w:val="OWSuperscript"/>
              </w:rPr>
              <w:footnoteReference w:id="27"/>
            </w:r>
            <w:r>
              <w:t xml:space="preserve"> While those data efforts are still underway, PSS data is used for this indicator.</w:t>
            </w:r>
          </w:p>
        </w:tc>
      </w:tr>
    </w:tbl>
    <w:p w14:paraId="4C132C09" w14:textId="3713A560" w:rsidR="00514CC0" w:rsidRDefault="00E72B49" w:rsidP="007150E1">
      <w:pPr>
        <w:pStyle w:val="OWBodytextlargespaceabove"/>
      </w:pPr>
      <w:r>
        <w:t>The PSS asks respondents about their experiences of sexual and physical violence, and whether police were contacted. PSS figures for police contact include instances where they were directly contacted by a victim, as well as instances where another person contacted police. From this data we can gain an indication of whether there has been an increase in the</w:t>
      </w:r>
      <w:r w:rsidR="004C0AC9">
        <w:t> </w:t>
      </w:r>
      <w:r>
        <w:t xml:space="preserve">likelihood of police being contacted when women experience violent incidents. It is important to note that this data only shows </w:t>
      </w:r>
      <w:r w:rsidRPr="003E209A">
        <w:rPr>
          <w:rStyle w:val="Emphasis"/>
        </w:rPr>
        <w:t xml:space="preserve">contact </w:t>
      </w:r>
      <w:r>
        <w:t>made, and not further police action.</w:t>
      </w:r>
      <w:r>
        <w:rPr>
          <w:rStyle w:val="OWSuperscript"/>
        </w:rPr>
        <w:footnoteReference w:id="28"/>
      </w:r>
      <w:r>
        <w:t xml:space="preserve"> This measurement, therefore, is not of police </w:t>
      </w:r>
      <w:r w:rsidRPr="003E209A">
        <w:rPr>
          <w:rStyle w:val="Emphasis"/>
        </w:rPr>
        <w:t>call-outs</w:t>
      </w:r>
      <w:r>
        <w:t xml:space="preserve">, as the indicator was framed in </w:t>
      </w:r>
      <w:r w:rsidRPr="003E209A">
        <w:rPr>
          <w:rStyle w:val="Emphasis"/>
        </w:rPr>
        <w:t>Counting on change</w:t>
      </w:r>
      <w:r>
        <w:t>.</w:t>
      </w:r>
    </w:p>
    <w:p w14:paraId="168D200D" w14:textId="58D47FF9" w:rsidR="00514CC0" w:rsidRDefault="00E72B49" w:rsidP="00F868FE">
      <w:pPr>
        <w:pStyle w:val="Heading5"/>
      </w:pPr>
      <w:r>
        <w:t>Police contact made for most recent incidents of male</w:t>
      </w:r>
      <w:r w:rsidR="00832253">
        <w:t>-perpetrated</w:t>
      </w:r>
      <w:r>
        <w:t xml:space="preserve"> sexual and</w:t>
      </w:r>
      <w:r w:rsidR="007C4B16">
        <w:t> </w:t>
      </w:r>
      <w:r>
        <w:t>physical</w:t>
      </w:r>
      <w:r w:rsidR="004C0AC9">
        <w:t> </w:t>
      </w:r>
      <w:r>
        <w:t>assault of women in the last 12 months</w:t>
      </w:r>
    </w:p>
    <w:p w14:paraId="3F1350D7" w14:textId="77777777" w:rsidR="00514CC0" w:rsidRDefault="00E72B49">
      <w:pPr>
        <w:pStyle w:val="BodyText"/>
      </w:pPr>
      <w:r>
        <w:t>In order to assess whether there has been an increase in the proportions of women experiencing violence who subsequently contact police (or have another person contact police), it is best to look at the most recent incident data in the 12 months prior to the survey. In each of the PSS years, women were asked about any experiences of sexual assault by a male and physical assault by a male in the 12 months prior. This data concerns violence perpetrated by men of any relationship to the female victim (that is, any stranger or known person, including partners).</w:t>
      </w:r>
    </w:p>
    <w:p w14:paraId="631111D5" w14:textId="38EC5D49" w:rsidR="00514CC0" w:rsidRDefault="00E72B49">
      <w:pPr>
        <w:pStyle w:val="BodyText"/>
      </w:pPr>
      <w:r w:rsidRPr="00DE3220">
        <w:rPr>
          <w:rStyle w:val="Strong"/>
        </w:rPr>
        <w:t xml:space="preserve">There has been a minor decline in the proportion of women who </w:t>
      </w:r>
      <w:r w:rsidR="0029554C" w:rsidRPr="00DE3220">
        <w:rPr>
          <w:rStyle w:val="Strong"/>
        </w:rPr>
        <w:t xml:space="preserve">had </w:t>
      </w:r>
      <w:r w:rsidRPr="00DE3220">
        <w:rPr>
          <w:rStyle w:val="Strong"/>
        </w:rPr>
        <w:t>experienced sexual assault in the past 12 months</w:t>
      </w:r>
      <w:r w:rsidR="00E16FF1" w:rsidRPr="00DE3220">
        <w:rPr>
          <w:rStyle w:val="Strong"/>
        </w:rPr>
        <w:t xml:space="preserve"> who</w:t>
      </w:r>
      <w:r w:rsidRPr="00DE3220">
        <w:rPr>
          <w:rStyle w:val="Strong"/>
        </w:rPr>
        <w:t xml:space="preserve"> reported that the police were contacted about the most recent incident.</w:t>
      </w:r>
      <w:r>
        <w:t xml:space="preserve"> In 2012, 16.8% of women who experienced sexual assault in the past 12</w:t>
      </w:r>
      <w:r w:rsidR="004C0AC9">
        <w:t> </w:t>
      </w:r>
      <w:r>
        <w:t>months reported that police were contacted about the incident. This proportion declined</w:t>
      </w:r>
      <w:r w:rsidR="004C0AC9">
        <w:t> </w:t>
      </w:r>
      <w:r>
        <w:t>by 1.6 percentage points to 15.2% in 2016.</w:t>
      </w:r>
      <w:r w:rsidR="003841D4">
        <w:t xml:space="preserve"> While this decline is not statistically significant, it is an area to continue to monitor into the future.</w:t>
      </w:r>
    </w:p>
    <w:p w14:paraId="20E60E65" w14:textId="5B594AB6" w:rsidR="00514CC0" w:rsidRDefault="00E72B49">
      <w:pPr>
        <w:pStyle w:val="BodyText"/>
      </w:pPr>
      <w:r>
        <w:lastRenderedPageBreak/>
        <w:t xml:space="preserve">Women who experience male-perpetrated physical assault are more likely to contact police (or have another person contact police on their behalf) than women who experience sexual assault. On the basis of 2016 PSS data, women who experienced male-perpetrated physical assault in the last 12 months were twice as likely to contact police or have someone else contact police than women who experienced sexual assault in the last 12 months. </w:t>
      </w:r>
      <w:r w:rsidRPr="00DE3220">
        <w:rPr>
          <w:rStyle w:val="Strong"/>
        </w:rPr>
        <w:t>Between 2012 and 2016, there was a minor increase in the proportion of women subject to male-perpetrated physical assault who reported that police were contacted about the incident</w:t>
      </w:r>
      <w:r>
        <w:t xml:space="preserve"> (28.3% in 2012 and 29.2% in 2016) (see Table </w:t>
      </w:r>
      <w:r w:rsidR="0017588F">
        <w:t>12</w:t>
      </w:r>
      <w:r>
        <w:t>, below).</w:t>
      </w:r>
    </w:p>
    <w:p w14:paraId="34C2EF64" w14:textId="3381B6CB" w:rsidR="00514CC0" w:rsidRDefault="00E72B49">
      <w:pPr>
        <w:pStyle w:val="OWTablecaption"/>
      </w:pPr>
      <w:r>
        <w:t xml:space="preserve">Table </w:t>
      </w:r>
      <w:r w:rsidR="0017588F">
        <w:t>12:</w:t>
      </w:r>
      <w:r>
        <w:t xml:space="preserve"> Women’s most recent incident of male-perpetrated sexual assault and physical assault in the last 12 months by proportion of women reporting that police contact was made, 2012 and 2016</w:t>
      </w:r>
    </w:p>
    <w:tbl>
      <w:tblPr>
        <w:tblStyle w:val="Datatableteal"/>
        <w:tblW w:w="9072" w:type="dxa"/>
        <w:tblLayout w:type="fixed"/>
        <w:tblLook w:val="06A0" w:firstRow="1" w:lastRow="0" w:firstColumn="1" w:lastColumn="0" w:noHBand="1" w:noVBand="1"/>
      </w:tblPr>
      <w:tblGrid>
        <w:gridCol w:w="6048"/>
        <w:gridCol w:w="1512"/>
        <w:gridCol w:w="1512"/>
      </w:tblGrid>
      <w:tr w:rsidR="00514CC0" w14:paraId="606097AB" w14:textId="77777777" w:rsidTr="005720A2">
        <w:trPr>
          <w:cnfStyle w:val="100000000000" w:firstRow="1" w:lastRow="0" w:firstColumn="0" w:lastColumn="0" w:oddVBand="0" w:evenVBand="0" w:oddHBand="0" w:evenHBand="0" w:firstRowFirstColumn="0" w:firstRowLastColumn="0" w:lastRowFirstColumn="0" w:lastRowLastColumn="0"/>
          <w:cantSplit/>
          <w:trHeight w:val="780"/>
          <w:tblHeader/>
        </w:trPr>
        <w:tc>
          <w:tcPr>
            <w:tcW w:w="6047" w:type="dxa"/>
          </w:tcPr>
          <w:p w14:paraId="356699BC" w14:textId="14A7BB58" w:rsidR="00514CC0" w:rsidRPr="007150E1" w:rsidRDefault="00E72B49">
            <w:pPr>
              <w:pStyle w:val="OWTablecolumnheadleft"/>
            </w:pPr>
            <w:r w:rsidRPr="007150E1">
              <w:t xml:space="preserve">Police contact for women who experienced </w:t>
            </w:r>
            <w:r w:rsidR="004C0AC9">
              <w:br/>
            </w:r>
            <w:r w:rsidRPr="007150E1">
              <w:t xml:space="preserve">violence in the last 12 months, most recent </w:t>
            </w:r>
            <w:r w:rsidR="004C0AC9">
              <w:br/>
            </w:r>
            <w:r w:rsidRPr="007150E1">
              <w:t>incident, per type of violence</w:t>
            </w:r>
          </w:p>
        </w:tc>
        <w:tc>
          <w:tcPr>
            <w:tcW w:w="1512" w:type="dxa"/>
          </w:tcPr>
          <w:p w14:paraId="3C2482EF" w14:textId="77777777" w:rsidR="00514CC0" w:rsidRPr="007150E1" w:rsidRDefault="00E72B49">
            <w:pPr>
              <w:pStyle w:val="OWTablecolumnheadcentre"/>
            </w:pPr>
            <w:r w:rsidRPr="007150E1">
              <w:t>2012</w:t>
            </w:r>
          </w:p>
        </w:tc>
        <w:tc>
          <w:tcPr>
            <w:tcW w:w="1512" w:type="dxa"/>
          </w:tcPr>
          <w:p w14:paraId="5FBFE928" w14:textId="77777777" w:rsidR="00514CC0" w:rsidRPr="007150E1" w:rsidRDefault="00E72B49">
            <w:pPr>
              <w:pStyle w:val="OWTablecolumnheadcentre"/>
            </w:pPr>
            <w:r w:rsidRPr="007150E1">
              <w:t>2016</w:t>
            </w:r>
          </w:p>
        </w:tc>
      </w:tr>
      <w:tr w:rsidR="00514CC0" w14:paraId="7B732CC5" w14:textId="77777777" w:rsidTr="005720A2">
        <w:trPr>
          <w:cantSplit/>
          <w:trHeight w:val="60"/>
        </w:trPr>
        <w:tc>
          <w:tcPr>
            <w:tcW w:w="6047" w:type="dxa"/>
          </w:tcPr>
          <w:p w14:paraId="74A769CA" w14:textId="77777777" w:rsidR="00514CC0" w:rsidRDefault="00E72B49">
            <w:pPr>
              <w:pStyle w:val="OWTablebodyleft"/>
            </w:pPr>
            <w:r>
              <w:t>Sexual assault by all male perpetrators*</w:t>
            </w:r>
          </w:p>
        </w:tc>
        <w:tc>
          <w:tcPr>
            <w:tcW w:w="1512" w:type="dxa"/>
          </w:tcPr>
          <w:p w14:paraId="55924F16" w14:textId="77777777" w:rsidR="00514CC0" w:rsidRDefault="00E72B49">
            <w:pPr>
              <w:pStyle w:val="OWTablebodycentre"/>
            </w:pPr>
            <w:r>
              <w:t>16.8%</w:t>
            </w:r>
          </w:p>
        </w:tc>
        <w:tc>
          <w:tcPr>
            <w:tcW w:w="1512" w:type="dxa"/>
          </w:tcPr>
          <w:p w14:paraId="68F0DDA0" w14:textId="77777777" w:rsidR="00514CC0" w:rsidRDefault="00E72B49">
            <w:pPr>
              <w:pStyle w:val="OWTablebodycentre"/>
            </w:pPr>
            <w:r>
              <w:t>15.2%</w:t>
            </w:r>
          </w:p>
        </w:tc>
      </w:tr>
      <w:tr w:rsidR="00514CC0" w14:paraId="612E4219" w14:textId="77777777" w:rsidTr="005720A2">
        <w:trPr>
          <w:cantSplit/>
          <w:trHeight w:val="337"/>
        </w:trPr>
        <w:tc>
          <w:tcPr>
            <w:tcW w:w="6047" w:type="dxa"/>
          </w:tcPr>
          <w:p w14:paraId="0C89861E" w14:textId="77777777" w:rsidR="00514CC0" w:rsidRDefault="00E72B49">
            <w:pPr>
              <w:pStyle w:val="OWTablebodyleft"/>
            </w:pPr>
            <w:r>
              <w:t>Physical assault by all male perpetrators</w:t>
            </w:r>
          </w:p>
        </w:tc>
        <w:tc>
          <w:tcPr>
            <w:tcW w:w="1512" w:type="dxa"/>
          </w:tcPr>
          <w:p w14:paraId="12EAECD1" w14:textId="77777777" w:rsidR="00514CC0" w:rsidRDefault="00E72B49">
            <w:pPr>
              <w:pStyle w:val="OWTablebodycentre"/>
            </w:pPr>
            <w:r>
              <w:t>28.3%</w:t>
            </w:r>
          </w:p>
        </w:tc>
        <w:tc>
          <w:tcPr>
            <w:tcW w:w="1512" w:type="dxa"/>
          </w:tcPr>
          <w:p w14:paraId="598BBF14" w14:textId="77777777" w:rsidR="00514CC0" w:rsidRDefault="00E72B49">
            <w:pPr>
              <w:pStyle w:val="OWTablebodycentre"/>
            </w:pPr>
            <w:r>
              <w:t>29.2%</w:t>
            </w:r>
          </w:p>
        </w:tc>
      </w:tr>
    </w:tbl>
    <w:p w14:paraId="1AA7C454" w14:textId="77777777" w:rsidR="00514CC0" w:rsidRDefault="00E72B49">
      <w:pPr>
        <w:pStyle w:val="OWTablefootnote"/>
      </w:pPr>
      <w:r>
        <w:t>Source: ABS, PSS 2016</w:t>
      </w:r>
    </w:p>
    <w:p w14:paraId="3123905A" w14:textId="77777777" w:rsidR="00514CC0" w:rsidRDefault="00E72B49">
      <w:pPr>
        <w:pStyle w:val="OWTablefootnoteindent"/>
      </w:pPr>
      <w:r>
        <w:t>*</w:t>
      </w:r>
      <w:r>
        <w:tab/>
        <w:t>Note: 98% of sexual assaults against women registered through the PSS are perpetrated by men; only male-perpetrated physical assault against women has been included here.</w:t>
      </w:r>
    </w:p>
    <w:p w14:paraId="3C658B43" w14:textId="77777777" w:rsidR="00514CC0" w:rsidRDefault="00E72B49" w:rsidP="00F868FE">
      <w:pPr>
        <w:pStyle w:val="Heading5"/>
      </w:pPr>
      <w:r>
        <w:t>Police contact made for incidents of cohabiting partner violence against women</w:t>
      </w:r>
    </w:p>
    <w:p w14:paraId="1E9C5685" w14:textId="77777777" w:rsidR="00514CC0" w:rsidRDefault="00E72B49">
      <w:pPr>
        <w:pStyle w:val="BodyText"/>
      </w:pPr>
      <w:r>
        <w:t>The data under consideration here refers to current and previous incidents of partner violence since the age of 15, rather than in the last 12 months. As such, it is not meaningful to compare 2012 and 2016 lifetime experiences data. However, the latest data gives us an insight into patterns in police contact made following incidents of partner violence.</w:t>
      </w:r>
    </w:p>
    <w:p w14:paraId="6EAFE33C" w14:textId="4C02B385" w:rsidR="00514CC0" w:rsidRDefault="00E72B49">
      <w:pPr>
        <w:pStyle w:val="BodyText"/>
      </w:pPr>
      <w:r>
        <w:t xml:space="preserve">In 2016, 17.4% of women who reported having experienced violence from a current partner said that police contact had been made about one or more incidents of violence from this partner. Over one-third (35.4%) who reported having experienced violence from a previous partner since the age of 15 reported that police contact had been made about one or more incidents of violence from that partner (see Table </w:t>
      </w:r>
      <w:r w:rsidR="0017588F">
        <w:t>13</w:t>
      </w:r>
      <w:r>
        <w:t>, below).</w:t>
      </w:r>
    </w:p>
    <w:p w14:paraId="6CAD7A77" w14:textId="449D4848" w:rsidR="00514CC0" w:rsidRDefault="00E72B49">
      <w:pPr>
        <w:pStyle w:val="OWTablecaption"/>
      </w:pPr>
      <w:r>
        <w:t xml:space="preserve">Table </w:t>
      </w:r>
      <w:r w:rsidR="0017588F">
        <w:t>13</w:t>
      </w:r>
      <w:r>
        <w:t>: Proportion of women who experienced cohabiting partner violence since age 15</w:t>
      </w:r>
      <w:r w:rsidR="004C0AC9">
        <w:t> </w:t>
      </w:r>
      <w:r>
        <w:t>who ever contacted police</w:t>
      </w:r>
    </w:p>
    <w:tbl>
      <w:tblPr>
        <w:tblStyle w:val="Datatableteal"/>
        <w:tblW w:w="9072" w:type="dxa"/>
        <w:tblLayout w:type="fixed"/>
        <w:tblLook w:val="06A0" w:firstRow="1" w:lastRow="0" w:firstColumn="1" w:lastColumn="0" w:noHBand="1" w:noVBand="1"/>
      </w:tblPr>
      <w:tblGrid>
        <w:gridCol w:w="6048"/>
        <w:gridCol w:w="3024"/>
      </w:tblGrid>
      <w:tr w:rsidR="00514CC0" w14:paraId="58BE4346" w14:textId="77777777" w:rsidTr="005720A2">
        <w:trPr>
          <w:cnfStyle w:val="100000000000" w:firstRow="1" w:lastRow="0" w:firstColumn="0" w:lastColumn="0" w:oddVBand="0" w:evenVBand="0" w:oddHBand="0" w:evenHBand="0" w:firstRowFirstColumn="0" w:firstRowLastColumn="0" w:lastRowFirstColumn="0" w:lastRowLastColumn="0"/>
          <w:cantSplit/>
          <w:trHeight w:val="60"/>
          <w:tblHeader/>
        </w:trPr>
        <w:tc>
          <w:tcPr>
            <w:tcW w:w="6047" w:type="dxa"/>
          </w:tcPr>
          <w:p w14:paraId="5640293B" w14:textId="2210FB06" w:rsidR="00514CC0" w:rsidRPr="007150E1" w:rsidRDefault="00E72B49">
            <w:pPr>
              <w:pStyle w:val="OWTablecolumnheadleft"/>
            </w:pPr>
            <w:r w:rsidRPr="007150E1">
              <w:t>Type of partner violence</w:t>
            </w:r>
          </w:p>
        </w:tc>
        <w:tc>
          <w:tcPr>
            <w:tcW w:w="3024" w:type="dxa"/>
          </w:tcPr>
          <w:p w14:paraId="767A9BF7" w14:textId="77777777" w:rsidR="00514CC0" w:rsidRPr="007150E1" w:rsidRDefault="00E72B49">
            <w:pPr>
              <w:pStyle w:val="OWTablecolumnheadcentre"/>
            </w:pPr>
            <w:r w:rsidRPr="007150E1">
              <w:t>2016</w:t>
            </w:r>
          </w:p>
        </w:tc>
      </w:tr>
      <w:tr w:rsidR="00514CC0" w14:paraId="7CEBEBAB" w14:textId="77777777" w:rsidTr="005720A2">
        <w:trPr>
          <w:cantSplit/>
          <w:trHeight w:val="60"/>
        </w:trPr>
        <w:tc>
          <w:tcPr>
            <w:tcW w:w="6047" w:type="dxa"/>
          </w:tcPr>
          <w:p w14:paraId="1627A7AE" w14:textId="77777777" w:rsidR="00514CC0" w:rsidRDefault="00E72B49">
            <w:pPr>
              <w:pStyle w:val="OWTablebodyleft"/>
            </w:pPr>
            <w:r>
              <w:t>Current partner violence</w:t>
            </w:r>
          </w:p>
        </w:tc>
        <w:tc>
          <w:tcPr>
            <w:tcW w:w="3024" w:type="dxa"/>
          </w:tcPr>
          <w:p w14:paraId="0A586A1F" w14:textId="77777777" w:rsidR="00514CC0" w:rsidRDefault="00E72B49">
            <w:pPr>
              <w:pStyle w:val="OWTablebodycentre"/>
            </w:pPr>
            <w:r>
              <w:t>17.4%</w:t>
            </w:r>
          </w:p>
        </w:tc>
      </w:tr>
      <w:tr w:rsidR="00514CC0" w14:paraId="18D1F71F" w14:textId="77777777" w:rsidTr="005720A2">
        <w:trPr>
          <w:cantSplit/>
          <w:trHeight w:val="60"/>
        </w:trPr>
        <w:tc>
          <w:tcPr>
            <w:tcW w:w="6047" w:type="dxa"/>
          </w:tcPr>
          <w:p w14:paraId="01BCF91C" w14:textId="77777777" w:rsidR="00514CC0" w:rsidRDefault="00E72B49">
            <w:pPr>
              <w:pStyle w:val="OWTablebodyleft"/>
            </w:pPr>
            <w:r>
              <w:t>Previous partner violence</w:t>
            </w:r>
          </w:p>
        </w:tc>
        <w:tc>
          <w:tcPr>
            <w:tcW w:w="3024" w:type="dxa"/>
          </w:tcPr>
          <w:p w14:paraId="49AD4F8F" w14:textId="77777777" w:rsidR="00514CC0" w:rsidRDefault="00E72B49">
            <w:pPr>
              <w:pStyle w:val="OWTablebodycentre"/>
            </w:pPr>
            <w:r>
              <w:t>35.4%</w:t>
            </w:r>
          </w:p>
        </w:tc>
      </w:tr>
    </w:tbl>
    <w:p w14:paraId="4F87CB21" w14:textId="514C2D90" w:rsidR="00514CC0" w:rsidRDefault="00E72B49">
      <w:pPr>
        <w:pStyle w:val="OWTablefootnote"/>
      </w:pPr>
      <w:r>
        <w:t>Source: ABS, PSS 2016</w:t>
      </w:r>
    </w:p>
    <w:p w14:paraId="2788940C" w14:textId="77777777" w:rsidR="00514CC0" w:rsidRDefault="00E72B49" w:rsidP="00F868FE">
      <w:pPr>
        <w:pStyle w:val="Heading5"/>
      </w:pPr>
      <w:r>
        <w:lastRenderedPageBreak/>
        <w:t>Insights into why women do not contact police about experiences of male violence</w:t>
      </w:r>
    </w:p>
    <w:p w14:paraId="3DA448C8" w14:textId="5D26055D" w:rsidR="00514CC0" w:rsidRDefault="00E72B49">
      <w:pPr>
        <w:pStyle w:val="BodyText"/>
      </w:pPr>
      <w:r>
        <w:t>Data from the PSS 2016 gives us some understanding of why the majority of women who experience male violence do not contact police about their experiences. In 2016, women were asked about their most recent incident experiences of male-perpetrated sexual assault and male-perpetrated physical assault in the last ten years. Only 13.4% of women who had experienced male-perpetrated sexual assault and 30.8% of women who experienced male-perpetrated physical assault in the last ten years reported that police had been contacted with regard to the most recent incident. That is, approximately nine out of ten female victims of male</w:t>
      </w:r>
      <w:r w:rsidR="00080670">
        <w:t>-perpetrated</w:t>
      </w:r>
      <w:r>
        <w:t xml:space="preserve"> sexual assault and seven out of ten female victims of male</w:t>
      </w:r>
      <w:r w:rsidR="00CB6939">
        <w:t>-perpetrated</w:t>
      </w:r>
      <w:r>
        <w:t xml:space="preserve"> physical assault did not report the most recent incident to the police.</w:t>
      </w:r>
      <w:r w:rsidR="004D27F3">
        <w:rPr>
          <w:rStyle w:val="EndnoteReference"/>
        </w:rPr>
        <w:endnoteReference w:id="216"/>
      </w:r>
    </w:p>
    <w:p w14:paraId="6288F1E0" w14:textId="04635452" w:rsidR="00514CC0" w:rsidRDefault="00E72B49">
      <w:pPr>
        <w:pStyle w:val="BodyText"/>
      </w:pPr>
      <w:r>
        <w:t xml:space="preserve">Women who had experienced sexual or physical violence and had not contacted police were asked to nominate a reason or reasons as to why, based on the options given in the survey. In 2016, large proportions of women who experienced sexual assault cited reasons related to minimising their experiences or internalising shame and blame as the top four most common reasons for not contacting police. Fear of the perpetrator or desire to protect the perpetrator, fear of not being believed, fear or mistrust in police and legal systems, and cultural or language barriers also registered responses of proportional value (see Table </w:t>
      </w:r>
      <w:r w:rsidR="0017588F">
        <w:t>14</w:t>
      </w:r>
      <w:r>
        <w:t>, below).</w:t>
      </w:r>
    </w:p>
    <w:p w14:paraId="43D5759B" w14:textId="73F51B42" w:rsidR="00652988" w:rsidRDefault="00652988" w:rsidP="00652988">
      <w:pPr>
        <w:pStyle w:val="OWBodytextafterlist"/>
      </w:pPr>
      <w:r>
        <w:t>The reasons women gave for not contacting police about their most recent incident of male</w:t>
      </w:r>
      <w:r>
        <w:rPr>
          <w:rFonts w:ascii="Cambria Math" w:hAnsi="Cambria Math" w:cs="Cambria Math"/>
        </w:rPr>
        <w:t>‑</w:t>
      </w:r>
      <w:r>
        <w:t xml:space="preserve">perpetrated physical assault were similar in some ways to the reasons for not contacting police about sexual assault. However, there were also some key differences. While the top two reasons for not contacting police about physical assault (‘felt they could deal with it themselves’ – 37.9%; ‘did not regard incident as a serious offence’ – 31.7%) were the same as for sexual assault, concerns about the perpetrator registered higher for physical assault incidents than sexual assault incidents. Feelings of shame or embarrassment and lack of knowledge about the criminal nature of the incident registered lower on the list of most common reasons cited for physical assaults. For example, one-quarter (25.8%) of women who experienced sexual assault and did not contact police cited feelings of shame or embarrassment as a reason why, compared with 17.8% of women who experienced physical assault and did not contact police. Women who experienced sexual assault and did not report were approximately 2.5 times more likely to report ‘fear of not being believed’ (16.1%) than women who experienced physical assault (6.5%) (see Table </w:t>
      </w:r>
      <w:r w:rsidR="0017588F">
        <w:t>14</w:t>
      </w:r>
      <w:r>
        <w:t>, below).</w:t>
      </w:r>
    </w:p>
    <w:p w14:paraId="2DA534BD" w14:textId="77777777" w:rsidR="00652988" w:rsidRPr="00652988" w:rsidRDefault="00652988" w:rsidP="00652988">
      <w:pPr>
        <w:pStyle w:val="OWBodytextafterlist"/>
      </w:pPr>
      <w:r w:rsidRPr="00652988">
        <w:br w:type="page"/>
      </w:r>
    </w:p>
    <w:p w14:paraId="3AB41AAF" w14:textId="5E8AD862" w:rsidR="00514CC0" w:rsidRDefault="00E72B49">
      <w:pPr>
        <w:pStyle w:val="OWTablecaption"/>
      </w:pPr>
      <w:r>
        <w:lastRenderedPageBreak/>
        <w:t xml:space="preserve">Table </w:t>
      </w:r>
      <w:r w:rsidR="0017588F">
        <w:t>14</w:t>
      </w:r>
      <w:r>
        <w:t>: Most common reasons nominated by women for not contacting the police following their most recent incident of male-perpetrated sexual assault and physical assault in the past 10 years, by proportion of women who experienced violence and did not contact police</w:t>
      </w:r>
    </w:p>
    <w:tbl>
      <w:tblPr>
        <w:tblStyle w:val="Datatableteal"/>
        <w:tblW w:w="9072" w:type="dxa"/>
        <w:tblLayout w:type="fixed"/>
        <w:tblLook w:val="06A0" w:firstRow="1" w:lastRow="0" w:firstColumn="1" w:lastColumn="0" w:noHBand="1" w:noVBand="1"/>
      </w:tblPr>
      <w:tblGrid>
        <w:gridCol w:w="4536"/>
        <w:gridCol w:w="2268"/>
        <w:gridCol w:w="2268"/>
      </w:tblGrid>
      <w:tr w:rsidR="00514CC0" w14:paraId="29831257" w14:textId="77777777" w:rsidTr="005720A2">
        <w:trPr>
          <w:cnfStyle w:val="100000000000" w:firstRow="1" w:lastRow="0" w:firstColumn="0" w:lastColumn="0" w:oddVBand="0" w:evenVBand="0" w:oddHBand="0" w:evenHBand="0" w:firstRowFirstColumn="0" w:firstRowLastColumn="0" w:lastRowFirstColumn="0" w:lastRowLastColumn="0"/>
          <w:cantSplit/>
          <w:trHeight w:val="60"/>
          <w:tblHeader/>
        </w:trPr>
        <w:tc>
          <w:tcPr>
            <w:tcW w:w="4535" w:type="dxa"/>
          </w:tcPr>
          <w:p w14:paraId="2A706C2A" w14:textId="093FE211" w:rsidR="00514CC0" w:rsidRPr="007150E1" w:rsidRDefault="00E72B49">
            <w:pPr>
              <w:pStyle w:val="OWTablecolumnheadleft"/>
            </w:pPr>
            <w:r w:rsidRPr="007150E1">
              <w:t>Reasons why police were not contacted by</w:t>
            </w:r>
            <w:r w:rsidR="004C0AC9">
              <w:t> </w:t>
            </w:r>
            <w:r w:rsidRPr="007150E1">
              <w:t>women who experienced male-perpetrated assault, most recent incident</w:t>
            </w:r>
            <w:r w:rsidR="004C0AC9">
              <w:t> </w:t>
            </w:r>
            <w:r w:rsidRPr="007150E1">
              <w:t>of violence</w:t>
            </w:r>
          </w:p>
        </w:tc>
        <w:tc>
          <w:tcPr>
            <w:tcW w:w="2268" w:type="dxa"/>
          </w:tcPr>
          <w:p w14:paraId="35F250C3" w14:textId="77777777" w:rsidR="00514CC0" w:rsidRPr="007150E1" w:rsidRDefault="00E72B49">
            <w:pPr>
              <w:pStyle w:val="OWTablecolumnheadcentre"/>
            </w:pPr>
            <w:r w:rsidRPr="007150E1">
              <w:t>Proportion (%) of women who experienced male-perpetrated sexual assault</w:t>
            </w:r>
          </w:p>
        </w:tc>
        <w:tc>
          <w:tcPr>
            <w:tcW w:w="2268" w:type="dxa"/>
          </w:tcPr>
          <w:p w14:paraId="2C1129F3" w14:textId="77777777" w:rsidR="00514CC0" w:rsidRPr="007150E1" w:rsidRDefault="00E72B49">
            <w:pPr>
              <w:pStyle w:val="OWTablecolumnheadcentre"/>
            </w:pPr>
            <w:r w:rsidRPr="007150E1">
              <w:t>Proportion (%) of women who experienced male-perpetrated physical assault</w:t>
            </w:r>
          </w:p>
        </w:tc>
      </w:tr>
      <w:tr w:rsidR="00514CC0" w14:paraId="6DB43203" w14:textId="77777777" w:rsidTr="005720A2">
        <w:trPr>
          <w:cantSplit/>
          <w:trHeight w:val="60"/>
        </w:trPr>
        <w:tc>
          <w:tcPr>
            <w:tcW w:w="4535" w:type="dxa"/>
          </w:tcPr>
          <w:p w14:paraId="24635CE3" w14:textId="77777777" w:rsidR="00514CC0" w:rsidRDefault="00E72B49" w:rsidP="002C2EC7">
            <w:pPr>
              <w:pStyle w:val="OWTablenumberdigit"/>
              <w:numPr>
                <w:ilvl w:val="0"/>
                <w:numId w:val="17"/>
              </w:numPr>
            </w:pPr>
            <w:r>
              <w:t>Felt they could deal with it themselves</w:t>
            </w:r>
          </w:p>
        </w:tc>
        <w:tc>
          <w:tcPr>
            <w:tcW w:w="2268" w:type="dxa"/>
          </w:tcPr>
          <w:p w14:paraId="12EF3CAC" w14:textId="77777777" w:rsidR="00514CC0" w:rsidRDefault="00E72B49">
            <w:pPr>
              <w:pStyle w:val="OWTablebodycentre"/>
            </w:pPr>
            <w:r>
              <w:t>34.2%</w:t>
            </w:r>
          </w:p>
        </w:tc>
        <w:tc>
          <w:tcPr>
            <w:tcW w:w="2268" w:type="dxa"/>
          </w:tcPr>
          <w:p w14:paraId="7EF73B8B" w14:textId="77777777" w:rsidR="00514CC0" w:rsidRDefault="00E72B49">
            <w:pPr>
              <w:pStyle w:val="OWTablebodycentre"/>
            </w:pPr>
            <w:r>
              <w:t>37.9%</w:t>
            </w:r>
          </w:p>
        </w:tc>
      </w:tr>
      <w:tr w:rsidR="00514CC0" w14:paraId="24E8C7D9" w14:textId="77777777" w:rsidTr="005720A2">
        <w:trPr>
          <w:cantSplit/>
          <w:trHeight w:val="60"/>
        </w:trPr>
        <w:tc>
          <w:tcPr>
            <w:tcW w:w="4535" w:type="dxa"/>
          </w:tcPr>
          <w:p w14:paraId="34EF9A4C" w14:textId="77777777" w:rsidR="00514CC0" w:rsidRDefault="00E72B49">
            <w:pPr>
              <w:pStyle w:val="OWTablenumberdigit"/>
            </w:pPr>
            <w:r>
              <w:t>Did not regard incident as serious offence</w:t>
            </w:r>
          </w:p>
        </w:tc>
        <w:tc>
          <w:tcPr>
            <w:tcW w:w="2268" w:type="dxa"/>
          </w:tcPr>
          <w:p w14:paraId="66FF1D2A" w14:textId="77777777" w:rsidR="00514CC0" w:rsidRDefault="00E72B49">
            <w:pPr>
              <w:pStyle w:val="OWTablebodycentre"/>
            </w:pPr>
            <w:r>
              <w:t>33.8%</w:t>
            </w:r>
          </w:p>
        </w:tc>
        <w:tc>
          <w:tcPr>
            <w:tcW w:w="2268" w:type="dxa"/>
          </w:tcPr>
          <w:p w14:paraId="640EC001" w14:textId="77777777" w:rsidR="00514CC0" w:rsidRDefault="00E72B49">
            <w:pPr>
              <w:pStyle w:val="OWTablebodycentre"/>
            </w:pPr>
            <w:r>
              <w:t>31.7%</w:t>
            </w:r>
          </w:p>
        </w:tc>
      </w:tr>
      <w:tr w:rsidR="00514CC0" w14:paraId="0C43F4CB" w14:textId="77777777" w:rsidTr="005720A2">
        <w:trPr>
          <w:cantSplit/>
          <w:trHeight w:val="60"/>
        </w:trPr>
        <w:tc>
          <w:tcPr>
            <w:tcW w:w="4535" w:type="dxa"/>
          </w:tcPr>
          <w:p w14:paraId="11478F60" w14:textId="77777777" w:rsidR="00514CC0" w:rsidRDefault="00E72B49">
            <w:pPr>
              <w:pStyle w:val="OWTablenumberdigit"/>
            </w:pPr>
            <w:r>
              <w:t>Felt ashamed or embarrassed</w:t>
            </w:r>
          </w:p>
        </w:tc>
        <w:tc>
          <w:tcPr>
            <w:tcW w:w="2268" w:type="dxa"/>
          </w:tcPr>
          <w:p w14:paraId="01540A8E" w14:textId="77777777" w:rsidR="00514CC0" w:rsidRDefault="00E72B49">
            <w:pPr>
              <w:pStyle w:val="OWTablebodycentre"/>
            </w:pPr>
            <w:r>
              <w:t>25.8%</w:t>
            </w:r>
          </w:p>
        </w:tc>
        <w:tc>
          <w:tcPr>
            <w:tcW w:w="2268" w:type="dxa"/>
          </w:tcPr>
          <w:p w14:paraId="1025914D" w14:textId="77777777" w:rsidR="00514CC0" w:rsidRDefault="00E72B49">
            <w:pPr>
              <w:pStyle w:val="OWTablebodycentre"/>
            </w:pPr>
            <w:r>
              <w:t>17.8%</w:t>
            </w:r>
          </w:p>
        </w:tc>
      </w:tr>
      <w:tr w:rsidR="00514CC0" w14:paraId="13F12B99" w14:textId="77777777" w:rsidTr="005720A2">
        <w:trPr>
          <w:cantSplit/>
          <w:trHeight w:val="60"/>
        </w:trPr>
        <w:tc>
          <w:tcPr>
            <w:tcW w:w="4535" w:type="dxa"/>
          </w:tcPr>
          <w:p w14:paraId="2612C91B" w14:textId="77777777" w:rsidR="00514CC0" w:rsidRDefault="00E72B49">
            <w:pPr>
              <w:pStyle w:val="OWTablenumberdigit"/>
            </w:pPr>
            <w:r>
              <w:t>Did not know or think incident was a crime</w:t>
            </w:r>
          </w:p>
        </w:tc>
        <w:tc>
          <w:tcPr>
            <w:tcW w:w="2268" w:type="dxa"/>
          </w:tcPr>
          <w:p w14:paraId="39B9D93A" w14:textId="77777777" w:rsidR="00514CC0" w:rsidRDefault="00E72B49">
            <w:pPr>
              <w:pStyle w:val="OWTablebodycentre"/>
            </w:pPr>
            <w:r>
              <w:t>21.5%</w:t>
            </w:r>
          </w:p>
        </w:tc>
        <w:tc>
          <w:tcPr>
            <w:tcW w:w="2268" w:type="dxa"/>
          </w:tcPr>
          <w:p w14:paraId="29CF620C" w14:textId="77777777" w:rsidR="00514CC0" w:rsidRDefault="00E72B49">
            <w:pPr>
              <w:pStyle w:val="OWTablebodycentre"/>
            </w:pPr>
            <w:r>
              <w:t>13.6%</w:t>
            </w:r>
          </w:p>
        </w:tc>
      </w:tr>
      <w:tr w:rsidR="00514CC0" w14:paraId="4236E2DC" w14:textId="77777777" w:rsidTr="005720A2">
        <w:trPr>
          <w:cantSplit/>
          <w:trHeight w:val="60"/>
        </w:trPr>
        <w:tc>
          <w:tcPr>
            <w:tcW w:w="4535" w:type="dxa"/>
          </w:tcPr>
          <w:p w14:paraId="262239C4" w14:textId="77777777" w:rsidR="00514CC0" w:rsidRDefault="00E72B49">
            <w:pPr>
              <w:pStyle w:val="OWTablenumberdigit"/>
            </w:pPr>
            <w:r>
              <w:t>Fear of person responsible</w:t>
            </w:r>
          </w:p>
        </w:tc>
        <w:tc>
          <w:tcPr>
            <w:tcW w:w="2268" w:type="dxa"/>
          </w:tcPr>
          <w:p w14:paraId="0A0EDBFD" w14:textId="77777777" w:rsidR="00514CC0" w:rsidRDefault="00E72B49">
            <w:pPr>
              <w:pStyle w:val="OWTablebodycentre"/>
            </w:pPr>
            <w:r>
              <w:t>18.4%</w:t>
            </w:r>
          </w:p>
        </w:tc>
        <w:tc>
          <w:tcPr>
            <w:tcW w:w="2268" w:type="dxa"/>
          </w:tcPr>
          <w:p w14:paraId="771A2CD5" w14:textId="77777777" w:rsidR="00514CC0" w:rsidRDefault="00E72B49">
            <w:pPr>
              <w:pStyle w:val="OWTablebodycentre"/>
            </w:pPr>
            <w:r>
              <w:t>18.6%</w:t>
            </w:r>
          </w:p>
        </w:tc>
      </w:tr>
      <w:tr w:rsidR="00514CC0" w14:paraId="59DF5218" w14:textId="77777777" w:rsidTr="005720A2">
        <w:trPr>
          <w:cantSplit/>
          <w:trHeight w:val="60"/>
        </w:trPr>
        <w:tc>
          <w:tcPr>
            <w:tcW w:w="4535" w:type="dxa"/>
          </w:tcPr>
          <w:p w14:paraId="4EA9F8F3" w14:textId="77777777" w:rsidR="00514CC0" w:rsidRDefault="00E72B49">
            <w:pPr>
              <w:pStyle w:val="OWTablenumberdigit"/>
            </w:pPr>
            <w:r>
              <w:t>Did not want person arrested</w:t>
            </w:r>
          </w:p>
        </w:tc>
        <w:tc>
          <w:tcPr>
            <w:tcW w:w="2268" w:type="dxa"/>
          </w:tcPr>
          <w:p w14:paraId="69C052C0" w14:textId="77777777" w:rsidR="00514CC0" w:rsidRDefault="00E72B49">
            <w:pPr>
              <w:pStyle w:val="OWTablebodycentre"/>
            </w:pPr>
            <w:r>
              <w:t>16.6%</w:t>
            </w:r>
          </w:p>
        </w:tc>
        <w:tc>
          <w:tcPr>
            <w:tcW w:w="2268" w:type="dxa"/>
          </w:tcPr>
          <w:p w14:paraId="12336CBD" w14:textId="77777777" w:rsidR="00514CC0" w:rsidRDefault="00E72B49">
            <w:pPr>
              <w:pStyle w:val="OWTablebodycentre"/>
            </w:pPr>
            <w:r>
              <w:t>20.3%</w:t>
            </w:r>
          </w:p>
        </w:tc>
      </w:tr>
      <w:tr w:rsidR="00514CC0" w14:paraId="74E893DE" w14:textId="77777777" w:rsidTr="005720A2">
        <w:trPr>
          <w:cantSplit/>
          <w:trHeight w:val="60"/>
        </w:trPr>
        <w:tc>
          <w:tcPr>
            <w:tcW w:w="4535" w:type="dxa"/>
          </w:tcPr>
          <w:p w14:paraId="675D4ED7" w14:textId="77777777" w:rsidR="00514CC0" w:rsidRDefault="00E72B49">
            <w:pPr>
              <w:pStyle w:val="OWTablenumberdigit"/>
            </w:pPr>
            <w:r>
              <w:t>Felt would not be believed</w:t>
            </w:r>
          </w:p>
        </w:tc>
        <w:tc>
          <w:tcPr>
            <w:tcW w:w="2268" w:type="dxa"/>
          </w:tcPr>
          <w:p w14:paraId="01A66C12" w14:textId="77777777" w:rsidR="00514CC0" w:rsidRDefault="00E72B49">
            <w:pPr>
              <w:pStyle w:val="OWTablebodycentre"/>
            </w:pPr>
            <w:r>
              <w:t>16.1%</w:t>
            </w:r>
          </w:p>
        </w:tc>
        <w:tc>
          <w:tcPr>
            <w:tcW w:w="2268" w:type="dxa"/>
          </w:tcPr>
          <w:p w14:paraId="688C9979" w14:textId="77777777" w:rsidR="00514CC0" w:rsidRDefault="00E72B49">
            <w:pPr>
              <w:pStyle w:val="OWTablebodycentre"/>
            </w:pPr>
            <w:r>
              <w:t>6.5%</w:t>
            </w:r>
          </w:p>
        </w:tc>
      </w:tr>
      <w:tr w:rsidR="00514CC0" w14:paraId="4C530666" w14:textId="77777777" w:rsidTr="005720A2">
        <w:trPr>
          <w:cantSplit/>
          <w:trHeight w:val="60"/>
        </w:trPr>
        <w:tc>
          <w:tcPr>
            <w:tcW w:w="4535" w:type="dxa"/>
          </w:tcPr>
          <w:p w14:paraId="197D99F2" w14:textId="77777777" w:rsidR="00514CC0" w:rsidRDefault="00E72B49">
            <w:pPr>
              <w:pStyle w:val="OWTablenumberdigit"/>
            </w:pPr>
            <w:r>
              <w:t>Did not think police would do anything</w:t>
            </w:r>
          </w:p>
        </w:tc>
        <w:tc>
          <w:tcPr>
            <w:tcW w:w="2268" w:type="dxa"/>
          </w:tcPr>
          <w:p w14:paraId="02879AC8" w14:textId="77777777" w:rsidR="00514CC0" w:rsidRDefault="00E72B49">
            <w:pPr>
              <w:pStyle w:val="OWTablebodycentre"/>
            </w:pPr>
            <w:r>
              <w:t>14.5%</w:t>
            </w:r>
          </w:p>
        </w:tc>
        <w:tc>
          <w:tcPr>
            <w:tcW w:w="2268" w:type="dxa"/>
          </w:tcPr>
          <w:p w14:paraId="2749912C" w14:textId="77777777" w:rsidR="00514CC0" w:rsidRDefault="00E72B49">
            <w:pPr>
              <w:pStyle w:val="OWTablebodycentre"/>
            </w:pPr>
            <w:r>
              <w:t>11.1%</w:t>
            </w:r>
          </w:p>
        </w:tc>
      </w:tr>
      <w:tr w:rsidR="00514CC0" w14:paraId="712949EA" w14:textId="77777777" w:rsidTr="005720A2">
        <w:trPr>
          <w:cantSplit/>
          <w:trHeight w:val="60"/>
        </w:trPr>
        <w:tc>
          <w:tcPr>
            <w:tcW w:w="4535" w:type="dxa"/>
          </w:tcPr>
          <w:p w14:paraId="2829577D" w14:textId="77777777" w:rsidR="00514CC0" w:rsidRDefault="00E72B49" w:rsidP="00C806D2">
            <w:pPr>
              <w:pStyle w:val="OWTablenumberdigit"/>
            </w:pPr>
            <w:r>
              <w:t>Fear of legal processes</w:t>
            </w:r>
          </w:p>
        </w:tc>
        <w:tc>
          <w:tcPr>
            <w:tcW w:w="2268" w:type="dxa"/>
          </w:tcPr>
          <w:p w14:paraId="550E277B" w14:textId="77777777" w:rsidR="00514CC0" w:rsidRDefault="00E72B49">
            <w:pPr>
              <w:pStyle w:val="OWTablebodycentre"/>
            </w:pPr>
            <w:r>
              <w:t>9.8%</w:t>
            </w:r>
          </w:p>
        </w:tc>
        <w:tc>
          <w:tcPr>
            <w:tcW w:w="2268" w:type="dxa"/>
          </w:tcPr>
          <w:p w14:paraId="1B0D880E" w14:textId="77777777" w:rsidR="00514CC0" w:rsidRDefault="00E72B49">
            <w:pPr>
              <w:pStyle w:val="OWTablebodycentre"/>
            </w:pPr>
            <w:r>
              <w:t>7.1%</w:t>
            </w:r>
          </w:p>
        </w:tc>
      </w:tr>
      <w:tr w:rsidR="00514CC0" w14:paraId="40745651" w14:textId="77777777" w:rsidTr="005720A2">
        <w:trPr>
          <w:cantSplit/>
          <w:trHeight w:val="60"/>
        </w:trPr>
        <w:tc>
          <w:tcPr>
            <w:tcW w:w="4535" w:type="dxa"/>
          </w:tcPr>
          <w:p w14:paraId="58058520" w14:textId="77777777" w:rsidR="00514CC0" w:rsidRDefault="00E72B49">
            <w:pPr>
              <w:pStyle w:val="OWTablenumberdigit"/>
            </w:pPr>
            <w:r>
              <w:t>Did not want to ask for help</w:t>
            </w:r>
          </w:p>
        </w:tc>
        <w:tc>
          <w:tcPr>
            <w:tcW w:w="2268" w:type="dxa"/>
          </w:tcPr>
          <w:p w14:paraId="66D104D9" w14:textId="77777777" w:rsidR="00514CC0" w:rsidRDefault="00E72B49">
            <w:pPr>
              <w:pStyle w:val="OWTablebodycentre"/>
            </w:pPr>
            <w:r>
              <w:t>8.9%</w:t>
            </w:r>
          </w:p>
        </w:tc>
        <w:tc>
          <w:tcPr>
            <w:tcW w:w="2268" w:type="dxa"/>
          </w:tcPr>
          <w:p w14:paraId="7BB3EC12" w14:textId="77777777" w:rsidR="00514CC0" w:rsidRDefault="00E72B49">
            <w:pPr>
              <w:pStyle w:val="OWTablebodycentre"/>
            </w:pPr>
            <w:r>
              <w:t>10.5%</w:t>
            </w:r>
          </w:p>
        </w:tc>
      </w:tr>
      <w:tr w:rsidR="00514CC0" w14:paraId="312B37BA" w14:textId="77777777" w:rsidTr="005720A2">
        <w:trPr>
          <w:cantSplit/>
          <w:trHeight w:val="60"/>
        </w:trPr>
        <w:tc>
          <w:tcPr>
            <w:tcW w:w="4535" w:type="dxa"/>
          </w:tcPr>
          <w:p w14:paraId="4A202AEE" w14:textId="77777777" w:rsidR="00514CC0" w:rsidRDefault="00E72B49">
            <w:pPr>
              <w:pStyle w:val="OWTablenumberdigit"/>
            </w:pPr>
            <w:r>
              <w:t>Cultural/language reasons</w:t>
            </w:r>
          </w:p>
        </w:tc>
        <w:tc>
          <w:tcPr>
            <w:tcW w:w="2268" w:type="dxa"/>
          </w:tcPr>
          <w:p w14:paraId="4F1BCD91" w14:textId="77777777" w:rsidR="00514CC0" w:rsidRDefault="00E72B49">
            <w:pPr>
              <w:pStyle w:val="OWTablebodycentre"/>
            </w:pPr>
            <w:r>
              <w:t>3.3%</w:t>
            </w:r>
          </w:p>
        </w:tc>
        <w:tc>
          <w:tcPr>
            <w:tcW w:w="2268" w:type="dxa"/>
          </w:tcPr>
          <w:p w14:paraId="78AA1D19" w14:textId="77777777" w:rsidR="00514CC0" w:rsidRDefault="00E72B49">
            <w:pPr>
              <w:pStyle w:val="OWTablebodycentre"/>
            </w:pPr>
            <w:r>
              <w:t>2.2%</w:t>
            </w:r>
          </w:p>
        </w:tc>
      </w:tr>
      <w:tr w:rsidR="00514CC0" w14:paraId="021E6528" w14:textId="77777777" w:rsidTr="005720A2">
        <w:trPr>
          <w:cantSplit/>
          <w:trHeight w:val="60"/>
        </w:trPr>
        <w:tc>
          <w:tcPr>
            <w:tcW w:w="4535" w:type="dxa"/>
          </w:tcPr>
          <w:p w14:paraId="6205A6EC" w14:textId="77777777" w:rsidR="00514CC0" w:rsidRDefault="00E72B49">
            <w:pPr>
              <w:pStyle w:val="OWTablenumberdigit"/>
            </w:pPr>
            <w:r>
              <w:t>Workplace/on-job incident – internal reporting procedures followed</w:t>
            </w:r>
          </w:p>
        </w:tc>
        <w:tc>
          <w:tcPr>
            <w:tcW w:w="2268" w:type="dxa"/>
          </w:tcPr>
          <w:p w14:paraId="0DE18919" w14:textId="77777777" w:rsidR="00514CC0" w:rsidRDefault="00E72B49">
            <w:pPr>
              <w:pStyle w:val="OWTablebodycentre"/>
            </w:pPr>
            <w:r>
              <w:t>1.9%</w:t>
            </w:r>
          </w:p>
        </w:tc>
        <w:tc>
          <w:tcPr>
            <w:tcW w:w="2268" w:type="dxa"/>
          </w:tcPr>
          <w:p w14:paraId="20554400" w14:textId="77777777" w:rsidR="00514CC0" w:rsidRDefault="00E72B49">
            <w:pPr>
              <w:pStyle w:val="OWTablebodycentre"/>
            </w:pPr>
            <w:r>
              <w:t>5.1%</w:t>
            </w:r>
          </w:p>
        </w:tc>
      </w:tr>
    </w:tbl>
    <w:p w14:paraId="2D980B0E" w14:textId="77777777" w:rsidR="00514CC0" w:rsidRDefault="00E72B49">
      <w:pPr>
        <w:pStyle w:val="OWTablefootnote"/>
      </w:pPr>
      <w:r>
        <w:t>Source: ABS, PSS 2016</w:t>
      </w:r>
    </w:p>
    <w:p w14:paraId="69014328" w14:textId="3C5D00BD" w:rsidR="00514CC0" w:rsidRDefault="00E72B49" w:rsidP="00652988">
      <w:pPr>
        <w:pStyle w:val="OWBodytextlargespaceabove"/>
      </w:pPr>
      <w:r>
        <w:t>These insights help contextualise current data about the high proportions of women who have experienced male violence but have not contacted police about their most recent experience. Importantly, factors related to the condoning of violence against women – minimisation of women’s experiences, failure to identify experiences as criminal in nature, victim-blaming and associated feelings of shame and responsibility on the part of victims, a</w:t>
      </w:r>
      <w:r w:rsidR="004C0AC9">
        <w:t> </w:t>
      </w:r>
      <w:r>
        <w:t>lack of confidence in the responsiveness of the police and legal systems, and other important barriers related to the intersection of disadvantage such as cultural or language reasons – continue to inhibit women who experience violence from making contact with police. This finding suggests that a specific focus on challenging the condoning of violence against women in a range of settings, including investment in primary prevention in legal and justice settings, and with different policy, programmatic and campaigning strategies, remains essential.</w:t>
      </w:r>
    </w:p>
    <w:p w14:paraId="707A3B48" w14:textId="77777777" w:rsidR="00514CC0" w:rsidRDefault="00E72B49" w:rsidP="00F868FE">
      <w:pPr>
        <w:pStyle w:val="Heading5"/>
      </w:pPr>
      <w:r>
        <w:lastRenderedPageBreak/>
        <w:t>Police contact made following Aboriginal and Torres Strait Islander women’s experiences of violent incidents</w:t>
      </w:r>
    </w:p>
    <w:p w14:paraId="1C412CA0" w14:textId="6DA03A36" w:rsidR="00514CC0" w:rsidRDefault="00E72B49">
      <w:pPr>
        <w:pStyle w:val="BodyText"/>
      </w:pPr>
      <w:r>
        <w:t>While the PSS does not provide data on police contact made following Aboriginal and Torres Strait Islander women’s experiences of violent incidents, because reported results are not disaggregated by Indigenous status, the results of the National Aboriginal and Torres Strait Islander Social Survey (NATSISS) waves of 2008 and 2014–15 give some indication of this.</w:t>
      </w:r>
      <w:r>
        <w:rPr>
          <w:rStyle w:val="OWSuperscript"/>
        </w:rPr>
        <w:footnoteReference w:id="29"/>
      </w:r>
    </w:p>
    <w:p w14:paraId="0B59A628" w14:textId="00C2D1C9" w:rsidR="00514CC0" w:rsidRDefault="00E72B49">
      <w:pPr>
        <w:pStyle w:val="BodyText"/>
      </w:pPr>
      <w:r>
        <w:t xml:space="preserve">In 2008, one-quarter (25%) of Aboriginal and Torres Strait Islander women aged 15 years and over reported having experienced physical violence (assault and/or threat) in the 12 months prior to the survey. This prevalence figure decreased somewhat to 21.7% in the 2014–15 survey results. In both waves of the survey, the vast majority of women’s most recent incidents of physical violence were perpetrated by intimate partners or other persons classified within a ‘family and domestic’ relationship to the victim. For example, the </w:t>
      </w:r>
      <w:r w:rsidR="00287D9B">
        <w:br/>
      </w:r>
      <w:r>
        <w:t>2014–15 data shows that of the women who had experienced physical violence in the previous 12 months, for 72.4% of women the most recent incident was perpetrated by a family or domestic member, including intimate partners (37.3% of most recent incidents were perpetrated by a current or previous intimate partner).</w:t>
      </w:r>
      <w:r w:rsidR="004D27F3">
        <w:rPr>
          <w:rStyle w:val="EndnoteReference"/>
        </w:rPr>
        <w:endnoteReference w:id="217"/>
      </w:r>
    </w:p>
    <w:p w14:paraId="09481092" w14:textId="3D528B6D" w:rsidR="00514CC0" w:rsidRDefault="00E72B49">
      <w:pPr>
        <w:pStyle w:val="BodyText"/>
      </w:pPr>
      <w:r>
        <w:t>While not directly comparable figures,</w:t>
      </w:r>
      <w:r>
        <w:rPr>
          <w:rStyle w:val="OWSuperscript"/>
        </w:rPr>
        <w:footnoteReference w:id="30"/>
      </w:r>
      <w:r>
        <w:t xml:space="preserve"> </w:t>
      </w:r>
      <w:r w:rsidRPr="002D0D52">
        <w:rPr>
          <w:rStyle w:val="Strong"/>
        </w:rPr>
        <w:t>data would suggest that similar though possibly declining proportions of women who experience physical violence are reporting to police over time</w:t>
      </w:r>
      <w:r>
        <w:t>. For example, in 2008</w:t>
      </w:r>
      <w:r w:rsidR="004068AF">
        <w:t>,</w:t>
      </w:r>
      <w:r>
        <w:t xml:space="preserve"> 69% of women who had been physically harmed in</w:t>
      </w:r>
      <w:r w:rsidR="003F5387">
        <w:t xml:space="preserve"> the</w:t>
      </w:r>
      <w:r>
        <w:t xml:space="preserve"> </w:t>
      </w:r>
      <w:r>
        <w:lastRenderedPageBreak/>
        <w:t xml:space="preserve">most recent incidents of assault reported to police; in 2014–15, 60% of women who reported being physically harmed in their most recent incident of family and domestic violence reported to the police (see Table </w:t>
      </w:r>
      <w:r w:rsidR="0017588F">
        <w:t>15</w:t>
      </w:r>
      <w:r>
        <w:t>, below).</w:t>
      </w:r>
    </w:p>
    <w:p w14:paraId="2CB061D2" w14:textId="60B7D362" w:rsidR="00514CC0" w:rsidRDefault="00E72B49">
      <w:pPr>
        <w:pStyle w:val="OWTablecaption"/>
      </w:pPr>
      <w:r>
        <w:t xml:space="preserve">Table </w:t>
      </w:r>
      <w:r w:rsidR="0017588F">
        <w:t>15</w:t>
      </w:r>
      <w:r>
        <w:t>: Summary of NATSISS findings, Aboriginal and Torres Strait Islander women aged</w:t>
      </w:r>
      <w:r w:rsidR="004C0AC9">
        <w:t> </w:t>
      </w:r>
      <w:r>
        <w:t>15 years and over who experienced physical violence in the previous 12 months by proportion who reported most recent incident to police, 2008 and 2014–15</w:t>
      </w:r>
    </w:p>
    <w:tbl>
      <w:tblPr>
        <w:tblStyle w:val="Datatableteal"/>
        <w:tblW w:w="9072" w:type="dxa"/>
        <w:tblLayout w:type="fixed"/>
        <w:tblLook w:val="06A0" w:firstRow="1" w:lastRow="0" w:firstColumn="1" w:lastColumn="0" w:noHBand="1" w:noVBand="1"/>
      </w:tblPr>
      <w:tblGrid>
        <w:gridCol w:w="6232"/>
        <w:gridCol w:w="2840"/>
      </w:tblGrid>
      <w:tr w:rsidR="00514CC0" w14:paraId="16370AE2" w14:textId="77777777" w:rsidTr="005720A2">
        <w:trPr>
          <w:cnfStyle w:val="100000000000" w:firstRow="1" w:lastRow="0" w:firstColumn="0" w:lastColumn="0" w:oddVBand="0" w:evenVBand="0" w:oddHBand="0" w:evenHBand="0" w:firstRowFirstColumn="0" w:firstRowLastColumn="0" w:lastRowFirstColumn="0" w:lastRowLastColumn="0"/>
          <w:cantSplit/>
          <w:trHeight w:val="60"/>
          <w:tblHeader/>
        </w:trPr>
        <w:tc>
          <w:tcPr>
            <w:tcW w:w="6232" w:type="dxa"/>
          </w:tcPr>
          <w:p w14:paraId="05A57249" w14:textId="77777777" w:rsidR="00514CC0" w:rsidRDefault="00E72B49">
            <w:pPr>
              <w:pStyle w:val="OWTablecolumnheadleft"/>
            </w:pPr>
            <w:r w:rsidRPr="00181A65">
              <w:t>2008 data – all physical violence experienced</w:t>
            </w:r>
            <w:r>
              <w:rPr>
                <w:rStyle w:val="OWSuperscript"/>
              </w:rPr>
              <w:footnoteReference w:id="31"/>
            </w:r>
            <w:r w:rsidRPr="002D0D52">
              <w:rPr>
                <w:rStyle w:val="Strong"/>
              </w:rPr>
              <w:t xml:space="preserve"> </w:t>
            </w:r>
          </w:p>
        </w:tc>
        <w:tc>
          <w:tcPr>
            <w:tcW w:w="2840" w:type="dxa"/>
          </w:tcPr>
          <w:p w14:paraId="371E0874" w14:textId="77777777" w:rsidR="00514CC0" w:rsidRPr="00181A65" w:rsidRDefault="00E72B49">
            <w:pPr>
              <w:pStyle w:val="OWTablecolumnheadleft"/>
            </w:pPr>
            <w:r w:rsidRPr="00181A65">
              <w:t>2014–15 data – physical violence experienced in the context of family and domestic relationships</w:t>
            </w:r>
          </w:p>
        </w:tc>
      </w:tr>
      <w:tr w:rsidR="00514CC0" w14:paraId="11B9D7DE" w14:textId="77777777" w:rsidTr="005720A2">
        <w:trPr>
          <w:cantSplit/>
          <w:trHeight w:val="60"/>
        </w:trPr>
        <w:tc>
          <w:tcPr>
            <w:tcW w:w="6232" w:type="dxa"/>
          </w:tcPr>
          <w:p w14:paraId="58A9312E" w14:textId="77777777" w:rsidR="00514CC0" w:rsidRDefault="00E72B49">
            <w:pPr>
              <w:pStyle w:val="OWTablebullet1"/>
            </w:pPr>
            <w:r>
              <w:t>60% of women who experienced physical assault in the 12 months prior had reported their most recent incident of assault. (This represents twice the rate of reporting for Aboriginal and Torres Strait Islander men who had experienced assault by any perpetrator – 30%.)</w:t>
            </w:r>
          </w:p>
          <w:p w14:paraId="6DD08A93" w14:textId="77777777" w:rsidR="00514CC0" w:rsidRDefault="00E72B49">
            <w:pPr>
              <w:pStyle w:val="OWTablebullet1"/>
            </w:pPr>
            <w:r>
              <w:t>40% of women who experienced physical threat in the 12 months prior had reported their most recent incident of threat.</w:t>
            </w:r>
          </w:p>
          <w:p w14:paraId="74611393" w14:textId="77777777" w:rsidR="00514CC0" w:rsidRDefault="00E72B49">
            <w:pPr>
              <w:pStyle w:val="OWTablebullet1"/>
            </w:pPr>
            <w:r>
              <w:t>Women were more likely to report their most recent incident of assault when injury was sustained (69% of women who had been physically harmed reported to police, compared with 46% who said they were not physically harmed in their most recent incident of assault).</w:t>
            </w:r>
          </w:p>
          <w:p w14:paraId="4B38D714" w14:textId="77777777" w:rsidR="00514CC0" w:rsidRDefault="00E72B49">
            <w:pPr>
              <w:pStyle w:val="OWTablebullet1"/>
            </w:pPr>
            <w:r>
              <w:t>Women who experienced physical assault in the last 12 months were more likely to report the most recent incident when perpetrated by a current or previous partner than when perpetrated by another family member or someone they only knew by sight. 69% of women whose most recent incident of violence experienced was perpetrated by a current or previous partner reported to the police, compared to 48% of women whose experience of assault was perpetrated by a family member and 41% of women whose assault was perpetrated by someone they knew by sight only.</w:t>
            </w:r>
          </w:p>
          <w:p w14:paraId="5E9FEAAA" w14:textId="77777777" w:rsidR="00514CC0" w:rsidRDefault="00E72B49">
            <w:pPr>
              <w:pStyle w:val="OWTablebullet1"/>
            </w:pPr>
            <w:r>
              <w:t>Young women aged 15 to 24 years were significantly less likely to report their most recent incident of assault (52% reported) than women aged 35 to 44 years (72% reported).</w:t>
            </w:r>
          </w:p>
        </w:tc>
        <w:tc>
          <w:tcPr>
            <w:tcW w:w="2840" w:type="dxa"/>
          </w:tcPr>
          <w:p w14:paraId="37FA51C7" w14:textId="77777777" w:rsidR="00514CC0" w:rsidRDefault="00E72B49">
            <w:pPr>
              <w:pStyle w:val="OWTablebullet1"/>
            </w:pPr>
            <w:r>
              <w:t>57% of women who experienced physical family and domestic violence in the prior 12 months reported being physically injured in their most recent incident of violence experienced.</w:t>
            </w:r>
          </w:p>
          <w:p w14:paraId="192006DA" w14:textId="77777777" w:rsidR="00514CC0" w:rsidRDefault="00E72B49">
            <w:pPr>
              <w:pStyle w:val="OWTablebullet1"/>
            </w:pPr>
            <w:r>
              <w:t>Of these women, 60% reported this incident to the police.</w:t>
            </w:r>
          </w:p>
          <w:p w14:paraId="7CB39E93" w14:textId="77777777" w:rsidR="00514CC0" w:rsidRDefault="00E72B49">
            <w:pPr>
              <w:pStyle w:val="OWTablebullet1"/>
            </w:pPr>
            <w:r>
              <w:t>44% of women who experienced physical and domestic violence in the prior 12 months reported that they did not sustain physical injury in their most recent incident of violence experienced.</w:t>
            </w:r>
          </w:p>
          <w:p w14:paraId="11D77540" w14:textId="77777777" w:rsidR="00514CC0" w:rsidRDefault="00E72B49">
            <w:pPr>
              <w:pStyle w:val="OWTablebullet1"/>
            </w:pPr>
            <w:r>
              <w:t>Of these women, 42% reported this incident to the police.</w:t>
            </w:r>
          </w:p>
        </w:tc>
      </w:tr>
    </w:tbl>
    <w:p w14:paraId="5672D633" w14:textId="57B35FA5" w:rsidR="00514CC0" w:rsidRDefault="00E72B49" w:rsidP="008D084C">
      <w:pPr>
        <w:pStyle w:val="OWBodytextlargespaceabove"/>
      </w:pPr>
      <w:r>
        <w:lastRenderedPageBreak/>
        <w:t>While the data would suggest relatively high police reporting rates among Aboriginal and Torres Strait Islander women who experience violence as compared with the general female population figures in the PSS, and as compared with Aboriginal and Torres Strait Islander men, it is important to note that the consequences of violence tend to be far graver among First Nations women than the overall Australian female population. The physical injuries Aboriginal and Torres Strait Islander women experience due to assault are frequently more severe than those experienced by non-Indigenous women.</w:t>
      </w:r>
      <w:r w:rsidR="004D27F3">
        <w:rPr>
          <w:rStyle w:val="EndnoteReference"/>
        </w:rPr>
        <w:endnoteReference w:id="218"/>
      </w:r>
      <w:r>
        <w:t xml:space="preserve"> NATSISS data shows that Aboriginal and Torres Strait Islander women who have sustained injuries in their most recent experience of physical violence are more likely to report to police. Aboriginal and Torres Strait Islander women also appear more likely to report partner violence than violence perpetrated by other persons.</w:t>
      </w:r>
    </w:p>
    <w:p w14:paraId="0E904716" w14:textId="28851C71" w:rsidR="00514CC0" w:rsidRDefault="00E72B49">
      <w:pPr>
        <w:pStyle w:val="BodyText"/>
      </w:pPr>
      <w:r>
        <w:t>This data on Aboriginal and Torres Strait Islander women’s police reporting rates need</w:t>
      </w:r>
      <w:r w:rsidR="00841726">
        <w:t>s</w:t>
      </w:r>
      <w:r>
        <w:t xml:space="preserve"> to be tempered by NATSISS findings on women’s feelings of trust in local police. The 2014–15 data shows that women who experienced family and domestic violence in the 12 months prior to the survey were less likely to feel trust in their local police than women who did not experience any physical violence in the past year. For example, 62.1% of Aboriginal and Torres Strait Islander women who did not experience any physical violence in the past 12</w:t>
      </w:r>
      <w:r w:rsidR="004C0AC9">
        <w:t> </w:t>
      </w:r>
      <w:r>
        <w:t>months strongly agreed or agreed that they ‘feel that local police can be trusted’, compared with only 44.2% of women who experienced family and domestic violence (including partner violence) in the past year. It is not possible to draw definitive conclusions from this finding, but potential inferences include that mistrust of the police continues to be a barrier to more Aboriginal and Torres Strait Islander women reporting their experiences to police, and/or that women who have reported experiences of violence have found the police response unsatisfactory.</w:t>
      </w:r>
    </w:p>
    <w:p w14:paraId="5003C153" w14:textId="57FA7EB2" w:rsidR="00514CC0" w:rsidRDefault="00E72B49" w:rsidP="001A03A8">
      <w:pPr>
        <w:pStyle w:val="Heading3"/>
      </w:pPr>
      <w:bookmarkStart w:id="75" w:name="_Toc55053313"/>
      <w:r>
        <w:lastRenderedPageBreak/>
        <w:t>Gendered driver: Rigid gender roles and stereotyped constructions of masculinity and femininity</w:t>
      </w:r>
      <w:bookmarkEnd w:id="75"/>
    </w:p>
    <w:p w14:paraId="3B1C7F0B" w14:textId="36B873E8" w:rsidR="00514CC0" w:rsidRDefault="00E72B49" w:rsidP="00685CDD">
      <w:pPr>
        <w:pStyle w:val="Heading4"/>
        <w:spacing w:before="160"/>
      </w:pPr>
      <w:r>
        <w:t>Monitoring domain 2: Rigid gender roles and stereotyped constructions</w:t>
      </w:r>
      <w:r w:rsidR="004C0AC9">
        <w:t> </w:t>
      </w:r>
      <w:r>
        <w:t>of masculinity and femininity</w:t>
      </w:r>
      <w:r>
        <w:rPr>
          <w:rStyle w:val="OWSuperscript"/>
        </w:rPr>
        <w:footnoteReference w:id="32"/>
      </w:r>
    </w:p>
    <w:tbl>
      <w:tblPr>
        <w:tblStyle w:val="Indicatorlistingteal"/>
        <w:tblW w:w="9072" w:type="dxa"/>
        <w:tblLayout w:type="fixed"/>
        <w:tblLook w:val="0680" w:firstRow="0" w:lastRow="0" w:firstColumn="1" w:lastColumn="0" w:noHBand="1" w:noVBand="1"/>
      </w:tblPr>
      <w:tblGrid>
        <w:gridCol w:w="1701"/>
        <w:gridCol w:w="7371"/>
      </w:tblGrid>
      <w:tr w:rsidR="00514CC0" w14:paraId="1C3C3FA7" w14:textId="77777777" w:rsidTr="005720A2">
        <w:trPr>
          <w:cantSplit/>
          <w:trHeight w:val="60"/>
        </w:trPr>
        <w:tc>
          <w:tcPr>
            <w:tcW w:w="1701" w:type="dxa"/>
          </w:tcPr>
          <w:p w14:paraId="4F42A66E" w14:textId="77777777" w:rsidR="00514CC0" w:rsidRDefault="00E72B49">
            <w:pPr>
              <w:pStyle w:val="OWTablebodyleftwhite"/>
            </w:pPr>
            <w:r>
              <w:t>Indicator 2.1</w:t>
            </w:r>
          </w:p>
        </w:tc>
        <w:tc>
          <w:tcPr>
            <w:tcW w:w="7370" w:type="dxa"/>
          </w:tcPr>
          <w:p w14:paraId="4AF7B735" w14:textId="77777777" w:rsidR="00514CC0" w:rsidRDefault="00E72B49">
            <w:pPr>
              <w:pStyle w:val="OWTablebodyleftwhite"/>
            </w:pPr>
            <w:r>
              <w:t>Population-level attitudes that support traditional gender roles</w:t>
            </w:r>
          </w:p>
        </w:tc>
      </w:tr>
      <w:tr w:rsidR="00514CC0" w14:paraId="444268A2" w14:textId="77777777" w:rsidTr="005720A2">
        <w:trPr>
          <w:cantSplit/>
          <w:trHeight w:val="60"/>
        </w:trPr>
        <w:tc>
          <w:tcPr>
            <w:tcW w:w="1701" w:type="dxa"/>
          </w:tcPr>
          <w:p w14:paraId="4E62A383" w14:textId="77777777" w:rsidR="00514CC0" w:rsidRDefault="00E72B49">
            <w:pPr>
              <w:pStyle w:val="OWTablebodyleftwhite"/>
            </w:pPr>
            <w:r>
              <w:t>Indicator 2.2</w:t>
            </w:r>
          </w:p>
        </w:tc>
        <w:tc>
          <w:tcPr>
            <w:tcW w:w="7370" w:type="dxa"/>
          </w:tcPr>
          <w:p w14:paraId="3927BB1F" w14:textId="7EEF97E5" w:rsidR="00514CC0" w:rsidRDefault="00E72B49">
            <w:pPr>
              <w:pStyle w:val="OWTablebodyleftwhite"/>
            </w:pPr>
            <w:r>
              <w:t>Percentage of parental leave uptake by birth parent/primary carer at</w:t>
            </w:r>
            <w:r w:rsidR="004C0AC9">
              <w:t> </w:t>
            </w:r>
            <w:r>
              <w:t>birth versus non-birth parent/other parent</w:t>
            </w:r>
          </w:p>
        </w:tc>
      </w:tr>
      <w:tr w:rsidR="00514CC0" w14:paraId="1828D34F" w14:textId="77777777" w:rsidTr="005720A2">
        <w:trPr>
          <w:cantSplit/>
          <w:trHeight w:val="60"/>
        </w:trPr>
        <w:tc>
          <w:tcPr>
            <w:tcW w:w="1701" w:type="dxa"/>
          </w:tcPr>
          <w:p w14:paraId="42B4D68F" w14:textId="77777777" w:rsidR="00514CC0" w:rsidRDefault="00E72B49">
            <w:pPr>
              <w:pStyle w:val="OWTablebodyleftwhite"/>
            </w:pPr>
            <w:r>
              <w:t>Indicator 2.3</w:t>
            </w:r>
          </w:p>
        </w:tc>
        <w:tc>
          <w:tcPr>
            <w:tcW w:w="7370" w:type="dxa"/>
          </w:tcPr>
          <w:p w14:paraId="2E97FF45" w14:textId="77777777" w:rsidR="00514CC0" w:rsidRDefault="00E72B49">
            <w:pPr>
              <w:pStyle w:val="OWTablebodyleftwhite"/>
            </w:pPr>
            <w:r>
              <w:t>Gender composition of the workforce by industry and employment status</w:t>
            </w:r>
          </w:p>
        </w:tc>
      </w:tr>
      <w:tr w:rsidR="00514CC0" w14:paraId="225C1D96" w14:textId="77777777" w:rsidTr="005720A2">
        <w:trPr>
          <w:cantSplit/>
          <w:trHeight w:val="60"/>
        </w:trPr>
        <w:tc>
          <w:tcPr>
            <w:tcW w:w="1701" w:type="dxa"/>
          </w:tcPr>
          <w:p w14:paraId="713F3DFC" w14:textId="77777777" w:rsidR="00514CC0" w:rsidRDefault="00E72B49">
            <w:pPr>
              <w:pStyle w:val="OWTablebodyleftwhite"/>
            </w:pPr>
            <w:r>
              <w:t>Indicator 2.4</w:t>
            </w:r>
          </w:p>
        </w:tc>
        <w:tc>
          <w:tcPr>
            <w:tcW w:w="7370" w:type="dxa"/>
          </w:tcPr>
          <w:p w14:paraId="2239E6E8" w14:textId="77777777" w:rsidR="00514CC0" w:rsidRDefault="00E72B49">
            <w:pPr>
              <w:pStyle w:val="OWTablebodyleftwhite"/>
            </w:pPr>
            <w:r>
              <w:t>Proportion of time women spend in unpaid care and housework labour compared to men</w:t>
            </w:r>
          </w:p>
        </w:tc>
      </w:tr>
      <w:tr w:rsidR="00514CC0" w14:paraId="562A88DE" w14:textId="77777777" w:rsidTr="005720A2">
        <w:trPr>
          <w:cantSplit/>
          <w:trHeight w:val="60"/>
        </w:trPr>
        <w:tc>
          <w:tcPr>
            <w:tcW w:w="1701" w:type="dxa"/>
          </w:tcPr>
          <w:p w14:paraId="42E7CC06" w14:textId="77777777" w:rsidR="00514CC0" w:rsidRDefault="00E72B49">
            <w:pPr>
              <w:pStyle w:val="OWTablebodyleftwhite"/>
            </w:pPr>
            <w:r>
              <w:t>Indicator 2.5</w:t>
            </w:r>
          </w:p>
        </w:tc>
        <w:tc>
          <w:tcPr>
            <w:tcW w:w="7370" w:type="dxa"/>
          </w:tcPr>
          <w:p w14:paraId="518AD56D" w14:textId="77777777" w:rsidR="00514CC0" w:rsidRDefault="00E72B49">
            <w:pPr>
              <w:pStyle w:val="OWTablebodyleftwhite"/>
            </w:pPr>
            <w:r>
              <w:t>Recognition of women’s equal contribution to the arts and media</w:t>
            </w:r>
          </w:p>
        </w:tc>
      </w:tr>
      <w:tr w:rsidR="00514CC0" w14:paraId="450DE94F" w14:textId="77777777" w:rsidTr="005720A2">
        <w:trPr>
          <w:cantSplit/>
          <w:trHeight w:val="60"/>
        </w:trPr>
        <w:tc>
          <w:tcPr>
            <w:tcW w:w="1701" w:type="dxa"/>
          </w:tcPr>
          <w:p w14:paraId="38D1976C" w14:textId="77777777" w:rsidR="00514CC0" w:rsidRDefault="00E72B49">
            <w:pPr>
              <w:pStyle w:val="OWTablebodyleftwhite"/>
            </w:pPr>
            <w:r>
              <w:t>Indicator 2.6</w:t>
            </w:r>
          </w:p>
        </w:tc>
        <w:tc>
          <w:tcPr>
            <w:tcW w:w="7370" w:type="dxa"/>
          </w:tcPr>
          <w:p w14:paraId="5BAADDDA" w14:textId="77777777" w:rsidR="00514CC0" w:rsidRDefault="00E72B49">
            <w:pPr>
              <w:pStyle w:val="OWTablebodyleftwhite"/>
            </w:pPr>
            <w:r>
              <w:t>Community norms that support the idea that to be a man you need to dominate women, be in control and/or use violence to assert status and resolve disputes</w:t>
            </w:r>
          </w:p>
        </w:tc>
      </w:tr>
      <w:tr w:rsidR="00514CC0" w14:paraId="66565395" w14:textId="77777777" w:rsidTr="005720A2">
        <w:trPr>
          <w:cantSplit/>
          <w:trHeight w:val="60"/>
        </w:trPr>
        <w:tc>
          <w:tcPr>
            <w:tcW w:w="1701" w:type="dxa"/>
          </w:tcPr>
          <w:p w14:paraId="41BC51DE" w14:textId="77777777" w:rsidR="00514CC0" w:rsidRDefault="00E72B49">
            <w:pPr>
              <w:pStyle w:val="OWTablebodyleftwhite"/>
            </w:pPr>
            <w:r>
              <w:t>Indicator 2.7</w:t>
            </w:r>
          </w:p>
        </w:tc>
        <w:tc>
          <w:tcPr>
            <w:tcW w:w="7370" w:type="dxa"/>
          </w:tcPr>
          <w:p w14:paraId="709D8724" w14:textId="77777777" w:rsidR="00514CC0" w:rsidRDefault="00E72B49">
            <w:pPr>
              <w:pStyle w:val="OWTablebodyleftwhite"/>
            </w:pPr>
            <w:r>
              <w:t>Attitudes related to male sexual entitlement</w:t>
            </w:r>
          </w:p>
        </w:tc>
      </w:tr>
    </w:tbl>
    <w:p w14:paraId="32F77148" w14:textId="3502466D" w:rsidR="00514CC0" w:rsidRDefault="00E72B49" w:rsidP="008D084C">
      <w:pPr>
        <w:pStyle w:val="OWBodytextlargespaceabove"/>
      </w:pPr>
      <w:r>
        <w:t>Significantly higher levels of violence against women are found in societies, communities and</w:t>
      </w:r>
      <w:r w:rsidR="004C0AC9">
        <w:t> </w:t>
      </w:r>
      <w:r>
        <w:t>relationships where traditional and hierarchical interpretations of gender roles, responsibilities and relations exist.</w:t>
      </w:r>
      <w:r w:rsidR="004D27F3">
        <w:rPr>
          <w:rStyle w:val="EndnoteReference"/>
        </w:rPr>
        <w:endnoteReference w:id="219"/>
      </w:r>
      <w:r>
        <w:t xml:space="preserve"> Research has consistently found that men who hold traditional, hierarchical views about gender roles and relationships are more likely to perpetrate violence against women.</w:t>
      </w:r>
      <w:r w:rsidR="004D27F3">
        <w:rPr>
          <w:rStyle w:val="EndnoteReference"/>
        </w:rPr>
        <w:endnoteReference w:id="220"/>
      </w:r>
      <w:r>
        <w:t xml:space="preserve"> For example, men who use violence report a greater sense of ownership of or entitlement to female partners, more rigid ideas on acceptable female behaviour in relationships,</w:t>
      </w:r>
      <w:r w:rsidR="004D27F3">
        <w:rPr>
          <w:rStyle w:val="EndnoteReference"/>
        </w:rPr>
        <w:endnoteReference w:id="221"/>
      </w:r>
      <w:r>
        <w:t xml:space="preserve"> and a sense of superiority over women on the basis of adherence to a certain form of masculine gender role. Rigid gender roles may influence the perpetration of violence against women in a number of ways, including:</w:t>
      </w:r>
    </w:p>
    <w:p w14:paraId="59C1AF58" w14:textId="3238E84E" w:rsidR="00514CC0" w:rsidRDefault="00E72B49">
      <w:pPr>
        <w:pStyle w:val="OWBullet1"/>
      </w:pPr>
      <w:r>
        <w:t>the sense of entitlement associated with the traditional masculine gender role resulting in the use of force (including forced sex) by some men, particularly in intimate relationships</w:t>
      </w:r>
      <w:r w:rsidR="004D27F3">
        <w:rPr>
          <w:rStyle w:val="EndnoteReference"/>
        </w:rPr>
        <w:endnoteReference w:id="222"/>
      </w:r>
    </w:p>
    <w:p w14:paraId="7670BB27" w14:textId="09597A94" w:rsidR="00514CC0" w:rsidRDefault="00E72B49">
      <w:pPr>
        <w:pStyle w:val="OWBullet1"/>
      </w:pPr>
      <w:r>
        <w:t>the use of violence to reinforce role divisions or ‘punish’ women and gender diverse people when they do not conform to expected gender roles</w:t>
      </w:r>
      <w:r w:rsidR="004D27F3">
        <w:rPr>
          <w:rStyle w:val="EndnoteReference"/>
        </w:rPr>
        <w:endnoteReference w:id="223"/>
      </w:r>
    </w:p>
    <w:p w14:paraId="5DC8AE7E" w14:textId="55CD7117" w:rsidR="00514CC0" w:rsidRDefault="00E72B49">
      <w:pPr>
        <w:pStyle w:val="OWBullet1"/>
      </w:pPr>
      <w:r>
        <w:lastRenderedPageBreak/>
        <w:t>the gendered division between the public world of work and the private world of the home, which can isolate women and make them dependent on men.</w:t>
      </w:r>
      <w:r w:rsidR="004D27F3">
        <w:rPr>
          <w:rStyle w:val="EndnoteReference"/>
        </w:rPr>
        <w:endnoteReference w:id="224"/>
      </w:r>
    </w:p>
    <w:p w14:paraId="76DB0431" w14:textId="4CE428FE" w:rsidR="00514CC0" w:rsidRDefault="00E72B49" w:rsidP="008D084C">
      <w:pPr>
        <w:pStyle w:val="OWBodytextafterlist"/>
      </w:pPr>
      <w:r>
        <w:t>Rigid constructions of gendered personal identities or strong beliefs about what it means to</w:t>
      </w:r>
      <w:r w:rsidR="004C0AC9">
        <w:t> </w:t>
      </w:r>
      <w:r>
        <w:t>be ‘masculine’ or ‘feminine’ are key drivers of violence against women. People who see men and women as having specific and distinct gendered characteristics are more likely to condone, tolerate or excuse such violence.</w:t>
      </w:r>
      <w:r w:rsidR="004D27F3">
        <w:rPr>
          <w:rStyle w:val="EndnoteReference"/>
        </w:rPr>
        <w:endnoteReference w:id="225"/>
      </w:r>
      <w:r>
        <w:t xml:space="preserve"> Moreover, individuals who subscribe to such gendered beliefs and attitudes, notions of femininity which objectify women, and beliefs and attitudes which associate femininity with ‘moral’ standards of behaviour, are more likely to condone the use of violence against women.</w:t>
      </w:r>
      <w:r w:rsidR="004D27F3">
        <w:rPr>
          <w:rStyle w:val="EndnoteReference"/>
        </w:rPr>
        <w:endnoteReference w:id="226"/>
      </w:r>
    </w:p>
    <w:p w14:paraId="4B3CC5A2" w14:textId="743DD77A" w:rsidR="00514CC0" w:rsidRDefault="00E72B49">
      <w:pPr>
        <w:pStyle w:val="BodyText"/>
      </w:pPr>
      <w:r>
        <w:t>Sexist and stereotypical ideas about masculinity and femininity may increase the probability of violence against women because they:</w:t>
      </w:r>
      <w:r w:rsidR="004D27F3">
        <w:rPr>
          <w:rStyle w:val="EndnoteReference"/>
        </w:rPr>
        <w:endnoteReference w:id="227"/>
      </w:r>
    </w:p>
    <w:p w14:paraId="7576BF2D" w14:textId="62DB5868" w:rsidR="00514CC0" w:rsidRDefault="00E72B49">
      <w:pPr>
        <w:pStyle w:val="OWBullet1"/>
      </w:pPr>
      <w:r>
        <w:t>define masculinity as callous and insensitive, or suggest that men are ‘naturally’ more violent than women and are driven by uncontrollable sexual urges</w:t>
      </w:r>
      <w:r w:rsidR="004D27F3">
        <w:rPr>
          <w:rStyle w:val="EndnoteReference"/>
        </w:rPr>
        <w:endnoteReference w:id="228"/>
      </w:r>
    </w:p>
    <w:p w14:paraId="67910DB1" w14:textId="10D55E06" w:rsidR="00514CC0" w:rsidRDefault="00E72B49">
      <w:pPr>
        <w:pStyle w:val="OWBullet1"/>
      </w:pPr>
      <w:r>
        <w:t>play a role in socialising men and boys, establishing expectations or even pressures for men to live up to these ideas about masculinity, including through the expression of aggression and violence towards women</w:t>
      </w:r>
      <w:r w:rsidR="004D27F3">
        <w:rPr>
          <w:rStyle w:val="EndnoteReference"/>
        </w:rPr>
        <w:endnoteReference w:id="229"/>
      </w:r>
    </w:p>
    <w:p w14:paraId="42C73251" w14:textId="77777777" w:rsidR="00514CC0" w:rsidRDefault="00E72B49">
      <w:pPr>
        <w:pStyle w:val="OWBullet1"/>
      </w:pPr>
      <w:r>
        <w:t>contribute to gender hierarchies based on men having power over women, supporting male entitlement to sex and control in relationships</w:t>
      </w:r>
    </w:p>
    <w:p w14:paraId="6EE2204B" w14:textId="3564A3C9" w:rsidR="00514CC0" w:rsidRDefault="00E72B49">
      <w:pPr>
        <w:pStyle w:val="OWBullet1"/>
      </w:pPr>
      <w:r>
        <w:t>may valorise male violence in general, and sexual aggression towards women in</w:t>
      </w:r>
      <w:r w:rsidR="004C0AC9">
        <w:t> </w:t>
      </w:r>
      <w:r>
        <w:t>particular</w:t>
      </w:r>
    </w:p>
    <w:p w14:paraId="73FDD966" w14:textId="69E20851" w:rsidR="00514CC0" w:rsidRDefault="00E72B49">
      <w:pPr>
        <w:pStyle w:val="OWBullet1"/>
      </w:pPr>
      <w:r>
        <w:t>can cast women as targets for exploitation,</w:t>
      </w:r>
      <w:r w:rsidR="004D27F3">
        <w:rPr>
          <w:rStyle w:val="EndnoteReference"/>
        </w:rPr>
        <w:endnoteReference w:id="230"/>
      </w:r>
      <w:r>
        <w:t xml:space="preserve"> based on the idea that women are ‘naturally’ passive and submissive, combined with objectified and sexualised identities</w:t>
      </w:r>
    </w:p>
    <w:p w14:paraId="6C8A1D81" w14:textId="6A8FB458" w:rsidR="00514CC0" w:rsidRDefault="00E72B49">
      <w:pPr>
        <w:pStyle w:val="OWBullet1"/>
      </w:pPr>
      <w:r>
        <w:t>can support disrespect and violence towards women through the representation of women as inherently deceitful and unfaithful, and needing to be controlled.</w:t>
      </w:r>
      <w:r w:rsidR="00072AE2">
        <w:rPr>
          <w:rStyle w:val="EndnoteReference"/>
        </w:rPr>
        <w:endnoteReference w:id="231"/>
      </w:r>
    </w:p>
    <w:p w14:paraId="099ADD05" w14:textId="2C31E7EB" w:rsidR="00514CC0" w:rsidRDefault="00E72B49" w:rsidP="008D084C">
      <w:pPr>
        <w:pStyle w:val="OWBodytextafterlist"/>
      </w:pPr>
      <w:r>
        <w:t>The indicators selected as proxy measures for Monitoring domain 2: Rigid gender roles and</w:t>
      </w:r>
      <w:r w:rsidR="004C0AC9">
        <w:t> </w:t>
      </w:r>
      <w:r>
        <w:t>stereotyped constructions of masculinity and femininity include:</w:t>
      </w:r>
    </w:p>
    <w:p w14:paraId="151DC5BC" w14:textId="77777777" w:rsidR="00514CC0" w:rsidRDefault="00E72B49">
      <w:pPr>
        <w:pStyle w:val="OWBullet1"/>
      </w:pPr>
      <w:r>
        <w:t>attitudinal adherence to traditional gender roles and relations</w:t>
      </w:r>
    </w:p>
    <w:p w14:paraId="32378AA0" w14:textId="77777777" w:rsidR="00514CC0" w:rsidRDefault="00E72B49">
      <w:pPr>
        <w:pStyle w:val="OWBullet1"/>
      </w:pPr>
      <w:r>
        <w:t>gendered patterns of practice by parents in Australia in relation to early caregiving measured through parental leave uptake</w:t>
      </w:r>
    </w:p>
    <w:p w14:paraId="17CDE0FD" w14:textId="77777777" w:rsidR="00514CC0" w:rsidRDefault="00E72B49">
      <w:pPr>
        <w:pStyle w:val="OWBullet1"/>
      </w:pPr>
      <w:r>
        <w:t>structural patterns in workplaces and the Australian paid labour force with regard to careers and patterns of employment mirroring rigid gender roles and stereotypes</w:t>
      </w:r>
    </w:p>
    <w:p w14:paraId="503CFA9D" w14:textId="77777777" w:rsidR="00514CC0" w:rsidRDefault="00E72B49">
      <w:pPr>
        <w:pStyle w:val="OWBullet1"/>
      </w:pPr>
      <w:r>
        <w:t>gender divisions of unpaid care and domestic labour within households and families (typically associated with traditional notions of a role to be fulfilled by women)</w:t>
      </w:r>
    </w:p>
    <w:p w14:paraId="4E67356C" w14:textId="77777777" w:rsidR="00514CC0" w:rsidRDefault="00E72B49">
      <w:pPr>
        <w:pStyle w:val="OWBullet1"/>
      </w:pPr>
      <w:r>
        <w:t>attitudes and practices associated with dominant expressions of masculinity.</w:t>
      </w:r>
    </w:p>
    <w:p w14:paraId="687948A6" w14:textId="101726F4" w:rsidR="00514CC0" w:rsidRDefault="00E72B49" w:rsidP="008D084C">
      <w:pPr>
        <w:pStyle w:val="OWBodytextafterlist"/>
      </w:pPr>
      <w:r>
        <w:t xml:space="preserve">Our Watch’s work since </w:t>
      </w:r>
      <w:r w:rsidRPr="003E209A">
        <w:rPr>
          <w:rStyle w:val="Emphasis"/>
        </w:rPr>
        <w:t xml:space="preserve">Change the story </w:t>
      </w:r>
      <w:r>
        <w:t xml:space="preserve">shows how other forms of </w:t>
      </w:r>
      <w:r w:rsidR="004B2482" w:rsidRPr="004B2482">
        <w:t>oppression and discrimination</w:t>
      </w:r>
      <w:r>
        <w:t xml:space="preserve"> can intersect and interact with gender inequality to shape specific experiences and expressions of rigid gender roles and stereotypical constructions of masculinity and femininity, and subsequently drive violence against women in certain ways.</w:t>
      </w:r>
      <w:r w:rsidR="004B2482">
        <w:t> </w:t>
      </w:r>
      <w:r>
        <w:t xml:space="preserve">For example, </w:t>
      </w:r>
      <w:r w:rsidRPr="003E209A">
        <w:rPr>
          <w:rStyle w:val="Emphasis"/>
        </w:rPr>
        <w:t>Changing the picture, Background paper</w:t>
      </w:r>
      <w:r>
        <w:t xml:space="preserve"> (2018) acknowledges the destruction (or attempted destruction) of traditional Aboriginal and Torres Strait Islander cultures as part of the colonisation process, which specifically disrupted the social roles and responsibilities of men and women,</w:t>
      </w:r>
      <w:r w:rsidR="00072AE2">
        <w:rPr>
          <w:rStyle w:val="EndnoteReference"/>
        </w:rPr>
        <w:endnoteReference w:id="232"/>
      </w:r>
      <w:r>
        <w:t xml:space="preserve"> and displaced traditional laws, practices and norms that defined appropriate relationships between women and men. This process of ‘colonial </w:t>
      </w:r>
      <w:r>
        <w:lastRenderedPageBreak/>
        <w:t>patriarchy’ subordinated and disempowered Aboriginal and Torres Strait Islander women.</w:t>
      </w:r>
      <w:r w:rsidR="00072AE2">
        <w:rPr>
          <w:rStyle w:val="EndnoteReference"/>
        </w:rPr>
        <w:endnoteReference w:id="233"/>
      </w:r>
      <w:r>
        <w:t xml:space="preserve"> It also disempowered Aboriginal and Torres Strait Islander men by undermining their traditional roles, while depriving them of the power, status and opportunities that other men in Australia are </w:t>
      </w:r>
      <w:r w:rsidRPr="00494296">
        <w:t>afforded. This intergenerational trauma experienced by First Nations men can sometimes be outwardly directed as violence against others, including women and children.</w:t>
      </w:r>
      <w:r w:rsidR="00072AE2" w:rsidRPr="00494296">
        <w:rPr>
          <w:rStyle w:val="EndnoteReference"/>
        </w:rPr>
        <w:endnoteReference w:id="234"/>
      </w:r>
      <w:r>
        <w:t xml:space="preserve"> As </w:t>
      </w:r>
      <w:r w:rsidRPr="003E209A">
        <w:rPr>
          <w:rStyle w:val="Emphasis"/>
        </w:rPr>
        <w:t xml:space="preserve">Changing the picture </w:t>
      </w:r>
      <w:r>
        <w:t>stresses, however, violence against Aboriginal and Torres Strait Islander women is perpetrated by men of all backgrounds, not only First Nations men. In this respect, patterns of violence against Aboriginal and Torres Strait Islander women are influenced by their subordination through ‘colonial patriarchy’ and by</w:t>
      </w:r>
      <w:r w:rsidR="004B2482">
        <w:t> </w:t>
      </w:r>
      <w:r>
        <w:t>the broader rendering of rigid gender roles and relations across Australian society.</w:t>
      </w:r>
    </w:p>
    <w:p w14:paraId="0FE4EF09" w14:textId="042C963A" w:rsidR="00514CC0" w:rsidRDefault="00E72B49">
      <w:pPr>
        <w:pStyle w:val="BodyText"/>
      </w:pPr>
      <w:r>
        <w:t xml:space="preserve">As documented in </w:t>
      </w:r>
      <w:r w:rsidRPr="003E209A">
        <w:rPr>
          <w:rStyle w:val="Emphasis"/>
        </w:rPr>
        <w:t>Changing the picture, Background paper</w:t>
      </w:r>
      <w:r>
        <w:t xml:space="preserve"> (2018), specific stereotypes about Aboriginal and Torres Strait Islander people – such as those regarding alcohol and drug use, or their being ‘more violent’ – run counter to dominant narratives about ‘appropriately feminine’ victims of violence and consequently work to shift blame for violence onto Aboriginal and Torres Strait Islander women.</w:t>
      </w:r>
      <w:r w:rsidR="00072AE2">
        <w:rPr>
          <w:rStyle w:val="EndnoteReference"/>
        </w:rPr>
        <w:endnoteReference w:id="235"/>
      </w:r>
      <w:r>
        <w:t xml:space="preserve"> Some Aboriginal and Torres Strait Islander men may adopt the kinds of patriarchal attitudes, behaviours and notions of</w:t>
      </w:r>
      <w:r w:rsidR="004C0AC9">
        <w:t> </w:t>
      </w:r>
      <w:r>
        <w:t>masculinity which were introduced with colonisation. Non-Indigenous men may adhere to</w:t>
      </w:r>
      <w:r w:rsidR="004C0AC9">
        <w:t> </w:t>
      </w:r>
      <w:r>
        <w:t>rigid and harmful forms of masculinity as well as subscribe to racist and gendered stereotypes that dehumanise Aboriginal and Torres Strait Islander women. Together, these racialised gender expressions work to drive violence against Aboriginal and Torres Strait Islander women by men of all backgrounds.</w:t>
      </w:r>
    </w:p>
    <w:p w14:paraId="5CB2E0DE" w14:textId="3AB13445" w:rsidR="00514CC0" w:rsidRDefault="00E72B49">
      <w:pPr>
        <w:pStyle w:val="BodyText"/>
      </w:pPr>
      <w:r>
        <w:t xml:space="preserve">Our Watch’s work in </w:t>
      </w:r>
      <w:r w:rsidRPr="003E209A">
        <w:rPr>
          <w:rStyle w:val="Emphasis"/>
        </w:rPr>
        <w:t xml:space="preserve">Primary prevention of family violence against people in LGBTI communities </w:t>
      </w:r>
      <w:r>
        <w:t xml:space="preserve">(2017) and in </w:t>
      </w:r>
      <w:r w:rsidRPr="003E209A">
        <w:rPr>
          <w:rStyle w:val="Emphasis"/>
        </w:rPr>
        <w:t>Men in focus: Unpacking masculinity and engaging men in the prevention of violence against women</w:t>
      </w:r>
      <w:r>
        <w:t xml:space="preserve"> (2019) provides further insight into the impacts of rigid gender roles and stereotyped constructions of masculinity and femininity. This work shows how rigid gender roles and relations not only drive violence against cisgendered and heterosexual women, but also violence against lesbian, bisexual and trans women, intersex people and gender-diverse people. This occurs through the social policing of rigid and binary gender roles and associated heteronormative norms, and the dominance of heterosexist social structures. Gender role socialisation and messages continue to determine the ‘right’ and ‘wrong’ ways to be ‘a man’ and ‘a woman’ and reinforce a limited and rigid binary between these roles. Strict adherence to social constructs of binary notions of sex and gender often motivates punishment and victimisation of women of diverse sexual orientations and gender-diverse people, and renders their experiences of violence less visible. Homosociality as a practice of male peer bonding may place women of diverse sexual</w:t>
      </w:r>
      <w:r w:rsidR="004C0AC9">
        <w:t> </w:t>
      </w:r>
      <w:r>
        <w:t>orientations and people of diverse gender identities at greater risk of disrespect, objectification and violence.</w:t>
      </w:r>
      <w:r w:rsidR="00072AE2">
        <w:rPr>
          <w:rStyle w:val="EndnoteReference"/>
        </w:rPr>
        <w:endnoteReference w:id="236"/>
      </w:r>
      <w:r>
        <w:t xml:space="preserve"> Challenging rigid gender roles and heterosexist, binary and hierarchical gender relations is therefore critical to prevent violence not only against cisgender, heterosexual women but against </w:t>
      </w:r>
      <w:r w:rsidRPr="003E209A">
        <w:rPr>
          <w:rStyle w:val="Emphasis"/>
        </w:rPr>
        <w:t xml:space="preserve">all </w:t>
      </w:r>
      <w:r>
        <w:t>women and non-binary people.</w:t>
      </w:r>
    </w:p>
    <w:p w14:paraId="5569921E" w14:textId="3435DB0D" w:rsidR="00514CC0" w:rsidRDefault="00E72B49">
      <w:pPr>
        <w:pStyle w:val="BodyText"/>
      </w:pPr>
      <w:r>
        <w:t xml:space="preserve">Existing research also suggests that there is a strong correlation between traditional masculine ideals, violence against women, </w:t>
      </w:r>
      <w:r w:rsidRPr="003E209A">
        <w:rPr>
          <w:rStyle w:val="Emphasis"/>
        </w:rPr>
        <w:t xml:space="preserve">and </w:t>
      </w:r>
      <w:r>
        <w:t xml:space="preserve">violence against LGBTI people. The very existence of people of diverse gender identities and sexual orientations challenges not only traditional and patriarchal constructions of gender, but also the deeply held, but often unacknowledged, links between sex, gender and sexuality. Rigid constructions of gender are built on the assumption that ‘real’ men and ‘real’ women are necessarily heterosexual. But the existence of people of diverse sexual orientations and gender identities makes it clear </w:t>
      </w:r>
      <w:r>
        <w:lastRenderedPageBreak/>
        <w:t>that individuals do not always behave in stereotypically masculine and feminine ways, and</w:t>
      </w:r>
      <w:r w:rsidR="004C0AC9">
        <w:t> </w:t>
      </w:r>
      <w:r>
        <w:t xml:space="preserve">can be attracted to people across a spectrum of sexualities and genders. Dominant constructions of gender can therefore drive violence against </w:t>
      </w:r>
      <w:r w:rsidR="009545B6">
        <w:t xml:space="preserve">people </w:t>
      </w:r>
      <w:r>
        <w:t>of all gender identities and sexual orientations.</w:t>
      </w:r>
    </w:p>
    <w:p w14:paraId="4E177133" w14:textId="77777777" w:rsidR="00514CC0" w:rsidRDefault="00E72B49" w:rsidP="00F868FE">
      <w:pPr>
        <w:pStyle w:val="Heading5"/>
      </w:pPr>
      <w:r>
        <w:t>Challenging rigid gender roles and stereotyped constructions of masculinity and femininity: Summary of change over time</w:t>
      </w:r>
    </w:p>
    <w:p w14:paraId="745E855F" w14:textId="77777777" w:rsidR="00514CC0" w:rsidRDefault="00E72B49">
      <w:pPr>
        <w:pStyle w:val="BodyText"/>
      </w:pPr>
      <w:r>
        <w:t>Based on the indicator data that follows, overall this domain demonstrates some progress on community attitudes. Yet there is a strong persistence of behaviours and structural patterns which reflect rigid gender roles, stereotyped constructions of masculinity and femininity, and, ultimately, gender inequality. Multiple types of data – individual attitudinal, such as the National Community Attitudes towards Violence against Women Survey, household, such as the Household Income and Labour Dynamics Australia survey, labour force, such as the ABS’s Labour Force Survey or the Workplace Gender Equality Agency’s data – show that gains have been made in relation to acceptance of women in the workforce. This acceptance is reflected in the increase in women’s paid hours (with now full-time labour force participation parity) and, to some degree, in the increased employment of women in occupations traditionally understood to reflect a stereotyped construction of masculinity, or ‘men’s work’. This can be understood as reflecting a growing societal acceptance of the full breadth of work that women can do.</w:t>
      </w:r>
    </w:p>
    <w:p w14:paraId="692F712A" w14:textId="77777777" w:rsidR="00514CC0" w:rsidRDefault="00E72B49">
      <w:pPr>
        <w:pStyle w:val="BodyText"/>
      </w:pPr>
      <w:r>
        <w:t>However, while there has been greater acceptance of women undertaking different roles, workforce change toward greater equality should not be overstated. Industry continues to be highly gender-segregated and women dominate the ranks of part-time workers. As analysis in Monitoring domain 3 (Men’s control of decision-making and limits to women’s independence in public life) also shows, men also continue to dominate leadership positions, and women experience multiple forms of structural economic inequality including a gender pay gap and superannuation gap.</w:t>
      </w:r>
    </w:p>
    <w:p w14:paraId="4B759BC4" w14:textId="28657288" w:rsidR="00AC2C10" w:rsidRPr="00AC2C10" w:rsidRDefault="009A3397" w:rsidP="00AC2C10">
      <w:pPr>
        <w:pStyle w:val="BodyText"/>
      </w:pPr>
      <w:r w:rsidRPr="009A3397">
        <w:t xml:space="preserve">Perhaps most significantly, commensurate shifts have not been achieved in relation to men undertaking forms of work traditionally </w:t>
      </w:r>
      <w:r>
        <w:t>seen</w:t>
      </w:r>
      <w:r w:rsidRPr="009A3397">
        <w:t xml:space="preserve"> as ‘feminine’ responsibilities. Women continue to shoulder the burden of unpaid work involved in caring for children, people with disability in their families, other family members including older people, and tending to the home. We</w:t>
      </w:r>
      <w:r w:rsidR="004C0AC9">
        <w:t> </w:t>
      </w:r>
      <w:r w:rsidRPr="009A3397">
        <w:t>have seen no meaningful increase in the time men spend on unpaid labour at home. When it comes to paid work, neither have we seen an influx of men into ‘feminine’ occupations or female-dominated industries (which tend to be paid less than masculinised or male-dominated occupations and industries), at least at the lower and middle ranks. Even in feminised industries, men continue to be represented in management at least at par with women, with the exception of two industries: healthcare and social assistance, and education and training.</w:t>
      </w:r>
      <w:r w:rsidR="00AC2C10">
        <w:rPr>
          <w:rStyle w:val="EndnoteReference"/>
        </w:rPr>
        <w:endnoteReference w:id="237"/>
      </w:r>
    </w:p>
    <w:p w14:paraId="3C7711D1" w14:textId="1ABDC81C" w:rsidR="009A3397" w:rsidRDefault="009A3397">
      <w:pPr>
        <w:pStyle w:val="BodyText"/>
      </w:pPr>
      <w:r w:rsidRPr="009A3397">
        <w:t xml:space="preserve">Overall, then, there has been little increase in the value placed on traditionally ‘feminine’ care work, whether paid or unpaid, and correspondingly limited shifts in norms of masculinity related to work. This lack of value placed on traditionally feminine forms of work is even reflected in the architecture of our national data itself. The ABS’s Time Use Survey, considered to be a vastly superior instrument to the Census and the Household Income Labour Dynamics Australia survey for undertaking gendered comparisons of unpaid labour time and for making visible the extent of work women undertake including that which is not </w:t>
      </w:r>
      <w:r w:rsidRPr="009A3397">
        <w:lastRenderedPageBreak/>
        <w:t>renumerated, was not run after 2006 due to a lack of funding.</w:t>
      </w:r>
      <w:r w:rsidR="001448A7">
        <w:rPr>
          <w:rStyle w:val="EndnoteReference"/>
        </w:rPr>
        <w:endnoteReference w:id="238"/>
      </w:r>
      <w:r w:rsidRPr="009A3397">
        <w:t xml:space="preserve"> Happily this important instrument has been recently reinstated, in part propelled by the need to report against Sustainable Development Goal indicators related to unpaid care gender gaps, and new data has been recently collected.</w:t>
      </w:r>
      <w:r w:rsidR="001448A7">
        <w:rPr>
          <w:rStyle w:val="EndnoteReference"/>
        </w:rPr>
        <w:endnoteReference w:id="239"/>
      </w:r>
      <w:r w:rsidRPr="009A3397">
        <w:t xml:space="preserve"> Workplace gender equality data tends to measure changes to labour force segregation by emphasising the movement of women into ‘masculine’ sectors and occupations, rather than by considering whether men are moving into roles (especially below managerial ranks) in traditional feminised industries.</w:t>
      </w:r>
    </w:p>
    <w:p w14:paraId="378E13F5" w14:textId="7A068275" w:rsidR="00514CC0" w:rsidRDefault="00E72B49">
      <w:pPr>
        <w:pStyle w:val="BodyText"/>
      </w:pPr>
      <w:r>
        <w:t xml:space="preserve">Further, changes to rigid gender roles and stereotyped constructions of gender are not yet suitably supported by policy and infrastructure. For example, based on policy restrictions, parental leave uptake patterns continue to be highly gendered, with men largely taking up the highly limited secondary </w:t>
      </w:r>
      <w:r w:rsidR="5AB278A2">
        <w:t>carer</w:t>
      </w:r>
      <w:r w:rsidR="2CF1C016">
        <w:t>’s</w:t>
      </w:r>
      <w:r>
        <w:t xml:space="preserve"> leave entitlement and women the more extended primary </w:t>
      </w:r>
      <w:r w:rsidR="5AB278A2">
        <w:t>carer</w:t>
      </w:r>
      <w:r w:rsidR="29CB5CB6">
        <w:t>’s</w:t>
      </w:r>
      <w:r>
        <w:t xml:space="preserve"> leave. This sets in train and reinforces a gendered division of childcaring labour in homes where there is a female and a male parent, which, as the Household Income and Labour Dynamics Australia (HILDA) data shows, persists over time. While many workplaces are now compelled to report on their gender pay gap and other gender equality measures, this is a recent development. Reporting has not yet translated into substantial shifts in the gender segregation of industries, in the proportion of men taking on flexible and part-time roles, or in gender pay gaps within organisations and industries.</w:t>
      </w:r>
    </w:p>
    <w:p w14:paraId="60A06EB3" w14:textId="77777777" w:rsidR="00514CC0" w:rsidRDefault="00E72B49" w:rsidP="00F6538C">
      <w:pPr>
        <w:pStyle w:val="BodyText"/>
        <w:keepLines/>
      </w:pPr>
      <w:r>
        <w:t>In sum, the considerable changes in gender dynamics seen in the public realm have not been mirrored (or indeed facilitated) by shifts in the domestic or private realm towards less rigid gender roles and more equal divisions of unpaid labour between female and male partners (or ex-partners). Without significant movement – at the levels of behaviour, infrastructure and policy – to shift patterns of domestic labour and caring responsibilities in the private realm, we are nearing the limits of what can be achieved towards gender equality in the public realm and economic equality between women and men.</w:t>
      </w:r>
    </w:p>
    <w:p w14:paraId="05C3BAEC" w14:textId="77777777" w:rsidR="00514CC0" w:rsidRDefault="00E72B49" w:rsidP="00E1549C">
      <w:pPr>
        <w:pStyle w:val="Heading4"/>
      </w:pPr>
      <w:r>
        <w:t>Indicator 2.1: Population-level attitudes that support traditional gender roles</w:t>
      </w:r>
    </w:p>
    <w:tbl>
      <w:tblPr>
        <w:tblStyle w:val="Indicatoroutlineteal"/>
        <w:tblW w:w="9072" w:type="dxa"/>
        <w:tblLayout w:type="fixed"/>
        <w:tblLook w:val="0680" w:firstRow="0" w:lastRow="0" w:firstColumn="1" w:lastColumn="0" w:noHBand="1" w:noVBand="1"/>
      </w:tblPr>
      <w:tblGrid>
        <w:gridCol w:w="2835"/>
        <w:gridCol w:w="6237"/>
      </w:tblGrid>
      <w:tr w:rsidR="00514CC0" w14:paraId="11E76B07" w14:textId="77777777" w:rsidTr="005720A2">
        <w:trPr>
          <w:cantSplit/>
          <w:trHeight w:val="60"/>
        </w:trPr>
        <w:tc>
          <w:tcPr>
            <w:tcW w:w="2835" w:type="dxa"/>
          </w:tcPr>
          <w:p w14:paraId="40E6A6CF" w14:textId="77777777" w:rsidR="00514CC0" w:rsidRDefault="00E72B49">
            <w:pPr>
              <w:pStyle w:val="OWTablebodyleft"/>
            </w:pPr>
            <w:r>
              <w:t>What does this indicator tell us about Monitoring domain 2: Rigid gender roles and stereotyped constructions of masculinity and femininity?</w:t>
            </w:r>
          </w:p>
        </w:tc>
        <w:tc>
          <w:tcPr>
            <w:tcW w:w="6236" w:type="dxa"/>
          </w:tcPr>
          <w:p w14:paraId="6B9A1A14" w14:textId="37EEC7A9" w:rsidR="00514CC0" w:rsidRDefault="00E72B49">
            <w:pPr>
              <w:pStyle w:val="OWTablebodyleft"/>
            </w:pPr>
            <w:r>
              <w:t>This indicator gives us some insight into the extent to which individuals in Australia attitudinally subscribe to traditional gender roles, and whether this has changed over time. The data used to measure this indicator looks particularly at gender roles in terms of parenting, paid work, marriage</w:t>
            </w:r>
            <w:r w:rsidR="001E2147">
              <w:t>,</w:t>
            </w:r>
            <w:r>
              <w:t xml:space="preserve"> and</w:t>
            </w:r>
            <w:r w:rsidR="007C4B16">
              <w:t> </w:t>
            </w:r>
            <w:r>
              <w:t>other forms of intimate relationships.</w:t>
            </w:r>
          </w:p>
        </w:tc>
      </w:tr>
      <w:tr w:rsidR="00514CC0" w14:paraId="51333023" w14:textId="77777777" w:rsidTr="005720A2">
        <w:trPr>
          <w:cantSplit/>
          <w:trHeight w:val="60"/>
        </w:trPr>
        <w:tc>
          <w:tcPr>
            <w:tcW w:w="2835" w:type="dxa"/>
          </w:tcPr>
          <w:p w14:paraId="7601A576" w14:textId="77777777" w:rsidR="00514CC0" w:rsidRDefault="00E72B49">
            <w:pPr>
              <w:pStyle w:val="OWTablebodyleft"/>
            </w:pPr>
            <w:r>
              <w:t>Expected change if high-quality programs and infrastructure for prevention of violence against women and gender equality are implemented</w:t>
            </w:r>
          </w:p>
        </w:tc>
        <w:tc>
          <w:tcPr>
            <w:tcW w:w="6236" w:type="dxa"/>
          </w:tcPr>
          <w:p w14:paraId="3835895E" w14:textId="77777777" w:rsidR="00514CC0" w:rsidRDefault="00E72B49">
            <w:pPr>
              <w:pStyle w:val="OWTablebodyleft"/>
            </w:pPr>
            <w:r>
              <w:t>Short- and medium-term: proportion of the population who hold positive attitudes (i.e. rejecting traditional roles) will increase.</w:t>
            </w:r>
          </w:p>
          <w:p w14:paraId="78E3AB65" w14:textId="77777777" w:rsidR="00514CC0" w:rsidRDefault="00E72B49">
            <w:pPr>
              <w:pStyle w:val="OWTablebodyleft"/>
            </w:pPr>
            <w:r>
              <w:t>Long-term: proportion of the population who hold positive attitudes will peak and plateau.</w:t>
            </w:r>
          </w:p>
        </w:tc>
      </w:tr>
      <w:tr w:rsidR="00514CC0" w14:paraId="15817BB0" w14:textId="77777777" w:rsidTr="005720A2">
        <w:trPr>
          <w:cantSplit/>
          <w:trHeight w:val="60"/>
        </w:trPr>
        <w:tc>
          <w:tcPr>
            <w:tcW w:w="2835" w:type="dxa"/>
          </w:tcPr>
          <w:p w14:paraId="33CA7EAA" w14:textId="77777777" w:rsidR="00514CC0" w:rsidRDefault="00E72B49">
            <w:pPr>
              <w:pStyle w:val="OWTablebodyleft"/>
            </w:pPr>
            <w:r>
              <w:lastRenderedPageBreak/>
              <w:t>Data source(s)</w:t>
            </w:r>
          </w:p>
        </w:tc>
        <w:tc>
          <w:tcPr>
            <w:tcW w:w="6236" w:type="dxa"/>
          </w:tcPr>
          <w:p w14:paraId="7A6A1253" w14:textId="77777777" w:rsidR="00514CC0" w:rsidRDefault="00E72B49" w:rsidP="002C2EC7">
            <w:pPr>
              <w:pStyle w:val="OWTablenumberdigit"/>
              <w:numPr>
                <w:ilvl w:val="0"/>
                <w:numId w:val="18"/>
              </w:numPr>
            </w:pPr>
            <w:r>
              <w:t>National Community Attitudes towards Violence against Women Survey (NCAS) 2009, 2013 and 2017, Australia’s National Research Organisation for Women’s Safety (ANROWS) (previously auspiced by VicHealth)</w:t>
            </w:r>
          </w:p>
          <w:p w14:paraId="524E00CC" w14:textId="6FC1DE36" w:rsidR="00514CC0" w:rsidRDefault="00E72B49">
            <w:pPr>
              <w:pStyle w:val="OWTablenumberdigit"/>
            </w:pPr>
            <w:r>
              <w:t>Household Income and Labour Dynamics Australia (HILDA) survey 2008 and 2015, Melbourne Institute, University of Melbourne</w:t>
            </w:r>
            <w:r w:rsidR="00FA79DB">
              <w:rPr>
                <w:rStyle w:val="EndnoteReference"/>
              </w:rPr>
              <w:endnoteReference w:id="240"/>
            </w:r>
          </w:p>
        </w:tc>
      </w:tr>
      <w:tr w:rsidR="00514CC0" w14:paraId="713CE092" w14:textId="77777777" w:rsidTr="005720A2">
        <w:trPr>
          <w:cantSplit/>
          <w:trHeight w:val="60"/>
        </w:trPr>
        <w:tc>
          <w:tcPr>
            <w:tcW w:w="2835" w:type="dxa"/>
          </w:tcPr>
          <w:p w14:paraId="2372BFCB" w14:textId="77777777" w:rsidR="00514CC0" w:rsidRDefault="00E72B49">
            <w:pPr>
              <w:pStyle w:val="OWTablebodyleft"/>
            </w:pPr>
            <w:r>
              <w:t>Change over time summary: short-term change revealed by the data</w:t>
            </w:r>
          </w:p>
        </w:tc>
        <w:tc>
          <w:tcPr>
            <w:tcW w:w="6236" w:type="dxa"/>
          </w:tcPr>
          <w:p w14:paraId="043492B6" w14:textId="77777777" w:rsidR="00514CC0" w:rsidRDefault="00E72B49">
            <w:pPr>
              <w:pStyle w:val="OWTablebodyleft"/>
            </w:pPr>
            <w:r>
              <w:t>Decrease in the proportion of Australians who believe that a woman needs to have a child to be fulfilled (NCAS).</w:t>
            </w:r>
          </w:p>
          <w:p w14:paraId="6FECF9ED" w14:textId="77777777" w:rsidR="00514CC0" w:rsidRDefault="00E72B49">
            <w:pPr>
              <w:pStyle w:val="OWTablebodyleft"/>
            </w:pPr>
            <w:r>
              <w:t>Decrease in the extent to which Australians subscribe to traditional gender roles in terms of parenting and paid work, though men’s attitudes are more traditional than women’s (HILDA).</w:t>
            </w:r>
          </w:p>
        </w:tc>
      </w:tr>
      <w:tr w:rsidR="00514CC0" w14:paraId="738328F3" w14:textId="77777777" w:rsidTr="005720A2">
        <w:trPr>
          <w:cantSplit/>
          <w:trHeight w:val="60"/>
        </w:trPr>
        <w:tc>
          <w:tcPr>
            <w:tcW w:w="2835" w:type="dxa"/>
          </w:tcPr>
          <w:p w14:paraId="47803B66" w14:textId="77777777" w:rsidR="00514CC0" w:rsidRDefault="00E72B49">
            <w:pPr>
              <w:pStyle w:val="OWTablebodyleft"/>
            </w:pPr>
            <w:r>
              <w:t>Does the change confirm or run contrary to expected change?</w:t>
            </w:r>
          </w:p>
        </w:tc>
        <w:tc>
          <w:tcPr>
            <w:tcW w:w="6236" w:type="dxa"/>
          </w:tcPr>
          <w:p w14:paraId="1D73835C" w14:textId="77777777" w:rsidR="00514CC0" w:rsidRDefault="00E72B49">
            <w:pPr>
              <w:pStyle w:val="OWTablebodyleft"/>
            </w:pPr>
            <w:r>
              <w:t>Confirms expected change</w:t>
            </w:r>
          </w:p>
        </w:tc>
      </w:tr>
      <w:tr w:rsidR="00514CC0" w14:paraId="5FEBE80C" w14:textId="77777777" w:rsidTr="005720A2">
        <w:trPr>
          <w:cantSplit/>
          <w:trHeight w:val="60"/>
        </w:trPr>
        <w:tc>
          <w:tcPr>
            <w:tcW w:w="2835" w:type="dxa"/>
          </w:tcPr>
          <w:p w14:paraId="09C6EBE4" w14:textId="77777777" w:rsidR="00514CC0" w:rsidRDefault="00E72B49">
            <w:pPr>
              <w:pStyle w:val="OWTablebodyleft"/>
            </w:pPr>
            <w:r>
              <w:t>Gaps in existing data</w:t>
            </w:r>
          </w:p>
        </w:tc>
        <w:tc>
          <w:tcPr>
            <w:tcW w:w="6236" w:type="dxa"/>
          </w:tcPr>
          <w:p w14:paraId="2F5435D0" w14:textId="77777777" w:rsidR="00514CC0" w:rsidRDefault="00E72B49">
            <w:pPr>
              <w:pStyle w:val="OWTablebodyleft"/>
            </w:pPr>
            <w:r>
              <w:t>The data in these surveys is attitudinal in nature and does not explain on its own the disjuncture between attitudes which indicate flexible thinking on gender roles and persistent patterns of rigid gender roles within female–male relationships.</w:t>
            </w:r>
          </w:p>
          <w:p w14:paraId="4CA137F1" w14:textId="77777777" w:rsidR="00514CC0" w:rsidRDefault="00E72B49">
            <w:pPr>
              <w:pStyle w:val="OWTablebodyleft"/>
            </w:pPr>
            <w:r>
              <w:t>Framing of survey questions tends to conform with normative assumptions about female–male (cisgender, heterosexual) exclusive partnerships as the locus of the family; in this sense, the surveys themselves can be regarded as perpetuating traditional assumptions about gender, sex and sexuality.</w:t>
            </w:r>
          </w:p>
        </w:tc>
      </w:tr>
    </w:tbl>
    <w:p w14:paraId="32B09C7B" w14:textId="00B22798" w:rsidR="00514CC0" w:rsidRDefault="00E72B49" w:rsidP="008D084C">
      <w:pPr>
        <w:pStyle w:val="OWBodytextlargespaceabove"/>
      </w:pPr>
      <w:r>
        <w:t xml:space="preserve">The 2017 National Community Attitudes towards Violence against Women Survey (NCAS) results reveal that overall, attitudinally, individuals in Australia reject rigid gender roles to a reasonably high degree. Coupled with rigid gender expressions, the overall average ranking of this theme was 79 out of 100, a score that indicates that </w:t>
      </w:r>
      <w:r w:rsidRPr="002D0D52">
        <w:rPr>
          <w:rStyle w:val="Strong"/>
        </w:rPr>
        <w:t>people are largely rejecting attitudes ‘agreeing with the idea that men and women are naturally suited to “do” different tasks and responsibilities’</w:t>
      </w:r>
      <w:r>
        <w:t>.</w:t>
      </w:r>
      <w:r w:rsidR="00FA79DB">
        <w:rPr>
          <w:rStyle w:val="EndnoteReference"/>
        </w:rPr>
        <w:endnoteReference w:id="241"/>
      </w:r>
      <w:r>
        <w:t xml:space="preserve"> This is a heartening result. The importance of progressing towards attitudes supporting less rigid gender roles is underlined further by the</w:t>
      </w:r>
      <w:r w:rsidR="004C0AC9">
        <w:t> </w:t>
      </w:r>
      <w:r>
        <w:t>NCAS finding that attitudes which support rigid gender roles are one of the strongest predictors of attitudes supportive of violence against women.</w:t>
      </w:r>
      <w:r w:rsidR="00FA79DB">
        <w:rPr>
          <w:rStyle w:val="EndnoteReference"/>
        </w:rPr>
        <w:endnoteReference w:id="242"/>
      </w:r>
    </w:p>
    <w:p w14:paraId="3C6FDBA6" w14:textId="2D030704" w:rsidR="00514CC0" w:rsidRDefault="00E72B49">
      <w:pPr>
        <w:pStyle w:val="BodyText"/>
      </w:pPr>
      <w:r>
        <w:t>Three specific questions were asked in 2017 to interrogate attitudinal support for rigid gender roles, including two questions new to this wave of the survey. One new statement asked respondents about traditionally gendered careers: ‘I think it is embarrassing for a man</w:t>
      </w:r>
      <w:r w:rsidR="004C0AC9">
        <w:t> </w:t>
      </w:r>
      <w:r>
        <w:t>to have a job that is usually filled by a woman.’ Only 6% agreed with this statement. A</w:t>
      </w:r>
      <w:r w:rsidR="004C0AC9">
        <w:t> </w:t>
      </w:r>
      <w:r>
        <w:t>second new statement referred to pay differentials between female and male partners in</w:t>
      </w:r>
      <w:r w:rsidR="004B2482">
        <w:t xml:space="preserve"> </w:t>
      </w:r>
      <w:r>
        <w:lastRenderedPageBreak/>
        <w:t>a</w:t>
      </w:r>
      <w:r w:rsidR="004C0AC9">
        <w:t> </w:t>
      </w:r>
      <w:r>
        <w:t>heterosexual relationship: ‘If a woman earns more than her male partner, it is not good for the relationship.’ Again, a low proportion (8%) of Australians agreed with this statement.</w:t>
      </w:r>
      <w:r w:rsidR="00FA79DB">
        <w:rPr>
          <w:rStyle w:val="EndnoteReference"/>
        </w:rPr>
        <w:endnoteReference w:id="243"/>
      </w:r>
    </w:p>
    <w:p w14:paraId="2A4A354A" w14:textId="60FC64A9" w:rsidR="00514CC0" w:rsidRDefault="00E72B49">
      <w:pPr>
        <w:pStyle w:val="BodyText"/>
      </w:pPr>
      <w:r>
        <w:t>A third statement, ‘A woman has to have children to be fulfilled’, was also previously asked in the 2009 and 2013 NCAS waves. This statement clearly refers to the idea that parenthood is a more natural role for women than men and that women’s value is tied to motherhood (whereas that is not the case for men). While the average result in 2017 for this statement also revealed low agreement with this statement – only 8% of Australians agreed with it – this question did elicit different average responses from women and men, unlike the other questions. Women were significantly more likely to disagree with this statement than men, with 93% of women disagreeing as compared to 86% of men.</w:t>
      </w:r>
      <w:r w:rsidR="00FA79DB">
        <w:rPr>
          <w:rStyle w:val="EndnoteReference"/>
        </w:rPr>
        <w:endnoteReference w:id="244"/>
      </w:r>
    </w:p>
    <w:p w14:paraId="7BEB2462" w14:textId="77777777" w:rsidR="00514CC0" w:rsidRDefault="00E72B49" w:rsidP="000A26CA">
      <w:pPr>
        <w:pStyle w:val="OWBodytextlargespacebelow"/>
      </w:pPr>
      <w:r>
        <w:t>Importantly, however, there was a decrease of 4 percentage points between 2013 and 2017 in the proportion of Australians agreeing that women need to have children to be fulfilled, from 12% in 2013 to 8% in 2017.</w:t>
      </w:r>
    </w:p>
    <w:tbl>
      <w:tblPr>
        <w:tblStyle w:val="Casestudyteal"/>
        <w:tblW w:w="0" w:type="auto"/>
        <w:tblLayout w:type="fixed"/>
        <w:tblLook w:val="0620" w:firstRow="1" w:lastRow="0" w:firstColumn="0" w:lastColumn="0" w:noHBand="1" w:noVBand="1"/>
      </w:tblPr>
      <w:tblGrid>
        <w:gridCol w:w="9071"/>
      </w:tblGrid>
      <w:tr w:rsidR="00514CC0" w14:paraId="4E458B97" w14:textId="77777777" w:rsidTr="00BB2447">
        <w:trPr>
          <w:cnfStyle w:val="100000000000" w:firstRow="1" w:lastRow="0" w:firstColumn="0" w:lastColumn="0" w:oddVBand="0" w:evenVBand="0" w:oddHBand="0" w:evenHBand="0" w:firstRowFirstColumn="0" w:firstRowLastColumn="0" w:lastRowFirstColumn="0" w:lastRowLastColumn="0"/>
          <w:trHeight w:val="60"/>
        </w:trPr>
        <w:tc>
          <w:tcPr>
            <w:tcW w:w="9071" w:type="dxa"/>
          </w:tcPr>
          <w:p w14:paraId="06DFAEE7" w14:textId="77777777" w:rsidR="00514CC0" w:rsidRDefault="00E72B49">
            <w:pPr>
              <w:pStyle w:val="OWBoxheading"/>
            </w:pPr>
            <w:r w:rsidRPr="008D084C">
              <w:t xml:space="preserve">Gender roles and management of gender norms among Aboriginal people in South Australia: Snapshot of findings from </w:t>
            </w:r>
            <w:r>
              <w:rPr>
                <w:rStyle w:val="OWBoldItalic"/>
                <w:b/>
                <w:bCs/>
              </w:rPr>
              <w:t>The Aboriginal Study</w:t>
            </w:r>
            <w:r w:rsidRPr="008D084C">
              <w:t xml:space="preserve"> (2019)</w:t>
            </w:r>
          </w:p>
        </w:tc>
      </w:tr>
      <w:tr w:rsidR="00514CC0" w14:paraId="0EA259C3" w14:textId="77777777" w:rsidTr="00BB2447">
        <w:trPr>
          <w:trHeight w:val="60"/>
        </w:trPr>
        <w:tc>
          <w:tcPr>
            <w:tcW w:w="9071" w:type="dxa"/>
          </w:tcPr>
          <w:p w14:paraId="5D08F81F" w14:textId="77777777" w:rsidR="00514CC0" w:rsidRDefault="00E72B49">
            <w:pPr>
              <w:pStyle w:val="OWTablebodyleft"/>
            </w:pPr>
            <w:r>
              <w:t>The Aboriginal Health Council of South Australia conducted a recent qualitative study of gender attitudes, norms and practices among Aboriginal people in South Australia.</w:t>
            </w:r>
          </w:p>
          <w:p w14:paraId="3C23960D" w14:textId="77777777" w:rsidR="00514CC0" w:rsidRDefault="00E72B49">
            <w:pPr>
              <w:pStyle w:val="OWTablebodyleft"/>
            </w:pPr>
            <w:r>
              <w:t>Findings from this study pertinent to this indicator include:</w:t>
            </w:r>
          </w:p>
          <w:p w14:paraId="3C4053EE" w14:textId="77777777" w:rsidR="00514CC0" w:rsidRDefault="00E72B49">
            <w:pPr>
              <w:pStyle w:val="OWTablebullet1"/>
            </w:pPr>
            <w:r>
              <w:t>That women and men both identify strongly with nurturing of children, but there are gendered patterns in how this nurturing role is expressed – for women, it tends to be that motherhood and ‘growing up of children’ is ‘an important aspect of their womanhood’, while men tended to express their role as teachers of children, as well as protectors and providers for the family (p. 41). Importantly, a key point of difference arises from other population-level surveys: there is a far wider definition of family which is expressed by study participants than is assumed in population-level surveys (which tend to presume a nuclear, normative family unit). Women’s and men’s nurturing roles extended beyond biological children to wider kin networks.</w:t>
            </w:r>
          </w:p>
          <w:p w14:paraId="0AE097D2" w14:textId="77777777" w:rsidR="00514CC0" w:rsidRDefault="00E72B49">
            <w:pPr>
              <w:pStyle w:val="OWTablebullet1"/>
            </w:pPr>
            <w:r>
              <w:t>Women talked about careful management of gender norms – some about a reluctant acceptance of gender norms and role divisions (seen to be greatly influenced by Western culture), others about the difficulty of challenging gender role norms, others still (particularly LGBTQ women and single mothers) about challenging and rejecting rigid gender role norms. For some women, this challenging of gender norms carried with it greater risk and other negative consequences; others drew attention to changing culture with greater flexibility of gender role norms (pp. 45–47).</w:t>
            </w:r>
          </w:p>
          <w:p w14:paraId="16AA78A0" w14:textId="522274AE" w:rsidR="005E1A3E" w:rsidRPr="003D6A9B" w:rsidRDefault="003D6A9B" w:rsidP="003D6A9B">
            <w:pPr>
              <w:pStyle w:val="OWBoxsourceline"/>
            </w:pPr>
            <w:r>
              <w:drawing>
                <wp:inline distT="0" distB="0" distL="0" distR="0" wp14:anchorId="0EE324E9" wp14:editId="344C416B">
                  <wp:extent cx="431640" cy="3960"/>
                  <wp:effectExtent l="0" t="0" r="0" b="0"/>
                  <wp:docPr id="174647472" name="Picture 3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8">
                            <a:extLst>
                              <a:ext uri="{28A0092B-C50C-407E-A947-70E740481C1C}">
                                <a14:useLocalDpi xmlns:a14="http://schemas.microsoft.com/office/drawing/2010/main" val="0"/>
                              </a:ext>
                            </a:extLst>
                          </a:blip>
                          <a:stretch>
                            <a:fillRect/>
                          </a:stretch>
                        </pic:blipFill>
                        <pic:spPr>
                          <a:xfrm>
                            <a:off x="0" y="0"/>
                            <a:ext cx="431640" cy="3960"/>
                          </a:xfrm>
                          <a:prstGeom prst="rect">
                            <a:avLst/>
                          </a:prstGeom>
                        </pic:spPr>
                      </pic:pic>
                    </a:graphicData>
                  </a:graphic>
                </wp:inline>
              </w:drawing>
            </w:r>
          </w:p>
          <w:p w14:paraId="652D1C44" w14:textId="49888D88" w:rsidR="00514CC0" w:rsidRDefault="00E72B49" w:rsidP="004A1B0D">
            <w:pPr>
              <w:pStyle w:val="OWBoxsource"/>
            </w:pPr>
            <w:r>
              <w:t xml:space="preserve">Source: Aboriginal Health Council of South Australia Ltd, </w:t>
            </w:r>
            <w:r w:rsidRPr="003E209A">
              <w:rPr>
                <w:rStyle w:val="Emphasis"/>
              </w:rPr>
              <w:t>The Aboriginal Gender Study</w:t>
            </w:r>
            <w:r>
              <w:t>, Final Report, AHCSA, Adelaide, 2019, pp. 45–47.</w:t>
            </w:r>
          </w:p>
        </w:tc>
      </w:tr>
    </w:tbl>
    <w:p w14:paraId="7371679F" w14:textId="77777777" w:rsidR="00514CC0" w:rsidRDefault="00E72B49" w:rsidP="004A1B0D">
      <w:pPr>
        <w:pStyle w:val="OWBodytextlargespaceabove"/>
      </w:pPr>
      <w:r>
        <w:lastRenderedPageBreak/>
        <w:t>The annual longitudinal survey of Australian households, Household Income and Labour Dynamics Australia (HILDA), is another source of credible population-level data yielding important insights into the gendered attitudes of Australians.</w:t>
      </w:r>
    </w:p>
    <w:p w14:paraId="60A1239D" w14:textId="77777777" w:rsidR="00514CC0" w:rsidRDefault="00E72B49" w:rsidP="00F868FE">
      <w:pPr>
        <w:pStyle w:val="Heading5"/>
      </w:pPr>
      <w:r>
        <w:t>Changes over time: attitudes towards parenting and paid work</w:t>
      </w:r>
    </w:p>
    <w:p w14:paraId="20E02AC2" w14:textId="2FC57926" w:rsidR="00514CC0" w:rsidRDefault="00E72B49">
      <w:pPr>
        <w:pStyle w:val="BodyText"/>
      </w:pPr>
      <w:r>
        <w:t>HILDA measures the traditionalism of attitudes on gender roles in relation to two topics: parenting and paid work, and marriage and children. The survey does this by asking several questions on each topic, and then determining a score between 1 (least traditional) and 7 (most traditional) for each individual respondent on a composite basis of their responses.</w:t>
      </w:r>
      <w:r w:rsidR="00FA79DB">
        <w:rPr>
          <w:rStyle w:val="EndnoteReference"/>
        </w:rPr>
        <w:endnoteReference w:id="245"/>
      </w:r>
      <w:r>
        <w:t xml:space="preserve"> Data against these measures has only been collected and reported on in certain waves of HILDA (i.e. not every year). The relevant HILDA years for these themes that align with the approximate period under consideration in this report are 2008 and 2015.</w:t>
      </w:r>
    </w:p>
    <w:p w14:paraId="52D51D75" w14:textId="77777777" w:rsidR="00514CC0" w:rsidRDefault="00E72B49">
      <w:pPr>
        <w:pStyle w:val="BodyText"/>
        <w:keepNext/>
      </w:pPr>
      <w:r>
        <w:t>The HILDA statements on parenting and paid work are as follows:</w:t>
      </w:r>
    </w:p>
    <w:p w14:paraId="54D7E832" w14:textId="77777777" w:rsidR="00514CC0" w:rsidRDefault="00E72B49" w:rsidP="002C2EC7">
      <w:pPr>
        <w:pStyle w:val="OWNumberdigit"/>
        <w:numPr>
          <w:ilvl w:val="0"/>
          <w:numId w:val="6"/>
        </w:numPr>
      </w:pPr>
      <w:r>
        <w:t>‘Many working mothers seem to care more about being successful at work than meeting the needs of their children.’</w:t>
      </w:r>
    </w:p>
    <w:p w14:paraId="79F3A612" w14:textId="77777777" w:rsidR="00514CC0" w:rsidRDefault="00E72B49">
      <w:pPr>
        <w:pStyle w:val="OWNumberdigit"/>
      </w:pPr>
      <w:r>
        <w:t>‘If both partners in a couple work, they should share equally in the housework and care of children.’</w:t>
      </w:r>
    </w:p>
    <w:p w14:paraId="1336ED90" w14:textId="77777777" w:rsidR="00514CC0" w:rsidRDefault="00E72B49">
      <w:pPr>
        <w:pStyle w:val="OWNumberdigit"/>
      </w:pPr>
      <w:r>
        <w:t>‘Whatever career a woman may have, her most important role in life is still that of being a mother.’</w:t>
      </w:r>
    </w:p>
    <w:p w14:paraId="3D446BE1" w14:textId="77777777" w:rsidR="00514CC0" w:rsidRDefault="00E72B49">
      <w:pPr>
        <w:pStyle w:val="OWNumberdigit"/>
      </w:pPr>
      <w:r>
        <w:t>‘Mothers who don’t really need money shouldn’t work.’</w:t>
      </w:r>
    </w:p>
    <w:p w14:paraId="04EB63EB" w14:textId="77777777" w:rsidR="00514CC0" w:rsidRDefault="00E72B49">
      <w:pPr>
        <w:pStyle w:val="OWNumberdigit"/>
      </w:pPr>
      <w:r>
        <w:t>‘Children do just as well if the mother earns the money and the father cares for the home and the children.’</w:t>
      </w:r>
    </w:p>
    <w:p w14:paraId="5564E54B" w14:textId="77777777" w:rsidR="00514CC0" w:rsidRDefault="00E72B49">
      <w:pPr>
        <w:pStyle w:val="OWNumberdigit"/>
      </w:pPr>
      <w:r>
        <w:t>‘It is better for everyone involved if the man earns the money and the woman takes care of the home and the children.’</w:t>
      </w:r>
    </w:p>
    <w:p w14:paraId="1ABD4D8F" w14:textId="3E4C7704" w:rsidR="00514CC0" w:rsidRDefault="00E72B49">
      <w:pPr>
        <w:pStyle w:val="OWNumberdigit"/>
      </w:pPr>
      <w:r>
        <w:t>‘As long as the care is good, it is fine for children under three years of age to be placed in</w:t>
      </w:r>
      <w:r w:rsidR="004C0AC9">
        <w:t> </w:t>
      </w:r>
      <w:r>
        <w:t>childcare all day for five days a week.’</w:t>
      </w:r>
    </w:p>
    <w:p w14:paraId="6B551C39" w14:textId="77777777" w:rsidR="00514CC0" w:rsidRDefault="00E72B49">
      <w:pPr>
        <w:pStyle w:val="OWNumberdigit"/>
      </w:pPr>
      <w:r>
        <w:t>‘A working mother can establish just as good a relationship with her children as a mother who does not work for pay.’</w:t>
      </w:r>
    </w:p>
    <w:p w14:paraId="3B28962B" w14:textId="77777777" w:rsidR="00514CC0" w:rsidRDefault="00E72B49">
      <w:pPr>
        <w:pStyle w:val="OWNumberdigit"/>
      </w:pPr>
      <w:r>
        <w:t>‘A father should be as heavily involved in the care of the children as the mother.’</w:t>
      </w:r>
    </w:p>
    <w:p w14:paraId="1F15B2FC" w14:textId="77777777" w:rsidR="00514CC0" w:rsidRDefault="00E72B49">
      <w:pPr>
        <w:pStyle w:val="OWNumberdigit"/>
      </w:pPr>
      <w:r>
        <w:t>‘It is not good for a relationship if the woman earns more than the man.’</w:t>
      </w:r>
    </w:p>
    <w:p w14:paraId="1E802C57" w14:textId="77777777" w:rsidR="00514CC0" w:rsidRDefault="00E72B49">
      <w:pPr>
        <w:pStyle w:val="OWNumberdigit"/>
      </w:pPr>
      <w:r>
        <w:t>‘On the whole, men make better political leaders than women do.’</w:t>
      </w:r>
    </w:p>
    <w:p w14:paraId="3631C153" w14:textId="77777777" w:rsidR="00514CC0" w:rsidRDefault="00E72B49">
      <w:pPr>
        <w:pStyle w:val="OWNumberdigit"/>
      </w:pPr>
      <w:r>
        <w:t>‘A pre-school child is likely to suffer if his/her mother works full-time.’</w:t>
      </w:r>
    </w:p>
    <w:p w14:paraId="2DD25E14" w14:textId="77777777" w:rsidR="00514CC0" w:rsidRDefault="00E72B49">
      <w:pPr>
        <w:pStyle w:val="OWNumberdigit"/>
      </w:pPr>
      <w:r>
        <w:t>‘Children often suffer because their fathers concentrate too much on their work.’</w:t>
      </w:r>
    </w:p>
    <w:p w14:paraId="7A6FDF55" w14:textId="7C4A0CCF" w:rsidR="00514CC0" w:rsidRDefault="00E72B49">
      <w:pPr>
        <w:pStyle w:val="OWNumberdigit"/>
      </w:pPr>
      <w:r>
        <w:t>‘If parents divorce it is usually better for the child to stay with the mother than the father.’</w:t>
      </w:r>
      <w:r w:rsidR="00FA79DB">
        <w:rPr>
          <w:rStyle w:val="EndnoteReference"/>
        </w:rPr>
        <w:endnoteReference w:id="246"/>
      </w:r>
    </w:p>
    <w:p w14:paraId="30D7B751" w14:textId="6AAF76DC" w:rsidR="00514CC0" w:rsidRDefault="00E72B49" w:rsidP="00FA79DB">
      <w:pPr>
        <w:pStyle w:val="OWBodytextafterlist"/>
      </w:pPr>
      <w:r>
        <w:t xml:space="preserve">Overall, HILDA data reveals that men and women, with and without dependent children, display reasonably low levels of rigidity and conservatism, or ‘traditionalism’ as it is termed in the HILDA reports, regarding attitudes toward gender roles in relation to parenting and paid work. All groups – women without children, women with children, men without children, men with children – achieved a score of less than four out of seven in both 2008 and 2015. Additionally, all groups have become slightly less traditional over time. That being said, some differences between men and women, and men and women with and without children, are apparent and outlined in Table </w:t>
      </w:r>
      <w:r w:rsidR="0017588F">
        <w:t>16</w:t>
      </w:r>
      <w:r>
        <w:t xml:space="preserve">, below. Men are more traditional in their </w:t>
      </w:r>
      <w:r>
        <w:lastRenderedPageBreak/>
        <w:t>gender attitudes towards parenting and paid work than women. The presence of dependent children does not alter this result.</w:t>
      </w:r>
    </w:p>
    <w:p w14:paraId="5EA06695" w14:textId="56C35431" w:rsidR="00514CC0" w:rsidRDefault="00E72B49">
      <w:pPr>
        <w:pStyle w:val="OWTablecaption"/>
      </w:pPr>
      <w:r>
        <w:t xml:space="preserve">Table </w:t>
      </w:r>
      <w:r w:rsidR="0017588F">
        <w:t>16</w:t>
      </w:r>
      <w:r>
        <w:t>: Average mean extent to which persons aged 15 to 64 hold traditional attitudes towards parenting and paid work, by gender and presence of dependent children, scale of 1 to 7</w:t>
      </w:r>
    </w:p>
    <w:tbl>
      <w:tblPr>
        <w:tblStyle w:val="Datatableteal"/>
        <w:tblW w:w="9072" w:type="dxa"/>
        <w:tblLayout w:type="fixed"/>
        <w:tblLook w:val="06A0" w:firstRow="1" w:lastRow="0" w:firstColumn="1" w:lastColumn="0" w:noHBand="1" w:noVBand="1"/>
      </w:tblPr>
      <w:tblGrid>
        <w:gridCol w:w="3406"/>
        <w:gridCol w:w="1888"/>
        <w:gridCol w:w="1889"/>
        <w:gridCol w:w="1889"/>
      </w:tblGrid>
      <w:tr w:rsidR="00514CC0" w14:paraId="142F9981" w14:textId="77777777" w:rsidTr="00BB2447">
        <w:trPr>
          <w:cnfStyle w:val="100000000000" w:firstRow="1" w:lastRow="0" w:firstColumn="0" w:lastColumn="0" w:oddVBand="0" w:evenVBand="0" w:oddHBand="0" w:evenHBand="0" w:firstRowFirstColumn="0" w:firstRowLastColumn="0" w:lastRowFirstColumn="0" w:lastRowLastColumn="0"/>
          <w:cantSplit/>
          <w:trHeight w:val="60"/>
          <w:tblHeader/>
        </w:trPr>
        <w:tc>
          <w:tcPr>
            <w:tcW w:w="3402" w:type="dxa"/>
          </w:tcPr>
          <w:p w14:paraId="4A8C38E5" w14:textId="77777777" w:rsidR="00514CC0" w:rsidRPr="004A1B0D" w:rsidRDefault="00E72B49">
            <w:pPr>
              <w:pStyle w:val="OWTablecolumnheadleft"/>
            </w:pPr>
            <w:r w:rsidRPr="004A1B0D">
              <w:t>Gender and presence of dependent children</w:t>
            </w:r>
          </w:p>
        </w:tc>
        <w:tc>
          <w:tcPr>
            <w:tcW w:w="1887" w:type="dxa"/>
          </w:tcPr>
          <w:p w14:paraId="006F9012" w14:textId="77777777" w:rsidR="00514CC0" w:rsidRPr="004A1B0D" w:rsidRDefault="00E72B49">
            <w:pPr>
              <w:pStyle w:val="OWTablecolumnheadcentre"/>
            </w:pPr>
            <w:r w:rsidRPr="004A1B0D">
              <w:t>2008</w:t>
            </w:r>
          </w:p>
        </w:tc>
        <w:tc>
          <w:tcPr>
            <w:tcW w:w="1888" w:type="dxa"/>
          </w:tcPr>
          <w:p w14:paraId="52F6C513" w14:textId="77777777" w:rsidR="00514CC0" w:rsidRPr="004A1B0D" w:rsidRDefault="00E72B49">
            <w:pPr>
              <w:pStyle w:val="OWTablecolumnheadcentre"/>
            </w:pPr>
            <w:r w:rsidRPr="004A1B0D">
              <w:t>2015</w:t>
            </w:r>
          </w:p>
        </w:tc>
        <w:tc>
          <w:tcPr>
            <w:tcW w:w="1888" w:type="dxa"/>
          </w:tcPr>
          <w:p w14:paraId="5FF34F21" w14:textId="77777777" w:rsidR="00514CC0" w:rsidRPr="004A1B0D" w:rsidRDefault="00E72B49">
            <w:pPr>
              <w:pStyle w:val="OWTablecolumnheadcentre"/>
            </w:pPr>
            <w:r w:rsidRPr="004A1B0D">
              <w:t>Change 2008 to 2015</w:t>
            </w:r>
          </w:p>
        </w:tc>
      </w:tr>
      <w:tr w:rsidR="00514CC0" w14:paraId="267CE62E" w14:textId="77777777" w:rsidTr="00BB2447">
        <w:trPr>
          <w:cantSplit/>
          <w:trHeight w:val="60"/>
        </w:trPr>
        <w:tc>
          <w:tcPr>
            <w:tcW w:w="3402" w:type="dxa"/>
          </w:tcPr>
          <w:p w14:paraId="0120AEA7" w14:textId="77777777" w:rsidR="00514CC0" w:rsidRDefault="00E72B49">
            <w:pPr>
              <w:pStyle w:val="OWTablebodyleft"/>
            </w:pPr>
            <w:r>
              <w:t>Women – without children</w:t>
            </w:r>
          </w:p>
        </w:tc>
        <w:tc>
          <w:tcPr>
            <w:tcW w:w="1887" w:type="dxa"/>
          </w:tcPr>
          <w:p w14:paraId="5DD8E667" w14:textId="77777777" w:rsidR="00514CC0" w:rsidRDefault="00E72B49">
            <w:pPr>
              <w:pStyle w:val="OWTablebodycentre"/>
            </w:pPr>
            <w:r>
              <w:t>3.2</w:t>
            </w:r>
          </w:p>
        </w:tc>
        <w:tc>
          <w:tcPr>
            <w:tcW w:w="1888" w:type="dxa"/>
          </w:tcPr>
          <w:p w14:paraId="650BDDED" w14:textId="77777777" w:rsidR="00514CC0" w:rsidRDefault="00E72B49">
            <w:pPr>
              <w:pStyle w:val="OWTablebodycentre"/>
            </w:pPr>
            <w:r>
              <w:t>3.0</w:t>
            </w:r>
          </w:p>
        </w:tc>
        <w:tc>
          <w:tcPr>
            <w:tcW w:w="1888" w:type="dxa"/>
          </w:tcPr>
          <w:p w14:paraId="134DB09B" w14:textId="77777777" w:rsidR="00514CC0" w:rsidRDefault="00E72B49">
            <w:pPr>
              <w:pStyle w:val="OWTablebodycentre"/>
            </w:pPr>
            <w:r>
              <w:t>-0.2</w:t>
            </w:r>
          </w:p>
        </w:tc>
      </w:tr>
      <w:tr w:rsidR="00514CC0" w14:paraId="2630299C" w14:textId="77777777" w:rsidTr="00BB2447">
        <w:trPr>
          <w:cantSplit/>
          <w:trHeight w:val="60"/>
        </w:trPr>
        <w:tc>
          <w:tcPr>
            <w:tcW w:w="3402" w:type="dxa"/>
          </w:tcPr>
          <w:p w14:paraId="20972B36" w14:textId="77777777" w:rsidR="00514CC0" w:rsidRDefault="00E72B49">
            <w:pPr>
              <w:pStyle w:val="OWTablebodyleft"/>
            </w:pPr>
            <w:r>
              <w:t>Women – with children</w:t>
            </w:r>
          </w:p>
        </w:tc>
        <w:tc>
          <w:tcPr>
            <w:tcW w:w="1887" w:type="dxa"/>
          </w:tcPr>
          <w:p w14:paraId="62616871" w14:textId="77777777" w:rsidR="00514CC0" w:rsidRDefault="00E72B49">
            <w:pPr>
              <w:pStyle w:val="OWTablebodycentre"/>
            </w:pPr>
            <w:r>
              <w:t>3.3</w:t>
            </w:r>
          </w:p>
        </w:tc>
        <w:tc>
          <w:tcPr>
            <w:tcW w:w="1888" w:type="dxa"/>
          </w:tcPr>
          <w:p w14:paraId="4DF0AF3C" w14:textId="77777777" w:rsidR="00514CC0" w:rsidRDefault="00E72B49">
            <w:pPr>
              <w:pStyle w:val="OWTablebodycentre"/>
            </w:pPr>
            <w:r>
              <w:t>3.1</w:t>
            </w:r>
          </w:p>
        </w:tc>
        <w:tc>
          <w:tcPr>
            <w:tcW w:w="1888" w:type="dxa"/>
          </w:tcPr>
          <w:p w14:paraId="257F7820" w14:textId="77777777" w:rsidR="00514CC0" w:rsidRDefault="00E72B49">
            <w:pPr>
              <w:pStyle w:val="OWTablebodycentre"/>
            </w:pPr>
            <w:r>
              <w:t>-0.2</w:t>
            </w:r>
          </w:p>
        </w:tc>
      </w:tr>
      <w:tr w:rsidR="00514CC0" w14:paraId="3131DDD6" w14:textId="77777777" w:rsidTr="00BB2447">
        <w:trPr>
          <w:cantSplit/>
          <w:trHeight w:val="60"/>
        </w:trPr>
        <w:tc>
          <w:tcPr>
            <w:tcW w:w="3402" w:type="dxa"/>
          </w:tcPr>
          <w:p w14:paraId="20B9122D" w14:textId="77777777" w:rsidR="00514CC0" w:rsidRDefault="00E72B49">
            <w:pPr>
              <w:pStyle w:val="OWTablebodyleft"/>
            </w:pPr>
            <w:r>
              <w:t>Men – without children</w:t>
            </w:r>
          </w:p>
        </w:tc>
        <w:tc>
          <w:tcPr>
            <w:tcW w:w="1887" w:type="dxa"/>
          </w:tcPr>
          <w:p w14:paraId="76FB0D47" w14:textId="77777777" w:rsidR="00514CC0" w:rsidRDefault="00E72B49">
            <w:pPr>
              <w:pStyle w:val="OWTablebodycentre"/>
            </w:pPr>
            <w:r>
              <w:t>3.5</w:t>
            </w:r>
          </w:p>
        </w:tc>
        <w:tc>
          <w:tcPr>
            <w:tcW w:w="1888" w:type="dxa"/>
          </w:tcPr>
          <w:p w14:paraId="18396132" w14:textId="77777777" w:rsidR="00514CC0" w:rsidRDefault="00E72B49">
            <w:pPr>
              <w:pStyle w:val="OWTablebodycentre"/>
            </w:pPr>
            <w:r>
              <w:t>3.3</w:t>
            </w:r>
          </w:p>
        </w:tc>
        <w:tc>
          <w:tcPr>
            <w:tcW w:w="1888" w:type="dxa"/>
          </w:tcPr>
          <w:p w14:paraId="6C526D24" w14:textId="77777777" w:rsidR="00514CC0" w:rsidRDefault="00E72B49">
            <w:pPr>
              <w:pStyle w:val="OWTablebodycentre"/>
            </w:pPr>
            <w:r>
              <w:t>-0.2</w:t>
            </w:r>
          </w:p>
        </w:tc>
      </w:tr>
      <w:tr w:rsidR="00514CC0" w14:paraId="549EA1C8" w14:textId="77777777" w:rsidTr="00BB2447">
        <w:trPr>
          <w:cantSplit/>
          <w:trHeight w:val="60"/>
        </w:trPr>
        <w:tc>
          <w:tcPr>
            <w:tcW w:w="3402" w:type="dxa"/>
          </w:tcPr>
          <w:p w14:paraId="611839F9" w14:textId="77777777" w:rsidR="00514CC0" w:rsidRDefault="00E72B49">
            <w:pPr>
              <w:pStyle w:val="OWTablebodyleft"/>
            </w:pPr>
            <w:r>
              <w:t>Men – with children</w:t>
            </w:r>
          </w:p>
        </w:tc>
        <w:tc>
          <w:tcPr>
            <w:tcW w:w="1887" w:type="dxa"/>
          </w:tcPr>
          <w:p w14:paraId="7975007C" w14:textId="77777777" w:rsidR="00514CC0" w:rsidRDefault="00E72B49">
            <w:pPr>
              <w:pStyle w:val="OWTablebodycentre"/>
            </w:pPr>
            <w:r>
              <w:t>3.5</w:t>
            </w:r>
          </w:p>
        </w:tc>
        <w:tc>
          <w:tcPr>
            <w:tcW w:w="1888" w:type="dxa"/>
          </w:tcPr>
          <w:p w14:paraId="18A09EFE" w14:textId="77777777" w:rsidR="00514CC0" w:rsidRDefault="00E72B49">
            <w:pPr>
              <w:pStyle w:val="OWTablebodycentre"/>
            </w:pPr>
            <w:r>
              <w:t>3.3</w:t>
            </w:r>
          </w:p>
        </w:tc>
        <w:tc>
          <w:tcPr>
            <w:tcW w:w="1888" w:type="dxa"/>
          </w:tcPr>
          <w:p w14:paraId="6500392F" w14:textId="77777777" w:rsidR="00514CC0" w:rsidRDefault="00E72B49">
            <w:pPr>
              <w:pStyle w:val="OWTablebodycentre"/>
            </w:pPr>
            <w:r>
              <w:t>-0.2</w:t>
            </w:r>
          </w:p>
        </w:tc>
      </w:tr>
    </w:tbl>
    <w:p w14:paraId="00749620" w14:textId="77777777" w:rsidR="00514CC0" w:rsidRDefault="00E72B49">
      <w:pPr>
        <w:pStyle w:val="OWTablefootnote"/>
      </w:pPr>
      <w:r>
        <w:t>Source: Wilkins and Lass, 2018, p. 80</w:t>
      </w:r>
    </w:p>
    <w:p w14:paraId="13AFF277" w14:textId="2400E946" w:rsidR="00514CC0" w:rsidRDefault="00E72B49">
      <w:pPr>
        <w:pStyle w:val="OWBodytextlargespaceabove"/>
      </w:pPr>
      <w:r>
        <w:t>These results should be treated with some caution. Attitudes do not necessarily translate into gender-fair divisions of labour and non-traditional gender roles.</w:t>
      </w:r>
      <w:r w:rsidR="00FA79DB">
        <w:rPr>
          <w:rStyle w:val="EndnoteReference"/>
        </w:rPr>
        <w:endnoteReference w:id="247"/>
      </w:r>
      <w:r>
        <w:t xml:space="preserve"> As explored under Indicator 2.4, a highly gendered division of labour is still apparent among surveyed female–male couples, particularly when dependent children are present. Further analysis of the HILDA data disaggregated by gender, presence of children and relationship type reveals that married men most strongly agree with traditional attitudes on parenting and paid work, compared to any other group.</w:t>
      </w:r>
      <w:r w:rsidR="00FA79DB">
        <w:rPr>
          <w:rStyle w:val="EndnoteReference"/>
        </w:rPr>
        <w:endnoteReference w:id="248"/>
      </w:r>
    </w:p>
    <w:p w14:paraId="5FF5727B" w14:textId="77777777" w:rsidR="00514CC0" w:rsidRDefault="00E72B49" w:rsidP="00F868FE">
      <w:pPr>
        <w:pStyle w:val="Heading5"/>
      </w:pPr>
      <w:r>
        <w:t>Current state: attitudes towards marriage and children</w:t>
      </w:r>
    </w:p>
    <w:p w14:paraId="6635C750" w14:textId="77777777" w:rsidR="00514CC0" w:rsidRDefault="00E72B49">
      <w:pPr>
        <w:pStyle w:val="BodyText"/>
      </w:pPr>
      <w:r>
        <w:t>With regard to parents’ attitudes about marriage and children, the HILDA report presents pooled data for the period 2005 to 2015. Therefore, what is presented here is a baseline result on gendered attitudes regarding marriage and children.</w:t>
      </w:r>
    </w:p>
    <w:p w14:paraId="382C3C80" w14:textId="77777777" w:rsidR="00514CC0" w:rsidRDefault="00E72B49">
      <w:pPr>
        <w:pStyle w:val="BodyText"/>
      </w:pPr>
      <w:r>
        <w:t>The HILDA statements on marriage and children are as follows:</w:t>
      </w:r>
    </w:p>
    <w:p w14:paraId="1419DEAF" w14:textId="77777777" w:rsidR="00514CC0" w:rsidRDefault="00E72B49" w:rsidP="002C2EC7">
      <w:pPr>
        <w:pStyle w:val="OWNumberdigit"/>
        <w:numPr>
          <w:ilvl w:val="0"/>
          <w:numId w:val="7"/>
        </w:numPr>
      </w:pPr>
      <w:r>
        <w:t>‘It is alright for an unmarried couple to live together even if they have no intention of marrying.’</w:t>
      </w:r>
    </w:p>
    <w:p w14:paraId="3F808D6E" w14:textId="77777777" w:rsidR="00514CC0" w:rsidRDefault="00E72B49">
      <w:pPr>
        <w:pStyle w:val="OWNumberdigit"/>
      </w:pPr>
      <w:r>
        <w:t>‘Marriage is a lifetime relationship and should never be ended.’</w:t>
      </w:r>
    </w:p>
    <w:p w14:paraId="41BE9518" w14:textId="77777777" w:rsidR="00514CC0" w:rsidRDefault="00E72B49">
      <w:pPr>
        <w:pStyle w:val="OWNumberdigit"/>
      </w:pPr>
      <w:r>
        <w:t>‘Marriage is an outdated institution.’</w:t>
      </w:r>
    </w:p>
    <w:p w14:paraId="476A9548" w14:textId="77777777" w:rsidR="00514CC0" w:rsidRDefault="00E72B49">
      <w:pPr>
        <w:pStyle w:val="OWNumberdigit"/>
      </w:pPr>
      <w:r>
        <w:t>‘It is alright for a married couple to get a divorce even if they have children.’</w:t>
      </w:r>
    </w:p>
    <w:p w14:paraId="5EEDC3A5" w14:textId="77777777" w:rsidR="00514CC0" w:rsidRDefault="00E72B49">
      <w:pPr>
        <w:pStyle w:val="OWNumberdigit"/>
      </w:pPr>
      <w:r>
        <w:t>‘A woman has to have children in order to be fulfilled.’</w:t>
      </w:r>
    </w:p>
    <w:p w14:paraId="62777EA2" w14:textId="77777777" w:rsidR="00514CC0" w:rsidRDefault="00E72B49">
      <w:pPr>
        <w:pStyle w:val="OWNumberdigit"/>
      </w:pPr>
      <w:r>
        <w:t>‘Children will usually grow up happier if they have a home with both a father and a mother.’</w:t>
      </w:r>
    </w:p>
    <w:p w14:paraId="1D420A0F" w14:textId="77777777" w:rsidR="00514CC0" w:rsidRDefault="00E72B49">
      <w:pPr>
        <w:pStyle w:val="OWNumberdigit"/>
      </w:pPr>
      <w:r>
        <w:t>‘It is alright for a woman to have a child as a single parent even if she doesn’t want to have a stable relationship with a man.’</w:t>
      </w:r>
    </w:p>
    <w:p w14:paraId="0988A8EF" w14:textId="77777777" w:rsidR="00514CC0" w:rsidRDefault="00E72B49">
      <w:pPr>
        <w:pStyle w:val="OWNumberdigit"/>
      </w:pPr>
      <w:r>
        <w:t>‘When children turn about 18 to 20 years old, they should start living independently.’</w:t>
      </w:r>
    </w:p>
    <w:p w14:paraId="5AC5973D" w14:textId="383DE7A8" w:rsidR="00514CC0" w:rsidRDefault="00E72B49">
      <w:pPr>
        <w:pStyle w:val="OWNumberdigit"/>
      </w:pPr>
      <w:r>
        <w:t>‘Homosexual couples should have the same rights as heterosexual couples do.’</w:t>
      </w:r>
      <w:r w:rsidR="00FA79DB">
        <w:rPr>
          <w:rStyle w:val="EndnoteReference"/>
        </w:rPr>
        <w:endnoteReference w:id="249"/>
      </w:r>
    </w:p>
    <w:p w14:paraId="6947E4C3" w14:textId="1666F41C" w:rsidR="00514CC0" w:rsidRDefault="00E72B49" w:rsidP="004A1B0D">
      <w:pPr>
        <w:pStyle w:val="OWBodytextafterlist"/>
      </w:pPr>
      <w:r>
        <w:lastRenderedPageBreak/>
        <w:t>While attitudinal differences between different groups about parenting and paid work are relatively slight, more significant differences between groups are apparent in relation to views about marriage and children. Fathers in couples with large families most strongly subscribe to traditional gender views about marriage and children. Mothers in large families also have relatively high subscription to such traditional attitudes, but to a lesser extent than</w:t>
      </w:r>
      <w:r w:rsidR="004C0AC9">
        <w:t> </w:t>
      </w:r>
      <w:r>
        <w:t>men. Single parents tend to hold less traditional views on marriage and children than coupled parents, and the views of single mothers are particularly progressive. Among fathers, single fathers of one child are the least traditional in their views on marriage and children. Across the board within each category of family and relationship type, mothers hold less traditional views on marriage and children than fathers.</w:t>
      </w:r>
    </w:p>
    <w:p w14:paraId="061FF25F" w14:textId="77777777" w:rsidR="00514CC0" w:rsidRDefault="00E72B49" w:rsidP="00E1549C">
      <w:pPr>
        <w:pStyle w:val="Heading4"/>
      </w:pPr>
      <w:r>
        <w:t>Indicator 2.2: Percentage of parental leave uptake by birth parent/primary carer at birth versus non-birth parent/other parent</w:t>
      </w:r>
    </w:p>
    <w:tbl>
      <w:tblPr>
        <w:tblStyle w:val="Indicatoroutlineteal"/>
        <w:tblW w:w="0" w:type="auto"/>
        <w:tblLayout w:type="fixed"/>
        <w:tblLook w:val="0680" w:firstRow="0" w:lastRow="0" w:firstColumn="1" w:lastColumn="0" w:noHBand="1" w:noVBand="1"/>
      </w:tblPr>
      <w:tblGrid>
        <w:gridCol w:w="3402"/>
        <w:gridCol w:w="5669"/>
      </w:tblGrid>
      <w:tr w:rsidR="00514CC0" w14:paraId="2CEF8CA2" w14:textId="77777777" w:rsidTr="00BB2447">
        <w:trPr>
          <w:cantSplit/>
          <w:trHeight w:val="60"/>
        </w:trPr>
        <w:tc>
          <w:tcPr>
            <w:tcW w:w="3402" w:type="dxa"/>
          </w:tcPr>
          <w:p w14:paraId="12A1DEB6" w14:textId="77777777" w:rsidR="00514CC0" w:rsidRDefault="00E72B49">
            <w:pPr>
              <w:pStyle w:val="OWTablebodyleft"/>
            </w:pPr>
            <w:r>
              <w:t>What does this indicator tell us about Monitoring domain 2: Rigid gender roles and stereotyped constructions of masculinity and femininity?</w:t>
            </w:r>
          </w:p>
        </w:tc>
        <w:tc>
          <w:tcPr>
            <w:tcW w:w="5669" w:type="dxa"/>
          </w:tcPr>
          <w:p w14:paraId="66E9A86F" w14:textId="77777777" w:rsidR="00514CC0" w:rsidRDefault="00E72B49">
            <w:pPr>
              <w:pStyle w:val="OWTablebodyleft"/>
            </w:pPr>
            <w:r>
              <w:t>This indicator provides some insight into the practices of gendered divisions of care labour by families with children in the early childhood years in Australia. Research shows that when fathers and other non-birth parents take up more leave during the early childhood years, it is more likely that equitable sharing of unpaid care labour continues into the long term. Conversely, where children are born to or adopted by female–male couples and the woman takes on the primary care role at birth, a more gendered division of unpaid labour is likely to remain, resulting in significant flow-on effects (such as limits to women’s economic independence and children being socialised in a context of rigid and traditional gender roles). This can be the case even among couples who attitudinally subscribe to less traditional gender roles, meaning it is important to look not only at attitudes, but also behaviours.</w:t>
            </w:r>
          </w:p>
        </w:tc>
      </w:tr>
      <w:tr w:rsidR="00514CC0" w14:paraId="2550EB6D" w14:textId="77777777" w:rsidTr="00BB2447">
        <w:trPr>
          <w:cantSplit/>
          <w:trHeight w:val="60"/>
        </w:trPr>
        <w:tc>
          <w:tcPr>
            <w:tcW w:w="3402" w:type="dxa"/>
          </w:tcPr>
          <w:p w14:paraId="7CF2E250" w14:textId="77777777" w:rsidR="00514CC0" w:rsidRDefault="00E72B49">
            <w:pPr>
              <w:pStyle w:val="OWTablebodyleft"/>
            </w:pPr>
            <w:r>
              <w:t>Expected change if high-quality programs and infrastructure for prevention of violence against women and gender equality are implemented</w:t>
            </w:r>
          </w:p>
        </w:tc>
        <w:tc>
          <w:tcPr>
            <w:tcW w:w="5669" w:type="dxa"/>
          </w:tcPr>
          <w:p w14:paraId="0CE11180" w14:textId="77777777" w:rsidR="00514CC0" w:rsidRDefault="00E72B49">
            <w:pPr>
              <w:pStyle w:val="OWTablebodyleft"/>
            </w:pPr>
            <w:r>
              <w:t>Short- and medium-term: increased uptake of some (paid or unpaid) parental leave by partners of birth parents/primary carer at birth. This will not take the place of parental leave uptake by birth parents, and it is expected that this will remain the same. However, the length of parental leave and reliance on unpaid leave by birth parents may decrease slightly.</w:t>
            </w:r>
          </w:p>
          <w:p w14:paraId="3169077C" w14:textId="77777777" w:rsidR="00514CC0" w:rsidRDefault="00E72B49">
            <w:pPr>
              <w:pStyle w:val="OWTablebodyleft"/>
            </w:pPr>
            <w:r>
              <w:t>Long-term: the gap between birth parents/primary parent and non-birth parents/other parents taking up parental leave at birth will close and eventually reach parity.</w:t>
            </w:r>
          </w:p>
        </w:tc>
      </w:tr>
      <w:tr w:rsidR="00514CC0" w14:paraId="229847CF" w14:textId="77777777" w:rsidTr="00BB2447">
        <w:trPr>
          <w:cantSplit/>
          <w:trHeight w:val="60"/>
        </w:trPr>
        <w:tc>
          <w:tcPr>
            <w:tcW w:w="3402" w:type="dxa"/>
          </w:tcPr>
          <w:p w14:paraId="2C648419" w14:textId="77777777" w:rsidR="00514CC0" w:rsidRDefault="00E72B49">
            <w:pPr>
              <w:pStyle w:val="OWTablebodyleft"/>
            </w:pPr>
            <w:r>
              <w:lastRenderedPageBreak/>
              <w:t>Data source(s)</w:t>
            </w:r>
          </w:p>
        </w:tc>
        <w:tc>
          <w:tcPr>
            <w:tcW w:w="5669" w:type="dxa"/>
          </w:tcPr>
          <w:p w14:paraId="272C8235" w14:textId="16081622" w:rsidR="00514CC0" w:rsidRDefault="00E72B49" w:rsidP="002C2EC7">
            <w:pPr>
              <w:pStyle w:val="OWTablenumberdigit"/>
              <w:numPr>
                <w:ilvl w:val="0"/>
                <w:numId w:val="22"/>
              </w:numPr>
            </w:pPr>
            <w:r>
              <w:t>Pregnancy and Employment Transitions Survey (PaETS), supplement to the Labour Force Survey 2011 and 2017, ABS</w:t>
            </w:r>
            <w:r w:rsidR="00FA79DB">
              <w:rPr>
                <w:rStyle w:val="EndnoteReference"/>
              </w:rPr>
              <w:endnoteReference w:id="250"/>
            </w:r>
          </w:p>
          <w:p w14:paraId="718BFDE6" w14:textId="7714B7E9" w:rsidR="00514CC0" w:rsidRDefault="00E72B49">
            <w:pPr>
              <w:pStyle w:val="OWTablenumberdigit"/>
            </w:pPr>
            <w:r>
              <w:t>Workplace Gender Equality Agency (WGEA) reporting data (self-reports by reporting agencies), 2016–17 and 2018–19, WGEA</w:t>
            </w:r>
            <w:r w:rsidR="00FA79DB">
              <w:rPr>
                <w:rStyle w:val="EndnoteReference"/>
              </w:rPr>
              <w:endnoteReference w:id="251"/>
            </w:r>
          </w:p>
        </w:tc>
      </w:tr>
      <w:tr w:rsidR="00514CC0" w14:paraId="3E49D59C" w14:textId="77777777" w:rsidTr="00BB2447">
        <w:trPr>
          <w:cantSplit/>
          <w:trHeight w:val="60"/>
        </w:trPr>
        <w:tc>
          <w:tcPr>
            <w:tcW w:w="3402" w:type="dxa"/>
          </w:tcPr>
          <w:p w14:paraId="47078F5D" w14:textId="77777777" w:rsidR="00514CC0" w:rsidRDefault="00E72B49">
            <w:pPr>
              <w:pStyle w:val="OWTablebodyleft"/>
            </w:pPr>
            <w:r>
              <w:t>Change over time summary: short-term change revealed by the data</w:t>
            </w:r>
          </w:p>
        </w:tc>
        <w:tc>
          <w:tcPr>
            <w:tcW w:w="5669" w:type="dxa"/>
          </w:tcPr>
          <w:p w14:paraId="0813C159" w14:textId="77777777" w:rsidR="00514CC0" w:rsidRDefault="00E72B49">
            <w:pPr>
              <w:pStyle w:val="OWTablebodyleft"/>
            </w:pPr>
            <w:r>
              <w:t>Almost all primary carer’s leave continues to be utilised by women, though there is a slight upswing in men taking primary carer’s leave.</w:t>
            </w:r>
          </w:p>
          <w:p w14:paraId="78ED2FA5" w14:textId="77777777" w:rsidR="00514CC0" w:rsidRDefault="00E72B49">
            <w:pPr>
              <w:pStyle w:val="OWTablebodyleft"/>
            </w:pPr>
            <w:r>
              <w:t>Increase in the uptake of secondary carer’s leave, though the duration of this leave continues to be very limited (i.e. two weeks).</w:t>
            </w:r>
          </w:p>
        </w:tc>
      </w:tr>
      <w:tr w:rsidR="00514CC0" w14:paraId="7C118C3B" w14:textId="77777777" w:rsidTr="00BB2447">
        <w:trPr>
          <w:cantSplit/>
          <w:trHeight w:val="60"/>
        </w:trPr>
        <w:tc>
          <w:tcPr>
            <w:tcW w:w="3402" w:type="dxa"/>
          </w:tcPr>
          <w:p w14:paraId="3194A780" w14:textId="77777777" w:rsidR="00514CC0" w:rsidRDefault="00E72B49">
            <w:pPr>
              <w:pStyle w:val="OWTablebodyleft"/>
            </w:pPr>
            <w:r>
              <w:t>Does the change confirm or run contrary to expected change?</w:t>
            </w:r>
          </w:p>
        </w:tc>
        <w:tc>
          <w:tcPr>
            <w:tcW w:w="5669" w:type="dxa"/>
          </w:tcPr>
          <w:p w14:paraId="2EEAAD92" w14:textId="77777777" w:rsidR="00514CC0" w:rsidRDefault="00E72B49">
            <w:pPr>
              <w:pStyle w:val="OWTablebodyleft"/>
            </w:pPr>
            <w:r>
              <w:t>Confirms expected change</w:t>
            </w:r>
          </w:p>
        </w:tc>
      </w:tr>
      <w:tr w:rsidR="00514CC0" w14:paraId="6D6A6FD9" w14:textId="77777777" w:rsidTr="00BB2447">
        <w:trPr>
          <w:cantSplit/>
          <w:trHeight w:val="60"/>
        </w:trPr>
        <w:tc>
          <w:tcPr>
            <w:tcW w:w="3402" w:type="dxa"/>
          </w:tcPr>
          <w:p w14:paraId="483DBD9A" w14:textId="77777777" w:rsidR="00514CC0" w:rsidRDefault="00E72B49">
            <w:pPr>
              <w:pStyle w:val="OWTablebodyleft"/>
            </w:pPr>
            <w:r>
              <w:t>Gaps in existing data</w:t>
            </w:r>
          </w:p>
        </w:tc>
        <w:tc>
          <w:tcPr>
            <w:tcW w:w="5669" w:type="dxa"/>
          </w:tcPr>
          <w:p w14:paraId="039F94B1" w14:textId="77777777" w:rsidR="00514CC0" w:rsidRDefault="00E72B49">
            <w:pPr>
              <w:pStyle w:val="OWTablebodyleft"/>
            </w:pPr>
            <w:r>
              <w:t>Available data tells us little about the demographics of people taking up parental leave, other than that they are employed persons.</w:t>
            </w:r>
          </w:p>
          <w:p w14:paraId="1C17F251" w14:textId="6B87743C" w:rsidR="00514CC0" w:rsidRDefault="00E72B49">
            <w:pPr>
              <w:pStyle w:val="OWTablebodyleft"/>
            </w:pPr>
            <w:r>
              <w:t>The data is not applicable to those who are not in employment; therefore, we do not have an indication of how gender roles are undertaken with regard to early parenting for those</w:t>
            </w:r>
            <w:r w:rsidR="00A71146">
              <w:t xml:space="preserve"> who aren’t in the workforce or who are</w:t>
            </w:r>
            <w:r>
              <w:t xml:space="preserve"> experiencing unemployment and socioeconomic disadvantage.</w:t>
            </w:r>
          </w:p>
          <w:p w14:paraId="5DB7C0C0" w14:textId="77777777" w:rsidR="00514CC0" w:rsidRDefault="00E72B49">
            <w:pPr>
              <w:pStyle w:val="OWTablebodyleft"/>
            </w:pPr>
            <w:r>
              <w:t>The data also tends to be structured on the assumption that parents are in a couple relationship and are (cisgender) female–male couples; often the terms ‘fathers’ and ‘mothers’ are used in the data. We have chosen to broaden the terminology to acknowledge more gender diversity of parent couples.</w:t>
            </w:r>
          </w:p>
        </w:tc>
      </w:tr>
    </w:tbl>
    <w:p w14:paraId="0544D7C9" w14:textId="1762F56D" w:rsidR="00514CC0" w:rsidRDefault="00E72B49" w:rsidP="00A50BAD">
      <w:pPr>
        <w:pStyle w:val="OWBodytextlargespaceabove"/>
      </w:pPr>
      <w:r>
        <w:t>The 2011 and 2017 Pregnancy and Employment Transitions Surveys (PaETS) (ABS) present trends of leave-taking among birth mothers and their partners who had a job while pregnant and who have a child under two years of age, across the Australian labour force.</w:t>
      </w:r>
      <w:r>
        <w:rPr>
          <w:rStyle w:val="OWSuperscript"/>
        </w:rPr>
        <w:footnoteReference w:id="33"/>
      </w:r>
      <w:r>
        <w:rPr>
          <w:rStyle w:val="OWSuperscript"/>
        </w:rPr>
        <w:t xml:space="preserve"> </w:t>
      </w:r>
      <w:r>
        <w:t xml:space="preserve">As well as parental leave policies and provisions by employers (analysed in the Process Measures), the Workplace Gender Equality Agency (WGEA) analyses uptake of employer-provided </w:t>
      </w:r>
      <w:r>
        <w:lastRenderedPageBreak/>
        <w:t>parental leave by female and male employees of non-public sector organisations of 100 or</w:t>
      </w:r>
      <w:r w:rsidR="004C0AC9">
        <w:t> </w:t>
      </w:r>
      <w:r>
        <w:t>more employees. Data from 2016–17 and 2018–19 (most recent) is presented here.</w:t>
      </w:r>
    </w:p>
    <w:p w14:paraId="3D16ED6C" w14:textId="77777777" w:rsidR="00514CC0" w:rsidRDefault="00E72B49" w:rsidP="00F868FE">
      <w:pPr>
        <w:pStyle w:val="Heading5"/>
      </w:pPr>
      <w:r>
        <w:t>Change over time: parental leave uptake between 2011 and 2019</w:t>
      </w:r>
    </w:p>
    <w:p w14:paraId="339F12F0" w14:textId="31417192" w:rsidR="00514CC0" w:rsidRDefault="00E72B49">
      <w:pPr>
        <w:pStyle w:val="BodyText"/>
      </w:pPr>
      <w:r>
        <w:t xml:space="preserve">On the basis of the PaETS data, overall, for birth parents who worked as employees while pregnant, the percentage who took some kind of leave (paid and/or unpaid) has remained both consistent and high – 93% in 2017 as compared with 92% in 2011. The percentage of birth mothers who took unpaid leave decreased from 71% in 2011 to 65% in 2017 (see Figure </w:t>
      </w:r>
      <w:r w:rsidR="0017588F">
        <w:t>10</w:t>
      </w:r>
      <w:r>
        <w:t>, below).</w:t>
      </w:r>
    </w:p>
    <w:p w14:paraId="78A65EB2" w14:textId="77777777" w:rsidR="00514CC0" w:rsidRDefault="00E72B49">
      <w:pPr>
        <w:pStyle w:val="BodyText"/>
      </w:pPr>
      <w:r>
        <w:t>Greater change in leave-taking patterns is noted among partners following the birth of their child. In 2011, just 80% of the non-birth parents took leave (paid and/or unpaid) following the birth of their child. This increased markedly to 95% in 2017.</w:t>
      </w:r>
    </w:p>
    <w:p w14:paraId="218BC6E1" w14:textId="1B65F1F9" w:rsidR="00514CC0" w:rsidRDefault="00E72B49">
      <w:pPr>
        <w:pStyle w:val="OWFigurecaption"/>
      </w:pPr>
      <w:r>
        <w:t xml:space="preserve">Figure </w:t>
      </w:r>
      <w:r w:rsidR="0017588F">
        <w:t>10</w:t>
      </w:r>
      <w:r>
        <w:t xml:space="preserve">: </w:t>
      </w:r>
      <w:r w:rsidR="00254D8C" w:rsidRPr="00254D8C">
        <w:t xml:space="preserve">Proportion of birth mothers and their partners (who had a child under </w:t>
      </w:r>
      <w:r w:rsidR="00254D8C">
        <w:t>two</w:t>
      </w:r>
      <w:r w:rsidR="00254D8C" w:rsidRPr="00254D8C">
        <w:t xml:space="preserve"> years and </w:t>
      </w:r>
      <w:r w:rsidR="00C44106">
        <w:t>had been</w:t>
      </w:r>
      <w:r w:rsidR="00254D8C" w:rsidRPr="00254D8C">
        <w:t xml:space="preserve"> employed during the pregnancy) who took paid and unpaid parental leave, 2011</w:t>
      </w:r>
      <w:r w:rsidR="00254D8C">
        <w:t> </w:t>
      </w:r>
      <w:r w:rsidR="00254D8C" w:rsidRPr="00254D8C">
        <w:t>and 2017</w:t>
      </w:r>
    </w:p>
    <w:p w14:paraId="0A597517" w14:textId="0E3D477C" w:rsidR="00514CC0" w:rsidRDefault="00A22941" w:rsidP="004A1B0D">
      <w:pPr>
        <w:pStyle w:val="OWFigureinline"/>
      </w:pPr>
      <w:r>
        <w:rPr>
          <w:noProof/>
        </w:rPr>
        <w:drawing>
          <wp:inline distT="0" distB="0" distL="0" distR="0" wp14:anchorId="041967C7" wp14:editId="390A0C83">
            <wp:extent cx="5724524" cy="4352925"/>
            <wp:effectExtent l="0" t="0" r="9525" b="9525"/>
            <wp:docPr id="2086613082" name="Picture 60" descr="Column graph of the following data (proportion). Birth mother took paid leave: 2011 – 74%; 2017 – 75%. Birth mother took unpaid leave: 2011 – 71%; 2017 – 65%. Birth mother total paid leave and/or unpaid leave: 2011 – 92%; 2017 – 93%. Partner took paid leave: 2011 – 60%; 2017 – 65%. Partner took unpaid leave: 2011 – 24%; 2017 – 16%. Partner total paid leave and/or unpaid leave: 2011 – 80%; 2017 –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13082" name="Picture 60" descr="Column graph of the following data (proportion). Birth mother took paid leave: 2011 – 74%; 2017 – 75%. Birth mother took unpaid leave: 2011 – 71%; 2017 – 65%. Birth mother total paid leave and/or unpaid leave: 2011 – 92%; 2017 – 93%. Partner took paid leave: 2011 – 60%; 2017 – 65%. Partner took unpaid leave: 2011 – 24%; 2017 – 16%. Partner total paid leave and/or unpaid leave: 2011 – 80%; 2017 – 95%."/>
                    <pic:cNvPicPr/>
                  </pic:nvPicPr>
                  <pic:blipFill>
                    <a:blip r:embed="rId41">
                      <a:extLst>
                        <a:ext uri="{28A0092B-C50C-407E-A947-70E740481C1C}">
                          <a14:useLocalDpi xmlns:a14="http://schemas.microsoft.com/office/drawing/2010/main" val="0"/>
                        </a:ext>
                      </a:extLst>
                    </a:blip>
                    <a:stretch>
                      <a:fillRect/>
                    </a:stretch>
                  </pic:blipFill>
                  <pic:spPr>
                    <a:xfrm>
                      <a:off x="0" y="0"/>
                      <a:ext cx="5724524" cy="4352925"/>
                    </a:xfrm>
                    <a:prstGeom prst="rect">
                      <a:avLst/>
                    </a:prstGeom>
                  </pic:spPr>
                </pic:pic>
              </a:graphicData>
            </a:graphic>
          </wp:inline>
        </w:drawing>
      </w:r>
    </w:p>
    <w:p w14:paraId="24EDB48C" w14:textId="77777777" w:rsidR="00514CC0" w:rsidRDefault="00E72B49">
      <w:pPr>
        <w:pStyle w:val="OWFigurefootnote"/>
      </w:pPr>
      <w:r>
        <w:t>Source: ABS, Pregnancy and Employment Transitions Survey 2017</w:t>
      </w:r>
    </w:p>
    <w:p w14:paraId="4E341362" w14:textId="77777777" w:rsidR="00514CC0" w:rsidRDefault="00E72B49">
      <w:pPr>
        <w:pStyle w:val="BodyText"/>
      </w:pPr>
      <w:r>
        <w:t>However, this pleasing increase in the percentage of partners taking up leave following the birth of their child needs to be tempered with a closer look at the data. Fewer partners are opting to take unpaid leave (16% in 2017 as compared with 24% in 2011).</w:t>
      </w:r>
    </w:p>
    <w:p w14:paraId="3ED87D1B" w14:textId="7DAD1615" w:rsidR="00514CC0" w:rsidRDefault="00E72B49">
      <w:pPr>
        <w:pStyle w:val="BodyText"/>
      </w:pPr>
      <w:r>
        <w:lastRenderedPageBreak/>
        <w:t xml:space="preserve">More revealing still are the differentials in duration of leave taken between birth parents and their partners. For birth mothers who took paid leave, the median duration of this leave increased from 14.7 weeks in 2011 to 16.0 weeks in 2017. For birth mothers who took up unpaid leave, the median duration of leave taken decreased to 18.0 weeks in 2017 from 20.0 weeks in 2011. These changes may be linked to increases in the duration of paid leave and increases in the number of partners taking leave, and the introduction of the Australian Government’s Paid Parental Leave </w:t>
      </w:r>
      <w:r w:rsidR="00E21D00">
        <w:t>s</w:t>
      </w:r>
      <w:r>
        <w:t>cheme in January 2011. Overall, birth mothers’ duration of leave (paid and/or unpaid) decreased from 29.0 weeks in 2011 to 26.0 weeks in 2017.</w:t>
      </w:r>
    </w:p>
    <w:p w14:paraId="12443ADF" w14:textId="324930AE" w:rsidR="00514CC0" w:rsidRDefault="00E72B49">
      <w:pPr>
        <w:pStyle w:val="BodyText"/>
      </w:pPr>
      <w:r>
        <w:t xml:space="preserve">While partners’ uptake of leave increased substantially between 2011 and 2017, the duration of leave remained both consistent and limited. For those partners who took up paid leave, the median duration of this leave remained at two weeks in 2011 and 2017. A small increase in the median duration of unpaid leave among those partners who took unpaid leave is noted (from one week in 2011 to two weeks in 2017); however, there was an overall drop in the percentage of partners who took unpaid leave (see Figure </w:t>
      </w:r>
      <w:r w:rsidR="0017588F">
        <w:t>11</w:t>
      </w:r>
      <w:r>
        <w:t>, below).</w:t>
      </w:r>
    </w:p>
    <w:p w14:paraId="5E932A1E" w14:textId="77777777" w:rsidR="00514CC0" w:rsidRDefault="00E72B49">
      <w:pPr>
        <w:pStyle w:val="BodyText"/>
      </w:pPr>
      <w:r>
        <w:t>A very considerable gender gap is still evident in the parental leave patterns of birth mothers and partners (predominantly men), with women who give birth taking far more parental leave following the birth of children than their (mostly male) partners.</w:t>
      </w:r>
    </w:p>
    <w:p w14:paraId="4EC3A813" w14:textId="766A4215" w:rsidR="00514CC0" w:rsidRDefault="00E72B49">
      <w:pPr>
        <w:pStyle w:val="OWFigurecaption"/>
      </w:pPr>
      <w:r>
        <w:t xml:space="preserve">Figure </w:t>
      </w:r>
      <w:r w:rsidR="0017588F">
        <w:t>11</w:t>
      </w:r>
      <w:r>
        <w:t xml:space="preserve">: </w:t>
      </w:r>
      <w:r w:rsidR="00C44106" w:rsidRPr="00C44106">
        <w:t xml:space="preserve">Median duration of leave taken for birth by birth mothers and their partners who had a child under </w:t>
      </w:r>
      <w:r w:rsidR="00C44106">
        <w:t>two</w:t>
      </w:r>
      <w:r w:rsidR="00C44106" w:rsidRPr="00C44106">
        <w:t xml:space="preserve"> years and </w:t>
      </w:r>
      <w:r w:rsidR="00C44106">
        <w:t>had been</w:t>
      </w:r>
      <w:r w:rsidR="00C44106" w:rsidRPr="00C44106">
        <w:t xml:space="preserve"> employed during the pregnancy, 2011 and</w:t>
      </w:r>
      <w:r w:rsidR="00A122F7">
        <w:t> </w:t>
      </w:r>
      <w:r w:rsidR="00C44106" w:rsidRPr="00C44106">
        <w:t>2017</w:t>
      </w:r>
    </w:p>
    <w:p w14:paraId="4313BF50" w14:textId="66B9DBF7" w:rsidR="00514CC0" w:rsidRDefault="00A22941" w:rsidP="004A1B0D">
      <w:pPr>
        <w:pStyle w:val="OWFigureinline"/>
      </w:pPr>
      <w:r>
        <w:rPr>
          <w:noProof/>
        </w:rPr>
        <w:drawing>
          <wp:inline distT="0" distB="0" distL="0" distR="0" wp14:anchorId="142395E1" wp14:editId="6CFD2A62">
            <wp:extent cx="5627368" cy="3999230"/>
            <wp:effectExtent l="0" t="0" r="0" b="1270"/>
            <wp:docPr id="815505583" name="Picture 61" descr="Column graph of the following data (number of weeks). Birth mothers who took paid leave: 2011 – 15 weeks; 2017 – 16 weeks. Birth mothers who took unpaid leave: 2011 – 20 weeks; 2017 – 18 weeks. Partners who took paid leave: 2011 – 2 weeks; 2017 – 2 weeks. Partners who took unpaid leave: 2011 – 1 week; 2017 – 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05583" name="Picture 61" descr="Column graph of the following data (number of weeks). Birth mothers who took paid leave: 2011 – 15 weeks; 2017 – 16 weeks. Birth mothers who took unpaid leave: 2011 – 20 weeks; 2017 – 18 weeks. Partners who took paid leave: 2011 – 2 weeks; 2017 – 2 weeks. Partners who took unpaid leave: 2011 – 1 week; 2017 – 2 weeks."/>
                    <pic:cNvPicPr/>
                  </pic:nvPicPr>
                  <pic:blipFill>
                    <a:blip r:embed="rId42">
                      <a:extLst>
                        <a:ext uri="{28A0092B-C50C-407E-A947-70E740481C1C}">
                          <a14:useLocalDpi xmlns:a14="http://schemas.microsoft.com/office/drawing/2010/main" val="0"/>
                        </a:ext>
                      </a:extLst>
                    </a:blip>
                    <a:stretch>
                      <a:fillRect/>
                    </a:stretch>
                  </pic:blipFill>
                  <pic:spPr>
                    <a:xfrm>
                      <a:off x="0" y="0"/>
                      <a:ext cx="5627368" cy="3999230"/>
                    </a:xfrm>
                    <a:prstGeom prst="rect">
                      <a:avLst/>
                    </a:prstGeom>
                  </pic:spPr>
                </pic:pic>
              </a:graphicData>
            </a:graphic>
          </wp:inline>
        </w:drawing>
      </w:r>
    </w:p>
    <w:p w14:paraId="31940B78" w14:textId="77777777" w:rsidR="00A122F7" w:rsidRPr="00A122F7" w:rsidRDefault="00A122F7" w:rsidP="00A122F7">
      <w:pPr>
        <w:pStyle w:val="BodyText"/>
      </w:pPr>
      <w:r w:rsidRPr="00A122F7">
        <w:br w:type="page"/>
      </w:r>
    </w:p>
    <w:p w14:paraId="679F34CE" w14:textId="58CFA905" w:rsidR="00514CC0" w:rsidRDefault="00E72B49">
      <w:pPr>
        <w:pStyle w:val="OWBodytextlargespaceabove"/>
      </w:pPr>
      <w:r>
        <w:lastRenderedPageBreak/>
        <w:t>Recent analysis of data from non-public sector employees through the WGEA is consistent with the PaETS data, in that it shows that almost all primary carer’s leave is utilised by women. Between 2016–17 and 2018–19 there has been a slight upswing of men taking primary carer’s leave. In 2016–17, women utilised 95.3% of primary carer’s leave, as compared with 93.5% in 2018–19. In 2016–17, men accounted for 4.7% of primary carer’s leave; this had increased to 6.5% in 2018–19. In 2016–17, men accounted for 94.8% of users of secondary carer’s leave.</w:t>
      </w:r>
      <w:r w:rsidR="00A50BAD">
        <w:rPr>
          <w:rStyle w:val="EndnoteReference"/>
        </w:rPr>
        <w:endnoteReference w:id="252"/>
      </w:r>
    </w:p>
    <w:p w14:paraId="61B9AD62" w14:textId="77777777" w:rsidR="00514CC0" w:rsidRDefault="00E72B49">
      <w:pPr>
        <w:pStyle w:val="BodyText"/>
      </w:pPr>
      <w:r>
        <w:t>This gendered pattern in leave uptake has longer term implications for the gendered division of household labour. For female-male partnerships into which children are born, if men are mostly taking up secondary carer’s leave, and government policy supports only a meagre allocation of secondary carer’s leave, then this sets in train a gendered division of child care within families. As will be seen in Indicator 2.4, in female-male partnered families, women tend to undertake the lion’s share of unpaid child care, and maintain reduced time in formal employment on an ongoing basis as their children grow up. In this way, gender differences in parental leave provisions and uptake reinforce and perpetuate the gendered division of child care labour between women and men.</w:t>
      </w:r>
    </w:p>
    <w:p w14:paraId="2B3D6DAE" w14:textId="77777777" w:rsidR="00514CC0" w:rsidRDefault="00E72B49" w:rsidP="00E1549C">
      <w:pPr>
        <w:pStyle w:val="Heading4"/>
      </w:pPr>
      <w:r>
        <w:t>Indicator 2.3: Gender composition of the workforce by industry and employment status</w:t>
      </w:r>
    </w:p>
    <w:tbl>
      <w:tblPr>
        <w:tblStyle w:val="Indicatoroutlineteal"/>
        <w:tblW w:w="0" w:type="auto"/>
        <w:tblLayout w:type="fixed"/>
        <w:tblLook w:val="0680" w:firstRow="0" w:lastRow="0" w:firstColumn="1" w:lastColumn="0" w:noHBand="1" w:noVBand="1"/>
      </w:tblPr>
      <w:tblGrid>
        <w:gridCol w:w="3402"/>
        <w:gridCol w:w="5669"/>
      </w:tblGrid>
      <w:tr w:rsidR="00514CC0" w14:paraId="01226E4D" w14:textId="77777777" w:rsidTr="00BB2447">
        <w:trPr>
          <w:cantSplit/>
          <w:trHeight w:val="60"/>
        </w:trPr>
        <w:tc>
          <w:tcPr>
            <w:tcW w:w="3402" w:type="dxa"/>
          </w:tcPr>
          <w:p w14:paraId="6EA58752" w14:textId="77777777" w:rsidR="00514CC0" w:rsidRDefault="00E72B49">
            <w:pPr>
              <w:pStyle w:val="OWTablebodyleft"/>
            </w:pPr>
            <w:r>
              <w:t>What does this indicator tell us about Monitoring domain 2: Rigid gender roles and stereotyped constructions of masculinity and femininity?</w:t>
            </w:r>
          </w:p>
        </w:tc>
        <w:tc>
          <w:tcPr>
            <w:tcW w:w="5669" w:type="dxa"/>
          </w:tcPr>
          <w:p w14:paraId="5F455032" w14:textId="77777777" w:rsidR="00514CC0" w:rsidRDefault="00E72B49">
            <w:pPr>
              <w:pStyle w:val="OWTablebodyleft"/>
            </w:pPr>
            <w:r>
              <w:t>This indicator looks at the degree to which the Australian labour force reflects traditional gender roles and stereotypes in terms of the types and status of jobs women and men are undertaking, and what has changed in the period under consideration.</w:t>
            </w:r>
          </w:p>
        </w:tc>
      </w:tr>
      <w:tr w:rsidR="00514CC0" w14:paraId="2C6385B3" w14:textId="77777777" w:rsidTr="00BB2447">
        <w:trPr>
          <w:cantSplit/>
          <w:trHeight w:val="60"/>
        </w:trPr>
        <w:tc>
          <w:tcPr>
            <w:tcW w:w="3402" w:type="dxa"/>
          </w:tcPr>
          <w:p w14:paraId="20EE352D" w14:textId="77777777" w:rsidR="00514CC0" w:rsidRDefault="00E72B49">
            <w:pPr>
              <w:pStyle w:val="OWTablebodyleft"/>
            </w:pPr>
            <w:r>
              <w:t>Expected change if high-quality programs and infrastructure for prevention of violence against women and gender equality are implemented</w:t>
            </w:r>
          </w:p>
        </w:tc>
        <w:tc>
          <w:tcPr>
            <w:tcW w:w="5669" w:type="dxa"/>
          </w:tcPr>
          <w:p w14:paraId="6D7AB179" w14:textId="77777777" w:rsidR="00514CC0" w:rsidRDefault="00E72B49">
            <w:pPr>
              <w:pStyle w:val="OWTablebodyleft"/>
            </w:pPr>
            <w:r>
              <w:t>Short- and medium-term: limited change in the gender composition of industries, with a high degree of gender segregation apparent. A lesser proportion of female full-time employees than male, and higher proportion of part-time and casual female employees than male.</w:t>
            </w:r>
          </w:p>
          <w:p w14:paraId="16F76828" w14:textId="77777777" w:rsidR="00514CC0" w:rsidRDefault="00E72B49">
            <w:pPr>
              <w:pStyle w:val="OWTablebodyleft"/>
            </w:pPr>
            <w:r>
              <w:t>Long-term: gender composition of industries to become more balanced. More gender equity expected in the proportion of female and male full-time, part-time and casual employees.</w:t>
            </w:r>
          </w:p>
        </w:tc>
      </w:tr>
      <w:tr w:rsidR="00514CC0" w14:paraId="5EE5015B" w14:textId="77777777" w:rsidTr="00BB2447">
        <w:trPr>
          <w:cantSplit/>
          <w:trHeight w:val="60"/>
        </w:trPr>
        <w:tc>
          <w:tcPr>
            <w:tcW w:w="3402" w:type="dxa"/>
          </w:tcPr>
          <w:p w14:paraId="010CDC3A" w14:textId="77777777" w:rsidR="00514CC0" w:rsidRDefault="00E72B49">
            <w:pPr>
              <w:pStyle w:val="OWTablebodyleft"/>
            </w:pPr>
            <w:r>
              <w:t>Data source(s)</w:t>
            </w:r>
          </w:p>
        </w:tc>
        <w:tc>
          <w:tcPr>
            <w:tcW w:w="5669" w:type="dxa"/>
          </w:tcPr>
          <w:p w14:paraId="65695963" w14:textId="77777777" w:rsidR="00514CC0" w:rsidRDefault="00E72B49" w:rsidP="002C2EC7">
            <w:pPr>
              <w:pStyle w:val="OWTablenumberdigit"/>
              <w:numPr>
                <w:ilvl w:val="0"/>
                <w:numId w:val="23"/>
              </w:numPr>
            </w:pPr>
            <w:r>
              <w:t>Workplace Gender Equality Agency reporting data, 2013–14 to 2018–19, WGEA</w:t>
            </w:r>
          </w:p>
          <w:p w14:paraId="15970D46" w14:textId="09103DBD" w:rsidR="00514CC0" w:rsidRDefault="00E72B49">
            <w:pPr>
              <w:pStyle w:val="OWTablenumberdigit"/>
            </w:pPr>
            <w:r>
              <w:t>Workplace Gender Equality Agency analysis of the ABS’s Labour Force Survey 2015, WGEA</w:t>
            </w:r>
            <w:r w:rsidR="00A50BAD">
              <w:rPr>
                <w:rStyle w:val="EndnoteReference"/>
              </w:rPr>
              <w:endnoteReference w:id="253"/>
            </w:r>
          </w:p>
        </w:tc>
      </w:tr>
      <w:tr w:rsidR="00514CC0" w14:paraId="3EFAEF9A" w14:textId="77777777" w:rsidTr="00BB2447">
        <w:trPr>
          <w:cantSplit/>
          <w:trHeight w:val="60"/>
        </w:trPr>
        <w:tc>
          <w:tcPr>
            <w:tcW w:w="3402" w:type="dxa"/>
          </w:tcPr>
          <w:p w14:paraId="1271F27A" w14:textId="77777777" w:rsidR="00514CC0" w:rsidRDefault="00E72B49">
            <w:pPr>
              <w:pStyle w:val="OWTablebodyleft"/>
            </w:pPr>
            <w:r>
              <w:lastRenderedPageBreak/>
              <w:t>Change over time summary: short-term change revealed by the data</w:t>
            </w:r>
          </w:p>
        </w:tc>
        <w:tc>
          <w:tcPr>
            <w:tcW w:w="5669" w:type="dxa"/>
          </w:tcPr>
          <w:p w14:paraId="386FF3CF" w14:textId="7E8A5E46" w:rsidR="00514CC0" w:rsidRDefault="00E72B49">
            <w:pPr>
              <w:pStyle w:val="OWTablebodyleft"/>
            </w:pPr>
            <w:r>
              <w:t>Very limited and inconsistent change in gender composition of industry, with the labour force still highly gender-segregated in terms of who is working in</w:t>
            </w:r>
            <w:r w:rsidR="004C0AC9">
              <w:t> </w:t>
            </w:r>
            <w:r>
              <w:t>which kind of sector.</w:t>
            </w:r>
          </w:p>
          <w:p w14:paraId="39E91C99" w14:textId="77777777" w:rsidR="00514CC0" w:rsidRDefault="00E72B49">
            <w:pPr>
              <w:pStyle w:val="OWTablebodyleft"/>
            </w:pPr>
            <w:r>
              <w:t>A modest increase in the proportion of women undertaking full-time work; otherwise, very little change in the gender composition of the labour force by employment status.</w:t>
            </w:r>
          </w:p>
        </w:tc>
      </w:tr>
      <w:tr w:rsidR="00514CC0" w14:paraId="2910625F" w14:textId="77777777" w:rsidTr="00BB2447">
        <w:trPr>
          <w:cantSplit/>
          <w:trHeight w:val="60"/>
        </w:trPr>
        <w:tc>
          <w:tcPr>
            <w:tcW w:w="3402" w:type="dxa"/>
          </w:tcPr>
          <w:p w14:paraId="3BC6AE81" w14:textId="77777777" w:rsidR="00514CC0" w:rsidRDefault="00E72B49">
            <w:pPr>
              <w:pStyle w:val="OWTablebodyleft"/>
            </w:pPr>
            <w:r>
              <w:t>Does the change confirm or run contrary to expected change?</w:t>
            </w:r>
          </w:p>
        </w:tc>
        <w:tc>
          <w:tcPr>
            <w:tcW w:w="5669" w:type="dxa"/>
          </w:tcPr>
          <w:p w14:paraId="5021503F" w14:textId="77777777" w:rsidR="00514CC0" w:rsidRDefault="00E72B49">
            <w:pPr>
              <w:pStyle w:val="OWTablebodyleft"/>
            </w:pPr>
            <w:r>
              <w:t>Confirms expected change</w:t>
            </w:r>
          </w:p>
        </w:tc>
      </w:tr>
      <w:tr w:rsidR="00514CC0" w14:paraId="0387E610" w14:textId="77777777" w:rsidTr="00BB2447">
        <w:trPr>
          <w:cantSplit/>
          <w:trHeight w:val="60"/>
        </w:trPr>
        <w:tc>
          <w:tcPr>
            <w:tcW w:w="3402" w:type="dxa"/>
          </w:tcPr>
          <w:p w14:paraId="749A960C" w14:textId="77777777" w:rsidR="00514CC0" w:rsidRDefault="00E72B49">
            <w:pPr>
              <w:pStyle w:val="OWTablebodyleft"/>
            </w:pPr>
            <w:r>
              <w:t>Gaps in existing data</w:t>
            </w:r>
          </w:p>
        </w:tc>
        <w:tc>
          <w:tcPr>
            <w:tcW w:w="5669" w:type="dxa"/>
          </w:tcPr>
          <w:p w14:paraId="697B4BC2" w14:textId="77777777" w:rsidR="00514CC0" w:rsidRDefault="00E72B49">
            <w:pPr>
              <w:pStyle w:val="OWTablebodyleft"/>
            </w:pPr>
            <w:r>
              <w:t>Data is skewed toward reporting the movement of women into male-dominated industries, rather than men’s movement into female-dominated industries (which also challenges gender norms and therefore is an important part of the picture).</w:t>
            </w:r>
          </w:p>
          <w:p w14:paraId="3A1645FE" w14:textId="77777777" w:rsidR="00514CC0" w:rsidRDefault="00E72B49">
            <w:pPr>
              <w:pStyle w:val="OWTablebodyleft"/>
            </w:pPr>
            <w:r>
              <w:t>WGEA data is not disaggregated by any other demographic factor than (binary) gender. It would be useful to have workforce/labour force and employment data that is disaggregated by multiple demographic factors.</w:t>
            </w:r>
          </w:p>
        </w:tc>
      </w:tr>
    </w:tbl>
    <w:p w14:paraId="6055E45E" w14:textId="77777777" w:rsidR="00514CC0" w:rsidRDefault="00E72B49" w:rsidP="00F868FE">
      <w:pPr>
        <w:pStyle w:val="Heading5"/>
      </w:pPr>
      <w:r>
        <w:t>Gender composition of Australian industries, 2013 to 2019</w:t>
      </w:r>
    </w:p>
    <w:p w14:paraId="5A26C230" w14:textId="120E65B9" w:rsidR="00514CC0" w:rsidRDefault="00E72B49">
      <w:pPr>
        <w:pStyle w:val="BodyText"/>
      </w:pPr>
      <w:r w:rsidRPr="002D0D52">
        <w:rPr>
          <w:rStyle w:val="Strong"/>
        </w:rPr>
        <w:t>Both WGEA private sector reporting data and ABS Labour Force Survey data reveal that Australia’s contemporary workforce is strongly gender</w:t>
      </w:r>
      <w:r w:rsidR="008D6EEA">
        <w:rPr>
          <w:rStyle w:val="Strong"/>
        </w:rPr>
        <w:t xml:space="preserve"> </w:t>
      </w:r>
      <w:r w:rsidRPr="002D0D52">
        <w:rPr>
          <w:rStyle w:val="Strong"/>
        </w:rPr>
        <w:t>segregated.</w:t>
      </w:r>
      <w:r>
        <w:t xml:space="preserve"> In terms of employee numbers, certain industries (particularly healthcare and social assistance, education and training, and retail trade) are heavily female</w:t>
      </w:r>
      <w:r w:rsidR="008D6EEA">
        <w:t xml:space="preserve"> </w:t>
      </w:r>
      <w:r>
        <w:t>dominated. Other industries typically associated with masculine stereotypes (e.g. mining, construction, public administration and safety, electricity, gas, water and waste services) are heavily male</w:t>
      </w:r>
      <w:r w:rsidR="008D6EEA">
        <w:t xml:space="preserve"> </w:t>
      </w:r>
      <w:r>
        <w:t>dominated. Yet even where women far outweigh men in terms of employee numbers, this only translates into a</w:t>
      </w:r>
      <w:r w:rsidR="004C0AC9">
        <w:t> </w:t>
      </w:r>
      <w:r>
        <w:t>greater proportion of female managers than male in two instances: in education and training, and healthcare and social assistance.</w:t>
      </w:r>
    </w:p>
    <w:p w14:paraId="1BF495B0" w14:textId="63A1A504" w:rsidR="00514CC0" w:rsidRDefault="00E72B49">
      <w:pPr>
        <w:pStyle w:val="BodyText"/>
      </w:pPr>
      <w:r>
        <w:t>In terms of the workforce which the WGEA measures (non-public sector employees of organisations of 100 or more employees), overall female participation in the Australian workforce has increased by 1.7 percentage points from 2013–14 to 2018–19, from 48.5% to 50.2%.</w:t>
      </w:r>
      <w:r w:rsidR="00A50BAD">
        <w:rPr>
          <w:rStyle w:val="EndnoteReference"/>
        </w:rPr>
        <w:endnoteReference w:id="254"/>
      </w:r>
      <w:r>
        <w:t xml:space="preserve"> In terms of labour force participation, gender parity of the workforce, as measured by the WGEA, was achieved in 2016–17 for the first time. This is an exciting achievement in Australian history. However, any excitement needs to be tempered by a careful look at industry composition and a gender analysis of employment types.</w:t>
      </w:r>
    </w:p>
    <w:p w14:paraId="111F4A25" w14:textId="6ECDA29F" w:rsidR="00514CC0" w:rsidRDefault="00E72B49">
      <w:pPr>
        <w:pStyle w:val="BodyText"/>
      </w:pPr>
      <w:r>
        <w:t>The ABS’s Labour Force Survey 2015 demonstrates that women dominate the employee ranks of two industries: healthcare and social assistance, and education and training (see</w:t>
      </w:r>
      <w:r w:rsidR="004C0AC9">
        <w:t> </w:t>
      </w:r>
      <w:r>
        <w:t xml:space="preserve">Table </w:t>
      </w:r>
      <w:r w:rsidR="0017588F">
        <w:t>17</w:t>
      </w:r>
      <w:r>
        <w:t xml:space="preserve">, below). Women comprise about half of the workforce in the retail trade, accommodation and food services, financial and insurance services, rental, hiring and real estate services, administration and support services, public administration and safety, and </w:t>
      </w:r>
      <w:r>
        <w:lastRenderedPageBreak/>
        <w:t>arts and recreation services industries. Women are significantly under-represented in terms of employment in construction, mining, electricity, gas, water and waste services, transport, postal and warehousing, manufacturing, wholesale trade, and agriculture, forestry and fishing.</w:t>
      </w:r>
    </w:p>
    <w:p w14:paraId="786C32AC" w14:textId="66CA7F59" w:rsidR="00514CC0" w:rsidRDefault="00E72B49">
      <w:pPr>
        <w:pStyle w:val="OWTablecaption"/>
      </w:pPr>
      <w:r>
        <w:t xml:space="preserve">Table </w:t>
      </w:r>
      <w:r w:rsidR="0017588F">
        <w:t>17</w:t>
      </w:r>
      <w:r>
        <w:t>: Proportion of female employees per industry, 2015</w:t>
      </w:r>
    </w:p>
    <w:tbl>
      <w:tblPr>
        <w:tblStyle w:val="Datatableteal"/>
        <w:tblW w:w="9072" w:type="dxa"/>
        <w:tblLayout w:type="fixed"/>
        <w:tblLook w:val="06A0" w:firstRow="1" w:lastRow="0" w:firstColumn="1" w:lastColumn="0" w:noHBand="1" w:noVBand="1"/>
      </w:tblPr>
      <w:tblGrid>
        <w:gridCol w:w="6804"/>
        <w:gridCol w:w="2268"/>
      </w:tblGrid>
      <w:tr w:rsidR="00514CC0" w14:paraId="5D5B981D" w14:textId="77777777" w:rsidTr="00BB2447">
        <w:trPr>
          <w:cnfStyle w:val="100000000000" w:firstRow="1" w:lastRow="0" w:firstColumn="0" w:lastColumn="0" w:oddVBand="0" w:evenVBand="0" w:oddHBand="0" w:evenHBand="0" w:firstRowFirstColumn="0" w:firstRowLastColumn="0" w:lastRowFirstColumn="0" w:lastRowLastColumn="0"/>
          <w:cantSplit/>
          <w:trHeight w:val="60"/>
          <w:tblHeader/>
        </w:trPr>
        <w:tc>
          <w:tcPr>
            <w:tcW w:w="6803" w:type="dxa"/>
          </w:tcPr>
          <w:p w14:paraId="69E0EA64" w14:textId="77777777" w:rsidR="00514CC0" w:rsidRPr="004A1B0D" w:rsidRDefault="00E72B49">
            <w:pPr>
              <w:pStyle w:val="OWTablecolumnheadleft"/>
            </w:pPr>
            <w:r w:rsidRPr="004A1B0D">
              <w:t>Industry</w:t>
            </w:r>
          </w:p>
        </w:tc>
        <w:tc>
          <w:tcPr>
            <w:tcW w:w="2268" w:type="dxa"/>
          </w:tcPr>
          <w:p w14:paraId="748CEC8B" w14:textId="77777777" w:rsidR="00514CC0" w:rsidRPr="004A1B0D" w:rsidRDefault="00E72B49">
            <w:pPr>
              <w:pStyle w:val="OWTablecolumnheadcentre"/>
            </w:pPr>
            <w:r w:rsidRPr="004A1B0D">
              <w:t>% female employees</w:t>
            </w:r>
          </w:p>
        </w:tc>
      </w:tr>
      <w:tr w:rsidR="00514CC0" w14:paraId="7C9BBEF3" w14:textId="77777777" w:rsidTr="00BB2447">
        <w:trPr>
          <w:cantSplit/>
          <w:trHeight w:val="60"/>
        </w:trPr>
        <w:tc>
          <w:tcPr>
            <w:tcW w:w="6803" w:type="dxa"/>
          </w:tcPr>
          <w:p w14:paraId="1DE7880C" w14:textId="77777777" w:rsidR="00514CC0" w:rsidRDefault="00E72B49">
            <w:pPr>
              <w:pStyle w:val="OWTablebodyleft"/>
            </w:pPr>
            <w:r>
              <w:t>Healthcare and social assistance</w:t>
            </w:r>
          </w:p>
        </w:tc>
        <w:tc>
          <w:tcPr>
            <w:tcW w:w="2268" w:type="dxa"/>
          </w:tcPr>
          <w:p w14:paraId="565B0355" w14:textId="77777777" w:rsidR="00514CC0" w:rsidRDefault="00E72B49">
            <w:pPr>
              <w:pStyle w:val="OWTablebodycentre"/>
            </w:pPr>
            <w:r>
              <w:t>79.2%</w:t>
            </w:r>
          </w:p>
        </w:tc>
      </w:tr>
      <w:tr w:rsidR="00514CC0" w14:paraId="2A276EE8" w14:textId="77777777" w:rsidTr="00BB2447">
        <w:trPr>
          <w:cantSplit/>
          <w:trHeight w:val="60"/>
        </w:trPr>
        <w:tc>
          <w:tcPr>
            <w:tcW w:w="6803" w:type="dxa"/>
          </w:tcPr>
          <w:p w14:paraId="7DF95FC4" w14:textId="77777777" w:rsidR="00514CC0" w:rsidRDefault="00E72B49">
            <w:pPr>
              <w:pStyle w:val="OWTablebodyleft"/>
            </w:pPr>
            <w:r>
              <w:t>Education and training</w:t>
            </w:r>
          </w:p>
        </w:tc>
        <w:tc>
          <w:tcPr>
            <w:tcW w:w="2268" w:type="dxa"/>
          </w:tcPr>
          <w:p w14:paraId="62DBED31" w14:textId="77777777" w:rsidR="00514CC0" w:rsidRDefault="00E72B49">
            <w:pPr>
              <w:pStyle w:val="OWTablebodycentre"/>
            </w:pPr>
            <w:r>
              <w:t>70.6%</w:t>
            </w:r>
          </w:p>
        </w:tc>
      </w:tr>
      <w:tr w:rsidR="00514CC0" w14:paraId="4CB572F1" w14:textId="77777777" w:rsidTr="00BB2447">
        <w:trPr>
          <w:cantSplit/>
          <w:trHeight w:val="60"/>
        </w:trPr>
        <w:tc>
          <w:tcPr>
            <w:tcW w:w="6803" w:type="dxa"/>
          </w:tcPr>
          <w:p w14:paraId="45D688A8" w14:textId="77777777" w:rsidR="00514CC0" w:rsidRDefault="00E72B49">
            <w:pPr>
              <w:pStyle w:val="OWTablebodyleft"/>
            </w:pPr>
            <w:r>
              <w:t>Retail trade</w:t>
            </w:r>
          </w:p>
        </w:tc>
        <w:tc>
          <w:tcPr>
            <w:tcW w:w="2268" w:type="dxa"/>
          </w:tcPr>
          <w:p w14:paraId="52456EB8" w14:textId="77777777" w:rsidR="00514CC0" w:rsidRDefault="00E72B49">
            <w:pPr>
              <w:pStyle w:val="OWTablebodycentre"/>
            </w:pPr>
            <w:r>
              <w:t>54.5%</w:t>
            </w:r>
          </w:p>
        </w:tc>
      </w:tr>
      <w:tr w:rsidR="00514CC0" w14:paraId="60BDDD04" w14:textId="77777777" w:rsidTr="00BB2447">
        <w:trPr>
          <w:cantSplit/>
          <w:trHeight w:val="60"/>
        </w:trPr>
        <w:tc>
          <w:tcPr>
            <w:tcW w:w="6803" w:type="dxa"/>
          </w:tcPr>
          <w:p w14:paraId="6807692E" w14:textId="77777777" w:rsidR="00514CC0" w:rsidRDefault="00E72B49">
            <w:pPr>
              <w:pStyle w:val="OWTablebodyleft"/>
            </w:pPr>
            <w:r>
              <w:t>Accommodation and food services</w:t>
            </w:r>
          </w:p>
        </w:tc>
        <w:tc>
          <w:tcPr>
            <w:tcW w:w="2268" w:type="dxa"/>
          </w:tcPr>
          <w:p w14:paraId="7F5AFD8C" w14:textId="77777777" w:rsidR="00514CC0" w:rsidRDefault="00E72B49">
            <w:pPr>
              <w:pStyle w:val="OWTablebodycentre"/>
            </w:pPr>
            <w:r>
              <w:t>53.1%</w:t>
            </w:r>
          </w:p>
        </w:tc>
      </w:tr>
      <w:tr w:rsidR="00514CC0" w14:paraId="058026BF" w14:textId="77777777" w:rsidTr="00BB2447">
        <w:trPr>
          <w:cantSplit/>
          <w:trHeight w:val="60"/>
        </w:trPr>
        <w:tc>
          <w:tcPr>
            <w:tcW w:w="6803" w:type="dxa"/>
          </w:tcPr>
          <w:p w14:paraId="6ED4D7B7" w14:textId="77777777" w:rsidR="00514CC0" w:rsidRDefault="00E72B49">
            <w:pPr>
              <w:pStyle w:val="OWTablebodyleft"/>
            </w:pPr>
            <w:r>
              <w:t>Financial and insurance services</w:t>
            </w:r>
          </w:p>
        </w:tc>
        <w:tc>
          <w:tcPr>
            <w:tcW w:w="2268" w:type="dxa"/>
          </w:tcPr>
          <w:p w14:paraId="76646B95" w14:textId="77777777" w:rsidR="00514CC0" w:rsidRDefault="00E72B49">
            <w:pPr>
              <w:pStyle w:val="OWTablebodycentre"/>
            </w:pPr>
            <w:r>
              <w:t>51.1%</w:t>
            </w:r>
          </w:p>
        </w:tc>
      </w:tr>
      <w:tr w:rsidR="00514CC0" w14:paraId="29096C17" w14:textId="77777777" w:rsidTr="00BB2447">
        <w:trPr>
          <w:cantSplit/>
          <w:trHeight w:val="60"/>
        </w:trPr>
        <w:tc>
          <w:tcPr>
            <w:tcW w:w="6803" w:type="dxa"/>
          </w:tcPr>
          <w:p w14:paraId="205B2B5B" w14:textId="77777777" w:rsidR="00514CC0" w:rsidRDefault="00E72B49">
            <w:pPr>
              <w:pStyle w:val="OWTablebodyleft"/>
            </w:pPr>
            <w:r>
              <w:t>Rental, hiring and real estate services</w:t>
            </w:r>
          </w:p>
        </w:tc>
        <w:tc>
          <w:tcPr>
            <w:tcW w:w="2268" w:type="dxa"/>
          </w:tcPr>
          <w:p w14:paraId="649AFDD9" w14:textId="77777777" w:rsidR="00514CC0" w:rsidRDefault="00E72B49">
            <w:pPr>
              <w:pStyle w:val="OWTablebodycentre"/>
            </w:pPr>
            <w:r>
              <w:t>50.1%</w:t>
            </w:r>
          </w:p>
        </w:tc>
      </w:tr>
      <w:tr w:rsidR="00514CC0" w14:paraId="48FE4481" w14:textId="77777777" w:rsidTr="00BB2447">
        <w:trPr>
          <w:cantSplit/>
          <w:trHeight w:val="60"/>
        </w:trPr>
        <w:tc>
          <w:tcPr>
            <w:tcW w:w="6803" w:type="dxa"/>
          </w:tcPr>
          <w:p w14:paraId="6984644D" w14:textId="77777777" w:rsidR="00514CC0" w:rsidRDefault="00E72B49">
            <w:pPr>
              <w:pStyle w:val="OWTablebodyleft"/>
            </w:pPr>
            <w:r>
              <w:t>Administration and support services</w:t>
            </w:r>
          </w:p>
        </w:tc>
        <w:tc>
          <w:tcPr>
            <w:tcW w:w="2268" w:type="dxa"/>
          </w:tcPr>
          <w:p w14:paraId="1708D5C9" w14:textId="77777777" w:rsidR="00514CC0" w:rsidRDefault="00E72B49">
            <w:pPr>
              <w:pStyle w:val="OWTablebodycentre"/>
            </w:pPr>
            <w:r>
              <w:t>49.2%</w:t>
            </w:r>
          </w:p>
        </w:tc>
      </w:tr>
      <w:tr w:rsidR="00514CC0" w14:paraId="2DB7931C" w14:textId="77777777" w:rsidTr="00BB2447">
        <w:trPr>
          <w:cantSplit/>
          <w:trHeight w:val="60"/>
        </w:trPr>
        <w:tc>
          <w:tcPr>
            <w:tcW w:w="6803" w:type="dxa"/>
          </w:tcPr>
          <w:p w14:paraId="5D96E373" w14:textId="77777777" w:rsidR="00514CC0" w:rsidRDefault="00E72B49">
            <w:pPr>
              <w:pStyle w:val="OWTablebodyleft"/>
            </w:pPr>
            <w:r>
              <w:t>Public administration and safety</w:t>
            </w:r>
          </w:p>
        </w:tc>
        <w:tc>
          <w:tcPr>
            <w:tcW w:w="2268" w:type="dxa"/>
          </w:tcPr>
          <w:p w14:paraId="00A0A3C6" w14:textId="77777777" w:rsidR="00514CC0" w:rsidRDefault="00E72B49">
            <w:pPr>
              <w:pStyle w:val="OWTablebodycentre"/>
            </w:pPr>
            <w:r>
              <w:t>49.1%</w:t>
            </w:r>
          </w:p>
        </w:tc>
      </w:tr>
      <w:tr w:rsidR="00514CC0" w14:paraId="7097DEF8" w14:textId="77777777" w:rsidTr="00BB2447">
        <w:trPr>
          <w:cantSplit/>
          <w:trHeight w:val="60"/>
        </w:trPr>
        <w:tc>
          <w:tcPr>
            <w:tcW w:w="6803" w:type="dxa"/>
          </w:tcPr>
          <w:p w14:paraId="76936B24" w14:textId="77777777" w:rsidR="00514CC0" w:rsidRDefault="00E72B49">
            <w:pPr>
              <w:pStyle w:val="OWTablebodyleft"/>
            </w:pPr>
            <w:r>
              <w:t>Arts and recreation services</w:t>
            </w:r>
          </w:p>
        </w:tc>
        <w:tc>
          <w:tcPr>
            <w:tcW w:w="2268" w:type="dxa"/>
          </w:tcPr>
          <w:p w14:paraId="108244D8" w14:textId="77777777" w:rsidR="00514CC0" w:rsidRDefault="00E72B49">
            <w:pPr>
              <w:pStyle w:val="OWTablebodycentre"/>
            </w:pPr>
            <w:r>
              <w:t>46.1%</w:t>
            </w:r>
          </w:p>
        </w:tc>
      </w:tr>
      <w:tr w:rsidR="00514CC0" w14:paraId="67CFCD0C" w14:textId="77777777" w:rsidTr="00BB2447">
        <w:trPr>
          <w:cantSplit/>
          <w:trHeight w:val="60"/>
        </w:trPr>
        <w:tc>
          <w:tcPr>
            <w:tcW w:w="6803" w:type="dxa"/>
          </w:tcPr>
          <w:p w14:paraId="0D51BB65" w14:textId="77777777" w:rsidR="00514CC0" w:rsidRDefault="00E72B49">
            <w:pPr>
              <w:pStyle w:val="OWTablebodyleft"/>
            </w:pPr>
            <w:r>
              <w:t>Information media and telecommunications</w:t>
            </w:r>
          </w:p>
        </w:tc>
        <w:tc>
          <w:tcPr>
            <w:tcW w:w="2268" w:type="dxa"/>
          </w:tcPr>
          <w:p w14:paraId="138EC95E" w14:textId="77777777" w:rsidR="00514CC0" w:rsidRDefault="00E72B49">
            <w:pPr>
              <w:pStyle w:val="OWTablebodycentre"/>
            </w:pPr>
            <w:r>
              <w:t>44.5%</w:t>
            </w:r>
          </w:p>
        </w:tc>
      </w:tr>
      <w:tr w:rsidR="00514CC0" w14:paraId="3F46B078" w14:textId="77777777" w:rsidTr="00BB2447">
        <w:trPr>
          <w:cantSplit/>
          <w:trHeight w:val="60"/>
        </w:trPr>
        <w:tc>
          <w:tcPr>
            <w:tcW w:w="6803" w:type="dxa"/>
          </w:tcPr>
          <w:p w14:paraId="29FA4484" w14:textId="77777777" w:rsidR="00514CC0" w:rsidRDefault="00E72B49">
            <w:pPr>
              <w:pStyle w:val="OWTablebodyleft"/>
            </w:pPr>
            <w:r>
              <w:t>Other services</w:t>
            </w:r>
          </w:p>
        </w:tc>
        <w:tc>
          <w:tcPr>
            <w:tcW w:w="2268" w:type="dxa"/>
          </w:tcPr>
          <w:p w14:paraId="012338CD" w14:textId="77777777" w:rsidR="00514CC0" w:rsidRDefault="00E72B49">
            <w:pPr>
              <w:pStyle w:val="OWTablebodycentre"/>
            </w:pPr>
            <w:r>
              <w:t>41.4%</w:t>
            </w:r>
          </w:p>
        </w:tc>
      </w:tr>
      <w:tr w:rsidR="00514CC0" w14:paraId="69243ED7" w14:textId="77777777" w:rsidTr="00BB2447">
        <w:trPr>
          <w:cantSplit/>
          <w:trHeight w:val="60"/>
        </w:trPr>
        <w:tc>
          <w:tcPr>
            <w:tcW w:w="6803" w:type="dxa"/>
          </w:tcPr>
          <w:p w14:paraId="15ECB494" w14:textId="77777777" w:rsidR="00514CC0" w:rsidRDefault="00E72B49">
            <w:pPr>
              <w:pStyle w:val="OWTablebodyleft"/>
            </w:pPr>
            <w:r>
              <w:t>Professional, scientific and technical services</w:t>
            </w:r>
          </w:p>
        </w:tc>
        <w:tc>
          <w:tcPr>
            <w:tcW w:w="2268" w:type="dxa"/>
          </w:tcPr>
          <w:p w14:paraId="34D84D8F" w14:textId="77777777" w:rsidR="00514CC0" w:rsidRDefault="00E72B49">
            <w:pPr>
              <w:pStyle w:val="OWTablebodycentre"/>
            </w:pPr>
            <w:r>
              <w:t>40.4%</w:t>
            </w:r>
          </w:p>
        </w:tc>
      </w:tr>
      <w:tr w:rsidR="00514CC0" w14:paraId="3F3E2A46" w14:textId="77777777" w:rsidTr="00BB2447">
        <w:trPr>
          <w:cantSplit/>
          <w:trHeight w:val="60"/>
        </w:trPr>
        <w:tc>
          <w:tcPr>
            <w:tcW w:w="6803" w:type="dxa"/>
          </w:tcPr>
          <w:p w14:paraId="2E8B9A6B" w14:textId="77777777" w:rsidR="00514CC0" w:rsidRDefault="00E72B49">
            <w:pPr>
              <w:pStyle w:val="OWTablebodyleft"/>
            </w:pPr>
            <w:r>
              <w:t>Agriculture, forestry and fishing</w:t>
            </w:r>
          </w:p>
        </w:tc>
        <w:tc>
          <w:tcPr>
            <w:tcW w:w="2268" w:type="dxa"/>
          </w:tcPr>
          <w:p w14:paraId="3CAFCC52" w14:textId="77777777" w:rsidR="00514CC0" w:rsidRDefault="00E72B49">
            <w:pPr>
              <w:pStyle w:val="OWTablebodycentre"/>
            </w:pPr>
            <w:r>
              <w:t>33.7%</w:t>
            </w:r>
          </w:p>
        </w:tc>
      </w:tr>
      <w:tr w:rsidR="00514CC0" w14:paraId="05D7F7F6" w14:textId="77777777" w:rsidTr="00BB2447">
        <w:trPr>
          <w:cantSplit/>
          <w:trHeight w:val="60"/>
        </w:trPr>
        <w:tc>
          <w:tcPr>
            <w:tcW w:w="6803" w:type="dxa"/>
          </w:tcPr>
          <w:p w14:paraId="4EE89A04" w14:textId="77777777" w:rsidR="00514CC0" w:rsidRDefault="00E72B49">
            <w:pPr>
              <w:pStyle w:val="OWTablebodyleft"/>
            </w:pPr>
            <w:r>
              <w:t>Wholesale trade</w:t>
            </w:r>
          </w:p>
        </w:tc>
        <w:tc>
          <w:tcPr>
            <w:tcW w:w="2268" w:type="dxa"/>
          </w:tcPr>
          <w:p w14:paraId="4C697C72" w14:textId="77777777" w:rsidR="00514CC0" w:rsidRDefault="00E72B49">
            <w:pPr>
              <w:pStyle w:val="OWTablebodycentre"/>
            </w:pPr>
            <w:r>
              <w:t>31.1%</w:t>
            </w:r>
          </w:p>
        </w:tc>
      </w:tr>
      <w:tr w:rsidR="00514CC0" w14:paraId="412522F3" w14:textId="77777777" w:rsidTr="00BB2447">
        <w:trPr>
          <w:cantSplit/>
          <w:trHeight w:val="60"/>
        </w:trPr>
        <w:tc>
          <w:tcPr>
            <w:tcW w:w="6803" w:type="dxa"/>
          </w:tcPr>
          <w:p w14:paraId="495043FA" w14:textId="77777777" w:rsidR="00514CC0" w:rsidRDefault="00E72B49">
            <w:pPr>
              <w:pStyle w:val="OWTablebodyleft"/>
            </w:pPr>
            <w:r>
              <w:t>Manufacturing</w:t>
            </w:r>
          </w:p>
        </w:tc>
        <w:tc>
          <w:tcPr>
            <w:tcW w:w="2268" w:type="dxa"/>
          </w:tcPr>
          <w:p w14:paraId="274C9CB9" w14:textId="77777777" w:rsidR="00514CC0" w:rsidRDefault="00E72B49">
            <w:pPr>
              <w:pStyle w:val="OWTablebodycentre"/>
            </w:pPr>
            <w:r>
              <w:t>27.9%</w:t>
            </w:r>
          </w:p>
        </w:tc>
      </w:tr>
      <w:tr w:rsidR="00514CC0" w14:paraId="67435ACC" w14:textId="77777777" w:rsidTr="00BB2447">
        <w:trPr>
          <w:cantSplit/>
          <w:trHeight w:val="60"/>
        </w:trPr>
        <w:tc>
          <w:tcPr>
            <w:tcW w:w="6803" w:type="dxa"/>
          </w:tcPr>
          <w:p w14:paraId="48BA9187" w14:textId="77777777" w:rsidR="00514CC0" w:rsidRDefault="00E72B49">
            <w:pPr>
              <w:pStyle w:val="OWTablebodyleft"/>
            </w:pPr>
            <w:r>
              <w:t>Transport, postal and warehousing</w:t>
            </w:r>
          </w:p>
        </w:tc>
        <w:tc>
          <w:tcPr>
            <w:tcW w:w="2268" w:type="dxa"/>
          </w:tcPr>
          <w:p w14:paraId="386DCC4C" w14:textId="77777777" w:rsidR="00514CC0" w:rsidRDefault="00E72B49">
            <w:pPr>
              <w:pStyle w:val="OWTablebodycentre"/>
            </w:pPr>
            <w:r>
              <w:t>23.4%</w:t>
            </w:r>
          </w:p>
        </w:tc>
      </w:tr>
      <w:tr w:rsidR="00514CC0" w14:paraId="5186767F" w14:textId="77777777" w:rsidTr="00BB2447">
        <w:trPr>
          <w:cantSplit/>
          <w:trHeight w:val="60"/>
        </w:trPr>
        <w:tc>
          <w:tcPr>
            <w:tcW w:w="6803" w:type="dxa"/>
          </w:tcPr>
          <w:p w14:paraId="1DFF2020" w14:textId="77777777" w:rsidR="00514CC0" w:rsidRDefault="00E72B49">
            <w:pPr>
              <w:pStyle w:val="OWTablebodyleft"/>
            </w:pPr>
            <w:r>
              <w:t>Electricity, gas, water and waste services</w:t>
            </w:r>
          </w:p>
        </w:tc>
        <w:tc>
          <w:tcPr>
            <w:tcW w:w="2268" w:type="dxa"/>
          </w:tcPr>
          <w:p w14:paraId="5F802132" w14:textId="77777777" w:rsidR="00514CC0" w:rsidRDefault="00E72B49">
            <w:pPr>
              <w:pStyle w:val="OWTablebodycentre"/>
            </w:pPr>
            <w:r>
              <w:t>20.8%</w:t>
            </w:r>
          </w:p>
        </w:tc>
      </w:tr>
      <w:tr w:rsidR="00514CC0" w14:paraId="3E48B742" w14:textId="77777777" w:rsidTr="00BB2447">
        <w:trPr>
          <w:cantSplit/>
          <w:trHeight w:val="60"/>
        </w:trPr>
        <w:tc>
          <w:tcPr>
            <w:tcW w:w="6803" w:type="dxa"/>
          </w:tcPr>
          <w:p w14:paraId="2E7CBF3A" w14:textId="77777777" w:rsidR="00514CC0" w:rsidRDefault="00E72B49">
            <w:pPr>
              <w:pStyle w:val="OWTablebodyleft"/>
            </w:pPr>
            <w:r>
              <w:t xml:space="preserve">Mining </w:t>
            </w:r>
          </w:p>
        </w:tc>
        <w:tc>
          <w:tcPr>
            <w:tcW w:w="2268" w:type="dxa"/>
          </w:tcPr>
          <w:p w14:paraId="02C0ECCA" w14:textId="77777777" w:rsidR="00514CC0" w:rsidRDefault="00E72B49">
            <w:pPr>
              <w:pStyle w:val="OWTablebodycentre"/>
            </w:pPr>
            <w:r>
              <w:t>12.9%</w:t>
            </w:r>
          </w:p>
        </w:tc>
      </w:tr>
      <w:tr w:rsidR="00514CC0" w14:paraId="293522AF" w14:textId="77777777" w:rsidTr="00BB2447">
        <w:trPr>
          <w:cantSplit/>
          <w:trHeight w:val="60"/>
        </w:trPr>
        <w:tc>
          <w:tcPr>
            <w:tcW w:w="6803" w:type="dxa"/>
          </w:tcPr>
          <w:p w14:paraId="06AB2976" w14:textId="77777777" w:rsidR="00514CC0" w:rsidRDefault="00E72B49">
            <w:pPr>
              <w:pStyle w:val="OWTablebodyleft"/>
            </w:pPr>
            <w:r>
              <w:t>Construction</w:t>
            </w:r>
          </w:p>
        </w:tc>
        <w:tc>
          <w:tcPr>
            <w:tcW w:w="2268" w:type="dxa"/>
          </w:tcPr>
          <w:p w14:paraId="6F624D1C" w14:textId="77777777" w:rsidR="00514CC0" w:rsidRDefault="00E72B49">
            <w:pPr>
              <w:pStyle w:val="OWTablebodycentre"/>
            </w:pPr>
            <w:r>
              <w:t>12.0%</w:t>
            </w:r>
          </w:p>
        </w:tc>
      </w:tr>
    </w:tbl>
    <w:p w14:paraId="36545FCE" w14:textId="77777777" w:rsidR="00514CC0" w:rsidRDefault="00E72B49">
      <w:pPr>
        <w:pStyle w:val="OWTablefootnote"/>
      </w:pPr>
      <w:r>
        <w:t xml:space="preserve">Source: ABS, </w:t>
      </w:r>
      <w:r w:rsidRPr="003E209A">
        <w:rPr>
          <w:rStyle w:val="Emphasis"/>
        </w:rPr>
        <w:t>Labour Force, Australia, Detailed, Quarterly, May 2016</w:t>
      </w:r>
      <w:r>
        <w:t>, reported in WGEA, ‘Gender segregation in Australia’s workforce’, August 2016, p. 5</w:t>
      </w:r>
    </w:p>
    <w:p w14:paraId="5DEC26FE" w14:textId="62297CE3" w:rsidR="00514CC0" w:rsidRDefault="00E72B49">
      <w:pPr>
        <w:pStyle w:val="OWBodytextlargespaceabove"/>
      </w:pPr>
      <w:r>
        <w:lastRenderedPageBreak/>
        <w:t xml:space="preserve">The WGEA’s reporting data allows for industry comparison of workforce composition for large non-public sector organisations, from 2013–14 to 2018–19 (see </w:t>
      </w:r>
      <w:r w:rsidRPr="0017588F">
        <w:rPr>
          <w:u w:color="1B5997"/>
        </w:rPr>
        <w:t xml:space="preserve">Figure </w:t>
      </w:r>
      <w:r w:rsidR="0017588F">
        <w:rPr>
          <w:u w:color="1B5997"/>
        </w:rPr>
        <w:t>12</w:t>
      </w:r>
      <w:r>
        <w:t>, below).</w:t>
      </w:r>
      <w:r>
        <w:rPr>
          <w:rStyle w:val="OWSuperscript"/>
        </w:rPr>
        <w:footnoteReference w:id="34"/>
      </w:r>
      <w:r>
        <w:t xml:space="preserve"> </w:t>
      </w:r>
      <w:r w:rsidRPr="002D0D52">
        <w:rPr>
          <w:rStyle w:val="Strong"/>
        </w:rPr>
        <w:t>Over the six years of availability of WGEA data, there has been limited movement with regard to gender composition of most industries.</w:t>
      </w:r>
      <w:r>
        <w:t xml:space="preserve"> Most Australians continue to work in industries that are dominated by men or by women, and this division aligns with rigid and stereotyped gender norms regarding the capabilities of women and men. Approximately one-quarter of Australians (25.9%) work in female-dominated industries and over one-quarter (27.9%) in male-dominated industries.</w:t>
      </w:r>
      <w:r w:rsidR="00A50BAD">
        <w:rPr>
          <w:rStyle w:val="EndnoteReference"/>
        </w:rPr>
        <w:endnoteReference w:id="255"/>
      </w:r>
      <w:r>
        <w:t xml:space="preserve"> As noted in the WGEA’s annual scorecard for 2018–19,</w:t>
      </w:r>
    </w:p>
    <w:p w14:paraId="47A0D137" w14:textId="09D07F9B" w:rsidR="00514CC0" w:rsidRDefault="006E590F">
      <w:pPr>
        <w:pStyle w:val="Quote"/>
      </w:pPr>
      <w:r>
        <w:t>‘[</w:t>
      </w:r>
      <w:r w:rsidR="00E72B49">
        <w:t>w</w:t>
      </w:r>
      <w:r>
        <w:t>]</w:t>
      </w:r>
      <w:r w:rsidR="00E72B49">
        <w:t>omen’s workforce</w:t>
      </w:r>
      <w:r>
        <w:t xml:space="preserve"> </w:t>
      </w:r>
      <w:r w:rsidRPr="006E590F">
        <w:t>participation</w:t>
      </w:r>
      <w:r w:rsidR="00E72B49">
        <w:t xml:space="preserve"> is concentrated in a few large industries. Health Care and Social Assistance is by far the largest employer of women, followed by Education and Training and Retail Trade. Men are more evenly spread across the workforce than women, although they have low representation in the highly feminised industry of Health Care and Social Assistance.</w:t>
      </w:r>
      <w:r>
        <w:t>’</w:t>
      </w:r>
      <w:r w:rsidR="00A50BAD">
        <w:rPr>
          <w:rStyle w:val="EndnoteReference"/>
        </w:rPr>
        <w:endnoteReference w:id="256"/>
      </w:r>
    </w:p>
    <w:p w14:paraId="7F86F6E1" w14:textId="77777777" w:rsidR="00514CC0" w:rsidRDefault="00E72B49">
      <w:pPr>
        <w:pStyle w:val="BodyText"/>
      </w:pPr>
      <w:r>
        <w:t>Some male-dominated industries have registered small gains in improving female employment between 2013–14 and 2018–19:</w:t>
      </w:r>
    </w:p>
    <w:p w14:paraId="77BA1603" w14:textId="77777777" w:rsidR="00514CC0" w:rsidRDefault="00E72B49">
      <w:pPr>
        <w:pStyle w:val="OWBullet1"/>
      </w:pPr>
      <w:r>
        <w:t>Professional, scientific and technical services increased female employment by 2.4%.</w:t>
      </w:r>
    </w:p>
    <w:p w14:paraId="38EB7018" w14:textId="77777777" w:rsidR="00514CC0" w:rsidRDefault="00E72B49">
      <w:pPr>
        <w:pStyle w:val="OWBullet1"/>
      </w:pPr>
      <w:r>
        <w:t>Mining increased female employment by 1.3%.</w:t>
      </w:r>
    </w:p>
    <w:p w14:paraId="3B381E10" w14:textId="77777777" w:rsidR="00514CC0" w:rsidRDefault="00E72B49">
      <w:pPr>
        <w:pStyle w:val="OWBullet1"/>
      </w:pPr>
      <w:r>
        <w:t>Construction increased female employment by 2.1%.</w:t>
      </w:r>
    </w:p>
    <w:p w14:paraId="72E62161" w14:textId="3A2359C5" w:rsidR="00514CC0" w:rsidRDefault="00E72B49" w:rsidP="002D3C26">
      <w:pPr>
        <w:pStyle w:val="OWBodytextafterlist"/>
      </w:pPr>
      <w:r>
        <w:t>However, there has not been a consistent trend with regard to increasing the proportions of women in the ranks of male-dominated industries. Other male-dominated industries have registered little to no change or small backslides over this six-year period. Overall, therefore, there has been a concerning lack of movement in terms of shifting industry gender segregation over a six-year period.</w:t>
      </w:r>
    </w:p>
    <w:p w14:paraId="53A17CC4" w14:textId="77777777" w:rsidR="00652988" w:rsidRDefault="00652988" w:rsidP="00652988">
      <w:pPr>
        <w:pStyle w:val="BodyText"/>
      </w:pPr>
      <w:r>
        <w:t>While women comprised 50.2% of the Australian non-public sector in 2019, they only occupied 39.4% of managerial positions (see Indicators 3.1 and 3.2 for a gender analysis of managerial positions). Some industries which have achieved gender parity, or almost parity, in terms of employee numbers are still marked by significant under-representation of female managers. For example, women comprise 50.6% of the arts and recreation services workforce, and yet only 36.8% of managerial positions. Women make up 54.7% of the financial and insurance services workforce, and yet only 41.0% of managerial positions. Other industries such as agriculture, forestry and fishing have a significant gap between female employee numbers (34.4%) and female managers (17.2%). Other male-dominated industries such as mining, construction, public administration and safety, electricity, gas, water and waste services, transport, postal and warehousing, and manufacturing are marked by both low female employee numbers and significant under-representation of women at managerial levels. Only in two industries, both of which are heavily female-dominated in terms of employee numbers – Health Care and Social Assistance, and Education and Training – do women occupy more than half of the managerial positions (70.1% and 52.2% respectively).</w:t>
      </w:r>
      <w:r>
        <w:rPr>
          <w:rStyle w:val="EndnoteReference"/>
        </w:rPr>
        <w:endnoteReference w:id="257"/>
      </w:r>
    </w:p>
    <w:p w14:paraId="019B70B7" w14:textId="27079FE9" w:rsidR="00514CC0" w:rsidRDefault="00E72B49">
      <w:pPr>
        <w:pStyle w:val="OWFigurecaption"/>
      </w:pPr>
      <w:r>
        <w:lastRenderedPageBreak/>
        <w:t xml:space="preserve">Figure </w:t>
      </w:r>
      <w:r w:rsidR="0017588F">
        <w:t>12</w:t>
      </w:r>
      <w:r>
        <w:t xml:space="preserve">: Proportion of women employees by industry, 2013–14 </w:t>
      </w:r>
      <w:r w:rsidR="00EC7205">
        <w:t>and</w:t>
      </w:r>
      <w:r>
        <w:t xml:space="preserve"> 2018–19</w:t>
      </w:r>
    </w:p>
    <w:p w14:paraId="433FD44D" w14:textId="4807ED0D" w:rsidR="00514CC0" w:rsidRDefault="00A22941" w:rsidP="002D3C26">
      <w:pPr>
        <w:pStyle w:val="OWFigureinline"/>
      </w:pPr>
      <w:r>
        <w:rPr>
          <w:noProof/>
        </w:rPr>
        <w:drawing>
          <wp:inline distT="0" distB="0" distL="0" distR="0" wp14:anchorId="24301C97" wp14:editId="6D277E7F">
            <wp:extent cx="5431792" cy="8035290"/>
            <wp:effectExtent l="0" t="0" r="0" b="3810"/>
            <wp:docPr id="472466947" name="Picture 62" descr="Bar graph. Follow the link below for the data table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466947" name="Picture 62" descr="Bar graph. Follow the link below for the data table of this figure."/>
                    <pic:cNvPicPr/>
                  </pic:nvPicPr>
                  <pic:blipFill>
                    <a:blip r:embed="rId43">
                      <a:extLst>
                        <a:ext uri="{28A0092B-C50C-407E-A947-70E740481C1C}">
                          <a14:useLocalDpi xmlns:a14="http://schemas.microsoft.com/office/drawing/2010/main" val="0"/>
                        </a:ext>
                      </a:extLst>
                    </a:blip>
                    <a:stretch>
                      <a:fillRect/>
                    </a:stretch>
                  </pic:blipFill>
                  <pic:spPr>
                    <a:xfrm>
                      <a:off x="0" y="0"/>
                      <a:ext cx="5431792" cy="8035290"/>
                    </a:xfrm>
                    <a:prstGeom prst="rect">
                      <a:avLst/>
                    </a:prstGeom>
                  </pic:spPr>
                </pic:pic>
              </a:graphicData>
            </a:graphic>
          </wp:inline>
        </w:drawing>
      </w:r>
    </w:p>
    <w:p w14:paraId="02C0742E" w14:textId="36DC8C31" w:rsidR="00514CC0" w:rsidRDefault="00E72B49">
      <w:pPr>
        <w:pStyle w:val="OWFigurefootnote"/>
        <w:spacing w:after="113"/>
      </w:pPr>
      <w:r>
        <w:t xml:space="preserve">Source: WGEA Data Explorer, </w:t>
      </w:r>
      <w:r w:rsidR="007B3E9F">
        <w:t>retrieved</w:t>
      </w:r>
      <w:r>
        <w:t xml:space="preserve"> 14 February 2020</w:t>
      </w:r>
    </w:p>
    <w:p w14:paraId="2C35BE5C" w14:textId="1ABE8053" w:rsidR="00514CC0" w:rsidRDefault="00360573">
      <w:pPr>
        <w:pStyle w:val="BodyText"/>
      </w:pPr>
      <w:hyperlink w:anchor="Fig12AltText" w:history="1">
        <w:r w:rsidR="00E72B49" w:rsidRPr="00E83BB7">
          <w:rPr>
            <w:rStyle w:val="Hyperlink"/>
          </w:rPr>
          <w:t xml:space="preserve">Text-equivalent description of Figure </w:t>
        </w:r>
        <w:r w:rsidR="00D374A1">
          <w:rPr>
            <w:rStyle w:val="Hyperlink"/>
          </w:rPr>
          <w:t>12</w:t>
        </w:r>
        <w:r w:rsidR="00E72B49" w:rsidRPr="00E83BB7">
          <w:rPr>
            <w:rStyle w:val="Hyperlink"/>
          </w:rPr>
          <w:t xml:space="preserve"> in Appendi</w:t>
        </w:r>
        <w:r w:rsidR="00D8674A">
          <w:rPr>
            <w:rStyle w:val="Hyperlink"/>
          </w:rPr>
          <w:t>x E</w:t>
        </w:r>
      </w:hyperlink>
    </w:p>
    <w:p w14:paraId="0DBED466" w14:textId="77777777" w:rsidR="00514CC0" w:rsidRDefault="00E72B49" w:rsidP="00F868FE">
      <w:pPr>
        <w:pStyle w:val="Heading5"/>
      </w:pPr>
      <w:bookmarkStart w:id="76" w:name="Fig12FollowOn"/>
      <w:r>
        <w:lastRenderedPageBreak/>
        <w:t>Gender composition of the Australian workforce by employment status, 2013 to 2019</w:t>
      </w:r>
    </w:p>
    <w:bookmarkEnd w:id="76"/>
    <w:p w14:paraId="6CE6F6B6" w14:textId="34BC04D9" w:rsidR="00514CC0" w:rsidRDefault="00E72B49">
      <w:pPr>
        <w:pStyle w:val="BodyText"/>
      </w:pPr>
      <w:r>
        <w:t xml:space="preserve">When looking at the Australian workforce, gender is also segregated according to employment status. With reference to the WGEA’s own reporting data, while women now comprise over half the workforce, they make up only 37.7% of all female employees who were employed full-time in 2018–19, with 62.3% of all male employees employed full-time. The proportion of women employed on a part-time basis is also far higher than the proportion of male part-time employees – 74.8% compared to 25.2% (see Table </w:t>
      </w:r>
      <w:r w:rsidR="0017588F">
        <w:t>18</w:t>
      </w:r>
      <w:r>
        <w:t>, below).</w:t>
      </w:r>
    </w:p>
    <w:p w14:paraId="7393A404" w14:textId="09D97FC8" w:rsidR="00514CC0" w:rsidRDefault="00E72B49">
      <w:pPr>
        <w:pStyle w:val="BodyText"/>
      </w:pPr>
      <w:r w:rsidRPr="002D0D52">
        <w:rPr>
          <w:rStyle w:val="Strong"/>
        </w:rPr>
        <w:t>Over a six-year period, there has been limited movement in gender composition of the workforce by employment type.</w:t>
      </w:r>
      <w:r>
        <w:t xml:space="preserve"> Most notably, women’s proportion of the full-time workforce has risen by 1.9 percentage points from 35.8% to 37.7%, with a corresponding decrease in male full-time employment. Women’s proportion of the casual workforce has also decreased by 1.3 percentage points from 57.2% to 55.9%. However, the part-time workforce gender composition has remained fairly static over a six-year period. Overall, men</w:t>
      </w:r>
      <w:r w:rsidR="004C0AC9">
        <w:t> </w:t>
      </w:r>
      <w:r>
        <w:t>continue to dominate the full-time workforce by a considerable proportion, while women continue to outweigh men in the part-time workforce by almost 3:1.</w:t>
      </w:r>
    </w:p>
    <w:p w14:paraId="0208300F" w14:textId="21AA9E2B" w:rsidR="00514CC0" w:rsidRDefault="00E72B49">
      <w:pPr>
        <w:pStyle w:val="OWTablecaption"/>
      </w:pPr>
      <w:r>
        <w:t xml:space="preserve">Table </w:t>
      </w:r>
      <w:r w:rsidR="0017588F">
        <w:t>18</w:t>
      </w:r>
      <w:r>
        <w:t>: Proportion of females and males by employment status</w:t>
      </w:r>
    </w:p>
    <w:tbl>
      <w:tblPr>
        <w:tblStyle w:val="Datatableteal"/>
        <w:tblW w:w="9072" w:type="dxa"/>
        <w:tblLayout w:type="fixed"/>
        <w:tblLook w:val="06A0" w:firstRow="1" w:lastRow="0" w:firstColumn="1" w:lastColumn="0" w:noHBand="1" w:noVBand="1"/>
      </w:tblPr>
      <w:tblGrid>
        <w:gridCol w:w="2269"/>
        <w:gridCol w:w="2267"/>
        <w:gridCol w:w="2268"/>
        <w:gridCol w:w="2268"/>
      </w:tblGrid>
      <w:tr w:rsidR="00514CC0" w14:paraId="427FCA58" w14:textId="77777777" w:rsidTr="00BB2447">
        <w:trPr>
          <w:cnfStyle w:val="100000000000" w:firstRow="1" w:lastRow="0" w:firstColumn="0" w:lastColumn="0" w:oddVBand="0" w:evenVBand="0" w:oddHBand="0" w:evenHBand="0" w:firstRowFirstColumn="0" w:firstRowLastColumn="0" w:lastRowFirstColumn="0" w:lastRowLastColumn="0"/>
          <w:cantSplit/>
          <w:trHeight w:val="60"/>
          <w:tblHeader/>
        </w:trPr>
        <w:tc>
          <w:tcPr>
            <w:tcW w:w="2268" w:type="dxa"/>
          </w:tcPr>
          <w:p w14:paraId="0F2853A5" w14:textId="77777777" w:rsidR="00514CC0" w:rsidRPr="002D3C26" w:rsidRDefault="00E72B49">
            <w:pPr>
              <w:pStyle w:val="OWTablecolumnheadleft"/>
            </w:pPr>
            <w:r w:rsidRPr="002D3C26">
              <w:t>Employment status</w:t>
            </w:r>
          </w:p>
        </w:tc>
        <w:tc>
          <w:tcPr>
            <w:tcW w:w="2267" w:type="dxa"/>
          </w:tcPr>
          <w:p w14:paraId="191D8A28" w14:textId="77777777" w:rsidR="00514CC0" w:rsidRPr="002D3C26" w:rsidRDefault="00E72B49">
            <w:pPr>
              <w:pStyle w:val="OWTablecolumnheadcentre"/>
            </w:pPr>
            <w:r w:rsidRPr="002D3C26">
              <w:t>Female/Male</w:t>
            </w:r>
          </w:p>
        </w:tc>
        <w:tc>
          <w:tcPr>
            <w:tcW w:w="2268" w:type="dxa"/>
          </w:tcPr>
          <w:p w14:paraId="1D49E744" w14:textId="77777777" w:rsidR="00514CC0" w:rsidRPr="002D3C26" w:rsidRDefault="00E72B49">
            <w:pPr>
              <w:pStyle w:val="OWTablecolumnheadcentre"/>
            </w:pPr>
            <w:r w:rsidRPr="002D3C26">
              <w:t>2013–14</w:t>
            </w:r>
          </w:p>
        </w:tc>
        <w:tc>
          <w:tcPr>
            <w:tcW w:w="2268" w:type="dxa"/>
          </w:tcPr>
          <w:p w14:paraId="3739E12A" w14:textId="77777777" w:rsidR="00514CC0" w:rsidRPr="002D3C26" w:rsidRDefault="00E72B49">
            <w:pPr>
              <w:pStyle w:val="OWTablecolumnheadcentre"/>
            </w:pPr>
            <w:r w:rsidRPr="002D3C26">
              <w:t>2018–19</w:t>
            </w:r>
          </w:p>
        </w:tc>
      </w:tr>
      <w:tr w:rsidR="00514CC0" w14:paraId="3727C8F5" w14:textId="77777777" w:rsidTr="00BB2447">
        <w:trPr>
          <w:cantSplit/>
          <w:trHeight w:val="60"/>
        </w:trPr>
        <w:tc>
          <w:tcPr>
            <w:tcW w:w="2268" w:type="dxa"/>
            <w:vMerge w:val="restart"/>
          </w:tcPr>
          <w:p w14:paraId="3B8273C0" w14:textId="77777777" w:rsidR="00514CC0" w:rsidRDefault="00E72B49">
            <w:pPr>
              <w:pStyle w:val="OWTablebodyleft"/>
            </w:pPr>
            <w:r>
              <w:t>Full-time</w:t>
            </w:r>
          </w:p>
        </w:tc>
        <w:tc>
          <w:tcPr>
            <w:tcW w:w="2267" w:type="dxa"/>
          </w:tcPr>
          <w:p w14:paraId="169F682A" w14:textId="77777777" w:rsidR="00514CC0" w:rsidRDefault="00E72B49">
            <w:pPr>
              <w:pStyle w:val="OWTablebodycentre"/>
            </w:pPr>
            <w:r>
              <w:t>F</w:t>
            </w:r>
          </w:p>
        </w:tc>
        <w:tc>
          <w:tcPr>
            <w:tcW w:w="2268" w:type="dxa"/>
          </w:tcPr>
          <w:p w14:paraId="7C6BDDCF" w14:textId="77777777" w:rsidR="00514CC0" w:rsidRDefault="00E72B49">
            <w:pPr>
              <w:pStyle w:val="OWTablebodycentre"/>
            </w:pPr>
            <w:r>
              <w:t>35.8%</w:t>
            </w:r>
          </w:p>
        </w:tc>
        <w:tc>
          <w:tcPr>
            <w:tcW w:w="2268" w:type="dxa"/>
          </w:tcPr>
          <w:p w14:paraId="51294423" w14:textId="77777777" w:rsidR="00514CC0" w:rsidRDefault="00E72B49">
            <w:pPr>
              <w:pStyle w:val="OWTablebodycentre"/>
            </w:pPr>
            <w:r>
              <w:t>37.7%</w:t>
            </w:r>
          </w:p>
        </w:tc>
      </w:tr>
      <w:tr w:rsidR="00514CC0" w14:paraId="2AC410F5" w14:textId="77777777" w:rsidTr="00BB2447">
        <w:trPr>
          <w:cantSplit/>
          <w:trHeight w:val="60"/>
        </w:trPr>
        <w:tc>
          <w:tcPr>
            <w:tcW w:w="2268" w:type="dxa"/>
            <w:vMerge/>
          </w:tcPr>
          <w:p w14:paraId="0C553B78" w14:textId="77777777" w:rsidR="00514CC0" w:rsidRDefault="00514CC0">
            <w:pPr>
              <w:pStyle w:val="OWDefault"/>
              <w:spacing w:line="240" w:lineRule="auto"/>
              <w:textAlignment w:val="auto"/>
              <w:rPr>
                <w:rFonts w:cs="Calibri"/>
              </w:rPr>
            </w:pPr>
          </w:p>
        </w:tc>
        <w:tc>
          <w:tcPr>
            <w:tcW w:w="2267" w:type="dxa"/>
          </w:tcPr>
          <w:p w14:paraId="3CD7239D" w14:textId="77777777" w:rsidR="00514CC0" w:rsidRDefault="00E72B49">
            <w:pPr>
              <w:pStyle w:val="OWTablebodycentre"/>
            </w:pPr>
            <w:r>
              <w:t>M</w:t>
            </w:r>
          </w:p>
        </w:tc>
        <w:tc>
          <w:tcPr>
            <w:tcW w:w="2268" w:type="dxa"/>
          </w:tcPr>
          <w:p w14:paraId="247E20A5" w14:textId="77777777" w:rsidR="00514CC0" w:rsidRDefault="00E72B49">
            <w:pPr>
              <w:pStyle w:val="OWTablebodycentre"/>
            </w:pPr>
            <w:r>
              <w:t>64.2%</w:t>
            </w:r>
          </w:p>
        </w:tc>
        <w:tc>
          <w:tcPr>
            <w:tcW w:w="2268" w:type="dxa"/>
          </w:tcPr>
          <w:p w14:paraId="15B70EEB" w14:textId="77777777" w:rsidR="00514CC0" w:rsidRDefault="00E72B49">
            <w:pPr>
              <w:pStyle w:val="OWTablebodycentre"/>
            </w:pPr>
            <w:r>
              <w:t>62.3%</w:t>
            </w:r>
          </w:p>
        </w:tc>
      </w:tr>
      <w:tr w:rsidR="00514CC0" w14:paraId="5FD04AEF" w14:textId="77777777" w:rsidTr="00BB2447">
        <w:trPr>
          <w:cantSplit/>
          <w:trHeight w:val="60"/>
        </w:trPr>
        <w:tc>
          <w:tcPr>
            <w:tcW w:w="2268" w:type="dxa"/>
            <w:vMerge w:val="restart"/>
          </w:tcPr>
          <w:p w14:paraId="3ECB5AB3" w14:textId="77777777" w:rsidR="00514CC0" w:rsidRDefault="00E72B49">
            <w:pPr>
              <w:pStyle w:val="OWTablebodyleft"/>
            </w:pPr>
            <w:r>
              <w:t>Part-time</w:t>
            </w:r>
          </w:p>
        </w:tc>
        <w:tc>
          <w:tcPr>
            <w:tcW w:w="2267" w:type="dxa"/>
          </w:tcPr>
          <w:p w14:paraId="1A635ABF" w14:textId="77777777" w:rsidR="00514CC0" w:rsidRDefault="00E72B49">
            <w:pPr>
              <w:pStyle w:val="OWTablebodycentre"/>
            </w:pPr>
            <w:r>
              <w:t>F</w:t>
            </w:r>
          </w:p>
        </w:tc>
        <w:tc>
          <w:tcPr>
            <w:tcW w:w="2268" w:type="dxa"/>
          </w:tcPr>
          <w:p w14:paraId="709D236E" w14:textId="77777777" w:rsidR="00514CC0" w:rsidRDefault="00E72B49">
            <w:pPr>
              <w:pStyle w:val="OWTablebodycentre"/>
            </w:pPr>
            <w:r>
              <w:t>75.4%</w:t>
            </w:r>
          </w:p>
        </w:tc>
        <w:tc>
          <w:tcPr>
            <w:tcW w:w="2268" w:type="dxa"/>
          </w:tcPr>
          <w:p w14:paraId="57652F31" w14:textId="77777777" w:rsidR="00514CC0" w:rsidRDefault="00E72B49">
            <w:pPr>
              <w:pStyle w:val="OWTablebodycentre"/>
            </w:pPr>
            <w:r>
              <w:t>74.8%</w:t>
            </w:r>
          </w:p>
        </w:tc>
      </w:tr>
      <w:tr w:rsidR="00514CC0" w14:paraId="1099E4FA" w14:textId="77777777" w:rsidTr="00BB2447">
        <w:trPr>
          <w:cantSplit/>
          <w:trHeight w:val="60"/>
        </w:trPr>
        <w:tc>
          <w:tcPr>
            <w:tcW w:w="2268" w:type="dxa"/>
            <w:vMerge/>
          </w:tcPr>
          <w:p w14:paraId="54D78E63" w14:textId="77777777" w:rsidR="00514CC0" w:rsidRDefault="00514CC0">
            <w:pPr>
              <w:pStyle w:val="OWDefault"/>
              <w:spacing w:line="240" w:lineRule="auto"/>
              <w:textAlignment w:val="auto"/>
              <w:rPr>
                <w:rFonts w:cs="Calibri"/>
              </w:rPr>
            </w:pPr>
          </w:p>
        </w:tc>
        <w:tc>
          <w:tcPr>
            <w:tcW w:w="2267" w:type="dxa"/>
          </w:tcPr>
          <w:p w14:paraId="6C7E4474" w14:textId="77777777" w:rsidR="00514CC0" w:rsidRDefault="00E72B49">
            <w:pPr>
              <w:pStyle w:val="OWTablebodycentre"/>
            </w:pPr>
            <w:r>
              <w:t>M</w:t>
            </w:r>
          </w:p>
        </w:tc>
        <w:tc>
          <w:tcPr>
            <w:tcW w:w="2268" w:type="dxa"/>
          </w:tcPr>
          <w:p w14:paraId="431503D6" w14:textId="77777777" w:rsidR="00514CC0" w:rsidRDefault="00E72B49">
            <w:pPr>
              <w:pStyle w:val="OWTablebodycentre"/>
            </w:pPr>
            <w:r>
              <w:t>24.6%</w:t>
            </w:r>
          </w:p>
        </w:tc>
        <w:tc>
          <w:tcPr>
            <w:tcW w:w="2268" w:type="dxa"/>
          </w:tcPr>
          <w:p w14:paraId="1840FF96" w14:textId="77777777" w:rsidR="00514CC0" w:rsidRDefault="00E72B49">
            <w:pPr>
              <w:pStyle w:val="OWTablebodycentre"/>
            </w:pPr>
            <w:r>
              <w:t>25.2%</w:t>
            </w:r>
          </w:p>
        </w:tc>
      </w:tr>
      <w:tr w:rsidR="00514CC0" w14:paraId="3470529E" w14:textId="77777777" w:rsidTr="00BB2447">
        <w:trPr>
          <w:cantSplit/>
          <w:trHeight w:val="60"/>
        </w:trPr>
        <w:tc>
          <w:tcPr>
            <w:tcW w:w="2268" w:type="dxa"/>
            <w:vMerge w:val="restart"/>
          </w:tcPr>
          <w:p w14:paraId="7AF2093B" w14:textId="77777777" w:rsidR="00514CC0" w:rsidRDefault="00E72B49">
            <w:pPr>
              <w:pStyle w:val="OWTablebodyleft"/>
            </w:pPr>
            <w:r>
              <w:t>Casual</w:t>
            </w:r>
          </w:p>
        </w:tc>
        <w:tc>
          <w:tcPr>
            <w:tcW w:w="2267" w:type="dxa"/>
          </w:tcPr>
          <w:p w14:paraId="32592867" w14:textId="77777777" w:rsidR="00514CC0" w:rsidRDefault="00E72B49">
            <w:pPr>
              <w:pStyle w:val="OWTablebodycentre"/>
            </w:pPr>
            <w:r>
              <w:t>F</w:t>
            </w:r>
          </w:p>
        </w:tc>
        <w:tc>
          <w:tcPr>
            <w:tcW w:w="2268" w:type="dxa"/>
          </w:tcPr>
          <w:p w14:paraId="216FB696" w14:textId="77777777" w:rsidR="00514CC0" w:rsidRDefault="00E72B49">
            <w:pPr>
              <w:pStyle w:val="OWTablebodycentre"/>
            </w:pPr>
            <w:r>
              <w:t>57.2%</w:t>
            </w:r>
          </w:p>
        </w:tc>
        <w:tc>
          <w:tcPr>
            <w:tcW w:w="2268" w:type="dxa"/>
          </w:tcPr>
          <w:p w14:paraId="55BC50B0" w14:textId="77777777" w:rsidR="00514CC0" w:rsidRDefault="00E72B49">
            <w:pPr>
              <w:pStyle w:val="OWTablebodycentre"/>
            </w:pPr>
            <w:r>
              <w:t>55.9%</w:t>
            </w:r>
          </w:p>
        </w:tc>
      </w:tr>
      <w:tr w:rsidR="00514CC0" w14:paraId="6AE33D31" w14:textId="77777777" w:rsidTr="00BB2447">
        <w:trPr>
          <w:cantSplit/>
          <w:trHeight w:val="60"/>
        </w:trPr>
        <w:tc>
          <w:tcPr>
            <w:tcW w:w="2268" w:type="dxa"/>
            <w:vMerge/>
          </w:tcPr>
          <w:p w14:paraId="541E59B4" w14:textId="77777777" w:rsidR="00514CC0" w:rsidRDefault="00514CC0">
            <w:pPr>
              <w:pStyle w:val="OWDefault"/>
              <w:spacing w:line="240" w:lineRule="auto"/>
              <w:textAlignment w:val="auto"/>
              <w:rPr>
                <w:rFonts w:cs="Calibri"/>
              </w:rPr>
            </w:pPr>
          </w:p>
        </w:tc>
        <w:tc>
          <w:tcPr>
            <w:tcW w:w="2267" w:type="dxa"/>
          </w:tcPr>
          <w:p w14:paraId="2B643438" w14:textId="77777777" w:rsidR="00514CC0" w:rsidRDefault="00E72B49">
            <w:pPr>
              <w:pStyle w:val="OWTablebodycentre"/>
            </w:pPr>
            <w:r>
              <w:t>M</w:t>
            </w:r>
          </w:p>
        </w:tc>
        <w:tc>
          <w:tcPr>
            <w:tcW w:w="2268" w:type="dxa"/>
          </w:tcPr>
          <w:p w14:paraId="3E341C6A" w14:textId="77777777" w:rsidR="00514CC0" w:rsidRDefault="00E72B49">
            <w:pPr>
              <w:pStyle w:val="OWTablebodycentre"/>
            </w:pPr>
            <w:r>
              <w:t>42.8%</w:t>
            </w:r>
          </w:p>
        </w:tc>
        <w:tc>
          <w:tcPr>
            <w:tcW w:w="2268" w:type="dxa"/>
          </w:tcPr>
          <w:p w14:paraId="7032E0B4" w14:textId="77777777" w:rsidR="00514CC0" w:rsidRDefault="00E72B49">
            <w:pPr>
              <w:pStyle w:val="OWTablebodycentre"/>
            </w:pPr>
            <w:r>
              <w:t>44.1%</w:t>
            </w:r>
          </w:p>
        </w:tc>
      </w:tr>
    </w:tbl>
    <w:p w14:paraId="29A458BC" w14:textId="089DDAE8" w:rsidR="00514CC0" w:rsidRDefault="00E72B49">
      <w:pPr>
        <w:pStyle w:val="OWTablefootnote"/>
      </w:pPr>
      <w:r>
        <w:t xml:space="preserve">Source: WGEA Data Explorer, </w:t>
      </w:r>
      <w:r w:rsidR="00132141">
        <w:t xml:space="preserve">retrieved </w:t>
      </w:r>
      <w:r>
        <w:t>14 February 2020</w:t>
      </w:r>
    </w:p>
    <w:p w14:paraId="20ECDE98" w14:textId="77777777" w:rsidR="00514CC0" w:rsidRDefault="00E72B49">
      <w:pPr>
        <w:pStyle w:val="OWBodytextlargespaceabove"/>
      </w:pPr>
      <w:r>
        <w:t>Women’s overrepresentation in part-time employment is directly linked to gender divisions of labour within households, with women bearing a much higher load of unpaid housework and care work (as explored at Indicators 2.2 and 2.4). Gender segregation of the workforce according to employment status, with women more likely than men to work part-time, also contributes to gender inequity in superannuation and retirement (see Indicator 3.8).</w:t>
      </w:r>
    </w:p>
    <w:tbl>
      <w:tblPr>
        <w:tblStyle w:val="Casestudyteal"/>
        <w:tblW w:w="9071" w:type="dxa"/>
        <w:tblLayout w:type="fixed"/>
        <w:tblLook w:val="0620" w:firstRow="1" w:lastRow="0" w:firstColumn="0" w:lastColumn="0" w:noHBand="1" w:noVBand="1"/>
      </w:tblPr>
      <w:tblGrid>
        <w:gridCol w:w="9071"/>
      </w:tblGrid>
      <w:tr w:rsidR="00514CC0" w14:paraId="18D8C963" w14:textId="77777777" w:rsidTr="00BB2447">
        <w:trPr>
          <w:cnfStyle w:val="100000000000" w:firstRow="1" w:lastRow="0" w:firstColumn="0" w:lastColumn="0" w:oddVBand="0" w:evenVBand="0" w:oddHBand="0" w:evenHBand="0" w:firstRowFirstColumn="0" w:firstRowLastColumn="0" w:lastRowFirstColumn="0" w:lastRowLastColumn="0"/>
          <w:trHeight w:val="60"/>
        </w:trPr>
        <w:tc>
          <w:tcPr>
            <w:tcW w:w="9071" w:type="dxa"/>
          </w:tcPr>
          <w:p w14:paraId="3A242CD5" w14:textId="64441E55" w:rsidR="00514CC0" w:rsidRPr="002D3C26" w:rsidRDefault="00E72B49">
            <w:pPr>
              <w:pStyle w:val="OWBoxheading"/>
            </w:pPr>
            <w:r w:rsidRPr="002D3C26">
              <w:lastRenderedPageBreak/>
              <w:t>Beyond gender disaggregation of workforce and employment data: women</w:t>
            </w:r>
            <w:r w:rsidR="00305BFF">
              <w:t xml:space="preserve"> </w:t>
            </w:r>
            <w:r w:rsidRPr="002D3C26">
              <w:t>with</w:t>
            </w:r>
            <w:r w:rsidR="00305BFF">
              <w:t> </w:t>
            </w:r>
            <w:r w:rsidRPr="002D3C26">
              <w:t>disability, Abor</w:t>
            </w:r>
            <w:r w:rsidRPr="00560FC9">
              <w:t xml:space="preserve">iginal </w:t>
            </w:r>
            <w:r w:rsidR="00305BFF" w:rsidRPr="00560FC9">
              <w:t>and Torres Strait Islander</w:t>
            </w:r>
            <w:r w:rsidR="00560FC9" w:rsidRPr="00560FC9">
              <w:t xml:space="preserve"> </w:t>
            </w:r>
            <w:r w:rsidRPr="00560FC9">
              <w:t>wo</w:t>
            </w:r>
            <w:r w:rsidRPr="002D3C26">
              <w:t>men, and</w:t>
            </w:r>
            <w:r w:rsidR="00305BFF">
              <w:t xml:space="preserve"> </w:t>
            </w:r>
            <w:r w:rsidRPr="002D3C26">
              <w:t>recently</w:t>
            </w:r>
            <w:r w:rsidR="00305BFF">
              <w:t xml:space="preserve"> </w:t>
            </w:r>
            <w:r w:rsidRPr="002D3C26">
              <w:t>migrated</w:t>
            </w:r>
            <w:r w:rsidR="00305BFF">
              <w:t> </w:t>
            </w:r>
            <w:r w:rsidRPr="002D3C26">
              <w:t>women</w:t>
            </w:r>
          </w:p>
        </w:tc>
      </w:tr>
      <w:tr w:rsidR="00514CC0" w14:paraId="5107CF90" w14:textId="77777777" w:rsidTr="00BB2447">
        <w:trPr>
          <w:trHeight w:val="60"/>
        </w:trPr>
        <w:tc>
          <w:tcPr>
            <w:tcW w:w="9071" w:type="dxa"/>
          </w:tcPr>
          <w:p w14:paraId="4FB2A4EB" w14:textId="0DDFCBD7" w:rsidR="00514CC0" w:rsidRDefault="00E72B49">
            <w:pPr>
              <w:pStyle w:val="OWTablebodyleft"/>
            </w:pPr>
            <w:r>
              <w:t xml:space="preserve">The primary data sources used for this indicator are not able to be disaggregated beyond binary gender, in order to inform us about how composition of the Australian workforce by industry and employment is affected by other demographic factors and intersecting forms of </w:t>
            </w:r>
            <w:r w:rsidR="001A2D62">
              <w:t>discrimination</w:t>
            </w:r>
            <w:r>
              <w:t>.</w:t>
            </w:r>
          </w:p>
          <w:p w14:paraId="136DAFEE" w14:textId="435DB14D" w:rsidR="00514CC0" w:rsidRDefault="00E72B49">
            <w:pPr>
              <w:pStyle w:val="OWTablebodyleft"/>
            </w:pPr>
            <w:r>
              <w:t xml:space="preserve">There are some limited data sources on labour force participation of particular </w:t>
            </w:r>
            <w:r w:rsidR="00194511">
              <w:t>communities</w:t>
            </w:r>
            <w:r>
              <w:t xml:space="preserve"> who tend to experience intersecting forms of </w:t>
            </w:r>
            <w:r w:rsidR="00286036" w:rsidRPr="00286036">
              <w:t>discrimination</w:t>
            </w:r>
            <w:r>
              <w:t>. These</w:t>
            </w:r>
            <w:r w:rsidR="00E21D00">
              <w:t xml:space="preserve"> </w:t>
            </w:r>
            <w:r>
              <w:t>tend</w:t>
            </w:r>
            <w:r w:rsidR="00E21D00">
              <w:t> </w:t>
            </w:r>
            <w:r>
              <w:t>to focus on labour force participation and employment status, and are disaggregated typically by just the demographic group (sometimes comparing to whole-of-population rate or rate of the remainder of the population who are not of</w:t>
            </w:r>
            <w:r w:rsidR="00E21D00">
              <w:t> </w:t>
            </w:r>
            <w:r>
              <w:t xml:space="preserve">that demographic status), or by the particular demographic variable of focus </w:t>
            </w:r>
            <w:r w:rsidRPr="003E209A">
              <w:rPr>
                <w:rStyle w:val="Emphasis"/>
              </w:rPr>
              <w:t>and</w:t>
            </w:r>
            <w:r w:rsidR="00E21D00">
              <w:t> </w:t>
            </w:r>
            <w:r>
              <w:t>sex/gender.</w:t>
            </w:r>
          </w:p>
          <w:p w14:paraId="7202E7CB" w14:textId="77777777" w:rsidR="00514CC0" w:rsidRDefault="00E72B49">
            <w:pPr>
              <w:pStyle w:val="OWTablebodyleft"/>
            </w:pPr>
            <w:r>
              <w:t>For example:</w:t>
            </w:r>
          </w:p>
          <w:p w14:paraId="748348A2" w14:textId="487A0AB0" w:rsidR="00514CC0" w:rsidRDefault="00E72B49">
            <w:pPr>
              <w:pStyle w:val="OWTablebullet1"/>
            </w:pPr>
            <w:r>
              <w:t>the ABS’s Disability, ageing and carers survey reveals that in 2018 (latest data), 45.9% of women aged 15 to 64 years with reported disability living in households in Australia were employed, compared w</w:t>
            </w:r>
            <w:r w:rsidR="00E21D00">
              <w:t>i</w:t>
            </w:r>
            <w:r>
              <w:t>th 75.7% of women without reported disability.</w:t>
            </w:r>
          </w:p>
          <w:p w14:paraId="6B8672A6" w14:textId="5F1AD797" w:rsidR="00514CC0" w:rsidRDefault="00E72B49">
            <w:pPr>
              <w:pStyle w:val="OWTablebullet1"/>
            </w:pPr>
            <w:r>
              <w:t>Researchers at ANU’s Centre for Aboriginal Economic Policy Research have analysed the 2011 and 2016 waves of ABS Census data and found that Aboriginal and Torres Strait Islander women’s employment is growing, but there is still a large employment gap between the employment of First Nations women and non-Indigenous women, and between First Nations women living in non-remote areas and First Nations women living in remote areas. Moreover, the employment rate of Aboriginal and Torres Strait Islander women living in remote areas has dropped between 2011 and 2016 (Venn and Biddle, 2018). The ABS’s last detailed analysis of the Labour Force Survey for Labour force characteristics of Aboriginal and Torres Strait Islander Australians was undertaken in 2011, and found that 43.7% of</w:t>
            </w:r>
            <w:r w:rsidR="004C0AC9">
              <w:t> </w:t>
            </w:r>
            <w:r>
              <w:t>First Nations women were employed (in some capacity), compared with 57.3% of non-Indigenous women.</w:t>
            </w:r>
          </w:p>
          <w:p w14:paraId="64AB844F" w14:textId="77777777" w:rsidR="00514CC0" w:rsidRDefault="00E72B49">
            <w:pPr>
              <w:pStyle w:val="OWTablebullet1"/>
            </w:pPr>
            <w:r>
              <w:t>The ABS’s last available release of Characteristics of recent migrants, Australia survey was 2016 and revealed that 57% of recently migrated women were employed in some capacity, compared with 83% of recently migrated men.</w:t>
            </w:r>
          </w:p>
          <w:p w14:paraId="1FE937A1" w14:textId="0C739436" w:rsidR="005D2DDD" w:rsidRDefault="005D2DDD" w:rsidP="004C0AC9">
            <w:pPr>
              <w:pStyle w:val="OWTablebodyleft"/>
            </w:pPr>
            <w:r>
              <w:t>Gender disaggregation of labour force, workforce and employment data is an essential step toward understanding how composition of the labour force reflects and further compounds gender stereotypes and rigid gender roles. It would also be useful to have data which reveals how such gendered composition is further structured by and further perpetuates other stereotypes and structured inequalities related to, for example, racism, colonisation, ableism, homophobia, transphobia and socioeconomic disadvantage. This could be facilitated through demographic analysis which goes beyond gender.</w:t>
            </w:r>
          </w:p>
        </w:tc>
      </w:tr>
      <w:tr w:rsidR="004C0AC9" w14:paraId="7EAE6CF3" w14:textId="77777777" w:rsidTr="00BB2447">
        <w:trPr>
          <w:trHeight w:val="60"/>
        </w:trPr>
        <w:tc>
          <w:tcPr>
            <w:tcW w:w="9071" w:type="dxa"/>
          </w:tcPr>
          <w:p w14:paraId="2D7B78A0" w14:textId="77777777" w:rsidR="003D6A9B" w:rsidRPr="003D6A9B" w:rsidRDefault="003D6A9B" w:rsidP="003D6A9B">
            <w:pPr>
              <w:pStyle w:val="OWBoxsourcelinespaceabove"/>
            </w:pPr>
            <w:r>
              <w:lastRenderedPageBreak/>
              <w:drawing>
                <wp:inline distT="0" distB="0" distL="0" distR="0" wp14:anchorId="74CF5A47" wp14:editId="4C607292">
                  <wp:extent cx="431640" cy="3960"/>
                  <wp:effectExtent l="0" t="0" r="0" b="0"/>
                  <wp:docPr id="1205436793" name="Picture 4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28">
                            <a:extLst>
                              <a:ext uri="{28A0092B-C50C-407E-A947-70E740481C1C}">
                                <a14:useLocalDpi xmlns:a14="http://schemas.microsoft.com/office/drawing/2010/main" val="0"/>
                              </a:ext>
                            </a:extLst>
                          </a:blip>
                          <a:stretch>
                            <a:fillRect/>
                          </a:stretch>
                        </pic:blipFill>
                        <pic:spPr>
                          <a:xfrm>
                            <a:off x="0" y="0"/>
                            <a:ext cx="431640" cy="3960"/>
                          </a:xfrm>
                          <a:prstGeom prst="rect">
                            <a:avLst/>
                          </a:prstGeom>
                        </pic:spPr>
                      </pic:pic>
                    </a:graphicData>
                  </a:graphic>
                </wp:inline>
              </w:drawing>
            </w:r>
          </w:p>
          <w:p w14:paraId="3B6AC278" w14:textId="77777777" w:rsidR="004C0AC9" w:rsidRDefault="004C0AC9" w:rsidP="003D6A9B">
            <w:pPr>
              <w:pStyle w:val="OWBoxsource"/>
            </w:pPr>
            <w:r>
              <w:t>Sources:</w:t>
            </w:r>
          </w:p>
          <w:p w14:paraId="09B33FDA" w14:textId="77777777" w:rsidR="004C0AC9" w:rsidRDefault="004C0AC9" w:rsidP="004C0AC9">
            <w:pPr>
              <w:pStyle w:val="OWTablefootnotebullet"/>
            </w:pPr>
            <w:r>
              <w:t xml:space="preserve">ABS, </w:t>
            </w:r>
            <w:r w:rsidRPr="003E209A">
              <w:rPr>
                <w:rStyle w:val="Emphasis"/>
              </w:rPr>
              <w:t>Disability, ageing and carers, Australia, 2018</w:t>
            </w:r>
            <w:r>
              <w:t>, 2019.</w:t>
            </w:r>
          </w:p>
          <w:p w14:paraId="7DA2D3B0" w14:textId="77777777" w:rsidR="004C0AC9" w:rsidRDefault="004C0AC9" w:rsidP="004C0AC9">
            <w:pPr>
              <w:pStyle w:val="OWTablefootnotebullet"/>
            </w:pPr>
            <w:r>
              <w:t xml:space="preserve">ABS, </w:t>
            </w:r>
            <w:r w:rsidRPr="003E209A">
              <w:rPr>
                <w:rStyle w:val="Emphasis"/>
              </w:rPr>
              <w:t>Characteristics of recent migrants, Australia, November 2016</w:t>
            </w:r>
            <w:r>
              <w:t>, 2017.</w:t>
            </w:r>
          </w:p>
          <w:p w14:paraId="6AA00890" w14:textId="77777777" w:rsidR="00386F57" w:rsidRDefault="00386F57" w:rsidP="00386F57">
            <w:pPr>
              <w:pStyle w:val="OWTablefootnotebullet"/>
            </w:pPr>
            <w:r>
              <w:t xml:space="preserve">ABS, </w:t>
            </w:r>
            <w:r w:rsidRPr="003E209A">
              <w:rPr>
                <w:rStyle w:val="Emphasis"/>
              </w:rPr>
              <w:t>Labour force characteristics of Aboriginal and Torres Strait Islander Australians, Estimates from the Labour Force Survey, 2011</w:t>
            </w:r>
            <w:r>
              <w:t>, 2012.</w:t>
            </w:r>
          </w:p>
          <w:p w14:paraId="23B1FFC8" w14:textId="18755F72" w:rsidR="00386F57" w:rsidRDefault="00386F57" w:rsidP="00386F57">
            <w:pPr>
              <w:pStyle w:val="OWTablefootnotebullet"/>
            </w:pPr>
            <w:r>
              <w:t>Venn and Biddle, 2018</w:t>
            </w:r>
          </w:p>
        </w:tc>
      </w:tr>
    </w:tbl>
    <w:p w14:paraId="1D8C6F16" w14:textId="77777777" w:rsidR="00514CC0" w:rsidRDefault="00E72B49" w:rsidP="00E1549C">
      <w:pPr>
        <w:pStyle w:val="Heading4"/>
      </w:pPr>
      <w:r>
        <w:t>Indicator 2.4: Proportion of time women spend in unpaid care and housework labour compared to men</w:t>
      </w:r>
    </w:p>
    <w:tbl>
      <w:tblPr>
        <w:tblStyle w:val="Indicatoroutlineteal"/>
        <w:tblW w:w="9072" w:type="dxa"/>
        <w:tblLayout w:type="fixed"/>
        <w:tblLook w:val="0680" w:firstRow="0" w:lastRow="0" w:firstColumn="1" w:lastColumn="0" w:noHBand="1" w:noVBand="1"/>
      </w:tblPr>
      <w:tblGrid>
        <w:gridCol w:w="2268"/>
        <w:gridCol w:w="6804"/>
      </w:tblGrid>
      <w:tr w:rsidR="00514CC0" w14:paraId="4DA9FADB" w14:textId="77777777" w:rsidTr="00BB2447">
        <w:trPr>
          <w:cantSplit/>
          <w:trHeight w:val="60"/>
        </w:trPr>
        <w:tc>
          <w:tcPr>
            <w:tcW w:w="2268" w:type="dxa"/>
          </w:tcPr>
          <w:p w14:paraId="2F8E6B32" w14:textId="77777777" w:rsidR="00514CC0" w:rsidRDefault="00E72B49">
            <w:pPr>
              <w:pStyle w:val="OWTablebodyleft"/>
            </w:pPr>
            <w:r>
              <w:t>What does this indicator tell us about Monitoring domain 2: Rigid gender roles and stereotyped constructions of masculinity and femininity?</w:t>
            </w:r>
          </w:p>
        </w:tc>
        <w:tc>
          <w:tcPr>
            <w:tcW w:w="6803" w:type="dxa"/>
          </w:tcPr>
          <w:p w14:paraId="05B32C98" w14:textId="0F27FE2E" w:rsidR="00514CC0" w:rsidRDefault="00E72B49">
            <w:pPr>
              <w:pStyle w:val="OWTablebodyleft"/>
            </w:pPr>
            <w:r>
              <w:t>This indicator looks at gender equity in private lives in relation to</w:t>
            </w:r>
            <w:r w:rsidR="00287D9B">
              <w:t> </w:t>
            </w:r>
            <w:r>
              <w:t>sharing of unpaid care and housework labour, and how this practice has changed over time.</w:t>
            </w:r>
          </w:p>
          <w:p w14:paraId="45C26503" w14:textId="52270EB5" w:rsidR="00514CC0" w:rsidRDefault="00E72B49">
            <w:pPr>
              <w:pStyle w:val="OWTablebodyleft"/>
            </w:pPr>
            <w:r>
              <w:t>‘With women’s rising employment participation, the division of labour between men and women has become a topic of high and persistent public and policy interest. The disproportionate involvement of women in unpaid work arguably limits their labour market availability and career options and contributes to a persistent gender pay gap.’</w:t>
            </w:r>
            <w:r w:rsidR="0008357D">
              <w:rPr>
                <w:rStyle w:val="EndnoteReference"/>
              </w:rPr>
              <w:endnoteReference w:id="258"/>
            </w:r>
          </w:p>
        </w:tc>
      </w:tr>
      <w:tr w:rsidR="00514CC0" w14:paraId="6244E1DF" w14:textId="77777777" w:rsidTr="00BB2447">
        <w:trPr>
          <w:cantSplit/>
          <w:trHeight w:val="60"/>
        </w:trPr>
        <w:tc>
          <w:tcPr>
            <w:tcW w:w="2268" w:type="dxa"/>
          </w:tcPr>
          <w:p w14:paraId="0D098A70" w14:textId="4BFBC316" w:rsidR="00514CC0" w:rsidRDefault="00E72B49">
            <w:pPr>
              <w:pStyle w:val="OWTablebodyleft"/>
            </w:pPr>
            <w:r>
              <w:t>Expected change if</w:t>
            </w:r>
            <w:r w:rsidR="00287D9B">
              <w:t> </w:t>
            </w:r>
            <w:r>
              <w:t>high-quality programs and infrastructure for prevention of violence against women and gender equality are implemented</w:t>
            </w:r>
          </w:p>
        </w:tc>
        <w:tc>
          <w:tcPr>
            <w:tcW w:w="6803" w:type="dxa"/>
          </w:tcPr>
          <w:p w14:paraId="4210AD39" w14:textId="77777777" w:rsidR="00514CC0" w:rsidRDefault="00E72B49">
            <w:pPr>
              <w:pStyle w:val="OWTablebodyleft"/>
            </w:pPr>
            <w:r>
              <w:t>Short- and medium-term: evidence of increased uptake of some unpaid care and housework labour by men, although in the short-term women will continue to do most of the unpaid work. In the medium-term, increased uptake of unpaid work by men with evidence that this is more readily accepted.</w:t>
            </w:r>
          </w:p>
          <w:p w14:paraId="14D248F0" w14:textId="77777777" w:rsidR="00514CC0" w:rsidRDefault="00E72B49">
            <w:pPr>
              <w:pStyle w:val="OWTablebodyleft"/>
            </w:pPr>
            <w:r>
              <w:t>Long-term: increase in uptake of unpaid work among men, eventually reaching parity.</w:t>
            </w:r>
          </w:p>
        </w:tc>
      </w:tr>
      <w:tr w:rsidR="00514CC0" w14:paraId="246AE266" w14:textId="77777777" w:rsidTr="00BB2447">
        <w:trPr>
          <w:cantSplit/>
          <w:trHeight w:val="60"/>
        </w:trPr>
        <w:tc>
          <w:tcPr>
            <w:tcW w:w="2268" w:type="dxa"/>
          </w:tcPr>
          <w:p w14:paraId="079A1B2E" w14:textId="77777777" w:rsidR="00514CC0" w:rsidRDefault="00E72B49">
            <w:pPr>
              <w:pStyle w:val="OWTablebodyleft"/>
            </w:pPr>
            <w:r>
              <w:t>Data source(s)</w:t>
            </w:r>
          </w:p>
        </w:tc>
        <w:tc>
          <w:tcPr>
            <w:tcW w:w="6803" w:type="dxa"/>
          </w:tcPr>
          <w:p w14:paraId="3E116E28" w14:textId="116D24C8" w:rsidR="00514CC0" w:rsidRDefault="00E72B49" w:rsidP="002C2EC7">
            <w:pPr>
              <w:pStyle w:val="OWTablenumberdigit"/>
              <w:numPr>
                <w:ilvl w:val="0"/>
                <w:numId w:val="24"/>
              </w:numPr>
            </w:pPr>
            <w:r>
              <w:t>Household Income and Labour Dynamics Australia (HILDA) survey 2002 and 2016, Melbourne Institute, University of Melbourne</w:t>
            </w:r>
            <w:r w:rsidR="0008357D">
              <w:rPr>
                <w:rStyle w:val="EndnoteReference"/>
              </w:rPr>
              <w:endnoteReference w:id="259"/>
            </w:r>
          </w:p>
          <w:p w14:paraId="3DBBC215" w14:textId="759F4106" w:rsidR="00514CC0" w:rsidRDefault="00E72B49">
            <w:pPr>
              <w:pStyle w:val="OWTablenumberdigit"/>
            </w:pPr>
            <w:r>
              <w:t>Disability, Ageing and Carers survey 2009, 2012 and 2018, ABS (with more detailed analysis presented in the ABS Gender Indicators 2018)</w:t>
            </w:r>
            <w:r w:rsidR="0008357D">
              <w:rPr>
                <w:rStyle w:val="EndnoteReference"/>
              </w:rPr>
              <w:endnoteReference w:id="260"/>
            </w:r>
          </w:p>
          <w:p w14:paraId="798E72AB" w14:textId="6E57E711" w:rsidR="00AC2C10" w:rsidRDefault="00AC2C10" w:rsidP="00AC2C10">
            <w:pPr>
              <w:pStyle w:val="OWTablenumberdigit"/>
            </w:pPr>
            <w:r w:rsidRPr="00AC2C10">
              <w:t>Census of Population and Housing, ABS, 2016</w:t>
            </w:r>
            <w:r w:rsidR="00C041A7">
              <w:rPr>
                <w:rStyle w:val="EndnoteReference"/>
              </w:rPr>
              <w:endnoteReference w:id="261"/>
            </w:r>
          </w:p>
          <w:p w14:paraId="67117964" w14:textId="77777777" w:rsidR="00514CC0" w:rsidRDefault="00E72B49">
            <w:pPr>
              <w:pStyle w:val="OWTablebodyleft"/>
            </w:pPr>
            <w:r>
              <w:t>The ABS undertook a Time Use Survey in 1992, 1997 and 2006, which is a detailed survey designed to focus on Australians’ use of daily time. When available, the new 2019–20 wave of the Time Use Survey will provide a much-needed updated data source for tracking change in gendered patterns of unpaid labour.</w:t>
            </w:r>
          </w:p>
        </w:tc>
      </w:tr>
      <w:tr w:rsidR="00514CC0" w14:paraId="5BCE5F32" w14:textId="77777777" w:rsidTr="00BB2447">
        <w:trPr>
          <w:cantSplit/>
          <w:trHeight w:val="60"/>
        </w:trPr>
        <w:tc>
          <w:tcPr>
            <w:tcW w:w="2268" w:type="dxa"/>
          </w:tcPr>
          <w:p w14:paraId="337C1A34" w14:textId="77777777" w:rsidR="00514CC0" w:rsidRDefault="00E72B49">
            <w:pPr>
              <w:pStyle w:val="OWTablebodyleft"/>
            </w:pPr>
            <w:r>
              <w:lastRenderedPageBreak/>
              <w:t>Change over time summary: short-term change revealed by the data</w:t>
            </w:r>
          </w:p>
        </w:tc>
        <w:tc>
          <w:tcPr>
            <w:tcW w:w="6803" w:type="dxa"/>
          </w:tcPr>
          <w:p w14:paraId="3B060ABE" w14:textId="77777777" w:rsidR="00514CC0" w:rsidRDefault="00E72B49">
            <w:pPr>
              <w:pStyle w:val="OWTablebodyleft"/>
            </w:pPr>
            <w:r>
              <w:t>Gendered division of unpaid labour remains entrenched, with women continuing to undertake significantly more unpaid labour (care including for people with disability and housework) than men.</w:t>
            </w:r>
          </w:p>
          <w:p w14:paraId="71D6EA4B" w14:textId="77777777" w:rsidR="00514CC0" w:rsidRDefault="00E72B49">
            <w:pPr>
              <w:pStyle w:val="OWTablebodyleft"/>
            </w:pPr>
            <w:r>
              <w:t>Men’s unpaid labour has increased only marginally over time.</w:t>
            </w:r>
          </w:p>
          <w:p w14:paraId="5CE74631" w14:textId="77777777" w:rsidR="00514CC0" w:rsidRDefault="00E72B49">
            <w:pPr>
              <w:pStyle w:val="OWTablebodyleft"/>
            </w:pPr>
            <w:r>
              <w:t>Women are spending more time on paid work, and yet their time on unpaid labour has not decreased.</w:t>
            </w:r>
          </w:p>
          <w:p w14:paraId="2F7CA4E3" w14:textId="77777777" w:rsidR="00514CC0" w:rsidRDefault="00E72B49">
            <w:pPr>
              <w:pStyle w:val="OWTablebodyleft"/>
            </w:pPr>
            <w:r>
              <w:t>Aboriginal and Torres Strait Islander women are more likely to be primary carers for people with disability than non-Indigenous women, and First Nations men. Women with disability are more likely to be primary carers for people with disability than women without disability, and men with disability.</w:t>
            </w:r>
          </w:p>
        </w:tc>
      </w:tr>
      <w:tr w:rsidR="00514CC0" w14:paraId="7FC8836A" w14:textId="77777777" w:rsidTr="00BB2447">
        <w:trPr>
          <w:cantSplit/>
          <w:trHeight w:val="60"/>
        </w:trPr>
        <w:tc>
          <w:tcPr>
            <w:tcW w:w="2268" w:type="dxa"/>
          </w:tcPr>
          <w:p w14:paraId="1726ECFD" w14:textId="77777777" w:rsidR="00514CC0" w:rsidRDefault="00E72B49">
            <w:pPr>
              <w:pStyle w:val="OWTablebodyleft"/>
            </w:pPr>
            <w:r>
              <w:t>Does the change confirm or run contrary to expected change?</w:t>
            </w:r>
          </w:p>
        </w:tc>
        <w:tc>
          <w:tcPr>
            <w:tcW w:w="6803" w:type="dxa"/>
          </w:tcPr>
          <w:p w14:paraId="4B5E67FF" w14:textId="77777777" w:rsidR="00514CC0" w:rsidRDefault="00E72B49">
            <w:pPr>
              <w:pStyle w:val="OWTablebodyleft"/>
            </w:pPr>
            <w:r>
              <w:t>Change has been slower than expected.</w:t>
            </w:r>
          </w:p>
        </w:tc>
      </w:tr>
      <w:tr w:rsidR="00514CC0" w14:paraId="77886069" w14:textId="77777777" w:rsidTr="00BB2447">
        <w:trPr>
          <w:cantSplit/>
          <w:trHeight w:val="60"/>
        </w:trPr>
        <w:tc>
          <w:tcPr>
            <w:tcW w:w="2268" w:type="dxa"/>
          </w:tcPr>
          <w:p w14:paraId="4A667B49" w14:textId="77777777" w:rsidR="00514CC0" w:rsidRDefault="00E72B49">
            <w:pPr>
              <w:pStyle w:val="OWTablebodyleft"/>
            </w:pPr>
            <w:r>
              <w:t>Gaps in existing data</w:t>
            </w:r>
          </w:p>
        </w:tc>
        <w:tc>
          <w:tcPr>
            <w:tcW w:w="6803" w:type="dxa"/>
          </w:tcPr>
          <w:p w14:paraId="58946A12" w14:textId="3DC07683" w:rsidR="00514CC0" w:rsidRDefault="00E72B49">
            <w:pPr>
              <w:pStyle w:val="OWTablebodyleft"/>
            </w:pPr>
            <w:r>
              <w:t xml:space="preserve">The HILDA survey focuses on many different </w:t>
            </w:r>
            <w:r w:rsidR="008A11AF">
              <w:t>topics and</w:t>
            </w:r>
            <w:r>
              <w:t xml:space="preserve"> use of time is not analysed for public release every year. Moreover, beyond gender disaggregation and disaggregation by relationship type and presence of children, HILDA survey data (at least, what is publicly available) does not allow us to know how a gender division of time use is affected by other demographic variables, for example Indigenous status.</w:t>
            </w:r>
          </w:p>
          <w:p w14:paraId="50C74959" w14:textId="77777777" w:rsidR="00514CC0" w:rsidRDefault="00E72B49">
            <w:pPr>
              <w:pStyle w:val="OWTablebodyleft"/>
            </w:pPr>
            <w:r>
              <w:t>The ABS’s reinstated Time Use Survey will be a much-needed data source and should be undertaken on a regular basis. It would be useful to understand how time use differs for different groups of women, on the basis of the interaction of gender with other demographic factors and forms of disadvantage.</w:t>
            </w:r>
          </w:p>
          <w:p w14:paraId="50B62A7A" w14:textId="4C17E096" w:rsidR="00C041A7" w:rsidRDefault="00C041A7" w:rsidP="00C041A7">
            <w:pPr>
              <w:pStyle w:val="OWTablebodyleft"/>
            </w:pPr>
            <w:r>
              <w:t>The Time Use Survey is a superior instrument in measuring and comparing use of time to the current alternatives (Census and HILDA) because: 1) it focuses solely on use of time, and therefore can be a deep exploration of the topic and 2) it does not rely on people’s memory, ‘guesstimates’ or skewed self-perception of their use of time, but rather asks people to fill out detailed time log</w:t>
            </w:r>
            <w:r w:rsidR="00386F57">
              <w:t> </w:t>
            </w:r>
            <w:r>
              <w:t>diaries at regular short intervals. In this respect it is a far more</w:t>
            </w:r>
            <w:r w:rsidR="00386F57">
              <w:t> </w:t>
            </w:r>
            <w:r>
              <w:t>accurate methodology for making visible unpaid care and housework burdens and gendered differences in division of labour.</w:t>
            </w:r>
            <w:r>
              <w:rPr>
                <w:rStyle w:val="EndnoteReference"/>
              </w:rPr>
              <w:endnoteReference w:id="262"/>
            </w:r>
          </w:p>
        </w:tc>
      </w:tr>
    </w:tbl>
    <w:p w14:paraId="5FB3C788" w14:textId="2543FF32" w:rsidR="00514CC0" w:rsidRDefault="00E72B49" w:rsidP="00F6538C">
      <w:pPr>
        <w:pStyle w:val="OWBodytextlargespaceabove"/>
        <w:keepLines/>
      </w:pPr>
      <w:r>
        <w:lastRenderedPageBreak/>
        <w:t>Publicly available HILDA analysis of gender division of labour focuses primarily on couples in female–male relationships (which HILDA refers to as ‘heterosexual couples’) among persons of working age (15 to 64).</w:t>
      </w:r>
      <w:r w:rsidR="0008357D">
        <w:rPr>
          <w:rStyle w:val="EndnoteReference"/>
        </w:rPr>
        <w:endnoteReference w:id="263"/>
      </w:r>
      <w:r>
        <w:rPr>
          <w:rStyle w:val="OWSuperscript"/>
        </w:rPr>
        <w:t xml:space="preserve"> </w:t>
      </w:r>
      <w:r>
        <w:t>HILDA collects information on actual time spent on paid and unpaid work, how people feel about the division of labour in their relationships, and attitudes towards gender roles with regard to the division of labour where a couple has children.</w:t>
      </w:r>
    </w:p>
    <w:p w14:paraId="0EFA8E44" w14:textId="77777777" w:rsidR="00514CC0" w:rsidRDefault="00E72B49" w:rsidP="00F868FE">
      <w:pPr>
        <w:pStyle w:val="Heading5"/>
      </w:pPr>
      <w:r>
        <w:t>Divisions of paid and unpaid labour, 2002 and 2016</w:t>
      </w:r>
    </w:p>
    <w:p w14:paraId="3D3082B9" w14:textId="444BE1F8" w:rsidR="00514CC0" w:rsidRDefault="00E72B49">
      <w:pPr>
        <w:pStyle w:val="BodyText"/>
      </w:pPr>
      <w:r>
        <w:t>While HILDA collects data on a wide array of activities by minutes and hours per week, analysis in the 2018 annual report</w:t>
      </w:r>
      <w:r w:rsidR="0008357D">
        <w:rPr>
          <w:rStyle w:val="EndnoteReference"/>
        </w:rPr>
        <w:endnoteReference w:id="264"/>
      </w:r>
      <w:r>
        <w:t xml:space="preserve"> was grouped into three categories for the purposes of examining gendered divisions of labour:</w:t>
      </w:r>
    </w:p>
    <w:p w14:paraId="0913B9A5" w14:textId="77777777" w:rsidR="00514CC0" w:rsidRDefault="00E72B49" w:rsidP="002C2EC7">
      <w:pPr>
        <w:pStyle w:val="OWNumberdigit"/>
        <w:numPr>
          <w:ilvl w:val="0"/>
          <w:numId w:val="8"/>
        </w:numPr>
      </w:pPr>
      <w:r>
        <w:t>employment (paid employment time as well as commuting time)</w:t>
      </w:r>
    </w:p>
    <w:p w14:paraId="54C59887" w14:textId="77777777" w:rsidR="00514CC0" w:rsidRDefault="00E72B49">
      <w:pPr>
        <w:pStyle w:val="OWNumberdigit"/>
      </w:pPr>
      <w:r>
        <w:t>housework (including housework tasks, household errands and outdoor tasks)</w:t>
      </w:r>
    </w:p>
    <w:p w14:paraId="3B79459D" w14:textId="77777777" w:rsidR="00514CC0" w:rsidRDefault="00E72B49">
      <w:pPr>
        <w:pStyle w:val="OWNumberdigit"/>
      </w:pPr>
      <w:r>
        <w:t>care work (looking after one’s own children, caring for elderly parents or parents-in-law, caring for adult spouses or family members living with disabilities).</w:t>
      </w:r>
      <w:r>
        <w:rPr>
          <w:rStyle w:val="OWSuperscript"/>
        </w:rPr>
        <w:footnoteReference w:id="35"/>
      </w:r>
    </w:p>
    <w:p w14:paraId="36707852" w14:textId="067ACED2" w:rsidR="00514CC0" w:rsidRDefault="00E72B49" w:rsidP="005D2DDD">
      <w:pPr>
        <w:pStyle w:val="OWBodytextafterlist"/>
      </w:pPr>
      <w:r>
        <w:t>Comparing 2002 and 2016, the HILDA survey reveals a gendered division of labour across the</w:t>
      </w:r>
      <w:r w:rsidR="00F6538C">
        <w:t> </w:t>
      </w:r>
      <w:r>
        <w:t>population. On average, women split their time more evenly than men across the three categories of employment, housework and care work, spending less time than men in paid employment and more time undertaking the unpaid labour of housework and care for children and family members. Men’s time usage has remained relatively stable between 2002 and 2016, with men spending the most time (35.9 mean hours per week) in employment in both years. In 2016, men undertook marginally more housework than in 2002 (from 12.4 mean hours per week to 13.3), and care work, from 4.8 mean hours per week in 2002 to 5.4 hours in 2016.</w:t>
      </w:r>
    </w:p>
    <w:p w14:paraId="13C4A4EE" w14:textId="5E63DF96" w:rsidR="00514CC0" w:rsidRDefault="00E72B49">
      <w:pPr>
        <w:pStyle w:val="BodyText"/>
      </w:pPr>
      <w:r>
        <w:t>In contrast, we have seen more significant shifts in women’s time usage over this 14-year period. In 2016, Australian women of working age were engaged in an average of 24.9 hours per week of employment, compared with 21.5 hours in 2002. In 2002, on average women undertook 22.8 hours of housework per week, which decreased in 20</w:t>
      </w:r>
      <w:r w:rsidR="00744387">
        <w:t>16</w:t>
      </w:r>
      <w:r>
        <w:t xml:space="preserve"> to 20.4 hours per week. However, women’s hours spent on care labour has increased, from 9.7 hours in 2002 to 11.3 hours in 2016 (see Figure </w:t>
      </w:r>
      <w:r w:rsidR="0017588F">
        <w:t>13</w:t>
      </w:r>
      <w:r>
        <w:t>, below).</w:t>
      </w:r>
    </w:p>
    <w:p w14:paraId="79F7E858" w14:textId="13D02CFD" w:rsidR="00514CC0" w:rsidRDefault="00E72B49">
      <w:pPr>
        <w:pStyle w:val="OWFigurecaption"/>
      </w:pPr>
      <w:r>
        <w:lastRenderedPageBreak/>
        <w:t xml:space="preserve">Figure </w:t>
      </w:r>
      <w:r w:rsidR="0017588F">
        <w:t>13</w:t>
      </w:r>
      <w:r>
        <w:t>: Average hours per week spent on employment, housework and care labour by</w:t>
      </w:r>
      <w:r w:rsidR="00287D9B">
        <w:t> </w:t>
      </w:r>
      <w:r>
        <w:t xml:space="preserve">gender, </w:t>
      </w:r>
      <w:r w:rsidR="002B401C">
        <w:t>2002 and 2016</w:t>
      </w:r>
    </w:p>
    <w:p w14:paraId="3699666A" w14:textId="34C86393" w:rsidR="00514CC0" w:rsidRDefault="00A22941" w:rsidP="005D2DDD">
      <w:pPr>
        <w:pStyle w:val="OWFigureinline"/>
      </w:pPr>
      <w:r>
        <w:rPr>
          <w:noProof/>
        </w:rPr>
        <w:drawing>
          <wp:inline distT="0" distB="0" distL="0" distR="0" wp14:anchorId="62DC2CF7" wp14:editId="13E95D75">
            <wp:extent cx="5651500" cy="3963035"/>
            <wp:effectExtent l="0" t="0" r="6350" b="0"/>
            <wp:docPr id="1854038879" name="Picture 63" descr="Column graph of the following data (average hours per week). Women (2002): Employment – 21.5; Housework – 22.8; Care – 9.7. Men (2002): Employment – 35.9; Housework – 12.4; Care – 4.8. Women (2016): Employment – 24.9; Housework – 20.4; Care – 11.3. Men (2016): Employment – 35.9; Housework – 13.3; Care –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38879" name="Picture 63" descr="Column graph of the following data (average hours per week). Women (2002): Employment – 21.5; Housework – 22.8; Care – 9.7. Men (2002): Employment – 35.9; Housework – 12.4; Care – 4.8. Women (2016): Employment – 24.9; Housework – 20.4; Care – 11.3. Men (2016): Employment – 35.9; Housework – 13.3; Care – 5.4."/>
                    <pic:cNvPicPr/>
                  </pic:nvPicPr>
                  <pic:blipFill>
                    <a:blip r:embed="rId44">
                      <a:extLst>
                        <a:ext uri="{28A0092B-C50C-407E-A947-70E740481C1C}">
                          <a14:useLocalDpi xmlns:a14="http://schemas.microsoft.com/office/drawing/2010/main" val="0"/>
                        </a:ext>
                      </a:extLst>
                    </a:blip>
                    <a:stretch>
                      <a:fillRect/>
                    </a:stretch>
                  </pic:blipFill>
                  <pic:spPr>
                    <a:xfrm>
                      <a:off x="0" y="0"/>
                      <a:ext cx="5651500" cy="3963035"/>
                    </a:xfrm>
                    <a:prstGeom prst="rect">
                      <a:avLst/>
                    </a:prstGeom>
                  </pic:spPr>
                </pic:pic>
              </a:graphicData>
            </a:graphic>
          </wp:inline>
        </w:drawing>
      </w:r>
    </w:p>
    <w:p w14:paraId="35FAC075" w14:textId="77777777" w:rsidR="00514CC0" w:rsidRDefault="00E72B49">
      <w:pPr>
        <w:pStyle w:val="OWFigurefootnote"/>
      </w:pPr>
      <w:r>
        <w:t>Source: Wilkins and Lass, 2018, pp. 82–83</w:t>
      </w:r>
    </w:p>
    <w:p w14:paraId="6FB61B13" w14:textId="2DAA08B8" w:rsidR="00514CC0" w:rsidRDefault="00E72B49">
      <w:pPr>
        <w:pStyle w:val="BodyText"/>
      </w:pPr>
      <w:r>
        <w:t>The above figures represent the average hours per week at a population level for all women and all men. When the data from 2002 and 2016 is combined, further detail about the gendered division of labour across men and women, with and without partners and with and</w:t>
      </w:r>
      <w:r w:rsidR="00386F57">
        <w:t> </w:t>
      </w:r>
      <w:r>
        <w:t xml:space="preserve">without children, becomes apparent. Table </w:t>
      </w:r>
      <w:r w:rsidR="0017588F">
        <w:t>19</w:t>
      </w:r>
      <w:r>
        <w:t xml:space="preserve"> (below) demonstrates that even when children are not present, the time spent on all types of labour differs according to gender. Women with no live-in partner, in de facto relationships or in married relationships without children tend to spend less time on employment and more time on housework and care than men. However, the gender differentials in time usage on different forms of labour increase considerably with the presence of children.</w:t>
      </w:r>
    </w:p>
    <w:p w14:paraId="38398830" w14:textId="6E17CDAD" w:rsidR="00514CC0" w:rsidRDefault="00E72B49">
      <w:pPr>
        <w:pStyle w:val="BodyText"/>
      </w:pPr>
      <w:r>
        <w:t>With children to care for, there are notable decreases in women’s employment engagement and substantial increases in their time spent on housework and care. While men’s time on housework and care also increases with the presence of children, it is far less than women’s. For example, men in de facto relationships with dependent children spend on average 16.9 hours on housework per week, as compared with 27.7 hours by women. Women in de facto relationships with children spend on average 28.6 hours per week on care labour, compared to 13.6 hours by men in de facto relationships with children. That is, women’s care burden is more than double men’s in this (de facto) relationship setting.</w:t>
      </w:r>
    </w:p>
    <w:p w14:paraId="223A5C03" w14:textId="77777777" w:rsidR="00386F57" w:rsidRDefault="00386F57">
      <w:pPr>
        <w:pStyle w:val="BodyText"/>
      </w:pPr>
    </w:p>
    <w:p w14:paraId="2522D2E2" w14:textId="77777777" w:rsidR="00386F57" w:rsidRDefault="00386F57">
      <w:pPr>
        <w:pStyle w:val="OWTablecaption"/>
        <w:sectPr w:rsidR="00386F57" w:rsidSect="001E75F6">
          <w:footerReference w:type="default" r:id="rId45"/>
          <w:footnotePr>
            <w:numFmt w:val="lowerRoman"/>
          </w:footnotePr>
          <w:endnotePr>
            <w:numFmt w:val="decimal"/>
          </w:endnotePr>
          <w:pgSz w:w="11906" w:h="16838" w:code="9"/>
          <w:pgMar w:top="1418" w:right="1418" w:bottom="1418" w:left="1418" w:header="454" w:footer="454" w:gutter="0"/>
          <w:cols w:space="720"/>
          <w:noEndnote/>
        </w:sectPr>
      </w:pPr>
    </w:p>
    <w:p w14:paraId="122A5CA7" w14:textId="70C9D93D" w:rsidR="00514CC0" w:rsidRDefault="00E72B49" w:rsidP="00F6538C">
      <w:pPr>
        <w:pStyle w:val="OWTablecaption"/>
        <w:spacing w:before="0"/>
      </w:pPr>
      <w:r>
        <w:lastRenderedPageBreak/>
        <w:t xml:space="preserve">Table </w:t>
      </w:r>
      <w:r w:rsidR="0017588F">
        <w:t>19</w:t>
      </w:r>
      <w:r>
        <w:t>: Average hours spent on employment, housework and care labour per week, by</w:t>
      </w:r>
      <w:r w:rsidR="00386F57">
        <w:t xml:space="preserve"> </w:t>
      </w:r>
      <w:r>
        <w:t>gender, relationship, and presence of children, persons aged 15 to 64, 2002 to 2016 (pooled)</w:t>
      </w:r>
    </w:p>
    <w:tbl>
      <w:tblPr>
        <w:tblStyle w:val="Datatableteal"/>
        <w:tblW w:w="0" w:type="auto"/>
        <w:tblLayout w:type="fixed"/>
        <w:tblLook w:val="06A0" w:firstRow="1" w:lastRow="0" w:firstColumn="1" w:lastColumn="0" w:noHBand="1" w:noVBand="1"/>
      </w:tblPr>
      <w:tblGrid>
        <w:gridCol w:w="2665"/>
        <w:gridCol w:w="1417"/>
        <w:gridCol w:w="1417"/>
        <w:gridCol w:w="1418"/>
        <w:gridCol w:w="1417"/>
        <w:gridCol w:w="1417"/>
        <w:gridCol w:w="1418"/>
        <w:gridCol w:w="1417"/>
        <w:gridCol w:w="1417"/>
      </w:tblGrid>
      <w:tr w:rsidR="00514CC0" w14:paraId="61C15C44" w14:textId="77777777" w:rsidTr="00BB2447">
        <w:trPr>
          <w:cnfStyle w:val="100000000000" w:firstRow="1" w:lastRow="0" w:firstColumn="0" w:lastColumn="0" w:oddVBand="0" w:evenVBand="0" w:oddHBand="0" w:evenHBand="0" w:firstRowFirstColumn="0" w:firstRowLastColumn="0" w:lastRowFirstColumn="0" w:lastRowLastColumn="0"/>
          <w:trHeight w:val="60"/>
          <w:tblHeader/>
        </w:trPr>
        <w:tc>
          <w:tcPr>
            <w:tcW w:w="2665" w:type="dxa"/>
          </w:tcPr>
          <w:p w14:paraId="7E312385" w14:textId="77777777" w:rsidR="00514CC0" w:rsidRDefault="00514CC0" w:rsidP="008F3E9A">
            <w:pPr>
              <w:pStyle w:val="OWTablecolumnheadleft"/>
            </w:pPr>
          </w:p>
        </w:tc>
        <w:tc>
          <w:tcPr>
            <w:tcW w:w="1417" w:type="dxa"/>
            <w:tcMar>
              <w:left w:w="0" w:type="dxa"/>
              <w:right w:w="0" w:type="dxa"/>
            </w:tcMar>
          </w:tcPr>
          <w:p w14:paraId="3E2C8FA4" w14:textId="77777777" w:rsidR="00514CC0" w:rsidRDefault="00E72B49">
            <w:pPr>
              <w:pStyle w:val="OWTablecolumnheadcentre"/>
            </w:pPr>
            <w:r>
              <w:t>Men – employment</w:t>
            </w:r>
          </w:p>
        </w:tc>
        <w:tc>
          <w:tcPr>
            <w:tcW w:w="1417" w:type="dxa"/>
            <w:tcMar>
              <w:left w:w="0" w:type="dxa"/>
              <w:right w:w="0" w:type="dxa"/>
            </w:tcMar>
          </w:tcPr>
          <w:p w14:paraId="4E8F56D3" w14:textId="77777777" w:rsidR="00514CC0" w:rsidRDefault="00E72B49">
            <w:pPr>
              <w:pStyle w:val="OWTablecolumnheadcentre"/>
            </w:pPr>
            <w:r>
              <w:t>Men – housework</w:t>
            </w:r>
          </w:p>
        </w:tc>
        <w:tc>
          <w:tcPr>
            <w:tcW w:w="1418" w:type="dxa"/>
            <w:tcMar>
              <w:left w:w="0" w:type="dxa"/>
              <w:right w:w="0" w:type="dxa"/>
            </w:tcMar>
          </w:tcPr>
          <w:p w14:paraId="6C02CB18" w14:textId="77777777" w:rsidR="00514CC0" w:rsidRDefault="00E72B49">
            <w:pPr>
              <w:pStyle w:val="OWTablecolumnheadcentre"/>
            </w:pPr>
            <w:r>
              <w:t>Men –</w:t>
            </w:r>
            <w:r>
              <w:br/>
              <w:t xml:space="preserve"> care</w:t>
            </w:r>
          </w:p>
        </w:tc>
        <w:tc>
          <w:tcPr>
            <w:tcW w:w="1417" w:type="dxa"/>
            <w:tcMar>
              <w:left w:w="0" w:type="dxa"/>
              <w:right w:w="0" w:type="dxa"/>
            </w:tcMar>
          </w:tcPr>
          <w:p w14:paraId="42364DE2" w14:textId="77777777" w:rsidR="00514CC0" w:rsidRDefault="00E72B49">
            <w:pPr>
              <w:pStyle w:val="OWTablecolumnheadcentre"/>
            </w:pPr>
            <w:r>
              <w:t xml:space="preserve">Men – </w:t>
            </w:r>
            <w:r>
              <w:br/>
              <w:t>total</w:t>
            </w:r>
          </w:p>
        </w:tc>
        <w:tc>
          <w:tcPr>
            <w:tcW w:w="1417" w:type="dxa"/>
            <w:tcMar>
              <w:left w:w="0" w:type="dxa"/>
              <w:right w:w="0" w:type="dxa"/>
            </w:tcMar>
          </w:tcPr>
          <w:p w14:paraId="38569BD0" w14:textId="77777777" w:rsidR="00514CC0" w:rsidRDefault="00E72B49">
            <w:pPr>
              <w:pStyle w:val="OWTablecolumnheadcentre"/>
            </w:pPr>
            <w:r>
              <w:t>Women – employment</w:t>
            </w:r>
          </w:p>
        </w:tc>
        <w:tc>
          <w:tcPr>
            <w:tcW w:w="1418" w:type="dxa"/>
            <w:tcMar>
              <w:left w:w="0" w:type="dxa"/>
              <w:right w:w="0" w:type="dxa"/>
            </w:tcMar>
          </w:tcPr>
          <w:p w14:paraId="6DA443B1" w14:textId="77777777" w:rsidR="00514CC0" w:rsidRDefault="00E72B49">
            <w:pPr>
              <w:pStyle w:val="OWTablecolumnheadcentre"/>
            </w:pPr>
            <w:r>
              <w:t>Women – housework</w:t>
            </w:r>
          </w:p>
        </w:tc>
        <w:tc>
          <w:tcPr>
            <w:tcW w:w="1417" w:type="dxa"/>
            <w:tcMar>
              <w:left w:w="0" w:type="dxa"/>
              <w:right w:w="0" w:type="dxa"/>
            </w:tcMar>
          </w:tcPr>
          <w:p w14:paraId="51C5C1EE" w14:textId="77777777" w:rsidR="00514CC0" w:rsidRDefault="00E72B49">
            <w:pPr>
              <w:pStyle w:val="OWTablecolumnheadcentre"/>
            </w:pPr>
            <w:r>
              <w:t xml:space="preserve">Women – </w:t>
            </w:r>
            <w:r>
              <w:br/>
              <w:t>care</w:t>
            </w:r>
          </w:p>
        </w:tc>
        <w:tc>
          <w:tcPr>
            <w:tcW w:w="1417" w:type="dxa"/>
            <w:tcMar>
              <w:left w:w="0" w:type="dxa"/>
              <w:right w:w="0" w:type="dxa"/>
            </w:tcMar>
          </w:tcPr>
          <w:p w14:paraId="2AAD9F34" w14:textId="77777777" w:rsidR="00514CC0" w:rsidRDefault="00E72B49">
            <w:pPr>
              <w:pStyle w:val="OWTablecolumnheadcentre"/>
            </w:pPr>
            <w:r>
              <w:t xml:space="preserve">Women – </w:t>
            </w:r>
            <w:r>
              <w:br/>
              <w:t>total</w:t>
            </w:r>
          </w:p>
        </w:tc>
      </w:tr>
      <w:tr w:rsidR="00514CC0" w14:paraId="03B3C46E" w14:textId="77777777" w:rsidTr="00BB2447">
        <w:trPr>
          <w:trHeight w:val="60"/>
        </w:trPr>
        <w:tc>
          <w:tcPr>
            <w:tcW w:w="14003" w:type="dxa"/>
            <w:gridSpan w:val="9"/>
          </w:tcPr>
          <w:p w14:paraId="51FD7664" w14:textId="77777777" w:rsidR="00514CC0" w:rsidRDefault="00E72B49">
            <w:pPr>
              <w:pStyle w:val="OWTablebodyleft"/>
            </w:pPr>
            <w:r w:rsidRPr="002D0D52">
              <w:rPr>
                <w:rStyle w:val="Strong"/>
              </w:rPr>
              <w:t>No partner in household</w:t>
            </w:r>
          </w:p>
        </w:tc>
      </w:tr>
      <w:tr w:rsidR="00514CC0" w14:paraId="24DC703E" w14:textId="77777777" w:rsidTr="00BB2447">
        <w:trPr>
          <w:trHeight w:val="60"/>
        </w:trPr>
        <w:tc>
          <w:tcPr>
            <w:tcW w:w="2665" w:type="dxa"/>
          </w:tcPr>
          <w:p w14:paraId="22836B3B" w14:textId="77777777" w:rsidR="00514CC0" w:rsidRDefault="00E72B49">
            <w:pPr>
              <w:pStyle w:val="OWTablebodyleft"/>
            </w:pPr>
            <w:r>
              <w:t>Without dependent children</w:t>
            </w:r>
          </w:p>
        </w:tc>
        <w:tc>
          <w:tcPr>
            <w:tcW w:w="1417" w:type="dxa"/>
          </w:tcPr>
          <w:p w14:paraId="26B583E9" w14:textId="77777777" w:rsidR="00514CC0" w:rsidRDefault="00E72B49">
            <w:pPr>
              <w:pStyle w:val="OWTablebodycentre"/>
            </w:pPr>
            <w:r>
              <w:t>28.1</w:t>
            </w:r>
          </w:p>
        </w:tc>
        <w:tc>
          <w:tcPr>
            <w:tcW w:w="1417" w:type="dxa"/>
          </w:tcPr>
          <w:p w14:paraId="1C925471" w14:textId="77777777" w:rsidR="00514CC0" w:rsidRDefault="00E72B49">
            <w:pPr>
              <w:pStyle w:val="OWTablebodycentre"/>
            </w:pPr>
            <w:r>
              <w:t>9.6</w:t>
            </w:r>
          </w:p>
        </w:tc>
        <w:tc>
          <w:tcPr>
            <w:tcW w:w="1418" w:type="dxa"/>
          </w:tcPr>
          <w:p w14:paraId="34BE41E0" w14:textId="77777777" w:rsidR="00514CC0" w:rsidRDefault="00E72B49">
            <w:pPr>
              <w:pStyle w:val="OWTablebodycentre"/>
            </w:pPr>
            <w:r>
              <w:t xml:space="preserve"> 1.9</w:t>
            </w:r>
          </w:p>
        </w:tc>
        <w:tc>
          <w:tcPr>
            <w:tcW w:w="1417" w:type="dxa"/>
          </w:tcPr>
          <w:p w14:paraId="01F20B84" w14:textId="77777777" w:rsidR="00514CC0" w:rsidRDefault="00E72B49">
            <w:pPr>
              <w:pStyle w:val="OWTablebodycentre"/>
            </w:pPr>
            <w:r>
              <w:t>38.3</w:t>
            </w:r>
          </w:p>
        </w:tc>
        <w:tc>
          <w:tcPr>
            <w:tcW w:w="1417" w:type="dxa"/>
          </w:tcPr>
          <w:p w14:paraId="3DB071F6" w14:textId="77777777" w:rsidR="00514CC0" w:rsidRDefault="00E72B49">
            <w:pPr>
              <w:pStyle w:val="OWTablebodycentre"/>
            </w:pPr>
            <w:r>
              <w:t>23.5</w:t>
            </w:r>
          </w:p>
        </w:tc>
        <w:tc>
          <w:tcPr>
            <w:tcW w:w="1418" w:type="dxa"/>
          </w:tcPr>
          <w:p w14:paraId="3510CE40" w14:textId="77777777" w:rsidR="00514CC0" w:rsidRDefault="00E72B49">
            <w:pPr>
              <w:pStyle w:val="OWTablebodycentre"/>
            </w:pPr>
            <w:r>
              <w:t>11.1</w:t>
            </w:r>
          </w:p>
        </w:tc>
        <w:tc>
          <w:tcPr>
            <w:tcW w:w="1417" w:type="dxa"/>
          </w:tcPr>
          <w:p w14:paraId="60C53C99" w14:textId="77777777" w:rsidR="00514CC0" w:rsidRDefault="00E72B49">
            <w:pPr>
              <w:pStyle w:val="OWTablebodycentre"/>
            </w:pPr>
            <w:r>
              <w:t>1.9</w:t>
            </w:r>
          </w:p>
        </w:tc>
        <w:tc>
          <w:tcPr>
            <w:tcW w:w="1417" w:type="dxa"/>
          </w:tcPr>
          <w:p w14:paraId="09B2A123" w14:textId="77777777" w:rsidR="00514CC0" w:rsidRDefault="00E72B49">
            <w:pPr>
              <w:pStyle w:val="OWTablebodycentre"/>
            </w:pPr>
            <w:r>
              <w:t>35.4</w:t>
            </w:r>
          </w:p>
        </w:tc>
      </w:tr>
      <w:tr w:rsidR="00514CC0" w14:paraId="5FABA733" w14:textId="77777777" w:rsidTr="00BB2447">
        <w:trPr>
          <w:trHeight w:val="60"/>
        </w:trPr>
        <w:tc>
          <w:tcPr>
            <w:tcW w:w="2665" w:type="dxa"/>
          </w:tcPr>
          <w:p w14:paraId="37CABAAA" w14:textId="77777777" w:rsidR="00514CC0" w:rsidRDefault="00E72B49">
            <w:pPr>
              <w:pStyle w:val="OWTablebodyleft"/>
            </w:pPr>
            <w:r>
              <w:t>With dependent children</w:t>
            </w:r>
          </w:p>
        </w:tc>
        <w:tc>
          <w:tcPr>
            <w:tcW w:w="1417" w:type="dxa"/>
          </w:tcPr>
          <w:p w14:paraId="7767D1D0" w14:textId="77777777" w:rsidR="00514CC0" w:rsidRDefault="00E72B49">
            <w:pPr>
              <w:pStyle w:val="OWTablebodycentre"/>
            </w:pPr>
            <w:r>
              <w:t>33.6</w:t>
            </w:r>
          </w:p>
        </w:tc>
        <w:tc>
          <w:tcPr>
            <w:tcW w:w="1417" w:type="dxa"/>
          </w:tcPr>
          <w:p w14:paraId="64E91265" w14:textId="77777777" w:rsidR="00514CC0" w:rsidRDefault="00E72B49">
            <w:pPr>
              <w:pStyle w:val="OWTablebodycentre"/>
            </w:pPr>
            <w:r>
              <w:t>21.1</w:t>
            </w:r>
          </w:p>
        </w:tc>
        <w:tc>
          <w:tcPr>
            <w:tcW w:w="1418" w:type="dxa"/>
          </w:tcPr>
          <w:p w14:paraId="5C739404" w14:textId="77777777" w:rsidR="00514CC0" w:rsidRDefault="00E72B49">
            <w:pPr>
              <w:pStyle w:val="OWTablebodycentre"/>
            </w:pPr>
            <w:r>
              <w:t xml:space="preserve"> 14.7</w:t>
            </w:r>
          </w:p>
        </w:tc>
        <w:tc>
          <w:tcPr>
            <w:tcW w:w="1417" w:type="dxa"/>
          </w:tcPr>
          <w:p w14:paraId="590249CC" w14:textId="77777777" w:rsidR="00514CC0" w:rsidRDefault="00E72B49">
            <w:pPr>
              <w:pStyle w:val="OWTablebodycentre"/>
            </w:pPr>
            <w:r>
              <w:t>68.3</w:t>
            </w:r>
          </w:p>
        </w:tc>
        <w:tc>
          <w:tcPr>
            <w:tcW w:w="1417" w:type="dxa"/>
          </w:tcPr>
          <w:p w14:paraId="47D609F9" w14:textId="77777777" w:rsidR="00514CC0" w:rsidRDefault="00E72B49">
            <w:pPr>
              <w:pStyle w:val="OWTablebodycentre"/>
            </w:pPr>
            <w:r>
              <w:t>21.6</w:t>
            </w:r>
          </w:p>
        </w:tc>
        <w:tc>
          <w:tcPr>
            <w:tcW w:w="1418" w:type="dxa"/>
          </w:tcPr>
          <w:p w14:paraId="794980C0" w14:textId="77777777" w:rsidR="00514CC0" w:rsidRDefault="00E72B49">
            <w:pPr>
              <w:pStyle w:val="OWTablebodycentre"/>
            </w:pPr>
            <w:r>
              <w:t>27.1</w:t>
            </w:r>
          </w:p>
        </w:tc>
        <w:tc>
          <w:tcPr>
            <w:tcW w:w="1417" w:type="dxa"/>
          </w:tcPr>
          <w:p w14:paraId="13DD4A27" w14:textId="77777777" w:rsidR="00514CC0" w:rsidRDefault="00E72B49">
            <w:pPr>
              <w:pStyle w:val="OWTablebodycentre"/>
            </w:pPr>
            <w:r>
              <w:t>22.2</w:t>
            </w:r>
          </w:p>
        </w:tc>
        <w:tc>
          <w:tcPr>
            <w:tcW w:w="1417" w:type="dxa"/>
          </w:tcPr>
          <w:p w14:paraId="2B726C26" w14:textId="77777777" w:rsidR="00514CC0" w:rsidRDefault="00E72B49">
            <w:pPr>
              <w:pStyle w:val="OWTablebodycentre"/>
            </w:pPr>
            <w:r>
              <w:t>69.5</w:t>
            </w:r>
          </w:p>
        </w:tc>
      </w:tr>
      <w:tr w:rsidR="00514CC0" w14:paraId="6E1B03C4" w14:textId="77777777" w:rsidTr="00BB2447">
        <w:trPr>
          <w:trHeight w:val="60"/>
        </w:trPr>
        <w:tc>
          <w:tcPr>
            <w:tcW w:w="14003" w:type="dxa"/>
            <w:gridSpan w:val="9"/>
          </w:tcPr>
          <w:p w14:paraId="573A2E9C" w14:textId="77777777" w:rsidR="00514CC0" w:rsidRDefault="00E72B49">
            <w:pPr>
              <w:pStyle w:val="OWTablebodyleft"/>
            </w:pPr>
            <w:r w:rsidRPr="002D0D52">
              <w:rPr>
                <w:rStyle w:val="Strong"/>
              </w:rPr>
              <w:t>De facto</w:t>
            </w:r>
          </w:p>
        </w:tc>
      </w:tr>
      <w:tr w:rsidR="00514CC0" w14:paraId="3C1E8661" w14:textId="77777777" w:rsidTr="00BB2447">
        <w:trPr>
          <w:trHeight w:val="60"/>
        </w:trPr>
        <w:tc>
          <w:tcPr>
            <w:tcW w:w="2665" w:type="dxa"/>
          </w:tcPr>
          <w:p w14:paraId="1D6C6207" w14:textId="77777777" w:rsidR="00514CC0" w:rsidRDefault="00E72B49">
            <w:pPr>
              <w:pStyle w:val="OWTablebodyleft"/>
            </w:pPr>
            <w:r>
              <w:t>Without dependent children</w:t>
            </w:r>
          </w:p>
        </w:tc>
        <w:tc>
          <w:tcPr>
            <w:tcW w:w="1417" w:type="dxa"/>
          </w:tcPr>
          <w:p w14:paraId="61F968B4" w14:textId="77777777" w:rsidR="00514CC0" w:rsidRDefault="00E72B49">
            <w:pPr>
              <w:pStyle w:val="OWTablebodycentre"/>
            </w:pPr>
            <w:r>
              <w:t>41.7</w:t>
            </w:r>
          </w:p>
        </w:tc>
        <w:tc>
          <w:tcPr>
            <w:tcW w:w="1417" w:type="dxa"/>
          </w:tcPr>
          <w:p w14:paraId="3832AA24" w14:textId="77777777" w:rsidR="00514CC0" w:rsidRDefault="00E72B49">
            <w:pPr>
              <w:pStyle w:val="OWTablebodycentre"/>
            </w:pPr>
            <w:r>
              <w:t>13.2</w:t>
            </w:r>
          </w:p>
        </w:tc>
        <w:tc>
          <w:tcPr>
            <w:tcW w:w="1418" w:type="dxa"/>
          </w:tcPr>
          <w:p w14:paraId="0AB5FE60" w14:textId="77777777" w:rsidR="00514CC0" w:rsidRDefault="00E72B49">
            <w:pPr>
              <w:pStyle w:val="OWTablebodycentre"/>
            </w:pPr>
            <w:r>
              <w:t xml:space="preserve"> 1.6</w:t>
            </w:r>
          </w:p>
        </w:tc>
        <w:tc>
          <w:tcPr>
            <w:tcW w:w="1417" w:type="dxa"/>
          </w:tcPr>
          <w:p w14:paraId="02EC4D72" w14:textId="77777777" w:rsidR="00514CC0" w:rsidRDefault="00E72B49">
            <w:pPr>
              <w:pStyle w:val="OWTablebodycentre"/>
            </w:pPr>
            <w:r>
              <w:t>55.7</w:t>
            </w:r>
          </w:p>
        </w:tc>
        <w:tc>
          <w:tcPr>
            <w:tcW w:w="1417" w:type="dxa"/>
          </w:tcPr>
          <w:p w14:paraId="3E63B41A" w14:textId="77777777" w:rsidR="00514CC0" w:rsidRDefault="00E72B49">
            <w:pPr>
              <w:pStyle w:val="OWTablebodycentre"/>
            </w:pPr>
            <w:r>
              <w:t>34.8</w:t>
            </w:r>
          </w:p>
        </w:tc>
        <w:tc>
          <w:tcPr>
            <w:tcW w:w="1418" w:type="dxa"/>
          </w:tcPr>
          <w:p w14:paraId="1201314D" w14:textId="77777777" w:rsidR="00514CC0" w:rsidRDefault="00E72B49">
            <w:pPr>
              <w:pStyle w:val="OWTablebodycentre"/>
            </w:pPr>
            <w:r>
              <w:t>16.2</w:t>
            </w:r>
          </w:p>
        </w:tc>
        <w:tc>
          <w:tcPr>
            <w:tcW w:w="1417" w:type="dxa"/>
          </w:tcPr>
          <w:p w14:paraId="52CD1802" w14:textId="77777777" w:rsidR="00514CC0" w:rsidRDefault="00E72B49">
            <w:pPr>
              <w:pStyle w:val="OWTablebodycentre"/>
            </w:pPr>
            <w:r>
              <w:t>1.2</w:t>
            </w:r>
          </w:p>
        </w:tc>
        <w:tc>
          <w:tcPr>
            <w:tcW w:w="1417" w:type="dxa"/>
          </w:tcPr>
          <w:p w14:paraId="211EF80B" w14:textId="77777777" w:rsidR="00514CC0" w:rsidRDefault="00E72B49">
            <w:pPr>
              <w:pStyle w:val="OWTablebodycentre"/>
            </w:pPr>
            <w:r>
              <w:t>51.5</w:t>
            </w:r>
          </w:p>
        </w:tc>
      </w:tr>
      <w:tr w:rsidR="00514CC0" w14:paraId="0944888E" w14:textId="77777777" w:rsidTr="00BB2447">
        <w:trPr>
          <w:trHeight w:val="60"/>
        </w:trPr>
        <w:tc>
          <w:tcPr>
            <w:tcW w:w="2665" w:type="dxa"/>
          </w:tcPr>
          <w:p w14:paraId="7A15FC8B" w14:textId="77777777" w:rsidR="00514CC0" w:rsidRDefault="00E72B49">
            <w:pPr>
              <w:pStyle w:val="OWTablebodyleft"/>
            </w:pPr>
            <w:r>
              <w:t>With dependent children</w:t>
            </w:r>
          </w:p>
        </w:tc>
        <w:tc>
          <w:tcPr>
            <w:tcW w:w="1417" w:type="dxa"/>
          </w:tcPr>
          <w:p w14:paraId="38866160" w14:textId="77777777" w:rsidR="00514CC0" w:rsidRDefault="00E72B49">
            <w:pPr>
              <w:pStyle w:val="OWTablebodycentre"/>
            </w:pPr>
            <w:r>
              <w:t>42.2</w:t>
            </w:r>
          </w:p>
        </w:tc>
        <w:tc>
          <w:tcPr>
            <w:tcW w:w="1417" w:type="dxa"/>
          </w:tcPr>
          <w:p w14:paraId="1652638A" w14:textId="77777777" w:rsidR="00514CC0" w:rsidRDefault="00E72B49">
            <w:pPr>
              <w:pStyle w:val="OWTablebodycentre"/>
            </w:pPr>
            <w:r>
              <w:t>16.9</w:t>
            </w:r>
          </w:p>
        </w:tc>
        <w:tc>
          <w:tcPr>
            <w:tcW w:w="1418" w:type="dxa"/>
          </w:tcPr>
          <w:p w14:paraId="71C1596E" w14:textId="77777777" w:rsidR="00514CC0" w:rsidRDefault="00E72B49">
            <w:pPr>
              <w:pStyle w:val="OWTablebodycentre"/>
            </w:pPr>
            <w:r>
              <w:t>13.6</w:t>
            </w:r>
          </w:p>
        </w:tc>
        <w:tc>
          <w:tcPr>
            <w:tcW w:w="1417" w:type="dxa"/>
          </w:tcPr>
          <w:p w14:paraId="2190C8EC" w14:textId="77777777" w:rsidR="00514CC0" w:rsidRDefault="00E72B49">
            <w:pPr>
              <w:pStyle w:val="OWTablebodycentre"/>
            </w:pPr>
            <w:r>
              <w:t>72.0</w:t>
            </w:r>
          </w:p>
        </w:tc>
        <w:tc>
          <w:tcPr>
            <w:tcW w:w="1417" w:type="dxa"/>
          </w:tcPr>
          <w:p w14:paraId="4A78D83B" w14:textId="77777777" w:rsidR="00514CC0" w:rsidRDefault="00E72B49">
            <w:pPr>
              <w:pStyle w:val="OWTablebodycentre"/>
            </w:pPr>
            <w:r>
              <w:t>20.7</w:t>
            </w:r>
          </w:p>
        </w:tc>
        <w:tc>
          <w:tcPr>
            <w:tcW w:w="1418" w:type="dxa"/>
          </w:tcPr>
          <w:p w14:paraId="190C28C0" w14:textId="77777777" w:rsidR="00514CC0" w:rsidRDefault="00E72B49">
            <w:pPr>
              <w:pStyle w:val="OWTablebodycentre"/>
            </w:pPr>
            <w:r>
              <w:t>27.7</w:t>
            </w:r>
          </w:p>
        </w:tc>
        <w:tc>
          <w:tcPr>
            <w:tcW w:w="1417" w:type="dxa"/>
          </w:tcPr>
          <w:p w14:paraId="02841503" w14:textId="77777777" w:rsidR="00514CC0" w:rsidRDefault="00E72B49">
            <w:pPr>
              <w:pStyle w:val="OWTablebodycentre"/>
            </w:pPr>
            <w:r>
              <w:t>28.6</w:t>
            </w:r>
          </w:p>
        </w:tc>
        <w:tc>
          <w:tcPr>
            <w:tcW w:w="1417" w:type="dxa"/>
          </w:tcPr>
          <w:p w14:paraId="2026BD9A" w14:textId="77777777" w:rsidR="00514CC0" w:rsidRDefault="00E72B49">
            <w:pPr>
              <w:pStyle w:val="OWTablebodycentre"/>
            </w:pPr>
            <w:r>
              <w:t>76.0</w:t>
            </w:r>
          </w:p>
        </w:tc>
      </w:tr>
      <w:tr w:rsidR="00514CC0" w14:paraId="582836C3" w14:textId="77777777" w:rsidTr="00BB2447">
        <w:trPr>
          <w:trHeight w:val="60"/>
        </w:trPr>
        <w:tc>
          <w:tcPr>
            <w:tcW w:w="14003" w:type="dxa"/>
            <w:gridSpan w:val="9"/>
          </w:tcPr>
          <w:p w14:paraId="25375E45" w14:textId="77777777" w:rsidR="00514CC0" w:rsidRDefault="00E72B49">
            <w:pPr>
              <w:pStyle w:val="OWTablebodyleft"/>
            </w:pPr>
            <w:r w:rsidRPr="002D0D52">
              <w:rPr>
                <w:rStyle w:val="Strong"/>
              </w:rPr>
              <w:t>Married</w:t>
            </w:r>
          </w:p>
        </w:tc>
      </w:tr>
      <w:tr w:rsidR="00514CC0" w14:paraId="1061005C" w14:textId="77777777" w:rsidTr="00BB2447">
        <w:trPr>
          <w:trHeight w:val="60"/>
        </w:trPr>
        <w:tc>
          <w:tcPr>
            <w:tcW w:w="2665" w:type="dxa"/>
          </w:tcPr>
          <w:p w14:paraId="19C9AB70" w14:textId="77777777" w:rsidR="00514CC0" w:rsidRDefault="00E72B49">
            <w:pPr>
              <w:pStyle w:val="OWTablebodyleft"/>
            </w:pPr>
            <w:r>
              <w:t>Without dependent children</w:t>
            </w:r>
          </w:p>
        </w:tc>
        <w:tc>
          <w:tcPr>
            <w:tcW w:w="1417" w:type="dxa"/>
          </w:tcPr>
          <w:p w14:paraId="68C29DEF" w14:textId="77777777" w:rsidR="00514CC0" w:rsidRDefault="00E72B49">
            <w:pPr>
              <w:pStyle w:val="OWTablebodycentre"/>
            </w:pPr>
            <w:r>
              <w:t>37.0</w:t>
            </w:r>
          </w:p>
        </w:tc>
        <w:tc>
          <w:tcPr>
            <w:tcW w:w="1417" w:type="dxa"/>
          </w:tcPr>
          <w:p w14:paraId="0D31C726" w14:textId="77777777" w:rsidR="00514CC0" w:rsidRDefault="00E72B49">
            <w:pPr>
              <w:pStyle w:val="OWTablebodycentre"/>
            </w:pPr>
            <w:r>
              <w:t>15.9</w:t>
            </w:r>
          </w:p>
        </w:tc>
        <w:tc>
          <w:tcPr>
            <w:tcW w:w="1418" w:type="dxa"/>
          </w:tcPr>
          <w:p w14:paraId="49B1B0CE" w14:textId="77777777" w:rsidR="00514CC0" w:rsidRDefault="00E72B49">
            <w:pPr>
              <w:pStyle w:val="OWTablebodycentre"/>
            </w:pPr>
            <w:r>
              <w:t>2.4</w:t>
            </w:r>
          </w:p>
        </w:tc>
        <w:tc>
          <w:tcPr>
            <w:tcW w:w="1417" w:type="dxa"/>
          </w:tcPr>
          <w:p w14:paraId="40D8AAEC" w14:textId="77777777" w:rsidR="00514CC0" w:rsidRDefault="00E72B49">
            <w:pPr>
              <w:pStyle w:val="OWTablebodycentre"/>
            </w:pPr>
            <w:r>
              <w:t>54.2</w:t>
            </w:r>
          </w:p>
        </w:tc>
        <w:tc>
          <w:tcPr>
            <w:tcW w:w="1417" w:type="dxa"/>
          </w:tcPr>
          <w:p w14:paraId="532202A4" w14:textId="77777777" w:rsidR="00514CC0" w:rsidRDefault="00E72B49">
            <w:pPr>
              <w:pStyle w:val="OWTablebodycentre"/>
            </w:pPr>
            <w:r>
              <w:t>24.0</w:t>
            </w:r>
          </w:p>
        </w:tc>
        <w:tc>
          <w:tcPr>
            <w:tcW w:w="1418" w:type="dxa"/>
          </w:tcPr>
          <w:p w14:paraId="5ACC1E6D" w14:textId="77777777" w:rsidR="00514CC0" w:rsidRDefault="00E72B49">
            <w:pPr>
              <w:pStyle w:val="OWTablebodycentre"/>
            </w:pPr>
            <w:r>
              <w:t>25.3</w:t>
            </w:r>
          </w:p>
        </w:tc>
        <w:tc>
          <w:tcPr>
            <w:tcW w:w="1417" w:type="dxa"/>
          </w:tcPr>
          <w:p w14:paraId="63B8150F" w14:textId="77777777" w:rsidR="00514CC0" w:rsidRDefault="00E72B49">
            <w:pPr>
              <w:pStyle w:val="OWTablebodycentre"/>
            </w:pPr>
            <w:r>
              <w:t>3.3</w:t>
            </w:r>
          </w:p>
        </w:tc>
        <w:tc>
          <w:tcPr>
            <w:tcW w:w="1417" w:type="dxa"/>
          </w:tcPr>
          <w:p w14:paraId="280CDC02" w14:textId="77777777" w:rsidR="00514CC0" w:rsidRDefault="00E72B49">
            <w:pPr>
              <w:pStyle w:val="OWTablebodycentre"/>
            </w:pPr>
            <w:r>
              <w:t>51.0</w:t>
            </w:r>
          </w:p>
        </w:tc>
      </w:tr>
      <w:tr w:rsidR="00514CC0" w14:paraId="5DFAC5D8" w14:textId="77777777" w:rsidTr="00BB2447">
        <w:trPr>
          <w:trHeight w:val="60"/>
        </w:trPr>
        <w:tc>
          <w:tcPr>
            <w:tcW w:w="2665" w:type="dxa"/>
          </w:tcPr>
          <w:p w14:paraId="745795C5" w14:textId="77777777" w:rsidR="00514CC0" w:rsidRDefault="00E72B49">
            <w:pPr>
              <w:pStyle w:val="OWTablebodyleft"/>
            </w:pPr>
            <w:r>
              <w:t>With dependent children</w:t>
            </w:r>
          </w:p>
        </w:tc>
        <w:tc>
          <w:tcPr>
            <w:tcW w:w="1417" w:type="dxa"/>
          </w:tcPr>
          <w:p w14:paraId="5F19AA4A" w14:textId="77777777" w:rsidR="00514CC0" w:rsidRDefault="00E72B49">
            <w:pPr>
              <w:pStyle w:val="OWTablebodycentre"/>
            </w:pPr>
            <w:r>
              <w:t>46.7</w:t>
            </w:r>
          </w:p>
        </w:tc>
        <w:tc>
          <w:tcPr>
            <w:tcW w:w="1417" w:type="dxa"/>
          </w:tcPr>
          <w:p w14:paraId="76A6BF4F" w14:textId="77777777" w:rsidR="00514CC0" w:rsidRDefault="00E72B49">
            <w:pPr>
              <w:pStyle w:val="OWTablebodycentre"/>
            </w:pPr>
            <w:r>
              <w:t>15.5</w:t>
            </w:r>
          </w:p>
        </w:tc>
        <w:tc>
          <w:tcPr>
            <w:tcW w:w="1418" w:type="dxa"/>
          </w:tcPr>
          <w:p w14:paraId="76061F26" w14:textId="77777777" w:rsidR="00514CC0" w:rsidRDefault="00E72B49">
            <w:pPr>
              <w:pStyle w:val="OWTablebodycentre"/>
            </w:pPr>
            <w:r>
              <w:t>11.0</w:t>
            </w:r>
          </w:p>
        </w:tc>
        <w:tc>
          <w:tcPr>
            <w:tcW w:w="1417" w:type="dxa"/>
          </w:tcPr>
          <w:p w14:paraId="63E5F2E8" w14:textId="77777777" w:rsidR="00514CC0" w:rsidRDefault="00E72B49">
            <w:pPr>
              <w:pStyle w:val="OWTablebodycentre"/>
            </w:pPr>
            <w:r>
              <w:t>72.5</w:t>
            </w:r>
          </w:p>
        </w:tc>
        <w:tc>
          <w:tcPr>
            <w:tcW w:w="1417" w:type="dxa"/>
          </w:tcPr>
          <w:p w14:paraId="07A4A319" w14:textId="77777777" w:rsidR="00514CC0" w:rsidRDefault="00E72B49">
            <w:pPr>
              <w:pStyle w:val="OWTablebodycentre"/>
            </w:pPr>
            <w:r>
              <w:t>22.2</w:t>
            </w:r>
          </w:p>
        </w:tc>
        <w:tc>
          <w:tcPr>
            <w:tcW w:w="1418" w:type="dxa"/>
          </w:tcPr>
          <w:p w14:paraId="5211B060" w14:textId="77777777" w:rsidR="00514CC0" w:rsidRDefault="00E72B49">
            <w:pPr>
              <w:pStyle w:val="OWTablebodycentre"/>
            </w:pPr>
            <w:r>
              <w:t>29.6</w:t>
            </w:r>
          </w:p>
        </w:tc>
        <w:tc>
          <w:tcPr>
            <w:tcW w:w="1417" w:type="dxa"/>
          </w:tcPr>
          <w:p w14:paraId="0BA838DB" w14:textId="77777777" w:rsidR="00514CC0" w:rsidRDefault="00E72B49">
            <w:pPr>
              <w:pStyle w:val="OWTablebodycentre"/>
            </w:pPr>
            <w:r>
              <w:t>23.3</w:t>
            </w:r>
          </w:p>
        </w:tc>
        <w:tc>
          <w:tcPr>
            <w:tcW w:w="1417" w:type="dxa"/>
          </w:tcPr>
          <w:p w14:paraId="4F99E533" w14:textId="77777777" w:rsidR="00514CC0" w:rsidRDefault="00E72B49">
            <w:pPr>
              <w:pStyle w:val="OWTablebodycentre"/>
            </w:pPr>
            <w:r>
              <w:t>74.0</w:t>
            </w:r>
          </w:p>
        </w:tc>
      </w:tr>
    </w:tbl>
    <w:p w14:paraId="1AC6BAE1" w14:textId="7E3F0218" w:rsidR="00514CC0" w:rsidRDefault="00E72B49" w:rsidP="00386F57">
      <w:pPr>
        <w:pStyle w:val="OWTablefootnote"/>
      </w:pPr>
      <w:r>
        <w:t>Source: Wilkins and Lass, 2018, pp. 82–83</w:t>
      </w:r>
    </w:p>
    <w:p w14:paraId="7D8EE9DC" w14:textId="77777777" w:rsidR="00386F57" w:rsidRPr="00386F57" w:rsidRDefault="00386F57" w:rsidP="00386F57">
      <w:pPr>
        <w:pStyle w:val="BodyText"/>
      </w:pPr>
    </w:p>
    <w:p w14:paraId="2102A79E" w14:textId="77777777" w:rsidR="00386F57" w:rsidRPr="00386F57" w:rsidRDefault="00386F57" w:rsidP="00386F57">
      <w:pPr>
        <w:pStyle w:val="BodyText"/>
        <w:sectPr w:rsidR="00386F57" w:rsidRPr="00386F57" w:rsidSect="00386F57">
          <w:footerReference w:type="even" r:id="rId46"/>
          <w:footerReference w:type="default" r:id="rId47"/>
          <w:footnotePr>
            <w:numFmt w:val="lowerRoman"/>
          </w:footnotePr>
          <w:endnotePr>
            <w:numFmt w:val="decimal"/>
          </w:endnotePr>
          <w:pgSz w:w="16838" w:h="11906" w:orient="landscape" w:code="9"/>
          <w:pgMar w:top="1418" w:right="1418" w:bottom="1418" w:left="1418" w:header="454" w:footer="454" w:gutter="0"/>
          <w:cols w:space="720"/>
          <w:noEndnote/>
          <w:docGrid w:linePitch="299"/>
        </w:sectPr>
      </w:pPr>
    </w:p>
    <w:tbl>
      <w:tblPr>
        <w:tblStyle w:val="Casestudyteal"/>
        <w:tblW w:w="9071" w:type="dxa"/>
        <w:tblLayout w:type="fixed"/>
        <w:tblLook w:val="0620" w:firstRow="1" w:lastRow="0" w:firstColumn="0" w:lastColumn="0" w:noHBand="1" w:noVBand="1"/>
      </w:tblPr>
      <w:tblGrid>
        <w:gridCol w:w="9071"/>
      </w:tblGrid>
      <w:tr w:rsidR="00514CC0" w14:paraId="65CB8F02" w14:textId="77777777" w:rsidTr="00BB2447">
        <w:trPr>
          <w:cnfStyle w:val="100000000000" w:firstRow="1" w:lastRow="0" w:firstColumn="0" w:lastColumn="0" w:oddVBand="0" w:evenVBand="0" w:oddHBand="0" w:evenHBand="0" w:firstRowFirstColumn="0" w:firstRowLastColumn="0" w:lastRowFirstColumn="0" w:lastRowLastColumn="0"/>
          <w:trHeight w:val="60"/>
        </w:trPr>
        <w:tc>
          <w:tcPr>
            <w:tcW w:w="9071" w:type="dxa"/>
          </w:tcPr>
          <w:p w14:paraId="54FC1557" w14:textId="77777777" w:rsidR="00514CC0" w:rsidRPr="00040755" w:rsidRDefault="00E72B49">
            <w:pPr>
              <w:pStyle w:val="OWBoxheading"/>
            </w:pPr>
            <w:r w:rsidRPr="00040755">
              <w:lastRenderedPageBreak/>
              <w:t>What about time usage among First Nations people?: The inability of Household Income and Labour Dynamics Australia (HILDA) survey to allow accurate inferences</w:t>
            </w:r>
          </w:p>
        </w:tc>
      </w:tr>
      <w:tr w:rsidR="00514CC0" w14:paraId="542376EA" w14:textId="77777777" w:rsidTr="00BB2447">
        <w:trPr>
          <w:trHeight w:val="60"/>
        </w:trPr>
        <w:tc>
          <w:tcPr>
            <w:tcW w:w="9071" w:type="dxa"/>
          </w:tcPr>
          <w:p w14:paraId="4D3A28DA" w14:textId="77777777" w:rsidR="00514CC0" w:rsidRDefault="00E72B49">
            <w:pPr>
              <w:pStyle w:val="OWTablebodyleft"/>
            </w:pPr>
            <w:r>
              <w:t xml:space="preserve">In </w:t>
            </w:r>
            <w:r w:rsidRPr="003E209A">
              <w:rPr>
                <w:rStyle w:val="Emphasis"/>
              </w:rPr>
              <w:t xml:space="preserve">Indigenous data sovereignty: Toward an agenda </w:t>
            </w:r>
            <w:r>
              <w:t>(2016), Maggie Walters critiques the HILDA survey for not having a large enough sample of First Nations people to allow for a robust and accurate analysis of how time use is organised in Aboriginal and Torres Strait Island households. She discusses how Ting et al. (2015) undertook an analysis of the HILDA data and found that time and labour division was more accurate among the First Nations HILDA subsample than the wider population; however, the First Nations sample size was not large enough to draw convincing findings from this analysis (p. 81).</w:t>
            </w:r>
          </w:p>
          <w:p w14:paraId="4B3E06F7" w14:textId="77777777" w:rsidR="00514CC0" w:rsidRDefault="00E72B49">
            <w:pPr>
              <w:pStyle w:val="OWTablebodyleft"/>
            </w:pPr>
            <w:r>
              <w:t>Walters suggests that this lack of First Nations sufficient sample size in the HILDA survey reflects a wider problem with Australian statistical datasets: the lack of attention given to First Nations people in survey instruments which are not geared toward measuring deficit and disparity:</w:t>
            </w:r>
          </w:p>
          <w:p w14:paraId="259E0E6B" w14:textId="582644EE" w:rsidR="00514CC0" w:rsidRDefault="006E590F" w:rsidP="003D6A9B">
            <w:pPr>
              <w:pStyle w:val="Quote"/>
              <w:spacing w:after="100"/>
            </w:pPr>
            <w:r>
              <w:t>‘</w:t>
            </w:r>
            <w:r w:rsidR="00E72B49">
              <w:t>Why, for example, did the federal government initiators and funders of the (very expensive) HILDA survey project, and the research consortium that conducts the project, not feel it necessary to generate an Indigenous sample that was large enough to yield robust statistics regarding their separate circumstances? In the early</w:t>
            </w:r>
            <w:r w:rsidR="007421E2">
              <w:t> </w:t>
            </w:r>
            <w:r w:rsidR="00E72B49">
              <w:t>2000s, the very wide range of household, income and labour fields, including data on household division of labour, collected in the HILDA survey were considered so important by policymakers that a large-scale national longitudinal study was established to collect and collate data on them. Yet, it seems there is no similar urgency, or perhaps even interest, in gathering such data about Indigenous Australians</w:t>
            </w:r>
            <w:r>
              <w:t>.’</w:t>
            </w:r>
            <w:r w:rsidR="00E72B49">
              <w:t xml:space="preserve"> (p. 82)</w:t>
            </w:r>
          </w:p>
          <w:p w14:paraId="46CFA6F0" w14:textId="77777777" w:rsidR="003D6A9B" w:rsidRPr="003D6A9B" w:rsidRDefault="003D6A9B" w:rsidP="003D6A9B">
            <w:pPr>
              <w:pStyle w:val="OWBoxsourceline"/>
            </w:pPr>
            <w:r>
              <w:drawing>
                <wp:inline distT="0" distB="0" distL="0" distR="0" wp14:anchorId="2744222D" wp14:editId="6BA2B506">
                  <wp:extent cx="431640" cy="3960"/>
                  <wp:effectExtent l="0" t="0" r="0" b="0"/>
                  <wp:docPr id="1603656662" name="Picture 4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28">
                            <a:extLst>
                              <a:ext uri="{28A0092B-C50C-407E-A947-70E740481C1C}">
                                <a14:useLocalDpi xmlns:a14="http://schemas.microsoft.com/office/drawing/2010/main" val="0"/>
                              </a:ext>
                            </a:extLst>
                          </a:blip>
                          <a:stretch>
                            <a:fillRect/>
                          </a:stretch>
                        </pic:blipFill>
                        <pic:spPr>
                          <a:xfrm>
                            <a:off x="0" y="0"/>
                            <a:ext cx="431640" cy="3960"/>
                          </a:xfrm>
                          <a:prstGeom prst="rect">
                            <a:avLst/>
                          </a:prstGeom>
                        </pic:spPr>
                      </pic:pic>
                    </a:graphicData>
                  </a:graphic>
                </wp:inline>
              </w:drawing>
            </w:r>
          </w:p>
          <w:p w14:paraId="3B9BECCC" w14:textId="77777777" w:rsidR="00514CC0" w:rsidRDefault="00E72B49" w:rsidP="004A1B0D">
            <w:pPr>
              <w:pStyle w:val="OWBoxsource"/>
            </w:pPr>
            <w:r>
              <w:t>Sources:</w:t>
            </w:r>
          </w:p>
          <w:p w14:paraId="67D8245A" w14:textId="3C2FC11C" w:rsidR="00514CC0" w:rsidRDefault="00E72B49">
            <w:pPr>
              <w:pStyle w:val="OWTablefootnotebullet"/>
            </w:pPr>
            <w:r>
              <w:t xml:space="preserve">S. Ting, </w:t>
            </w:r>
            <w:r w:rsidRPr="003E209A">
              <w:rPr>
                <w:rStyle w:val="Emphasis"/>
              </w:rPr>
              <w:t>Gender, ethnicity and the division of household labour with heterosexual couples in</w:t>
            </w:r>
            <w:r w:rsidR="007421E2">
              <w:rPr>
                <w:rStyle w:val="Emphasis"/>
              </w:rPr>
              <w:t> </w:t>
            </w:r>
            <w:r w:rsidRPr="003E209A">
              <w:rPr>
                <w:rStyle w:val="Emphasis"/>
              </w:rPr>
              <w:t>Australia</w:t>
            </w:r>
            <w:r>
              <w:t>, 2015.</w:t>
            </w:r>
          </w:p>
          <w:p w14:paraId="69F76D28" w14:textId="77777777" w:rsidR="00514CC0" w:rsidRDefault="00E72B49">
            <w:pPr>
              <w:pStyle w:val="OWTablefootnotebullet"/>
            </w:pPr>
            <w:r>
              <w:t>M. Walter, Data politics and Indigenous representation in Australian statistics, 2016.</w:t>
            </w:r>
          </w:p>
        </w:tc>
      </w:tr>
    </w:tbl>
    <w:p w14:paraId="61974F5F" w14:textId="7DE903F8" w:rsidR="00514CC0" w:rsidRDefault="00E72B49" w:rsidP="0008357D">
      <w:pPr>
        <w:pStyle w:val="OWBodytextlargespaceabove"/>
      </w:pPr>
      <w:r>
        <w:t>HILDA analysis of longitudinal female–male couple patterns confirms that with the ‘presence</w:t>
      </w:r>
      <w:r w:rsidR="00287D9B">
        <w:t> </w:t>
      </w:r>
      <w:r>
        <w:t>of children’, couples develop a ‘specialised division of labour’, with men focusing</w:t>
      </w:r>
      <w:r w:rsidR="00287D9B">
        <w:t> </w:t>
      </w:r>
      <w:r>
        <w:t>time on paid employment, and women on care for children and housework.</w:t>
      </w:r>
      <w:r w:rsidR="0008357D">
        <w:rPr>
          <w:rStyle w:val="EndnoteReference"/>
        </w:rPr>
        <w:endnoteReference w:id="265"/>
      </w:r>
      <w:r>
        <w:t xml:space="preserve"> This</w:t>
      </w:r>
      <w:r w:rsidR="00287D9B">
        <w:t> </w:t>
      </w:r>
      <w:r>
        <w:t>‘gender-specialised division of labour’ begins with the birth of the first child and does not substantially change over time as the first child ages. As a result, a long-term gendered division of labour becomes entrenched, where ‘women’s share of housework remains on a</w:t>
      </w:r>
      <w:r w:rsidR="00287D9B">
        <w:t> </w:t>
      </w:r>
      <w:r>
        <w:t>high level, still amounting to 62%, ten years after the first birth.’</w:t>
      </w:r>
      <w:r w:rsidR="0008357D">
        <w:rPr>
          <w:rStyle w:val="EndnoteReference"/>
        </w:rPr>
        <w:endnoteReference w:id="266"/>
      </w:r>
    </w:p>
    <w:p w14:paraId="04CCD98A" w14:textId="7959766A" w:rsidR="00514CC0" w:rsidRDefault="00E72B49">
      <w:pPr>
        <w:pStyle w:val="BodyText"/>
      </w:pPr>
      <w:r>
        <w:t>The gendered division of housework and care in female–male couples exists regardless of</w:t>
      </w:r>
      <w:r w:rsidR="00287D9B">
        <w:t> </w:t>
      </w:r>
      <w:r>
        <w:t>employment arrangements. For example, where both partners are employed full-time, women still do more housework than men.</w:t>
      </w:r>
      <w:r w:rsidR="0008357D">
        <w:rPr>
          <w:rStyle w:val="EndnoteReference"/>
        </w:rPr>
        <w:endnoteReference w:id="267"/>
      </w:r>
      <w:r>
        <w:t xml:space="preserve"> Even in the most ‘non-traditional’ model (where the female is employed full-time and the male is not employed), with dependent children present, women do almost half the housework and care labour (demonstrated in Table </w:t>
      </w:r>
      <w:r w:rsidR="0017588F">
        <w:t>20</w:t>
      </w:r>
      <w:r>
        <w:t>, below).</w:t>
      </w:r>
    </w:p>
    <w:p w14:paraId="41C2376F" w14:textId="59112EAF" w:rsidR="00514CC0" w:rsidRDefault="00E72B49">
      <w:pPr>
        <w:pStyle w:val="OWTablecaption"/>
      </w:pPr>
      <w:r>
        <w:lastRenderedPageBreak/>
        <w:t xml:space="preserve">Table </w:t>
      </w:r>
      <w:r w:rsidR="0017588F">
        <w:t>20</w:t>
      </w:r>
      <w:r>
        <w:t>: Mean share of housework and care labour, by employment arrangement and presence of dependent children, for partnered women in female–male relationships, persons aged 15 to 64, 2002 to 2016, % (pooled)</w:t>
      </w:r>
    </w:p>
    <w:tbl>
      <w:tblPr>
        <w:tblStyle w:val="Datatableteal"/>
        <w:tblW w:w="9072" w:type="dxa"/>
        <w:tblLayout w:type="fixed"/>
        <w:tblLook w:val="06A0" w:firstRow="1" w:lastRow="0" w:firstColumn="1" w:lastColumn="0" w:noHBand="1" w:noVBand="1"/>
      </w:tblPr>
      <w:tblGrid>
        <w:gridCol w:w="3403"/>
        <w:gridCol w:w="1417"/>
        <w:gridCol w:w="1417"/>
        <w:gridCol w:w="1418"/>
        <w:gridCol w:w="1417"/>
      </w:tblGrid>
      <w:tr w:rsidR="00514CC0" w14:paraId="5D195F41" w14:textId="77777777" w:rsidTr="00BB2447">
        <w:trPr>
          <w:cnfStyle w:val="100000000000" w:firstRow="1" w:lastRow="0" w:firstColumn="0" w:lastColumn="0" w:oddVBand="0" w:evenVBand="0" w:oddHBand="0" w:evenHBand="0" w:firstRowFirstColumn="0" w:firstRowLastColumn="0" w:lastRowFirstColumn="0" w:lastRowLastColumn="0"/>
          <w:cantSplit/>
          <w:trHeight w:val="60"/>
          <w:tblHeader/>
        </w:trPr>
        <w:tc>
          <w:tcPr>
            <w:tcW w:w="3402" w:type="dxa"/>
          </w:tcPr>
          <w:p w14:paraId="52D56EEC" w14:textId="77777777" w:rsidR="00514CC0" w:rsidRPr="005D2DDD" w:rsidRDefault="00E72B49">
            <w:pPr>
              <w:pStyle w:val="OWTablecolumnheadleft"/>
            </w:pPr>
            <w:r w:rsidRPr="005D2DDD">
              <w:t>Categorisation of relationship by (paid) employment status</w:t>
            </w:r>
          </w:p>
        </w:tc>
        <w:tc>
          <w:tcPr>
            <w:tcW w:w="1417" w:type="dxa"/>
          </w:tcPr>
          <w:p w14:paraId="610D2627" w14:textId="77777777" w:rsidR="00514CC0" w:rsidRPr="005D2DDD" w:rsidRDefault="00E72B49">
            <w:pPr>
              <w:pStyle w:val="OWTablecolumnheadcentre"/>
            </w:pPr>
            <w:r w:rsidRPr="005D2DDD">
              <w:t>Housework – without children</w:t>
            </w:r>
          </w:p>
        </w:tc>
        <w:tc>
          <w:tcPr>
            <w:tcW w:w="1417" w:type="dxa"/>
          </w:tcPr>
          <w:p w14:paraId="507D9EE0" w14:textId="77777777" w:rsidR="00514CC0" w:rsidRPr="005D2DDD" w:rsidRDefault="00E72B49">
            <w:pPr>
              <w:pStyle w:val="OWTablecolumnheadcentre"/>
            </w:pPr>
            <w:r w:rsidRPr="005D2DDD">
              <w:t xml:space="preserve">Housework – with children </w:t>
            </w:r>
          </w:p>
        </w:tc>
        <w:tc>
          <w:tcPr>
            <w:tcW w:w="1418" w:type="dxa"/>
          </w:tcPr>
          <w:p w14:paraId="7E44E91D" w14:textId="77777777" w:rsidR="00514CC0" w:rsidRPr="005D2DDD" w:rsidRDefault="00E72B49">
            <w:pPr>
              <w:pStyle w:val="OWTablecolumnheadcentre"/>
            </w:pPr>
            <w:r w:rsidRPr="005D2DDD">
              <w:t>Care – without children</w:t>
            </w:r>
          </w:p>
        </w:tc>
        <w:tc>
          <w:tcPr>
            <w:tcW w:w="1417" w:type="dxa"/>
          </w:tcPr>
          <w:p w14:paraId="34AFF366" w14:textId="77777777" w:rsidR="00514CC0" w:rsidRPr="005D2DDD" w:rsidRDefault="00E72B49">
            <w:pPr>
              <w:pStyle w:val="OWTablecolumnheadcentre"/>
            </w:pPr>
            <w:r w:rsidRPr="005D2DDD">
              <w:t>Care – with children</w:t>
            </w:r>
          </w:p>
        </w:tc>
      </w:tr>
      <w:tr w:rsidR="00514CC0" w14:paraId="274151FA" w14:textId="77777777" w:rsidTr="00BB2447">
        <w:trPr>
          <w:cantSplit/>
          <w:trHeight w:val="60"/>
        </w:trPr>
        <w:tc>
          <w:tcPr>
            <w:tcW w:w="3402" w:type="dxa"/>
          </w:tcPr>
          <w:p w14:paraId="31681A3B" w14:textId="77777777" w:rsidR="00514CC0" w:rsidRDefault="00E72B49">
            <w:pPr>
              <w:pStyle w:val="OWTablebodyleft"/>
            </w:pPr>
            <w:r>
              <w:t>Both employed full-time</w:t>
            </w:r>
          </w:p>
        </w:tc>
        <w:tc>
          <w:tcPr>
            <w:tcW w:w="1417" w:type="dxa"/>
          </w:tcPr>
          <w:p w14:paraId="01C30634" w14:textId="77777777" w:rsidR="00514CC0" w:rsidRDefault="00E72B49">
            <w:pPr>
              <w:pStyle w:val="OWTablebodycentre"/>
            </w:pPr>
            <w:r>
              <w:t>54.6</w:t>
            </w:r>
          </w:p>
        </w:tc>
        <w:tc>
          <w:tcPr>
            <w:tcW w:w="1417" w:type="dxa"/>
          </w:tcPr>
          <w:p w14:paraId="31D1B848" w14:textId="77777777" w:rsidR="00514CC0" w:rsidRDefault="00E72B49">
            <w:pPr>
              <w:pStyle w:val="OWTablebodycentre"/>
            </w:pPr>
            <w:r>
              <w:t>57.8</w:t>
            </w:r>
          </w:p>
        </w:tc>
        <w:tc>
          <w:tcPr>
            <w:tcW w:w="1418" w:type="dxa"/>
          </w:tcPr>
          <w:p w14:paraId="55976F42" w14:textId="77777777" w:rsidR="00514CC0" w:rsidRDefault="00E72B49">
            <w:pPr>
              <w:pStyle w:val="OWTablebodycentre"/>
            </w:pPr>
            <w:r>
              <w:t>43.8</w:t>
            </w:r>
          </w:p>
        </w:tc>
        <w:tc>
          <w:tcPr>
            <w:tcW w:w="1417" w:type="dxa"/>
          </w:tcPr>
          <w:p w14:paraId="2D94244C" w14:textId="77777777" w:rsidR="00514CC0" w:rsidRDefault="00E72B49">
            <w:pPr>
              <w:pStyle w:val="OWTablebodycentre"/>
            </w:pPr>
            <w:r>
              <w:t>58.8</w:t>
            </w:r>
          </w:p>
        </w:tc>
      </w:tr>
      <w:tr w:rsidR="00514CC0" w14:paraId="65B1AD8E" w14:textId="77777777" w:rsidTr="00BB2447">
        <w:trPr>
          <w:cantSplit/>
          <w:trHeight w:val="60"/>
        </w:trPr>
        <w:tc>
          <w:tcPr>
            <w:tcW w:w="3402" w:type="dxa"/>
          </w:tcPr>
          <w:p w14:paraId="0FF2998C" w14:textId="77777777" w:rsidR="00514CC0" w:rsidRDefault="00E72B49">
            <w:pPr>
              <w:pStyle w:val="OWTablebodyleft"/>
            </w:pPr>
            <w:r>
              <w:t>Female employed part-time, male employed full-time</w:t>
            </w:r>
          </w:p>
        </w:tc>
        <w:tc>
          <w:tcPr>
            <w:tcW w:w="1417" w:type="dxa"/>
          </w:tcPr>
          <w:p w14:paraId="68F94C66" w14:textId="77777777" w:rsidR="00514CC0" w:rsidRDefault="00E72B49">
            <w:pPr>
              <w:pStyle w:val="OWTablebodycentre"/>
            </w:pPr>
            <w:r>
              <w:t>63.2</w:t>
            </w:r>
          </w:p>
        </w:tc>
        <w:tc>
          <w:tcPr>
            <w:tcW w:w="1417" w:type="dxa"/>
          </w:tcPr>
          <w:p w14:paraId="3EF4DC44" w14:textId="77777777" w:rsidR="00514CC0" w:rsidRDefault="00E72B49">
            <w:pPr>
              <w:pStyle w:val="OWTablebodycentre"/>
            </w:pPr>
            <w:r>
              <w:t>66.0</w:t>
            </w:r>
          </w:p>
        </w:tc>
        <w:tc>
          <w:tcPr>
            <w:tcW w:w="1418" w:type="dxa"/>
          </w:tcPr>
          <w:p w14:paraId="52B2F62B" w14:textId="77777777" w:rsidR="00514CC0" w:rsidRDefault="00E72B49">
            <w:pPr>
              <w:pStyle w:val="OWTablebodycentre"/>
            </w:pPr>
            <w:r>
              <w:t>54.9</w:t>
            </w:r>
          </w:p>
        </w:tc>
        <w:tc>
          <w:tcPr>
            <w:tcW w:w="1417" w:type="dxa"/>
          </w:tcPr>
          <w:p w14:paraId="369AA4D1" w14:textId="77777777" w:rsidR="00514CC0" w:rsidRDefault="00E72B49">
            <w:pPr>
              <w:pStyle w:val="OWTablebodycentre"/>
            </w:pPr>
            <w:r>
              <w:t>64.2</w:t>
            </w:r>
          </w:p>
        </w:tc>
      </w:tr>
      <w:tr w:rsidR="00514CC0" w14:paraId="08B83D43" w14:textId="77777777" w:rsidTr="00BB2447">
        <w:trPr>
          <w:cantSplit/>
          <w:trHeight w:val="60"/>
        </w:trPr>
        <w:tc>
          <w:tcPr>
            <w:tcW w:w="3402" w:type="dxa"/>
          </w:tcPr>
          <w:p w14:paraId="6C5C134C" w14:textId="77777777" w:rsidR="00514CC0" w:rsidRDefault="00E72B49">
            <w:pPr>
              <w:pStyle w:val="OWTablebodyleft"/>
            </w:pPr>
            <w:r>
              <w:t>Female not employed, male employed full-time</w:t>
            </w:r>
          </w:p>
        </w:tc>
        <w:tc>
          <w:tcPr>
            <w:tcW w:w="1417" w:type="dxa"/>
          </w:tcPr>
          <w:p w14:paraId="235D4E56" w14:textId="77777777" w:rsidR="00514CC0" w:rsidRDefault="00E72B49">
            <w:pPr>
              <w:pStyle w:val="OWTablebodycentre"/>
            </w:pPr>
            <w:r>
              <w:t>69.3</w:t>
            </w:r>
          </w:p>
        </w:tc>
        <w:tc>
          <w:tcPr>
            <w:tcW w:w="1417" w:type="dxa"/>
          </w:tcPr>
          <w:p w14:paraId="4D92F94E" w14:textId="77777777" w:rsidR="00514CC0" w:rsidRDefault="00E72B49">
            <w:pPr>
              <w:pStyle w:val="OWTablebodycentre"/>
            </w:pPr>
            <w:r>
              <w:t>72.8</w:t>
            </w:r>
          </w:p>
        </w:tc>
        <w:tc>
          <w:tcPr>
            <w:tcW w:w="1418" w:type="dxa"/>
          </w:tcPr>
          <w:p w14:paraId="1A730ACB" w14:textId="77777777" w:rsidR="00514CC0" w:rsidRDefault="00E72B49">
            <w:pPr>
              <w:pStyle w:val="OWTablebodycentre"/>
            </w:pPr>
            <w:r>
              <w:t>49.0</w:t>
            </w:r>
          </w:p>
        </w:tc>
        <w:tc>
          <w:tcPr>
            <w:tcW w:w="1417" w:type="dxa"/>
          </w:tcPr>
          <w:p w14:paraId="4A71BEF9" w14:textId="77777777" w:rsidR="00514CC0" w:rsidRDefault="00E72B49">
            <w:pPr>
              <w:pStyle w:val="OWTablebodycentre"/>
            </w:pPr>
            <w:r>
              <w:t>70.0</w:t>
            </w:r>
          </w:p>
        </w:tc>
      </w:tr>
      <w:tr w:rsidR="00514CC0" w14:paraId="018F65E5" w14:textId="77777777" w:rsidTr="00BB2447">
        <w:trPr>
          <w:cantSplit/>
          <w:trHeight w:val="60"/>
        </w:trPr>
        <w:tc>
          <w:tcPr>
            <w:tcW w:w="3402" w:type="dxa"/>
          </w:tcPr>
          <w:p w14:paraId="1F12EEE9" w14:textId="77777777" w:rsidR="00514CC0" w:rsidRDefault="00E72B49">
            <w:pPr>
              <w:pStyle w:val="OWTablebodyleft"/>
            </w:pPr>
            <w:r>
              <w:t>Female employed, male not employed</w:t>
            </w:r>
          </w:p>
        </w:tc>
        <w:tc>
          <w:tcPr>
            <w:tcW w:w="1417" w:type="dxa"/>
          </w:tcPr>
          <w:p w14:paraId="346423A2" w14:textId="77777777" w:rsidR="00514CC0" w:rsidRDefault="00E72B49">
            <w:pPr>
              <w:pStyle w:val="OWTablebodycentre"/>
            </w:pPr>
            <w:r>
              <w:t>49.0</w:t>
            </w:r>
          </w:p>
        </w:tc>
        <w:tc>
          <w:tcPr>
            <w:tcW w:w="1417" w:type="dxa"/>
          </w:tcPr>
          <w:p w14:paraId="00B7C02B" w14:textId="77777777" w:rsidR="00514CC0" w:rsidRDefault="00E72B49">
            <w:pPr>
              <w:pStyle w:val="OWTablebodycentre"/>
            </w:pPr>
            <w:r>
              <w:t>46.9</w:t>
            </w:r>
          </w:p>
        </w:tc>
        <w:tc>
          <w:tcPr>
            <w:tcW w:w="1418" w:type="dxa"/>
          </w:tcPr>
          <w:p w14:paraId="2453DB95" w14:textId="77777777" w:rsidR="00514CC0" w:rsidRDefault="00E72B49">
            <w:pPr>
              <w:pStyle w:val="OWTablebodycentre"/>
            </w:pPr>
            <w:r>
              <w:t>61.5</w:t>
            </w:r>
          </w:p>
        </w:tc>
        <w:tc>
          <w:tcPr>
            <w:tcW w:w="1417" w:type="dxa"/>
          </w:tcPr>
          <w:p w14:paraId="401BB22E" w14:textId="77777777" w:rsidR="00514CC0" w:rsidRDefault="00E72B49">
            <w:pPr>
              <w:pStyle w:val="OWTablebodycentre"/>
            </w:pPr>
            <w:r>
              <w:t>49.7</w:t>
            </w:r>
          </w:p>
        </w:tc>
      </w:tr>
      <w:tr w:rsidR="00514CC0" w14:paraId="4EA89695" w14:textId="77777777" w:rsidTr="00BB2447">
        <w:trPr>
          <w:cantSplit/>
          <w:trHeight w:val="60"/>
        </w:trPr>
        <w:tc>
          <w:tcPr>
            <w:tcW w:w="3402" w:type="dxa"/>
          </w:tcPr>
          <w:p w14:paraId="7544AF72" w14:textId="77777777" w:rsidR="00514CC0" w:rsidRDefault="00E72B49">
            <w:pPr>
              <w:pStyle w:val="OWTablebodyleft"/>
            </w:pPr>
            <w:r>
              <w:t>Other arrangements</w:t>
            </w:r>
          </w:p>
        </w:tc>
        <w:tc>
          <w:tcPr>
            <w:tcW w:w="1417" w:type="dxa"/>
          </w:tcPr>
          <w:p w14:paraId="670B9D87" w14:textId="77777777" w:rsidR="00514CC0" w:rsidRDefault="00E72B49">
            <w:pPr>
              <w:pStyle w:val="OWTablebodycentre"/>
            </w:pPr>
            <w:r>
              <w:t>56.8</w:t>
            </w:r>
          </w:p>
        </w:tc>
        <w:tc>
          <w:tcPr>
            <w:tcW w:w="1417" w:type="dxa"/>
          </w:tcPr>
          <w:p w14:paraId="43A725D3" w14:textId="77777777" w:rsidR="00514CC0" w:rsidRDefault="00E72B49">
            <w:pPr>
              <w:pStyle w:val="OWTablebodycentre"/>
            </w:pPr>
            <w:r>
              <w:t>60.3</w:t>
            </w:r>
          </w:p>
        </w:tc>
        <w:tc>
          <w:tcPr>
            <w:tcW w:w="1418" w:type="dxa"/>
          </w:tcPr>
          <w:p w14:paraId="7E62EB10" w14:textId="77777777" w:rsidR="00514CC0" w:rsidRDefault="00E72B49">
            <w:pPr>
              <w:pStyle w:val="OWTablebodycentre"/>
            </w:pPr>
            <w:r>
              <w:t>52.1</w:t>
            </w:r>
          </w:p>
        </w:tc>
        <w:tc>
          <w:tcPr>
            <w:tcW w:w="1417" w:type="dxa"/>
          </w:tcPr>
          <w:p w14:paraId="33E0B5BB" w14:textId="77777777" w:rsidR="00514CC0" w:rsidRDefault="00E72B49">
            <w:pPr>
              <w:pStyle w:val="OWTablebodycentre"/>
            </w:pPr>
            <w:r>
              <w:t>58.8</w:t>
            </w:r>
          </w:p>
        </w:tc>
      </w:tr>
    </w:tbl>
    <w:p w14:paraId="533EB534" w14:textId="77777777" w:rsidR="00514CC0" w:rsidRDefault="00E72B49">
      <w:pPr>
        <w:pStyle w:val="OWTablefootnote"/>
      </w:pPr>
      <w:r>
        <w:t>Source: Wilkins and Lass, 2018, p. 87</w:t>
      </w:r>
    </w:p>
    <w:p w14:paraId="156DF256" w14:textId="77FFA0E8" w:rsidR="007A64F8" w:rsidRDefault="007A64F8">
      <w:pPr>
        <w:pStyle w:val="OWBodytextlargespaceabove"/>
      </w:pPr>
      <w:r w:rsidRPr="007A64F8">
        <w:t>In 2016, the Census of Population and Housing (‘the Census’) included a question about how many hours of ‘unpaid domestic work’ employed persons had undertaken in the past week. Noting the methodological limitations of asking people to recall and estimate their unpaid labour hours, the Census returned data which confirms the gendered division of labour found through the HILDA survey. At the lower end of unpaid domestic work burden, almost one-quarter (24%) of employed men reporting having undertaken no unpaid domestic labour in the past week, compared with 13% of women. Approximately 1 in 5 women (22%) reported undertaking less than 5 hours of unpaid domestic work, compared with more than one-third (36%) of men. The middle range of unpaid domestic work – 5</w:t>
      </w:r>
      <w:r w:rsidR="00620E3F">
        <w:t>–</w:t>
      </w:r>
      <w:r w:rsidRPr="007A64F8">
        <w:t>14 hours in the week – was more equitable, with 31% of men and 36% of women having undertaken these hours. At the high end of unpaid domestic work time use, the gender differential was most stark: 17% of women and only 6% of men reported having undertaken 15</w:t>
      </w:r>
      <w:r w:rsidR="00620E3F">
        <w:t>–</w:t>
      </w:r>
      <w:r w:rsidRPr="007A64F8">
        <w:t>29 hours of unpaid domestic labour, while 9% of women and less than 2% of men undertook 30 hours or</w:t>
      </w:r>
      <w:r w:rsidR="007421E2">
        <w:t> </w:t>
      </w:r>
      <w:r w:rsidRPr="007A64F8">
        <w:t>more.</w:t>
      </w:r>
      <w:r>
        <w:rPr>
          <w:rStyle w:val="EndnoteReference"/>
        </w:rPr>
        <w:endnoteReference w:id="268"/>
      </w:r>
    </w:p>
    <w:p w14:paraId="36FCD02A" w14:textId="0D862C50" w:rsidR="00514CC0" w:rsidRDefault="00E72B49">
      <w:pPr>
        <w:pStyle w:val="BodyText"/>
      </w:pPr>
      <w:r>
        <w:t xml:space="preserve">The gendered division of primary care work noted in </w:t>
      </w:r>
      <w:r w:rsidR="002471EC">
        <w:t xml:space="preserve">both </w:t>
      </w:r>
      <w:r>
        <w:t>the HILDA and Census data is also reflected in the ABS Disability, Ageing and Carers survey.</w:t>
      </w:r>
      <w:r w:rsidR="004414D0">
        <w:rPr>
          <w:rStyle w:val="EndnoteReference"/>
        </w:rPr>
        <w:endnoteReference w:id="269"/>
      </w:r>
      <w:r>
        <w:t xml:space="preserve"> In both 2009 and 2018, about one in 20 women in Australia were primary carers – i.e. the person providing the most care –</w:t>
      </w:r>
      <w:r w:rsidR="007421E2">
        <w:t> </w:t>
      </w:r>
      <w:r>
        <w:t>to a person with disability (4.8% and 5.0% respectively). Male primary carers were, comparatively, 2.3% of the male population in 2009 and 2.0% in 2018.</w:t>
      </w:r>
      <w:r w:rsidR="004414D0">
        <w:rPr>
          <w:rStyle w:val="EndnoteReference"/>
        </w:rPr>
        <w:endnoteReference w:id="270"/>
      </w:r>
      <w:r>
        <w:t xml:space="preserve"> The rate of women caring for people with disability also increases with age to 65 years.</w:t>
      </w:r>
      <w:r w:rsidR="004414D0">
        <w:rPr>
          <w:rStyle w:val="EndnoteReference"/>
        </w:rPr>
        <w:endnoteReference w:id="271"/>
      </w:r>
      <w:r>
        <w:t xml:space="preserve"> This result should be read in conjunction with Indicator 3.8, which notes that around retirement age, women listed caring for ageing parents or other family members as a key reason for retiring.</w:t>
      </w:r>
    </w:p>
    <w:p w14:paraId="1BCAA909" w14:textId="20B73D28" w:rsidR="00514CC0" w:rsidRDefault="00E72B49">
      <w:pPr>
        <w:pStyle w:val="BodyText"/>
      </w:pPr>
      <w:r>
        <w:t>In 2018, women comprised seven in ten (71.8%) of all primary carers of people with disability, and over one-third (35.0%) of female primary carers also had disability themselves. Almost nine in ten (88.1%) of carers providing care to a child with disability were</w:t>
      </w:r>
      <w:r w:rsidR="007421E2">
        <w:t> </w:t>
      </w:r>
      <w:r>
        <w:t>female.</w:t>
      </w:r>
    </w:p>
    <w:p w14:paraId="48C38693" w14:textId="2C13BEBF" w:rsidR="00514CC0" w:rsidRDefault="00E72B49">
      <w:pPr>
        <w:pStyle w:val="BodyText"/>
      </w:pPr>
      <w:r>
        <w:lastRenderedPageBreak/>
        <w:t>The ABS Gender Indicators published in September 2018 presented some further analysis of</w:t>
      </w:r>
      <w:r w:rsidR="007421E2">
        <w:t> </w:t>
      </w:r>
      <w:r>
        <w:t>2009 and 2012 waves of the Disability, Ageing and Carers survey.</w:t>
      </w:r>
      <w:r w:rsidR="004414D0">
        <w:rPr>
          <w:rStyle w:val="EndnoteReference"/>
        </w:rPr>
        <w:endnoteReference w:id="272"/>
      </w:r>
      <w:r>
        <w:t xml:space="preserve"> This data analysis reveals that in 2012, women with disability are more than twice as likely as women without disability to provide primary care for people with disability, and over 1.6 times as likely as men with disability to be primary carers of people with disability. Aboriginal and Torres Strait Islander women are more likely than First Nations men and non-Indigenous women to be primary carers of people with disability. These results show that provision of primary care to</w:t>
      </w:r>
      <w:r w:rsidR="007421E2">
        <w:t> </w:t>
      </w:r>
      <w:r>
        <w:t>people with disability is structured by the intersection of gender inequality and other forms of disadvantage and discrimination. Similar proportions of women born overseas and</w:t>
      </w:r>
      <w:r w:rsidR="007421E2">
        <w:t> </w:t>
      </w:r>
      <w:r>
        <w:t xml:space="preserve">women born in Australia are primary carers to people with disability, and in both populations provide primary care at far higher rates than men (see Table </w:t>
      </w:r>
      <w:r w:rsidR="0017588F">
        <w:t>21</w:t>
      </w:r>
      <w:r>
        <w:t>, below).</w:t>
      </w:r>
    </w:p>
    <w:p w14:paraId="100E9A1C" w14:textId="5D5754F9" w:rsidR="00514CC0" w:rsidRDefault="00E72B49">
      <w:pPr>
        <w:pStyle w:val="OWTablecaption"/>
      </w:pPr>
      <w:r>
        <w:t xml:space="preserve">Table </w:t>
      </w:r>
      <w:r w:rsidR="0017588F">
        <w:t>21</w:t>
      </w:r>
      <w:r>
        <w:t>: Provision of primary care to persons with disability, 2012, % women and men by</w:t>
      </w:r>
      <w:r w:rsidR="007421E2">
        <w:t> </w:t>
      </w:r>
      <w:r>
        <w:t>Indigenous status, disability status, and born overseas/in Australia</w:t>
      </w:r>
    </w:p>
    <w:tbl>
      <w:tblPr>
        <w:tblStyle w:val="Datatableteal"/>
        <w:tblW w:w="9072" w:type="dxa"/>
        <w:tblLayout w:type="fixed"/>
        <w:tblLook w:val="06A0" w:firstRow="1" w:lastRow="0" w:firstColumn="1" w:lastColumn="0" w:noHBand="1" w:noVBand="1"/>
      </w:tblPr>
      <w:tblGrid>
        <w:gridCol w:w="4536"/>
        <w:gridCol w:w="2268"/>
        <w:gridCol w:w="2268"/>
      </w:tblGrid>
      <w:tr w:rsidR="00514CC0" w14:paraId="2FB32ED2" w14:textId="77777777" w:rsidTr="00BB2447">
        <w:trPr>
          <w:cnfStyle w:val="100000000000" w:firstRow="1" w:lastRow="0" w:firstColumn="0" w:lastColumn="0" w:oddVBand="0" w:evenVBand="0" w:oddHBand="0" w:evenHBand="0" w:firstRowFirstColumn="0" w:firstRowLastColumn="0" w:lastRowFirstColumn="0" w:lastRowLastColumn="0"/>
          <w:cantSplit/>
          <w:trHeight w:val="60"/>
          <w:tblHeader/>
        </w:trPr>
        <w:tc>
          <w:tcPr>
            <w:tcW w:w="4535" w:type="dxa"/>
          </w:tcPr>
          <w:p w14:paraId="1B3ADC72" w14:textId="77777777" w:rsidR="00514CC0" w:rsidRPr="005D2DDD" w:rsidRDefault="00E72B49">
            <w:pPr>
              <w:pStyle w:val="OWTablecolumnheadleft"/>
            </w:pPr>
            <w:r w:rsidRPr="005D2DDD">
              <w:t>Carer</w:t>
            </w:r>
          </w:p>
        </w:tc>
        <w:tc>
          <w:tcPr>
            <w:tcW w:w="2268" w:type="dxa"/>
          </w:tcPr>
          <w:p w14:paraId="3C27C4B3" w14:textId="77777777" w:rsidR="00514CC0" w:rsidRPr="005D2DDD" w:rsidRDefault="00E72B49">
            <w:pPr>
              <w:pStyle w:val="OWTablecolumnheadcentre"/>
            </w:pPr>
            <w:r w:rsidRPr="005D2DDD">
              <w:t>Female</w:t>
            </w:r>
          </w:p>
        </w:tc>
        <w:tc>
          <w:tcPr>
            <w:tcW w:w="2268" w:type="dxa"/>
          </w:tcPr>
          <w:p w14:paraId="5CB1E536" w14:textId="77777777" w:rsidR="00514CC0" w:rsidRPr="005D2DDD" w:rsidRDefault="00E72B49">
            <w:pPr>
              <w:pStyle w:val="OWTablecolumnheadcentre"/>
            </w:pPr>
            <w:r w:rsidRPr="005D2DDD">
              <w:t>Male</w:t>
            </w:r>
          </w:p>
        </w:tc>
      </w:tr>
      <w:tr w:rsidR="00514CC0" w14:paraId="6B3B5319" w14:textId="77777777" w:rsidTr="00BB2447">
        <w:trPr>
          <w:cantSplit/>
          <w:trHeight w:val="60"/>
        </w:trPr>
        <w:tc>
          <w:tcPr>
            <w:tcW w:w="4535" w:type="dxa"/>
          </w:tcPr>
          <w:p w14:paraId="0817FED7" w14:textId="77777777" w:rsidR="00514CC0" w:rsidRDefault="00E72B49">
            <w:pPr>
              <w:pStyle w:val="OWTablebodyleft"/>
            </w:pPr>
            <w:r>
              <w:t>Aboriginal and Torres Strait Islander</w:t>
            </w:r>
          </w:p>
        </w:tc>
        <w:tc>
          <w:tcPr>
            <w:tcW w:w="2268" w:type="dxa"/>
          </w:tcPr>
          <w:p w14:paraId="1B983BB3" w14:textId="77777777" w:rsidR="00514CC0" w:rsidRDefault="00E72B49">
            <w:pPr>
              <w:pStyle w:val="OWTablebodycentre"/>
            </w:pPr>
            <w:r>
              <w:t>7.9%*</w:t>
            </w:r>
          </w:p>
        </w:tc>
        <w:tc>
          <w:tcPr>
            <w:tcW w:w="2268" w:type="dxa"/>
          </w:tcPr>
          <w:p w14:paraId="3A370158" w14:textId="77777777" w:rsidR="00514CC0" w:rsidRDefault="00E72B49">
            <w:pPr>
              <w:pStyle w:val="OWTablebodycentre"/>
            </w:pPr>
            <w:r>
              <w:t>1.8%*</w:t>
            </w:r>
          </w:p>
        </w:tc>
      </w:tr>
      <w:tr w:rsidR="00514CC0" w14:paraId="5A99AE8A" w14:textId="77777777" w:rsidTr="00BB2447">
        <w:trPr>
          <w:cantSplit/>
          <w:trHeight w:val="60"/>
        </w:trPr>
        <w:tc>
          <w:tcPr>
            <w:tcW w:w="4535" w:type="dxa"/>
          </w:tcPr>
          <w:p w14:paraId="5DEFE6E2" w14:textId="77777777" w:rsidR="00514CC0" w:rsidRDefault="00E72B49">
            <w:pPr>
              <w:pStyle w:val="OWTablebodyleft"/>
            </w:pPr>
            <w:r>
              <w:t>Non-Indigenous</w:t>
            </w:r>
          </w:p>
        </w:tc>
        <w:tc>
          <w:tcPr>
            <w:tcW w:w="2268" w:type="dxa"/>
          </w:tcPr>
          <w:p w14:paraId="57794F3B" w14:textId="77777777" w:rsidR="00514CC0" w:rsidRDefault="00E72B49">
            <w:pPr>
              <w:pStyle w:val="OWTablebodycentre"/>
            </w:pPr>
            <w:r>
              <w:t>5.7%</w:t>
            </w:r>
          </w:p>
        </w:tc>
        <w:tc>
          <w:tcPr>
            <w:tcW w:w="2268" w:type="dxa"/>
          </w:tcPr>
          <w:p w14:paraId="63E1702F" w14:textId="77777777" w:rsidR="00514CC0" w:rsidRDefault="00E72B49">
            <w:pPr>
              <w:pStyle w:val="OWTablebodycentre"/>
            </w:pPr>
            <w:r>
              <w:t>2.4%</w:t>
            </w:r>
          </w:p>
        </w:tc>
      </w:tr>
      <w:tr w:rsidR="00514CC0" w14:paraId="3FC0BFEF" w14:textId="77777777" w:rsidTr="00BB2447">
        <w:trPr>
          <w:cantSplit/>
          <w:trHeight w:val="60"/>
        </w:trPr>
        <w:tc>
          <w:tcPr>
            <w:tcW w:w="4535" w:type="dxa"/>
          </w:tcPr>
          <w:p w14:paraId="54C9BA73" w14:textId="77777777" w:rsidR="00514CC0" w:rsidRDefault="00E72B49">
            <w:pPr>
              <w:pStyle w:val="OWTablebodyleft"/>
            </w:pPr>
            <w:r>
              <w:t>With disability</w:t>
            </w:r>
          </w:p>
        </w:tc>
        <w:tc>
          <w:tcPr>
            <w:tcW w:w="2268" w:type="dxa"/>
          </w:tcPr>
          <w:p w14:paraId="5A02B135" w14:textId="77777777" w:rsidR="00514CC0" w:rsidRDefault="00E72B49">
            <w:pPr>
              <w:pStyle w:val="OWTablebodycentre"/>
            </w:pPr>
            <w:r>
              <w:t>9.3%</w:t>
            </w:r>
          </w:p>
        </w:tc>
        <w:tc>
          <w:tcPr>
            <w:tcW w:w="2268" w:type="dxa"/>
          </w:tcPr>
          <w:p w14:paraId="34551985" w14:textId="77777777" w:rsidR="00514CC0" w:rsidRDefault="00E72B49">
            <w:pPr>
              <w:pStyle w:val="OWTablebodycentre"/>
            </w:pPr>
            <w:r>
              <w:t>5.8%</w:t>
            </w:r>
          </w:p>
        </w:tc>
      </w:tr>
      <w:tr w:rsidR="00514CC0" w14:paraId="25BBDA73" w14:textId="77777777" w:rsidTr="00BB2447">
        <w:trPr>
          <w:cantSplit/>
          <w:trHeight w:val="60"/>
        </w:trPr>
        <w:tc>
          <w:tcPr>
            <w:tcW w:w="4535" w:type="dxa"/>
          </w:tcPr>
          <w:p w14:paraId="60900BA3" w14:textId="77777777" w:rsidR="00514CC0" w:rsidRDefault="00E72B49">
            <w:pPr>
              <w:pStyle w:val="OWTablebodyleft"/>
            </w:pPr>
            <w:r>
              <w:t>Without disability</w:t>
            </w:r>
          </w:p>
        </w:tc>
        <w:tc>
          <w:tcPr>
            <w:tcW w:w="2268" w:type="dxa"/>
          </w:tcPr>
          <w:p w14:paraId="111B67ED" w14:textId="77777777" w:rsidR="00514CC0" w:rsidRDefault="00E72B49">
            <w:pPr>
              <w:pStyle w:val="OWTablebodycentre"/>
            </w:pPr>
            <w:r>
              <w:t>4.6%</w:t>
            </w:r>
          </w:p>
        </w:tc>
        <w:tc>
          <w:tcPr>
            <w:tcW w:w="2268" w:type="dxa"/>
          </w:tcPr>
          <w:p w14:paraId="636E9E4D" w14:textId="77777777" w:rsidR="00514CC0" w:rsidRDefault="00E72B49">
            <w:pPr>
              <w:pStyle w:val="OWTablebodycentre"/>
            </w:pPr>
            <w:r>
              <w:t>1.8%</w:t>
            </w:r>
          </w:p>
        </w:tc>
      </w:tr>
      <w:tr w:rsidR="00514CC0" w14:paraId="5E51856D" w14:textId="77777777" w:rsidTr="00BB2447">
        <w:trPr>
          <w:cantSplit/>
          <w:trHeight w:val="60"/>
        </w:trPr>
        <w:tc>
          <w:tcPr>
            <w:tcW w:w="4535" w:type="dxa"/>
          </w:tcPr>
          <w:p w14:paraId="32B82586" w14:textId="77777777" w:rsidR="00514CC0" w:rsidRDefault="00E72B49">
            <w:pPr>
              <w:pStyle w:val="OWTablebodyleft"/>
            </w:pPr>
            <w:r>
              <w:t>Born overseas</w:t>
            </w:r>
          </w:p>
        </w:tc>
        <w:tc>
          <w:tcPr>
            <w:tcW w:w="2268" w:type="dxa"/>
          </w:tcPr>
          <w:p w14:paraId="5D8464E9" w14:textId="77777777" w:rsidR="00514CC0" w:rsidRDefault="00E72B49">
            <w:pPr>
              <w:pStyle w:val="OWTablebodycentre"/>
            </w:pPr>
            <w:r>
              <w:t>5.3%</w:t>
            </w:r>
          </w:p>
        </w:tc>
        <w:tc>
          <w:tcPr>
            <w:tcW w:w="2268" w:type="dxa"/>
          </w:tcPr>
          <w:p w14:paraId="3B2039AD" w14:textId="77777777" w:rsidR="00514CC0" w:rsidRDefault="00E72B49">
            <w:pPr>
              <w:pStyle w:val="OWTablebodycentre"/>
            </w:pPr>
            <w:r>
              <w:t>2.8%</w:t>
            </w:r>
          </w:p>
        </w:tc>
      </w:tr>
      <w:tr w:rsidR="00514CC0" w14:paraId="154E573A" w14:textId="77777777" w:rsidTr="00BB2447">
        <w:trPr>
          <w:cantSplit/>
          <w:trHeight w:val="60"/>
        </w:trPr>
        <w:tc>
          <w:tcPr>
            <w:tcW w:w="4535" w:type="dxa"/>
          </w:tcPr>
          <w:p w14:paraId="78788FCB" w14:textId="77777777" w:rsidR="00514CC0" w:rsidRDefault="00E72B49">
            <w:pPr>
              <w:pStyle w:val="OWTablebodyleft"/>
            </w:pPr>
            <w:r>
              <w:t>Born in Australia</w:t>
            </w:r>
          </w:p>
        </w:tc>
        <w:tc>
          <w:tcPr>
            <w:tcW w:w="2268" w:type="dxa"/>
          </w:tcPr>
          <w:p w14:paraId="44315FD9" w14:textId="77777777" w:rsidR="00514CC0" w:rsidRDefault="00E72B49">
            <w:pPr>
              <w:pStyle w:val="OWTablebodycentre"/>
            </w:pPr>
            <w:r>
              <w:t>6.0%</w:t>
            </w:r>
          </w:p>
        </w:tc>
        <w:tc>
          <w:tcPr>
            <w:tcW w:w="2268" w:type="dxa"/>
          </w:tcPr>
          <w:p w14:paraId="3536E079" w14:textId="77777777" w:rsidR="00514CC0" w:rsidRDefault="00E72B49">
            <w:pPr>
              <w:pStyle w:val="OWTablebodycentre"/>
            </w:pPr>
            <w:r>
              <w:t>2.5%</w:t>
            </w:r>
          </w:p>
        </w:tc>
      </w:tr>
    </w:tbl>
    <w:p w14:paraId="1C8D00B8" w14:textId="77777777" w:rsidR="00514CC0" w:rsidRDefault="00E72B49">
      <w:pPr>
        <w:pStyle w:val="OWTablefootnote"/>
      </w:pPr>
      <w:r>
        <w:t>Source: ABS Gender Indicators, September 2018, extended analysis of Disability, Ageing and Carers survey</w:t>
      </w:r>
    </w:p>
    <w:p w14:paraId="68614A37" w14:textId="77777777" w:rsidR="00514CC0" w:rsidRDefault="00E72B49" w:rsidP="00040755">
      <w:pPr>
        <w:pStyle w:val="OWTablefootnoteindent"/>
        <w:spacing w:after="480"/>
      </w:pPr>
      <w:r>
        <w:t>*</w:t>
      </w:r>
      <w:r>
        <w:tab/>
        <w:t>Estimate has a relative standard error of 25–50% and should be used with caution</w:t>
      </w:r>
    </w:p>
    <w:tbl>
      <w:tblPr>
        <w:tblStyle w:val="Casestudyteal"/>
        <w:tblW w:w="0" w:type="auto"/>
        <w:tblLayout w:type="fixed"/>
        <w:tblLook w:val="0620" w:firstRow="1" w:lastRow="0" w:firstColumn="0" w:lastColumn="0" w:noHBand="1" w:noVBand="1"/>
      </w:tblPr>
      <w:tblGrid>
        <w:gridCol w:w="9071"/>
      </w:tblGrid>
      <w:tr w:rsidR="00514CC0" w14:paraId="129ACF93" w14:textId="77777777" w:rsidTr="00BB2447">
        <w:trPr>
          <w:cnfStyle w:val="100000000000" w:firstRow="1" w:lastRow="0" w:firstColumn="0" w:lastColumn="0" w:oddVBand="0" w:evenVBand="0" w:oddHBand="0" w:evenHBand="0" w:firstRowFirstColumn="0" w:firstRowLastColumn="0" w:lastRowFirstColumn="0" w:lastRowLastColumn="0"/>
          <w:trHeight w:val="60"/>
        </w:trPr>
        <w:tc>
          <w:tcPr>
            <w:tcW w:w="9071" w:type="dxa"/>
          </w:tcPr>
          <w:p w14:paraId="776902BC" w14:textId="77777777" w:rsidR="00514CC0" w:rsidRPr="00040755" w:rsidRDefault="00E72B49">
            <w:pPr>
              <w:pStyle w:val="OWBoxheading"/>
            </w:pPr>
            <w:r w:rsidRPr="00040755">
              <w:t>PwC analysis of Australia’s unpaid economy, 2017</w:t>
            </w:r>
          </w:p>
        </w:tc>
      </w:tr>
      <w:tr w:rsidR="00514CC0" w14:paraId="2FD647F2" w14:textId="77777777" w:rsidTr="00BB2447">
        <w:trPr>
          <w:trHeight w:val="60"/>
        </w:trPr>
        <w:tc>
          <w:tcPr>
            <w:tcW w:w="9071" w:type="dxa"/>
          </w:tcPr>
          <w:p w14:paraId="5819F5D2" w14:textId="736C2BE1" w:rsidR="00514CC0" w:rsidRDefault="00E72B49">
            <w:pPr>
              <w:pStyle w:val="OWTablebodyleft"/>
            </w:pPr>
            <w:r>
              <w:t>Based on an analysis of multiple ABS sources (including the Census, Employee Hours and Earnings, Voluntary Work, and the Time Use survey), PwC undertook an analysis which showed that ‘(w)omen are significantly overrepresented in the unpaid economy, accounting for almost three-quarters of all unpaid work’ in Australia (p. 1). Further, PwC stated that ‘women conduct 76% of childcare, 67% of domestic work, 69% of care of adults and 57% of volunteering. The percentage of unpaid work which is done by females is not affected at all by the average income, educ</w:t>
            </w:r>
            <w:r w:rsidR="00CD75FA">
              <w:t>a</w:t>
            </w:r>
            <w:r>
              <w:t>tion or relative advantage of the location in which the work is occurring, showing that regardless of personal circumstances, men are conducting less unpaid work’ (p. 2).</w:t>
            </w:r>
          </w:p>
          <w:p w14:paraId="2FA0FFFC" w14:textId="77777777" w:rsidR="003D6A9B" w:rsidRPr="003D6A9B" w:rsidRDefault="003D6A9B" w:rsidP="003D6A9B">
            <w:pPr>
              <w:pStyle w:val="OWBoxsourceline"/>
            </w:pPr>
            <w:r>
              <w:drawing>
                <wp:inline distT="0" distB="0" distL="0" distR="0" wp14:anchorId="4E8923C3" wp14:editId="2D56013B">
                  <wp:extent cx="431640" cy="3960"/>
                  <wp:effectExtent l="0" t="0" r="0" b="0"/>
                  <wp:docPr id="441008566" name="Picture 4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28">
                            <a:extLst>
                              <a:ext uri="{28A0092B-C50C-407E-A947-70E740481C1C}">
                                <a14:useLocalDpi xmlns:a14="http://schemas.microsoft.com/office/drawing/2010/main" val="0"/>
                              </a:ext>
                            </a:extLst>
                          </a:blip>
                          <a:stretch>
                            <a:fillRect/>
                          </a:stretch>
                        </pic:blipFill>
                        <pic:spPr>
                          <a:xfrm>
                            <a:off x="0" y="0"/>
                            <a:ext cx="431640" cy="3960"/>
                          </a:xfrm>
                          <a:prstGeom prst="rect">
                            <a:avLst/>
                          </a:prstGeom>
                        </pic:spPr>
                      </pic:pic>
                    </a:graphicData>
                  </a:graphic>
                </wp:inline>
              </w:drawing>
            </w:r>
          </w:p>
          <w:p w14:paraId="76F854B3" w14:textId="194DACFF" w:rsidR="00514CC0" w:rsidRDefault="00E72B49" w:rsidP="004A1B0D">
            <w:pPr>
              <w:pStyle w:val="OWBoxsource"/>
            </w:pPr>
            <w:r>
              <w:t>Source: PwC, ‘</w:t>
            </w:r>
            <w:hyperlink r:id="rId48" w:history="1">
              <w:r w:rsidRPr="000B492C">
                <w:rPr>
                  <w:rStyle w:val="Hyperlink"/>
                </w:rPr>
                <w:t>Understanding the Unpaid Economy</w:t>
              </w:r>
            </w:hyperlink>
            <w:r>
              <w:t>’, 2017.</w:t>
            </w:r>
          </w:p>
        </w:tc>
      </w:tr>
    </w:tbl>
    <w:p w14:paraId="7F71175F" w14:textId="77777777" w:rsidR="00514CC0" w:rsidRDefault="00E72B49" w:rsidP="00E1549C">
      <w:pPr>
        <w:pStyle w:val="Heading4"/>
      </w:pPr>
      <w:r>
        <w:lastRenderedPageBreak/>
        <w:t>Indicator 2.5: Recognition of women’s equal contribution to the arts and media</w:t>
      </w:r>
      <w:r>
        <w:rPr>
          <w:rStyle w:val="OWSuperscript"/>
        </w:rPr>
        <w:footnoteReference w:id="36"/>
      </w:r>
    </w:p>
    <w:tbl>
      <w:tblPr>
        <w:tblStyle w:val="Indicatoroutlineteal"/>
        <w:tblW w:w="9071" w:type="dxa"/>
        <w:tblLayout w:type="fixed"/>
        <w:tblLook w:val="0680" w:firstRow="0" w:lastRow="0" w:firstColumn="1" w:lastColumn="0" w:noHBand="1" w:noVBand="1"/>
      </w:tblPr>
      <w:tblGrid>
        <w:gridCol w:w="2268"/>
        <w:gridCol w:w="6803"/>
      </w:tblGrid>
      <w:tr w:rsidR="00514CC0" w14:paraId="766C0A4B" w14:textId="77777777" w:rsidTr="00BB2447">
        <w:trPr>
          <w:cantSplit/>
          <w:trHeight w:val="60"/>
        </w:trPr>
        <w:tc>
          <w:tcPr>
            <w:tcW w:w="2268" w:type="dxa"/>
          </w:tcPr>
          <w:p w14:paraId="336AF3DF" w14:textId="77777777" w:rsidR="00514CC0" w:rsidRDefault="00E72B49">
            <w:pPr>
              <w:pStyle w:val="OWTablebodyleft"/>
            </w:pPr>
            <w:r>
              <w:t>What does this indicator tell us about Monitoring domain 2: Rigid gender roles and stereotyped constructions of masculinity and femininity?</w:t>
            </w:r>
          </w:p>
        </w:tc>
        <w:tc>
          <w:tcPr>
            <w:tcW w:w="6803" w:type="dxa"/>
          </w:tcPr>
          <w:p w14:paraId="291A70F4" w14:textId="77777777" w:rsidR="00514CC0" w:rsidRDefault="00E72B49">
            <w:pPr>
              <w:pStyle w:val="OWTablebodyleft"/>
            </w:pPr>
            <w:r>
              <w:t>Women’s contributions to the arts and media have been recognised as gaining less industry and public recognition, often as a result of an unconscious bias shaped by the gender norm that men are more serious thought leaders and men’s work holds more weight than women’s in the public domain. This indicator looks at the level to which women’s contribution to the arts and media have been recognised.</w:t>
            </w:r>
          </w:p>
        </w:tc>
      </w:tr>
      <w:tr w:rsidR="00514CC0" w14:paraId="190CECEC" w14:textId="77777777" w:rsidTr="00BB2447">
        <w:trPr>
          <w:cantSplit/>
          <w:trHeight w:val="60"/>
        </w:trPr>
        <w:tc>
          <w:tcPr>
            <w:tcW w:w="2268" w:type="dxa"/>
          </w:tcPr>
          <w:p w14:paraId="29D3CE4B" w14:textId="451EB5F7" w:rsidR="00514CC0" w:rsidRDefault="00E72B49">
            <w:pPr>
              <w:pStyle w:val="OWTablebodyleft"/>
            </w:pPr>
            <w:r>
              <w:t>Expected change if</w:t>
            </w:r>
            <w:r w:rsidR="007421E2">
              <w:t> </w:t>
            </w:r>
            <w:r>
              <w:t>high-quality programs and infrastructure for prevention of violence against women and gender equality are implemented</w:t>
            </w:r>
          </w:p>
        </w:tc>
        <w:tc>
          <w:tcPr>
            <w:tcW w:w="6803" w:type="dxa"/>
          </w:tcPr>
          <w:p w14:paraId="3D9DCE37" w14:textId="77777777" w:rsidR="00514CC0" w:rsidRDefault="00E72B49">
            <w:pPr>
              <w:pStyle w:val="OWTablebodyleft"/>
            </w:pPr>
            <w:r>
              <w:t>Short- and medium-term: increased representation of female artists in major Australian newspapers including:</w:t>
            </w:r>
          </w:p>
          <w:p w14:paraId="69FCEBF2" w14:textId="77777777" w:rsidR="00514CC0" w:rsidRDefault="00E72B49">
            <w:pPr>
              <w:pStyle w:val="OWTablebullet1"/>
            </w:pPr>
            <w:r>
              <w:t>book reviews</w:t>
            </w:r>
          </w:p>
          <w:p w14:paraId="26F48632" w14:textId="77777777" w:rsidR="00514CC0" w:rsidRDefault="00E72B49">
            <w:pPr>
              <w:pStyle w:val="OWTablebullet1"/>
            </w:pPr>
            <w:r>
              <w:t>performance art reviews</w:t>
            </w:r>
          </w:p>
          <w:p w14:paraId="0DCCF97E" w14:textId="77777777" w:rsidR="00514CC0" w:rsidRDefault="00E72B49">
            <w:pPr>
              <w:pStyle w:val="OWTablebullet1"/>
            </w:pPr>
            <w:r>
              <w:t>visual art reviews.</w:t>
            </w:r>
          </w:p>
          <w:p w14:paraId="0B8C1BA3" w14:textId="77777777" w:rsidR="00514CC0" w:rsidRDefault="00E72B49">
            <w:pPr>
              <w:pStyle w:val="OWTablebodyleft"/>
            </w:pPr>
            <w:r>
              <w:t>Long-term: artists of all genders are equally represented in major Australian newspapers reviews and awarded equal prize monies within their industries.</w:t>
            </w:r>
          </w:p>
        </w:tc>
      </w:tr>
      <w:tr w:rsidR="00514CC0" w14:paraId="4F8B9A8E" w14:textId="77777777" w:rsidTr="00BB2447">
        <w:trPr>
          <w:cantSplit/>
          <w:trHeight w:val="60"/>
        </w:trPr>
        <w:tc>
          <w:tcPr>
            <w:tcW w:w="2268" w:type="dxa"/>
          </w:tcPr>
          <w:p w14:paraId="1FE9CFC3" w14:textId="77777777" w:rsidR="00514CC0" w:rsidRDefault="00E72B49">
            <w:pPr>
              <w:pStyle w:val="OWTablebodyleft"/>
            </w:pPr>
            <w:r>
              <w:t>Data source(s)</w:t>
            </w:r>
          </w:p>
        </w:tc>
        <w:tc>
          <w:tcPr>
            <w:tcW w:w="6803" w:type="dxa"/>
          </w:tcPr>
          <w:p w14:paraId="67D41DE4" w14:textId="28DFA9A6" w:rsidR="00514CC0" w:rsidRDefault="00E72B49">
            <w:pPr>
              <w:pStyle w:val="OWTablebodyleft"/>
            </w:pPr>
            <w:r>
              <w:t>The Stella Count, 2012 to 2018, The Stella Prize</w:t>
            </w:r>
            <w:r w:rsidR="004414D0">
              <w:rPr>
                <w:rStyle w:val="EndnoteReference"/>
              </w:rPr>
              <w:endnoteReference w:id="273"/>
            </w:r>
          </w:p>
        </w:tc>
      </w:tr>
      <w:tr w:rsidR="00514CC0" w14:paraId="69CB7AD0" w14:textId="77777777" w:rsidTr="00BB2447">
        <w:trPr>
          <w:cantSplit/>
          <w:trHeight w:val="60"/>
        </w:trPr>
        <w:tc>
          <w:tcPr>
            <w:tcW w:w="2268" w:type="dxa"/>
          </w:tcPr>
          <w:p w14:paraId="39B5148D" w14:textId="77777777" w:rsidR="00514CC0" w:rsidRDefault="00E72B49">
            <w:pPr>
              <w:pStyle w:val="OWTablebodyleft"/>
            </w:pPr>
            <w:r>
              <w:t>Change over time summary: short-term change revealed by the data</w:t>
            </w:r>
          </w:p>
        </w:tc>
        <w:tc>
          <w:tcPr>
            <w:tcW w:w="6803" w:type="dxa"/>
          </w:tcPr>
          <w:p w14:paraId="72E22C54" w14:textId="77777777" w:rsidR="00514CC0" w:rsidRDefault="00E72B49">
            <w:pPr>
              <w:pStyle w:val="OWTablebodyleft"/>
            </w:pPr>
            <w:r>
              <w:t>The overall proportion of books by female authors profiled in Australian reviews has increased by 9 percentage points to near-parity over six years.</w:t>
            </w:r>
          </w:p>
        </w:tc>
      </w:tr>
      <w:tr w:rsidR="00514CC0" w14:paraId="6356E882" w14:textId="77777777" w:rsidTr="00BB2447">
        <w:trPr>
          <w:cantSplit/>
          <w:trHeight w:val="60"/>
        </w:trPr>
        <w:tc>
          <w:tcPr>
            <w:tcW w:w="2268" w:type="dxa"/>
          </w:tcPr>
          <w:p w14:paraId="3E3377C5" w14:textId="77777777" w:rsidR="00514CC0" w:rsidRDefault="00E72B49">
            <w:pPr>
              <w:pStyle w:val="OWTablebodyleft"/>
            </w:pPr>
            <w:r>
              <w:t>Does the change confirm or run contrary to expected change?</w:t>
            </w:r>
          </w:p>
        </w:tc>
        <w:tc>
          <w:tcPr>
            <w:tcW w:w="6803" w:type="dxa"/>
          </w:tcPr>
          <w:p w14:paraId="5786A438" w14:textId="77777777" w:rsidR="00514CC0" w:rsidRDefault="00E72B49">
            <w:pPr>
              <w:pStyle w:val="OWTablebodyleft"/>
            </w:pPr>
            <w:r>
              <w:t>Confirms expected change</w:t>
            </w:r>
          </w:p>
        </w:tc>
      </w:tr>
      <w:tr w:rsidR="00514CC0" w14:paraId="62A66AF1" w14:textId="77777777" w:rsidTr="00BB2447">
        <w:trPr>
          <w:cantSplit/>
          <w:trHeight w:val="60"/>
        </w:trPr>
        <w:tc>
          <w:tcPr>
            <w:tcW w:w="2268" w:type="dxa"/>
          </w:tcPr>
          <w:p w14:paraId="1822C036" w14:textId="77777777" w:rsidR="00514CC0" w:rsidRDefault="00E72B49">
            <w:pPr>
              <w:pStyle w:val="OWTablebodyleft"/>
            </w:pPr>
            <w:r>
              <w:t>Gaps in existing data</w:t>
            </w:r>
          </w:p>
        </w:tc>
        <w:tc>
          <w:tcPr>
            <w:tcW w:w="6803" w:type="dxa"/>
          </w:tcPr>
          <w:p w14:paraId="08348A33" w14:textId="77777777" w:rsidR="00514CC0" w:rsidRDefault="00E72B49">
            <w:pPr>
              <w:pStyle w:val="OWTablebodyleft"/>
            </w:pPr>
            <w:r>
              <w:t>The Stella Count is currently focused on disaggregation by a binary categorisation of gender only; however, it has been flagged that the Stella Count survey may work toward disaggregation by a range of gender identities and other demographic factors, acknowledging that books by gender-diverse people, women of diverse sexual orientations, First Nations women, women of colour and women with disability may be less likely to have their work reviewed and profiled than women of relative privilege. There is currently limited data on this.</w:t>
            </w:r>
          </w:p>
        </w:tc>
      </w:tr>
    </w:tbl>
    <w:p w14:paraId="2912F0A3" w14:textId="335FB9F5" w:rsidR="00514CC0" w:rsidRDefault="00E72B49" w:rsidP="007421E2">
      <w:pPr>
        <w:pStyle w:val="OWBodytextlargespaceabove"/>
      </w:pPr>
      <w:r>
        <w:lastRenderedPageBreak/>
        <w:t xml:space="preserve">The arts and media are the domains in which our stories are </w:t>
      </w:r>
      <w:r w:rsidR="001B79AE">
        <w:t>told,</w:t>
      </w:r>
      <w:r>
        <w:t xml:space="preserve"> and our language is shaped.</w:t>
      </w:r>
      <w:r w:rsidR="007421E2">
        <w:t> </w:t>
      </w:r>
      <w:r>
        <w:t>Women’s contributions to the arts and media have been recognised as garnering less industry and public recognition, often as a result of an unconscious bias shaped by the gender norm that men are more serious thought leaders and men’s work holds more weight than women’s in the public domain. This unconscious bias against women and their arts and media work leads to under-representation and less critical acclaim in the public domain. Alongside gender, the lack of diversity in publications has been increasingly highlighted and challenged internationally and in Australia.</w:t>
      </w:r>
      <w:r w:rsidR="00040755">
        <w:rPr>
          <w:rStyle w:val="EndnoteReference"/>
        </w:rPr>
        <w:endnoteReference w:id="274"/>
      </w:r>
    </w:p>
    <w:p w14:paraId="56A66CDD" w14:textId="0F079384" w:rsidR="00514CC0" w:rsidRDefault="00E72B49">
      <w:pPr>
        <w:pStyle w:val="BodyText"/>
      </w:pPr>
      <w:r>
        <w:t>The Stella Prize was launched in 2013 after it was recognised by women writers and women</w:t>
      </w:r>
      <w:r w:rsidR="007421E2">
        <w:t> </w:t>
      </w:r>
      <w:r>
        <w:t xml:space="preserve">in the literary industry that women’s work and women writers were severely </w:t>
      </w:r>
      <w:r w:rsidR="007421E2">
        <w:br/>
      </w:r>
      <w:r>
        <w:t>under-represented in the literary pages of Australian newspapers. Men were predominantly reviewing men’s work. Women’s books were also far less likely to be longlisted, shortlisted and awarded existing Australian literary awards.</w:t>
      </w:r>
      <w:r w:rsidR="00391DDA">
        <w:rPr>
          <w:rStyle w:val="EndnoteReference"/>
        </w:rPr>
        <w:endnoteReference w:id="275"/>
      </w:r>
      <w:r>
        <w:t xml:space="preserve"> The Stella Prize recognises the best fiction and non-fiction books written by Australian women each year, providing financial support to the winner and generating further public and industry interest in the longlisted books. It also supports works that challenge rigid gender norms and stereotypes. In addition</w:t>
      </w:r>
      <w:r w:rsidR="007421E2">
        <w:t> </w:t>
      </w:r>
      <w:r>
        <w:t>to the prize itself, however, the Stella Prize undertakes a count of major national, metropolitan and regional publications (newspapers and journals) and ‘assesses the extent of gender biases in the field of book reviewing in Australia’.</w:t>
      </w:r>
      <w:r w:rsidR="00391DDA">
        <w:rPr>
          <w:rStyle w:val="EndnoteReference"/>
        </w:rPr>
        <w:endnoteReference w:id="276"/>
      </w:r>
      <w:r>
        <w:t xml:space="preserve"> The Stella Count has been undertaken since 2012.</w:t>
      </w:r>
    </w:p>
    <w:p w14:paraId="49AB3759" w14:textId="77777777" w:rsidR="00514CC0" w:rsidRDefault="00E72B49" w:rsidP="00F868FE">
      <w:pPr>
        <w:pStyle w:val="Heading5"/>
      </w:pPr>
      <w:r>
        <w:t>Change over time: 2012 to 2018</w:t>
      </w:r>
    </w:p>
    <w:p w14:paraId="48771BBC" w14:textId="22395F64" w:rsidR="00514CC0" w:rsidRDefault="00E72B49">
      <w:pPr>
        <w:pStyle w:val="BodyText"/>
      </w:pPr>
      <w:r>
        <w:t xml:space="preserve">In 2012, the inaugural year of the Stella Count, the overall proportion of books by female authors profiled in Australian literary review pages was 40%. By 2018 this had increased by 9 percentage points to near-parity (49%) (see Figure </w:t>
      </w:r>
      <w:r w:rsidR="0017588F">
        <w:t>14</w:t>
      </w:r>
      <w:r>
        <w:t>, below).</w:t>
      </w:r>
      <w:r w:rsidR="00391DDA">
        <w:rPr>
          <w:rStyle w:val="EndnoteReference"/>
        </w:rPr>
        <w:endnoteReference w:id="277"/>
      </w:r>
    </w:p>
    <w:p w14:paraId="1C6FE34D" w14:textId="6C87E97B" w:rsidR="00514CC0" w:rsidRDefault="00E72B49">
      <w:pPr>
        <w:pStyle w:val="OWFigurecaption"/>
      </w:pPr>
      <w:r>
        <w:t xml:space="preserve">Figure </w:t>
      </w:r>
      <w:r w:rsidR="0017588F">
        <w:t>14</w:t>
      </w:r>
      <w:r>
        <w:t>: Proportion of women authors represented in Australian review pages</w:t>
      </w:r>
    </w:p>
    <w:p w14:paraId="0B6FB8F3" w14:textId="2AFEB9D6" w:rsidR="00514CC0" w:rsidRDefault="00A22941" w:rsidP="005D2DDD">
      <w:pPr>
        <w:pStyle w:val="OWFigureinline"/>
      </w:pPr>
      <w:r>
        <w:rPr>
          <w:noProof/>
        </w:rPr>
        <w:drawing>
          <wp:inline distT="0" distB="0" distL="0" distR="0" wp14:anchorId="4EE815A5" wp14:editId="42C9EC39">
            <wp:extent cx="5700397" cy="3176270"/>
            <wp:effectExtent l="0" t="0" r="0" b="5080"/>
            <wp:docPr id="1393677948" name="Picture 64" descr="Line graph of the following data (proportion). 2012 – 40%; 2013 – 43%; 2014 – 41%; 2015 – 41%; 2016 – 48%; 2017 – 46%; 2018 –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77948" name="Picture 64" descr="Line graph of the following data (proportion). 2012 – 40%; 2013 – 43%; 2014 – 41%; 2015 – 41%; 2016 – 48%; 2017 – 46%; 2018 – 49%."/>
                    <pic:cNvPicPr/>
                  </pic:nvPicPr>
                  <pic:blipFill>
                    <a:blip r:embed="rId49">
                      <a:extLst>
                        <a:ext uri="{28A0092B-C50C-407E-A947-70E740481C1C}">
                          <a14:useLocalDpi xmlns:a14="http://schemas.microsoft.com/office/drawing/2010/main" val="0"/>
                        </a:ext>
                      </a:extLst>
                    </a:blip>
                    <a:stretch>
                      <a:fillRect/>
                    </a:stretch>
                  </pic:blipFill>
                  <pic:spPr>
                    <a:xfrm>
                      <a:off x="0" y="0"/>
                      <a:ext cx="5700397" cy="3176270"/>
                    </a:xfrm>
                    <a:prstGeom prst="rect">
                      <a:avLst/>
                    </a:prstGeom>
                  </pic:spPr>
                </pic:pic>
              </a:graphicData>
            </a:graphic>
          </wp:inline>
        </w:drawing>
      </w:r>
    </w:p>
    <w:p w14:paraId="5816E9B0" w14:textId="77777777" w:rsidR="00514CC0" w:rsidRDefault="00E72B49">
      <w:pPr>
        <w:pStyle w:val="OWFigurefootnote"/>
      </w:pPr>
      <w:r>
        <w:t>Source: Stella Count 2017 and 2018</w:t>
      </w:r>
    </w:p>
    <w:p w14:paraId="020FF39C" w14:textId="4B1C82DA" w:rsidR="00514CC0" w:rsidRDefault="00E72B49">
      <w:pPr>
        <w:pStyle w:val="BodyText"/>
      </w:pPr>
      <w:r>
        <w:lastRenderedPageBreak/>
        <w:t>Likely linked to the conscious attempts to rectify gender disparities in book reviews following the introduction of the Stella Count, most surveyed publications have improved their gender parity over time. In 2018, nine of 12 surveyed publications containing literary journalism reached or surpassed parity in publishing reviews of books by women.</w:t>
      </w:r>
      <w:r w:rsidR="00391DDA">
        <w:rPr>
          <w:rStyle w:val="EndnoteReference"/>
        </w:rPr>
        <w:endnoteReference w:id="278"/>
      </w:r>
    </w:p>
    <w:p w14:paraId="39016603" w14:textId="393A1D2B" w:rsidR="00514CC0" w:rsidRDefault="00E72B49">
      <w:pPr>
        <w:pStyle w:val="BodyText"/>
      </w:pPr>
      <w:r>
        <w:t>In 2015, the Stella Count developed the Stella Count Survey.</w:t>
      </w:r>
      <w:r w:rsidR="006758CD">
        <w:rPr>
          <w:rStyle w:val="EndnoteReference"/>
        </w:rPr>
        <w:endnoteReference w:id="279"/>
      </w:r>
      <w:r>
        <w:t xml:space="preserve"> The survey was designed to collect data about the authors who are reviewed in relation to race, disability, non-binary gender identification and sexual orientation. Response rates were too low in this survey to draw any firm conclusions; however, preliminary data did show that female authors of colour comprised a small percentage of writers who were being reviewed in Australia. In 2018, the Stella Count researchers note that while ‘(g)ender parity is (now) the rule, not the exception … (m)uch more work is left to be done to enable the Stella Count to reflect the diversity of literary production and reception in Australia: to acknowledge gender identities beyond the gender binary, and also register gender’s intersection with race, ethnicity, sexuality and disability.’</w:t>
      </w:r>
      <w:r w:rsidR="006758CD">
        <w:rPr>
          <w:rStyle w:val="EndnoteReference"/>
        </w:rPr>
        <w:endnoteReference w:id="280"/>
      </w:r>
    </w:p>
    <w:p w14:paraId="05B35FBB" w14:textId="77777777" w:rsidR="00514CC0" w:rsidRDefault="00E72B49" w:rsidP="00E1549C">
      <w:pPr>
        <w:pStyle w:val="Heading4"/>
      </w:pPr>
      <w:r>
        <w:t>Indicator 2.6: Community norms that support the idea that to be a man you need to dominate women, be in control and/or use violence to assert status and resolve disputes</w:t>
      </w:r>
    </w:p>
    <w:tbl>
      <w:tblPr>
        <w:tblStyle w:val="Indicatoroutlineteal"/>
        <w:tblW w:w="9072" w:type="dxa"/>
        <w:tblLayout w:type="fixed"/>
        <w:tblLook w:val="0680" w:firstRow="0" w:lastRow="0" w:firstColumn="1" w:lastColumn="0" w:noHBand="1" w:noVBand="1"/>
      </w:tblPr>
      <w:tblGrid>
        <w:gridCol w:w="2268"/>
        <w:gridCol w:w="6804"/>
      </w:tblGrid>
      <w:tr w:rsidR="00514CC0" w14:paraId="3D66FBA9" w14:textId="77777777" w:rsidTr="00BB2447">
        <w:trPr>
          <w:cantSplit/>
          <w:trHeight w:val="60"/>
        </w:trPr>
        <w:tc>
          <w:tcPr>
            <w:tcW w:w="2268" w:type="dxa"/>
          </w:tcPr>
          <w:p w14:paraId="4D6C3CDC" w14:textId="77777777" w:rsidR="00514CC0" w:rsidRDefault="00E72B49">
            <w:pPr>
              <w:pStyle w:val="OWTablebodyleft"/>
            </w:pPr>
            <w:r>
              <w:t>What does this indicator tell us about Monitoring domain 2: Rigid gender roles and stereotyped constructions of masculinity and femininity?</w:t>
            </w:r>
          </w:p>
        </w:tc>
        <w:tc>
          <w:tcPr>
            <w:tcW w:w="6803" w:type="dxa"/>
          </w:tcPr>
          <w:p w14:paraId="4C67990A" w14:textId="77777777" w:rsidR="00514CC0" w:rsidRDefault="00E72B49">
            <w:pPr>
              <w:pStyle w:val="OWTablebodyleft"/>
            </w:pPr>
            <w:r>
              <w:t>This indicator focuses on measuring the extent to which community members hold attitudes and norms that reflect dominant and harmful expressions of masculinity.</w:t>
            </w:r>
          </w:p>
        </w:tc>
      </w:tr>
      <w:tr w:rsidR="00514CC0" w14:paraId="1D83BF6E" w14:textId="77777777" w:rsidTr="00BB2447">
        <w:trPr>
          <w:cantSplit/>
          <w:trHeight w:val="60"/>
        </w:trPr>
        <w:tc>
          <w:tcPr>
            <w:tcW w:w="2268" w:type="dxa"/>
          </w:tcPr>
          <w:p w14:paraId="32D152DE" w14:textId="61AD3581" w:rsidR="00514CC0" w:rsidRDefault="00E72B49">
            <w:pPr>
              <w:pStyle w:val="OWTablebodyleft"/>
            </w:pPr>
            <w:r>
              <w:t>Expected change if</w:t>
            </w:r>
            <w:r w:rsidR="00287D9B">
              <w:t> </w:t>
            </w:r>
            <w:r>
              <w:t>high-quality programs and infrastructure for prevention of violence against women and gender equality are implemented</w:t>
            </w:r>
          </w:p>
        </w:tc>
        <w:tc>
          <w:tcPr>
            <w:tcW w:w="6803" w:type="dxa"/>
          </w:tcPr>
          <w:p w14:paraId="2364EBA3" w14:textId="77777777" w:rsidR="00514CC0" w:rsidRDefault="00E72B49">
            <w:pPr>
              <w:pStyle w:val="OWTablebodyleft"/>
            </w:pPr>
            <w:r>
              <w:t>Short- to medium-term: evidence of shifting norms around men’s dominance of women. In the medium-term, reduction in men’s use of dominance and violence to assert status over women.</w:t>
            </w:r>
          </w:p>
          <w:p w14:paraId="71B08FA6" w14:textId="77777777" w:rsidR="00514CC0" w:rsidRDefault="00E72B49">
            <w:pPr>
              <w:pStyle w:val="OWTablebodyleft"/>
            </w:pPr>
            <w:r>
              <w:t>Long-term: men and women view each other as equals and gender-based dominance in all facets of life declines.</w:t>
            </w:r>
          </w:p>
        </w:tc>
      </w:tr>
      <w:tr w:rsidR="00514CC0" w14:paraId="37382325" w14:textId="77777777" w:rsidTr="00BB2447">
        <w:trPr>
          <w:cantSplit/>
          <w:trHeight w:val="60"/>
        </w:trPr>
        <w:tc>
          <w:tcPr>
            <w:tcW w:w="2268" w:type="dxa"/>
          </w:tcPr>
          <w:p w14:paraId="625396A2" w14:textId="77777777" w:rsidR="00514CC0" w:rsidRDefault="00E72B49">
            <w:pPr>
              <w:pStyle w:val="OWTablebodyleft"/>
            </w:pPr>
            <w:r>
              <w:t>Data source(s)</w:t>
            </w:r>
          </w:p>
        </w:tc>
        <w:tc>
          <w:tcPr>
            <w:tcW w:w="6803" w:type="dxa"/>
          </w:tcPr>
          <w:p w14:paraId="3BC69D1E" w14:textId="56B6F539" w:rsidR="00514CC0" w:rsidRDefault="00E72B49" w:rsidP="002C2EC7">
            <w:pPr>
              <w:pStyle w:val="OWTablenumberdigit"/>
              <w:numPr>
                <w:ilvl w:val="0"/>
                <w:numId w:val="25"/>
              </w:numPr>
            </w:pPr>
            <w:r>
              <w:t xml:space="preserve">The Men’s Project and M. Flood, </w:t>
            </w:r>
            <w:r w:rsidRPr="003E209A">
              <w:rPr>
                <w:rStyle w:val="Emphasis"/>
              </w:rPr>
              <w:t>The Man Box: A study on being a young man in Australia</w:t>
            </w:r>
            <w:r>
              <w:t>, 2018, The Man Project and Jesuit Social Services</w:t>
            </w:r>
            <w:r w:rsidR="006758CD">
              <w:rPr>
                <w:rStyle w:val="EndnoteReference"/>
              </w:rPr>
              <w:endnoteReference w:id="281"/>
            </w:r>
          </w:p>
          <w:p w14:paraId="4D8660B0" w14:textId="77777777" w:rsidR="00514CC0" w:rsidRDefault="00E72B49">
            <w:pPr>
              <w:pStyle w:val="OWTablenumberdigit"/>
            </w:pPr>
            <w:r>
              <w:t>National Community Attitudes towards Violence against Women Survey (NCAS) 2017, Australia’s National Research Organisation for Women’s Safety (ANROWS)</w:t>
            </w:r>
          </w:p>
        </w:tc>
      </w:tr>
      <w:tr w:rsidR="00514CC0" w14:paraId="6DB15DFB" w14:textId="77777777" w:rsidTr="00BB2447">
        <w:trPr>
          <w:cantSplit/>
          <w:trHeight w:val="60"/>
        </w:trPr>
        <w:tc>
          <w:tcPr>
            <w:tcW w:w="2268" w:type="dxa"/>
          </w:tcPr>
          <w:p w14:paraId="7FA908CC" w14:textId="77777777" w:rsidR="00514CC0" w:rsidRDefault="00E72B49">
            <w:pPr>
              <w:pStyle w:val="OWTablebodyleft"/>
            </w:pPr>
            <w:r>
              <w:lastRenderedPageBreak/>
              <w:t>Change over time summary: short-term change revealed by the data</w:t>
            </w:r>
          </w:p>
        </w:tc>
        <w:tc>
          <w:tcPr>
            <w:tcW w:w="6803" w:type="dxa"/>
          </w:tcPr>
          <w:p w14:paraId="12C36975" w14:textId="77777777" w:rsidR="00514CC0" w:rsidRDefault="00E72B49">
            <w:pPr>
              <w:pStyle w:val="OWTablebodyleft"/>
            </w:pPr>
            <w:r>
              <w:t>Only baseline data available at this point; no assessment of change possible.</w:t>
            </w:r>
          </w:p>
        </w:tc>
      </w:tr>
      <w:tr w:rsidR="00514CC0" w14:paraId="3D627022" w14:textId="77777777" w:rsidTr="00BB2447">
        <w:trPr>
          <w:cantSplit/>
          <w:trHeight w:val="60"/>
        </w:trPr>
        <w:tc>
          <w:tcPr>
            <w:tcW w:w="2268" w:type="dxa"/>
          </w:tcPr>
          <w:p w14:paraId="486F5407" w14:textId="77777777" w:rsidR="00514CC0" w:rsidRDefault="00E72B49">
            <w:pPr>
              <w:pStyle w:val="OWTablebodyleft"/>
            </w:pPr>
            <w:r>
              <w:t>Does the change confirm or run contrary to expected change?</w:t>
            </w:r>
          </w:p>
        </w:tc>
        <w:tc>
          <w:tcPr>
            <w:tcW w:w="6803" w:type="dxa"/>
          </w:tcPr>
          <w:p w14:paraId="71F77578" w14:textId="77777777" w:rsidR="00514CC0" w:rsidRDefault="00E72B49">
            <w:pPr>
              <w:pStyle w:val="OWTablebodyleft"/>
            </w:pPr>
            <w:r>
              <w:t>Not yet able to assess change</w:t>
            </w:r>
          </w:p>
        </w:tc>
      </w:tr>
      <w:tr w:rsidR="00514CC0" w14:paraId="23DCB84B" w14:textId="77777777" w:rsidTr="00BB2447">
        <w:trPr>
          <w:cantSplit/>
          <w:trHeight w:val="60"/>
        </w:trPr>
        <w:tc>
          <w:tcPr>
            <w:tcW w:w="2268" w:type="dxa"/>
          </w:tcPr>
          <w:p w14:paraId="0474A5CB" w14:textId="77777777" w:rsidR="00514CC0" w:rsidRDefault="00E72B49">
            <w:pPr>
              <w:pStyle w:val="OWTablebodyleft"/>
            </w:pPr>
            <w:r>
              <w:t>Gaps in existing data</w:t>
            </w:r>
          </w:p>
        </w:tc>
        <w:tc>
          <w:tcPr>
            <w:tcW w:w="6803" w:type="dxa"/>
          </w:tcPr>
          <w:p w14:paraId="0A08FD45" w14:textId="77777777" w:rsidR="00514CC0" w:rsidRDefault="00E72B49">
            <w:pPr>
              <w:pStyle w:val="OWTablebodyleft"/>
            </w:pPr>
            <w:r>
              <w:t>We have no data available to assess change over time at this point.</w:t>
            </w:r>
          </w:p>
          <w:p w14:paraId="15E8ED1A" w14:textId="77777777" w:rsidR="00514CC0" w:rsidRDefault="00E72B49">
            <w:pPr>
              <w:pStyle w:val="OWTablebodyleft"/>
            </w:pPr>
            <w:r>
              <w:t>While another Man Box survey has been piloted with younger boys and men (aged 12 to 17), it is unknown whether any of these Man Box studies will be repeated in the future to allow tracking of data over time. Moreover, the data available on norms of masculinity is very limited.</w:t>
            </w:r>
          </w:p>
        </w:tc>
      </w:tr>
    </w:tbl>
    <w:p w14:paraId="65ECA3E0" w14:textId="77777777" w:rsidR="00514CC0" w:rsidRDefault="00E72B49" w:rsidP="007421E2">
      <w:pPr>
        <w:pStyle w:val="OWBodytextlargespaceabove"/>
      </w:pPr>
      <w:r>
        <w:t xml:space="preserve">There is a large gap in Australian-based data on community norms regarding masculinity, with no available data assessing how these norms have shifted over time, and some of the existing data focused on individual attitudes rather than norms. However, a recent report led by Jesuit Social Services, entitled </w:t>
      </w:r>
      <w:r w:rsidRPr="003E209A">
        <w:rPr>
          <w:rStyle w:val="Emphasis"/>
        </w:rPr>
        <w:t>The Man Box: A study on being a young man in Australia</w:t>
      </w:r>
      <w:r>
        <w:t xml:space="preserve"> (2018), offers an indication of young Australian men’s (aged 18 to 30) views on what society tells them a man ‘should’ be. This kind of survey design is useful (and not very common) in that it allows us to distinguish between what individuals feel that society tells them (i.e. norms), and the extent of individual adherence to those norms (i.e. attitudes).</w:t>
      </w:r>
    </w:p>
    <w:p w14:paraId="4257B672" w14:textId="3BD0C6A3" w:rsidR="00514CC0" w:rsidRDefault="00E72B49">
      <w:pPr>
        <w:pStyle w:val="BodyText"/>
      </w:pPr>
      <w:r>
        <w:t xml:space="preserve">In the 2018 Man Box study, over a third (35%) of young men in Australia agreed or strongly agreed that society as a whole tells them that men should use violence to get respect, with even more (43%) agreeing that society tells them to be in control in romantic relationships (see Figure </w:t>
      </w:r>
      <w:r w:rsidR="00D162DF">
        <w:t>15</w:t>
      </w:r>
      <w:r>
        <w:t>, below). Interestingly, men believe society tells them to display aggression and control more than they personally think men should, suggesting that the community norms surrounding what it is to be a man are more ingrained than men would like them to</w:t>
      </w:r>
      <w:r w:rsidR="007421E2">
        <w:t> </w:t>
      </w:r>
      <w:r>
        <w:t>be. This finding illustrates the important distinction between individual attitudes and</w:t>
      </w:r>
      <w:r w:rsidR="007421E2">
        <w:t> </w:t>
      </w:r>
      <w:r>
        <w:t xml:space="preserve">community norms. </w:t>
      </w:r>
      <w:r w:rsidRPr="002D0D52">
        <w:rPr>
          <w:rStyle w:val="Strong"/>
        </w:rPr>
        <w:t>While individual attitudes may suggest a low adherence to stereotypical masculine expressions, prevention efforts need to recognise and address the</w:t>
      </w:r>
      <w:r w:rsidR="007421E2">
        <w:rPr>
          <w:rStyle w:val="Strong"/>
        </w:rPr>
        <w:t> </w:t>
      </w:r>
      <w:r w:rsidRPr="002D0D52">
        <w:rPr>
          <w:rStyle w:val="Strong"/>
        </w:rPr>
        <w:t>pervasiveness and power of dominant societal norms.</w:t>
      </w:r>
      <w:r>
        <w:t xml:space="preserve"> In the end, norms may still influence behaviour </w:t>
      </w:r>
      <w:r w:rsidRPr="003E209A">
        <w:rPr>
          <w:rStyle w:val="Emphasis"/>
        </w:rPr>
        <w:t xml:space="preserve">even where </w:t>
      </w:r>
      <w:r>
        <w:t>the individual may not subscribe to these norms, because they may not feel comfortable or equipped to challenge a dominant social expectation.</w:t>
      </w:r>
    </w:p>
    <w:p w14:paraId="39FF06BC" w14:textId="35B0E47A" w:rsidR="00514CC0" w:rsidRDefault="00E72B49">
      <w:pPr>
        <w:pStyle w:val="OWFigurecaption"/>
      </w:pPr>
      <w:r>
        <w:lastRenderedPageBreak/>
        <w:t xml:space="preserve">Figure </w:t>
      </w:r>
      <w:r w:rsidR="00D162DF">
        <w:t>15</w:t>
      </w:r>
      <w:r>
        <w:t xml:space="preserve">: Men’s views of what society tells them men should be like in the domains of aggression and control </w:t>
      </w:r>
      <w:r w:rsidR="002B401C">
        <w:t>compared with</w:t>
      </w:r>
      <w:r>
        <w:t xml:space="preserve"> their own personal endorsement of these views</w:t>
      </w:r>
    </w:p>
    <w:p w14:paraId="07B2338A" w14:textId="03666358" w:rsidR="00514CC0" w:rsidRDefault="00A22941" w:rsidP="005D2DDD">
      <w:pPr>
        <w:pStyle w:val="OWFigureinline"/>
      </w:pPr>
      <w:r>
        <w:rPr>
          <w:noProof/>
        </w:rPr>
        <w:drawing>
          <wp:inline distT="0" distB="0" distL="0" distR="0" wp14:anchorId="2E29BFB0" wp14:editId="379F1FDC">
            <wp:extent cx="5730874" cy="3572510"/>
            <wp:effectExtent l="0" t="0" r="3175" b="8890"/>
            <wp:docPr id="1574747097" name="Picture 65" descr="Bar graph of the following data (proportion of men who agree or strongly agree with the statement). If a guy has a girlfriend or wife, he deserves to know where she is all the time: Society tells me – 44%; My opinion – 37%. A man should always have the final say about decisions in his relationship or marriage; Society tells me – 43%; My opinion – 27%. Men should use violence to get respect if necessary; Society tells me – 35%; My opinion –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47097" name="Picture 65" descr="Bar graph of the following data (proportion of men who agree or strongly agree with the statement). If a guy has a girlfriend or wife, he deserves to know where she is all the time: Society tells me – 44%; My opinion – 37%. A man should always have the final say about decisions in his relationship or marriage; Society tells me – 43%; My opinion – 27%. Men should use violence to get respect if necessary; Society tells me – 35%; My opinion – 20%."/>
                    <pic:cNvPicPr/>
                  </pic:nvPicPr>
                  <pic:blipFill>
                    <a:blip r:embed="rId50">
                      <a:extLst>
                        <a:ext uri="{28A0092B-C50C-407E-A947-70E740481C1C}">
                          <a14:useLocalDpi xmlns:a14="http://schemas.microsoft.com/office/drawing/2010/main" val="0"/>
                        </a:ext>
                      </a:extLst>
                    </a:blip>
                    <a:stretch>
                      <a:fillRect/>
                    </a:stretch>
                  </pic:blipFill>
                  <pic:spPr>
                    <a:xfrm>
                      <a:off x="0" y="0"/>
                      <a:ext cx="5730874" cy="3572510"/>
                    </a:xfrm>
                    <a:prstGeom prst="rect">
                      <a:avLst/>
                    </a:prstGeom>
                  </pic:spPr>
                </pic:pic>
              </a:graphicData>
            </a:graphic>
          </wp:inline>
        </w:drawing>
      </w:r>
    </w:p>
    <w:p w14:paraId="5A6FF56C" w14:textId="77777777" w:rsidR="00514CC0" w:rsidRDefault="00E72B49">
      <w:pPr>
        <w:pStyle w:val="OWFigurefootnote"/>
      </w:pPr>
      <w:r>
        <w:t xml:space="preserve">Source: The Men’s Project and M. Flood, </w:t>
      </w:r>
      <w:r w:rsidRPr="003E209A">
        <w:rPr>
          <w:rStyle w:val="Emphasis"/>
        </w:rPr>
        <w:t>The Man Box</w:t>
      </w:r>
      <w:r>
        <w:t>, 2018</w:t>
      </w:r>
    </w:p>
    <w:p w14:paraId="1427043B" w14:textId="6B145AEE" w:rsidR="00514CC0" w:rsidRDefault="00E72B49">
      <w:pPr>
        <w:pStyle w:val="BodyText"/>
      </w:pPr>
      <w:r>
        <w:t>The latest National Community Attitudes towards Violence against Women Survey (NCAS) (2017) asked Australians to respond to the statement ‘A man should never admit when others have hurt his feelings.’</w:t>
      </w:r>
      <w:r w:rsidR="006758CD">
        <w:rPr>
          <w:rStyle w:val="EndnoteReference"/>
        </w:rPr>
        <w:endnoteReference w:id="282"/>
      </w:r>
      <w:r>
        <w:t xml:space="preserve"> This is significant for this indicator in that the statement seeks to understand Australians’ attitudes as to how men should respond to interpersonal conflict and emotional pain. A stereotypical and harmful masculine response would prioritise aggression, be quick to violence, deny emotional pain, or blame others, especially women, and to control interactions with women such as to prevent vulnerability. Admitting to feeling hurt, on the other hand, is suggestive of emotional self-awareness and a willingness to being vulnerable and communicative – non-stereotypical expressions of masculinity. Only 6% of Australians agreed with the statement ‘A man should never admit when others have hurt his feelings’, indicating a </w:t>
      </w:r>
      <w:r w:rsidRPr="002D0D52">
        <w:rPr>
          <w:rStyle w:val="Strong"/>
        </w:rPr>
        <w:t>low attitudinal adherence to the idea that men can’t be emotional and vulnerable</w:t>
      </w:r>
      <w:r>
        <w:t>.</w:t>
      </w:r>
      <w:r w:rsidR="00787F88">
        <w:rPr>
          <w:rStyle w:val="EndnoteReference"/>
        </w:rPr>
        <w:endnoteReference w:id="283"/>
      </w:r>
      <w:r>
        <w:t xml:space="preserve"> There was no difference in how women and men responded to this question.</w:t>
      </w:r>
    </w:p>
    <w:p w14:paraId="37DA16AA" w14:textId="28824897" w:rsidR="00514CC0" w:rsidRDefault="00E72B49">
      <w:pPr>
        <w:pStyle w:val="BodyText"/>
      </w:pPr>
      <w:r>
        <w:t>Two further sub-population sample analyses of the 2017 NCAS have been undertaken, one</w:t>
      </w:r>
      <w:r w:rsidR="007421E2">
        <w:t> </w:t>
      </w:r>
      <w:r>
        <w:t>focused on young people (aged 16 to 24), and another on Aboriginal and Torres Strait Islander people. Only 4% of young people agreed with the statement ‘A man should never admit when others have hurt his feelings’, a lower proportion than the whole-of-population result (6%). Young men’s subscription to this belief is one percentage point higher (5%) than young women’s (4%).</w:t>
      </w:r>
      <w:r w:rsidR="00787F88">
        <w:rPr>
          <w:rStyle w:val="EndnoteReference"/>
        </w:rPr>
        <w:endnoteReference w:id="284"/>
      </w:r>
    </w:p>
    <w:p w14:paraId="44A43952" w14:textId="19AB0BED" w:rsidR="00514CC0" w:rsidRDefault="00E72B49" w:rsidP="005D2DDD">
      <w:pPr>
        <w:pStyle w:val="OWBodytextlargespacebelow"/>
      </w:pPr>
      <w:r>
        <w:t xml:space="preserve">There was a higher rate of agreement with the statement among Aboriginal and Torres Strait Islander respondents, with 11% agreeing that ‘A man should never admit when others have hurt his feelings’. Notably, a statistically significant difference exists between the agreement </w:t>
      </w:r>
      <w:r>
        <w:lastRenderedPageBreak/>
        <w:t>response rate of First Nations men (18%) as compared with First Nations women (5%).</w:t>
      </w:r>
      <w:r w:rsidR="00787F88">
        <w:rPr>
          <w:rStyle w:val="EndnoteReference"/>
        </w:rPr>
        <w:endnoteReference w:id="285"/>
      </w:r>
      <w:r>
        <w:t xml:space="preserve"> Based on this finding, attitudes toward men’s vulnerability and emotion by Aboriginal and Torres Strait Islander women are comparable to whole-of-population results. There may be several reasons why a higher proportion of Aboriginal and Torres Strait Islander men agreed that men should not admit when feelings have been hurt, as compared with whole-of-population results. As discussed in </w:t>
      </w:r>
      <w:r w:rsidRPr="003E209A">
        <w:rPr>
          <w:rStyle w:val="Emphasis"/>
        </w:rPr>
        <w:t>Changing the picture, Background paper</w:t>
      </w:r>
      <w:r>
        <w:t xml:space="preserve"> (2018), one possible explanation is that Aboriginal and Torres Strait Islander men are, as an effect of racism and colonisation, denied the power, resources and opportunities afforded to other men, stripped of traditional expressions of manhood as well as deprived of access to dominant expressions of masculinity. The effect of this may be, for some Aboriginal and Torres Strait Islander men, to cause stress and to support a more rigid attachment to forms of manhood under threat.</w:t>
      </w:r>
      <w:r w:rsidR="00787F88">
        <w:rPr>
          <w:rStyle w:val="EndnoteReference"/>
        </w:rPr>
        <w:endnoteReference w:id="286"/>
      </w:r>
    </w:p>
    <w:tbl>
      <w:tblPr>
        <w:tblStyle w:val="Casestudyteal"/>
        <w:tblW w:w="9072" w:type="dxa"/>
        <w:tblLayout w:type="fixed"/>
        <w:tblLook w:val="0620" w:firstRow="1" w:lastRow="0" w:firstColumn="0" w:lastColumn="0" w:noHBand="1" w:noVBand="1"/>
      </w:tblPr>
      <w:tblGrid>
        <w:gridCol w:w="9072"/>
      </w:tblGrid>
      <w:tr w:rsidR="00514CC0" w14:paraId="581F8E6D" w14:textId="77777777" w:rsidTr="00BB2447">
        <w:trPr>
          <w:cnfStyle w:val="100000000000" w:firstRow="1" w:lastRow="0" w:firstColumn="0" w:lastColumn="0" w:oddVBand="0" w:evenVBand="0" w:oddHBand="0" w:evenHBand="0" w:firstRowFirstColumn="0" w:firstRowLastColumn="0" w:lastRowFirstColumn="0" w:lastRowLastColumn="0"/>
          <w:trHeight w:val="60"/>
        </w:trPr>
        <w:tc>
          <w:tcPr>
            <w:tcW w:w="9071" w:type="dxa"/>
          </w:tcPr>
          <w:p w14:paraId="6B37D627" w14:textId="77777777" w:rsidR="00514CC0" w:rsidRDefault="00E72B49">
            <w:pPr>
              <w:pStyle w:val="OWBoxheading"/>
            </w:pPr>
            <w:r w:rsidRPr="005D2DDD">
              <w:t xml:space="preserve">On men and emotion: </w:t>
            </w:r>
            <w:r>
              <w:rPr>
                <w:rStyle w:val="OWBoldItalic"/>
                <w:b/>
                <w:bCs/>
              </w:rPr>
              <w:t>The Aboriginal Gender Study</w:t>
            </w:r>
            <w:r w:rsidRPr="005D2DDD">
              <w:t>, 2019</w:t>
            </w:r>
          </w:p>
        </w:tc>
      </w:tr>
      <w:tr w:rsidR="00514CC0" w14:paraId="6FB16E58" w14:textId="77777777" w:rsidTr="00BB2447">
        <w:trPr>
          <w:trHeight w:val="60"/>
        </w:trPr>
        <w:tc>
          <w:tcPr>
            <w:tcW w:w="9071" w:type="dxa"/>
          </w:tcPr>
          <w:p w14:paraId="4DA7D9F7" w14:textId="77777777" w:rsidR="00514CC0" w:rsidRDefault="00E72B49">
            <w:pPr>
              <w:pStyle w:val="OWTablebodyleft"/>
            </w:pPr>
            <w:r>
              <w:t>‘Most participants reported that they considered the expression of emotions as gendered … Some men reported that they often had limited places and times where emotions are acceptable … The stigma around emotion was tied to the Westernised ideas around men’s stoicism …</w:t>
            </w:r>
          </w:p>
          <w:p w14:paraId="3B61C7ED" w14:textId="77777777" w:rsidR="00514CC0" w:rsidRDefault="00E72B49">
            <w:pPr>
              <w:pStyle w:val="OWTablebodyleft"/>
            </w:pPr>
            <w:r>
              <w:t>Aboriginal men’s reflections of their experiences around expressing emotions suggests an alignment with Western patriarchal influences, as they felt particularly scrutinised and stigmatised around emotions that could be perceived as weaknesses such as sadness, crying and grief. Many female participants discussed how the limitations men experienced around emotional expression resulted in the ‘bottling up’ of their emotions which participants named as unhealthy and [as contributing] to poor social and emotional wellbeing of men … It was thought that men who reserved their emotions were more susceptible to problematic outbursts of emotions, resulting in anger and sometimes violence.’</w:t>
            </w:r>
          </w:p>
          <w:p w14:paraId="3B3191B3" w14:textId="77777777" w:rsidR="003D6A9B" w:rsidRPr="003D6A9B" w:rsidRDefault="003D6A9B" w:rsidP="003D6A9B">
            <w:pPr>
              <w:pStyle w:val="OWBoxsourceline"/>
            </w:pPr>
            <w:r>
              <w:drawing>
                <wp:inline distT="0" distB="0" distL="0" distR="0" wp14:anchorId="77AF6660" wp14:editId="71B75F23">
                  <wp:extent cx="431640" cy="3960"/>
                  <wp:effectExtent l="0" t="0" r="0" b="0"/>
                  <wp:docPr id="1593304874" name="Picture 4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28">
                            <a:extLst>
                              <a:ext uri="{28A0092B-C50C-407E-A947-70E740481C1C}">
                                <a14:useLocalDpi xmlns:a14="http://schemas.microsoft.com/office/drawing/2010/main" val="0"/>
                              </a:ext>
                            </a:extLst>
                          </a:blip>
                          <a:stretch>
                            <a:fillRect/>
                          </a:stretch>
                        </pic:blipFill>
                        <pic:spPr>
                          <a:xfrm>
                            <a:off x="0" y="0"/>
                            <a:ext cx="431640" cy="3960"/>
                          </a:xfrm>
                          <a:prstGeom prst="rect">
                            <a:avLst/>
                          </a:prstGeom>
                        </pic:spPr>
                      </pic:pic>
                    </a:graphicData>
                  </a:graphic>
                </wp:inline>
              </w:drawing>
            </w:r>
          </w:p>
          <w:p w14:paraId="313F97DB" w14:textId="6DADF9F5" w:rsidR="00514CC0" w:rsidRDefault="00E72B49" w:rsidP="004A1B0D">
            <w:pPr>
              <w:pStyle w:val="OWBoxsource"/>
            </w:pPr>
            <w:r>
              <w:t xml:space="preserve">Source: Aboriginal Health Council of South Australia Ltd, </w:t>
            </w:r>
            <w:r w:rsidRPr="003E209A">
              <w:rPr>
                <w:rStyle w:val="Emphasis"/>
              </w:rPr>
              <w:t>The Aboriginal Gender Study</w:t>
            </w:r>
            <w:r>
              <w:t>, Final</w:t>
            </w:r>
            <w:r w:rsidR="007421E2">
              <w:t> </w:t>
            </w:r>
            <w:r>
              <w:t>Report, AHCSA, Adelaide, 2019, p. 42.</w:t>
            </w:r>
          </w:p>
        </w:tc>
      </w:tr>
    </w:tbl>
    <w:p w14:paraId="163F9A22" w14:textId="77777777" w:rsidR="00514CC0" w:rsidRDefault="00E72B49" w:rsidP="00E1549C">
      <w:pPr>
        <w:pStyle w:val="Heading4"/>
      </w:pPr>
      <w:r>
        <w:t>Indicator 2.7: Attitudes related to male sexual entitlement</w:t>
      </w:r>
    </w:p>
    <w:tbl>
      <w:tblPr>
        <w:tblStyle w:val="Indicatoroutlineteal"/>
        <w:tblW w:w="9072" w:type="dxa"/>
        <w:tblLayout w:type="fixed"/>
        <w:tblLook w:val="0680" w:firstRow="0" w:lastRow="0" w:firstColumn="1" w:lastColumn="0" w:noHBand="1" w:noVBand="1"/>
      </w:tblPr>
      <w:tblGrid>
        <w:gridCol w:w="3402"/>
        <w:gridCol w:w="5670"/>
      </w:tblGrid>
      <w:tr w:rsidR="00514CC0" w14:paraId="1DCEB4AC" w14:textId="77777777" w:rsidTr="00BB2447">
        <w:trPr>
          <w:cantSplit/>
          <w:trHeight w:val="60"/>
        </w:trPr>
        <w:tc>
          <w:tcPr>
            <w:tcW w:w="3402" w:type="dxa"/>
          </w:tcPr>
          <w:p w14:paraId="2108DA61" w14:textId="77777777" w:rsidR="00514CC0" w:rsidRDefault="00E72B49">
            <w:pPr>
              <w:pStyle w:val="OWTablebodyleft"/>
            </w:pPr>
            <w:r>
              <w:t>What does this indicator tell us about Monitoring domain 2: Rigid gender roles and stereotyped constructions of masculinity and femininity?</w:t>
            </w:r>
          </w:p>
        </w:tc>
        <w:tc>
          <w:tcPr>
            <w:tcW w:w="5669" w:type="dxa"/>
          </w:tcPr>
          <w:p w14:paraId="6BAE6E69" w14:textId="3243046F" w:rsidR="00514CC0" w:rsidRDefault="00E72B49">
            <w:pPr>
              <w:pStyle w:val="OWTablebodyleft"/>
            </w:pPr>
            <w:r>
              <w:t>The idea that men are naturally hypersexual, entitled to</w:t>
            </w:r>
            <w:r w:rsidR="007421E2">
              <w:t> </w:t>
            </w:r>
            <w:r>
              <w:t>sex and women’s bodies, and should be sexually dominant and aggressive, is linked to violence against women (particularly sexual violence). This indicator assesses the extent of attitudinal adherence to this harmful social norm, and tracks change to attitudes related to male sexual entitlement over time.</w:t>
            </w:r>
          </w:p>
        </w:tc>
      </w:tr>
      <w:tr w:rsidR="00514CC0" w14:paraId="43886D47" w14:textId="77777777" w:rsidTr="00BB2447">
        <w:trPr>
          <w:cantSplit/>
          <w:trHeight w:val="60"/>
        </w:trPr>
        <w:tc>
          <w:tcPr>
            <w:tcW w:w="3402" w:type="dxa"/>
          </w:tcPr>
          <w:p w14:paraId="1DF5EE26" w14:textId="77777777" w:rsidR="00514CC0" w:rsidRDefault="00E72B49">
            <w:pPr>
              <w:pStyle w:val="OWTablebodyleft"/>
            </w:pPr>
            <w:r>
              <w:lastRenderedPageBreak/>
              <w:t>Expected change if high-quality programs and infrastructure for prevention of violence against women and gender equality are implemented</w:t>
            </w:r>
          </w:p>
        </w:tc>
        <w:tc>
          <w:tcPr>
            <w:tcW w:w="5669" w:type="dxa"/>
          </w:tcPr>
          <w:p w14:paraId="7EBDDC1A" w14:textId="77777777" w:rsidR="00514CC0" w:rsidRDefault="00E72B49">
            <w:pPr>
              <w:pStyle w:val="OWTablebodyleft"/>
            </w:pPr>
            <w:r>
              <w:t>Short- to medium-term: evidence of shifting norms around men’s sexual entitlement over women. Increasingly, men and women reject these ‘ideals’.</w:t>
            </w:r>
          </w:p>
          <w:p w14:paraId="54B1C968" w14:textId="77777777" w:rsidR="00514CC0" w:rsidRDefault="00E72B49">
            <w:pPr>
              <w:pStyle w:val="OWTablebodyleft"/>
            </w:pPr>
            <w:r>
              <w:t>Long-term: men’s expectations of sexual relationships with women are based on mutual pleasure, respect and consent.</w:t>
            </w:r>
          </w:p>
        </w:tc>
      </w:tr>
      <w:tr w:rsidR="00514CC0" w14:paraId="6B750B58" w14:textId="77777777" w:rsidTr="00BB2447">
        <w:trPr>
          <w:cantSplit/>
          <w:trHeight w:val="60"/>
        </w:trPr>
        <w:tc>
          <w:tcPr>
            <w:tcW w:w="3402" w:type="dxa"/>
          </w:tcPr>
          <w:p w14:paraId="63D5161B" w14:textId="77777777" w:rsidR="00514CC0" w:rsidRDefault="00E72B49">
            <w:pPr>
              <w:pStyle w:val="OWTablebodyleft"/>
            </w:pPr>
            <w:r>
              <w:t>Data source(s)</w:t>
            </w:r>
          </w:p>
        </w:tc>
        <w:tc>
          <w:tcPr>
            <w:tcW w:w="5669" w:type="dxa"/>
          </w:tcPr>
          <w:p w14:paraId="00BDF76F" w14:textId="1B35677E" w:rsidR="00514CC0" w:rsidRDefault="00E72B49" w:rsidP="002C2EC7">
            <w:pPr>
              <w:pStyle w:val="OWTablenumberdigit"/>
              <w:numPr>
                <w:ilvl w:val="0"/>
                <w:numId w:val="26"/>
              </w:numPr>
            </w:pPr>
            <w:r>
              <w:t>Doing Nothing Does Harm campaign baseline data, 2018, Our Watch (unpublished)</w:t>
            </w:r>
            <w:r w:rsidR="00787F88">
              <w:rPr>
                <w:rStyle w:val="EndnoteReference"/>
              </w:rPr>
              <w:endnoteReference w:id="287"/>
            </w:r>
          </w:p>
          <w:p w14:paraId="12CA06D6" w14:textId="77777777" w:rsidR="00514CC0" w:rsidRDefault="00E72B49">
            <w:pPr>
              <w:pStyle w:val="OWTablenumberdigit"/>
            </w:pPr>
            <w:r>
              <w:t>National Community Attitudes towards Violence against Women Survey 2017, Australia’s National Research Organisation for Women’s Safety (ANROWS)</w:t>
            </w:r>
          </w:p>
        </w:tc>
      </w:tr>
      <w:tr w:rsidR="00514CC0" w14:paraId="29D88B23" w14:textId="77777777" w:rsidTr="00BB2447">
        <w:trPr>
          <w:cantSplit/>
          <w:trHeight w:val="60"/>
        </w:trPr>
        <w:tc>
          <w:tcPr>
            <w:tcW w:w="3402" w:type="dxa"/>
          </w:tcPr>
          <w:p w14:paraId="04411EE1" w14:textId="77777777" w:rsidR="00514CC0" w:rsidRDefault="00E72B49">
            <w:pPr>
              <w:pStyle w:val="OWTablebodyleft"/>
            </w:pPr>
            <w:r>
              <w:t>Change over time summary: short-term change revealed by the data</w:t>
            </w:r>
          </w:p>
        </w:tc>
        <w:tc>
          <w:tcPr>
            <w:tcW w:w="5669" w:type="dxa"/>
          </w:tcPr>
          <w:p w14:paraId="514A48D2" w14:textId="3FEEC203" w:rsidR="00514CC0" w:rsidRDefault="00E72B49">
            <w:pPr>
              <w:pStyle w:val="OWTablebodyleft"/>
            </w:pPr>
            <w:r>
              <w:t>Only baseline data available at this point; no</w:t>
            </w:r>
            <w:r w:rsidR="007421E2">
              <w:t> </w:t>
            </w:r>
            <w:r>
              <w:t>assessment of change possible.</w:t>
            </w:r>
          </w:p>
        </w:tc>
      </w:tr>
      <w:tr w:rsidR="00514CC0" w14:paraId="68AF8445" w14:textId="77777777" w:rsidTr="00BB2447">
        <w:trPr>
          <w:cantSplit/>
          <w:trHeight w:val="60"/>
        </w:trPr>
        <w:tc>
          <w:tcPr>
            <w:tcW w:w="3402" w:type="dxa"/>
          </w:tcPr>
          <w:p w14:paraId="735E984D" w14:textId="77777777" w:rsidR="00514CC0" w:rsidRDefault="00E72B49">
            <w:pPr>
              <w:pStyle w:val="OWTablebodyleft"/>
            </w:pPr>
            <w:r>
              <w:t>Does the change confirm or run contrary to expected change?</w:t>
            </w:r>
          </w:p>
        </w:tc>
        <w:tc>
          <w:tcPr>
            <w:tcW w:w="5669" w:type="dxa"/>
          </w:tcPr>
          <w:p w14:paraId="0F05B2F8" w14:textId="77777777" w:rsidR="00514CC0" w:rsidRDefault="00E72B49">
            <w:pPr>
              <w:pStyle w:val="OWTablebodyleft"/>
            </w:pPr>
            <w:r>
              <w:t>Not yet able to assess change</w:t>
            </w:r>
          </w:p>
        </w:tc>
      </w:tr>
      <w:tr w:rsidR="00514CC0" w14:paraId="07BD2889" w14:textId="77777777" w:rsidTr="00BB2447">
        <w:trPr>
          <w:cantSplit/>
          <w:trHeight w:val="60"/>
        </w:trPr>
        <w:tc>
          <w:tcPr>
            <w:tcW w:w="3402" w:type="dxa"/>
          </w:tcPr>
          <w:p w14:paraId="30724367" w14:textId="77777777" w:rsidR="00514CC0" w:rsidRDefault="00E72B49">
            <w:pPr>
              <w:pStyle w:val="OWTablebodyleft"/>
            </w:pPr>
            <w:r>
              <w:t>Gaps in existing data</w:t>
            </w:r>
          </w:p>
        </w:tc>
        <w:tc>
          <w:tcPr>
            <w:tcW w:w="5669" w:type="dxa"/>
          </w:tcPr>
          <w:p w14:paraId="2A909552" w14:textId="77777777" w:rsidR="00514CC0" w:rsidRDefault="00E72B49">
            <w:pPr>
              <w:pStyle w:val="OWTablebodyleft"/>
            </w:pPr>
            <w:r>
              <w:t>We have very little available dedicated data on male sexual entitlement. There is a real need to develop dedicated instruments which track attitudes and norms of masculinity, including those related to male sexual entitlement. Studies which also ask men about perpetration of violence would be helpful in correlating certain attitudes and norms with perpetration.</w:t>
            </w:r>
          </w:p>
        </w:tc>
      </w:tr>
    </w:tbl>
    <w:p w14:paraId="75142F48" w14:textId="301097FC" w:rsidR="00514CC0" w:rsidRDefault="00E72B49" w:rsidP="00787F88">
      <w:pPr>
        <w:pStyle w:val="OWBodytextlargespaceabove"/>
      </w:pPr>
      <w:r>
        <w:t>The concept of male sexual entitlement has received little attention in the research literature. No national database currently provides a measure of entitled attitudes. However, Our Watch’s baseline data for the Doing Nothing Does Harm campaign (unpublished, n=1002 males and females) provides an indication of men’s entitled attitudes as of October 2018.</w:t>
      </w:r>
      <w:r w:rsidR="00787F88">
        <w:rPr>
          <w:rStyle w:val="EndnoteReference"/>
        </w:rPr>
        <w:endnoteReference w:id="288"/>
      </w:r>
      <w:r>
        <w:t xml:space="preserve"> While there is only one data point for these attitudes at present, future tracking research will be available to monitor shifts over time.</w:t>
      </w:r>
    </w:p>
    <w:p w14:paraId="2266DEDC" w14:textId="59955502" w:rsidR="00514CC0" w:rsidRDefault="00E72B49">
      <w:pPr>
        <w:pStyle w:val="BodyText"/>
      </w:pPr>
      <w:r>
        <w:t>Based on the Doing Nothing Does Harm data, one in seven men (14%) somewhat or strongly agree they ‘are a great catch and thus deserving of an attractive romantic partner’. Further, 10% of men somewhat or strongly agree that they ‘deserve an attractive romantic partner if</w:t>
      </w:r>
      <w:r w:rsidR="00287D9B">
        <w:t> </w:t>
      </w:r>
      <w:r>
        <w:t xml:space="preserve">they’re successful’, and 8% think that if they ‘put in the hard yards with someone, they should be able to claim them as their prize’. </w:t>
      </w:r>
      <w:r w:rsidRPr="002D0D52">
        <w:rPr>
          <w:rStyle w:val="Strong"/>
        </w:rPr>
        <w:t>This data suggests that there is a small but still concerning proportion of men who have a highly problematic sense of sexual entitlement toward women.</w:t>
      </w:r>
    </w:p>
    <w:p w14:paraId="5F806195" w14:textId="04118A24" w:rsidR="00514CC0" w:rsidRDefault="00E72B49">
      <w:pPr>
        <w:pStyle w:val="BodyText"/>
      </w:pPr>
      <w:r>
        <w:t>One question in the 2017 NCAS relates to stereotyped expressions of masculinity and femininity in terms of sexuality. Australians were asked to respond to the statement ‘When</w:t>
      </w:r>
      <w:r w:rsidR="007421E2">
        <w:t> </w:t>
      </w:r>
      <w:r>
        <w:t>a</w:t>
      </w:r>
      <w:r w:rsidR="007421E2">
        <w:t> </w:t>
      </w:r>
      <w:r>
        <w:t>couple start dating, the woman should not be the one to initiate sex’ (the statement presuming an intimate relationship between a woman and a man).</w:t>
      </w:r>
      <w:r w:rsidR="00787F88">
        <w:rPr>
          <w:rStyle w:val="EndnoteReference"/>
        </w:rPr>
        <w:endnoteReference w:id="289"/>
      </w:r>
      <w:r>
        <w:t xml:space="preserve"> As </w:t>
      </w:r>
      <w:r>
        <w:lastRenderedPageBreak/>
        <w:t>compared with other questions on rigid gender roles and expressions, a relatively higher proportion of all Australians – 10%, or one in ten – agreed with the idea that women should not initiate sex early in relationships with men. There was no significant difference between women and men in terms of how they responded to this statement. Young people were less likely to agree with the idea, with only 7% of young people agreeing with this statement. Notably, though, young men were more likely to agree with this statement (9%) than young women (5%).</w:t>
      </w:r>
      <w:r w:rsidR="00787F88">
        <w:rPr>
          <w:rStyle w:val="EndnoteReference"/>
        </w:rPr>
        <w:endnoteReference w:id="290"/>
      </w:r>
    </w:p>
    <w:p w14:paraId="5B2C6BCA" w14:textId="730689E9" w:rsidR="00514CC0" w:rsidRDefault="00E72B49">
      <w:pPr>
        <w:pStyle w:val="BodyText"/>
      </w:pPr>
      <w:r>
        <w:t>In contrast, the results from the Aboriginal and Torres Strait Islander people’s sample records a higher rate of subscription to the notion that women should not initiate sex early in a relationship with a man, compared with whole-of-population results. Approximately one in seven (14%) First Nations respondents agreed with this notion. Interestingly, the rate of agreement was higher among Aboriginal and Torres Strait Islander women (17%) than men (10%).</w:t>
      </w:r>
      <w:r w:rsidR="00787F88">
        <w:rPr>
          <w:rStyle w:val="EndnoteReference"/>
        </w:rPr>
        <w:endnoteReference w:id="291"/>
      </w:r>
      <w:r>
        <w:t xml:space="preserve"> Understanding the underlying reasons for this result requires further research.</w:t>
      </w:r>
    </w:p>
    <w:p w14:paraId="52301C58" w14:textId="5047AC3A" w:rsidR="00514CC0" w:rsidRDefault="00E72B49">
      <w:pPr>
        <w:pStyle w:val="BodyText"/>
      </w:pPr>
      <w:r>
        <w:t xml:space="preserve">The coupling of femininity with sexual passivity and masculinity with sexual assertiveness and aggression has significance for the perpetration of male sexual violence against women (and other men and people of diverse gender identities). </w:t>
      </w:r>
      <w:r w:rsidRPr="002D0D52">
        <w:rPr>
          <w:rStyle w:val="Strong"/>
        </w:rPr>
        <w:t>Combined with changes in terms of Australians’ understanding and prioritisation of consent in sexual relations, the 2017 NCAS results reveal some disturbing patterns of gendered attitudes toward heterosexual intimate relationships, male sexual entitlement to women and their bodies, and a rejection of women’s sexual agency and rights.</w:t>
      </w:r>
      <w:r>
        <w:t xml:space="preserve"> The prevalence of male sexual violence and</w:t>
      </w:r>
      <w:r w:rsidR="007421E2">
        <w:t> </w:t>
      </w:r>
      <w:r>
        <w:t xml:space="preserve">sexual harassment against women remains disturbingly high, as explored in </w:t>
      </w:r>
      <w:r w:rsidR="0044154C">
        <w:t>Section 2 Part B</w:t>
      </w:r>
      <w:r>
        <w:t xml:space="preserve"> of this report.</w:t>
      </w:r>
    </w:p>
    <w:p w14:paraId="1ABC2E64" w14:textId="03C63578" w:rsidR="00514CC0" w:rsidRDefault="00E72B49" w:rsidP="001A03A8">
      <w:pPr>
        <w:pStyle w:val="Heading3"/>
      </w:pPr>
      <w:bookmarkStart w:id="78" w:name="_Toc55053314"/>
      <w:r>
        <w:lastRenderedPageBreak/>
        <w:t>Gendered driver: Men’s control of decision</w:t>
      </w:r>
      <w:r>
        <w:rPr>
          <w:rFonts w:ascii="Cambria Math" w:hAnsi="Cambria Math" w:cs="Cambria Math"/>
        </w:rPr>
        <w:t>‑</w:t>
      </w:r>
      <w:r>
        <w:t>making and limits to women’s independence</w:t>
      </w:r>
      <w:r w:rsidR="00BA0C66">
        <w:t xml:space="preserve"> </w:t>
      </w:r>
      <w:r>
        <w:t>in</w:t>
      </w:r>
      <w:r w:rsidR="00BA0C66">
        <w:t xml:space="preserve"> </w:t>
      </w:r>
      <w:r>
        <w:t>public life and relationships</w:t>
      </w:r>
      <w:bookmarkEnd w:id="78"/>
    </w:p>
    <w:p w14:paraId="404C84AD" w14:textId="77777777" w:rsidR="00514CC0" w:rsidRDefault="00E72B49" w:rsidP="00287D9B">
      <w:pPr>
        <w:pStyle w:val="Heading4"/>
        <w:spacing w:before="200"/>
      </w:pPr>
      <w:r>
        <w:t>Monitoring domain 3: Men’s control of decision-making and limits to women’s independence in public life (including economic, social and political independence)</w:t>
      </w:r>
      <w:r>
        <w:rPr>
          <w:rStyle w:val="OWSuperscript"/>
        </w:rPr>
        <w:footnoteReference w:id="37"/>
      </w:r>
    </w:p>
    <w:tbl>
      <w:tblPr>
        <w:tblStyle w:val="Indicatorlistingteal"/>
        <w:tblW w:w="9072" w:type="dxa"/>
        <w:tblLayout w:type="fixed"/>
        <w:tblLook w:val="0680" w:firstRow="0" w:lastRow="0" w:firstColumn="1" w:lastColumn="0" w:noHBand="1" w:noVBand="1"/>
      </w:tblPr>
      <w:tblGrid>
        <w:gridCol w:w="1690"/>
        <w:gridCol w:w="7382"/>
      </w:tblGrid>
      <w:tr w:rsidR="00514CC0" w14:paraId="26CF3C2A" w14:textId="77777777" w:rsidTr="00BB2447">
        <w:trPr>
          <w:cantSplit/>
          <w:trHeight w:val="60"/>
        </w:trPr>
        <w:tc>
          <w:tcPr>
            <w:tcW w:w="1680" w:type="dxa"/>
          </w:tcPr>
          <w:p w14:paraId="528AAC3A" w14:textId="77777777" w:rsidR="00514CC0" w:rsidRDefault="00E72B49">
            <w:pPr>
              <w:pStyle w:val="OWTablebodyleftwhite"/>
            </w:pPr>
            <w:r>
              <w:t>Indicator 3.1</w:t>
            </w:r>
          </w:p>
        </w:tc>
        <w:tc>
          <w:tcPr>
            <w:tcW w:w="7340" w:type="dxa"/>
          </w:tcPr>
          <w:p w14:paraId="2CFDFC92" w14:textId="77777777" w:rsidR="00514CC0" w:rsidRDefault="00E72B49">
            <w:pPr>
              <w:pStyle w:val="OWTablebodyleftwhite"/>
            </w:pPr>
            <w:r>
              <w:t>Percentage of CEOs who are women</w:t>
            </w:r>
          </w:p>
        </w:tc>
      </w:tr>
      <w:tr w:rsidR="00514CC0" w14:paraId="276B9927" w14:textId="77777777" w:rsidTr="00BB2447">
        <w:trPr>
          <w:cantSplit/>
          <w:trHeight w:val="60"/>
        </w:trPr>
        <w:tc>
          <w:tcPr>
            <w:tcW w:w="1680" w:type="dxa"/>
          </w:tcPr>
          <w:p w14:paraId="7743E9E7" w14:textId="77777777" w:rsidR="00514CC0" w:rsidRDefault="00E72B49">
            <w:pPr>
              <w:pStyle w:val="OWTablebodyleftwhite"/>
            </w:pPr>
            <w:r>
              <w:t>Indicator 3.2</w:t>
            </w:r>
          </w:p>
        </w:tc>
        <w:tc>
          <w:tcPr>
            <w:tcW w:w="7340" w:type="dxa"/>
          </w:tcPr>
          <w:p w14:paraId="03712A2C" w14:textId="77777777" w:rsidR="00514CC0" w:rsidRDefault="00E72B49">
            <w:pPr>
              <w:pStyle w:val="OWTablebodyleftwhite"/>
            </w:pPr>
            <w:r>
              <w:t>Percentage of managerial positions occupied by women</w:t>
            </w:r>
          </w:p>
        </w:tc>
      </w:tr>
      <w:tr w:rsidR="00514CC0" w14:paraId="448E0E89" w14:textId="77777777" w:rsidTr="00BB2447">
        <w:trPr>
          <w:cantSplit/>
          <w:trHeight w:val="60"/>
        </w:trPr>
        <w:tc>
          <w:tcPr>
            <w:tcW w:w="1680" w:type="dxa"/>
          </w:tcPr>
          <w:p w14:paraId="65DF255D" w14:textId="77777777" w:rsidR="00514CC0" w:rsidRDefault="00E72B49">
            <w:pPr>
              <w:pStyle w:val="OWTablebodyleftwhite"/>
            </w:pPr>
            <w:r>
              <w:t>Indicator 3.3</w:t>
            </w:r>
          </w:p>
        </w:tc>
        <w:tc>
          <w:tcPr>
            <w:tcW w:w="7340" w:type="dxa"/>
          </w:tcPr>
          <w:p w14:paraId="3CA94377" w14:textId="77777777" w:rsidR="00514CC0" w:rsidRDefault="00E72B49">
            <w:pPr>
              <w:pStyle w:val="OWTablebodyleftwhite"/>
            </w:pPr>
            <w:r>
              <w:t>Percentage of political representatives who are women</w:t>
            </w:r>
          </w:p>
        </w:tc>
      </w:tr>
      <w:tr w:rsidR="00514CC0" w14:paraId="6F36D0DD" w14:textId="77777777" w:rsidTr="00BB2447">
        <w:trPr>
          <w:cantSplit/>
          <w:trHeight w:val="60"/>
        </w:trPr>
        <w:tc>
          <w:tcPr>
            <w:tcW w:w="1680" w:type="dxa"/>
          </w:tcPr>
          <w:p w14:paraId="18D0839A" w14:textId="77777777" w:rsidR="00514CC0" w:rsidRDefault="00E72B49">
            <w:pPr>
              <w:pStyle w:val="OWTablebodyleftwhite"/>
            </w:pPr>
            <w:r>
              <w:t>Indicator 3.4</w:t>
            </w:r>
          </w:p>
        </w:tc>
        <w:tc>
          <w:tcPr>
            <w:tcW w:w="7340" w:type="dxa"/>
          </w:tcPr>
          <w:p w14:paraId="125558A8" w14:textId="77777777" w:rsidR="00514CC0" w:rsidRDefault="00E72B49">
            <w:pPr>
              <w:pStyle w:val="OWTablebodyleftwhite"/>
            </w:pPr>
            <w:r>
              <w:t>Percentage of Ministers and/or Cabinet who are women</w:t>
            </w:r>
          </w:p>
        </w:tc>
      </w:tr>
      <w:tr w:rsidR="00514CC0" w14:paraId="16231176" w14:textId="77777777" w:rsidTr="00BB2447">
        <w:trPr>
          <w:cantSplit/>
          <w:trHeight w:val="60"/>
        </w:trPr>
        <w:tc>
          <w:tcPr>
            <w:tcW w:w="1680" w:type="dxa"/>
          </w:tcPr>
          <w:p w14:paraId="24F79217" w14:textId="77777777" w:rsidR="00514CC0" w:rsidRDefault="00E72B49">
            <w:pPr>
              <w:pStyle w:val="OWTablebodyleftwhite"/>
            </w:pPr>
            <w:r>
              <w:t>Indicator 3.5</w:t>
            </w:r>
          </w:p>
        </w:tc>
        <w:tc>
          <w:tcPr>
            <w:tcW w:w="7340" w:type="dxa"/>
          </w:tcPr>
          <w:p w14:paraId="48AC5419" w14:textId="77777777" w:rsidR="00514CC0" w:rsidRDefault="00E72B49">
            <w:pPr>
              <w:pStyle w:val="OWTablebodyleftwhite"/>
            </w:pPr>
            <w:r>
              <w:t>Proportion of community and cultural leaders who are women</w:t>
            </w:r>
          </w:p>
        </w:tc>
      </w:tr>
      <w:tr w:rsidR="00514CC0" w14:paraId="215D3D30" w14:textId="77777777" w:rsidTr="00BB2447">
        <w:trPr>
          <w:cantSplit/>
          <w:trHeight w:val="60"/>
        </w:trPr>
        <w:tc>
          <w:tcPr>
            <w:tcW w:w="1680" w:type="dxa"/>
          </w:tcPr>
          <w:p w14:paraId="5A618F31" w14:textId="77777777" w:rsidR="00514CC0" w:rsidRDefault="00E72B49">
            <w:pPr>
              <w:pStyle w:val="OWTablebodyleftwhite"/>
            </w:pPr>
            <w:r>
              <w:t>Indicator 3.6</w:t>
            </w:r>
          </w:p>
        </w:tc>
        <w:tc>
          <w:tcPr>
            <w:tcW w:w="7340" w:type="dxa"/>
          </w:tcPr>
          <w:p w14:paraId="6BBF34E6" w14:textId="77777777" w:rsidR="00514CC0" w:rsidRDefault="00E72B49">
            <w:pPr>
              <w:pStyle w:val="OWTablebodyleftwhite"/>
            </w:pPr>
            <w:r>
              <w:t>Percentage of female employees surveyed who have experienced sexual harassment in the workplace</w:t>
            </w:r>
          </w:p>
        </w:tc>
      </w:tr>
      <w:tr w:rsidR="00514CC0" w14:paraId="523C2D8D" w14:textId="77777777" w:rsidTr="00BB2447">
        <w:trPr>
          <w:cantSplit/>
          <w:trHeight w:val="60"/>
        </w:trPr>
        <w:tc>
          <w:tcPr>
            <w:tcW w:w="1680" w:type="dxa"/>
          </w:tcPr>
          <w:p w14:paraId="110127FE" w14:textId="77777777" w:rsidR="00514CC0" w:rsidRDefault="00E72B49">
            <w:pPr>
              <w:pStyle w:val="OWTablebodyleftwhite"/>
            </w:pPr>
            <w:r>
              <w:t>Indicator 3.7</w:t>
            </w:r>
          </w:p>
        </w:tc>
        <w:tc>
          <w:tcPr>
            <w:tcW w:w="7340" w:type="dxa"/>
          </w:tcPr>
          <w:p w14:paraId="7467EEAC" w14:textId="77777777" w:rsidR="00514CC0" w:rsidRDefault="00E72B49">
            <w:pPr>
              <w:pStyle w:val="OWTablebodyleftwhite"/>
            </w:pPr>
            <w:r>
              <w:t>Gender pay gap</w:t>
            </w:r>
          </w:p>
        </w:tc>
      </w:tr>
      <w:tr w:rsidR="00514CC0" w14:paraId="19E30BF9" w14:textId="77777777" w:rsidTr="00BB2447">
        <w:trPr>
          <w:cantSplit/>
          <w:trHeight w:val="60"/>
        </w:trPr>
        <w:tc>
          <w:tcPr>
            <w:tcW w:w="1680" w:type="dxa"/>
          </w:tcPr>
          <w:p w14:paraId="69AC57CE" w14:textId="77777777" w:rsidR="00514CC0" w:rsidRDefault="00E72B49">
            <w:pPr>
              <w:pStyle w:val="OWTablebodyleftwhite"/>
            </w:pPr>
            <w:r>
              <w:t>Indicator 3.8</w:t>
            </w:r>
          </w:p>
        </w:tc>
        <w:tc>
          <w:tcPr>
            <w:tcW w:w="7340" w:type="dxa"/>
          </w:tcPr>
          <w:p w14:paraId="13B17505" w14:textId="77777777" w:rsidR="00514CC0" w:rsidRDefault="00E72B49">
            <w:pPr>
              <w:pStyle w:val="OWTablebodyleftwhite"/>
            </w:pPr>
            <w:r>
              <w:t>Retirement gap and superannuation gap</w:t>
            </w:r>
          </w:p>
        </w:tc>
      </w:tr>
      <w:tr w:rsidR="00514CC0" w14:paraId="167A9924" w14:textId="77777777" w:rsidTr="00BB2447">
        <w:trPr>
          <w:cantSplit/>
          <w:trHeight w:val="60"/>
        </w:trPr>
        <w:tc>
          <w:tcPr>
            <w:tcW w:w="1680" w:type="dxa"/>
          </w:tcPr>
          <w:p w14:paraId="364F0A0D" w14:textId="77777777" w:rsidR="00514CC0" w:rsidRDefault="00E72B49">
            <w:pPr>
              <w:pStyle w:val="OWTablebodyleftwhite"/>
            </w:pPr>
            <w:r>
              <w:t>Indicator 3.9</w:t>
            </w:r>
          </w:p>
        </w:tc>
        <w:tc>
          <w:tcPr>
            <w:tcW w:w="7340" w:type="dxa"/>
          </w:tcPr>
          <w:p w14:paraId="11417037" w14:textId="77777777" w:rsidR="00514CC0" w:rsidRDefault="00E72B49">
            <w:pPr>
              <w:pStyle w:val="OWTablebodyleftwhite"/>
            </w:pPr>
            <w:r>
              <w:t>Percentage of women who report feeling unsafe in public spaces</w:t>
            </w:r>
          </w:p>
        </w:tc>
      </w:tr>
      <w:tr w:rsidR="00514CC0" w14:paraId="360E0487" w14:textId="77777777" w:rsidTr="00BB2447">
        <w:trPr>
          <w:cantSplit/>
          <w:trHeight w:val="60"/>
        </w:trPr>
        <w:tc>
          <w:tcPr>
            <w:tcW w:w="1680" w:type="dxa"/>
          </w:tcPr>
          <w:p w14:paraId="7851C587" w14:textId="77777777" w:rsidR="00514CC0" w:rsidRDefault="00E72B49">
            <w:pPr>
              <w:pStyle w:val="OWTablebodyleftwhite"/>
            </w:pPr>
            <w:r>
              <w:t>Indicator 3.10</w:t>
            </w:r>
          </w:p>
        </w:tc>
        <w:tc>
          <w:tcPr>
            <w:tcW w:w="7340" w:type="dxa"/>
          </w:tcPr>
          <w:p w14:paraId="7413C8DF" w14:textId="77777777" w:rsidR="00514CC0" w:rsidRDefault="00E72B49">
            <w:pPr>
              <w:pStyle w:val="OWTablebodyleftwhite"/>
            </w:pPr>
            <w:r>
              <w:t>Attitudes about women’s independence in public life</w:t>
            </w:r>
          </w:p>
        </w:tc>
      </w:tr>
    </w:tbl>
    <w:p w14:paraId="26340B5C" w14:textId="6DF60807" w:rsidR="00514CC0" w:rsidRDefault="00E72B49" w:rsidP="00787F88">
      <w:pPr>
        <w:pStyle w:val="OWBodytextlargespaceabove"/>
      </w:pPr>
      <w:r>
        <w:t>Research indicates that violence is more common in families and relationships where men control decision-making.</w:t>
      </w:r>
      <w:r w:rsidR="00787F88">
        <w:rPr>
          <w:rStyle w:val="EndnoteReference"/>
        </w:rPr>
        <w:endnoteReference w:id="292"/>
      </w:r>
      <w:r>
        <w:t xml:space="preserve"> In addition, men who adhere to notions of masculinity that involve male control and dominance are more likely to perpetrate non-partner sexual assault.</w:t>
      </w:r>
      <w:r w:rsidR="00787F88">
        <w:rPr>
          <w:rStyle w:val="EndnoteReference"/>
        </w:rPr>
        <w:endnoteReference w:id="293"/>
      </w:r>
      <w:r>
        <w:t xml:space="preserve"> Stereotypical portrayals of masculinity often represent male control and dominance as a normal or inevitable part of heterosexual intimate relationships, and these behaviours are widely normalised in popular culture as well as learned in peer groups and the family.</w:t>
      </w:r>
      <w:r w:rsidR="00787F88">
        <w:rPr>
          <w:rStyle w:val="EndnoteReference"/>
        </w:rPr>
        <w:endnoteReference w:id="294"/>
      </w:r>
    </w:p>
    <w:p w14:paraId="35A495D3" w14:textId="77777777" w:rsidR="00514CC0" w:rsidRDefault="00E72B49">
      <w:pPr>
        <w:pStyle w:val="BodyText"/>
      </w:pPr>
      <w:r>
        <w:t>Norms that promote male control of decision-making as right and proper are reflected not only in intimate relationships but also in broader society, meaning men dominate decision-making roles in both public and private life. As noted in the findings report for the 2017 National Community Attitudes towards Violence against Women Survey (NCAS):</w:t>
      </w:r>
    </w:p>
    <w:p w14:paraId="06148B7C" w14:textId="32EF246E" w:rsidR="00514CC0" w:rsidRDefault="006E590F">
      <w:pPr>
        <w:pStyle w:val="Quote"/>
      </w:pPr>
      <w:r>
        <w:lastRenderedPageBreak/>
        <w:t>‘</w:t>
      </w:r>
      <w:r w:rsidR="00E72B49">
        <w:t>Women’s equal participation in institutions of public life – such as government, employment, and within the community – is a recognised international indicator of gender equality … The lack of representation of women in such public positions, including as CEOs, board members and in parliament, is not simply a reflection of women’s lack of interest or capability in performing such decision-making roles … In effect, decisions about who is the right person for the job can reflect an unconscious bias, or attitude, that men make better leaders, decision-makers or are more suited to holding positions of responsibility.</w:t>
      </w:r>
      <w:r>
        <w:t>’</w:t>
      </w:r>
      <w:r w:rsidR="005E07DE">
        <w:rPr>
          <w:rStyle w:val="EndnoteReference"/>
        </w:rPr>
        <w:endnoteReference w:id="295"/>
      </w:r>
    </w:p>
    <w:p w14:paraId="5D37C0A1" w14:textId="536F80B5" w:rsidR="00514CC0" w:rsidRDefault="00E72B49">
      <w:pPr>
        <w:pStyle w:val="BodyText"/>
      </w:pPr>
      <w:r>
        <w:t>Men’s control of decision-making in public and private life does not simply reflect discriminatory attitudes and social norms that assume men make better leaders and should be in control, or that women are unsuited for leadership or decision-making roles. It is also an outcome of the many forms of structural gender inequality discussed elsewhere in this report. These include, for example, the burden of domestic and other unpaid labour being shouldered by women and limiting women’s participation in diverse forms of paid work, and gender-blind policy and organisational practices which fail to ensure equal pay for equal work, safe workplaces for women, support for women experiencing violence, and access to</w:t>
      </w:r>
      <w:r w:rsidR="007421E2">
        <w:t> </w:t>
      </w:r>
      <w:r>
        <w:t>flexible (and family-friendly) work arrangements.</w:t>
      </w:r>
      <w:r w:rsidR="005E07DE">
        <w:rPr>
          <w:rStyle w:val="EndnoteReference"/>
        </w:rPr>
        <w:endnoteReference w:id="296"/>
      </w:r>
    </w:p>
    <w:p w14:paraId="3EE5BD40" w14:textId="3DF4F382" w:rsidR="00514CC0" w:rsidRDefault="00E72B49">
      <w:pPr>
        <w:pStyle w:val="BodyText"/>
      </w:pPr>
      <w:r>
        <w:t xml:space="preserve">As noted in </w:t>
      </w:r>
      <w:r w:rsidRPr="003E209A">
        <w:rPr>
          <w:rStyle w:val="Emphasis"/>
        </w:rPr>
        <w:t>Change the story</w:t>
      </w:r>
      <w:r>
        <w:t xml:space="preserve"> (2015), there are several potential ways in which male dominance and control of decision-making, along with other limits to women’s autonomy or</w:t>
      </w:r>
      <w:r w:rsidR="007421E2">
        <w:t> </w:t>
      </w:r>
      <w:r>
        <w:t>independence in public life, can contribute to violence against women:</w:t>
      </w:r>
    </w:p>
    <w:p w14:paraId="0E9A1526" w14:textId="77777777" w:rsidR="00514CC0" w:rsidRDefault="00E72B49">
      <w:pPr>
        <w:pStyle w:val="OWBullet1"/>
      </w:pPr>
      <w:r>
        <w:t xml:space="preserve">By sending a message to both men and women that women have a lower social value, are less worthy of respect, and are therefore more legitimate targets of violence. As acknowledged in other resources such as </w:t>
      </w:r>
      <w:r w:rsidRPr="003E209A">
        <w:rPr>
          <w:rStyle w:val="Emphasis"/>
        </w:rPr>
        <w:t xml:space="preserve">Changing the picture </w:t>
      </w:r>
      <w:r>
        <w:t xml:space="preserve">(2018) and </w:t>
      </w:r>
      <w:r w:rsidRPr="003E209A">
        <w:rPr>
          <w:rStyle w:val="Emphasis"/>
        </w:rPr>
        <w:t>Primary prevention of family violence against people in LGBTI communities</w:t>
      </w:r>
      <w:r>
        <w:t xml:space="preserve"> (2017), this is further exacerbated for women experiencing other forms of discrimination that impact on their perceived worth or the social and economic power they hold, such as women with disability, First Nations women, and for women and people of diverse sexual orientations and gender identities.</w:t>
      </w:r>
    </w:p>
    <w:p w14:paraId="4829FE90" w14:textId="0C9904AE" w:rsidR="00514CC0" w:rsidRDefault="00E72B49">
      <w:pPr>
        <w:pStyle w:val="OWBullet1"/>
      </w:pPr>
      <w:r>
        <w:t>By making women economically dependent on men, such that men may believe they can</w:t>
      </w:r>
      <w:r w:rsidR="007421E2">
        <w:t> </w:t>
      </w:r>
      <w:r>
        <w:t>perpetrate violence with social or legal impunity, and women, especially those with responsibility for children, may find it difficult to leave violent relationships.</w:t>
      </w:r>
    </w:p>
    <w:p w14:paraId="0E17B727" w14:textId="0FF8D7CA" w:rsidR="00514CC0" w:rsidRDefault="00E72B49">
      <w:pPr>
        <w:pStyle w:val="OWBullet1"/>
      </w:pPr>
      <w:r>
        <w:t>By undermining women’s participation in the public sphere, particularly in formal decision-making and civic action, which has a compounding impact because women in positions of power are more likely than men to act to secure women’s freedom from violence. Inequality between women in the public sphere, too, can mean that women affected by multiple inequalities are less likely to be supported to secure freedom from</w:t>
      </w:r>
      <w:r w:rsidR="007421E2">
        <w:t> </w:t>
      </w:r>
      <w:r>
        <w:t>violence.</w:t>
      </w:r>
    </w:p>
    <w:p w14:paraId="3EDA08AB" w14:textId="03400169" w:rsidR="00514CC0" w:rsidRDefault="00E72B49" w:rsidP="00933C30">
      <w:pPr>
        <w:pStyle w:val="OWBodytextafterlist"/>
      </w:pPr>
      <w:r>
        <w:t>The intersection of this driver with other forms of discrimination and structural disadvantage, such as racism, migration-related factors, ableism, transphobia, biphobia, homophobia, and poverty, creates various contexts in which men can exploit power imbalances and exercise particular forms of control over specific groups of women, with a</w:t>
      </w:r>
      <w:r w:rsidR="007421E2">
        <w:t> </w:t>
      </w:r>
      <w:r>
        <w:t>higher level of impunity for violence enacted in such contexts.</w:t>
      </w:r>
    </w:p>
    <w:p w14:paraId="4D8B561F" w14:textId="4D022862" w:rsidR="00514CC0" w:rsidRDefault="00E72B49">
      <w:pPr>
        <w:pStyle w:val="BodyText"/>
      </w:pPr>
      <w:r>
        <w:t>Some of the indicators selected as proxy measures for this domain relate to gender equity in</w:t>
      </w:r>
      <w:r w:rsidR="007421E2">
        <w:t> </w:t>
      </w:r>
      <w:r>
        <w:t>the representation of decision-making positions in public life. Other than attitudes, norms</w:t>
      </w:r>
      <w:r w:rsidR="007421E2">
        <w:t> </w:t>
      </w:r>
      <w:r>
        <w:t xml:space="preserve">and practices which preference men’s control of decision-making, limits to women’s independence or autonomy are also determined through gendered social and structural </w:t>
      </w:r>
      <w:r>
        <w:lastRenderedPageBreak/>
        <w:t>factors such as unequal access to economic resources and insufficient levels of safety for women in public life.</w:t>
      </w:r>
      <w:r w:rsidR="00FB63DE">
        <w:rPr>
          <w:rStyle w:val="EndnoteReference"/>
        </w:rPr>
        <w:endnoteReference w:id="297"/>
      </w:r>
      <w:r>
        <w:t xml:space="preserve"> These factors increase the probability of violence against women, including by constraining opportunities for women to form strong relationships with other women and isolating them from the emotional and practical support that would strengthen their autonomy and help them recognise the early signs of violence. A number of the indicators in this domain relate to these social and structural factors that limit women’s independence in public life. They measure women’s safety in the public domain (in workplaces and in public spaces) and markers of economic equity and financial security, including the gender pay gap, the superannuation gap and the retirement age gap.</w:t>
      </w:r>
    </w:p>
    <w:p w14:paraId="7573C078" w14:textId="1BF6BA10" w:rsidR="00514CC0" w:rsidRDefault="00E72B49">
      <w:pPr>
        <w:pStyle w:val="BodyText"/>
      </w:pPr>
      <w:r>
        <w:t>The effects of structural limits to women’s independence in public life and the resultant risk</w:t>
      </w:r>
      <w:r w:rsidR="00132141">
        <w:t> </w:t>
      </w:r>
      <w:r>
        <w:t xml:space="preserve">of experiencing violence are exacerbated for women </w:t>
      </w:r>
      <w:r w:rsidR="00132141" w:rsidRPr="00132141">
        <w:t>who are subjected to</w:t>
      </w:r>
      <w:r>
        <w:t xml:space="preserve"> intersecting forms of disadvantage and discrimination. For example, women with disability, refugee and</w:t>
      </w:r>
      <w:r w:rsidR="00132141">
        <w:t> </w:t>
      </w:r>
      <w:r>
        <w:t>migrant women, women of culturally diverse backgrounds, Aboriginal and Torres Strait Islander women, women of diverse sexual orientations and gender-diverse people may experience:</w:t>
      </w:r>
    </w:p>
    <w:p w14:paraId="74ABBA4B" w14:textId="77777777" w:rsidR="00514CC0" w:rsidRDefault="00E72B49">
      <w:pPr>
        <w:pStyle w:val="OWBullet1"/>
      </w:pPr>
      <w:r>
        <w:t>higher safety risks in navigating public spaces and workplaces</w:t>
      </w:r>
    </w:p>
    <w:p w14:paraId="7B16D570" w14:textId="77777777" w:rsidR="00514CC0" w:rsidRDefault="00E72B49">
      <w:pPr>
        <w:pStyle w:val="OWBullet1"/>
      </w:pPr>
      <w:r>
        <w:t>specific and heightened barriers to accessing economic resources</w:t>
      </w:r>
    </w:p>
    <w:p w14:paraId="3607362E" w14:textId="77777777" w:rsidR="00514CC0" w:rsidRDefault="00E72B49">
      <w:pPr>
        <w:pStyle w:val="OWBullet1"/>
      </w:pPr>
      <w:r>
        <w:t>discrimination and institutional violence in engaging with public services and organisations in the process of seeking support.</w:t>
      </w:r>
    </w:p>
    <w:p w14:paraId="4DB64C5D" w14:textId="17B810B4" w:rsidR="00514CC0" w:rsidRDefault="00E72B49" w:rsidP="00933C30">
      <w:pPr>
        <w:pStyle w:val="OWBodytextafterlist"/>
      </w:pPr>
      <w:r>
        <w:t>There are limitations to the data used to measure the indicators below due to the inability to</w:t>
      </w:r>
      <w:r w:rsidR="007421E2">
        <w:t> </w:t>
      </w:r>
      <w:r>
        <w:t>disaggregate against additional demographic characteristics. Moreover, the data in these indicators themselves tend to reflect a more privileged access to public life not available to all women, presuming, for example, employment and certain forms of engagement with the formal labour force. For instance, the gender pay gap is premised on women’s full-time earnings, whereas many women are not able to access full-time work for many reasons, including discrimination and responsibility for unpaid caring roles.</w:t>
      </w:r>
    </w:p>
    <w:p w14:paraId="659C7AD4" w14:textId="061F9181" w:rsidR="00514CC0" w:rsidRDefault="00E72B49">
      <w:pPr>
        <w:pStyle w:val="BodyText"/>
      </w:pPr>
      <w:r>
        <w:t xml:space="preserve">In this regard, it is useful to read this domain alongside Monitoring domain 6: Intersecting drivers of </w:t>
      </w:r>
      <w:r w:rsidR="00EA0B77" w:rsidRPr="00EA0B77">
        <w:t>violence (other forms of oppression and discrimination)</w:t>
      </w:r>
      <w:r>
        <w:t>, which builds a more complete and diverse picture of the effects of intersecting forms of structural inequality in</w:t>
      </w:r>
      <w:r w:rsidR="00EA0B77">
        <w:t> </w:t>
      </w:r>
      <w:r>
        <w:t>limiting women’s independence and exacerbating their risk of experiencing violence.</w:t>
      </w:r>
    </w:p>
    <w:p w14:paraId="3F20F833" w14:textId="77777777" w:rsidR="00514CC0" w:rsidRDefault="00E72B49" w:rsidP="00F868FE">
      <w:pPr>
        <w:pStyle w:val="Heading5"/>
      </w:pPr>
      <w:r>
        <w:t>Challenging men’s control of decision-making and limits to women’s independence in public life (economic, social and political independence): Summary of change over time</w:t>
      </w:r>
    </w:p>
    <w:p w14:paraId="6EDE868E" w14:textId="6A8D4826" w:rsidR="00514CC0" w:rsidRDefault="00E72B49" w:rsidP="00287D9B">
      <w:pPr>
        <w:pStyle w:val="OWBodytextlargespacebelow"/>
      </w:pPr>
      <w:r>
        <w:t>The data in the indicators that follow reveals limited change to men’s control of decision-making and limits to women’s independence in public life in the past decade. Between the 2013 and 2017 waves of the NCAS, there has been a significant decrease in the proportion of</w:t>
      </w:r>
      <w:r w:rsidR="00D60EEF">
        <w:t> </w:t>
      </w:r>
      <w:r>
        <w:t xml:space="preserve">Australians who agree that ‘Men make better political leaders than women’. Yet while attitudes towards women’s engagement in public life may be shifting, </w:t>
      </w:r>
      <w:r w:rsidR="50281752">
        <w:t>and we see some visible examples of women’s leadership</w:t>
      </w:r>
      <w:r w:rsidR="5E8AC700">
        <w:t xml:space="preserve"> such as </w:t>
      </w:r>
      <w:r w:rsidR="5B9AFACB">
        <w:t xml:space="preserve">female </w:t>
      </w:r>
      <w:r w:rsidR="5E8AC700">
        <w:t xml:space="preserve">Premiers and Chief Health Officers leading responses to the </w:t>
      </w:r>
      <w:r w:rsidR="50281752">
        <w:t>COVID</w:t>
      </w:r>
      <w:r w:rsidR="00837E49">
        <w:t>-</w:t>
      </w:r>
      <w:r w:rsidR="50281752">
        <w:t xml:space="preserve">19 crisis, </w:t>
      </w:r>
      <w:r>
        <w:t xml:space="preserve">there is limited change in the actual representation of women in leadership positions. There have been only modest improvements in the gender composition of CEOs and middle managers in Australia between 2014 and 2019. Little increase is noted in the representation of women as political representatives across </w:t>
      </w:r>
      <w:r>
        <w:lastRenderedPageBreak/>
        <w:t>jurisdictions in Australia, with women continuing to be vastly under-represented in most instances. In industries such as education, sports and recreation, women make up at least half of all employees, and in some instances heavily dominate the workforce, and yet they are substantially under-represented in CEO or head of business positions. It should also be noted that in 2018, the Australian Human Rights Commission (AHRC) found that 95% of senior leaders in Australia have an Anglo-Celtic or European background.</w:t>
      </w:r>
      <w:r w:rsidR="00E531A9">
        <w:rPr>
          <w:rStyle w:val="EndnoteReference"/>
        </w:rPr>
        <w:endnoteReference w:id="298"/>
      </w:r>
      <w:r>
        <w:t xml:space="preserve"> While not disaggregated by gender, we can confidently surmise that the representation of women of</w:t>
      </w:r>
      <w:r w:rsidR="00D60EEF">
        <w:t> </w:t>
      </w:r>
      <w:r>
        <w:t>non-Anglo-Celtic or European backgrounds in senior leadership positions, including First Nations women, is extremely small.</w:t>
      </w:r>
    </w:p>
    <w:tbl>
      <w:tblPr>
        <w:tblStyle w:val="Casestudyteal"/>
        <w:tblW w:w="0" w:type="auto"/>
        <w:tblLayout w:type="fixed"/>
        <w:tblLook w:val="0620" w:firstRow="1" w:lastRow="0" w:firstColumn="0" w:lastColumn="0" w:noHBand="1" w:noVBand="1"/>
      </w:tblPr>
      <w:tblGrid>
        <w:gridCol w:w="9071"/>
      </w:tblGrid>
      <w:tr w:rsidR="00514CC0" w14:paraId="59B4BBD3" w14:textId="77777777" w:rsidTr="00BB2447">
        <w:trPr>
          <w:cnfStyle w:val="100000000000" w:firstRow="1" w:lastRow="0" w:firstColumn="0" w:lastColumn="0" w:oddVBand="0" w:evenVBand="0" w:oddHBand="0" w:evenHBand="0" w:firstRowFirstColumn="0" w:firstRowLastColumn="0" w:lastRowFirstColumn="0" w:lastRowLastColumn="0"/>
          <w:trHeight w:val="113"/>
        </w:trPr>
        <w:tc>
          <w:tcPr>
            <w:tcW w:w="9071" w:type="dxa"/>
          </w:tcPr>
          <w:p w14:paraId="69DCE11B" w14:textId="77777777" w:rsidR="00514CC0" w:rsidRPr="00933C30" w:rsidRDefault="00E72B49">
            <w:pPr>
              <w:pStyle w:val="OWBoxheading"/>
            </w:pPr>
            <w:r w:rsidRPr="00933C30">
              <w:t>Beyond men and women: Understanding diversity and the impact of intersecting forms of discrimination upon equality in public life</w:t>
            </w:r>
          </w:p>
        </w:tc>
      </w:tr>
      <w:tr w:rsidR="00514CC0" w14:paraId="60C15CF8" w14:textId="77777777" w:rsidTr="00BB2447">
        <w:trPr>
          <w:trHeight w:val="113"/>
        </w:trPr>
        <w:tc>
          <w:tcPr>
            <w:tcW w:w="9071" w:type="dxa"/>
          </w:tcPr>
          <w:p w14:paraId="5E261630" w14:textId="77777777" w:rsidR="00514CC0" w:rsidRDefault="00E72B49" w:rsidP="007421E2">
            <w:pPr>
              <w:pStyle w:val="OWTablebodyleft"/>
            </w:pPr>
            <w:r>
              <w:t>While Australia has made substantial gains with regard to data on gender representation in public leadership positions in recent years, there continues to be a</w:t>
            </w:r>
            <w:r w:rsidR="00287D9B">
              <w:t> </w:t>
            </w:r>
            <w:r>
              <w:t xml:space="preserve">dearth of data on other forms of demographic diversity, such as cultural diversity, sexual orientation and gender identity diversity, disability status, age, whether individuals in leadership positions have children and partners, and so on. As the Australian Human Rights Commission articulated in the 2018 </w:t>
            </w:r>
            <w:r w:rsidRPr="003E209A">
              <w:rPr>
                <w:rStyle w:val="Emphasis"/>
              </w:rPr>
              <w:t xml:space="preserve">Leading for change </w:t>
            </w:r>
            <w:r>
              <w:t>report on cultural diversity within senior leadership ranks of Australian organisations and institutions, it ‘remains difficult to get data on cultural diversity. Unlike on gender, where federal legislation compels all companies with 100 or more staff to</w:t>
            </w:r>
            <w:r w:rsidR="00287D9B">
              <w:t> </w:t>
            </w:r>
            <w:r>
              <w:t>collect and report on gender equality data, there is no legal obligation for organisations to collect cultural diversity data’ (p. 18), and yet the ‘experience of gender equality has demonstrated the power of having data and reporting on gender’ (p. 1) in terms of supporting equality and diversity in public life. The Australian Human Rights Commission’s own data shows that 95% of senior leadership positions in Australia are occupied by individuals from Anglo-Celtic or European backgrounds, with very significant under-representation of people from non-European backgrounds and First Nations people.</w:t>
            </w:r>
          </w:p>
          <w:p w14:paraId="7501CA78" w14:textId="7D9A044F" w:rsidR="00F6538C" w:rsidRDefault="002F0BA2" w:rsidP="00F6538C">
            <w:pPr>
              <w:pStyle w:val="OWTablebodyleft"/>
            </w:pPr>
            <w:r w:rsidRPr="002F0BA2">
              <w:t>Intersecting forms of privilege and oppression are masked</w:t>
            </w:r>
            <w:r w:rsidR="00F6538C">
              <w:t xml:space="preserve"> in data systems measuring formal markers of equality that are currently focused on a ‘men vs women’ model of gender equality measurement. The risk here is that any gains may be celebrated as being representative of gains for all women, whereas triangulating existing evidence suggests that it is likely to be women who inhabit other forms of privilege (such as wealth or whiteness) who are experiencing these gains. Analyses of other forms of diversity and equity in public life suggest that it is not only gender inequality but a range of other forms of discrimination and disadvantage that are responsible for unequal outcomes in the public sphere. Without acknowledging this, the models that are being used to support gender equality gains in the formal sphere may at best hide, or at worst reinforce existing hierarchies of power and privilege between different groups of women.</w:t>
            </w:r>
          </w:p>
        </w:tc>
      </w:tr>
      <w:tr w:rsidR="00514CC0" w14:paraId="3E118EAD" w14:textId="77777777" w:rsidTr="00BB2447">
        <w:trPr>
          <w:trHeight w:val="113"/>
        </w:trPr>
        <w:tc>
          <w:tcPr>
            <w:tcW w:w="9071" w:type="dxa"/>
          </w:tcPr>
          <w:p w14:paraId="75188E33" w14:textId="3E2E4214" w:rsidR="00514CC0" w:rsidRDefault="00E72B49" w:rsidP="00F6538C">
            <w:pPr>
              <w:pStyle w:val="OWTablebodyleft"/>
              <w:spacing w:before="360"/>
            </w:pPr>
            <w:r>
              <w:lastRenderedPageBreak/>
              <w:t>It is essential then that in challenging men’s control of decision-making and limits to</w:t>
            </w:r>
            <w:r w:rsidR="007421E2">
              <w:t> </w:t>
            </w:r>
            <w:r>
              <w:t xml:space="preserve">women’s independence in public life, efforts are focused on understanding and addressing multiple and intersecting </w:t>
            </w:r>
            <w:r w:rsidR="00362C29" w:rsidRPr="00362C29">
              <w:t>forms of privilege and oppression are masked</w:t>
            </w:r>
            <w:r>
              <w:t>. For example, the Australian Human Rights Commission says that ‘[g]etting serious about responding to the under-representation of cultural diversity [in senior leadership positions] requires getting serious about the barriers posed by prejudice and discrimination’ (p. 14). Better data systems, designed to be meaningful and to uphold Indigenous data sovereignty principles, are one critical building block to supporting future efforts at transforming inequality and power in public life. With stronger data on public life comes the ability to enable greater illumination of inequality and privilege, and establish accountability for deep, significant change. As the Australian Human Rights Commission warns, efforts at workplace equality and diversity cannot be limited to gender alone without further analysis of intersecting forms of discrimination and inequality:</w:t>
            </w:r>
          </w:p>
          <w:p w14:paraId="4A144140" w14:textId="5AC276AB" w:rsidR="00514CC0" w:rsidRDefault="006E590F">
            <w:pPr>
              <w:pStyle w:val="Quote"/>
            </w:pPr>
            <w:r>
              <w:t>‘</w:t>
            </w:r>
            <w:r w:rsidR="00E72B49">
              <w:t>One common deflection within organisations concerns priorities. There remains a perception that, on diversity and inclusion, priority may need to be given to gender equality. While gender equality is important, senior leaders must ensure that efforts on cultural diversity are not deferred. Too often, organisations are prepared to lament that there is not enough ‘bandwidth’ to handle cultural diversity … It may amount to saying that they and their organisation do not regard the professional development and opportunities for those from culturally diverse backgrounds as important.</w:t>
            </w:r>
            <w:r>
              <w:t>’</w:t>
            </w:r>
            <w:r w:rsidR="00E72B49">
              <w:t xml:space="preserve"> (p. 2</w:t>
            </w:r>
            <w:r>
              <w:t>9</w:t>
            </w:r>
            <w:r w:rsidR="00E72B49">
              <w:t>)</w:t>
            </w:r>
          </w:p>
          <w:p w14:paraId="0617FE82" w14:textId="77777777" w:rsidR="00514CC0" w:rsidRDefault="00E72B49">
            <w:pPr>
              <w:pStyle w:val="OWTablebodyleft"/>
            </w:pPr>
            <w:r>
              <w:t>Critically, by bringing an analysis of gender inequality and, for example, racism together, we can understand how certain groups of women stand to gain and others may be left behind by efforts at change.</w:t>
            </w:r>
          </w:p>
          <w:p w14:paraId="166C15FF" w14:textId="77777777" w:rsidR="003D6A9B" w:rsidRPr="003D6A9B" w:rsidRDefault="003D6A9B" w:rsidP="003D6A9B">
            <w:pPr>
              <w:pStyle w:val="OWBoxsourceline"/>
            </w:pPr>
            <w:r>
              <w:drawing>
                <wp:inline distT="0" distB="0" distL="0" distR="0" wp14:anchorId="4B949EAB" wp14:editId="72CB7704">
                  <wp:extent cx="431640" cy="3960"/>
                  <wp:effectExtent l="0" t="0" r="0" b="0"/>
                  <wp:docPr id="326526426" name="Picture 5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28">
                            <a:extLst>
                              <a:ext uri="{28A0092B-C50C-407E-A947-70E740481C1C}">
                                <a14:useLocalDpi xmlns:a14="http://schemas.microsoft.com/office/drawing/2010/main" val="0"/>
                              </a:ext>
                            </a:extLst>
                          </a:blip>
                          <a:stretch>
                            <a:fillRect/>
                          </a:stretch>
                        </pic:blipFill>
                        <pic:spPr>
                          <a:xfrm>
                            <a:off x="0" y="0"/>
                            <a:ext cx="431640" cy="3960"/>
                          </a:xfrm>
                          <a:prstGeom prst="rect">
                            <a:avLst/>
                          </a:prstGeom>
                        </pic:spPr>
                      </pic:pic>
                    </a:graphicData>
                  </a:graphic>
                </wp:inline>
              </w:drawing>
            </w:r>
          </w:p>
          <w:p w14:paraId="618B74ED" w14:textId="77777777" w:rsidR="00514CC0" w:rsidRDefault="00E72B49" w:rsidP="004A1B0D">
            <w:pPr>
              <w:pStyle w:val="OWBoxsource"/>
            </w:pPr>
            <w:r>
              <w:t xml:space="preserve">Source: Australian Human Rights Commission, </w:t>
            </w:r>
            <w:r w:rsidRPr="003E209A">
              <w:rPr>
                <w:rStyle w:val="Emphasis"/>
              </w:rPr>
              <w:t>Leading for change</w:t>
            </w:r>
            <w:r>
              <w:t>, 2018.</w:t>
            </w:r>
          </w:p>
        </w:tc>
      </w:tr>
    </w:tbl>
    <w:p w14:paraId="5B5413B9" w14:textId="77777777" w:rsidR="00514CC0" w:rsidRDefault="00E72B49" w:rsidP="00933C30">
      <w:pPr>
        <w:pStyle w:val="OWBodytextlargespaceabove"/>
      </w:pPr>
      <w:r>
        <w:t>Gender parity in leadership positions which control significant facets of public decision-making is shifting, but slowly and in very limited ways, and largely only for more privileged women. The picture of limited change to men’s control of decision-making and limits to women’s independence in public life is further reinforced by the data on women’s experiences of workplace sexual harassment, the gender pay gap, the retirement gap and superannuation gap, women’s feelings of lack of safety in public spaces, and community attitudes about women’s independence in public life. For example:</w:t>
      </w:r>
    </w:p>
    <w:p w14:paraId="438587C2" w14:textId="77777777" w:rsidR="00514CC0" w:rsidRDefault="00E72B49">
      <w:pPr>
        <w:pStyle w:val="OWBullet1"/>
      </w:pPr>
      <w:r>
        <w:t>Between 2012 and 2018 waves of the AHRC National Workplace Sexual Harassment Surveys, there was a marked increase in women’s reporting of five-year experiences of workplace sexual harassment, with even greater prevalence for women experiencing intersecting forms of discrimination.</w:t>
      </w:r>
    </w:p>
    <w:p w14:paraId="74B5F85D" w14:textId="22B12B25" w:rsidR="00514CC0" w:rsidRDefault="00E72B49">
      <w:pPr>
        <w:pStyle w:val="OWBullet1"/>
      </w:pPr>
      <w:r>
        <w:t>While the gender pay gap has declined over the six years, it remains substantial and change over a longer period of time has been uneven and slow. Moreover, analyses suggest that the decline in recent years has been due to lower incomes and fewer jobs for men, rather than any substantial gains for women.</w:t>
      </w:r>
      <w:r w:rsidR="00E531A9">
        <w:rPr>
          <w:rStyle w:val="EndnoteReference"/>
        </w:rPr>
        <w:endnoteReference w:id="299"/>
      </w:r>
      <w:r>
        <w:t xml:space="preserve"> Little change has been effected to the identified drivers of the gender pay gap – discrimination against women in the </w:t>
      </w:r>
      <w:r>
        <w:lastRenderedPageBreak/>
        <w:t xml:space="preserve">workplace, inequality in the division of unpaid care labour in the private sphere, and strong gender segregation in many occupations and industries. Other analyses of income inequality – including between </w:t>
      </w:r>
      <w:r w:rsidR="00050716">
        <w:t>Aboriginal and Torres Strait Islander</w:t>
      </w:r>
      <w:r>
        <w:t xml:space="preserve"> people and non-Indigenous people, and people with and without disability – suggest that income differentials are far starker for</w:t>
      </w:r>
      <w:r w:rsidR="007421E2">
        <w:t> </w:t>
      </w:r>
      <w:r>
        <w:t>women who experience intersectional forms of structural</w:t>
      </w:r>
      <w:r w:rsidR="007C4B16">
        <w:t> </w:t>
      </w:r>
      <w:r>
        <w:t>discrimination.</w:t>
      </w:r>
    </w:p>
    <w:p w14:paraId="0405EE4B" w14:textId="206F23C3" w:rsidR="00514CC0" w:rsidRDefault="00E72B49">
      <w:pPr>
        <w:pStyle w:val="OWBullet1"/>
      </w:pPr>
      <w:r>
        <w:t>As a reflection of the gender disparity in lifetime earnings, women are retiring with far less superannuation on average than men, and are retiring earlier, often for gendered reasons related to caring responsibilities or health concerns.</w:t>
      </w:r>
      <w:r w:rsidR="002471EC">
        <w:rPr>
          <w:rStyle w:val="EndnoteReference"/>
        </w:rPr>
        <w:endnoteReference w:id="300"/>
      </w:r>
      <w:r>
        <w:t xml:space="preserve"> While superannuation and retirement wealth data allowing assessment of change over time is limited, it is clear</w:t>
      </w:r>
      <w:r w:rsidR="007421E2">
        <w:t> </w:t>
      </w:r>
      <w:r>
        <w:t>that there is a tremendous gender disparity with regard to retirement wealth and superannuation income, reflective of gendered economic inequality and structural marginalisation from public life across the lifespan, with the cumulative economic impacts acutely affecting older women.</w:t>
      </w:r>
      <w:r w:rsidR="002471EC">
        <w:rPr>
          <w:rStyle w:val="EndnoteReference"/>
        </w:rPr>
        <w:endnoteReference w:id="301"/>
      </w:r>
    </w:p>
    <w:p w14:paraId="729352F0" w14:textId="77777777" w:rsidR="00514CC0" w:rsidRDefault="00E72B49">
      <w:pPr>
        <w:pStyle w:val="OWBullet1"/>
      </w:pPr>
      <w:r>
        <w:t>Data on women’s feelings of safety in public shows a mixed picture with regard to change. Personal Safety Survey (PSS) data from 2012 and 2016 shows some increase in the proportion of women feeling safe using public transport and waiting for public transport after dark, but little change in the proportion who report feeling safe walking alone in their local area after dark. Other site-specific research, particularly focused on young women, reveals a high proportion of young women feeling unsafe or experiencing sexual harassment in public spaces and on public transport. This pattern of lack of safety in public domains is higher still for young women and non-binary people who experience intersectional forms of discrimination.</w:t>
      </w:r>
    </w:p>
    <w:p w14:paraId="18E1BB06" w14:textId="3F1067AA" w:rsidR="00514CC0" w:rsidRDefault="00E72B49" w:rsidP="00933C30">
      <w:pPr>
        <w:pStyle w:val="OWBodytextafterlist"/>
      </w:pPr>
      <w:r>
        <w:t>Overall, the data in this domain reveals multiple facets of men’s control of decision-making and limits to women’s independence in public life, and the limited change to gender equality in public life that has been effected in the time period under consideration. While currently obscured by data limitations, the evidence available suggests that any small gains have been experienced mostly by those women who are already more privileged in society. We need to</w:t>
      </w:r>
      <w:r w:rsidR="007421E2">
        <w:t> </w:t>
      </w:r>
      <w:r>
        <w:t>be conscious of how dominant models of promotion of workplace gender equality, for</w:t>
      </w:r>
      <w:r w:rsidR="007421E2">
        <w:t> </w:t>
      </w:r>
      <w:r>
        <w:t>example, may in fact come at the expense of addressing intersectional forms of discrimination and disadvantage that would enable change to public life for all women and</w:t>
      </w:r>
      <w:r w:rsidR="007421E2">
        <w:t> </w:t>
      </w:r>
      <w:r>
        <w:t>non-binary people (as well as less privileged men).</w:t>
      </w:r>
    </w:p>
    <w:p w14:paraId="26D09625" w14:textId="21AE8764" w:rsidR="00514CC0" w:rsidRDefault="00E72B49">
      <w:pPr>
        <w:pStyle w:val="BodyText"/>
      </w:pPr>
      <w:r>
        <w:t>Moreover, the data across the domains in this report illustrates how there is unlikely to be</w:t>
      </w:r>
      <w:r w:rsidR="007421E2">
        <w:t> </w:t>
      </w:r>
      <w:r>
        <w:t>substantial change to women’s level of control and independence in public life until we</w:t>
      </w:r>
      <w:r w:rsidR="007421E2">
        <w:t> </w:t>
      </w:r>
      <w:r>
        <w:t>meaningfully address inequality in private lives and also understand the economy as</w:t>
      </w:r>
      <w:r w:rsidR="007421E2">
        <w:t> </w:t>
      </w:r>
      <w:r>
        <w:t>including the unpaid and informal domains.</w:t>
      </w:r>
    </w:p>
    <w:p w14:paraId="48D5F423" w14:textId="77777777" w:rsidR="00F6538C" w:rsidRPr="00F6538C" w:rsidRDefault="00F6538C" w:rsidP="00F6538C">
      <w:pPr>
        <w:pStyle w:val="BodyText"/>
      </w:pPr>
      <w:r w:rsidRPr="00F6538C">
        <w:br w:type="page"/>
      </w:r>
    </w:p>
    <w:p w14:paraId="2B1CCF6D" w14:textId="475CA941" w:rsidR="00514CC0" w:rsidRDefault="00E72B49" w:rsidP="00E1549C">
      <w:pPr>
        <w:pStyle w:val="Heading4"/>
      </w:pPr>
      <w:r>
        <w:lastRenderedPageBreak/>
        <w:t>Indicator 3.1: Percentage of CEOs who are women</w:t>
      </w:r>
    </w:p>
    <w:tbl>
      <w:tblPr>
        <w:tblStyle w:val="Indicatoroutlineteal"/>
        <w:tblW w:w="9072" w:type="dxa"/>
        <w:tblLayout w:type="fixed"/>
        <w:tblLook w:val="0680" w:firstRow="0" w:lastRow="0" w:firstColumn="1" w:lastColumn="0" w:noHBand="1" w:noVBand="1"/>
      </w:tblPr>
      <w:tblGrid>
        <w:gridCol w:w="3402"/>
        <w:gridCol w:w="5670"/>
      </w:tblGrid>
      <w:tr w:rsidR="00514CC0" w14:paraId="09A6E647" w14:textId="77777777" w:rsidTr="00BB2447">
        <w:trPr>
          <w:cantSplit/>
          <w:trHeight w:val="60"/>
        </w:trPr>
        <w:tc>
          <w:tcPr>
            <w:tcW w:w="3402" w:type="dxa"/>
          </w:tcPr>
          <w:p w14:paraId="0B4E551A" w14:textId="77777777" w:rsidR="00514CC0" w:rsidRDefault="00E72B49">
            <w:pPr>
              <w:pStyle w:val="OWTablebodyleft"/>
            </w:pPr>
            <w:r>
              <w:t>What does this indicator tell us about Monitoring domain 3: Men’s control of decision-making and limits to women’s independence in public life?</w:t>
            </w:r>
          </w:p>
        </w:tc>
        <w:tc>
          <w:tcPr>
            <w:tcW w:w="5669" w:type="dxa"/>
          </w:tcPr>
          <w:p w14:paraId="57238B61" w14:textId="77777777" w:rsidR="00514CC0" w:rsidRDefault="00E72B49">
            <w:pPr>
              <w:pStyle w:val="OWTablebodyleft"/>
            </w:pPr>
            <w:r>
              <w:t>This indicator reflects the extent to which men’s control over decision-making is reflected in public life by measuring the proportion of female-occupied CEO positions in the private sector in Australia.</w:t>
            </w:r>
          </w:p>
        </w:tc>
      </w:tr>
      <w:tr w:rsidR="00514CC0" w14:paraId="463809B1" w14:textId="77777777" w:rsidTr="00BB2447">
        <w:trPr>
          <w:cantSplit/>
          <w:trHeight w:val="60"/>
        </w:trPr>
        <w:tc>
          <w:tcPr>
            <w:tcW w:w="3402" w:type="dxa"/>
          </w:tcPr>
          <w:p w14:paraId="62DCE3B2" w14:textId="77777777" w:rsidR="00514CC0" w:rsidRDefault="00E72B49">
            <w:pPr>
              <w:pStyle w:val="OWTablebodyleft"/>
            </w:pPr>
            <w:r>
              <w:t>Expected change if high-quality programs and infrastructure for prevention of violence against women and gender equality are implemented</w:t>
            </w:r>
          </w:p>
        </w:tc>
        <w:tc>
          <w:tcPr>
            <w:tcW w:w="5669" w:type="dxa"/>
          </w:tcPr>
          <w:p w14:paraId="4F17FC74" w14:textId="77777777" w:rsidR="00514CC0" w:rsidRDefault="00E72B49">
            <w:pPr>
              <w:pStyle w:val="OWTablebodyleft"/>
            </w:pPr>
            <w:r>
              <w:t>Short- and medium-term: some increase in the percentage of female CEOs as awareness of gender equality grows.</w:t>
            </w:r>
          </w:p>
          <w:p w14:paraId="663CD158" w14:textId="77777777" w:rsidR="00514CC0" w:rsidRDefault="00E72B49">
            <w:pPr>
              <w:pStyle w:val="OWTablebodyleft"/>
            </w:pPr>
            <w:r>
              <w:t>Long-term: parity in gender composition of CEOs in Australia.</w:t>
            </w:r>
          </w:p>
        </w:tc>
      </w:tr>
      <w:tr w:rsidR="00514CC0" w14:paraId="4DD2B8D1" w14:textId="77777777" w:rsidTr="00BB2447">
        <w:trPr>
          <w:cantSplit/>
          <w:trHeight w:val="60"/>
        </w:trPr>
        <w:tc>
          <w:tcPr>
            <w:tcW w:w="3402" w:type="dxa"/>
          </w:tcPr>
          <w:p w14:paraId="6ED89447" w14:textId="77777777" w:rsidR="00514CC0" w:rsidRDefault="00E72B49">
            <w:pPr>
              <w:pStyle w:val="OWTablebodyleft"/>
            </w:pPr>
            <w:r>
              <w:t>Data source(s)</w:t>
            </w:r>
          </w:p>
        </w:tc>
        <w:tc>
          <w:tcPr>
            <w:tcW w:w="5669" w:type="dxa"/>
          </w:tcPr>
          <w:p w14:paraId="05BD64DA" w14:textId="77777777" w:rsidR="00514CC0" w:rsidRDefault="00E72B49">
            <w:pPr>
              <w:pStyle w:val="OWTablebodyleft"/>
            </w:pPr>
            <w:r>
              <w:t>Workplace Gender Equality Agency reporting data, 2014 and 2019, WGEA</w:t>
            </w:r>
          </w:p>
        </w:tc>
      </w:tr>
      <w:tr w:rsidR="00514CC0" w14:paraId="5916C996" w14:textId="77777777" w:rsidTr="00BB2447">
        <w:trPr>
          <w:cantSplit/>
          <w:trHeight w:val="60"/>
        </w:trPr>
        <w:tc>
          <w:tcPr>
            <w:tcW w:w="3402" w:type="dxa"/>
          </w:tcPr>
          <w:p w14:paraId="2808F78E" w14:textId="77777777" w:rsidR="00514CC0" w:rsidRDefault="00E72B49">
            <w:pPr>
              <w:pStyle w:val="OWTablebodyleft"/>
            </w:pPr>
            <w:r>
              <w:t>Change over time summary: short-term change revealed by the data</w:t>
            </w:r>
          </w:p>
        </w:tc>
        <w:tc>
          <w:tcPr>
            <w:tcW w:w="5669" w:type="dxa"/>
          </w:tcPr>
          <w:p w14:paraId="7B0DBCF4" w14:textId="77777777" w:rsidR="00514CC0" w:rsidRDefault="00E72B49">
            <w:pPr>
              <w:pStyle w:val="OWTablebodyleft"/>
            </w:pPr>
            <w:r>
              <w:t>There has been a minimal increase of 1.4% in the proportion of women who are Australian CEOs.</w:t>
            </w:r>
          </w:p>
        </w:tc>
      </w:tr>
      <w:tr w:rsidR="00514CC0" w14:paraId="23209B7E" w14:textId="77777777" w:rsidTr="00BB2447">
        <w:trPr>
          <w:cantSplit/>
          <w:trHeight w:val="60"/>
        </w:trPr>
        <w:tc>
          <w:tcPr>
            <w:tcW w:w="3402" w:type="dxa"/>
          </w:tcPr>
          <w:p w14:paraId="5A405D87" w14:textId="77777777" w:rsidR="00514CC0" w:rsidRDefault="00E72B49">
            <w:pPr>
              <w:pStyle w:val="OWTablebodyleft"/>
            </w:pPr>
            <w:r>
              <w:t>Does the change confirm or run contrary to expected change?</w:t>
            </w:r>
          </w:p>
        </w:tc>
        <w:tc>
          <w:tcPr>
            <w:tcW w:w="5669" w:type="dxa"/>
          </w:tcPr>
          <w:p w14:paraId="7250DC4E" w14:textId="77777777" w:rsidR="00514CC0" w:rsidRDefault="00E72B49">
            <w:pPr>
              <w:pStyle w:val="OWTablebodyleft"/>
            </w:pPr>
            <w:r>
              <w:t>Slower than expected</w:t>
            </w:r>
          </w:p>
        </w:tc>
      </w:tr>
      <w:tr w:rsidR="00514CC0" w14:paraId="3DF42159" w14:textId="77777777" w:rsidTr="00BB2447">
        <w:trPr>
          <w:cantSplit/>
          <w:trHeight w:val="60"/>
        </w:trPr>
        <w:tc>
          <w:tcPr>
            <w:tcW w:w="3402" w:type="dxa"/>
          </w:tcPr>
          <w:p w14:paraId="34F9EDB1" w14:textId="77777777" w:rsidR="00514CC0" w:rsidRDefault="00E72B49">
            <w:pPr>
              <w:pStyle w:val="OWTablebodyleft"/>
            </w:pPr>
            <w:r>
              <w:t>Gaps in existing data</w:t>
            </w:r>
          </w:p>
        </w:tc>
        <w:tc>
          <w:tcPr>
            <w:tcW w:w="5669" w:type="dxa"/>
          </w:tcPr>
          <w:p w14:paraId="73206CA0" w14:textId="394F8747" w:rsidR="00514CC0" w:rsidRDefault="00E72B49">
            <w:pPr>
              <w:pStyle w:val="OWTablebodyleft"/>
            </w:pPr>
            <w:r>
              <w:t>The publicly available data linked to this data source</w:t>
            </w:r>
            <w:r w:rsidR="007421E2">
              <w:t> </w:t>
            </w:r>
            <w:r>
              <w:t xml:space="preserve">cannot be disaggregated for any additional demographic characteristics (e.g. race and Aboriginal and Torres Strait Islander status, disability, age, sexuality, gender identity/trans status, whether or not women are partnered, whether the women in the dataset have children). </w:t>
            </w:r>
            <w:r w:rsidR="00050716">
              <w:t>Therefore,</w:t>
            </w:r>
            <w:r>
              <w:t xml:space="preserve"> it should be noted that this section can’t report on or present a more nuanced analysis of the evidence regarding the percentage of CEOs who are women.</w:t>
            </w:r>
          </w:p>
        </w:tc>
      </w:tr>
    </w:tbl>
    <w:p w14:paraId="565A4750" w14:textId="39A5BB0E" w:rsidR="00514CC0" w:rsidRDefault="00E72B49" w:rsidP="00933C30">
      <w:pPr>
        <w:pStyle w:val="OWBodytextlargespaceabove"/>
      </w:pPr>
      <w:r>
        <w:t xml:space="preserve">There is a considerable gender disparity in CEO positions in the Australian private sector. While slight progress has been made between 2014 and 2019, there is a very long way to go until gender parity is achieved. In 2014, women comprised 15.7% of Australian CEOs; by 2019 this had only improved by 1.4 percentage points to 17.1% (see Figure </w:t>
      </w:r>
      <w:r w:rsidR="00D162DF">
        <w:t>16</w:t>
      </w:r>
      <w:r>
        <w:t>, below). That</w:t>
      </w:r>
      <w:r w:rsidR="007421E2">
        <w:t> </w:t>
      </w:r>
      <w:r>
        <w:t>is, currently only one in six of Australian CEOs are women. The proportion of female CEOs did not increase at all between 2018 and 2019.</w:t>
      </w:r>
    </w:p>
    <w:p w14:paraId="606E9C5B" w14:textId="511BBCCA" w:rsidR="00514CC0" w:rsidRDefault="00E72B49">
      <w:pPr>
        <w:pStyle w:val="OWFigurecaption"/>
        <w:spacing w:after="85"/>
      </w:pPr>
      <w:r>
        <w:lastRenderedPageBreak/>
        <w:t xml:space="preserve">Figure </w:t>
      </w:r>
      <w:r w:rsidR="00D162DF">
        <w:t>16</w:t>
      </w:r>
      <w:r>
        <w:t xml:space="preserve">: </w:t>
      </w:r>
      <w:r w:rsidR="006F64DC" w:rsidRPr="006F64DC">
        <w:t>Proportions of female and male private-sector CEOs, 2014 and 2019</w:t>
      </w:r>
    </w:p>
    <w:p w14:paraId="0E71362A" w14:textId="4AD86ABE" w:rsidR="00514CC0" w:rsidRDefault="009338E6" w:rsidP="00933C30">
      <w:pPr>
        <w:pStyle w:val="OWFigureinline"/>
      </w:pPr>
      <w:r>
        <w:rPr>
          <w:noProof/>
        </w:rPr>
        <w:drawing>
          <wp:inline distT="0" distB="0" distL="0" distR="0" wp14:anchorId="2A4D4B27" wp14:editId="62BA1CB8">
            <wp:extent cx="4371340" cy="3444240"/>
            <wp:effectExtent l="0" t="0" r="0" b="3810"/>
            <wp:docPr id="61118185" name="Picture 66" descr="Column graph of the following data (proportion). 2014: Female – 15.7%; Male – 84.3%. 2019: Female – 17.1%; Male –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8185" name="Picture 66" descr="Column graph of the following data (proportion). 2014: Female – 15.7%; Male – 84.3%. 2019: Female – 17.1%; Male – 82.9%."/>
                    <pic:cNvPicPr/>
                  </pic:nvPicPr>
                  <pic:blipFill>
                    <a:blip r:embed="rId51">
                      <a:extLst>
                        <a:ext uri="{28A0092B-C50C-407E-A947-70E740481C1C}">
                          <a14:useLocalDpi xmlns:a14="http://schemas.microsoft.com/office/drawing/2010/main" val="0"/>
                        </a:ext>
                      </a:extLst>
                    </a:blip>
                    <a:stretch>
                      <a:fillRect/>
                    </a:stretch>
                  </pic:blipFill>
                  <pic:spPr>
                    <a:xfrm>
                      <a:off x="0" y="0"/>
                      <a:ext cx="4371340" cy="3444240"/>
                    </a:xfrm>
                    <a:prstGeom prst="rect">
                      <a:avLst/>
                    </a:prstGeom>
                  </pic:spPr>
                </pic:pic>
              </a:graphicData>
            </a:graphic>
          </wp:inline>
        </w:drawing>
      </w:r>
    </w:p>
    <w:p w14:paraId="28379A56" w14:textId="77777777" w:rsidR="00514CC0" w:rsidRDefault="00E72B49">
      <w:pPr>
        <w:pStyle w:val="OWFigurefootnote"/>
      </w:pPr>
      <w:r>
        <w:t>Source: WGEA Data Explorer</w:t>
      </w:r>
    </w:p>
    <w:tbl>
      <w:tblPr>
        <w:tblStyle w:val="Casestudyteal"/>
        <w:tblW w:w="0" w:type="auto"/>
        <w:tblLayout w:type="fixed"/>
        <w:tblLook w:val="0620" w:firstRow="1" w:lastRow="0" w:firstColumn="0" w:lastColumn="0" w:noHBand="1" w:noVBand="1"/>
      </w:tblPr>
      <w:tblGrid>
        <w:gridCol w:w="9071"/>
      </w:tblGrid>
      <w:tr w:rsidR="00514CC0" w14:paraId="4BAC2BFB" w14:textId="77777777" w:rsidTr="00BB2447">
        <w:trPr>
          <w:cnfStyle w:val="100000000000" w:firstRow="1" w:lastRow="0" w:firstColumn="0" w:lastColumn="0" w:oddVBand="0" w:evenVBand="0" w:oddHBand="0" w:evenHBand="0" w:firstRowFirstColumn="0" w:firstRowLastColumn="0" w:lastRowFirstColumn="0" w:lastRowLastColumn="0"/>
          <w:trHeight w:val="60"/>
        </w:trPr>
        <w:tc>
          <w:tcPr>
            <w:tcW w:w="9071" w:type="dxa"/>
          </w:tcPr>
          <w:p w14:paraId="7828AE1B" w14:textId="77777777" w:rsidR="00514CC0" w:rsidRPr="00933C30" w:rsidRDefault="00E72B49">
            <w:pPr>
              <w:pStyle w:val="OWBoxheading"/>
            </w:pPr>
            <w:r w:rsidRPr="00933C30">
              <w:lastRenderedPageBreak/>
              <w:t>Cultural diversity in CEO and equivalent ranks: 2018</w:t>
            </w:r>
          </w:p>
        </w:tc>
      </w:tr>
      <w:tr w:rsidR="00514CC0" w14:paraId="55BD6A51" w14:textId="77777777" w:rsidTr="00BB2447">
        <w:trPr>
          <w:trHeight w:val="60"/>
        </w:trPr>
        <w:tc>
          <w:tcPr>
            <w:tcW w:w="9071" w:type="dxa"/>
          </w:tcPr>
          <w:p w14:paraId="272024DC" w14:textId="5ADFB259" w:rsidR="00514CC0" w:rsidRDefault="00E72B49">
            <w:pPr>
              <w:pStyle w:val="OWTablebodyleft"/>
            </w:pPr>
            <w:r>
              <w:t>Designed to illuminate and fill a data gap, given that ‘Australia does not yet officially</w:t>
            </w:r>
            <w:r w:rsidR="007421E2">
              <w:t> </w:t>
            </w:r>
            <w:r>
              <w:t xml:space="preserve">collect comprehensive data on cultural diversity within organisations and institutions’, the Australian Human Rights Commission has undertaken research into cultural diversity in senior leadership ranks of ASX 200 companies, federal ministers, state and federal government departments, and universities (AHRC 2018, </w:t>
            </w:r>
            <w:r w:rsidRPr="003E209A">
              <w:rPr>
                <w:rStyle w:val="Emphasis"/>
              </w:rPr>
              <w:t>Leading for change</w:t>
            </w:r>
            <w:r>
              <w:t>, p. 1). The 2018 data shows that Australia’s ‘cultural diversity is significantly under-represented among senior leaders’, including representation of First Nations people (p. 1).</w:t>
            </w:r>
          </w:p>
          <w:p w14:paraId="1732DC3F" w14:textId="1B6E738C" w:rsidR="00514CC0" w:rsidRDefault="00E72B49">
            <w:pPr>
              <w:pStyle w:val="OWTablebodyleft"/>
            </w:pPr>
            <w:r>
              <w:t>The study shows that in 2018, of the 372 chief executives or equivalent ranks, 97% of</w:t>
            </w:r>
            <w:r w:rsidR="007421E2">
              <w:t> </w:t>
            </w:r>
            <w:r>
              <w:t>CEOs have an Anglo-Celtic or European background. This means there is a very significant under-representation of people of any other background. More specifically:</w:t>
            </w:r>
          </w:p>
          <w:p w14:paraId="15382BF0" w14:textId="77777777" w:rsidR="00514CC0" w:rsidRDefault="00E72B49">
            <w:pPr>
              <w:pStyle w:val="OWTablebullet1"/>
            </w:pPr>
            <w:r>
              <w:t>76.9% have an Anglo-Celtic background (compared to 58% of the general Australian population having an Anglo-Celtic background)</w:t>
            </w:r>
          </w:p>
          <w:p w14:paraId="26FA61DE" w14:textId="77777777" w:rsidR="00514CC0" w:rsidRDefault="00E72B49">
            <w:pPr>
              <w:pStyle w:val="OWTablebullet1"/>
            </w:pPr>
            <w:r>
              <w:t>20.1% have a European background (compared with 18% of the general population)</w:t>
            </w:r>
          </w:p>
          <w:p w14:paraId="6E8946A8" w14:textId="77777777" w:rsidR="00514CC0" w:rsidRDefault="00E72B49">
            <w:pPr>
              <w:pStyle w:val="OWTablebullet1"/>
            </w:pPr>
            <w:r>
              <w:t>2.7% have a non-European background (compared with 21% of the population)</w:t>
            </w:r>
          </w:p>
          <w:p w14:paraId="23688009" w14:textId="77777777" w:rsidR="00514CC0" w:rsidRDefault="00E72B49">
            <w:pPr>
              <w:pStyle w:val="OWTablebullet1"/>
            </w:pPr>
            <w:r>
              <w:t>0.3% have a First Nations background (compared with 3% of the population) (p.1).</w:t>
            </w:r>
          </w:p>
          <w:p w14:paraId="7B04AD69" w14:textId="70FC98EC" w:rsidR="00514CC0" w:rsidRDefault="00E72B49">
            <w:pPr>
              <w:pStyle w:val="OWTablebodyleft"/>
            </w:pPr>
            <w:r>
              <w:t>This study’s data is unfortunately not disaggregated by gender. However, if women as</w:t>
            </w:r>
            <w:r w:rsidR="00287D9B">
              <w:t> </w:t>
            </w:r>
            <w:r>
              <w:t>a whole are still significantly under-represented in CEO ranks, and First Nations people and people of other non-Anglo-Celtic or European backgrounds are also highly under-represented, it can be inferred that representation of First Nations women and women of other culturally diverse backgrounds in chief executive ranks is likely to be very low.</w:t>
            </w:r>
          </w:p>
          <w:p w14:paraId="2197251C" w14:textId="77777777" w:rsidR="003D6A9B" w:rsidRPr="003D6A9B" w:rsidRDefault="003D6A9B" w:rsidP="003D6A9B">
            <w:pPr>
              <w:pStyle w:val="OWBoxsourceline"/>
            </w:pPr>
            <w:r>
              <w:drawing>
                <wp:inline distT="0" distB="0" distL="0" distR="0" wp14:anchorId="3E776017" wp14:editId="2F3527E8">
                  <wp:extent cx="431640" cy="3960"/>
                  <wp:effectExtent l="0" t="0" r="0" b="0"/>
                  <wp:docPr id="739405739" name="Picture 5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28">
                            <a:extLst>
                              <a:ext uri="{28A0092B-C50C-407E-A947-70E740481C1C}">
                                <a14:useLocalDpi xmlns:a14="http://schemas.microsoft.com/office/drawing/2010/main" val="0"/>
                              </a:ext>
                            </a:extLst>
                          </a:blip>
                          <a:stretch>
                            <a:fillRect/>
                          </a:stretch>
                        </pic:blipFill>
                        <pic:spPr>
                          <a:xfrm>
                            <a:off x="0" y="0"/>
                            <a:ext cx="431640" cy="3960"/>
                          </a:xfrm>
                          <a:prstGeom prst="rect">
                            <a:avLst/>
                          </a:prstGeom>
                        </pic:spPr>
                      </pic:pic>
                    </a:graphicData>
                  </a:graphic>
                </wp:inline>
              </w:drawing>
            </w:r>
          </w:p>
          <w:p w14:paraId="7D7D94AB" w14:textId="77777777" w:rsidR="00514CC0" w:rsidRDefault="00E72B49" w:rsidP="004A1B0D">
            <w:pPr>
              <w:pStyle w:val="OWBoxsource"/>
            </w:pPr>
            <w:r>
              <w:t xml:space="preserve">Source: Australian Human Rights Commission, </w:t>
            </w:r>
            <w:r w:rsidRPr="003E209A">
              <w:rPr>
                <w:rStyle w:val="Emphasis"/>
              </w:rPr>
              <w:t>Leading for change</w:t>
            </w:r>
            <w:r>
              <w:t>, 2018.</w:t>
            </w:r>
          </w:p>
        </w:tc>
      </w:tr>
    </w:tbl>
    <w:p w14:paraId="698A902A" w14:textId="77777777" w:rsidR="00514CC0" w:rsidRDefault="00E72B49" w:rsidP="00E1549C">
      <w:pPr>
        <w:pStyle w:val="Heading4"/>
      </w:pPr>
      <w:r>
        <w:lastRenderedPageBreak/>
        <w:t>Indicator 3.2: Percentage of managerial positions occupied by women</w:t>
      </w:r>
      <w:r>
        <w:rPr>
          <w:rStyle w:val="OWSuperscript"/>
        </w:rPr>
        <w:footnoteReference w:id="38"/>
      </w:r>
    </w:p>
    <w:tbl>
      <w:tblPr>
        <w:tblStyle w:val="Indicatoroutlineteal"/>
        <w:tblW w:w="9072" w:type="dxa"/>
        <w:tblLayout w:type="fixed"/>
        <w:tblLook w:val="0680" w:firstRow="0" w:lastRow="0" w:firstColumn="1" w:lastColumn="0" w:noHBand="1" w:noVBand="1"/>
      </w:tblPr>
      <w:tblGrid>
        <w:gridCol w:w="2268"/>
        <w:gridCol w:w="6804"/>
      </w:tblGrid>
      <w:tr w:rsidR="00514CC0" w14:paraId="3D5E89BB" w14:textId="77777777" w:rsidTr="00BB2447">
        <w:trPr>
          <w:cantSplit/>
          <w:trHeight w:val="60"/>
        </w:trPr>
        <w:tc>
          <w:tcPr>
            <w:tcW w:w="2268" w:type="dxa"/>
          </w:tcPr>
          <w:p w14:paraId="03C98356" w14:textId="1C951665" w:rsidR="00514CC0" w:rsidRDefault="00E72B49" w:rsidP="00652988">
            <w:pPr>
              <w:pStyle w:val="OWTablebodyleft"/>
            </w:pPr>
            <w:r>
              <w:t>What does this indicator tell us about Monitoring domain 3: Men’s control of decision-making and limits to</w:t>
            </w:r>
            <w:r w:rsidR="007421E2">
              <w:t> </w:t>
            </w:r>
            <w:r>
              <w:t>women’s independence in</w:t>
            </w:r>
            <w:r w:rsidR="003D6A9B">
              <w:t> </w:t>
            </w:r>
            <w:r>
              <w:t>public life?</w:t>
            </w:r>
          </w:p>
        </w:tc>
        <w:tc>
          <w:tcPr>
            <w:tcW w:w="6803" w:type="dxa"/>
          </w:tcPr>
          <w:p w14:paraId="64C0392E" w14:textId="77777777" w:rsidR="00514CC0" w:rsidRDefault="00E72B49">
            <w:pPr>
              <w:pStyle w:val="OWTablebodyleft"/>
            </w:pPr>
            <w:r>
              <w:t>This indicator reflects the extent to which men’s control over decision-making is reflected in public life by measuring the proportion of women who hold managerial positions in Australia.</w:t>
            </w:r>
          </w:p>
        </w:tc>
      </w:tr>
      <w:tr w:rsidR="00514CC0" w14:paraId="550A44E7" w14:textId="77777777" w:rsidTr="00BB2447">
        <w:trPr>
          <w:cantSplit/>
          <w:trHeight w:val="60"/>
        </w:trPr>
        <w:tc>
          <w:tcPr>
            <w:tcW w:w="2268" w:type="dxa"/>
          </w:tcPr>
          <w:p w14:paraId="6ED6939D" w14:textId="2758BDEA" w:rsidR="00514CC0" w:rsidRDefault="00E72B49">
            <w:pPr>
              <w:pStyle w:val="OWTablebodyleft"/>
            </w:pPr>
            <w:r>
              <w:t>Expected change if</w:t>
            </w:r>
            <w:r w:rsidR="007421E2">
              <w:t> </w:t>
            </w:r>
            <w:r>
              <w:t>high-quality programs and infrastructure for prevention of violence against women and gender equality are implemented</w:t>
            </w:r>
          </w:p>
        </w:tc>
        <w:tc>
          <w:tcPr>
            <w:tcW w:w="6803" w:type="dxa"/>
          </w:tcPr>
          <w:p w14:paraId="38E9CF38" w14:textId="77777777" w:rsidR="00514CC0" w:rsidRDefault="00E72B49">
            <w:pPr>
              <w:pStyle w:val="OWTablebodyleft"/>
            </w:pPr>
            <w:r>
              <w:t>Short- and medium-term: some increase in the percentage of managerial positions occupied by women as awareness of gender equality grows.</w:t>
            </w:r>
          </w:p>
          <w:p w14:paraId="7CBF6172" w14:textId="403B5C4C" w:rsidR="00514CC0" w:rsidRDefault="00E72B49">
            <w:pPr>
              <w:pStyle w:val="OWTablebodyleft"/>
            </w:pPr>
            <w:r>
              <w:t>Long-term: parity in gender composition of managerial positions in</w:t>
            </w:r>
            <w:r w:rsidR="007421E2">
              <w:t> </w:t>
            </w:r>
            <w:r>
              <w:t>Australia.</w:t>
            </w:r>
          </w:p>
        </w:tc>
      </w:tr>
      <w:tr w:rsidR="00514CC0" w14:paraId="6AC55F29" w14:textId="77777777" w:rsidTr="00BB2447">
        <w:trPr>
          <w:cantSplit/>
          <w:trHeight w:val="60"/>
        </w:trPr>
        <w:tc>
          <w:tcPr>
            <w:tcW w:w="2268" w:type="dxa"/>
          </w:tcPr>
          <w:p w14:paraId="060240BE" w14:textId="77777777" w:rsidR="00514CC0" w:rsidRDefault="00E72B49">
            <w:pPr>
              <w:pStyle w:val="OWTablebodyleft"/>
            </w:pPr>
            <w:r>
              <w:t>Data source(s)</w:t>
            </w:r>
          </w:p>
        </w:tc>
        <w:tc>
          <w:tcPr>
            <w:tcW w:w="6803" w:type="dxa"/>
          </w:tcPr>
          <w:p w14:paraId="1F7A5EF1" w14:textId="77777777" w:rsidR="00514CC0" w:rsidRDefault="00E72B49" w:rsidP="002C2EC7">
            <w:pPr>
              <w:pStyle w:val="OWTablenumberdigit"/>
              <w:numPr>
                <w:ilvl w:val="0"/>
                <w:numId w:val="27"/>
              </w:numPr>
            </w:pPr>
            <w:r>
              <w:t>Workplace Gender Equality Agency reporting data, 2014 and 2010, WGEA</w:t>
            </w:r>
          </w:p>
          <w:p w14:paraId="3498F395" w14:textId="2B299737" w:rsidR="00514CC0" w:rsidRDefault="00E72B49">
            <w:pPr>
              <w:pStyle w:val="OWTablenumberdigit"/>
            </w:pPr>
            <w:r>
              <w:t xml:space="preserve">Australian Public Service, </w:t>
            </w:r>
            <w:r w:rsidRPr="003E209A">
              <w:rPr>
                <w:rStyle w:val="Emphasis"/>
              </w:rPr>
              <w:t>APS Statistical bulletin – Employment data</w:t>
            </w:r>
            <w:r>
              <w:t>, 2009, 2014 and 2019, Australian Public Service Commission, reported in the ABS Gender Indicators, ABS</w:t>
            </w:r>
            <w:r w:rsidR="00E531A9">
              <w:rPr>
                <w:rStyle w:val="EndnoteReference"/>
              </w:rPr>
              <w:endnoteReference w:id="302"/>
            </w:r>
          </w:p>
        </w:tc>
      </w:tr>
      <w:tr w:rsidR="00514CC0" w14:paraId="7815F94E" w14:textId="77777777" w:rsidTr="00BB2447">
        <w:trPr>
          <w:cantSplit/>
          <w:trHeight w:val="60"/>
        </w:trPr>
        <w:tc>
          <w:tcPr>
            <w:tcW w:w="2268" w:type="dxa"/>
          </w:tcPr>
          <w:p w14:paraId="30E0A567" w14:textId="77777777" w:rsidR="00514CC0" w:rsidRDefault="00E72B49">
            <w:pPr>
              <w:pStyle w:val="OWTablebodyleft"/>
            </w:pPr>
            <w:r>
              <w:t>Change over time summary: short-term change revealed by the data</w:t>
            </w:r>
          </w:p>
        </w:tc>
        <w:tc>
          <w:tcPr>
            <w:tcW w:w="6803" w:type="dxa"/>
          </w:tcPr>
          <w:p w14:paraId="35361D7C" w14:textId="6F2E6D38" w:rsidR="00514CC0" w:rsidRDefault="00E72B49">
            <w:pPr>
              <w:pStyle w:val="OWTablebodyleft"/>
            </w:pPr>
            <w:r>
              <w:t>Overall, there have been modest improvements in the representation of women in both the private and public sector, with the most significant gains in the middle management level of</w:t>
            </w:r>
            <w:r w:rsidR="007421E2">
              <w:t> </w:t>
            </w:r>
            <w:r>
              <w:t>the public sector. Gender parity has now been reached at Australian public service middle management.</w:t>
            </w:r>
          </w:p>
        </w:tc>
      </w:tr>
      <w:tr w:rsidR="00514CC0" w14:paraId="0B0A3ED6" w14:textId="77777777" w:rsidTr="00BB2447">
        <w:trPr>
          <w:cantSplit/>
          <w:trHeight w:val="60"/>
        </w:trPr>
        <w:tc>
          <w:tcPr>
            <w:tcW w:w="2268" w:type="dxa"/>
          </w:tcPr>
          <w:p w14:paraId="7E0A2EAD" w14:textId="77777777" w:rsidR="00514CC0" w:rsidRDefault="00E72B49">
            <w:pPr>
              <w:pStyle w:val="OWTablebodyleft"/>
            </w:pPr>
            <w:r>
              <w:t>Does the change confirm or run contrary to expected change?</w:t>
            </w:r>
          </w:p>
        </w:tc>
        <w:tc>
          <w:tcPr>
            <w:tcW w:w="6803" w:type="dxa"/>
          </w:tcPr>
          <w:p w14:paraId="67ADA11A" w14:textId="77777777" w:rsidR="00514CC0" w:rsidRDefault="00E72B49">
            <w:pPr>
              <w:pStyle w:val="OWTablebodyleft"/>
            </w:pPr>
            <w:r>
              <w:t>Confirms expected change</w:t>
            </w:r>
          </w:p>
        </w:tc>
      </w:tr>
      <w:tr w:rsidR="00514CC0" w14:paraId="28ED7FD8" w14:textId="77777777" w:rsidTr="00BB2447">
        <w:trPr>
          <w:cantSplit/>
          <w:trHeight w:val="60"/>
        </w:trPr>
        <w:tc>
          <w:tcPr>
            <w:tcW w:w="2268" w:type="dxa"/>
          </w:tcPr>
          <w:p w14:paraId="231949CC" w14:textId="77777777" w:rsidR="00514CC0" w:rsidRDefault="00E72B49">
            <w:pPr>
              <w:pStyle w:val="OWTablebodyleft"/>
            </w:pPr>
            <w:r>
              <w:lastRenderedPageBreak/>
              <w:t>Gaps in existing data</w:t>
            </w:r>
          </w:p>
        </w:tc>
        <w:tc>
          <w:tcPr>
            <w:tcW w:w="6803" w:type="dxa"/>
          </w:tcPr>
          <w:p w14:paraId="1C30D77A" w14:textId="77777777" w:rsidR="00514CC0" w:rsidRDefault="00E72B49">
            <w:pPr>
              <w:pStyle w:val="OWTablebodyleft"/>
            </w:pPr>
            <w:r>
              <w:t>Publicly available data is limited in terms of reporting on additional demographic characteristics of managers (e.g. by Indigenous status, disability status, diverse gender identities/trans status, sexual orientation, cultural diversity). Therefore, we have limited insights into the extent to which the proportion of women in middle management reflects existing patterns of power and privilege defined along axes other than gender.</w:t>
            </w:r>
          </w:p>
          <w:p w14:paraId="18C717EC" w14:textId="7F368905" w:rsidR="00514CC0" w:rsidRDefault="00E72B49">
            <w:pPr>
              <w:pStyle w:val="OWTablebodyleft"/>
            </w:pPr>
            <w:r>
              <w:t>As this report focuses on the national level, state and territory level</w:t>
            </w:r>
            <w:r w:rsidR="007421E2">
              <w:t> </w:t>
            </w:r>
            <w:r>
              <w:t>public service data has not been assessed. However, where available, this data could be useful for primary prevention monitoring at state and territory levels.</w:t>
            </w:r>
          </w:p>
        </w:tc>
      </w:tr>
    </w:tbl>
    <w:p w14:paraId="677CC0A0" w14:textId="558002C4" w:rsidR="00514CC0" w:rsidRPr="002D0D52" w:rsidRDefault="00E72B49" w:rsidP="00933C30">
      <w:pPr>
        <w:pStyle w:val="OWBodytextlargespaceabove"/>
        <w:rPr>
          <w:rStyle w:val="Strong"/>
        </w:rPr>
      </w:pPr>
      <w:r w:rsidRPr="002D0D52">
        <w:rPr>
          <w:rStyle w:val="Strong"/>
        </w:rPr>
        <w:t>Overall, there have been modest improvements in the representation of women in management in both the private and public sector, with the most significant gains in the</w:t>
      </w:r>
      <w:r w:rsidR="007421E2">
        <w:rPr>
          <w:rStyle w:val="Strong"/>
        </w:rPr>
        <w:t> </w:t>
      </w:r>
      <w:r w:rsidRPr="002D0D52">
        <w:rPr>
          <w:rStyle w:val="Strong"/>
        </w:rPr>
        <w:t>middle management level of the public sector, which now sees gender parity.</w:t>
      </w:r>
    </w:p>
    <w:p w14:paraId="37F69DC8" w14:textId="77777777" w:rsidR="00514CC0" w:rsidRDefault="00E72B49" w:rsidP="00F868FE">
      <w:pPr>
        <w:pStyle w:val="Heading5"/>
      </w:pPr>
      <w:r>
        <w:t>Private sector</w:t>
      </w:r>
    </w:p>
    <w:p w14:paraId="0B0FCB77" w14:textId="6D04E76B" w:rsidR="00514CC0" w:rsidRDefault="00E72B49">
      <w:pPr>
        <w:pStyle w:val="BodyText"/>
      </w:pPr>
      <w:r>
        <w:t>In 2014, 35.9% of all managers in large private sector organisations were women. This has increased by 3.5 percentage points to 39.4%, or two in five managers, in 2019.</w:t>
      </w:r>
      <w:r w:rsidR="00E531A9">
        <w:rPr>
          <w:rStyle w:val="EndnoteReference"/>
        </w:rPr>
        <w:endnoteReference w:id="303"/>
      </w:r>
      <w:r>
        <w:t xml:space="preserve"> This is still considerably below gender parity.</w:t>
      </w:r>
    </w:p>
    <w:p w14:paraId="77FD447B" w14:textId="617A4046" w:rsidR="00514CC0" w:rsidRDefault="00E72B49">
      <w:pPr>
        <w:pStyle w:val="BodyText"/>
      </w:pPr>
      <w:r>
        <w:t>The proportion of women in management positions decreases in the more senior ranks of</w:t>
      </w:r>
      <w:r w:rsidR="007421E2">
        <w:t> </w:t>
      </w:r>
      <w:r>
        <w:t>management. In 2019, less than one-third (31.5%) of key management personnel and general managers/other managers (32.2%) are women. Still, these proportions represent growth on the 2014 figure of 26.1% female key management personnel and 27.8% female general managers/other executives.</w:t>
      </w:r>
      <w:r w:rsidR="00E531A9">
        <w:rPr>
          <w:rStyle w:val="EndnoteReference"/>
        </w:rPr>
        <w:endnoteReference w:id="304"/>
      </w:r>
    </w:p>
    <w:tbl>
      <w:tblPr>
        <w:tblStyle w:val="Casestudyteal"/>
        <w:tblW w:w="0" w:type="auto"/>
        <w:tblLayout w:type="fixed"/>
        <w:tblLook w:val="0620" w:firstRow="1" w:lastRow="0" w:firstColumn="0" w:lastColumn="0" w:noHBand="1" w:noVBand="1"/>
      </w:tblPr>
      <w:tblGrid>
        <w:gridCol w:w="9071"/>
      </w:tblGrid>
      <w:tr w:rsidR="00514CC0" w14:paraId="0CD9B1C4" w14:textId="77777777" w:rsidTr="00084525">
        <w:trPr>
          <w:cnfStyle w:val="100000000000" w:firstRow="1" w:lastRow="0" w:firstColumn="0" w:lastColumn="0" w:oddVBand="0" w:evenVBand="0" w:oddHBand="0" w:evenHBand="0" w:firstRowFirstColumn="0" w:firstRowLastColumn="0" w:lastRowFirstColumn="0" w:lastRowLastColumn="0"/>
          <w:trHeight w:val="60"/>
        </w:trPr>
        <w:tc>
          <w:tcPr>
            <w:tcW w:w="9071" w:type="dxa"/>
          </w:tcPr>
          <w:p w14:paraId="4A3921FD" w14:textId="77777777" w:rsidR="00514CC0" w:rsidRPr="00933C30" w:rsidRDefault="00E72B49">
            <w:pPr>
              <w:pStyle w:val="OWBoxheading"/>
            </w:pPr>
            <w:r w:rsidRPr="00933C30">
              <w:lastRenderedPageBreak/>
              <w:t>Cultural diversity in senior executive management ranks: 2018</w:t>
            </w:r>
          </w:p>
        </w:tc>
      </w:tr>
      <w:tr w:rsidR="00514CC0" w14:paraId="5F1C218A" w14:textId="77777777" w:rsidTr="00084525">
        <w:trPr>
          <w:trHeight w:val="60"/>
        </w:trPr>
        <w:tc>
          <w:tcPr>
            <w:tcW w:w="9071" w:type="dxa"/>
          </w:tcPr>
          <w:p w14:paraId="1685714A" w14:textId="77777777" w:rsidR="00514CC0" w:rsidRDefault="00E72B49">
            <w:pPr>
              <w:pStyle w:val="OWTablebodyleft"/>
            </w:pPr>
            <w:r>
              <w:t xml:space="preserve">The Australian Human Right Commission’s 2018 analysis of senior executive management ranks of ASX 200 companies, state and federal government departments, and universities shows that 95% of senior executive management ranks (below chief executive level) are occupied by people of Anglo-Celtic and European backgrounds. While people of non-Anglo Celtic and non-European backgrounds comprise over 20% of Australia’s general population, they occupy only 5% of senior executive positions. Only 0.4% of senior executives are First Nations people (AHRC 2018, </w:t>
            </w:r>
            <w:r w:rsidRPr="003E209A">
              <w:rPr>
                <w:rStyle w:val="Emphasis"/>
              </w:rPr>
              <w:t>Leading for change</w:t>
            </w:r>
            <w:r>
              <w:t>, p. 11).</w:t>
            </w:r>
          </w:p>
          <w:p w14:paraId="1857E97E" w14:textId="77777777" w:rsidR="00514CC0" w:rsidRDefault="00E72B49">
            <w:pPr>
              <w:pStyle w:val="OWTablebodyleft"/>
            </w:pPr>
            <w:r>
              <w:t>While this data is not gender-disaggregated, it can be surmised from gender equality data and cultural diversity data that the representation of women from diverse cultural backgrounds including First Nations women is very low.</w:t>
            </w:r>
          </w:p>
          <w:p w14:paraId="7FA556CB" w14:textId="77777777" w:rsidR="00514CC0" w:rsidRDefault="00E72B49">
            <w:pPr>
              <w:pStyle w:val="OWTablebodyleft"/>
            </w:pPr>
            <w:r>
              <w:t>Interestingly, while on a gender analysis, the public sector is doing better at gender parity in senior management than the private sector. The Australian Human Rights Commission found that the senior leadership ranks of government departments and Australian universities are faring particularly poorly with regard to cultural diversity (as compared with ASX 200 companies).</w:t>
            </w:r>
          </w:p>
          <w:p w14:paraId="1E88D6B8" w14:textId="77777777" w:rsidR="003D6A9B" w:rsidRPr="003D6A9B" w:rsidRDefault="003D6A9B" w:rsidP="003D6A9B">
            <w:pPr>
              <w:pStyle w:val="OWBoxsourceline"/>
            </w:pPr>
            <w:r>
              <w:drawing>
                <wp:inline distT="0" distB="0" distL="0" distR="0" wp14:anchorId="02A202E6" wp14:editId="709DD98B">
                  <wp:extent cx="431640" cy="3960"/>
                  <wp:effectExtent l="0" t="0" r="0" b="0"/>
                  <wp:docPr id="2036340957" name="Picture 5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28">
                            <a:extLst>
                              <a:ext uri="{28A0092B-C50C-407E-A947-70E740481C1C}">
                                <a14:useLocalDpi xmlns:a14="http://schemas.microsoft.com/office/drawing/2010/main" val="0"/>
                              </a:ext>
                            </a:extLst>
                          </a:blip>
                          <a:stretch>
                            <a:fillRect/>
                          </a:stretch>
                        </pic:blipFill>
                        <pic:spPr>
                          <a:xfrm>
                            <a:off x="0" y="0"/>
                            <a:ext cx="431640" cy="3960"/>
                          </a:xfrm>
                          <a:prstGeom prst="rect">
                            <a:avLst/>
                          </a:prstGeom>
                        </pic:spPr>
                      </pic:pic>
                    </a:graphicData>
                  </a:graphic>
                </wp:inline>
              </w:drawing>
            </w:r>
          </w:p>
          <w:p w14:paraId="04FFA9A7" w14:textId="77777777" w:rsidR="00514CC0" w:rsidRDefault="00E72B49" w:rsidP="004A1B0D">
            <w:pPr>
              <w:pStyle w:val="OWBoxsource"/>
            </w:pPr>
            <w:r>
              <w:t xml:space="preserve">Source: Australian Human Rights Commission, </w:t>
            </w:r>
            <w:r w:rsidRPr="003E209A">
              <w:rPr>
                <w:rStyle w:val="Emphasis"/>
              </w:rPr>
              <w:t>Leading for change</w:t>
            </w:r>
            <w:r>
              <w:t>, 2018.</w:t>
            </w:r>
          </w:p>
        </w:tc>
      </w:tr>
    </w:tbl>
    <w:p w14:paraId="044F8E6E" w14:textId="77777777" w:rsidR="00514CC0" w:rsidRDefault="00E72B49" w:rsidP="00F868FE">
      <w:pPr>
        <w:pStyle w:val="Heading5"/>
      </w:pPr>
      <w:r>
        <w:t>Australian public sector (Commonwealth)</w:t>
      </w:r>
    </w:p>
    <w:p w14:paraId="7B17C5CF" w14:textId="06B759D0" w:rsidR="00514CC0" w:rsidRDefault="00E72B49">
      <w:pPr>
        <w:pStyle w:val="BodyText"/>
      </w:pPr>
      <w:r>
        <w:t xml:space="preserve">Proportions of women in management positions are significantly higher in the Australian public sector (APS) than the private sector. By 30 June 2019, gender parity at the Executive Level has been achieved, with women comprising 51.2% of Executive Level 1 and 2 positions combined (see Figure </w:t>
      </w:r>
      <w:r w:rsidR="00D162DF">
        <w:t>17</w:t>
      </w:r>
      <w:r>
        <w:t xml:space="preserve">, below). This represents a growth in the proportion of women in middle management of 6.4% over the past decade. However, it should be noted that in 2019, women comprised 47.7% of Executive 2 positions; the proportion of women in Australian public service leadership positions is just below parity in Executive 2 and Senior Executive Service ranks. In 2019, women comprise 46.3% of Senior Executive Service management (ongoing positions) in the public service (see Figure </w:t>
      </w:r>
      <w:r w:rsidR="00D162DF">
        <w:t>18</w:t>
      </w:r>
      <w:r>
        <w:t>, below), an increase of</w:t>
      </w:r>
      <w:r w:rsidR="007421E2">
        <w:t> </w:t>
      </w:r>
      <w:r>
        <w:t>10.2% over ten years.</w:t>
      </w:r>
    </w:p>
    <w:p w14:paraId="5A0C8AB6" w14:textId="4DAA026B" w:rsidR="00514CC0" w:rsidRDefault="00E72B49">
      <w:pPr>
        <w:pStyle w:val="OWFigurecaption"/>
      </w:pPr>
      <w:r>
        <w:lastRenderedPageBreak/>
        <w:t xml:space="preserve">Figure </w:t>
      </w:r>
      <w:r w:rsidR="00D162DF">
        <w:t>17</w:t>
      </w:r>
      <w:r>
        <w:t xml:space="preserve">: </w:t>
      </w:r>
      <w:r w:rsidR="00FE7696" w:rsidRPr="00FE7696">
        <w:t xml:space="preserve">Proportions of female and male </w:t>
      </w:r>
      <w:r w:rsidR="00FE7696">
        <w:t>p</w:t>
      </w:r>
      <w:r>
        <w:t>ublic service middle management (Executive</w:t>
      </w:r>
      <w:r w:rsidR="007421E2">
        <w:t> </w:t>
      </w:r>
      <w:r>
        <w:t>Levels 1 and 2), 2009, 2014 and 2019</w:t>
      </w:r>
    </w:p>
    <w:p w14:paraId="2E325357" w14:textId="00143780" w:rsidR="00514CC0" w:rsidRDefault="009338E6" w:rsidP="00933C30">
      <w:pPr>
        <w:pStyle w:val="OWFigureinline"/>
      </w:pPr>
      <w:r>
        <w:rPr>
          <w:noProof/>
        </w:rPr>
        <w:drawing>
          <wp:inline distT="0" distB="0" distL="0" distR="0" wp14:anchorId="2880349A" wp14:editId="49EEE91F">
            <wp:extent cx="5730874" cy="3444240"/>
            <wp:effectExtent l="0" t="0" r="3175" b="3810"/>
            <wp:docPr id="1506985179" name="Picture 67" descr="Column graph of the following data (proportion). 2009: Female – 44.8%; Male: 55.2%. 2014: Female – 47.3%; Male – 52.7%. 2019: Female – 51.2%; Male –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985179" name="Picture 67" descr="Column graph of the following data (proportion). 2009: Female – 44.8%; Male: 55.2%. 2014: Female – 47.3%; Male – 52.7%. 2019: Female – 51.2%; Male – 48.8%."/>
                    <pic:cNvPicPr/>
                  </pic:nvPicPr>
                  <pic:blipFill>
                    <a:blip r:embed="rId52">
                      <a:extLst>
                        <a:ext uri="{28A0092B-C50C-407E-A947-70E740481C1C}">
                          <a14:useLocalDpi xmlns:a14="http://schemas.microsoft.com/office/drawing/2010/main" val="0"/>
                        </a:ext>
                      </a:extLst>
                    </a:blip>
                    <a:stretch>
                      <a:fillRect/>
                    </a:stretch>
                  </pic:blipFill>
                  <pic:spPr>
                    <a:xfrm>
                      <a:off x="0" y="0"/>
                      <a:ext cx="5730874" cy="3444240"/>
                    </a:xfrm>
                    <a:prstGeom prst="rect">
                      <a:avLst/>
                    </a:prstGeom>
                  </pic:spPr>
                </pic:pic>
              </a:graphicData>
            </a:graphic>
          </wp:inline>
        </w:drawing>
      </w:r>
    </w:p>
    <w:p w14:paraId="5BB407AC" w14:textId="77777777" w:rsidR="00514CC0" w:rsidRDefault="00E72B49">
      <w:pPr>
        <w:pStyle w:val="OWFigurefootnote"/>
      </w:pPr>
      <w:r>
        <w:t>Source: APS Statistical Bulletin, published in ABS Gender Indicators 2019</w:t>
      </w:r>
    </w:p>
    <w:p w14:paraId="24972DDF" w14:textId="06D7D9D7" w:rsidR="00514CC0" w:rsidRDefault="00E72B49">
      <w:pPr>
        <w:pStyle w:val="OWFigurecaption"/>
      </w:pPr>
      <w:r>
        <w:t xml:space="preserve">Figure </w:t>
      </w:r>
      <w:r w:rsidR="00D162DF">
        <w:t>18</w:t>
      </w:r>
      <w:r>
        <w:t xml:space="preserve">: </w:t>
      </w:r>
      <w:r w:rsidR="00FE7696" w:rsidRPr="00FE7696">
        <w:t xml:space="preserve">Proportions of female and male </w:t>
      </w:r>
      <w:r w:rsidR="00FE7696">
        <w:t>p</w:t>
      </w:r>
      <w:r>
        <w:t>ublic service senior management,</w:t>
      </w:r>
      <w:r w:rsidR="00FE7696">
        <w:t xml:space="preserve"> </w:t>
      </w:r>
      <w:r w:rsidR="007421E2">
        <w:br/>
      </w:r>
      <w:r>
        <w:t>2009, 2014 and 2019</w:t>
      </w:r>
    </w:p>
    <w:p w14:paraId="56C79C6D" w14:textId="40A33152" w:rsidR="00514CC0" w:rsidRDefault="009338E6" w:rsidP="00933C30">
      <w:pPr>
        <w:pStyle w:val="OWFigureinline"/>
      </w:pPr>
      <w:r>
        <w:rPr>
          <w:noProof/>
        </w:rPr>
        <w:drawing>
          <wp:inline distT="0" distB="0" distL="0" distR="0" wp14:anchorId="43852D63" wp14:editId="508937FA">
            <wp:extent cx="5730874" cy="3456940"/>
            <wp:effectExtent l="0" t="0" r="3175" b="0"/>
            <wp:docPr id="115732264" name="Picture 68" descr="Column graph of the following data (proportion). 2009: Female – 36.1%; Male: 63.6%. 2014: Female – 40.0%; Male – 60.0%. 2019: Female – 46.3%; Male –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2264" name="Picture 68" descr="Column graph of the following data (proportion). 2009: Female – 36.1%; Male: 63.6%. 2014: Female – 40.0%; Male – 60.0%. 2019: Female – 46.3%; Male – 53.7%."/>
                    <pic:cNvPicPr/>
                  </pic:nvPicPr>
                  <pic:blipFill>
                    <a:blip r:embed="rId53">
                      <a:extLst>
                        <a:ext uri="{28A0092B-C50C-407E-A947-70E740481C1C}">
                          <a14:useLocalDpi xmlns:a14="http://schemas.microsoft.com/office/drawing/2010/main" val="0"/>
                        </a:ext>
                      </a:extLst>
                    </a:blip>
                    <a:stretch>
                      <a:fillRect/>
                    </a:stretch>
                  </pic:blipFill>
                  <pic:spPr>
                    <a:xfrm>
                      <a:off x="0" y="0"/>
                      <a:ext cx="5730874" cy="3456940"/>
                    </a:xfrm>
                    <a:prstGeom prst="rect">
                      <a:avLst/>
                    </a:prstGeom>
                  </pic:spPr>
                </pic:pic>
              </a:graphicData>
            </a:graphic>
          </wp:inline>
        </w:drawing>
      </w:r>
    </w:p>
    <w:p w14:paraId="42C8E853" w14:textId="77777777" w:rsidR="00514CC0" w:rsidRDefault="00E72B49">
      <w:pPr>
        <w:pStyle w:val="OWFigurefootnote"/>
      </w:pPr>
      <w:r>
        <w:t>Source: APS Statistical Bulletin, published in ABS Gender Indicators 2019</w:t>
      </w:r>
    </w:p>
    <w:tbl>
      <w:tblPr>
        <w:tblStyle w:val="Casestudyteal"/>
        <w:tblW w:w="0" w:type="auto"/>
        <w:tblLayout w:type="fixed"/>
        <w:tblLook w:val="0620" w:firstRow="1" w:lastRow="0" w:firstColumn="0" w:lastColumn="0" w:noHBand="1" w:noVBand="1"/>
      </w:tblPr>
      <w:tblGrid>
        <w:gridCol w:w="9071"/>
      </w:tblGrid>
      <w:tr w:rsidR="00514CC0" w14:paraId="0F69AD02" w14:textId="77777777" w:rsidTr="00084525">
        <w:trPr>
          <w:cnfStyle w:val="100000000000" w:firstRow="1" w:lastRow="0" w:firstColumn="0" w:lastColumn="0" w:oddVBand="0" w:evenVBand="0" w:oddHBand="0" w:evenHBand="0" w:firstRowFirstColumn="0" w:firstRowLastColumn="0" w:lastRowFirstColumn="0" w:lastRowLastColumn="0"/>
          <w:trHeight w:val="60"/>
        </w:trPr>
        <w:tc>
          <w:tcPr>
            <w:tcW w:w="9071" w:type="dxa"/>
          </w:tcPr>
          <w:p w14:paraId="3085931E" w14:textId="77777777" w:rsidR="00514CC0" w:rsidRPr="00933C30" w:rsidRDefault="00E72B49">
            <w:pPr>
              <w:pStyle w:val="OWBoxheading"/>
            </w:pPr>
            <w:r w:rsidRPr="00933C30">
              <w:lastRenderedPageBreak/>
              <w:t>Other employee diversity data: the Australian public service</w:t>
            </w:r>
          </w:p>
        </w:tc>
      </w:tr>
      <w:tr w:rsidR="00514CC0" w14:paraId="043FC607" w14:textId="77777777" w:rsidTr="00084525">
        <w:trPr>
          <w:trHeight w:val="60"/>
        </w:trPr>
        <w:tc>
          <w:tcPr>
            <w:tcW w:w="9071" w:type="dxa"/>
          </w:tcPr>
          <w:p w14:paraId="641EE7A9" w14:textId="082338FC" w:rsidR="00514CC0" w:rsidRDefault="00E72B49">
            <w:pPr>
              <w:pStyle w:val="OWTablebodyleft"/>
            </w:pPr>
            <w:r>
              <w:t>The Australian public service data is making efforts to collect and report on other employee diversity metrics, with data collected (voluntarily, on all demographics other than gender) through the Employment Database, and also the Employee Census. The Employment Database collects information on gender, Indigenous status,</w:t>
            </w:r>
            <w:r w:rsidR="007421E2">
              <w:t> </w:t>
            </w:r>
            <w:r>
              <w:t>disability status, and cultural diversity. The Employee Census collects similar demographic information, with the addition of LGBTI data.</w:t>
            </w:r>
          </w:p>
          <w:p w14:paraId="10AA389B" w14:textId="48C72C23" w:rsidR="00514CC0" w:rsidRDefault="00E72B49">
            <w:pPr>
              <w:pStyle w:val="OWTablebodyleft"/>
            </w:pPr>
            <w:r>
              <w:t>Clear and comparative data on diversity and leadership is not yet available in the</w:t>
            </w:r>
            <w:r w:rsidR="007421E2">
              <w:t> </w:t>
            </w:r>
            <w:r>
              <w:t>same way it is for (binary female/male) gender employment data, nor is it disaggregated by two or more categories (such as, for example, gender and Indigenous status). However, at 30 June 2019, the APS published some limited though</w:t>
            </w:r>
            <w:r w:rsidR="007421E2">
              <w:t> </w:t>
            </w:r>
            <w:r>
              <w:t>helpful diversity information, which revealed that:</w:t>
            </w:r>
          </w:p>
          <w:p w14:paraId="6D4A4F99" w14:textId="5B59290C" w:rsidR="00514CC0" w:rsidRDefault="00E72B49">
            <w:pPr>
              <w:pStyle w:val="OWTablebullet1"/>
            </w:pPr>
            <w:r>
              <w:t>the proportion of First Nations employees (at any level) had grown from 2.6% in</w:t>
            </w:r>
            <w:r w:rsidR="007421E2">
              <w:t> </w:t>
            </w:r>
            <w:r>
              <w:t>2013 to 3.5% in 2019, and importantly, that First Nations employees were concentrated at lower job classification levels rather than management and senior</w:t>
            </w:r>
            <w:r w:rsidR="007421E2">
              <w:t> </w:t>
            </w:r>
            <w:r>
              <w:t>leadership</w:t>
            </w:r>
          </w:p>
          <w:p w14:paraId="56DC90C0" w14:textId="77777777" w:rsidR="00514CC0" w:rsidRDefault="00E72B49">
            <w:pPr>
              <w:pStyle w:val="OWTablebullet1"/>
            </w:pPr>
            <w:r>
              <w:t>the proportion of employees with ongoing disability increased from 3.3% in 2013 to 3.7% in 2019</w:t>
            </w:r>
          </w:p>
          <w:p w14:paraId="66A9EC71" w14:textId="77777777" w:rsidR="00514CC0" w:rsidRDefault="00E72B49">
            <w:pPr>
              <w:pStyle w:val="OWTablebullet1"/>
            </w:pPr>
            <w:r>
              <w:t>as of 30 June 2019, 14.5% of Australian public service employees were from non-English-speaking backgrounds, either having been born overseas, arrived after the age of 5 and from a non-English-speaking country, or were the children of migrants from non-English-speaking countries.</w:t>
            </w:r>
          </w:p>
          <w:p w14:paraId="282E9F57" w14:textId="77777777" w:rsidR="003D6A9B" w:rsidRPr="003D6A9B" w:rsidRDefault="003D6A9B" w:rsidP="003D6A9B">
            <w:pPr>
              <w:pStyle w:val="OWBoxsourceline"/>
            </w:pPr>
            <w:r>
              <w:drawing>
                <wp:inline distT="0" distB="0" distL="0" distR="0" wp14:anchorId="1FA3845B" wp14:editId="504A7D14">
                  <wp:extent cx="431640" cy="3960"/>
                  <wp:effectExtent l="0" t="0" r="0" b="0"/>
                  <wp:docPr id="1550652631" name="Picture 5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28">
                            <a:extLst>
                              <a:ext uri="{28A0092B-C50C-407E-A947-70E740481C1C}">
                                <a14:useLocalDpi xmlns:a14="http://schemas.microsoft.com/office/drawing/2010/main" val="0"/>
                              </a:ext>
                            </a:extLst>
                          </a:blip>
                          <a:stretch>
                            <a:fillRect/>
                          </a:stretch>
                        </pic:blipFill>
                        <pic:spPr>
                          <a:xfrm>
                            <a:off x="0" y="0"/>
                            <a:ext cx="431640" cy="3960"/>
                          </a:xfrm>
                          <a:prstGeom prst="rect">
                            <a:avLst/>
                          </a:prstGeom>
                        </pic:spPr>
                      </pic:pic>
                    </a:graphicData>
                  </a:graphic>
                </wp:inline>
              </w:drawing>
            </w:r>
          </w:p>
          <w:p w14:paraId="1FE08AF6" w14:textId="77777777" w:rsidR="00514CC0" w:rsidRDefault="00E72B49" w:rsidP="004A1B0D">
            <w:pPr>
              <w:pStyle w:val="OWBoxsource"/>
            </w:pPr>
            <w:r>
              <w:t xml:space="preserve">Source: Australian Public Service Commission, </w:t>
            </w:r>
            <w:r w:rsidRPr="003E209A">
              <w:rPr>
                <w:rStyle w:val="Emphasis"/>
              </w:rPr>
              <w:t>APS Employment Data, 30 June 2019</w:t>
            </w:r>
            <w:r>
              <w:t>.</w:t>
            </w:r>
          </w:p>
        </w:tc>
      </w:tr>
    </w:tbl>
    <w:p w14:paraId="037CADBB" w14:textId="0C40EFFE" w:rsidR="00514CC0" w:rsidRPr="00642DD6" w:rsidRDefault="00E72B49" w:rsidP="00E1549C">
      <w:pPr>
        <w:pStyle w:val="Heading4"/>
        <w:rPr>
          <w:spacing w:val="-2"/>
          <w:w w:val="99"/>
        </w:rPr>
      </w:pPr>
      <w:r w:rsidRPr="00642DD6">
        <w:rPr>
          <w:spacing w:val="-2"/>
          <w:w w:val="99"/>
        </w:rPr>
        <w:t>Indicator 3.3: Percentage of political representatives who are women</w:t>
      </w:r>
      <w:r w:rsidR="00642DD6" w:rsidRPr="00642DD6">
        <w:rPr>
          <w:spacing w:val="-2"/>
          <w:w w:val="99"/>
        </w:rPr>
        <w:t>; and</w:t>
      </w:r>
      <w:r w:rsidR="00642DD6">
        <w:rPr>
          <w:spacing w:val="-2"/>
          <w:w w:val="99"/>
        </w:rPr>
        <w:br/>
      </w:r>
      <w:r w:rsidRPr="00642DD6">
        <w:rPr>
          <w:spacing w:val="-2"/>
          <w:w w:val="99"/>
        </w:rPr>
        <w:t>Indicator 3.4: Percentage of Ministers and/or Cabinet who are women</w:t>
      </w:r>
    </w:p>
    <w:tbl>
      <w:tblPr>
        <w:tblStyle w:val="Indicatoroutlineteal"/>
        <w:tblW w:w="9072" w:type="dxa"/>
        <w:tblLayout w:type="fixed"/>
        <w:tblLook w:val="0680" w:firstRow="0" w:lastRow="0" w:firstColumn="1" w:lastColumn="0" w:noHBand="1" w:noVBand="1"/>
      </w:tblPr>
      <w:tblGrid>
        <w:gridCol w:w="3402"/>
        <w:gridCol w:w="5670"/>
      </w:tblGrid>
      <w:tr w:rsidR="00514CC0" w14:paraId="765326E1" w14:textId="77777777" w:rsidTr="00084525">
        <w:trPr>
          <w:cantSplit/>
          <w:trHeight w:val="60"/>
        </w:trPr>
        <w:tc>
          <w:tcPr>
            <w:tcW w:w="3402" w:type="dxa"/>
          </w:tcPr>
          <w:p w14:paraId="61219781" w14:textId="5218F024" w:rsidR="00514CC0" w:rsidRDefault="00E72B49">
            <w:pPr>
              <w:pStyle w:val="OWTablebodyleft"/>
            </w:pPr>
            <w:r>
              <w:t>What do these indicators tell us</w:t>
            </w:r>
            <w:r w:rsidR="007421E2">
              <w:t> </w:t>
            </w:r>
            <w:r>
              <w:t>about Monitoring domain 3: Men’s control of decision-making and limits to women’s independence in public life?</w:t>
            </w:r>
          </w:p>
        </w:tc>
        <w:tc>
          <w:tcPr>
            <w:tcW w:w="5669" w:type="dxa"/>
          </w:tcPr>
          <w:p w14:paraId="60BE0F05" w14:textId="77777777" w:rsidR="00514CC0" w:rsidRDefault="00E72B49">
            <w:pPr>
              <w:pStyle w:val="OWTablebodyleft"/>
            </w:pPr>
            <w:r>
              <w:t>Political representatives make decisions that impact everyone in Australia. This indicator tells us the extent to which women are political representatives at Commonwealth, state and territory levels, and are Ministers and/or Cabinet members.</w:t>
            </w:r>
          </w:p>
        </w:tc>
      </w:tr>
      <w:tr w:rsidR="00514CC0" w14:paraId="5D228EDF" w14:textId="77777777" w:rsidTr="00084525">
        <w:trPr>
          <w:cantSplit/>
          <w:trHeight w:val="60"/>
        </w:trPr>
        <w:tc>
          <w:tcPr>
            <w:tcW w:w="3402" w:type="dxa"/>
          </w:tcPr>
          <w:p w14:paraId="6F076D70" w14:textId="77777777" w:rsidR="00514CC0" w:rsidRDefault="00E72B49">
            <w:pPr>
              <w:pStyle w:val="OWTablebodyleft"/>
            </w:pPr>
            <w:r>
              <w:t>Expected change if high-quality programs and infrastructure for prevention of violence against women and gender equality are implemented</w:t>
            </w:r>
          </w:p>
        </w:tc>
        <w:tc>
          <w:tcPr>
            <w:tcW w:w="5669" w:type="dxa"/>
          </w:tcPr>
          <w:p w14:paraId="0AFE4A84" w14:textId="4E919C97" w:rsidR="00514CC0" w:rsidRDefault="00E72B49">
            <w:pPr>
              <w:pStyle w:val="OWTablebodyleft"/>
            </w:pPr>
            <w:r>
              <w:t>Short- and medium-term: increases in the number of</w:t>
            </w:r>
            <w:r w:rsidR="007421E2">
              <w:t> </w:t>
            </w:r>
            <w:r>
              <w:t>women as political representatives. Women will assume more ministerial positions in government, with</w:t>
            </w:r>
            <w:r w:rsidR="007421E2">
              <w:t> </w:t>
            </w:r>
            <w:r>
              <w:t>greater gender parity in the Cabinet.</w:t>
            </w:r>
          </w:p>
          <w:p w14:paraId="587D61EC" w14:textId="77777777" w:rsidR="00514CC0" w:rsidRDefault="00E72B49">
            <w:pPr>
              <w:pStyle w:val="OWTablebodyleft"/>
            </w:pPr>
            <w:r>
              <w:t>Long-term: gender parity</w:t>
            </w:r>
          </w:p>
        </w:tc>
      </w:tr>
      <w:tr w:rsidR="00514CC0" w14:paraId="11B751A5" w14:textId="77777777" w:rsidTr="00084525">
        <w:trPr>
          <w:cantSplit/>
          <w:trHeight w:val="60"/>
        </w:trPr>
        <w:tc>
          <w:tcPr>
            <w:tcW w:w="3402" w:type="dxa"/>
          </w:tcPr>
          <w:p w14:paraId="11CFEFAF" w14:textId="77777777" w:rsidR="00514CC0" w:rsidRDefault="00E72B49">
            <w:pPr>
              <w:pStyle w:val="OWTablebodyleft"/>
            </w:pPr>
            <w:r>
              <w:t>Data source(s)</w:t>
            </w:r>
          </w:p>
        </w:tc>
        <w:tc>
          <w:tcPr>
            <w:tcW w:w="5669" w:type="dxa"/>
          </w:tcPr>
          <w:p w14:paraId="712ACAE9" w14:textId="77777777" w:rsidR="00514CC0" w:rsidRDefault="00E72B49">
            <w:pPr>
              <w:pStyle w:val="OWTablebodyleft"/>
            </w:pPr>
            <w:r>
              <w:t>ABS Gender Indicators 2009 and 2019</w:t>
            </w:r>
          </w:p>
        </w:tc>
      </w:tr>
      <w:tr w:rsidR="00514CC0" w14:paraId="2700BAB5" w14:textId="77777777" w:rsidTr="00084525">
        <w:trPr>
          <w:cantSplit/>
          <w:trHeight w:val="60"/>
        </w:trPr>
        <w:tc>
          <w:tcPr>
            <w:tcW w:w="3402" w:type="dxa"/>
          </w:tcPr>
          <w:p w14:paraId="40C3EA4D" w14:textId="77777777" w:rsidR="00514CC0" w:rsidRDefault="00E72B49">
            <w:pPr>
              <w:pStyle w:val="OWTablebodyleft"/>
            </w:pPr>
            <w:r>
              <w:lastRenderedPageBreak/>
              <w:t>Change over time summary: short-term change revealed by the data</w:t>
            </w:r>
          </w:p>
        </w:tc>
        <w:tc>
          <w:tcPr>
            <w:tcW w:w="5669" w:type="dxa"/>
          </w:tcPr>
          <w:p w14:paraId="37007120" w14:textId="77777777" w:rsidR="00514CC0" w:rsidRDefault="00E72B49">
            <w:pPr>
              <w:pStyle w:val="OWTablebodyleft"/>
            </w:pPr>
            <w:r>
              <w:t>Very small change recorded over the past ten years.</w:t>
            </w:r>
          </w:p>
        </w:tc>
      </w:tr>
      <w:tr w:rsidR="00514CC0" w14:paraId="3B7D263B" w14:textId="77777777" w:rsidTr="00084525">
        <w:trPr>
          <w:cantSplit/>
          <w:trHeight w:val="60"/>
        </w:trPr>
        <w:tc>
          <w:tcPr>
            <w:tcW w:w="3402" w:type="dxa"/>
          </w:tcPr>
          <w:p w14:paraId="620782AD" w14:textId="77777777" w:rsidR="00514CC0" w:rsidRDefault="00E72B49">
            <w:pPr>
              <w:pStyle w:val="OWTablebodyleft"/>
            </w:pPr>
            <w:r>
              <w:t>Does the change confirm or run contrary to expected change?</w:t>
            </w:r>
          </w:p>
        </w:tc>
        <w:tc>
          <w:tcPr>
            <w:tcW w:w="5669" w:type="dxa"/>
          </w:tcPr>
          <w:p w14:paraId="552D0748" w14:textId="77777777" w:rsidR="00514CC0" w:rsidRDefault="00E72B49">
            <w:pPr>
              <w:pStyle w:val="OWTablebodyleft"/>
            </w:pPr>
            <w:r>
              <w:t>Slower than expected</w:t>
            </w:r>
          </w:p>
        </w:tc>
      </w:tr>
      <w:tr w:rsidR="00514CC0" w14:paraId="4F4DD7B5" w14:textId="77777777" w:rsidTr="00084525">
        <w:trPr>
          <w:cantSplit/>
          <w:trHeight w:val="60"/>
        </w:trPr>
        <w:tc>
          <w:tcPr>
            <w:tcW w:w="3402" w:type="dxa"/>
          </w:tcPr>
          <w:p w14:paraId="4B306D70" w14:textId="77777777" w:rsidR="00514CC0" w:rsidRDefault="00E72B49">
            <w:pPr>
              <w:pStyle w:val="OWTablebodyleft"/>
            </w:pPr>
            <w:r>
              <w:t>Gaps in existing data</w:t>
            </w:r>
          </w:p>
        </w:tc>
        <w:tc>
          <w:tcPr>
            <w:tcW w:w="5669" w:type="dxa"/>
          </w:tcPr>
          <w:p w14:paraId="1BE350E2" w14:textId="77777777" w:rsidR="00514CC0" w:rsidRDefault="00E72B49">
            <w:pPr>
              <w:pStyle w:val="OWTablebodyleft"/>
            </w:pPr>
            <w:r>
              <w:t>Reported data is not disaggregated by any other demographic factor than (binary) gender.</w:t>
            </w:r>
          </w:p>
          <w:p w14:paraId="7AA2B6DB" w14:textId="77777777" w:rsidR="00514CC0" w:rsidRDefault="00E72B49">
            <w:pPr>
              <w:pStyle w:val="OWTablebodyleft"/>
            </w:pPr>
            <w:r>
              <w:t>Local government data for states has not been reported on here; however, this data could be included in future national or jurisdictional monitoring.</w:t>
            </w:r>
          </w:p>
        </w:tc>
      </w:tr>
    </w:tbl>
    <w:p w14:paraId="0F40BCD2" w14:textId="77777777" w:rsidR="00514CC0" w:rsidRDefault="00E72B49" w:rsidP="00287D9B">
      <w:pPr>
        <w:pStyle w:val="OWBodytextlargespaceabove"/>
        <w:spacing w:before="240"/>
      </w:pPr>
      <w:r>
        <w:t>The ABS’s Gender Indicators takes a snapshot of elected Australian political representatives at Federal and cumulative state/territory levels as of 1 January each year, with data published in September of the same year.</w:t>
      </w:r>
    </w:p>
    <w:p w14:paraId="41988541" w14:textId="4CE31155" w:rsidR="00514CC0" w:rsidRDefault="00E72B49">
      <w:pPr>
        <w:pStyle w:val="BodyText"/>
      </w:pPr>
      <w:r>
        <w:t xml:space="preserve">Figures </w:t>
      </w:r>
      <w:r w:rsidR="00D162DF">
        <w:t>19</w:t>
      </w:r>
      <w:r>
        <w:t xml:space="preserve"> and </w:t>
      </w:r>
      <w:r w:rsidR="00D162DF">
        <w:t>20</w:t>
      </w:r>
      <w:r>
        <w:t xml:space="preserve">, below, show the numbers and percentage proportions of the federal female and male parliamentarians. As the data shows, </w:t>
      </w:r>
      <w:r w:rsidRPr="002D0D52">
        <w:rPr>
          <w:rStyle w:val="Strong"/>
        </w:rPr>
        <w:t>while there has been some increase in female representation, this increase has been slight for the ten-year period</w:t>
      </w:r>
      <w:r>
        <w:t xml:space="preserve">. At federal and state/territory levels, women remain vastly under-represented in Australian parliament, outnumbered by male parliamentarians almost 2:1 in most instances, with limited change from 2009 to 2019 (see Figures </w:t>
      </w:r>
      <w:r w:rsidR="00D162DF">
        <w:t>19</w:t>
      </w:r>
      <w:r>
        <w:t xml:space="preserve">, </w:t>
      </w:r>
      <w:r w:rsidR="00D162DF">
        <w:t>20</w:t>
      </w:r>
      <w:r>
        <w:t xml:space="preserve"> and </w:t>
      </w:r>
      <w:r w:rsidR="00D162DF">
        <w:t>21</w:t>
      </w:r>
      <w:r>
        <w:t>, below). Significant work is required to increase the representation of women in Australian politics before gender parity can be</w:t>
      </w:r>
      <w:r w:rsidR="007421E2">
        <w:t> </w:t>
      </w:r>
      <w:r>
        <w:t>achieved.</w:t>
      </w:r>
    </w:p>
    <w:p w14:paraId="133CD499" w14:textId="78DFBB5C" w:rsidR="00514CC0" w:rsidRDefault="00E72B49" w:rsidP="00287D9B">
      <w:pPr>
        <w:pStyle w:val="OWFigurecaption"/>
        <w:spacing w:before="280"/>
      </w:pPr>
      <w:r>
        <w:t xml:space="preserve">Figure </w:t>
      </w:r>
      <w:r w:rsidR="00D162DF">
        <w:t>19</w:t>
      </w:r>
      <w:r>
        <w:t>: Proportions of female and male parliamentarians in Federal House of Representatives, 2009 and 2019</w:t>
      </w:r>
    </w:p>
    <w:p w14:paraId="1FB4BE16" w14:textId="0C00C839" w:rsidR="00514CC0" w:rsidRDefault="009338E6" w:rsidP="00933C30">
      <w:pPr>
        <w:pStyle w:val="OWFigureinline"/>
      </w:pPr>
      <w:r>
        <w:rPr>
          <w:noProof/>
        </w:rPr>
        <w:drawing>
          <wp:inline distT="0" distB="0" distL="0" distR="0" wp14:anchorId="3B8AB874" wp14:editId="072E5DDD">
            <wp:extent cx="4206875" cy="3340735"/>
            <wp:effectExtent l="0" t="0" r="3175" b="0"/>
            <wp:docPr id="858940501" name="Picture 69" descr="Column graph of the following data (proportion). 2009: Female – 26.7%; Male: – 73.3%. 2019: Female – 30.0%; Male –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40501" name="Picture 69" descr="Column graph of the following data (proportion). 2009: Female – 26.7%; Male: – 73.3%. 2019: Female – 30.0%; Male – 70.0%."/>
                    <pic:cNvPicPr/>
                  </pic:nvPicPr>
                  <pic:blipFill>
                    <a:blip r:embed="rId54">
                      <a:extLst>
                        <a:ext uri="{28A0092B-C50C-407E-A947-70E740481C1C}">
                          <a14:useLocalDpi xmlns:a14="http://schemas.microsoft.com/office/drawing/2010/main" val="0"/>
                        </a:ext>
                      </a:extLst>
                    </a:blip>
                    <a:stretch>
                      <a:fillRect/>
                    </a:stretch>
                  </pic:blipFill>
                  <pic:spPr>
                    <a:xfrm>
                      <a:off x="0" y="0"/>
                      <a:ext cx="4206875" cy="3340735"/>
                    </a:xfrm>
                    <a:prstGeom prst="rect">
                      <a:avLst/>
                    </a:prstGeom>
                  </pic:spPr>
                </pic:pic>
              </a:graphicData>
            </a:graphic>
          </wp:inline>
        </w:drawing>
      </w:r>
    </w:p>
    <w:p w14:paraId="73ED16EC" w14:textId="77777777" w:rsidR="00514CC0" w:rsidRDefault="00E72B49">
      <w:pPr>
        <w:pStyle w:val="OWFigurefootnote"/>
      </w:pPr>
      <w:r>
        <w:t>Source: ABS Gender Indicators 2019</w:t>
      </w:r>
    </w:p>
    <w:p w14:paraId="69956021" w14:textId="5811C82E" w:rsidR="00514CC0" w:rsidRDefault="00E72B49">
      <w:pPr>
        <w:pStyle w:val="OWFigurecaption"/>
      </w:pPr>
      <w:r>
        <w:lastRenderedPageBreak/>
        <w:t xml:space="preserve">Figure </w:t>
      </w:r>
      <w:r w:rsidR="00D162DF">
        <w:t>20</w:t>
      </w:r>
      <w:r>
        <w:t>: Proportions of female and male parliamentarians in the Federal Senate, 2009 and 2019</w:t>
      </w:r>
    </w:p>
    <w:p w14:paraId="2295D0B2" w14:textId="40A0C4D9" w:rsidR="00514CC0" w:rsidRDefault="009338E6" w:rsidP="00933C30">
      <w:pPr>
        <w:pStyle w:val="OWFigureinline"/>
      </w:pPr>
      <w:r>
        <w:rPr>
          <w:noProof/>
        </w:rPr>
        <w:drawing>
          <wp:inline distT="0" distB="0" distL="0" distR="0" wp14:anchorId="465BACE1" wp14:editId="3A4DA7F9">
            <wp:extent cx="4279900" cy="3432175"/>
            <wp:effectExtent l="0" t="0" r="6350" b="0"/>
            <wp:docPr id="2110627502" name="Picture 70" descr="Column graph of the following data (proportion). 2009: Female – 36.0%; Male – 64.0%. 2019: Female – 39.5%; Male –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27502" name="Picture 70" descr="Column graph of the following data (proportion). 2009: Female – 36.0%; Male – 64.0%. 2019: Female – 39.5%; Male – 60.5%."/>
                    <pic:cNvPicPr/>
                  </pic:nvPicPr>
                  <pic:blipFill>
                    <a:blip r:embed="rId55">
                      <a:extLst>
                        <a:ext uri="{28A0092B-C50C-407E-A947-70E740481C1C}">
                          <a14:useLocalDpi xmlns:a14="http://schemas.microsoft.com/office/drawing/2010/main" val="0"/>
                        </a:ext>
                      </a:extLst>
                    </a:blip>
                    <a:stretch>
                      <a:fillRect/>
                    </a:stretch>
                  </pic:blipFill>
                  <pic:spPr>
                    <a:xfrm>
                      <a:off x="0" y="0"/>
                      <a:ext cx="4279900" cy="3432175"/>
                    </a:xfrm>
                    <a:prstGeom prst="rect">
                      <a:avLst/>
                    </a:prstGeom>
                  </pic:spPr>
                </pic:pic>
              </a:graphicData>
            </a:graphic>
          </wp:inline>
        </w:drawing>
      </w:r>
    </w:p>
    <w:p w14:paraId="6873F60F" w14:textId="77777777" w:rsidR="00514CC0" w:rsidRDefault="00E72B49">
      <w:pPr>
        <w:pStyle w:val="OWFigurefootnote"/>
      </w:pPr>
      <w:r>
        <w:t>Source: ABS Gender Indicators 2019</w:t>
      </w:r>
    </w:p>
    <w:p w14:paraId="43B37C89" w14:textId="376172A1" w:rsidR="00514CC0" w:rsidRDefault="00E72B49">
      <w:pPr>
        <w:pStyle w:val="OWFigurecaption"/>
      </w:pPr>
      <w:r>
        <w:t xml:space="preserve">Figure </w:t>
      </w:r>
      <w:r w:rsidR="00D162DF">
        <w:t>21</w:t>
      </w:r>
      <w:r>
        <w:t>: Proportions of female and male state/territory parliamentarians, 2009 and 2019</w:t>
      </w:r>
    </w:p>
    <w:p w14:paraId="57BD5A80" w14:textId="26042F3F" w:rsidR="00514CC0" w:rsidRDefault="009338E6" w:rsidP="00933C30">
      <w:pPr>
        <w:pStyle w:val="OWFigureinline"/>
      </w:pPr>
      <w:r>
        <w:rPr>
          <w:noProof/>
        </w:rPr>
        <w:drawing>
          <wp:inline distT="0" distB="0" distL="0" distR="0" wp14:anchorId="4484E600" wp14:editId="2018F595">
            <wp:extent cx="4279900" cy="3456940"/>
            <wp:effectExtent l="0" t="0" r="6350" b="0"/>
            <wp:docPr id="550194143" name="Picture 71" descr="Column graph of the following data (proportion). 2009: Female – 31.0%; Male – 69.0%. 2019: Female – 35.3%; Male –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194143" name="Picture 71" descr="Column graph of the following data (proportion). 2009: Female – 31.0%; Male – 69.0%. 2019: Female – 35.3%; Male – 64.7%."/>
                    <pic:cNvPicPr/>
                  </pic:nvPicPr>
                  <pic:blipFill>
                    <a:blip r:embed="rId56">
                      <a:extLst>
                        <a:ext uri="{28A0092B-C50C-407E-A947-70E740481C1C}">
                          <a14:useLocalDpi xmlns:a14="http://schemas.microsoft.com/office/drawing/2010/main" val="0"/>
                        </a:ext>
                      </a:extLst>
                    </a:blip>
                    <a:stretch>
                      <a:fillRect/>
                    </a:stretch>
                  </pic:blipFill>
                  <pic:spPr>
                    <a:xfrm>
                      <a:off x="0" y="0"/>
                      <a:ext cx="4279900" cy="3456940"/>
                    </a:xfrm>
                    <a:prstGeom prst="rect">
                      <a:avLst/>
                    </a:prstGeom>
                  </pic:spPr>
                </pic:pic>
              </a:graphicData>
            </a:graphic>
          </wp:inline>
        </w:drawing>
      </w:r>
    </w:p>
    <w:p w14:paraId="1645CC53" w14:textId="77777777" w:rsidR="00514CC0" w:rsidRDefault="00E72B49">
      <w:pPr>
        <w:pStyle w:val="OWFigurefootnote"/>
      </w:pPr>
      <w:r>
        <w:t>Source: ABS Gender Indicators 2019</w:t>
      </w:r>
    </w:p>
    <w:p w14:paraId="0EBC4E3E" w14:textId="1FBDA567" w:rsidR="00514CC0" w:rsidRDefault="00E72B49">
      <w:pPr>
        <w:pStyle w:val="BodyText"/>
      </w:pPr>
      <w:r>
        <w:lastRenderedPageBreak/>
        <w:t xml:space="preserve">As per Table </w:t>
      </w:r>
      <w:r w:rsidR="0017588F">
        <w:t>22</w:t>
      </w:r>
      <w:r>
        <w:t>, below, there has been a decline in female representation occupying federal ministerial positions between 2009 and 2019 by over 3 percentage points to 20.0% in 2019, and an increase in female cabinet ministers from 20.0% in 2009 to 26.1% in 2019. A more positive story can be told at a state/territory jurisdictional level. In 2009, women comprised 28.4% of all ministerial positions across the jurisdictions, and this has increased by almost 10</w:t>
      </w:r>
      <w:r w:rsidR="007421E2">
        <w:t> </w:t>
      </w:r>
      <w:r>
        <w:t>percentage points in 2018 to 38.3%. Still, this figure sits well below a 50/50 parity.</w:t>
      </w:r>
    </w:p>
    <w:p w14:paraId="69125BF0" w14:textId="2F2C3DD9" w:rsidR="00514CC0" w:rsidRDefault="00E72B49">
      <w:pPr>
        <w:pStyle w:val="OWTablecaption"/>
      </w:pPr>
      <w:r>
        <w:t xml:space="preserve">Table </w:t>
      </w:r>
      <w:r w:rsidR="0017588F">
        <w:t>22</w:t>
      </w:r>
      <w:r>
        <w:t>: Proportion of female and male federal and state/territory ministers and cabinet ministers, 2009 and 2019</w:t>
      </w:r>
    </w:p>
    <w:tbl>
      <w:tblPr>
        <w:tblStyle w:val="Datatableteal"/>
        <w:tblW w:w="9072" w:type="dxa"/>
        <w:tblLayout w:type="fixed"/>
        <w:tblLook w:val="06A0" w:firstRow="1" w:lastRow="0" w:firstColumn="1" w:lastColumn="0" w:noHBand="1" w:noVBand="1"/>
      </w:tblPr>
      <w:tblGrid>
        <w:gridCol w:w="3025"/>
        <w:gridCol w:w="3023"/>
        <w:gridCol w:w="3024"/>
      </w:tblGrid>
      <w:tr w:rsidR="00514CC0" w14:paraId="06B01E34" w14:textId="77777777" w:rsidTr="00084525">
        <w:trPr>
          <w:cnfStyle w:val="100000000000" w:firstRow="1" w:lastRow="0" w:firstColumn="0" w:lastColumn="0" w:oddVBand="0" w:evenVBand="0" w:oddHBand="0" w:evenHBand="0" w:firstRowFirstColumn="0" w:firstRowLastColumn="0" w:lastRowFirstColumn="0" w:lastRowLastColumn="0"/>
          <w:cantSplit/>
          <w:trHeight w:val="60"/>
          <w:tblHeader/>
        </w:trPr>
        <w:tc>
          <w:tcPr>
            <w:tcW w:w="3024" w:type="dxa"/>
          </w:tcPr>
          <w:p w14:paraId="005E07F8" w14:textId="77777777" w:rsidR="00514CC0" w:rsidRDefault="00514CC0" w:rsidP="008F3E9A">
            <w:pPr>
              <w:pStyle w:val="OWTablecolumnheadleft"/>
            </w:pPr>
          </w:p>
        </w:tc>
        <w:tc>
          <w:tcPr>
            <w:tcW w:w="3023" w:type="dxa"/>
          </w:tcPr>
          <w:p w14:paraId="32645949" w14:textId="77777777" w:rsidR="00514CC0" w:rsidRDefault="00E72B49">
            <w:pPr>
              <w:pStyle w:val="OWTablecolumnheadcentre"/>
            </w:pPr>
            <w:r>
              <w:t>2009</w:t>
            </w:r>
          </w:p>
        </w:tc>
        <w:tc>
          <w:tcPr>
            <w:tcW w:w="3024" w:type="dxa"/>
          </w:tcPr>
          <w:p w14:paraId="4EC21518" w14:textId="77777777" w:rsidR="00514CC0" w:rsidRDefault="00E72B49">
            <w:pPr>
              <w:pStyle w:val="OWTablecolumnheadcentre"/>
            </w:pPr>
            <w:r>
              <w:t>2019</w:t>
            </w:r>
          </w:p>
        </w:tc>
      </w:tr>
      <w:tr w:rsidR="00514CC0" w14:paraId="224437A1" w14:textId="77777777" w:rsidTr="00084525">
        <w:trPr>
          <w:cantSplit/>
          <w:trHeight w:val="60"/>
        </w:trPr>
        <w:tc>
          <w:tcPr>
            <w:tcW w:w="9071" w:type="dxa"/>
            <w:gridSpan w:val="3"/>
            <w:shd w:val="clear" w:color="auto" w:fill="DEE3E8" w:themeFill="background1"/>
          </w:tcPr>
          <w:p w14:paraId="2D835442" w14:textId="77777777" w:rsidR="00514CC0" w:rsidRDefault="00E72B49">
            <w:pPr>
              <w:pStyle w:val="OWTablebodyleft"/>
            </w:pPr>
            <w:r w:rsidRPr="002D0D52">
              <w:rPr>
                <w:rStyle w:val="Strong"/>
              </w:rPr>
              <w:t>Federal government ministers</w:t>
            </w:r>
          </w:p>
        </w:tc>
      </w:tr>
      <w:tr w:rsidR="00514CC0" w14:paraId="45B6B725" w14:textId="77777777" w:rsidTr="00084525">
        <w:trPr>
          <w:cantSplit/>
          <w:trHeight w:val="60"/>
        </w:trPr>
        <w:tc>
          <w:tcPr>
            <w:tcW w:w="3024" w:type="dxa"/>
          </w:tcPr>
          <w:p w14:paraId="2E16D230" w14:textId="77777777" w:rsidR="00514CC0" w:rsidRDefault="00E72B49">
            <w:pPr>
              <w:pStyle w:val="OWTablebodyleft"/>
            </w:pPr>
            <w:r>
              <w:t>Females</w:t>
            </w:r>
          </w:p>
        </w:tc>
        <w:tc>
          <w:tcPr>
            <w:tcW w:w="3023" w:type="dxa"/>
          </w:tcPr>
          <w:p w14:paraId="3C8A45D8" w14:textId="77777777" w:rsidR="00514CC0" w:rsidRDefault="00E72B49">
            <w:pPr>
              <w:pStyle w:val="OWTablebodycentre"/>
            </w:pPr>
            <w:r>
              <w:t>23.3%</w:t>
            </w:r>
          </w:p>
        </w:tc>
        <w:tc>
          <w:tcPr>
            <w:tcW w:w="3024" w:type="dxa"/>
          </w:tcPr>
          <w:p w14:paraId="1FA6311C" w14:textId="77777777" w:rsidR="00514CC0" w:rsidRDefault="00E72B49">
            <w:pPr>
              <w:pStyle w:val="OWTablebodycentre"/>
            </w:pPr>
            <w:r>
              <w:t>20.0%</w:t>
            </w:r>
          </w:p>
        </w:tc>
      </w:tr>
      <w:tr w:rsidR="00514CC0" w14:paraId="51CF6C5C" w14:textId="77777777" w:rsidTr="00084525">
        <w:trPr>
          <w:cantSplit/>
          <w:trHeight w:val="60"/>
        </w:trPr>
        <w:tc>
          <w:tcPr>
            <w:tcW w:w="3024" w:type="dxa"/>
          </w:tcPr>
          <w:p w14:paraId="0D9CD438" w14:textId="77777777" w:rsidR="00514CC0" w:rsidRDefault="00E72B49">
            <w:pPr>
              <w:pStyle w:val="OWTablebodyleft"/>
            </w:pPr>
            <w:r>
              <w:t>Males</w:t>
            </w:r>
          </w:p>
        </w:tc>
        <w:tc>
          <w:tcPr>
            <w:tcW w:w="3023" w:type="dxa"/>
          </w:tcPr>
          <w:p w14:paraId="548630A6" w14:textId="77777777" w:rsidR="00514CC0" w:rsidRDefault="00E72B49">
            <w:pPr>
              <w:pStyle w:val="OWTablebodycentre"/>
            </w:pPr>
            <w:r>
              <w:t>76.7%</w:t>
            </w:r>
          </w:p>
        </w:tc>
        <w:tc>
          <w:tcPr>
            <w:tcW w:w="3024" w:type="dxa"/>
          </w:tcPr>
          <w:p w14:paraId="3B053502" w14:textId="77777777" w:rsidR="00514CC0" w:rsidRDefault="00E72B49">
            <w:pPr>
              <w:pStyle w:val="OWTablebodycentre"/>
            </w:pPr>
            <w:r>
              <w:t>80.0%</w:t>
            </w:r>
          </w:p>
        </w:tc>
      </w:tr>
      <w:tr w:rsidR="00514CC0" w14:paraId="5CEC63B9" w14:textId="77777777" w:rsidTr="00084525">
        <w:trPr>
          <w:cantSplit/>
          <w:trHeight w:val="60"/>
        </w:trPr>
        <w:tc>
          <w:tcPr>
            <w:tcW w:w="9071" w:type="dxa"/>
            <w:gridSpan w:val="3"/>
            <w:shd w:val="clear" w:color="auto" w:fill="DEE3E8" w:themeFill="background1"/>
          </w:tcPr>
          <w:p w14:paraId="1D7CEF13" w14:textId="77777777" w:rsidR="00514CC0" w:rsidRDefault="00E72B49">
            <w:pPr>
              <w:pStyle w:val="OWTablebodyleft"/>
            </w:pPr>
            <w:r w:rsidRPr="002D0D52">
              <w:rPr>
                <w:rStyle w:val="Strong"/>
              </w:rPr>
              <w:t>Federal government cabinet ministers</w:t>
            </w:r>
          </w:p>
        </w:tc>
      </w:tr>
      <w:tr w:rsidR="00514CC0" w14:paraId="4CC1DF29" w14:textId="77777777" w:rsidTr="00084525">
        <w:trPr>
          <w:cantSplit/>
          <w:trHeight w:val="60"/>
        </w:trPr>
        <w:tc>
          <w:tcPr>
            <w:tcW w:w="3024" w:type="dxa"/>
          </w:tcPr>
          <w:p w14:paraId="73BA9668" w14:textId="77777777" w:rsidR="00514CC0" w:rsidRDefault="00E72B49">
            <w:pPr>
              <w:pStyle w:val="OWTablebodyleft"/>
            </w:pPr>
            <w:r>
              <w:t>Females</w:t>
            </w:r>
          </w:p>
        </w:tc>
        <w:tc>
          <w:tcPr>
            <w:tcW w:w="3023" w:type="dxa"/>
          </w:tcPr>
          <w:p w14:paraId="58290AB1" w14:textId="77777777" w:rsidR="00514CC0" w:rsidRDefault="00E72B49">
            <w:pPr>
              <w:pStyle w:val="OWTablebodycentre"/>
            </w:pPr>
            <w:r>
              <w:t>20.0%</w:t>
            </w:r>
          </w:p>
        </w:tc>
        <w:tc>
          <w:tcPr>
            <w:tcW w:w="3024" w:type="dxa"/>
          </w:tcPr>
          <w:p w14:paraId="398C0C55" w14:textId="77777777" w:rsidR="00514CC0" w:rsidRDefault="00E72B49">
            <w:pPr>
              <w:pStyle w:val="OWTablebodycentre"/>
            </w:pPr>
            <w:r>
              <w:t>26.1%</w:t>
            </w:r>
          </w:p>
        </w:tc>
      </w:tr>
      <w:tr w:rsidR="00514CC0" w14:paraId="0457EB9D" w14:textId="77777777" w:rsidTr="00084525">
        <w:trPr>
          <w:cantSplit/>
          <w:trHeight w:val="60"/>
        </w:trPr>
        <w:tc>
          <w:tcPr>
            <w:tcW w:w="3024" w:type="dxa"/>
          </w:tcPr>
          <w:p w14:paraId="449B1045" w14:textId="77777777" w:rsidR="00514CC0" w:rsidRDefault="00E72B49">
            <w:pPr>
              <w:pStyle w:val="OWTablebodyleft"/>
            </w:pPr>
            <w:r>
              <w:t>Males</w:t>
            </w:r>
          </w:p>
        </w:tc>
        <w:tc>
          <w:tcPr>
            <w:tcW w:w="3023" w:type="dxa"/>
          </w:tcPr>
          <w:p w14:paraId="0BCC01E2" w14:textId="77777777" w:rsidR="00514CC0" w:rsidRDefault="00E72B49">
            <w:pPr>
              <w:pStyle w:val="OWTablebodycentre"/>
            </w:pPr>
            <w:r>
              <w:t>80.0%</w:t>
            </w:r>
          </w:p>
        </w:tc>
        <w:tc>
          <w:tcPr>
            <w:tcW w:w="3024" w:type="dxa"/>
          </w:tcPr>
          <w:p w14:paraId="2C70F446" w14:textId="77777777" w:rsidR="00514CC0" w:rsidRDefault="00E72B49">
            <w:pPr>
              <w:pStyle w:val="OWTablebodycentre"/>
            </w:pPr>
            <w:r>
              <w:t>73.9%</w:t>
            </w:r>
          </w:p>
        </w:tc>
      </w:tr>
      <w:tr w:rsidR="00514CC0" w14:paraId="7D6953E6" w14:textId="77777777" w:rsidTr="00084525">
        <w:trPr>
          <w:cantSplit/>
          <w:trHeight w:val="60"/>
        </w:trPr>
        <w:tc>
          <w:tcPr>
            <w:tcW w:w="9071" w:type="dxa"/>
            <w:gridSpan w:val="3"/>
            <w:shd w:val="clear" w:color="auto" w:fill="DEE3E8" w:themeFill="background1"/>
          </w:tcPr>
          <w:p w14:paraId="3BF692C5" w14:textId="77777777" w:rsidR="00514CC0" w:rsidRDefault="00E72B49">
            <w:pPr>
              <w:pStyle w:val="OWTablebodyleft"/>
            </w:pPr>
            <w:r w:rsidRPr="002D0D52">
              <w:rPr>
                <w:rStyle w:val="Strong"/>
              </w:rPr>
              <w:t>State/territory government ministers, total all jurisdictions</w:t>
            </w:r>
          </w:p>
        </w:tc>
      </w:tr>
      <w:tr w:rsidR="00514CC0" w14:paraId="0DC12B99" w14:textId="77777777" w:rsidTr="00084525">
        <w:trPr>
          <w:cantSplit/>
          <w:trHeight w:val="60"/>
        </w:trPr>
        <w:tc>
          <w:tcPr>
            <w:tcW w:w="3024" w:type="dxa"/>
          </w:tcPr>
          <w:p w14:paraId="4CC49192" w14:textId="77777777" w:rsidR="00514CC0" w:rsidRDefault="00E72B49">
            <w:pPr>
              <w:pStyle w:val="OWTablebodyleft"/>
            </w:pPr>
            <w:r>
              <w:t>Females</w:t>
            </w:r>
          </w:p>
        </w:tc>
        <w:tc>
          <w:tcPr>
            <w:tcW w:w="3023" w:type="dxa"/>
          </w:tcPr>
          <w:p w14:paraId="2C1160FC" w14:textId="77777777" w:rsidR="00514CC0" w:rsidRDefault="00E72B49">
            <w:pPr>
              <w:pStyle w:val="OWTablebodycentre"/>
            </w:pPr>
            <w:r>
              <w:t>28.4%</w:t>
            </w:r>
          </w:p>
        </w:tc>
        <w:tc>
          <w:tcPr>
            <w:tcW w:w="3024" w:type="dxa"/>
          </w:tcPr>
          <w:p w14:paraId="31C2804F" w14:textId="77777777" w:rsidR="00514CC0" w:rsidRDefault="00E72B49">
            <w:pPr>
              <w:pStyle w:val="OWTablebodycentre"/>
            </w:pPr>
            <w:r>
              <w:t>38.3%</w:t>
            </w:r>
          </w:p>
        </w:tc>
      </w:tr>
      <w:tr w:rsidR="00514CC0" w14:paraId="265CEF03" w14:textId="77777777" w:rsidTr="00084525">
        <w:trPr>
          <w:cantSplit/>
          <w:trHeight w:val="60"/>
        </w:trPr>
        <w:tc>
          <w:tcPr>
            <w:tcW w:w="3024" w:type="dxa"/>
          </w:tcPr>
          <w:p w14:paraId="46B23857" w14:textId="77777777" w:rsidR="00514CC0" w:rsidRDefault="00E72B49">
            <w:pPr>
              <w:pStyle w:val="OWTablebodyleft"/>
            </w:pPr>
            <w:r>
              <w:t>Males</w:t>
            </w:r>
          </w:p>
        </w:tc>
        <w:tc>
          <w:tcPr>
            <w:tcW w:w="3023" w:type="dxa"/>
          </w:tcPr>
          <w:p w14:paraId="3E283E71" w14:textId="77777777" w:rsidR="00514CC0" w:rsidRDefault="00E72B49">
            <w:pPr>
              <w:pStyle w:val="OWTablebodycentre"/>
            </w:pPr>
            <w:r>
              <w:t>71.6%</w:t>
            </w:r>
          </w:p>
        </w:tc>
        <w:tc>
          <w:tcPr>
            <w:tcW w:w="3024" w:type="dxa"/>
          </w:tcPr>
          <w:p w14:paraId="28F050EA" w14:textId="77777777" w:rsidR="00514CC0" w:rsidRDefault="00E72B49">
            <w:pPr>
              <w:pStyle w:val="OWTablebodycentre"/>
            </w:pPr>
            <w:r>
              <w:t>61.7%</w:t>
            </w:r>
          </w:p>
        </w:tc>
      </w:tr>
    </w:tbl>
    <w:p w14:paraId="6F795B86" w14:textId="77777777" w:rsidR="00514CC0" w:rsidRDefault="00E72B49" w:rsidP="00933C30">
      <w:pPr>
        <w:pStyle w:val="OWTablefootnote"/>
        <w:spacing w:after="360"/>
      </w:pPr>
      <w:r>
        <w:t>Source: ABS Gender Indicators 2019</w:t>
      </w:r>
    </w:p>
    <w:tbl>
      <w:tblPr>
        <w:tblStyle w:val="Casestudyteal"/>
        <w:tblW w:w="0" w:type="auto"/>
        <w:tblLayout w:type="fixed"/>
        <w:tblLook w:val="0620" w:firstRow="1" w:lastRow="0" w:firstColumn="0" w:lastColumn="0" w:noHBand="1" w:noVBand="1"/>
      </w:tblPr>
      <w:tblGrid>
        <w:gridCol w:w="9071"/>
      </w:tblGrid>
      <w:tr w:rsidR="00514CC0" w14:paraId="63857CB4" w14:textId="77777777" w:rsidTr="00084525">
        <w:trPr>
          <w:cnfStyle w:val="100000000000" w:firstRow="1" w:lastRow="0" w:firstColumn="0" w:lastColumn="0" w:oddVBand="0" w:evenVBand="0" w:oddHBand="0" w:evenHBand="0" w:firstRowFirstColumn="0" w:firstRowLastColumn="0" w:lastRowFirstColumn="0" w:lastRowLastColumn="0"/>
          <w:trHeight w:val="60"/>
        </w:trPr>
        <w:tc>
          <w:tcPr>
            <w:tcW w:w="9071" w:type="dxa"/>
          </w:tcPr>
          <w:p w14:paraId="1DB929CE" w14:textId="77777777" w:rsidR="00514CC0" w:rsidRPr="00933C30" w:rsidRDefault="00E72B49">
            <w:pPr>
              <w:pStyle w:val="OWBoxheading"/>
            </w:pPr>
            <w:r w:rsidRPr="00933C30">
              <w:t>Cultural diversity in the Commonwealth Parliament: 2018</w:t>
            </w:r>
          </w:p>
        </w:tc>
      </w:tr>
      <w:tr w:rsidR="00514CC0" w14:paraId="11659EC4" w14:textId="77777777" w:rsidTr="00084525">
        <w:trPr>
          <w:trHeight w:val="60"/>
        </w:trPr>
        <w:tc>
          <w:tcPr>
            <w:tcW w:w="9071" w:type="dxa"/>
          </w:tcPr>
          <w:p w14:paraId="130E006D" w14:textId="77777777" w:rsidR="00514CC0" w:rsidRDefault="00E72B49">
            <w:pPr>
              <w:pStyle w:val="OWTablebodyleft"/>
            </w:pPr>
            <w:r>
              <w:t>The Australian Human Right Commission’s 2018 analysis of federal parliamentary representation shows that 94.4% of ministerial or senate positions are occupied by people from Anglo-Celtic (78.1%) or European (16.3%) backgrounds, while First Nations people comprise 1.5% of parliamentarians and people of other non-European backgrounds 4.1%. That is, there is a significant under-representation of cultural diversity in Federal Parliament.</w:t>
            </w:r>
          </w:p>
          <w:p w14:paraId="691C3221" w14:textId="77777777" w:rsidR="003D6A9B" w:rsidRPr="003D6A9B" w:rsidRDefault="003D6A9B" w:rsidP="003D6A9B">
            <w:pPr>
              <w:pStyle w:val="OWBoxsourceline"/>
            </w:pPr>
            <w:r>
              <w:drawing>
                <wp:inline distT="0" distB="0" distL="0" distR="0" wp14:anchorId="79BBFF91" wp14:editId="3F87A462">
                  <wp:extent cx="431640" cy="3960"/>
                  <wp:effectExtent l="0" t="0" r="0" b="0"/>
                  <wp:docPr id="1542972916" name="Picture 5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28">
                            <a:extLst>
                              <a:ext uri="{28A0092B-C50C-407E-A947-70E740481C1C}">
                                <a14:useLocalDpi xmlns:a14="http://schemas.microsoft.com/office/drawing/2010/main" val="0"/>
                              </a:ext>
                            </a:extLst>
                          </a:blip>
                          <a:stretch>
                            <a:fillRect/>
                          </a:stretch>
                        </pic:blipFill>
                        <pic:spPr>
                          <a:xfrm>
                            <a:off x="0" y="0"/>
                            <a:ext cx="431640" cy="3960"/>
                          </a:xfrm>
                          <a:prstGeom prst="rect">
                            <a:avLst/>
                          </a:prstGeom>
                        </pic:spPr>
                      </pic:pic>
                    </a:graphicData>
                  </a:graphic>
                </wp:inline>
              </w:drawing>
            </w:r>
          </w:p>
          <w:p w14:paraId="1B3312D1" w14:textId="77777777" w:rsidR="00514CC0" w:rsidRDefault="00E72B49" w:rsidP="004A1B0D">
            <w:pPr>
              <w:pStyle w:val="OWBoxsource"/>
            </w:pPr>
            <w:r>
              <w:t xml:space="preserve">Source: Australian Human Rights Commission, </w:t>
            </w:r>
            <w:r w:rsidRPr="003E209A">
              <w:rPr>
                <w:rStyle w:val="Emphasis"/>
              </w:rPr>
              <w:t>Leading for change</w:t>
            </w:r>
            <w:r>
              <w:t>, 2018, p. 12.</w:t>
            </w:r>
          </w:p>
        </w:tc>
      </w:tr>
    </w:tbl>
    <w:p w14:paraId="48ACFB55" w14:textId="77777777" w:rsidR="00514CC0" w:rsidRDefault="00E72B49" w:rsidP="00E1549C">
      <w:pPr>
        <w:pStyle w:val="Heading4"/>
      </w:pPr>
      <w:r>
        <w:lastRenderedPageBreak/>
        <w:t>Indicator 3.5: Proportion of community and cultural leaders who are women</w:t>
      </w:r>
    </w:p>
    <w:tbl>
      <w:tblPr>
        <w:tblStyle w:val="Indicatoroutlineteal"/>
        <w:tblW w:w="9072" w:type="dxa"/>
        <w:tblLayout w:type="fixed"/>
        <w:tblLook w:val="0680" w:firstRow="0" w:lastRow="0" w:firstColumn="1" w:lastColumn="0" w:noHBand="1" w:noVBand="1"/>
      </w:tblPr>
      <w:tblGrid>
        <w:gridCol w:w="2268"/>
        <w:gridCol w:w="6804"/>
      </w:tblGrid>
      <w:tr w:rsidR="00514CC0" w14:paraId="2A09677B" w14:textId="77777777" w:rsidTr="00084525">
        <w:trPr>
          <w:cantSplit/>
          <w:trHeight w:val="60"/>
        </w:trPr>
        <w:tc>
          <w:tcPr>
            <w:tcW w:w="2268" w:type="dxa"/>
          </w:tcPr>
          <w:p w14:paraId="2F32BA2F" w14:textId="70C88CE9" w:rsidR="00514CC0" w:rsidRDefault="00E72B49">
            <w:pPr>
              <w:pStyle w:val="OWTablebodyleft"/>
            </w:pPr>
            <w:r>
              <w:t>What does this indicator tell us about Monitoring domain 3: Men’s control of decision-making and limits to</w:t>
            </w:r>
            <w:r w:rsidR="00287D9B">
              <w:rPr>
                <w:b/>
              </w:rPr>
              <w:t> </w:t>
            </w:r>
            <w:r>
              <w:t>women’s independence in</w:t>
            </w:r>
            <w:r w:rsidR="00287D9B">
              <w:t> </w:t>
            </w:r>
            <w:r>
              <w:t>public life?</w:t>
            </w:r>
          </w:p>
        </w:tc>
        <w:tc>
          <w:tcPr>
            <w:tcW w:w="6803" w:type="dxa"/>
          </w:tcPr>
          <w:p w14:paraId="481D606F" w14:textId="77777777" w:rsidR="00514CC0" w:rsidRDefault="00E72B49">
            <w:pPr>
              <w:pStyle w:val="OWTablebodyleft"/>
            </w:pPr>
            <w:r>
              <w:t>The dominance of men in key decision-making roles, including community and cultural leadership (for example, sports coaches/umpires, faith leaders, newspaper editors, directors of theatre/art companies) underlines the persistent gender inequality at all levels of society. As there is currently no instrument to measure women’s community and cultural leadership, this data takes indicators from two datasets to provide some insight into women’s participation in political and civic groups and women’s formal leadership roles in community and cultural industries.</w:t>
            </w:r>
          </w:p>
        </w:tc>
      </w:tr>
      <w:tr w:rsidR="00514CC0" w14:paraId="292C7BB5" w14:textId="77777777" w:rsidTr="00084525">
        <w:trPr>
          <w:cantSplit/>
          <w:trHeight w:val="60"/>
        </w:trPr>
        <w:tc>
          <w:tcPr>
            <w:tcW w:w="2268" w:type="dxa"/>
          </w:tcPr>
          <w:p w14:paraId="45D39567" w14:textId="69EF7A11" w:rsidR="00514CC0" w:rsidRDefault="00E72B49">
            <w:pPr>
              <w:pStyle w:val="OWTablebodyleft"/>
            </w:pPr>
            <w:r>
              <w:t>Expected change if</w:t>
            </w:r>
            <w:r w:rsidR="00287D9B">
              <w:t> </w:t>
            </w:r>
            <w:r>
              <w:t>high-quality programs and infrastructure for prevention of violence against women and gender equality are implemented</w:t>
            </w:r>
          </w:p>
        </w:tc>
        <w:tc>
          <w:tcPr>
            <w:tcW w:w="6803" w:type="dxa"/>
          </w:tcPr>
          <w:p w14:paraId="61176157" w14:textId="77777777" w:rsidR="00514CC0" w:rsidRDefault="00E72B49">
            <w:pPr>
              <w:pStyle w:val="OWTablebodyleft"/>
            </w:pPr>
            <w:r>
              <w:t>Short- and medium-term: women will assume more leadership positions in community and cultural sectors.</w:t>
            </w:r>
          </w:p>
          <w:p w14:paraId="58FE2709" w14:textId="77777777" w:rsidR="00514CC0" w:rsidRDefault="00E72B49">
            <w:pPr>
              <w:pStyle w:val="OWTablebodyleft"/>
            </w:pPr>
            <w:r>
              <w:t>Long-term: gender parity.</w:t>
            </w:r>
          </w:p>
        </w:tc>
      </w:tr>
      <w:tr w:rsidR="00514CC0" w14:paraId="595CE0F8" w14:textId="77777777" w:rsidTr="00084525">
        <w:trPr>
          <w:cantSplit/>
          <w:trHeight w:val="60"/>
        </w:trPr>
        <w:tc>
          <w:tcPr>
            <w:tcW w:w="2268" w:type="dxa"/>
          </w:tcPr>
          <w:p w14:paraId="2A9296C3" w14:textId="77777777" w:rsidR="00514CC0" w:rsidRDefault="00E72B49">
            <w:pPr>
              <w:pStyle w:val="OWTablebodyleft"/>
            </w:pPr>
            <w:r>
              <w:t>Data source(s)</w:t>
            </w:r>
          </w:p>
        </w:tc>
        <w:tc>
          <w:tcPr>
            <w:tcW w:w="6803" w:type="dxa"/>
          </w:tcPr>
          <w:p w14:paraId="54AE7FAB" w14:textId="77777777" w:rsidR="00514CC0" w:rsidRDefault="00E72B49">
            <w:pPr>
              <w:pStyle w:val="OWTablebodyleft"/>
            </w:pPr>
            <w:r>
              <w:t>No ideal source of data is available. The data sources used are:</w:t>
            </w:r>
          </w:p>
          <w:p w14:paraId="4564B23D" w14:textId="77777777" w:rsidR="00514CC0" w:rsidRDefault="00E72B49" w:rsidP="002C2EC7">
            <w:pPr>
              <w:pStyle w:val="OWTablenumberdigit"/>
              <w:numPr>
                <w:ilvl w:val="0"/>
                <w:numId w:val="28"/>
              </w:numPr>
            </w:pPr>
            <w:r>
              <w:t>Workplace Gender Equality Agency reporting data, 2013–14 and 2018–19, WGEA</w:t>
            </w:r>
          </w:p>
          <w:p w14:paraId="4316B650" w14:textId="39F6421A" w:rsidR="00514CC0" w:rsidRDefault="00E72B49">
            <w:pPr>
              <w:pStyle w:val="OWTablenumberdigit"/>
            </w:pPr>
            <w:r>
              <w:t>ABS General Social Survey 2014, presented in the ABS Gender Indicators, ABS</w:t>
            </w:r>
            <w:r w:rsidR="00E531A9">
              <w:rPr>
                <w:rStyle w:val="EndnoteReference"/>
              </w:rPr>
              <w:endnoteReference w:id="305"/>
            </w:r>
          </w:p>
        </w:tc>
      </w:tr>
      <w:tr w:rsidR="00514CC0" w14:paraId="756C262C" w14:textId="77777777" w:rsidTr="00084525">
        <w:trPr>
          <w:cantSplit/>
          <w:trHeight w:val="60"/>
        </w:trPr>
        <w:tc>
          <w:tcPr>
            <w:tcW w:w="2268" w:type="dxa"/>
          </w:tcPr>
          <w:p w14:paraId="5B2F75FD" w14:textId="77777777" w:rsidR="00514CC0" w:rsidRDefault="00E72B49">
            <w:pPr>
              <w:pStyle w:val="OWTablebodyleft"/>
            </w:pPr>
            <w:r>
              <w:t>Change over time summary: short-term change revealed by the data</w:t>
            </w:r>
          </w:p>
        </w:tc>
        <w:tc>
          <w:tcPr>
            <w:tcW w:w="6803" w:type="dxa"/>
          </w:tcPr>
          <w:p w14:paraId="46CE5A54" w14:textId="77777777" w:rsidR="00514CC0" w:rsidRDefault="00E72B49">
            <w:pPr>
              <w:pStyle w:val="OWTablebodyleft"/>
            </w:pPr>
            <w:r>
              <w:t>Slow growth reported over the past ten years, with gains in some areas, offset by backslides in others.</w:t>
            </w:r>
          </w:p>
        </w:tc>
      </w:tr>
      <w:tr w:rsidR="00514CC0" w14:paraId="5958D997" w14:textId="77777777" w:rsidTr="00084525">
        <w:trPr>
          <w:cantSplit/>
          <w:trHeight w:val="60"/>
        </w:trPr>
        <w:tc>
          <w:tcPr>
            <w:tcW w:w="2268" w:type="dxa"/>
          </w:tcPr>
          <w:p w14:paraId="51016822" w14:textId="77777777" w:rsidR="00514CC0" w:rsidRDefault="00E72B49">
            <w:pPr>
              <w:pStyle w:val="OWTablebodyleft"/>
            </w:pPr>
            <w:r>
              <w:t>Does the change confirm or run contrary to expected change?</w:t>
            </w:r>
          </w:p>
        </w:tc>
        <w:tc>
          <w:tcPr>
            <w:tcW w:w="6803" w:type="dxa"/>
          </w:tcPr>
          <w:p w14:paraId="3E04CDD2" w14:textId="77777777" w:rsidR="00514CC0" w:rsidRDefault="00E72B49">
            <w:pPr>
              <w:pStyle w:val="OWTablebodyleft"/>
            </w:pPr>
            <w:r>
              <w:t xml:space="preserve">Slower than expected </w:t>
            </w:r>
          </w:p>
        </w:tc>
      </w:tr>
      <w:tr w:rsidR="00514CC0" w14:paraId="68567260" w14:textId="77777777" w:rsidTr="00084525">
        <w:trPr>
          <w:cantSplit/>
          <w:trHeight w:val="60"/>
        </w:trPr>
        <w:tc>
          <w:tcPr>
            <w:tcW w:w="2268" w:type="dxa"/>
          </w:tcPr>
          <w:p w14:paraId="40A049B3" w14:textId="77777777" w:rsidR="00514CC0" w:rsidRDefault="00E72B49">
            <w:pPr>
              <w:pStyle w:val="OWTablebodyleft"/>
            </w:pPr>
            <w:r>
              <w:t>Gaps in existing data</w:t>
            </w:r>
          </w:p>
        </w:tc>
        <w:tc>
          <w:tcPr>
            <w:tcW w:w="6803" w:type="dxa"/>
          </w:tcPr>
          <w:p w14:paraId="60383BAE" w14:textId="77777777" w:rsidR="00514CC0" w:rsidRDefault="00E72B49">
            <w:pPr>
              <w:pStyle w:val="OWTablebodyleft"/>
            </w:pPr>
            <w:r>
              <w:t>There is no ideal source of data currently available for this indicator. A new instrument should be developed to measure gender parity of community and cultural leaders, drawing on a representative collection of sectors and groups.</w:t>
            </w:r>
          </w:p>
        </w:tc>
      </w:tr>
    </w:tbl>
    <w:p w14:paraId="6AFDA8BA" w14:textId="77777777" w:rsidR="000B319A" w:rsidRPr="000B319A" w:rsidRDefault="000B319A" w:rsidP="000B319A">
      <w:pPr>
        <w:pStyle w:val="BodyText"/>
      </w:pPr>
      <w:r w:rsidRPr="000B319A">
        <w:br w:type="page"/>
      </w:r>
    </w:p>
    <w:p w14:paraId="5042AF7F" w14:textId="539089A7" w:rsidR="00514CC0" w:rsidRDefault="00E72B49" w:rsidP="00F868FE">
      <w:pPr>
        <w:pStyle w:val="Heading5"/>
      </w:pPr>
      <w:r>
        <w:lastRenderedPageBreak/>
        <w:t>Women in leadership in community and cultural sectors, 2014 to 2019</w:t>
      </w:r>
    </w:p>
    <w:p w14:paraId="29538C48" w14:textId="3813E0A6" w:rsidR="00514CC0" w:rsidRDefault="00E72B49">
      <w:pPr>
        <w:pStyle w:val="BodyText"/>
      </w:pPr>
      <w:r>
        <w:t>Currently, no one instrument exists to measure this indicator in a way which encompasses informal groups and smaller organisations. The ABS Gender Indicators collates data from the General Social Survey on involvement in civic, political or community groups during the previous 12 months. General Social Survey data from 2014 revealed that the involvement of</w:t>
      </w:r>
      <w:r w:rsidR="007421E2">
        <w:t> </w:t>
      </w:r>
      <w:r>
        <w:t>women and men in civic or political groups was relatively at parity (14.4% of all surveyed men and 13.2% of all surveyed women). Women’s involvement in community groups in the last 12 months prior to the 2014 survey was higher than men’s (37.4% of surveyed women compared with 27.9% of surveyed men).</w:t>
      </w:r>
      <w:r w:rsidR="00E531A9">
        <w:rPr>
          <w:rStyle w:val="EndnoteReference"/>
        </w:rPr>
        <w:endnoteReference w:id="306"/>
      </w:r>
      <w:r>
        <w:t xml:space="preserve"> This dataset does not tell us anything of the representation of women in leadership positions within these groups.</w:t>
      </w:r>
    </w:p>
    <w:p w14:paraId="05396447" w14:textId="196CF962" w:rsidR="00514CC0" w:rsidRDefault="00E72B49">
      <w:pPr>
        <w:pStyle w:val="BodyText"/>
      </w:pPr>
      <w:r>
        <w:t>The WGEA collates industry-specific data for non-public sector organisations of 100 or</w:t>
      </w:r>
      <w:r w:rsidR="007421E2">
        <w:t> </w:t>
      </w:r>
      <w:r>
        <w:t>more</w:t>
      </w:r>
      <w:r w:rsidR="007421E2">
        <w:t> </w:t>
      </w:r>
      <w:r>
        <w:t xml:space="preserve">employees (that is, relatively large, formal private sector or not-for-profit organisations). A number of the WGEA’s industry and sub-industry categorisations are relevant for this indicator. Table </w:t>
      </w:r>
      <w:r w:rsidR="0017588F">
        <w:t>23</w:t>
      </w:r>
      <w:r>
        <w:t>, below, presents data on women in leadership positions in the creative and performing arts, sports and recreation services, healthcare and social assistance services, preschool education and school education.</w:t>
      </w:r>
    </w:p>
    <w:p w14:paraId="05C89B2A" w14:textId="51E5C73E" w:rsidR="00514CC0" w:rsidRDefault="00E72B49">
      <w:pPr>
        <w:pStyle w:val="BodyText"/>
      </w:pPr>
      <w:r>
        <w:t xml:space="preserve">While the figures differ per industry, what is striking is that </w:t>
      </w:r>
      <w:r w:rsidRPr="002D0D52">
        <w:rPr>
          <w:rStyle w:val="Strong"/>
        </w:rPr>
        <w:t>women make up at least half of</w:t>
      </w:r>
      <w:r w:rsidR="007421E2">
        <w:rPr>
          <w:rStyle w:val="Strong"/>
        </w:rPr>
        <w:t> </w:t>
      </w:r>
      <w:r w:rsidRPr="002D0D52">
        <w:rPr>
          <w:rStyle w:val="Strong"/>
        </w:rPr>
        <w:t>each industry and in some instances heavily dominate the workforce, and yet are substantially under-represented in almost all instances in relation to occupying CEO or head of business positions</w:t>
      </w:r>
      <w:r>
        <w:t>. For example, in sports and recreation services, in 2018–19 women held just 9.3% of CEO positions, while comprising 54.6% of the overall workforce. In</w:t>
      </w:r>
      <w:r w:rsidR="007421E2">
        <w:t> </w:t>
      </w:r>
      <w:r>
        <w:t>preschool education, women comprise nearly nine in ten employees (86.7%), and yet only one-third (33.3%) of CEO positions. Overall, women are better represented in managerial positions than in top CEO positions, but yet again the proportions of women in managerial positions are lesser than overall employee percentages. For example, in school education, women comprise 72.0% of the overall workforce in 2018–19, and yet only hold 55.5% of managerial positions (and 36.9% of CEO positions).</w:t>
      </w:r>
    </w:p>
    <w:p w14:paraId="7BF5438A" w14:textId="77777777" w:rsidR="00514CC0" w:rsidRPr="002D0D52" w:rsidRDefault="00E72B49">
      <w:pPr>
        <w:pStyle w:val="BodyText"/>
        <w:rPr>
          <w:rStyle w:val="Strong"/>
        </w:rPr>
      </w:pPr>
      <w:r w:rsidRPr="002D0D52">
        <w:rPr>
          <w:rStyle w:val="Strong"/>
        </w:rPr>
        <w:t>Most industries have seen some modest growth in the proportions of women occupying managerial and CEO positions between 2014 and 2019.</w:t>
      </w:r>
    </w:p>
    <w:p w14:paraId="562AA66B" w14:textId="77777777" w:rsidR="000B319A" w:rsidRPr="000B319A" w:rsidRDefault="000B319A" w:rsidP="000B319A">
      <w:pPr>
        <w:pStyle w:val="BodyText"/>
      </w:pPr>
      <w:r w:rsidRPr="000B319A">
        <w:br w:type="page"/>
      </w:r>
    </w:p>
    <w:p w14:paraId="0B2D0890" w14:textId="74FB7C6B" w:rsidR="00514CC0" w:rsidRDefault="00E72B49">
      <w:pPr>
        <w:pStyle w:val="OWTablecaption"/>
      </w:pPr>
      <w:r>
        <w:lastRenderedPageBreak/>
        <w:t xml:space="preserve">Table </w:t>
      </w:r>
      <w:r w:rsidR="0017588F">
        <w:t>23</w:t>
      </w:r>
      <w:r>
        <w:t>: Representation of women in overall workforce and leadership positions for each</w:t>
      </w:r>
      <w:r w:rsidR="00D60EEF">
        <w:t> </w:t>
      </w:r>
      <w:r>
        <w:t>creative and</w:t>
      </w:r>
      <w:r w:rsidR="003C77A8">
        <w:t xml:space="preserve"> performing arts, sports and recreation services, healthcare and social assistance services, preschool education and school education</w:t>
      </w:r>
      <w:r>
        <w:t>, 2013–14 and 2018–19</w:t>
      </w:r>
    </w:p>
    <w:tbl>
      <w:tblPr>
        <w:tblStyle w:val="Datatableteal"/>
        <w:tblW w:w="9072" w:type="dxa"/>
        <w:tblLayout w:type="fixed"/>
        <w:tblLook w:val="06A0" w:firstRow="1" w:lastRow="0" w:firstColumn="1" w:lastColumn="0" w:noHBand="1" w:noVBand="1"/>
      </w:tblPr>
      <w:tblGrid>
        <w:gridCol w:w="1532"/>
        <w:gridCol w:w="2551"/>
        <w:gridCol w:w="1247"/>
        <w:gridCol w:w="1247"/>
        <w:gridCol w:w="1248"/>
        <w:gridCol w:w="1247"/>
      </w:tblGrid>
      <w:tr w:rsidR="00514CC0" w14:paraId="72D7F956" w14:textId="77777777" w:rsidTr="00084525">
        <w:trPr>
          <w:cnfStyle w:val="100000000000" w:firstRow="1" w:lastRow="0" w:firstColumn="0" w:lastColumn="0" w:oddVBand="0" w:evenVBand="0" w:oddHBand="0" w:evenHBand="0" w:firstRowFirstColumn="0" w:firstRowLastColumn="0" w:lastRowFirstColumn="0" w:lastRowLastColumn="0"/>
          <w:cantSplit/>
          <w:trHeight w:val="60"/>
          <w:tblHeader/>
        </w:trPr>
        <w:tc>
          <w:tcPr>
            <w:tcW w:w="1531" w:type="dxa"/>
            <w:vMerge w:val="restart"/>
          </w:tcPr>
          <w:p w14:paraId="59AE2080" w14:textId="77777777" w:rsidR="00514CC0" w:rsidRPr="00933C30" w:rsidRDefault="00E72B49">
            <w:pPr>
              <w:pStyle w:val="OWTablecolumnheadleft"/>
            </w:pPr>
            <w:r w:rsidRPr="00933C30">
              <w:t>Industry</w:t>
            </w:r>
          </w:p>
        </w:tc>
        <w:tc>
          <w:tcPr>
            <w:tcW w:w="2551" w:type="dxa"/>
            <w:vMerge w:val="restart"/>
          </w:tcPr>
          <w:p w14:paraId="0821C471" w14:textId="77777777" w:rsidR="00514CC0" w:rsidRPr="00933C30" w:rsidRDefault="00E72B49">
            <w:pPr>
              <w:pStyle w:val="OWTablecolumnheadleft"/>
            </w:pPr>
            <w:r w:rsidRPr="00933C30">
              <w:t>Workforce composition</w:t>
            </w:r>
          </w:p>
        </w:tc>
        <w:tc>
          <w:tcPr>
            <w:tcW w:w="2494" w:type="dxa"/>
            <w:gridSpan w:val="2"/>
          </w:tcPr>
          <w:p w14:paraId="1279D2C9" w14:textId="77777777" w:rsidR="00514CC0" w:rsidRPr="00933C30" w:rsidRDefault="00E72B49">
            <w:pPr>
              <w:pStyle w:val="OWTablecolumnheadcentre"/>
            </w:pPr>
            <w:r w:rsidRPr="00933C30">
              <w:t>2013–14</w:t>
            </w:r>
          </w:p>
        </w:tc>
        <w:tc>
          <w:tcPr>
            <w:tcW w:w="2495" w:type="dxa"/>
            <w:gridSpan w:val="2"/>
          </w:tcPr>
          <w:p w14:paraId="6698112E" w14:textId="77777777" w:rsidR="00514CC0" w:rsidRPr="00933C30" w:rsidRDefault="00E72B49">
            <w:pPr>
              <w:pStyle w:val="OWTablecolumnheadcentre"/>
            </w:pPr>
            <w:r w:rsidRPr="00933C30">
              <w:t>2018–19</w:t>
            </w:r>
          </w:p>
        </w:tc>
      </w:tr>
      <w:tr w:rsidR="00514CC0" w14:paraId="46E7D2A3" w14:textId="77777777" w:rsidTr="00084525">
        <w:trPr>
          <w:cnfStyle w:val="100000000000" w:firstRow="1" w:lastRow="0" w:firstColumn="0" w:lastColumn="0" w:oddVBand="0" w:evenVBand="0" w:oddHBand="0" w:evenHBand="0" w:firstRowFirstColumn="0" w:firstRowLastColumn="0" w:lastRowFirstColumn="0" w:lastRowLastColumn="0"/>
          <w:cantSplit/>
          <w:trHeight w:val="60"/>
          <w:tblHeader/>
        </w:trPr>
        <w:tc>
          <w:tcPr>
            <w:tcW w:w="1531" w:type="dxa"/>
            <w:vMerge/>
          </w:tcPr>
          <w:p w14:paraId="62853A19" w14:textId="77777777" w:rsidR="00514CC0" w:rsidRPr="00933C30" w:rsidRDefault="00514CC0">
            <w:pPr>
              <w:pStyle w:val="OWDefault"/>
              <w:spacing w:line="240" w:lineRule="auto"/>
              <w:textAlignment w:val="auto"/>
            </w:pPr>
          </w:p>
        </w:tc>
        <w:tc>
          <w:tcPr>
            <w:tcW w:w="2551" w:type="dxa"/>
            <w:vMerge/>
          </w:tcPr>
          <w:p w14:paraId="2C12B39D" w14:textId="77777777" w:rsidR="00514CC0" w:rsidRPr="00933C30" w:rsidRDefault="00514CC0">
            <w:pPr>
              <w:pStyle w:val="OWDefault"/>
              <w:spacing w:line="240" w:lineRule="auto"/>
              <w:textAlignment w:val="auto"/>
            </w:pPr>
          </w:p>
        </w:tc>
        <w:tc>
          <w:tcPr>
            <w:tcW w:w="1247" w:type="dxa"/>
          </w:tcPr>
          <w:p w14:paraId="64816267" w14:textId="77777777" w:rsidR="00514CC0" w:rsidRPr="00933C30" w:rsidRDefault="00E72B49">
            <w:pPr>
              <w:pStyle w:val="OWTablecolumnheadcentre"/>
            </w:pPr>
            <w:r w:rsidRPr="00933C30">
              <w:t>Female</w:t>
            </w:r>
          </w:p>
        </w:tc>
        <w:tc>
          <w:tcPr>
            <w:tcW w:w="1247" w:type="dxa"/>
          </w:tcPr>
          <w:p w14:paraId="52A8F77D" w14:textId="77777777" w:rsidR="00514CC0" w:rsidRPr="00933C30" w:rsidRDefault="00E72B49">
            <w:pPr>
              <w:pStyle w:val="OWTablecolumnheadcentre"/>
            </w:pPr>
            <w:r w:rsidRPr="00933C30">
              <w:t>Male</w:t>
            </w:r>
          </w:p>
        </w:tc>
        <w:tc>
          <w:tcPr>
            <w:tcW w:w="1248" w:type="dxa"/>
          </w:tcPr>
          <w:p w14:paraId="372B49BB" w14:textId="77777777" w:rsidR="00514CC0" w:rsidRPr="00933C30" w:rsidRDefault="00E72B49">
            <w:pPr>
              <w:pStyle w:val="OWTablecolumnheadcentre"/>
            </w:pPr>
            <w:r w:rsidRPr="00933C30">
              <w:t>Female</w:t>
            </w:r>
          </w:p>
        </w:tc>
        <w:tc>
          <w:tcPr>
            <w:tcW w:w="1247" w:type="dxa"/>
          </w:tcPr>
          <w:p w14:paraId="12B8642D" w14:textId="77777777" w:rsidR="00514CC0" w:rsidRPr="00933C30" w:rsidRDefault="00E72B49">
            <w:pPr>
              <w:pStyle w:val="OWTablecolumnheadcentre"/>
            </w:pPr>
            <w:r w:rsidRPr="00933C30">
              <w:t>Male</w:t>
            </w:r>
          </w:p>
        </w:tc>
      </w:tr>
      <w:tr w:rsidR="00514CC0" w14:paraId="7A8AC0A8" w14:textId="77777777" w:rsidTr="00084525">
        <w:trPr>
          <w:cantSplit/>
          <w:trHeight w:val="60"/>
        </w:trPr>
        <w:tc>
          <w:tcPr>
            <w:tcW w:w="1531" w:type="dxa"/>
            <w:vMerge w:val="restart"/>
          </w:tcPr>
          <w:p w14:paraId="46888B36" w14:textId="77777777" w:rsidR="00514CC0" w:rsidRDefault="00E72B49">
            <w:pPr>
              <w:pStyle w:val="OWTablebodyleft"/>
            </w:pPr>
            <w:r w:rsidRPr="002D0D52">
              <w:rPr>
                <w:rStyle w:val="Strong"/>
              </w:rPr>
              <w:t>Creative and performing arts</w:t>
            </w:r>
          </w:p>
        </w:tc>
        <w:tc>
          <w:tcPr>
            <w:tcW w:w="2551" w:type="dxa"/>
          </w:tcPr>
          <w:p w14:paraId="7F5161D7" w14:textId="77777777" w:rsidR="00514CC0" w:rsidRDefault="00E72B49">
            <w:pPr>
              <w:pStyle w:val="OWTablebodyleft"/>
            </w:pPr>
            <w:r>
              <w:t>All employees</w:t>
            </w:r>
          </w:p>
        </w:tc>
        <w:tc>
          <w:tcPr>
            <w:tcW w:w="1247" w:type="dxa"/>
          </w:tcPr>
          <w:p w14:paraId="70238364" w14:textId="77777777" w:rsidR="00514CC0" w:rsidRDefault="00E72B49">
            <w:pPr>
              <w:pStyle w:val="OWTablebodycentre"/>
            </w:pPr>
            <w:r>
              <w:t>53.2%</w:t>
            </w:r>
          </w:p>
        </w:tc>
        <w:tc>
          <w:tcPr>
            <w:tcW w:w="1247" w:type="dxa"/>
          </w:tcPr>
          <w:p w14:paraId="1D749123" w14:textId="77777777" w:rsidR="00514CC0" w:rsidRDefault="00E72B49">
            <w:pPr>
              <w:pStyle w:val="OWTablebodycentre"/>
            </w:pPr>
            <w:r>
              <w:t>46.8%</w:t>
            </w:r>
          </w:p>
        </w:tc>
        <w:tc>
          <w:tcPr>
            <w:tcW w:w="1248" w:type="dxa"/>
          </w:tcPr>
          <w:p w14:paraId="1BF09E4B" w14:textId="77777777" w:rsidR="00514CC0" w:rsidRDefault="00E72B49">
            <w:pPr>
              <w:pStyle w:val="OWTablebodycentre"/>
            </w:pPr>
            <w:r>
              <w:t>56.3%</w:t>
            </w:r>
          </w:p>
        </w:tc>
        <w:tc>
          <w:tcPr>
            <w:tcW w:w="1247" w:type="dxa"/>
          </w:tcPr>
          <w:p w14:paraId="78F56E05" w14:textId="77777777" w:rsidR="00514CC0" w:rsidRDefault="00E72B49">
            <w:pPr>
              <w:pStyle w:val="OWTablebodycentre"/>
            </w:pPr>
            <w:r>
              <w:t>43.7%</w:t>
            </w:r>
          </w:p>
        </w:tc>
      </w:tr>
      <w:tr w:rsidR="00514CC0" w14:paraId="6B2994F5" w14:textId="77777777" w:rsidTr="00084525">
        <w:trPr>
          <w:cantSplit/>
          <w:trHeight w:val="60"/>
        </w:trPr>
        <w:tc>
          <w:tcPr>
            <w:tcW w:w="1531" w:type="dxa"/>
            <w:vMerge/>
          </w:tcPr>
          <w:p w14:paraId="380DDD33" w14:textId="77777777" w:rsidR="00514CC0" w:rsidRDefault="00514CC0">
            <w:pPr>
              <w:pStyle w:val="OWDefault"/>
              <w:spacing w:line="240" w:lineRule="auto"/>
              <w:textAlignment w:val="auto"/>
              <w:rPr>
                <w:rFonts w:cs="Calibri"/>
              </w:rPr>
            </w:pPr>
          </w:p>
        </w:tc>
        <w:tc>
          <w:tcPr>
            <w:tcW w:w="2551" w:type="dxa"/>
          </w:tcPr>
          <w:p w14:paraId="06EBC439" w14:textId="77777777" w:rsidR="00514CC0" w:rsidRDefault="00E72B49">
            <w:pPr>
              <w:pStyle w:val="OWTablebodyleft"/>
            </w:pPr>
            <w:r>
              <w:t>All managers</w:t>
            </w:r>
          </w:p>
        </w:tc>
        <w:tc>
          <w:tcPr>
            <w:tcW w:w="1247" w:type="dxa"/>
          </w:tcPr>
          <w:p w14:paraId="1DD37841" w14:textId="77777777" w:rsidR="00514CC0" w:rsidRDefault="00E72B49">
            <w:pPr>
              <w:pStyle w:val="OWTablebodycentre"/>
            </w:pPr>
            <w:r>
              <w:t>45.0%</w:t>
            </w:r>
          </w:p>
        </w:tc>
        <w:tc>
          <w:tcPr>
            <w:tcW w:w="1247" w:type="dxa"/>
          </w:tcPr>
          <w:p w14:paraId="54B91C45" w14:textId="77777777" w:rsidR="00514CC0" w:rsidRDefault="00E72B49">
            <w:pPr>
              <w:pStyle w:val="OWTablebodycentre"/>
            </w:pPr>
            <w:r>
              <w:t>55.0%</w:t>
            </w:r>
          </w:p>
        </w:tc>
        <w:tc>
          <w:tcPr>
            <w:tcW w:w="1248" w:type="dxa"/>
          </w:tcPr>
          <w:p w14:paraId="5C7E67EB" w14:textId="77777777" w:rsidR="00514CC0" w:rsidRDefault="00E72B49">
            <w:pPr>
              <w:pStyle w:val="OWTablebodycentre"/>
            </w:pPr>
            <w:r>
              <w:t>50.3%</w:t>
            </w:r>
          </w:p>
        </w:tc>
        <w:tc>
          <w:tcPr>
            <w:tcW w:w="1247" w:type="dxa"/>
          </w:tcPr>
          <w:p w14:paraId="78658EF0" w14:textId="77777777" w:rsidR="00514CC0" w:rsidRDefault="00E72B49">
            <w:pPr>
              <w:pStyle w:val="OWTablebodycentre"/>
            </w:pPr>
            <w:r>
              <w:t>49.7%</w:t>
            </w:r>
          </w:p>
        </w:tc>
      </w:tr>
      <w:tr w:rsidR="00514CC0" w14:paraId="00D688A5" w14:textId="77777777" w:rsidTr="00084525">
        <w:trPr>
          <w:cantSplit/>
          <w:trHeight w:val="60"/>
        </w:trPr>
        <w:tc>
          <w:tcPr>
            <w:tcW w:w="1531" w:type="dxa"/>
            <w:vMerge/>
          </w:tcPr>
          <w:p w14:paraId="354459F0" w14:textId="77777777" w:rsidR="00514CC0" w:rsidRDefault="00514CC0">
            <w:pPr>
              <w:pStyle w:val="OWDefault"/>
              <w:spacing w:line="240" w:lineRule="auto"/>
              <w:textAlignment w:val="auto"/>
              <w:rPr>
                <w:rFonts w:cs="Calibri"/>
              </w:rPr>
            </w:pPr>
          </w:p>
        </w:tc>
        <w:tc>
          <w:tcPr>
            <w:tcW w:w="2551" w:type="dxa"/>
          </w:tcPr>
          <w:p w14:paraId="1A3B2B6D" w14:textId="77777777" w:rsidR="00514CC0" w:rsidRDefault="00E72B49">
            <w:pPr>
              <w:pStyle w:val="OWTablebodyleft"/>
            </w:pPr>
            <w:r>
              <w:t>CEOs/heads of business</w:t>
            </w:r>
          </w:p>
        </w:tc>
        <w:tc>
          <w:tcPr>
            <w:tcW w:w="1247" w:type="dxa"/>
          </w:tcPr>
          <w:p w14:paraId="6AFDA2E7" w14:textId="77777777" w:rsidR="00514CC0" w:rsidRDefault="00E72B49">
            <w:pPr>
              <w:pStyle w:val="OWTablebodycentre"/>
            </w:pPr>
            <w:r>
              <w:t>25.0%</w:t>
            </w:r>
          </w:p>
        </w:tc>
        <w:tc>
          <w:tcPr>
            <w:tcW w:w="1247" w:type="dxa"/>
          </w:tcPr>
          <w:p w14:paraId="1F5F5B80" w14:textId="77777777" w:rsidR="00514CC0" w:rsidRDefault="00E72B49">
            <w:pPr>
              <w:pStyle w:val="OWTablebodycentre"/>
            </w:pPr>
            <w:r>
              <w:t>75.0%</w:t>
            </w:r>
          </w:p>
        </w:tc>
        <w:tc>
          <w:tcPr>
            <w:tcW w:w="1248" w:type="dxa"/>
          </w:tcPr>
          <w:p w14:paraId="2846006A" w14:textId="77777777" w:rsidR="00514CC0" w:rsidRDefault="00E72B49">
            <w:pPr>
              <w:pStyle w:val="OWTablebodycentre"/>
            </w:pPr>
            <w:r>
              <w:t>37.5%</w:t>
            </w:r>
          </w:p>
        </w:tc>
        <w:tc>
          <w:tcPr>
            <w:tcW w:w="1247" w:type="dxa"/>
          </w:tcPr>
          <w:p w14:paraId="208A9DDA" w14:textId="77777777" w:rsidR="00514CC0" w:rsidRDefault="00E72B49">
            <w:pPr>
              <w:pStyle w:val="OWTablebodycentre"/>
            </w:pPr>
            <w:r>
              <w:t>62.5%</w:t>
            </w:r>
          </w:p>
        </w:tc>
      </w:tr>
      <w:tr w:rsidR="00514CC0" w14:paraId="7096B022" w14:textId="77777777" w:rsidTr="00084525">
        <w:trPr>
          <w:cantSplit/>
          <w:trHeight w:val="60"/>
        </w:trPr>
        <w:tc>
          <w:tcPr>
            <w:tcW w:w="1531" w:type="dxa"/>
            <w:vMerge w:val="restart"/>
          </w:tcPr>
          <w:p w14:paraId="4144CA41" w14:textId="77777777" w:rsidR="00514CC0" w:rsidRDefault="00E72B49">
            <w:pPr>
              <w:pStyle w:val="OWTablebodyleft"/>
            </w:pPr>
            <w:r w:rsidRPr="002D0D52">
              <w:rPr>
                <w:rStyle w:val="Strong"/>
              </w:rPr>
              <w:t>Sports and recreation services</w:t>
            </w:r>
          </w:p>
        </w:tc>
        <w:tc>
          <w:tcPr>
            <w:tcW w:w="2551" w:type="dxa"/>
          </w:tcPr>
          <w:p w14:paraId="070FEED1" w14:textId="77777777" w:rsidR="00514CC0" w:rsidRDefault="00E72B49">
            <w:pPr>
              <w:pStyle w:val="OWTablebodyleft"/>
            </w:pPr>
            <w:r>
              <w:t>All employees</w:t>
            </w:r>
          </w:p>
        </w:tc>
        <w:tc>
          <w:tcPr>
            <w:tcW w:w="1247" w:type="dxa"/>
          </w:tcPr>
          <w:p w14:paraId="094986A5" w14:textId="77777777" w:rsidR="00514CC0" w:rsidRDefault="00E72B49">
            <w:pPr>
              <w:pStyle w:val="OWTablebodycentre"/>
            </w:pPr>
            <w:r>
              <w:t>54.6%</w:t>
            </w:r>
          </w:p>
        </w:tc>
        <w:tc>
          <w:tcPr>
            <w:tcW w:w="1247" w:type="dxa"/>
          </w:tcPr>
          <w:p w14:paraId="64BF1CB0" w14:textId="77777777" w:rsidR="00514CC0" w:rsidRDefault="00E72B49">
            <w:pPr>
              <w:pStyle w:val="OWTablebodycentre"/>
            </w:pPr>
            <w:r>
              <w:t>45.4%</w:t>
            </w:r>
          </w:p>
        </w:tc>
        <w:tc>
          <w:tcPr>
            <w:tcW w:w="1248" w:type="dxa"/>
          </w:tcPr>
          <w:p w14:paraId="12BC8759" w14:textId="77777777" w:rsidR="00514CC0" w:rsidRDefault="00E72B49">
            <w:pPr>
              <w:pStyle w:val="OWTablebodycentre"/>
            </w:pPr>
            <w:r>
              <w:t>54.6%</w:t>
            </w:r>
          </w:p>
        </w:tc>
        <w:tc>
          <w:tcPr>
            <w:tcW w:w="1247" w:type="dxa"/>
          </w:tcPr>
          <w:p w14:paraId="65A11B06" w14:textId="77777777" w:rsidR="00514CC0" w:rsidRDefault="00E72B49">
            <w:pPr>
              <w:pStyle w:val="OWTablebodycentre"/>
            </w:pPr>
            <w:r>
              <w:t>45.4%</w:t>
            </w:r>
          </w:p>
        </w:tc>
      </w:tr>
      <w:tr w:rsidR="00514CC0" w14:paraId="63464D96" w14:textId="77777777" w:rsidTr="00084525">
        <w:trPr>
          <w:cantSplit/>
          <w:trHeight w:val="60"/>
        </w:trPr>
        <w:tc>
          <w:tcPr>
            <w:tcW w:w="1531" w:type="dxa"/>
            <w:vMerge/>
          </w:tcPr>
          <w:p w14:paraId="5FF00B53" w14:textId="77777777" w:rsidR="00514CC0" w:rsidRDefault="00514CC0">
            <w:pPr>
              <w:pStyle w:val="OWDefault"/>
              <w:spacing w:line="240" w:lineRule="auto"/>
              <w:textAlignment w:val="auto"/>
              <w:rPr>
                <w:rFonts w:cs="Calibri"/>
              </w:rPr>
            </w:pPr>
          </w:p>
        </w:tc>
        <w:tc>
          <w:tcPr>
            <w:tcW w:w="2551" w:type="dxa"/>
          </w:tcPr>
          <w:p w14:paraId="16EF5C7A" w14:textId="77777777" w:rsidR="00514CC0" w:rsidRDefault="00E72B49">
            <w:pPr>
              <w:pStyle w:val="OWTablebodyleft"/>
            </w:pPr>
            <w:r>
              <w:t>All managers</w:t>
            </w:r>
          </w:p>
        </w:tc>
        <w:tc>
          <w:tcPr>
            <w:tcW w:w="1247" w:type="dxa"/>
          </w:tcPr>
          <w:p w14:paraId="77BB6851" w14:textId="77777777" w:rsidR="00514CC0" w:rsidRDefault="00E72B49">
            <w:pPr>
              <w:pStyle w:val="OWTablebodycentre"/>
            </w:pPr>
            <w:r>
              <w:t>32.6%</w:t>
            </w:r>
          </w:p>
        </w:tc>
        <w:tc>
          <w:tcPr>
            <w:tcW w:w="1247" w:type="dxa"/>
          </w:tcPr>
          <w:p w14:paraId="6B9DEDE0" w14:textId="77777777" w:rsidR="00514CC0" w:rsidRDefault="00E72B49">
            <w:pPr>
              <w:pStyle w:val="OWTablebodycentre"/>
            </w:pPr>
            <w:r>
              <w:t>67.4%</w:t>
            </w:r>
          </w:p>
        </w:tc>
        <w:tc>
          <w:tcPr>
            <w:tcW w:w="1248" w:type="dxa"/>
          </w:tcPr>
          <w:p w14:paraId="24BB8D5B" w14:textId="77777777" w:rsidR="00514CC0" w:rsidRDefault="00E72B49">
            <w:pPr>
              <w:pStyle w:val="OWTablebodycentre"/>
            </w:pPr>
            <w:r>
              <w:t>37.7%</w:t>
            </w:r>
          </w:p>
        </w:tc>
        <w:tc>
          <w:tcPr>
            <w:tcW w:w="1247" w:type="dxa"/>
          </w:tcPr>
          <w:p w14:paraId="4A2AB3F3" w14:textId="77777777" w:rsidR="00514CC0" w:rsidRDefault="00E72B49">
            <w:pPr>
              <w:pStyle w:val="OWTablebodycentre"/>
            </w:pPr>
            <w:r>
              <w:t>62.5%</w:t>
            </w:r>
          </w:p>
        </w:tc>
      </w:tr>
      <w:tr w:rsidR="00514CC0" w14:paraId="39E7E354" w14:textId="77777777" w:rsidTr="00084525">
        <w:trPr>
          <w:cantSplit/>
          <w:trHeight w:val="60"/>
        </w:trPr>
        <w:tc>
          <w:tcPr>
            <w:tcW w:w="1531" w:type="dxa"/>
            <w:vMerge/>
          </w:tcPr>
          <w:p w14:paraId="1B1B6B4E" w14:textId="77777777" w:rsidR="00514CC0" w:rsidRDefault="00514CC0">
            <w:pPr>
              <w:pStyle w:val="OWDefault"/>
              <w:spacing w:line="240" w:lineRule="auto"/>
              <w:textAlignment w:val="auto"/>
              <w:rPr>
                <w:rFonts w:cs="Calibri"/>
              </w:rPr>
            </w:pPr>
          </w:p>
        </w:tc>
        <w:tc>
          <w:tcPr>
            <w:tcW w:w="2551" w:type="dxa"/>
          </w:tcPr>
          <w:p w14:paraId="05F053D3" w14:textId="77777777" w:rsidR="00514CC0" w:rsidRDefault="00E72B49">
            <w:pPr>
              <w:pStyle w:val="OWTablebodyleft"/>
            </w:pPr>
            <w:r>
              <w:t>CEOs/heads of business</w:t>
            </w:r>
          </w:p>
        </w:tc>
        <w:tc>
          <w:tcPr>
            <w:tcW w:w="1247" w:type="dxa"/>
          </w:tcPr>
          <w:p w14:paraId="6FCC79E0" w14:textId="77777777" w:rsidR="00514CC0" w:rsidRDefault="00E72B49">
            <w:pPr>
              <w:pStyle w:val="OWTablebodycentre"/>
            </w:pPr>
            <w:r>
              <w:t>3.9%</w:t>
            </w:r>
          </w:p>
        </w:tc>
        <w:tc>
          <w:tcPr>
            <w:tcW w:w="1247" w:type="dxa"/>
          </w:tcPr>
          <w:p w14:paraId="126C775F" w14:textId="77777777" w:rsidR="00514CC0" w:rsidRDefault="00E72B49">
            <w:pPr>
              <w:pStyle w:val="OWTablebodycentre"/>
            </w:pPr>
            <w:r>
              <w:t>96.1%</w:t>
            </w:r>
          </w:p>
        </w:tc>
        <w:tc>
          <w:tcPr>
            <w:tcW w:w="1248" w:type="dxa"/>
          </w:tcPr>
          <w:p w14:paraId="662C27B0" w14:textId="77777777" w:rsidR="00514CC0" w:rsidRDefault="00E72B49">
            <w:pPr>
              <w:pStyle w:val="OWTablebodycentre"/>
            </w:pPr>
            <w:r>
              <w:t>9.3%</w:t>
            </w:r>
          </w:p>
        </w:tc>
        <w:tc>
          <w:tcPr>
            <w:tcW w:w="1247" w:type="dxa"/>
          </w:tcPr>
          <w:p w14:paraId="46FB8346" w14:textId="77777777" w:rsidR="00514CC0" w:rsidRDefault="00E72B49">
            <w:pPr>
              <w:pStyle w:val="OWTablebodycentre"/>
            </w:pPr>
            <w:r>
              <w:t>90.7%</w:t>
            </w:r>
          </w:p>
        </w:tc>
      </w:tr>
      <w:tr w:rsidR="00514CC0" w14:paraId="0D0D655F" w14:textId="77777777" w:rsidTr="00084525">
        <w:trPr>
          <w:cantSplit/>
          <w:trHeight w:val="60"/>
        </w:trPr>
        <w:tc>
          <w:tcPr>
            <w:tcW w:w="1531" w:type="dxa"/>
            <w:vMerge w:val="restart"/>
          </w:tcPr>
          <w:p w14:paraId="1008F1A0" w14:textId="77777777" w:rsidR="00514CC0" w:rsidRDefault="00E72B49">
            <w:pPr>
              <w:pStyle w:val="OWTablebodyleft"/>
            </w:pPr>
            <w:r w:rsidRPr="002D0D52">
              <w:rPr>
                <w:rStyle w:val="Strong"/>
              </w:rPr>
              <w:t>Healthcare and social assistance</w:t>
            </w:r>
          </w:p>
        </w:tc>
        <w:tc>
          <w:tcPr>
            <w:tcW w:w="2551" w:type="dxa"/>
          </w:tcPr>
          <w:p w14:paraId="422A2E03" w14:textId="77777777" w:rsidR="00514CC0" w:rsidRDefault="00E72B49">
            <w:pPr>
              <w:pStyle w:val="OWTablebodyleft"/>
            </w:pPr>
            <w:r>
              <w:t>All employees</w:t>
            </w:r>
          </w:p>
        </w:tc>
        <w:tc>
          <w:tcPr>
            <w:tcW w:w="1247" w:type="dxa"/>
          </w:tcPr>
          <w:p w14:paraId="67340D58" w14:textId="77777777" w:rsidR="00514CC0" w:rsidRDefault="00E72B49">
            <w:pPr>
              <w:pStyle w:val="OWTablebodycentre"/>
            </w:pPr>
            <w:r>
              <w:t>80.6%</w:t>
            </w:r>
          </w:p>
        </w:tc>
        <w:tc>
          <w:tcPr>
            <w:tcW w:w="1247" w:type="dxa"/>
          </w:tcPr>
          <w:p w14:paraId="52F0C428" w14:textId="77777777" w:rsidR="00514CC0" w:rsidRDefault="00E72B49">
            <w:pPr>
              <w:pStyle w:val="OWTablebodycentre"/>
            </w:pPr>
            <w:r>
              <w:t>19.4%</w:t>
            </w:r>
          </w:p>
        </w:tc>
        <w:tc>
          <w:tcPr>
            <w:tcW w:w="1248" w:type="dxa"/>
          </w:tcPr>
          <w:p w14:paraId="79A20E8A" w14:textId="77777777" w:rsidR="00514CC0" w:rsidRDefault="00E72B49">
            <w:pPr>
              <w:pStyle w:val="OWTablebodycentre"/>
            </w:pPr>
            <w:r>
              <w:t>79.9%</w:t>
            </w:r>
          </w:p>
        </w:tc>
        <w:tc>
          <w:tcPr>
            <w:tcW w:w="1247" w:type="dxa"/>
          </w:tcPr>
          <w:p w14:paraId="5914C66F" w14:textId="77777777" w:rsidR="00514CC0" w:rsidRDefault="00E72B49">
            <w:pPr>
              <w:pStyle w:val="OWTablebodycentre"/>
            </w:pPr>
            <w:r>
              <w:t>20.1%</w:t>
            </w:r>
          </w:p>
        </w:tc>
      </w:tr>
      <w:tr w:rsidR="00514CC0" w14:paraId="1AE19DC6" w14:textId="77777777" w:rsidTr="00084525">
        <w:trPr>
          <w:cantSplit/>
          <w:trHeight w:val="60"/>
        </w:trPr>
        <w:tc>
          <w:tcPr>
            <w:tcW w:w="1531" w:type="dxa"/>
            <w:vMerge/>
          </w:tcPr>
          <w:p w14:paraId="55F6A735" w14:textId="77777777" w:rsidR="00514CC0" w:rsidRDefault="00514CC0">
            <w:pPr>
              <w:pStyle w:val="OWDefault"/>
              <w:spacing w:line="240" w:lineRule="auto"/>
              <w:textAlignment w:val="auto"/>
              <w:rPr>
                <w:rFonts w:cs="Calibri"/>
              </w:rPr>
            </w:pPr>
          </w:p>
        </w:tc>
        <w:tc>
          <w:tcPr>
            <w:tcW w:w="2551" w:type="dxa"/>
          </w:tcPr>
          <w:p w14:paraId="727970D8" w14:textId="77777777" w:rsidR="00514CC0" w:rsidRDefault="00E72B49">
            <w:pPr>
              <w:pStyle w:val="OWTablebodyleft"/>
            </w:pPr>
            <w:r>
              <w:t>All managers</w:t>
            </w:r>
          </w:p>
        </w:tc>
        <w:tc>
          <w:tcPr>
            <w:tcW w:w="1247" w:type="dxa"/>
          </w:tcPr>
          <w:p w14:paraId="37EB1172" w14:textId="77777777" w:rsidR="00514CC0" w:rsidRDefault="00E72B49">
            <w:pPr>
              <w:pStyle w:val="OWTablebodycentre"/>
            </w:pPr>
            <w:r>
              <w:t>69.7%</w:t>
            </w:r>
          </w:p>
        </w:tc>
        <w:tc>
          <w:tcPr>
            <w:tcW w:w="1247" w:type="dxa"/>
          </w:tcPr>
          <w:p w14:paraId="5009095F" w14:textId="77777777" w:rsidR="00514CC0" w:rsidRDefault="00E72B49">
            <w:pPr>
              <w:pStyle w:val="OWTablebodycentre"/>
            </w:pPr>
            <w:r>
              <w:t>30.3%</w:t>
            </w:r>
          </w:p>
        </w:tc>
        <w:tc>
          <w:tcPr>
            <w:tcW w:w="1248" w:type="dxa"/>
          </w:tcPr>
          <w:p w14:paraId="05B95BE1" w14:textId="77777777" w:rsidR="00514CC0" w:rsidRDefault="00E72B49">
            <w:pPr>
              <w:pStyle w:val="OWTablebodycentre"/>
            </w:pPr>
            <w:r>
              <w:t>70.1%</w:t>
            </w:r>
          </w:p>
        </w:tc>
        <w:tc>
          <w:tcPr>
            <w:tcW w:w="1247" w:type="dxa"/>
          </w:tcPr>
          <w:p w14:paraId="33067C77" w14:textId="77777777" w:rsidR="00514CC0" w:rsidRDefault="00E72B49">
            <w:pPr>
              <w:pStyle w:val="OWTablebodycentre"/>
            </w:pPr>
            <w:r>
              <w:t>29.9%</w:t>
            </w:r>
          </w:p>
        </w:tc>
      </w:tr>
      <w:tr w:rsidR="00514CC0" w14:paraId="7D3DF6F2" w14:textId="77777777" w:rsidTr="00084525">
        <w:trPr>
          <w:cantSplit/>
          <w:trHeight w:val="60"/>
        </w:trPr>
        <w:tc>
          <w:tcPr>
            <w:tcW w:w="1531" w:type="dxa"/>
            <w:vMerge/>
          </w:tcPr>
          <w:p w14:paraId="5C6E85C7" w14:textId="77777777" w:rsidR="00514CC0" w:rsidRDefault="00514CC0">
            <w:pPr>
              <w:pStyle w:val="OWDefault"/>
              <w:spacing w:line="240" w:lineRule="auto"/>
              <w:textAlignment w:val="auto"/>
              <w:rPr>
                <w:rFonts w:cs="Calibri"/>
              </w:rPr>
            </w:pPr>
          </w:p>
        </w:tc>
        <w:tc>
          <w:tcPr>
            <w:tcW w:w="2551" w:type="dxa"/>
          </w:tcPr>
          <w:p w14:paraId="170EFCC3" w14:textId="77777777" w:rsidR="00514CC0" w:rsidRDefault="00E72B49">
            <w:pPr>
              <w:pStyle w:val="OWTablebodyleft"/>
            </w:pPr>
            <w:r>
              <w:t>CEOs/heads of business</w:t>
            </w:r>
          </w:p>
        </w:tc>
        <w:tc>
          <w:tcPr>
            <w:tcW w:w="1247" w:type="dxa"/>
          </w:tcPr>
          <w:p w14:paraId="350373AC" w14:textId="77777777" w:rsidR="00514CC0" w:rsidRDefault="00E72B49">
            <w:pPr>
              <w:pStyle w:val="OWTablebodycentre"/>
            </w:pPr>
            <w:r>
              <w:t>36.6%</w:t>
            </w:r>
          </w:p>
        </w:tc>
        <w:tc>
          <w:tcPr>
            <w:tcW w:w="1247" w:type="dxa"/>
          </w:tcPr>
          <w:p w14:paraId="6079551D" w14:textId="77777777" w:rsidR="00514CC0" w:rsidRDefault="00E72B49">
            <w:pPr>
              <w:pStyle w:val="OWTablebodycentre"/>
            </w:pPr>
            <w:r>
              <w:t>63.4%</w:t>
            </w:r>
          </w:p>
        </w:tc>
        <w:tc>
          <w:tcPr>
            <w:tcW w:w="1248" w:type="dxa"/>
          </w:tcPr>
          <w:p w14:paraId="29C32C41" w14:textId="77777777" w:rsidR="00514CC0" w:rsidRDefault="00E72B49">
            <w:pPr>
              <w:pStyle w:val="OWTablebodycentre"/>
            </w:pPr>
            <w:r>
              <w:t>41.4%</w:t>
            </w:r>
          </w:p>
        </w:tc>
        <w:tc>
          <w:tcPr>
            <w:tcW w:w="1247" w:type="dxa"/>
          </w:tcPr>
          <w:p w14:paraId="3F85709C" w14:textId="77777777" w:rsidR="00514CC0" w:rsidRDefault="00E72B49">
            <w:pPr>
              <w:pStyle w:val="OWTablebodycentre"/>
            </w:pPr>
            <w:r>
              <w:t>58.6%</w:t>
            </w:r>
          </w:p>
        </w:tc>
      </w:tr>
      <w:tr w:rsidR="00514CC0" w14:paraId="240CF864" w14:textId="77777777" w:rsidTr="00084525">
        <w:trPr>
          <w:cantSplit/>
          <w:trHeight w:val="60"/>
        </w:trPr>
        <w:tc>
          <w:tcPr>
            <w:tcW w:w="1531" w:type="dxa"/>
            <w:vMerge w:val="restart"/>
          </w:tcPr>
          <w:p w14:paraId="4D379FCB" w14:textId="77777777" w:rsidR="00514CC0" w:rsidRDefault="00E72B49">
            <w:pPr>
              <w:pStyle w:val="OWTablebodyleft"/>
            </w:pPr>
            <w:r w:rsidRPr="002D0D52">
              <w:rPr>
                <w:rStyle w:val="Strong"/>
              </w:rPr>
              <w:t>Preschool education</w:t>
            </w:r>
          </w:p>
        </w:tc>
        <w:tc>
          <w:tcPr>
            <w:tcW w:w="2551" w:type="dxa"/>
          </w:tcPr>
          <w:p w14:paraId="69FA0E94" w14:textId="77777777" w:rsidR="00514CC0" w:rsidRDefault="00E72B49">
            <w:pPr>
              <w:pStyle w:val="OWTablebodyleft"/>
            </w:pPr>
            <w:r>
              <w:t>All employees</w:t>
            </w:r>
          </w:p>
        </w:tc>
        <w:tc>
          <w:tcPr>
            <w:tcW w:w="1247" w:type="dxa"/>
          </w:tcPr>
          <w:p w14:paraId="390E29D2" w14:textId="77777777" w:rsidR="00514CC0" w:rsidRDefault="00E72B49">
            <w:pPr>
              <w:pStyle w:val="OWTablebodycentre"/>
            </w:pPr>
            <w:r>
              <w:t>88.1%</w:t>
            </w:r>
          </w:p>
        </w:tc>
        <w:tc>
          <w:tcPr>
            <w:tcW w:w="1247" w:type="dxa"/>
          </w:tcPr>
          <w:p w14:paraId="6F671FE6" w14:textId="77777777" w:rsidR="00514CC0" w:rsidRDefault="00E72B49">
            <w:pPr>
              <w:pStyle w:val="OWTablebodycentre"/>
            </w:pPr>
            <w:r>
              <w:t>11.9%</w:t>
            </w:r>
          </w:p>
        </w:tc>
        <w:tc>
          <w:tcPr>
            <w:tcW w:w="1248" w:type="dxa"/>
          </w:tcPr>
          <w:p w14:paraId="623FA6C0" w14:textId="77777777" w:rsidR="00514CC0" w:rsidRDefault="00E72B49">
            <w:pPr>
              <w:pStyle w:val="OWTablebodycentre"/>
            </w:pPr>
            <w:r>
              <w:t>86.7%</w:t>
            </w:r>
          </w:p>
        </w:tc>
        <w:tc>
          <w:tcPr>
            <w:tcW w:w="1247" w:type="dxa"/>
          </w:tcPr>
          <w:p w14:paraId="3EECF8AE" w14:textId="77777777" w:rsidR="00514CC0" w:rsidRDefault="00E72B49">
            <w:pPr>
              <w:pStyle w:val="OWTablebodycentre"/>
            </w:pPr>
            <w:r>
              <w:t>13.3%</w:t>
            </w:r>
          </w:p>
        </w:tc>
      </w:tr>
      <w:tr w:rsidR="00514CC0" w14:paraId="6503C2AB" w14:textId="77777777" w:rsidTr="00084525">
        <w:trPr>
          <w:cantSplit/>
          <w:trHeight w:val="60"/>
        </w:trPr>
        <w:tc>
          <w:tcPr>
            <w:tcW w:w="1531" w:type="dxa"/>
            <w:vMerge/>
          </w:tcPr>
          <w:p w14:paraId="20A1CB41" w14:textId="77777777" w:rsidR="00514CC0" w:rsidRDefault="00514CC0">
            <w:pPr>
              <w:pStyle w:val="OWDefault"/>
              <w:spacing w:line="240" w:lineRule="auto"/>
              <w:textAlignment w:val="auto"/>
              <w:rPr>
                <w:rFonts w:cs="Calibri"/>
              </w:rPr>
            </w:pPr>
          </w:p>
        </w:tc>
        <w:tc>
          <w:tcPr>
            <w:tcW w:w="2551" w:type="dxa"/>
          </w:tcPr>
          <w:p w14:paraId="79FF358E" w14:textId="77777777" w:rsidR="00514CC0" w:rsidRDefault="00E72B49">
            <w:pPr>
              <w:pStyle w:val="OWTablebodyleft"/>
            </w:pPr>
            <w:r>
              <w:t>All managers</w:t>
            </w:r>
          </w:p>
        </w:tc>
        <w:tc>
          <w:tcPr>
            <w:tcW w:w="1247" w:type="dxa"/>
          </w:tcPr>
          <w:p w14:paraId="4EB68A96" w14:textId="77777777" w:rsidR="00514CC0" w:rsidRDefault="00E72B49">
            <w:pPr>
              <w:pStyle w:val="OWTablebodycentre"/>
            </w:pPr>
            <w:r>
              <w:t>73.0%</w:t>
            </w:r>
          </w:p>
        </w:tc>
        <w:tc>
          <w:tcPr>
            <w:tcW w:w="1247" w:type="dxa"/>
          </w:tcPr>
          <w:p w14:paraId="4BEF7C06" w14:textId="77777777" w:rsidR="00514CC0" w:rsidRDefault="00E72B49">
            <w:pPr>
              <w:pStyle w:val="OWTablebodycentre"/>
            </w:pPr>
            <w:r>
              <w:t>27.0%</w:t>
            </w:r>
          </w:p>
        </w:tc>
        <w:tc>
          <w:tcPr>
            <w:tcW w:w="1248" w:type="dxa"/>
          </w:tcPr>
          <w:p w14:paraId="3D75E2B9" w14:textId="77777777" w:rsidR="00514CC0" w:rsidRDefault="00E72B49">
            <w:pPr>
              <w:pStyle w:val="OWTablebodycentre"/>
            </w:pPr>
            <w:r>
              <w:t>67.7%</w:t>
            </w:r>
          </w:p>
        </w:tc>
        <w:tc>
          <w:tcPr>
            <w:tcW w:w="1247" w:type="dxa"/>
          </w:tcPr>
          <w:p w14:paraId="6E87A64D" w14:textId="77777777" w:rsidR="00514CC0" w:rsidRDefault="00E72B49">
            <w:pPr>
              <w:pStyle w:val="OWTablebodycentre"/>
            </w:pPr>
            <w:r>
              <w:t>32.3%</w:t>
            </w:r>
          </w:p>
        </w:tc>
      </w:tr>
      <w:tr w:rsidR="00514CC0" w14:paraId="77E3EF2A" w14:textId="77777777" w:rsidTr="00084525">
        <w:trPr>
          <w:cantSplit/>
          <w:trHeight w:val="60"/>
        </w:trPr>
        <w:tc>
          <w:tcPr>
            <w:tcW w:w="1531" w:type="dxa"/>
            <w:vMerge/>
          </w:tcPr>
          <w:p w14:paraId="5C500D22" w14:textId="77777777" w:rsidR="00514CC0" w:rsidRDefault="00514CC0">
            <w:pPr>
              <w:pStyle w:val="OWDefault"/>
              <w:spacing w:line="240" w:lineRule="auto"/>
              <w:textAlignment w:val="auto"/>
              <w:rPr>
                <w:rFonts w:cs="Calibri"/>
              </w:rPr>
            </w:pPr>
          </w:p>
        </w:tc>
        <w:tc>
          <w:tcPr>
            <w:tcW w:w="2551" w:type="dxa"/>
          </w:tcPr>
          <w:p w14:paraId="0614CA97" w14:textId="77777777" w:rsidR="00514CC0" w:rsidRDefault="00E72B49">
            <w:pPr>
              <w:pStyle w:val="OWTablebodyleft"/>
            </w:pPr>
            <w:r>
              <w:t>CEOs/heads of business</w:t>
            </w:r>
          </w:p>
        </w:tc>
        <w:tc>
          <w:tcPr>
            <w:tcW w:w="1247" w:type="dxa"/>
          </w:tcPr>
          <w:p w14:paraId="66ACB248" w14:textId="77777777" w:rsidR="00514CC0" w:rsidRDefault="00E72B49">
            <w:pPr>
              <w:pStyle w:val="OWTablebodycentre"/>
            </w:pPr>
            <w:r>
              <w:t>40.0%</w:t>
            </w:r>
          </w:p>
        </w:tc>
        <w:tc>
          <w:tcPr>
            <w:tcW w:w="1247" w:type="dxa"/>
          </w:tcPr>
          <w:p w14:paraId="0A40738A" w14:textId="77777777" w:rsidR="00514CC0" w:rsidRDefault="00E72B49">
            <w:pPr>
              <w:pStyle w:val="OWTablebodycentre"/>
            </w:pPr>
            <w:r>
              <w:t>60.0%</w:t>
            </w:r>
          </w:p>
        </w:tc>
        <w:tc>
          <w:tcPr>
            <w:tcW w:w="1248" w:type="dxa"/>
          </w:tcPr>
          <w:p w14:paraId="659D2084" w14:textId="77777777" w:rsidR="00514CC0" w:rsidRDefault="00E72B49">
            <w:pPr>
              <w:pStyle w:val="OWTablebodycentre"/>
            </w:pPr>
            <w:r>
              <w:t>33.3%</w:t>
            </w:r>
          </w:p>
        </w:tc>
        <w:tc>
          <w:tcPr>
            <w:tcW w:w="1247" w:type="dxa"/>
          </w:tcPr>
          <w:p w14:paraId="57F5484F" w14:textId="77777777" w:rsidR="00514CC0" w:rsidRDefault="00E72B49">
            <w:pPr>
              <w:pStyle w:val="OWTablebodycentre"/>
            </w:pPr>
            <w:r>
              <w:t>66.7%</w:t>
            </w:r>
          </w:p>
        </w:tc>
      </w:tr>
      <w:tr w:rsidR="00514CC0" w14:paraId="71925CDF" w14:textId="77777777" w:rsidTr="00084525">
        <w:trPr>
          <w:cantSplit/>
          <w:trHeight w:val="60"/>
        </w:trPr>
        <w:tc>
          <w:tcPr>
            <w:tcW w:w="1531" w:type="dxa"/>
            <w:vMerge w:val="restart"/>
          </w:tcPr>
          <w:p w14:paraId="7E5B10BF" w14:textId="77777777" w:rsidR="00514CC0" w:rsidRDefault="00E72B49">
            <w:pPr>
              <w:pStyle w:val="OWTablebodyleft"/>
            </w:pPr>
            <w:r w:rsidRPr="002D0D52">
              <w:rPr>
                <w:rStyle w:val="Strong"/>
              </w:rPr>
              <w:t>School education</w:t>
            </w:r>
          </w:p>
        </w:tc>
        <w:tc>
          <w:tcPr>
            <w:tcW w:w="2551" w:type="dxa"/>
          </w:tcPr>
          <w:p w14:paraId="069E5E36" w14:textId="77777777" w:rsidR="00514CC0" w:rsidRDefault="00E72B49">
            <w:pPr>
              <w:pStyle w:val="OWTablebodyleft"/>
            </w:pPr>
            <w:r>
              <w:t>All employees</w:t>
            </w:r>
          </w:p>
        </w:tc>
        <w:tc>
          <w:tcPr>
            <w:tcW w:w="1247" w:type="dxa"/>
          </w:tcPr>
          <w:p w14:paraId="0490E39C" w14:textId="77777777" w:rsidR="00514CC0" w:rsidRDefault="00E72B49">
            <w:pPr>
              <w:pStyle w:val="OWTablebodycentre"/>
            </w:pPr>
            <w:r>
              <w:t>71.7%</w:t>
            </w:r>
          </w:p>
        </w:tc>
        <w:tc>
          <w:tcPr>
            <w:tcW w:w="1247" w:type="dxa"/>
          </w:tcPr>
          <w:p w14:paraId="45788EAB" w14:textId="77777777" w:rsidR="00514CC0" w:rsidRDefault="00E72B49">
            <w:pPr>
              <w:pStyle w:val="OWTablebodycentre"/>
            </w:pPr>
            <w:r>
              <w:t>28.3%</w:t>
            </w:r>
          </w:p>
        </w:tc>
        <w:tc>
          <w:tcPr>
            <w:tcW w:w="1248" w:type="dxa"/>
          </w:tcPr>
          <w:p w14:paraId="3D061C66" w14:textId="77777777" w:rsidR="00514CC0" w:rsidRDefault="00E72B49">
            <w:pPr>
              <w:pStyle w:val="OWTablebodycentre"/>
            </w:pPr>
            <w:r>
              <w:t>72.0%</w:t>
            </w:r>
          </w:p>
        </w:tc>
        <w:tc>
          <w:tcPr>
            <w:tcW w:w="1247" w:type="dxa"/>
          </w:tcPr>
          <w:p w14:paraId="2E7C4C93" w14:textId="77777777" w:rsidR="00514CC0" w:rsidRDefault="00E72B49">
            <w:pPr>
              <w:pStyle w:val="OWTablebodycentre"/>
            </w:pPr>
            <w:r>
              <w:t>28.0%</w:t>
            </w:r>
          </w:p>
        </w:tc>
      </w:tr>
      <w:tr w:rsidR="00514CC0" w14:paraId="52F34C86" w14:textId="77777777" w:rsidTr="00084525">
        <w:trPr>
          <w:cantSplit/>
          <w:trHeight w:val="60"/>
        </w:trPr>
        <w:tc>
          <w:tcPr>
            <w:tcW w:w="1531" w:type="dxa"/>
            <w:vMerge/>
          </w:tcPr>
          <w:p w14:paraId="1701BD11" w14:textId="77777777" w:rsidR="00514CC0" w:rsidRDefault="00514CC0">
            <w:pPr>
              <w:pStyle w:val="OWDefault"/>
              <w:spacing w:line="240" w:lineRule="auto"/>
              <w:textAlignment w:val="auto"/>
              <w:rPr>
                <w:rFonts w:cs="Calibri"/>
              </w:rPr>
            </w:pPr>
          </w:p>
        </w:tc>
        <w:tc>
          <w:tcPr>
            <w:tcW w:w="2551" w:type="dxa"/>
          </w:tcPr>
          <w:p w14:paraId="38BEF7F0" w14:textId="77777777" w:rsidR="00514CC0" w:rsidRDefault="00E72B49">
            <w:pPr>
              <w:pStyle w:val="OWTablebodyleft"/>
            </w:pPr>
            <w:r>
              <w:t>All managers</w:t>
            </w:r>
          </w:p>
        </w:tc>
        <w:tc>
          <w:tcPr>
            <w:tcW w:w="1247" w:type="dxa"/>
          </w:tcPr>
          <w:p w14:paraId="113A85F6" w14:textId="77777777" w:rsidR="00514CC0" w:rsidRDefault="00E72B49">
            <w:pPr>
              <w:pStyle w:val="OWTablebodycentre"/>
            </w:pPr>
            <w:r>
              <w:t>52.6%</w:t>
            </w:r>
          </w:p>
        </w:tc>
        <w:tc>
          <w:tcPr>
            <w:tcW w:w="1247" w:type="dxa"/>
          </w:tcPr>
          <w:p w14:paraId="0D31E4B2" w14:textId="77777777" w:rsidR="00514CC0" w:rsidRDefault="00E72B49">
            <w:pPr>
              <w:pStyle w:val="OWTablebodycentre"/>
            </w:pPr>
            <w:r>
              <w:t>47.4%</w:t>
            </w:r>
          </w:p>
        </w:tc>
        <w:tc>
          <w:tcPr>
            <w:tcW w:w="1248" w:type="dxa"/>
          </w:tcPr>
          <w:p w14:paraId="4E1F283A" w14:textId="77777777" w:rsidR="00514CC0" w:rsidRDefault="00E72B49">
            <w:pPr>
              <w:pStyle w:val="OWTablebodycentre"/>
            </w:pPr>
            <w:r>
              <w:t>55.5%</w:t>
            </w:r>
          </w:p>
        </w:tc>
        <w:tc>
          <w:tcPr>
            <w:tcW w:w="1247" w:type="dxa"/>
          </w:tcPr>
          <w:p w14:paraId="1C570F51" w14:textId="77777777" w:rsidR="00514CC0" w:rsidRDefault="00E72B49">
            <w:pPr>
              <w:pStyle w:val="OWTablebodycentre"/>
            </w:pPr>
            <w:r>
              <w:t>44.5%</w:t>
            </w:r>
          </w:p>
        </w:tc>
      </w:tr>
      <w:tr w:rsidR="00514CC0" w14:paraId="715B0A88" w14:textId="77777777" w:rsidTr="00084525">
        <w:trPr>
          <w:cantSplit/>
          <w:trHeight w:val="60"/>
        </w:trPr>
        <w:tc>
          <w:tcPr>
            <w:tcW w:w="1531" w:type="dxa"/>
            <w:vMerge/>
          </w:tcPr>
          <w:p w14:paraId="5ACB9010" w14:textId="77777777" w:rsidR="00514CC0" w:rsidRDefault="00514CC0">
            <w:pPr>
              <w:pStyle w:val="OWDefault"/>
              <w:spacing w:line="240" w:lineRule="auto"/>
              <w:textAlignment w:val="auto"/>
              <w:rPr>
                <w:rFonts w:cs="Calibri"/>
              </w:rPr>
            </w:pPr>
          </w:p>
        </w:tc>
        <w:tc>
          <w:tcPr>
            <w:tcW w:w="2551" w:type="dxa"/>
          </w:tcPr>
          <w:p w14:paraId="4E62986B" w14:textId="77777777" w:rsidR="00514CC0" w:rsidRDefault="00E72B49">
            <w:pPr>
              <w:pStyle w:val="OWTablebodyleft"/>
            </w:pPr>
            <w:r>
              <w:t>CEOs/heads of business</w:t>
            </w:r>
          </w:p>
        </w:tc>
        <w:tc>
          <w:tcPr>
            <w:tcW w:w="1247" w:type="dxa"/>
          </w:tcPr>
          <w:p w14:paraId="377E1C36" w14:textId="77777777" w:rsidR="00514CC0" w:rsidRDefault="00E72B49">
            <w:pPr>
              <w:pStyle w:val="OWTablebodycentre"/>
            </w:pPr>
            <w:r>
              <w:t>38.6%</w:t>
            </w:r>
          </w:p>
        </w:tc>
        <w:tc>
          <w:tcPr>
            <w:tcW w:w="1247" w:type="dxa"/>
          </w:tcPr>
          <w:p w14:paraId="7C0D0733" w14:textId="77777777" w:rsidR="00514CC0" w:rsidRDefault="00E72B49">
            <w:pPr>
              <w:pStyle w:val="OWTablebodycentre"/>
            </w:pPr>
            <w:r>
              <w:t>61.4%</w:t>
            </w:r>
          </w:p>
        </w:tc>
        <w:tc>
          <w:tcPr>
            <w:tcW w:w="1248" w:type="dxa"/>
          </w:tcPr>
          <w:p w14:paraId="1ADA2997" w14:textId="77777777" w:rsidR="00514CC0" w:rsidRDefault="00E72B49">
            <w:pPr>
              <w:pStyle w:val="OWTablebodycentre"/>
            </w:pPr>
            <w:r>
              <w:t>36.9%</w:t>
            </w:r>
          </w:p>
        </w:tc>
        <w:tc>
          <w:tcPr>
            <w:tcW w:w="1247" w:type="dxa"/>
          </w:tcPr>
          <w:p w14:paraId="3E7A3549" w14:textId="77777777" w:rsidR="00514CC0" w:rsidRDefault="00E72B49">
            <w:pPr>
              <w:pStyle w:val="OWTablebodycentre"/>
            </w:pPr>
            <w:r>
              <w:t>63.1%</w:t>
            </w:r>
          </w:p>
        </w:tc>
      </w:tr>
    </w:tbl>
    <w:p w14:paraId="1650D764" w14:textId="77777777" w:rsidR="00514CC0" w:rsidRDefault="00E72B49">
      <w:pPr>
        <w:pStyle w:val="OWTablefootnote"/>
      </w:pPr>
      <w:r>
        <w:t>Source: WGEA Data Explorer</w:t>
      </w:r>
    </w:p>
    <w:p w14:paraId="3663C20A" w14:textId="77777777" w:rsidR="00514CC0" w:rsidRDefault="00E72B49" w:rsidP="00E1549C">
      <w:pPr>
        <w:pStyle w:val="Heading4"/>
      </w:pPr>
      <w:r>
        <w:t>Indicator 3.6: Percentage of female employees surveyed who have experienced sexual harassment in the workplace</w:t>
      </w:r>
    </w:p>
    <w:tbl>
      <w:tblPr>
        <w:tblStyle w:val="Indicatoroutlineteal"/>
        <w:tblW w:w="9072" w:type="dxa"/>
        <w:tblLayout w:type="fixed"/>
        <w:tblLook w:val="0680" w:firstRow="0" w:lastRow="0" w:firstColumn="1" w:lastColumn="0" w:noHBand="1" w:noVBand="1"/>
      </w:tblPr>
      <w:tblGrid>
        <w:gridCol w:w="2268"/>
        <w:gridCol w:w="6804"/>
      </w:tblGrid>
      <w:tr w:rsidR="00514CC0" w14:paraId="37A354B5" w14:textId="77777777" w:rsidTr="00084525">
        <w:trPr>
          <w:cantSplit/>
          <w:trHeight w:val="60"/>
        </w:trPr>
        <w:tc>
          <w:tcPr>
            <w:tcW w:w="2268" w:type="dxa"/>
          </w:tcPr>
          <w:p w14:paraId="2C17C1A4" w14:textId="57CC0253" w:rsidR="00514CC0" w:rsidRDefault="00E72B49">
            <w:pPr>
              <w:pStyle w:val="OWTablebodyleft"/>
            </w:pPr>
            <w:r>
              <w:t>What does this indicator tell us about Monitoring domain 3: Men’s control of decision-making and limits to</w:t>
            </w:r>
            <w:r w:rsidR="007421E2">
              <w:t> </w:t>
            </w:r>
            <w:r>
              <w:t>women’s independence in</w:t>
            </w:r>
            <w:r w:rsidR="007421E2">
              <w:t> </w:t>
            </w:r>
            <w:r>
              <w:t>public life?</w:t>
            </w:r>
          </w:p>
        </w:tc>
        <w:tc>
          <w:tcPr>
            <w:tcW w:w="6803" w:type="dxa"/>
          </w:tcPr>
          <w:p w14:paraId="266C7969" w14:textId="77777777" w:rsidR="00514CC0" w:rsidRDefault="00E72B49">
            <w:pPr>
              <w:pStyle w:val="OWTablebodyleft"/>
            </w:pPr>
            <w:r>
              <w:t>While we consider sexual harassment to be a form of violence against women, this indicator is included here against Monitoring domain 3 because workplace sexual harassment is a structural limitation to women’s independence in public life and is a means by which men exert control over women’s engagement in public life.</w:t>
            </w:r>
          </w:p>
          <w:p w14:paraId="2A7A79E7" w14:textId="77777777" w:rsidR="00514CC0" w:rsidRDefault="00E72B49">
            <w:pPr>
              <w:pStyle w:val="OWTablebodyleft"/>
            </w:pPr>
            <w:r>
              <w:t>This indicator should be read alongside Indicators 11.4 and 11.9, which focus on the prevalence of sexual harassment (in any setting) as a form of violence against women.</w:t>
            </w:r>
          </w:p>
        </w:tc>
      </w:tr>
      <w:tr w:rsidR="00514CC0" w14:paraId="271419A3" w14:textId="77777777" w:rsidTr="00084525">
        <w:trPr>
          <w:cantSplit/>
          <w:trHeight w:val="60"/>
        </w:trPr>
        <w:tc>
          <w:tcPr>
            <w:tcW w:w="2268" w:type="dxa"/>
          </w:tcPr>
          <w:p w14:paraId="0FF569AA" w14:textId="77777777" w:rsidR="00514CC0" w:rsidRDefault="00E72B49">
            <w:pPr>
              <w:pStyle w:val="OWTablebodyleft"/>
            </w:pPr>
            <w:r>
              <w:lastRenderedPageBreak/>
              <w:t>Expected change if high-quality programs and infrastructure for prevention of violence against women and gender equality are implemented</w:t>
            </w:r>
          </w:p>
        </w:tc>
        <w:tc>
          <w:tcPr>
            <w:tcW w:w="6803" w:type="dxa"/>
          </w:tcPr>
          <w:p w14:paraId="54E3644A" w14:textId="27F43BE3" w:rsidR="00514CC0" w:rsidRDefault="00E72B49">
            <w:pPr>
              <w:pStyle w:val="OWTablebodyleft"/>
            </w:pPr>
            <w:r>
              <w:t>Short- and medium-term: expected increase in the proportion of</w:t>
            </w:r>
            <w:r w:rsidR="007421E2">
              <w:t> </w:t>
            </w:r>
            <w:r>
              <w:t>women who report experiencing sexual harassment in the workplace, with a growing public focus on sexual harassment.</w:t>
            </w:r>
          </w:p>
          <w:p w14:paraId="328B5A4D" w14:textId="77777777" w:rsidR="00514CC0" w:rsidRDefault="00E72B49">
            <w:pPr>
              <w:pStyle w:val="OWTablebodyleft"/>
            </w:pPr>
            <w:r>
              <w:t>Long-term: a decline in the proportion of women experiencing sexual harassment in the workplace.</w:t>
            </w:r>
          </w:p>
        </w:tc>
      </w:tr>
      <w:tr w:rsidR="00514CC0" w14:paraId="2D402301" w14:textId="77777777" w:rsidTr="00084525">
        <w:trPr>
          <w:cantSplit/>
          <w:trHeight w:val="60"/>
        </w:trPr>
        <w:tc>
          <w:tcPr>
            <w:tcW w:w="2268" w:type="dxa"/>
          </w:tcPr>
          <w:p w14:paraId="492837A3" w14:textId="77777777" w:rsidR="00514CC0" w:rsidRDefault="00E72B49">
            <w:pPr>
              <w:pStyle w:val="OWTablebodyleft"/>
            </w:pPr>
            <w:r>
              <w:t>Data source(s)</w:t>
            </w:r>
          </w:p>
        </w:tc>
        <w:tc>
          <w:tcPr>
            <w:tcW w:w="6803" w:type="dxa"/>
          </w:tcPr>
          <w:p w14:paraId="26EB559D" w14:textId="77777777" w:rsidR="00514CC0" w:rsidRDefault="00E72B49">
            <w:pPr>
              <w:pStyle w:val="OWTablebodyleft"/>
            </w:pPr>
            <w:r>
              <w:t>National Workplace Sexual Harassment Surveys 2008, 2012 and 2018, Australian Human Rights Commission (AHRC)</w:t>
            </w:r>
          </w:p>
        </w:tc>
      </w:tr>
      <w:tr w:rsidR="00514CC0" w14:paraId="68B4716F" w14:textId="77777777" w:rsidTr="00084525">
        <w:trPr>
          <w:cantSplit/>
          <w:trHeight w:val="60"/>
        </w:trPr>
        <w:tc>
          <w:tcPr>
            <w:tcW w:w="2268" w:type="dxa"/>
          </w:tcPr>
          <w:p w14:paraId="108BB555" w14:textId="77777777" w:rsidR="00514CC0" w:rsidRDefault="00E72B49">
            <w:pPr>
              <w:pStyle w:val="OWTablebodyleft"/>
            </w:pPr>
            <w:r>
              <w:t>Change over time summary: short-term change revealed by the data</w:t>
            </w:r>
          </w:p>
        </w:tc>
        <w:tc>
          <w:tcPr>
            <w:tcW w:w="6803" w:type="dxa"/>
          </w:tcPr>
          <w:p w14:paraId="5AB83ACB" w14:textId="77777777" w:rsidR="00514CC0" w:rsidRDefault="00E72B49">
            <w:pPr>
              <w:pStyle w:val="OWTablebodyleft"/>
            </w:pPr>
            <w:r>
              <w:t>A marked increase in the proportion of women reporting 5-year experiences of workplace sexual harassment.</w:t>
            </w:r>
          </w:p>
        </w:tc>
      </w:tr>
      <w:tr w:rsidR="00514CC0" w14:paraId="709A37A2" w14:textId="77777777" w:rsidTr="00084525">
        <w:trPr>
          <w:cantSplit/>
          <w:trHeight w:val="60"/>
        </w:trPr>
        <w:tc>
          <w:tcPr>
            <w:tcW w:w="2268" w:type="dxa"/>
          </w:tcPr>
          <w:p w14:paraId="6D709A8B" w14:textId="77777777" w:rsidR="00514CC0" w:rsidRDefault="00E72B49">
            <w:pPr>
              <w:pStyle w:val="OWTablebodyleft"/>
            </w:pPr>
            <w:r>
              <w:t>Does the change confirm or run contrary to expected change?</w:t>
            </w:r>
          </w:p>
        </w:tc>
        <w:tc>
          <w:tcPr>
            <w:tcW w:w="6803" w:type="dxa"/>
          </w:tcPr>
          <w:p w14:paraId="13E5C3EE" w14:textId="77777777" w:rsidR="00514CC0" w:rsidRDefault="00E72B49">
            <w:pPr>
              <w:pStyle w:val="OWTablebodyleft"/>
            </w:pPr>
            <w:r>
              <w:t>Confirms expected change</w:t>
            </w:r>
          </w:p>
        </w:tc>
      </w:tr>
      <w:tr w:rsidR="00514CC0" w14:paraId="5B1CCB54" w14:textId="77777777" w:rsidTr="00084525">
        <w:trPr>
          <w:cantSplit/>
          <w:trHeight w:val="60"/>
        </w:trPr>
        <w:tc>
          <w:tcPr>
            <w:tcW w:w="2268" w:type="dxa"/>
          </w:tcPr>
          <w:p w14:paraId="67552834" w14:textId="77777777" w:rsidR="00514CC0" w:rsidRDefault="00E72B49">
            <w:pPr>
              <w:pStyle w:val="OWTablebodyleft"/>
            </w:pPr>
            <w:r>
              <w:t>Gaps in existing data</w:t>
            </w:r>
          </w:p>
        </w:tc>
        <w:tc>
          <w:tcPr>
            <w:tcW w:w="6803" w:type="dxa"/>
          </w:tcPr>
          <w:p w14:paraId="48F43186" w14:textId="4080080D" w:rsidR="00514CC0" w:rsidRDefault="00E72B49">
            <w:pPr>
              <w:pStyle w:val="OWTablebodyleft"/>
            </w:pPr>
            <w:r>
              <w:t xml:space="preserve">The latest AHRC workplace sexual harassment data is helpfully disaggregated by other demographic categories. This practice should continue to allow comparability over time of prevalence and experiences of workplace sexual harassment of women who experience intersecting forms of inequality and </w:t>
            </w:r>
            <w:r w:rsidR="00BD031F" w:rsidRPr="00BD031F">
              <w:t>discrimination</w:t>
            </w:r>
            <w:r>
              <w:t>.</w:t>
            </w:r>
          </w:p>
        </w:tc>
      </w:tr>
    </w:tbl>
    <w:p w14:paraId="7B19403A" w14:textId="77777777" w:rsidR="00514CC0" w:rsidRDefault="00E72B49" w:rsidP="00F868FE">
      <w:pPr>
        <w:pStyle w:val="Heading5"/>
      </w:pPr>
      <w:r>
        <w:t>Sexual harassment in Australian workplaces: Prevalence and who is most affected</w:t>
      </w:r>
    </w:p>
    <w:p w14:paraId="33ED6C37" w14:textId="77777777" w:rsidR="00514CC0" w:rsidRDefault="00E72B49">
      <w:pPr>
        <w:pStyle w:val="BodyText"/>
      </w:pPr>
      <w:r>
        <w:t>The 2008, 2012 and 2018 AHRC surveys all report on the incidence of workplace sexual harassment in the five years prior to the survey among the Australian population who have been engaged in the workforce during this period of time. The 2018 survey also reports on the prevalence of workplace sexual harassment during the past 12 months for the Australian population who have been in the workforce in the past five years (unfortunately, 12-month prevalence is not available prior to 2018).</w:t>
      </w:r>
    </w:p>
    <w:p w14:paraId="365D4044" w14:textId="1532FDD1" w:rsidR="00514CC0" w:rsidRDefault="00E72B49">
      <w:pPr>
        <w:pStyle w:val="BodyText"/>
      </w:pPr>
      <w:r>
        <w:t>The 2018 survey found that 20% of all people who were in the workforce in the past five years experienced sexual harassment at least once during the previous 12 months. This figure was higher for women (23%) than men (16%).</w:t>
      </w:r>
      <w:r w:rsidR="00E531A9">
        <w:rPr>
          <w:rStyle w:val="EndnoteReference"/>
        </w:rPr>
        <w:endnoteReference w:id="307"/>
      </w:r>
      <w:r>
        <w:t xml:space="preserve"> Almost two in three (60%) of women who had experienced workplace sexual harassment in the past 12 months had been subjected to more than one form of harassment.</w:t>
      </w:r>
      <w:r w:rsidR="00E531A9">
        <w:rPr>
          <w:rStyle w:val="EndnoteReference"/>
        </w:rPr>
        <w:endnoteReference w:id="308"/>
      </w:r>
    </w:p>
    <w:p w14:paraId="327732B7" w14:textId="2D813C74" w:rsidR="00514CC0" w:rsidRDefault="00E72B49">
      <w:pPr>
        <w:pStyle w:val="BodyText"/>
      </w:pPr>
      <w:r>
        <w:t xml:space="preserve">Looking at the five-year prevalence data for workplace sexual harassment and comparing the results from three survey waves, there has been a significant increase in the rates of working Australians reporting workplace sexual harassment. The overall percentage of working Australians who reported experiencing workplace sexual harassment in the past </w:t>
      </w:r>
      <w:r>
        <w:lastRenderedPageBreak/>
        <w:t>five</w:t>
      </w:r>
      <w:r w:rsidR="007421E2">
        <w:t> </w:t>
      </w:r>
      <w:r>
        <w:t>years has increased from one in five (21%) in 2012 to one in three (33%) in 2018 (see</w:t>
      </w:r>
      <w:r w:rsidR="007421E2">
        <w:t> </w:t>
      </w:r>
      <w:r>
        <w:t>Table</w:t>
      </w:r>
      <w:r w:rsidR="008C4334">
        <w:t> </w:t>
      </w:r>
      <w:r w:rsidR="0017588F">
        <w:t>24</w:t>
      </w:r>
      <w:r>
        <w:t>, below).</w:t>
      </w:r>
    </w:p>
    <w:p w14:paraId="21E1714C" w14:textId="77777777" w:rsidR="00514CC0" w:rsidRDefault="00E72B49">
      <w:pPr>
        <w:pStyle w:val="BodyText"/>
      </w:pPr>
      <w:r>
        <w:t>There are some cautions and complications with comparing waves of survey data on workplace sexual harassment prevalence. Measurement and reporting of results have been conducted slightly differently in certain waves. In 2008, respondents were asked to report against the legal definition, and then to report behaviours. These figures were not combined to provide a total of working Australians who had experienced sexual harassment in the prior five years. In 2012, these figures were able to be combined. The 2018 report only gives the total proportion of Australians who have experienced workplace sexual harassment rather than disaggregating by who reported against the legal definition and who reported workplace sexual harassment behaviours.</w:t>
      </w:r>
    </w:p>
    <w:p w14:paraId="60C429C7" w14:textId="634CE82F" w:rsidR="00514CC0" w:rsidRDefault="00E72B49">
      <w:pPr>
        <w:pStyle w:val="OWTablecaption"/>
      </w:pPr>
      <w:r>
        <w:t xml:space="preserve">Table </w:t>
      </w:r>
      <w:r w:rsidR="0017588F">
        <w:t>24</w:t>
      </w:r>
      <w:r>
        <w:t>: Workplace sexual harassment prevalence in the five years prior to the</w:t>
      </w:r>
      <w:r w:rsidR="007421E2">
        <w:t> </w:t>
      </w:r>
      <w:r>
        <w:t>survey, by percentage of overall working population (women, men, gender non</w:t>
      </w:r>
      <w:r>
        <w:rPr>
          <w:rFonts w:ascii="Cambria Math" w:hAnsi="Cambria Math" w:cs="Cambria Math"/>
        </w:rPr>
        <w:t>‑</w:t>
      </w:r>
      <w:r>
        <w:t>binary people combined)</w:t>
      </w:r>
    </w:p>
    <w:tbl>
      <w:tblPr>
        <w:tblStyle w:val="Datatableteal"/>
        <w:tblW w:w="9072" w:type="dxa"/>
        <w:tblLayout w:type="fixed"/>
        <w:tblLook w:val="06A0" w:firstRow="1" w:lastRow="0" w:firstColumn="1" w:lastColumn="0" w:noHBand="1" w:noVBand="1"/>
      </w:tblPr>
      <w:tblGrid>
        <w:gridCol w:w="3970"/>
        <w:gridCol w:w="1700"/>
        <w:gridCol w:w="1701"/>
        <w:gridCol w:w="1701"/>
      </w:tblGrid>
      <w:tr w:rsidR="00514CC0" w14:paraId="18C16244" w14:textId="77777777" w:rsidTr="00084525">
        <w:trPr>
          <w:cnfStyle w:val="100000000000" w:firstRow="1" w:lastRow="0" w:firstColumn="0" w:lastColumn="0" w:oddVBand="0" w:evenVBand="0" w:oddHBand="0" w:evenHBand="0" w:firstRowFirstColumn="0" w:firstRowLastColumn="0" w:lastRowFirstColumn="0" w:lastRowLastColumn="0"/>
          <w:cantSplit/>
          <w:trHeight w:val="60"/>
          <w:tblHeader/>
        </w:trPr>
        <w:tc>
          <w:tcPr>
            <w:tcW w:w="3969" w:type="dxa"/>
          </w:tcPr>
          <w:p w14:paraId="6083A7D5" w14:textId="77777777" w:rsidR="00514CC0" w:rsidRPr="00933C30" w:rsidRDefault="00514CC0" w:rsidP="008F3E9A">
            <w:pPr>
              <w:pStyle w:val="OWTablecolumnheadleft"/>
            </w:pPr>
          </w:p>
        </w:tc>
        <w:tc>
          <w:tcPr>
            <w:tcW w:w="1700" w:type="dxa"/>
          </w:tcPr>
          <w:p w14:paraId="35CA8FD7" w14:textId="77777777" w:rsidR="00514CC0" w:rsidRPr="00933C30" w:rsidRDefault="00E72B49">
            <w:pPr>
              <w:pStyle w:val="OWTablecolumnheadcentre"/>
            </w:pPr>
            <w:r w:rsidRPr="00933C30">
              <w:t>2008</w:t>
            </w:r>
          </w:p>
        </w:tc>
        <w:tc>
          <w:tcPr>
            <w:tcW w:w="1701" w:type="dxa"/>
          </w:tcPr>
          <w:p w14:paraId="36FCEF71" w14:textId="77777777" w:rsidR="00514CC0" w:rsidRPr="00933C30" w:rsidRDefault="00E72B49">
            <w:pPr>
              <w:pStyle w:val="OWTablecolumnheadcentre"/>
            </w:pPr>
            <w:r w:rsidRPr="00933C30">
              <w:t>2012</w:t>
            </w:r>
          </w:p>
        </w:tc>
        <w:tc>
          <w:tcPr>
            <w:tcW w:w="1701" w:type="dxa"/>
          </w:tcPr>
          <w:p w14:paraId="207A8EB4" w14:textId="77777777" w:rsidR="00514CC0" w:rsidRPr="00933C30" w:rsidRDefault="00E72B49">
            <w:pPr>
              <w:pStyle w:val="OWTablecolumnheadcentre"/>
            </w:pPr>
            <w:r w:rsidRPr="00933C30">
              <w:t>2018</w:t>
            </w:r>
          </w:p>
        </w:tc>
      </w:tr>
      <w:tr w:rsidR="00514CC0" w14:paraId="05A56655" w14:textId="77777777" w:rsidTr="00084525">
        <w:trPr>
          <w:cantSplit/>
          <w:trHeight w:val="60"/>
        </w:trPr>
        <w:tc>
          <w:tcPr>
            <w:tcW w:w="3969" w:type="dxa"/>
          </w:tcPr>
          <w:p w14:paraId="4DE37A22" w14:textId="77777777" w:rsidR="00514CC0" w:rsidRDefault="00E72B49">
            <w:pPr>
              <w:pStyle w:val="OWTablebodyleft"/>
            </w:pPr>
            <w:r>
              <w:t>As per legal and behavioural definitions, combined figure</w:t>
            </w:r>
          </w:p>
        </w:tc>
        <w:tc>
          <w:tcPr>
            <w:tcW w:w="1700" w:type="dxa"/>
          </w:tcPr>
          <w:p w14:paraId="2AD1435E" w14:textId="77777777" w:rsidR="00514CC0" w:rsidRDefault="00E72B49">
            <w:pPr>
              <w:pStyle w:val="OWTablebodycentre"/>
            </w:pPr>
            <w:r>
              <w:t>Figures not able to be combined</w:t>
            </w:r>
          </w:p>
        </w:tc>
        <w:tc>
          <w:tcPr>
            <w:tcW w:w="1701" w:type="dxa"/>
          </w:tcPr>
          <w:p w14:paraId="39123EE5" w14:textId="77777777" w:rsidR="00514CC0" w:rsidRDefault="00E72B49">
            <w:pPr>
              <w:pStyle w:val="OWTablebodycentre"/>
            </w:pPr>
            <w:r>
              <w:t>21%</w:t>
            </w:r>
          </w:p>
        </w:tc>
        <w:tc>
          <w:tcPr>
            <w:tcW w:w="1701" w:type="dxa"/>
          </w:tcPr>
          <w:p w14:paraId="0C03B78D" w14:textId="77777777" w:rsidR="00514CC0" w:rsidRDefault="00E72B49">
            <w:pPr>
              <w:pStyle w:val="OWTablebodycentre"/>
            </w:pPr>
            <w:r>
              <w:t>33%</w:t>
            </w:r>
          </w:p>
        </w:tc>
      </w:tr>
      <w:tr w:rsidR="00514CC0" w14:paraId="053B1F78" w14:textId="77777777" w:rsidTr="00084525">
        <w:trPr>
          <w:cantSplit/>
          <w:trHeight w:val="60"/>
        </w:trPr>
        <w:tc>
          <w:tcPr>
            <w:tcW w:w="3969" w:type="dxa"/>
          </w:tcPr>
          <w:p w14:paraId="355370A5" w14:textId="77777777" w:rsidR="00514CC0" w:rsidRDefault="00E72B49">
            <w:pPr>
              <w:pStyle w:val="OWTablebodyleft"/>
            </w:pPr>
            <w:r>
              <w:t>As per legal definition only</w:t>
            </w:r>
          </w:p>
        </w:tc>
        <w:tc>
          <w:tcPr>
            <w:tcW w:w="1700" w:type="dxa"/>
          </w:tcPr>
          <w:p w14:paraId="5D153265" w14:textId="77777777" w:rsidR="00514CC0" w:rsidRDefault="00E72B49">
            <w:pPr>
              <w:pStyle w:val="OWTablebodycentre"/>
            </w:pPr>
            <w:r>
              <w:t>4%</w:t>
            </w:r>
          </w:p>
        </w:tc>
        <w:tc>
          <w:tcPr>
            <w:tcW w:w="1701" w:type="dxa"/>
          </w:tcPr>
          <w:p w14:paraId="113B3F56" w14:textId="77777777" w:rsidR="00514CC0" w:rsidRDefault="00E72B49">
            <w:pPr>
              <w:pStyle w:val="OWTablebodycentre"/>
            </w:pPr>
            <w:r>
              <w:t>3%</w:t>
            </w:r>
          </w:p>
        </w:tc>
        <w:tc>
          <w:tcPr>
            <w:tcW w:w="1701" w:type="dxa"/>
          </w:tcPr>
          <w:p w14:paraId="28F97646" w14:textId="77777777" w:rsidR="00514CC0" w:rsidRDefault="00E72B49">
            <w:pPr>
              <w:pStyle w:val="OWTablebodycentre"/>
            </w:pPr>
            <w:r>
              <w:t>Not reported</w:t>
            </w:r>
          </w:p>
        </w:tc>
      </w:tr>
      <w:tr w:rsidR="00514CC0" w14:paraId="1DF2E41D" w14:textId="77777777" w:rsidTr="00084525">
        <w:trPr>
          <w:cantSplit/>
          <w:trHeight w:val="60"/>
        </w:trPr>
        <w:tc>
          <w:tcPr>
            <w:tcW w:w="3969" w:type="dxa"/>
          </w:tcPr>
          <w:p w14:paraId="4832EF5F" w14:textId="77777777" w:rsidR="00514CC0" w:rsidRDefault="00E72B49">
            <w:pPr>
              <w:pStyle w:val="OWTablebodyleft"/>
            </w:pPr>
            <w:r>
              <w:t>As per behavioural definition only</w:t>
            </w:r>
          </w:p>
        </w:tc>
        <w:tc>
          <w:tcPr>
            <w:tcW w:w="1700" w:type="dxa"/>
          </w:tcPr>
          <w:p w14:paraId="6515F2DD" w14:textId="77777777" w:rsidR="00514CC0" w:rsidRDefault="00E72B49">
            <w:pPr>
              <w:pStyle w:val="OWTablebodycentre"/>
            </w:pPr>
            <w:r>
              <w:t>22%</w:t>
            </w:r>
          </w:p>
        </w:tc>
        <w:tc>
          <w:tcPr>
            <w:tcW w:w="1701" w:type="dxa"/>
          </w:tcPr>
          <w:p w14:paraId="161302F2" w14:textId="77777777" w:rsidR="00514CC0" w:rsidRDefault="00E72B49">
            <w:pPr>
              <w:pStyle w:val="OWTablebodycentre"/>
            </w:pPr>
            <w:r>
              <w:t>18%</w:t>
            </w:r>
          </w:p>
        </w:tc>
        <w:tc>
          <w:tcPr>
            <w:tcW w:w="1701" w:type="dxa"/>
          </w:tcPr>
          <w:p w14:paraId="7264BEA6" w14:textId="77777777" w:rsidR="00514CC0" w:rsidRDefault="00E72B49">
            <w:pPr>
              <w:pStyle w:val="OWTablebodycentre"/>
            </w:pPr>
            <w:r>
              <w:t>Not reported</w:t>
            </w:r>
          </w:p>
        </w:tc>
      </w:tr>
    </w:tbl>
    <w:p w14:paraId="69ED2650" w14:textId="77777777" w:rsidR="00514CC0" w:rsidRDefault="00E72B49">
      <w:pPr>
        <w:pStyle w:val="OWTablefootnote"/>
      </w:pPr>
      <w:r>
        <w:t>Sources: AHRC, Workplace Sexual Harassment reports 2008, 2012, 2018</w:t>
      </w:r>
    </w:p>
    <w:p w14:paraId="49E3AF8B" w14:textId="77777777" w:rsidR="00514CC0" w:rsidRDefault="00E72B49" w:rsidP="00F868FE">
      <w:pPr>
        <w:pStyle w:val="Heading5"/>
      </w:pPr>
      <w:r>
        <w:t>Women’s experiences of workplace sexual harassment</w:t>
      </w:r>
    </w:p>
    <w:p w14:paraId="3ED2313A" w14:textId="375E7ECE" w:rsidR="00514CC0" w:rsidRDefault="00E72B49">
      <w:pPr>
        <w:pStyle w:val="BodyText"/>
      </w:pPr>
      <w:r>
        <w:t>The proportion of working women who reported experiencing workplace sexual harassment in the past five years increased markedly from one in four (25%) in 2012 to nearly two in five</w:t>
      </w:r>
      <w:r w:rsidR="007421E2">
        <w:t> </w:t>
      </w:r>
      <w:r>
        <w:t xml:space="preserve">(39%) in 2018. Results from the 2012 and 2018 surveys demonstrate that women are significantly more likely than men to experience workplace sexual harassment (see Table </w:t>
      </w:r>
      <w:r w:rsidR="0017588F">
        <w:t>25</w:t>
      </w:r>
      <w:r>
        <w:t>, below).</w:t>
      </w:r>
    </w:p>
    <w:p w14:paraId="20B74DB9" w14:textId="401D3BAE" w:rsidR="00514CC0" w:rsidRDefault="00E72B49">
      <w:pPr>
        <w:pStyle w:val="OWTablecaption"/>
      </w:pPr>
      <w:r>
        <w:t xml:space="preserve">Table </w:t>
      </w:r>
      <w:r w:rsidR="0017588F">
        <w:t>25</w:t>
      </w:r>
      <w:r>
        <w:t>: Proportion who reported experiencing sexual harassment in the workplace during the previous five years, disaggregated by gender</w:t>
      </w:r>
    </w:p>
    <w:tbl>
      <w:tblPr>
        <w:tblStyle w:val="Datatableteal"/>
        <w:tblW w:w="9072" w:type="dxa"/>
        <w:tblLayout w:type="fixed"/>
        <w:tblLook w:val="06A0" w:firstRow="1" w:lastRow="0" w:firstColumn="1" w:lastColumn="0" w:noHBand="1" w:noVBand="1"/>
      </w:tblPr>
      <w:tblGrid>
        <w:gridCol w:w="3629"/>
        <w:gridCol w:w="1815"/>
        <w:gridCol w:w="1814"/>
        <w:gridCol w:w="1814"/>
      </w:tblGrid>
      <w:tr w:rsidR="00514CC0" w14:paraId="3EB1E870" w14:textId="77777777" w:rsidTr="00084525">
        <w:trPr>
          <w:cnfStyle w:val="100000000000" w:firstRow="1" w:lastRow="0" w:firstColumn="0" w:lastColumn="0" w:oddVBand="0" w:evenVBand="0" w:oddHBand="0" w:evenHBand="0" w:firstRowFirstColumn="0" w:firstRowLastColumn="0" w:lastRowFirstColumn="0" w:lastRowLastColumn="0"/>
          <w:cantSplit/>
          <w:trHeight w:val="60"/>
          <w:tblHeader/>
        </w:trPr>
        <w:tc>
          <w:tcPr>
            <w:tcW w:w="3628" w:type="dxa"/>
          </w:tcPr>
          <w:p w14:paraId="332D68E8" w14:textId="77777777" w:rsidR="00514CC0" w:rsidRPr="00933C30" w:rsidRDefault="00514CC0" w:rsidP="008F3E9A">
            <w:pPr>
              <w:pStyle w:val="OWTablecolumnheadleft"/>
            </w:pPr>
          </w:p>
        </w:tc>
        <w:tc>
          <w:tcPr>
            <w:tcW w:w="1815" w:type="dxa"/>
          </w:tcPr>
          <w:p w14:paraId="701E56AF" w14:textId="77777777" w:rsidR="00514CC0" w:rsidRPr="00933C30" w:rsidRDefault="00E72B49">
            <w:pPr>
              <w:pStyle w:val="OWTablecolumnheadcentre"/>
            </w:pPr>
            <w:r w:rsidRPr="00933C30">
              <w:t>2008</w:t>
            </w:r>
          </w:p>
        </w:tc>
        <w:tc>
          <w:tcPr>
            <w:tcW w:w="1814" w:type="dxa"/>
          </w:tcPr>
          <w:p w14:paraId="56F05F93" w14:textId="23CFD3C6" w:rsidR="00514CC0" w:rsidRPr="00933C30" w:rsidRDefault="00E72B49">
            <w:pPr>
              <w:pStyle w:val="OWTablecolumnheadcentre"/>
            </w:pPr>
            <w:r w:rsidRPr="00933C30">
              <w:t>2012</w:t>
            </w:r>
          </w:p>
        </w:tc>
        <w:tc>
          <w:tcPr>
            <w:tcW w:w="1814" w:type="dxa"/>
          </w:tcPr>
          <w:p w14:paraId="5E8F68BC" w14:textId="77777777" w:rsidR="00514CC0" w:rsidRPr="00933C30" w:rsidRDefault="00E72B49">
            <w:pPr>
              <w:pStyle w:val="OWTablecolumnheadcentre"/>
            </w:pPr>
            <w:r w:rsidRPr="00933C30">
              <w:t>2018</w:t>
            </w:r>
          </w:p>
        </w:tc>
      </w:tr>
      <w:tr w:rsidR="00514CC0" w14:paraId="3E595290" w14:textId="77777777" w:rsidTr="00084525">
        <w:trPr>
          <w:cantSplit/>
          <w:trHeight w:val="60"/>
        </w:trPr>
        <w:tc>
          <w:tcPr>
            <w:tcW w:w="3628" w:type="dxa"/>
          </w:tcPr>
          <w:p w14:paraId="4A2ED8FE" w14:textId="77777777" w:rsidR="00514CC0" w:rsidRDefault="00E72B49">
            <w:pPr>
              <w:pStyle w:val="OWTablebodyleft"/>
            </w:pPr>
            <w:r>
              <w:t>Total (women and men)</w:t>
            </w:r>
          </w:p>
        </w:tc>
        <w:tc>
          <w:tcPr>
            <w:tcW w:w="1815" w:type="dxa"/>
          </w:tcPr>
          <w:p w14:paraId="02476CFB" w14:textId="77777777" w:rsidR="00514CC0" w:rsidRDefault="00E72B49">
            <w:pPr>
              <w:pStyle w:val="OWTablebodycentre"/>
            </w:pPr>
            <w:r>
              <w:t>4%*</w:t>
            </w:r>
          </w:p>
        </w:tc>
        <w:tc>
          <w:tcPr>
            <w:tcW w:w="1814" w:type="dxa"/>
          </w:tcPr>
          <w:p w14:paraId="092C9175" w14:textId="77777777" w:rsidR="00514CC0" w:rsidRDefault="00E72B49">
            <w:pPr>
              <w:pStyle w:val="OWTablebodycentre"/>
            </w:pPr>
            <w:r>
              <w:t>21%</w:t>
            </w:r>
          </w:p>
        </w:tc>
        <w:tc>
          <w:tcPr>
            <w:tcW w:w="1814" w:type="dxa"/>
          </w:tcPr>
          <w:p w14:paraId="0DD4F8CC" w14:textId="77777777" w:rsidR="00514CC0" w:rsidRDefault="00E72B49">
            <w:pPr>
              <w:pStyle w:val="OWTablebodycentre"/>
            </w:pPr>
            <w:r>
              <w:t>33%</w:t>
            </w:r>
          </w:p>
        </w:tc>
      </w:tr>
      <w:tr w:rsidR="00514CC0" w14:paraId="4C2E8015" w14:textId="77777777" w:rsidTr="00084525">
        <w:trPr>
          <w:cantSplit/>
          <w:trHeight w:val="60"/>
        </w:trPr>
        <w:tc>
          <w:tcPr>
            <w:tcW w:w="3628" w:type="dxa"/>
          </w:tcPr>
          <w:p w14:paraId="03C12C34" w14:textId="77777777" w:rsidR="00514CC0" w:rsidRDefault="00E72B49">
            <w:pPr>
              <w:pStyle w:val="OWTablebodyleft"/>
            </w:pPr>
            <w:r>
              <w:t>Women</w:t>
            </w:r>
          </w:p>
        </w:tc>
        <w:tc>
          <w:tcPr>
            <w:tcW w:w="1815" w:type="dxa"/>
          </w:tcPr>
          <w:p w14:paraId="24C9866F" w14:textId="77777777" w:rsidR="00514CC0" w:rsidRDefault="00E72B49">
            <w:pPr>
              <w:pStyle w:val="OWTablebodycentre"/>
            </w:pPr>
            <w:r>
              <w:t>Not reported</w:t>
            </w:r>
          </w:p>
        </w:tc>
        <w:tc>
          <w:tcPr>
            <w:tcW w:w="1814" w:type="dxa"/>
          </w:tcPr>
          <w:p w14:paraId="623704FF" w14:textId="77777777" w:rsidR="00514CC0" w:rsidRDefault="00E72B49">
            <w:pPr>
              <w:pStyle w:val="OWTablebodycentre"/>
            </w:pPr>
            <w:r>
              <w:t>25%</w:t>
            </w:r>
          </w:p>
        </w:tc>
        <w:tc>
          <w:tcPr>
            <w:tcW w:w="1814" w:type="dxa"/>
          </w:tcPr>
          <w:p w14:paraId="73C79F13" w14:textId="77777777" w:rsidR="00514CC0" w:rsidRDefault="00E72B49">
            <w:pPr>
              <w:pStyle w:val="OWTablebodycentre"/>
            </w:pPr>
            <w:r>
              <w:t>39%</w:t>
            </w:r>
          </w:p>
        </w:tc>
      </w:tr>
      <w:tr w:rsidR="00514CC0" w14:paraId="55BE463B" w14:textId="77777777" w:rsidTr="00084525">
        <w:trPr>
          <w:cantSplit/>
          <w:trHeight w:val="60"/>
        </w:trPr>
        <w:tc>
          <w:tcPr>
            <w:tcW w:w="3628" w:type="dxa"/>
          </w:tcPr>
          <w:p w14:paraId="2EF479ED" w14:textId="77777777" w:rsidR="00514CC0" w:rsidRDefault="00E72B49">
            <w:pPr>
              <w:pStyle w:val="OWTablebodyleft"/>
            </w:pPr>
            <w:r>
              <w:t>Men</w:t>
            </w:r>
          </w:p>
        </w:tc>
        <w:tc>
          <w:tcPr>
            <w:tcW w:w="1815" w:type="dxa"/>
          </w:tcPr>
          <w:p w14:paraId="73F639D5" w14:textId="77777777" w:rsidR="00514CC0" w:rsidRDefault="00E72B49">
            <w:pPr>
              <w:pStyle w:val="OWTablebodycentre"/>
            </w:pPr>
            <w:r>
              <w:t>Not reported</w:t>
            </w:r>
          </w:p>
        </w:tc>
        <w:tc>
          <w:tcPr>
            <w:tcW w:w="1814" w:type="dxa"/>
          </w:tcPr>
          <w:p w14:paraId="48159E2F" w14:textId="77777777" w:rsidR="00514CC0" w:rsidRDefault="00E72B49">
            <w:pPr>
              <w:pStyle w:val="OWTablebodycentre"/>
            </w:pPr>
            <w:r>
              <w:t>16%</w:t>
            </w:r>
          </w:p>
        </w:tc>
        <w:tc>
          <w:tcPr>
            <w:tcW w:w="1814" w:type="dxa"/>
          </w:tcPr>
          <w:p w14:paraId="00624A05" w14:textId="77777777" w:rsidR="00514CC0" w:rsidRDefault="00E72B49">
            <w:pPr>
              <w:pStyle w:val="OWTablebodycentre"/>
            </w:pPr>
            <w:r>
              <w:t>26%</w:t>
            </w:r>
          </w:p>
        </w:tc>
      </w:tr>
    </w:tbl>
    <w:p w14:paraId="31E9CE20" w14:textId="77777777" w:rsidR="00514CC0" w:rsidRDefault="00E72B49">
      <w:pPr>
        <w:pStyle w:val="OWTablefootnote"/>
      </w:pPr>
      <w:r>
        <w:t>Source: AHRC, Workplace Sexual Harassment report 2018</w:t>
      </w:r>
    </w:p>
    <w:p w14:paraId="71956C7A" w14:textId="77777777" w:rsidR="00514CC0" w:rsidRDefault="00E72B49">
      <w:pPr>
        <w:pStyle w:val="OWTablefootnoteindent"/>
      </w:pPr>
      <w:r>
        <w:t>*</w:t>
      </w:r>
      <w:r>
        <w:tab/>
        <w:t>On the basis of the legal definition only – no combined legal and behavioural figure available</w:t>
      </w:r>
    </w:p>
    <w:p w14:paraId="0C6F6FC5" w14:textId="1DD02F75" w:rsidR="00514CC0" w:rsidRDefault="002471EC">
      <w:pPr>
        <w:pStyle w:val="OWBodytextlargespaceabove"/>
      </w:pPr>
      <w:r>
        <w:lastRenderedPageBreak/>
        <w:t>In 2018, women made up over half (58%) of victims of workplace sexual harassment during</w:t>
      </w:r>
      <w:r w:rsidR="007421E2">
        <w:t> </w:t>
      </w:r>
      <w:r>
        <w:t>the previous five years.</w:t>
      </w:r>
      <w:r>
        <w:rPr>
          <w:rStyle w:val="EndnoteReference"/>
        </w:rPr>
        <w:endnoteReference w:id="309"/>
      </w:r>
      <w:r>
        <w:t xml:space="preserve"> </w:t>
      </w:r>
      <w:r w:rsidR="00E72B49">
        <w:t>Women who have been sexually harassed in the workplace in the past five years are also more likely than men to experience more than one form of harassment. Over two-thirds (69%) of women who, in 2018, reported workplace sexual harassment during the past five years experienced more than one form of harassment as</w:t>
      </w:r>
      <w:r w:rsidR="007421E2">
        <w:t> </w:t>
      </w:r>
      <w:r w:rsidR="00E72B49">
        <w:t>compared with 58% of men who had experienced workplace sexual harassment.</w:t>
      </w:r>
      <w:r w:rsidR="00E531A9">
        <w:rPr>
          <w:rStyle w:val="EndnoteReference"/>
        </w:rPr>
        <w:endnoteReference w:id="310"/>
      </w:r>
    </w:p>
    <w:p w14:paraId="2A1F9E54" w14:textId="77777777" w:rsidR="00514CC0" w:rsidRDefault="00E72B49" w:rsidP="00F868FE">
      <w:pPr>
        <w:pStyle w:val="Heading5"/>
      </w:pPr>
      <w:r>
        <w:t>People of diverse sexual orientations</w:t>
      </w:r>
    </w:p>
    <w:p w14:paraId="1A09B41D" w14:textId="77777777" w:rsidR="00514CC0" w:rsidRDefault="00E72B49">
      <w:pPr>
        <w:pStyle w:val="BodyText"/>
      </w:pPr>
      <w:r>
        <w:t>The 2018 AHRC Workplace Sexual Harassment survey findings provide evidence that workplace sexual harassment is a gendered experience of violence. The findings also show that workplace sexual harassment is linked to heterosexism, i.e. it is more likely to be experienced by people of sexual orientations other than straight or heterosexual.</w:t>
      </w:r>
    </w:p>
    <w:p w14:paraId="014F8DD6" w14:textId="643A81ED" w:rsidR="00514CC0" w:rsidRDefault="00E72B49">
      <w:pPr>
        <w:pStyle w:val="BodyText"/>
      </w:pPr>
      <w:r>
        <w:t xml:space="preserve">As Figure </w:t>
      </w:r>
      <w:r w:rsidR="00D162DF">
        <w:t>22</w:t>
      </w:r>
      <w:r>
        <w:t>, below, shows, 31% of straight or heterosexual people experienced workplace sexual harassment in the previous five years, compared with over half (52%) of gay, lesbian, bisexual, pansexual, queer, asexual, aromantic, undecided, not sure, questioning or other people.</w:t>
      </w:r>
      <w:r w:rsidR="00842FD7">
        <w:rPr>
          <w:rStyle w:val="EndnoteReference"/>
        </w:rPr>
        <w:endnoteReference w:id="311"/>
      </w:r>
    </w:p>
    <w:p w14:paraId="6401014A" w14:textId="32DFF623" w:rsidR="00514CC0" w:rsidRDefault="00E72B49">
      <w:pPr>
        <w:pStyle w:val="OWFigurecaption"/>
      </w:pPr>
      <w:r>
        <w:t xml:space="preserve">Figure </w:t>
      </w:r>
      <w:r w:rsidR="00D162DF">
        <w:t>22</w:t>
      </w:r>
      <w:r>
        <w:t xml:space="preserve">: </w:t>
      </w:r>
      <w:r w:rsidR="00FE7696" w:rsidRPr="00FE7696">
        <w:t xml:space="preserve">Proportion of people by sexual orientation who experienced workplace sexual harassment in the past </w:t>
      </w:r>
      <w:r w:rsidR="00645F17">
        <w:t>five</w:t>
      </w:r>
      <w:r w:rsidR="00FE7696" w:rsidRPr="00FE7696">
        <w:t xml:space="preserve"> years</w:t>
      </w:r>
      <w:r w:rsidR="00FE7696">
        <w:t>, 2018</w:t>
      </w:r>
    </w:p>
    <w:p w14:paraId="159B56B8" w14:textId="2042F1B3" w:rsidR="00514CC0" w:rsidRDefault="009338E6" w:rsidP="00933C30">
      <w:pPr>
        <w:pStyle w:val="OWFigureinline"/>
      </w:pPr>
      <w:r>
        <w:rPr>
          <w:noProof/>
        </w:rPr>
        <w:drawing>
          <wp:inline distT="0" distB="0" distL="0" distR="0" wp14:anchorId="3234917B" wp14:editId="32A049A8">
            <wp:extent cx="4279900" cy="3871595"/>
            <wp:effectExtent l="0" t="0" r="6350" b="0"/>
            <wp:docPr id="1020878169" name="Picture 72" descr="Column graph of the following data (proportion of each group who experienced workplace sexual harassment in past five years). Straight/heterosexual people – 31%; People of diverse sexual orientations combined (gay, lesbian, asexual, aromantic, undecided, questioning or other) –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78169" name="Picture 72" descr="Column graph of the following data (proportion of each group who experienced workplace sexual harassment in past five years). Straight/heterosexual people – 31%; People of diverse sexual orientations combined (gay, lesbian, asexual, aromantic, undecided, questioning or other) – 52%."/>
                    <pic:cNvPicPr/>
                  </pic:nvPicPr>
                  <pic:blipFill>
                    <a:blip r:embed="rId57">
                      <a:extLst>
                        <a:ext uri="{28A0092B-C50C-407E-A947-70E740481C1C}">
                          <a14:useLocalDpi xmlns:a14="http://schemas.microsoft.com/office/drawing/2010/main" val="0"/>
                        </a:ext>
                      </a:extLst>
                    </a:blip>
                    <a:stretch>
                      <a:fillRect/>
                    </a:stretch>
                  </pic:blipFill>
                  <pic:spPr>
                    <a:xfrm>
                      <a:off x="0" y="0"/>
                      <a:ext cx="4279900" cy="3871595"/>
                    </a:xfrm>
                    <a:prstGeom prst="rect">
                      <a:avLst/>
                    </a:prstGeom>
                  </pic:spPr>
                </pic:pic>
              </a:graphicData>
            </a:graphic>
          </wp:inline>
        </w:drawing>
      </w:r>
    </w:p>
    <w:p w14:paraId="035A7FD4" w14:textId="77777777" w:rsidR="00514CC0" w:rsidRDefault="00E72B49">
      <w:pPr>
        <w:pStyle w:val="OWFigurefootnote"/>
      </w:pPr>
      <w:r>
        <w:t>Source: AHRC, Workplace Sexual Harassment report 2018, p. 28</w:t>
      </w:r>
    </w:p>
    <w:p w14:paraId="18242B29" w14:textId="77777777" w:rsidR="004A515D" w:rsidRPr="004A515D" w:rsidRDefault="004A515D" w:rsidP="004A515D">
      <w:pPr>
        <w:pStyle w:val="BodyText"/>
      </w:pPr>
      <w:r w:rsidRPr="004A515D">
        <w:br w:type="page"/>
      </w:r>
    </w:p>
    <w:p w14:paraId="41E69738" w14:textId="67C55393" w:rsidR="00514CC0" w:rsidRDefault="00E72B49">
      <w:pPr>
        <w:pStyle w:val="BodyText"/>
      </w:pPr>
      <w:r>
        <w:lastRenderedPageBreak/>
        <w:t>Further disaggregating these figures, out of people who identify with a sexual orientation other than heterosexual, bisexual people (57%) were most likely to experience workplace sexual harassment during the past five years, and almost half (47%) of gay or lesbian people experienced workplace sexual harassment in the past five years.</w:t>
      </w:r>
      <w:r w:rsidR="00842FD7">
        <w:rPr>
          <w:rStyle w:val="EndnoteReference"/>
        </w:rPr>
        <w:endnoteReference w:id="312"/>
      </w:r>
    </w:p>
    <w:p w14:paraId="464429D1" w14:textId="77777777" w:rsidR="00514CC0" w:rsidRDefault="00E72B49" w:rsidP="00F868FE">
      <w:pPr>
        <w:pStyle w:val="Heading5"/>
      </w:pPr>
      <w:r>
        <w:t>Intersex status</w:t>
      </w:r>
    </w:p>
    <w:p w14:paraId="40051509" w14:textId="301FD0DC" w:rsidR="00514CC0" w:rsidRDefault="00E72B49">
      <w:pPr>
        <w:pStyle w:val="BodyText"/>
      </w:pPr>
      <w:r>
        <w:t>Intersex people (77%) are far more likely than others without an intersex variation (32%) to have experienced workplace sexual harassment in the past five years.</w:t>
      </w:r>
      <w:r w:rsidR="00842FD7">
        <w:rPr>
          <w:rStyle w:val="EndnoteReference"/>
        </w:rPr>
        <w:endnoteReference w:id="313"/>
      </w:r>
    </w:p>
    <w:p w14:paraId="1E04D981" w14:textId="77777777" w:rsidR="00514CC0" w:rsidRDefault="00E72B49" w:rsidP="00F868FE">
      <w:pPr>
        <w:pStyle w:val="Heading5"/>
      </w:pPr>
      <w:r>
        <w:t>Aboriginal and Torres Strait Islander people</w:t>
      </w:r>
    </w:p>
    <w:p w14:paraId="3B18FE88" w14:textId="2201131B" w:rsidR="00514CC0" w:rsidRDefault="00E72B49">
      <w:pPr>
        <w:pStyle w:val="BodyText"/>
      </w:pPr>
      <w:r>
        <w:t>The 2018 survey reveals that Aboriginal and Torres Strait Islander people (53%) were substantially more likely to have experienced workplace sexual harassment in the past five years than non-Indigenous people (32%). Over half (55%) of Aboriginal and Torres Strait Islander women and half (50%) of men had experienced workplace sexual harassment during the past five-year period. Aboriginal and Torres Strait Islander women experience much higher prevalence of workplace sexual harassment than Australian women overall (see Figure </w:t>
      </w:r>
      <w:r w:rsidR="00D162DF">
        <w:t>23</w:t>
      </w:r>
      <w:r>
        <w:t>, below).</w:t>
      </w:r>
    </w:p>
    <w:p w14:paraId="48E98AFC" w14:textId="77777777" w:rsidR="00514CC0" w:rsidRDefault="00E72B49" w:rsidP="00F868FE">
      <w:pPr>
        <w:pStyle w:val="Heading5"/>
      </w:pPr>
      <w:r>
        <w:t>People with disability</w:t>
      </w:r>
    </w:p>
    <w:p w14:paraId="4285CEBF" w14:textId="2D76D0AE" w:rsidR="00514CC0" w:rsidRDefault="00E72B49">
      <w:pPr>
        <w:pStyle w:val="BodyText"/>
      </w:pPr>
      <w:r>
        <w:t xml:space="preserve">People with disability are also far more likely than the general populace to have experienced sexual harassment in the five years prior to the 2018 survey. Women with disability in particular experienced high prevalence rates (52% as compared with 39% of all women) (see Figure </w:t>
      </w:r>
      <w:r w:rsidR="007B5582">
        <w:t>23</w:t>
      </w:r>
      <w:r>
        <w:t>, below).</w:t>
      </w:r>
    </w:p>
    <w:p w14:paraId="22595021" w14:textId="548CE9D4" w:rsidR="00514CC0" w:rsidRDefault="00914911">
      <w:pPr>
        <w:pStyle w:val="OWFigurecaption"/>
      </w:pPr>
      <w:r>
        <w:lastRenderedPageBreak/>
        <w:t xml:space="preserve">Figure </w:t>
      </w:r>
      <w:r w:rsidR="00D162DF">
        <w:t>23</w:t>
      </w:r>
      <w:r>
        <w:t xml:space="preserve">: </w:t>
      </w:r>
      <w:r w:rsidR="00330187" w:rsidRPr="00330187">
        <w:t xml:space="preserve">Proportion of </w:t>
      </w:r>
      <w:r w:rsidR="00330187">
        <w:t>Aboriginal and Torres Strait Islander people, people with disability and general populace</w:t>
      </w:r>
      <w:r w:rsidR="00330187" w:rsidRPr="00330187">
        <w:t xml:space="preserve"> who experienced workplace sexual harassment in the past </w:t>
      </w:r>
      <w:r w:rsidR="00645F17">
        <w:t>five</w:t>
      </w:r>
      <w:r w:rsidR="00330187" w:rsidRPr="00330187">
        <w:t xml:space="preserve"> years, 2018</w:t>
      </w:r>
      <w:r w:rsidR="00330187">
        <w:t>, broken down by gender</w:t>
      </w:r>
    </w:p>
    <w:p w14:paraId="5763B430" w14:textId="2F2A7D49" w:rsidR="00514CC0" w:rsidRDefault="009338E6" w:rsidP="00933C30">
      <w:pPr>
        <w:pStyle w:val="OWFigureinline"/>
      </w:pPr>
      <w:r>
        <w:rPr>
          <w:noProof/>
        </w:rPr>
        <w:drawing>
          <wp:inline distT="0" distB="0" distL="0" distR="0" wp14:anchorId="03428F47" wp14:editId="2761D58D">
            <wp:extent cx="5346698" cy="3926205"/>
            <wp:effectExtent l="0" t="0" r="6350" b="0"/>
            <wp:docPr id="1937980687" name="Picture 73" descr="Column graph of the following data (proportion of each group who experienced workplace sexual harassment in past five years). Total (all people): Aboriginal and Torres Strait Islander people– 53%; People with a disability – 44%; General populace – 33%. Women: Aboriginal and Torres Strait Islander people– 55%; People with a disability – 52%; General populace – 39%. Men: Aboriginal and Torres Strait Islander people– 50%; People with a disability – 35%; General populace –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980687" name="Picture 73" descr="Column graph of the following data (proportion of each group who experienced workplace sexual harassment in past five years). Total (all people): Aboriginal and Torres Strait Islander people– 53%; People with a disability – 44%; General populace – 33%. Women: Aboriginal and Torres Strait Islander people– 55%; People with a disability – 52%; General populace – 39%. Men: Aboriginal and Torres Strait Islander people– 50%; People with a disability – 35%; General populace – 26%."/>
                    <pic:cNvPicPr/>
                  </pic:nvPicPr>
                  <pic:blipFill>
                    <a:blip r:embed="rId58">
                      <a:extLst>
                        <a:ext uri="{28A0092B-C50C-407E-A947-70E740481C1C}">
                          <a14:useLocalDpi xmlns:a14="http://schemas.microsoft.com/office/drawing/2010/main" val="0"/>
                        </a:ext>
                      </a:extLst>
                    </a:blip>
                    <a:stretch>
                      <a:fillRect/>
                    </a:stretch>
                  </pic:blipFill>
                  <pic:spPr>
                    <a:xfrm>
                      <a:off x="0" y="0"/>
                      <a:ext cx="5346698" cy="3926205"/>
                    </a:xfrm>
                    <a:prstGeom prst="rect">
                      <a:avLst/>
                    </a:prstGeom>
                  </pic:spPr>
                </pic:pic>
              </a:graphicData>
            </a:graphic>
          </wp:inline>
        </w:drawing>
      </w:r>
    </w:p>
    <w:p w14:paraId="27048A1A" w14:textId="77777777" w:rsidR="00514CC0" w:rsidRDefault="00E72B49">
      <w:pPr>
        <w:pStyle w:val="OWFigurefootnote"/>
      </w:pPr>
      <w:r>
        <w:t>Source: AHRC, Workplace Sexual Harassment report 2018, pp. 27–28</w:t>
      </w:r>
    </w:p>
    <w:p w14:paraId="7432DA2A" w14:textId="77777777" w:rsidR="00514CC0" w:rsidRDefault="00E72B49" w:rsidP="00F868FE">
      <w:pPr>
        <w:pStyle w:val="Heading5"/>
      </w:pPr>
      <w:r>
        <w:t>Age</w:t>
      </w:r>
    </w:p>
    <w:p w14:paraId="5DE86B7A" w14:textId="452F98CA" w:rsidR="00514CC0" w:rsidRDefault="00E72B49">
      <w:pPr>
        <w:pStyle w:val="BodyText"/>
      </w:pPr>
      <w:r>
        <w:t>Nearly two-thirds (62%) of those who had experienced workplace sexual harassment in the five years prior to the 2018 survey were under 40 years old at the most recent incident.</w:t>
      </w:r>
      <w:r w:rsidR="00842FD7">
        <w:rPr>
          <w:rStyle w:val="EndnoteReference"/>
        </w:rPr>
        <w:endnoteReference w:id="314"/>
      </w:r>
    </w:p>
    <w:p w14:paraId="387008A7" w14:textId="77777777" w:rsidR="00514CC0" w:rsidRDefault="00E72B49" w:rsidP="00F868FE">
      <w:pPr>
        <w:pStyle w:val="Heading5"/>
      </w:pPr>
      <w:r>
        <w:t>People of culturally and linguistically diverse backgrounds</w:t>
      </w:r>
    </w:p>
    <w:p w14:paraId="3D08C6A2" w14:textId="3002D5AD" w:rsidR="00514CC0" w:rsidRDefault="00E72B49">
      <w:pPr>
        <w:pStyle w:val="BodyText"/>
      </w:pPr>
      <w:r>
        <w:t>The AHRC Workplace Sexual Harassment survey defines cultural and linguistic diversity by whether respondents mostly speak English or another language at home. This is a limited definition (for example, respondents are not asked about country of birth or cultural or ethnic background other than Indigenous status). The AHRC also notes that mode of survey implementation (delivery in English only) likely affects the results of the survey with regard to disaggregation by linguistic diversity. The 2018 survey results showed no significant difference in the prevalence of workplace sexual harassment for people who mostly speak</w:t>
      </w:r>
      <w:r w:rsidR="007421E2">
        <w:t> </w:t>
      </w:r>
      <w:r>
        <w:t>a</w:t>
      </w:r>
      <w:r w:rsidR="007421E2">
        <w:t> </w:t>
      </w:r>
      <w:r>
        <w:t>language other than English at home. However, given the above caveats, further investigation into the workplace sexual harassment experiences of people from culturally and linguistically diverse backgrounds should be undertaken.</w:t>
      </w:r>
    </w:p>
    <w:p w14:paraId="14B91822" w14:textId="77777777" w:rsidR="00514CC0" w:rsidRDefault="00E72B49" w:rsidP="00F868FE">
      <w:pPr>
        <w:pStyle w:val="Heading5"/>
      </w:pPr>
      <w:r>
        <w:lastRenderedPageBreak/>
        <w:t>Perpetrators of sexual harassment by gender</w:t>
      </w:r>
    </w:p>
    <w:p w14:paraId="1BDF9DAE" w14:textId="254D98E8" w:rsidR="00514CC0" w:rsidRDefault="00E72B49">
      <w:pPr>
        <w:pStyle w:val="BodyText"/>
      </w:pPr>
      <w:r>
        <w:t>While there are strong gendered patterns in terms of workplace sexual harassment victimisation, perpetration of workplace sexual harassment is even more starkly gendered. A</w:t>
      </w:r>
      <w:r w:rsidR="007421E2">
        <w:t> </w:t>
      </w:r>
      <w:r>
        <w:t xml:space="preserve">vast majority (79%) of workplace sexual harassment victims in the five years prior to the 2018 survey were harassed by men. An overwhelming majority (93%) of female victims had been sexually harassed in the workplace by one or more male perpetrators. Male victims’ experience of workplace sexual harassment perpetration was more divided, with 58% of male victims sexually harassed by one or more male perpetrators and 47% sexually harassed by one or more female perpetrators (see Figure </w:t>
      </w:r>
      <w:r w:rsidR="00D162DF">
        <w:t>24</w:t>
      </w:r>
      <w:r>
        <w:t>, below).</w:t>
      </w:r>
    </w:p>
    <w:p w14:paraId="6CB0E111" w14:textId="7DCB178D" w:rsidR="00514CC0" w:rsidRDefault="00E72B49">
      <w:pPr>
        <w:pStyle w:val="OWFigurecaption"/>
      </w:pPr>
      <w:r>
        <w:t xml:space="preserve">Figure </w:t>
      </w:r>
      <w:r w:rsidR="00D162DF">
        <w:t>24</w:t>
      </w:r>
      <w:r>
        <w:t xml:space="preserve">: </w:t>
      </w:r>
      <w:r w:rsidR="00C44106" w:rsidRPr="00C44106">
        <w:t>Proportion of all men and all women who experienced workplace sexual harassment in past five years, 2018, who experienced harassment by male perpetrators and by female perpetrators</w:t>
      </w:r>
    </w:p>
    <w:p w14:paraId="58B7469B" w14:textId="54C17ADB" w:rsidR="00514CC0" w:rsidRDefault="009338E6" w:rsidP="00933C30">
      <w:pPr>
        <w:pStyle w:val="OWFigureinline"/>
      </w:pPr>
      <w:r>
        <w:rPr>
          <w:noProof/>
        </w:rPr>
        <w:drawing>
          <wp:inline distT="0" distB="0" distL="0" distR="0" wp14:anchorId="507EF9C0" wp14:editId="0FB28668">
            <wp:extent cx="5730874" cy="3481070"/>
            <wp:effectExtent l="0" t="0" r="3175" b="5080"/>
            <wp:docPr id="340538981" name="Picture 74" descr="Column graph of the following data (proportion of each group of victims who experienced workplace sexual harassment by male perpetrators and by female perpatrators). All victims: Male perpetrators – 79%; Female perpetrators – 24%. Female victims: Male perpetrators – 93%; Female perpetrators – 8%. Male victims: Male perpetrators – 58%; Female perpetrators –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38981" name="Picture 74" descr="Column graph of the following data (proportion of each group of victims who experienced workplace sexual harassment by male perpetrators and by female perpatrators). All victims: Male perpetrators – 79%; Female perpetrators – 24%. Female victims: Male perpetrators – 93%; Female perpetrators – 8%. Male victims: Male perpetrators – 58%; Female perpetrators – 47%."/>
                    <pic:cNvPicPr/>
                  </pic:nvPicPr>
                  <pic:blipFill>
                    <a:blip r:embed="rId59">
                      <a:extLst>
                        <a:ext uri="{28A0092B-C50C-407E-A947-70E740481C1C}">
                          <a14:useLocalDpi xmlns:a14="http://schemas.microsoft.com/office/drawing/2010/main" val="0"/>
                        </a:ext>
                      </a:extLst>
                    </a:blip>
                    <a:stretch>
                      <a:fillRect/>
                    </a:stretch>
                  </pic:blipFill>
                  <pic:spPr>
                    <a:xfrm>
                      <a:off x="0" y="0"/>
                      <a:ext cx="5730874" cy="3481070"/>
                    </a:xfrm>
                    <a:prstGeom prst="rect">
                      <a:avLst/>
                    </a:prstGeom>
                  </pic:spPr>
                </pic:pic>
              </a:graphicData>
            </a:graphic>
          </wp:inline>
        </w:drawing>
      </w:r>
    </w:p>
    <w:p w14:paraId="0A1C84D9" w14:textId="77777777" w:rsidR="00514CC0" w:rsidRDefault="00E72B49">
      <w:pPr>
        <w:pStyle w:val="OWFigurefootnote"/>
      </w:pPr>
      <w:r>
        <w:t>Source: AHRC, Workplace Sexual Harassment report 2018, p. 33</w:t>
      </w:r>
    </w:p>
    <w:p w14:paraId="032138D3" w14:textId="77777777" w:rsidR="00514CC0" w:rsidRDefault="00E72B49" w:rsidP="00E1549C">
      <w:pPr>
        <w:pStyle w:val="Heading4"/>
      </w:pPr>
      <w:r>
        <w:lastRenderedPageBreak/>
        <w:t>Indicator 3.7: Gender pay gap</w:t>
      </w:r>
    </w:p>
    <w:tbl>
      <w:tblPr>
        <w:tblStyle w:val="Indicatoroutlineteal"/>
        <w:tblW w:w="9072" w:type="dxa"/>
        <w:tblLayout w:type="fixed"/>
        <w:tblLook w:val="0680" w:firstRow="0" w:lastRow="0" w:firstColumn="1" w:lastColumn="0" w:noHBand="1" w:noVBand="1"/>
      </w:tblPr>
      <w:tblGrid>
        <w:gridCol w:w="2268"/>
        <w:gridCol w:w="6804"/>
      </w:tblGrid>
      <w:tr w:rsidR="00514CC0" w14:paraId="1F89B210" w14:textId="77777777" w:rsidTr="00084525">
        <w:trPr>
          <w:cantSplit/>
          <w:trHeight w:val="60"/>
        </w:trPr>
        <w:tc>
          <w:tcPr>
            <w:tcW w:w="2268" w:type="dxa"/>
          </w:tcPr>
          <w:p w14:paraId="2C8DAEC6" w14:textId="05EA214E" w:rsidR="00514CC0" w:rsidRDefault="00E72B49">
            <w:pPr>
              <w:pStyle w:val="OWTablebodyleft"/>
            </w:pPr>
            <w:r>
              <w:t>What does this indicator tell us about Monitoring domain 3: Men’s control of decision-making and limits to</w:t>
            </w:r>
            <w:r w:rsidR="007421E2">
              <w:t> </w:t>
            </w:r>
            <w:r>
              <w:t>women’s independence in</w:t>
            </w:r>
            <w:r w:rsidR="007421E2">
              <w:t> </w:t>
            </w:r>
            <w:r>
              <w:t>public life?</w:t>
            </w:r>
          </w:p>
        </w:tc>
        <w:tc>
          <w:tcPr>
            <w:tcW w:w="6803" w:type="dxa"/>
          </w:tcPr>
          <w:p w14:paraId="5276BDA5" w14:textId="7B57C354" w:rsidR="00514CC0" w:rsidRDefault="00E72B49">
            <w:pPr>
              <w:pStyle w:val="OWTablebodyleft"/>
            </w:pPr>
            <w:r>
              <w:t>The gender pay gap is ‘the difference between women’s and men’s</w:t>
            </w:r>
            <w:r w:rsidR="007421E2">
              <w:t> </w:t>
            </w:r>
            <w:r>
              <w:t>average weekly full-time equivalent earnings, expressed as a</w:t>
            </w:r>
            <w:r w:rsidR="007421E2">
              <w:t> </w:t>
            </w:r>
            <w:r>
              <w:t>percentage of men’s earnings’.</w:t>
            </w:r>
            <w:r w:rsidR="00842FD7">
              <w:rPr>
                <w:rStyle w:val="EndnoteReference"/>
              </w:rPr>
              <w:endnoteReference w:id="315"/>
            </w:r>
            <w:r>
              <w:t xml:space="preserve"> The gender pay gap exists for a</w:t>
            </w:r>
            <w:r w:rsidR="007421E2">
              <w:t> </w:t>
            </w:r>
            <w:r>
              <w:t>number of reasons, including:</w:t>
            </w:r>
          </w:p>
          <w:p w14:paraId="30563A02" w14:textId="2F77E269" w:rsidR="00514CC0" w:rsidRDefault="00E72B49">
            <w:pPr>
              <w:pStyle w:val="OWTablebullet1"/>
            </w:pPr>
            <w:r>
              <w:t>‘Discrimination and bias in hiring and pay decisions [gender</w:t>
            </w:r>
            <w:r w:rsidR="007421E2">
              <w:t> </w:t>
            </w:r>
            <w:r>
              <w:t>bias].</w:t>
            </w:r>
          </w:p>
          <w:p w14:paraId="76FC3B1C" w14:textId="77777777" w:rsidR="00514CC0" w:rsidRDefault="00E72B49">
            <w:pPr>
              <w:pStyle w:val="OWTablebullet1"/>
            </w:pPr>
            <w:r>
              <w:t>Women and men working in different industries and different jobs, with female-dominated industries and jobs attracting lower wages [industry and occupation segregation].</w:t>
            </w:r>
          </w:p>
          <w:p w14:paraId="45749FF3" w14:textId="5FE779F8" w:rsidR="00514CC0" w:rsidRDefault="00E72B49">
            <w:pPr>
              <w:pStyle w:val="OWTablebullet1"/>
            </w:pPr>
            <w:r>
              <w:t>Women’s disproportionate share of unpaid caring and domestic</w:t>
            </w:r>
            <w:r w:rsidR="007421E2">
              <w:t> </w:t>
            </w:r>
            <w:r>
              <w:t>work.</w:t>
            </w:r>
          </w:p>
          <w:p w14:paraId="26291402" w14:textId="77777777" w:rsidR="00514CC0" w:rsidRDefault="00E72B49">
            <w:pPr>
              <w:pStyle w:val="OWTablebullet1"/>
            </w:pPr>
            <w:r>
              <w:t>Lack of workplace flexibility to accommodate caring and other responsibilities, especially in senior roles.</w:t>
            </w:r>
          </w:p>
          <w:p w14:paraId="10F14554" w14:textId="5BFE2DEC" w:rsidR="00514CC0" w:rsidRDefault="00E72B49">
            <w:pPr>
              <w:pStyle w:val="OWTablebullet1"/>
            </w:pPr>
            <w:r>
              <w:t>Women’s greater time out of the workforce impacting career progression and opportunities.’</w:t>
            </w:r>
            <w:r w:rsidR="00DA2C1F">
              <w:rPr>
                <w:rStyle w:val="EndnoteReference"/>
              </w:rPr>
              <w:endnoteReference w:id="316"/>
            </w:r>
          </w:p>
          <w:p w14:paraId="12FD6EA0" w14:textId="77777777" w:rsidR="00514CC0" w:rsidRDefault="00E72B49">
            <w:pPr>
              <w:pStyle w:val="OWTablebodyleft"/>
            </w:pPr>
            <w:r>
              <w:t>The gender pay gap is an internationally recognised marker of women’s position in the economy. It is an expression of, and based in, gender inequality.</w:t>
            </w:r>
          </w:p>
        </w:tc>
      </w:tr>
      <w:tr w:rsidR="00514CC0" w14:paraId="70083F40" w14:textId="77777777" w:rsidTr="00084525">
        <w:trPr>
          <w:cantSplit/>
          <w:trHeight w:val="60"/>
        </w:trPr>
        <w:tc>
          <w:tcPr>
            <w:tcW w:w="2268" w:type="dxa"/>
          </w:tcPr>
          <w:p w14:paraId="0080E3A9" w14:textId="13912E8F" w:rsidR="00514CC0" w:rsidRDefault="00E72B49">
            <w:pPr>
              <w:pStyle w:val="OWTablebodyleft"/>
            </w:pPr>
            <w:r>
              <w:t>Expected change if</w:t>
            </w:r>
            <w:r w:rsidR="007421E2">
              <w:t> </w:t>
            </w:r>
            <w:r>
              <w:t>high-quality programs and infrastructure for prevention of violence against women and gender equality are implemented</w:t>
            </w:r>
          </w:p>
        </w:tc>
        <w:tc>
          <w:tcPr>
            <w:tcW w:w="6803" w:type="dxa"/>
          </w:tcPr>
          <w:p w14:paraId="6BAA87AF" w14:textId="77777777" w:rsidR="00514CC0" w:rsidRDefault="00E72B49">
            <w:pPr>
              <w:pStyle w:val="OWTablebodyleft"/>
            </w:pPr>
            <w:r>
              <w:t>Short- to medium-term: small advances towards reducing the gender pay gap across industries and occupations.</w:t>
            </w:r>
          </w:p>
          <w:p w14:paraId="082434BF" w14:textId="77777777" w:rsidR="00514CC0" w:rsidRDefault="00E72B49">
            <w:pPr>
              <w:pStyle w:val="OWTablebodyleft"/>
            </w:pPr>
            <w:r>
              <w:t>Long-term: gender pay parity in the very long-term.</w:t>
            </w:r>
          </w:p>
        </w:tc>
      </w:tr>
      <w:tr w:rsidR="00514CC0" w14:paraId="2A27113C" w14:textId="77777777" w:rsidTr="00084525">
        <w:trPr>
          <w:cantSplit/>
          <w:trHeight w:val="60"/>
        </w:trPr>
        <w:tc>
          <w:tcPr>
            <w:tcW w:w="2268" w:type="dxa"/>
          </w:tcPr>
          <w:p w14:paraId="076F7F7A" w14:textId="77777777" w:rsidR="00514CC0" w:rsidRDefault="00E72B49">
            <w:pPr>
              <w:pStyle w:val="OWTablebodyleft"/>
            </w:pPr>
            <w:r>
              <w:t>Data source(s)</w:t>
            </w:r>
          </w:p>
        </w:tc>
        <w:tc>
          <w:tcPr>
            <w:tcW w:w="6803" w:type="dxa"/>
          </w:tcPr>
          <w:p w14:paraId="5B7A1D4C" w14:textId="77777777" w:rsidR="00514CC0" w:rsidRDefault="00E72B49" w:rsidP="002C2EC7">
            <w:pPr>
              <w:pStyle w:val="OWTablenumberdigit"/>
              <w:numPr>
                <w:ilvl w:val="0"/>
                <w:numId w:val="29"/>
              </w:numPr>
            </w:pPr>
            <w:r>
              <w:t>Workplace Gender Equality Agency (WGEA) reporting data, 2014 to 2019</w:t>
            </w:r>
          </w:p>
          <w:p w14:paraId="76C2CC5D" w14:textId="77777777" w:rsidR="00514CC0" w:rsidRDefault="00E72B49">
            <w:pPr>
              <w:pStyle w:val="OWTablenumberdigit"/>
            </w:pPr>
            <w:r>
              <w:t>ABS Full-Time Adult Average Weekly Earnings Trend data and Employee Earnings and Hours Survey, analysed by WGEA, 2014 to 2019</w:t>
            </w:r>
            <w:r>
              <w:rPr>
                <w:rStyle w:val="OWSuperscript"/>
              </w:rPr>
              <w:footnoteReference w:id="39"/>
            </w:r>
          </w:p>
        </w:tc>
      </w:tr>
      <w:tr w:rsidR="00514CC0" w14:paraId="3CF977A0" w14:textId="77777777" w:rsidTr="00084525">
        <w:trPr>
          <w:cantSplit/>
          <w:trHeight w:val="60"/>
        </w:trPr>
        <w:tc>
          <w:tcPr>
            <w:tcW w:w="2268" w:type="dxa"/>
          </w:tcPr>
          <w:p w14:paraId="37CCF19B" w14:textId="77777777" w:rsidR="00514CC0" w:rsidRDefault="00E72B49">
            <w:pPr>
              <w:pStyle w:val="OWTablebodyleft"/>
            </w:pPr>
            <w:r>
              <w:t>Change over time summary: short-term change revealed by the data</w:t>
            </w:r>
          </w:p>
        </w:tc>
        <w:tc>
          <w:tcPr>
            <w:tcW w:w="6803" w:type="dxa"/>
          </w:tcPr>
          <w:p w14:paraId="4C5D93BC" w14:textId="77777777" w:rsidR="00514CC0" w:rsidRDefault="00E72B49">
            <w:pPr>
              <w:pStyle w:val="OWTablebodyleft"/>
            </w:pPr>
            <w:r>
              <w:t>The gender pay gap is substantial, though it has declined since 2014. However, long-term trends in the gender pay gap have not been linear; it appears to be somewhat unstable.</w:t>
            </w:r>
          </w:p>
        </w:tc>
      </w:tr>
      <w:tr w:rsidR="00514CC0" w14:paraId="49E491AC" w14:textId="77777777" w:rsidTr="00084525">
        <w:trPr>
          <w:cantSplit/>
          <w:trHeight w:val="60"/>
        </w:trPr>
        <w:tc>
          <w:tcPr>
            <w:tcW w:w="2268" w:type="dxa"/>
          </w:tcPr>
          <w:p w14:paraId="496F1748" w14:textId="77777777" w:rsidR="00514CC0" w:rsidRDefault="00E72B49">
            <w:pPr>
              <w:pStyle w:val="OWTablebodyleft"/>
            </w:pPr>
            <w:r>
              <w:lastRenderedPageBreak/>
              <w:t>Does the change confirm or run contrary to expected change?</w:t>
            </w:r>
          </w:p>
        </w:tc>
        <w:tc>
          <w:tcPr>
            <w:tcW w:w="6803" w:type="dxa"/>
          </w:tcPr>
          <w:p w14:paraId="45DCFD0C" w14:textId="77777777" w:rsidR="00514CC0" w:rsidRDefault="00E72B49">
            <w:pPr>
              <w:pStyle w:val="OWTablebodyleft"/>
            </w:pPr>
            <w:r>
              <w:t>Confirms expected change, though, as noted, long-term trends have not revealed a linear decline to date, but rather peaks and troughs.</w:t>
            </w:r>
          </w:p>
        </w:tc>
      </w:tr>
      <w:tr w:rsidR="00514CC0" w14:paraId="0C267F84" w14:textId="77777777" w:rsidTr="00084525">
        <w:trPr>
          <w:cantSplit/>
          <w:trHeight w:val="60"/>
        </w:trPr>
        <w:tc>
          <w:tcPr>
            <w:tcW w:w="2268" w:type="dxa"/>
          </w:tcPr>
          <w:p w14:paraId="60B544EE" w14:textId="77777777" w:rsidR="00514CC0" w:rsidRDefault="00E72B49">
            <w:pPr>
              <w:pStyle w:val="OWTablebodyleft"/>
            </w:pPr>
            <w:r>
              <w:t>Gaps in existing data</w:t>
            </w:r>
          </w:p>
        </w:tc>
        <w:tc>
          <w:tcPr>
            <w:tcW w:w="6803" w:type="dxa"/>
          </w:tcPr>
          <w:p w14:paraId="25224950" w14:textId="65C0DDBE" w:rsidR="00514CC0" w:rsidRDefault="00E72B49">
            <w:pPr>
              <w:pStyle w:val="OWTablebodyleft"/>
            </w:pPr>
            <w:r>
              <w:t>Gender pay gap data reporting is focused on the difference between women’s and men’s full-time earnings. In this sense, it</w:t>
            </w:r>
            <w:r w:rsidR="007421E2">
              <w:t> </w:t>
            </w:r>
            <w:r>
              <w:t>reflects the inequality as experienced by women who are still relatively economically privileged in the sense of holding full-time jobs, rather than women who are unemployed or holding casual or part-time jobs.</w:t>
            </w:r>
          </w:p>
          <w:p w14:paraId="2F63364A" w14:textId="4C5D3499" w:rsidR="00514CC0" w:rsidRDefault="00E72B49">
            <w:pPr>
              <w:pStyle w:val="OWTablebodyleft"/>
            </w:pPr>
            <w:r>
              <w:t xml:space="preserve">Gender pay gap data does not tell us about pay gap inequality experienced by women who experience intersecting forms of </w:t>
            </w:r>
            <w:r w:rsidR="00090C0C" w:rsidRPr="00090C0C">
              <w:t>discrimination</w:t>
            </w:r>
            <w:r>
              <w:t>, e.g. women with disability or First Nations women. For this reason, we have identified other income differentials and pay gap analyses for inclusion here.</w:t>
            </w:r>
          </w:p>
        </w:tc>
      </w:tr>
    </w:tbl>
    <w:p w14:paraId="7EAA3952" w14:textId="77777777" w:rsidR="00514CC0" w:rsidRDefault="00E72B49" w:rsidP="00F868FE">
      <w:pPr>
        <w:pStyle w:val="Heading5"/>
      </w:pPr>
      <w:r>
        <w:t>National pay gap: 2013–14 to 2018–19</w:t>
      </w:r>
    </w:p>
    <w:p w14:paraId="6365F40D" w14:textId="4B998641" w:rsidR="00514CC0" w:rsidRDefault="00E72B49">
      <w:pPr>
        <w:pStyle w:val="BodyText"/>
      </w:pPr>
      <w:r>
        <w:t>Based on ABS Average Weekly Earnings data (analysed by the WGEA), the gender pay gap as of May 2019 stands at 14.0%.</w:t>
      </w:r>
      <w:r w:rsidR="00DA2C1F">
        <w:rPr>
          <w:rStyle w:val="EndnoteReference"/>
        </w:rPr>
        <w:endnoteReference w:id="317"/>
      </w:r>
      <w:r>
        <w:t xml:space="preserve"> While this is the lowest point in 20 years, it has not been a linear decline. The gender pay gap peaked in November 2014 at 18.5% and reached a previous low of </w:t>
      </w:r>
      <w:r w:rsidR="00833667" w:rsidRPr="00833667">
        <w:t>14.6% in May 2018</w:t>
      </w:r>
      <w:r>
        <w:t>.</w:t>
      </w:r>
      <w:r w:rsidR="00DA2C1F">
        <w:rPr>
          <w:rStyle w:val="EndnoteReference"/>
        </w:rPr>
        <w:endnoteReference w:id="318"/>
      </w:r>
    </w:p>
    <w:p w14:paraId="59507AE7" w14:textId="47438FD3" w:rsidR="00514CC0" w:rsidRDefault="00E72B49">
      <w:pPr>
        <w:pStyle w:val="BodyText"/>
      </w:pPr>
      <w:r>
        <w:t>The WGEA also calculates the gender pay gap based on their own data, which includes pay data (encompassing superannuation, bonuses and any additional payments) from non-public sector organisations with 100 or more employees. This sample size is very significant, at over 4 million employees. As of 2019, the total remuneration gender pay gap, on the basis of the</w:t>
      </w:r>
      <w:r w:rsidR="007421E2">
        <w:t> </w:t>
      </w:r>
      <w:r>
        <w:t>WGEA’s own data, was even higher than the gap calculated on the basis of ABS data, standing at 20.8%. This means that in the financial year of 2018–19, men working full-time earned on average $25,679 more than women working full-time.</w:t>
      </w:r>
      <w:r w:rsidR="00DA2C1F">
        <w:rPr>
          <w:rStyle w:val="EndnoteReference"/>
        </w:rPr>
        <w:endnoteReference w:id="319"/>
      </w:r>
    </w:p>
    <w:p w14:paraId="7F87C422" w14:textId="671E5E72" w:rsidR="00514CC0" w:rsidRDefault="00E72B49">
      <w:pPr>
        <w:pStyle w:val="BodyText"/>
      </w:pPr>
      <w:r>
        <w:t>While the gender pay gap as recorded by the WGEA is significant, it has slowly yet steadily</w:t>
      </w:r>
      <w:r w:rsidR="007421E2">
        <w:t> </w:t>
      </w:r>
      <w:r>
        <w:t>declined over the past six years. Over the course of six years, it has declined by 3.9</w:t>
      </w:r>
      <w:r w:rsidR="007421E2">
        <w:t> </w:t>
      </w:r>
      <w:r>
        <w:t xml:space="preserve">percentage points. In 2013–14, the WGEA gender pay gap stood at 24.7% (see Figure </w:t>
      </w:r>
      <w:r w:rsidR="00D162DF">
        <w:t>25</w:t>
      </w:r>
      <w:r>
        <w:t>, below). That being said, change needs to occur at a faster rate. As it stands, if it was to steadily decline at the same rate, the gender pay gap will take decades more to close. More intentional efforts are required to hasten progress.</w:t>
      </w:r>
    </w:p>
    <w:p w14:paraId="70512F5C" w14:textId="77777777" w:rsidR="00AE6F3A" w:rsidRDefault="00AE6F3A" w:rsidP="00AE6F3A">
      <w:pPr>
        <w:pStyle w:val="BodyText"/>
      </w:pPr>
      <w:r>
        <w:t>While the past six years has seen a decline in the national gender pay gap, industry profiles show a much more mixed picture, e.g. certain industries which have been traditionally male-dominated (such as mining and construction) have seen a considerable narrowing of their gender pay gaps (although the gaps are still higher than the national average), while other industries have seen a considerable widening of their gender pay gaps.</w:t>
      </w:r>
    </w:p>
    <w:p w14:paraId="167C52DA" w14:textId="5E163DBF" w:rsidR="00514CC0" w:rsidRDefault="00E72B49">
      <w:pPr>
        <w:pStyle w:val="OWFigurecaption"/>
      </w:pPr>
      <w:r>
        <w:lastRenderedPageBreak/>
        <w:t xml:space="preserve">Figure </w:t>
      </w:r>
      <w:r w:rsidR="00D162DF">
        <w:t>25</w:t>
      </w:r>
      <w:r>
        <w:t xml:space="preserve">: </w:t>
      </w:r>
      <w:r w:rsidR="00571249" w:rsidRPr="00571249">
        <w:t>Total remuneration</w:t>
      </w:r>
      <w:r w:rsidR="00571249">
        <w:t xml:space="preserve"> g</w:t>
      </w:r>
      <w:r>
        <w:t>ender pay gap</w:t>
      </w:r>
      <w:r w:rsidR="00914911" w:rsidRPr="00914911">
        <w:t>, 2013–14 to 2018–19</w:t>
      </w:r>
      <w:r w:rsidR="00914911">
        <w:t>,</w:t>
      </w:r>
      <w:r>
        <w:t xml:space="preserve"> based on WGEA data</w:t>
      </w:r>
    </w:p>
    <w:p w14:paraId="3A832A78" w14:textId="77C59E64" w:rsidR="00514CC0" w:rsidRDefault="008C471A" w:rsidP="00933C30">
      <w:pPr>
        <w:pStyle w:val="OWFigureinline"/>
      </w:pPr>
      <w:r>
        <w:rPr>
          <w:noProof/>
        </w:rPr>
        <w:drawing>
          <wp:inline distT="0" distB="0" distL="0" distR="0" wp14:anchorId="7BF4A96E" wp14:editId="3520612D">
            <wp:extent cx="5651500" cy="3200400"/>
            <wp:effectExtent l="0" t="0" r="6350" b="0"/>
            <wp:docPr id="14" name="Picture 14" descr="Line graph of the following data (total remuneration gender pay gap). 2013–14 – 24.7%; 2014–15 – 24.0%; 2015–16 – 23.1%; 2016–17 – 22.4%; 2017–18 – 21.3%; 2018–19 –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ine graph of the following data (total remuneration gender pay gap). 2013–14 – 24.7%; 2014–15 – 24.0%; 2015–16 – 23.1%; 2016–17 – 22.4%; 2017–18 – 21.3%; 2018–19 – 20.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51500" cy="3200400"/>
                    </a:xfrm>
                    <a:prstGeom prst="rect">
                      <a:avLst/>
                    </a:prstGeom>
                    <a:noFill/>
                  </pic:spPr>
                </pic:pic>
              </a:graphicData>
            </a:graphic>
          </wp:inline>
        </w:drawing>
      </w:r>
    </w:p>
    <w:p w14:paraId="55011D0D" w14:textId="53F278FE" w:rsidR="00514CC0" w:rsidRPr="000B492C" w:rsidRDefault="00E72B49">
      <w:pPr>
        <w:pStyle w:val="OWFigurefootnote"/>
      </w:pPr>
      <w:r>
        <w:t>Source: WGEA, ‘</w:t>
      </w:r>
      <w:hyperlink r:id="rId61" w:history="1">
        <w:r w:rsidRPr="000B492C">
          <w:rPr>
            <w:rStyle w:val="Hyperlink"/>
          </w:rPr>
          <w:t>Australia’s gender pay gap statistics</w:t>
        </w:r>
      </w:hyperlink>
      <w:r>
        <w:t>’, Factsheet Series, WGEA, August 2018</w:t>
      </w:r>
      <w:r w:rsidR="000B492C">
        <w:t>.</w:t>
      </w:r>
    </w:p>
    <w:p w14:paraId="576EEBD3" w14:textId="7B051C44" w:rsidR="00514CC0" w:rsidRDefault="00E72B49" w:rsidP="00AE6F3A">
      <w:pPr>
        <w:pStyle w:val="OWBodytextlargespaceabove"/>
      </w:pPr>
      <w:r>
        <w:t>The public and private sectors, too, vary significantly in their respective gender pay gaps, though both have displayed some narrowing of the gender pay gap since November 2013. The WGEA has established that a contributor to the difference in the gender pay</w:t>
      </w:r>
      <w:r w:rsidR="00571249">
        <w:t xml:space="preserve"> </w:t>
      </w:r>
      <w:r>
        <w:t>gap between the public and private sectors is the main method of setting pay. The private sector predominantly uses an individual bargaining arrangement for establishing remuneration packages, while the public sector predominantly uses collective bargaining.</w:t>
      </w:r>
      <w:r w:rsidR="00DA2C1F">
        <w:rPr>
          <w:rStyle w:val="EndnoteReference"/>
        </w:rPr>
        <w:endnoteReference w:id="320"/>
      </w:r>
      <w:r>
        <w:t xml:space="preserve"> That is, it is better for women when pay scales are transparent and consistent.</w:t>
      </w:r>
    </w:p>
    <w:p w14:paraId="5559E7FA" w14:textId="77777777" w:rsidR="00514CC0" w:rsidRDefault="00E72B49" w:rsidP="00F868FE">
      <w:pPr>
        <w:pStyle w:val="Heading5"/>
      </w:pPr>
      <w:r>
        <w:t>Drivers of the gender pay gap</w:t>
      </w:r>
    </w:p>
    <w:p w14:paraId="752531FE" w14:textId="718D7E4B" w:rsidR="00514CC0" w:rsidRDefault="00E72B49">
      <w:pPr>
        <w:pStyle w:val="BodyText"/>
      </w:pPr>
      <w:r>
        <w:t>In 2019, KPMG worked with the Diversity Council of Australia and the WGEA to use statistical methodologies to determine the drivers of the gender pay gap in Australia, and how these have changed over time with regard to their relative contribution to the overall gender pay gap.</w:t>
      </w:r>
      <w:r w:rsidR="00DA2C1F">
        <w:rPr>
          <w:rStyle w:val="EndnoteReference"/>
        </w:rPr>
        <w:endnoteReference w:id="321"/>
      </w:r>
    </w:p>
    <w:p w14:paraId="2EFBC4C0" w14:textId="28262DC4" w:rsidR="00514CC0" w:rsidRDefault="00E72B49">
      <w:pPr>
        <w:pStyle w:val="BodyText"/>
      </w:pPr>
      <w:r>
        <w:t>The study found that the top five drivers of the gender pay gap as of 2017 were:</w:t>
      </w:r>
    </w:p>
    <w:p w14:paraId="0BB7CDC0" w14:textId="04B1F645" w:rsidR="00514CC0" w:rsidRDefault="00E72B49" w:rsidP="002C2EC7">
      <w:pPr>
        <w:pStyle w:val="OWNumberdigit"/>
        <w:numPr>
          <w:ilvl w:val="0"/>
          <w:numId w:val="9"/>
        </w:numPr>
      </w:pPr>
      <w:r>
        <w:t>Gender discrimination (i.e. discriminatory ‘practices such as workplace culture, hiring, promotion and access to training … systemic or overt’</w:t>
      </w:r>
      <w:r w:rsidR="00DA2C1F">
        <w:rPr>
          <w:rStyle w:val="EndnoteReference"/>
        </w:rPr>
        <w:endnoteReference w:id="322"/>
      </w:r>
      <w:r>
        <w:t>) (39%)</w:t>
      </w:r>
    </w:p>
    <w:p w14:paraId="255CE39E" w14:textId="77777777" w:rsidR="00514CC0" w:rsidRDefault="00E72B49">
      <w:pPr>
        <w:pStyle w:val="OWNumberdigit"/>
      </w:pPr>
      <w:r>
        <w:t>Years not working due to interruptions (25%)</w:t>
      </w:r>
    </w:p>
    <w:p w14:paraId="7794E5F5" w14:textId="77777777" w:rsidR="00514CC0" w:rsidRDefault="00E72B49">
      <w:pPr>
        <w:pStyle w:val="OWNumberdigit"/>
      </w:pPr>
      <w:r>
        <w:t>Occupational and industrial segregation (17%)</w:t>
      </w:r>
    </w:p>
    <w:p w14:paraId="2646E5BC" w14:textId="77777777" w:rsidR="00514CC0" w:rsidRDefault="00E72B49">
      <w:pPr>
        <w:pStyle w:val="OWNumberdigit"/>
      </w:pPr>
      <w:r>
        <w:t>Part-time employment (7%)</w:t>
      </w:r>
    </w:p>
    <w:p w14:paraId="08E82F59" w14:textId="43BF6535" w:rsidR="00514CC0" w:rsidRDefault="00E72B49">
      <w:pPr>
        <w:pStyle w:val="OWNumberdigit"/>
      </w:pPr>
      <w:r>
        <w:t>Unpaid care work (7%)</w:t>
      </w:r>
      <w:r w:rsidR="00DA2C1F">
        <w:rPr>
          <w:rStyle w:val="EndnoteReference"/>
        </w:rPr>
        <w:endnoteReference w:id="323"/>
      </w:r>
    </w:p>
    <w:p w14:paraId="5B2DF0A5" w14:textId="77777777" w:rsidR="00AE6F3A" w:rsidRDefault="00AE6F3A" w:rsidP="00AE6F3A">
      <w:pPr>
        <w:pStyle w:val="BodyText"/>
      </w:pPr>
      <w:r>
        <w:br w:type="page"/>
      </w:r>
    </w:p>
    <w:p w14:paraId="4E6D18D6" w14:textId="060A7B6E" w:rsidR="00514CC0" w:rsidRDefault="00E72B49" w:rsidP="00D877F5">
      <w:pPr>
        <w:pStyle w:val="OWBodytextafterlist"/>
        <w:spacing w:after="360"/>
      </w:pPr>
      <w:r>
        <w:lastRenderedPageBreak/>
        <w:t>Importantly, KPMG found that between 2014 and 2017, gender discrimination increased in relative contribution to the gender pay gap by 10 percentage points, from 29% to 39%.</w:t>
      </w:r>
      <w:r w:rsidR="00DA2C1F">
        <w:rPr>
          <w:rStyle w:val="EndnoteReference"/>
        </w:rPr>
        <w:endnoteReference w:id="324"/>
      </w:r>
      <w:r>
        <w:t xml:space="preserve"> This gender pay gap analysis shows that while the gender pay gap may be on an overall slow</w:t>
      </w:r>
      <w:r w:rsidR="00B55A90">
        <w:t> </w:t>
      </w:r>
      <w:r>
        <w:t>decline, the stickiest underlying gendered drivers such as ‘gender discrimination’ are increasing in severity. In order to reduce the gender pay gap in a way which is significant and sustainable, attention needs to be given to gender inequalities in the workplace, at home and in broader society.</w:t>
      </w:r>
    </w:p>
    <w:tbl>
      <w:tblPr>
        <w:tblStyle w:val="Casestudyteal"/>
        <w:tblW w:w="0" w:type="auto"/>
        <w:tblLayout w:type="fixed"/>
        <w:tblLook w:val="0620" w:firstRow="1" w:lastRow="0" w:firstColumn="0" w:lastColumn="0" w:noHBand="1" w:noVBand="1"/>
      </w:tblPr>
      <w:tblGrid>
        <w:gridCol w:w="9071"/>
      </w:tblGrid>
      <w:tr w:rsidR="00514CC0" w14:paraId="2CA21233" w14:textId="77777777" w:rsidTr="00084525">
        <w:trPr>
          <w:cnfStyle w:val="100000000000" w:firstRow="1" w:lastRow="0" w:firstColumn="0" w:lastColumn="0" w:oddVBand="0" w:evenVBand="0" w:oddHBand="0" w:evenHBand="0" w:firstRowFirstColumn="0" w:firstRowLastColumn="0" w:lastRowFirstColumn="0" w:lastRowLastColumn="0"/>
          <w:trHeight w:val="60"/>
        </w:trPr>
        <w:tc>
          <w:tcPr>
            <w:tcW w:w="9071" w:type="dxa"/>
          </w:tcPr>
          <w:p w14:paraId="4A5EA9BA" w14:textId="77777777" w:rsidR="00514CC0" w:rsidRPr="00933C30" w:rsidRDefault="00E72B49" w:rsidP="00B55A90">
            <w:pPr>
              <w:pStyle w:val="OWBoxheading"/>
              <w:spacing w:before="200"/>
            </w:pPr>
            <w:r w:rsidRPr="00933C30">
              <w:t>Pay gap analyses beyond gender: Indigenous pay gap and disability pay gap</w:t>
            </w:r>
          </w:p>
        </w:tc>
      </w:tr>
      <w:tr w:rsidR="00514CC0" w14:paraId="5AB3F766" w14:textId="77777777" w:rsidTr="00084525">
        <w:trPr>
          <w:trHeight w:val="60"/>
        </w:trPr>
        <w:tc>
          <w:tcPr>
            <w:tcW w:w="9071" w:type="dxa"/>
          </w:tcPr>
          <w:p w14:paraId="60A0E8E5" w14:textId="77777777" w:rsidR="00514CC0" w:rsidRDefault="00E72B49" w:rsidP="00B55A90">
            <w:pPr>
              <w:pStyle w:val="OWTablebodyleft"/>
              <w:spacing w:before="0"/>
            </w:pPr>
            <w:r>
              <w:t>While the gender pay gap shows continuing economic inequality between men and women in Australia, rooted in and compounding other forms of gender inequality (such as discrimination in the workplace and unequal division of unpaid labour), gender pay gap data as it is currently formulated only tells us so much about men’s control of decision-making and limits to women’s independence in public life.</w:t>
            </w:r>
          </w:p>
          <w:p w14:paraId="2951AD96" w14:textId="77777777" w:rsidR="00514CC0" w:rsidRDefault="00E72B49">
            <w:pPr>
              <w:pStyle w:val="OWTablebodyleft"/>
            </w:pPr>
            <w:r>
              <w:t>The gender pay gap is calculated on the basis of comparison of full-time earnings. In</w:t>
            </w:r>
            <w:r w:rsidR="00B55A90">
              <w:t> </w:t>
            </w:r>
            <w:r>
              <w:t>this sense, it does not capture the experience of women with more precarious positions in the formal economy, such as unemployed women, part-time workers and</w:t>
            </w:r>
            <w:r w:rsidR="00B55A90">
              <w:t> </w:t>
            </w:r>
            <w:r>
              <w:t>casual workers. And we know that women are more likely than men not to be employed full-time (see Indicator 2.3: Gender composition of the workforce by industry and employment status).</w:t>
            </w:r>
          </w:p>
          <w:p w14:paraId="324C778F" w14:textId="2E994083" w:rsidR="00841735" w:rsidRDefault="00841735" w:rsidP="00841735">
            <w:pPr>
              <w:pStyle w:val="OWTablebodyleft"/>
            </w:pPr>
            <w:r>
              <w:t xml:space="preserve">The other major limitation to the gender pay gap data which masks intersecting forms of privilege and </w:t>
            </w:r>
            <w:r w:rsidR="00362C29" w:rsidRPr="00362C29">
              <w:t xml:space="preserve">oppression </w:t>
            </w:r>
            <w:r>
              <w:t xml:space="preserve">is that it is not disaggregated by any other demographic factor than gender. Nor is gender pay gap data therefore analysed in terms of other forms of discrimination which could drive pay gap inequality between different groups of women. If we know that discrimination on the basis of gender is a key (and growing) contributor to the gender pay gap, it stands to reason that other forms of discrimination (such as ableism, racism and the impacts of colonisation) are likely to impact on pay gaps experienced by women who experience intersecting forms of structural </w:t>
            </w:r>
            <w:r w:rsidR="0063035C" w:rsidRPr="0063035C">
              <w:t>discrimination</w:t>
            </w:r>
            <w:r>
              <w:t>.</w:t>
            </w:r>
          </w:p>
          <w:p w14:paraId="79089E75" w14:textId="617D7DD1" w:rsidR="00841735" w:rsidRPr="000755B9" w:rsidRDefault="00841735" w:rsidP="003367AD">
            <w:pPr>
              <w:pStyle w:val="OWTablebodyleft"/>
              <w:rPr>
                <w:b/>
                <w:bCs/>
              </w:rPr>
            </w:pPr>
            <w:r w:rsidRPr="00841735">
              <w:rPr>
                <w:rStyle w:val="Strong"/>
              </w:rPr>
              <w:t xml:space="preserve">Emerging data indicates that the gender pay gap is far wider for women who experience intersecting forms of </w:t>
            </w:r>
            <w:r w:rsidR="0063035C" w:rsidRPr="0063035C">
              <w:rPr>
                <w:rStyle w:val="Strong"/>
              </w:rPr>
              <w:t>discrimination</w:t>
            </w:r>
            <w:r w:rsidRPr="00841735">
              <w:rPr>
                <w:rStyle w:val="Strong"/>
              </w:rPr>
              <w:t>, and that there are considerable differences between groups of women in the Australian population.</w:t>
            </w:r>
          </w:p>
        </w:tc>
      </w:tr>
      <w:tr w:rsidR="00514CC0" w14:paraId="023CE6F6" w14:textId="77777777" w:rsidTr="00084525">
        <w:trPr>
          <w:trHeight w:val="60"/>
        </w:trPr>
        <w:tc>
          <w:tcPr>
            <w:tcW w:w="9071" w:type="dxa"/>
          </w:tcPr>
          <w:p w14:paraId="17C8CF40" w14:textId="47BF202B" w:rsidR="000755B9" w:rsidRPr="000755B9" w:rsidRDefault="000755B9" w:rsidP="000755B9">
            <w:pPr>
              <w:pStyle w:val="OWTablebodyleft"/>
              <w:spacing w:before="360"/>
              <w:rPr>
                <w:rStyle w:val="Strong"/>
                <w:b w:val="0"/>
                <w:bCs w:val="0"/>
              </w:rPr>
            </w:pPr>
            <w:r>
              <w:lastRenderedPageBreak/>
              <w:t>Other pay gap analysis projects in Australia have identified or are in the process of identifying substantial differentials based on axes of inequality other than gender. For example:</w:t>
            </w:r>
          </w:p>
          <w:p w14:paraId="4526D880" w14:textId="7D923DE9" w:rsidR="00514CC0" w:rsidRDefault="00E72B49" w:rsidP="000755B9">
            <w:pPr>
              <w:pStyle w:val="OWTablebullet1"/>
            </w:pPr>
            <w:r w:rsidRPr="002D0D52">
              <w:rPr>
                <w:rStyle w:val="Strong"/>
              </w:rPr>
              <w:t>Indigenous pay gap:</w:t>
            </w:r>
            <w:r>
              <w:t xml:space="preserve"> Researchers at the Centre for Aboriginal Economic Policy Research at the Australian National University analyse census and other data sources (such as the Household Income and Labour Dynamics Australia) to understand and track over time income inequality between Aboriginal and Torres</w:t>
            </w:r>
            <w:r w:rsidR="007C4B16">
              <w:t> </w:t>
            </w:r>
            <w:r>
              <w:t>Strait Islander people and non-Indigenous people. On the basis of a number</w:t>
            </w:r>
            <w:r w:rsidR="007C4B16">
              <w:t> </w:t>
            </w:r>
            <w:r>
              <w:t xml:space="preserve">of metrics and data sources, this analysis has identified that there is very considerable income inequality between Aboriginal and Torres Strait Islander people and non-Indigenous people, though the gap is very gradually narrowing over time (with this narrowing driven by growth in incomes for </w:t>
            </w:r>
            <w:r w:rsidR="003B3A2C">
              <w:t>Aboriginal and Torres Strait Islander</w:t>
            </w:r>
            <w:r>
              <w:t xml:space="preserve"> people at the higher end of income distribution and based in urban areas). For example, on the basis of median gross income data, the</w:t>
            </w:r>
            <w:r w:rsidR="00C01D7C">
              <w:t xml:space="preserve"> </w:t>
            </w:r>
            <w:r>
              <w:t>pay gap between First Nations people and non-Indigenous Australians was 38%</w:t>
            </w:r>
            <w:r w:rsidR="00C01D7C">
              <w:t xml:space="preserve"> </w:t>
            </w:r>
            <w:r>
              <w:t xml:space="preserve">in 2016 and 34% in 2011. However, this gap is particularly exacerbated (and widening) for </w:t>
            </w:r>
            <w:r w:rsidR="0097569A">
              <w:t>Aboriginal and Torres Strait Islander</w:t>
            </w:r>
            <w:r>
              <w:t xml:space="preserve"> people living in remote areas, who tend to be at the lower end of income distribution, i.e. there is a great deal of geographic variation in income inequality between </w:t>
            </w:r>
            <w:r w:rsidR="00C14FF8">
              <w:t xml:space="preserve">Aboriginal and Torres Strait </w:t>
            </w:r>
            <w:r w:rsidR="717D8F68">
              <w:t>Isla</w:t>
            </w:r>
            <w:r w:rsidR="7B720272">
              <w:t>n</w:t>
            </w:r>
            <w:r w:rsidR="717D8F68">
              <w:t>der</w:t>
            </w:r>
            <w:r>
              <w:t xml:space="preserve"> people. Moreover, while the median personal weekly incomes of men and women were at a very similar point in 2006, the median personal income of </w:t>
            </w:r>
            <w:r w:rsidR="00DF540C">
              <w:t>Aboriginal and Torres Strait Islander</w:t>
            </w:r>
            <w:r>
              <w:t xml:space="preserve"> women has grown by 5% less than that of First Nations men between 2006 and 2016 (Markham and Biddle, 2018).</w:t>
            </w:r>
          </w:p>
          <w:p w14:paraId="7E4C752C" w14:textId="027D5F18" w:rsidR="00514CC0" w:rsidRDefault="00E72B49">
            <w:pPr>
              <w:pStyle w:val="OWTablebullet1"/>
            </w:pPr>
            <w:r w:rsidRPr="002D0D52">
              <w:rPr>
                <w:rStyle w:val="Strong"/>
              </w:rPr>
              <w:t>Disability pay gap:</w:t>
            </w:r>
            <w:r>
              <w:rPr>
                <w:rStyle w:val="OWMagentahighlight"/>
              </w:rPr>
              <w:t xml:space="preserve"> </w:t>
            </w:r>
            <w:r>
              <w:t>Researchers at the Centre of Research Excellence in Disability and Health at the University of Melbourne are currently engaged in analysing the</w:t>
            </w:r>
            <w:r w:rsidR="00B55A90">
              <w:t> </w:t>
            </w:r>
            <w:r>
              <w:t>pay gap between people with disability and people without disability (</w:t>
            </w:r>
            <w:hyperlink r:id="rId62" w:history="1">
              <w:r>
                <w:rPr>
                  <w:rStyle w:val="Hyperlink"/>
                </w:rPr>
                <w:t>The Disability Pay Gap: Mythbusting and Numbercrunching</w:t>
              </w:r>
            </w:hyperlink>
            <w:r>
              <w:t>). One of the researchers, George Disney, writes: ‘People with disability in Australia face not only disadvantages in accessing employment such as discrimination in hiring practices but also in even securing minimum wage pay to which non-disabled Australians are entitled. Currently paying people with disability below the minimum wage is legal in Australia, yet illegal for a non-disabled person’ (</w:t>
            </w:r>
            <w:hyperlink r:id="rId63" w:history="1">
              <w:r>
                <w:rPr>
                  <w:rStyle w:val="Hyperlink"/>
                </w:rPr>
                <w:t>Disability, employment and inequity – it’s time to do more than the bare minimum</w:t>
              </w:r>
            </w:hyperlink>
            <w:r>
              <w:t>). It is likely then that the disability pay gap is very substantial.</w:t>
            </w:r>
          </w:p>
          <w:p w14:paraId="56380E8C" w14:textId="77777777" w:rsidR="00514CC0" w:rsidRDefault="00E72B49" w:rsidP="00B55A90">
            <w:pPr>
              <w:pStyle w:val="OWTablebodyleft"/>
              <w:spacing w:before="100"/>
            </w:pPr>
            <w:r w:rsidRPr="002D0D52">
              <w:rPr>
                <w:rStyle w:val="Strong"/>
              </w:rPr>
              <w:t xml:space="preserve">Data recommendation: </w:t>
            </w:r>
            <w:r>
              <w:t>We recommend explorations of pay gap analysis data sources and methodologies which would allow for comparison and disaggregation by multiple demographic factors (i.e. gender and disability, gender and Indigenous status, gender, disability and Indigenous status), and analyses of pay gap data that take into account multiple and intersecting forms of discrimination.</w:t>
            </w:r>
          </w:p>
          <w:p w14:paraId="3BD3DA1D" w14:textId="77777777" w:rsidR="003D6A9B" w:rsidRPr="003D6A9B" w:rsidRDefault="003D6A9B" w:rsidP="003D6A9B">
            <w:pPr>
              <w:pStyle w:val="OWBoxsourceline"/>
            </w:pPr>
            <w:r>
              <w:drawing>
                <wp:inline distT="0" distB="0" distL="0" distR="0" wp14:anchorId="4963631A" wp14:editId="19CB50E2">
                  <wp:extent cx="431640" cy="3960"/>
                  <wp:effectExtent l="0" t="0" r="0" b="0"/>
                  <wp:docPr id="724826668" name="Picture 5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28">
                            <a:extLst>
                              <a:ext uri="{28A0092B-C50C-407E-A947-70E740481C1C}">
                                <a14:useLocalDpi xmlns:a14="http://schemas.microsoft.com/office/drawing/2010/main" val="0"/>
                              </a:ext>
                            </a:extLst>
                          </a:blip>
                          <a:stretch>
                            <a:fillRect/>
                          </a:stretch>
                        </pic:blipFill>
                        <pic:spPr>
                          <a:xfrm>
                            <a:off x="0" y="0"/>
                            <a:ext cx="431640" cy="3960"/>
                          </a:xfrm>
                          <a:prstGeom prst="rect">
                            <a:avLst/>
                          </a:prstGeom>
                        </pic:spPr>
                      </pic:pic>
                    </a:graphicData>
                  </a:graphic>
                </wp:inline>
              </w:drawing>
            </w:r>
          </w:p>
          <w:p w14:paraId="3F92EA8D" w14:textId="1EB5D544" w:rsidR="00514CC0" w:rsidRDefault="00E72B49" w:rsidP="004A1B0D">
            <w:pPr>
              <w:pStyle w:val="OWBoxsource"/>
            </w:pPr>
            <w:r>
              <w:t>Sources: Markham and Biddle, 2018; Disney, ‘Disability Employment and Inequity’, 2019; ‘</w:t>
            </w:r>
            <w:hyperlink r:id="rId64" w:history="1">
              <w:r w:rsidRPr="000B492C">
                <w:rPr>
                  <w:rStyle w:val="Hyperlink"/>
                </w:rPr>
                <w:t>The</w:t>
              </w:r>
              <w:r w:rsidR="00B55A90" w:rsidRPr="000B492C">
                <w:rPr>
                  <w:rStyle w:val="Hyperlink"/>
                </w:rPr>
                <w:t> </w:t>
              </w:r>
              <w:r w:rsidRPr="000B492C">
                <w:rPr>
                  <w:rStyle w:val="Hyperlink"/>
                </w:rPr>
                <w:t>Disability Pay Gap</w:t>
              </w:r>
            </w:hyperlink>
            <w:r>
              <w:t>’</w:t>
            </w:r>
            <w:r w:rsidR="000B492C">
              <w:t>.</w:t>
            </w:r>
          </w:p>
        </w:tc>
      </w:tr>
    </w:tbl>
    <w:p w14:paraId="2A5808B2" w14:textId="77777777" w:rsidR="00514CC0" w:rsidRDefault="00E72B49" w:rsidP="00E1549C">
      <w:pPr>
        <w:pStyle w:val="Heading4"/>
      </w:pPr>
      <w:r>
        <w:lastRenderedPageBreak/>
        <w:t>Indicator 3.8: Retirement gap and superannuation gap</w:t>
      </w:r>
    </w:p>
    <w:tbl>
      <w:tblPr>
        <w:tblStyle w:val="Indicatoroutlineteal"/>
        <w:tblW w:w="9072" w:type="dxa"/>
        <w:tblLayout w:type="fixed"/>
        <w:tblLook w:val="0680" w:firstRow="0" w:lastRow="0" w:firstColumn="1" w:lastColumn="0" w:noHBand="1" w:noVBand="1"/>
      </w:tblPr>
      <w:tblGrid>
        <w:gridCol w:w="2268"/>
        <w:gridCol w:w="6804"/>
      </w:tblGrid>
      <w:tr w:rsidR="00514CC0" w14:paraId="096A49BF" w14:textId="77777777" w:rsidTr="00084525">
        <w:trPr>
          <w:cantSplit/>
          <w:trHeight w:val="60"/>
        </w:trPr>
        <w:tc>
          <w:tcPr>
            <w:tcW w:w="2268" w:type="dxa"/>
          </w:tcPr>
          <w:p w14:paraId="0E52582E" w14:textId="4415C137" w:rsidR="00514CC0" w:rsidRDefault="00E72B49">
            <w:pPr>
              <w:pStyle w:val="OWTablebodyleft"/>
            </w:pPr>
            <w:r>
              <w:t>What does this indicator tell us about Monitoring domain 3: Men’s control of decision-making and limits to</w:t>
            </w:r>
            <w:r w:rsidR="00B55A90">
              <w:t> </w:t>
            </w:r>
            <w:r>
              <w:t>women’s independence in</w:t>
            </w:r>
            <w:r w:rsidR="00B55A90">
              <w:t> </w:t>
            </w:r>
            <w:r>
              <w:t>public life?</w:t>
            </w:r>
          </w:p>
        </w:tc>
        <w:tc>
          <w:tcPr>
            <w:tcW w:w="6803" w:type="dxa"/>
          </w:tcPr>
          <w:p w14:paraId="080D8314" w14:textId="7C26954F" w:rsidR="00514CC0" w:rsidRDefault="00E72B49">
            <w:pPr>
              <w:pStyle w:val="OWTablebodyleft"/>
            </w:pPr>
            <w:r>
              <w:t>Women tend to experience much greater economic insecurity than men in retirement or later life. This is due to a number of factors, including the gender pay gap, different workforce participation patterns and the gender pay gap creating significant differences in</w:t>
            </w:r>
            <w:r w:rsidR="00B55A90">
              <w:t> </w:t>
            </w:r>
            <w:r>
              <w:t>superannuation savings, a superannuation system which tends to amplify gender gaps in superannuation, and differences in women’s and men’s retirement patterns. Very significant gender disparities in superannuation and retirement exist, and these disparities are projected to continue into the long-term future, unless substantial policy and programmatic action is taken. This</w:t>
            </w:r>
            <w:r w:rsidR="00B55A90">
              <w:t> </w:t>
            </w:r>
            <w:r>
              <w:t>indicator measures progress in reducing retirement and superannuation gender gaps as key markers of structural economic</w:t>
            </w:r>
            <w:r w:rsidR="00B55A90">
              <w:t> </w:t>
            </w:r>
            <w:r>
              <w:t>expressions of gender inequality.</w:t>
            </w:r>
          </w:p>
        </w:tc>
      </w:tr>
      <w:tr w:rsidR="00514CC0" w14:paraId="7A85F4D0" w14:textId="77777777" w:rsidTr="00084525">
        <w:trPr>
          <w:cantSplit/>
          <w:trHeight w:val="60"/>
        </w:trPr>
        <w:tc>
          <w:tcPr>
            <w:tcW w:w="2268" w:type="dxa"/>
          </w:tcPr>
          <w:p w14:paraId="4D9BCFB2" w14:textId="17EAE14A" w:rsidR="00514CC0" w:rsidRDefault="00E72B49">
            <w:pPr>
              <w:pStyle w:val="OWTablebodyleft"/>
            </w:pPr>
            <w:r>
              <w:t>Expected change if</w:t>
            </w:r>
            <w:r w:rsidR="00B55A90">
              <w:t> </w:t>
            </w:r>
            <w:r>
              <w:t>high-quality programs and infrastructure for prevention of violence against women and gender equality are implemented</w:t>
            </w:r>
          </w:p>
        </w:tc>
        <w:tc>
          <w:tcPr>
            <w:tcW w:w="6803" w:type="dxa"/>
          </w:tcPr>
          <w:p w14:paraId="6D7BB90D" w14:textId="77777777" w:rsidR="00514CC0" w:rsidRDefault="00E72B49">
            <w:pPr>
              <w:pStyle w:val="OWTablebodyleft"/>
            </w:pPr>
            <w:r>
              <w:t>Short- to medium-term: small advances towards reducing the retirement and superannuation gender gaps.</w:t>
            </w:r>
          </w:p>
          <w:p w14:paraId="3E771C50" w14:textId="77777777" w:rsidR="00514CC0" w:rsidRDefault="00E72B49">
            <w:pPr>
              <w:pStyle w:val="OWTablebodyleft"/>
            </w:pPr>
            <w:r>
              <w:t>Long-term: superannuation and retirement parity.</w:t>
            </w:r>
          </w:p>
        </w:tc>
      </w:tr>
      <w:tr w:rsidR="00514CC0" w14:paraId="331AEF52" w14:textId="77777777" w:rsidTr="00084525">
        <w:trPr>
          <w:cantSplit/>
          <w:trHeight w:val="60"/>
        </w:trPr>
        <w:tc>
          <w:tcPr>
            <w:tcW w:w="2268" w:type="dxa"/>
          </w:tcPr>
          <w:p w14:paraId="000DC1E8" w14:textId="77777777" w:rsidR="00514CC0" w:rsidRDefault="00E72B49">
            <w:pPr>
              <w:pStyle w:val="OWTablebodyleft"/>
            </w:pPr>
            <w:r>
              <w:t>Data source(s)</w:t>
            </w:r>
          </w:p>
        </w:tc>
        <w:tc>
          <w:tcPr>
            <w:tcW w:w="6803" w:type="dxa"/>
          </w:tcPr>
          <w:p w14:paraId="2AD49BF4" w14:textId="77777777" w:rsidR="00514CC0" w:rsidRDefault="00E72B49" w:rsidP="002C2EC7">
            <w:pPr>
              <w:pStyle w:val="OWTablenumberdigit"/>
              <w:numPr>
                <w:ilvl w:val="0"/>
                <w:numId w:val="30"/>
              </w:numPr>
            </w:pPr>
            <w:r>
              <w:t>ABS Household Income and Wealth 2017–18, presented in the ABS Gender Indicators 2018</w:t>
            </w:r>
          </w:p>
          <w:p w14:paraId="396F9BBC" w14:textId="629C1E27" w:rsidR="00514CC0" w:rsidRDefault="00E72B49">
            <w:pPr>
              <w:pStyle w:val="OWTablenumberdigit"/>
            </w:pPr>
            <w:r>
              <w:t>ABS Survey of Employment Arrangements, Retirement and Superannuation (SEARS) 2007, ABS</w:t>
            </w:r>
            <w:r>
              <w:rPr>
                <w:rStyle w:val="OWSuperscript"/>
              </w:rPr>
              <w:footnoteReference w:id="40"/>
            </w:r>
            <w:r w:rsidR="00DA2C1F" w:rsidRPr="00DA2C1F">
              <w:rPr>
                <w:rStyle w:val="OWSuperscript"/>
              </w:rPr>
              <w:t>,</w:t>
            </w:r>
            <w:r w:rsidR="00DA2C1F">
              <w:rPr>
                <w:rStyle w:val="EndnoteReference"/>
                <w:position w:val="4"/>
                <w:sz w:val="18"/>
              </w:rPr>
              <w:endnoteReference w:id="325"/>
            </w:r>
          </w:p>
          <w:p w14:paraId="09B65657" w14:textId="37244378" w:rsidR="00514CC0" w:rsidRDefault="00E72B49">
            <w:pPr>
              <w:pStyle w:val="OWTablenumberdigit"/>
            </w:pPr>
            <w:r>
              <w:t>Industry Super Australia’s analysis of the Australian Tax Office Statistics 2013–14</w:t>
            </w:r>
            <w:r w:rsidR="00DA2C1F">
              <w:rPr>
                <w:rStyle w:val="EndnoteReference"/>
              </w:rPr>
              <w:endnoteReference w:id="326"/>
            </w:r>
          </w:p>
        </w:tc>
      </w:tr>
      <w:tr w:rsidR="00514CC0" w14:paraId="525E5B2D" w14:textId="77777777" w:rsidTr="00084525">
        <w:trPr>
          <w:cantSplit/>
          <w:trHeight w:val="60"/>
        </w:trPr>
        <w:tc>
          <w:tcPr>
            <w:tcW w:w="2268" w:type="dxa"/>
          </w:tcPr>
          <w:p w14:paraId="2B5BDA9B" w14:textId="77777777" w:rsidR="00514CC0" w:rsidRDefault="00E72B49">
            <w:pPr>
              <w:pStyle w:val="OWTablebodyleft"/>
            </w:pPr>
            <w:r>
              <w:t>Change over time summary: short-term change revealed by the data</w:t>
            </w:r>
          </w:p>
        </w:tc>
        <w:tc>
          <w:tcPr>
            <w:tcW w:w="6803" w:type="dxa"/>
          </w:tcPr>
          <w:p w14:paraId="7DDE4086" w14:textId="77777777" w:rsidR="00514CC0" w:rsidRDefault="00E72B49">
            <w:pPr>
              <w:pStyle w:val="OWTablebodyleft"/>
            </w:pPr>
            <w:r>
              <w:t>Only baseline data available on retirement gender gap and superannuation gender gap. Change not able to be assessed.</w:t>
            </w:r>
          </w:p>
        </w:tc>
      </w:tr>
      <w:tr w:rsidR="00514CC0" w14:paraId="35EC2EF0" w14:textId="77777777" w:rsidTr="00084525">
        <w:trPr>
          <w:cantSplit/>
          <w:trHeight w:val="60"/>
        </w:trPr>
        <w:tc>
          <w:tcPr>
            <w:tcW w:w="2268" w:type="dxa"/>
          </w:tcPr>
          <w:p w14:paraId="08DCA8FD" w14:textId="77777777" w:rsidR="00514CC0" w:rsidRDefault="00E72B49">
            <w:pPr>
              <w:pStyle w:val="OWTablebodyleft"/>
            </w:pPr>
            <w:r>
              <w:t>Does the change confirm or run contrary to expected change?</w:t>
            </w:r>
          </w:p>
        </w:tc>
        <w:tc>
          <w:tcPr>
            <w:tcW w:w="6803" w:type="dxa"/>
          </w:tcPr>
          <w:p w14:paraId="144BAB02" w14:textId="77777777" w:rsidR="00514CC0" w:rsidRDefault="00E72B49">
            <w:pPr>
              <w:pStyle w:val="OWTablebodyleft"/>
            </w:pPr>
            <w:r>
              <w:t>Change not able to be assessed.</w:t>
            </w:r>
          </w:p>
        </w:tc>
      </w:tr>
      <w:tr w:rsidR="00514CC0" w14:paraId="77185FA3" w14:textId="77777777" w:rsidTr="00084525">
        <w:trPr>
          <w:cantSplit/>
          <w:trHeight w:val="60"/>
        </w:trPr>
        <w:tc>
          <w:tcPr>
            <w:tcW w:w="2268" w:type="dxa"/>
          </w:tcPr>
          <w:p w14:paraId="40D18468" w14:textId="77777777" w:rsidR="00514CC0" w:rsidRDefault="00E72B49">
            <w:pPr>
              <w:pStyle w:val="OWTablebodyleft"/>
            </w:pPr>
            <w:r>
              <w:lastRenderedPageBreak/>
              <w:t>Gaps in existing data</w:t>
            </w:r>
          </w:p>
        </w:tc>
        <w:tc>
          <w:tcPr>
            <w:tcW w:w="6803" w:type="dxa"/>
          </w:tcPr>
          <w:p w14:paraId="40D14DBE" w14:textId="77777777" w:rsidR="00514CC0" w:rsidRDefault="00E72B49">
            <w:pPr>
              <w:pStyle w:val="OWTablebodyleft"/>
            </w:pPr>
            <w:r>
              <w:t>Retirement gap data has not been recently released to allow for tracking over time.</w:t>
            </w:r>
          </w:p>
          <w:p w14:paraId="38A04233" w14:textId="77777777" w:rsidR="00514CC0" w:rsidRDefault="00E72B49">
            <w:pPr>
              <w:pStyle w:val="OWTablebodyleft"/>
            </w:pPr>
            <w:r>
              <w:t>Superannuation gap data is presented in different ways which make a consistent metric difficult to determine. No superannuation data disaggregated by Indigenous status is currently available.</w:t>
            </w:r>
          </w:p>
        </w:tc>
      </w:tr>
    </w:tbl>
    <w:p w14:paraId="6645F4C2" w14:textId="77777777" w:rsidR="00514CC0" w:rsidRDefault="00E72B49" w:rsidP="00F868FE">
      <w:pPr>
        <w:pStyle w:val="Heading5"/>
      </w:pPr>
      <w:r>
        <w:t>Retirement gap</w:t>
      </w:r>
    </w:p>
    <w:p w14:paraId="24CBA29A" w14:textId="539606DF" w:rsidR="00514CC0" w:rsidRDefault="00E72B49">
      <w:pPr>
        <w:pStyle w:val="BodyText"/>
      </w:pPr>
      <w:r>
        <w:t>In 2007, on average Australian women retired 11 years earlier than their male counterparts, with the average age of retirement for women being 47 years and men 58 years. Over one-quarter (28%) of retired men had retired prior to 55 years, compared with three-fifths (60%) of women.</w:t>
      </w:r>
      <w:r w:rsidR="00DA2C1F">
        <w:rPr>
          <w:rStyle w:val="EndnoteReference"/>
        </w:rPr>
        <w:endnoteReference w:id="327"/>
      </w:r>
      <w:r>
        <w:t xml:space="preserve"> Only half (48%) of women aged 45 years or over were in the labour force, as compared with three in five men (61%). Half (48%) of women aged 45 years and over had retired, compared with just over one-third (37%) of men (see Table </w:t>
      </w:r>
      <w:r w:rsidR="0017588F">
        <w:t>26</w:t>
      </w:r>
      <w:r>
        <w:t>, below).</w:t>
      </w:r>
    </w:p>
    <w:p w14:paraId="3329A58B" w14:textId="155F24FD" w:rsidR="00514CC0" w:rsidRDefault="00E72B49">
      <w:pPr>
        <w:pStyle w:val="OWTablecaption"/>
      </w:pPr>
      <w:r>
        <w:t xml:space="preserve">Table </w:t>
      </w:r>
      <w:r w:rsidR="0017588F">
        <w:t>26</w:t>
      </w:r>
      <w:r>
        <w:t>: Employment and retirement status of Australians aged 45 years or over, 2007*</w:t>
      </w:r>
    </w:p>
    <w:tbl>
      <w:tblPr>
        <w:tblStyle w:val="Datatableteal"/>
        <w:tblW w:w="9072" w:type="dxa"/>
        <w:tblLayout w:type="fixed"/>
        <w:tblLook w:val="06A0" w:firstRow="1" w:lastRow="0" w:firstColumn="1" w:lastColumn="0" w:noHBand="1" w:noVBand="1"/>
      </w:tblPr>
      <w:tblGrid>
        <w:gridCol w:w="5670"/>
        <w:gridCol w:w="1701"/>
        <w:gridCol w:w="1701"/>
      </w:tblGrid>
      <w:tr w:rsidR="00514CC0" w14:paraId="1551D13E" w14:textId="77777777" w:rsidTr="00084525">
        <w:trPr>
          <w:cnfStyle w:val="100000000000" w:firstRow="1" w:lastRow="0" w:firstColumn="0" w:lastColumn="0" w:oddVBand="0" w:evenVBand="0" w:oddHBand="0" w:evenHBand="0" w:firstRowFirstColumn="0" w:firstRowLastColumn="0" w:lastRowFirstColumn="0" w:lastRowLastColumn="0"/>
          <w:cantSplit/>
          <w:trHeight w:val="60"/>
          <w:tblHeader/>
        </w:trPr>
        <w:tc>
          <w:tcPr>
            <w:tcW w:w="5669" w:type="dxa"/>
          </w:tcPr>
          <w:p w14:paraId="5FC096CB" w14:textId="77777777" w:rsidR="00514CC0" w:rsidRPr="00933C30" w:rsidRDefault="00514CC0" w:rsidP="008F3E9A">
            <w:pPr>
              <w:pStyle w:val="OWTablecolumnheadleft"/>
            </w:pPr>
          </w:p>
        </w:tc>
        <w:tc>
          <w:tcPr>
            <w:tcW w:w="1701" w:type="dxa"/>
          </w:tcPr>
          <w:p w14:paraId="7A65C6A7" w14:textId="77777777" w:rsidR="00514CC0" w:rsidRPr="00933C30" w:rsidRDefault="00E72B49">
            <w:pPr>
              <w:pStyle w:val="OWTablecolumnheadcentre"/>
            </w:pPr>
            <w:r w:rsidRPr="00933C30">
              <w:t>Men</w:t>
            </w:r>
          </w:p>
        </w:tc>
        <w:tc>
          <w:tcPr>
            <w:tcW w:w="1701" w:type="dxa"/>
          </w:tcPr>
          <w:p w14:paraId="2D82FDDD" w14:textId="77777777" w:rsidR="00514CC0" w:rsidRPr="00933C30" w:rsidRDefault="00E72B49">
            <w:pPr>
              <w:pStyle w:val="OWTablecolumnheadcentre"/>
            </w:pPr>
            <w:r w:rsidRPr="00933C30">
              <w:t>Women</w:t>
            </w:r>
          </w:p>
        </w:tc>
      </w:tr>
      <w:tr w:rsidR="00514CC0" w14:paraId="30917F78" w14:textId="77777777" w:rsidTr="00084525">
        <w:trPr>
          <w:cantSplit/>
          <w:trHeight w:val="60"/>
        </w:trPr>
        <w:tc>
          <w:tcPr>
            <w:tcW w:w="5669" w:type="dxa"/>
          </w:tcPr>
          <w:p w14:paraId="7ED4F5B6" w14:textId="77777777" w:rsidR="00514CC0" w:rsidRDefault="00E72B49">
            <w:pPr>
              <w:pStyle w:val="OWTablebodyleft"/>
            </w:pPr>
            <w:r>
              <w:t>In labour force</w:t>
            </w:r>
          </w:p>
        </w:tc>
        <w:tc>
          <w:tcPr>
            <w:tcW w:w="1701" w:type="dxa"/>
          </w:tcPr>
          <w:p w14:paraId="4AE33E2E" w14:textId="77777777" w:rsidR="00514CC0" w:rsidRDefault="00E72B49">
            <w:pPr>
              <w:pStyle w:val="OWTablebodycentre"/>
            </w:pPr>
            <w:r>
              <w:t>61%</w:t>
            </w:r>
          </w:p>
        </w:tc>
        <w:tc>
          <w:tcPr>
            <w:tcW w:w="1701" w:type="dxa"/>
          </w:tcPr>
          <w:p w14:paraId="0AD53651" w14:textId="77777777" w:rsidR="00514CC0" w:rsidRDefault="00E72B49">
            <w:pPr>
              <w:pStyle w:val="OWTablebodycentre"/>
            </w:pPr>
            <w:r>
              <w:t>48%</w:t>
            </w:r>
          </w:p>
        </w:tc>
      </w:tr>
      <w:tr w:rsidR="00514CC0" w14:paraId="2C144F51" w14:textId="77777777" w:rsidTr="00084525">
        <w:trPr>
          <w:cantSplit/>
          <w:trHeight w:val="60"/>
        </w:trPr>
        <w:tc>
          <w:tcPr>
            <w:tcW w:w="5669" w:type="dxa"/>
          </w:tcPr>
          <w:p w14:paraId="58D3E15B" w14:textId="77777777" w:rsidR="00514CC0" w:rsidRDefault="00E72B49">
            <w:pPr>
              <w:pStyle w:val="OWTablebodyleft"/>
            </w:pPr>
            <w:r>
              <w:t>Retired</w:t>
            </w:r>
          </w:p>
        </w:tc>
        <w:tc>
          <w:tcPr>
            <w:tcW w:w="1701" w:type="dxa"/>
          </w:tcPr>
          <w:p w14:paraId="537933D4" w14:textId="77777777" w:rsidR="00514CC0" w:rsidRDefault="00E72B49">
            <w:pPr>
              <w:pStyle w:val="OWTablebodycentre"/>
            </w:pPr>
            <w:r>
              <w:t>37%</w:t>
            </w:r>
          </w:p>
        </w:tc>
        <w:tc>
          <w:tcPr>
            <w:tcW w:w="1701" w:type="dxa"/>
          </w:tcPr>
          <w:p w14:paraId="6BC628B3" w14:textId="77777777" w:rsidR="00514CC0" w:rsidRDefault="00E72B49">
            <w:pPr>
              <w:pStyle w:val="OWTablebodycentre"/>
            </w:pPr>
            <w:r>
              <w:t>48%</w:t>
            </w:r>
          </w:p>
        </w:tc>
      </w:tr>
      <w:tr w:rsidR="00514CC0" w14:paraId="3CA1C332" w14:textId="77777777" w:rsidTr="00084525">
        <w:trPr>
          <w:cantSplit/>
          <w:trHeight w:val="60"/>
        </w:trPr>
        <w:tc>
          <w:tcPr>
            <w:tcW w:w="5669" w:type="dxa"/>
          </w:tcPr>
          <w:p w14:paraId="2233ACAC" w14:textId="77777777" w:rsidR="00514CC0" w:rsidRDefault="00E72B49">
            <w:pPr>
              <w:pStyle w:val="OWTablebodyleft"/>
            </w:pPr>
            <w:r>
              <w:t>Not in labour force but not yet retired</w:t>
            </w:r>
          </w:p>
        </w:tc>
        <w:tc>
          <w:tcPr>
            <w:tcW w:w="1701" w:type="dxa"/>
          </w:tcPr>
          <w:p w14:paraId="3373F895" w14:textId="77777777" w:rsidR="00514CC0" w:rsidRDefault="00E72B49">
            <w:pPr>
              <w:pStyle w:val="OWTablebodycentre"/>
            </w:pPr>
            <w:r>
              <w:t>3%</w:t>
            </w:r>
          </w:p>
        </w:tc>
        <w:tc>
          <w:tcPr>
            <w:tcW w:w="1701" w:type="dxa"/>
          </w:tcPr>
          <w:p w14:paraId="03144B84" w14:textId="77777777" w:rsidR="00514CC0" w:rsidRDefault="00E72B49">
            <w:pPr>
              <w:pStyle w:val="OWTablebodycentre"/>
            </w:pPr>
            <w:r>
              <w:t>4%</w:t>
            </w:r>
          </w:p>
        </w:tc>
      </w:tr>
    </w:tbl>
    <w:p w14:paraId="7BB39F73" w14:textId="77777777" w:rsidR="00514CC0" w:rsidRPr="003E209A" w:rsidRDefault="00E72B49">
      <w:pPr>
        <w:pStyle w:val="OWTablefootnote"/>
        <w:rPr>
          <w:rStyle w:val="Emphasis"/>
        </w:rPr>
      </w:pPr>
      <w:r>
        <w:t xml:space="preserve">Source: ABS, </w:t>
      </w:r>
      <w:r w:rsidRPr="003E209A">
        <w:rPr>
          <w:rStyle w:val="Emphasis"/>
        </w:rPr>
        <w:t>Employment Arrangements, Retirement and Superannuation, Australia, April to July 2007</w:t>
      </w:r>
    </w:p>
    <w:p w14:paraId="34F8EFC5" w14:textId="77777777" w:rsidR="00514CC0" w:rsidRDefault="00E72B49">
      <w:pPr>
        <w:pStyle w:val="OWTablefootnoteindent"/>
      </w:pPr>
      <w:r>
        <w:t>*</w:t>
      </w:r>
      <w:r>
        <w:tab/>
        <w:t>Who had at some time worked for two weeks or more and for whom a retirement status was able to be determined</w:t>
      </w:r>
    </w:p>
    <w:p w14:paraId="4D132F1C" w14:textId="6613AADC" w:rsidR="00514CC0" w:rsidRDefault="00E72B49">
      <w:pPr>
        <w:pStyle w:val="OWBodytextlargespaceabove"/>
      </w:pPr>
      <w:r>
        <w:t xml:space="preserve">The most common reasons given for retiring by retired persons were highly gendered. The most common reason given by both men and women was related to personal health or physical abilities (Figure </w:t>
      </w:r>
      <w:r w:rsidR="00D162DF">
        <w:t>26</w:t>
      </w:r>
      <w:r>
        <w:t>, below). However, women’s other most common reasons were linked to caring responsibilities. Men’s reasons were financial or linked to employment status. That is, they were not driven by family caring (unpaid) responsibilities.</w:t>
      </w:r>
    </w:p>
    <w:p w14:paraId="3511FC01" w14:textId="77185BA2" w:rsidR="00304DEC" w:rsidRDefault="00304DEC" w:rsidP="00304DEC">
      <w:pPr>
        <w:pStyle w:val="BodyText"/>
      </w:pPr>
      <w:r>
        <w:t>Gendered patterns in retirement – women retiring far earlier than men, and in many instances being driven by unpaid caring responsibilities – illustrates how gender divisions of labour and rigid gender roles are apparent not only in child-bearing years but also stay persistent across lifetimes. At retirement, women are often picking up other forms of unpaid</w:t>
      </w:r>
      <w:r w:rsidR="00C01D7C">
        <w:t> </w:t>
      </w:r>
      <w:r>
        <w:t xml:space="preserve">caring responsibilities – grandchildren, ageing parents, relatives with illness or disability. On the other hand, the centrality for men of their role as breadwinner continues until late in life – until their health or age prevents them from participating or competing in the workforce. A pattern of men choosing to take on more caring responsibilities later in life, and perhaps supporting a female partner to remain in the workforce later in life </w:t>
      </w:r>
      <w:r w:rsidR="00192725">
        <w:t>to</w:t>
      </w:r>
      <w:r>
        <w:t xml:space="preserve"> boost her superannuation savings, is not apparent.</w:t>
      </w:r>
    </w:p>
    <w:p w14:paraId="74031724" w14:textId="5834512B" w:rsidR="00514CC0" w:rsidRDefault="00E72B49">
      <w:pPr>
        <w:pStyle w:val="OWFigurecaption"/>
      </w:pPr>
      <w:r>
        <w:lastRenderedPageBreak/>
        <w:t xml:space="preserve">Figure </w:t>
      </w:r>
      <w:r w:rsidR="00D162DF">
        <w:t>26</w:t>
      </w:r>
      <w:r>
        <w:t>: Most common reasons cited for retiring by retired women and men, 2007</w:t>
      </w:r>
    </w:p>
    <w:p w14:paraId="359BB558" w14:textId="757D8032" w:rsidR="00514CC0" w:rsidRDefault="00427524" w:rsidP="00933C30">
      <w:pPr>
        <w:pStyle w:val="OWFigureinline"/>
      </w:pPr>
      <w:r>
        <w:rPr>
          <w:noProof/>
        </w:rPr>
        <w:drawing>
          <wp:inline distT="0" distB="0" distL="0" distR="0" wp14:anchorId="45EB3AAB" wp14:editId="47D45F14">
            <wp:extent cx="3858895" cy="2365375"/>
            <wp:effectExtent l="0" t="0" r="8255" b="0"/>
            <wp:docPr id="1023013598" name="Picture 2" descr="Infographic. Follow the link below for the text-equivalent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13598" name="Picture 2" descr="Infographic. Follow the link below for the text-equivalent description of this figure."/>
                    <pic:cNvPicPr/>
                  </pic:nvPicPr>
                  <pic:blipFill>
                    <a:blip r:embed="rId65">
                      <a:extLst>
                        <a:ext uri="{28A0092B-C50C-407E-A947-70E740481C1C}">
                          <a14:useLocalDpi xmlns:a14="http://schemas.microsoft.com/office/drawing/2010/main" val="0"/>
                        </a:ext>
                      </a:extLst>
                    </a:blip>
                    <a:stretch>
                      <a:fillRect/>
                    </a:stretch>
                  </pic:blipFill>
                  <pic:spPr>
                    <a:xfrm>
                      <a:off x="0" y="0"/>
                      <a:ext cx="3858895" cy="2365375"/>
                    </a:xfrm>
                    <a:prstGeom prst="rect">
                      <a:avLst/>
                    </a:prstGeom>
                  </pic:spPr>
                </pic:pic>
              </a:graphicData>
            </a:graphic>
          </wp:inline>
        </w:drawing>
      </w:r>
    </w:p>
    <w:p w14:paraId="3188AEC9" w14:textId="77777777" w:rsidR="00514CC0" w:rsidRDefault="00E72B49">
      <w:pPr>
        <w:pStyle w:val="OWFigurefootnote"/>
        <w:spacing w:after="113"/>
      </w:pPr>
      <w:r>
        <w:t xml:space="preserve">Source: ABS, </w:t>
      </w:r>
      <w:r w:rsidRPr="003E209A">
        <w:rPr>
          <w:rStyle w:val="Emphasis"/>
        </w:rPr>
        <w:t>Employment Arrangements, Retirement and Superannuation, Australia, April to July 2007, Reissue</w:t>
      </w:r>
    </w:p>
    <w:p w14:paraId="63A6293D" w14:textId="40C3585D" w:rsidR="00514CC0" w:rsidRDefault="00360573">
      <w:pPr>
        <w:pStyle w:val="BodyText"/>
      </w:pPr>
      <w:hyperlink w:anchor="Fig26AltText" w:history="1">
        <w:r w:rsidR="00E72B49" w:rsidRPr="00E83BB7">
          <w:rPr>
            <w:rStyle w:val="Hyperlink"/>
          </w:rPr>
          <w:t>Text-equivalent description of Figure 2</w:t>
        </w:r>
        <w:r w:rsidR="00D162DF">
          <w:rPr>
            <w:rStyle w:val="Hyperlink"/>
          </w:rPr>
          <w:t>6</w:t>
        </w:r>
        <w:r w:rsidR="00E72B49" w:rsidRPr="00E83BB7">
          <w:rPr>
            <w:rStyle w:val="Hyperlink"/>
          </w:rPr>
          <w:t xml:space="preserve"> in Appendi</w:t>
        </w:r>
        <w:r w:rsidR="00D8674A">
          <w:rPr>
            <w:rStyle w:val="Hyperlink"/>
          </w:rPr>
          <w:t>x E</w:t>
        </w:r>
      </w:hyperlink>
    </w:p>
    <w:p w14:paraId="376ABDCF" w14:textId="77777777" w:rsidR="00514CC0" w:rsidRDefault="00E72B49" w:rsidP="00F868FE">
      <w:pPr>
        <w:pStyle w:val="Heading5"/>
      </w:pPr>
      <w:bookmarkStart w:id="80" w:name="Fig26FollowOn"/>
      <w:r>
        <w:t>Superannuation gap</w:t>
      </w:r>
    </w:p>
    <w:bookmarkEnd w:id="80"/>
    <w:p w14:paraId="150086D8" w14:textId="7BB859D9" w:rsidR="00514CC0" w:rsidRDefault="00E72B49">
      <w:pPr>
        <w:pStyle w:val="BodyText"/>
      </w:pPr>
      <w:r>
        <w:t>‘The various data indicate that on average, men are more likely both to have superannuation and to have a higher account balance.’</w:t>
      </w:r>
      <w:r w:rsidR="005B2AED">
        <w:rPr>
          <w:rStyle w:val="EndnoteReference"/>
        </w:rPr>
        <w:endnoteReference w:id="328"/>
      </w:r>
    </w:p>
    <w:p w14:paraId="5041BB60" w14:textId="785915CD" w:rsidR="00514CC0" w:rsidRDefault="00E72B49">
      <w:pPr>
        <w:pStyle w:val="BodyText"/>
      </w:pPr>
      <w:r>
        <w:t>Not only are women retiring earlier and living longer on average than men, meaning a longer</w:t>
      </w:r>
      <w:r w:rsidR="00B55A90">
        <w:t> </w:t>
      </w:r>
      <w:r>
        <w:t>period of time to cover without paid salary earnings, women are retiring with far less superannuation savings than men. As of 2015, the superannuation gender gap was 44%.</w:t>
      </w:r>
      <w:r w:rsidR="005B2AED">
        <w:rPr>
          <w:rStyle w:val="EndnoteReference"/>
        </w:rPr>
        <w:endnoteReference w:id="329"/>
      </w:r>
      <w:r>
        <w:t xml:space="preserve"> ABS Household Income and Wealth 2017–18 data, collated in the ABS Gender Indicators 2018, shows that in 2017–18, women’s superannuation balance at or approaching preservation age was $245,126, compared with men’s at $332,662; that is, $87,536 less.</w:t>
      </w:r>
      <w:r w:rsidR="005B2AED">
        <w:rPr>
          <w:rStyle w:val="EndnoteReference"/>
        </w:rPr>
        <w:endnoteReference w:id="330"/>
      </w:r>
    </w:p>
    <w:p w14:paraId="04BE207B" w14:textId="0A1B3657" w:rsidR="00514CC0" w:rsidRDefault="00E72B49">
      <w:pPr>
        <w:pStyle w:val="BodyText"/>
      </w:pPr>
      <w:r>
        <w:t>Industry Super Australia conducted an analysis of the Australian Taxation Office’s (ATO) superannuation data from their taxation statistics (2013–14, published in 2016).</w:t>
      </w:r>
      <w:r w:rsidR="007E0A06">
        <w:rPr>
          <w:rStyle w:val="EndnoteReference"/>
        </w:rPr>
        <w:endnoteReference w:id="331"/>
      </w:r>
      <w:r>
        <w:t xml:space="preserve"> As Industry Super Australia analysis reveals, the superannuation gap peaks at different points in life consistent with gendered paid working patterns of women and men. The gap begins very early in life, reflecting a pattern of earlier workforce entry for men. Men younger than 18 have average super balances 43% higher than women of the same age. Across the twenties, the gap narrows somewhat, then widens again after 30 (reflecting patterns consistent with many women </w:t>
      </w:r>
      <w:r w:rsidR="0085646E">
        <w:t>carrying</w:t>
      </w:r>
      <w:r>
        <w:t xml:space="preserve"> the burden of unpaid family labour and breaking full-time working patterns during that period). By the age of 50 to 55 – by which time a majority of women have retired, according to 2007 ABS data – the superannuation gap hits a pinnacle of 51%.</w:t>
      </w:r>
      <w:r w:rsidR="007E0A06">
        <w:rPr>
          <w:rStyle w:val="EndnoteReference"/>
        </w:rPr>
        <w:endnoteReference w:id="332"/>
      </w:r>
      <w:r>
        <w:t xml:space="preserve"> This gap in superannuation is a direct reflection of the gender pay gap, as well as time out of</w:t>
      </w:r>
      <w:r w:rsidR="00C01D7C">
        <w:t> </w:t>
      </w:r>
      <w:r>
        <w:t>the workforce or in part-time employment, that marks women’s workforce participation patterns.</w:t>
      </w:r>
      <w:r w:rsidR="007E0A06">
        <w:rPr>
          <w:rStyle w:val="EndnoteReference"/>
        </w:rPr>
        <w:endnoteReference w:id="333"/>
      </w:r>
    </w:p>
    <w:p w14:paraId="0CF0B08E" w14:textId="1ECE9119" w:rsidR="00514CC0" w:rsidRDefault="00E72B49">
      <w:pPr>
        <w:pStyle w:val="BodyText"/>
      </w:pPr>
      <w:r>
        <w:t>Superannuation gaps are also revealed not only in terms of balances, but in relation to the</w:t>
      </w:r>
      <w:r w:rsidR="00B55A90">
        <w:t> </w:t>
      </w:r>
      <w:r>
        <w:t>proportion of women and men covered by and primarily utilising superannuation. As</w:t>
      </w:r>
      <w:r w:rsidR="00B55A90">
        <w:t> </w:t>
      </w:r>
      <w:r>
        <w:t xml:space="preserve">explored in the previous section, a higher proportion of women than men subsist in retirement on the aged pension, rather than living on superannuation savings. Based on </w:t>
      </w:r>
      <w:r>
        <w:lastRenderedPageBreak/>
        <w:t>the</w:t>
      </w:r>
      <w:r w:rsidR="006B08D1">
        <w:t> </w:t>
      </w:r>
      <w:r>
        <w:t>ABS’s Household Income and Wealth survey, in 2009–10, only 10.2% of women not</w:t>
      </w:r>
      <w:r w:rsidR="006B08D1">
        <w:t> </w:t>
      </w:r>
      <w:r>
        <w:t>in</w:t>
      </w:r>
      <w:r w:rsidR="006B08D1">
        <w:t> </w:t>
      </w:r>
      <w:r>
        <w:t>the labour force aged 65 years and over said their main source of income was superannuation or annuities (compared with 17.3% of men). This proportion had increased</w:t>
      </w:r>
      <w:r w:rsidR="006B08D1">
        <w:t> </w:t>
      </w:r>
      <w:r>
        <w:t>to 15.5% of women and 24.4% of men in 2017–18.</w:t>
      </w:r>
      <w:r w:rsidR="007E0A06">
        <w:rPr>
          <w:rStyle w:val="EndnoteReference"/>
        </w:rPr>
        <w:endnoteReference w:id="334"/>
      </w:r>
    </w:p>
    <w:p w14:paraId="08B1EEF6" w14:textId="25E69A55" w:rsidR="00514CC0" w:rsidRDefault="00E72B49">
      <w:pPr>
        <w:pStyle w:val="BodyText"/>
      </w:pPr>
      <w:r>
        <w:t>Further analysis of the ABS’s Household Income and Wealth survey, presented in the ABS</w:t>
      </w:r>
      <w:r w:rsidR="00B55A90">
        <w:t> </w:t>
      </w:r>
      <w:r>
        <w:t>Gender Indicators 2019, reveals that women who are born overseas and women with</w:t>
      </w:r>
      <w:r w:rsidR="00B55A90">
        <w:t> </w:t>
      </w:r>
      <w:r>
        <w:t>disability are less likely to quote superannuation and annuities as their primary source</w:t>
      </w:r>
      <w:r w:rsidR="00B55A90">
        <w:t> </w:t>
      </w:r>
      <w:r>
        <w:t xml:space="preserve">of income than women born in Australia, women without disability </w:t>
      </w:r>
      <w:r w:rsidRPr="003E209A">
        <w:rPr>
          <w:rStyle w:val="Emphasis"/>
        </w:rPr>
        <w:t xml:space="preserve">and </w:t>
      </w:r>
      <w:r>
        <w:t xml:space="preserve">their male counterparts (see Table </w:t>
      </w:r>
      <w:r w:rsidR="0017588F">
        <w:t>27</w:t>
      </w:r>
      <w:r>
        <w:t>, below). No data disaggregated by Indigenous status is available.</w:t>
      </w:r>
    </w:p>
    <w:p w14:paraId="2D290FC3" w14:textId="16322E51" w:rsidR="00514CC0" w:rsidRDefault="00E72B49">
      <w:pPr>
        <w:pStyle w:val="OWTablecaption"/>
      </w:pPr>
      <w:r>
        <w:t xml:space="preserve">Table </w:t>
      </w:r>
      <w:r w:rsidR="0017588F">
        <w:t>27</w:t>
      </w:r>
      <w:r>
        <w:t>: Persons not in the labour force aged 65 years and over, proportion (%) superannuation or annuities as primary source of income, disaggregated by gender, country of birth and disability status, 2013–14</w:t>
      </w:r>
    </w:p>
    <w:tbl>
      <w:tblPr>
        <w:tblStyle w:val="Datatableteal"/>
        <w:tblW w:w="9072" w:type="dxa"/>
        <w:tblLayout w:type="fixed"/>
        <w:tblLook w:val="06A0" w:firstRow="1" w:lastRow="0" w:firstColumn="1" w:lastColumn="0" w:noHBand="1" w:noVBand="1"/>
      </w:tblPr>
      <w:tblGrid>
        <w:gridCol w:w="3970"/>
        <w:gridCol w:w="2551"/>
        <w:gridCol w:w="2551"/>
      </w:tblGrid>
      <w:tr w:rsidR="00514CC0" w14:paraId="1C57E9F4" w14:textId="77777777" w:rsidTr="00084525">
        <w:trPr>
          <w:cnfStyle w:val="100000000000" w:firstRow="1" w:lastRow="0" w:firstColumn="0" w:lastColumn="0" w:oddVBand="0" w:evenVBand="0" w:oddHBand="0" w:evenHBand="0" w:firstRowFirstColumn="0" w:firstRowLastColumn="0" w:lastRowFirstColumn="0" w:lastRowLastColumn="0"/>
          <w:cantSplit/>
          <w:trHeight w:val="60"/>
          <w:tblHeader/>
        </w:trPr>
        <w:tc>
          <w:tcPr>
            <w:tcW w:w="3969" w:type="dxa"/>
          </w:tcPr>
          <w:p w14:paraId="1B4E6EC1" w14:textId="77777777" w:rsidR="00514CC0" w:rsidRPr="00933C30" w:rsidRDefault="00514CC0" w:rsidP="008F3E9A">
            <w:pPr>
              <w:pStyle w:val="OWTablecolumnheadleft"/>
            </w:pPr>
          </w:p>
        </w:tc>
        <w:tc>
          <w:tcPr>
            <w:tcW w:w="2551" w:type="dxa"/>
          </w:tcPr>
          <w:p w14:paraId="2AFB9D75" w14:textId="77777777" w:rsidR="00514CC0" w:rsidRPr="00933C30" w:rsidRDefault="00E72B49">
            <w:pPr>
              <w:pStyle w:val="OWTablecolumnheadcentre"/>
            </w:pPr>
            <w:r w:rsidRPr="00933C30">
              <w:t>Male</w:t>
            </w:r>
          </w:p>
        </w:tc>
        <w:tc>
          <w:tcPr>
            <w:tcW w:w="2551" w:type="dxa"/>
          </w:tcPr>
          <w:p w14:paraId="11D465F4" w14:textId="77777777" w:rsidR="00514CC0" w:rsidRPr="00933C30" w:rsidRDefault="00E72B49">
            <w:pPr>
              <w:pStyle w:val="OWTablecolumnheadcentre"/>
            </w:pPr>
            <w:r w:rsidRPr="00933C30">
              <w:t>Female</w:t>
            </w:r>
          </w:p>
        </w:tc>
      </w:tr>
      <w:tr w:rsidR="00514CC0" w14:paraId="4EE52436" w14:textId="77777777" w:rsidTr="00084525">
        <w:trPr>
          <w:cantSplit/>
          <w:trHeight w:val="60"/>
        </w:trPr>
        <w:tc>
          <w:tcPr>
            <w:tcW w:w="3969" w:type="dxa"/>
          </w:tcPr>
          <w:p w14:paraId="73B704D6" w14:textId="77777777" w:rsidR="00514CC0" w:rsidRDefault="00E72B49">
            <w:pPr>
              <w:pStyle w:val="OWTablebodyleft"/>
            </w:pPr>
            <w:r>
              <w:t>Overall population</w:t>
            </w:r>
          </w:p>
        </w:tc>
        <w:tc>
          <w:tcPr>
            <w:tcW w:w="2551" w:type="dxa"/>
          </w:tcPr>
          <w:p w14:paraId="4F4185B8" w14:textId="77777777" w:rsidR="00514CC0" w:rsidRDefault="00E72B49">
            <w:pPr>
              <w:pStyle w:val="OWTablebodycentre"/>
            </w:pPr>
            <w:r>
              <w:t>17.7%</w:t>
            </w:r>
          </w:p>
        </w:tc>
        <w:tc>
          <w:tcPr>
            <w:tcW w:w="2551" w:type="dxa"/>
          </w:tcPr>
          <w:p w14:paraId="1FB3C6FA" w14:textId="77777777" w:rsidR="00514CC0" w:rsidRDefault="00E72B49">
            <w:pPr>
              <w:pStyle w:val="OWTablebodycentre"/>
            </w:pPr>
            <w:r>
              <w:t>10.9%</w:t>
            </w:r>
          </w:p>
        </w:tc>
      </w:tr>
      <w:tr w:rsidR="00514CC0" w14:paraId="23897C6B" w14:textId="77777777" w:rsidTr="00084525">
        <w:trPr>
          <w:cantSplit/>
          <w:trHeight w:val="60"/>
        </w:trPr>
        <w:tc>
          <w:tcPr>
            <w:tcW w:w="3969" w:type="dxa"/>
          </w:tcPr>
          <w:p w14:paraId="47AAF8B8" w14:textId="77777777" w:rsidR="00514CC0" w:rsidRDefault="00E72B49">
            <w:pPr>
              <w:pStyle w:val="OWTablebodyleft"/>
            </w:pPr>
            <w:r>
              <w:t>Born overseas</w:t>
            </w:r>
          </w:p>
        </w:tc>
        <w:tc>
          <w:tcPr>
            <w:tcW w:w="2551" w:type="dxa"/>
          </w:tcPr>
          <w:p w14:paraId="0514812A" w14:textId="77777777" w:rsidR="00514CC0" w:rsidRDefault="00E72B49">
            <w:pPr>
              <w:pStyle w:val="OWTablebodycentre"/>
            </w:pPr>
            <w:r>
              <w:t>13.9%</w:t>
            </w:r>
          </w:p>
        </w:tc>
        <w:tc>
          <w:tcPr>
            <w:tcW w:w="2551" w:type="dxa"/>
          </w:tcPr>
          <w:p w14:paraId="7EABE552" w14:textId="77777777" w:rsidR="00514CC0" w:rsidRDefault="00E72B49">
            <w:pPr>
              <w:pStyle w:val="OWTablebodycentre"/>
            </w:pPr>
            <w:r>
              <w:t>7.3%</w:t>
            </w:r>
          </w:p>
        </w:tc>
      </w:tr>
      <w:tr w:rsidR="00514CC0" w14:paraId="275C463A" w14:textId="77777777" w:rsidTr="00084525">
        <w:trPr>
          <w:cantSplit/>
          <w:trHeight w:val="60"/>
        </w:trPr>
        <w:tc>
          <w:tcPr>
            <w:tcW w:w="3969" w:type="dxa"/>
          </w:tcPr>
          <w:p w14:paraId="6C76D1A3" w14:textId="77777777" w:rsidR="00514CC0" w:rsidRDefault="00E72B49">
            <w:pPr>
              <w:pStyle w:val="OWTablebodyleft"/>
            </w:pPr>
            <w:r>
              <w:t>Born in Australia</w:t>
            </w:r>
          </w:p>
        </w:tc>
        <w:tc>
          <w:tcPr>
            <w:tcW w:w="2551" w:type="dxa"/>
          </w:tcPr>
          <w:p w14:paraId="25553FF8" w14:textId="77777777" w:rsidR="00514CC0" w:rsidRDefault="00E72B49">
            <w:pPr>
              <w:pStyle w:val="OWTablebodycentre"/>
            </w:pPr>
            <w:r>
              <w:t>20.5%</w:t>
            </w:r>
          </w:p>
        </w:tc>
        <w:tc>
          <w:tcPr>
            <w:tcW w:w="2551" w:type="dxa"/>
          </w:tcPr>
          <w:p w14:paraId="5283DA58" w14:textId="77777777" w:rsidR="00514CC0" w:rsidRDefault="00E72B49">
            <w:pPr>
              <w:pStyle w:val="OWTablebodycentre"/>
            </w:pPr>
            <w:r>
              <w:t>12.9%</w:t>
            </w:r>
          </w:p>
        </w:tc>
      </w:tr>
      <w:tr w:rsidR="00514CC0" w14:paraId="41665BFC" w14:textId="77777777" w:rsidTr="00084525">
        <w:trPr>
          <w:cantSplit/>
          <w:trHeight w:val="60"/>
        </w:trPr>
        <w:tc>
          <w:tcPr>
            <w:tcW w:w="3969" w:type="dxa"/>
          </w:tcPr>
          <w:p w14:paraId="19FED3E6" w14:textId="77777777" w:rsidR="00514CC0" w:rsidRDefault="00E72B49">
            <w:pPr>
              <w:pStyle w:val="OWTablebodyleft"/>
            </w:pPr>
            <w:r>
              <w:t>With disability</w:t>
            </w:r>
          </w:p>
        </w:tc>
        <w:tc>
          <w:tcPr>
            <w:tcW w:w="2551" w:type="dxa"/>
          </w:tcPr>
          <w:p w14:paraId="6013D434" w14:textId="77777777" w:rsidR="00514CC0" w:rsidRDefault="00E72B49">
            <w:pPr>
              <w:pStyle w:val="OWTablebodycentre"/>
            </w:pPr>
            <w:r>
              <w:t>13.1%</w:t>
            </w:r>
          </w:p>
        </w:tc>
        <w:tc>
          <w:tcPr>
            <w:tcW w:w="2551" w:type="dxa"/>
          </w:tcPr>
          <w:p w14:paraId="73C0AAD3" w14:textId="77777777" w:rsidR="00514CC0" w:rsidRDefault="00E72B49">
            <w:pPr>
              <w:pStyle w:val="OWTablebodycentre"/>
            </w:pPr>
            <w:r>
              <w:t>9.0%</w:t>
            </w:r>
          </w:p>
        </w:tc>
      </w:tr>
      <w:tr w:rsidR="00514CC0" w14:paraId="1E836FEA" w14:textId="77777777" w:rsidTr="00084525">
        <w:trPr>
          <w:cantSplit/>
          <w:trHeight w:val="60"/>
        </w:trPr>
        <w:tc>
          <w:tcPr>
            <w:tcW w:w="3969" w:type="dxa"/>
          </w:tcPr>
          <w:p w14:paraId="0EE3ABCA" w14:textId="77777777" w:rsidR="00514CC0" w:rsidRDefault="00E72B49">
            <w:pPr>
              <w:pStyle w:val="OWTablebodyleft"/>
            </w:pPr>
            <w:r>
              <w:t>Without disability</w:t>
            </w:r>
          </w:p>
        </w:tc>
        <w:tc>
          <w:tcPr>
            <w:tcW w:w="2551" w:type="dxa"/>
          </w:tcPr>
          <w:p w14:paraId="4F4224AC" w14:textId="77777777" w:rsidR="00514CC0" w:rsidRDefault="00E72B49">
            <w:pPr>
              <w:pStyle w:val="OWTablebodycentre"/>
            </w:pPr>
            <w:r>
              <w:t>22.1%</w:t>
            </w:r>
          </w:p>
        </w:tc>
        <w:tc>
          <w:tcPr>
            <w:tcW w:w="2551" w:type="dxa"/>
          </w:tcPr>
          <w:p w14:paraId="3785AE7B" w14:textId="77777777" w:rsidR="00514CC0" w:rsidRDefault="00E72B49">
            <w:pPr>
              <w:pStyle w:val="OWTablebodycentre"/>
            </w:pPr>
            <w:r>
              <w:t>13.4%</w:t>
            </w:r>
          </w:p>
        </w:tc>
      </w:tr>
    </w:tbl>
    <w:p w14:paraId="63D32967" w14:textId="77777777" w:rsidR="00514CC0" w:rsidRDefault="00E72B49">
      <w:pPr>
        <w:pStyle w:val="OWTablefootnote"/>
      </w:pPr>
      <w:r>
        <w:t>Source: ABS Income and Wealth Survey 2013–14, presented in ABS Gender Indicators 2019</w:t>
      </w:r>
    </w:p>
    <w:p w14:paraId="36E84CAE" w14:textId="12F493A3" w:rsidR="00514CC0" w:rsidRDefault="00E72B49">
      <w:pPr>
        <w:pStyle w:val="OWBodytextlargespaceabove"/>
      </w:pPr>
      <w:r>
        <w:t>The proportion of women who have no superannuation coverage has dropped by 6.9 percentage points between 2009–10 (30.4%) and 2017–18 (23.5%). In 2017–18, the proportion of men without superannuation coverage was 20.5%.</w:t>
      </w:r>
      <w:r w:rsidR="007E0A06">
        <w:rPr>
          <w:rStyle w:val="EndnoteReference"/>
        </w:rPr>
        <w:endnoteReference w:id="335"/>
      </w:r>
    </w:p>
    <w:tbl>
      <w:tblPr>
        <w:tblStyle w:val="Casestudyteal"/>
        <w:tblW w:w="0" w:type="auto"/>
        <w:tblLayout w:type="fixed"/>
        <w:tblLook w:val="0620" w:firstRow="1" w:lastRow="0" w:firstColumn="0" w:lastColumn="0" w:noHBand="1" w:noVBand="1"/>
      </w:tblPr>
      <w:tblGrid>
        <w:gridCol w:w="9071"/>
      </w:tblGrid>
      <w:tr w:rsidR="00514CC0" w14:paraId="0D31884F" w14:textId="77777777" w:rsidTr="00084525">
        <w:trPr>
          <w:cnfStyle w:val="100000000000" w:firstRow="1" w:lastRow="0" w:firstColumn="0" w:lastColumn="0" w:oddVBand="0" w:evenVBand="0" w:oddHBand="0" w:evenHBand="0" w:firstRowFirstColumn="0" w:firstRowLastColumn="0" w:lastRowFirstColumn="0" w:lastRowLastColumn="0"/>
          <w:trHeight w:val="60"/>
        </w:trPr>
        <w:tc>
          <w:tcPr>
            <w:tcW w:w="9071" w:type="dxa"/>
          </w:tcPr>
          <w:p w14:paraId="08D27725" w14:textId="24453BDC" w:rsidR="00514CC0" w:rsidRDefault="00E72B49">
            <w:pPr>
              <w:pStyle w:val="OWBoxheading"/>
            </w:pPr>
            <w:r w:rsidRPr="005900F9">
              <w:lastRenderedPageBreak/>
              <w:t xml:space="preserve">Why is there a superannuation gender gap? Analysis from </w:t>
            </w:r>
            <w:r>
              <w:rPr>
                <w:rStyle w:val="OWBoldItalic"/>
                <w:b/>
                <w:bCs/>
              </w:rPr>
              <w:t xml:space="preserve">The future face of poverty is female: Stories behind Australian women’s superannuation poverty in retirement </w:t>
            </w:r>
            <w:r w:rsidRPr="005900F9">
              <w:t>2018</w:t>
            </w:r>
          </w:p>
        </w:tc>
      </w:tr>
      <w:tr w:rsidR="00514CC0" w14:paraId="181DDE9E" w14:textId="77777777" w:rsidTr="00084525">
        <w:trPr>
          <w:trHeight w:val="60"/>
        </w:trPr>
        <w:tc>
          <w:tcPr>
            <w:tcW w:w="9071" w:type="dxa"/>
          </w:tcPr>
          <w:p w14:paraId="4046E536" w14:textId="77777777" w:rsidR="00514CC0" w:rsidRDefault="00E72B49">
            <w:pPr>
              <w:pStyle w:val="OWTablebodyleft"/>
            </w:pPr>
            <w:r>
              <w:t>Researchers from Monash University conducted a study analysing secondary statistical data (including from the ABS and the Household Income and Labour Dynamics Australia survey) with new interview data and identified the following barriers to women accumulating an equivalent amount of superannuation to men:</w:t>
            </w:r>
          </w:p>
          <w:p w14:paraId="7AD43064" w14:textId="77777777" w:rsidR="00514CC0" w:rsidRDefault="00E72B49">
            <w:pPr>
              <w:pStyle w:val="OWTablebullet1"/>
            </w:pPr>
            <w:r>
              <w:t>‘Women from households where priority has been given to the man’s earning potential and careers, often limiting their own careers and affecting the potential to accumulate superannuation.</w:t>
            </w:r>
          </w:p>
          <w:p w14:paraId="39515C1F" w14:textId="77777777" w:rsidR="00514CC0" w:rsidRDefault="00E72B49">
            <w:pPr>
              <w:pStyle w:val="OWTablebullet1"/>
            </w:pPr>
            <w:r>
              <w:t>Women whose caring responsibilities are often multiple and spread right across the life course (from children, to ageing parents, to partner), providing no ‘good time’ to invest in themselves and their own financial security.</w:t>
            </w:r>
          </w:p>
          <w:p w14:paraId="0147EB68" w14:textId="77777777" w:rsidR="00514CC0" w:rsidRDefault="00E72B49">
            <w:pPr>
              <w:pStyle w:val="OWTablebullet1"/>
            </w:pPr>
            <w:r>
              <w:t>Women who change career paths (different sectors), hours worked (full, part or flexitime), type of contract (fixed, casual, cash-in-hand), and types of employment relationship (employer, self-employed) a number of times, resulting in fractured superannuation accumulation patterns.</w:t>
            </w:r>
          </w:p>
          <w:p w14:paraId="3F1E959A" w14:textId="77777777" w:rsidR="00514CC0" w:rsidRDefault="00E72B49">
            <w:pPr>
              <w:pStyle w:val="OWTablebullet1"/>
            </w:pPr>
            <w:r>
              <w:t>Women who have experienced family breakdowns, separation or divorce, with sole custody of children and are on the precipice of (or firmly situated in) poverty for a majority of their adult lives, and thus unable to afford considering financially investing in their future.</w:t>
            </w:r>
          </w:p>
          <w:p w14:paraId="135DFDDB" w14:textId="77777777" w:rsidR="00514CC0" w:rsidRDefault="00E72B49">
            <w:pPr>
              <w:pStyle w:val="OWTablebullet1"/>
            </w:pPr>
            <w:r>
              <w:t>Women who have faced or continue to face age and/or gender-based discrimination, harassment or bias that prevent re-entry, advancement or development, limiting the ability to accumulate … superannuation contributions.’</w:t>
            </w:r>
          </w:p>
          <w:p w14:paraId="46EC341C" w14:textId="77777777" w:rsidR="003D6A9B" w:rsidRPr="003D6A9B" w:rsidRDefault="003D6A9B" w:rsidP="003D6A9B">
            <w:pPr>
              <w:pStyle w:val="OWBoxsourceline"/>
            </w:pPr>
            <w:r>
              <w:drawing>
                <wp:inline distT="0" distB="0" distL="0" distR="0" wp14:anchorId="6E97DE07" wp14:editId="6FE5713C">
                  <wp:extent cx="431640" cy="3960"/>
                  <wp:effectExtent l="0" t="0" r="0" b="0"/>
                  <wp:docPr id="1290909008" name="Picture 5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28">
                            <a:extLst>
                              <a:ext uri="{28A0092B-C50C-407E-A947-70E740481C1C}">
                                <a14:useLocalDpi xmlns:a14="http://schemas.microsoft.com/office/drawing/2010/main" val="0"/>
                              </a:ext>
                            </a:extLst>
                          </a:blip>
                          <a:stretch>
                            <a:fillRect/>
                          </a:stretch>
                        </pic:blipFill>
                        <pic:spPr>
                          <a:xfrm>
                            <a:off x="0" y="0"/>
                            <a:ext cx="431640" cy="3960"/>
                          </a:xfrm>
                          <a:prstGeom prst="rect">
                            <a:avLst/>
                          </a:prstGeom>
                        </pic:spPr>
                      </pic:pic>
                    </a:graphicData>
                  </a:graphic>
                </wp:inline>
              </w:drawing>
            </w:r>
          </w:p>
          <w:p w14:paraId="17E06F63" w14:textId="77777777" w:rsidR="00514CC0" w:rsidRDefault="00E72B49" w:rsidP="004A1B0D">
            <w:pPr>
              <w:pStyle w:val="OWBoxsource"/>
            </w:pPr>
            <w:r>
              <w:t xml:space="preserve">Source: K. Riach et al., </w:t>
            </w:r>
            <w:r w:rsidRPr="003E209A">
              <w:rPr>
                <w:rStyle w:val="Emphasis"/>
              </w:rPr>
              <w:t>The future face of poverty is female: Stories behind Australian women’s superannuation poverty in retirement</w:t>
            </w:r>
            <w:r>
              <w:t>, 2018, p. 28.</w:t>
            </w:r>
          </w:p>
        </w:tc>
      </w:tr>
    </w:tbl>
    <w:p w14:paraId="7C4F0D6C" w14:textId="77777777" w:rsidR="00514CC0" w:rsidRDefault="00E72B49" w:rsidP="00E1549C">
      <w:pPr>
        <w:pStyle w:val="Heading4"/>
      </w:pPr>
      <w:r>
        <w:t>Indicator 3.9: Percentage of women who report feeling unsafe in public spaces</w:t>
      </w:r>
    </w:p>
    <w:tbl>
      <w:tblPr>
        <w:tblStyle w:val="Indicatoroutlineteal"/>
        <w:tblW w:w="9071" w:type="dxa"/>
        <w:tblLayout w:type="fixed"/>
        <w:tblLook w:val="0680" w:firstRow="0" w:lastRow="0" w:firstColumn="1" w:lastColumn="0" w:noHBand="1" w:noVBand="1"/>
      </w:tblPr>
      <w:tblGrid>
        <w:gridCol w:w="2268"/>
        <w:gridCol w:w="6803"/>
      </w:tblGrid>
      <w:tr w:rsidR="00514CC0" w14:paraId="3C316D99" w14:textId="77777777" w:rsidTr="00084525">
        <w:trPr>
          <w:cantSplit/>
          <w:trHeight w:val="60"/>
        </w:trPr>
        <w:tc>
          <w:tcPr>
            <w:tcW w:w="2268" w:type="dxa"/>
          </w:tcPr>
          <w:p w14:paraId="733F23BA" w14:textId="24A1FA7D" w:rsidR="00514CC0" w:rsidRDefault="00E72B49">
            <w:pPr>
              <w:pStyle w:val="OWTablebodyleft"/>
            </w:pPr>
            <w:r>
              <w:t>What does this indicator tell us about Monitoring domain 3: Men’s control of decision-making and limits to</w:t>
            </w:r>
            <w:r w:rsidR="00B55A90">
              <w:t> </w:t>
            </w:r>
            <w:r>
              <w:t>women’s independence in</w:t>
            </w:r>
            <w:r w:rsidR="00B55A90">
              <w:t> </w:t>
            </w:r>
            <w:r>
              <w:t>public life?</w:t>
            </w:r>
          </w:p>
        </w:tc>
        <w:tc>
          <w:tcPr>
            <w:tcW w:w="6803" w:type="dxa"/>
          </w:tcPr>
          <w:p w14:paraId="584A79D9" w14:textId="77777777" w:rsidR="00514CC0" w:rsidRDefault="00E72B49">
            <w:pPr>
              <w:pStyle w:val="OWTablebodyleft"/>
            </w:pPr>
            <w:r>
              <w:t>Women feeling unsafe in public spaces (outdoors, public transport, workplaces) is a key limitation to women’s independence in public life. This indicator measures any change to women’s feelings of lack of safety in public spaces.</w:t>
            </w:r>
          </w:p>
        </w:tc>
      </w:tr>
      <w:tr w:rsidR="00514CC0" w14:paraId="086AA41F" w14:textId="77777777" w:rsidTr="00084525">
        <w:trPr>
          <w:cantSplit/>
          <w:trHeight w:val="60"/>
        </w:trPr>
        <w:tc>
          <w:tcPr>
            <w:tcW w:w="2268" w:type="dxa"/>
          </w:tcPr>
          <w:p w14:paraId="4F465269" w14:textId="77777777" w:rsidR="00514CC0" w:rsidRDefault="00E72B49">
            <w:pPr>
              <w:pStyle w:val="OWTablebodyleft"/>
            </w:pPr>
            <w:r>
              <w:lastRenderedPageBreak/>
              <w:t>Expected change if high-quality programs and infrastructure for prevention of violence against women and gender equality are implemented</w:t>
            </w:r>
          </w:p>
        </w:tc>
        <w:tc>
          <w:tcPr>
            <w:tcW w:w="6803" w:type="dxa"/>
          </w:tcPr>
          <w:p w14:paraId="57D45917" w14:textId="77777777" w:rsidR="00514CC0" w:rsidRDefault="00E72B49">
            <w:pPr>
              <w:pStyle w:val="OWTablebodyleft"/>
            </w:pPr>
            <w:r>
              <w:t>It is difficult to predict the short- and medium-term changes to this indicator. The proportion of women reporting fearfulness in public spaces will be an outcome of not only the real level of safety in public spaces for women, but also the way public safety is reported in the media.</w:t>
            </w:r>
          </w:p>
        </w:tc>
      </w:tr>
      <w:tr w:rsidR="00514CC0" w14:paraId="400419A6" w14:textId="77777777" w:rsidTr="00084525">
        <w:trPr>
          <w:cantSplit/>
          <w:trHeight w:val="60"/>
        </w:trPr>
        <w:tc>
          <w:tcPr>
            <w:tcW w:w="2268" w:type="dxa"/>
          </w:tcPr>
          <w:p w14:paraId="7E26E7CA" w14:textId="77777777" w:rsidR="00514CC0" w:rsidRDefault="00E72B49">
            <w:pPr>
              <w:pStyle w:val="OWTablebodyleft"/>
            </w:pPr>
            <w:r>
              <w:t>Data source(s)</w:t>
            </w:r>
          </w:p>
        </w:tc>
        <w:tc>
          <w:tcPr>
            <w:tcW w:w="6803" w:type="dxa"/>
          </w:tcPr>
          <w:p w14:paraId="359728DE" w14:textId="77777777" w:rsidR="00514CC0" w:rsidRDefault="00E72B49" w:rsidP="002C2EC7">
            <w:pPr>
              <w:pStyle w:val="OWTablenumberdigit"/>
              <w:numPr>
                <w:ilvl w:val="0"/>
                <w:numId w:val="31"/>
              </w:numPr>
            </w:pPr>
            <w:r>
              <w:t>Personal Safety Survey (PSS) 2012 and 2016, ABS</w:t>
            </w:r>
          </w:p>
          <w:p w14:paraId="0307A97D" w14:textId="4BF94AE3" w:rsidR="00514CC0" w:rsidRDefault="00E72B49">
            <w:pPr>
              <w:pStyle w:val="OWTablenumberdigit"/>
            </w:pPr>
            <w:r>
              <w:t>Organisation for Economic Co-operation and Development (OECD) Better Life Index Safety data 2017, OECD</w:t>
            </w:r>
            <w:r w:rsidR="00D449CF">
              <w:rPr>
                <w:rStyle w:val="EndnoteReference"/>
              </w:rPr>
              <w:endnoteReference w:id="336"/>
            </w:r>
          </w:p>
          <w:p w14:paraId="57FDD5E8" w14:textId="443FA1C8" w:rsidR="00514CC0" w:rsidRDefault="00E72B49">
            <w:pPr>
              <w:pStyle w:val="OWTablenumberdigit"/>
            </w:pPr>
            <w:r w:rsidRPr="003E209A">
              <w:rPr>
                <w:rStyle w:val="Emphasis"/>
              </w:rPr>
              <w:t>Free to Be: Sydney</w:t>
            </w:r>
            <w:r>
              <w:t>, 2018, Plan International and Monash University</w:t>
            </w:r>
            <w:r w:rsidR="00D449CF">
              <w:rPr>
                <w:rStyle w:val="EndnoteReference"/>
              </w:rPr>
              <w:endnoteReference w:id="337"/>
            </w:r>
          </w:p>
        </w:tc>
      </w:tr>
      <w:tr w:rsidR="00514CC0" w14:paraId="7990CE9F" w14:textId="77777777" w:rsidTr="00084525">
        <w:trPr>
          <w:cantSplit/>
          <w:trHeight w:val="60"/>
        </w:trPr>
        <w:tc>
          <w:tcPr>
            <w:tcW w:w="2268" w:type="dxa"/>
          </w:tcPr>
          <w:p w14:paraId="7858C327" w14:textId="77777777" w:rsidR="00514CC0" w:rsidRDefault="00E72B49">
            <w:pPr>
              <w:pStyle w:val="OWTablebodyleft"/>
            </w:pPr>
            <w:r>
              <w:t>Change over time summary: short-term change revealed by the data</w:t>
            </w:r>
          </w:p>
        </w:tc>
        <w:tc>
          <w:tcPr>
            <w:tcW w:w="6803" w:type="dxa"/>
          </w:tcPr>
          <w:p w14:paraId="0043A4CF" w14:textId="04363662" w:rsidR="00514CC0" w:rsidRDefault="00E72B49">
            <w:pPr>
              <w:pStyle w:val="OWTablebodyleft"/>
            </w:pPr>
            <w:r>
              <w:t>There is an increase in women feeling safe with regard to public</w:t>
            </w:r>
            <w:r w:rsidR="00B55A90">
              <w:t> </w:t>
            </w:r>
            <w:r>
              <w:t>transport usage and waiting for public transport, and a corresponding decline in women feeling unsafe with regard to public transport usage and waiting for public transport after dark.</w:t>
            </w:r>
          </w:p>
          <w:p w14:paraId="3E165392" w14:textId="77777777" w:rsidR="00514CC0" w:rsidRDefault="00E72B49">
            <w:pPr>
              <w:pStyle w:val="OWTablebodyleft"/>
            </w:pPr>
            <w:r>
              <w:t>However, the PSS data also reveals that there is little change in the proportions of women who report feeling either safe or unsafe walking alone in their local area after dark. There is some marginal positive change but it is not statistically significant.</w:t>
            </w:r>
          </w:p>
        </w:tc>
      </w:tr>
      <w:tr w:rsidR="00514CC0" w14:paraId="042233C4" w14:textId="77777777" w:rsidTr="00084525">
        <w:trPr>
          <w:cantSplit/>
          <w:trHeight w:val="60"/>
        </w:trPr>
        <w:tc>
          <w:tcPr>
            <w:tcW w:w="2268" w:type="dxa"/>
          </w:tcPr>
          <w:p w14:paraId="43539609" w14:textId="77777777" w:rsidR="00514CC0" w:rsidRDefault="00E72B49">
            <w:pPr>
              <w:pStyle w:val="OWTablebodyleft"/>
            </w:pPr>
            <w:r>
              <w:t>Does the change confirm or run contrary to expected change?</w:t>
            </w:r>
          </w:p>
        </w:tc>
        <w:tc>
          <w:tcPr>
            <w:tcW w:w="6803" w:type="dxa"/>
          </w:tcPr>
          <w:p w14:paraId="78AF9CE0" w14:textId="77777777" w:rsidR="00514CC0" w:rsidRDefault="00E72B49">
            <w:pPr>
              <w:pStyle w:val="OWTablebodyleft"/>
            </w:pPr>
            <w:r>
              <w:t xml:space="preserve">Change was not predicted in </w:t>
            </w:r>
            <w:r w:rsidRPr="003E209A">
              <w:rPr>
                <w:rStyle w:val="Emphasis"/>
              </w:rPr>
              <w:t>Counting on change</w:t>
            </w:r>
            <w:r>
              <w:t>.</w:t>
            </w:r>
          </w:p>
        </w:tc>
      </w:tr>
      <w:tr w:rsidR="00514CC0" w14:paraId="2BE304EE" w14:textId="77777777" w:rsidTr="00084525">
        <w:trPr>
          <w:cantSplit/>
          <w:trHeight w:val="60"/>
        </w:trPr>
        <w:tc>
          <w:tcPr>
            <w:tcW w:w="2268" w:type="dxa"/>
          </w:tcPr>
          <w:p w14:paraId="2F289961" w14:textId="77777777" w:rsidR="00514CC0" w:rsidRDefault="00E72B49">
            <w:pPr>
              <w:pStyle w:val="OWTablebodyleft"/>
            </w:pPr>
            <w:r>
              <w:t>Gaps in existing data</w:t>
            </w:r>
          </w:p>
        </w:tc>
        <w:tc>
          <w:tcPr>
            <w:tcW w:w="6803" w:type="dxa"/>
          </w:tcPr>
          <w:p w14:paraId="4390FA66" w14:textId="77777777" w:rsidR="00514CC0" w:rsidRDefault="00E72B49">
            <w:pPr>
              <w:pStyle w:val="OWTablebodyleft"/>
            </w:pPr>
            <w:r>
              <w:t>The PSS data and the Better Life Index Safety data provide limited insights as to why women’s perceptions of public safety change over time. This data needs to be supplemented by insights from other qualitative or smaller and more in-depth quantitative studies.</w:t>
            </w:r>
          </w:p>
        </w:tc>
      </w:tr>
    </w:tbl>
    <w:p w14:paraId="388B6A47" w14:textId="77777777" w:rsidR="00514CC0" w:rsidRDefault="00E72B49" w:rsidP="00F868FE">
      <w:pPr>
        <w:pStyle w:val="Heading5"/>
      </w:pPr>
      <w:r>
        <w:t>Women’s feelings of safety walking alone at night in their local area</w:t>
      </w:r>
    </w:p>
    <w:p w14:paraId="5778F777" w14:textId="77777777" w:rsidR="00514CC0" w:rsidRDefault="00E72B49">
      <w:pPr>
        <w:pStyle w:val="BodyText"/>
      </w:pPr>
      <w:r>
        <w:t>One PSS measure of women’s feelings of safety in public spaces is elicited through asking respondents about whether they walk alone at night in their local area, and how safe they feel in doing so.</w:t>
      </w:r>
    </w:p>
    <w:p w14:paraId="56BA699E" w14:textId="5573F11E" w:rsidR="00514CC0" w:rsidRDefault="00E72B49">
      <w:pPr>
        <w:pStyle w:val="BodyText"/>
      </w:pPr>
      <w:r w:rsidRPr="002D0D52">
        <w:rPr>
          <w:rStyle w:val="Strong"/>
        </w:rPr>
        <w:t>Women’s feelings of fear walking alone at night in their local area have remained fairly consistent between the 2012 and 2016 waves of the PSS; there has been no statistically significant change.</w:t>
      </w:r>
      <w:r>
        <w:t xml:space="preserve"> In 2012, 7.7% of women reported that they had walked alone in their local area after dark and felt unsafe in the previous 12 months; this remained almost the same at 7.8% in 2016. In both 2012 and 2016, approximately one in four women reported </w:t>
      </w:r>
      <w:r>
        <w:lastRenderedPageBreak/>
        <w:t xml:space="preserve">that in the past 12 months they had not walked alone in their local area at night because they felt unsafe doing so (see Table </w:t>
      </w:r>
      <w:r w:rsidR="0017588F">
        <w:t>28</w:t>
      </w:r>
      <w:r>
        <w:t>, below).</w:t>
      </w:r>
    </w:p>
    <w:p w14:paraId="4872C6FD" w14:textId="50F8A37C" w:rsidR="00514CC0" w:rsidRDefault="00E72B49">
      <w:pPr>
        <w:pStyle w:val="OWTablecaption"/>
      </w:pPr>
      <w:r>
        <w:t xml:space="preserve">Table </w:t>
      </w:r>
      <w:r w:rsidR="0017588F">
        <w:t>28</w:t>
      </w:r>
      <w:r>
        <w:t>: Women’s feelings of safety walking in their local area alone after dark in the last</w:t>
      </w:r>
      <w:r w:rsidR="00B55A90">
        <w:t> </w:t>
      </w:r>
      <w:r>
        <w:t>12 months, proportion of women (%)</w:t>
      </w:r>
    </w:p>
    <w:tbl>
      <w:tblPr>
        <w:tblStyle w:val="Datatableteal"/>
        <w:tblW w:w="9072" w:type="dxa"/>
        <w:tblLayout w:type="fixed"/>
        <w:tblLook w:val="06A0" w:firstRow="1" w:lastRow="0" w:firstColumn="1" w:lastColumn="0" w:noHBand="1" w:noVBand="1"/>
      </w:tblPr>
      <w:tblGrid>
        <w:gridCol w:w="4536"/>
        <w:gridCol w:w="2268"/>
        <w:gridCol w:w="2268"/>
      </w:tblGrid>
      <w:tr w:rsidR="00514CC0" w14:paraId="05B18DFA" w14:textId="77777777" w:rsidTr="00084525">
        <w:trPr>
          <w:cnfStyle w:val="100000000000" w:firstRow="1" w:lastRow="0" w:firstColumn="0" w:lastColumn="0" w:oddVBand="0" w:evenVBand="0" w:oddHBand="0" w:evenHBand="0" w:firstRowFirstColumn="0" w:firstRowLastColumn="0" w:lastRowFirstColumn="0" w:lastRowLastColumn="0"/>
          <w:cantSplit/>
          <w:trHeight w:val="60"/>
          <w:tblHeader/>
        </w:trPr>
        <w:tc>
          <w:tcPr>
            <w:tcW w:w="4535" w:type="dxa"/>
          </w:tcPr>
          <w:p w14:paraId="7648A3A9" w14:textId="77777777" w:rsidR="00514CC0" w:rsidRPr="005900F9" w:rsidRDefault="00514CC0" w:rsidP="008F3E9A">
            <w:pPr>
              <w:pStyle w:val="OWTablecolumnheadleft"/>
            </w:pPr>
          </w:p>
        </w:tc>
        <w:tc>
          <w:tcPr>
            <w:tcW w:w="2268" w:type="dxa"/>
          </w:tcPr>
          <w:p w14:paraId="5BBB7CBC" w14:textId="77777777" w:rsidR="00514CC0" w:rsidRPr="005900F9" w:rsidRDefault="00E72B49">
            <w:pPr>
              <w:pStyle w:val="OWTablecolumnheadcentre"/>
            </w:pPr>
            <w:r w:rsidRPr="005900F9">
              <w:t>2012</w:t>
            </w:r>
          </w:p>
        </w:tc>
        <w:tc>
          <w:tcPr>
            <w:tcW w:w="2268" w:type="dxa"/>
          </w:tcPr>
          <w:p w14:paraId="42AD1954" w14:textId="77777777" w:rsidR="00514CC0" w:rsidRPr="005900F9" w:rsidRDefault="00E72B49">
            <w:pPr>
              <w:pStyle w:val="OWTablecolumnheadcentre"/>
            </w:pPr>
            <w:r w:rsidRPr="005900F9">
              <w:t>2016</w:t>
            </w:r>
          </w:p>
        </w:tc>
      </w:tr>
      <w:tr w:rsidR="00514CC0" w14:paraId="0E0A8A6E" w14:textId="77777777" w:rsidTr="00084525">
        <w:trPr>
          <w:cantSplit/>
          <w:trHeight w:val="60"/>
        </w:trPr>
        <w:tc>
          <w:tcPr>
            <w:tcW w:w="4535" w:type="dxa"/>
          </w:tcPr>
          <w:p w14:paraId="07A056DD" w14:textId="77777777" w:rsidR="00514CC0" w:rsidRDefault="00E72B49">
            <w:pPr>
              <w:pStyle w:val="OWTablebodyleft"/>
            </w:pPr>
            <w:r>
              <w:t>Walked alone and felt safe</w:t>
            </w:r>
          </w:p>
        </w:tc>
        <w:tc>
          <w:tcPr>
            <w:tcW w:w="2268" w:type="dxa"/>
          </w:tcPr>
          <w:p w14:paraId="2D3101C0" w14:textId="77777777" w:rsidR="00514CC0" w:rsidRDefault="00E72B49">
            <w:pPr>
              <w:pStyle w:val="OWTablebodycentre"/>
            </w:pPr>
            <w:r>
              <w:t>30.2%</w:t>
            </w:r>
          </w:p>
        </w:tc>
        <w:tc>
          <w:tcPr>
            <w:tcW w:w="2268" w:type="dxa"/>
          </w:tcPr>
          <w:p w14:paraId="4C1CF5B2" w14:textId="77777777" w:rsidR="00514CC0" w:rsidRDefault="00E72B49">
            <w:pPr>
              <w:pStyle w:val="OWTablebodycentre"/>
            </w:pPr>
            <w:r>
              <w:t>31.1%</w:t>
            </w:r>
          </w:p>
        </w:tc>
      </w:tr>
      <w:tr w:rsidR="00514CC0" w14:paraId="1E92A568" w14:textId="77777777" w:rsidTr="00084525">
        <w:trPr>
          <w:cantSplit/>
          <w:trHeight w:val="60"/>
        </w:trPr>
        <w:tc>
          <w:tcPr>
            <w:tcW w:w="4535" w:type="dxa"/>
          </w:tcPr>
          <w:p w14:paraId="456D4C7E" w14:textId="77777777" w:rsidR="00514CC0" w:rsidRDefault="00E72B49">
            <w:pPr>
              <w:pStyle w:val="OWTablebodyleft"/>
            </w:pPr>
            <w:r>
              <w:t>Walked alone and felt unsafe</w:t>
            </w:r>
          </w:p>
        </w:tc>
        <w:tc>
          <w:tcPr>
            <w:tcW w:w="2268" w:type="dxa"/>
          </w:tcPr>
          <w:p w14:paraId="0D1C4FE6" w14:textId="77777777" w:rsidR="00514CC0" w:rsidRDefault="00E72B49">
            <w:pPr>
              <w:pStyle w:val="OWTablebodycentre"/>
            </w:pPr>
            <w:r>
              <w:t>7.7%</w:t>
            </w:r>
          </w:p>
        </w:tc>
        <w:tc>
          <w:tcPr>
            <w:tcW w:w="2268" w:type="dxa"/>
          </w:tcPr>
          <w:p w14:paraId="1231E108" w14:textId="77777777" w:rsidR="00514CC0" w:rsidRDefault="00E72B49">
            <w:pPr>
              <w:pStyle w:val="OWTablebodycentre"/>
            </w:pPr>
            <w:r>
              <w:t>7.8%</w:t>
            </w:r>
          </w:p>
        </w:tc>
      </w:tr>
      <w:tr w:rsidR="00514CC0" w14:paraId="15FED6AC" w14:textId="77777777" w:rsidTr="00084525">
        <w:trPr>
          <w:cantSplit/>
          <w:trHeight w:val="60"/>
        </w:trPr>
        <w:tc>
          <w:tcPr>
            <w:tcW w:w="4535" w:type="dxa"/>
          </w:tcPr>
          <w:p w14:paraId="7AE054C7" w14:textId="77777777" w:rsidR="00514CC0" w:rsidRDefault="00E72B49">
            <w:pPr>
              <w:pStyle w:val="OWTablebodyleft"/>
            </w:pPr>
            <w:r>
              <w:t>Did not walk alone because felt unsafe</w:t>
            </w:r>
          </w:p>
        </w:tc>
        <w:tc>
          <w:tcPr>
            <w:tcW w:w="2268" w:type="dxa"/>
          </w:tcPr>
          <w:p w14:paraId="0B2159DF" w14:textId="77777777" w:rsidR="00514CC0" w:rsidRDefault="00E72B49">
            <w:pPr>
              <w:pStyle w:val="OWTablebodycentre"/>
            </w:pPr>
            <w:r>
              <w:t>26.5%</w:t>
            </w:r>
          </w:p>
        </w:tc>
        <w:tc>
          <w:tcPr>
            <w:tcW w:w="2268" w:type="dxa"/>
          </w:tcPr>
          <w:p w14:paraId="198171FE" w14:textId="77777777" w:rsidR="00514CC0" w:rsidRDefault="00E72B49">
            <w:pPr>
              <w:pStyle w:val="OWTablebodycentre"/>
            </w:pPr>
            <w:r>
              <w:t>25.6%</w:t>
            </w:r>
          </w:p>
        </w:tc>
      </w:tr>
    </w:tbl>
    <w:p w14:paraId="41FEE0FD" w14:textId="77777777" w:rsidR="00514CC0" w:rsidRDefault="00E72B49">
      <w:pPr>
        <w:pStyle w:val="OWTablefootnote"/>
      </w:pPr>
      <w:r>
        <w:t>Source: ABS, PSS 2016</w:t>
      </w:r>
    </w:p>
    <w:p w14:paraId="6A0A0F5E" w14:textId="115AE43D" w:rsidR="00514CC0" w:rsidRDefault="00E72B49">
      <w:pPr>
        <w:pStyle w:val="OWBodytextlargespaceabove"/>
      </w:pPr>
      <w:r>
        <w:t>International data on whether people feel safe walking alone at night is also collected through the Gallop World Poll and reported at a country level in the Organisation for Economic Co-operation and Development (OECD) Better Life Index.</w:t>
      </w:r>
      <w:r w:rsidR="00D449CF">
        <w:rPr>
          <w:rStyle w:val="EndnoteReference"/>
        </w:rPr>
        <w:endnoteReference w:id="338"/>
      </w:r>
      <w:r>
        <w:t xml:space="preserve"> As summarised in the</w:t>
      </w:r>
      <w:r w:rsidR="00B55A90">
        <w:t> </w:t>
      </w:r>
      <w:r>
        <w:t xml:space="preserve">second Community Council of Australia’s </w:t>
      </w:r>
      <w:r w:rsidRPr="003E209A">
        <w:rPr>
          <w:rStyle w:val="Emphasis"/>
        </w:rPr>
        <w:t>The Australia We Want</w:t>
      </w:r>
      <w:r>
        <w:t xml:space="preserve"> report (2019), in 2017 only 49% of Australian women reported feeling safe when walking alone at night, compared with 79% of Australian men.</w:t>
      </w:r>
      <w:r w:rsidR="00D449CF">
        <w:rPr>
          <w:rStyle w:val="EndnoteReference"/>
        </w:rPr>
        <w:endnoteReference w:id="339"/>
      </w:r>
      <w:r>
        <w:t xml:space="preserve"> This finding means that Australia has the highest gender differential in terms of feelings of safety of all the OECD countries. Australian women’s feelings of public safety also ranked far lower than the OECD average for women, at 61%.</w:t>
      </w:r>
      <w:r w:rsidR="00D449CF">
        <w:rPr>
          <w:rStyle w:val="EndnoteReference"/>
        </w:rPr>
        <w:endnoteReference w:id="340"/>
      </w:r>
    </w:p>
    <w:p w14:paraId="1EFC719A" w14:textId="77777777" w:rsidR="00514CC0" w:rsidRDefault="00E72B49" w:rsidP="00F868FE">
      <w:pPr>
        <w:pStyle w:val="Heading5"/>
      </w:pPr>
      <w:r>
        <w:t>Women’s feelings of safety in and around public transport</w:t>
      </w:r>
    </w:p>
    <w:p w14:paraId="559EDC5D" w14:textId="3CB0674B" w:rsidR="00514CC0" w:rsidRDefault="00E72B49">
      <w:pPr>
        <w:pStyle w:val="BodyText"/>
      </w:pPr>
      <w:r>
        <w:t xml:space="preserve">On the basis of PSS data, </w:t>
      </w:r>
      <w:r w:rsidRPr="002D0D52">
        <w:rPr>
          <w:rStyle w:val="Strong"/>
        </w:rPr>
        <w:t>there has been some improvement in women’s feelings of safety using public transport after dark, and in waiting to use public transport after dark</w:t>
      </w:r>
      <w:r>
        <w:t>. The proportion of women who used public transport after dark in the previous 12 months and felt unsafe doing so remained fairly consistent between 2012 (6.6%) and 2016 (6.3%). However, there was a statistically significant increase in the proportion of women who reported using public transport after dark in the previous 12 months and feeling safe (15.1%</w:t>
      </w:r>
      <w:r w:rsidR="00B55A90">
        <w:t> </w:t>
      </w:r>
      <w:r>
        <w:t xml:space="preserve">in 2012 and 20.7% in 2016), and a statistically significant decrease in the proportion of women who did not use public transport after dark because they felt unsafe doing so (18.2% in 2012 to 14.3% in 2016) (see Table </w:t>
      </w:r>
      <w:r w:rsidR="0017588F">
        <w:t>29</w:t>
      </w:r>
      <w:r>
        <w:t xml:space="preserve">, below). There was also a statistically significant increase in the proportion of women who waited for public transport after dark and felt safe, and a statistically significant decrease in the proportion of women who waited and felt unsafe (see Table </w:t>
      </w:r>
      <w:r w:rsidR="0017588F">
        <w:t>30</w:t>
      </w:r>
      <w:r>
        <w:t>).</w:t>
      </w:r>
    </w:p>
    <w:p w14:paraId="7B319CBE" w14:textId="77777777" w:rsidR="00304DEC" w:rsidRPr="00304DEC" w:rsidRDefault="00304DEC" w:rsidP="00304DEC">
      <w:pPr>
        <w:pStyle w:val="BodyText"/>
      </w:pPr>
      <w:r w:rsidRPr="00304DEC">
        <w:br w:type="page"/>
      </w:r>
    </w:p>
    <w:p w14:paraId="4A78B733" w14:textId="51CF3CF8" w:rsidR="00514CC0" w:rsidRDefault="00E72B49">
      <w:pPr>
        <w:pStyle w:val="OWTablecaption"/>
      </w:pPr>
      <w:r>
        <w:lastRenderedPageBreak/>
        <w:t xml:space="preserve">Table </w:t>
      </w:r>
      <w:r w:rsidR="0017588F">
        <w:t>29</w:t>
      </w:r>
      <w:r>
        <w:t>: Women’s feelings of safety using public transport after dark in the last 12 months, proportion of women (%)</w:t>
      </w:r>
    </w:p>
    <w:tbl>
      <w:tblPr>
        <w:tblStyle w:val="Datatableteal"/>
        <w:tblW w:w="9072" w:type="dxa"/>
        <w:tblLayout w:type="fixed"/>
        <w:tblLook w:val="06A0" w:firstRow="1" w:lastRow="0" w:firstColumn="1" w:lastColumn="0" w:noHBand="1" w:noVBand="1"/>
      </w:tblPr>
      <w:tblGrid>
        <w:gridCol w:w="4536"/>
        <w:gridCol w:w="2268"/>
        <w:gridCol w:w="2268"/>
      </w:tblGrid>
      <w:tr w:rsidR="00514CC0" w14:paraId="0D25A113" w14:textId="77777777" w:rsidTr="00084525">
        <w:trPr>
          <w:cnfStyle w:val="100000000000" w:firstRow="1" w:lastRow="0" w:firstColumn="0" w:lastColumn="0" w:oddVBand="0" w:evenVBand="0" w:oddHBand="0" w:evenHBand="0" w:firstRowFirstColumn="0" w:firstRowLastColumn="0" w:lastRowFirstColumn="0" w:lastRowLastColumn="0"/>
          <w:cantSplit/>
          <w:trHeight w:val="60"/>
          <w:tblHeader/>
        </w:trPr>
        <w:tc>
          <w:tcPr>
            <w:tcW w:w="4535" w:type="dxa"/>
          </w:tcPr>
          <w:p w14:paraId="1418EA16" w14:textId="77777777" w:rsidR="00514CC0" w:rsidRPr="00BD2480" w:rsidRDefault="00514CC0" w:rsidP="008F3E9A">
            <w:pPr>
              <w:pStyle w:val="OWTablecolumnheadleft"/>
            </w:pPr>
          </w:p>
        </w:tc>
        <w:tc>
          <w:tcPr>
            <w:tcW w:w="2268" w:type="dxa"/>
          </w:tcPr>
          <w:p w14:paraId="1AD8F735" w14:textId="77777777" w:rsidR="00514CC0" w:rsidRPr="00BD2480" w:rsidRDefault="00E72B49">
            <w:pPr>
              <w:pStyle w:val="OWTablecolumnheadcentre"/>
            </w:pPr>
            <w:r w:rsidRPr="00BD2480">
              <w:t>2012</w:t>
            </w:r>
          </w:p>
        </w:tc>
        <w:tc>
          <w:tcPr>
            <w:tcW w:w="2268" w:type="dxa"/>
          </w:tcPr>
          <w:p w14:paraId="10905BFD" w14:textId="77777777" w:rsidR="00514CC0" w:rsidRPr="00BD2480" w:rsidRDefault="00E72B49">
            <w:pPr>
              <w:pStyle w:val="OWTablecolumnheadcentre"/>
            </w:pPr>
            <w:r w:rsidRPr="00BD2480">
              <w:t>2016</w:t>
            </w:r>
          </w:p>
        </w:tc>
      </w:tr>
      <w:tr w:rsidR="00514CC0" w14:paraId="2178979F" w14:textId="77777777" w:rsidTr="00084525">
        <w:trPr>
          <w:cantSplit/>
          <w:trHeight w:val="60"/>
        </w:trPr>
        <w:tc>
          <w:tcPr>
            <w:tcW w:w="4535" w:type="dxa"/>
          </w:tcPr>
          <w:p w14:paraId="77A11729" w14:textId="77777777" w:rsidR="00514CC0" w:rsidRDefault="00E72B49">
            <w:pPr>
              <w:pStyle w:val="OWTablebodyleft"/>
            </w:pPr>
            <w:r>
              <w:t>Used public transport after dark and felt safe</w:t>
            </w:r>
          </w:p>
        </w:tc>
        <w:tc>
          <w:tcPr>
            <w:tcW w:w="2268" w:type="dxa"/>
          </w:tcPr>
          <w:p w14:paraId="7A02881C" w14:textId="77777777" w:rsidR="00514CC0" w:rsidRDefault="00E72B49">
            <w:pPr>
              <w:pStyle w:val="OWTablebodycentre"/>
            </w:pPr>
            <w:r>
              <w:t>15.1%</w:t>
            </w:r>
          </w:p>
        </w:tc>
        <w:tc>
          <w:tcPr>
            <w:tcW w:w="2268" w:type="dxa"/>
          </w:tcPr>
          <w:p w14:paraId="4E2CA311" w14:textId="77777777" w:rsidR="00514CC0" w:rsidRDefault="00E72B49">
            <w:pPr>
              <w:pStyle w:val="OWTablebodycentre"/>
            </w:pPr>
            <w:r>
              <w:t>20.7%*</w:t>
            </w:r>
          </w:p>
        </w:tc>
      </w:tr>
      <w:tr w:rsidR="00514CC0" w14:paraId="203C8866" w14:textId="77777777" w:rsidTr="00084525">
        <w:trPr>
          <w:cantSplit/>
          <w:trHeight w:val="60"/>
        </w:trPr>
        <w:tc>
          <w:tcPr>
            <w:tcW w:w="4535" w:type="dxa"/>
          </w:tcPr>
          <w:p w14:paraId="2A5D7D70" w14:textId="77777777" w:rsidR="00514CC0" w:rsidRDefault="00E72B49">
            <w:pPr>
              <w:pStyle w:val="OWTablebodyleft"/>
            </w:pPr>
            <w:r>
              <w:t>Used public transport after dark and felt unsafe</w:t>
            </w:r>
          </w:p>
        </w:tc>
        <w:tc>
          <w:tcPr>
            <w:tcW w:w="2268" w:type="dxa"/>
          </w:tcPr>
          <w:p w14:paraId="5FA200E3" w14:textId="77777777" w:rsidR="00514CC0" w:rsidRDefault="00E72B49">
            <w:pPr>
              <w:pStyle w:val="OWTablebodycentre"/>
            </w:pPr>
            <w:r>
              <w:t>6.6%</w:t>
            </w:r>
          </w:p>
        </w:tc>
        <w:tc>
          <w:tcPr>
            <w:tcW w:w="2268" w:type="dxa"/>
          </w:tcPr>
          <w:p w14:paraId="6508DE14" w14:textId="77777777" w:rsidR="00514CC0" w:rsidRDefault="00E72B49">
            <w:pPr>
              <w:pStyle w:val="OWTablebodycentre"/>
            </w:pPr>
            <w:r>
              <w:t>6.3%</w:t>
            </w:r>
          </w:p>
        </w:tc>
      </w:tr>
      <w:tr w:rsidR="00514CC0" w14:paraId="77A4427E" w14:textId="77777777" w:rsidTr="00084525">
        <w:trPr>
          <w:cantSplit/>
          <w:trHeight w:val="60"/>
        </w:trPr>
        <w:tc>
          <w:tcPr>
            <w:tcW w:w="4535" w:type="dxa"/>
          </w:tcPr>
          <w:p w14:paraId="4D497072" w14:textId="77777777" w:rsidR="00514CC0" w:rsidRDefault="00E72B49">
            <w:pPr>
              <w:pStyle w:val="OWTablebodyleft"/>
            </w:pPr>
            <w:r>
              <w:t>Did not use public transport after dark because felt unsafe</w:t>
            </w:r>
          </w:p>
        </w:tc>
        <w:tc>
          <w:tcPr>
            <w:tcW w:w="2268" w:type="dxa"/>
          </w:tcPr>
          <w:p w14:paraId="156B9285" w14:textId="77777777" w:rsidR="00514CC0" w:rsidRDefault="00E72B49">
            <w:pPr>
              <w:pStyle w:val="OWTablebodycentre"/>
            </w:pPr>
            <w:r>
              <w:t>18.2%</w:t>
            </w:r>
          </w:p>
        </w:tc>
        <w:tc>
          <w:tcPr>
            <w:tcW w:w="2268" w:type="dxa"/>
          </w:tcPr>
          <w:p w14:paraId="5AE0A845" w14:textId="77777777" w:rsidR="00514CC0" w:rsidRDefault="00E72B49">
            <w:pPr>
              <w:pStyle w:val="OWTablebodycentre"/>
            </w:pPr>
            <w:r>
              <w:t>14.3%*</w:t>
            </w:r>
          </w:p>
        </w:tc>
      </w:tr>
    </w:tbl>
    <w:p w14:paraId="24157530" w14:textId="77777777" w:rsidR="00514CC0" w:rsidRDefault="00E72B49">
      <w:pPr>
        <w:pStyle w:val="OWTablefootnote"/>
      </w:pPr>
      <w:r>
        <w:t>Source: ABS, PSS 2016</w:t>
      </w:r>
    </w:p>
    <w:p w14:paraId="663D71E6" w14:textId="77777777" w:rsidR="00514CC0" w:rsidRDefault="00E72B49">
      <w:pPr>
        <w:pStyle w:val="OWTablefootnoteindent"/>
      </w:pPr>
      <w:r>
        <w:t>*</w:t>
      </w:r>
      <w:r>
        <w:tab/>
        <w:t>denotes a statistically significant change between survey years.</w:t>
      </w:r>
    </w:p>
    <w:p w14:paraId="5E477EFC" w14:textId="6BDF217D" w:rsidR="00514CC0" w:rsidRDefault="00E72B49">
      <w:pPr>
        <w:pStyle w:val="OWTablecaption"/>
      </w:pPr>
      <w:r>
        <w:t xml:space="preserve">Table </w:t>
      </w:r>
      <w:r w:rsidR="0017588F">
        <w:t>30</w:t>
      </w:r>
      <w:r>
        <w:t>: Women’s feelings of safety waiting for public transport after dark in the last</w:t>
      </w:r>
      <w:r w:rsidR="00B55A90">
        <w:t> </w:t>
      </w:r>
      <w:r>
        <w:t>12 months, proportion of women (%)</w:t>
      </w:r>
    </w:p>
    <w:tbl>
      <w:tblPr>
        <w:tblStyle w:val="Datatableteal"/>
        <w:tblW w:w="9072" w:type="dxa"/>
        <w:tblLayout w:type="fixed"/>
        <w:tblLook w:val="06A0" w:firstRow="1" w:lastRow="0" w:firstColumn="1" w:lastColumn="0" w:noHBand="1" w:noVBand="1"/>
      </w:tblPr>
      <w:tblGrid>
        <w:gridCol w:w="4536"/>
        <w:gridCol w:w="2268"/>
        <w:gridCol w:w="2268"/>
      </w:tblGrid>
      <w:tr w:rsidR="00514CC0" w14:paraId="0A00F7AC" w14:textId="77777777" w:rsidTr="00084525">
        <w:trPr>
          <w:cnfStyle w:val="100000000000" w:firstRow="1" w:lastRow="0" w:firstColumn="0" w:lastColumn="0" w:oddVBand="0" w:evenVBand="0" w:oddHBand="0" w:evenHBand="0" w:firstRowFirstColumn="0" w:firstRowLastColumn="0" w:lastRowFirstColumn="0" w:lastRowLastColumn="0"/>
          <w:cantSplit/>
          <w:trHeight w:val="60"/>
          <w:tblHeader/>
        </w:trPr>
        <w:tc>
          <w:tcPr>
            <w:tcW w:w="4535" w:type="dxa"/>
          </w:tcPr>
          <w:p w14:paraId="77DF821A" w14:textId="77777777" w:rsidR="00514CC0" w:rsidRPr="00BD2480" w:rsidRDefault="00514CC0" w:rsidP="008F3E9A">
            <w:pPr>
              <w:pStyle w:val="OWTablecolumnheadleft"/>
            </w:pPr>
          </w:p>
        </w:tc>
        <w:tc>
          <w:tcPr>
            <w:tcW w:w="2268" w:type="dxa"/>
          </w:tcPr>
          <w:p w14:paraId="548F299D" w14:textId="77777777" w:rsidR="00514CC0" w:rsidRPr="00BD2480" w:rsidRDefault="00E72B49">
            <w:pPr>
              <w:pStyle w:val="OWTablecolumnheadcentre"/>
            </w:pPr>
            <w:r w:rsidRPr="00BD2480">
              <w:t>2012</w:t>
            </w:r>
          </w:p>
        </w:tc>
        <w:tc>
          <w:tcPr>
            <w:tcW w:w="2268" w:type="dxa"/>
          </w:tcPr>
          <w:p w14:paraId="133C43C7" w14:textId="77777777" w:rsidR="00514CC0" w:rsidRPr="00BD2480" w:rsidRDefault="00E72B49">
            <w:pPr>
              <w:pStyle w:val="OWTablecolumnheadcentre"/>
            </w:pPr>
            <w:r w:rsidRPr="00BD2480">
              <w:t>2016</w:t>
            </w:r>
          </w:p>
        </w:tc>
      </w:tr>
      <w:tr w:rsidR="00514CC0" w14:paraId="6289D3FF" w14:textId="77777777" w:rsidTr="00084525">
        <w:trPr>
          <w:cantSplit/>
          <w:trHeight w:val="60"/>
        </w:trPr>
        <w:tc>
          <w:tcPr>
            <w:tcW w:w="4535" w:type="dxa"/>
          </w:tcPr>
          <w:p w14:paraId="622A34CF" w14:textId="77777777" w:rsidR="00514CC0" w:rsidRDefault="00E72B49">
            <w:pPr>
              <w:pStyle w:val="OWTablebodyleft"/>
            </w:pPr>
            <w:r>
              <w:t>Waiting for public transport after dark and felt safe</w:t>
            </w:r>
          </w:p>
        </w:tc>
        <w:tc>
          <w:tcPr>
            <w:tcW w:w="2268" w:type="dxa"/>
          </w:tcPr>
          <w:p w14:paraId="0838D34D" w14:textId="77777777" w:rsidR="00514CC0" w:rsidRDefault="00E72B49">
            <w:pPr>
              <w:pStyle w:val="OWTablebodycentre"/>
            </w:pPr>
            <w:r>
              <w:t>11.8%</w:t>
            </w:r>
          </w:p>
        </w:tc>
        <w:tc>
          <w:tcPr>
            <w:tcW w:w="2268" w:type="dxa"/>
          </w:tcPr>
          <w:p w14:paraId="070EEC3F" w14:textId="77777777" w:rsidR="00514CC0" w:rsidRDefault="00E72B49">
            <w:pPr>
              <w:pStyle w:val="OWTablebodycentre"/>
            </w:pPr>
            <w:r>
              <w:t>18.4%*</w:t>
            </w:r>
          </w:p>
        </w:tc>
      </w:tr>
      <w:tr w:rsidR="00514CC0" w14:paraId="389F15BD" w14:textId="77777777" w:rsidTr="00084525">
        <w:trPr>
          <w:cantSplit/>
          <w:trHeight w:val="60"/>
        </w:trPr>
        <w:tc>
          <w:tcPr>
            <w:tcW w:w="4535" w:type="dxa"/>
          </w:tcPr>
          <w:p w14:paraId="5C96D6CB" w14:textId="77777777" w:rsidR="00514CC0" w:rsidRDefault="00E72B49">
            <w:pPr>
              <w:pStyle w:val="OWTablebodyleft"/>
            </w:pPr>
            <w:r>
              <w:t>Waiting for public transport after dark and felt unsafe</w:t>
            </w:r>
          </w:p>
        </w:tc>
        <w:tc>
          <w:tcPr>
            <w:tcW w:w="2268" w:type="dxa"/>
          </w:tcPr>
          <w:p w14:paraId="21BB1EF0" w14:textId="77777777" w:rsidR="00514CC0" w:rsidRDefault="00E72B49">
            <w:pPr>
              <w:pStyle w:val="OWTablebodycentre"/>
            </w:pPr>
            <w:r>
              <w:t>9.9%</w:t>
            </w:r>
          </w:p>
        </w:tc>
        <w:tc>
          <w:tcPr>
            <w:tcW w:w="2268" w:type="dxa"/>
          </w:tcPr>
          <w:p w14:paraId="229E93F6" w14:textId="77777777" w:rsidR="00514CC0" w:rsidRDefault="00E72B49">
            <w:pPr>
              <w:pStyle w:val="OWTablebodycentre"/>
            </w:pPr>
            <w:r>
              <w:t>8.6%*</w:t>
            </w:r>
          </w:p>
        </w:tc>
      </w:tr>
    </w:tbl>
    <w:p w14:paraId="2986A7D8" w14:textId="77777777" w:rsidR="00514CC0" w:rsidRDefault="00E72B49">
      <w:pPr>
        <w:pStyle w:val="OWTablefootnote"/>
      </w:pPr>
      <w:r>
        <w:t>Source: ABS, PSS 2016</w:t>
      </w:r>
    </w:p>
    <w:p w14:paraId="2DE1D3B9" w14:textId="77777777" w:rsidR="00514CC0" w:rsidRDefault="00E72B49">
      <w:pPr>
        <w:pStyle w:val="OWTablefootnoteindent"/>
      </w:pPr>
      <w:r>
        <w:t>*</w:t>
      </w:r>
      <w:r>
        <w:tab/>
        <w:t>denotes a statistically significant change between survey years.</w:t>
      </w:r>
    </w:p>
    <w:p w14:paraId="4B843A45" w14:textId="77777777" w:rsidR="00514CC0" w:rsidRDefault="00E72B49" w:rsidP="00F868FE">
      <w:pPr>
        <w:pStyle w:val="Heading5"/>
      </w:pPr>
      <w:r>
        <w:t>Young women’s experiences and feelings of safety in Sydney’s public spaces</w:t>
      </w:r>
    </w:p>
    <w:p w14:paraId="2ABC4FA5" w14:textId="7A9A398E" w:rsidR="00514CC0" w:rsidRDefault="00E72B49">
      <w:pPr>
        <w:pStyle w:val="BodyText"/>
      </w:pPr>
      <w:r>
        <w:t>While it cannot measure change over time and is not a population-representative sample as</w:t>
      </w:r>
      <w:r w:rsidR="00B55A90">
        <w:t> </w:t>
      </w:r>
      <w:r>
        <w:t>it only focuses on one Australian city, it is also worth drawing on a recent study by Plan International and Monash University’s XYX Lab (2018) of young women’s (up to 30 years old) and girls’ experiences and feelings of safety in public spaces in Sydney.</w:t>
      </w:r>
      <w:r w:rsidR="00D449CF">
        <w:rPr>
          <w:rStyle w:val="EndnoteReference"/>
        </w:rPr>
        <w:endnoteReference w:id="341"/>
      </w:r>
      <w:r>
        <w:t xml:space="preserve"> The study found that 90% of young women do not feel safe after dark, and that young women’s and girls’ feelings of a lack of safety moving around the city are directly related to their experiences of sexual harassment, sexual assault, gender-based discrimination, and discrimination related to other factors. For example, 10% of young women reported experiencing discrimination based on ethnicity in Sydney public spaces; four out of five of these women also reported experiencing gender-based discrimination. A further 5% of female and non-binary participants reported having experienced LGBTIQA-based discrimination.</w:t>
      </w:r>
      <w:r>
        <w:rPr>
          <w:rStyle w:val="OWSuperscript"/>
        </w:rPr>
        <w:footnoteReference w:id="41"/>
      </w:r>
      <w:r>
        <w:t xml:space="preserve"> These findings</w:t>
      </w:r>
      <w:r w:rsidR="00B55A90">
        <w:t> </w:t>
      </w:r>
      <w:r>
        <w:t>suggest that the prevalence of bad experiences in public spaces in Sydney are higher</w:t>
      </w:r>
      <w:r w:rsidR="00B55A90">
        <w:t> </w:t>
      </w:r>
      <w:r>
        <w:t>for young women and non-binary people who experience intersectional forms of discrimination.</w:t>
      </w:r>
      <w:r w:rsidR="00D449CF">
        <w:rPr>
          <w:rStyle w:val="EndnoteReference"/>
        </w:rPr>
        <w:endnoteReference w:id="342"/>
      </w:r>
      <w:r>
        <w:t xml:space="preserve"> The study also found that young women’s experiences of a lack of safety and of harassment, assault and discrimination in public spaces starts at a very young age, </w:t>
      </w:r>
      <w:r>
        <w:lastRenderedPageBreak/>
        <w:t>and that women are managing their fear through curtailing their own freedom and independence of movement, and their participation in education, the economy and social</w:t>
      </w:r>
      <w:r w:rsidR="00B55A90">
        <w:t> </w:t>
      </w:r>
      <w:r>
        <w:t>life, because they feel there is no other way:</w:t>
      </w:r>
    </w:p>
    <w:p w14:paraId="154839F8" w14:textId="00051F71" w:rsidR="00514CC0" w:rsidRDefault="00E72B49">
      <w:pPr>
        <w:pStyle w:val="Quote"/>
      </w:pPr>
      <w:r>
        <w:t xml:space="preserve">‘The critical message … is that the majority of </w:t>
      </w:r>
      <w:r w:rsidR="00901058">
        <w:t xml:space="preserve">the </w:t>
      </w:r>
      <w:r>
        <w:t>young women and girls who participated experienced many forms of sexual harassment, mostly non-physical but also including some severe forms of physical assault. This was spread across the city, concentrated in public transport hubs, and consequently affected the ability of young women and girls to move around the city and access education and employment. In some instances the young women and girls stopped their study, quit work or moved house as a result of their experiences. The data suggests that harassment is endemic, and embedded in the very fabric of the city.’</w:t>
      </w:r>
      <w:r w:rsidR="0024132F">
        <w:rPr>
          <w:rStyle w:val="EndnoteReference"/>
        </w:rPr>
        <w:endnoteReference w:id="343"/>
      </w:r>
    </w:p>
    <w:p w14:paraId="0EE4AE72" w14:textId="0C3C85E2" w:rsidR="00514CC0" w:rsidRDefault="00E72B49">
      <w:pPr>
        <w:pStyle w:val="BodyText"/>
      </w:pPr>
      <w:r>
        <w:t>Not only do women’s feelings of safety in public spaces reflect societal condoning and personal experiences of violence against women, but this fear also has a profound impact on</w:t>
      </w:r>
      <w:r w:rsidR="00B55A90">
        <w:t> </w:t>
      </w:r>
      <w:r>
        <w:t>women’s and girls’ engagement and independence in public life.</w:t>
      </w:r>
    </w:p>
    <w:p w14:paraId="76050C99" w14:textId="77777777" w:rsidR="00514CC0" w:rsidRDefault="00E72B49" w:rsidP="00E1549C">
      <w:pPr>
        <w:pStyle w:val="Heading4"/>
      </w:pPr>
      <w:r>
        <w:t>Indicator 3.10: Attitudes about women’s independence in public life</w:t>
      </w:r>
      <w:r>
        <w:rPr>
          <w:rStyle w:val="OWSuperscript"/>
        </w:rPr>
        <w:footnoteReference w:id="42"/>
      </w:r>
    </w:p>
    <w:tbl>
      <w:tblPr>
        <w:tblStyle w:val="Indicatoroutlineteal"/>
        <w:tblW w:w="9072" w:type="dxa"/>
        <w:tblLayout w:type="fixed"/>
        <w:tblLook w:val="0680" w:firstRow="0" w:lastRow="0" w:firstColumn="1" w:lastColumn="0" w:noHBand="1" w:noVBand="1"/>
      </w:tblPr>
      <w:tblGrid>
        <w:gridCol w:w="2835"/>
        <w:gridCol w:w="6237"/>
      </w:tblGrid>
      <w:tr w:rsidR="00514CC0" w14:paraId="2CE48B08" w14:textId="77777777" w:rsidTr="00084525">
        <w:trPr>
          <w:cantSplit/>
          <w:trHeight w:val="60"/>
        </w:trPr>
        <w:tc>
          <w:tcPr>
            <w:tcW w:w="2835" w:type="dxa"/>
          </w:tcPr>
          <w:p w14:paraId="3AC14AD5" w14:textId="6906FC69" w:rsidR="00514CC0" w:rsidRDefault="00E72B49">
            <w:pPr>
              <w:pStyle w:val="OWTablebodyleft"/>
            </w:pPr>
            <w:r>
              <w:t>What does this indicator tell us about Monitoring domain 3: Men’s control of decision-making and limits to women’s independence in public</w:t>
            </w:r>
            <w:r w:rsidR="00B55A90">
              <w:t> </w:t>
            </w:r>
            <w:r>
              <w:t>life?</w:t>
            </w:r>
          </w:p>
        </w:tc>
        <w:tc>
          <w:tcPr>
            <w:tcW w:w="6236" w:type="dxa"/>
          </w:tcPr>
          <w:p w14:paraId="2460B3F5" w14:textId="77777777" w:rsidR="00514CC0" w:rsidRDefault="00E72B49">
            <w:pPr>
              <w:pStyle w:val="OWTablebodyleft"/>
            </w:pPr>
            <w:r>
              <w:t>Attitudes may shape the often unconscious discrimination against women’s appointments to leadership positions. Attitudes which fail to recognise women’s capacities and authority may also deter women from pushing for equal participation in public settings (NCAS 2017 p. 67). As well as structural outcomes and experiences, then, attitudes are also another way to measure progress in women’s independence in public life.</w:t>
            </w:r>
          </w:p>
        </w:tc>
      </w:tr>
      <w:tr w:rsidR="00514CC0" w14:paraId="799C51F1" w14:textId="77777777" w:rsidTr="00084525">
        <w:trPr>
          <w:cantSplit/>
          <w:trHeight w:val="60"/>
        </w:trPr>
        <w:tc>
          <w:tcPr>
            <w:tcW w:w="2835" w:type="dxa"/>
          </w:tcPr>
          <w:p w14:paraId="56B68141" w14:textId="77777777" w:rsidR="00514CC0" w:rsidRDefault="00E72B49">
            <w:pPr>
              <w:pStyle w:val="OWTablebodyleft"/>
            </w:pPr>
            <w:r>
              <w:t>Expected change if high-quality programs and infrastructure for prevention of violence against women and gender equality are implemented</w:t>
            </w:r>
          </w:p>
        </w:tc>
        <w:tc>
          <w:tcPr>
            <w:tcW w:w="6236" w:type="dxa"/>
          </w:tcPr>
          <w:p w14:paraId="3289822A" w14:textId="57DE13D3" w:rsidR="00514CC0" w:rsidRDefault="00E72B49">
            <w:pPr>
              <w:pStyle w:val="OWTablebodyleft"/>
            </w:pPr>
            <w:r>
              <w:t>Short- and medium-term: some decrease in attitudes undermining women’s independence and decision-making in</w:t>
            </w:r>
            <w:r w:rsidR="00B55A90">
              <w:t> </w:t>
            </w:r>
            <w:r>
              <w:t>public life.</w:t>
            </w:r>
          </w:p>
          <w:p w14:paraId="60536025" w14:textId="77777777" w:rsidR="00514CC0" w:rsidRDefault="00E72B49">
            <w:pPr>
              <w:pStyle w:val="OWTablebodyleft"/>
            </w:pPr>
            <w:r>
              <w:t>Long-term: public attitudes reflect support for women’s independence and decision-making in public life.</w:t>
            </w:r>
          </w:p>
        </w:tc>
      </w:tr>
      <w:tr w:rsidR="00514CC0" w14:paraId="7416A837" w14:textId="77777777" w:rsidTr="00084525">
        <w:trPr>
          <w:cantSplit/>
          <w:trHeight w:val="60"/>
        </w:trPr>
        <w:tc>
          <w:tcPr>
            <w:tcW w:w="2835" w:type="dxa"/>
          </w:tcPr>
          <w:p w14:paraId="7D0076F8" w14:textId="77777777" w:rsidR="00514CC0" w:rsidRDefault="00E72B49">
            <w:pPr>
              <w:pStyle w:val="OWTablebodyleft"/>
            </w:pPr>
            <w:r>
              <w:t>Data source(s)</w:t>
            </w:r>
          </w:p>
        </w:tc>
        <w:tc>
          <w:tcPr>
            <w:tcW w:w="6236" w:type="dxa"/>
          </w:tcPr>
          <w:p w14:paraId="15E10201" w14:textId="77777777" w:rsidR="00514CC0" w:rsidRDefault="00E72B49">
            <w:pPr>
              <w:pStyle w:val="OWTablebodyleft"/>
            </w:pPr>
            <w:r>
              <w:t>National Community Attitudes towards Violence against Women Survey (NCAS) 2009, 2013 and 2017, Australia’s National Research Organisation for Women’s Safety (ANROWS)</w:t>
            </w:r>
          </w:p>
        </w:tc>
      </w:tr>
      <w:tr w:rsidR="00514CC0" w14:paraId="2D6E0DB2" w14:textId="77777777" w:rsidTr="00084525">
        <w:trPr>
          <w:cantSplit/>
          <w:trHeight w:val="60"/>
        </w:trPr>
        <w:tc>
          <w:tcPr>
            <w:tcW w:w="2835" w:type="dxa"/>
          </w:tcPr>
          <w:p w14:paraId="24404D9A" w14:textId="77777777" w:rsidR="00514CC0" w:rsidRDefault="00E72B49">
            <w:pPr>
              <w:pStyle w:val="OWTablebodyleft"/>
            </w:pPr>
            <w:r>
              <w:t>Change over time summary: short-term change revealed by the data</w:t>
            </w:r>
          </w:p>
        </w:tc>
        <w:tc>
          <w:tcPr>
            <w:tcW w:w="6236" w:type="dxa"/>
          </w:tcPr>
          <w:p w14:paraId="51EDDE18" w14:textId="701D899B" w:rsidR="00514CC0" w:rsidRDefault="00E72B49" w:rsidP="001C763C">
            <w:pPr>
              <w:pStyle w:val="OWTablebodyleft"/>
            </w:pPr>
            <w:r>
              <w:t xml:space="preserve">Only one question pertaining to attitudes to women’s independence and gender equality in public life has been asked in multiple waves of the NCAS. Results from this question show a considerable decline in the proportion of individuals </w:t>
            </w:r>
            <w:r w:rsidR="001C763C">
              <w:t>subs</w:t>
            </w:r>
            <w:r>
              <w:t>cribing to the notion that men are better suited to political leadership than women.</w:t>
            </w:r>
          </w:p>
        </w:tc>
      </w:tr>
      <w:tr w:rsidR="00514CC0" w14:paraId="502700FE" w14:textId="77777777" w:rsidTr="00084525">
        <w:trPr>
          <w:cantSplit/>
          <w:trHeight w:val="60"/>
        </w:trPr>
        <w:tc>
          <w:tcPr>
            <w:tcW w:w="2835" w:type="dxa"/>
          </w:tcPr>
          <w:p w14:paraId="72102A5F" w14:textId="77777777" w:rsidR="00514CC0" w:rsidRDefault="00E72B49">
            <w:pPr>
              <w:pStyle w:val="OWTablebodyleft"/>
            </w:pPr>
            <w:r>
              <w:lastRenderedPageBreak/>
              <w:t>Does the change confirm or run contrary to expected change?</w:t>
            </w:r>
          </w:p>
        </w:tc>
        <w:tc>
          <w:tcPr>
            <w:tcW w:w="6236" w:type="dxa"/>
          </w:tcPr>
          <w:p w14:paraId="71366E01" w14:textId="77777777" w:rsidR="00514CC0" w:rsidRDefault="00E72B49">
            <w:pPr>
              <w:pStyle w:val="OWTablebodyleft"/>
            </w:pPr>
            <w:r>
              <w:t>Confirms expected change.</w:t>
            </w:r>
          </w:p>
        </w:tc>
      </w:tr>
      <w:tr w:rsidR="00514CC0" w14:paraId="7D5831B4" w14:textId="77777777" w:rsidTr="00084525">
        <w:trPr>
          <w:cantSplit/>
          <w:trHeight w:val="60"/>
        </w:trPr>
        <w:tc>
          <w:tcPr>
            <w:tcW w:w="2835" w:type="dxa"/>
          </w:tcPr>
          <w:p w14:paraId="035DE805" w14:textId="77777777" w:rsidR="00514CC0" w:rsidRDefault="00E72B49">
            <w:pPr>
              <w:pStyle w:val="OWTablebodyleft"/>
            </w:pPr>
            <w:r>
              <w:t>Gaps in existing data</w:t>
            </w:r>
          </w:p>
        </w:tc>
        <w:tc>
          <w:tcPr>
            <w:tcW w:w="6236" w:type="dxa"/>
          </w:tcPr>
          <w:p w14:paraId="449AAFD4" w14:textId="77777777" w:rsidR="00514CC0" w:rsidRDefault="00E72B49">
            <w:pPr>
              <w:pStyle w:val="OWTablebodyleft"/>
            </w:pPr>
            <w:r>
              <w:t>We do not yet have sufficient data to assess change over time to attitudes about women’s independence in public life.</w:t>
            </w:r>
          </w:p>
        </w:tc>
      </w:tr>
    </w:tbl>
    <w:p w14:paraId="79BA8D0A" w14:textId="26D4948A" w:rsidR="00514CC0" w:rsidRDefault="00E72B49" w:rsidP="0024132F">
      <w:pPr>
        <w:pStyle w:val="OWBodytextlargespaceabove"/>
      </w:pPr>
      <w:r>
        <w:t>In the 2017 NCAS, there were four statements pertaining to attitudes undermining women’s independence and decision-making in public life. The overall average score for attitudes supporting gender equality in public life was relatively high, at 79 out of 100 – higher than the support for gender equality in intimate relationships or private life.</w:t>
      </w:r>
      <w:r w:rsidR="0024132F">
        <w:rPr>
          <w:rStyle w:val="EndnoteReference"/>
        </w:rPr>
        <w:endnoteReference w:id="344"/>
      </w:r>
      <w:r>
        <w:t xml:space="preserve"> However, it is worth taking a closer look at responses to the individual questions. Only 6% of Australians agreed with the statement that ‘Women are less capable than men of thinking logically’.</w:t>
      </w:r>
      <w:r w:rsidR="0024132F">
        <w:rPr>
          <w:rStyle w:val="EndnoteReference"/>
        </w:rPr>
        <w:endnoteReference w:id="345"/>
      </w:r>
    </w:p>
    <w:p w14:paraId="04C1AC7A" w14:textId="06EA595C" w:rsidR="00514CC0" w:rsidRDefault="00E72B49">
      <w:pPr>
        <w:pStyle w:val="BodyText"/>
      </w:pPr>
      <w:r>
        <w:t>However, the other statements elicited higher subscription to attitudes undermining women’s independence in public life. One in seven (14%) of Australians agreed that ‘In the workplace, men generally make more capable bosses than women.’</w:t>
      </w:r>
      <w:r w:rsidR="0024132F">
        <w:rPr>
          <w:rStyle w:val="EndnoteReference"/>
        </w:rPr>
        <w:endnoteReference w:id="346"/>
      </w:r>
      <w:r>
        <w:t xml:space="preserve"> One in ten (10%) agreed that ‘Men, rather than women, should hold positions of responsibility in the community.’</w:t>
      </w:r>
      <w:r w:rsidR="0024132F">
        <w:rPr>
          <w:rStyle w:val="EndnoteReference"/>
        </w:rPr>
        <w:endnoteReference w:id="347"/>
      </w:r>
      <w:r>
        <w:t xml:space="preserve"> A further one in seven (14%) agreed that ‘On the whole, men make better political leaders than women.’</w:t>
      </w:r>
      <w:r w:rsidR="0024132F">
        <w:rPr>
          <w:rStyle w:val="EndnoteReference"/>
        </w:rPr>
        <w:endnoteReference w:id="348"/>
      </w:r>
    </w:p>
    <w:p w14:paraId="150270E8" w14:textId="574EBB42" w:rsidR="00514CC0" w:rsidRDefault="00E72B49">
      <w:pPr>
        <w:pStyle w:val="BodyText"/>
      </w:pPr>
      <w:r>
        <w:t xml:space="preserve">This final statement was asked in the previous 2009 and 2013 NCAS waves. Hearteningly, there has been a significant decrease in the proportion of individuals </w:t>
      </w:r>
      <w:r w:rsidR="001C763C">
        <w:t>subs</w:t>
      </w:r>
      <w:r>
        <w:t xml:space="preserve">cribing to the notion that men are better suited to political leadership than women. In 2009, nearly one-quarter (23%) of Australians agreed with this notion; this increased to 27% in 2013. Between 2013 and 2017, there was a significant 13% decrease in agreement with this idea, down to 14% agreeing that men are preferable to women as political leaders (see Figure </w:t>
      </w:r>
      <w:r w:rsidR="00D162DF">
        <w:t>27</w:t>
      </w:r>
      <w:r>
        <w:t>, below).</w:t>
      </w:r>
    </w:p>
    <w:p w14:paraId="19B22AAF" w14:textId="1708ECCA" w:rsidR="00514CC0" w:rsidRDefault="00E72B49">
      <w:pPr>
        <w:pStyle w:val="OWFigurecaption"/>
      </w:pPr>
      <w:r>
        <w:t xml:space="preserve">Figure </w:t>
      </w:r>
      <w:r w:rsidR="00D162DF">
        <w:t>27</w:t>
      </w:r>
      <w:r>
        <w:t>: Proportion of Australians agreeing that men are better suited to political leadership than women</w:t>
      </w:r>
      <w:r w:rsidR="00914911" w:rsidRPr="00914911">
        <w:t>, 2009, 2013 and 2017</w:t>
      </w:r>
    </w:p>
    <w:p w14:paraId="631C2A1A" w14:textId="19F27171" w:rsidR="00514CC0" w:rsidRDefault="009338E6" w:rsidP="00BD2480">
      <w:pPr>
        <w:pStyle w:val="OWFigureinline"/>
      </w:pPr>
      <w:r>
        <w:rPr>
          <w:noProof/>
        </w:rPr>
        <w:drawing>
          <wp:inline distT="0" distB="0" distL="0" distR="0" wp14:anchorId="48EB3125" wp14:editId="5AEA497B">
            <wp:extent cx="5348289" cy="2986396"/>
            <wp:effectExtent l="0" t="0" r="5080" b="5080"/>
            <wp:docPr id="2123403617" name="Picture 77" descr="Line graph of the following data (proportion). 2009 – 23%; 2013 – 27%; 2017 –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03617" name="Picture 77" descr="Line graph of the following data (proportion). 2009 – 23%; 2013 – 27%; 2017 – 14%."/>
                    <pic:cNvPicPr/>
                  </pic:nvPicPr>
                  <pic:blipFill>
                    <a:blip r:embed="rId66">
                      <a:extLst>
                        <a:ext uri="{28A0092B-C50C-407E-A947-70E740481C1C}">
                          <a14:useLocalDpi xmlns:a14="http://schemas.microsoft.com/office/drawing/2010/main" val="0"/>
                        </a:ext>
                      </a:extLst>
                    </a:blip>
                    <a:stretch>
                      <a:fillRect/>
                    </a:stretch>
                  </pic:blipFill>
                  <pic:spPr>
                    <a:xfrm>
                      <a:off x="0" y="0"/>
                      <a:ext cx="5348289" cy="2986396"/>
                    </a:xfrm>
                    <a:prstGeom prst="rect">
                      <a:avLst/>
                    </a:prstGeom>
                  </pic:spPr>
                </pic:pic>
              </a:graphicData>
            </a:graphic>
          </wp:inline>
        </w:drawing>
      </w:r>
    </w:p>
    <w:p w14:paraId="4A881FEE" w14:textId="3FCAFC72" w:rsidR="00514CC0" w:rsidRDefault="00E72B49">
      <w:pPr>
        <w:pStyle w:val="OWFigurefootnote"/>
      </w:pPr>
      <w:r>
        <w:t>Source</w:t>
      </w:r>
      <w:r w:rsidR="0046236F">
        <w:t>s</w:t>
      </w:r>
      <w:r>
        <w:t xml:space="preserve">: NCAS 2009, </w:t>
      </w:r>
      <w:r w:rsidR="00693FAC">
        <w:t xml:space="preserve">NCAS </w:t>
      </w:r>
      <w:r>
        <w:t xml:space="preserve">2013 and </w:t>
      </w:r>
      <w:r w:rsidR="00693FAC">
        <w:t xml:space="preserve">NCAS </w:t>
      </w:r>
      <w:r>
        <w:t>2017</w:t>
      </w:r>
    </w:p>
    <w:p w14:paraId="633DCA4C" w14:textId="77777777" w:rsidR="00514CC0" w:rsidRDefault="00E72B49" w:rsidP="001A03A8">
      <w:pPr>
        <w:pStyle w:val="Heading3"/>
      </w:pPr>
      <w:bookmarkStart w:id="81" w:name="_Toc55053315"/>
      <w:r>
        <w:lastRenderedPageBreak/>
        <w:t>Gendered driver: Men’s control of decision</w:t>
      </w:r>
      <w:r w:rsidRPr="2481C3E7">
        <w:rPr>
          <w:rFonts w:ascii="Cambria Math" w:hAnsi="Cambria Math" w:cs="Cambria Math"/>
        </w:rPr>
        <w:t>‑</w:t>
      </w:r>
      <w:r>
        <w:t>making and limits to women’s independence in public life and relationships</w:t>
      </w:r>
      <w:bookmarkEnd w:id="81"/>
    </w:p>
    <w:p w14:paraId="5486A178" w14:textId="77777777" w:rsidR="00514CC0" w:rsidRDefault="00E72B49" w:rsidP="00D877F5">
      <w:pPr>
        <w:pStyle w:val="Heading4"/>
        <w:spacing w:before="200"/>
      </w:pPr>
      <w:r>
        <w:t>Monitoring domain 4: Men’s control of decision-making and limits to women’s independence in relationships and private life</w:t>
      </w:r>
    </w:p>
    <w:tbl>
      <w:tblPr>
        <w:tblStyle w:val="Indicatorlistingteal"/>
        <w:tblW w:w="9072" w:type="dxa"/>
        <w:tblLayout w:type="fixed"/>
        <w:tblLook w:val="0680" w:firstRow="0" w:lastRow="0" w:firstColumn="1" w:lastColumn="0" w:noHBand="1" w:noVBand="1"/>
      </w:tblPr>
      <w:tblGrid>
        <w:gridCol w:w="1701"/>
        <w:gridCol w:w="7371"/>
      </w:tblGrid>
      <w:tr w:rsidR="00514CC0" w14:paraId="5235A652" w14:textId="77777777" w:rsidTr="00084525">
        <w:trPr>
          <w:cantSplit/>
          <w:trHeight w:val="60"/>
        </w:trPr>
        <w:tc>
          <w:tcPr>
            <w:tcW w:w="1701" w:type="dxa"/>
          </w:tcPr>
          <w:p w14:paraId="4BED6CF5" w14:textId="77777777" w:rsidR="00514CC0" w:rsidRDefault="00E72B49">
            <w:pPr>
              <w:pStyle w:val="OWTablebodyleftwhite"/>
            </w:pPr>
            <w:r>
              <w:t>Indicator 4.1</w:t>
            </w:r>
          </w:p>
        </w:tc>
        <w:tc>
          <w:tcPr>
            <w:tcW w:w="7370" w:type="dxa"/>
          </w:tcPr>
          <w:p w14:paraId="6E79D036" w14:textId="77777777" w:rsidR="00514CC0" w:rsidRDefault="00E72B49">
            <w:pPr>
              <w:pStyle w:val="OWTablebodyleftwhite"/>
            </w:pPr>
            <w:r>
              <w:t>Percentage of women who report controlling behaviour in a relationship (men’s control over women)</w:t>
            </w:r>
          </w:p>
        </w:tc>
      </w:tr>
      <w:tr w:rsidR="00514CC0" w14:paraId="32BBB8B0" w14:textId="77777777" w:rsidTr="00084525">
        <w:trPr>
          <w:cantSplit/>
          <w:trHeight w:val="60"/>
        </w:trPr>
        <w:tc>
          <w:tcPr>
            <w:tcW w:w="1701" w:type="dxa"/>
          </w:tcPr>
          <w:p w14:paraId="6F3A779F" w14:textId="77777777" w:rsidR="00514CC0" w:rsidRDefault="00E72B49">
            <w:pPr>
              <w:pStyle w:val="OWTablebodyleftwhite"/>
            </w:pPr>
            <w:r>
              <w:t>Indicator 4.2</w:t>
            </w:r>
          </w:p>
        </w:tc>
        <w:tc>
          <w:tcPr>
            <w:tcW w:w="7370" w:type="dxa"/>
          </w:tcPr>
          <w:p w14:paraId="310BF4D1" w14:textId="77777777" w:rsidR="00514CC0" w:rsidRDefault="00E72B49">
            <w:pPr>
              <w:pStyle w:val="OWTablebodyleftwhite"/>
            </w:pPr>
            <w:r>
              <w:t>Attitudes associated with men’s control and women’s dependence and lack of decision-making power in private life</w:t>
            </w:r>
          </w:p>
        </w:tc>
      </w:tr>
    </w:tbl>
    <w:p w14:paraId="7E32FB70" w14:textId="36C2652C" w:rsidR="00514CC0" w:rsidRDefault="00E72B49" w:rsidP="00BD2480">
      <w:pPr>
        <w:pStyle w:val="OWBodytextlargespaceabove"/>
      </w:pPr>
      <w:r>
        <w:t>Male control and dominance is frequently represented through what have been called ‘heterosexual social scripts’ as a normal or inevitable part of sexual and romantic relationships with women, and is widely normalised in popular culture as well as learned in</w:t>
      </w:r>
      <w:r w:rsidR="00B55A90">
        <w:t> </w:t>
      </w:r>
      <w:r>
        <w:t>peer groups and the family.</w:t>
      </w:r>
      <w:r w:rsidR="0024132F">
        <w:rPr>
          <w:rStyle w:val="EndnoteReference"/>
        </w:rPr>
        <w:endnoteReference w:id="349"/>
      </w:r>
      <w:r>
        <w:t xml:space="preserve"> Particular norms, attitudes and practices associated with dominant forms of masculinity that men feel pressure to conform to and support, including autonomy, dominance and control, can be exhibited in men’s intimate relationships with women.</w:t>
      </w:r>
      <w:r w:rsidR="0024132F">
        <w:rPr>
          <w:rStyle w:val="EndnoteReference"/>
        </w:rPr>
        <w:endnoteReference w:id="350"/>
      </w:r>
    </w:p>
    <w:p w14:paraId="04E4EBFB" w14:textId="3290C630" w:rsidR="00514CC0" w:rsidRDefault="00E72B49">
      <w:pPr>
        <w:pStyle w:val="BodyText"/>
      </w:pPr>
      <w:r>
        <w:t xml:space="preserve">As discussed in </w:t>
      </w:r>
      <w:r w:rsidRPr="003E209A">
        <w:rPr>
          <w:rStyle w:val="Emphasis"/>
        </w:rPr>
        <w:t xml:space="preserve">Men in focus: An evidence review </w:t>
      </w:r>
      <w:r>
        <w:t>(2019), norms associated with dominant forms of masculinity centre on autonomy: the expectation that men should be independent and self-sufficient in all aspects of their lives. In particular, research has focused on the expectations for men to be financially independent and to provide for and protect their partners and families.</w:t>
      </w:r>
      <w:r w:rsidR="0024132F">
        <w:rPr>
          <w:rStyle w:val="EndnoteReference"/>
        </w:rPr>
        <w:endnoteReference w:id="351"/>
      </w:r>
      <w:r>
        <w:t xml:space="preserve"> Importantly, some studies suggest that this expectation to be the breadwinner sets up an inequitable partnership, where men are in control and take charge and women are expected to take a supportive, passive role.</w:t>
      </w:r>
      <w:r w:rsidR="007939BE">
        <w:rPr>
          <w:rStyle w:val="EndnoteReference"/>
        </w:rPr>
        <w:endnoteReference w:id="352"/>
      </w:r>
      <w:r>
        <w:t xml:space="preserve"> More broadly, men are expected to lead and influence rather than follow. As Dahl et al. note, this emphasis on the male role as being an autonomous protector and provider is underpinned by the notion that men are better leaders and should have control and power over their affairs with others, especially women.</w:t>
      </w:r>
      <w:r w:rsidR="007939BE">
        <w:rPr>
          <w:rStyle w:val="EndnoteReference"/>
        </w:rPr>
        <w:endnoteReference w:id="353"/>
      </w:r>
      <w:r>
        <w:t xml:space="preserve"> There is, then, a great deal of overlap between this domain and Monitoring domain 2: Rigid gender roles and stereotyped constructions of masculinity and</w:t>
      </w:r>
      <w:r w:rsidR="00B55A90">
        <w:t> </w:t>
      </w:r>
      <w:r>
        <w:t>femininity.</w:t>
      </w:r>
    </w:p>
    <w:p w14:paraId="5D3DAC10" w14:textId="3845C836" w:rsidR="00514CC0" w:rsidRDefault="00E72B49">
      <w:pPr>
        <w:pStyle w:val="BodyText"/>
      </w:pPr>
      <w:r>
        <w:t>Men limiting or controlling women’s social and financial independence in relationships directly undermines women’s independence and decision-making, and increases the probability of violence against women.</w:t>
      </w:r>
      <w:r w:rsidR="00107897">
        <w:rPr>
          <w:rStyle w:val="EndnoteReference"/>
        </w:rPr>
        <w:endnoteReference w:id="354"/>
      </w:r>
      <w:r>
        <w:t xml:space="preserve"> Violence is more common in families and relationships in which men control decision-making and less so in relationships in which women have a greater level of independence.</w:t>
      </w:r>
      <w:r w:rsidR="00107897">
        <w:rPr>
          <w:rStyle w:val="EndnoteReference"/>
        </w:rPr>
        <w:endnoteReference w:id="355"/>
      </w:r>
      <w:r>
        <w:t xml:space="preserve"> Recent research has found direct links between these controlling behaviours and violence against women. A review of studies conducted between 2000 and 2015 showed that, overall, masculine norms and behaviours involving dominance and control were associated with higher levels of intimate partner violence.</w:t>
      </w:r>
      <w:r w:rsidR="00107897">
        <w:rPr>
          <w:rStyle w:val="EndnoteReference"/>
        </w:rPr>
        <w:endnoteReference w:id="356"/>
      </w:r>
      <w:r>
        <w:t xml:space="preserve"> In a study of male perpetrators, it was shown that the expectations and pressures on men to be in control meant that violence was often employed as a means of</w:t>
      </w:r>
      <w:r w:rsidR="00B55A90">
        <w:t> </w:t>
      </w:r>
      <w:r>
        <w:t>achieving control in their intimate relationships.</w:t>
      </w:r>
      <w:r w:rsidR="00107897">
        <w:rPr>
          <w:rStyle w:val="EndnoteReference"/>
        </w:rPr>
        <w:endnoteReference w:id="357"/>
      </w:r>
    </w:p>
    <w:p w14:paraId="21FEBE47" w14:textId="77318359" w:rsidR="00514CC0" w:rsidRDefault="00E72B49">
      <w:pPr>
        <w:pStyle w:val="BodyText"/>
      </w:pPr>
      <w:r>
        <w:lastRenderedPageBreak/>
        <w:t>Isolating women from support networks of family and friends is a recognised form of controlling behaviour and psychological abuse. Women, especially those with responsibility for children, may find it difficult to leave violent relationships if they are economically dependent on men,</w:t>
      </w:r>
      <w:r w:rsidR="00140E9D">
        <w:rPr>
          <w:rStyle w:val="EndnoteReference"/>
        </w:rPr>
        <w:endnoteReference w:id="358"/>
      </w:r>
      <w:r>
        <w:t xml:space="preserve"> and if they are socially isolated from other family members, independent friendships and support networks that would provide emotional, financial and</w:t>
      </w:r>
      <w:r w:rsidR="00B55A90">
        <w:t> </w:t>
      </w:r>
      <w:r>
        <w:t>logistical support.</w:t>
      </w:r>
    </w:p>
    <w:p w14:paraId="44D662D0" w14:textId="3B97C354" w:rsidR="00514CC0" w:rsidRDefault="00E72B49">
      <w:pPr>
        <w:pStyle w:val="BodyText"/>
      </w:pPr>
      <w:r>
        <w:t>It is critical to note that certain behaviours associated with male control and dominance in relationships with women in themselves constitute forms of violence. Often less recognised than physical or sexual violence, they include financial, emotional, psychological, social or</w:t>
      </w:r>
      <w:r w:rsidR="00B55A90">
        <w:t> </w:t>
      </w:r>
      <w:r>
        <w:t>technologically facilitated abuse, stalking, and reproductive coercion. These can be experienced as just as harmful in their impacts as physical violence. As such, this domain should be read alongside the partner violence prevalence data outlined in Monitoring domain 11 of this report (Prevalence of violence against women), which includes some of the same data from the ‘emotional abuse’ module of the Personal Safety Survey (PSS).</w:t>
      </w:r>
    </w:p>
    <w:p w14:paraId="6F99A82A" w14:textId="3C2803E3" w:rsidR="00514CC0" w:rsidRDefault="00E72B49">
      <w:pPr>
        <w:pStyle w:val="BodyText"/>
      </w:pPr>
      <w:r>
        <w:t xml:space="preserve">Men’s sense of social or legal impunity to enact controlling behaviours against female partners is further reinforced where there are other axes of power and privilege within the relationship (such as those associated with race, class, ability for example), because the broader cultural environment is less likely to recognise and validate the experiences of </w:t>
      </w:r>
      <w:r w:rsidR="008559B0" w:rsidRPr="008559B0">
        <w:t>women who are subjected to</w:t>
      </w:r>
      <w:r>
        <w:t xml:space="preserve"> multiple, intersecting forms of discrimination. Intersecting forms of disadvantage experienced by women may also reinforce dependence on male partners and be exploited for control by those partners. For example, recent Australian research shows that recently migrated and refugee women are particularly susceptible to certain forms of intimate partner control such as financial abuse, immigration status–related violence and reproductive coercion. This is due to the intersection between male partners’ attitudes and exertions of power and structural forms of disadvantage such as insecurity within official migration systems, social isolation, barriers to accessing services, and economic adversity.</w:t>
      </w:r>
      <w:r w:rsidR="00140E9D">
        <w:rPr>
          <w:rStyle w:val="EndnoteReference"/>
        </w:rPr>
        <w:endnoteReference w:id="359"/>
      </w:r>
    </w:p>
    <w:p w14:paraId="74D554F5" w14:textId="4B960E85" w:rsidR="00514CC0" w:rsidRDefault="00E72B49">
      <w:pPr>
        <w:pStyle w:val="BodyText"/>
      </w:pPr>
      <w:r>
        <w:t xml:space="preserve">Moreover, as noted in </w:t>
      </w:r>
      <w:r w:rsidRPr="003E209A">
        <w:rPr>
          <w:rStyle w:val="Emphasis"/>
        </w:rPr>
        <w:t>Men in focus</w:t>
      </w:r>
      <w:r>
        <w:t>, some research demonstrates that when men find it difficult to attain ideals of manhood such as being the breadwinner, possibly because they experience other structural forms of disadvantage, there is a higher likelihood they may use violence against their partners to reassert their masculinity and dominance.</w:t>
      </w:r>
      <w:r w:rsidR="00140E9D">
        <w:rPr>
          <w:rStyle w:val="EndnoteReference"/>
        </w:rPr>
        <w:endnoteReference w:id="360"/>
      </w:r>
      <w:r>
        <w:t xml:space="preserve"> Conversely however, recent research on Australian domestic violence offenders shows that non-physical forms of violence, including controlling behaviours, are more common among men </w:t>
      </w:r>
      <w:r w:rsidR="00FF15CE">
        <w:t xml:space="preserve">with forms of socioeconomic </w:t>
      </w:r>
      <w:r>
        <w:t>privilege, particularly higher education status and well-paid employment.</w:t>
      </w:r>
      <w:r w:rsidR="00140E9D">
        <w:rPr>
          <w:rStyle w:val="EndnoteReference"/>
        </w:rPr>
        <w:endnoteReference w:id="361"/>
      </w:r>
    </w:p>
    <w:p w14:paraId="37292507" w14:textId="0CDD96CF" w:rsidR="00514CC0" w:rsidRDefault="00E72B49">
      <w:pPr>
        <w:pStyle w:val="BodyText"/>
      </w:pPr>
      <w:r>
        <w:t>It is also important to note that patterns of male partner control and dominance of female partners are not necessarily limited to the period of a relationship. Control, dominance and violence by male former or ex-partners to female ex-partners is also a common pattern. The</w:t>
      </w:r>
      <w:r w:rsidR="00B55A90">
        <w:t> </w:t>
      </w:r>
      <w:r>
        <w:t>PSS, for example, includes data on current and former partners, which is included within this report.</w:t>
      </w:r>
    </w:p>
    <w:p w14:paraId="407E5848" w14:textId="0E17E0CC" w:rsidR="00514CC0" w:rsidRDefault="00E72B49">
      <w:pPr>
        <w:pStyle w:val="BodyText"/>
      </w:pPr>
      <w:r>
        <w:t>The significance of male coercive control towards women in relationships cannot be understated. Controlling behaviours exhibited by male partners towards female partners are often found in co-existence with physical forms of violence. A review of Australian coronial homicide data from 2010 to 2014 shows that emotional abuse is the most common form of</w:t>
      </w:r>
      <w:r w:rsidR="00B55A90">
        <w:t> </w:t>
      </w:r>
      <w:r>
        <w:t xml:space="preserve">abuse prior to intimate partner homicide (present in 80% of cases), and controlling </w:t>
      </w:r>
      <w:r>
        <w:lastRenderedPageBreak/>
        <w:t>behaviours the third most common form (present in 61% of cases), as known through official</w:t>
      </w:r>
      <w:r w:rsidR="00B55A90">
        <w:t> </w:t>
      </w:r>
      <w:r>
        <w:t>records of domestic violence.</w:t>
      </w:r>
      <w:r w:rsidR="0071337A">
        <w:rPr>
          <w:rStyle w:val="EndnoteReference"/>
        </w:rPr>
        <w:endnoteReference w:id="362"/>
      </w:r>
      <w:r>
        <w:t xml:space="preserve"> That is, there is a strong association between controlling behaviours and emotional abuse, and partner homicide. Further, men who adhere to notions of masculinity that involve male control and dominance of women in relationships are also more likely to sexually assault women outside the family and relationship context.</w:t>
      </w:r>
      <w:r w:rsidR="0071337A">
        <w:rPr>
          <w:rStyle w:val="EndnoteReference"/>
        </w:rPr>
        <w:endnoteReference w:id="363"/>
      </w:r>
    </w:p>
    <w:p w14:paraId="4A0D9AB9" w14:textId="77777777" w:rsidR="00514CC0" w:rsidRDefault="00E72B49">
      <w:pPr>
        <w:pStyle w:val="BodyText"/>
      </w:pPr>
      <w:r>
        <w:t xml:space="preserve">In </w:t>
      </w:r>
      <w:r w:rsidRPr="003E209A">
        <w:rPr>
          <w:rStyle w:val="Emphasis"/>
        </w:rPr>
        <w:t xml:space="preserve">Counting on change </w:t>
      </w:r>
      <w:r>
        <w:t>(2018), a single proxy indicator was identified for this domain, focusing on women’s reporting of controlling behaviour enacted by male current or former partners. Based on available data and our growing understanding of the norms of dominant forms of masculinity associated with men’s control and limits to women’s independence in relationships, a further indicator has been added about attitudes regarding men’s control of intimate relationships with women.</w:t>
      </w:r>
    </w:p>
    <w:p w14:paraId="06F57983" w14:textId="511D2F5A" w:rsidR="00514CC0" w:rsidRDefault="00E72B49" w:rsidP="00F868FE">
      <w:pPr>
        <w:pStyle w:val="Heading5"/>
      </w:pPr>
      <w:r>
        <w:t>Challenging men’s control and promoting women’s independence</w:t>
      </w:r>
      <w:r w:rsidR="00D458B0">
        <w:t xml:space="preserve"> </w:t>
      </w:r>
      <w:r>
        <w:t>and decision-making in relationships and private life: Summary of change over time</w:t>
      </w:r>
    </w:p>
    <w:p w14:paraId="124342F3" w14:textId="77777777" w:rsidR="00514CC0" w:rsidRDefault="00E72B49">
      <w:pPr>
        <w:pStyle w:val="BodyText"/>
      </w:pPr>
      <w:r>
        <w:t>The data in this domain reveals only small improvements in community attitudes regarding male control in relationships, and an apparent increase in women’s actual experiences of male control in relationships.</w:t>
      </w:r>
    </w:p>
    <w:p w14:paraId="396C2C22" w14:textId="50FF50E9" w:rsidR="00514CC0" w:rsidRDefault="00E72B49">
      <w:pPr>
        <w:pStyle w:val="BodyText"/>
      </w:pPr>
      <w:r>
        <w:t>At the attitudinal level, between the 2009 and 2017 waves of the National Community Attitudes towards Violence against Women Survey (NCAS), there was a small decrease in the</w:t>
      </w:r>
      <w:r w:rsidR="00B55A90">
        <w:t> </w:t>
      </w:r>
      <w:r>
        <w:t>proportion of Australians who believe that men should take control in relationships with women, and that women preference male control in relationships. At the same time, the proportion of men in particular who agreed with these statements remains high, with a third</w:t>
      </w:r>
      <w:r w:rsidR="00B55A90">
        <w:t> </w:t>
      </w:r>
      <w:r>
        <w:t>of men in 2017 agreeing that ‘Women prefer a man to be in charge of the relationship’ (32% compared with 19% of women).</w:t>
      </w:r>
    </w:p>
    <w:p w14:paraId="05E5F59D" w14:textId="330622B4" w:rsidR="00514CC0" w:rsidRDefault="00E72B49">
      <w:pPr>
        <w:pStyle w:val="BodyText"/>
      </w:pPr>
      <w:r>
        <w:t>In terms of prevalence, between the 2012 and 2016 waves of the PSS, there has been consistency in the proportion of women (approximately 1 in 20) reporting 12-month experiences of partner emotional abuse (which covers a wide array of controlling behaviours). Moreover, this data should be read alongside</w:t>
      </w:r>
      <w:r w:rsidR="0044154C">
        <w:t xml:space="preserve"> Section 2 Part B</w:t>
      </w:r>
      <w:r>
        <w:t>, which</w:t>
      </w:r>
      <w:r w:rsidR="00B55A90">
        <w:t> </w:t>
      </w:r>
      <w:r>
        <w:t>shows that the prevalence of (multiple forms of) partner violence against women remained high and reasonably consistent over the time period under consideration.</w:t>
      </w:r>
    </w:p>
    <w:p w14:paraId="620C32AB" w14:textId="1BE72CC6" w:rsidR="00514CC0" w:rsidRDefault="00E72B49">
      <w:pPr>
        <w:pStyle w:val="BodyText"/>
      </w:pPr>
      <w:r>
        <w:t>As noted at Indicator 3.10, more positive attitudinal change has been realised in relation to women’s engagement in public life. However, results from successive waves of the NCAS suggest that Australians are less likely to attitudinally subscribe to gender equality in relation to intimate/private (male/female) relationships than they are to support gender equality in public life. Coupled with other indicators of inequality in private life outlined in Domains 2 and 3 (unequal division of unpaid labour, unequal superannuation and retirement income, rigid and stereotypical notions of sexuality and gender roles), these attitudes show that gender inequality in private life has a persistent hold in contemporary Australia. While insights from population-representative datasets are very limited with regard to the differentiated experiences of women, additional datasets drawn upon in this domain suggest</w:t>
      </w:r>
      <w:r w:rsidR="00B55A90">
        <w:t> </w:t>
      </w:r>
      <w:r>
        <w:t>that the impacts of rigid gender roles and stereotyped constructions of gender are</w:t>
      </w:r>
      <w:r w:rsidR="00B55A90">
        <w:t> </w:t>
      </w:r>
      <w:r>
        <w:t>particularly significant, and take on particular expressions, for women who experience intersecting forms of discrimination.</w:t>
      </w:r>
    </w:p>
    <w:p w14:paraId="0900B187" w14:textId="44B98970" w:rsidR="00514CC0" w:rsidRDefault="00E72B49" w:rsidP="00D877F5">
      <w:pPr>
        <w:pStyle w:val="OWBodytextlargespacebelow"/>
      </w:pPr>
      <w:r>
        <w:lastRenderedPageBreak/>
        <w:t xml:space="preserve">The effects of gender inequality in private life are grave. Not only does male control over women in intimate relationships restrict women’s independence in public life, but (as this section and </w:t>
      </w:r>
      <w:r w:rsidR="0044154C">
        <w:t>Section 2 Part B</w:t>
      </w:r>
      <w:r>
        <w:t xml:space="preserve"> of this report show) it reflects and drives physical and non-physical forms of partner violence.</w:t>
      </w:r>
    </w:p>
    <w:tbl>
      <w:tblPr>
        <w:tblStyle w:val="Casestudyteal"/>
        <w:tblW w:w="0" w:type="auto"/>
        <w:tblLayout w:type="fixed"/>
        <w:tblLook w:val="0620" w:firstRow="1" w:lastRow="0" w:firstColumn="0" w:lastColumn="0" w:noHBand="1" w:noVBand="1"/>
      </w:tblPr>
      <w:tblGrid>
        <w:gridCol w:w="9071"/>
      </w:tblGrid>
      <w:tr w:rsidR="00514CC0" w14:paraId="7AB4C53B" w14:textId="77777777" w:rsidTr="00F0324E">
        <w:trPr>
          <w:cnfStyle w:val="100000000000" w:firstRow="1" w:lastRow="0" w:firstColumn="0" w:lastColumn="0" w:oddVBand="0" w:evenVBand="0" w:oddHBand="0" w:evenHBand="0" w:firstRowFirstColumn="0" w:firstRowLastColumn="0" w:lastRowFirstColumn="0" w:lastRowLastColumn="0"/>
          <w:trHeight w:val="60"/>
        </w:trPr>
        <w:tc>
          <w:tcPr>
            <w:tcW w:w="9071" w:type="dxa"/>
          </w:tcPr>
          <w:p w14:paraId="7AA72EA1" w14:textId="4F2A295E" w:rsidR="00514CC0" w:rsidRPr="00BD2480" w:rsidRDefault="00E72B49">
            <w:pPr>
              <w:pStyle w:val="OWBoxheading"/>
            </w:pPr>
            <w:r w:rsidRPr="00BD2480">
              <w:t>What don’t we know about men’s control of decision-making and limits to women’s</w:t>
            </w:r>
            <w:r w:rsidR="00B55A90">
              <w:t> </w:t>
            </w:r>
            <w:r w:rsidRPr="00BD2480">
              <w:t>independence in relationships? Data gaps and recommendations</w:t>
            </w:r>
          </w:p>
        </w:tc>
      </w:tr>
      <w:tr w:rsidR="00514CC0" w14:paraId="5E6A6976" w14:textId="77777777" w:rsidTr="00F0324E">
        <w:trPr>
          <w:trHeight w:val="60"/>
        </w:trPr>
        <w:tc>
          <w:tcPr>
            <w:tcW w:w="9071" w:type="dxa"/>
          </w:tcPr>
          <w:p w14:paraId="03FF5442" w14:textId="598E8E8F" w:rsidR="00514CC0" w:rsidRDefault="00E72B49">
            <w:pPr>
              <w:pStyle w:val="OWTablebodyleft"/>
            </w:pPr>
            <w:r>
              <w:t>There is a great deal we do not know about men’s control of decision-making and limits to women’s independence in intimate relationships on the basis of existing quantitative data. There is a lack of data on the dynamics of household or family decision-making between partners (or ex-partners). There is also an absence of publicly available data on controlling behaviours in relationships other than cisgender female–male partnerships, and data disaggregated below whole-of-population level. As such, current population-level quantitative data sources cannot not tell us, for example, if and how experiences of partner emotional abuse differ for women who experience intersecting forms of structural inequality, compared to other women. For</w:t>
            </w:r>
            <w:r w:rsidR="00B55A90">
              <w:t> </w:t>
            </w:r>
            <w:r>
              <w:t>example, no quantitative data currently exists on women with disability or Aboriginal and Torres Strait Islander women’s experiences of emotional abuse or</w:t>
            </w:r>
            <w:r w:rsidR="00C01D7C">
              <w:t xml:space="preserve"> </w:t>
            </w:r>
            <w:r w:rsidR="00B55A90">
              <w:br/>
            </w:r>
            <w:r>
              <w:t>non-physical forms of violence in relationships. However, research suggests other forms of structural disadvantage and inequality intersect with gender inequality to specifically shape the nature of partner control experienced by certain groups of women.</w:t>
            </w:r>
          </w:p>
          <w:p w14:paraId="75502A23" w14:textId="77777777" w:rsidR="00514CC0" w:rsidRDefault="00E72B49">
            <w:pPr>
              <w:pStyle w:val="OWTablebodyleft"/>
            </w:pPr>
            <w:r>
              <w:t>Moreover, datasets such as the Personal Safety Survey currently only measure partner controlling behaviours where partners have been or are living together (cohabiting partners), rather between intimate partners who have not lived together. This precludes many intimate relationships, including dating relationships between many young people. Finally, current datasets focus only on certain forms of controlling behaviour or non-physical forms of violence – they are not entirely comprehensive.</w:t>
            </w:r>
          </w:p>
          <w:p w14:paraId="1F6D6978" w14:textId="52EC7566" w:rsidR="00514CC0" w:rsidRDefault="00E72B49">
            <w:pPr>
              <w:pStyle w:val="OWTablebodyleft"/>
            </w:pPr>
            <w:r>
              <w:t>There is a significant opportunity to improve and further develop national data that</w:t>
            </w:r>
            <w:r w:rsidR="00B55A90">
              <w:t> </w:t>
            </w:r>
            <w:r>
              <w:t>could help measure men’s control of decision-making and limits to women’s independence in private lives. Data developments could include:</w:t>
            </w:r>
          </w:p>
          <w:p w14:paraId="4373D1AC" w14:textId="2F6014AE" w:rsidR="00514CC0" w:rsidRDefault="00E72B49">
            <w:pPr>
              <w:pStyle w:val="OWTablebullet1"/>
            </w:pPr>
            <w:r>
              <w:t>Additional questions on decision-making dynamics and controlling and coercive behaviours in existing surveys (such as the Household Income and Labour Dynamics Australia survey, the Personal Safety Survey, the National Aboriginal and</w:t>
            </w:r>
            <w:r w:rsidR="00B55A90">
              <w:t> </w:t>
            </w:r>
            <w:r>
              <w:t>Torres Strait Islander Health Survey and National Aboriginal and Torres Strait</w:t>
            </w:r>
            <w:r w:rsidR="00B55A90">
              <w:t> </w:t>
            </w:r>
            <w:r>
              <w:t>Islander Social Survey). For example, Marie Stopes Australia (2018) has recommended the inclusion of questions about reproductive coercion in the Personal Safety Survey.</w:t>
            </w:r>
          </w:p>
          <w:p w14:paraId="19F81C82" w14:textId="50B1F023" w:rsidR="00514CC0" w:rsidRDefault="00E72B49" w:rsidP="00D877F5">
            <w:pPr>
              <w:pStyle w:val="OWTablebullet1"/>
            </w:pPr>
            <w:r>
              <w:t>Improved ability to disaggregate other datasets such as the Personal Safety Survey (specifically in terms of the emotional abuse module).</w:t>
            </w:r>
          </w:p>
        </w:tc>
      </w:tr>
      <w:tr w:rsidR="00D877F5" w14:paraId="777B1D56" w14:textId="77777777" w:rsidTr="00F0324E">
        <w:trPr>
          <w:trHeight w:val="60"/>
        </w:trPr>
        <w:tc>
          <w:tcPr>
            <w:tcW w:w="9071" w:type="dxa"/>
          </w:tcPr>
          <w:p w14:paraId="4284B0B0" w14:textId="73139394" w:rsidR="00D877F5" w:rsidRDefault="00D877F5" w:rsidP="00D877F5">
            <w:pPr>
              <w:pStyle w:val="OWTablebodyleft"/>
              <w:spacing w:before="360"/>
            </w:pPr>
            <w:r>
              <w:lastRenderedPageBreak/>
              <w:t>Resourcing more specific repeated studies, e.g. exploring violence and decision-making control between partners experienced by certain sub-population groups (such as LGBTIQ communities, women with disability, or young people), and surveys which focus on specific forms of controlling and coercive behaviour (e.g. reproductive coercion).</w:t>
            </w:r>
          </w:p>
        </w:tc>
      </w:tr>
    </w:tbl>
    <w:p w14:paraId="08C824AB" w14:textId="77777777" w:rsidR="00514CC0" w:rsidRDefault="00E72B49" w:rsidP="00E1549C">
      <w:pPr>
        <w:pStyle w:val="Heading4"/>
      </w:pPr>
      <w:r>
        <w:t>Indicator 4.1: Percentage of women who report controlling behaviour in a relationship (men’s control over women)</w:t>
      </w:r>
    </w:p>
    <w:tbl>
      <w:tblPr>
        <w:tblStyle w:val="Indicatoroutlineteal"/>
        <w:tblW w:w="9072" w:type="dxa"/>
        <w:tblLayout w:type="fixed"/>
        <w:tblLook w:val="0680" w:firstRow="0" w:lastRow="0" w:firstColumn="1" w:lastColumn="0" w:noHBand="1" w:noVBand="1"/>
      </w:tblPr>
      <w:tblGrid>
        <w:gridCol w:w="2835"/>
        <w:gridCol w:w="6237"/>
      </w:tblGrid>
      <w:tr w:rsidR="00514CC0" w14:paraId="71779A36" w14:textId="77777777" w:rsidTr="00F0324E">
        <w:trPr>
          <w:cantSplit/>
          <w:trHeight w:val="60"/>
        </w:trPr>
        <w:tc>
          <w:tcPr>
            <w:tcW w:w="2835" w:type="dxa"/>
          </w:tcPr>
          <w:p w14:paraId="01335911" w14:textId="77777777" w:rsidR="00514CC0" w:rsidRDefault="00E72B49">
            <w:pPr>
              <w:pStyle w:val="OWTablebodyleft"/>
            </w:pPr>
            <w:r>
              <w:t>What does this indicator tell us about Monitoring domain 4: Men’s control of decision-making and limits to women’s independence in relationships and private life?</w:t>
            </w:r>
          </w:p>
        </w:tc>
        <w:tc>
          <w:tcPr>
            <w:tcW w:w="6236" w:type="dxa"/>
          </w:tcPr>
          <w:p w14:paraId="29EC8358" w14:textId="77777777" w:rsidR="00514CC0" w:rsidRDefault="00E72B49">
            <w:pPr>
              <w:pStyle w:val="OWTablebodyleft"/>
            </w:pPr>
            <w:r>
              <w:t>This indicator looks at what women themselves are reporting via survey instruments about experiencing controlling behaviour from an intimate partner (current or former). Change to the proportion of women who report controlling behaviour by a partner is measured.</w:t>
            </w:r>
          </w:p>
        </w:tc>
      </w:tr>
      <w:tr w:rsidR="00514CC0" w14:paraId="782D244A" w14:textId="77777777" w:rsidTr="00F0324E">
        <w:trPr>
          <w:cantSplit/>
          <w:trHeight w:val="60"/>
        </w:trPr>
        <w:tc>
          <w:tcPr>
            <w:tcW w:w="2835" w:type="dxa"/>
          </w:tcPr>
          <w:p w14:paraId="14640DC2" w14:textId="77777777" w:rsidR="00514CC0" w:rsidRDefault="00E72B49">
            <w:pPr>
              <w:pStyle w:val="OWTablebodyleft"/>
            </w:pPr>
            <w:r>
              <w:t>Expected change if high-quality programs and infrastructure for prevention of violence against women and gender equality are implemented</w:t>
            </w:r>
          </w:p>
        </w:tc>
        <w:tc>
          <w:tcPr>
            <w:tcW w:w="6236" w:type="dxa"/>
          </w:tcPr>
          <w:p w14:paraId="5D707835" w14:textId="77777777" w:rsidR="00514CC0" w:rsidRDefault="00E72B49">
            <w:pPr>
              <w:pStyle w:val="OWTablebodyleft"/>
            </w:pPr>
            <w:r>
              <w:t>Short- and medium-term: increased rates of women reporting controlling behaviour in relationships as it becomes more socially acceptable to report such behaviour.</w:t>
            </w:r>
          </w:p>
          <w:p w14:paraId="3EC073F4" w14:textId="77777777" w:rsidR="00514CC0" w:rsidRDefault="00E72B49">
            <w:pPr>
              <w:pStyle w:val="OWTablebodyleft"/>
            </w:pPr>
            <w:r>
              <w:t>Long-term: these rates plateau.</w:t>
            </w:r>
          </w:p>
        </w:tc>
      </w:tr>
      <w:tr w:rsidR="00514CC0" w14:paraId="5AB422A3" w14:textId="77777777" w:rsidTr="00F0324E">
        <w:trPr>
          <w:cantSplit/>
          <w:trHeight w:val="60"/>
        </w:trPr>
        <w:tc>
          <w:tcPr>
            <w:tcW w:w="2835" w:type="dxa"/>
          </w:tcPr>
          <w:p w14:paraId="76D6241D" w14:textId="77777777" w:rsidR="00514CC0" w:rsidRDefault="00E72B49">
            <w:pPr>
              <w:pStyle w:val="OWTablebodyleft"/>
            </w:pPr>
            <w:r>
              <w:t>Data source(s)</w:t>
            </w:r>
          </w:p>
        </w:tc>
        <w:tc>
          <w:tcPr>
            <w:tcW w:w="6236" w:type="dxa"/>
          </w:tcPr>
          <w:p w14:paraId="103468D8" w14:textId="77777777" w:rsidR="00514CC0" w:rsidRDefault="00E72B49" w:rsidP="002C2EC7">
            <w:pPr>
              <w:pStyle w:val="OWTablenumberdigit"/>
              <w:numPr>
                <w:ilvl w:val="0"/>
                <w:numId w:val="32"/>
              </w:numPr>
            </w:pPr>
            <w:r>
              <w:t>Personal Safety Survey (PSS) 2012 and 2016, ABS</w:t>
            </w:r>
          </w:p>
          <w:p w14:paraId="45A6E722" w14:textId="107DEE81" w:rsidR="00514CC0" w:rsidRDefault="00E72B49">
            <w:pPr>
              <w:pStyle w:val="OWTablenumberdigit"/>
            </w:pPr>
            <w:r>
              <w:t>National Survey of Secondary Students and Sexual Health 2008 and 2018, Australian Research Centre in Sex, Health and Society (ARCSHS)</w:t>
            </w:r>
            <w:r w:rsidR="0071337A">
              <w:rPr>
                <w:rStyle w:val="EndnoteReference"/>
              </w:rPr>
              <w:endnoteReference w:id="364"/>
            </w:r>
          </w:p>
          <w:p w14:paraId="2EFDD3D3" w14:textId="46414F10" w:rsidR="00514CC0" w:rsidRDefault="00E72B49">
            <w:pPr>
              <w:pStyle w:val="OWTablenumberdigit"/>
            </w:pPr>
            <w:r>
              <w:t>First and Second Australian Studies of Health and Relationships 2002 and 2013, UNSW, The University of Sydney, University of Sussex, La Trobe University</w:t>
            </w:r>
            <w:r w:rsidR="0071337A">
              <w:rPr>
                <w:rStyle w:val="EndnoteReference"/>
              </w:rPr>
              <w:endnoteReference w:id="365"/>
            </w:r>
          </w:p>
        </w:tc>
      </w:tr>
      <w:tr w:rsidR="00514CC0" w14:paraId="56DE0209" w14:textId="77777777" w:rsidTr="00F0324E">
        <w:trPr>
          <w:cantSplit/>
          <w:trHeight w:val="60"/>
        </w:trPr>
        <w:tc>
          <w:tcPr>
            <w:tcW w:w="2835" w:type="dxa"/>
          </w:tcPr>
          <w:p w14:paraId="4BA1B103" w14:textId="77777777" w:rsidR="00514CC0" w:rsidRDefault="00E72B49">
            <w:pPr>
              <w:pStyle w:val="OWTablebodyleft"/>
            </w:pPr>
            <w:r>
              <w:lastRenderedPageBreak/>
              <w:t>Change over time summary: short-term change revealed by the data</w:t>
            </w:r>
          </w:p>
        </w:tc>
        <w:tc>
          <w:tcPr>
            <w:tcW w:w="6236" w:type="dxa"/>
          </w:tcPr>
          <w:p w14:paraId="1510AC37" w14:textId="77777777" w:rsidR="00514CC0" w:rsidRPr="003E209A" w:rsidRDefault="00E72B49">
            <w:pPr>
              <w:pStyle w:val="OWTablebodyleft"/>
              <w:rPr>
                <w:rStyle w:val="Emphasis"/>
              </w:rPr>
            </w:pPr>
            <w:r w:rsidRPr="003E209A">
              <w:rPr>
                <w:rStyle w:val="Emphasis"/>
              </w:rPr>
              <w:t>Emotional abuse:</w:t>
            </w:r>
          </w:p>
          <w:p w14:paraId="3BAB7194" w14:textId="79112B16" w:rsidR="00514CC0" w:rsidRDefault="00E72B49">
            <w:pPr>
              <w:pStyle w:val="OWTablebullet1"/>
            </w:pPr>
            <w:r>
              <w:t>Twelve-month rates of experiences of partner emotional abuse</w:t>
            </w:r>
            <w:r w:rsidR="005E0178">
              <w:t xml:space="preserve"> from a current or former partner </w:t>
            </w:r>
            <w:r>
              <w:t>have remained consistent between survey waves</w:t>
            </w:r>
            <w:r w:rsidR="005E0178">
              <w:t xml:space="preserve"> (noting that additional emotional abuse behaviours were added in the 2016 wave)</w:t>
            </w:r>
            <w:r>
              <w:t>.</w:t>
            </w:r>
          </w:p>
          <w:p w14:paraId="3B310C10" w14:textId="77777777" w:rsidR="00514CC0" w:rsidRPr="003E209A" w:rsidRDefault="00E72B49">
            <w:pPr>
              <w:pStyle w:val="OWTablebodyleft"/>
              <w:rPr>
                <w:rStyle w:val="Emphasis"/>
              </w:rPr>
            </w:pPr>
            <w:r w:rsidRPr="003E209A">
              <w:rPr>
                <w:rStyle w:val="Emphasis"/>
              </w:rPr>
              <w:t>Sexual coercion, pressure and unwanted sexual experiences:</w:t>
            </w:r>
          </w:p>
          <w:p w14:paraId="63A89EB9" w14:textId="77777777" w:rsidR="00514CC0" w:rsidRDefault="00E72B49" w:rsidP="00B55A90">
            <w:pPr>
              <w:pStyle w:val="OWTablebullet1"/>
              <w:spacing w:after="100"/>
              <w:ind w:left="284" w:hanging="284"/>
            </w:pPr>
            <w:r>
              <w:t xml:space="preserve">Available data suggests a considerable prevalence of experiences of sexual coercion and unwanted sexual experiences among women, including young women, and limited change over time to these prevalence rates. </w:t>
            </w:r>
          </w:p>
        </w:tc>
      </w:tr>
      <w:tr w:rsidR="00514CC0" w14:paraId="26D02CF4" w14:textId="77777777" w:rsidTr="00F0324E">
        <w:trPr>
          <w:cantSplit/>
          <w:trHeight w:val="60"/>
        </w:trPr>
        <w:tc>
          <w:tcPr>
            <w:tcW w:w="2835" w:type="dxa"/>
          </w:tcPr>
          <w:p w14:paraId="1E010384" w14:textId="77777777" w:rsidR="00514CC0" w:rsidRDefault="00E72B49">
            <w:pPr>
              <w:pStyle w:val="OWTablebodyleft"/>
            </w:pPr>
            <w:r>
              <w:t>Does the change confirm or run contrary to expected change?</w:t>
            </w:r>
          </w:p>
        </w:tc>
        <w:tc>
          <w:tcPr>
            <w:tcW w:w="6236" w:type="dxa"/>
          </w:tcPr>
          <w:p w14:paraId="27F0962D" w14:textId="77777777" w:rsidR="00514CC0" w:rsidRPr="003E209A" w:rsidRDefault="00E72B49">
            <w:pPr>
              <w:pStyle w:val="OWTablebodyleft"/>
              <w:rPr>
                <w:rStyle w:val="Emphasis"/>
              </w:rPr>
            </w:pPr>
            <w:r w:rsidRPr="003E209A">
              <w:rPr>
                <w:rStyle w:val="Emphasis"/>
              </w:rPr>
              <w:t>Emotional abuse:</w:t>
            </w:r>
          </w:p>
          <w:p w14:paraId="53BE112A" w14:textId="77777777" w:rsidR="00514CC0" w:rsidRDefault="00E72B49">
            <w:pPr>
              <w:pStyle w:val="OWTablebullet1"/>
            </w:pPr>
            <w:r>
              <w:t>12-month prevalence has remained consistent, contrary to expected change.</w:t>
            </w:r>
          </w:p>
          <w:p w14:paraId="3DA569C6" w14:textId="77777777" w:rsidR="00514CC0" w:rsidRPr="003E209A" w:rsidRDefault="00E72B49">
            <w:pPr>
              <w:pStyle w:val="OWTablebodyleft"/>
              <w:rPr>
                <w:rStyle w:val="Emphasis"/>
              </w:rPr>
            </w:pPr>
            <w:r w:rsidRPr="003E209A">
              <w:rPr>
                <w:rStyle w:val="Emphasis"/>
              </w:rPr>
              <w:t>Sexual coercion, pressure and unwanted sexual experiences:</w:t>
            </w:r>
          </w:p>
          <w:p w14:paraId="0DD7B1E4" w14:textId="4AD62365" w:rsidR="00514CC0" w:rsidRDefault="00E72B49" w:rsidP="00B55A90">
            <w:pPr>
              <w:pStyle w:val="OWTablebullet1"/>
              <w:spacing w:after="100"/>
              <w:ind w:left="284" w:hanging="284"/>
            </w:pPr>
            <w:r>
              <w:t>Timeseries data is limited but where it exists it suggests limited to no change over time to prevalence rates of sexual coercion and unwanted sexual experiences among women.</w:t>
            </w:r>
          </w:p>
        </w:tc>
      </w:tr>
      <w:tr w:rsidR="00514CC0" w14:paraId="13999009" w14:textId="77777777" w:rsidTr="00F0324E">
        <w:trPr>
          <w:cantSplit/>
          <w:trHeight w:val="60"/>
        </w:trPr>
        <w:tc>
          <w:tcPr>
            <w:tcW w:w="2835" w:type="dxa"/>
          </w:tcPr>
          <w:p w14:paraId="1B595E2A" w14:textId="77777777" w:rsidR="00514CC0" w:rsidRDefault="00E72B49">
            <w:pPr>
              <w:pStyle w:val="OWTablebodyleft"/>
            </w:pPr>
            <w:r>
              <w:lastRenderedPageBreak/>
              <w:t>Gaps in existing data</w:t>
            </w:r>
          </w:p>
        </w:tc>
        <w:tc>
          <w:tcPr>
            <w:tcW w:w="6236" w:type="dxa"/>
          </w:tcPr>
          <w:p w14:paraId="4E7E3CB6" w14:textId="77777777" w:rsidR="00514CC0" w:rsidRDefault="00E72B49">
            <w:pPr>
              <w:pStyle w:val="OWTablebodyleft"/>
            </w:pPr>
            <w:r>
              <w:t>While it is a rich source of data, the PSS data on emotional abuse is limited by a number of factors:</w:t>
            </w:r>
          </w:p>
          <w:p w14:paraId="5BEBE895" w14:textId="35023915" w:rsidR="00514CC0" w:rsidRDefault="00E72B49">
            <w:pPr>
              <w:pStyle w:val="OWTablebullet1"/>
            </w:pPr>
            <w:r>
              <w:t>It is not publi</w:t>
            </w:r>
            <w:r w:rsidR="00C20740">
              <w:t>shed</w:t>
            </w:r>
            <w:r>
              <w:t xml:space="preserve"> in a form that allows disaggregation by demographic factors other than gender. Therefore</w:t>
            </w:r>
            <w:r w:rsidR="00107094">
              <w:t>,</w:t>
            </w:r>
            <w:r>
              <w:t xml:space="preserve"> we do not whether and how the prevalence rates (and impacts) of partner emotional abuse against women who experience one or more intersecting forms of structural inequality (such as Aboriginal and Torres Strait Islander women, migrant or refugee women, LGBTIQ women, women with disability, women who inhabit more than one</w:t>
            </w:r>
            <w:r w:rsidR="00C01D7C">
              <w:t> </w:t>
            </w:r>
            <w:r>
              <w:t>of the above demographic categories) differs from whole-of-female-population figures.</w:t>
            </w:r>
          </w:p>
          <w:p w14:paraId="04468D80" w14:textId="77777777" w:rsidR="00514CC0" w:rsidRDefault="00E72B49">
            <w:pPr>
              <w:pStyle w:val="OWTablebullet1"/>
            </w:pPr>
            <w:r>
              <w:t>It only measures partner controlling behaviours experienced where partners have resided together, and as such prevalence rates of partner emotional abuse do not represent the full range of intimate relationships.</w:t>
            </w:r>
          </w:p>
          <w:p w14:paraId="21AF1429" w14:textId="04B9BBD9" w:rsidR="00514CC0" w:rsidRDefault="00E72B49">
            <w:pPr>
              <w:pStyle w:val="OWTablebullet1"/>
            </w:pPr>
            <w:r>
              <w:t>While numerous, the controlling behaviours measured by</w:t>
            </w:r>
            <w:r w:rsidR="00B55A90">
              <w:t> </w:t>
            </w:r>
            <w:r>
              <w:t>the PSS are not exhaustive. For example, they do not</w:t>
            </w:r>
            <w:r w:rsidR="00B55A90">
              <w:t> </w:t>
            </w:r>
            <w:r>
              <w:t>encompass non-physical, interpersonal forms of reproductive coercion that could be enacted by an intimate partner (such as pressuring into a pregnancy or</w:t>
            </w:r>
            <w:r w:rsidR="00B55A90">
              <w:t> </w:t>
            </w:r>
            <w:r>
              <w:t>controlling the outcome of a pregnancy).</w:t>
            </w:r>
            <w:r w:rsidR="0071337A">
              <w:rPr>
                <w:rStyle w:val="EndnoteReference"/>
              </w:rPr>
              <w:endnoteReference w:id="366"/>
            </w:r>
          </w:p>
          <w:p w14:paraId="54A52643" w14:textId="0820D140" w:rsidR="00514CC0" w:rsidRDefault="00E72B49">
            <w:pPr>
              <w:pStyle w:val="OWTablebullet1"/>
            </w:pPr>
            <w:r>
              <w:t>It should be noted that the next wave of the PSS (2020) will include some new additions to ‘emotional abuse behaviours’, particularly focused on financial forms of</w:t>
            </w:r>
            <w:r w:rsidR="00B55A90">
              <w:t> </w:t>
            </w:r>
            <w:r>
              <w:t>abuse.</w:t>
            </w:r>
          </w:p>
          <w:p w14:paraId="5EB9A91C" w14:textId="77777777" w:rsidR="00514CC0" w:rsidRDefault="00E72B49">
            <w:pPr>
              <w:pStyle w:val="OWTablebodyleft"/>
            </w:pPr>
            <w:r>
              <w:t>Data on sexual coercion, sexual pressure and unwanted sexual experiences as well as reproductive coercion is limited and in most instances not disaggregated beyond gender.</w:t>
            </w:r>
          </w:p>
        </w:tc>
      </w:tr>
    </w:tbl>
    <w:p w14:paraId="37D9BDF7" w14:textId="77777777" w:rsidR="00514CC0" w:rsidRDefault="00E72B49" w:rsidP="00F868FE">
      <w:pPr>
        <w:pStyle w:val="Heading5"/>
      </w:pPr>
      <w:r>
        <w:lastRenderedPageBreak/>
        <w:t>Emotional abuse</w:t>
      </w:r>
    </w:p>
    <w:p w14:paraId="37597C9B" w14:textId="77777777" w:rsidR="00514CC0" w:rsidRDefault="00E72B49" w:rsidP="00F6538C">
      <w:pPr>
        <w:pStyle w:val="BodyText"/>
        <w:keepLines/>
      </w:pPr>
      <w:r>
        <w:t>The PSS measures a range of controlling behaviours or non-physical violence in current or previous cohabiting partner relationships under what is termed in the survey ‘emotional abuse’.</w:t>
      </w:r>
      <w:r>
        <w:rPr>
          <w:rStyle w:val="OWSuperscript"/>
        </w:rPr>
        <w:footnoteReference w:id="43"/>
      </w:r>
      <w:r>
        <w:t xml:space="preserve"> This includes a range of non-physical behaviours (detailed below) that are undertaken with the intent to control a partner or ex-partner and have caused harm or fear. While not completely comprehensive – for example, the PSS does not measure reproductive coercion – the range of behaviours measured is extensive.</w:t>
      </w:r>
    </w:p>
    <w:p w14:paraId="7F0E11E8" w14:textId="77777777" w:rsidR="00514CC0" w:rsidRDefault="00E72B49" w:rsidP="00A122F7">
      <w:pPr>
        <w:pStyle w:val="OWBodytextlargespacebelow"/>
      </w:pPr>
      <w:r>
        <w:t xml:space="preserve">The 2016 PSS results show that approximately one in four women (24.5% in 2012 and 23.0% in 2016) reported having experienced emotional abuse by a current or previous cohabiting partner since the age of 15. That is, </w:t>
      </w:r>
      <w:r w:rsidRPr="002D0D52">
        <w:rPr>
          <w:rStyle w:val="Strong"/>
        </w:rPr>
        <w:t>the lifetime prevalence of controlling behaviours experienced by women from intimate partners is high</w:t>
      </w:r>
      <w:r>
        <w:t>.</w:t>
      </w:r>
      <w:r>
        <w:rPr>
          <w:rStyle w:val="OWSuperscript"/>
        </w:rPr>
        <w:footnoteReference w:id="44"/>
      </w:r>
    </w:p>
    <w:tbl>
      <w:tblPr>
        <w:tblStyle w:val="Casestudyteal"/>
        <w:tblW w:w="9072" w:type="dxa"/>
        <w:tblLayout w:type="fixed"/>
        <w:tblLook w:val="0620" w:firstRow="1" w:lastRow="0" w:firstColumn="0" w:lastColumn="0" w:noHBand="1" w:noVBand="1"/>
      </w:tblPr>
      <w:tblGrid>
        <w:gridCol w:w="9072"/>
      </w:tblGrid>
      <w:tr w:rsidR="00514CC0" w14:paraId="30AA6E9C" w14:textId="77777777" w:rsidTr="00F0324E">
        <w:trPr>
          <w:cnfStyle w:val="100000000000" w:firstRow="1" w:lastRow="0" w:firstColumn="0" w:lastColumn="0" w:oddVBand="0" w:evenVBand="0" w:oddHBand="0" w:evenHBand="0" w:firstRowFirstColumn="0" w:firstRowLastColumn="0" w:lastRowFirstColumn="0" w:lastRowLastColumn="0"/>
          <w:trHeight w:val="60"/>
        </w:trPr>
        <w:tc>
          <w:tcPr>
            <w:tcW w:w="9072" w:type="dxa"/>
          </w:tcPr>
          <w:p w14:paraId="20F9F7F6" w14:textId="0ECDD455" w:rsidR="00514CC0" w:rsidRPr="00DC705E" w:rsidRDefault="00E72B49">
            <w:pPr>
              <w:pStyle w:val="OWBoxheading"/>
            </w:pPr>
            <w:r w:rsidRPr="00DC705E">
              <w:t>Which controlling behaviours by partners are measured in the Personal</w:t>
            </w:r>
            <w:r w:rsidR="00C01D7C">
              <w:t xml:space="preserve"> </w:t>
            </w:r>
            <w:r w:rsidRPr="00DC705E">
              <w:t>Safety Survey?</w:t>
            </w:r>
          </w:p>
        </w:tc>
      </w:tr>
      <w:tr w:rsidR="00514CC0" w14:paraId="4F99111A" w14:textId="77777777" w:rsidTr="00F0324E">
        <w:trPr>
          <w:trHeight w:val="60"/>
        </w:trPr>
        <w:tc>
          <w:tcPr>
            <w:tcW w:w="9072" w:type="dxa"/>
          </w:tcPr>
          <w:p w14:paraId="15623323" w14:textId="77777777" w:rsidR="00514CC0" w:rsidRDefault="00E72B49">
            <w:pPr>
              <w:pStyle w:val="OWTablebodyleft"/>
            </w:pPr>
            <w:r>
              <w:t>The Personal Safety Survey ‘Emotional abuse module’ measures a range of controlling behaviours from current or previous partners with whom a respondent has lived/is living. The Survey defines emotional abuse as occurring ‘when a person is subjected to certain behaviours or actions that are aimed at preventing or controlling their behaviour, causing them emotional harm or fear. These behaviours are characterised in nature by their intent to manipulate, control, isolate or intimidate the person they are aimed at. They are generally repeated behaviours and include psychological, social, economic or verbal abuse.’</w:t>
            </w:r>
          </w:p>
          <w:p w14:paraId="73507EBC" w14:textId="77777777" w:rsidR="00514CC0" w:rsidRDefault="00E72B49">
            <w:pPr>
              <w:pStyle w:val="OWTablebodyleft"/>
            </w:pPr>
            <w:r>
              <w:t>Personal Safety Survey respondents are asked about the following controlling behaviours enacted by a partner:</w:t>
            </w:r>
          </w:p>
          <w:p w14:paraId="721AD4E6" w14:textId="77777777" w:rsidR="00514CC0" w:rsidRDefault="00E72B49">
            <w:pPr>
              <w:pStyle w:val="OWTablebullet1"/>
            </w:pPr>
            <w:r>
              <w:t>Controlled or tried to control them from contacting family, friends or community.</w:t>
            </w:r>
          </w:p>
          <w:p w14:paraId="0A667D42" w14:textId="77777777" w:rsidR="00514CC0" w:rsidRDefault="00E72B49">
            <w:pPr>
              <w:pStyle w:val="OWTablebullet1"/>
            </w:pPr>
            <w:r>
              <w:t>Controlled or tried to control them from using the telephone, internet or family car.</w:t>
            </w:r>
          </w:p>
          <w:p w14:paraId="6AE789A9" w14:textId="3EF5CEB9" w:rsidR="00B55A90" w:rsidRDefault="00E72B49" w:rsidP="00A122F7">
            <w:pPr>
              <w:pStyle w:val="OWTablebullet1"/>
            </w:pPr>
            <w:r>
              <w:t>Controlled or tried to control where they went or who they saw.</w:t>
            </w:r>
          </w:p>
        </w:tc>
      </w:tr>
      <w:tr w:rsidR="00514CC0" w14:paraId="3E16FB03" w14:textId="77777777" w:rsidTr="00F0324E">
        <w:trPr>
          <w:trHeight w:val="60"/>
        </w:trPr>
        <w:tc>
          <w:tcPr>
            <w:tcW w:w="9072" w:type="dxa"/>
          </w:tcPr>
          <w:p w14:paraId="6F2C4F4B" w14:textId="77777777" w:rsidR="00A122F7" w:rsidRDefault="00A122F7" w:rsidP="00A122F7">
            <w:pPr>
              <w:pStyle w:val="OWTablebullet1"/>
              <w:spacing w:before="360"/>
              <w:ind w:left="284" w:hanging="284"/>
            </w:pPr>
            <w:r>
              <w:lastRenderedPageBreak/>
              <w:t>Kept track of where they were and who they were with (for example, monitoring social media).</w:t>
            </w:r>
          </w:p>
          <w:p w14:paraId="598A0725" w14:textId="02721F6D" w:rsidR="00A122F7" w:rsidRDefault="00A122F7" w:rsidP="00A122F7">
            <w:pPr>
              <w:pStyle w:val="OWTablebullet1"/>
            </w:pPr>
            <w:r>
              <w:t>Controlled or tried to control them from knowing, accessing or deciding about household money.</w:t>
            </w:r>
          </w:p>
          <w:p w14:paraId="7D70556C" w14:textId="1F40FA79" w:rsidR="00A122F7" w:rsidRPr="00A122F7" w:rsidRDefault="00A122F7" w:rsidP="00A122F7">
            <w:pPr>
              <w:pStyle w:val="OWTablebullet1"/>
            </w:pPr>
            <w:r>
              <w:t>Co</w:t>
            </w:r>
            <w:r w:rsidRPr="00A122F7">
              <w:t>ntrolled or tried to control them from working or earning money.</w:t>
            </w:r>
          </w:p>
          <w:p w14:paraId="60A83818" w14:textId="75F2C4AF" w:rsidR="00D877F5" w:rsidRDefault="00D877F5" w:rsidP="00A122F7">
            <w:pPr>
              <w:pStyle w:val="OWTablebullet1"/>
            </w:pPr>
            <w:r w:rsidRPr="00A122F7">
              <w:t>Control</w:t>
            </w:r>
            <w:r>
              <w:t>led or tried to control their income or assets.</w:t>
            </w:r>
          </w:p>
          <w:p w14:paraId="307CE7A2" w14:textId="77777777" w:rsidR="00D877F5" w:rsidRDefault="00D877F5" w:rsidP="00D877F5">
            <w:pPr>
              <w:pStyle w:val="OWTablebullet1"/>
            </w:pPr>
            <w:r>
              <w:t>Controlled or tried to control them from studying.</w:t>
            </w:r>
          </w:p>
          <w:p w14:paraId="42CEEF71" w14:textId="77777777" w:rsidR="00D877F5" w:rsidRDefault="00D877F5" w:rsidP="00D877F5">
            <w:pPr>
              <w:pStyle w:val="OWTablebullet1"/>
            </w:pPr>
            <w:r>
              <w:t>Deprived them of basic needs such as food, shelter, sleep or assistive aids.</w:t>
            </w:r>
          </w:p>
          <w:p w14:paraId="17C4A7BB" w14:textId="77777777" w:rsidR="00D877F5" w:rsidRDefault="00D877F5" w:rsidP="00D877F5">
            <w:pPr>
              <w:pStyle w:val="OWTablebullet1"/>
            </w:pPr>
            <w:r>
              <w:t>Damaged, destroyed or stole any of their property.</w:t>
            </w:r>
          </w:p>
          <w:p w14:paraId="6E637710" w14:textId="486184B4" w:rsidR="00D877F5" w:rsidRDefault="00D877F5" w:rsidP="00D877F5">
            <w:pPr>
              <w:pStyle w:val="OWTablebullet1"/>
            </w:pPr>
            <w:r>
              <w:t>Constantly insulted them to make them feel ashamed, belittled or humiliated (for</w:t>
            </w:r>
            <w:r w:rsidR="00A122F7">
              <w:t> </w:t>
            </w:r>
            <w:r>
              <w:t>example, put-downs).</w:t>
            </w:r>
          </w:p>
          <w:p w14:paraId="78DBA19C" w14:textId="77777777" w:rsidR="00D877F5" w:rsidRDefault="00D877F5" w:rsidP="00D877F5">
            <w:pPr>
              <w:pStyle w:val="OWTablebullet1"/>
            </w:pPr>
            <w:r>
              <w:t>Shouted, yelled or verbally abused them to intimidate them.</w:t>
            </w:r>
          </w:p>
          <w:p w14:paraId="1CD3E72B" w14:textId="77777777" w:rsidR="00D877F5" w:rsidRDefault="00D877F5" w:rsidP="00D877F5">
            <w:pPr>
              <w:pStyle w:val="OWTablebullet1"/>
            </w:pPr>
            <w:r>
              <w:t>Lied to their child/ren with the intent of turning them against them.</w:t>
            </w:r>
          </w:p>
          <w:p w14:paraId="08581C17" w14:textId="77777777" w:rsidR="00D877F5" w:rsidRDefault="00D877F5" w:rsidP="00D877F5">
            <w:pPr>
              <w:pStyle w:val="OWTablebullet1"/>
            </w:pPr>
            <w:r>
              <w:t>Lied to other family members or friends with the intent of turning them against them.</w:t>
            </w:r>
          </w:p>
          <w:p w14:paraId="373A4C10" w14:textId="77777777" w:rsidR="00D877F5" w:rsidRDefault="00D877F5" w:rsidP="00D877F5">
            <w:pPr>
              <w:pStyle w:val="OWTablebullet1"/>
            </w:pPr>
            <w:r>
              <w:t>Threatened to take their child/ren away from them.</w:t>
            </w:r>
          </w:p>
          <w:p w14:paraId="5284D402" w14:textId="77777777" w:rsidR="00D877F5" w:rsidRDefault="00D877F5" w:rsidP="00D877F5">
            <w:pPr>
              <w:pStyle w:val="OWTablebullet1"/>
            </w:pPr>
            <w:r>
              <w:t>Threatened to harm their child/ren.</w:t>
            </w:r>
          </w:p>
          <w:p w14:paraId="4CC63488" w14:textId="77777777" w:rsidR="00D877F5" w:rsidRDefault="00D877F5" w:rsidP="00D877F5">
            <w:pPr>
              <w:pStyle w:val="OWTablebullet1"/>
            </w:pPr>
            <w:r>
              <w:t>Threatened to harm their other family members or friends.</w:t>
            </w:r>
          </w:p>
          <w:p w14:paraId="6ADA1D25" w14:textId="77777777" w:rsidR="00D877F5" w:rsidRDefault="00D877F5" w:rsidP="00D877F5">
            <w:pPr>
              <w:pStyle w:val="OWTablebullet1"/>
            </w:pPr>
            <w:r>
              <w:t>Threatened to harm any of their pets.</w:t>
            </w:r>
          </w:p>
          <w:p w14:paraId="4C9D092E" w14:textId="77777777" w:rsidR="00D877F5" w:rsidRDefault="00D877F5" w:rsidP="00D877F5">
            <w:pPr>
              <w:pStyle w:val="OWTablebullet1"/>
            </w:pPr>
            <w:r>
              <w:t>Harmed any of their pets.</w:t>
            </w:r>
          </w:p>
          <w:p w14:paraId="2038AB15" w14:textId="3F76038D" w:rsidR="00D877F5" w:rsidRDefault="00D877F5" w:rsidP="00D877F5">
            <w:pPr>
              <w:pStyle w:val="OWTablebullet1"/>
            </w:pPr>
            <w:r>
              <w:t>Threatened or tried to commit suicide.</w:t>
            </w:r>
          </w:p>
          <w:p w14:paraId="26A93FA9" w14:textId="309005BB" w:rsidR="00514CC0" w:rsidRDefault="00E72B49" w:rsidP="00D877F5">
            <w:pPr>
              <w:pStyle w:val="OWTablebodyleft"/>
            </w:pPr>
            <w:r>
              <w:t>A Personal Safety Survey respondent who indicates they have experienced one or more of the above behaviours is considered only to have experienced emotional abuse when the behaviours caused emotional harm or fear, and were repeated, with intent to control. Where a respondent has experienced emotional abuse from more than one previous partner, they are asked to respond in relation to the most recent emotionally abusive relationship they have experienced.</w:t>
            </w:r>
          </w:p>
          <w:p w14:paraId="45FBEBE5" w14:textId="77777777" w:rsidR="00514CC0" w:rsidRDefault="00E72B49">
            <w:pPr>
              <w:pStyle w:val="OWTablebodyleft"/>
            </w:pPr>
            <w:r>
              <w:t>The next wave of the Personal Safety Survey (2020) will include some measurement of some additional controlling behaviours, in particular those related to financial abuse.</w:t>
            </w:r>
          </w:p>
          <w:p w14:paraId="168BF09F" w14:textId="77777777" w:rsidR="003D6A9B" w:rsidRPr="003D6A9B" w:rsidRDefault="003D6A9B" w:rsidP="003D6A9B">
            <w:pPr>
              <w:pStyle w:val="OWBoxsourceline"/>
            </w:pPr>
            <w:r>
              <w:drawing>
                <wp:inline distT="0" distB="0" distL="0" distR="0" wp14:anchorId="119AD2BD" wp14:editId="342E1A1C">
                  <wp:extent cx="431640" cy="3960"/>
                  <wp:effectExtent l="0" t="0" r="0" b="0"/>
                  <wp:docPr id="1527866851" name="Picture 5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28">
                            <a:extLst>
                              <a:ext uri="{28A0092B-C50C-407E-A947-70E740481C1C}">
                                <a14:useLocalDpi xmlns:a14="http://schemas.microsoft.com/office/drawing/2010/main" val="0"/>
                              </a:ext>
                            </a:extLst>
                          </a:blip>
                          <a:stretch>
                            <a:fillRect/>
                          </a:stretch>
                        </pic:blipFill>
                        <pic:spPr>
                          <a:xfrm>
                            <a:off x="0" y="0"/>
                            <a:ext cx="431640" cy="3960"/>
                          </a:xfrm>
                          <a:prstGeom prst="rect">
                            <a:avLst/>
                          </a:prstGeom>
                        </pic:spPr>
                      </pic:pic>
                    </a:graphicData>
                  </a:graphic>
                </wp:inline>
              </w:drawing>
            </w:r>
          </w:p>
          <w:p w14:paraId="6C957E30" w14:textId="2B492D44" w:rsidR="00514CC0" w:rsidRDefault="00E72B49" w:rsidP="004A1B0D">
            <w:pPr>
              <w:pStyle w:val="OWBoxsource"/>
            </w:pPr>
            <w:r>
              <w:t>Source: ABS (20</w:t>
            </w:r>
            <w:r w:rsidR="007C48E5">
              <w:t>1</w:t>
            </w:r>
            <w:r>
              <w:t xml:space="preserve">7), </w:t>
            </w:r>
            <w:r w:rsidRPr="003E209A">
              <w:rPr>
                <w:rStyle w:val="Emphasis"/>
              </w:rPr>
              <w:t>Personal Safety Survey, Australia: User Guide, 2016</w:t>
            </w:r>
            <w:r>
              <w:t>.</w:t>
            </w:r>
          </w:p>
        </w:tc>
      </w:tr>
    </w:tbl>
    <w:p w14:paraId="12A87A6F" w14:textId="77777777" w:rsidR="00514CC0" w:rsidRDefault="00514CC0" w:rsidP="00DC705E">
      <w:pPr>
        <w:pStyle w:val="BodyText"/>
      </w:pPr>
    </w:p>
    <w:tbl>
      <w:tblPr>
        <w:tblStyle w:val="Casestudyteal"/>
        <w:tblW w:w="9072" w:type="dxa"/>
        <w:tblLayout w:type="fixed"/>
        <w:tblLook w:val="0620" w:firstRow="1" w:lastRow="0" w:firstColumn="0" w:lastColumn="0" w:noHBand="1" w:noVBand="1"/>
      </w:tblPr>
      <w:tblGrid>
        <w:gridCol w:w="9072"/>
      </w:tblGrid>
      <w:tr w:rsidR="00514CC0" w14:paraId="5EAE4AED" w14:textId="77777777" w:rsidTr="00F0324E">
        <w:trPr>
          <w:cnfStyle w:val="100000000000" w:firstRow="1" w:lastRow="0" w:firstColumn="0" w:lastColumn="0" w:oddVBand="0" w:evenVBand="0" w:oddHBand="0" w:evenHBand="0" w:firstRowFirstColumn="0" w:firstRowLastColumn="0" w:lastRowFirstColumn="0" w:lastRowLastColumn="0"/>
          <w:trHeight w:val="60"/>
        </w:trPr>
        <w:tc>
          <w:tcPr>
            <w:tcW w:w="9071" w:type="dxa"/>
          </w:tcPr>
          <w:p w14:paraId="646DADB8" w14:textId="77777777" w:rsidR="00514CC0" w:rsidRPr="00DC705E" w:rsidRDefault="00E72B49">
            <w:pPr>
              <w:pStyle w:val="OWBoxheading"/>
            </w:pPr>
            <w:r w:rsidRPr="00DC705E">
              <w:lastRenderedPageBreak/>
              <w:t>Partner control of migrant and refugee women</w:t>
            </w:r>
          </w:p>
        </w:tc>
      </w:tr>
      <w:tr w:rsidR="00514CC0" w14:paraId="65ED6A9F" w14:textId="77777777" w:rsidTr="00F0324E">
        <w:trPr>
          <w:trHeight w:val="60"/>
        </w:trPr>
        <w:tc>
          <w:tcPr>
            <w:tcW w:w="9071" w:type="dxa"/>
          </w:tcPr>
          <w:p w14:paraId="5F7D5331" w14:textId="499C30AD" w:rsidR="00514CC0" w:rsidRDefault="00E72B49" w:rsidP="00A122F7">
            <w:pPr>
              <w:pStyle w:val="OWTablebodyleft"/>
            </w:pPr>
            <w:r>
              <w:t>Various studies and meta-reviews have identified that migrant and refugee women experience specific forms of partner-perpetrated non-physical control, such as immigration status-related abuse, financial abuse, reproductive coercion, control of mobility and forced marriage, and that these experiences have a tremendous impact. These studies show that for such women, multiple forms of gender inequality, including both male attitudes and structural forms of disadvantage (such as financial adversity and poverty, insecurity and inequality within official systems of welfare and migration, social isolation and barriers to service access) combine to increase and reinforce dependency and the ability of male partners to exert power and control over female partners (El Murr, 2019; Ragusa, 2017; Segrave, 2017; Shabbar, 2012; Vaughan et al, 2016; Cortis and Bullen, 2015; Bhuyan, 2012; Ghafournia, 2011; Thronson, 201</w:t>
            </w:r>
            <w:r w:rsidR="000970EE">
              <w:t>2</w:t>
            </w:r>
            <w:r>
              <w:t>; Metusela et al., 201</w:t>
            </w:r>
            <w:r w:rsidR="00C473A2">
              <w:t>7</w:t>
            </w:r>
            <w:r>
              <w:t>; Lyneham and Bricknell, 2018).</w:t>
            </w:r>
          </w:p>
        </w:tc>
      </w:tr>
    </w:tbl>
    <w:p w14:paraId="4FFF7F66" w14:textId="77777777" w:rsidR="00514CC0" w:rsidRDefault="00E72B49" w:rsidP="00A122F7">
      <w:pPr>
        <w:pStyle w:val="Heading5"/>
        <w:spacing w:before="320" w:after="70"/>
      </w:pPr>
      <w:r>
        <w:t>Sexual coercion, sexual pressure, and unwanted sex</w:t>
      </w:r>
    </w:p>
    <w:p w14:paraId="17C74778" w14:textId="77777777" w:rsidR="00514CC0" w:rsidRDefault="00E72B49" w:rsidP="00A122F7">
      <w:pPr>
        <w:pStyle w:val="BodyText"/>
      </w:pPr>
      <w:r>
        <w:t>Some limited data is available on Australians’ experiences of sexual coercion, pressure for sex by intimate partners, and unwanted sex. There is significant crossover here with regard to the prevalence rates of violence against women (as reported in Monitoring domain 11), given that these experiences in themselves may, in many instances, indicate, constitute or result in sexual assault or sexual harassment. However, they are also pertinent to this domain with regard to the dynamics of male sexual control and dominance, and women’s sexual and bodily autonomy.</w:t>
      </w:r>
    </w:p>
    <w:p w14:paraId="530D9126" w14:textId="19464703" w:rsidR="00514CC0" w:rsidRDefault="00E72B49" w:rsidP="00A122F7">
      <w:pPr>
        <w:pStyle w:val="BodyText"/>
      </w:pPr>
      <w:r>
        <w:t xml:space="preserve">Analysis of results from the population-representative Second Australian Study of Health and Relationships (2012–13) shows that </w:t>
      </w:r>
      <w:r w:rsidRPr="002D0D52">
        <w:rPr>
          <w:rStyle w:val="Strong"/>
        </w:rPr>
        <w:t>more than one in five women (22.3%) reported having experienced at least one incident of being ‘forced or frightened into doing something sexual’</w:t>
      </w:r>
      <w:r>
        <w:t xml:space="preserve"> across their lifetime (including during childhood).</w:t>
      </w:r>
      <w:r w:rsidR="0071337A">
        <w:rPr>
          <w:rStyle w:val="EndnoteReference"/>
        </w:rPr>
        <w:endnoteReference w:id="367"/>
      </w:r>
      <w:r>
        <w:t xml:space="preserve"> Approximately half of these (10% of all women) had experienced sexual coercion during childhood (before age 16).</w:t>
      </w:r>
      <w:r>
        <w:rPr>
          <w:rStyle w:val="OWSuperscript"/>
        </w:rPr>
        <w:footnoteReference w:id="45"/>
      </w:r>
      <w:r>
        <w:t xml:space="preserve"> Comparatively, fewer than one in 20 men reported having experienced sexual coercion during their lifetime, in both survey waves.</w:t>
      </w:r>
      <w:r w:rsidR="0071337A">
        <w:rPr>
          <w:rStyle w:val="EndnoteReference"/>
        </w:rPr>
        <w:endnoteReference w:id="368"/>
      </w:r>
    </w:p>
    <w:p w14:paraId="18AE1555" w14:textId="7DC30212" w:rsidR="00514CC0" w:rsidRDefault="00E72B49" w:rsidP="00A122F7">
      <w:pPr>
        <w:pStyle w:val="BodyText"/>
      </w:pPr>
      <w:r>
        <w:t>Results from the repeated National Survey of Secondary Students and Sexual Health shows in 2008 and 2018 nearly two in five (38% in 2008 and 36.8% in 2018) surveyed female students reported experiencing unwanted sex (that is, having sex when they did not want to).</w:t>
      </w:r>
      <w:r w:rsidR="0071337A">
        <w:rPr>
          <w:rStyle w:val="EndnoteReference"/>
        </w:rPr>
        <w:endnoteReference w:id="369"/>
      </w:r>
      <w:r>
        <w:t xml:space="preserve"> The most commonly cited reason for this in 2018 was ‘my partner thought I should’ (51.5% of female students who reported experiencing unwanted sex), followed by ‘I was too</w:t>
      </w:r>
      <w:r w:rsidR="00B55A90">
        <w:t> </w:t>
      </w:r>
      <w:r>
        <w:t>drunk at the time’ (34.3%) and ‘I was frightened’ (32.3%), with these results suggesting considerable patterns of sexual coercion.</w:t>
      </w:r>
      <w:r w:rsidR="0071337A">
        <w:rPr>
          <w:rStyle w:val="EndnoteReference"/>
        </w:rPr>
        <w:endnoteReference w:id="370"/>
      </w:r>
      <w:r>
        <w:t xml:space="preserve"> Most female students’ (97.4%) most recent sexual encounter had been with a male partner.</w:t>
      </w:r>
      <w:r w:rsidR="0071337A">
        <w:rPr>
          <w:rStyle w:val="EndnoteReference"/>
        </w:rPr>
        <w:endnoteReference w:id="371"/>
      </w:r>
      <w:r>
        <w:t xml:space="preserve"> Moreover, in 2018 two in five female students reported having experienced pressure to have vaginal or anal sex from a male partner.</w:t>
      </w:r>
      <w:r w:rsidR="0071337A">
        <w:rPr>
          <w:rStyle w:val="EndnoteReference"/>
        </w:rPr>
        <w:endnoteReference w:id="372"/>
      </w:r>
    </w:p>
    <w:tbl>
      <w:tblPr>
        <w:tblStyle w:val="Casestudyteal"/>
        <w:tblW w:w="9071" w:type="dxa"/>
        <w:tblLayout w:type="fixed"/>
        <w:tblLook w:val="0620" w:firstRow="1" w:lastRow="0" w:firstColumn="0" w:lastColumn="0" w:noHBand="1" w:noVBand="1"/>
      </w:tblPr>
      <w:tblGrid>
        <w:gridCol w:w="9071"/>
      </w:tblGrid>
      <w:tr w:rsidR="00514CC0" w14:paraId="4F35530B" w14:textId="77777777" w:rsidTr="00F0324E">
        <w:trPr>
          <w:cnfStyle w:val="100000000000" w:firstRow="1" w:lastRow="0" w:firstColumn="0" w:lastColumn="0" w:oddVBand="0" w:evenVBand="0" w:oddHBand="0" w:evenHBand="0" w:firstRowFirstColumn="0" w:firstRowLastColumn="0" w:lastRowFirstColumn="0" w:lastRowLastColumn="0"/>
          <w:trHeight w:val="60"/>
        </w:trPr>
        <w:tc>
          <w:tcPr>
            <w:tcW w:w="9071" w:type="dxa"/>
          </w:tcPr>
          <w:p w14:paraId="69752C67" w14:textId="77777777" w:rsidR="00514CC0" w:rsidRPr="00DC705E" w:rsidRDefault="00E72B49">
            <w:pPr>
              <w:pStyle w:val="OWBoxheading"/>
            </w:pPr>
            <w:r w:rsidRPr="00DC705E">
              <w:lastRenderedPageBreak/>
              <w:t>Data case study: Reproductive control and coercion</w:t>
            </w:r>
          </w:p>
        </w:tc>
      </w:tr>
      <w:tr w:rsidR="00514CC0" w14:paraId="6FF84369" w14:textId="77777777" w:rsidTr="00F0324E">
        <w:trPr>
          <w:trHeight w:val="60"/>
        </w:trPr>
        <w:tc>
          <w:tcPr>
            <w:tcW w:w="9071" w:type="dxa"/>
          </w:tcPr>
          <w:p w14:paraId="4BBFAEDA" w14:textId="77777777" w:rsidR="00514CC0" w:rsidRPr="00B55A90" w:rsidRDefault="00E72B49" w:rsidP="00B55A90">
            <w:pPr>
              <w:pStyle w:val="OWTablebodyleft"/>
              <w:rPr>
                <w:rStyle w:val="OWBoldItalic"/>
              </w:rPr>
            </w:pPr>
            <w:r w:rsidRPr="00B55A90">
              <w:rPr>
                <w:rStyle w:val="OWBoldItalic"/>
              </w:rPr>
              <w:t>(prepared with assistance from Marie Stopes Australia)</w:t>
            </w:r>
          </w:p>
          <w:p w14:paraId="13A3C394" w14:textId="77777777" w:rsidR="00514CC0" w:rsidRDefault="00E72B49">
            <w:pPr>
              <w:pStyle w:val="OWTablebodyleft"/>
            </w:pPr>
            <w:r>
              <w:t>The Australian Women’s Health Strategy identified ‘a reduction in the rate of reproductive coercion’ as a key measure of success in addressing the health impacts of violence against women and girls. Marie Stopes Australia (2018) has recommended that the Personal Safety Survey be adapted to include questions about interpersonal forms of reproductive coercion, to promote greater understanding of the prevalence of reproductive coercion across the Australian population.</w:t>
            </w:r>
          </w:p>
          <w:p w14:paraId="0C92CB34" w14:textId="6E68280E" w:rsidR="00514CC0" w:rsidRDefault="00E72B49">
            <w:pPr>
              <w:pStyle w:val="OWTablebodyleft"/>
            </w:pPr>
            <w:r>
              <w:t>Marie Stopes Australia’s 2018 counselling data shows that 32% of counselling clients were living in coercive contexts.* This rate was higher for Aboriginal and Torres Strait Islander clients, 50% of whom were living in coercive contexts. Clients were more likely to identify that they were living in coercive contexts between weeks 10 and 17 of gestation. This pattern was consistent regardless of whether it was the first or a subsequent counselling appointment (Corbin 2019).</w:t>
            </w:r>
          </w:p>
          <w:p w14:paraId="768A3379" w14:textId="1F9EE9C4" w:rsidR="00514CC0" w:rsidRDefault="00E72B49">
            <w:pPr>
              <w:pStyle w:val="OWTablebodyleft"/>
            </w:pPr>
            <w:r>
              <w:t>A recent analysis of fives waves of the Australian Longitudinal Study on Women’s Health, focused on the examining the relative strength of different factors associated with abortion over time, demonstrates a strong association between Australian women’s experience of intimate partner violence, and abortion. The study authors conclude that partner violence has a considerable ‘effect on a woman’s ability to control her fertility’ and that ‘abortion remains strongly associated with factors affecting women’s control over reproductive health such as partner violence’ (Taft</w:t>
            </w:r>
            <w:r w:rsidR="00D57A45">
              <w:t> </w:t>
            </w:r>
            <w:r>
              <w:t>et al., 2019).</w:t>
            </w:r>
          </w:p>
          <w:p w14:paraId="2EE5A1E5" w14:textId="470DB768" w:rsidR="00514CC0" w:rsidRDefault="00E72B49">
            <w:pPr>
              <w:pStyle w:val="OWTablebodyleft"/>
            </w:pPr>
            <w:r>
              <w:t>A recent review of intimate partner violence experienced by refugee women identified that many refugee women feel unable to say no to sex, seek support for</w:t>
            </w:r>
            <w:r w:rsidR="00D57A45">
              <w:t> </w:t>
            </w:r>
            <w:r>
              <w:t>their sexual and reproductive health, and exert control over their reproduction (El-Murr, 2019; Metusela et al., 2017). Moreover, other research has found that Australian health care professionals who provide services routinely observe reproductive coercion experienced by refugee women and women from culturally and linguistically diverse backgrounds (Mengesha et al., 2017).</w:t>
            </w:r>
          </w:p>
          <w:p w14:paraId="1150E9E4" w14:textId="77777777" w:rsidR="00514CC0" w:rsidRDefault="00E72B49">
            <w:pPr>
              <w:pStyle w:val="OWTablebodyleft"/>
            </w:pPr>
            <w:r>
              <w:t>Another study of Aboriginal women living in remote communities found that study participants expressed concerns about reproductive coercion, specifically with regard to pressure to become pregnant (Griffiths et al., 2019).</w:t>
            </w:r>
          </w:p>
          <w:p w14:paraId="3A808843" w14:textId="64AAB6FA" w:rsidR="00B55A90" w:rsidRDefault="00B55A90" w:rsidP="00D57A45">
            <w:pPr>
              <w:pStyle w:val="OWTablefootnoteindent"/>
              <w:spacing w:before="160"/>
            </w:pPr>
            <w:r>
              <w:t>*</w:t>
            </w:r>
            <w:r>
              <w:tab/>
              <w:t>A total of 965 women and pregnant people accessed pregnancy options counselling at Marie Stopes in 2018. In this data coercive contexts included when a person was pregnant due to sexual violence, when they had a partner who was unsupportive of pregnancy options counselling, and/or who identified that they were being coerced towards an abortion, adoption or parenting option that they would not choose themselves.</w:t>
            </w:r>
          </w:p>
        </w:tc>
      </w:tr>
    </w:tbl>
    <w:p w14:paraId="4434FDF9" w14:textId="77777777" w:rsidR="00514CC0" w:rsidRDefault="00E72B49" w:rsidP="00E1549C">
      <w:pPr>
        <w:pStyle w:val="Heading4"/>
      </w:pPr>
      <w:r>
        <w:lastRenderedPageBreak/>
        <w:t>Indicator 4.2: Attitudes associated with men’s control and women’s dependence and limited decision-making power in private life</w:t>
      </w:r>
      <w:r>
        <w:rPr>
          <w:rStyle w:val="OWSuperscript"/>
        </w:rPr>
        <w:footnoteReference w:id="46"/>
      </w:r>
    </w:p>
    <w:tbl>
      <w:tblPr>
        <w:tblStyle w:val="Indicatoroutlineteal"/>
        <w:tblW w:w="9072" w:type="dxa"/>
        <w:tblLayout w:type="fixed"/>
        <w:tblLook w:val="0680" w:firstRow="0" w:lastRow="0" w:firstColumn="1" w:lastColumn="0" w:noHBand="1" w:noVBand="1"/>
      </w:tblPr>
      <w:tblGrid>
        <w:gridCol w:w="3402"/>
        <w:gridCol w:w="5670"/>
      </w:tblGrid>
      <w:tr w:rsidR="00514CC0" w14:paraId="065343FA" w14:textId="77777777" w:rsidTr="00F0324E">
        <w:trPr>
          <w:cantSplit/>
          <w:trHeight w:val="60"/>
        </w:trPr>
        <w:tc>
          <w:tcPr>
            <w:tcW w:w="3402" w:type="dxa"/>
          </w:tcPr>
          <w:p w14:paraId="3FFFFFD1" w14:textId="77777777" w:rsidR="00514CC0" w:rsidRDefault="00E72B49">
            <w:pPr>
              <w:pStyle w:val="OWTablebodyleft"/>
            </w:pPr>
            <w:r>
              <w:t>What does this indicator tell us about Monitoring domain 4: Men’s control of decision-making and limits to women’s independence in relationships and private life?</w:t>
            </w:r>
          </w:p>
        </w:tc>
        <w:tc>
          <w:tcPr>
            <w:tcW w:w="5669" w:type="dxa"/>
          </w:tcPr>
          <w:p w14:paraId="5B05BDE8" w14:textId="239BAEDE" w:rsidR="00514CC0" w:rsidRDefault="00E72B49">
            <w:pPr>
              <w:pStyle w:val="OWTablebodyleft"/>
            </w:pPr>
            <w:r>
              <w:t>This indicator looks at the degree to which individuals in Australia attitudinally subscribe to norms reflecting men’s control of intimate relationships with women. It</w:t>
            </w:r>
            <w:r w:rsidR="00D57A45">
              <w:t> </w:t>
            </w:r>
            <w:r>
              <w:t>differs from Indicator 4.1 which measured women’s experiences of controlling behaviours by partners.</w:t>
            </w:r>
          </w:p>
        </w:tc>
      </w:tr>
      <w:tr w:rsidR="00514CC0" w14:paraId="10EB8283" w14:textId="77777777" w:rsidTr="00F0324E">
        <w:trPr>
          <w:cantSplit/>
          <w:trHeight w:val="60"/>
        </w:trPr>
        <w:tc>
          <w:tcPr>
            <w:tcW w:w="3402" w:type="dxa"/>
          </w:tcPr>
          <w:p w14:paraId="4363875E" w14:textId="77777777" w:rsidR="00514CC0" w:rsidRDefault="00E72B49">
            <w:pPr>
              <w:pStyle w:val="OWTablebodyleft"/>
            </w:pPr>
            <w:r>
              <w:t>Expected change if high-quality programs and infrastructure for prevention of violence against women and gender equality are implemented</w:t>
            </w:r>
          </w:p>
        </w:tc>
        <w:tc>
          <w:tcPr>
            <w:tcW w:w="5669" w:type="dxa"/>
          </w:tcPr>
          <w:p w14:paraId="5C4CE7CE" w14:textId="77777777" w:rsidR="00514CC0" w:rsidRDefault="00E72B49">
            <w:pPr>
              <w:pStyle w:val="OWTablebodyleft"/>
            </w:pPr>
            <w:r>
              <w:t>Short- and medium-term: some reduction in attitudinal subscription to ideas about the rightfulness and preferability of men’s control of intimate relationships with women.</w:t>
            </w:r>
          </w:p>
          <w:p w14:paraId="0D65AEB1" w14:textId="77777777" w:rsidR="00514CC0" w:rsidRDefault="00E72B49">
            <w:pPr>
              <w:pStyle w:val="OWTablebodyleft"/>
            </w:pPr>
            <w:r>
              <w:t>Long-term: the majority of individuals in Australia hold attitudes which support women’s independence and equality in intimate relationships with men.</w:t>
            </w:r>
          </w:p>
        </w:tc>
      </w:tr>
      <w:tr w:rsidR="00514CC0" w14:paraId="27F5F36A" w14:textId="77777777" w:rsidTr="00F0324E">
        <w:trPr>
          <w:cantSplit/>
          <w:trHeight w:val="60"/>
        </w:trPr>
        <w:tc>
          <w:tcPr>
            <w:tcW w:w="3402" w:type="dxa"/>
          </w:tcPr>
          <w:p w14:paraId="35FA96A2" w14:textId="77777777" w:rsidR="00514CC0" w:rsidRDefault="00E72B49">
            <w:pPr>
              <w:pStyle w:val="OWTablebodyleft"/>
            </w:pPr>
            <w:r>
              <w:t>Data source(s)</w:t>
            </w:r>
          </w:p>
        </w:tc>
        <w:tc>
          <w:tcPr>
            <w:tcW w:w="5669" w:type="dxa"/>
          </w:tcPr>
          <w:p w14:paraId="6971A3C9" w14:textId="77777777" w:rsidR="00514CC0" w:rsidRDefault="00E72B49" w:rsidP="002C2EC7">
            <w:pPr>
              <w:pStyle w:val="OWTablenumberdigit"/>
              <w:numPr>
                <w:ilvl w:val="0"/>
                <w:numId w:val="33"/>
              </w:numPr>
            </w:pPr>
            <w:r>
              <w:t>National Community Attitudes towards Violence against Women Survey (NCAS) 2009 and 2017, Australia’s National Research Organisation for Women’s Safety (ANROWS)</w:t>
            </w:r>
          </w:p>
          <w:p w14:paraId="47A5352E" w14:textId="77777777" w:rsidR="00514CC0" w:rsidRDefault="00E72B49">
            <w:pPr>
              <w:pStyle w:val="OWTablenumberdigit"/>
            </w:pPr>
            <w:r>
              <w:t xml:space="preserve">The Men’s Project and M. Flood, </w:t>
            </w:r>
            <w:r w:rsidRPr="003E209A">
              <w:rPr>
                <w:rStyle w:val="Emphasis"/>
              </w:rPr>
              <w:t>The Man Box: A study on being a young man in Australia</w:t>
            </w:r>
            <w:r>
              <w:t>, 2018, Jesuit Social Services</w:t>
            </w:r>
          </w:p>
        </w:tc>
      </w:tr>
      <w:tr w:rsidR="00514CC0" w14:paraId="7853622E" w14:textId="77777777" w:rsidTr="00F0324E">
        <w:trPr>
          <w:cantSplit/>
          <w:trHeight w:val="60"/>
        </w:trPr>
        <w:tc>
          <w:tcPr>
            <w:tcW w:w="3402" w:type="dxa"/>
          </w:tcPr>
          <w:p w14:paraId="2187EAD9" w14:textId="06099EFF" w:rsidR="00514CC0" w:rsidRDefault="00E72B49">
            <w:pPr>
              <w:pStyle w:val="OWTablebodyleft"/>
            </w:pPr>
            <w:r>
              <w:t>Change over time summary: short-term change revealed by</w:t>
            </w:r>
            <w:r w:rsidR="00D57A45">
              <w:t> </w:t>
            </w:r>
            <w:r>
              <w:t>the data</w:t>
            </w:r>
          </w:p>
        </w:tc>
        <w:tc>
          <w:tcPr>
            <w:tcW w:w="5669" w:type="dxa"/>
          </w:tcPr>
          <w:p w14:paraId="7649494A" w14:textId="77777777" w:rsidR="00514CC0" w:rsidRDefault="00E72B49">
            <w:pPr>
              <w:pStyle w:val="OWTablebodyleft"/>
            </w:pPr>
            <w:r>
              <w:t>On the basis of the NCAS results, between 2009 and 2017 there was a small decrease in the proportion of Australians who believe that men should take control in relationships with women and that women preference male control in relationships.</w:t>
            </w:r>
          </w:p>
          <w:p w14:paraId="748DA081" w14:textId="2E7AB4AF" w:rsidR="00514CC0" w:rsidRDefault="00E72B49">
            <w:pPr>
              <w:pStyle w:val="OWTablebodyleft"/>
            </w:pPr>
            <w:r>
              <w:t>Man Box data is baseline only but shows a considerable influence of social norms among young men regarding male dominance and control in relationships with women.</w:t>
            </w:r>
          </w:p>
        </w:tc>
      </w:tr>
      <w:tr w:rsidR="00514CC0" w14:paraId="5B712398" w14:textId="77777777" w:rsidTr="00F0324E">
        <w:trPr>
          <w:cantSplit/>
          <w:trHeight w:val="60"/>
        </w:trPr>
        <w:tc>
          <w:tcPr>
            <w:tcW w:w="3402" w:type="dxa"/>
          </w:tcPr>
          <w:p w14:paraId="31EA7F84" w14:textId="77777777" w:rsidR="00514CC0" w:rsidRDefault="00E72B49">
            <w:pPr>
              <w:pStyle w:val="OWTablebodyleft"/>
            </w:pPr>
            <w:r>
              <w:t>Does the change confirm or run contrary to expected change?</w:t>
            </w:r>
          </w:p>
        </w:tc>
        <w:tc>
          <w:tcPr>
            <w:tcW w:w="5669" w:type="dxa"/>
          </w:tcPr>
          <w:p w14:paraId="0C2AA7B9" w14:textId="77777777" w:rsidR="00514CC0" w:rsidRDefault="00E72B49">
            <w:pPr>
              <w:pStyle w:val="OWTablebodyleft"/>
            </w:pPr>
            <w:r>
              <w:t>Confirms expected change.</w:t>
            </w:r>
          </w:p>
        </w:tc>
      </w:tr>
      <w:tr w:rsidR="00514CC0" w14:paraId="3F863A42" w14:textId="77777777" w:rsidTr="00F0324E">
        <w:trPr>
          <w:cantSplit/>
          <w:trHeight w:val="60"/>
        </w:trPr>
        <w:tc>
          <w:tcPr>
            <w:tcW w:w="3402" w:type="dxa"/>
          </w:tcPr>
          <w:p w14:paraId="1E6F71B0" w14:textId="77777777" w:rsidR="00514CC0" w:rsidRDefault="00E72B49">
            <w:pPr>
              <w:pStyle w:val="OWTablebodyleft"/>
            </w:pPr>
            <w:r>
              <w:t>Gaps in existing data</w:t>
            </w:r>
          </w:p>
        </w:tc>
        <w:tc>
          <w:tcPr>
            <w:tcW w:w="5669" w:type="dxa"/>
          </w:tcPr>
          <w:p w14:paraId="34691CE5" w14:textId="7956CE6F" w:rsidR="00514CC0" w:rsidRDefault="00E72B49" w:rsidP="001C763C">
            <w:pPr>
              <w:pStyle w:val="OWTablebodyleft"/>
            </w:pPr>
            <w:r>
              <w:t xml:space="preserve">There is currently very limited data, especially any allowing for analysis of change over time, on the kinds of attitudes and norms related to masculinity that are </w:t>
            </w:r>
            <w:r w:rsidR="001C763C">
              <w:t>sub</w:t>
            </w:r>
            <w:r>
              <w:t>scribed to by men and boys. This is an area in which there is a significant need for data development.</w:t>
            </w:r>
          </w:p>
        </w:tc>
      </w:tr>
    </w:tbl>
    <w:p w14:paraId="11E8F425" w14:textId="4534520F" w:rsidR="00514CC0" w:rsidRDefault="00E72B49">
      <w:pPr>
        <w:pStyle w:val="BodyText"/>
        <w:keepNext/>
      </w:pPr>
      <w:r>
        <w:lastRenderedPageBreak/>
        <w:t>Since the 2009 wave, the NCAS has asked for responses to the following statements relevant</w:t>
      </w:r>
      <w:r w:rsidR="00D57A45">
        <w:t> </w:t>
      </w:r>
      <w:r>
        <w:t>to considering limits to women’s independence in relationships:</w:t>
      </w:r>
    </w:p>
    <w:p w14:paraId="30EAE0E5" w14:textId="77777777" w:rsidR="00514CC0" w:rsidRDefault="00E72B49" w:rsidP="002C2EC7">
      <w:pPr>
        <w:pStyle w:val="OWNumberdigit"/>
        <w:numPr>
          <w:ilvl w:val="0"/>
          <w:numId w:val="10"/>
        </w:numPr>
      </w:pPr>
      <w:r>
        <w:t>‘Men should take control in relationships and be the head of the household.’</w:t>
      </w:r>
    </w:p>
    <w:p w14:paraId="3DC28689" w14:textId="3820DFE7" w:rsidR="00514CC0" w:rsidRDefault="00E72B49">
      <w:pPr>
        <w:pStyle w:val="OWNumberdigit"/>
      </w:pPr>
      <w:r>
        <w:t>‘Women prefer a man to be in charge of the relationship.’</w:t>
      </w:r>
      <w:r w:rsidR="0071337A">
        <w:rPr>
          <w:rStyle w:val="EndnoteReference"/>
        </w:rPr>
        <w:endnoteReference w:id="373"/>
      </w:r>
    </w:p>
    <w:p w14:paraId="6AB00B56" w14:textId="77777777" w:rsidR="00514CC0" w:rsidRDefault="00E72B49" w:rsidP="0071337A">
      <w:pPr>
        <w:pStyle w:val="OWBodytextafterlist"/>
      </w:pPr>
      <w:r>
        <w:t>In 2009, 18% of Australians agreed that men should assume a leadership role in relationships and households; this increased by 1 percentage point in 2013, and decreased slightly to 16% in 2017. This means that in 2017, approximately one in six Australians thought that men should take control in relationships with women.</w:t>
      </w:r>
    </w:p>
    <w:p w14:paraId="7EAFCCB6" w14:textId="18F7EC00" w:rsidR="00514CC0" w:rsidRDefault="00E72B49">
      <w:pPr>
        <w:pStyle w:val="BodyText"/>
      </w:pPr>
      <w:r>
        <w:t>In 2017, one-quarter (25%) of Australians thought that women prefer a man to take charge</w:t>
      </w:r>
      <w:r w:rsidR="00D57A45">
        <w:t> </w:t>
      </w:r>
      <w:r>
        <w:t>in a female–male relationship. This result is down by 2 percentage points since 2009</w:t>
      </w:r>
      <w:r w:rsidR="00D57A45">
        <w:t> </w:t>
      </w:r>
      <w:r>
        <w:t>(see Figure </w:t>
      </w:r>
      <w:r w:rsidR="005B20FC">
        <w:t>28</w:t>
      </w:r>
      <w:r>
        <w:t>, below).</w:t>
      </w:r>
      <w:r w:rsidR="0071337A">
        <w:rPr>
          <w:rStyle w:val="EndnoteReference"/>
        </w:rPr>
        <w:endnoteReference w:id="374"/>
      </w:r>
    </w:p>
    <w:p w14:paraId="394D6697" w14:textId="48CDE3A8" w:rsidR="00514CC0" w:rsidRDefault="00E72B49">
      <w:pPr>
        <w:pStyle w:val="OWFigurecaption"/>
      </w:pPr>
      <w:r>
        <w:t xml:space="preserve">Figure </w:t>
      </w:r>
      <w:r w:rsidR="005B20FC">
        <w:t>28</w:t>
      </w:r>
      <w:r>
        <w:t xml:space="preserve">: Proportion of </w:t>
      </w:r>
      <w:r w:rsidR="004C5286">
        <w:t>people</w:t>
      </w:r>
      <w:r>
        <w:t xml:space="preserve"> who agreed with statements</w:t>
      </w:r>
      <w:r w:rsidR="004C5286">
        <w:t xml:space="preserve"> about relationship roles</w:t>
      </w:r>
      <w:r>
        <w:t>, 2009 and 2017</w:t>
      </w:r>
    </w:p>
    <w:p w14:paraId="69658E16" w14:textId="613B2B02" w:rsidR="00514CC0" w:rsidRDefault="009338E6">
      <w:pPr>
        <w:pStyle w:val="OWFigureinline"/>
      </w:pPr>
      <w:r>
        <w:rPr>
          <w:noProof/>
        </w:rPr>
        <w:drawing>
          <wp:inline distT="0" distB="0" distL="0" distR="0" wp14:anchorId="61767F2D" wp14:editId="6AF52020">
            <wp:extent cx="5688332" cy="3719195"/>
            <wp:effectExtent l="0" t="0" r="7620" b="0"/>
            <wp:docPr id="2034838486" name="Picture 79" descr="Line graph of the following data (proportion of individuals who agreed with the statements). Men should assume leadership roles in relationships and households: 2009 – 18%; 2017 – 16%. Women prefer a man to take charge in a heterosexual relationship: 2009 – 27%; 2017 –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38486" name="Picture 79" descr="Line graph of the following data (proportion of individuals who agreed with the statements). Men should assume leadership roles in relationships and households: 2009 – 18%; 2017 – 16%. Women prefer a man to take charge in a heterosexual relationship: 2009 – 27%; 2017 – 25%."/>
                    <pic:cNvPicPr/>
                  </pic:nvPicPr>
                  <pic:blipFill>
                    <a:blip r:embed="rId67">
                      <a:extLst>
                        <a:ext uri="{28A0092B-C50C-407E-A947-70E740481C1C}">
                          <a14:useLocalDpi xmlns:a14="http://schemas.microsoft.com/office/drawing/2010/main" val="0"/>
                        </a:ext>
                      </a:extLst>
                    </a:blip>
                    <a:stretch>
                      <a:fillRect/>
                    </a:stretch>
                  </pic:blipFill>
                  <pic:spPr>
                    <a:xfrm>
                      <a:off x="0" y="0"/>
                      <a:ext cx="5688332" cy="3719195"/>
                    </a:xfrm>
                    <a:prstGeom prst="rect">
                      <a:avLst/>
                    </a:prstGeom>
                  </pic:spPr>
                </pic:pic>
              </a:graphicData>
            </a:graphic>
          </wp:inline>
        </w:drawing>
      </w:r>
    </w:p>
    <w:p w14:paraId="7808DD05" w14:textId="77777777" w:rsidR="00514CC0" w:rsidRDefault="00E72B49">
      <w:pPr>
        <w:pStyle w:val="OWFigurefootnote"/>
      </w:pPr>
      <w:r>
        <w:t>Sources: NCAS 2009 and NCAS 2017</w:t>
      </w:r>
    </w:p>
    <w:p w14:paraId="071412C3" w14:textId="77777777" w:rsidR="00514CC0" w:rsidRDefault="00E72B49" w:rsidP="00F868FE">
      <w:pPr>
        <w:pStyle w:val="Heading5"/>
      </w:pPr>
      <w:r>
        <w:t>Disaggregating 2017 data: how do women, men, young people, Aboriginal and Torres Strait Islander people, and people born in non-main English-speaking countries respond to these questions on male control and dominance of intimate relationships with women?</w:t>
      </w:r>
    </w:p>
    <w:p w14:paraId="282085C1" w14:textId="124622EC" w:rsidR="00514CC0" w:rsidRDefault="00E72B49">
      <w:pPr>
        <w:pStyle w:val="BodyText"/>
      </w:pPr>
      <w:r>
        <w:t xml:space="preserve">It is in this realm of gender equality in private life that differences are revealed between the attitudes of women and men. Based on the 2017 NCAS data, only one in five women (19%) agreed that ‘Women prefer a man to be in charge of the relationship’, while one-third of men (32%) agreed with this statement. The proportion of men who agreed that ‘Men should </w:t>
      </w:r>
      <w:r>
        <w:lastRenderedPageBreak/>
        <w:t>take control in relationships and be the head of the household’ was significantly higher than the proportion of women who agreed – 21% as compared with 12%.</w:t>
      </w:r>
      <w:r w:rsidR="0071337A">
        <w:rPr>
          <w:rStyle w:val="EndnoteReference"/>
        </w:rPr>
        <w:endnoteReference w:id="375"/>
      </w:r>
      <w:r>
        <w:t xml:space="preserve"> It would seem, then, that women and men have quite different views and aspirations with regard to gender equality in female–male or heterosexual relationships. This is consistent with the findings of other surveys such as the Household Income and Labour Dynamics Australia (HILDA) survey.</w:t>
      </w:r>
    </w:p>
    <w:p w14:paraId="02B7F876" w14:textId="12E87085" w:rsidR="00514CC0" w:rsidRDefault="00E72B49">
      <w:pPr>
        <w:pStyle w:val="BodyText"/>
      </w:pPr>
      <w:r>
        <w:t>The results from the young people’s sample in the NCAS 2017 are similar overall to the whole-of-population results, and also reveal considerable differences in how young women and young men respond to these two questions. Overall, 17% of young people agreed that ‘Men should take control in relationships and be the head of the household’, down by 5</w:t>
      </w:r>
      <w:r w:rsidR="00D57A45">
        <w:t> </w:t>
      </w:r>
      <w:r>
        <w:t>percentage points from the 2013 result (22%). However, only 12% of young women agreed with this statement, as compared with 22% of young men.</w:t>
      </w:r>
      <w:r w:rsidR="0071337A">
        <w:rPr>
          <w:rStyle w:val="EndnoteReference"/>
        </w:rPr>
        <w:endnoteReference w:id="376"/>
      </w:r>
      <w:r>
        <w:t xml:space="preserve"> Overall, 31% of young people agreed that ‘Women prefer a man to be in charge in the relationship’ (higher than the whole-of-population agreement rate of 25%). However, young men were more likely to subscribe to this idea, with 36% agreeing, compared to 26% of young women (a statistically significant difference in how young men and young women responded) (see Table </w:t>
      </w:r>
      <w:r w:rsidR="0017588F">
        <w:t>31</w:t>
      </w:r>
      <w:r>
        <w:t>, below).</w:t>
      </w:r>
      <w:r w:rsidR="0071337A">
        <w:rPr>
          <w:rStyle w:val="EndnoteReference"/>
        </w:rPr>
        <w:endnoteReference w:id="377"/>
      </w:r>
    </w:p>
    <w:p w14:paraId="66C374F2" w14:textId="4C3BE748" w:rsidR="00514CC0" w:rsidRDefault="00E72B49">
      <w:pPr>
        <w:pStyle w:val="BodyText"/>
      </w:pPr>
      <w:r>
        <w:t xml:space="preserve">The responses of Aboriginal and Torres Strait Islander people to these two questions are reasonably similar to the whole-of-population results. One in five (20%) Aboriginal and Torres Strait Islander people agree that ‘Men should take control in relationships and be head of the household’. However, there is a statistically significant difference in how </w:t>
      </w:r>
      <w:r w:rsidR="002220D2">
        <w:t>Aboriginal and Torres Strait Islander men and</w:t>
      </w:r>
      <w:r>
        <w:t xml:space="preserve"> women answered this question, with an agreement rate of 27% among men as compared with only 13% of women. A gender difference in response rates was less stark for the statement ‘Women prefer a man to be in</w:t>
      </w:r>
      <w:r w:rsidR="00C01D7C">
        <w:t> </w:t>
      </w:r>
      <w:r>
        <w:t>charge of the relationship’, with 29% of Aboriginal and Torres Strait Islander men agreeing to this, as compared with 26% of Aboriginal and Torres Strait Islander women. The overall agreement response rate to this statement among Aboriginal and Torres Strait Islander people was 28%.</w:t>
      </w:r>
      <w:r w:rsidR="00C003A0">
        <w:rPr>
          <w:rStyle w:val="EndnoteReference"/>
        </w:rPr>
        <w:endnoteReference w:id="378"/>
      </w:r>
    </w:p>
    <w:p w14:paraId="736A5CF4" w14:textId="5B155074" w:rsidR="00514CC0" w:rsidRDefault="00E72B49">
      <w:pPr>
        <w:pStyle w:val="BodyText"/>
      </w:pPr>
      <w:r>
        <w:t>Overall, the agreement response rates to these two questions from the cohort of people born in non-main English-speaking countries is statistically significantly different to the overall population agreement rate. Over one-quarter (26%) of people from non-main English-speaking countries agreed that ‘Men should take control in relationships and be head of the household’ (as compared with 16% whole-of-population agreement rate). Nearly two in five (37%) of people from non-main English-speaking countries agreed that ‘Women prefer a man to be in charge of the relationship’ (while the whole-of-population agreement rate was 25%). However, on both questions, there were considerable differences in the agreement response rates of women and men. In response to the statement ‘Women prefer a man to be in charge of the relationship’, 30% of women agreed, as compared with 43% of</w:t>
      </w:r>
      <w:r w:rsidR="00C01D7C">
        <w:t> </w:t>
      </w:r>
      <w:r>
        <w:t>men (a statistically significant difference). In response to ‘Men should take control in relationships and be head of the household’, 30% of men agreed, as compared with only 21% of women.</w:t>
      </w:r>
      <w:r w:rsidR="00C003A0">
        <w:rPr>
          <w:rStyle w:val="EndnoteReference"/>
        </w:rPr>
        <w:endnoteReference w:id="379"/>
      </w:r>
    </w:p>
    <w:p w14:paraId="527CE2D8" w14:textId="2B5FA32B" w:rsidR="00514CC0" w:rsidRDefault="00E72B49">
      <w:pPr>
        <w:pStyle w:val="OWTablecaption"/>
      </w:pPr>
      <w:r>
        <w:lastRenderedPageBreak/>
        <w:t xml:space="preserve">Table </w:t>
      </w:r>
      <w:r w:rsidR="0017588F">
        <w:t>31</w:t>
      </w:r>
      <w:r>
        <w:t>: Attitudes to men’s control and women’s independence in relationships, proportion agreement to statement, 2017 results disaggregated</w:t>
      </w:r>
    </w:p>
    <w:tbl>
      <w:tblPr>
        <w:tblStyle w:val="Datatableteal"/>
        <w:tblW w:w="9072" w:type="dxa"/>
        <w:tblLayout w:type="fixed"/>
        <w:tblLook w:val="06A0" w:firstRow="1" w:lastRow="0" w:firstColumn="1" w:lastColumn="0" w:noHBand="1" w:noVBand="1"/>
      </w:tblPr>
      <w:tblGrid>
        <w:gridCol w:w="4536"/>
        <w:gridCol w:w="2268"/>
        <w:gridCol w:w="2268"/>
      </w:tblGrid>
      <w:tr w:rsidR="00514CC0" w14:paraId="0D15B601" w14:textId="77777777" w:rsidTr="00F0324E">
        <w:trPr>
          <w:cnfStyle w:val="100000000000" w:firstRow="1" w:lastRow="0" w:firstColumn="0" w:lastColumn="0" w:oddVBand="0" w:evenVBand="0" w:oddHBand="0" w:evenHBand="0" w:firstRowFirstColumn="0" w:firstRowLastColumn="0" w:lastRowFirstColumn="0" w:lastRowLastColumn="0"/>
          <w:cantSplit/>
          <w:trHeight w:val="60"/>
          <w:tblHeader/>
        </w:trPr>
        <w:tc>
          <w:tcPr>
            <w:tcW w:w="4535" w:type="dxa"/>
          </w:tcPr>
          <w:p w14:paraId="1C174905" w14:textId="77777777" w:rsidR="00514CC0" w:rsidRPr="00DC705E" w:rsidRDefault="00E72B49">
            <w:pPr>
              <w:pStyle w:val="OWTablecolumnheadleft"/>
            </w:pPr>
            <w:r w:rsidRPr="00DC705E">
              <w:t>Sub-population group results</w:t>
            </w:r>
          </w:p>
        </w:tc>
        <w:tc>
          <w:tcPr>
            <w:tcW w:w="2268" w:type="dxa"/>
          </w:tcPr>
          <w:p w14:paraId="44590268" w14:textId="77777777" w:rsidR="00514CC0" w:rsidRPr="00DC705E" w:rsidRDefault="00E72B49">
            <w:pPr>
              <w:pStyle w:val="OWTablecolumnheadcentre"/>
            </w:pPr>
            <w:r w:rsidRPr="00DC705E">
              <w:t>Statement 1: Men should take control in relationships and be head of the household</w:t>
            </w:r>
          </w:p>
        </w:tc>
        <w:tc>
          <w:tcPr>
            <w:tcW w:w="2268" w:type="dxa"/>
          </w:tcPr>
          <w:p w14:paraId="25BE3576" w14:textId="77777777" w:rsidR="00514CC0" w:rsidRPr="00DC705E" w:rsidRDefault="00E72B49">
            <w:pPr>
              <w:pStyle w:val="OWTablecolumnheadcentre"/>
            </w:pPr>
            <w:r w:rsidRPr="00DC705E">
              <w:t>Statement 2: Women prefer a man to be in charge of the relationship</w:t>
            </w:r>
          </w:p>
        </w:tc>
      </w:tr>
      <w:tr w:rsidR="00514CC0" w14:paraId="4D288C7F" w14:textId="77777777" w:rsidTr="00F0324E">
        <w:trPr>
          <w:cantSplit/>
          <w:trHeight w:val="60"/>
        </w:trPr>
        <w:tc>
          <w:tcPr>
            <w:tcW w:w="4535" w:type="dxa"/>
          </w:tcPr>
          <w:p w14:paraId="14F3F871" w14:textId="77777777" w:rsidR="00514CC0" w:rsidRDefault="00E72B49" w:rsidP="006B08D1">
            <w:pPr>
              <w:pStyle w:val="OWTablebodyleft"/>
              <w:spacing w:before="60" w:after="80"/>
            </w:pPr>
            <w:r>
              <w:t>Whole-of-population agreement rate</w:t>
            </w:r>
          </w:p>
        </w:tc>
        <w:tc>
          <w:tcPr>
            <w:tcW w:w="2268" w:type="dxa"/>
          </w:tcPr>
          <w:p w14:paraId="6E8EC3BD" w14:textId="77777777" w:rsidR="00514CC0" w:rsidRDefault="00E72B49" w:rsidP="006B08D1">
            <w:pPr>
              <w:pStyle w:val="OWTablebodycentre"/>
              <w:spacing w:before="60" w:after="80"/>
            </w:pPr>
            <w:r>
              <w:t>16%</w:t>
            </w:r>
          </w:p>
        </w:tc>
        <w:tc>
          <w:tcPr>
            <w:tcW w:w="2268" w:type="dxa"/>
          </w:tcPr>
          <w:p w14:paraId="75F82ECE" w14:textId="77777777" w:rsidR="00514CC0" w:rsidRDefault="00E72B49" w:rsidP="006B08D1">
            <w:pPr>
              <w:pStyle w:val="OWTablebodycentre"/>
              <w:spacing w:before="60" w:after="80"/>
            </w:pPr>
            <w:r>
              <w:t>25%</w:t>
            </w:r>
          </w:p>
        </w:tc>
      </w:tr>
      <w:tr w:rsidR="00514CC0" w14:paraId="18596A00" w14:textId="77777777" w:rsidTr="00F0324E">
        <w:trPr>
          <w:cantSplit/>
          <w:trHeight w:val="60"/>
        </w:trPr>
        <w:tc>
          <w:tcPr>
            <w:tcW w:w="4535" w:type="dxa"/>
          </w:tcPr>
          <w:p w14:paraId="27A2C120" w14:textId="77777777" w:rsidR="00514CC0" w:rsidRDefault="00E72B49" w:rsidP="006B08D1">
            <w:pPr>
              <w:pStyle w:val="OWTablebodyindent1"/>
              <w:spacing w:before="60" w:after="80"/>
            </w:pPr>
            <w:r>
              <w:t>Women’s agreement rate</w:t>
            </w:r>
          </w:p>
        </w:tc>
        <w:tc>
          <w:tcPr>
            <w:tcW w:w="2268" w:type="dxa"/>
          </w:tcPr>
          <w:p w14:paraId="29D7AC10" w14:textId="77777777" w:rsidR="00514CC0" w:rsidRDefault="00E72B49" w:rsidP="006B08D1">
            <w:pPr>
              <w:pStyle w:val="OWTablebodycentre"/>
              <w:spacing w:before="60" w:after="80"/>
            </w:pPr>
            <w:r>
              <w:t>12%</w:t>
            </w:r>
          </w:p>
        </w:tc>
        <w:tc>
          <w:tcPr>
            <w:tcW w:w="2268" w:type="dxa"/>
          </w:tcPr>
          <w:p w14:paraId="51F0A792" w14:textId="77777777" w:rsidR="00514CC0" w:rsidRDefault="00E72B49" w:rsidP="006B08D1">
            <w:pPr>
              <w:pStyle w:val="OWTablebodycentre"/>
              <w:spacing w:before="60" w:after="80"/>
            </w:pPr>
            <w:r>
              <w:t>19%</w:t>
            </w:r>
          </w:p>
        </w:tc>
      </w:tr>
      <w:tr w:rsidR="00514CC0" w14:paraId="2A7C47B0" w14:textId="77777777" w:rsidTr="00F0324E">
        <w:trPr>
          <w:cantSplit/>
          <w:trHeight w:val="60"/>
        </w:trPr>
        <w:tc>
          <w:tcPr>
            <w:tcW w:w="4535" w:type="dxa"/>
          </w:tcPr>
          <w:p w14:paraId="3944534C" w14:textId="77777777" w:rsidR="00514CC0" w:rsidRDefault="00E72B49" w:rsidP="006B08D1">
            <w:pPr>
              <w:pStyle w:val="OWTablebodyindent1"/>
              <w:spacing w:before="60" w:after="80"/>
            </w:pPr>
            <w:r>
              <w:t>Men’s agreement rate</w:t>
            </w:r>
          </w:p>
        </w:tc>
        <w:tc>
          <w:tcPr>
            <w:tcW w:w="2268" w:type="dxa"/>
          </w:tcPr>
          <w:p w14:paraId="0D3C6786" w14:textId="77777777" w:rsidR="00514CC0" w:rsidRDefault="00E72B49" w:rsidP="006B08D1">
            <w:pPr>
              <w:pStyle w:val="OWTablebodycentre"/>
              <w:spacing w:before="60" w:after="80"/>
            </w:pPr>
            <w:r>
              <w:t>21%</w:t>
            </w:r>
          </w:p>
        </w:tc>
        <w:tc>
          <w:tcPr>
            <w:tcW w:w="2268" w:type="dxa"/>
          </w:tcPr>
          <w:p w14:paraId="615C3C25" w14:textId="77777777" w:rsidR="00514CC0" w:rsidRDefault="00E72B49" w:rsidP="006B08D1">
            <w:pPr>
              <w:pStyle w:val="OWTablebodycentre"/>
              <w:spacing w:before="60" w:after="80"/>
            </w:pPr>
            <w:r>
              <w:t>32%</w:t>
            </w:r>
          </w:p>
        </w:tc>
      </w:tr>
      <w:tr w:rsidR="00514CC0" w14:paraId="12680DD0" w14:textId="77777777" w:rsidTr="00F0324E">
        <w:trPr>
          <w:cantSplit/>
          <w:trHeight w:val="60"/>
        </w:trPr>
        <w:tc>
          <w:tcPr>
            <w:tcW w:w="4535" w:type="dxa"/>
          </w:tcPr>
          <w:p w14:paraId="7CD6E228" w14:textId="77777777" w:rsidR="00514CC0" w:rsidRDefault="00E72B49" w:rsidP="006B08D1">
            <w:pPr>
              <w:pStyle w:val="OWTablebodyleft"/>
              <w:spacing w:before="60" w:after="80"/>
            </w:pPr>
            <w:r>
              <w:t>Young people’s agreement rate</w:t>
            </w:r>
          </w:p>
        </w:tc>
        <w:tc>
          <w:tcPr>
            <w:tcW w:w="2268" w:type="dxa"/>
          </w:tcPr>
          <w:p w14:paraId="5AAF13B6" w14:textId="77777777" w:rsidR="00514CC0" w:rsidRDefault="00E72B49" w:rsidP="006B08D1">
            <w:pPr>
              <w:pStyle w:val="OWTablebodycentre"/>
              <w:spacing w:before="60" w:after="80"/>
            </w:pPr>
            <w:r>
              <w:t>17%</w:t>
            </w:r>
          </w:p>
        </w:tc>
        <w:tc>
          <w:tcPr>
            <w:tcW w:w="2268" w:type="dxa"/>
          </w:tcPr>
          <w:p w14:paraId="09941EA3" w14:textId="77777777" w:rsidR="00514CC0" w:rsidRDefault="00E72B49" w:rsidP="006B08D1">
            <w:pPr>
              <w:pStyle w:val="OWTablebodycentre"/>
              <w:spacing w:before="60" w:after="80"/>
            </w:pPr>
            <w:r>
              <w:t>31%</w:t>
            </w:r>
          </w:p>
        </w:tc>
      </w:tr>
      <w:tr w:rsidR="00514CC0" w14:paraId="3E42E855" w14:textId="77777777" w:rsidTr="00F0324E">
        <w:trPr>
          <w:cantSplit/>
          <w:trHeight w:val="60"/>
        </w:trPr>
        <w:tc>
          <w:tcPr>
            <w:tcW w:w="4535" w:type="dxa"/>
          </w:tcPr>
          <w:p w14:paraId="3CE699B0" w14:textId="77777777" w:rsidR="00514CC0" w:rsidRDefault="00E72B49" w:rsidP="006B08D1">
            <w:pPr>
              <w:pStyle w:val="OWTablebodyindent1"/>
              <w:spacing w:before="60" w:after="80"/>
            </w:pPr>
            <w:r>
              <w:t>Young women’s agreement rate</w:t>
            </w:r>
          </w:p>
        </w:tc>
        <w:tc>
          <w:tcPr>
            <w:tcW w:w="2268" w:type="dxa"/>
          </w:tcPr>
          <w:p w14:paraId="75A2C675" w14:textId="77777777" w:rsidR="00514CC0" w:rsidRDefault="00E72B49" w:rsidP="006B08D1">
            <w:pPr>
              <w:pStyle w:val="OWTablebodycentre"/>
              <w:spacing w:before="60" w:after="80"/>
            </w:pPr>
            <w:r>
              <w:t>12%</w:t>
            </w:r>
          </w:p>
        </w:tc>
        <w:tc>
          <w:tcPr>
            <w:tcW w:w="2268" w:type="dxa"/>
          </w:tcPr>
          <w:p w14:paraId="00A46853" w14:textId="77777777" w:rsidR="00514CC0" w:rsidRDefault="00E72B49" w:rsidP="006B08D1">
            <w:pPr>
              <w:pStyle w:val="OWTablebodycentre"/>
              <w:spacing w:before="60" w:after="80"/>
            </w:pPr>
            <w:r>
              <w:t>26%</w:t>
            </w:r>
          </w:p>
        </w:tc>
      </w:tr>
      <w:tr w:rsidR="00514CC0" w14:paraId="02D4B92E" w14:textId="77777777" w:rsidTr="00F0324E">
        <w:trPr>
          <w:cantSplit/>
          <w:trHeight w:val="60"/>
        </w:trPr>
        <w:tc>
          <w:tcPr>
            <w:tcW w:w="4535" w:type="dxa"/>
          </w:tcPr>
          <w:p w14:paraId="27D7D6DA" w14:textId="77777777" w:rsidR="00514CC0" w:rsidRDefault="00E72B49" w:rsidP="006B08D1">
            <w:pPr>
              <w:pStyle w:val="OWTablebodyindent1"/>
              <w:spacing w:before="60" w:after="80"/>
            </w:pPr>
            <w:r>
              <w:t>Young men’s agreement rate</w:t>
            </w:r>
          </w:p>
        </w:tc>
        <w:tc>
          <w:tcPr>
            <w:tcW w:w="2268" w:type="dxa"/>
          </w:tcPr>
          <w:p w14:paraId="1E5A4390" w14:textId="77777777" w:rsidR="00514CC0" w:rsidRDefault="00E72B49" w:rsidP="006B08D1">
            <w:pPr>
              <w:pStyle w:val="OWTablebodycentre"/>
              <w:spacing w:before="60" w:after="80"/>
            </w:pPr>
            <w:r>
              <w:t>22%</w:t>
            </w:r>
          </w:p>
        </w:tc>
        <w:tc>
          <w:tcPr>
            <w:tcW w:w="2268" w:type="dxa"/>
          </w:tcPr>
          <w:p w14:paraId="07DEA10A" w14:textId="77777777" w:rsidR="00514CC0" w:rsidRDefault="00E72B49" w:rsidP="006B08D1">
            <w:pPr>
              <w:pStyle w:val="OWTablebodycentre"/>
              <w:spacing w:before="60" w:after="80"/>
            </w:pPr>
            <w:r>
              <w:t>36%</w:t>
            </w:r>
          </w:p>
        </w:tc>
      </w:tr>
      <w:tr w:rsidR="00514CC0" w14:paraId="59CB9D80" w14:textId="77777777" w:rsidTr="00F0324E">
        <w:trPr>
          <w:cantSplit/>
          <w:trHeight w:val="60"/>
        </w:trPr>
        <w:tc>
          <w:tcPr>
            <w:tcW w:w="4535" w:type="dxa"/>
          </w:tcPr>
          <w:p w14:paraId="35D0C432" w14:textId="77777777" w:rsidR="00514CC0" w:rsidRDefault="00E72B49" w:rsidP="006B08D1">
            <w:pPr>
              <w:pStyle w:val="OWTablebodyindent1"/>
              <w:spacing w:before="60" w:after="80"/>
            </w:pPr>
            <w:r>
              <w:t>Aboriginal and Torres Strait Islander people’s agreement rate</w:t>
            </w:r>
          </w:p>
        </w:tc>
        <w:tc>
          <w:tcPr>
            <w:tcW w:w="2268" w:type="dxa"/>
          </w:tcPr>
          <w:p w14:paraId="25038BA2" w14:textId="77777777" w:rsidR="00514CC0" w:rsidRDefault="00E72B49" w:rsidP="006B08D1">
            <w:pPr>
              <w:pStyle w:val="OWTablebodycentre"/>
              <w:spacing w:before="60" w:after="80"/>
            </w:pPr>
            <w:r>
              <w:t>20%</w:t>
            </w:r>
          </w:p>
        </w:tc>
        <w:tc>
          <w:tcPr>
            <w:tcW w:w="2268" w:type="dxa"/>
          </w:tcPr>
          <w:p w14:paraId="14108BB0" w14:textId="77777777" w:rsidR="00514CC0" w:rsidRDefault="00E72B49" w:rsidP="006B08D1">
            <w:pPr>
              <w:pStyle w:val="OWTablebodycentre"/>
              <w:spacing w:before="60" w:after="80"/>
            </w:pPr>
            <w:r>
              <w:t>28%</w:t>
            </w:r>
          </w:p>
        </w:tc>
      </w:tr>
      <w:tr w:rsidR="00514CC0" w14:paraId="1EAEDFB9" w14:textId="77777777" w:rsidTr="00F0324E">
        <w:trPr>
          <w:cantSplit/>
          <w:trHeight w:val="60"/>
        </w:trPr>
        <w:tc>
          <w:tcPr>
            <w:tcW w:w="4535" w:type="dxa"/>
          </w:tcPr>
          <w:p w14:paraId="73662B09" w14:textId="77777777" w:rsidR="00514CC0" w:rsidRDefault="00E72B49" w:rsidP="006B08D1">
            <w:pPr>
              <w:pStyle w:val="OWTablebodyindent1"/>
              <w:spacing w:before="60" w:after="80"/>
            </w:pPr>
            <w:r>
              <w:t>Aboriginal and Torres Strait Islander women’s agreement rate</w:t>
            </w:r>
          </w:p>
        </w:tc>
        <w:tc>
          <w:tcPr>
            <w:tcW w:w="2268" w:type="dxa"/>
          </w:tcPr>
          <w:p w14:paraId="318DFBEB" w14:textId="77777777" w:rsidR="00514CC0" w:rsidRDefault="00E72B49" w:rsidP="006B08D1">
            <w:pPr>
              <w:pStyle w:val="OWTablebodycentre"/>
              <w:spacing w:before="60" w:after="80"/>
            </w:pPr>
            <w:r>
              <w:t>13%*</w:t>
            </w:r>
          </w:p>
        </w:tc>
        <w:tc>
          <w:tcPr>
            <w:tcW w:w="2268" w:type="dxa"/>
          </w:tcPr>
          <w:p w14:paraId="2F0645C2" w14:textId="77777777" w:rsidR="00514CC0" w:rsidRDefault="00E72B49" w:rsidP="006B08D1">
            <w:pPr>
              <w:pStyle w:val="OWTablebodycentre"/>
              <w:spacing w:before="60" w:after="80"/>
            </w:pPr>
            <w:r>
              <w:t>26%</w:t>
            </w:r>
          </w:p>
        </w:tc>
      </w:tr>
      <w:tr w:rsidR="00514CC0" w14:paraId="45906613" w14:textId="77777777" w:rsidTr="00F0324E">
        <w:trPr>
          <w:cantSplit/>
          <w:trHeight w:val="60"/>
        </w:trPr>
        <w:tc>
          <w:tcPr>
            <w:tcW w:w="4535" w:type="dxa"/>
          </w:tcPr>
          <w:p w14:paraId="35C9712F" w14:textId="77777777" w:rsidR="00514CC0" w:rsidRDefault="00E72B49" w:rsidP="006B08D1">
            <w:pPr>
              <w:pStyle w:val="OWTablebodyleft"/>
              <w:spacing w:before="60" w:after="80"/>
            </w:pPr>
            <w:r>
              <w:t>Aboriginal and Torres Strait Islander men’s agreement rate</w:t>
            </w:r>
          </w:p>
        </w:tc>
        <w:tc>
          <w:tcPr>
            <w:tcW w:w="2268" w:type="dxa"/>
          </w:tcPr>
          <w:p w14:paraId="0C07DBAA" w14:textId="77777777" w:rsidR="00514CC0" w:rsidRDefault="00E72B49" w:rsidP="006B08D1">
            <w:pPr>
              <w:pStyle w:val="OWTablebodycentre"/>
              <w:spacing w:before="60" w:after="80"/>
            </w:pPr>
            <w:r>
              <w:t>27%*</w:t>
            </w:r>
          </w:p>
        </w:tc>
        <w:tc>
          <w:tcPr>
            <w:tcW w:w="2268" w:type="dxa"/>
          </w:tcPr>
          <w:p w14:paraId="2482B617" w14:textId="77777777" w:rsidR="00514CC0" w:rsidRDefault="00E72B49" w:rsidP="006B08D1">
            <w:pPr>
              <w:pStyle w:val="OWTablebodycentre"/>
              <w:spacing w:before="60" w:after="80"/>
            </w:pPr>
            <w:r>
              <w:t>29%</w:t>
            </w:r>
          </w:p>
        </w:tc>
      </w:tr>
      <w:tr w:rsidR="00514CC0" w14:paraId="28A6DA3A" w14:textId="77777777" w:rsidTr="00F0324E">
        <w:trPr>
          <w:cantSplit/>
          <w:trHeight w:val="60"/>
        </w:trPr>
        <w:tc>
          <w:tcPr>
            <w:tcW w:w="4535" w:type="dxa"/>
          </w:tcPr>
          <w:p w14:paraId="4FA8B8F3" w14:textId="77777777" w:rsidR="00514CC0" w:rsidRDefault="00E72B49" w:rsidP="006B08D1">
            <w:pPr>
              <w:pStyle w:val="OWTablebodyleft"/>
              <w:spacing w:before="60" w:after="80"/>
            </w:pPr>
            <w:r>
              <w:t>People born in non-main English-speaking countries’ agreement rate</w:t>
            </w:r>
          </w:p>
        </w:tc>
        <w:tc>
          <w:tcPr>
            <w:tcW w:w="2268" w:type="dxa"/>
          </w:tcPr>
          <w:p w14:paraId="16CC1826" w14:textId="77777777" w:rsidR="00514CC0" w:rsidRDefault="00E72B49" w:rsidP="006B08D1">
            <w:pPr>
              <w:pStyle w:val="OWTablebodycentre"/>
              <w:spacing w:before="60" w:after="80"/>
            </w:pPr>
            <w:r>
              <w:t>26%^</w:t>
            </w:r>
          </w:p>
        </w:tc>
        <w:tc>
          <w:tcPr>
            <w:tcW w:w="2268" w:type="dxa"/>
          </w:tcPr>
          <w:p w14:paraId="2EC7236D" w14:textId="77777777" w:rsidR="00514CC0" w:rsidRDefault="00E72B49" w:rsidP="006B08D1">
            <w:pPr>
              <w:pStyle w:val="OWTablebodycentre"/>
              <w:spacing w:before="60" w:after="80"/>
            </w:pPr>
            <w:r>
              <w:t>37%^</w:t>
            </w:r>
          </w:p>
        </w:tc>
      </w:tr>
      <w:tr w:rsidR="00514CC0" w14:paraId="44E45EFD" w14:textId="77777777" w:rsidTr="00F0324E">
        <w:trPr>
          <w:cantSplit/>
          <w:trHeight w:val="60"/>
        </w:trPr>
        <w:tc>
          <w:tcPr>
            <w:tcW w:w="4535" w:type="dxa"/>
          </w:tcPr>
          <w:p w14:paraId="240E9D71" w14:textId="77777777" w:rsidR="00514CC0" w:rsidRDefault="00E72B49" w:rsidP="006B08D1">
            <w:pPr>
              <w:pStyle w:val="OWTablebodyindent1"/>
              <w:spacing w:before="60" w:after="80"/>
            </w:pPr>
            <w:r>
              <w:t>Women born in non-main English-speaking countries’ agreement rate</w:t>
            </w:r>
          </w:p>
        </w:tc>
        <w:tc>
          <w:tcPr>
            <w:tcW w:w="2268" w:type="dxa"/>
          </w:tcPr>
          <w:p w14:paraId="5FBABEA2" w14:textId="77777777" w:rsidR="00514CC0" w:rsidRDefault="00E72B49" w:rsidP="006B08D1">
            <w:pPr>
              <w:pStyle w:val="OWTablebodycentre"/>
              <w:spacing w:before="60" w:after="80"/>
            </w:pPr>
            <w:r>
              <w:t>21</w:t>
            </w:r>
          </w:p>
        </w:tc>
        <w:tc>
          <w:tcPr>
            <w:tcW w:w="2268" w:type="dxa"/>
          </w:tcPr>
          <w:p w14:paraId="1A302ABD" w14:textId="77777777" w:rsidR="00514CC0" w:rsidRDefault="00E72B49" w:rsidP="006B08D1">
            <w:pPr>
              <w:pStyle w:val="OWTablebodycentre"/>
              <w:spacing w:before="60" w:after="80"/>
            </w:pPr>
            <w:r>
              <w:t>30*</w:t>
            </w:r>
          </w:p>
        </w:tc>
      </w:tr>
      <w:tr w:rsidR="00514CC0" w14:paraId="7B39DFD0" w14:textId="77777777" w:rsidTr="00F0324E">
        <w:trPr>
          <w:cantSplit/>
          <w:trHeight w:val="60"/>
        </w:trPr>
        <w:tc>
          <w:tcPr>
            <w:tcW w:w="4535" w:type="dxa"/>
          </w:tcPr>
          <w:p w14:paraId="081CF0F2" w14:textId="77777777" w:rsidR="00514CC0" w:rsidRDefault="00E72B49" w:rsidP="006B08D1">
            <w:pPr>
              <w:pStyle w:val="OWTablebodyindent1"/>
              <w:spacing w:before="60" w:after="80"/>
            </w:pPr>
            <w:r>
              <w:t>Men born in non-main English-speaking countries’ agreement rate</w:t>
            </w:r>
          </w:p>
        </w:tc>
        <w:tc>
          <w:tcPr>
            <w:tcW w:w="2268" w:type="dxa"/>
          </w:tcPr>
          <w:p w14:paraId="59543001" w14:textId="77777777" w:rsidR="00514CC0" w:rsidRDefault="00E72B49" w:rsidP="006B08D1">
            <w:pPr>
              <w:pStyle w:val="OWTablebodycentre"/>
              <w:spacing w:before="60" w:after="80"/>
            </w:pPr>
            <w:r>
              <w:t>30</w:t>
            </w:r>
          </w:p>
        </w:tc>
        <w:tc>
          <w:tcPr>
            <w:tcW w:w="2268" w:type="dxa"/>
          </w:tcPr>
          <w:p w14:paraId="0DC28A22" w14:textId="77777777" w:rsidR="00514CC0" w:rsidRDefault="00E72B49" w:rsidP="006B08D1">
            <w:pPr>
              <w:pStyle w:val="OWTablebodycentre"/>
              <w:spacing w:before="60" w:after="80"/>
            </w:pPr>
            <w:r>
              <w:t>43*</w:t>
            </w:r>
          </w:p>
        </w:tc>
      </w:tr>
    </w:tbl>
    <w:p w14:paraId="62A272D9" w14:textId="77777777" w:rsidR="00514CC0" w:rsidRDefault="00E72B49">
      <w:pPr>
        <w:pStyle w:val="OWTablefootnote"/>
      </w:pPr>
      <w:r>
        <w:t>Source: NCAS 2017</w:t>
      </w:r>
    </w:p>
    <w:p w14:paraId="0D1CCAC6" w14:textId="77777777" w:rsidR="00514CC0" w:rsidRDefault="00E72B49">
      <w:pPr>
        <w:pStyle w:val="OWTablefootnoteindent"/>
      </w:pPr>
      <w:r>
        <w:t>*</w:t>
      </w:r>
      <w:r>
        <w:tab/>
        <w:t>denotes a statistically significant difference between the responses of women and men of the particular demographic group</w:t>
      </w:r>
    </w:p>
    <w:p w14:paraId="249BBC89" w14:textId="77777777" w:rsidR="00514CC0" w:rsidRDefault="00E72B49">
      <w:pPr>
        <w:pStyle w:val="OWTablefootnoteindent"/>
      </w:pPr>
      <w:r>
        <w:t>^</w:t>
      </w:r>
      <w:r>
        <w:tab/>
        <w:t>denotes a statistically significant difference to the whole-of-population result</w:t>
      </w:r>
    </w:p>
    <w:p w14:paraId="059CACDD" w14:textId="015B51F9" w:rsidR="00514CC0" w:rsidRDefault="00E72B49">
      <w:pPr>
        <w:pStyle w:val="OWBodytextlargespaceabove"/>
      </w:pPr>
      <w:r>
        <w:t>The inaugural Man Box study in Australia (2018) examines the perceptions of young men (aged 18 to 30) with regard to attitudes and norms around manhood and masculinity.</w:t>
      </w:r>
      <w:r w:rsidR="00C003A0">
        <w:rPr>
          <w:rStyle w:val="EndnoteReference"/>
        </w:rPr>
        <w:endnoteReference w:id="380"/>
      </w:r>
      <w:r>
        <w:t xml:space="preserve"> While only baseline data at this stage, it is a pertinent study for inclusion here. Three statements put to respondents are of relevance to men’s control and dominance and limitations to women’s independence in relationships:</w:t>
      </w:r>
    </w:p>
    <w:p w14:paraId="66A04CA3" w14:textId="7BE04311" w:rsidR="00514CC0" w:rsidRDefault="00E72B49" w:rsidP="002C2EC7">
      <w:pPr>
        <w:pStyle w:val="OWNumberdigit"/>
        <w:numPr>
          <w:ilvl w:val="0"/>
          <w:numId w:val="11"/>
        </w:numPr>
      </w:pPr>
      <w:r>
        <w:t>Men should really be the ones to bring money home to provide for their families, not</w:t>
      </w:r>
      <w:r w:rsidR="00D57A45">
        <w:t> </w:t>
      </w:r>
      <w:r>
        <w:t>women.</w:t>
      </w:r>
    </w:p>
    <w:p w14:paraId="2EA8E574" w14:textId="77777777" w:rsidR="00514CC0" w:rsidRDefault="00E72B49">
      <w:pPr>
        <w:pStyle w:val="OWNumberdigit"/>
      </w:pPr>
      <w:r>
        <w:t>A man should always have the final say about decisions in his relationships or marriage.</w:t>
      </w:r>
    </w:p>
    <w:p w14:paraId="20775D9F" w14:textId="77777777" w:rsidR="00514CC0" w:rsidRDefault="00E72B49" w:rsidP="008C4334">
      <w:pPr>
        <w:pStyle w:val="OWNumberdigit"/>
      </w:pPr>
      <w:r>
        <w:t>If a guy has a girlfriend or wife, he deserves to know where she is at all times.</w:t>
      </w:r>
    </w:p>
    <w:p w14:paraId="1E4F655F" w14:textId="0EF1A66E" w:rsidR="00514CC0" w:rsidRDefault="00E72B49" w:rsidP="00DC705E">
      <w:pPr>
        <w:pStyle w:val="OWBodytextafterlist"/>
      </w:pPr>
      <w:r>
        <w:lastRenderedPageBreak/>
        <w:t xml:space="preserve">Across each of these questions, a considerable proportion of young men perceived a social norm telling them men should be financial providers and decision-makers in relationships with women, and also be controlling with regard to a female partner’s whereabouts. Moreover, a considerable proportion of young men not only perceived the existence of a social norm, but personally endorsed these norms through their individual attitudes. For example, over half (56%) of young men agreed that ‘Society tells me that men should really be the ones to bring money home to provide for their families, not women.’ More than one-third (35%) personally agreed that ‘Men should really be the ones to bring money to provide for their families, not women’ (see Table </w:t>
      </w:r>
      <w:r w:rsidR="0017588F">
        <w:t>32</w:t>
      </w:r>
      <w:r>
        <w:t xml:space="preserve">, below). In sum, </w:t>
      </w:r>
      <w:r w:rsidRPr="002D0D52">
        <w:rPr>
          <w:rStyle w:val="Strong"/>
        </w:rPr>
        <w:t>responses to these statements suggest that young men continue to be strongly influenced by social norms with regard to male control and limits to women’s independence and decision-making in relationships</w:t>
      </w:r>
      <w:r>
        <w:t>.</w:t>
      </w:r>
    </w:p>
    <w:p w14:paraId="66F0A15C" w14:textId="26404563" w:rsidR="00514CC0" w:rsidRDefault="00E72B49">
      <w:pPr>
        <w:pStyle w:val="OWTablecaption"/>
      </w:pPr>
      <w:r>
        <w:t xml:space="preserve">Table </w:t>
      </w:r>
      <w:r w:rsidR="0017588F">
        <w:t>32</w:t>
      </w:r>
      <w:r>
        <w:t>: Young men’s perceptions of attitudes and norms regarding men’s control and decision-making in relationships with women, 2018</w:t>
      </w:r>
    </w:p>
    <w:tbl>
      <w:tblPr>
        <w:tblStyle w:val="Datatableteal"/>
        <w:tblW w:w="9072" w:type="dxa"/>
        <w:tblLayout w:type="fixed"/>
        <w:tblLook w:val="06A0" w:firstRow="1" w:lastRow="0" w:firstColumn="1" w:lastColumn="0" w:noHBand="1" w:noVBand="1"/>
      </w:tblPr>
      <w:tblGrid>
        <w:gridCol w:w="3970"/>
        <w:gridCol w:w="1700"/>
        <w:gridCol w:w="1701"/>
        <w:gridCol w:w="1701"/>
      </w:tblGrid>
      <w:tr w:rsidR="00514CC0" w14:paraId="735019C2" w14:textId="77777777" w:rsidTr="00F0324E">
        <w:trPr>
          <w:cnfStyle w:val="100000000000" w:firstRow="1" w:lastRow="0" w:firstColumn="0" w:lastColumn="0" w:oddVBand="0" w:evenVBand="0" w:oddHBand="0" w:evenHBand="0" w:firstRowFirstColumn="0" w:firstRowLastColumn="0" w:lastRowFirstColumn="0" w:lastRowLastColumn="0"/>
          <w:cantSplit/>
          <w:trHeight w:val="60"/>
          <w:tblHeader/>
        </w:trPr>
        <w:tc>
          <w:tcPr>
            <w:tcW w:w="3969" w:type="dxa"/>
          </w:tcPr>
          <w:p w14:paraId="386B3AF0" w14:textId="77777777" w:rsidR="00514CC0" w:rsidRPr="00DC705E" w:rsidRDefault="00E72B49">
            <w:pPr>
              <w:pStyle w:val="OWTablecolumnheadleft"/>
            </w:pPr>
            <w:r w:rsidRPr="00DC705E">
              <w:t>Statement</w:t>
            </w:r>
          </w:p>
        </w:tc>
        <w:tc>
          <w:tcPr>
            <w:tcW w:w="1700" w:type="dxa"/>
          </w:tcPr>
          <w:p w14:paraId="04C0CDFA" w14:textId="77777777" w:rsidR="00514CC0" w:rsidRPr="00DC705E" w:rsidRDefault="00E72B49">
            <w:pPr>
              <w:pStyle w:val="OWTablecolumnheadcentre"/>
            </w:pPr>
            <w:r w:rsidRPr="00DC705E">
              <w:t xml:space="preserve">Social message/ </w:t>
            </w:r>
            <w:r w:rsidRPr="00DC705E">
              <w:br/>
              <w:t>norm: % agree that ‘Society tells me that …’</w:t>
            </w:r>
          </w:p>
        </w:tc>
        <w:tc>
          <w:tcPr>
            <w:tcW w:w="1701" w:type="dxa"/>
          </w:tcPr>
          <w:p w14:paraId="73AA998D" w14:textId="77777777" w:rsidR="00514CC0" w:rsidRPr="00DC705E" w:rsidRDefault="00E72B49">
            <w:pPr>
              <w:pStyle w:val="OWTablecolumnheadcentre"/>
            </w:pPr>
            <w:r w:rsidRPr="00DC705E">
              <w:t>Personal endorsement/ individual attitude: % agree that ‘In my opinion …’</w:t>
            </w:r>
          </w:p>
        </w:tc>
        <w:tc>
          <w:tcPr>
            <w:tcW w:w="1701" w:type="dxa"/>
          </w:tcPr>
          <w:p w14:paraId="72D1BD17" w14:textId="77777777" w:rsidR="00514CC0" w:rsidRPr="00DC705E" w:rsidRDefault="00E72B49">
            <w:pPr>
              <w:pStyle w:val="OWTablecolumnheadcentre"/>
            </w:pPr>
            <w:r w:rsidRPr="00DC705E">
              <w:t>Gap between social norm and individual attitude: %</w:t>
            </w:r>
          </w:p>
        </w:tc>
      </w:tr>
      <w:tr w:rsidR="00514CC0" w14:paraId="3D4B5E36" w14:textId="77777777" w:rsidTr="00F0324E">
        <w:trPr>
          <w:cantSplit/>
          <w:trHeight w:val="60"/>
        </w:trPr>
        <w:tc>
          <w:tcPr>
            <w:tcW w:w="3969" w:type="dxa"/>
          </w:tcPr>
          <w:p w14:paraId="62F911CC" w14:textId="77777777" w:rsidR="00514CC0" w:rsidRDefault="00E72B49">
            <w:pPr>
              <w:pStyle w:val="OWTablebodyleft"/>
            </w:pPr>
            <w:r>
              <w:t>Men should really be the ones to bring money home to provide for their families, not women</w:t>
            </w:r>
          </w:p>
        </w:tc>
        <w:tc>
          <w:tcPr>
            <w:tcW w:w="1700" w:type="dxa"/>
          </w:tcPr>
          <w:p w14:paraId="082CB5B9" w14:textId="77777777" w:rsidR="00514CC0" w:rsidRDefault="00E72B49">
            <w:pPr>
              <w:pStyle w:val="OWTablebodycentre"/>
            </w:pPr>
            <w:r>
              <w:t>56%</w:t>
            </w:r>
          </w:p>
        </w:tc>
        <w:tc>
          <w:tcPr>
            <w:tcW w:w="1701" w:type="dxa"/>
          </w:tcPr>
          <w:p w14:paraId="3644424A" w14:textId="77777777" w:rsidR="00514CC0" w:rsidRDefault="00E72B49">
            <w:pPr>
              <w:pStyle w:val="OWTablebodycentre"/>
            </w:pPr>
            <w:r>
              <w:t>35%</w:t>
            </w:r>
          </w:p>
        </w:tc>
        <w:tc>
          <w:tcPr>
            <w:tcW w:w="1701" w:type="dxa"/>
          </w:tcPr>
          <w:p w14:paraId="73AFE0AE" w14:textId="77777777" w:rsidR="00514CC0" w:rsidRDefault="00E72B49">
            <w:pPr>
              <w:pStyle w:val="OWTablebodycentre"/>
            </w:pPr>
            <w:r>
              <w:t>21%</w:t>
            </w:r>
          </w:p>
        </w:tc>
      </w:tr>
      <w:tr w:rsidR="00514CC0" w14:paraId="57FA8F8F" w14:textId="77777777" w:rsidTr="00F0324E">
        <w:trPr>
          <w:cantSplit/>
          <w:trHeight w:val="60"/>
        </w:trPr>
        <w:tc>
          <w:tcPr>
            <w:tcW w:w="3969" w:type="dxa"/>
          </w:tcPr>
          <w:p w14:paraId="0F69FFC8" w14:textId="77777777" w:rsidR="00514CC0" w:rsidRDefault="00E72B49">
            <w:pPr>
              <w:pStyle w:val="OWTablebodyleft"/>
            </w:pPr>
            <w:r>
              <w:t>A man should always have the final say about decisions in his relationships or marriage</w:t>
            </w:r>
          </w:p>
        </w:tc>
        <w:tc>
          <w:tcPr>
            <w:tcW w:w="1700" w:type="dxa"/>
          </w:tcPr>
          <w:p w14:paraId="70865E0A" w14:textId="77777777" w:rsidR="00514CC0" w:rsidRDefault="00E72B49">
            <w:pPr>
              <w:pStyle w:val="OWTablebodycentre"/>
            </w:pPr>
            <w:r>
              <w:t>43%</w:t>
            </w:r>
          </w:p>
        </w:tc>
        <w:tc>
          <w:tcPr>
            <w:tcW w:w="1701" w:type="dxa"/>
          </w:tcPr>
          <w:p w14:paraId="6DD2A349" w14:textId="77777777" w:rsidR="00514CC0" w:rsidRDefault="00E72B49">
            <w:pPr>
              <w:pStyle w:val="OWTablebodycentre"/>
            </w:pPr>
            <w:r>
              <w:t>27%</w:t>
            </w:r>
          </w:p>
        </w:tc>
        <w:tc>
          <w:tcPr>
            <w:tcW w:w="1701" w:type="dxa"/>
          </w:tcPr>
          <w:p w14:paraId="44CF18E3" w14:textId="77777777" w:rsidR="00514CC0" w:rsidRDefault="00E72B49">
            <w:pPr>
              <w:pStyle w:val="OWTablebodycentre"/>
            </w:pPr>
            <w:r>
              <w:t>16%</w:t>
            </w:r>
          </w:p>
        </w:tc>
      </w:tr>
      <w:tr w:rsidR="00514CC0" w14:paraId="59CADDA2" w14:textId="77777777" w:rsidTr="00F0324E">
        <w:trPr>
          <w:cantSplit/>
          <w:trHeight w:val="60"/>
        </w:trPr>
        <w:tc>
          <w:tcPr>
            <w:tcW w:w="3969" w:type="dxa"/>
          </w:tcPr>
          <w:p w14:paraId="42624BA6" w14:textId="77777777" w:rsidR="00514CC0" w:rsidRDefault="00E72B49">
            <w:pPr>
              <w:pStyle w:val="OWTablebodyleft"/>
            </w:pPr>
            <w:r>
              <w:t>If a guy has a girlfriend or wife, he deserves to know where she is at all times</w:t>
            </w:r>
          </w:p>
        </w:tc>
        <w:tc>
          <w:tcPr>
            <w:tcW w:w="1700" w:type="dxa"/>
          </w:tcPr>
          <w:p w14:paraId="4FFCEBF5" w14:textId="77777777" w:rsidR="00514CC0" w:rsidRDefault="00E72B49">
            <w:pPr>
              <w:pStyle w:val="OWTablebodycentre"/>
            </w:pPr>
            <w:r>
              <w:t>44%</w:t>
            </w:r>
          </w:p>
        </w:tc>
        <w:tc>
          <w:tcPr>
            <w:tcW w:w="1701" w:type="dxa"/>
          </w:tcPr>
          <w:p w14:paraId="34F4E8E0" w14:textId="77777777" w:rsidR="00514CC0" w:rsidRDefault="00E72B49">
            <w:pPr>
              <w:pStyle w:val="OWTablebodycentre"/>
            </w:pPr>
            <w:r>
              <w:t>37%</w:t>
            </w:r>
          </w:p>
        </w:tc>
        <w:tc>
          <w:tcPr>
            <w:tcW w:w="1701" w:type="dxa"/>
          </w:tcPr>
          <w:p w14:paraId="3296AF2B" w14:textId="77777777" w:rsidR="00514CC0" w:rsidRDefault="00E72B49">
            <w:pPr>
              <w:pStyle w:val="OWTablebodycentre"/>
            </w:pPr>
            <w:r>
              <w:t>7%</w:t>
            </w:r>
          </w:p>
        </w:tc>
      </w:tr>
    </w:tbl>
    <w:p w14:paraId="275DC8BA" w14:textId="77777777" w:rsidR="00514CC0" w:rsidRDefault="00E72B49">
      <w:pPr>
        <w:pStyle w:val="OWTablefootnote"/>
      </w:pPr>
      <w:r>
        <w:t xml:space="preserve">Source: The Men’s Project and M. Flood, </w:t>
      </w:r>
      <w:r w:rsidRPr="003E209A">
        <w:rPr>
          <w:rStyle w:val="Emphasis"/>
        </w:rPr>
        <w:t>The Man Box</w:t>
      </w:r>
      <w:r>
        <w:t>, 2018, p. 7</w:t>
      </w:r>
    </w:p>
    <w:p w14:paraId="53EA51AC" w14:textId="0D62F107" w:rsidR="00514CC0" w:rsidRDefault="00E72B49" w:rsidP="001A03A8">
      <w:pPr>
        <w:pStyle w:val="Heading3"/>
      </w:pPr>
      <w:bookmarkStart w:id="82" w:name="_Toc55053316"/>
      <w:r>
        <w:lastRenderedPageBreak/>
        <w:t>Gendered driver: Male peer relations that</w:t>
      </w:r>
      <w:r w:rsidR="00D57A45">
        <w:t> </w:t>
      </w:r>
      <w:r>
        <w:t>emphasise aggression and disrespect towards women</w:t>
      </w:r>
      <w:bookmarkEnd w:id="82"/>
    </w:p>
    <w:p w14:paraId="5F4C25F9" w14:textId="7171332A" w:rsidR="00514CC0" w:rsidRDefault="00E72B49" w:rsidP="00DC705E">
      <w:pPr>
        <w:pStyle w:val="Heading4"/>
        <w:spacing w:before="160"/>
      </w:pPr>
      <w:r>
        <w:t>Monitoring domain 5: Male peer relations emphasising aggression and</w:t>
      </w:r>
      <w:r w:rsidR="0043013A">
        <w:t> </w:t>
      </w:r>
      <w:r>
        <w:t>disrespect towards women</w:t>
      </w:r>
      <w:r>
        <w:rPr>
          <w:rStyle w:val="OWSuperscript"/>
        </w:rPr>
        <w:footnoteReference w:id="47"/>
      </w:r>
    </w:p>
    <w:tbl>
      <w:tblPr>
        <w:tblStyle w:val="Indicatorlistingteal"/>
        <w:tblW w:w="9072" w:type="dxa"/>
        <w:tblLayout w:type="fixed"/>
        <w:tblLook w:val="0680" w:firstRow="0" w:lastRow="0" w:firstColumn="1" w:lastColumn="0" w:noHBand="1" w:noVBand="1"/>
      </w:tblPr>
      <w:tblGrid>
        <w:gridCol w:w="1701"/>
        <w:gridCol w:w="7371"/>
      </w:tblGrid>
      <w:tr w:rsidR="00514CC0" w14:paraId="398E68EF" w14:textId="77777777" w:rsidTr="00F0324E">
        <w:trPr>
          <w:cantSplit/>
          <w:trHeight w:val="60"/>
        </w:trPr>
        <w:tc>
          <w:tcPr>
            <w:tcW w:w="1701" w:type="dxa"/>
          </w:tcPr>
          <w:p w14:paraId="0759B048" w14:textId="77777777" w:rsidR="00514CC0" w:rsidRDefault="00E72B49">
            <w:pPr>
              <w:pStyle w:val="OWTablebodyleftwhite"/>
            </w:pPr>
            <w:r>
              <w:t>Indicator 5.1</w:t>
            </w:r>
          </w:p>
        </w:tc>
        <w:tc>
          <w:tcPr>
            <w:tcW w:w="7370" w:type="dxa"/>
          </w:tcPr>
          <w:p w14:paraId="16CC6013" w14:textId="77777777" w:rsidR="00514CC0" w:rsidRDefault="00E72B49">
            <w:pPr>
              <w:pStyle w:val="OWTablebodyleftwhite"/>
            </w:pPr>
            <w:r>
              <w:t>Men’s reluctance to intervene in sexism and disrespect</w:t>
            </w:r>
          </w:p>
        </w:tc>
      </w:tr>
      <w:tr w:rsidR="00514CC0" w14:paraId="02DDB82C" w14:textId="77777777" w:rsidTr="00F0324E">
        <w:trPr>
          <w:cantSplit/>
          <w:trHeight w:val="60"/>
        </w:trPr>
        <w:tc>
          <w:tcPr>
            <w:tcW w:w="1701" w:type="dxa"/>
          </w:tcPr>
          <w:p w14:paraId="275C5CDC" w14:textId="77777777" w:rsidR="00514CC0" w:rsidRDefault="00E72B49">
            <w:pPr>
              <w:pStyle w:val="OWTablebodyleftwhite"/>
            </w:pPr>
            <w:r>
              <w:t>Indicator 5.2</w:t>
            </w:r>
          </w:p>
        </w:tc>
        <w:tc>
          <w:tcPr>
            <w:tcW w:w="7370" w:type="dxa"/>
          </w:tcPr>
          <w:p w14:paraId="1D633B11" w14:textId="77777777" w:rsidR="00514CC0" w:rsidRDefault="00E72B49">
            <w:pPr>
              <w:pStyle w:val="OWTablebodyleftwhite"/>
            </w:pPr>
            <w:r>
              <w:t>Male peer relationships that emphasise disrespect and control over women</w:t>
            </w:r>
          </w:p>
        </w:tc>
      </w:tr>
    </w:tbl>
    <w:p w14:paraId="065B811E" w14:textId="51AFCB24" w:rsidR="00514CC0" w:rsidRDefault="00E72B49" w:rsidP="00DC705E">
      <w:pPr>
        <w:pStyle w:val="OWBodytextlargespaceabove"/>
      </w:pPr>
      <w:r>
        <w:t>Literature on masculinity shows that ‘[d]ominant ideas or norms of masculinity are often central to male peer relationships (men’s friendships and interactions with other men). These norms can influence the ways in which men relate to each other, and can be seen in the way some men and boys use sexist, homophobic or aggressive behaviours to assert their masculinity, “prove” their manhood and gain approval from male peers.’</w:t>
      </w:r>
      <w:r w:rsidR="00C003A0">
        <w:rPr>
          <w:rStyle w:val="EndnoteReference"/>
        </w:rPr>
        <w:endnoteReference w:id="381"/>
      </w:r>
    </w:p>
    <w:p w14:paraId="7F74FD9D" w14:textId="3FA7D2F9" w:rsidR="00514CC0" w:rsidRDefault="00E72B49">
      <w:pPr>
        <w:pStyle w:val="BodyText"/>
      </w:pPr>
      <w:r>
        <w:t>Dominant patterns of male peer relationships, i.e. those that reinforce stereotypical and aggressive forms of masculinity, can also promote a clear distinction between men and women, where women might become the ‘collateral damage’ that results from men needing to constantly seek approval from other men.</w:t>
      </w:r>
      <w:r w:rsidR="00C003A0">
        <w:rPr>
          <w:rStyle w:val="EndnoteReference"/>
        </w:rPr>
        <w:endnoteReference w:id="382"/>
      </w:r>
    </w:p>
    <w:p w14:paraId="46326632" w14:textId="77777777" w:rsidR="00514CC0" w:rsidRDefault="00E72B49">
      <w:pPr>
        <w:pStyle w:val="BodyText"/>
      </w:pPr>
      <w:r>
        <w:t>These dominant patterns in male peer relations are associated with higher probability of violence against women because:</w:t>
      </w:r>
    </w:p>
    <w:p w14:paraId="1687773D" w14:textId="34C6A06A" w:rsidR="00514CC0" w:rsidRDefault="00E72B49">
      <w:pPr>
        <w:pStyle w:val="OWBullet1"/>
      </w:pPr>
      <w:r>
        <w:t>an emphasis on aggression and sexual conquest in socialisation of men through peer relationships may lead to a greater tendency for some men to use or support violence</w:t>
      </w:r>
      <w:r w:rsidR="00C003A0">
        <w:rPr>
          <w:rStyle w:val="EndnoteReference"/>
        </w:rPr>
        <w:endnoteReference w:id="383"/>
      </w:r>
    </w:p>
    <w:p w14:paraId="65F6284A" w14:textId="371817A5" w:rsidR="00514CC0" w:rsidRDefault="00E72B49">
      <w:pPr>
        <w:pStyle w:val="OWBullet1"/>
      </w:pPr>
      <w:r>
        <w:t>when men are encouraged to privilege their relationships with other men over those with women, they may be more likely to excuse other men’s violent and disrespectful behaviour towards women</w:t>
      </w:r>
      <w:r w:rsidR="00C003A0">
        <w:rPr>
          <w:rStyle w:val="EndnoteReference"/>
        </w:rPr>
        <w:endnoteReference w:id="384"/>
      </w:r>
    </w:p>
    <w:p w14:paraId="2F748383" w14:textId="77777777" w:rsidR="00514CC0" w:rsidRDefault="00E72B49">
      <w:pPr>
        <w:pStyle w:val="OWBullet1"/>
      </w:pPr>
      <w:r>
        <w:t>men may be reluctant to take a stand against their peers’ disrespect of women, or even use of violence itself, because they fear rejection from their peers.</w:t>
      </w:r>
    </w:p>
    <w:p w14:paraId="23E61042" w14:textId="25DECFA1" w:rsidR="00514CC0" w:rsidRDefault="00E72B49" w:rsidP="00DC705E">
      <w:pPr>
        <w:pStyle w:val="OWBodytextafterlist"/>
      </w:pPr>
      <w:r>
        <w:t xml:space="preserve">For men who experience structural inequality and discrimination, attachment to dominant forms of masculinity can sometimes be more rigid, as part of in-group protective mechanisms which in turn defend and uphold impunity for men’s violence across the group. These patterns in male peer relations can also be further exacerbated in the context of any male-dominated setting or institution with particularly strong attachments to hegemonic masculinity. There is also emerging evidence that extremist, right-wing and backlash movements (such as Men’s Rights Activists and white supremacist movements) reflect </w:t>
      </w:r>
      <w:r>
        <w:lastRenderedPageBreak/>
        <w:t>male</w:t>
      </w:r>
      <w:r w:rsidR="00D57A45">
        <w:t> </w:t>
      </w:r>
      <w:r>
        <w:t>peer cultures that are at once highly gendered in their subscription to aggressive and</w:t>
      </w:r>
      <w:r w:rsidR="00D57A45">
        <w:t> </w:t>
      </w:r>
      <w:r>
        <w:t>violent masculine norms, and hostile to difference across a range of fronts.</w:t>
      </w:r>
      <w:r w:rsidR="00FA4EEA">
        <w:rPr>
          <w:rStyle w:val="EndnoteReference"/>
        </w:rPr>
        <w:endnoteReference w:id="385"/>
      </w:r>
    </w:p>
    <w:p w14:paraId="4C0A7B62" w14:textId="77777777" w:rsidR="00514CC0" w:rsidRDefault="00E72B49">
      <w:pPr>
        <w:pStyle w:val="BodyText"/>
      </w:pPr>
      <w:r>
        <w:t>The indicators identified to measure progress in Monitoring domain 5 (Male peer relations emphasising aggression and disrespect towards women) look at men’s propensity to undertake bystander action if they witness sexism or disrespect, male peer relations emphasising aggression and disrespect, and men’s hostility towards women. Due to the limitations of existing population-level datasets, the data used includes population-representative surveys undertaken by Our Watch.</w:t>
      </w:r>
    </w:p>
    <w:p w14:paraId="492C3C69" w14:textId="77777777" w:rsidR="00514CC0" w:rsidRDefault="00E72B49" w:rsidP="00F868FE">
      <w:pPr>
        <w:pStyle w:val="Heading5"/>
      </w:pPr>
      <w:r>
        <w:t>Shifting male peer relations which emphasise aggression and disrespect towards women: Summary of change over time</w:t>
      </w:r>
    </w:p>
    <w:p w14:paraId="411671DE" w14:textId="7ADF069B" w:rsidR="00514CC0" w:rsidRDefault="00E72B49">
      <w:pPr>
        <w:pStyle w:val="BodyText"/>
      </w:pPr>
      <w:r>
        <w:t>As this is a monitoring domain with limited and emerging data, this analysis is largely establishing a baseline, rather than reporting on progress. Some individual attitudes and behaviour intentions captured in the National Community Attitudes towards Violence against Women Survey (NCAS) situate respondents in hypothetical social situations and can</w:t>
      </w:r>
      <w:r w:rsidR="00D57A45">
        <w:t> </w:t>
      </w:r>
      <w:r>
        <w:t>be used to illicit some understandings about men’s attitudes towards women when they</w:t>
      </w:r>
      <w:r w:rsidR="00D57A45">
        <w:t> </w:t>
      </w:r>
      <w:r>
        <w:t>are with other men. However, this doesn’t capture the specific dynamics of men’s peer relationships; hence, further research on this issue is needed, including consideration of how this indicator might be measured and monitored across the population. Recommendations for future research and data collection that would strengthen the ability to monitor progress in this domain are noted below.</w:t>
      </w:r>
    </w:p>
    <w:p w14:paraId="151B36CE" w14:textId="77777777" w:rsidR="00514CC0" w:rsidRDefault="00E72B49">
      <w:pPr>
        <w:pStyle w:val="BodyText"/>
      </w:pPr>
      <w:r>
        <w:t>Taken together, the measures analysed in this domain suggest that many men are susceptible to the perceived expectations of other men, with the effect that some men may express sexism or hostility towards women when with their male peers, or be more reluctant than women to call out such behaviours from other men. When asked about intention to take bystander action when witnessing a male friend make a sexist joke, men were less likely than women to say they would take action. Of respondents who said they would take action, fewer men than women believed their friends would support them.</w:t>
      </w:r>
    </w:p>
    <w:p w14:paraId="5012388E" w14:textId="06C6010D" w:rsidR="00514CC0" w:rsidRDefault="00E72B49">
      <w:pPr>
        <w:pStyle w:val="BodyText"/>
      </w:pPr>
      <w:r>
        <w:t xml:space="preserve">The findings support the suggestion in </w:t>
      </w:r>
      <w:r w:rsidRPr="003E209A">
        <w:rPr>
          <w:rStyle w:val="Emphasis"/>
        </w:rPr>
        <w:t xml:space="preserve">Change the story </w:t>
      </w:r>
      <w:r>
        <w:t>that ‘men may be reluctant to take a</w:t>
      </w:r>
      <w:r w:rsidR="00D57A45">
        <w:t> </w:t>
      </w:r>
      <w:r>
        <w:t>stand against their peers’ disrespect of women, or even use of violence itself, because they</w:t>
      </w:r>
      <w:r w:rsidR="00D57A45">
        <w:t> </w:t>
      </w:r>
      <w:r>
        <w:t>fear rejection from their peers’.</w:t>
      </w:r>
      <w:r w:rsidR="00FA4EEA">
        <w:rPr>
          <w:rStyle w:val="EndnoteReference"/>
        </w:rPr>
        <w:endnoteReference w:id="386"/>
      </w:r>
      <w:r>
        <w:t xml:space="preserve"> They also suggest that actions to strengthen positive, equal and respectful relationships between and among women and men, girls and boys, are</w:t>
      </w:r>
      <w:r w:rsidR="00D57A45">
        <w:t> </w:t>
      </w:r>
      <w:r>
        <w:t>critically important, and may help to reduce the prevalence of men’s aggression and disrespect towards women as a feature of male peer relations. These actions could be supported by prevention efforts which ‘seek to further understand the ways in which men relate to each other in their social and work contexts, and seek to challenge peer relations that normalise aggression, disrespect and hostility towards women, as expressions of masculinity.’</w:t>
      </w:r>
      <w:r w:rsidR="00FA4EEA">
        <w:rPr>
          <w:rStyle w:val="EndnoteReference"/>
        </w:rPr>
        <w:endnoteReference w:id="387"/>
      </w:r>
    </w:p>
    <w:p w14:paraId="66107082" w14:textId="77777777" w:rsidR="00514CC0" w:rsidRDefault="00E72B49" w:rsidP="00E1549C">
      <w:pPr>
        <w:pStyle w:val="Heading4"/>
      </w:pPr>
      <w:r>
        <w:lastRenderedPageBreak/>
        <w:t>Indicator 5.1: Men’s reluctance to intervene in sexism and disrespect</w:t>
      </w:r>
    </w:p>
    <w:tbl>
      <w:tblPr>
        <w:tblStyle w:val="Indicatoroutlineteal"/>
        <w:tblW w:w="9072" w:type="dxa"/>
        <w:tblLayout w:type="fixed"/>
        <w:tblLook w:val="0680" w:firstRow="0" w:lastRow="0" w:firstColumn="1" w:lastColumn="0" w:noHBand="1" w:noVBand="1"/>
      </w:tblPr>
      <w:tblGrid>
        <w:gridCol w:w="3402"/>
        <w:gridCol w:w="5670"/>
      </w:tblGrid>
      <w:tr w:rsidR="00514CC0" w14:paraId="5BBA7A99" w14:textId="77777777" w:rsidTr="00F0324E">
        <w:trPr>
          <w:cantSplit/>
          <w:trHeight w:val="60"/>
        </w:trPr>
        <w:tc>
          <w:tcPr>
            <w:tcW w:w="3402" w:type="dxa"/>
          </w:tcPr>
          <w:p w14:paraId="1FB90BA9" w14:textId="672DDAA3" w:rsidR="00514CC0" w:rsidRDefault="00E72B49">
            <w:pPr>
              <w:pStyle w:val="OWTablebodyleft"/>
            </w:pPr>
            <w:r>
              <w:t>What does this indicator tell us</w:t>
            </w:r>
            <w:r w:rsidR="00D57A45">
              <w:t> </w:t>
            </w:r>
            <w:r>
              <w:t>about Monitoring domain 5: Male peer relations emphasising aggression and disrespect towards women?</w:t>
            </w:r>
          </w:p>
        </w:tc>
        <w:tc>
          <w:tcPr>
            <w:tcW w:w="5669" w:type="dxa"/>
          </w:tcPr>
          <w:p w14:paraId="19012378" w14:textId="77777777" w:rsidR="00514CC0" w:rsidRDefault="00E72B49">
            <w:pPr>
              <w:pStyle w:val="OWTablebodyleft"/>
            </w:pPr>
            <w:r>
              <w:t>This indicator reflects male peer relations that emphasise disrespect towards women by measuring the extent to which men challenge sexism and disrespect towards women with their peers.</w:t>
            </w:r>
          </w:p>
        </w:tc>
      </w:tr>
      <w:tr w:rsidR="00514CC0" w14:paraId="15F96481" w14:textId="77777777" w:rsidTr="00F0324E">
        <w:trPr>
          <w:cantSplit/>
          <w:trHeight w:val="60"/>
        </w:trPr>
        <w:tc>
          <w:tcPr>
            <w:tcW w:w="3402" w:type="dxa"/>
          </w:tcPr>
          <w:p w14:paraId="1BFE2EC7" w14:textId="77777777" w:rsidR="00514CC0" w:rsidRDefault="00E72B49">
            <w:pPr>
              <w:pStyle w:val="OWTablebodyleft"/>
            </w:pPr>
            <w:r>
              <w:t>Expected change if high-quality programs and infrastructure for prevention of violence against women and gender equality are implemented</w:t>
            </w:r>
          </w:p>
        </w:tc>
        <w:tc>
          <w:tcPr>
            <w:tcW w:w="5669" w:type="dxa"/>
          </w:tcPr>
          <w:p w14:paraId="0155510D" w14:textId="77777777" w:rsidR="00514CC0" w:rsidRDefault="00E72B49">
            <w:pPr>
              <w:pStyle w:val="OWTablebodyleft"/>
            </w:pPr>
            <w:r>
              <w:t>Short- and medium-term: proportion of men reluctant to intervene in instances of sexism and disrespect towards women decreases gradually.</w:t>
            </w:r>
          </w:p>
          <w:p w14:paraId="41132183" w14:textId="77777777" w:rsidR="00514CC0" w:rsidRDefault="00E72B49">
            <w:pPr>
              <w:pStyle w:val="OWTablebodyleft"/>
            </w:pPr>
            <w:r>
              <w:t>Long-term: these rates plateau.</w:t>
            </w:r>
          </w:p>
        </w:tc>
      </w:tr>
      <w:tr w:rsidR="00514CC0" w14:paraId="0F967916" w14:textId="77777777" w:rsidTr="00F0324E">
        <w:trPr>
          <w:cantSplit/>
          <w:trHeight w:val="60"/>
        </w:trPr>
        <w:tc>
          <w:tcPr>
            <w:tcW w:w="3402" w:type="dxa"/>
          </w:tcPr>
          <w:p w14:paraId="1B915380" w14:textId="77777777" w:rsidR="00514CC0" w:rsidRDefault="00E72B49">
            <w:pPr>
              <w:pStyle w:val="OWTablebodyleft"/>
            </w:pPr>
            <w:r>
              <w:t>Data source(s)</w:t>
            </w:r>
          </w:p>
        </w:tc>
        <w:tc>
          <w:tcPr>
            <w:tcW w:w="5669" w:type="dxa"/>
          </w:tcPr>
          <w:p w14:paraId="313D168A" w14:textId="77777777" w:rsidR="00514CC0" w:rsidRDefault="00E72B49">
            <w:pPr>
              <w:pStyle w:val="OWTablebodyleft"/>
            </w:pPr>
            <w:r>
              <w:t>National Community Attitudes towards Violence against Women Survey (NCAS) 2017, Australia’s National Research Organisation for Women’s Safety (ANROWS)</w:t>
            </w:r>
          </w:p>
        </w:tc>
      </w:tr>
      <w:tr w:rsidR="00514CC0" w14:paraId="1DBD7E97" w14:textId="77777777" w:rsidTr="00F0324E">
        <w:trPr>
          <w:cantSplit/>
          <w:trHeight w:val="60"/>
        </w:trPr>
        <w:tc>
          <w:tcPr>
            <w:tcW w:w="3402" w:type="dxa"/>
          </w:tcPr>
          <w:p w14:paraId="1AB00960" w14:textId="0418941F" w:rsidR="00514CC0" w:rsidRDefault="00E72B49">
            <w:pPr>
              <w:pStyle w:val="OWTablebodyleft"/>
            </w:pPr>
            <w:r>
              <w:t>Change over time summary: short-term change revealed by</w:t>
            </w:r>
            <w:r w:rsidR="00D57A45">
              <w:t> </w:t>
            </w:r>
            <w:r>
              <w:t>the data</w:t>
            </w:r>
          </w:p>
        </w:tc>
        <w:tc>
          <w:tcPr>
            <w:tcW w:w="5669" w:type="dxa"/>
          </w:tcPr>
          <w:p w14:paraId="6E646D2E" w14:textId="58F9E752" w:rsidR="00514CC0" w:rsidRDefault="00E72B49">
            <w:pPr>
              <w:pStyle w:val="OWTablebodyleft"/>
            </w:pPr>
            <w:r>
              <w:t>Only baseline data available at this point; no</w:t>
            </w:r>
            <w:r w:rsidR="00D57A45">
              <w:t> </w:t>
            </w:r>
            <w:r>
              <w:t>assessment of change possible.</w:t>
            </w:r>
          </w:p>
        </w:tc>
      </w:tr>
      <w:tr w:rsidR="00514CC0" w14:paraId="52CC52FF" w14:textId="77777777" w:rsidTr="00F0324E">
        <w:trPr>
          <w:cantSplit/>
          <w:trHeight w:val="60"/>
        </w:trPr>
        <w:tc>
          <w:tcPr>
            <w:tcW w:w="3402" w:type="dxa"/>
          </w:tcPr>
          <w:p w14:paraId="09AE2A85" w14:textId="77777777" w:rsidR="00514CC0" w:rsidRDefault="00E72B49">
            <w:pPr>
              <w:pStyle w:val="OWTablebodyleft"/>
            </w:pPr>
            <w:r>
              <w:t>Does the change confirm or run contrary to expected change?</w:t>
            </w:r>
          </w:p>
        </w:tc>
        <w:tc>
          <w:tcPr>
            <w:tcW w:w="5669" w:type="dxa"/>
          </w:tcPr>
          <w:p w14:paraId="79A1E49D" w14:textId="77777777" w:rsidR="00514CC0" w:rsidRDefault="00E72B49">
            <w:pPr>
              <w:pStyle w:val="OWTablebodyleft"/>
            </w:pPr>
            <w:r>
              <w:t>Not yet able to assess change.</w:t>
            </w:r>
          </w:p>
        </w:tc>
      </w:tr>
      <w:tr w:rsidR="00514CC0" w14:paraId="2E359F61" w14:textId="77777777" w:rsidTr="00F0324E">
        <w:trPr>
          <w:cantSplit/>
          <w:trHeight w:val="60"/>
        </w:trPr>
        <w:tc>
          <w:tcPr>
            <w:tcW w:w="3402" w:type="dxa"/>
          </w:tcPr>
          <w:p w14:paraId="0398D323" w14:textId="77777777" w:rsidR="00514CC0" w:rsidRDefault="00E72B49">
            <w:pPr>
              <w:pStyle w:val="OWTablebodyleft"/>
            </w:pPr>
            <w:r>
              <w:t>Gaps in existing data</w:t>
            </w:r>
          </w:p>
        </w:tc>
        <w:tc>
          <w:tcPr>
            <w:tcW w:w="5669" w:type="dxa"/>
          </w:tcPr>
          <w:p w14:paraId="18E898AB" w14:textId="77777777" w:rsidR="00514CC0" w:rsidRDefault="00E72B49">
            <w:pPr>
              <w:pStyle w:val="OWTablebodyleft"/>
            </w:pPr>
            <w:r>
              <w:t>Only very limited data is available via the NCAS. More data instruments focused on men’s attitudes and norms of masculinity are required.</w:t>
            </w:r>
          </w:p>
        </w:tc>
      </w:tr>
    </w:tbl>
    <w:p w14:paraId="02B35024" w14:textId="6E0F6F36" w:rsidR="00514CC0" w:rsidRDefault="00E72B49" w:rsidP="00DC705E">
      <w:pPr>
        <w:pStyle w:val="OWBodytextlargespaceabove"/>
      </w:pPr>
      <w:r>
        <w:t xml:space="preserve">In 2017, for the first time, the NCAS incorporated a section on bystander behaviour and intentions when witnessing sexism and disrespect towards women. Specifically, respondents were asked about their likely response if a male friend told a sexist joke about women. Given that this is the first time these questions were included in the NCAS, it is not yet possible to track results over time. However, future iterations of the NCAS will allow tracking of changes in bystander intentions. An important caveat here is that the NCAS asks respondents to indicate how they think they would respond in a hypothetical scenario, and not about their actual behaviour. While behavioural intentions are considered important for understanding how and why people act the way they do, there is often a discrepancy between how people say they will act, and their </w:t>
      </w:r>
      <w:r w:rsidRPr="003E209A">
        <w:rPr>
          <w:rStyle w:val="Emphasis"/>
        </w:rPr>
        <w:t>actual</w:t>
      </w:r>
      <w:r>
        <w:t xml:space="preserve"> behaviour, a phenomenon known as the ‘intention–behaviour gap’.</w:t>
      </w:r>
      <w:r w:rsidR="00FA4EEA">
        <w:rPr>
          <w:rStyle w:val="EndnoteReference"/>
        </w:rPr>
        <w:endnoteReference w:id="388"/>
      </w:r>
      <w:r>
        <w:t xml:space="preserve"> Thus, inferring actual behaviour from intentions is likely to overestimate bystander behaviour.</w:t>
      </w:r>
    </w:p>
    <w:p w14:paraId="3416331F" w14:textId="77777777" w:rsidR="00514CC0" w:rsidRDefault="00E72B49">
      <w:pPr>
        <w:pStyle w:val="BodyText"/>
      </w:pPr>
      <w:r>
        <w:t>Almost half (45%) of Australians said they would take action if they witnessed a male friend make a sexist joke about women. A further 13% said they would like to act but would not know what to do, and almost one in five (18%) said they would not take action because they would feel uncomfortable doing so. There were key gender differences in the results, with women significantly more likely to say they would act (55%) compared to men (33%).</w:t>
      </w:r>
    </w:p>
    <w:p w14:paraId="52B3EF06" w14:textId="77777777" w:rsidR="00514CC0" w:rsidRDefault="00E72B49">
      <w:pPr>
        <w:pStyle w:val="BodyText"/>
      </w:pPr>
      <w:r>
        <w:lastRenderedPageBreak/>
        <w:t>More than half of respondents (55%) believed that if they were to act, they would have the support of all or most of their friends. This was especially the case among women, with over three in five (62%) believing most of their friends would support them, compared to less than half (48%) of men. Men were also more likely than women to report that few if any friends would support them if they took action (15% of men compared to 7% of women).</w:t>
      </w:r>
    </w:p>
    <w:p w14:paraId="5BE5A3F3" w14:textId="1F07F128" w:rsidR="00514CC0" w:rsidRDefault="00E72B49" w:rsidP="00E1549C">
      <w:pPr>
        <w:pStyle w:val="Heading4"/>
      </w:pPr>
      <w:r>
        <w:t>Indicator 5.2: Male peer relationships that emphasise disrespect and</w:t>
      </w:r>
      <w:r w:rsidR="006B08D1">
        <w:t> </w:t>
      </w:r>
      <w:r>
        <w:t>control over women</w:t>
      </w:r>
    </w:p>
    <w:tbl>
      <w:tblPr>
        <w:tblStyle w:val="Indicatoroutlineteal"/>
        <w:tblW w:w="9072" w:type="dxa"/>
        <w:tblLayout w:type="fixed"/>
        <w:tblLook w:val="0680" w:firstRow="0" w:lastRow="0" w:firstColumn="1" w:lastColumn="0" w:noHBand="1" w:noVBand="1"/>
      </w:tblPr>
      <w:tblGrid>
        <w:gridCol w:w="3402"/>
        <w:gridCol w:w="5670"/>
      </w:tblGrid>
      <w:tr w:rsidR="00514CC0" w14:paraId="4F02D086" w14:textId="77777777" w:rsidTr="00F0324E">
        <w:trPr>
          <w:cantSplit/>
          <w:trHeight w:val="60"/>
        </w:trPr>
        <w:tc>
          <w:tcPr>
            <w:tcW w:w="3402" w:type="dxa"/>
          </w:tcPr>
          <w:p w14:paraId="13CF9B43" w14:textId="77777777" w:rsidR="00514CC0" w:rsidRDefault="00E72B49">
            <w:pPr>
              <w:pStyle w:val="OWTablebodyleft"/>
            </w:pPr>
            <w:r>
              <w:t>What does this indicator tell us about Monitoring domain 5: Male peer relations emphasising aggression and disrespect towards women?</w:t>
            </w:r>
          </w:p>
        </w:tc>
        <w:tc>
          <w:tcPr>
            <w:tcW w:w="5669" w:type="dxa"/>
          </w:tcPr>
          <w:p w14:paraId="1E842818" w14:textId="77777777" w:rsidR="00514CC0" w:rsidRDefault="00E72B49">
            <w:pPr>
              <w:pStyle w:val="OWTablebodyleft"/>
            </w:pPr>
            <w:r>
              <w:t>This indicator reflects male peer relations that emphasise disrespect towards women by measuring the extent to which men challenge sexism and disrespect towards women with their peers.</w:t>
            </w:r>
          </w:p>
        </w:tc>
      </w:tr>
      <w:tr w:rsidR="00514CC0" w14:paraId="4F7A7070" w14:textId="77777777" w:rsidTr="00F0324E">
        <w:trPr>
          <w:cantSplit/>
          <w:trHeight w:val="60"/>
        </w:trPr>
        <w:tc>
          <w:tcPr>
            <w:tcW w:w="3402" w:type="dxa"/>
          </w:tcPr>
          <w:p w14:paraId="3A067A2C" w14:textId="77777777" w:rsidR="00514CC0" w:rsidRDefault="00E72B49">
            <w:pPr>
              <w:pStyle w:val="OWTablebodyleft"/>
            </w:pPr>
            <w:r>
              <w:t>Expected change if high-quality programs and infrastructure for prevention of violence against women and gender equality are implemented</w:t>
            </w:r>
          </w:p>
        </w:tc>
        <w:tc>
          <w:tcPr>
            <w:tcW w:w="5669" w:type="dxa"/>
          </w:tcPr>
          <w:p w14:paraId="2589CD7E" w14:textId="431ED48C" w:rsidR="00514CC0" w:rsidRDefault="00E72B49">
            <w:pPr>
              <w:pStyle w:val="OWTablebodyleft"/>
            </w:pPr>
            <w:r>
              <w:t>Short- and medium-term: gradual decrease in rates of</w:t>
            </w:r>
            <w:r w:rsidR="00D57A45">
              <w:t> </w:t>
            </w:r>
            <w:r>
              <w:t>the condoning of male peer relationships that emphasise disrespect and control over women.</w:t>
            </w:r>
          </w:p>
          <w:p w14:paraId="329D16A4" w14:textId="77777777" w:rsidR="00514CC0" w:rsidRDefault="00E72B49">
            <w:pPr>
              <w:pStyle w:val="OWTablebodyleft"/>
            </w:pPr>
            <w:r>
              <w:t>Long-term: these rates plateau.</w:t>
            </w:r>
          </w:p>
        </w:tc>
      </w:tr>
      <w:tr w:rsidR="00514CC0" w14:paraId="71A6EA46" w14:textId="77777777" w:rsidTr="00F0324E">
        <w:trPr>
          <w:cantSplit/>
          <w:trHeight w:val="60"/>
        </w:trPr>
        <w:tc>
          <w:tcPr>
            <w:tcW w:w="3402" w:type="dxa"/>
          </w:tcPr>
          <w:p w14:paraId="273850E1" w14:textId="77777777" w:rsidR="00514CC0" w:rsidRDefault="00E72B49">
            <w:pPr>
              <w:pStyle w:val="OWTablebodyleft"/>
            </w:pPr>
            <w:r>
              <w:t>Data source(s)</w:t>
            </w:r>
          </w:p>
        </w:tc>
        <w:tc>
          <w:tcPr>
            <w:tcW w:w="5669" w:type="dxa"/>
          </w:tcPr>
          <w:p w14:paraId="36839990" w14:textId="77777777" w:rsidR="00514CC0" w:rsidRDefault="00E72B49">
            <w:pPr>
              <w:pStyle w:val="OWTablebodyleft"/>
            </w:pPr>
            <w:r>
              <w:t>National Community Attitudes towards Violence against Women Survey (NCAS) 2017, Australia’s National Research Organisation for Women’s Safety (ANROWS)</w:t>
            </w:r>
          </w:p>
        </w:tc>
      </w:tr>
      <w:tr w:rsidR="00514CC0" w14:paraId="2F197FC9" w14:textId="77777777" w:rsidTr="00F0324E">
        <w:trPr>
          <w:cantSplit/>
          <w:trHeight w:val="60"/>
        </w:trPr>
        <w:tc>
          <w:tcPr>
            <w:tcW w:w="3402" w:type="dxa"/>
          </w:tcPr>
          <w:p w14:paraId="2B766BC7" w14:textId="4DEDBB1F" w:rsidR="00514CC0" w:rsidRDefault="00E72B49">
            <w:pPr>
              <w:pStyle w:val="OWTablebodyleft"/>
            </w:pPr>
            <w:r>
              <w:t>Change over time summary: short-term change revealed by</w:t>
            </w:r>
            <w:r w:rsidR="00D57A45">
              <w:t> </w:t>
            </w:r>
            <w:r>
              <w:t>the data</w:t>
            </w:r>
          </w:p>
        </w:tc>
        <w:tc>
          <w:tcPr>
            <w:tcW w:w="5669" w:type="dxa"/>
          </w:tcPr>
          <w:p w14:paraId="79117DF1" w14:textId="6A9EA34C" w:rsidR="00514CC0" w:rsidRDefault="00E72B49">
            <w:pPr>
              <w:pStyle w:val="OWTablebodyleft"/>
            </w:pPr>
            <w:r>
              <w:t>Only baseline data available at this point; no</w:t>
            </w:r>
            <w:r w:rsidR="00D57A45">
              <w:t> </w:t>
            </w:r>
            <w:r>
              <w:t>assessment of change possible.</w:t>
            </w:r>
          </w:p>
        </w:tc>
      </w:tr>
      <w:tr w:rsidR="00514CC0" w14:paraId="79DA564B" w14:textId="77777777" w:rsidTr="00F0324E">
        <w:trPr>
          <w:cantSplit/>
          <w:trHeight w:val="60"/>
        </w:trPr>
        <w:tc>
          <w:tcPr>
            <w:tcW w:w="3402" w:type="dxa"/>
          </w:tcPr>
          <w:p w14:paraId="004817F7" w14:textId="77777777" w:rsidR="00514CC0" w:rsidRDefault="00E72B49">
            <w:pPr>
              <w:pStyle w:val="OWTablebodyleft"/>
            </w:pPr>
            <w:r>
              <w:t>Does the change confirm or run contrary to expected change?</w:t>
            </w:r>
          </w:p>
        </w:tc>
        <w:tc>
          <w:tcPr>
            <w:tcW w:w="5669" w:type="dxa"/>
          </w:tcPr>
          <w:p w14:paraId="68CC1F51" w14:textId="77777777" w:rsidR="00514CC0" w:rsidRDefault="00E72B49">
            <w:pPr>
              <w:pStyle w:val="OWTablebodyleft"/>
            </w:pPr>
            <w:r>
              <w:t>It is not yet possible to assess change.</w:t>
            </w:r>
          </w:p>
        </w:tc>
      </w:tr>
      <w:tr w:rsidR="00514CC0" w14:paraId="6025238C" w14:textId="77777777" w:rsidTr="00F0324E">
        <w:trPr>
          <w:cantSplit/>
          <w:trHeight w:val="60"/>
        </w:trPr>
        <w:tc>
          <w:tcPr>
            <w:tcW w:w="3402" w:type="dxa"/>
          </w:tcPr>
          <w:p w14:paraId="482D6ABD" w14:textId="77777777" w:rsidR="00514CC0" w:rsidRDefault="00E72B49">
            <w:pPr>
              <w:pStyle w:val="OWTablebodyleft"/>
            </w:pPr>
            <w:r>
              <w:t>Gaps in existing data</w:t>
            </w:r>
          </w:p>
        </w:tc>
        <w:tc>
          <w:tcPr>
            <w:tcW w:w="5669" w:type="dxa"/>
          </w:tcPr>
          <w:p w14:paraId="1164B94B" w14:textId="1B3538A3" w:rsidR="00514CC0" w:rsidRDefault="00E72B49">
            <w:pPr>
              <w:pStyle w:val="OWTablebodyleft"/>
            </w:pPr>
            <w:r>
              <w:t>There is very limited data available via the NCAS. While</w:t>
            </w:r>
            <w:r w:rsidR="00D57A45">
              <w:t> </w:t>
            </w:r>
            <w:r>
              <w:t>future waves of the NCAS will allow for tracking of change in attitudes, additional data instruments focused on men’s attitudes and norms of masculinity are required.</w:t>
            </w:r>
          </w:p>
        </w:tc>
      </w:tr>
    </w:tbl>
    <w:p w14:paraId="03E5C14D" w14:textId="4E515B12" w:rsidR="00514CC0" w:rsidRDefault="00E72B49" w:rsidP="00DC705E">
      <w:pPr>
        <w:pStyle w:val="OWBodytextlargespaceabove"/>
      </w:pPr>
      <w:r>
        <w:t xml:space="preserve">In 2017, for the first time, the NCAS examined the extent to which Australians condone male peer relationships that emphasise disrespect and control over women. While only one data point is provided at present (as it was not included in previous iterations of the NCAS), future waves of the survey will allow for subsequent tracking of these attitudes. As Figure </w:t>
      </w:r>
      <w:r w:rsidR="00531647">
        <w:t>29</w:t>
      </w:r>
      <w:r>
        <w:t xml:space="preserve">, below, shows, while almost no Australians (2%) agree that it’s OK for men to joke with their male friends about being violent towards women, nearly one-quarter (24%) agree that there is no harm in men making sexist jokes about women when among their male peers. Analysis by gender reveals that this attitude was much more pronounced among men than women (with 30% of men agreeing, compared to just 18% of women). Further, more than one in </w:t>
      </w:r>
      <w:r>
        <w:lastRenderedPageBreak/>
        <w:t>three Australians (34%) believed that it’s natural for a man to want to appear in control of</w:t>
      </w:r>
      <w:r w:rsidR="00D57A45">
        <w:t> </w:t>
      </w:r>
      <w:r>
        <w:t xml:space="preserve">his partner in front of his male friends (see Figure </w:t>
      </w:r>
      <w:r w:rsidR="00531647">
        <w:t>29</w:t>
      </w:r>
      <w:r>
        <w:t>, below).</w:t>
      </w:r>
    </w:p>
    <w:p w14:paraId="20356A56" w14:textId="12658D24" w:rsidR="00514CC0" w:rsidRDefault="00E72B49">
      <w:pPr>
        <w:pStyle w:val="OWFigurecaption"/>
      </w:pPr>
      <w:r>
        <w:t xml:space="preserve">Figure </w:t>
      </w:r>
      <w:r w:rsidR="00531647">
        <w:t>29</w:t>
      </w:r>
      <w:r>
        <w:t xml:space="preserve">: </w:t>
      </w:r>
      <w:r w:rsidR="004123DA" w:rsidRPr="004123DA">
        <w:t xml:space="preserve">Proportion of men agreeing with statements </w:t>
      </w:r>
      <w:r>
        <w:t>condoning male peer relations that</w:t>
      </w:r>
      <w:r w:rsidR="00D57A45">
        <w:t> </w:t>
      </w:r>
      <w:r>
        <w:t>involve aggression and disrespect towards women, 2017</w:t>
      </w:r>
    </w:p>
    <w:p w14:paraId="3C3D2408" w14:textId="53A24141" w:rsidR="00514CC0" w:rsidRDefault="009338E6" w:rsidP="00C83F52">
      <w:pPr>
        <w:pStyle w:val="OWFigureinline"/>
        <w:spacing w:after="0"/>
      </w:pPr>
      <w:r>
        <w:rPr>
          <w:noProof/>
        </w:rPr>
        <w:drawing>
          <wp:inline distT="0" distB="0" distL="0" distR="0" wp14:anchorId="28F43909" wp14:editId="74180D19">
            <wp:extent cx="5724524" cy="2938780"/>
            <wp:effectExtent l="0" t="0" r="9525" b="0"/>
            <wp:docPr id="1218327799" name="Picture 80" descr="Bar graph of the following data (proportion who agreed with the statements). I think it’s natural for a man to want to appear in control of his partner in front of his male friends – 34%. I think it’s ok for men to joke with their male friends about being violent towards women – 2%. I think there is no harm in men making sexist jokes about women when they are among their male friends –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27799" name="Picture 80" descr="Bar graph of the following data (proportion who agreed with the statements). I think it’s natural for a man to want to appear in control of his partner in front of his male friends – 34%. I think it’s ok for men to joke with their male friends about being violent towards women – 2%. I think there is no harm in men making sexist jokes about women when they are among their male friends – 24%."/>
                    <pic:cNvPicPr/>
                  </pic:nvPicPr>
                  <pic:blipFill>
                    <a:blip r:embed="rId68">
                      <a:extLst>
                        <a:ext uri="{28A0092B-C50C-407E-A947-70E740481C1C}">
                          <a14:useLocalDpi xmlns:a14="http://schemas.microsoft.com/office/drawing/2010/main" val="0"/>
                        </a:ext>
                      </a:extLst>
                    </a:blip>
                    <a:stretch>
                      <a:fillRect/>
                    </a:stretch>
                  </pic:blipFill>
                  <pic:spPr>
                    <a:xfrm>
                      <a:off x="0" y="0"/>
                      <a:ext cx="5724524" cy="2938780"/>
                    </a:xfrm>
                    <a:prstGeom prst="rect">
                      <a:avLst/>
                    </a:prstGeom>
                  </pic:spPr>
                </pic:pic>
              </a:graphicData>
            </a:graphic>
          </wp:inline>
        </w:drawing>
      </w:r>
    </w:p>
    <w:p w14:paraId="109C28FE" w14:textId="77777777" w:rsidR="00514CC0" w:rsidRDefault="00E72B49">
      <w:pPr>
        <w:pStyle w:val="OWFigurefootnote"/>
      </w:pPr>
      <w:r>
        <w:t>Source: NCAS 2017</w:t>
      </w:r>
    </w:p>
    <w:p w14:paraId="51DD42D5" w14:textId="07A75410" w:rsidR="00514CC0" w:rsidRDefault="00E72B49" w:rsidP="001A03A8">
      <w:pPr>
        <w:pStyle w:val="Heading3"/>
      </w:pPr>
      <w:bookmarkStart w:id="83" w:name="_Toc55053317"/>
      <w:r>
        <w:lastRenderedPageBreak/>
        <w:t xml:space="preserve">Intersecting drivers of </w:t>
      </w:r>
      <w:r w:rsidR="002E484A" w:rsidRPr="002E484A">
        <w:t>violence (other forms</w:t>
      </w:r>
      <w:r w:rsidR="002E484A">
        <w:t> </w:t>
      </w:r>
      <w:r w:rsidR="002E484A" w:rsidRPr="002E484A">
        <w:t>of</w:t>
      </w:r>
      <w:r w:rsidR="002E484A">
        <w:t> </w:t>
      </w:r>
      <w:r w:rsidR="002E484A" w:rsidRPr="002E484A">
        <w:t>oppression and discrimination)</w:t>
      </w:r>
      <w:bookmarkEnd w:id="83"/>
    </w:p>
    <w:p w14:paraId="3059C5D0" w14:textId="27932633" w:rsidR="00514CC0" w:rsidRDefault="00E72B49" w:rsidP="00DC705E">
      <w:pPr>
        <w:pStyle w:val="Heading4"/>
        <w:spacing w:before="160"/>
      </w:pPr>
      <w:r>
        <w:t xml:space="preserve">Monitoring domain 6: Intersecting drivers of </w:t>
      </w:r>
      <w:r w:rsidR="002E484A" w:rsidRPr="002E484A">
        <w:t>violence</w:t>
      </w:r>
      <w:r w:rsidR="002E484A">
        <w:br/>
      </w:r>
      <w:r w:rsidR="002E484A" w:rsidRPr="002E484A">
        <w:t>(other forms of oppression and discrimination)</w:t>
      </w:r>
    </w:p>
    <w:tbl>
      <w:tblPr>
        <w:tblStyle w:val="Indicatorlistingteal"/>
        <w:tblW w:w="9072" w:type="dxa"/>
        <w:tblLayout w:type="fixed"/>
        <w:tblLook w:val="0680" w:firstRow="0" w:lastRow="0" w:firstColumn="1" w:lastColumn="0" w:noHBand="1" w:noVBand="1"/>
      </w:tblPr>
      <w:tblGrid>
        <w:gridCol w:w="1701"/>
        <w:gridCol w:w="7371"/>
      </w:tblGrid>
      <w:tr w:rsidR="00514CC0" w14:paraId="42B5499D" w14:textId="77777777" w:rsidTr="00F0324E">
        <w:trPr>
          <w:cantSplit/>
          <w:trHeight w:val="60"/>
        </w:trPr>
        <w:tc>
          <w:tcPr>
            <w:tcW w:w="1701" w:type="dxa"/>
          </w:tcPr>
          <w:p w14:paraId="7F068DA2" w14:textId="77777777" w:rsidR="00514CC0" w:rsidRDefault="00E72B49">
            <w:pPr>
              <w:pStyle w:val="OWTablebodyleftwhite"/>
            </w:pPr>
            <w:r>
              <w:t>Indicator 6.1</w:t>
            </w:r>
          </w:p>
        </w:tc>
        <w:tc>
          <w:tcPr>
            <w:tcW w:w="7370" w:type="dxa"/>
          </w:tcPr>
          <w:p w14:paraId="39746E39" w14:textId="77777777" w:rsidR="00514CC0" w:rsidRDefault="00E72B49">
            <w:pPr>
              <w:pStyle w:val="OWTablebodyleftwhite"/>
            </w:pPr>
            <w:r>
              <w:t>Racism and ongoing impacts of colonisation for Aboriginal and Torres Strait Islander people; Aboriginal and Torres Strait Islander cultural determinants of health and wellbeing</w:t>
            </w:r>
          </w:p>
        </w:tc>
      </w:tr>
      <w:tr w:rsidR="00514CC0" w14:paraId="1A7A9283" w14:textId="77777777" w:rsidTr="00F0324E">
        <w:trPr>
          <w:cantSplit/>
          <w:trHeight w:val="60"/>
        </w:trPr>
        <w:tc>
          <w:tcPr>
            <w:tcW w:w="1701" w:type="dxa"/>
          </w:tcPr>
          <w:p w14:paraId="3FD5DBC2" w14:textId="77777777" w:rsidR="00514CC0" w:rsidRDefault="00E72B49">
            <w:pPr>
              <w:pStyle w:val="OWTablebodyleftwhite"/>
            </w:pPr>
            <w:r>
              <w:t>Indicator 6.2</w:t>
            </w:r>
          </w:p>
        </w:tc>
        <w:tc>
          <w:tcPr>
            <w:tcW w:w="7370" w:type="dxa"/>
          </w:tcPr>
          <w:p w14:paraId="0A5C8582" w14:textId="77777777" w:rsidR="00514CC0" w:rsidRDefault="00E72B49">
            <w:pPr>
              <w:pStyle w:val="OWTablebodyleftwhite"/>
            </w:pPr>
            <w:r>
              <w:t>Proportion of population reporting having personally felt discriminated against or harassed in the past 12 months on the basis of a ground of discrimination prohibited under international human rights law</w:t>
            </w:r>
          </w:p>
        </w:tc>
      </w:tr>
      <w:tr w:rsidR="00514CC0" w14:paraId="7B84FD02" w14:textId="77777777" w:rsidTr="00F0324E">
        <w:trPr>
          <w:cantSplit/>
          <w:trHeight w:val="60"/>
        </w:trPr>
        <w:tc>
          <w:tcPr>
            <w:tcW w:w="1701" w:type="dxa"/>
          </w:tcPr>
          <w:p w14:paraId="6B536D99" w14:textId="77777777" w:rsidR="00514CC0" w:rsidRDefault="00E72B49">
            <w:pPr>
              <w:pStyle w:val="OWTablebodyleftwhite"/>
            </w:pPr>
            <w:r>
              <w:t>Indicator 6.3</w:t>
            </w:r>
          </w:p>
        </w:tc>
        <w:tc>
          <w:tcPr>
            <w:tcW w:w="7370" w:type="dxa"/>
          </w:tcPr>
          <w:p w14:paraId="7AA087C1" w14:textId="77777777" w:rsidR="00514CC0" w:rsidRDefault="00E72B49">
            <w:pPr>
              <w:pStyle w:val="OWTablebodyleftwhite"/>
            </w:pPr>
            <w:r>
              <w:t>Proportion of the population who hold discriminatory views around race, sexual orientation, religion, age, disability, etc.</w:t>
            </w:r>
          </w:p>
        </w:tc>
      </w:tr>
    </w:tbl>
    <w:p w14:paraId="532AD81B" w14:textId="7677B094" w:rsidR="00514CC0" w:rsidRDefault="00E72B49" w:rsidP="00DC705E">
      <w:pPr>
        <w:pStyle w:val="OWBodytextlargespaceabove"/>
      </w:pPr>
      <w:r>
        <w:t xml:space="preserve">Reflecting the </w:t>
      </w:r>
      <w:r w:rsidRPr="003E209A">
        <w:rPr>
          <w:rStyle w:val="Emphasis"/>
        </w:rPr>
        <w:t xml:space="preserve">Change the story </w:t>
      </w:r>
      <w:r>
        <w:t xml:space="preserve">framework, </w:t>
      </w:r>
      <w:r w:rsidRPr="003E209A">
        <w:rPr>
          <w:rStyle w:val="Emphasis"/>
        </w:rPr>
        <w:t>Counting on change</w:t>
      </w:r>
      <w:r>
        <w:t xml:space="preserve"> listed the domain of</w:t>
      </w:r>
      <w:r w:rsidR="00D57A45">
        <w:t> </w:t>
      </w:r>
      <w:r>
        <w:t>‘Socioeconomic inequality and discrimination’ under factors reinforcing or compounding violence against women.</w:t>
      </w:r>
      <w:r>
        <w:rPr>
          <w:rStyle w:val="OWSuperscript"/>
        </w:rPr>
        <w:footnoteReference w:id="48"/>
      </w:r>
      <w:r>
        <w:rPr>
          <w:rStyle w:val="OWSuperscript"/>
        </w:rPr>
        <w:t xml:space="preserve"> </w:t>
      </w:r>
      <w:r>
        <w:t xml:space="preserve">Since </w:t>
      </w:r>
      <w:r w:rsidRPr="003E209A">
        <w:rPr>
          <w:rStyle w:val="Emphasis"/>
        </w:rPr>
        <w:t>Change the story</w:t>
      </w:r>
      <w:r>
        <w:t>, Our Watch has undertaken a range of</w:t>
      </w:r>
      <w:r w:rsidR="00C01D7C">
        <w:t> </w:t>
      </w:r>
      <w:r>
        <w:t>work which further develops an intersectional approach to prevention of violence against</w:t>
      </w:r>
      <w:r w:rsidR="00D57A45">
        <w:t> </w:t>
      </w:r>
      <w:r>
        <w:t xml:space="preserve">women. During this process we have learned much from other organisations and stakeholders with expertise and lived experience relating to </w:t>
      </w:r>
      <w:r w:rsidR="00A054E2">
        <w:t xml:space="preserve">intersecting </w:t>
      </w:r>
      <w:r w:rsidR="002E484A" w:rsidRPr="002E484A">
        <w:t>drivers of violence (other forms of oppression and discrimination)</w:t>
      </w:r>
      <w:r>
        <w:t xml:space="preserve">. As noted in </w:t>
      </w:r>
      <w:r w:rsidRPr="003E209A">
        <w:rPr>
          <w:rStyle w:val="Emphasis"/>
        </w:rPr>
        <w:t>Change the story</w:t>
      </w:r>
      <w:r w:rsidR="00F56863">
        <w:rPr>
          <w:rStyle w:val="Emphasis"/>
        </w:rPr>
        <w:t xml:space="preserve"> t</w:t>
      </w:r>
      <w:r w:rsidRPr="003E209A">
        <w:rPr>
          <w:rStyle w:val="Emphasis"/>
        </w:rPr>
        <w:t xml:space="preserve">hree years on </w:t>
      </w:r>
      <w:r>
        <w:t>(2019), factors such as racism, colonisation, ableism, homophobia and transphobia not only reduce or limit some women’s access to social and economic power and resources, and their perceived worth, but</w:t>
      </w:r>
      <w:r w:rsidR="00D57A45">
        <w:t> </w:t>
      </w:r>
      <w:r>
        <w:t>also affect the relative influence of gender inequality, gendered drivers and reinforcing factors in any given context. Experiences of violence against women are varied and often multidimensional, and for many women experiences of both gender inequality and violence are compounded by the impacts of other forms of structural discrimination and inequality, whether based on race, sexuality, ability, gender identity or expression, faith, ethnicity or economic disadvantage. These broader structural processes intersect and interact to further deny women their social, political and economic rights.</w:t>
      </w:r>
      <w:r w:rsidR="00FA4EEA">
        <w:rPr>
          <w:rStyle w:val="EndnoteReference"/>
        </w:rPr>
        <w:endnoteReference w:id="389"/>
      </w:r>
      <w:r>
        <w:t xml:space="preserve"> As</w:t>
      </w:r>
      <w:r w:rsidR="002E484A">
        <w:t> </w:t>
      </w:r>
      <w:r>
        <w:t>such, they can play a significant role in increasing the frequency, severity and prevalence of violence against women and in creating particular forms of impunity and immunity from accountability for perpetrators of violence.</w:t>
      </w:r>
      <w:r w:rsidR="00FA4EEA">
        <w:rPr>
          <w:rStyle w:val="EndnoteReference"/>
        </w:rPr>
        <w:endnoteReference w:id="390"/>
      </w:r>
    </w:p>
    <w:p w14:paraId="2DB1715B" w14:textId="537FA502" w:rsidR="00514CC0" w:rsidRDefault="00E72B49">
      <w:pPr>
        <w:pStyle w:val="BodyText"/>
      </w:pPr>
      <w:r>
        <w:t>To highlight the importance of this domain, this report separates it out from the ‘reinforcing factors’, in order to more strongly convey how other forms of oppression</w:t>
      </w:r>
      <w:r w:rsidR="00F95C74">
        <w:t xml:space="preserve"> and</w:t>
      </w:r>
      <w:r>
        <w:t xml:space="preserve"> discrimination intersect with gender inequality to drive violence against women in specific ways. </w:t>
      </w:r>
      <w:r w:rsidR="00950F83" w:rsidRPr="00950F83">
        <w:t>Across the</w:t>
      </w:r>
      <w:r w:rsidR="00950F83">
        <w:t> </w:t>
      </w:r>
      <w:r w:rsidR="00950F83" w:rsidRPr="00950F83">
        <w:t>gendered drivers measured in this report we have sought to articulate how various intersecting forms of oppression and privilege can shape and particularise the operation of</w:t>
      </w:r>
      <w:r w:rsidR="00950F83">
        <w:t> </w:t>
      </w:r>
      <w:r w:rsidR="00950F83" w:rsidRPr="00950F83">
        <w:t>each of the gendered drivers of violence measured in the previous section, creating different impacts and experiences for different groups of women in different contexts.</w:t>
      </w:r>
    </w:p>
    <w:p w14:paraId="0B5678F8" w14:textId="7D468F40" w:rsidR="00514CC0" w:rsidRDefault="00E72B49" w:rsidP="00F868FE">
      <w:pPr>
        <w:pStyle w:val="Heading5"/>
      </w:pPr>
      <w:r>
        <w:lastRenderedPageBreak/>
        <w:t xml:space="preserve">Intersectional approaches to </w:t>
      </w:r>
      <w:r w:rsidR="00E169B7">
        <w:t>preventing</w:t>
      </w:r>
      <w:r w:rsidR="009A21F6">
        <w:t xml:space="preserve"> </w:t>
      </w:r>
      <w:r>
        <w:t>violence against women</w:t>
      </w:r>
    </w:p>
    <w:p w14:paraId="2706252C" w14:textId="72A50227" w:rsidR="00514CC0" w:rsidRDefault="00E72B49">
      <w:pPr>
        <w:pStyle w:val="BodyText"/>
      </w:pPr>
      <w:r>
        <w:t>The</w:t>
      </w:r>
      <w:r w:rsidR="009A21F6">
        <w:t xml:space="preserve"> </w:t>
      </w:r>
      <w:r>
        <w:t xml:space="preserve">model presented in </w:t>
      </w:r>
      <w:r w:rsidRPr="003E209A">
        <w:rPr>
          <w:rStyle w:val="Emphasis"/>
        </w:rPr>
        <w:t xml:space="preserve">Changing the picture </w:t>
      </w:r>
      <w:r>
        <w:t xml:space="preserve">(see </w:t>
      </w:r>
      <w:r w:rsidRPr="00D162DF">
        <w:rPr>
          <w:u w:color="1B5997"/>
        </w:rPr>
        <w:t xml:space="preserve">Figure </w:t>
      </w:r>
      <w:r w:rsidR="00531647">
        <w:rPr>
          <w:u w:color="1B5997"/>
        </w:rPr>
        <w:t>30</w:t>
      </w:r>
      <w:r>
        <w:t xml:space="preserve">, below) shows how it is the intersection of gendered factors and the ongoing impacts of colonisation (on both non-Indigenous people and society and Aboriginal and Torres Strait Islander people, families and communities) that together drive disproportionate levels of violence against Aboriginal and Torres Strait Islander women, with particularly severe and complex impacts. </w:t>
      </w:r>
      <w:r w:rsidRPr="003E209A">
        <w:rPr>
          <w:rStyle w:val="Emphasis"/>
        </w:rPr>
        <w:t xml:space="preserve">Changing the picture </w:t>
      </w:r>
      <w:r>
        <w:t>demonstrates that in understanding violence against Aboriginal and Torres Strait Islander women, racism and the impacts of colonisation cannot be considered only as ‘reinforcing’ factors that are necessarily of lower significance than gendered drivers. None of</w:t>
      </w:r>
      <w:r w:rsidR="00D57A45">
        <w:t> </w:t>
      </w:r>
      <w:r>
        <w:t>these factors operate in isolation and none provides a simple explanation in any given context. Rather, it is the combination, or intersection, of these multiple factors that drives such high rates of violence against Aboriginal and Torres Strait Islander women.</w:t>
      </w:r>
      <w:r w:rsidR="00FA4EEA">
        <w:rPr>
          <w:rStyle w:val="EndnoteReference"/>
        </w:rPr>
        <w:endnoteReference w:id="391"/>
      </w:r>
    </w:p>
    <w:p w14:paraId="31CCCF45" w14:textId="4424F7F1" w:rsidR="00514CC0" w:rsidRDefault="00E72B49">
      <w:pPr>
        <w:pStyle w:val="OWFigurecaption"/>
      </w:pPr>
      <w:r>
        <w:lastRenderedPageBreak/>
        <w:t xml:space="preserve">Figure </w:t>
      </w:r>
      <w:r w:rsidR="00531647">
        <w:t>30</w:t>
      </w:r>
      <w:r>
        <w:t>: The intersecting drivers of violence against Aboriginal and Torres Strait Islander women</w:t>
      </w:r>
    </w:p>
    <w:p w14:paraId="19384C15" w14:textId="3366E4D9" w:rsidR="00514CC0" w:rsidRDefault="009338E6" w:rsidP="00DC705E">
      <w:pPr>
        <w:pStyle w:val="OWFigureinline"/>
      </w:pPr>
      <w:r>
        <w:rPr>
          <w:noProof/>
        </w:rPr>
        <w:drawing>
          <wp:inline distT="0" distB="0" distL="0" distR="0" wp14:anchorId="2EE8F568" wp14:editId="045384B0">
            <wp:extent cx="5730874" cy="6626858"/>
            <wp:effectExtent l="0" t="0" r="3175" b="2540"/>
            <wp:docPr id="1690924893" name="Picture 81" descr="Infographic. Follow the link below for the text-equivalent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24893" name="Picture 81" descr="Infographic. Follow the link below for the text-equivalent description of this figure."/>
                    <pic:cNvPicPr/>
                  </pic:nvPicPr>
                  <pic:blipFill>
                    <a:blip r:embed="rId69">
                      <a:extLst>
                        <a:ext uri="{28A0092B-C50C-407E-A947-70E740481C1C}">
                          <a14:useLocalDpi xmlns:a14="http://schemas.microsoft.com/office/drawing/2010/main" val="0"/>
                        </a:ext>
                      </a:extLst>
                    </a:blip>
                    <a:stretch>
                      <a:fillRect/>
                    </a:stretch>
                  </pic:blipFill>
                  <pic:spPr>
                    <a:xfrm>
                      <a:off x="0" y="0"/>
                      <a:ext cx="5730874" cy="6626858"/>
                    </a:xfrm>
                    <a:prstGeom prst="rect">
                      <a:avLst/>
                    </a:prstGeom>
                  </pic:spPr>
                </pic:pic>
              </a:graphicData>
            </a:graphic>
          </wp:inline>
        </w:drawing>
      </w:r>
    </w:p>
    <w:p w14:paraId="0D661C6C" w14:textId="7DE361F7" w:rsidR="009B2A6D" w:rsidRDefault="009B2A6D" w:rsidP="009B2A6D">
      <w:pPr>
        <w:pStyle w:val="OWFigurefootnote"/>
      </w:pPr>
      <w:r w:rsidRPr="009B2A6D">
        <w:t>Source: Our Watch. (2018).</w:t>
      </w:r>
      <w:r w:rsidRPr="009B2A6D">
        <w:rPr>
          <w:rStyle w:val="Emphasis"/>
        </w:rPr>
        <w:t xml:space="preserve"> Changing the picture</w:t>
      </w:r>
      <w:r w:rsidR="00B5171B">
        <w:rPr>
          <w:rStyle w:val="Emphasis"/>
        </w:rPr>
        <w:t>:</w:t>
      </w:r>
      <w:r w:rsidRPr="009B2A6D">
        <w:rPr>
          <w:rStyle w:val="Emphasis"/>
        </w:rPr>
        <w:t xml:space="preserve"> A national resource to support the prevention of</w:t>
      </w:r>
      <w:r>
        <w:rPr>
          <w:rStyle w:val="Emphasis"/>
        </w:rPr>
        <w:t> </w:t>
      </w:r>
      <w:r w:rsidRPr="009B2A6D">
        <w:rPr>
          <w:rStyle w:val="Emphasis"/>
        </w:rPr>
        <w:t>violence against Aboriginal and Torres Strait Islander women and their children</w:t>
      </w:r>
      <w:r w:rsidRPr="009B2A6D">
        <w:t>, Melbourne, Australia: Our Watch, p.</w:t>
      </w:r>
      <w:r>
        <w:t xml:space="preserve"> </w:t>
      </w:r>
      <w:r w:rsidRPr="009B2A6D">
        <w:t>13.</w:t>
      </w:r>
    </w:p>
    <w:p w14:paraId="1FCB7615" w14:textId="2121BD48" w:rsidR="00514CC0" w:rsidRDefault="00360573" w:rsidP="00DC705E">
      <w:pPr>
        <w:pStyle w:val="BodyText"/>
        <w:spacing w:after="480"/>
      </w:pPr>
      <w:hyperlink w:anchor="Fig30AltText" w:history="1">
        <w:r w:rsidR="00E72B49" w:rsidRPr="00E83BB7">
          <w:rPr>
            <w:rStyle w:val="Hyperlink"/>
          </w:rPr>
          <w:t xml:space="preserve">Text-equivalent description of Figure </w:t>
        </w:r>
        <w:r w:rsidR="00D162DF">
          <w:rPr>
            <w:rStyle w:val="Hyperlink"/>
          </w:rPr>
          <w:t>3</w:t>
        </w:r>
        <w:r w:rsidR="00531647">
          <w:rPr>
            <w:rStyle w:val="Hyperlink"/>
          </w:rPr>
          <w:t>0</w:t>
        </w:r>
        <w:r w:rsidR="00E72B49" w:rsidRPr="00E83BB7">
          <w:rPr>
            <w:rStyle w:val="Hyperlink"/>
          </w:rPr>
          <w:t xml:space="preserve"> in Appendi</w:t>
        </w:r>
        <w:r w:rsidR="00D8674A">
          <w:rPr>
            <w:rStyle w:val="Hyperlink"/>
          </w:rPr>
          <w:t>x E</w:t>
        </w:r>
      </w:hyperlink>
    </w:p>
    <w:tbl>
      <w:tblPr>
        <w:tblStyle w:val="Casestudyteal"/>
        <w:tblW w:w="9071" w:type="dxa"/>
        <w:tblLayout w:type="fixed"/>
        <w:tblLook w:val="0620" w:firstRow="1" w:lastRow="0" w:firstColumn="0" w:lastColumn="0" w:noHBand="1" w:noVBand="1"/>
      </w:tblPr>
      <w:tblGrid>
        <w:gridCol w:w="9071"/>
      </w:tblGrid>
      <w:tr w:rsidR="00514CC0" w14:paraId="5CC4AFC3" w14:textId="77777777" w:rsidTr="00F0324E">
        <w:trPr>
          <w:cnfStyle w:val="100000000000" w:firstRow="1" w:lastRow="0" w:firstColumn="0" w:lastColumn="0" w:oddVBand="0" w:evenVBand="0" w:oddHBand="0" w:evenHBand="0" w:firstRowFirstColumn="0" w:firstRowLastColumn="0" w:lastRowFirstColumn="0" w:lastRowLastColumn="0"/>
          <w:trHeight w:val="60"/>
        </w:trPr>
        <w:tc>
          <w:tcPr>
            <w:tcW w:w="9071" w:type="dxa"/>
          </w:tcPr>
          <w:p w14:paraId="01C0CEA8" w14:textId="77777777" w:rsidR="00514CC0" w:rsidRDefault="00E72B49">
            <w:pPr>
              <w:pStyle w:val="OWBoxheading"/>
            </w:pPr>
            <w:bookmarkStart w:id="84" w:name="Fig30FollowOn"/>
            <w:bookmarkEnd w:id="84"/>
            <w:r w:rsidRPr="00DC705E">
              <w:lastRenderedPageBreak/>
              <w:t xml:space="preserve">An intersectional model for understanding violence against Aboriginal and Torres Strait Islander Women, edited extract from </w:t>
            </w:r>
            <w:r>
              <w:rPr>
                <w:rStyle w:val="OWBoldItalic"/>
                <w:b/>
                <w:bCs/>
              </w:rPr>
              <w:t>Changing the picture – Background paper: Understanding violence against Aboriginal and Torres Strait Islander women</w:t>
            </w:r>
            <w:r w:rsidRPr="00DC705E">
              <w:t xml:space="preserve"> (Our Watch, 2018)</w:t>
            </w:r>
          </w:p>
        </w:tc>
      </w:tr>
      <w:tr w:rsidR="00514CC0" w14:paraId="704B9940" w14:textId="77777777" w:rsidTr="00F0324E">
        <w:trPr>
          <w:trHeight w:val="60"/>
        </w:trPr>
        <w:tc>
          <w:tcPr>
            <w:tcW w:w="9071" w:type="dxa"/>
          </w:tcPr>
          <w:p w14:paraId="0097B68B" w14:textId="77777777" w:rsidR="00514CC0" w:rsidRDefault="00E72B49">
            <w:pPr>
              <w:pStyle w:val="OWTablebodyleft"/>
            </w:pPr>
            <w:r>
              <w:t>Colonisation is itself an inherently violent process. In Australia, multiple forms of state or state- sanctioned systematic violence against Aboriginal and Torres Strait Islander people have been used as tools of this process. […] The devastating impacts on Aboriginal and Torres Strait Islander peoples of these various forms of colonial violence are widely documented. They include cultural devastation, loss, significant family and community dislocation, and ongoing negative impacts on health and wellbeing. Colonisation has also left significant legacies for non-Indigenous people, and has influenced and shaped Australian society and culture in general, creating racist and discriminatory norms, structures and practices […]</w:t>
            </w:r>
          </w:p>
          <w:p w14:paraId="5742AFC9" w14:textId="45B90645" w:rsidR="00514CC0" w:rsidRDefault="00E72B49">
            <w:pPr>
              <w:pStyle w:val="OWTablebodyleft"/>
            </w:pPr>
            <w:r>
              <w:t>While the combined, ongoing impacts of colonisation and racism are a significant driver of violence against Aboriginal and Torres Strait Islander people, this alone cannot explain the gendered patterns in the data. Violence affects many Aboriginal</w:t>
            </w:r>
            <w:r w:rsidR="00D57A45">
              <w:t> </w:t>
            </w:r>
            <w:r>
              <w:t>and Torres Strait Islander people, but women and their children suffer disproportionately, especially as a result of intimate partner violence, family violence and sexual violence. We also know from the national prevention framework [</w:t>
            </w:r>
            <w:r w:rsidRPr="003E209A">
              <w:rPr>
                <w:rStyle w:val="Emphasis"/>
              </w:rPr>
              <w:t>Change the story</w:t>
            </w:r>
            <w:r>
              <w:t>, 2015] that gender inequality sets the necessary conditions for the levels of violence against women generally across Australia. For all these reasons, any model for understanding violence against Aboriginal and Torres Strait Islander women therefore needs to consider the gendered dimensions of this issue […]</w:t>
            </w:r>
          </w:p>
          <w:p w14:paraId="345EA230" w14:textId="36C2ECB2" w:rsidR="00514CC0" w:rsidRDefault="00E72B49">
            <w:pPr>
              <w:pStyle w:val="OWTablebodyleft"/>
            </w:pPr>
            <w:r>
              <w:t xml:space="preserve">The explanatory model [in </w:t>
            </w:r>
            <w:r w:rsidRPr="003E209A">
              <w:rPr>
                <w:rStyle w:val="Emphasis"/>
              </w:rPr>
              <w:t>Changing the picture</w:t>
            </w:r>
            <w:r>
              <w:t>] depicts three intersecting drivers of</w:t>
            </w:r>
            <w:r w:rsidR="00D57A45">
              <w:t> </w:t>
            </w:r>
            <w:r>
              <w:t>violence against Aboriginal and Torres Strait Islander women. [It] shows that these drivers are overlapping and interrelated, and that they all exist in the context of colonisation.</w:t>
            </w:r>
          </w:p>
          <w:p w14:paraId="2D80ED85" w14:textId="77777777" w:rsidR="00514CC0" w:rsidRDefault="00E72B49">
            <w:pPr>
              <w:pStyle w:val="OWTablebodyleft"/>
            </w:pPr>
            <w:r>
              <w:t>The diagram also emphasises that it is the complex intersection of these factors that creates the conditions for the extremely high prevalence and severity of violence against Aboriginal and Torres Strait Islander women that we see in Australia today […]</w:t>
            </w:r>
          </w:p>
          <w:p w14:paraId="4624D83D" w14:textId="4DB34E0F" w:rsidR="00514CC0" w:rsidRDefault="00E72B49">
            <w:pPr>
              <w:pStyle w:val="OWTablebodyleft"/>
            </w:pPr>
            <w:r>
              <w:t>None of these factors operates in isolation. There is no one cause of violence, and</w:t>
            </w:r>
            <w:r w:rsidR="00D57A45">
              <w:t> </w:t>
            </w:r>
            <w:r>
              <w:t>none of these drivers provides a simple explanation in any context.</w:t>
            </w:r>
          </w:p>
          <w:p w14:paraId="0E887C99" w14:textId="4088C87D" w:rsidR="00514CC0" w:rsidRDefault="00E72B49">
            <w:pPr>
              <w:pStyle w:val="OWTablebodyleft"/>
            </w:pPr>
            <w:r>
              <w:t>Rather, it is the combination, or intersection of these various factors that drives such</w:t>
            </w:r>
            <w:r w:rsidR="00D57A45">
              <w:t> </w:t>
            </w:r>
            <w:r>
              <w:t>high rates of violence against Aboriginal and Torres Strait Islander women.</w:t>
            </w:r>
          </w:p>
          <w:p w14:paraId="2520A44B" w14:textId="77777777" w:rsidR="00514CC0" w:rsidRDefault="00E72B49">
            <w:pPr>
              <w:pStyle w:val="OWTablebodyleft"/>
            </w:pPr>
            <w:r>
              <w:t>A key feature of the model is the way it helps explain the different combinations of factors that drive the use of violence by non-Indigenous men, and by Aboriginal and Torres Strait Islander men.</w:t>
            </w:r>
          </w:p>
        </w:tc>
      </w:tr>
    </w:tbl>
    <w:p w14:paraId="6C80AD2B" w14:textId="0333A384" w:rsidR="00514CC0" w:rsidRDefault="00E72B49" w:rsidP="00DC705E">
      <w:pPr>
        <w:pStyle w:val="OWBodytextlargespaceabove"/>
      </w:pPr>
      <w:r>
        <w:t xml:space="preserve">As another example, our paper on </w:t>
      </w:r>
      <w:r w:rsidRPr="003E209A">
        <w:rPr>
          <w:rStyle w:val="Emphasis"/>
        </w:rPr>
        <w:t xml:space="preserve">Primary prevention of family violence against people from LGBTI communities </w:t>
      </w:r>
      <w:r>
        <w:t xml:space="preserve">(2017) demonstrates that hostility, discrimination and violence against women of diverse sexual orientations, trans women and gender-diverse people is firmly rooted in harmful constructs of the gender binary and the subsequent gender hierarchy. </w:t>
      </w:r>
      <w:r>
        <w:lastRenderedPageBreak/>
        <w:t>Just</w:t>
      </w:r>
      <w:r w:rsidR="00D57A45">
        <w:t> </w:t>
      </w:r>
      <w:r>
        <w:t>as gender constructions and inequality drive violence against women, so too does the rigid adherence and enforcement of binary gender roles and stereotypes continue to harm people of diverse sexual and gender identities.</w:t>
      </w:r>
      <w:r w:rsidR="00FA4EEA">
        <w:rPr>
          <w:rStyle w:val="EndnoteReference"/>
        </w:rPr>
        <w:endnoteReference w:id="392"/>
      </w:r>
      <w:r>
        <w:t xml:space="preserve"> As such, it is the combining of gendered drivers and hostility to sexual and gender diversity that drives violence against people of diverse sexual and gender identities.</w:t>
      </w:r>
    </w:p>
    <w:p w14:paraId="14289BFE" w14:textId="7958F803" w:rsidR="00514CC0" w:rsidRDefault="00E72B49">
      <w:pPr>
        <w:pStyle w:val="BodyText"/>
      </w:pPr>
      <w:r>
        <w:t>We also know through available research and advocacy that the experiences of violence against women with disability are varied and can often be multidimensional. For women with disability, experiences of violence are often compounded by experiences of ableism and disability discrimination. These broader structural processes intersect and interact to deny women with disability their social, political and economic rights, thus contributing to a social context whereby women and girls with disability, and people with disability more broadly, are devalued and dehumanised.</w:t>
      </w:r>
      <w:r w:rsidR="00FA4EEA">
        <w:rPr>
          <w:rStyle w:val="EndnoteReference"/>
        </w:rPr>
        <w:endnoteReference w:id="393"/>
      </w:r>
      <w:r>
        <w:t xml:space="preserve"> In Australia, we know that women with disability experience violence in similar situations to all women – they are likely to be assaulted by someone who is known to them, the perpetrator is most likely to be a man, and the violence will occur in their home or place of residence.</w:t>
      </w:r>
      <w:r w:rsidR="005A5A6F">
        <w:rPr>
          <w:rStyle w:val="EndnoteReference"/>
        </w:rPr>
        <w:endnoteReference w:id="394"/>
      </w:r>
      <w:r>
        <w:t xml:space="preserve"> Yet there are also differences to consider. For example, women with disability are more likely to reside in institutions such as community-based group homes, boarding houses, hospitals, mental health facilities or nursing homes. Within these varied settings, violence may be perpetrated by a range of people, including medical professionals, disability support service practitioners, and paid or non-paid carers. Ableism also means that the violence experienced by women with disability may be hidden, reframed as an unspecified ‘incident’, and downplayed. There are limitations in the Personal Safety Survey with regard to capturing data on women with disabilities. The survey is only administered to individuals in private dwellings, rather than including other situations in which some people with disability live, such as care homes. Participation cannot be supported by a carer, which also excluding many people with disability. Notwithstanding these limitations, Personal Safety Survey data reveals that women with disability experience a higher prevalence of various forms of violence, including partner physical or sexual violence, sexual violence by non-partners, partner emotional abuse, and sexual harassment.</w:t>
      </w:r>
      <w:r w:rsidR="00C01D7C">
        <w:t xml:space="preserve"> </w:t>
      </w:r>
      <w:r>
        <w:t>In order to understand and prevent violence against women with disabilities, it is essential to</w:t>
      </w:r>
      <w:r w:rsidR="00C01D7C">
        <w:t xml:space="preserve"> </w:t>
      </w:r>
      <w:r>
        <w:t>consider and address the intersection of sexism and ableism.</w:t>
      </w:r>
    </w:p>
    <w:p w14:paraId="74F50C61" w14:textId="246246C5" w:rsidR="00514CC0" w:rsidRDefault="00E72B49">
      <w:pPr>
        <w:pStyle w:val="BodyText"/>
      </w:pPr>
      <w:r>
        <w:t>Race discrimination, religious xenophobia, and in some instances class discrimination, also intersect with gender inequality in particular ways for women from refugee and migrant backgrounds.</w:t>
      </w:r>
      <w:r w:rsidR="00FA4EEA">
        <w:rPr>
          <w:rStyle w:val="EndnoteReference"/>
        </w:rPr>
        <w:endnoteReference w:id="395"/>
      </w:r>
      <w:r>
        <w:t xml:space="preserve"> For example, social and legal structures such as visa and citizenship settings</w:t>
      </w:r>
      <w:r w:rsidR="00D57A45">
        <w:t> </w:t>
      </w:r>
      <w:r>
        <w:t>intersect with gender inequality to limit women’s access to social and economic independence in workplaces and homes, particularly if women’s visa status is dependent on</w:t>
      </w:r>
      <w:r w:rsidR="00D57A45">
        <w:t> </w:t>
      </w:r>
      <w:r>
        <w:t>their spouse, children or employer,</w:t>
      </w:r>
      <w:r w:rsidR="00FA4EEA">
        <w:rPr>
          <w:rStyle w:val="EndnoteReference"/>
        </w:rPr>
        <w:endnoteReference w:id="396"/>
      </w:r>
      <w:r>
        <w:t xml:space="preserve"> or in accessing vital services. These forms of discrimination also result in racial stereotypes and harmful assumptions that need to be</w:t>
      </w:r>
      <w:r w:rsidR="00D57A45">
        <w:t> </w:t>
      </w:r>
      <w:r>
        <w:t>challenged as an essential component of preventing violence against immigrant and refugee</w:t>
      </w:r>
      <w:r w:rsidR="00D57A45">
        <w:t> </w:t>
      </w:r>
      <w:r>
        <w:t>women.</w:t>
      </w:r>
      <w:r w:rsidR="00FA4EEA">
        <w:rPr>
          <w:rStyle w:val="EndnoteReference"/>
        </w:rPr>
        <w:endnoteReference w:id="397"/>
      </w:r>
    </w:p>
    <w:p w14:paraId="77E8CC69" w14:textId="68401FE4" w:rsidR="00514CC0" w:rsidRDefault="00E72B49">
      <w:pPr>
        <w:pStyle w:val="BodyText"/>
      </w:pPr>
      <w:r>
        <w:t>Age discrimination also intersects with gender inequality, impacting older women in particular ways. Ageism in the workplace, and the enactment of traditional gender roles that influence time spent in employment, occupation type and income level, combined with the unequal distribution of unpaid care work and unpaid labour in the home contributes to older women having less financial security and independence than men</w:t>
      </w:r>
      <w:r w:rsidR="00FA4EEA">
        <w:rPr>
          <w:rStyle w:val="EndnoteReference"/>
        </w:rPr>
        <w:endnoteReference w:id="398"/>
      </w:r>
      <w:r>
        <w:t xml:space="preserve"> (as discussed in Monitoring domain 3: Men’s control of decision-making and limits to women’s independence in public life). These impacts can be exploited by perpetrators of violence </w:t>
      </w:r>
      <w:r>
        <w:lastRenderedPageBreak/>
        <w:t>against older women. While this is an emerging research area, research that has been conducted suggests that the victims of elder abuse are predominantly women, although this varies depending on the type of abuse.</w:t>
      </w:r>
      <w:r w:rsidR="001B7FAD">
        <w:rPr>
          <w:rStyle w:val="EndnoteReference"/>
        </w:rPr>
        <w:endnoteReference w:id="399"/>
      </w:r>
      <w:r>
        <w:t xml:space="preserve"> Conversely, ageism can also have negative impacts on young women, who may have less independence, fewer supports and less knowledge of their rights, factors that again can be exploited by perpetrators of violence against younger women.</w:t>
      </w:r>
    </w:p>
    <w:p w14:paraId="38F6DCFE" w14:textId="3BB2BDC2" w:rsidR="00514CC0" w:rsidRDefault="00E72B49" w:rsidP="00F868FE">
      <w:pPr>
        <w:pStyle w:val="Heading5"/>
      </w:pPr>
      <w:r>
        <w:t xml:space="preserve">Measuring intersecting </w:t>
      </w:r>
      <w:r w:rsidR="00FA631F" w:rsidRPr="00FA631F">
        <w:t>drivers of violence (other forms of oppression and</w:t>
      </w:r>
      <w:r w:rsidR="00FA631F">
        <w:t> </w:t>
      </w:r>
      <w:r w:rsidR="00FA631F" w:rsidRPr="00FA631F">
        <w:t>discrimination)</w:t>
      </w:r>
    </w:p>
    <w:p w14:paraId="7188D80F" w14:textId="4F73F45E" w:rsidR="00514CC0" w:rsidRDefault="00E72B49">
      <w:pPr>
        <w:pStyle w:val="BodyText"/>
      </w:pPr>
      <w:r>
        <w:t xml:space="preserve">The indicators measuring progress in this domain include </w:t>
      </w:r>
      <w:r w:rsidR="0032400A">
        <w:t>Aboriginal and Torres Strait Islander</w:t>
      </w:r>
      <w:r>
        <w:t xml:space="preserve"> people’s experiences of racial discrimination as well as social outcomes of the ongoing impacts of colonisation, people’s reported experiences of discrimination across a</w:t>
      </w:r>
      <w:r w:rsidR="00C01D7C">
        <w:t> </w:t>
      </w:r>
      <w:r>
        <w:t>range of oppressions, discriminatory attitudes and socioeconomic inequality.</w:t>
      </w:r>
    </w:p>
    <w:p w14:paraId="29D5A4D9" w14:textId="1A32FA52" w:rsidR="00514CC0" w:rsidRDefault="00E72B49">
      <w:pPr>
        <w:pStyle w:val="BodyText"/>
      </w:pPr>
      <w:r>
        <w:t>It is crucial to note that there are considerable limitations to the available data which quantifies structural disadvantage, discrimination and socioeconomic inequality at a population level in Australia. While there have been a number of single studies of particular forms of discrimination, many have not been included here because they have not been repeated, and therefore do not allow for an assessment of change over time (the focus of this report). Further, the data that is available does not always allow for disaggregation along multiple axes of demographic factors, e.g. cultural background and sex/gender, and</w:t>
      </w:r>
      <w:r w:rsidR="00D57A45">
        <w:t> </w:t>
      </w:r>
      <w:r>
        <w:t>certainly almost never for more than two factors.</w:t>
      </w:r>
    </w:p>
    <w:p w14:paraId="0421D3CE" w14:textId="16641840" w:rsidR="00514CC0" w:rsidRDefault="00683271">
      <w:pPr>
        <w:pStyle w:val="BodyText"/>
      </w:pPr>
      <w:r>
        <w:t>A</w:t>
      </w:r>
      <w:r w:rsidR="0066709A">
        <w:t xml:space="preserve"> </w:t>
      </w:r>
      <w:r w:rsidR="00E72B49">
        <w:t>significant</w:t>
      </w:r>
      <w:r w:rsidR="0066709A">
        <w:t xml:space="preserve"> </w:t>
      </w:r>
      <w:r w:rsidR="00E72B49">
        <w:t>limitation</w:t>
      </w:r>
      <w:r w:rsidR="0066709A">
        <w:t xml:space="preserve"> </w:t>
      </w:r>
      <w:r w:rsidR="00E72B49">
        <w:t>of</w:t>
      </w:r>
      <w:r w:rsidR="0066709A">
        <w:t xml:space="preserve"> </w:t>
      </w:r>
      <w:r w:rsidR="00E72B49">
        <w:t>a</w:t>
      </w:r>
      <w:r w:rsidR="0066709A">
        <w:t xml:space="preserve"> </w:t>
      </w:r>
      <w:r w:rsidR="00E72B49">
        <w:t>quantitative</w:t>
      </w:r>
      <w:r w:rsidR="0066709A">
        <w:t xml:space="preserve"> </w:t>
      </w:r>
      <w:r w:rsidR="00E72B49">
        <w:t>methodology</w:t>
      </w:r>
      <w:r w:rsidR="0066709A">
        <w:t xml:space="preserve"> </w:t>
      </w:r>
      <w:r w:rsidR="00E72B49">
        <w:t>and</w:t>
      </w:r>
      <w:r w:rsidR="0066709A">
        <w:t xml:space="preserve"> </w:t>
      </w:r>
      <w:r w:rsidR="00E72B49">
        <w:t>of</w:t>
      </w:r>
      <w:r w:rsidR="0066709A">
        <w:t xml:space="preserve"> </w:t>
      </w:r>
      <w:r w:rsidR="00E72B49">
        <w:t>existing</w:t>
      </w:r>
      <w:r w:rsidR="0066709A">
        <w:t xml:space="preserve"> </w:t>
      </w:r>
      <w:r w:rsidR="00E72B49">
        <w:t>population-representative</w:t>
      </w:r>
      <w:r w:rsidR="0066709A">
        <w:t xml:space="preserve"> </w:t>
      </w:r>
      <w:r w:rsidR="00E72B49">
        <w:t>datasets</w:t>
      </w:r>
      <w:r w:rsidR="0066709A">
        <w:t xml:space="preserve"> </w:t>
      </w:r>
      <w:r w:rsidR="00E72B49">
        <w:t>is</w:t>
      </w:r>
      <w:r w:rsidR="0066709A">
        <w:t xml:space="preserve"> </w:t>
      </w:r>
      <w:r w:rsidR="00E72B49">
        <w:t>with</w:t>
      </w:r>
      <w:r w:rsidR="0066709A">
        <w:t xml:space="preserve"> </w:t>
      </w:r>
      <w:r w:rsidR="00E72B49">
        <w:t>regard</w:t>
      </w:r>
      <w:r w:rsidR="0066709A">
        <w:t xml:space="preserve"> </w:t>
      </w:r>
      <w:r w:rsidR="00E72B49">
        <w:t>to</w:t>
      </w:r>
      <w:r w:rsidR="0066709A">
        <w:t xml:space="preserve"> </w:t>
      </w:r>
      <w:r w:rsidR="00E72B49">
        <w:t>measuring</w:t>
      </w:r>
      <w:r w:rsidR="0066709A">
        <w:t xml:space="preserve"> </w:t>
      </w:r>
      <w:r w:rsidR="00E72B49">
        <w:t>the</w:t>
      </w:r>
      <w:r w:rsidR="0066709A">
        <w:t xml:space="preserve"> </w:t>
      </w:r>
      <w:r w:rsidR="00E72B49">
        <w:t>intersection</w:t>
      </w:r>
      <w:r w:rsidR="0066709A">
        <w:t xml:space="preserve"> </w:t>
      </w:r>
      <w:r w:rsidR="00E72B49">
        <w:t>of</w:t>
      </w:r>
      <w:r w:rsidR="0066709A">
        <w:t xml:space="preserve"> </w:t>
      </w:r>
      <w:r w:rsidR="00E72B49">
        <w:t>gendered</w:t>
      </w:r>
      <w:r w:rsidR="0066709A">
        <w:t xml:space="preserve"> </w:t>
      </w:r>
      <w:r w:rsidR="00E72B49">
        <w:t>factors</w:t>
      </w:r>
      <w:r w:rsidR="0066709A">
        <w:t xml:space="preserve"> </w:t>
      </w:r>
      <w:r w:rsidR="00E72B49">
        <w:t>with</w:t>
      </w:r>
      <w:r w:rsidR="0066709A">
        <w:t xml:space="preserve"> </w:t>
      </w:r>
      <w:r w:rsidR="00E72B49">
        <w:t>other</w:t>
      </w:r>
      <w:r w:rsidR="0066709A">
        <w:t xml:space="preserve"> </w:t>
      </w:r>
      <w:r w:rsidR="00E72B49">
        <w:t>factors.</w:t>
      </w:r>
      <w:r w:rsidR="0066709A">
        <w:t xml:space="preserve"> </w:t>
      </w:r>
      <w:r w:rsidR="00E72B49">
        <w:t>This</w:t>
      </w:r>
      <w:r w:rsidR="0066709A">
        <w:t xml:space="preserve"> </w:t>
      </w:r>
      <w:r w:rsidR="00E72B49">
        <w:t>is</w:t>
      </w:r>
      <w:r w:rsidR="0066709A">
        <w:t xml:space="preserve"> </w:t>
      </w:r>
      <w:r w:rsidR="00E72B49">
        <w:t>not</w:t>
      </w:r>
      <w:r w:rsidR="0066709A">
        <w:t xml:space="preserve"> </w:t>
      </w:r>
      <w:r w:rsidR="00E72B49">
        <w:t>simply</w:t>
      </w:r>
      <w:r w:rsidR="0066709A">
        <w:t xml:space="preserve"> </w:t>
      </w:r>
      <w:r w:rsidR="00E72B49">
        <w:t>a</w:t>
      </w:r>
      <w:r w:rsidR="0066709A">
        <w:t xml:space="preserve"> </w:t>
      </w:r>
      <w:r w:rsidR="00E72B49">
        <w:t>matter</w:t>
      </w:r>
      <w:r w:rsidR="0066709A">
        <w:t xml:space="preserve"> </w:t>
      </w:r>
      <w:r w:rsidR="00E72B49">
        <w:t>of</w:t>
      </w:r>
      <w:r w:rsidR="0066709A">
        <w:t xml:space="preserve"> </w:t>
      </w:r>
      <w:r w:rsidR="00E72B49">
        <w:t>a</w:t>
      </w:r>
      <w:r w:rsidR="0066709A">
        <w:t xml:space="preserve"> </w:t>
      </w:r>
      <w:r w:rsidR="00E72B49">
        <w:t>lack</w:t>
      </w:r>
      <w:r w:rsidR="0066709A">
        <w:t xml:space="preserve"> </w:t>
      </w:r>
      <w:r w:rsidR="00E72B49">
        <w:t>of</w:t>
      </w:r>
      <w:r w:rsidR="0066709A">
        <w:t xml:space="preserve"> </w:t>
      </w:r>
      <w:r w:rsidR="00E72B49">
        <w:t>or</w:t>
      </w:r>
      <w:r w:rsidR="0066709A">
        <w:t xml:space="preserve"> </w:t>
      </w:r>
      <w:r w:rsidR="00E72B49">
        <w:t>limited</w:t>
      </w:r>
      <w:r w:rsidR="0066709A">
        <w:t xml:space="preserve"> </w:t>
      </w:r>
      <w:r w:rsidR="00E72B49">
        <w:t>disaggregation</w:t>
      </w:r>
      <w:r w:rsidR="0066709A">
        <w:t xml:space="preserve"> </w:t>
      </w:r>
      <w:r w:rsidR="00E72B49">
        <w:t>(though</w:t>
      </w:r>
      <w:r w:rsidR="0066709A">
        <w:t> </w:t>
      </w:r>
      <w:r w:rsidR="00E72B49">
        <w:t>that</w:t>
      </w:r>
      <w:r w:rsidR="0066709A">
        <w:t xml:space="preserve"> </w:t>
      </w:r>
      <w:r w:rsidR="00E72B49">
        <w:t>is</w:t>
      </w:r>
      <w:r w:rsidR="0066709A">
        <w:t xml:space="preserve"> </w:t>
      </w:r>
      <w:r w:rsidR="00E72B49">
        <w:t>a</w:t>
      </w:r>
      <w:r w:rsidR="0066709A">
        <w:t xml:space="preserve"> </w:t>
      </w:r>
      <w:r w:rsidR="00E72B49">
        <w:t>challenge</w:t>
      </w:r>
      <w:r w:rsidR="0066709A">
        <w:t xml:space="preserve"> </w:t>
      </w:r>
      <w:r w:rsidR="00E72B49">
        <w:t>in</w:t>
      </w:r>
      <w:r w:rsidR="0066709A">
        <w:t xml:space="preserve"> </w:t>
      </w:r>
      <w:r w:rsidR="00E72B49">
        <w:t>many</w:t>
      </w:r>
      <w:r w:rsidR="0066709A">
        <w:t xml:space="preserve"> </w:t>
      </w:r>
      <w:r w:rsidR="00E72B49">
        <w:t>instances).</w:t>
      </w:r>
      <w:r w:rsidR="0066709A">
        <w:t xml:space="preserve"> </w:t>
      </w:r>
      <w:r w:rsidR="00E72B49">
        <w:t>It</w:t>
      </w:r>
      <w:r w:rsidR="0066709A">
        <w:t xml:space="preserve"> </w:t>
      </w:r>
      <w:r w:rsidR="00E72B49">
        <w:t>is</w:t>
      </w:r>
      <w:r w:rsidR="0066709A">
        <w:t xml:space="preserve"> </w:t>
      </w:r>
      <w:r w:rsidR="00E72B49">
        <w:t>also</w:t>
      </w:r>
      <w:r w:rsidR="0066709A">
        <w:t xml:space="preserve"> </w:t>
      </w:r>
      <w:r w:rsidR="00E72B49">
        <w:t>that</w:t>
      </w:r>
      <w:r w:rsidR="0066709A">
        <w:t xml:space="preserve"> </w:t>
      </w:r>
      <w:r w:rsidR="00E72B49">
        <w:t>many</w:t>
      </w:r>
      <w:r w:rsidR="0066709A">
        <w:t xml:space="preserve"> </w:t>
      </w:r>
      <w:r w:rsidR="00E72B49">
        <w:t>quantitative</w:t>
      </w:r>
      <w:r w:rsidR="0066709A">
        <w:t xml:space="preserve"> </w:t>
      </w:r>
      <w:r w:rsidR="00E72B49">
        <w:t>datasets</w:t>
      </w:r>
      <w:r w:rsidR="0066709A">
        <w:t xml:space="preserve"> </w:t>
      </w:r>
      <w:r w:rsidR="00E72B49">
        <w:t>are</w:t>
      </w:r>
      <w:r w:rsidR="0066709A">
        <w:t> </w:t>
      </w:r>
      <w:r w:rsidR="00E72B49">
        <w:t>designed</w:t>
      </w:r>
      <w:r w:rsidR="0066709A">
        <w:t xml:space="preserve"> </w:t>
      </w:r>
      <w:r w:rsidR="00E72B49">
        <w:t>in</w:t>
      </w:r>
      <w:r w:rsidR="0066709A">
        <w:t xml:space="preserve"> </w:t>
      </w:r>
      <w:r w:rsidR="00E72B49">
        <w:t>ways</w:t>
      </w:r>
      <w:r w:rsidR="0066709A">
        <w:t xml:space="preserve"> </w:t>
      </w:r>
      <w:r w:rsidR="00E72B49">
        <w:t>which</w:t>
      </w:r>
      <w:r w:rsidR="0066709A">
        <w:t xml:space="preserve"> </w:t>
      </w:r>
      <w:r w:rsidR="00E72B49">
        <w:t>tend</w:t>
      </w:r>
      <w:r w:rsidR="0066709A">
        <w:t xml:space="preserve"> </w:t>
      </w:r>
      <w:r w:rsidR="00E72B49">
        <w:t>to</w:t>
      </w:r>
      <w:r w:rsidR="0066709A">
        <w:t xml:space="preserve"> </w:t>
      </w:r>
      <w:r w:rsidR="00E72B49">
        <w:t>reflect</w:t>
      </w:r>
      <w:r w:rsidR="0066709A">
        <w:t xml:space="preserve"> </w:t>
      </w:r>
      <w:r w:rsidR="00E72B49">
        <w:t>normative</w:t>
      </w:r>
      <w:r w:rsidR="0066709A">
        <w:t xml:space="preserve"> </w:t>
      </w:r>
      <w:r w:rsidR="00E72B49">
        <w:t>framing</w:t>
      </w:r>
      <w:r w:rsidR="0066709A">
        <w:t xml:space="preserve"> </w:t>
      </w:r>
      <w:r w:rsidR="00E72B49">
        <w:t>of</w:t>
      </w:r>
      <w:r w:rsidR="0066709A">
        <w:t xml:space="preserve"> </w:t>
      </w:r>
      <w:r w:rsidR="00E72B49">
        <w:t>issues</w:t>
      </w:r>
      <w:r w:rsidR="0066709A">
        <w:t xml:space="preserve"> </w:t>
      </w:r>
      <w:r w:rsidR="00E72B49">
        <w:t>and</w:t>
      </w:r>
      <w:r w:rsidR="0066709A">
        <w:t xml:space="preserve"> </w:t>
      </w:r>
      <w:r w:rsidR="00E72B49">
        <w:t>of</w:t>
      </w:r>
      <w:r w:rsidR="0066709A">
        <w:t xml:space="preserve"> </w:t>
      </w:r>
      <w:r w:rsidR="00E72B49">
        <w:t>people</w:t>
      </w:r>
      <w:r w:rsidR="0066709A">
        <w:t xml:space="preserve"> </w:t>
      </w:r>
      <w:r w:rsidR="00E72B49">
        <w:t>(for</w:t>
      </w:r>
      <w:r w:rsidR="0066709A">
        <w:t> </w:t>
      </w:r>
      <w:r w:rsidR="00E72B49">
        <w:t>example,</w:t>
      </w:r>
      <w:r w:rsidR="0066709A">
        <w:t xml:space="preserve"> </w:t>
      </w:r>
      <w:r w:rsidR="00E72B49">
        <w:t>implicit</w:t>
      </w:r>
      <w:r w:rsidR="0066709A">
        <w:t xml:space="preserve"> </w:t>
      </w:r>
      <w:r w:rsidR="00E72B49">
        <w:t>heteronormative</w:t>
      </w:r>
      <w:r w:rsidR="0066709A">
        <w:t xml:space="preserve"> </w:t>
      </w:r>
      <w:r w:rsidR="00E72B49">
        <w:t>framing</w:t>
      </w:r>
      <w:r w:rsidR="0066709A">
        <w:t xml:space="preserve"> </w:t>
      </w:r>
      <w:r w:rsidR="00E72B49">
        <w:t>of</w:t>
      </w:r>
      <w:r w:rsidR="0066709A">
        <w:t xml:space="preserve"> </w:t>
      </w:r>
      <w:r w:rsidR="00E72B49">
        <w:t>intimate</w:t>
      </w:r>
      <w:r w:rsidR="0066709A">
        <w:t xml:space="preserve"> </w:t>
      </w:r>
      <w:r w:rsidR="00E72B49">
        <w:t>relationships</w:t>
      </w:r>
      <w:r w:rsidR="0066709A">
        <w:t xml:space="preserve"> </w:t>
      </w:r>
      <w:r w:rsidR="00E72B49">
        <w:t>and</w:t>
      </w:r>
      <w:r w:rsidR="0066709A">
        <w:t xml:space="preserve"> </w:t>
      </w:r>
      <w:r w:rsidR="00E72B49">
        <w:t>families),</w:t>
      </w:r>
      <w:r w:rsidR="0066709A">
        <w:t xml:space="preserve"> </w:t>
      </w:r>
      <w:r w:rsidR="00E72B49">
        <w:t>expressions</w:t>
      </w:r>
      <w:r w:rsidR="0066709A">
        <w:t xml:space="preserve"> </w:t>
      </w:r>
      <w:r w:rsidR="00E72B49">
        <w:t>of</w:t>
      </w:r>
      <w:r w:rsidR="0066709A">
        <w:t xml:space="preserve"> </w:t>
      </w:r>
      <w:r w:rsidR="00E72B49">
        <w:t>gender</w:t>
      </w:r>
      <w:r w:rsidR="0066709A">
        <w:t xml:space="preserve"> </w:t>
      </w:r>
      <w:r w:rsidR="00E72B49">
        <w:t>inequality</w:t>
      </w:r>
      <w:r w:rsidR="0066709A">
        <w:t xml:space="preserve"> </w:t>
      </w:r>
      <w:r w:rsidR="00E72B49">
        <w:t>as</w:t>
      </w:r>
      <w:r w:rsidR="0066709A">
        <w:t xml:space="preserve"> </w:t>
      </w:r>
      <w:r w:rsidR="00E72B49">
        <w:t>experienced</w:t>
      </w:r>
      <w:r w:rsidR="0066709A">
        <w:t xml:space="preserve"> </w:t>
      </w:r>
      <w:r w:rsidR="00E72B49">
        <w:t>by</w:t>
      </w:r>
      <w:r w:rsidR="0066709A">
        <w:t xml:space="preserve"> </w:t>
      </w:r>
      <w:r w:rsidR="00E72B49">
        <w:t>more</w:t>
      </w:r>
      <w:r w:rsidR="0066709A">
        <w:t xml:space="preserve"> </w:t>
      </w:r>
      <w:r w:rsidR="00E72B49">
        <w:t>privileged</w:t>
      </w:r>
      <w:r w:rsidR="0066709A">
        <w:t xml:space="preserve"> </w:t>
      </w:r>
      <w:r w:rsidR="00E72B49">
        <w:t>women,</w:t>
      </w:r>
      <w:r w:rsidR="0066709A">
        <w:t xml:space="preserve"> </w:t>
      </w:r>
      <w:r w:rsidR="00E72B49">
        <w:t>and</w:t>
      </w:r>
      <w:r w:rsidR="0066709A">
        <w:t xml:space="preserve"> </w:t>
      </w:r>
      <w:r w:rsidR="00E72B49">
        <w:t>a</w:t>
      </w:r>
      <w:r w:rsidR="0066709A">
        <w:t xml:space="preserve"> </w:t>
      </w:r>
      <w:r w:rsidR="00E72B49">
        <w:t>‘separation</w:t>
      </w:r>
      <w:r w:rsidR="0066709A">
        <w:t xml:space="preserve"> </w:t>
      </w:r>
      <w:r w:rsidR="00E72B49">
        <w:t>out’</w:t>
      </w:r>
      <w:r w:rsidR="0066709A">
        <w:t xml:space="preserve"> </w:t>
      </w:r>
      <w:r w:rsidR="00E72B49">
        <w:t>of</w:t>
      </w:r>
      <w:r w:rsidR="0066709A">
        <w:t xml:space="preserve"> </w:t>
      </w:r>
      <w:r w:rsidR="00E72B49">
        <w:t>issues</w:t>
      </w:r>
      <w:r w:rsidR="0066709A">
        <w:t xml:space="preserve"> </w:t>
      </w:r>
      <w:r w:rsidR="00E72B49">
        <w:t>(for</w:t>
      </w:r>
      <w:r w:rsidR="0066709A">
        <w:t xml:space="preserve"> </w:t>
      </w:r>
      <w:r w:rsidR="00E72B49">
        <w:t>example,</w:t>
      </w:r>
      <w:r w:rsidR="0066709A">
        <w:t xml:space="preserve"> </w:t>
      </w:r>
      <w:r w:rsidR="00E72B49">
        <w:t>surveys</w:t>
      </w:r>
      <w:r w:rsidR="0066709A">
        <w:t xml:space="preserve"> </w:t>
      </w:r>
      <w:r w:rsidR="00E72B49">
        <w:t>focused</w:t>
      </w:r>
      <w:r w:rsidR="0066709A">
        <w:t xml:space="preserve"> </w:t>
      </w:r>
      <w:r w:rsidR="00E72B49">
        <w:t>on</w:t>
      </w:r>
      <w:r w:rsidR="0066709A">
        <w:t xml:space="preserve"> </w:t>
      </w:r>
      <w:r w:rsidR="00E72B49">
        <w:t>gender</w:t>
      </w:r>
      <w:r w:rsidR="0066709A">
        <w:t xml:space="preserve"> </w:t>
      </w:r>
      <w:r w:rsidR="00E72B49">
        <w:t>inequality</w:t>
      </w:r>
      <w:r w:rsidR="0066709A">
        <w:t xml:space="preserve"> </w:t>
      </w:r>
      <w:r w:rsidR="00E72B49">
        <w:t>and</w:t>
      </w:r>
      <w:r w:rsidR="0066709A">
        <w:t xml:space="preserve"> </w:t>
      </w:r>
      <w:r w:rsidR="00E72B49">
        <w:t>surveys</w:t>
      </w:r>
      <w:r w:rsidR="0066709A">
        <w:t xml:space="preserve"> </w:t>
      </w:r>
      <w:r w:rsidR="00E72B49">
        <w:t>focused</w:t>
      </w:r>
      <w:r w:rsidR="0066709A">
        <w:t xml:space="preserve"> </w:t>
      </w:r>
      <w:r w:rsidR="00E72B49">
        <w:t>on</w:t>
      </w:r>
      <w:r w:rsidR="0066709A">
        <w:t xml:space="preserve"> </w:t>
      </w:r>
      <w:r w:rsidR="00E72B49">
        <w:t>racial</w:t>
      </w:r>
      <w:r w:rsidR="0066709A">
        <w:t xml:space="preserve"> </w:t>
      </w:r>
      <w:r w:rsidR="00E72B49">
        <w:t>discrimination,</w:t>
      </w:r>
      <w:r w:rsidR="0066709A">
        <w:t xml:space="preserve"> </w:t>
      </w:r>
      <w:r w:rsidR="00E72B49">
        <w:t>as</w:t>
      </w:r>
      <w:r w:rsidR="0066709A">
        <w:t xml:space="preserve"> </w:t>
      </w:r>
      <w:r w:rsidR="00E72B49">
        <w:t>distinct</w:t>
      </w:r>
      <w:r w:rsidR="0066709A">
        <w:t xml:space="preserve"> </w:t>
      </w:r>
      <w:r w:rsidR="00E72B49">
        <w:t>from</w:t>
      </w:r>
      <w:r w:rsidR="0066709A">
        <w:t xml:space="preserve"> </w:t>
      </w:r>
      <w:r w:rsidR="00E72B49">
        <w:t>one</w:t>
      </w:r>
      <w:r w:rsidR="0066709A">
        <w:t xml:space="preserve"> </w:t>
      </w:r>
      <w:r w:rsidR="00E72B49">
        <w:t>another).</w:t>
      </w:r>
      <w:r w:rsidR="0066709A">
        <w:t xml:space="preserve"> </w:t>
      </w:r>
      <w:r w:rsidR="00E72B49">
        <w:t>Quantitative</w:t>
      </w:r>
      <w:r w:rsidR="0066709A">
        <w:t xml:space="preserve"> </w:t>
      </w:r>
      <w:r w:rsidR="00E72B49">
        <w:t>datasets</w:t>
      </w:r>
      <w:r w:rsidR="0066709A">
        <w:t xml:space="preserve"> </w:t>
      </w:r>
      <w:r w:rsidR="00E72B49">
        <w:t>are</w:t>
      </w:r>
      <w:r w:rsidR="0066709A">
        <w:t xml:space="preserve"> </w:t>
      </w:r>
      <w:r w:rsidR="00E72B49">
        <w:t>also</w:t>
      </w:r>
      <w:r w:rsidR="0066709A">
        <w:t xml:space="preserve"> </w:t>
      </w:r>
      <w:r w:rsidR="00E72B49">
        <w:t>typically</w:t>
      </w:r>
      <w:r w:rsidR="0066709A">
        <w:t xml:space="preserve"> </w:t>
      </w:r>
      <w:r w:rsidR="00E72B49">
        <w:t>focused</w:t>
      </w:r>
      <w:r w:rsidR="0066709A">
        <w:t xml:space="preserve"> </w:t>
      </w:r>
      <w:r w:rsidR="00E72B49">
        <w:t>on</w:t>
      </w:r>
      <w:r w:rsidR="0066709A">
        <w:t xml:space="preserve"> </w:t>
      </w:r>
      <w:r w:rsidR="00E72B49">
        <w:t>individual</w:t>
      </w:r>
      <w:r w:rsidR="0066709A">
        <w:t xml:space="preserve"> </w:t>
      </w:r>
      <w:r w:rsidR="00E72B49">
        <w:t>attitudes,</w:t>
      </w:r>
      <w:r w:rsidR="0066709A">
        <w:t xml:space="preserve"> </w:t>
      </w:r>
      <w:r w:rsidR="00E72B49">
        <w:t>experiences</w:t>
      </w:r>
      <w:r w:rsidR="0066709A">
        <w:t xml:space="preserve"> </w:t>
      </w:r>
      <w:r w:rsidR="00E72B49">
        <w:t>and</w:t>
      </w:r>
      <w:r w:rsidR="0066709A">
        <w:t xml:space="preserve"> </w:t>
      </w:r>
      <w:r w:rsidR="00E72B49">
        <w:t>personal</w:t>
      </w:r>
      <w:r w:rsidR="0066709A">
        <w:t xml:space="preserve"> </w:t>
      </w:r>
      <w:r w:rsidR="00E72B49">
        <w:t>outcomes</w:t>
      </w:r>
      <w:r w:rsidR="0066709A">
        <w:t xml:space="preserve"> </w:t>
      </w:r>
      <w:r w:rsidR="00E72B49">
        <w:t>resulting</w:t>
      </w:r>
      <w:r w:rsidR="0066709A">
        <w:t xml:space="preserve"> </w:t>
      </w:r>
      <w:r w:rsidR="00E72B49">
        <w:t>from</w:t>
      </w:r>
      <w:r w:rsidR="0066709A">
        <w:t xml:space="preserve"> </w:t>
      </w:r>
      <w:r w:rsidR="00E72B49">
        <w:t>structural</w:t>
      </w:r>
      <w:r w:rsidR="0066709A">
        <w:t xml:space="preserve"> </w:t>
      </w:r>
      <w:r w:rsidR="00E72B49">
        <w:t>inequality</w:t>
      </w:r>
      <w:r w:rsidR="0066709A">
        <w:t xml:space="preserve"> </w:t>
      </w:r>
      <w:r w:rsidR="00E72B49">
        <w:t>and</w:t>
      </w:r>
      <w:r w:rsidR="0066709A">
        <w:t xml:space="preserve"> </w:t>
      </w:r>
      <w:r w:rsidR="00E72B49">
        <w:t>systemic</w:t>
      </w:r>
      <w:r w:rsidR="0066709A">
        <w:t xml:space="preserve"> </w:t>
      </w:r>
      <w:r w:rsidR="00E72B49">
        <w:t>oppression,</w:t>
      </w:r>
      <w:r w:rsidR="0066709A">
        <w:t xml:space="preserve"> </w:t>
      </w:r>
      <w:r w:rsidR="00E72B49">
        <w:t>rather</w:t>
      </w:r>
      <w:r w:rsidR="0066709A">
        <w:t xml:space="preserve"> </w:t>
      </w:r>
      <w:r w:rsidR="00E72B49">
        <w:t>than</w:t>
      </w:r>
      <w:r w:rsidR="0066709A">
        <w:t xml:space="preserve"> </w:t>
      </w:r>
      <w:r w:rsidR="00E72B49">
        <w:t>being</w:t>
      </w:r>
      <w:r w:rsidR="0066709A">
        <w:t xml:space="preserve"> </w:t>
      </w:r>
      <w:r w:rsidR="00E72B49">
        <w:t>able</w:t>
      </w:r>
      <w:r w:rsidR="0066709A">
        <w:t xml:space="preserve"> </w:t>
      </w:r>
      <w:r w:rsidR="00E72B49">
        <w:t>to</w:t>
      </w:r>
      <w:r w:rsidR="0066709A">
        <w:t xml:space="preserve"> </w:t>
      </w:r>
      <w:r w:rsidR="00E72B49">
        <w:t>fully</w:t>
      </w:r>
      <w:r w:rsidR="0066709A">
        <w:t xml:space="preserve"> </w:t>
      </w:r>
      <w:r w:rsidR="00E72B49">
        <w:t>take</w:t>
      </w:r>
      <w:r w:rsidR="0066709A">
        <w:t xml:space="preserve"> </w:t>
      </w:r>
      <w:r w:rsidR="00E72B49">
        <w:t>account</w:t>
      </w:r>
      <w:r w:rsidR="0066709A">
        <w:t xml:space="preserve"> </w:t>
      </w:r>
      <w:r w:rsidR="00E72B49">
        <w:t>of</w:t>
      </w:r>
      <w:r w:rsidR="0066709A">
        <w:t xml:space="preserve"> </w:t>
      </w:r>
      <w:r w:rsidR="00E72B49">
        <w:t>and</w:t>
      </w:r>
      <w:r w:rsidR="0066709A">
        <w:t xml:space="preserve"> </w:t>
      </w:r>
      <w:r w:rsidR="00E72B49">
        <w:t>measure</w:t>
      </w:r>
      <w:r w:rsidR="0066709A">
        <w:t xml:space="preserve"> </w:t>
      </w:r>
      <w:r w:rsidR="00E72B49">
        <w:t>these</w:t>
      </w:r>
      <w:r w:rsidR="0066709A">
        <w:t xml:space="preserve"> </w:t>
      </w:r>
      <w:r w:rsidR="00E72B49">
        <w:t>structural</w:t>
      </w:r>
      <w:r w:rsidR="0066709A">
        <w:t xml:space="preserve"> </w:t>
      </w:r>
      <w:r w:rsidR="00E72B49">
        <w:t>and</w:t>
      </w:r>
      <w:r w:rsidR="0066709A">
        <w:t xml:space="preserve"> </w:t>
      </w:r>
      <w:r w:rsidR="00E72B49">
        <w:t>systemic</w:t>
      </w:r>
      <w:r w:rsidR="0066709A">
        <w:t xml:space="preserve"> </w:t>
      </w:r>
      <w:r w:rsidR="00E72B49">
        <w:t>factors</w:t>
      </w:r>
      <w:r w:rsidR="0066709A">
        <w:t xml:space="preserve"> </w:t>
      </w:r>
      <w:r w:rsidR="00E72B49">
        <w:t>in</w:t>
      </w:r>
      <w:r w:rsidR="0066709A">
        <w:t xml:space="preserve"> </w:t>
      </w:r>
      <w:r w:rsidR="00E72B49">
        <w:t>and</w:t>
      </w:r>
      <w:r w:rsidR="0066709A">
        <w:t xml:space="preserve"> </w:t>
      </w:r>
      <w:r w:rsidR="00E72B49">
        <w:t>of</w:t>
      </w:r>
      <w:r w:rsidR="0066709A">
        <w:t xml:space="preserve"> </w:t>
      </w:r>
      <w:r w:rsidR="00E72B49">
        <w:t>themselves.</w:t>
      </w:r>
      <w:r w:rsidR="0066709A">
        <w:t xml:space="preserve"> </w:t>
      </w:r>
      <w:r w:rsidR="00E72B49">
        <w:t>That</w:t>
      </w:r>
      <w:r w:rsidR="0066709A">
        <w:t xml:space="preserve"> </w:t>
      </w:r>
      <w:r w:rsidR="00E72B49">
        <w:t>is,</w:t>
      </w:r>
      <w:r w:rsidR="0066709A">
        <w:t xml:space="preserve"> </w:t>
      </w:r>
      <w:r w:rsidR="00E72B49">
        <w:t>the</w:t>
      </w:r>
      <w:r w:rsidR="0066709A">
        <w:t xml:space="preserve"> </w:t>
      </w:r>
      <w:r w:rsidR="00E72B49">
        <w:t>outcomes</w:t>
      </w:r>
      <w:r w:rsidR="0066709A">
        <w:t xml:space="preserve"> </w:t>
      </w:r>
      <w:r w:rsidR="00E72B49">
        <w:t>of</w:t>
      </w:r>
      <w:r w:rsidR="0066709A">
        <w:t xml:space="preserve"> </w:t>
      </w:r>
      <w:r w:rsidR="00E72B49">
        <w:t>structural</w:t>
      </w:r>
      <w:r w:rsidR="0066709A">
        <w:t xml:space="preserve"> </w:t>
      </w:r>
      <w:r w:rsidR="00E72B49">
        <w:t>and</w:t>
      </w:r>
      <w:r w:rsidR="0066709A">
        <w:t xml:space="preserve"> </w:t>
      </w:r>
      <w:r w:rsidR="00E72B49">
        <w:t>systemic</w:t>
      </w:r>
      <w:r w:rsidR="0066709A">
        <w:t xml:space="preserve"> </w:t>
      </w:r>
      <w:r w:rsidR="00E72B49">
        <w:t>inequality</w:t>
      </w:r>
      <w:r w:rsidR="0066709A">
        <w:t xml:space="preserve"> </w:t>
      </w:r>
      <w:r w:rsidR="00E72B49">
        <w:t>are</w:t>
      </w:r>
      <w:r w:rsidR="0066709A">
        <w:t xml:space="preserve"> </w:t>
      </w:r>
      <w:r w:rsidR="00E72B49">
        <w:t>presented</w:t>
      </w:r>
      <w:r w:rsidR="0066709A">
        <w:t xml:space="preserve"> </w:t>
      </w:r>
      <w:r w:rsidR="00E72B49">
        <w:t>in</w:t>
      </w:r>
      <w:r w:rsidR="0066709A">
        <w:t xml:space="preserve"> </w:t>
      </w:r>
      <w:r w:rsidR="00E72B49">
        <w:t>quantitative</w:t>
      </w:r>
      <w:r w:rsidR="0066709A">
        <w:t xml:space="preserve"> </w:t>
      </w:r>
      <w:r w:rsidR="00E72B49">
        <w:t>datasets</w:t>
      </w:r>
      <w:r w:rsidR="0066709A">
        <w:t xml:space="preserve"> </w:t>
      </w:r>
      <w:r w:rsidR="00E72B49">
        <w:t>in</w:t>
      </w:r>
      <w:r w:rsidR="0066709A">
        <w:t> </w:t>
      </w:r>
      <w:r w:rsidR="00E72B49">
        <w:t>ways</w:t>
      </w:r>
      <w:r w:rsidR="0066709A">
        <w:t xml:space="preserve"> </w:t>
      </w:r>
      <w:r w:rsidR="00E72B49">
        <w:t>that</w:t>
      </w:r>
      <w:r w:rsidR="0066709A">
        <w:t xml:space="preserve"> </w:t>
      </w:r>
      <w:r w:rsidR="00E72B49">
        <w:t>can</w:t>
      </w:r>
      <w:r w:rsidR="0066709A">
        <w:t xml:space="preserve"> </w:t>
      </w:r>
      <w:r w:rsidR="00E72B49">
        <w:t>be</w:t>
      </w:r>
      <w:r w:rsidR="0066709A">
        <w:t xml:space="preserve"> </w:t>
      </w:r>
      <w:r w:rsidR="00E72B49">
        <w:t>divorced</w:t>
      </w:r>
      <w:r w:rsidR="0066709A">
        <w:t xml:space="preserve"> </w:t>
      </w:r>
      <w:r w:rsidR="00E72B49">
        <w:t>from</w:t>
      </w:r>
      <w:r w:rsidR="0066709A">
        <w:t xml:space="preserve"> </w:t>
      </w:r>
      <w:r w:rsidR="00E72B49">
        <w:t>the</w:t>
      </w:r>
      <w:r w:rsidR="0066709A">
        <w:t xml:space="preserve"> </w:t>
      </w:r>
      <w:r w:rsidR="00E72B49">
        <w:t>context</w:t>
      </w:r>
      <w:r w:rsidR="0066709A">
        <w:t xml:space="preserve"> </w:t>
      </w:r>
      <w:r w:rsidR="00E72B49">
        <w:t>in</w:t>
      </w:r>
      <w:r w:rsidR="0066709A">
        <w:t xml:space="preserve"> </w:t>
      </w:r>
      <w:r w:rsidR="00E72B49">
        <w:t>which</w:t>
      </w:r>
      <w:r w:rsidR="0066709A">
        <w:t xml:space="preserve"> </w:t>
      </w:r>
      <w:r w:rsidR="00E72B49">
        <w:t>they</w:t>
      </w:r>
      <w:r w:rsidR="0066709A">
        <w:t xml:space="preserve"> </w:t>
      </w:r>
      <w:r w:rsidR="00E72B49">
        <w:t>were</w:t>
      </w:r>
      <w:r w:rsidR="0066709A">
        <w:t xml:space="preserve"> </w:t>
      </w:r>
      <w:r w:rsidR="00E72B49">
        <w:t>created.</w:t>
      </w:r>
      <w:r w:rsidR="0066709A">
        <w:t xml:space="preserve"> </w:t>
      </w:r>
      <w:r w:rsidR="00E72B49">
        <w:t>Population-level</w:t>
      </w:r>
      <w:r w:rsidR="0066709A">
        <w:t xml:space="preserve"> </w:t>
      </w:r>
      <w:r w:rsidR="00E72B49">
        <w:t>datasets</w:t>
      </w:r>
      <w:r w:rsidR="0066709A">
        <w:t xml:space="preserve"> </w:t>
      </w:r>
      <w:r w:rsidR="00E72B49">
        <w:t>are</w:t>
      </w:r>
      <w:r w:rsidR="0066709A">
        <w:t xml:space="preserve"> </w:t>
      </w:r>
      <w:r w:rsidR="00E72B49">
        <w:t>focused</w:t>
      </w:r>
      <w:r w:rsidR="0066709A">
        <w:t xml:space="preserve"> </w:t>
      </w:r>
      <w:r w:rsidR="00E72B49">
        <w:t>on</w:t>
      </w:r>
      <w:r w:rsidR="0066709A">
        <w:t xml:space="preserve"> </w:t>
      </w:r>
      <w:r w:rsidR="00E72B49">
        <w:t>the</w:t>
      </w:r>
      <w:r w:rsidR="0066709A">
        <w:t xml:space="preserve"> </w:t>
      </w:r>
      <w:r w:rsidR="00E72B49">
        <w:t>individual’s</w:t>
      </w:r>
      <w:r w:rsidR="0066709A">
        <w:t xml:space="preserve"> </w:t>
      </w:r>
      <w:r w:rsidR="00E72B49">
        <w:t>experiences</w:t>
      </w:r>
      <w:r w:rsidR="0066709A">
        <w:t xml:space="preserve"> </w:t>
      </w:r>
      <w:r w:rsidR="00E72B49">
        <w:t>of</w:t>
      </w:r>
      <w:r w:rsidR="0066709A">
        <w:t xml:space="preserve"> </w:t>
      </w:r>
      <w:r w:rsidR="00E72B49">
        <w:t>interpersonal</w:t>
      </w:r>
      <w:r w:rsidR="0066709A">
        <w:t xml:space="preserve"> </w:t>
      </w:r>
      <w:r w:rsidR="00E72B49">
        <w:t>dynamics,</w:t>
      </w:r>
      <w:r w:rsidR="0066709A">
        <w:t xml:space="preserve"> </w:t>
      </w:r>
      <w:r w:rsidR="00E72B49">
        <w:t>or</w:t>
      </w:r>
      <w:r w:rsidR="0066709A">
        <w:t xml:space="preserve"> </w:t>
      </w:r>
      <w:r w:rsidR="00E72B49">
        <w:t>their</w:t>
      </w:r>
      <w:r w:rsidR="0066709A">
        <w:t xml:space="preserve"> </w:t>
      </w:r>
      <w:r w:rsidR="00E72B49">
        <w:t>perceptions</w:t>
      </w:r>
      <w:r w:rsidR="0066709A">
        <w:t xml:space="preserve"> </w:t>
      </w:r>
      <w:r w:rsidR="00E72B49">
        <w:t>and</w:t>
      </w:r>
      <w:r w:rsidR="0066709A">
        <w:t xml:space="preserve"> </w:t>
      </w:r>
      <w:r w:rsidR="00E72B49">
        <w:t>attitudinal</w:t>
      </w:r>
      <w:r w:rsidR="0066709A">
        <w:t xml:space="preserve"> </w:t>
      </w:r>
      <w:r w:rsidR="00E72B49">
        <w:t>expressions</w:t>
      </w:r>
      <w:r w:rsidR="0066709A">
        <w:t xml:space="preserve"> </w:t>
      </w:r>
      <w:r w:rsidR="00E72B49">
        <w:t>of</w:t>
      </w:r>
      <w:r w:rsidR="0066709A">
        <w:t xml:space="preserve"> </w:t>
      </w:r>
      <w:r w:rsidR="00E72B49">
        <w:t>structural</w:t>
      </w:r>
      <w:r w:rsidR="0066709A">
        <w:t xml:space="preserve"> </w:t>
      </w:r>
      <w:r w:rsidR="00E72B49">
        <w:t>inequality,</w:t>
      </w:r>
      <w:r w:rsidR="0066709A">
        <w:t xml:space="preserve"> </w:t>
      </w:r>
      <w:r w:rsidR="00E72B49">
        <w:t>rather</w:t>
      </w:r>
      <w:r w:rsidR="0066709A">
        <w:t xml:space="preserve"> </w:t>
      </w:r>
      <w:r w:rsidR="00E72B49">
        <w:t>than</w:t>
      </w:r>
      <w:r w:rsidR="0066709A">
        <w:t xml:space="preserve"> </w:t>
      </w:r>
      <w:r w:rsidR="00E72B49">
        <w:t>measuring</w:t>
      </w:r>
      <w:r w:rsidR="0066709A">
        <w:t xml:space="preserve"> </w:t>
      </w:r>
      <w:r w:rsidR="00E72B49">
        <w:t>change</w:t>
      </w:r>
      <w:r w:rsidR="0066709A">
        <w:t xml:space="preserve"> </w:t>
      </w:r>
      <w:r w:rsidR="00E72B49">
        <w:t>in</w:t>
      </w:r>
      <w:r w:rsidR="0066709A">
        <w:t xml:space="preserve"> </w:t>
      </w:r>
      <w:r w:rsidR="00E72B49">
        <w:t>the</w:t>
      </w:r>
      <w:r w:rsidR="0066709A">
        <w:t xml:space="preserve"> </w:t>
      </w:r>
      <w:r w:rsidR="00E72B49">
        <w:t>structures</w:t>
      </w:r>
      <w:r w:rsidR="0066709A">
        <w:t xml:space="preserve"> </w:t>
      </w:r>
      <w:r w:rsidR="00E72B49">
        <w:t>themselves.</w:t>
      </w:r>
    </w:p>
    <w:p w14:paraId="20C73771" w14:textId="3145FFB8" w:rsidR="00514CC0" w:rsidRDefault="00E72B49">
      <w:pPr>
        <w:pStyle w:val="BodyText"/>
      </w:pPr>
      <w:r>
        <w:t>It is also important to recognise that the collection, analysis and use of data is not neutral; it</w:t>
      </w:r>
      <w:r w:rsidR="00D57A45">
        <w:t> </w:t>
      </w:r>
      <w:r>
        <w:t>is a deeply political process in and of itself. This has been made particularly clear by the growing movement for Indigenous data sovereignty in Australia, which has articulated the right of First Nations peoples to govern the design, collection, ownership, analysis and application of data about and pertinent to First Nations communities.</w:t>
      </w:r>
      <w:r w:rsidR="001B7FAD">
        <w:rPr>
          <w:rStyle w:val="EndnoteReference"/>
        </w:rPr>
        <w:endnoteReference w:id="400"/>
      </w:r>
      <w:r>
        <w:t xml:space="preserve"> Further, the process of counting and measuring progress in itself does not necessarily mean that strategic outcomes will be achieved. The </w:t>
      </w:r>
      <w:r w:rsidRPr="003E209A">
        <w:rPr>
          <w:rStyle w:val="Emphasis"/>
        </w:rPr>
        <w:t>Close the Gap Strategy</w:t>
      </w:r>
      <w:r>
        <w:t xml:space="preserve"> is a key illustration of how monitoring </w:t>
      </w:r>
      <w:r>
        <w:lastRenderedPageBreak/>
        <w:t>outcomes of the structures of colonisation impacting Aboriginal and Torres Strait Islander peoples through data does not automatically translate to improvements in those outcomes, because the latter relies on real and sustained intent to transform structural inequalities, matched by appropriate planning, investment and architecture.</w:t>
      </w:r>
      <w:r w:rsidR="00683453">
        <w:rPr>
          <w:rStyle w:val="EndnoteReference"/>
        </w:rPr>
        <w:endnoteReference w:id="401"/>
      </w:r>
      <w:r>
        <w:t xml:space="preserve"> These tensions with regard to use of data, particularly concerning </w:t>
      </w:r>
      <w:r w:rsidR="00BC43FE">
        <w:t>Aboriginal and Torres Strait Islander</w:t>
      </w:r>
      <w:r>
        <w:t xml:space="preserve"> people, are acknowledged; this project is also embedded in these tensions. For this reason, this report draws upon the prior work of Our Watch with </w:t>
      </w:r>
      <w:r w:rsidR="00243AA6">
        <w:t>Aboriginal and Torres Strait Islander</w:t>
      </w:r>
      <w:r>
        <w:t xml:space="preserve"> people in developing </w:t>
      </w:r>
      <w:r w:rsidRPr="003E209A">
        <w:rPr>
          <w:rStyle w:val="Emphasis"/>
        </w:rPr>
        <w:t xml:space="preserve">Changing the picture </w:t>
      </w:r>
      <w:r>
        <w:t>(2018).</w:t>
      </w:r>
    </w:p>
    <w:p w14:paraId="15A6A6F8" w14:textId="57553495" w:rsidR="00514CC0" w:rsidRDefault="00E72B49">
      <w:pPr>
        <w:pStyle w:val="BodyText"/>
      </w:pPr>
      <w:r>
        <w:t xml:space="preserve">Moreover, the data drawn upon in Indicator 6.1 (Racism and impacts of colonisation for Aboriginal and Torres Strait Islander people; Aboriginal and Torres Strait Islander cultural determinants of health and wellbeing) is a snapshot only of the extensive data and indicators that have been developed primarily by </w:t>
      </w:r>
      <w:r w:rsidR="00FE309A">
        <w:t>Aboriginal and Torres Strait Islander</w:t>
      </w:r>
      <w:r>
        <w:t xml:space="preserve"> people to advocate for addressing the impacts of colonisation and monitoring ongoing strategies. This</w:t>
      </w:r>
      <w:r w:rsidR="00C01D7C">
        <w:t> </w:t>
      </w:r>
      <w:r>
        <w:t xml:space="preserve">report references and summarises these major efforts at national monitoring of Indigenous structural </w:t>
      </w:r>
      <w:r w:rsidR="00FE309A">
        <w:t xml:space="preserve">discrimination </w:t>
      </w:r>
      <w:r>
        <w:t xml:space="preserve">and refers readers to these sources of data where they have been analysed by </w:t>
      </w:r>
      <w:r w:rsidR="00FE309A">
        <w:t>Aboriginal and Torres Strait Islander</w:t>
      </w:r>
      <w:r>
        <w:t xml:space="preserve"> peoples, rather than undertaking a separate analysis. As articulated in the 2019 </w:t>
      </w:r>
      <w:r w:rsidRPr="003E209A">
        <w:rPr>
          <w:rStyle w:val="Emphasis"/>
        </w:rPr>
        <w:t xml:space="preserve">Family Matters </w:t>
      </w:r>
      <w:r>
        <w:t>report, Aboriginal and Torres Strait Islander-led analyses and critique of existing data is a critical dimension of Indigenous data sovereignty and advocacy for government accountability to policy demands addressing ongoing impacts of colonisation:</w:t>
      </w:r>
    </w:p>
    <w:p w14:paraId="3560456C" w14:textId="78537425" w:rsidR="00514CC0" w:rsidRDefault="006E590F">
      <w:pPr>
        <w:pStyle w:val="Quote"/>
      </w:pPr>
      <w:r>
        <w:t>‘</w:t>
      </w:r>
      <w:r w:rsidR="00E72B49">
        <w:t>This year’s Family Matters report is also an opportunity for us to exercise data sovereignty in</w:t>
      </w:r>
      <w:r w:rsidR="00D57A45">
        <w:t> </w:t>
      </w:r>
      <w:r w:rsidR="00E72B49">
        <w:t>the interpretation of data related to Aboriginal and Torres Strait Islander children and families. Government interpretations of data are often used in support of its own policy agenda and servicing requirements (Kukutai and Taylor, 2016). The report uses data to interpret current efforts to address the over-representation of Aboriginal and Torres Strait Islander children in out-of-home care from our standpoint, and to demand government accountability.</w:t>
      </w:r>
      <w:r>
        <w:t>’</w:t>
      </w:r>
      <w:r w:rsidR="00683453">
        <w:rPr>
          <w:rStyle w:val="EndnoteReference"/>
        </w:rPr>
        <w:endnoteReference w:id="402"/>
      </w:r>
    </w:p>
    <w:p w14:paraId="49540518" w14:textId="4ABF15FB" w:rsidR="00514CC0" w:rsidRDefault="00E72B49">
      <w:pPr>
        <w:pStyle w:val="BodyText"/>
      </w:pPr>
      <w:r>
        <w:t>This report also draws upon First Nations–designed data which challenges a deficit-based model of counting and focuses on cultural strengths.</w:t>
      </w:r>
    </w:p>
    <w:p w14:paraId="375440C9" w14:textId="231D8DDA" w:rsidR="00514CC0" w:rsidRDefault="00E72B49">
      <w:pPr>
        <w:pStyle w:val="BodyText"/>
      </w:pPr>
      <w:r>
        <w:t xml:space="preserve">The available data allows for proxy measurement of progress in relation to addressing inequality and </w:t>
      </w:r>
      <w:r w:rsidR="00FA631F">
        <w:t>discrimination</w:t>
      </w:r>
      <w:r>
        <w:t xml:space="preserve">. However, for the reasons stated above, this report and indeed all forms of quantitative data, should be read alongside qualitative research and analysis. </w:t>
      </w:r>
      <w:r w:rsidR="00270B57" w:rsidRPr="00270B57">
        <w:t>It</w:t>
      </w:r>
      <w:r w:rsidR="00270B57">
        <w:t> </w:t>
      </w:r>
      <w:r w:rsidR="00270B57" w:rsidRPr="00270B57">
        <w:t>is</w:t>
      </w:r>
      <w:r w:rsidR="00270B57">
        <w:t> </w:t>
      </w:r>
      <w:r w:rsidR="00270B57" w:rsidRPr="00270B57">
        <w:t>highly recommended that readers look to key documents on intersectional approaches to prevention of violence against women, and the specific experiences of women facing multiple, intersecting forms of discrimination and oppression. This broader focus is necessary to build a fuller picture of how these intersecting drivers of violence interact with</w:t>
      </w:r>
      <w:r w:rsidR="00270B57">
        <w:t> </w:t>
      </w:r>
      <w:r w:rsidR="00270B57" w:rsidRPr="00270B57">
        <w:t>the gendered drivers to drive violence against women in the contemporary Australian context.</w:t>
      </w:r>
    </w:p>
    <w:p w14:paraId="36463B68" w14:textId="5F10239E" w:rsidR="00514CC0" w:rsidRDefault="00E72B49">
      <w:pPr>
        <w:pStyle w:val="BodyText"/>
      </w:pPr>
      <w:r>
        <w:t>The research and data advocacy of activists, scholars and organisations with specialisation and lived experience in the issues facing particular communities in Australia is critical to building this understanding.</w:t>
      </w:r>
    </w:p>
    <w:p w14:paraId="7C9E6BB7" w14:textId="77777777" w:rsidR="00CD2224" w:rsidRPr="00CD2224" w:rsidRDefault="00CD2224" w:rsidP="00CD2224">
      <w:pPr>
        <w:pStyle w:val="BodyText"/>
      </w:pPr>
      <w:r w:rsidRPr="00CD2224">
        <w:br w:type="page"/>
      </w:r>
    </w:p>
    <w:p w14:paraId="3F61DD32" w14:textId="3F09F8E6" w:rsidR="00514CC0" w:rsidRDefault="00E72B49" w:rsidP="00F868FE">
      <w:pPr>
        <w:pStyle w:val="Heading5"/>
      </w:pPr>
      <w:r>
        <w:lastRenderedPageBreak/>
        <w:t>Challenging socioeconomic inequality and discrimination: Summary of change over time</w:t>
      </w:r>
    </w:p>
    <w:p w14:paraId="286FADE4" w14:textId="1DB68D21" w:rsidR="00514CC0" w:rsidRDefault="00E72B49">
      <w:pPr>
        <w:pStyle w:val="BodyText"/>
      </w:pPr>
      <w:r>
        <w:t>Analysis of the 2017 National Community Attitudes towards Violence against Women Survey (NCAS) findings reveal that there is a significant relationship between prejudicial attitudes relating to Aboriginality, ethni</w:t>
      </w:r>
      <w:r w:rsidR="00412B83">
        <w:t>city</w:t>
      </w:r>
      <w:r>
        <w:t>, sexual orientation, and disability, and attitudes that endorse gender inequality and violence against women.</w:t>
      </w:r>
      <w:r w:rsidR="00683453">
        <w:rPr>
          <w:rStyle w:val="EndnoteReference"/>
        </w:rPr>
        <w:endnoteReference w:id="403"/>
      </w:r>
      <w:r>
        <w:t xml:space="preserve"> This relationship is</w:t>
      </w:r>
      <w:r w:rsidR="00D57A45">
        <w:t> </w:t>
      </w:r>
      <w:r>
        <w:t>particularly concerning in the context of increasing prevalence of experiences of discrimination on the basis of skin colour, ethnic origin or religion which has almost doubled between 2009 and 2018.</w:t>
      </w:r>
      <w:r w:rsidR="00683453">
        <w:rPr>
          <w:rStyle w:val="EndnoteReference"/>
        </w:rPr>
        <w:endnoteReference w:id="404"/>
      </w:r>
      <w:r>
        <w:t xml:space="preserve"> The indicators below also confirm high prevalence rates of experiences of discrimination on the basis of sexual orientation, disability, recent migration, lone parenthood, and low socioeconomic status, and multifaceted experiences of </w:t>
      </w:r>
      <w:r w:rsidR="008D6EEA">
        <w:t>discrimination</w:t>
      </w:r>
      <w:r>
        <w:t xml:space="preserve"> for </w:t>
      </w:r>
      <w:r w:rsidR="00686069">
        <w:t>Aboriginal and Torres Strait Islander</w:t>
      </w:r>
      <w:r>
        <w:t xml:space="preserve"> people as a result of the ongoing impacts of racism, colonisation and gender inequality. An analysis of </w:t>
      </w:r>
      <w:r w:rsidRPr="003E209A">
        <w:rPr>
          <w:rStyle w:val="Emphasis"/>
        </w:rPr>
        <w:t xml:space="preserve">Footprints in time – The Longitudinal Study of Indigenous Children </w:t>
      </w:r>
      <w:r>
        <w:t>(LSIC)</w:t>
      </w:r>
      <w:r w:rsidR="00683453">
        <w:rPr>
          <w:rStyle w:val="EndnoteReference"/>
        </w:rPr>
        <w:endnoteReference w:id="405"/>
      </w:r>
      <w:r>
        <w:t xml:space="preserve"> dataset conducted by Shepherd et al. found that that 40% of primary carers of Indigenous children, 45% of Indigenous families and 14% of Indigenous children aged five to ten years had experienced racial discrimination at some point in their</w:t>
      </w:r>
      <w:r w:rsidR="00D57A45">
        <w:t> </w:t>
      </w:r>
      <w:r>
        <w:t>lifetimes and that a significant cohort of the groups that had experienced racial discrimination continue to experience it on a persistent or recurrent basis.</w:t>
      </w:r>
      <w:r w:rsidR="00683453">
        <w:rPr>
          <w:rStyle w:val="EndnoteReference"/>
        </w:rPr>
        <w:endnoteReference w:id="406"/>
      </w:r>
      <w:r>
        <w:t xml:space="preserve"> The 2015 survey of Disability, Ageing and Carers also showed that experiences of discrimination due to</w:t>
      </w:r>
      <w:r w:rsidR="00D57A45">
        <w:t> </w:t>
      </w:r>
      <w:r>
        <w:t>disability were almost twice as likely for Aboriginal and Torres Strait Islander people with disability than non-Indigenous people.</w:t>
      </w:r>
      <w:r w:rsidR="00683453">
        <w:rPr>
          <w:rStyle w:val="EndnoteReference"/>
        </w:rPr>
        <w:endnoteReference w:id="407"/>
      </w:r>
      <w:r>
        <w:rPr>
          <w:rStyle w:val="OWSuperscript"/>
        </w:rPr>
        <w:t xml:space="preserve"> </w:t>
      </w:r>
      <w:r>
        <w:t>Multiple large meta-analyses of data on structural inequalities and social and economic outcomes experienced by First Nations people (including on health inequalities and over-representation of children in out-of-home care) evidence deeply concerning lack of positive progress on many dimensions of structural disadvantage, and, in many respects, some backsliding.</w:t>
      </w:r>
      <w:r w:rsidR="00A74973">
        <w:rPr>
          <w:rStyle w:val="EndnoteReference"/>
        </w:rPr>
        <w:endnoteReference w:id="408"/>
      </w:r>
    </w:p>
    <w:p w14:paraId="5F6EDECA" w14:textId="34C238E0" w:rsidR="00514CC0" w:rsidRDefault="00E72B49">
      <w:pPr>
        <w:pStyle w:val="BodyText"/>
      </w:pPr>
      <w:r>
        <w:t xml:space="preserve">This analysis demonstrates, that, as recognised in </w:t>
      </w:r>
      <w:r w:rsidRPr="003E209A">
        <w:rPr>
          <w:rStyle w:val="Emphasis"/>
        </w:rPr>
        <w:t>Change the story</w:t>
      </w:r>
      <w:r>
        <w:t>, gender inequality can never be considered in isolation from other intersecting forms of systemic social, political and economic discrimination.</w:t>
      </w:r>
      <w:r w:rsidR="00683453">
        <w:rPr>
          <w:rStyle w:val="EndnoteReference"/>
        </w:rPr>
        <w:endnoteReference w:id="409"/>
      </w:r>
      <w:r>
        <w:t xml:space="preserve"> It also reaffirms findings from </w:t>
      </w:r>
      <w:r w:rsidRPr="003E209A">
        <w:rPr>
          <w:rStyle w:val="Emphasis"/>
        </w:rPr>
        <w:t>Change the story three years on</w:t>
      </w:r>
      <w:r>
        <w:t xml:space="preserve"> which found that that ‘intersectional prevention work requires a structural and systemic focus to address the social systems, structures, norms and practices that create complex intersecting forms of discrimination and privilege, and that influence patterns of perpetration as well as experiences of violence.’</w:t>
      </w:r>
      <w:r w:rsidR="00683453">
        <w:rPr>
          <w:rStyle w:val="EndnoteReference"/>
        </w:rPr>
        <w:endnoteReference w:id="410"/>
      </w:r>
      <w:r>
        <w:t xml:space="preserve"> In practice, this may include:</w:t>
      </w:r>
    </w:p>
    <w:p w14:paraId="3B65D8DB" w14:textId="1CA58462" w:rsidR="00514CC0" w:rsidRDefault="00E72B49">
      <w:pPr>
        <w:pStyle w:val="OWBullet1"/>
      </w:pPr>
      <w:r>
        <w:t>taking time to explicitly explore how simultaneous work can shift other forms of co-existing discriminatory attitudes in conjunction to ‘sexism and hostility towards women’ and recognising that co-existing attitudes may reflect a values system hostile to ‘diversity and difference’</w:t>
      </w:r>
      <w:r w:rsidR="00683453">
        <w:rPr>
          <w:rStyle w:val="EndnoteReference"/>
        </w:rPr>
        <w:endnoteReference w:id="411"/>
      </w:r>
    </w:p>
    <w:p w14:paraId="4D3D0B7F" w14:textId="77777777" w:rsidR="00514CC0" w:rsidRDefault="00E72B49">
      <w:pPr>
        <w:pStyle w:val="OWBullet1"/>
      </w:pPr>
      <w:r>
        <w:t>acknowledging that no single initiative or approach will be equally relevant to all groups or effective in every context, and therefore multiple, different, but mutually reinforcing collective efforts are required</w:t>
      </w:r>
    </w:p>
    <w:p w14:paraId="39EEDAFB" w14:textId="77777777" w:rsidR="00514CC0" w:rsidRDefault="00E72B49">
      <w:pPr>
        <w:pStyle w:val="OWBullet1"/>
      </w:pPr>
      <w:r>
        <w:t>allowing for dedicated time and resourcing to build the alliances and partnerships required to support a collective and systemic approach to challenging all forms of social, political and economic discrimination.</w:t>
      </w:r>
    </w:p>
    <w:p w14:paraId="1B53B2D7" w14:textId="77777777" w:rsidR="00514CC0" w:rsidRDefault="00E72B49" w:rsidP="00E1549C">
      <w:pPr>
        <w:pStyle w:val="Heading4"/>
      </w:pPr>
      <w:r>
        <w:lastRenderedPageBreak/>
        <w:t>Indicator 6.1: Racism and impacts of colonisation for Aboriginal and Torres Strait Islander people; Aboriginal and Torres Strait Islander cultural determinants of health and wellbeing</w:t>
      </w:r>
      <w:r>
        <w:rPr>
          <w:rStyle w:val="OWSuperscript"/>
        </w:rPr>
        <w:footnoteReference w:id="49"/>
      </w:r>
    </w:p>
    <w:tbl>
      <w:tblPr>
        <w:tblStyle w:val="Indicatoroutlineteal"/>
        <w:tblW w:w="9072" w:type="dxa"/>
        <w:tblLayout w:type="fixed"/>
        <w:tblLook w:val="0680" w:firstRow="0" w:lastRow="0" w:firstColumn="1" w:lastColumn="0" w:noHBand="1" w:noVBand="1"/>
      </w:tblPr>
      <w:tblGrid>
        <w:gridCol w:w="2268"/>
        <w:gridCol w:w="6804"/>
      </w:tblGrid>
      <w:tr w:rsidR="00514CC0" w14:paraId="02DB4349" w14:textId="77777777" w:rsidTr="00F0324E">
        <w:trPr>
          <w:cantSplit/>
          <w:trHeight w:val="60"/>
        </w:trPr>
        <w:tc>
          <w:tcPr>
            <w:tcW w:w="2268" w:type="dxa"/>
          </w:tcPr>
          <w:p w14:paraId="7500ABE8" w14:textId="0C973148" w:rsidR="00514CC0" w:rsidRDefault="00E72B49">
            <w:pPr>
              <w:pStyle w:val="OWTablebodyleft"/>
            </w:pPr>
            <w:r>
              <w:t xml:space="preserve">What does this indicator tell us about Monitoring domain 6: </w:t>
            </w:r>
            <w:r w:rsidR="00F6501B" w:rsidRPr="00F6501B">
              <w:t>Intersecting drivers of violence (other forms of oppression and discrimination)</w:t>
            </w:r>
            <w:r>
              <w:t>?</w:t>
            </w:r>
          </w:p>
        </w:tc>
        <w:tc>
          <w:tcPr>
            <w:tcW w:w="6803" w:type="dxa"/>
          </w:tcPr>
          <w:p w14:paraId="35CFE043" w14:textId="15403A4F" w:rsidR="00514CC0" w:rsidRDefault="00E72B49">
            <w:pPr>
              <w:pStyle w:val="OWTablebodyleft"/>
            </w:pPr>
            <w:r>
              <w:t>This indicator measures change over time to different dimensions of structural dis</w:t>
            </w:r>
            <w:r w:rsidR="00737EAB">
              <w:t>crimination</w:t>
            </w:r>
            <w:r>
              <w:t xml:space="preserve"> and interpersonal expressions of racism experienced by Aboriginal and Torres Strait Islander people. This indicator also measures Aboriginal and Torres Strait Islander cultural strengths which help combat the impacts of colonisation upon First Nations people.</w:t>
            </w:r>
          </w:p>
        </w:tc>
      </w:tr>
      <w:tr w:rsidR="00514CC0" w14:paraId="4E6DDA1F" w14:textId="77777777" w:rsidTr="00F0324E">
        <w:trPr>
          <w:cantSplit/>
          <w:trHeight w:val="60"/>
        </w:trPr>
        <w:tc>
          <w:tcPr>
            <w:tcW w:w="2268" w:type="dxa"/>
          </w:tcPr>
          <w:p w14:paraId="30B0EBF0" w14:textId="26595093" w:rsidR="00514CC0" w:rsidRDefault="00E72B49">
            <w:pPr>
              <w:pStyle w:val="OWTablebodyleft"/>
            </w:pPr>
            <w:r>
              <w:t>Expected change if</w:t>
            </w:r>
            <w:r w:rsidR="00D57A45">
              <w:t> </w:t>
            </w:r>
            <w:r>
              <w:t>quality, intersectional primary prevention, gender equality and anti-discrimination programming and infrastructure is implemented</w:t>
            </w:r>
          </w:p>
        </w:tc>
        <w:tc>
          <w:tcPr>
            <w:tcW w:w="6803" w:type="dxa"/>
          </w:tcPr>
          <w:p w14:paraId="0E58144F" w14:textId="77777777" w:rsidR="00514CC0" w:rsidRDefault="00E72B49">
            <w:pPr>
              <w:pStyle w:val="OWTablebodyleft"/>
            </w:pPr>
            <w:r>
              <w:t>Short- to medium-term: limited change to the prevalence of experiences of structural disadvantage and racism by Aboriginal and Torres Strait Islander people. Some change to expressions of cultural strengths.</w:t>
            </w:r>
          </w:p>
          <w:p w14:paraId="640FD511" w14:textId="77777777" w:rsidR="00514CC0" w:rsidRDefault="00E72B49">
            <w:pPr>
              <w:pStyle w:val="OWTablebodyleft"/>
            </w:pPr>
            <w:r>
              <w:t>Long-term: some reduction in the long term to the degree of structural disadvantage and racism experienced by Aboriginal and Torres Strait Islander people. Strong change to the expressions of cultural strengths.</w:t>
            </w:r>
          </w:p>
        </w:tc>
      </w:tr>
      <w:tr w:rsidR="00514CC0" w14:paraId="13FF8EDD" w14:textId="77777777" w:rsidTr="00F0324E">
        <w:trPr>
          <w:cantSplit/>
          <w:trHeight w:val="60"/>
        </w:trPr>
        <w:tc>
          <w:tcPr>
            <w:tcW w:w="2268" w:type="dxa"/>
          </w:tcPr>
          <w:p w14:paraId="6755B525" w14:textId="77777777" w:rsidR="00514CC0" w:rsidRDefault="00E72B49">
            <w:pPr>
              <w:pStyle w:val="OWTablebodyleft"/>
            </w:pPr>
            <w:r>
              <w:t>Data source(s)</w:t>
            </w:r>
          </w:p>
        </w:tc>
        <w:tc>
          <w:tcPr>
            <w:tcW w:w="6803" w:type="dxa"/>
          </w:tcPr>
          <w:p w14:paraId="5E133D22" w14:textId="53DC5DD0" w:rsidR="00514CC0" w:rsidRDefault="00E72B49" w:rsidP="002C2EC7">
            <w:pPr>
              <w:pStyle w:val="OWTablenumberdigit"/>
              <w:numPr>
                <w:ilvl w:val="0"/>
                <w:numId w:val="34"/>
              </w:numPr>
            </w:pPr>
            <w:r w:rsidRPr="003E209A">
              <w:rPr>
                <w:rStyle w:val="Emphasis"/>
              </w:rPr>
              <w:t>Mayi Kuwayu: The national longitudinal study of Aboriginal and Torres Strait Islander wellbeing</w:t>
            </w:r>
            <w:r>
              <w:t>, Mayi Kuwayu team, National Centre for Epidemiology and Population Health (NCEPH) at ANU, 2019 baseline data forthcoming (recommended data source for future monitoring waves)</w:t>
            </w:r>
            <w:r w:rsidR="00683453">
              <w:rPr>
                <w:rStyle w:val="EndnoteReference"/>
              </w:rPr>
              <w:endnoteReference w:id="412"/>
            </w:r>
          </w:p>
          <w:p w14:paraId="231D2263" w14:textId="4A76B90C" w:rsidR="00514CC0" w:rsidRDefault="00E72B49">
            <w:pPr>
              <w:pStyle w:val="OWTablenumberdigit"/>
            </w:pPr>
            <w:r w:rsidRPr="003E209A">
              <w:rPr>
                <w:rStyle w:val="Emphasis"/>
              </w:rPr>
              <w:t>Overcoming Indigenous disadvantage: Key indicators</w:t>
            </w:r>
            <w:r>
              <w:t>, 2016 Productivity Commission</w:t>
            </w:r>
            <w:r w:rsidR="0002387B">
              <w:rPr>
                <w:rStyle w:val="EndnoteReference"/>
              </w:rPr>
              <w:endnoteReference w:id="413"/>
            </w:r>
          </w:p>
          <w:p w14:paraId="2FBCEC0F" w14:textId="6B1B77CD" w:rsidR="00514CC0" w:rsidRDefault="00E72B49">
            <w:pPr>
              <w:pStyle w:val="OWTablenumberdigit"/>
            </w:pPr>
            <w:r>
              <w:t>Close the Gap campaign report, 2018, Close the Gap Campaign Steering Committee</w:t>
            </w:r>
            <w:r w:rsidR="00354644">
              <w:rPr>
                <w:rStyle w:val="EndnoteReference"/>
              </w:rPr>
              <w:endnoteReference w:id="414"/>
            </w:r>
          </w:p>
          <w:p w14:paraId="7DB8C8D9" w14:textId="2552E811" w:rsidR="00514CC0" w:rsidRDefault="00E72B49">
            <w:pPr>
              <w:pStyle w:val="OWTablenumberdigit"/>
            </w:pPr>
            <w:r w:rsidRPr="003E209A">
              <w:rPr>
                <w:rStyle w:val="Emphasis"/>
              </w:rPr>
              <w:t>Family Matters report</w:t>
            </w:r>
            <w:r>
              <w:t>, 2019, SNAICC – National Voice for Our Children</w:t>
            </w:r>
            <w:r w:rsidR="00354644">
              <w:rPr>
                <w:rStyle w:val="EndnoteReference"/>
              </w:rPr>
              <w:endnoteReference w:id="415"/>
            </w:r>
          </w:p>
          <w:p w14:paraId="34FE1F06" w14:textId="7C270DCC" w:rsidR="00514CC0" w:rsidRDefault="00E72B49">
            <w:pPr>
              <w:pStyle w:val="OWTablenumberdigit"/>
            </w:pPr>
            <w:r>
              <w:t>National Aboriginal and Torres Strait Islander Social Survey (NATSISS) 2008 and 2014–15, ABS</w:t>
            </w:r>
          </w:p>
          <w:p w14:paraId="13F8FC21" w14:textId="11DC00C7" w:rsidR="00514CC0" w:rsidRDefault="00E72B49">
            <w:pPr>
              <w:pStyle w:val="OWTablenumberdigit"/>
            </w:pPr>
            <w:r>
              <w:t>Footprints in time – The Longitudinal Study of Indigenous Children (LSIC), 2008 to 2013, Department of Social Services (DSS</w:t>
            </w:r>
            <w:r w:rsidR="00354644">
              <w:rPr>
                <w:rStyle w:val="EndnoteReference"/>
              </w:rPr>
              <w:t xml:space="preserve"> </w:t>
            </w:r>
            <w:r w:rsidR="00354644">
              <w:rPr>
                <w:rStyle w:val="EndnoteReference"/>
              </w:rPr>
              <w:endnoteReference w:id="416"/>
            </w:r>
          </w:p>
          <w:p w14:paraId="51ED3463" w14:textId="77777777" w:rsidR="00514CC0" w:rsidRDefault="00E72B49">
            <w:pPr>
              <w:pStyle w:val="OWTablenumberdigit"/>
            </w:pPr>
            <w:r>
              <w:t>Disability, Ageing and Carers survey 2015, ABS</w:t>
            </w:r>
          </w:p>
        </w:tc>
      </w:tr>
      <w:tr w:rsidR="00514CC0" w14:paraId="06C1613F" w14:textId="77777777" w:rsidTr="00F0324E">
        <w:trPr>
          <w:cantSplit/>
          <w:trHeight w:val="60"/>
        </w:trPr>
        <w:tc>
          <w:tcPr>
            <w:tcW w:w="2268" w:type="dxa"/>
          </w:tcPr>
          <w:p w14:paraId="4E18600B" w14:textId="77777777" w:rsidR="00514CC0" w:rsidRDefault="00E72B49">
            <w:pPr>
              <w:pStyle w:val="OWTablebodyleft"/>
            </w:pPr>
            <w:r>
              <w:lastRenderedPageBreak/>
              <w:t>Change over time summary: short-term change revealed by the data</w:t>
            </w:r>
          </w:p>
        </w:tc>
        <w:tc>
          <w:tcPr>
            <w:tcW w:w="6803" w:type="dxa"/>
          </w:tcPr>
          <w:p w14:paraId="182962D6" w14:textId="77777777" w:rsidR="00514CC0" w:rsidRDefault="00E72B49">
            <w:pPr>
              <w:pStyle w:val="OWTablebodyleft"/>
            </w:pPr>
            <w:r>
              <w:t xml:space="preserve">Various meta-analyses of data on outcomes of structural disadvantage and racism experienced by Aboriginal and Torres Strait Islander people over the past decade show very limited progress only in certain areas, and no progress or negative trends in many other areas. Trends across multiple indicators and datasets show that the prevalence of experiences of racism and the ongoing impacts of colonisation as creating multiple forms of structural disadvantage continue to be extensive for First Nations people, with only limited positive change, much limited to no change, and some concerning negative trends. </w:t>
            </w:r>
          </w:p>
        </w:tc>
      </w:tr>
      <w:tr w:rsidR="00514CC0" w14:paraId="7E8C4D2A" w14:textId="77777777" w:rsidTr="00F0324E">
        <w:trPr>
          <w:cantSplit/>
          <w:trHeight w:val="60"/>
        </w:trPr>
        <w:tc>
          <w:tcPr>
            <w:tcW w:w="2268" w:type="dxa"/>
          </w:tcPr>
          <w:p w14:paraId="43BC5586" w14:textId="77777777" w:rsidR="00514CC0" w:rsidRDefault="00E72B49">
            <w:pPr>
              <w:pStyle w:val="OWTablebodyleft"/>
            </w:pPr>
            <w:r>
              <w:t>Does the change confirm or run contrary to expected change?</w:t>
            </w:r>
          </w:p>
        </w:tc>
        <w:tc>
          <w:tcPr>
            <w:tcW w:w="6803" w:type="dxa"/>
          </w:tcPr>
          <w:p w14:paraId="2B29D2E4" w14:textId="77777777" w:rsidR="00514CC0" w:rsidRDefault="00E72B49">
            <w:pPr>
              <w:pStyle w:val="OWTablebodyleft"/>
            </w:pPr>
            <w:r>
              <w:t>Largely confirms expected trend, though we note that there are concerning negative trends.</w:t>
            </w:r>
          </w:p>
        </w:tc>
      </w:tr>
      <w:tr w:rsidR="00514CC0" w14:paraId="6F6355B4" w14:textId="77777777" w:rsidTr="00F0324E">
        <w:trPr>
          <w:cantSplit/>
          <w:trHeight w:val="60"/>
        </w:trPr>
        <w:tc>
          <w:tcPr>
            <w:tcW w:w="2268" w:type="dxa"/>
          </w:tcPr>
          <w:p w14:paraId="67794A61" w14:textId="77777777" w:rsidR="00514CC0" w:rsidRDefault="00E72B49">
            <w:pPr>
              <w:pStyle w:val="OWTablebodyleft"/>
            </w:pPr>
            <w:r>
              <w:t>Gaps in existing data</w:t>
            </w:r>
          </w:p>
        </w:tc>
        <w:tc>
          <w:tcPr>
            <w:tcW w:w="6803" w:type="dxa"/>
          </w:tcPr>
          <w:p w14:paraId="33274A79" w14:textId="77777777" w:rsidR="00514CC0" w:rsidRDefault="00E72B49">
            <w:pPr>
              <w:pStyle w:val="OWTablebodyleft"/>
            </w:pPr>
            <w:r>
              <w:t>Without the baseline data from the Mayi Kuwayu study yet available, the available data is considerably deficit-based, and draws from datasets which tend not to be governed by First Nations people.</w:t>
            </w:r>
          </w:p>
          <w:p w14:paraId="0560D8A1" w14:textId="5E637FB2" w:rsidR="00514CC0" w:rsidRDefault="00E72B49">
            <w:pPr>
              <w:pStyle w:val="OWTablebodyleft"/>
            </w:pPr>
            <w:r>
              <w:t>The release of baseline data from the new Mayi Kuwayu national longitudinal study of culture, health and wellbeing will be critical to</w:t>
            </w:r>
            <w:r w:rsidR="00D57A45">
              <w:t> </w:t>
            </w:r>
            <w:r>
              <w:t>measuring this indicator in the future.</w:t>
            </w:r>
          </w:p>
        </w:tc>
      </w:tr>
    </w:tbl>
    <w:p w14:paraId="19EB5299" w14:textId="06329BE3" w:rsidR="00514CC0" w:rsidRDefault="00E72B49" w:rsidP="0002387B">
      <w:pPr>
        <w:pStyle w:val="OWBodytextlargespaceabove"/>
      </w:pPr>
      <w:r>
        <w:t xml:space="preserve">As articulated in the overview of Monitoring domain 6: Intersecting drivers </w:t>
      </w:r>
      <w:r w:rsidR="00F635F8">
        <w:t xml:space="preserve">of </w:t>
      </w:r>
      <w:r w:rsidR="00F635F8" w:rsidRPr="00F635F8">
        <w:t>violence (other</w:t>
      </w:r>
      <w:r w:rsidR="00F635F8">
        <w:t> </w:t>
      </w:r>
      <w:r w:rsidR="00F635F8" w:rsidRPr="00F635F8">
        <w:t>forms of oppression and discrimination)</w:t>
      </w:r>
      <w:r>
        <w:t>, the approach to this indicator differs somewhat to other indicators. We acknowledge Indigenous data sovereignty principles</w:t>
      </w:r>
      <w:r w:rsidR="00354644">
        <w:rPr>
          <w:rStyle w:val="EndnoteReference"/>
        </w:rPr>
        <w:endnoteReference w:id="417"/>
      </w:r>
      <w:r>
        <w:t xml:space="preserve"> and the extensive work of First Nations people and many organisations to develop measures, datasets and meta-analyses with the intent of monitoring trends in structural disadvantage and cultural strengths experienced by Aboriginal and Torres Strait Islander people, and supporting advocacy and action for addressing racism and the ongoing impacts of colonisation. Such endeavours include the Close the Gap strategy shadow reports on Indigenous health inequality produced by the Close the Gap Campaign Steering Committee, and SNAICC’s </w:t>
      </w:r>
      <w:r w:rsidRPr="003E209A">
        <w:rPr>
          <w:rStyle w:val="Emphasis"/>
        </w:rPr>
        <w:t xml:space="preserve">Family Matters </w:t>
      </w:r>
      <w:r>
        <w:t>reports on turning the tide on the over-representation of Aboriginal and Torres Strait Islander children in out-of-home care. The Council of Australian Governments has also commissioned extensive monitoring reports on datasets illuminating different areas of Indigenous structural disadvantage. Here we document at a very summary level the findings of these large monitoring and campaign projects, and point readers to these analyses for further detailed data analysis. In addition, we have included some summary analyses of key datasets such as the National Aboriginal and Torres Strait Islander Social Survey (NATSISS).</w:t>
      </w:r>
    </w:p>
    <w:p w14:paraId="73CC69C8" w14:textId="77777777" w:rsidR="00514CC0" w:rsidRDefault="00E72B49">
      <w:pPr>
        <w:pStyle w:val="BodyText"/>
      </w:pPr>
      <w:r>
        <w:t>For future waves of primary prevention monitoring, we recommend:</w:t>
      </w:r>
    </w:p>
    <w:p w14:paraId="04031253" w14:textId="77777777" w:rsidR="00514CC0" w:rsidRDefault="00E72B49">
      <w:pPr>
        <w:pStyle w:val="OWBullet1"/>
      </w:pPr>
      <w:r>
        <w:t>use of the new Mayi Kuwayu national longitudinal study on the links between culture, health and wellbeing for Aboriginal and Torres Strait Islander people, and how strong culture may in part address the ongoing impacts of colonisation upon First Nations people</w:t>
      </w:r>
    </w:p>
    <w:p w14:paraId="04E2A697" w14:textId="2C29DE88" w:rsidR="00514CC0" w:rsidRDefault="00E72B49" w:rsidP="00DC705E">
      <w:pPr>
        <w:pStyle w:val="OWBullet1"/>
        <w:spacing w:after="480"/>
      </w:pPr>
      <w:r>
        <w:lastRenderedPageBreak/>
        <w:t>consultation with First Nations researchers and First Nations women working to prevent</w:t>
      </w:r>
      <w:r w:rsidR="00D57A45">
        <w:t> </w:t>
      </w:r>
      <w:r>
        <w:t>violence against Aboriginal and Torres Strait Islander women, to find the most appropriate measures and ways by which to support monitoring of prevention of violence against First Nations women.</w:t>
      </w:r>
    </w:p>
    <w:tbl>
      <w:tblPr>
        <w:tblStyle w:val="Casestudyteal"/>
        <w:tblW w:w="9072" w:type="dxa"/>
        <w:tblLayout w:type="fixed"/>
        <w:tblLook w:val="0620" w:firstRow="1" w:lastRow="0" w:firstColumn="0" w:lastColumn="0" w:noHBand="1" w:noVBand="1"/>
      </w:tblPr>
      <w:tblGrid>
        <w:gridCol w:w="9072"/>
      </w:tblGrid>
      <w:tr w:rsidR="00514CC0" w14:paraId="3842DB90" w14:textId="77777777" w:rsidTr="00F0324E">
        <w:trPr>
          <w:cnfStyle w:val="100000000000" w:firstRow="1" w:lastRow="0" w:firstColumn="0" w:lastColumn="0" w:oddVBand="0" w:evenVBand="0" w:oddHBand="0" w:evenHBand="0" w:firstRowFirstColumn="0" w:firstRowLastColumn="0" w:lastRowFirstColumn="0" w:lastRowLastColumn="0"/>
          <w:trHeight w:val="60"/>
        </w:trPr>
        <w:tc>
          <w:tcPr>
            <w:tcW w:w="9071" w:type="dxa"/>
          </w:tcPr>
          <w:p w14:paraId="061D9752" w14:textId="77777777" w:rsidR="00514CC0" w:rsidRPr="00DC705E" w:rsidRDefault="00E72B49" w:rsidP="00DC705E">
            <w:pPr>
              <w:pStyle w:val="OWBoxheading"/>
            </w:pPr>
            <w:r w:rsidRPr="00DC705E">
              <w:t>Cultural determinants of health and wellbeing: the Mayi Kuwayu national study of Aboriginal and Torres Strait Islander wellbeing</w:t>
            </w:r>
          </w:p>
        </w:tc>
      </w:tr>
      <w:tr w:rsidR="00514CC0" w14:paraId="3A766DDC" w14:textId="77777777" w:rsidTr="00F0324E">
        <w:trPr>
          <w:trHeight w:val="60"/>
        </w:trPr>
        <w:tc>
          <w:tcPr>
            <w:tcW w:w="9071" w:type="dxa"/>
          </w:tcPr>
          <w:p w14:paraId="77EDF4AE" w14:textId="77777777" w:rsidR="00514CC0" w:rsidRDefault="00E72B49">
            <w:pPr>
              <w:pStyle w:val="BodyText"/>
            </w:pPr>
            <w:r>
              <w:t>There is currently limited data on the cultural determinants of health and wellbeing for Aboriginal and Torres Strait Islander people. A new study aims to address this gap, in order to ‘help us understand the cultural factors that are important to Aboriginal and Torres Strait Islander peoples and how these factors relate to health and wellbeing.’ (M. Salmon et al., 2019, p. 1). As the project team describes it:</w:t>
            </w:r>
          </w:p>
          <w:p w14:paraId="7ED0C173" w14:textId="1A6B59AF" w:rsidR="00514CC0" w:rsidRDefault="00E72B49">
            <w:pPr>
              <w:pStyle w:val="Quote"/>
            </w:pPr>
            <w:r>
              <w:t>‘Mayi Kuwayu is a major new study that will provide a far greater understanding of</w:t>
            </w:r>
            <w:r w:rsidR="00D57A45">
              <w:t> </w:t>
            </w:r>
            <w:r>
              <w:t>the value of culture for Aboriginal and Torres Strait Islander people. The Mayi Kuwayu Study looks at how Aboriginal and Torres Strait Islander wellbeing is linked to things like connection to country, cultural practices, spirituality and language use.</w:t>
            </w:r>
          </w:p>
          <w:p w14:paraId="299A5DED" w14:textId="77777777" w:rsidR="00514CC0" w:rsidRDefault="00E72B49">
            <w:pPr>
              <w:pStyle w:val="Quote"/>
            </w:pPr>
            <w:r>
              <w:t>Our research team will follow a large number of Aboriginal and Torres Strait Islander people and ask about their culture and wellbeing. As a longitudinal study, we will survey people and then ask them to take the same survey every few years, so that we can understand what influences changes over time.’</w:t>
            </w:r>
          </w:p>
          <w:p w14:paraId="22121E66" w14:textId="2667304D" w:rsidR="00514CC0" w:rsidRDefault="00E72B49">
            <w:pPr>
              <w:pStyle w:val="Quote"/>
            </w:pPr>
            <w:r>
              <w:t>(‘</w:t>
            </w:r>
            <w:hyperlink r:id="rId70" w:history="1">
              <w:r w:rsidRPr="000B492C">
                <w:rPr>
                  <w:rStyle w:val="Hyperlink"/>
                </w:rPr>
                <w:t>Mayi Kuwayu: The national study of Aboriginal and Torres Strait Islander wellbeing</w:t>
              </w:r>
            </w:hyperlink>
            <w:r>
              <w:t>’,</w:t>
            </w:r>
            <w:r w:rsidR="00F3298A">
              <w:t xml:space="preserve"> </w:t>
            </w:r>
            <w:r w:rsidR="00DF335D" w:rsidRPr="00DF335D">
              <w:t xml:space="preserve">retrieved </w:t>
            </w:r>
            <w:r>
              <w:t>10 January 2020).</w:t>
            </w:r>
          </w:p>
          <w:p w14:paraId="2C24E59B" w14:textId="295290E0" w:rsidR="00514CC0" w:rsidRDefault="00E72B49">
            <w:pPr>
              <w:pStyle w:val="BodyText"/>
            </w:pPr>
            <w:r>
              <w:t>After years in development, a literature review and extensive community consultation, the Mayi Kuwayu team developed a survey which will enable the tracking of indicators related to culture, and correlate these with the health and wellbeing of Aboriginal and Torres Strait Islander people. A baseline survey wave was</w:t>
            </w:r>
            <w:r w:rsidR="00D57A45">
              <w:t> </w:t>
            </w:r>
            <w:r>
              <w:t>conducted in 2019.</w:t>
            </w:r>
          </w:p>
          <w:p w14:paraId="1E8927C7" w14:textId="18B8A61C" w:rsidR="00514CC0" w:rsidRDefault="00E72B49">
            <w:pPr>
              <w:pStyle w:val="BodyText"/>
            </w:pPr>
            <w:r>
              <w:t>This is the first national study of this type. It aims to provide an evidence base for the</w:t>
            </w:r>
            <w:r w:rsidR="00D57A45">
              <w:t> </w:t>
            </w:r>
            <w:r>
              <w:t>creation of better policies and programs. The study has been created by and for</w:t>
            </w:r>
            <w:r w:rsidR="00D57A45">
              <w:t> </w:t>
            </w:r>
            <w:r>
              <w:t>Aboriginal and Torres Strait Islander people. It is an Aboriginal and Torres Strait Islander controlled research resource, with a majority Aboriginal staffing and governance structure.</w:t>
            </w:r>
          </w:p>
          <w:p w14:paraId="600B42A4" w14:textId="77777777" w:rsidR="003D6A9B" w:rsidRPr="003D6A9B" w:rsidRDefault="003D6A9B" w:rsidP="003D6A9B">
            <w:pPr>
              <w:pStyle w:val="OWBoxsourceline"/>
            </w:pPr>
            <w:r>
              <w:drawing>
                <wp:inline distT="0" distB="0" distL="0" distR="0" wp14:anchorId="2B087235" wp14:editId="2CA20239">
                  <wp:extent cx="431640" cy="3960"/>
                  <wp:effectExtent l="0" t="0" r="0" b="0"/>
                  <wp:docPr id="1031949454" name="Picture 5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28">
                            <a:extLst>
                              <a:ext uri="{28A0092B-C50C-407E-A947-70E740481C1C}">
                                <a14:useLocalDpi xmlns:a14="http://schemas.microsoft.com/office/drawing/2010/main" val="0"/>
                              </a:ext>
                            </a:extLst>
                          </a:blip>
                          <a:stretch>
                            <a:fillRect/>
                          </a:stretch>
                        </pic:blipFill>
                        <pic:spPr>
                          <a:xfrm>
                            <a:off x="0" y="0"/>
                            <a:ext cx="431640" cy="3960"/>
                          </a:xfrm>
                          <a:prstGeom prst="rect">
                            <a:avLst/>
                          </a:prstGeom>
                        </pic:spPr>
                      </pic:pic>
                    </a:graphicData>
                  </a:graphic>
                </wp:inline>
              </w:drawing>
            </w:r>
          </w:p>
          <w:p w14:paraId="0EC7C72D" w14:textId="77777777" w:rsidR="00514CC0" w:rsidRDefault="00E72B49" w:rsidP="004A1B0D">
            <w:pPr>
              <w:pStyle w:val="OWBoxsource"/>
            </w:pPr>
            <w:r>
              <w:t>Sources:</w:t>
            </w:r>
          </w:p>
          <w:p w14:paraId="2130C092" w14:textId="5FB4B5D7" w:rsidR="00514CC0" w:rsidRDefault="00E72B49">
            <w:pPr>
              <w:pStyle w:val="OWTablefootnote"/>
            </w:pPr>
            <w:r>
              <w:t>‘</w:t>
            </w:r>
            <w:hyperlink r:id="rId71" w:history="1">
              <w:r w:rsidRPr="000B492C">
                <w:rPr>
                  <w:rStyle w:val="Hyperlink"/>
                </w:rPr>
                <w:t>Mayi Kuwayu: The national study of Aboriginal and Torres Strait Islander wellbeing</w:t>
              </w:r>
            </w:hyperlink>
            <w:r>
              <w:t>’ (2020)</w:t>
            </w:r>
          </w:p>
          <w:p w14:paraId="665875DB" w14:textId="77777777" w:rsidR="00514CC0" w:rsidRDefault="00E72B49">
            <w:pPr>
              <w:pStyle w:val="OWTablefootnote"/>
            </w:pPr>
            <w:r>
              <w:t>Mayi Kuwayu study team, ‘Community engagement: Good engagement practices for Aboriginal and Torres Strait Islander research’, 2018</w:t>
            </w:r>
          </w:p>
          <w:p w14:paraId="6AAE4413" w14:textId="77777777" w:rsidR="00514CC0" w:rsidRDefault="00E72B49">
            <w:pPr>
              <w:pStyle w:val="OWTablefootnote"/>
            </w:pPr>
            <w:r>
              <w:t>M. Salmon et al., ‘Defining the indefinable: Descriptors of Aboriginal and Torres Strait Islander peoples’ culture, and their links to health and wellbeing: A literature review’ (2019).</w:t>
            </w:r>
          </w:p>
        </w:tc>
      </w:tr>
    </w:tbl>
    <w:p w14:paraId="7088C9AA" w14:textId="77777777" w:rsidR="00514CC0" w:rsidRDefault="00E72B49" w:rsidP="000B492C">
      <w:pPr>
        <w:pStyle w:val="OWBodytextlargespaceabove"/>
        <w:keepNext/>
        <w:keepLines/>
        <w:spacing w:after="300"/>
      </w:pPr>
      <w:r>
        <w:lastRenderedPageBreak/>
        <w:t>Mayi Kuwayu data will be highly relevant for future primary prevention monitoring waves. The six domains and their indicators in the Mayi Kuwayu study are:</w:t>
      </w:r>
    </w:p>
    <w:tbl>
      <w:tblPr>
        <w:tblStyle w:val="Datatableteal"/>
        <w:tblW w:w="9072" w:type="dxa"/>
        <w:tblLayout w:type="fixed"/>
        <w:tblLook w:val="06A0" w:firstRow="1" w:lastRow="0" w:firstColumn="1" w:lastColumn="0" w:noHBand="1" w:noVBand="1"/>
      </w:tblPr>
      <w:tblGrid>
        <w:gridCol w:w="4535"/>
        <w:gridCol w:w="4537"/>
      </w:tblGrid>
      <w:tr w:rsidR="00514CC0" w14:paraId="61864EE2" w14:textId="77777777" w:rsidTr="00F0324E">
        <w:trPr>
          <w:cnfStyle w:val="100000000000" w:firstRow="1" w:lastRow="0" w:firstColumn="0" w:lastColumn="0" w:oddVBand="0" w:evenVBand="0" w:oddHBand="0" w:evenHBand="0" w:firstRowFirstColumn="0" w:firstRowLastColumn="0" w:lastRowFirstColumn="0" w:lastRowLastColumn="0"/>
          <w:cantSplit/>
          <w:trHeight w:val="60"/>
          <w:tblHeader/>
        </w:trPr>
        <w:tc>
          <w:tcPr>
            <w:tcW w:w="4535" w:type="dxa"/>
          </w:tcPr>
          <w:p w14:paraId="4AAD7093" w14:textId="77777777" w:rsidR="00514CC0" w:rsidRPr="00E36D92" w:rsidRDefault="00E72B49" w:rsidP="00E36D92">
            <w:pPr>
              <w:pStyle w:val="OWTablecolumnheadleft"/>
            </w:pPr>
            <w:r w:rsidRPr="00E36D92">
              <w:t>Mayi Kuwayu domain</w:t>
            </w:r>
          </w:p>
        </w:tc>
        <w:tc>
          <w:tcPr>
            <w:tcW w:w="4536" w:type="dxa"/>
          </w:tcPr>
          <w:p w14:paraId="7AC48DF1" w14:textId="77777777" w:rsidR="00514CC0" w:rsidRPr="00E36D92" w:rsidRDefault="00E72B49">
            <w:pPr>
              <w:pStyle w:val="OWTablecolumnheadleft"/>
            </w:pPr>
            <w:r w:rsidRPr="00E36D92">
              <w:t>Indicators</w:t>
            </w:r>
          </w:p>
        </w:tc>
      </w:tr>
      <w:tr w:rsidR="00514CC0" w14:paraId="5295A72B" w14:textId="77777777" w:rsidTr="00F0324E">
        <w:trPr>
          <w:cantSplit/>
          <w:trHeight w:val="60"/>
        </w:trPr>
        <w:tc>
          <w:tcPr>
            <w:tcW w:w="4535" w:type="dxa"/>
          </w:tcPr>
          <w:p w14:paraId="788D2983" w14:textId="77777777" w:rsidR="00514CC0" w:rsidRDefault="00E72B49" w:rsidP="002C2EC7">
            <w:pPr>
              <w:pStyle w:val="OWTablenumberdigit"/>
              <w:keepNext/>
              <w:numPr>
                <w:ilvl w:val="0"/>
                <w:numId w:val="35"/>
              </w:numPr>
            </w:pPr>
            <w:r>
              <w:t>Connection to country</w:t>
            </w:r>
          </w:p>
        </w:tc>
        <w:tc>
          <w:tcPr>
            <w:tcW w:w="4536" w:type="dxa"/>
          </w:tcPr>
          <w:p w14:paraId="5A7E78A1" w14:textId="77777777" w:rsidR="00514CC0" w:rsidRDefault="00E72B49">
            <w:pPr>
              <w:pStyle w:val="OWTablebullet1"/>
            </w:pPr>
            <w:r>
              <w:t>Spiritual connection</w:t>
            </w:r>
          </w:p>
          <w:p w14:paraId="40E6A403" w14:textId="77777777" w:rsidR="00514CC0" w:rsidRDefault="00E72B49">
            <w:pPr>
              <w:pStyle w:val="OWTablebullet1"/>
            </w:pPr>
            <w:r>
              <w:t>Living on Country</w:t>
            </w:r>
          </w:p>
          <w:p w14:paraId="6B2ED3AA" w14:textId="77777777" w:rsidR="00514CC0" w:rsidRDefault="00E72B49">
            <w:pPr>
              <w:pStyle w:val="OWTablebullet1"/>
            </w:pPr>
            <w:r>
              <w:t>Land rights and autonomy</w:t>
            </w:r>
          </w:p>
          <w:p w14:paraId="7E7B1305" w14:textId="77777777" w:rsidR="00514CC0" w:rsidRDefault="00E72B49">
            <w:pPr>
              <w:pStyle w:val="OWTablebullet1"/>
            </w:pPr>
            <w:r>
              <w:t>Caring for Country</w:t>
            </w:r>
          </w:p>
        </w:tc>
      </w:tr>
      <w:tr w:rsidR="00514CC0" w14:paraId="544D2AF3" w14:textId="77777777" w:rsidTr="00F0324E">
        <w:trPr>
          <w:cantSplit/>
          <w:trHeight w:val="60"/>
        </w:trPr>
        <w:tc>
          <w:tcPr>
            <w:tcW w:w="4535" w:type="dxa"/>
          </w:tcPr>
          <w:p w14:paraId="523AFC4E" w14:textId="77777777" w:rsidR="00514CC0" w:rsidRDefault="00E72B49">
            <w:pPr>
              <w:pStyle w:val="OWTablenumberdigit"/>
            </w:pPr>
            <w:r>
              <w:t>Indigenous beliefs and knowledge</w:t>
            </w:r>
          </w:p>
        </w:tc>
        <w:tc>
          <w:tcPr>
            <w:tcW w:w="4536" w:type="dxa"/>
          </w:tcPr>
          <w:p w14:paraId="3BEE1474" w14:textId="77777777" w:rsidR="00514CC0" w:rsidRDefault="00E72B49">
            <w:pPr>
              <w:pStyle w:val="OWTablebullet1"/>
            </w:pPr>
            <w:r>
              <w:t>Spiritual and religious beliefs</w:t>
            </w:r>
          </w:p>
          <w:p w14:paraId="379370FF" w14:textId="77777777" w:rsidR="00514CC0" w:rsidRDefault="00E72B49">
            <w:pPr>
              <w:pStyle w:val="OWTablebullet1"/>
            </w:pPr>
            <w:r>
              <w:t>Traditional knowledge</w:t>
            </w:r>
          </w:p>
          <w:p w14:paraId="2E62ABB9" w14:textId="77777777" w:rsidR="00514CC0" w:rsidRDefault="00E72B49">
            <w:pPr>
              <w:pStyle w:val="OWTablebullet1"/>
            </w:pPr>
            <w:r>
              <w:t>Traditional healing</w:t>
            </w:r>
          </w:p>
          <w:p w14:paraId="1A629DD1" w14:textId="77777777" w:rsidR="00514CC0" w:rsidRDefault="00E72B49">
            <w:pPr>
              <w:pStyle w:val="OWTablebullet1"/>
            </w:pPr>
            <w:r>
              <w:t>Knowledge transmission and continuity</w:t>
            </w:r>
          </w:p>
        </w:tc>
      </w:tr>
      <w:tr w:rsidR="00514CC0" w14:paraId="307981B7" w14:textId="77777777" w:rsidTr="00F0324E">
        <w:trPr>
          <w:cantSplit/>
          <w:trHeight w:val="60"/>
        </w:trPr>
        <w:tc>
          <w:tcPr>
            <w:tcW w:w="4535" w:type="dxa"/>
          </w:tcPr>
          <w:p w14:paraId="2F7585D1" w14:textId="77777777" w:rsidR="00514CC0" w:rsidRDefault="00E72B49">
            <w:pPr>
              <w:pStyle w:val="OWTablenumberdigit"/>
            </w:pPr>
            <w:r>
              <w:t>Indigenous language</w:t>
            </w:r>
          </w:p>
        </w:tc>
        <w:tc>
          <w:tcPr>
            <w:tcW w:w="4536" w:type="dxa"/>
          </w:tcPr>
          <w:p w14:paraId="4A9B7F16" w14:textId="77777777" w:rsidR="00514CC0" w:rsidRDefault="00E72B49">
            <w:pPr>
              <w:pStyle w:val="OWTablebullet1"/>
            </w:pPr>
            <w:r>
              <w:t>Impacts of language on health</w:t>
            </w:r>
          </w:p>
          <w:p w14:paraId="4A6758DE" w14:textId="77777777" w:rsidR="00514CC0" w:rsidRDefault="00E72B49">
            <w:pPr>
              <w:pStyle w:val="OWTablebullet1"/>
            </w:pPr>
            <w:r>
              <w:t>Language revitalisation</w:t>
            </w:r>
          </w:p>
          <w:p w14:paraId="79C9095F" w14:textId="77777777" w:rsidR="00514CC0" w:rsidRDefault="00E72B49">
            <w:pPr>
              <w:pStyle w:val="OWTablebullet1"/>
            </w:pPr>
            <w:r>
              <w:t>Aboriginal and Torres Strait Islander language education</w:t>
            </w:r>
          </w:p>
        </w:tc>
      </w:tr>
      <w:tr w:rsidR="00514CC0" w14:paraId="54642660" w14:textId="77777777" w:rsidTr="00F0324E">
        <w:trPr>
          <w:cantSplit/>
          <w:trHeight w:val="60"/>
        </w:trPr>
        <w:tc>
          <w:tcPr>
            <w:tcW w:w="4535" w:type="dxa"/>
          </w:tcPr>
          <w:p w14:paraId="40721B3A" w14:textId="77777777" w:rsidR="00514CC0" w:rsidRDefault="00E72B49">
            <w:pPr>
              <w:pStyle w:val="OWTablenumberdigit"/>
            </w:pPr>
            <w:r>
              <w:t>Family, kinship and continuity</w:t>
            </w:r>
          </w:p>
        </w:tc>
        <w:tc>
          <w:tcPr>
            <w:tcW w:w="4536" w:type="dxa"/>
          </w:tcPr>
          <w:p w14:paraId="748B606D" w14:textId="77777777" w:rsidR="00514CC0" w:rsidRDefault="00E72B49">
            <w:pPr>
              <w:pStyle w:val="OWTablebullet1"/>
            </w:pPr>
            <w:r>
              <w:t>Family and kinship</w:t>
            </w:r>
          </w:p>
          <w:p w14:paraId="21FF2611" w14:textId="77777777" w:rsidR="00514CC0" w:rsidRDefault="00E72B49">
            <w:pPr>
              <w:pStyle w:val="OWTablebullet1"/>
            </w:pPr>
            <w:r>
              <w:t>Community</w:t>
            </w:r>
          </w:p>
        </w:tc>
      </w:tr>
      <w:tr w:rsidR="00514CC0" w14:paraId="69573EB2" w14:textId="77777777" w:rsidTr="00F0324E">
        <w:trPr>
          <w:cantSplit/>
          <w:trHeight w:val="60"/>
        </w:trPr>
        <w:tc>
          <w:tcPr>
            <w:tcW w:w="4535" w:type="dxa"/>
          </w:tcPr>
          <w:p w14:paraId="212126AA" w14:textId="77777777" w:rsidR="00514CC0" w:rsidRDefault="00E72B49">
            <w:pPr>
              <w:pStyle w:val="OWTablenumberdigit"/>
            </w:pPr>
            <w:r>
              <w:t>Cultural expression and continuity</w:t>
            </w:r>
          </w:p>
        </w:tc>
        <w:tc>
          <w:tcPr>
            <w:tcW w:w="4536" w:type="dxa"/>
          </w:tcPr>
          <w:p w14:paraId="0FD50FEB" w14:textId="77777777" w:rsidR="00514CC0" w:rsidRDefault="00E72B49">
            <w:pPr>
              <w:pStyle w:val="OWTablebullet1"/>
            </w:pPr>
            <w:r>
              <w:t>Identity</w:t>
            </w:r>
          </w:p>
          <w:p w14:paraId="7BD05AC5" w14:textId="77777777" w:rsidR="00514CC0" w:rsidRDefault="00E72B49">
            <w:pPr>
              <w:pStyle w:val="OWTablebullet1"/>
            </w:pPr>
            <w:r>
              <w:t>Traditional practices</w:t>
            </w:r>
          </w:p>
          <w:p w14:paraId="033744CF" w14:textId="77777777" w:rsidR="00514CC0" w:rsidRDefault="00E72B49">
            <w:pPr>
              <w:pStyle w:val="OWTablebullet1"/>
            </w:pPr>
            <w:r>
              <w:t>Arts and music</w:t>
            </w:r>
          </w:p>
          <w:p w14:paraId="7A577BCF" w14:textId="77777777" w:rsidR="00514CC0" w:rsidRDefault="00E72B49">
            <w:pPr>
              <w:pStyle w:val="OWTablebullet1"/>
            </w:pPr>
            <w:r>
              <w:t>Community practices</w:t>
            </w:r>
          </w:p>
          <w:p w14:paraId="0935A067" w14:textId="77777777" w:rsidR="00514CC0" w:rsidRDefault="00E72B49">
            <w:pPr>
              <w:pStyle w:val="OWTablebullet1"/>
            </w:pPr>
            <w:r>
              <w:t>Sport</w:t>
            </w:r>
          </w:p>
        </w:tc>
      </w:tr>
      <w:tr w:rsidR="00514CC0" w14:paraId="3E8C6C40" w14:textId="77777777" w:rsidTr="00F0324E">
        <w:trPr>
          <w:cantSplit/>
          <w:trHeight w:val="60"/>
        </w:trPr>
        <w:tc>
          <w:tcPr>
            <w:tcW w:w="4535" w:type="dxa"/>
          </w:tcPr>
          <w:p w14:paraId="530D241B" w14:textId="77777777" w:rsidR="00514CC0" w:rsidRDefault="00E72B49">
            <w:pPr>
              <w:pStyle w:val="OWTablenumberdigit"/>
            </w:pPr>
            <w:r>
              <w:t>Self-determination and wellbeing</w:t>
            </w:r>
          </w:p>
        </w:tc>
        <w:tc>
          <w:tcPr>
            <w:tcW w:w="4536" w:type="dxa"/>
          </w:tcPr>
          <w:p w14:paraId="3A2EF9CC" w14:textId="77777777" w:rsidR="00514CC0" w:rsidRDefault="00E72B49">
            <w:pPr>
              <w:pStyle w:val="OWTablebullet1"/>
            </w:pPr>
            <w:r>
              <w:t>Cultural safety</w:t>
            </w:r>
          </w:p>
          <w:p w14:paraId="3731E6B8" w14:textId="77777777" w:rsidR="00514CC0" w:rsidRDefault="00E72B49">
            <w:pPr>
              <w:pStyle w:val="OWTablebullet1"/>
            </w:pPr>
            <w:r>
              <w:t>Self-determination and wellbeing</w:t>
            </w:r>
          </w:p>
          <w:p w14:paraId="106CF1FF" w14:textId="77777777" w:rsidR="00514CC0" w:rsidRDefault="00E72B49">
            <w:pPr>
              <w:pStyle w:val="OWTablebullet1"/>
            </w:pPr>
            <w:r>
              <w:t>Leadership</w:t>
            </w:r>
          </w:p>
        </w:tc>
      </w:tr>
    </w:tbl>
    <w:p w14:paraId="1FCF8180" w14:textId="77777777" w:rsidR="00514CC0" w:rsidRDefault="00E72B49">
      <w:pPr>
        <w:pStyle w:val="OWTablefootnote"/>
      </w:pPr>
      <w:r>
        <w:t>Source: M. Salmon et al., 2019, p. 31</w:t>
      </w:r>
    </w:p>
    <w:p w14:paraId="76A7C9C3" w14:textId="77777777" w:rsidR="00514CC0" w:rsidRDefault="00E72B49">
      <w:pPr>
        <w:pStyle w:val="OWBodytextlargespaceabove"/>
      </w:pPr>
      <w:r>
        <w:t>Baseline data has been collected and findings will be published imminently. Mayi Kuwayu data will be highly relevant for future primary prevention monitoring waves.</w:t>
      </w:r>
    </w:p>
    <w:p w14:paraId="1DF43BDF" w14:textId="77777777" w:rsidR="00514CC0" w:rsidRDefault="00E72B49" w:rsidP="00F868FE">
      <w:pPr>
        <w:pStyle w:val="Heading5"/>
      </w:pPr>
      <w:r>
        <w:t>Over-representation of Aboriginal and Torres Strait Islander children in out</w:t>
      </w:r>
      <w:r>
        <w:rPr>
          <w:rFonts w:ascii="Cambria Math" w:hAnsi="Cambria Math" w:cs="Cambria Math"/>
        </w:rPr>
        <w:t>‑</w:t>
      </w:r>
      <w:r>
        <w:t>of</w:t>
      </w:r>
      <w:r>
        <w:rPr>
          <w:rFonts w:ascii="Cambria Math" w:hAnsi="Cambria Math" w:cs="Cambria Math"/>
        </w:rPr>
        <w:t>‑</w:t>
      </w:r>
      <w:r>
        <w:t>home care: Family Matters campaign report 2019</w:t>
      </w:r>
    </w:p>
    <w:p w14:paraId="3DA9A192" w14:textId="77777777" w:rsidR="00514CC0" w:rsidRDefault="00E72B49">
      <w:pPr>
        <w:pStyle w:val="BodyText"/>
      </w:pPr>
      <w:r>
        <w:t xml:space="preserve">Family Matters is a campaign led by SNAICC – National Voice for Our Children along with Aboriginal and Torres Strait Islander leaders, representing an alliance of over 150 Aboriginal and Torres Strait Islander and non-Indigenous organisations, with the aim of eliminating the over-representation of Aboriginal and Torres Strait Islander children being placed in out-of-home care. This is important with regard to prevention of violence against Aboriginal and Torres Strait Islander women for many reasons, including as an ongoing expression and outcome of colonisation and structural racism, and as a reason which precludes many </w:t>
      </w:r>
      <w:r>
        <w:lastRenderedPageBreak/>
        <w:t>Aboriginal and Torres Strait Islander women seeking help for partner-perpetrated violence because of concern about children being removed from them.</w:t>
      </w:r>
    </w:p>
    <w:p w14:paraId="2FA8236D" w14:textId="5B424A2E" w:rsidR="00514CC0" w:rsidRDefault="00E72B49">
      <w:pPr>
        <w:pStyle w:val="BodyText"/>
      </w:pPr>
      <w:r>
        <w:t>The 2019 Family Matters report found that in 2018, Aboriginal and Torres Strait Islander children were 10.2 time more likely to be residing in out-of-home care than non-Indigenous children, that Aboriginal and Torres Strait Islander children are over-represented at almost every level of the child protection system, and that on the basis of current actions the over-representation of Aboriginal and Torres Strait Islander children in out-of-home care is projected to rise, with predictions that the figure will double over the next decade.</w:t>
      </w:r>
      <w:r w:rsidR="00B027F0">
        <w:rPr>
          <w:rStyle w:val="EndnoteReference"/>
        </w:rPr>
        <w:endnoteReference w:id="418"/>
      </w:r>
    </w:p>
    <w:p w14:paraId="6063C7B7" w14:textId="77777777" w:rsidR="00514CC0" w:rsidRDefault="00E72B49" w:rsidP="00F868FE">
      <w:pPr>
        <w:pStyle w:val="Heading5"/>
      </w:pPr>
      <w:r>
        <w:t>Health inequalities: Close the Gap review 2018</w:t>
      </w:r>
    </w:p>
    <w:p w14:paraId="6EF19D61" w14:textId="09F16069" w:rsidR="00514CC0" w:rsidRDefault="00E72B49">
      <w:pPr>
        <w:pStyle w:val="BodyText"/>
      </w:pPr>
      <w:r>
        <w:t>The 2017 Close the Gap campaign report concluded that ‘[o]verall, the improvements to the</w:t>
      </w:r>
      <w:r w:rsidR="00D57A45">
        <w:t> </w:t>
      </w:r>
      <w:r>
        <w:t>headline targets have been disappointing’ and that Australia is not on track to meet the stated targets and government commitments in the Close the Gap Strategy.</w:t>
      </w:r>
      <w:r w:rsidR="00975D26">
        <w:rPr>
          <w:rStyle w:val="EndnoteReference"/>
        </w:rPr>
        <w:endnoteReference w:id="419"/>
      </w:r>
      <w:r>
        <w:t xml:space="preserve"> The 2018 Close the Gap shadow report produced by the Close the Gap Campaign Steering Commission on health inequality experienced by First Nations people as compared to non-Indigenous people, as produced by the ongoing impacts of colonisation and racism, was a ten-year review aligned with the period of time in which Australia had had a Close the Gap Strategy, with the aim of achieving life expectancy equality between Indigenous and non-Indigenous people by 2030.</w:t>
      </w:r>
    </w:p>
    <w:p w14:paraId="462F93A4" w14:textId="6E0D8B4D" w:rsidR="00514CC0" w:rsidRDefault="00E72B49">
      <w:pPr>
        <w:pStyle w:val="BodyText"/>
      </w:pPr>
      <w:r>
        <w:t>In this report, it is noted that government commitment and investment has not been sufficient to produce positive change, and that most of the gains made have been due to the efforts of Aboriginal and Torres Strait Islander community-controlled organisations:</w:t>
      </w:r>
    </w:p>
    <w:p w14:paraId="2A3FC8BB" w14:textId="021AB5CB" w:rsidR="00514CC0" w:rsidRDefault="006E590F">
      <w:pPr>
        <w:pStyle w:val="Quote"/>
      </w:pPr>
      <w:r>
        <w:t>‘</w:t>
      </w:r>
      <w:r w:rsidR="00E72B49">
        <w:t>Over the decade since 2008, Aboriginal and Torres Strait Islander affairs have experienced discontinuity and uncertainty. Regular changes to the administration and quantum of funding, shifting policy approaches and arrangements within, between and from government, cuts to services, and a revolving door of Prime Ministers, Indigenous Affairs</w:t>
      </w:r>
      <w:r w:rsidR="00D57A45">
        <w:t> </w:t>
      </w:r>
      <w:r w:rsidR="00E72B49">
        <w:t>Minister and senior bureaucrats have all but halted the steady progress hoped for</w:t>
      </w:r>
      <w:r w:rsidR="00D57A45">
        <w:t> </w:t>
      </w:r>
      <w:r w:rsidR="00E72B49">
        <w:t>by</w:t>
      </w:r>
      <w:r w:rsidR="00D57A45">
        <w:t> </w:t>
      </w:r>
      <w:r w:rsidR="00E72B49">
        <w:t>First Peoples.</w:t>
      </w:r>
    </w:p>
    <w:p w14:paraId="6C0472B7" w14:textId="77777777" w:rsidR="00514CC0" w:rsidRDefault="00E72B49">
      <w:pPr>
        <w:pStyle w:val="Quote"/>
      </w:pPr>
      <w:r>
        <w:t>After the initial funding commitments made for the Closing the Gap Strategy, via the National Indigenous Reform Agreement (NIRA) and the supporting National Partnership Agreements (NPAs) – the Strategy was effectively abandoned with the extensive cuts (over $530 million) made to the Indigenous Affairs portfolio in the 2014 Federal Budget. A new competitive tendering process for services to apply for funding grants was introduced, creating enormous upheaval and led to uncertainty, lost continuity, and eroded engagement between Aboriginal and Torres Strait Islander organisations and government.</w:t>
      </w:r>
    </w:p>
    <w:p w14:paraId="01B1CCF2" w14:textId="4F84D62C" w:rsidR="00514CC0" w:rsidRDefault="00E72B49">
      <w:pPr>
        <w:pStyle w:val="Quote"/>
      </w:pPr>
      <w:r>
        <w:t>Government expenditure at all levels has not been commensurate with the substantially greater and more complex health needs of Aboriginal and Torres Strait Islander peoples. Of</w:t>
      </w:r>
      <w:r w:rsidR="00D57A45">
        <w:t> </w:t>
      </w:r>
      <w:r>
        <w:t>the investments made, in many cases it has been invested in the wrong areas, focusing more on tertiary than primary care, mainstream rather than Aboriginal Community Controlled Health Services, or been exhausted by the administrative costs of government departments.</w:t>
      </w:r>
    </w:p>
    <w:p w14:paraId="1D101A23" w14:textId="489E8E7B" w:rsidR="00514CC0" w:rsidRDefault="00E72B49">
      <w:pPr>
        <w:pStyle w:val="Quote"/>
      </w:pPr>
      <w:r>
        <w:t xml:space="preserve">It is unsurprising in this environment that governments have not been able to make real </w:t>
      </w:r>
      <w:r w:rsidR="00D57A45">
        <w:br/>
      </w:r>
      <w:r>
        <w:t>in-roads into closing the gap in health equality and life expectancy for Australia’s First Peoples.</w:t>
      </w:r>
    </w:p>
    <w:p w14:paraId="0DC7695E" w14:textId="016E2D8F" w:rsidR="00514CC0" w:rsidRDefault="00E72B49">
      <w:pPr>
        <w:pStyle w:val="Quote"/>
      </w:pPr>
      <w:r>
        <w:lastRenderedPageBreak/>
        <w:t xml:space="preserve">Despite this, Aboriginal and Torres Strait Islander </w:t>
      </w:r>
      <w:r w:rsidR="00C87235">
        <w:t>community-controlled</w:t>
      </w:r>
      <w:r>
        <w:t xml:space="preserve"> health services continue to account for much of the gains made in health equality. Similarly, the small but growing Aboriginal and Torres Strait Islander health workforce continues to improve access and approaches to addressing First Peoples’ health.</w:t>
      </w:r>
      <w:r w:rsidR="006E590F">
        <w:t>’</w:t>
      </w:r>
      <w:r w:rsidR="0011796A">
        <w:rPr>
          <w:rStyle w:val="EndnoteReference"/>
        </w:rPr>
        <w:endnoteReference w:id="420"/>
      </w:r>
    </w:p>
    <w:p w14:paraId="3621EB8E" w14:textId="77777777" w:rsidR="00514CC0" w:rsidRDefault="00E72B49" w:rsidP="00F868FE">
      <w:pPr>
        <w:pStyle w:val="Heading5"/>
      </w:pPr>
      <w:r>
        <w:t>Overcoming Indigenous disadvantage: Productivity Commission monitoring reports</w:t>
      </w:r>
    </w:p>
    <w:p w14:paraId="4E566719" w14:textId="1D14A84A" w:rsidR="00514CC0" w:rsidRDefault="00E72B49">
      <w:pPr>
        <w:pStyle w:val="BodyText"/>
      </w:pPr>
      <w:r>
        <w:t>As commissioned by the Council for Australian Governments (COAG), a number of trend-monitoring reports on indicators of Indigenous disadvantage have been produced by the Productivity Commission since 2003, analysing multiple datasets. While the detailed data analysis will not be repeated here, the latest (2016) report shows that positive progress has been made in recent years on a small number of indicators only, including child mortality rates, some educational outcome markers, some employment and income measures, and recognition of traditional lands. However, the report also notes that there has been no change in the prevalence of violence experienced by Aboriginal and Torres Strait Islander people, including women, and worsening outcomes with regard to mental health, self-harm</w:t>
      </w:r>
      <w:r w:rsidR="00D57A45">
        <w:t> </w:t>
      </w:r>
      <w:r>
        <w:t>hospitalisations, and adult and juvenile incarceration rates.</w:t>
      </w:r>
      <w:r w:rsidR="0011796A">
        <w:rPr>
          <w:rStyle w:val="EndnoteReference"/>
        </w:rPr>
        <w:endnoteReference w:id="421"/>
      </w:r>
    </w:p>
    <w:p w14:paraId="63BE12FB" w14:textId="77777777" w:rsidR="00514CC0" w:rsidRDefault="00E72B49" w:rsidP="00F868FE">
      <w:pPr>
        <w:pStyle w:val="Heading5"/>
      </w:pPr>
      <w:r>
        <w:t>National Aboriginal and Torres Strait Islander Social Survey</w:t>
      </w:r>
    </w:p>
    <w:p w14:paraId="0DEB0C6A" w14:textId="77777777" w:rsidR="00514CC0" w:rsidRDefault="00E72B49">
      <w:pPr>
        <w:pStyle w:val="BodyText"/>
      </w:pPr>
      <w:r>
        <w:t>Only limited dimensions of the National Aboriginal and Torres Strait Islander Social Survey (NATSISS) allow for assessment of change to the experience of structural disadvantage over time. There has been some reduction over time to the experience of living in overcrowded dwellings. Due to data collection tools changes, limited data beyond baseline (2014–15) is available for other dimensions of Indigenous structural data. However, this data shows that there has been next to no change in the structural disadvantage experienced by Aboriginal and Torres Strait Islander people over time, and that this remains substantial, and tends to be exacerbated for Aboriginal and Torres Strait Islander women, First Nations people with disability, and First Nations people living in remote areas.</w:t>
      </w:r>
    </w:p>
    <w:p w14:paraId="0D480133" w14:textId="77777777" w:rsidR="00514CC0" w:rsidRDefault="00E72B49" w:rsidP="00F868FE">
      <w:pPr>
        <w:pStyle w:val="Heading6"/>
      </w:pPr>
      <w:r>
        <w:t>Housing and homelessness</w:t>
      </w:r>
    </w:p>
    <w:p w14:paraId="1E62A7F8" w14:textId="77777777" w:rsidR="00514CC0" w:rsidRDefault="00E72B49">
      <w:pPr>
        <w:pStyle w:val="BodyText"/>
      </w:pPr>
      <w:r>
        <w:t>Large, though declining, proportions of Aboriginal and Torres Strait Islander people aged 15 years or over live in overcrowded dwellings. In the 2008 NATSISS, 24.9% of Aboriginal and Torres Strait Islander people reported living in an overcrowded dwelling; this declined to 18.4% in 2014–15.</w:t>
      </w:r>
    </w:p>
    <w:p w14:paraId="49D28F8A" w14:textId="3D4D831A" w:rsidR="00514CC0" w:rsidRDefault="00E72B49">
      <w:pPr>
        <w:pStyle w:val="BodyText"/>
      </w:pPr>
      <w:r>
        <w:t>As of 2014–15, approximately one in seven (14.9%) Aboriginal and Torres Strait Islander people aged 15 years or over lived in a dwelling in which facilities were not available or did not work. This proportion was higher for people living in remote areas (27.7%) than non-remote areas (11.2%). The 2014–15 percentage is higher than that recorded in the 2008 NATSISS, which found that 13% of all Aboriginal and Torres Strait Islander adults lived in a dwelling with at least one faulty household facility.</w:t>
      </w:r>
      <w:r w:rsidR="0011796A">
        <w:rPr>
          <w:rStyle w:val="EndnoteReference"/>
        </w:rPr>
        <w:endnoteReference w:id="422"/>
      </w:r>
    </w:p>
    <w:p w14:paraId="2DD96EAF" w14:textId="6914986B" w:rsidR="00514CC0" w:rsidRDefault="00E72B49">
      <w:pPr>
        <w:pStyle w:val="BodyText"/>
      </w:pPr>
      <w:r>
        <w:t>There appears to be a significant correlation between homelessness and the experience of family or domestic violence among Aboriginal and Torres Strait Islander women. The 10% of</w:t>
      </w:r>
      <w:r w:rsidR="00D57A45">
        <w:t> </w:t>
      </w:r>
      <w:r>
        <w:t xml:space="preserve">Aboriginal and Torres Strait Islander women who reported having experienced physical family or domestic violence in the 12 months prior to the 2014–15 survey were more likely </w:t>
      </w:r>
      <w:r>
        <w:lastRenderedPageBreak/>
        <w:t>to have experienced homelessness at some point in their lives than women who had not experienced family or domestic violence in the previous 12 months (55% compared to 26%).</w:t>
      </w:r>
    </w:p>
    <w:p w14:paraId="09780958" w14:textId="77777777" w:rsidR="00514CC0" w:rsidRDefault="00E72B49" w:rsidP="00F868FE">
      <w:pPr>
        <w:pStyle w:val="Heading6"/>
      </w:pPr>
      <w:r>
        <w:t>Employment</w:t>
      </w:r>
    </w:p>
    <w:p w14:paraId="5D0B194F" w14:textId="3014057E" w:rsidR="00514CC0" w:rsidRDefault="00E72B49">
      <w:pPr>
        <w:pStyle w:val="BodyText"/>
      </w:pPr>
      <w:r>
        <w:t>As of 2014–15, less than half (46.0%) of Aboriginal and Torres Strait Islander people aged 15</w:t>
      </w:r>
      <w:r w:rsidR="00D57A45">
        <w:t> </w:t>
      </w:r>
      <w:r>
        <w:t>years or over were employed, and only 27.7% were employed full-time. Aboriginal and Torres Strait Islander men were more than twice as likely as women to be working full-time (37.9% compared with 18.4%). Aboriginal and Torres Strait Islander women were more likely</w:t>
      </w:r>
      <w:r w:rsidR="00D57A45">
        <w:t> </w:t>
      </w:r>
      <w:r>
        <w:t>than men to be working part-time (22.6% compared with 13.7%). While not directly comparable because of changes to the classification of labour force status between 2008 and 2014–15, it is important to note that in 2008, 52% of Aboriginal and Torres Strait Islander people aged 15 years and over were employed, and even when adjusted to ensure a</w:t>
      </w:r>
      <w:r w:rsidR="00D57A45">
        <w:t> </w:t>
      </w:r>
      <w:r>
        <w:t>more consistent comparison with the 2014–15 estimate, there has been no change to this ratio between 2008 and 2014–15.</w:t>
      </w:r>
      <w:r w:rsidR="0011796A">
        <w:rPr>
          <w:rStyle w:val="EndnoteReference"/>
        </w:rPr>
        <w:endnoteReference w:id="423"/>
      </w:r>
    </w:p>
    <w:p w14:paraId="0DD6C937" w14:textId="77777777" w:rsidR="00514CC0" w:rsidRDefault="00E72B49">
      <w:pPr>
        <w:pStyle w:val="BodyText"/>
      </w:pPr>
      <w:r>
        <w:t>Employment rates among Aboriginal and Torres Strait Islander people are even lower in remote areas. In 2014–15, just over one-third (35.6%) of Aboriginal and Torres Strait Islander people aged 15 years and over living in remote areas were working; this compares with an employment rate of 49.0% in non-remote areas.</w:t>
      </w:r>
    </w:p>
    <w:p w14:paraId="03F1EA79" w14:textId="77777777" w:rsidR="00514CC0" w:rsidRDefault="00E72B49" w:rsidP="00F868FE">
      <w:pPr>
        <w:pStyle w:val="Heading6"/>
      </w:pPr>
      <w:r>
        <w:t>Law and incarceration</w:t>
      </w:r>
    </w:p>
    <w:p w14:paraId="72BCCCDD" w14:textId="77777777" w:rsidR="00514CC0" w:rsidRDefault="00E72B49">
      <w:pPr>
        <w:pStyle w:val="BodyText"/>
      </w:pPr>
      <w:r>
        <w:t>Rates of arrest among Aboriginal and Torres Strait Islander people are are significantly higher than for non-Indigenous people. As of 2014–15, one in seven (14.5%) Aboriginal and Torres Strait Islander people aged 15 years and over had been arrested in the previous five years. Rates of arrest are higher among men (20.4%) than women (9.2%).</w:t>
      </w:r>
    </w:p>
    <w:p w14:paraId="500C413B" w14:textId="77777777" w:rsidR="00514CC0" w:rsidRDefault="00E72B49">
      <w:pPr>
        <w:pStyle w:val="BodyText"/>
      </w:pPr>
      <w:r>
        <w:t>Lifetime incarceration rates are also high – 14.6% for Aboriginal and Torres Strait Islander men aged 15 years and over, and 3.5% of women aged 15 years and over.</w:t>
      </w:r>
    </w:p>
    <w:p w14:paraId="012F5386" w14:textId="44958A92" w:rsidR="00514CC0" w:rsidRDefault="00E72B49">
      <w:pPr>
        <w:pStyle w:val="BodyText"/>
      </w:pPr>
      <w:r>
        <w:t>Recent research on the over-imprisonment of Aboriginal and Torres Strait Islander people showed that Indigenous people are more likely than non-Indigenous people to be arrested, charged and sentenced to imprisonment for similar crimes,</w:t>
      </w:r>
      <w:r w:rsidR="0011796A">
        <w:rPr>
          <w:rStyle w:val="EndnoteReference"/>
        </w:rPr>
        <w:endnoteReference w:id="424"/>
      </w:r>
      <w:r>
        <w:t xml:space="preserve"> reflective of structural racism.</w:t>
      </w:r>
    </w:p>
    <w:p w14:paraId="0FA3DC0D" w14:textId="77777777" w:rsidR="00514CC0" w:rsidRDefault="00E72B49" w:rsidP="00F868FE">
      <w:pPr>
        <w:pStyle w:val="Heading6"/>
      </w:pPr>
      <w:r>
        <w:t>Health</w:t>
      </w:r>
    </w:p>
    <w:p w14:paraId="1C3DA42F" w14:textId="6D353BF2" w:rsidR="00514CC0" w:rsidRDefault="00E72B49">
      <w:pPr>
        <w:pStyle w:val="BodyText"/>
      </w:pPr>
      <w:r>
        <w:t>On the basis of 2014 to 2015 data, almost half (45.1%) of Aboriginal and Torres Strait Islander people live with disability. Rates of disability are higher among women (47%) than</w:t>
      </w:r>
      <w:r w:rsidR="00D57A45">
        <w:t> </w:t>
      </w:r>
      <w:r>
        <w:t>men (43%).</w:t>
      </w:r>
    </w:p>
    <w:p w14:paraId="03D06CAB" w14:textId="77777777" w:rsidR="00514CC0" w:rsidRDefault="00E72B49" w:rsidP="00F868FE">
      <w:pPr>
        <w:pStyle w:val="Heading5"/>
      </w:pPr>
      <w:r>
        <w:t>Aboriginal and Torres Strait Islander people’s experiences of racial discrimination</w:t>
      </w:r>
    </w:p>
    <w:p w14:paraId="6DE57FD2" w14:textId="77777777" w:rsidR="00514CC0" w:rsidRDefault="00E72B49">
      <w:pPr>
        <w:pStyle w:val="BodyText"/>
      </w:pPr>
      <w:r>
        <w:t>The most recent published round of NATSISS, 2014–15, captured self-reported rates of discrimination on the basis of being Aboriginal or Torres Strait Islander for the first time, as part of measuring a range of stressors in the past 12 months.</w:t>
      </w:r>
      <w:r>
        <w:rPr>
          <w:rStyle w:val="OWSuperscript"/>
        </w:rPr>
        <w:footnoteReference w:id="50"/>
      </w:r>
    </w:p>
    <w:p w14:paraId="18659D7B" w14:textId="3CEA2A11" w:rsidR="00514CC0" w:rsidRDefault="00E72B49">
      <w:pPr>
        <w:pStyle w:val="BodyText"/>
      </w:pPr>
      <w:r>
        <w:lastRenderedPageBreak/>
        <w:t>In 2014–15, 4.8% of Aboriginal and Torres Strait Islander people had experienced discrimination on the basis of being Aboriginal or Torres Strait Islander in the previous 12</w:t>
      </w:r>
      <w:r w:rsidR="00D57A45">
        <w:t> </w:t>
      </w:r>
      <w:r>
        <w:t>months. Aboriginal and Torres Strait Islander women experienced higher rates of discrimination (5.1%) than men (4.4%). Aboriginal and Torres Strait Islander women living in</w:t>
      </w:r>
      <w:r w:rsidR="00D57A45">
        <w:t> </w:t>
      </w:r>
      <w:r>
        <w:t xml:space="preserve">non-remote areas experienced even higher rates of discrimination (5.4%) (see Figure </w:t>
      </w:r>
      <w:r w:rsidR="00531647">
        <w:t>31</w:t>
      </w:r>
      <w:r>
        <w:t>, below).</w:t>
      </w:r>
    </w:p>
    <w:p w14:paraId="0D572F0F" w14:textId="085E5789" w:rsidR="00514CC0" w:rsidRDefault="00E72B49">
      <w:pPr>
        <w:pStyle w:val="OWFigurecaption"/>
      </w:pPr>
      <w:r>
        <w:t xml:space="preserve">Figure </w:t>
      </w:r>
      <w:r w:rsidR="00531647">
        <w:t>31</w:t>
      </w:r>
      <w:r>
        <w:t xml:space="preserve">: </w:t>
      </w:r>
      <w:r w:rsidR="006C3D0E" w:rsidRPr="006C3D0E">
        <w:t>Proportion of Aboriginal and Torres Strait Islander people who experienced</w:t>
      </w:r>
      <w:r>
        <w:t xml:space="preserve"> discrimination on the basis of being Aboriginal or Torres Strait Islander in past 12 months, </w:t>
      </w:r>
      <w:r w:rsidR="006C3D0E">
        <w:t>by gender</w:t>
      </w:r>
      <w:r>
        <w:t xml:space="preserve"> and remoteness</w:t>
      </w:r>
    </w:p>
    <w:p w14:paraId="64B50ED7" w14:textId="5E4FD814" w:rsidR="00514CC0" w:rsidRDefault="009338E6" w:rsidP="00E36D92">
      <w:pPr>
        <w:pStyle w:val="OWFigureinline"/>
      </w:pPr>
      <w:r>
        <w:rPr>
          <w:noProof/>
        </w:rPr>
        <w:drawing>
          <wp:inline distT="0" distB="0" distL="0" distR="0" wp14:anchorId="0A093FE2" wp14:editId="517A4469">
            <wp:extent cx="5614672" cy="3413760"/>
            <wp:effectExtent l="0" t="0" r="5080" b="0"/>
            <wp:docPr id="2138762530" name="Picture 82" descr="Column graph of the following data (proportion). All: Female – 5.1%; Male – 4.4%. Remote: Female – 4.1%; Male – 3.3%. Non-remote: Female – 5.4%; Male –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62530" name="Picture 82" descr="Column graph of the following data (proportion). All: Female – 5.1%; Male – 4.4%. Remote: Female – 4.1%; Male – 3.3%. Non-remote: Female – 5.4%; Male – 4.7%."/>
                    <pic:cNvPicPr/>
                  </pic:nvPicPr>
                  <pic:blipFill>
                    <a:blip r:embed="rId72">
                      <a:extLst>
                        <a:ext uri="{28A0092B-C50C-407E-A947-70E740481C1C}">
                          <a14:useLocalDpi xmlns:a14="http://schemas.microsoft.com/office/drawing/2010/main" val="0"/>
                        </a:ext>
                      </a:extLst>
                    </a:blip>
                    <a:stretch>
                      <a:fillRect/>
                    </a:stretch>
                  </pic:blipFill>
                  <pic:spPr>
                    <a:xfrm>
                      <a:off x="0" y="0"/>
                      <a:ext cx="5614672" cy="3413760"/>
                    </a:xfrm>
                    <a:prstGeom prst="rect">
                      <a:avLst/>
                    </a:prstGeom>
                  </pic:spPr>
                </pic:pic>
              </a:graphicData>
            </a:graphic>
          </wp:inline>
        </w:drawing>
      </w:r>
    </w:p>
    <w:p w14:paraId="11073762" w14:textId="77777777" w:rsidR="00514CC0" w:rsidRDefault="00E72B49">
      <w:pPr>
        <w:pStyle w:val="OWFigurefootnote"/>
      </w:pPr>
      <w:r>
        <w:t>Source: ABS, NATSISS 2014–15</w:t>
      </w:r>
    </w:p>
    <w:p w14:paraId="5CE465F1" w14:textId="4AF22CF6" w:rsidR="00514CC0" w:rsidRDefault="00E72B49">
      <w:pPr>
        <w:pStyle w:val="BodyText"/>
      </w:pPr>
      <w:r>
        <w:t>Extended disaggregated analysis of the 2015 Survey of Disability, Ageing and Carers also showed that experiences of discrimination due to disability were almost twice as likely for Aboriginal and Torres Strait Islander people with disability than non-Indigenous people. In</w:t>
      </w:r>
      <w:r w:rsidR="00D57A45">
        <w:t> </w:t>
      </w:r>
      <w:r>
        <w:t>2015, 15.0% of Aboriginal and Torres Strait Islander people with disability reported experiencing discrimination in the previous 12 months, compared with 8.4% of non-Indigenous people with disability.</w:t>
      </w:r>
      <w:r w:rsidR="0011796A">
        <w:rPr>
          <w:rStyle w:val="EndnoteReference"/>
        </w:rPr>
        <w:endnoteReference w:id="425"/>
      </w:r>
    </w:p>
    <w:p w14:paraId="4127C95C" w14:textId="7D226EC9" w:rsidR="00514CC0" w:rsidRDefault="00E72B49">
      <w:pPr>
        <w:pStyle w:val="BodyText"/>
      </w:pPr>
      <w:r w:rsidRPr="003E209A">
        <w:rPr>
          <w:rStyle w:val="Emphasis"/>
        </w:rPr>
        <w:t xml:space="preserve">Footprints in time – The Longitudinal Study of Indigenous Children </w:t>
      </w:r>
      <w:r>
        <w:t>(LSIC) includes measures of racial discrimination.</w:t>
      </w:r>
      <w:r w:rsidR="0011796A">
        <w:rPr>
          <w:rStyle w:val="EndnoteReference"/>
        </w:rPr>
        <w:endnoteReference w:id="426"/>
      </w:r>
      <w:r>
        <w:t xml:space="preserve"> Shepherd et al. undertook an analysis of the Longitudinal Study of Indigenous Children data from waves 1 to 6 (2008 to 2013), with wave 6 including a retained sample of 1239 Aboriginal and Torres Strait Islander children from diverse settings across Australia and the Torres Strait.</w:t>
      </w:r>
      <w:r w:rsidR="0011796A">
        <w:rPr>
          <w:rStyle w:val="EndnoteReference"/>
        </w:rPr>
        <w:endnoteReference w:id="427"/>
      </w:r>
      <w:r>
        <w:t xml:space="preserve"> This analysis determined that of the participating cohort, 40% of primary carers of Indigenous children, 45% of Indigenous families and 14% of Indigenous children aged five to ten years had experienced racial discrimination at some point in their lifetimes. A significant proportion of each of these groups that had experienced racial discrimination continued to experience it on a persistent or recurrent basis. That is, </w:t>
      </w:r>
      <w:r>
        <w:lastRenderedPageBreak/>
        <w:t>31% of primary carers who reported experiencing racial discrimination experienced it persistently, as did 40% of discriminated against family members, and 28% of children. Moreover, this analysis found that vicarious and/or direct exposure to racial discrimination negatively impacted on Aboriginal and Torres Strait Islander children’s mental and physical health, at a young age and across their lifetime.</w:t>
      </w:r>
      <w:r w:rsidR="0011796A">
        <w:rPr>
          <w:rStyle w:val="EndnoteReference"/>
        </w:rPr>
        <w:endnoteReference w:id="428"/>
      </w:r>
    </w:p>
    <w:p w14:paraId="2E649D19" w14:textId="21531913" w:rsidR="00514CC0" w:rsidRDefault="00E72B49">
      <w:pPr>
        <w:pStyle w:val="BodyText"/>
      </w:pPr>
      <w:r>
        <w:t>Another study that underlines the extent of discrimination against Aboriginal people is the Lowitja Institute’s survey (n=755) about the mental health impacts of racial discrimination in</w:t>
      </w:r>
      <w:r w:rsidR="00D57A45">
        <w:t> </w:t>
      </w:r>
      <w:r>
        <w:t>Victorian Aboriginal communities, undertaken in 2010 to 2011 and published in 2013.</w:t>
      </w:r>
      <w:r w:rsidR="0011796A">
        <w:rPr>
          <w:rStyle w:val="EndnoteReference"/>
        </w:rPr>
        <w:endnoteReference w:id="429"/>
      </w:r>
      <w:r>
        <w:t xml:space="preserve"> Nearly all (97%) of Victorian Aboriginal participants reported having experienced at least one</w:t>
      </w:r>
      <w:r w:rsidR="00D57A45">
        <w:t> </w:t>
      </w:r>
      <w:r>
        <w:t>incident of racism in the previous 12 months, and over one-third (34%) had experienced 12 or more racist incidents in the previous 12 months. The average number of racist incidents experienced by participants across the sample in the previous year was an incredible 13.7 incidents.</w:t>
      </w:r>
      <w:r w:rsidR="0011796A">
        <w:rPr>
          <w:rStyle w:val="EndnoteReference"/>
        </w:rPr>
        <w:endnoteReference w:id="430"/>
      </w:r>
    </w:p>
    <w:p w14:paraId="64EB9748" w14:textId="6F79F06B" w:rsidR="00514CC0" w:rsidRDefault="00E72B49" w:rsidP="00E1549C">
      <w:pPr>
        <w:pStyle w:val="Heading4"/>
      </w:pPr>
      <w:r>
        <w:t>Indicator 6.2: Proportion of population reporting having personally felt</w:t>
      </w:r>
      <w:r w:rsidR="0011796A">
        <w:t> </w:t>
      </w:r>
      <w:r>
        <w:t>discriminated against or harassed in the past 12 months on the basis</w:t>
      </w:r>
      <w:r w:rsidR="0011796A">
        <w:t> </w:t>
      </w:r>
      <w:r>
        <w:t>of a ground of discrimination prohibited under international human rights law</w:t>
      </w:r>
    </w:p>
    <w:tbl>
      <w:tblPr>
        <w:tblStyle w:val="Indicatoroutlineteal"/>
        <w:tblW w:w="9072" w:type="dxa"/>
        <w:tblLayout w:type="fixed"/>
        <w:tblLook w:val="0680" w:firstRow="0" w:lastRow="0" w:firstColumn="1" w:lastColumn="0" w:noHBand="1" w:noVBand="1"/>
      </w:tblPr>
      <w:tblGrid>
        <w:gridCol w:w="2268"/>
        <w:gridCol w:w="6804"/>
      </w:tblGrid>
      <w:tr w:rsidR="00514CC0" w14:paraId="7921FDF8" w14:textId="77777777" w:rsidTr="00F0324E">
        <w:trPr>
          <w:cantSplit/>
          <w:trHeight w:val="60"/>
        </w:trPr>
        <w:tc>
          <w:tcPr>
            <w:tcW w:w="2268" w:type="dxa"/>
          </w:tcPr>
          <w:p w14:paraId="3D177EC5" w14:textId="71D626C2" w:rsidR="00514CC0" w:rsidRDefault="00E72B49">
            <w:pPr>
              <w:pStyle w:val="OWTablebodyleft"/>
            </w:pPr>
            <w:r>
              <w:t xml:space="preserve">What does this indicator tell us about Monitoring domain 6: Intersecting drivers of </w:t>
            </w:r>
            <w:r w:rsidR="00F43602" w:rsidRPr="00F43602">
              <w:t>violence (other forms of oppression and discrimination)</w:t>
            </w:r>
            <w:r>
              <w:t>?</w:t>
            </w:r>
          </w:p>
        </w:tc>
        <w:tc>
          <w:tcPr>
            <w:tcW w:w="6803" w:type="dxa"/>
          </w:tcPr>
          <w:p w14:paraId="49672EB2" w14:textId="77777777" w:rsidR="00514CC0" w:rsidRDefault="00E72B49">
            <w:pPr>
              <w:pStyle w:val="OWTablebodyleft"/>
            </w:pPr>
            <w:r>
              <w:t>This indicator measures prevalence of self-reported experiences of discrimination or harassment by people who experience forms of discrimination on bases other than gender (for example, disability status, cultural or migrant background, sexual orientation), and tracks any change in the prevalence of experiences of discrimination over time.</w:t>
            </w:r>
          </w:p>
          <w:p w14:paraId="1677486B" w14:textId="77777777" w:rsidR="00514CC0" w:rsidRDefault="00E72B49">
            <w:pPr>
              <w:pStyle w:val="OWTablebodyleft"/>
            </w:pPr>
            <w:r>
              <w:t>See Indicator 6.1 for data on Aboriginal and Torres Strait Islander people’s experiences of discrimination and racism.</w:t>
            </w:r>
          </w:p>
        </w:tc>
      </w:tr>
      <w:tr w:rsidR="00514CC0" w14:paraId="778A5EAE" w14:textId="77777777" w:rsidTr="00F0324E">
        <w:trPr>
          <w:cantSplit/>
          <w:trHeight w:val="60"/>
        </w:trPr>
        <w:tc>
          <w:tcPr>
            <w:tcW w:w="2268" w:type="dxa"/>
          </w:tcPr>
          <w:p w14:paraId="28190FC7" w14:textId="6D058C53" w:rsidR="00514CC0" w:rsidRDefault="00E72B49">
            <w:pPr>
              <w:pStyle w:val="OWTablebodyleft"/>
            </w:pPr>
            <w:r>
              <w:t>Expected change if</w:t>
            </w:r>
            <w:r w:rsidR="00D57A45">
              <w:t> </w:t>
            </w:r>
            <w:r>
              <w:t>quality, intersectional primary prevention, gender equality and anti-discrimination programming and infrastructure is implemented</w:t>
            </w:r>
          </w:p>
        </w:tc>
        <w:tc>
          <w:tcPr>
            <w:tcW w:w="6803" w:type="dxa"/>
          </w:tcPr>
          <w:p w14:paraId="647F025C" w14:textId="77777777" w:rsidR="00514CC0" w:rsidRDefault="00E72B49">
            <w:pPr>
              <w:pStyle w:val="OWTablebodyleft"/>
            </w:pPr>
            <w:r>
              <w:t>Long-term: reduction in self-reported experiences of discrimination.</w:t>
            </w:r>
          </w:p>
        </w:tc>
      </w:tr>
      <w:tr w:rsidR="00514CC0" w14:paraId="6E5EC774" w14:textId="77777777" w:rsidTr="00F0324E">
        <w:trPr>
          <w:cantSplit/>
          <w:trHeight w:val="60"/>
        </w:trPr>
        <w:tc>
          <w:tcPr>
            <w:tcW w:w="2268" w:type="dxa"/>
          </w:tcPr>
          <w:p w14:paraId="125F428F" w14:textId="77777777" w:rsidR="00514CC0" w:rsidRDefault="00E72B49">
            <w:pPr>
              <w:pStyle w:val="OWTablebodyleft"/>
            </w:pPr>
            <w:r>
              <w:t>Data source(s)</w:t>
            </w:r>
          </w:p>
        </w:tc>
        <w:tc>
          <w:tcPr>
            <w:tcW w:w="6803" w:type="dxa"/>
          </w:tcPr>
          <w:p w14:paraId="6B891979" w14:textId="6C7E2AAC" w:rsidR="00514CC0" w:rsidRDefault="00E72B49" w:rsidP="002C2EC7">
            <w:pPr>
              <w:pStyle w:val="OWTablenumberdigit"/>
              <w:numPr>
                <w:ilvl w:val="0"/>
                <w:numId w:val="36"/>
              </w:numPr>
            </w:pPr>
            <w:r>
              <w:t>Mapping Social Cohesion reports 2009 and 2018, Scanlon Foundation</w:t>
            </w:r>
            <w:r w:rsidR="0011796A">
              <w:rPr>
                <w:rStyle w:val="EndnoteReference"/>
              </w:rPr>
              <w:endnoteReference w:id="431"/>
            </w:r>
          </w:p>
          <w:p w14:paraId="05A339A3" w14:textId="4BA0F78C" w:rsidR="00514CC0" w:rsidRDefault="00E72B49">
            <w:pPr>
              <w:pStyle w:val="OWTablenumberdigit"/>
            </w:pPr>
            <w:r>
              <w:t>General Social Survey (GSS) 2014, ABS</w:t>
            </w:r>
            <w:r w:rsidR="0011796A">
              <w:rPr>
                <w:rStyle w:val="EndnoteReference"/>
              </w:rPr>
              <w:endnoteReference w:id="432"/>
            </w:r>
          </w:p>
          <w:p w14:paraId="61E6CD4C" w14:textId="5E75BEFA" w:rsidR="00514CC0" w:rsidRDefault="00E72B49">
            <w:pPr>
              <w:pStyle w:val="OWTablenumberdigit"/>
            </w:pPr>
            <w:r>
              <w:t>Speak Out Against Racism (SOAR) student survey 2017, Centre</w:t>
            </w:r>
            <w:r w:rsidR="00D57A45">
              <w:t> </w:t>
            </w:r>
            <w:r>
              <w:t>for Social Research &amp; Methods, ANU</w:t>
            </w:r>
            <w:r w:rsidR="0011796A">
              <w:rPr>
                <w:rStyle w:val="EndnoteReference"/>
              </w:rPr>
              <w:endnoteReference w:id="433"/>
            </w:r>
          </w:p>
        </w:tc>
      </w:tr>
      <w:tr w:rsidR="00514CC0" w14:paraId="75D4EA3C" w14:textId="77777777" w:rsidTr="00F0324E">
        <w:trPr>
          <w:cantSplit/>
          <w:trHeight w:val="60"/>
        </w:trPr>
        <w:tc>
          <w:tcPr>
            <w:tcW w:w="2268" w:type="dxa"/>
          </w:tcPr>
          <w:p w14:paraId="4516AE18" w14:textId="77777777" w:rsidR="00514CC0" w:rsidRDefault="00E72B49">
            <w:pPr>
              <w:pStyle w:val="OWTablebodyleft"/>
            </w:pPr>
            <w:r>
              <w:lastRenderedPageBreak/>
              <w:t>Change over time summary: short-term change revealed by the data</w:t>
            </w:r>
          </w:p>
        </w:tc>
        <w:tc>
          <w:tcPr>
            <w:tcW w:w="6803" w:type="dxa"/>
          </w:tcPr>
          <w:p w14:paraId="1221996D" w14:textId="77777777" w:rsidR="00514CC0" w:rsidRDefault="00E72B49">
            <w:pPr>
              <w:pStyle w:val="OWTablebodyleft"/>
            </w:pPr>
            <w:r>
              <w:t>Prevalence of experiences of racial and religious discrimination religion has almost doubled between 2009 and 2018 (Scanlon Foundation); other sources (such as the 2017 Speak Out Against Racism student survey) confirm high prevalence of experiences of racism and religious discrimination as experienced by people of non-Anglo Celtic or European or non-Christian backgrounds.</w:t>
            </w:r>
          </w:p>
          <w:p w14:paraId="2E07A1BF" w14:textId="77777777" w:rsidR="00514CC0" w:rsidRDefault="00E72B49">
            <w:pPr>
              <w:pStyle w:val="OWTablebodyleft"/>
            </w:pPr>
            <w:r>
              <w:t>Multiple sources of data confirm high prevalence rates of experiences of discrimination on the basis of sexual orientation, disability, recent migration, lone parenthood, and Indigenous status. However, a lack of timeseries data (repeated surveys undertaken at regular intervals) means it is not possible to assess change over time.</w:t>
            </w:r>
          </w:p>
        </w:tc>
      </w:tr>
      <w:tr w:rsidR="00514CC0" w14:paraId="1DD4FA09" w14:textId="77777777" w:rsidTr="00F0324E">
        <w:trPr>
          <w:cantSplit/>
          <w:trHeight w:val="60"/>
        </w:trPr>
        <w:tc>
          <w:tcPr>
            <w:tcW w:w="2268" w:type="dxa"/>
          </w:tcPr>
          <w:p w14:paraId="042AF570" w14:textId="77777777" w:rsidR="00514CC0" w:rsidRDefault="00E72B49">
            <w:pPr>
              <w:pStyle w:val="OWTablebodyleft"/>
            </w:pPr>
            <w:r>
              <w:t>Does the change confirm or run contrary to expected change?</w:t>
            </w:r>
          </w:p>
        </w:tc>
        <w:tc>
          <w:tcPr>
            <w:tcW w:w="6803" w:type="dxa"/>
          </w:tcPr>
          <w:p w14:paraId="7F16840E" w14:textId="4CC8A689" w:rsidR="00514CC0" w:rsidRDefault="00E72B49">
            <w:pPr>
              <w:pStyle w:val="OWTablebodyleft"/>
            </w:pPr>
            <w:r>
              <w:t>Too soon to tell as change not expected in the short term. However</w:t>
            </w:r>
            <w:r w:rsidR="00841726">
              <w:t>,</w:t>
            </w:r>
            <w:r>
              <w:t xml:space="preserve"> the sharp increase in experiences of certain forms of discrimination in the short period under consideration was not expected. The possible reasons for this may warrant further research.</w:t>
            </w:r>
          </w:p>
        </w:tc>
      </w:tr>
      <w:tr w:rsidR="00514CC0" w14:paraId="56A69DB7" w14:textId="77777777" w:rsidTr="00F0324E">
        <w:trPr>
          <w:cantSplit/>
          <w:trHeight w:val="60"/>
        </w:trPr>
        <w:tc>
          <w:tcPr>
            <w:tcW w:w="2268" w:type="dxa"/>
          </w:tcPr>
          <w:p w14:paraId="0E88E2F2" w14:textId="77777777" w:rsidR="00514CC0" w:rsidRDefault="00E72B49">
            <w:pPr>
              <w:pStyle w:val="OWTablebodyleft"/>
            </w:pPr>
            <w:r>
              <w:t>Gaps in existing data</w:t>
            </w:r>
          </w:p>
        </w:tc>
        <w:tc>
          <w:tcPr>
            <w:tcW w:w="6803" w:type="dxa"/>
          </w:tcPr>
          <w:p w14:paraId="34770FD1" w14:textId="77777777" w:rsidR="00514CC0" w:rsidRDefault="00E72B49">
            <w:pPr>
              <w:pStyle w:val="OWTablebodyleft"/>
            </w:pPr>
            <w:r>
              <w:t>Some of the key sources of tracking experiences of discrimination are not disaggregated by gender as well, let alone other demographic categories such as disability status, sexual orientation or gender beyond a binary definition.</w:t>
            </w:r>
          </w:p>
        </w:tc>
      </w:tr>
    </w:tbl>
    <w:p w14:paraId="22401E4C" w14:textId="77777777" w:rsidR="00514CC0" w:rsidRDefault="00E72B49" w:rsidP="00F868FE">
      <w:pPr>
        <w:pStyle w:val="Heading5"/>
      </w:pPr>
      <w:r>
        <w:t>Racial and religious discrimination</w:t>
      </w:r>
    </w:p>
    <w:p w14:paraId="10D71298" w14:textId="77777777" w:rsidR="00514CC0" w:rsidRDefault="00E72B49" w:rsidP="00E36D92">
      <w:pPr>
        <w:pStyle w:val="Heading6"/>
        <w:spacing w:before="160"/>
      </w:pPr>
      <w:r>
        <w:t>Scanlon Foundation Mapping Social Cohesion surveys 2009 to 2018</w:t>
      </w:r>
    </w:p>
    <w:p w14:paraId="25F1018D" w14:textId="4E5E7F0F" w:rsidR="00514CC0" w:rsidRDefault="00E72B49">
      <w:pPr>
        <w:pStyle w:val="BodyText"/>
      </w:pPr>
      <w:r>
        <w:t>Experiences of discrimination on the basis of skin colour, ethnic origin or religion have increased dramatically in the past ten years, as measured in the Scanlon Foundation’s annual Mapping Social Cohesion surveys. In 2009, 10% of respondents affirmatively answered the question ‘Have you experienced discrimination because of your skin colour, ethnic origin or</w:t>
      </w:r>
      <w:r w:rsidR="00D57A45">
        <w:t> </w:t>
      </w:r>
      <w:r>
        <w:t>religion in the past 12 months?’. This figure nearly doubled to 19% of the population reporting having experienced discrimination in the past 12 months in 2018.</w:t>
      </w:r>
      <w:r w:rsidR="0011796A">
        <w:rPr>
          <w:rStyle w:val="EndnoteReference"/>
        </w:rPr>
        <w:endnoteReference w:id="434"/>
      </w:r>
    </w:p>
    <w:p w14:paraId="29D537C5" w14:textId="3847AB30" w:rsidR="00514CC0" w:rsidRDefault="00E72B49">
      <w:pPr>
        <w:pStyle w:val="BodyText"/>
      </w:pPr>
      <w:r>
        <w:t>Migration and language backgrounds significantly correlated with experiences of discrimination. In response to the 2018 survey, people of non-English-speaking backgrounds experienced higher prevalence of discriminatory experiences (25%), as compared with 17% of people born in Australia, and 20% born overseas in English-speaking countries.</w:t>
      </w:r>
      <w:r w:rsidR="0011796A">
        <w:rPr>
          <w:rStyle w:val="EndnoteReference"/>
        </w:rPr>
        <w:endnoteReference w:id="435"/>
      </w:r>
      <w:r>
        <w:t xml:space="preserve"> On the basis of aggregated data from the annual surveys from 2013 to 2018, religious background also significantly correlated with experiences of discrimination. People who identify as Muslim reported the highest levels of discrimination (39%), followed by people who identify</w:t>
      </w:r>
      <w:r w:rsidR="00D57A45">
        <w:t> </w:t>
      </w:r>
      <w:r>
        <w:t>as Hindu (36%), Buddhist (22%), Catholic (14%) and Anglican (13%).</w:t>
      </w:r>
      <w:r w:rsidR="0011796A">
        <w:rPr>
          <w:rStyle w:val="EndnoteReference"/>
        </w:rPr>
        <w:endnoteReference w:id="436"/>
      </w:r>
    </w:p>
    <w:p w14:paraId="73C94739" w14:textId="184C6590" w:rsidR="00514CC0" w:rsidRDefault="00E72B49">
      <w:pPr>
        <w:pStyle w:val="BodyText"/>
      </w:pPr>
      <w:r>
        <w:t>People’s financial or economic status also correlated significantly with their self-reported experiences of discrimination. Prevalence of discrimination was highest among people who identified as ‘struggling to pay the bills’ or ‘poor’ (34%), as compared to e.g. people who identified as ‘prosperous’ or ‘very comfortable’ (15%).</w:t>
      </w:r>
      <w:r w:rsidR="0011796A">
        <w:rPr>
          <w:rStyle w:val="EndnoteReference"/>
        </w:rPr>
        <w:endnoteReference w:id="437"/>
      </w:r>
      <w:r>
        <w:t xml:space="preserve"> These results speak to the </w:t>
      </w:r>
      <w:r>
        <w:lastRenderedPageBreak/>
        <w:t>intersectional experience of racism or xenophobia and socioeconomic disadvantage for</w:t>
      </w:r>
      <w:r w:rsidR="00D57A45">
        <w:t> </w:t>
      </w:r>
      <w:r>
        <w:t>people of culturally, linguistically and religiously diverse backgrounds.</w:t>
      </w:r>
    </w:p>
    <w:p w14:paraId="0BBE3A90" w14:textId="1F3DED9D" w:rsidR="00514CC0" w:rsidRDefault="00E72B49">
      <w:pPr>
        <w:pStyle w:val="BodyText"/>
      </w:pPr>
      <w:r>
        <w:t>Women and men reported experiencing non-gender-based forms of discrimination in similar</w:t>
      </w:r>
      <w:r w:rsidR="00D57A45">
        <w:t> </w:t>
      </w:r>
      <w:r>
        <w:t>proportions. In 2018, 20% of men reported having experienced discrimination on</w:t>
      </w:r>
      <w:r w:rsidR="00D57A45">
        <w:t> </w:t>
      </w:r>
      <w:r>
        <w:t>the</w:t>
      </w:r>
      <w:r w:rsidR="00D57A45">
        <w:t> </w:t>
      </w:r>
      <w:r>
        <w:t>basis of skin colour, ethnic origin or religion, as compared with 17% of women.</w:t>
      </w:r>
      <w:r w:rsidR="0011796A">
        <w:rPr>
          <w:rStyle w:val="EndnoteReference"/>
        </w:rPr>
        <w:endnoteReference w:id="438"/>
      </w:r>
    </w:p>
    <w:p w14:paraId="1BD96CAC" w14:textId="31C3D32B" w:rsidR="00514CC0" w:rsidRDefault="00E72B49" w:rsidP="00F868FE">
      <w:pPr>
        <w:pStyle w:val="Heading6"/>
      </w:pPr>
      <w:r>
        <w:t>Speak Out Against Racism (SOAR) student survey, NSW and Victoria, 2017</w:t>
      </w:r>
      <w:r w:rsidR="0011796A">
        <w:rPr>
          <w:rStyle w:val="EndnoteReference"/>
        </w:rPr>
        <w:endnoteReference w:id="439"/>
      </w:r>
    </w:p>
    <w:p w14:paraId="7F2ACB76" w14:textId="26AC495E" w:rsidR="00514CC0" w:rsidRDefault="00E72B49">
      <w:pPr>
        <w:pStyle w:val="BodyText"/>
      </w:pPr>
      <w:r>
        <w:t xml:space="preserve">In 2017, a population-representative survey of students in years 5 to 9 (n=4664) was conducted, focusing on their experiences of discrimination on racial, religious and gender bases. It found that at least half of young people of different non-white (Anglo-Celtic or European) backgrounds had experienced racial discrimination. For example, 49.2% of Aboriginal and Torres Strait Islander young people, 56.0% of young people of African backgrounds, and 64.7% of young people of East Asian backgrounds reported having experienced racism (see Table </w:t>
      </w:r>
      <w:r w:rsidR="0017588F">
        <w:t>33</w:t>
      </w:r>
      <w:r>
        <w:t>, below). Moreover, almost two-thirds (63.3%) of students who speak a language other than English reported having experienced racial discrimination, as compared to 29.8% of students who only speak English.</w:t>
      </w:r>
      <w:r w:rsidR="004D4B6F">
        <w:rPr>
          <w:rStyle w:val="EndnoteReference"/>
        </w:rPr>
        <w:endnoteReference w:id="440"/>
      </w:r>
    </w:p>
    <w:p w14:paraId="27CC6AED" w14:textId="53B60398" w:rsidR="00514CC0" w:rsidRDefault="00E72B49">
      <w:pPr>
        <w:pStyle w:val="OWTablecaption"/>
      </w:pPr>
      <w:r>
        <w:t xml:space="preserve">Table </w:t>
      </w:r>
      <w:r w:rsidR="0017588F">
        <w:t>33</w:t>
      </w:r>
      <w:r>
        <w:t>: Reported experiences of any racial discrimination, proportion (%) of students per self-identified cultural background, 2017</w:t>
      </w:r>
    </w:p>
    <w:tbl>
      <w:tblPr>
        <w:tblStyle w:val="Datatableteal"/>
        <w:tblW w:w="9072" w:type="dxa"/>
        <w:tblLayout w:type="fixed"/>
        <w:tblLook w:val="06A0" w:firstRow="1" w:lastRow="0" w:firstColumn="1" w:lastColumn="0" w:noHBand="1" w:noVBand="1"/>
      </w:tblPr>
      <w:tblGrid>
        <w:gridCol w:w="5670"/>
        <w:gridCol w:w="3402"/>
      </w:tblGrid>
      <w:tr w:rsidR="00514CC0" w14:paraId="47C0B353" w14:textId="77777777" w:rsidTr="00F0324E">
        <w:trPr>
          <w:cnfStyle w:val="100000000000" w:firstRow="1" w:lastRow="0" w:firstColumn="0" w:lastColumn="0" w:oddVBand="0" w:evenVBand="0" w:oddHBand="0" w:evenHBand="0" w:firstRowFirstColumn="0" w:firstRowLastColumn="0" w:lastRowFirstColumn="0" w:lastRowLastColumn="0"/>
          <w:cantSplit/>
          <w:trHeight w:val="60"/>
          <w:tblHeader/>
        </w:trPr>
        <w:tc>
          <w:tcPr>
            <w:tcW w:w="5669" w:type="dxa"/>
          </w:tcPr>
          <w:p w14:paraId="682EBFB7" w14:textId="77777777" w:rsidR="00514CC0" w:rsidRPr="00E36D92" w:rsidRDefault="00E72B49">
            <w:pPr>
              <w:pStyle w:val="OWTablecolumnheadleft"/>
            </w:pPr>
            <w:r w:rsidRPr="00E36D92">
              <w:t>Student background</w:t>
            </w:r>
          </w:p>
        </w:tc>
        <w:tc>
          <w:tcPr>
            <w:tcW w:w="3402" w:type="dxa"/>
          </w:tcPr>
          <w:p w14:paraId="647DC378" w14:textId="7D016795" w:rsidR="00514CC0" w:rsidRPr="00E36D92" w:rsidRDefault="00E72B49">
            <w:pPr>
              <w:pStyle w:val="OWTablecolumnheadcentre"/>
            </w:pPr>
            <w:r w:rsidRPr="00E36D92">
              <w:t>% prevalence of experiences of</w:t>
            </w:r>
            <w:r w:rsidR="00E36D92">
              <w:t> </w:t>
            </w:r>
            <w:r w:rsidRPr="00E36D92">
              <w:t>racism</w:t>
            </w:r>
          </w:p>
        </w:tc>
      </w:tr>
      <w:tr w:rsidR="00514CC0" w14:paraId="4691246C" w14:textId="77777777" w:rsidTr="00F0324E">
        <w:trPr>
          <w:cantSplit/>
          <w:trHeight w:val="60"/>
        </w:trPr>
        <w:tc>
          <w:tcPr>
            <w:tcW w:w="5669" w:type="dxa"/>
          </w:tcPr>
          <w:p w14:paraId="46AC6419" w14:textId="77777777" w:rsidR="00514CC0" w:rsidRDefault="00E72B49">
            <w:pPr>
              <w:pStyle w:val="OWTablebodyleft"/>
            </w:pPr>
            <w:r>
              <w:t>East Asian</w:t>
            </w:r>
          </w:p>
        </w:tc>
        <w:tc>
          <w:tcPr>
            <w:tcW w:w="3402" w:type="dxa"/>
          </w:tcPr>
          <w:p w14:paraId="5E88F0F7" w14:textId="77777777" w:rsidR="00514CC0" w:rsidRDefault="00E72B49">
            <w:pPr>
              <w:pStyle w:val="OWTablebodycentre"/>
            </w:pPr>
            <w:r>
              <w:t>64.7%</w:t>
            </w:r>
          </w:p>
        </w:tc>
      </w:tr>
      <w:tr w:rsidR="00514CC0" w14:paraId="7EDE1D4B" w14:textId="77777777" w:rsidTr="00F0324E">
        <w:trPr>
          <w:cantSplit/>
          <w:trHeight w:val="60"/>
        </w:trPr>
        <w:tc>
          <w:tcPr>
            <w:tcW w:w="5669" w:type="dxa"/>
          </w:tcPr>
          <w:p w14:paraId="492F2444" w14:textId="77777777" w:rsidR="00514CC0" w:rsidRDefault="00E72B49">
            <w:pPr>
              <w:pStyle w:val="OWTablebodyleft"/>
            </w:pPr>
            <w:r>
              <w:t>South Asian</w:t>
            </w:r>
          </w:p>
        </w:tc>
        <w:tc>
          <w:tcPr>
            <w:tcW w:w="3402" w:type="dxa"/>
          </w:tcPr>
          <w:p w14:paraId="308F2729" w14:textId="77777777" w:rsidR="00514CC0" w:rsidRDefault="00E72B49">
            <w:pPr>
              <w:pStyle w:val="OWTablebodycentre"/>
            </w:pPr>
            <w:r>
              <w:t>61.0%</w:t>
            </w:r>
          </w:p>
        </w:tc>
      </w:tr>
      <w:tr w:rsidR="00514CC0" w14:paraId="7396EA9C" w14:textId="77777777" w:rsidTr="00F0324E">
        <w:trPr>
          <w:cantSplit/>
          <w:trHeight w:val="60"/>
        </w:trPr>
        <w:tc>
          <w:tcPr>
            <w:tcW w:w="5669" w:type="dxa"/>
          </w:tcPr>
          <w:p w14:paraId="2A16B870" w14:textId="77777777" w:rsidR="00514CC0" w:rsidRDefault="00E72B49">
            <w:pPr>
              <w:pStyle w:val="OWTablebodyleft"/>
            </w:pPr>
            <w:r>
              <w:t>Middle Eastern</w:t>
            </w:r>
          </w:p>
        </w:tc>
        <w:tc>
          <w:tcPr>
            <w:tcW w:w="3402" w:type="dxa"/>
          </w:tcPr>
          <w:p w14:paraId="44AE73A2" w14:textId="77777777" w:rsidR="00514CC0" w:rsidRDefault="00E72B49">
            <w:pPr>
              <w:pStyle w:val="OWTablebodycentre"/>
            </w:pPr>
            <w:r>
              <w:t>58.0%</w:t>
            </w:r>
          </w:p>
        </w:tc>
      </w:tr>
      <w:tr w:rsidR="00514CC0" w14:paraId="40A821E9" w14:textId="77777777" w:rsidTr="00F0324E">
        <w:trPr>
          <w:cantSplit/>
          <w:trHeight w:val="60"/>
        </w:trPr>
        <w:tc>
          <w:tcPr>
            <w:tcW w:w="5669" w:type="dxa"/>
          </w:tcPr>
          <w:p w14:paraId="7FB35DED" w14:textId="77777777" w:rsidR="00514CC0" w:rsidRDefault="00E72B49">
            <w:pPr>
              <w:pStyle w:val="OWTablebodyleft"/>
            </w:pPr>
            <w:r>
              <w:t>Pacific Islander/Maori</w:t>
            </w:r>
          </w:p>
        </w:tc>
        <w:tc>
          <w:tcPr>
            <w:tcW w:w="3402" w:type="dxa"/>
          </w:tcPr>
          <w:p w14:paraId="1F2745A9" w14:textId="77777777" w:rsidR="00514CC0" w:rsidRDefault="00E72B49">
            <w:pPr>
              <w:pStyle w:val="OWTablebodycentre"/>
            </w:pPr>
            <w:r>
              <w:t>57.3%</w:t>
            </w:r>
          </w:p>
        </w:tc>
      </w:tr>
      <w:tr w:rsidR="00514CC0" w14:paraId="46DAE620" w14:textId="77777777" w:rsidTr="00F0324E">
        <w:trPr>
          <w:cantSplit/>
          <w:trHeight w:val="60"/>
        </w:trPr>
        <w:tc>
          <w:tcPr>
            <w:tcW w:w="5669" w:type="dxa"/>
          </w:tcPr>
          <w:p w14:paraId="0D29C65B" w14:textId="77777777" w:rsidR="00514CC0" w:rsidRDefault="00E72B49">
            <w:pPr>
              <w:pStyle w:val="OWTablebodyleft"/>
            </w:pPr>
            <w:r>
              <w:t>African</w:t>
            </w:r>
          </w:p>
        </w:tc>
        <w:tc>
          <w:tcPr>
            <w:tcW w:w="3402" w:type="dxa"/>
          </w:tcPr>
          <w:p w14:paraId="16AB5B51" w14:textId="77777777" w:rsidR="00514CC0" w:rsidRDefault="00E72B49">
            <w:pPr>
              <w:pStyle w:val="OWTablebodycentre"/>
            </w:pPr>
            <w:r>
              <w:t>56.0%</w:t>
            </w:r>
          </w:p>
        </w:tc>
      </w:tr>
      <w:tr w:rsidR="00514CC0" w14:paraId="175A21B9" w14:textId="77777777" w:rsidTr="00F0324E">
        <w:trPr>
          <w:cantSplit/>
          <w:trHeight w:val="60"/>
        </w:trPr>
        <w:tc>
          <w:tcPr>
            <w:tcW w:w="5669" w:type="dxa"/>
          </w:tcPr>
          <w:p w14:paraId="56BB4033" w14:textId="77777777" w:rsidR="00514CC0" w:rsidRDefault="00E72B49">
            <w:pPr>
              <w:pStyle w:val="OWTablebodyleft"/>
            </w:pPr>
            <w:r>
              <w:t>South East Asian</w:t>
            </w:r>
          </w:p>
        </w:tc>
        <w:tc>
          <w:tcPr>
            <w:tcW w:w="3402" w:type="dxa"/>
          </w:tcPr>
          <w:p w14:paraId="689AD7EA" w14:textId="77777777" w:rsidR="00514CC0" w:rsidRDefault="00E72B49">
            <w:pPr>
              <w:pStyle w:val="OWTablebodycentre"/>
            </w:pPr>
            <w:r>
              <w:t>55.5%</w:t>
            </w:r>
          </w:p>
        </w:tc>
      </w:tr>
      <w:tr w:rsidR="00514CC0" w14:paraId="68406C57" w14:textId="77777777" w:rsidTr="00F0324E">
        <w:trPr>
          <w:cantSplit/>
          <w:trHeight w:val="60"/>
        </w:trPr>
        <w:tc>
          <w:tcPr>
            <w:tcW w:w="5669" w:type="dxa"/>
          </w:tcPr>
          <w:p w14:paraId="77CC7764" w14:textId="77777777" w:rsidR="00514CC0" w:rsidRDefault="00E72B49">
            <w:pPr>
              <w:pStyle w:val="OWTablebodyleft"/>
            </w:pPr>
            <w:r>
              <w:t>Aboriginal and Torres Strait Islander</w:t>
            </w:r>
          </w:p>
        </w:tc>
        <w:tc>
          <w:tcPr>
            <w:tcW w:w="3402" w:type="dxa"/>
          </w:tcPr>
          <w:p w14:paraId="7A0D3894" w14:textId="77777777" w:rsidR="00514CC0" w:rsidRDefault="00E72B49">
            <w:pPr>
              <w:pStyle w:val="OWTablebodycentre"/>
            </w:pPr>
            <w:r>
              <w:t>49.2%</w:t>
            </w:r>
          </w:p>
        </w:tc>
      </w:tr>
      <w:tr w:rsidR="00514CC0" w14:paraId="59D4DDFD" w14:textId="77777777" w:rsidTr="00F0324E">
        <w:trPr>
          <w:cantSplit/>
          <w:trHeight w:val="60"/>
        </w:trPr>
        <w:tc>
          <w:tcPr>
            <w:tcW w:w="5669" w:type="dxa"/>
          </w:tcPr>
          <w:p w14:paraId="0A893913" w14:textId="77777777" w:rsidR="00514CC0" w:rsidRDefault="00E72B49">
            <w:pPr>
              <w:pStyle w:val="OWTablebodyleft"/>
            </w:pPr>
            <w:r>
              <w:t>European</w:t>
            </w:r>
          </w:p>
        </w:tc>
        <w:tc>
          <w:tcPr>
            <w:tcW w:w="3402" w:type="dxa"/>
          </w:tcPr>
          <w:p w14:paraId="4D5F3DDB" w14:textId="77777777" w:rsidR="00514CC0" w:rsidRDefault="00E72B49">
            <w:pPr>
              <w:pStyle w:val="OWTablebodycentre"/>
            </w:pPr>
            <w:r>
              <w:t>37.1%</w:t>
            </w:r>
          </w:p>
        </w:tc>
      </w:tr>
      <w:tr w:rsidR="00514CC0" w14:paraId="5B7F2B8C" w14:textId="77777777" w:rsidTr="00F0324E">
        <w:trPr>
          <w:cantSplit/>
          <w:trHeight w:val="60"/>
        </w:trPr>
        <w:tc>
          <w:tcPr>
            <w:tcW w:w="5669" w:type="dxa"/>
          </w:tcPr>
          <w:p w14:paraId="56550E2C" w14:textId="77777777" w:rsidR="00514CC0" w:rsidRDefault="00E72B49">
            <w:pPr>
              <w:pStyle w:val="OWTablebodyleft"/>
            </w:pPr>
            <w:r>
              <w:t>Anglo-Celtic</w:t>
            </w:r>
          </w:p>
        </w:tc>
        <w:tc>
          <w:tcPr>
            <w:tcW w:w="3402" w:type="dxa"/>
          </w:tcPr>
          <w:p w14:paraId="180D90F8" w14:textId="77777777" w:rsidR="00514CC0" w:rsidRDefault="00E72B49">
            <w:pPr>
              <w:pStyle w:val="OWTablebodycentre"/>
            </w:pPr>
            <w:r>
              <w:t>24.4%</w:t>
            </w:r>
          </w:p>
        </w:tc>
      </w:tr>
    </w:tbl>
    <w:p w14:paraId="49D4F375" w14:textId="77777777" w:rsidR="00514CC0" w:rsidRDefault="00E72B49">
      <w:pPr>
        <w:pStyle w:val="OWTablefootnote"/>
      </w:pPr>
      <w:r>
        <w:t>Source: 2017 Speak Out Against Racism (SOAR) survey, p. 24</w:t>
      </w:r>
    </w:p>
    <w:p w14:paraId="098CB9FB" w14:textId="2461E508" w:rsidR="00514CC0" w:rsidRDefault="00E72B49">
      <w:pPr>
        <w:pStyle w:val="OWBodytextlargespaceabove"/>
      </w:pPr>
      <w:r>
        <w:t>Significant proportions of students also reported having experienced religious discrimination. While 14.8% students who identified as having no religion and 30.7% of students who identify as Christian reported having experienced religious discrimination, the</w:t>
      </w:r>
      <w:r w:rsidR="00D57A45">
        <w:t> </w:t>
      </w:r>
      <w:r>
        <w:t>prevalence of religious discrimination was far higher among Hindu students (56.6%) and</w:t>
      </w:r>
      <w:r w:rsidR="00D57A45">
        <w:t> </w:t>
      </w:r>
      <w:r>
        <w:t>Muslim students (53.4%).</w:t>
      </w:r>
      <w:r w:rsidR="004D4B6F">
        <w:rPr>
          <w:rStyle w:val="EndnoteReference"/>
        </w:rPr>
        <w:endnoteReference w:id="441"/>
      </w:r>
    </w:p>
    <w:p w14:paraId="76C789ED" w14:textId="77777777" w:rsidR="00514CC0" w:rsidRDefault="00E72B49" w:rsidP="00F868FE">
      <w:pPr>
        <w:pStyle w:val="Heading5"/>
      </w:pPr>
      <w:r>
        <w:lastRenderedPageBreak/>
        <w:t>Overall prevalence of discrimination experiences: General Social Survey 2014</w:t>
      </w:r>
    </w:p>
    <w:p w14:paraId="60034EB1" w14:textId="0E4DF518" w:rsidR="00514CC0" w:rsidRDefault="00E72B49">
      <w:pPr>
        <w:pStyle w:val="BodyText"/>
      </w:pPr>
      <w:r>
        <w:t>On the basis of the ABS’s General Social Survey (GSS) 2014, approximately one in five</w:t>
      </w:r>
      <w:r w:rsidR="00D57A45">
        <w:t> </w:t>
      </w:r>
      <w:r>
        <w:t xml:space="preserve">(18.6%) people in Australia reported having experienced at least one incident of discrimination in the prior 12 months. In 2014, the top five most common reasons for the most recent incident of discrimination were nationality, race or ethnicity; age; gender; way one dresses or appearance; and disability or health issue (see Table </w:t>
      </w:r>
      <w:r w:rsidR="0017588F">
        <w:t>34</w:t>
      </w:r>
      <w:r>
        <w:t>, below). It should be noted that the way that discrimination is measured in the GSS means that respondents had to nominate one primary reason for the most recent incident of discrimination (on the basis of their subjective judgement), rather than a combination of intersecting factors (e.g. such as gender and race, or gender and disability).</w:t>
      </w:r>
    </w:p>
    <w:p w14:paraId="79EED768" w14:textId="04FF0D48" w:rsidR="00514CC0" w:rsidRDefault="00E72B49">
      <w:pPr>
        <w:pStyle w:val="OWTablecaption"/>
      </w:pPr>
      <w:r>
        <w:t xml:space="preserve">Table </w:t>
      </w:r>
      <w:r w:rsidR="0017588F">
        <w:t>34</w:t>
      </w:r>
      <w:r>
        <w:t>: Reasons for most recent incident of discrimination among those who have experienced discrimination</w:t>
      </w:r>
    </w:p>
    <w:tbl>
      <w:tblPr>
        <w:tblStyle w:val="Datatableteal"/>
        <w:tblW w:w="9072" w:type="dxa"/>
        <w:tblLayout w:type="fixed"/>
        <w:tblLook w:val="06A0" w:firstRow="1" w:lastRow="0" w:firstColumn="1" w:lastColumn="0" w:noHBand="1" w:noVBand="1"/>
      </w:tblPr>
      <w:tblGrid>
        <w:gridCol w:w="5670"/>
        <w:gridCol w:w="3402"/>
      </w:tblGrid>
      <w:tr w:rsidR="00514CC0" w14:paraId="3E2FC413" w14:textId="77777777" w:rsidTr="00F0324E">
        <w:trPr>
          <w:cnfStyle w:val="100000000000" w:firstRow="1" w:lastRow="0" w:firstColumn="0" w:lastColumn="0" w:oddVBand="0" w:evenVBand="0" w:oddHBand="0" w:evenHBand="0" w:firstRowFirstColumn="0" w:firstRowLastColumn="0" w:lastRowFirstColumn="0" w:lastRowLastColumn="0"/>
          <w:cantSplit/>
          <w:trHeight w:val="60"/>
          <w:tblHeader/>
        </w:trPr>
        <w:tc>
          <w:tcPr>
            <w:tcW w:w="5669" w:type="dxa"/>
          </w:tcPr>
          <w:p w14:paraId="5ACA9B54" w14:textId="77777777" w:rsidR="00514CC0" w:rsidRPr="00E36D92" w:rsidRDefault="00E72B49">
            <w:pPr>
              <w:pStyle w:val="OWTablecolumnheadleft"/>
            </w:pPr>
            <w:r w:rsidRPr="00E36D92">
              <w:t>Reason</w:t>
            </w:r>
          </w:p>
        </w:tc>
        <w:tc>
          <w:tcPr>
            <w:tcW w:w="3402" w:type="dxa"/>
          </w:tcPr>
          <w:p w14:paraId="29B5CABF" w14:textId="77777777" w:rsidR="00514CC0" w:rsidRPr="00E36D92" w:rsidRDefault="00E72B49">
            <w:pPr>
              <w:pStyle w:val="OWTablecolumnheadcentre"/>
            </w:pPr>
            <w:r w:rsidRPr="00E36D92">
              <w:t>2014</w:t>
            </w:r>
          </w:p>
        </w:tc>
      </w:tr>
      <w:tr w:rsidR="00514CC0" w14:paraId="5E130514" w14:textId="77777777" w:rsidTr="00F0324E">
        <w:trPr>
          <w:cantSplit/>
          <w:trHeight w:val="60"/>
        </w:trPr>
        <w:tc>
          <w:tcPr>
            <w:tcW w:w="5669" w:type="dxa"/>
          </w:tcPr>
          <w:p w14:paraId="4981D9B4" w14:textId="77777777" w:rsidR="00514CC0" w:rsidRDefault="00E72B49">
            <w:pPr>
              <w:pStyle w:val="OWTablebodyleft"/>
            </w:pPr>
            <w:r>
              <w:t>Nationality, race or ethnicity</w:t>
            </w:r>
          </w:p>
        </w:tc>
        <w:tc>
          <w:tcPr>
            <w:tcW w:w="3402" w:type="dxa"/>
          </w:tcPr>
          <w:p w14:paraId="1589AF33" w14:textId="77777777" w:rsidR="00514CC0" w:rsidRDefault="00E72B49">
            <w:pPr>
              <w:pStyle w:val="OWTablebodycentre"/>
            </w:pPr>
            <w:r>
              <w:t>5.0%</w:t>
            </w:r>
          </w:p>
        </w:tc>
      </w:tr>
      <w:tr w:rsidR="00514CC0" w14:paraId="2DB4A12F" w14:textId="77777777" w:rsidTr="00F0324E">
        <w:trPr>
          <w:cantSplit/>
          <w:trHeight w:val="60"/>
        </w:trPr>
        <w:tc>
          <w:tcPr>
            <w:tcW w:w="5669" w:type="dxa"/>
          </w:tcPr>
          <w:p w14:paraId="1AB6AA08" w14:textId="77777777" w:rsidR="00514CC0" w:rsidRDefault="00E72B49">
            <w:pPr>
              <w:pStyle w:val="OWTablebodyleft"/>
            </w:pPr>
            <w:r>
              <w:t>Age</w:t>
            </w:r>
          </w:p>
        </w:tc>
        <w:tc>
          <w:tcPr>
            <w:tcW w:w="3402" w:type="dxa"/>
          </w:tcPr>
          <w:p w14:paraId="6CA5BF9B" w14:textId="77777777" w:rsidR="00514CC0" w:rsidRDefault="00E72B49">
            <w:pPr>
              <w:pStyle w:val="OWTablebodycentre"/>
            </w:pPr>
            <w:r>
              <w:t>4.0%</w:t>
            </w:r>
          </w:p>
        </w:tc>
      </w:tr>
      <w:tr w:rsidR="00514CC0" w14:paraId="6E570117" w14:textId="77777777" w:rsidTr="00F0324E">
        <w:trPr>
          <w:cantSplit/>
          <w:trHeight w:val="60"/>
        </w:trPr>
        <w:tc>
          <w:tcPr>
            <w:tcW w:w="5669" w:type="dxa"/>
          </w:tcPr>
          <w:p w14:paraId="059855EE" w14:textId="77777777" w:rsidR="00514CC0" w:rsidRDefault="00E72B49">
            <w:pPr>
              <w:pStyle w:val="OWTablebodyleft"/>
            </w:pPr>
            <w:r>
              <w:t>Gender</w:t>
            </w:r>
          </w:p>
        </w:tc>
        <w:tc>
          <w:tcPr>
            <w:tcW w:w="3402" w:type="dxa"/>
          </w:tcPr>
          <w:p w14:paraId="4025345F" w14:textId="77777777" w:rsidR="00514CC0" w:rsidRDefault="00E72B49">
            <w:pPr>
              <w:pStyle w:val="OWTablebodycentre"/>
            </w:pPr>
            <w:r>
              <w:t>3.0%</w:t>
            </w:r>
          </w:p>
        </w:tc>
      </w:tr>
      <w:tr w:rsidR="00514CC0" w14:paraId="2A78A19C" w14:textId="77777777" w:rsidTr="00F0324E">
        <w:trPr>
          <w:cantSplit/>
          <w:trHeight w:val="60"/>
        </w:trPr>
        <w:tc>
          <w:tcPr>
            <w:tcW w:w="5669" w:type="dxa"/>
          </w:tcPr>
          <w:p w14:paraId="1AD1D4BB" w14:textId="77777777" w:rsidR="00514CC0" w:rsidRDefault="00E72B49">
            <w:pPr>
              <w:pStyle w:val="OWTablebodyleft"/>
            </w:pPr>
            <w:r>
              <w:t>Way dressed/appearance</w:t>
            </w:r>
          </w:p>
        </w:tc>
        <w:tc>
          <w:tcPr>
            <w:tcW w:w="3402" w:type="dxa"/>
          </w:tcPr>
          <w:p w14:paraId="7EDAC9B2" w14:textId="77777777" w:rsidR="00514CC0" w:rsidRDefault="00E72B49">
            <w:pPr>
              <w:pStyle w:val="OWTablebodycentre"/>
            </w:pPr>
            <w:r>
              <w:t>2.9%</w:t>
            </w:r>
          </w:p>
        </w:tc>
      </w:tr>
      <w:tr w:rsidR="00514CC0" w14:paraId="0854FCDF" w14:textId="77777777" w:rsidTr="00F0324E">
        <w:trPr>
          <w:cantSplit/>
          <w:trHeight w:val="60"/>
        </w:trPr>
        <w:tc>
          <w:tcPr>
            <w:tcW w:w="5669" w:type="dxa"/>
          </w:tcPr>
          <w:p w14:paraId="70DC9F88" w14:textId="77777777" w:rsidR="00514CC0" w:rsidRDefault="00E72B49">
            <w:pPr>
              <w:pStyle w:val="OWTablebodyleft"/>
            </w:pPr>
            <w:r>
              <w:t>Disability/health issue</w:t>
            </w:r>
          </w:p>
        </w:tc>
        <w:tc>
          <w:tcPr>
            <w:tcW w:w="3402" w:type="dxa"/>
          </w:tcPr>
          <w:p w14:paraId="5AE117A5" w14:textId="77777777" w:rsidR="00514CC0" w:rsidRDefault="00E72B49">
            <w:pPr>
              <w:pStyle w:val="OWTablebodycentre"/>
            </w:pPr>
            <w:r>
              <w:t>1.9%</w:t>
            </w:r>
          </w:p>
        </w:tc>
      </w:tr>
      <w:tr w:rsidR="00514CC0" w14:paraId="75450BA0" w14:textId="77777777" w:rsidTr="00F0324E">
        <w:trPr>
          <w:cantSplit/>
          <w:trHeight w:val="60"/>
        </w:trPr>
        <w:tc>
          <w:tcPr>
            <w:tcW w:w="5669" w:type="dxa"/>
          </w:tcPr>
          <w:p w14:paraId="3F75A804" w14:textId="77777777" w:rsidR="00514CC0" w:rsidRDefault="00E72B49">
            <w:pPr>
              <w:pStyle w:val="OWTablebodyleft"/>
            </w:pPr>
            <w:r>
              <w:t>Other</w:t>
            </w:r>
          </w:p>
        </w:tc>
        <w:tc>
          <w:tcPr>
            <w:tcW w:w="3402" w:type="dxa"/>
          </w:tcPr>
          <w:p w14:paraId="1FBB735A" w14:textId="77777777" w:rsidR="00514CC0" w:rsidRDefault="00E72B49">
            <w:pPr>
              <w:pStyle w:val="OWTablebodycentre"/>
            </w:pPr>
            <w:r>
              <w:t>10.2%</w:t>
            </w:r>
          </w:p>
        </w:tc>
      </w:tr>
    </w:tbl>
    <w:p w14:paraId="326106A6" w14:textId="77777777" w:rsidR="00514CC0" w:rsidRDefault="00E72B49">
      <w:pPr>
        <w:pStyle w:val="OWTablefootnote"/>
      </w:pPr>
      <w:r>
        <w:t>Source: ABS General Social Survey 2014</w:t>
      </w:r>
    </w:p>
    <w:p w14:paraId="4F48D6C2" w14:textId="77777777" w:rsidR="00514CC0" w:rsidRDefault="00E72B49">
      <w:pPr>
        <w:pStyle w:val="OWBodytextlargespaceabove"/>
      </w:pPr>
      <w:r>
        <w:t>People of a highly disadvantaged status are significantly more likely to have experienced discrimination in the last 12 months than the overall population. The GSS identifies that people of diverse sexual identities, certain groups of migrants, lone parents, and people with disability, a mental health condition or long-term health condition experience various forms of disadvantage, and also higher prevalence rates of discriminatory experiences in the previous 12 months than the average population. Unfortunately, like other sources of ABS population-level data such as the Personal Safety Survey (PSS), the GSS does not allow for disaggregated analysis of discrimination experienced by Aboriginal and Torres Strait Islander people. To this end, other sources of data are used to measure discrimination experienced by Aboriginal and Torres Strait Islander people, below.</w:t>
      </w:r>
    </w:p>
    <w:p w14:paraId="3863C31E" w14:textId="770DD84E" w:rsidR="00514CC0" w:rsidRDefault="00E72B49">
      <w:pPr>
        <w:pStyle w:val="BodyText"/>
      </w:pPr>
      <w:r>
        <w:t>People of diverse sexual identities (gay or lesbian, or other) reported higher rates of discrimination in the last 12 months than any other group. Approximately two in five (37.8%) of people who identify as gay or lesbian reported at least one experience of discrimination in</w:t>
      </w:r>
      <w:r w:rsidR="00D57A45">
        <w:t> </w:t>
      </w:r>
      <w:r>
        <w:t>the previous 12 months. This is more than double the rate of the general population (18.6%) and heterosexual people (18.2%). People who identify with a sexuality other than heterosexual, gay or lesbian also reported very high rates of discriminatory experiences. Approximately one-third (30.8%) of people who identify with a sexuality other than heterosexual, gay or lesbian reported at least one experience of discrimination in the past</w:t>
      </w:r>
      <w:r w:rsidR="00D57A45">
        <w:t> </w:t>
      </w:r>
      <w:r>
        <w:t xml:space="preserve">12 months (see Figure </w:t>
      </w:r>
      <w:r w:rsidR="00531647">
        <w:t>32</w:t>
      </w:r>
      <w:r>
        <w:t>, below).</w:t>
      </w:r>
    </w:p>
    <w:p w14:paraId="66412C4A" w14:textId="3EACB951" w:rsidR="00514CC0" w:rsidRDefault="00E72B49">
      <w:pPr>
        <w:pStyle w:val="OWFigurecaption"/>
        <w:spacing w:after="85"/>
      </w:pPr>
      <w:r>
        <w:lastRenderedPageBreak/>
        <w:t xml:space="preserve">Figure </w:t>
      </w:r>
      <w:r w:rsidR="00531647">
        <w:t>32</w:t>
      </w:r>
      <w:r>
        <w:t xml:space="preserve">: </w:t>
      </w:r>
      <w:r w:rsidR="0007130F" w:rsidRPr="0007130F">
        <w:t xml:space="preserve">Proportion of people by sexual identity who experienced </w:t>
      </w:r>
      <w:r>
        <w:t>discrimination in</w:t>
      </w:r>
      <w:r w:rsidR="00D57A45">
        <w:t> </w:t>
      </w:r>
      <w:r>
        <w:t>past</w:t>
      </w:r>
      <w:r w:rsidR="00D57A45">
        <w:t> </w:t>
      </w:r>
      <w:r>
        <w:t>12 months, 2014</w:t>
      </w:r>
    </w:p>
    <w:p w14:paraId="6D4CFD47" w14:textId="7F375537" w:rsidR="00514CC0" w:rsidRDefault="009338E6" w:rsidP="00E36D92">
      <w:pPr>
        <w:pStyle w:val="OWFigureinline"/>
      </w:pPr>
      <w:r>
        <w:rPr>
          <w:noProof/>
        </w:rPr>
        <w:drawing>
          <wp:inline distT="0" distB="0" distL="0" distR="0" wp14:anchorId="5CF55EFC" wp14:editId="2A790AA5">
            <wp:extent cx="5663565" cy="2944495"/>
            <wp:effectExtent l="0" t="0" r="0" b="8255"/>
            <wp:docPr id="1504609699" name="Picture 83" descr="Bar graph of the following data (proportion). People who identify with a sexuality other than heterosexual, gay or lesbian – 30.8%. People who identify as gay or lesbian – 37.8%. People who identify as heterosexual – 18.2%. General population –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09699" name="Picture 83" descr="Bar graph of the following data (proportion). People who identify with a sexuality other than heterosexual, gay or lesbian – 30.8%. People who identify as gay or lesbian – 37.8%. People who identify as heterosexual – 18.2%. General population – 18.6%."/>
                    <pic:cNvPicPr/>
                  </pic:nvPicPr>
                  <pic:blipFill>
                    <a:blip r:embed="rId73">
                      <a:extLst>
                        <a:ext uri="{28A0092B-C50C-407E-A947-70E740481C1C}">
                          <a14:useLocalDpi xmlns:a14="http://schemas.microsoft.com/office/drawing/2010/main" val="0"/>
                        </a:ext>
                      </a:extLst>
                    </a:blip>
                    <a:stretch>
                      <a:fillRect/>
                    </a:stretch>
                  </pic:blipFill>
                  <pic:spPr>
                    <a:xfrm>
                      <a:off x="0" y="0"/>
                      <a:ext cx="5663565" cy="2944495"/>
                    </a:xfrm>
                    <a:prstGeom prst="rect">
                      <a:avLst/>
                    </a:prstGeom>
                  </pic:spPr>
                </pic:pic>
              </a:graphicData>
            </a:graphic>
          </wp:inline>
        </w:drawing>
      </w:r>
    </w:p>
    <w:p w14:paraId="3D9D8A4C" w14:textId="77777777" w:rsidR="00514CC0" w:rsidRDefault="00E72B49">
      <w:pPr>
        <w:pStyle w:val="OWFigurefootnote"/>
      </w:pPr>
      <w:r>
        <w:t>Source: ABS General Social Survey 2014</w:t>
      </w:r>
    </w:p>
    <w:p w14:paraId="5FCF690A" w14:textId="52E15A2A" w:rsidR="00514CC0" w:rsidRDefault="00E72B49">
      <w:pPr>
        <w:pStyle w:val="BodyText"/>
      </w:pPr>
      <w:r>
        <w:t>Various sources of data including the Household Income and Labour Dynamics Australia (HILDA) survey and the GSS have been essential in bringing to light the discrimination and disadvantage experienced by lone parents, of whom a great proportion are women.</w:t>
      </w:r>
      <w:r w:rsidR="004D4B6F">
        <w:rPr>
          <w:rStyle w:val="EndnoteReference"/>
        </w:rPr>
        <w:endnoteReference w:id="442"/>
      </w:r>
      <w:r>
        <w:t xml:space="preserve"> In the GSS, lone parents reported high rates of discrimination in the previous 12 months, second only to people of diverse sexual identities. One-quarter (25.5%) of lone parents aged between 35 and 64 years and 23.6% of lone parents younger than 35 years reported having</w:t>
      </w:r>
      <w:r w:rsidR="00D57A45">
        <w:t> </w:t>
      </w:r>
      <w:r>
        <w:t>experienced at least one discriminatory incident in the previous 12 months. This</w:t>
      </w:r>
      <w:r w:rsidR="00D57A45">
        <w:t> </w:t>
      </w:r>
      <w:r>
        <w:t>is</w:t>
      </w:r>
      <w:r w:rsidR="00D57A45">
        <w:t> </w:t>
      </w:r>
      <w:r>
        <w:t>significantly higher than the rates of discrimination reported by couple families with</w:t>
      </w:r>
      <w:r w:rsidR="00D57A45">
        <w:t> </w:t>
      </w:r>
      <w:r>
        <w:t xml:space="preserve">children (19.3%) (see Figure </w:t>
      </w:r>
      <w:r w:rsidR="00531647">
        <w:t>33</w:t>
      </w:r>
      <w:r>
        <w:t>, below)</w:t>
      </w:r>
    </w:p>
    <w:p w14:paraId="32FD7FE6" w14:textId="1E1B8F9A" w:rsidR="00514CC0" w:rsidRDefault="00E72B49">
      <w:pPr>
        <w:pStyle w:val="OWFigurecaption"/>
        <w:spacing w:after="85"/>
      </w:pPr>
      <w:r>
        <w:lastRenderedPageBreak/>
        <w:t xml:space="preserve">Figure </w:t>
      </w:r>
      <w:r w:rsidR="00531647">
        <w:t>33</w:t>
      </w:r>
      <w:r>
        <w:t xml:space="preserve">: </w:t>
      </w:r>
      <w:r w:rsidR="0007130F" w:rsidRPr="0007130F">
        <w:t xml:space="preserve">Proportion of lone parents who experienced </w:t>
      </w:r>
      <w:r>
        <w:t xml:space="preserve">discrimination in last 12 months, </w:t>
      </w:r>
      <w:r w:rsidR="0007130F">
        <w:t>2014, compared with other groups</w:t>
      </w:r>
    </w:p>
    <w:p w14:paraId="4220572C" w14:textId="569A6DF5" w:rsidR="00514CC0" w:rsidRDefault="009338E6" w:rsidP="00E36D92">
      <w:pPr>
        <w:pStyle w:val="OWFigureinline"/>
      </w:pPr>
      <w:r>
        <w:rPr>
          <w:noProof/>
        </w:rPr>
        <w:drawing>
          <wp:inline distT="0" distB="0" distL="0" distR="0" wp14:anchorId="59607156" wp14:editId="34EEC3C6">
            <wp:extent cx="5602606" cy="2944495"/>
            <wp:effectExtent l="0" t="0" r="0" b="8255"/>
            <wp:docPr id="337066812" name="Picture 84" descr="Bar graph of the following data (proportion). Lone parents aged 35–64 years – 25.5%. Lone parents younger than 35 years – 23.6%. Couple family with children – 19.3%. General population –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66812" name="Picture 84" descr="Bar graph of the following data (proportion). Lone parents aged 35–64 years – 25.5%. Lone parents younger than 35 years – 23.6%. Couple family with children – 19.3%. General population – 18.6%."/>
                    <pic:cNvPicPr/>
                  </pic:nvPicPr>
                  <pic:blipFill>
                    <a:blip r:embed="rId74">
                      <a:extLst>
                        <a:ext uri="{28A0092B-C50C-407E-A947-70E740481C1C}">
                          <a14:useLocalDpi xmlns:a14="http://schemas.microsoft.com/office/drawing/2010/main" val="0"/>
                        </a:ext>
                      </a:extLst>
                    </a:blip>
                    <a:stretch>
                      <a:fillRect/>
                    </a:stretch>
                  </pic:blipFill>
                  <pic:spPr>
                    <a:xfrm>
                      <a:off x="0" y="0"/>
                      <a:ext cx="5602606" cy="2944495"/>
                    </a:xfrm>
                    <a:prstGeom prst="rect">
                      <a:avLst/>
                    </a:prstGeom>
                  </pic:spPr>
                </pic:pic>
              </a:graphicData>
            </a:graphic>
          </wp:inline>
        </w:drawing>
      </w:r>
    </w:p>
    <w:p w14:paraId="6DBD0ACC" w14:textId="77777777" w:rsidR="00514CC0" w:rsidRDefault="00E72B49">
      <w:pPr>
        <w:pStyle w:val="OWFigurefootnote"/>
      </w:pPr>
      <w:r>
        <w:t>Source: ABS General Social Survey 2014</w:t>
      </w:r>
    </w:p>
    <w:p w14:paraId="08542FD2" w14:textId="168278ED" w:rsidR="00514CC0" w:rsidRDefault="00E72B49">
      <w:pPr>
        <w:pStyle w:val="BodyText"/>
      </w:pPr>
      <w:r>
        <w:t xml:space="preserve">The experience of discrimination for migrants is a mixed picture, dependent on other intersecting experiences of </w:t>
      </w:r>
      <w:r w:rsidR="004E4CC4" w:rsidRPr="004E4CC4">
        <w:t>discrimination</w:t>
      </w:r>
      <w:r>
        <w:t>. On average, nearly one-fifth (19.9%) of all migrants reported experiencing discrimination in the past 12 months, slightly higher than the</w:t>
      </w:r>
      <w:r w:rsidR="00D57A45">
        <w:t> </w:t>
      </w:r>
      <w:r>
        <w:t>general population rate of discrimination (18.6%) and 1.8 percentage points higher than</w:t>
      </w:r>
      <w:r w:rsidR="00D57A45">
        <w:t> </w:t>
      </w:r>
      <w:r>
        <w:t xml:space="preserve">those who were born in the Australia (18.1%). However, rates of discrimination are far higher among recent migrants (23.6%), and among all migrants who speak a language other than English (21.9%). On the other hand, experiences of discrimination among all migrants who are English-speaking only are lower (17.6%) than the general population, as are the experiences of discrimination among non-recent migrants who only speak English (16.7%) (see Figure </w:t>
      </w:r>
      <w:r w:rsidR="00531647">
        <w:t>34</w:t>
      </w:r>
      <w:r>
        <w:t>, below).</w:t>
      </w:r>
    </w:p>
    <w:p w14:paraId="20BB3A92" w14:textId="231C5599" w:rsidR="00514CC0" w:rsidRDefault="00E72B49">
      <w:pPr>
        <w:pStyle w:val="OWFigurecaption"/>
      </w:pPr>
      <w:r>
        <w:lastRenderedPageBreak/>
        <w:t xml:space="preserve">Figure </w:t>
      </w:r>
      <w:r w:rsidR="00531647">
        <w:t>34</w:t>
      </w:r>
      <w:r>
        <w:t xml:space="preserve">: </w:t>
      </w:r>
      <w:r w:rsidR="0007130F" w:rsidRPr="0007130F">
        <w:t>Proportion of migrant groups who experienced discrimination</w:t>
      </w:r>
      <w:r w:rsidR="0007130F">
        <w:t xml:space="preserve"> in last 12 months, 2014</w:t>
      </w:r>
      <w:r w:rsidR="0007130F" w:rsidRPr="0007130F">
        <w:t>, compared with other groups</w:t>
      </w:r>
    </w:p>
    <w:p w14:paraId="49C2BE1E" w14:textId="1C30B62A" w:rsidR="00514CC0" w:rsidRDefault="009338E6" w:rsidP="00E36D92">
      <w:pPr>
        <w:pStyle w:val="OWFigureinline"/>
      </w:pPr>
      <w:r>
        <w:rPr>
          <w:noProof/>
        </w:rPr>
        <w:drawing>
          <wp:inline distT="0" distB="0" distL="0" distR="0" wp14:anchorId="03319B46" wp14:editId="17B55DB0">
            <wp:extent cx="5395596" cy="4054475"/>
            <wp:effectExtent l="0" t="0" r="0" b="3175"/>
            <wp:docPr id="1647209811" name="Picture 85" descr="Bar graph of the following data (proportion). All migrants – 19.9%. All migrants – speak a LOTE – 21.9%. All migrants – English-speaking only – 17.6%. Non-recent migrants – speak a LOTE – 20.7%. Non-recent migrants – English-speaking only – 16.7%. Recent migrants – 23.6%. People born in Australia – 18.1%. General population –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09811" name="Picture 85" descr="Bar graph of the following data (proportion). All migrants – 19.9%. All migrants – speak a LOTE – 21.9%. All migrants – English-speaking only – 17.6%. Non-recent migrants – speak a LOTE – 20.7%. Non-recent migrants – English-speaking only – 16.7%. Recent migrants – 23.6%. People born in Australia – 18.1%. General population – 18.6%"/>
                    <pic:cNvPicPr/>
                  </pic:nvPicPr>
                  <pic:blipFill>
                    <a:blip r:embed="rId75">
                      <a:extLst>
                        <a:ext uri="{28A0092B-C50C-407E-A947-70E740481C1C}">
                          <a14:useLocalDpi xmlns:a14="http://schemas.microsoft.com/office/drawing/2010/main" val="0"/>
                        </a:ext>
                      </a:extLst>
                    </a:blip>
                    <a:stretch>
                      <a:fillRect/>
                    </a:stretch>
                  </pic:blipFill>
                  <pic:spPr>
                    <a:xfrm>
                      <a:off x="0" y="0"/>
                      <a:ext cx="5395596" cy="4054475"/>
                    </a:xfrm>
                    <a:prstGeom prst="rect">
                      <a:avLst/>
                    </a:prstGeom>
                  </pic:spPr>
                </pic:pic>
              </a:graphicData>
            </a:graphic>
          </wp:inline>
        </w:drawing>
      </w:r>
    </w:p>
    <w:p w14:paraId="4F045EE3" w14:textId="77777777" w:rsidR="00514CC0" w:rsidRDefault="00E72B49">
      <w:pPr>
        <w:pStyle w:val="OWFigurefootnote"/>
      </w:pPr>
      <w:r>
        <w:t>Source: ABS General Social Survey 2014</w:t>
      </w:r>
    </w:p>
    <w:p w14:paraId="75B90A12" w14:textId="3FFB77D4" w:rsidR="00514CC0" w:rsidRDefault="00E72B49">
      <w:pPr>
        <w:pStyle w:val="BodyText"/>
      </w:pPr>
      <w:r>
        <w:t xml:space="preserve">People with disability (in the GSS classified separately to a long-term health condition or mental health condition) also reported rates of discrimination significantly higher than the general population and people with no disability. The rates of discrimination against people with no disability is notably lower than for the general population (16.9% compared to 18.6%). In contrast, over one-fifth (22.7%) of people living with disability report experiencing discrimination, 4.1 percentage points higher than the general population and a very significant 5.8 percentage points higher than people with no disability (see Figure </w:t>
      </w:r>
      <w:r w:rsidR="00531647">
        <w:t>35</w:t>
      </w:r>
      <w:r>
        <w:t>, below).</w:t>
      </w:r>
    </w:p>
    <w:p w14:paraId="56C44C0C" w14:textId="3DDD0583" w:rsidR="00514CC0" w:rsidRDefault="00E72B49">
      <w:pPr>
        <w:pStyle w:val="OWFigurecaption"/>
      </w:pPr>
      <w:r>
        <w:lastRenderedPageBreak/>
        <w:t xml:space="preserve">Figure </w:t>
      </w:r>
      <w:r w:rsidR="00531647">
        <w:t>35</w:t>
      </w:r>
      <w:r>
        <w:t xml:space="preserve">: </w:t>
      </w:r>
      <w:r w:rsidR="00134D12" w:rsidRPr="0007130F">
        <w:t xml:space="preserve">Proportion of </w:t>
      </w:r>
      <w:r w:rsidR="00134D12">
        <w:t>people living with disability</w:t>
      </w:r>
      <w:r w:rsidR="00134D12" w:rsidRPr="0007130F">
        <w:t xml:space="preserve"> who experienced discrimination</w:t>
      </w:r>
      <w:r w:rsidR="00134D12">
        <w:t xml:space="preserve"> in last 12 months, 2014</w:t>
      </w:r>
      <w:r w:rsidR="00134D12" w:rsidRPr="0007130F">
        <w:t>, compared with other groups</w:t>
      </w:r>
    </w:p>
    <w:p w14:paraId="43A65DC6" w14:textId="2E5DDF3B" w:rsidR="00514CC0" w:rsidRDefault="002E16D1" w:rsidP="00E36D92">
      <w:pPr>
        <w:pStyle w:val="OWFigureinline"/>
      </w:pPr>
      <w:r>
        <w:rPr>
          <w:noProof/>
        </w:rPr>
        <w:drawing>
          <wp:inline distT="0" distB="0" distL="0" distR="0" wp14:anchorId="5325E0D9" wp14:editId="2D4927FF">
            <wp:extent cx="5121276" cy="2920365"/>
            <wp:effectExtent l="0" t="0" r="3175" b="0"/>
            <wp:docPr id="1712565229" name="Picture 86" descr="Bar graph of the following data (proportion). Has disability – 22.7%. No disability – 16.9%. General population –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65229" name="Picture 86" descr="Bar graph of the following data (proportion). Has disability – 22.7%. No disability – 16.9%. General population – 18.6%."/>
                    <pic:cNvPicPr/>
                  </pic:nvPicPr>
                  <pic:blipFill>
                    <a:blip r:embed="rId76">
                      <a:extLst>
                        <a:ext uri="{28A0092B-C50C-407E-A947-70E740481C1C}">
                          <a14:useLocalDpi xmlns:a14="http://schemas.microsoft.com/office/drawing/2010/main" val="0"/>
                        </a:ext>
                      </a:extLst>
                    </a:blip>
                    <a:stretch>
                      <a:fillRect/>
                    </a:stretch>
                  </pic:blipFill>
                  <pic:spPr>
                    <a:xfrm>
                      <a:off x="0" y="0"/>
                      <a:ext cx="5121276" cy="2920365"/>
                    </a:xfrm>
                    <a:prstGeom prst="rect">
                      <a:avLst/>
                    </a:prstGeom>
                  </pic:spPr>
                </pic:pic>
              </a:graphicData>
            </a:graphic>
          </wp:inline>
        </w:drawing>
      </w:r>
    </w:p>
    <w:p w14:paraId="6068409B" w14:textId="77777777" w:rsidR="00514CC0" w:rsidRDefault="00E72B49">
      <w:pPr>
        <w:pStyle w:val="OWFigurefootnote"/>
      </w:pPr>
      <w:r>
        <w:t>Source: ABS General Social Survey 2014</w:t>
      </w:r>
    </w:p>
    <w:p w14:paraId="1A8365AF" w14:textId="77777777" w:rsidR="00514CC0" w:rsidRDefault="00E72B49">
      <w:pPr>
        <w:pStyle w:val="BodyText"/>
      </w:pPr>
      <w:r>
        <w:t>One-fifth (20.8%) of people living with a long-term health condition and approximately one</w:t>
      </w:r>
      <w:r>
        <w:rPr>
          <w:rFonts w:ascii="Cambria Math" w:hAnsi="Cambria Math" w:cs="Cambria Math"/>
        </w:rPr>
        <w:t>‑</w:t>
      </w:r>
      <w:r>
        <w:t>fifth (19.1%) of people living with a mental health condition reported having experienced discrimination in the past 12 months.</w:t>
      </w:r>
    </w:p>
    <w:p w14:paraId="3DE0A937" w14:textId="77777777" w:rsidR="00514CC0" w:rsidRDefault="00E72B49">
      <w:pPr>
        <w:pStyle w:val="BodyText"/>
      </w:pPr>
      <w:r>
        <w:t>Unfortunately, publicly available GSS data is not sex/gender-disaggregated, so that it is difficult to gauge from this data whether women of particular disadvantaged statuses (e.g. women with disability) experience higher rates of discrimination compared with men. As noted earlier, the GSS also does not report on experiences of discrimination of Aboriginal and Torres Strait Islander people. Moreover, 2014 is the only wave of the GSS to fall within our considered time period (that is, there is no other, more recent release).</w:t>
      </w:r>
    </w:p>
    <w:p w14:paraId="6EC8771F" w14:textId="77777777" w:rsidR="00514CC0" w:rsidRDefault="00E72B49" w:rsidP="00E1549C">
      <w:pPr>
        <w:pStyle w:val="Heading4"/>
      </w:pPr>
      <w:r>
        <w:t>Indicator 6.3: Proportion of the population who hold discriminatory views around race, sexual orientation, religion, age, disability, etc.</w:t>
      </w:r>
    </w:p>
    <w:tbl>
      <w:tblPr>
        <w:tblStyle w:val="Indicatoroutlineteal"/>
        <w:tblW w:w="9072" w:type="dxa"/>
        <w:tblLayout w:type="fixed"/>
        <w:tblLook w:val="0680" w:firstRow="0" w:lastRow="0" w:firstColumn="1" w:lastColumn="0" w:noHBand="1" w:noVBand="1"/>
      </w:tblPr>
      <w:tblGrid>
        <w:gridCol w:w="3402"/>
        <w:gridCol w:w="5670"/>
      </w:tblGrid>
      <w:tr w:rsidR="00514CC0" w14:paraId="600FAC08" w14:textId="77777777" w:rsidTr="00F0324E">
        <w:trPr>
          <w:cantSplit/>
          <w:trHeight w:val="60"/>
        </w:trPr>
        <w:tc>
          <w:tcPr>
            <w:tcW w:w="3402" w:type="dxa"/>
          </w:tcPr>
          <w:p w14:paraId="1B8EDFCB" w14:textId="6C459BEB" w:rsidR="00514CC0" w:rsidRDefault="00E72B49">
            <w:pPr>
              <w:pStyle w:val="OWTablebodyleft"/>
            </w:pPr>
            <w:r>
              <w:t xml:space="preserve">What does this indicator tell us about Monitoring domain 6: Intersecting drivers of </w:t>
            </w:r>
            <w:r w:rsidR="00A04532" w:rsidRPr="00A04532">
              <w:t>violence (other forms of oppression and discrimination)</w:t>
            </w:r>
            <w:r>
              <w:t>?</w:t>
            </w:r>
          </w:p>
        </w:tc>
        <w:tc>
          <w:tcPr>
            <w:tcW w:w="5669" w:type="dxa"/>
          </w:tcPr>
          <w:p w14:paraId="532C2837" w14:textId="03011E8B" w:rsidR="00514CC0" w:rsidRDefault="00E72B49">
            <w:pPr>
              <w:pStyle w:val="OWTablebodyleft"/>
            </w:pPr>
            <w:r>
              <w:t>Whereas Indicators 6.1 and 6.2 measured the prevalence of experiences of discrimination by affected individuals, this indicator measures the prevalence of discriminatory or prejudicial attitudes held across the Australian population and assesses change to these attitudes over time.</w:t>
            </w:r>
          </w:p>
        </w:tc>
      </w:tr>
      <w:tr w:rsidR="00514CC0" w14:paraId="220C684B" w14:textId="77777777" w:rsidTr="00F0324E">
        <w:trPr>
          <w:cantSplit/>
          <w:trHeight w:val="60"/>
        </w:trPr>
        <w:tc>
          <w:tcPr>
            <w:tcW w:w="3402" w:type="dxa"/>
          </w:tcPr>
          <w:p w14:paraId="544797E1" w14:textId="214B8CD6" w:rsidR="00514CC0" w:rsidRDefault="00E72B49">
            <w:pPr>
              <w:pStyle w:val="OWTablebodyleft"/>
            </w:pPr>
            <w:r>
              <w:t>Expected change if quality, intersectional primary prevention, gender equality and</w:t>
            </w:r>
            <w:r w:rsidR="00D57A45">
              <w:t> </w:t>
            </w:r>
            <w:r>
              <w:t>anti-discrimination programming and infrastructure is implemented</w:t>
            </w:r>
          </w:p>
        </w:tc>
        <w:tc>
          <w:tcPr>
            <w:tcW w:w="5669" w:type="dxa"/>
          </w:tcPr>
          <w:p w14:paraId="599A7EEF" w14:textId="02572413" w:rsidR="00514CC0" w:rsidRDefault="00E72B49">
            <w:pPr>
              <w:pStyle w:val="OWTablebodyleft"/>
            </w:pPr>
            <w:r>
              <w:t>Short- to medium-term: limited change to the extent of</w:t>
            </w:r>
            <w:r w:rsidR="00D57A45">
              <w:t> </w:t>
            </w:r>
            <w:r>
              <w:t>discriminatory attitudes held by people in Australia.</w:t>
            </w:r>
          </w:p>
          <w:p w14:paraId="17047BC1" w14:textId="77777777" w:rsidR="00514CC0" w:rsidRDefault="00E72B49">
            <w:pPr>
              <w:pStyle w:val="OWTablebodyleft"/>
            </w:pPr>
            <w:r>
              <w:t>Long-term: reduction of extent of discriminatory attitudes.</w:t>
            </w:r>
          </w:p>
        </w:tc>
      </w:tr>
      <w:tr w:rsidR="00514CC0" w14:paraId="63853219" w14:textId="77777777" w:rsidTr="00F0324E">
        <w:trPr>
          <w:cantSplit/>
          <w:trHeight w:val="60"/>
        </w:trPr>
        <w:tc>
          <w:tcPr>
            <w:tcW w:w="3402" w:type="dxa"/>
          </w:tcPr>
          <w:p w14:paraId="5109BC2B" w14:textId="77777777" w:rsidR="00514CC0" w:rsidRDefault="00E72B49">
            <w:pPr>
              <w:pStyle w:val="OWTablebodyleft"/>
            </w:pPr>
            <w:r>
              <w:lastRenderedPageBreak/>
              <w:t>Data source(s)</w:t>
            </w:r>
          </w:p>
        </w:tc>
        <w:tc>
          <w:tcPr>
            <w:tcW w:w="5669" w:type="dxa"/>
          </w:tcPr>
          <w:p w14:paraId="7D849CED" w14:textId="77777777" w:rsidR="00514CC0" w:rsidRDefault="00E72B49">
            <w:pPr>
              <w:pStyle w:val="OWTablebodyleft"/>
            </w:pPr>
            <w:r>
              <w:t>National Community Attitudes towards Violence against Women Survey (NCAS) 2017, Australia’s National Research Organisation for Women’s Safety (ANROWS)</w:t>
            </w:r>
          </w:p>
        </w:tc>
      </w:tr>
      <w:tr w:rsidR="00514CC0" w14:paraId="7E6843DC" w14:textId="77777777" w:rsidTr="00F0324E">
        <w:trPr>
          <w:cantSplit/>
          <w:trHeight w:val="60"/>
        </w:trPr>
        <w:tc>
          <w:tcPr>
            <w:tcW w:w="3402" w:type="dxa"/>
          </w:tcPr>
          <w:p w14:paraId="07DFC89F" w14:textId="467FDB4D" w:rsidR="00514CC0" w:rsidRDefault="00E72B49">
            <w:pPr>
              <w:pStyle w:val="OWTablebodyleft"/>
            </w:pPr>
            <w:r>
              <w:t>Change over time summary: short-term change revealed by</w:t>
            </w:r>
            <w:r w:rsidR="00D57A45">
              <w:t> </w:t>
            </w:r>
            <w:r>
              <w:t>the data</w:t>
            </w:r>
          </w:p>
        </w:tc>
        <w:tc>
          <w:tcPr>
            <w:tcW w:w="5669" w:type="dxa"/>
          </w:tcPr>
          <w:p w14:paraId="2F201F94" w14:textId="77777777" w:rsidR="00514CC0" w:rsidRDefault="00E72B49">
            <w:pPr>
              <w:pStyle w:val="OWTablebodyleft"/>
            </w:pPr>
            <w:r>
              <w:t>No change over time able to be assessed.</w:t>
            </w:r>
          </w:p>
        </w:tc>
      </w:tr>
      <w:tr w:rsidR="00514CC0" w14:paraId="616C9661" w14:textId="77777777" w:rsidTr="00F0324E">
        <w:trPr>
          <w:cantSplit/>
          <w:trHeight w:val="60"/>
        </w:trPr>
        <w:tc>
          <w:tcPr>
            <w:tcW w:w="3402" w:type="dxa"/>
          </w:tcPr>
          <w:p w14:paraId="010039A0" w14:textId="77777777" w:rsidR="00514CC0" w:rsidRDefault="00E72B49">
            <w:pPr>
              <w:pStyle w:val="OWTablebodyleft"/>
            </w:pPr>
            <w:r>
              <w:t>Does the change confirm or run contrary to expected change?</w:t>
            </w:r>
          </w:p>
        </w:tc>
        <w:tc>
          <w:tcPr>
            <w:tcW w:w="5669" w:type="dxa"/>
          </w:tcPr>
          <w:p w14:paraId="00AF556B" w14:textId="77777777" w:rsidR="00514CC0" w:rsidRDefault="00E72B49">
            <w:pPr>
              <w:pStyle w:val="OWTablebodyleft"/>
            </w:pPr>
            <w:r>
              <w:t>Not yet able to assess change.</w:t>
            </w:r>
          </w:p>
        </w:tc>
      </w:tr>
      <w:tr w:rsidR="00514CC0" w14:paraId="5775A5AD" w14:textId="77777777" w:rsidTr="00F0324E">
        <w:trPr>
          <w:cantSplit/>
          <w:trHeight w:val="60"/>
        </w:trPr>
        <w:tc>
          <w:tcPr>
            <w:tcW w:w="3402" w:type="dxa"/>
          </w:tcPr>
          <w:p w14:paraId="1DD1E888" w14:textId="77777777" w:rsidR="00514CC0" w:rsidRDefault="00E72B49">
            <w:pPr>
              <w:pStyle w:val="OWTablebodyleft"/>
            </w:pPr>
            <w:r>
              <w:t>Gaps in existing data</w:t>
            </w:r>
          </w:p>
        </w:tc>
        <w:tc>
          <w:tcPr>
            <w:tcW w:w="5669" w:type="dxa"/>
          </w:tcPr>
          <w:p w14:paraId="18D27A1B" w14:textId="77777777" w:rsidR="00514CC0" w:rsidRDefault="00E72B49">
            <w:pPr>
              <w:pStyle w:val="OWTablebodyleft"/>
            </w:pPr>
            <w:r>
              <w:t>Only baseline data is currently available, so no change over time is possible to measure at present.</w:t>
            </w:r>
          </w:p>
          <w:p w14:paraId="5DA32956" w14:textId="77777777" w:rsidR="00514CC0" w:rsidRDefault="00E72B49">
            <w:pPr>
              <w:pStyle w:val="OWTablebodyleft"/>
            </w:pPr>
            <w:r>
              <w:t>The NCAS is limited with regard to the focus on prejudicial attitudes. It would be helpful to develop a dataset with a more extensive and multifaceted focus on prejudicial attitudes.</w:t>
            </w:r>
          </w:p>
        </w:tc>
      </w:tr>
    </w:tbl>
    <w:p w14:paraId="5DB92B1D" w14:textId="77777777" w:rsidR="00514CC0" w:rsidRDefault="00E72B49" w:rsidP="00134D12">
      <w:pPr>
        <w:pStyle w:val="OWBodytextlargespaceabove"/>
      </w:pPr>
      <w:r>
        <w:t>Analysis of the 2017 NCAS findings reveal that there is a significant relationship between prejudicial attitudes relating to Aboriginality, ethnic difference, sexual orientation diversity, and/or disability, and attitudes that endorse gender inequality and violence against women. For example, it was found that among the people who were ranked as having low attitudinal support for prejudicial attitudes (n=4,526), this cohort ranked 46/50 with regard to low endorsement of attitudes supportive of violence against women, and only 9/50 with regard to high endorsement of attitudes supportive of violence against women.</w:t>
      </w:r>
    </w:p>
    <w:p w14:paraId="23B7D7BF" w14:textId="77777777" w:rsidR="00514CC0" w:rsidRDefault="00E72B49">
      <w:pPr>
        <w:pStyle w:val="BodyText"/>
      </w:pPr>
      <w:r>
        <w:t>The inverse relationship – between high support for prejudicial attitudes, and endorsement of attitudes supportive of violence against women – also held true. That is, high levels of prejudicial attitudes co-existed with a high endorsement of attitudes supportive of violence against women. The cohort who measured as having a high level of support for prejudicial attitudes (n=4,211) were far more likely to have a high level of endorsement of attitudes supportive of violence against women (43/50) than a low level (10/50).</w:t>
      </w:r>
    </w:p>
    <w:p w14:paraId="5EDC768D" w14:textId="110C45FD" w:rsidR="00514CC0" w:rsidRDefault="00E72B49">
      <w:pPr>
        <w:pStyle w:val="BodyText"/>
      </w:pPr>
      <w:r>
        <w:t>NCAS 2017 findings show that while the ‘strongest predictor of attitudes towards violence against women is the overall GEAS (Gender Equality Attitudes Score) (contributing 54% of variance), prejudicial attitudes contribute significantly to variance (9%) – more than any single demographic factor.’</w:t>
      </w:r>
      <w:r w:rsidR="00FE032D">
        <w:rPr>
          <w:rStyle w:val="EndnoteReference"/>
        </w:rPr>
        <w:endnoteReference w:id="443"/>
      </w:r>
    </w:p>
    <w:p w14:paraId="4ABCF9F4" w14:textId="39F332F0" w:rsidR="00514CC0" w:rsidRDefault="00E72B49" w:rsidP="001A03A8">
      <w:pPr>
        <w:pStyle w:val="Heading3"/>
        <w:rPr>
          <w:rStyle w:val="OWCharacterOpal"/>
        </w:rPr>
      </w:pPr>
      <w:bookmarkStart w:id="85" w:name="_Toc55053318"/>
      <w:r>
        <w:rPr>
          <w:rStyle w:val="OWCharacterOpal"/>
        </w:rPr>
        <w:lastRenderedPageBreak/>
        <w:t>Reinforcing factor: Condoning of violence in general</w:t>
      </w:r>
      <w:bookmarkEnd w:id="85"/>
    </w:p>
    <w:p w14:paraId="4ECDF3B6" w14:textId="77777777" w:rsidR="00514CC0" w:rsidRDefault="00E72B49" w:rsidP="00E36D92">
      <w:pPr>
        <w:pStyle w:val="Heading4"/>
        <w:spacing w:before="160"/>
        <w:rPr>
          <w:rStyle w:val="OWCharacterOpal"/>
        </w:rPr>
      </w:pPr>
      <w:r>
        <w:rPr>
          <w:rStyle w:val="OWCharacterOpal"/>
        </w:rPr>
        <w:t>Monitoring domain 7: Condoning of violence in general</w:t>
      </w:r>
    </w:p>
    <w:tbl>
      <w:tblPr>
        <w:tblStyle w:val="Indicatorlistingopal"/>
        <w:tblW w:w="9072" w:type="dxa"/>
        <w:tblLayout w:type="fixed"/>
        <w:tblLook w:val="0680" w:firstRow="0" w:lastRow="0" w:firstColumn="1" w:lastColumn="0" w:noHBand="1" w:noVBand="1"/>
      </w:tblPr>
      <w:tblGrid>
        <w:gridCol w:w="1701"/>
        <w:gridCol w:w="7371"/>
      </w:tblGrid>
      <w:tr w:rsidR="00514CC0" w14:paraId="27A847C0" w14:textId="77777777" w:rsidTr="00F0324E">
        <w:trPr>
          <w:cantSplit/>
          <w:trHeight w:val="60"/>
        </w:trPr>
        <w:tc>
          <w:tcPr>
            <w:tcW w:w="1701" w:type="dxa"/>
          </w:tcPr>
          <w:p w14:paraId="4E0B6070" w14:textId="77777777" w:rsidR="00514CC0" w:rsidRDefault="00E72B49">
            <w:pPr>
              <w:pStyle w:val="OWTablebodyleftK100"/>
            </w:pPr>
            <w:r>
              <w:t>Indicator 7.1</w:t>
            </w:r>
          </w:p>
        </w:tc>
        <w:tc>
          <w:tcPr>
            <w:tcW w:w="7370" w:type="dxa"/>
          </w:tcPr>
          <w:p w14:paraId="257F81EE" w14:textId="77777777" w:rsidR="00514CC0" w:rsidRDefault="00E72B49">
            <w:pPr>
              <w:pStyle w:val="OWTablebodyleftK100"/>
            </w:pPr>
            <w:r>
              <w:t>Gendered attitudes towards violence and acceptability of violence in general</w:t>
            </w:r>
          </w:p>
        </w:tc>
      </w:tr>
    </w:tbl>
    <w:p w14:paraId="7E86BE9C" w14:textId="3547AD2F" w:rsidR="00514CC0" w:rsidRDefault="00E72B49" w:rsidP="00E36D92">
      <w:pPr>
        <w:pStyle w:val="OWBodytextlargespaceabove"/>
      </w:pPr>
      <w:r>
        <w:t>Condoning of violence in general is generated through similar social norms, practices and structures as the condoning of violence against women. The difference is that condoning of</w:t>
      </w:r>
      <w:r w:rsidR="00D57A45">
        <w:t> </w:t>
      </w:r>
      <w:r>
        <w:t>violence in general is not as influential on levels of violence against women as condoning of violence against women. However, it becomes a reinforcing factor in conjunction with gendered social norms – particularly those concerning masculinity.</w:t>
      </w:r>
    </w:p>
    <w:p w14:paraId="124B74F7" w14:textId="77777777" w:rsidR="00514CC0" w:rsidRDefault="00E72B49">
      <w:pPr>
        <w:pStyle w:val="BodyText"/>
      </w:pPr>
      <w:r>
        <w:t>Violence can be condoned either informally, as in reactions (or lack thereof) of family and communities, or formally, such as through weak laws. This can lead to a ‘normalisation’ of violence, with violence taken for granted as a part of everyday life.</w:t>
      </w:r>
    </w:p>
    <w:p w14:paraId="73D2D8CE" w14:textId="37DA1056" w:rsidR="00514CC0" w:rsidRDefault="00E72B49">
      <w:pPr>
        <w:pStyle w:val="BodyText"/>
      </w:pPr>
      <w:r>
        <w:t xml:space="preserve">As discussed in </w:t>
      </w:r>
      <w:r w:rsidRPr="003E209A">
        <w:rPr>
          <w:rStyle w:val="Emphasis"/>
        </w:rPr>
        <w:t>Change the story</w:t>
      </w:r>
      <w:r>
        <w:t>,</w:t>
      </w:r>
      <w:r w:rsidR="00806EC1">
        <w:rPr>
          <w:rStyle w:val="EndnoteReference"/>
        </w:rPr>
        <w:endnoteReference w:id="444"/>
      </w:r>
      <w:r>
        <w:t xml:space="preserve"> some have argued that violence against women simply reflects that violence more generally is a learned social practice, but this does not explain the specifically gendered patterns of violence against women. Studies show that people learn about violence not in isolation, but in the context of learning about and experiencing social norms about gender and gender (in)equality, particularly masculine gender identities. The violence that our society normalises, valorises or condones is in itself ‘masculinised’. The</w:t>
      </w:r>
      <w:r w:rsidR="00D57A45">
        <w:t> </w:t>
      </w:r>
      <w:r>
        <w:t>vast majority of acts of violence – whether against women or men, in public or private, in reality or in media and in cultural representations – are perpetrated, or depicted as being perpetrated, by men.</w:t>
      </w:r>
      <w:r w:rsidR="00FE032D">
        <w:rPr>
          <w:rStyle w:val="EndnoteReference"/>
        </w:rPr>
        <w:endnoteReference w:id="445"/>
      </w:r>
    </w:p>
    <w:p w14:paraId="7AD45610" w14:textId="61E6A302" w:rsidR="00514CC0" w:rsidRDefault="00E72B49">
      <w:pPr>
        <w:pStyle w:val="BodyText"/>
      </w:pPr>
      <w:r>
        <w:t>Men’s violence is also more likely to be downplayed or excused under certain circumstances, such as if a man is drunk. Women’s perpetration of violence, on the other hand, is rarely normalised, valorised or condoned to the same degree.</w:t>
      </w:r>
      <w:r w:rsidR="00FE032D">
        <w:rPr>
          <w:rStyle w:val="EndnoteReference"/>
        </w:rPr>
        <w:endnoteReference w:id="446"/>
      </w:r>
    </w:p>
    <w:p w14:paraId="3EF68E23" w14:textId="2CD94594" w:rsidR="00514CC0" w:rsidRDefault="00E72B49">
      <w:pPr>
        <w:pStyle w:val="BodyText"/>
      </w:pPr>
      <w:r>
        <w:t>The valorisation of masculine violence in media and popular culture, or in male-dominated peer groups such as gangs or some sporting clubs, predicts a higher likelihood of all types of violence – including, but not limited to, violence against women. However, not all violence against women can be attributed to the valorisation of male violence, as men’s violence against other men is different from that against women, and not all men who are violent against other men are violent against women.</w:t>
      </w:r>
      <w:r w:rsidR="009F1A64">
        <w:rPr>
          <w:rStyle w:val="EndnoteReference"/>
        </w:rPr>
        <w:endnoteReference w:id="447"/>
      </w:r>
    </w:p>
    <w:p w14:paraId="13B7A4F7" w14:textId="77777777" w:rsidR="00514CC0" w:rsidRDefault="00E72B49">
      <w:pPr>
        <w:pStyle w:val="BodyText"/>
      </w:pPr>
      <w:r>
        <w:t>There is a single indicator measuring progress in challenging the condoning of violence in general. This indicator looks at community attitudes towards violence and the acceptability of violence in general.</w:t>
      </w:r>
    </w:p>
    <w:p w14:paraId="5808A747" w14:textId="77777777" w:rsidR="0051280E" w:rsidRPr="0051280E" w:rsidRDefault="0051280E" w:rsidP="0051280E">
      <w:pPr>
        <w:pStyle w:val="BodyText"/>
      </w:pPr>
      <w:r w:rsidRPr="0051280E">
        <w:br w:type="page"/>
      </w:r>
    </w:p>
    <w:p w14:paraId="07405FD1" w14:textId="290FA3B9" w:rsidR="00514CC0" w:rsidRDefault="00E72B49" w:rsidP="00F868FE">
      <w:pPr>
        <w:pStyle w:val="Heading5"/>
      </w:pPr>
      <w:r>
        <w:lastRenderedPageBreak/>
        <w:t>Challenging the condoning of violence in general: Summary of change over time</w:t>
      </w:r>
    </w:p>
    <w:p w14:paraId="4BA87E5C" w14:textId="4B75DF4D" w:rsidR="00514CC0" w:rsidRDefault="00E72B49">
      <w:pPr>
        <w:pStyle w:val="BodyText"/>
      </w:pPr>
      <w:r>
        <w:t>As this is a monitoring domain with limited and emerging data, this analysis is establishing a baseline, rather than reporting on progress. As such, recommendations for future research and data collection to strengthen action and monitor progress towards preventing violence against women in this domain are noted below.</w:t>
      </w:r>
    </w:p>
    <w:p w14:paraId="1A047A6C" w14:textId="0CA979E0" w:rsidR="00514CC0" w:rsidRDefault="00E72B49">
      <w:pPr>
        <w:pStyle w:val="BodyText"/>
      </w:pPr>
      <w:r>
        <w:t>The indicators below suggest reasonably low attitudinal support for violence in general, though the National Community Attitudes towards Violence against Women Survey (NCAS) indicates that some Australians do hold attitudes that support violence, and particularly parental ‘disciplinary’ violence against children. The data also shows that attitudinal support for violence in general was the second strongest predictor of attitudes towards gender equality (after prejudicial attitudes).</w:t>
      </w:r>
      <w:r w:rsidR="009F1A64">
        <w:rPr>
          <w:rStyle w:val="EndnoteReference"/>
        </w:rPr>
        <w:endnoteReference w:id="448"/>
      </w:r>
      <w:r>
        <w:t xml:space="preserve"> People who hold attitudes that are strongly supportive of violence in general are more likely to hold attitudes supportive of violence against women, and less likely to endorse positive attitudes towards gender equality. The</w:t>
      </w:r>
      <w:r w:rsidR="00D57A45">
        <w:t> </w:t>
      </w:r>
      <w:r>
        <w:t>converse is also clear – people who reject the use of violence in general are also more likely to reject violence against women and support gender equality.</w:t>
      </w:r>
      <w:r w:rsidR="009F1A64">
        <w:rPr>
          <w:rStyle w:val="EndnoteReference"/>
        </w:rPr>
        <w:endnoteReference w:id="449"/>
      </w:r>
    </w:p>
    <w:p w14:paraId="38D94366" w14:textId="77777777" w:rsidR="00514CC0" w:rsidRDefault="00E72B49">
      <w:pPr>
        <w:pStyle w:val="BodyText"/>
      </w:pPr>
      <w:r>
        <w:t>This suggests that while specific efforts and specialised strategies to prevent violence against women are critical, other strategies that address the norms, structures and practices that legitimise any form of violence can also make a positive contribution. In particular, further exploration of the links between dominant forms of masculinity and the valorisation of men’s violence in media, popular culture and sport is required, alongside investigations into how to strengthen sanctions and laws in response to violence in general, and violence as a means to settle disputes.</w:t>
      </w:r>
    </w:p>
    <w:p w14:paraId="01FB6272" w14:textId="77777777" w:rsidR="00514CC0" w:rsidRDefault="00E72B49" w:rsidP="00E1549C">
      <w:pPr>
        <w:pStyle w:val="Heading4"/>
        <w:rPr>
          <w:rStyle w:val="OWCharacterOpal"/>
        </w:rPr>
      </w:pPr>
      <w:r>
        <w:rPr>
          <w:rStyle w:val="OWCharacterOpal"/>
        </w:rPr>
        <w:t>Indicator 7.1: Gendered attitudes towards violence and acceptability of violence in general</w:t>
      </w:r>
    </w:p>
    <w:tbl>
      <w:tblPr>
        <w:tblStyle w:val="Indicatoroutlineopal"/>
        <w:tblW w:w="9072" w:type="dxa"/>
        <w:tblLayout w:type="fixed"/>
        <w:tblLook w:val="0680" w:firstRow="0" w:lastRow="0" w:firstColumn="1" w:lastColumn="0" w:noHBand="1" w:noVBand="1"/>
      </w:tblPr>
      <w:tblGrid>
        <w:gridCol w:w="3402"/>
        <w:gridCol w:w="5670"/>
      </w:tblGrid>
      <w:tr w:rsidR="00514CC0" w14:paraId="02C28C9D" w14:textId="77777777" w:rsidTr="00F0324E">
        <w:trPr>
          <w:cantSplit/>
          <w:trHeight w:val="60"/>
        </w:trPr>
        <w:tc>
          <w:tcPr>
            <w:tcW w:w="3402" w:type="dxa"/>
          </w:tcPr>
          <w:p w14:paraId="23FC6058" w14:textId="77777777" w:rsidR="00514CC0" w:rsidRDefault="00E72B49">
            <w:pPr>
              <w:pStyle w:val="OWTablebodyleft"/>
            </w:pPr>
            <w:r>
              <w:t>What does this indicator tell us about Monitoring domain 7: Condoning of violence in general?</w:t>
            </w:r>
          </w:p>
        </w:tc>
        <w:tc>
          <w:tcPr>
            <w:tcW w:w="5669" w:type="dxa"/>
          </w:tcPr>
          <w:p w14:paraId="2408DAE7" w14:textId="77777777" w:rsidR="00514CC0" w:rsidRDefault="00E72B49">
            <w:pPr>
              <w:pStyle w:val="OWTablebodyleft"/>
            </w:pPr>
            <w:r>
              <w:t>This indicator tells us about the extent of community acceptance of violence in general, and looks at links between condoning of violence in general and condoning of violence against women in particular.</w:t>
            </w:r>
          </w:p>
        </w:tc>
      </w:tr>
      <w:tr w:rsidR="00514CC0" w14:paraId="6DDC09B5" w14:textId="77777777" w:rsidTr="00F0324E">
        <w:trPr>
          <w:cantSplit/>
          <w:trHeight w:val="60"/>
        </w:trPr>
        <w:tc>
          <w:tcPr>
            <w:tcW w:w="3402" w:type="dxa"/>
          </w:tcPr>
          <w:p w14:paraId="7C991B74" w14:textId="77777777" w:rsidR="00514CC0" w:rsidRDefault="00E72B49">
            <w:pPr>
              <w:pStyle w:val="OWTablebodyleft"/>
            </w:pPr>
            <w:r>
              <w:t>Expected change if high-quality programs and infrastructure for prevention of violence against women and gender equality are implemented</w:t>
            </w:r>
          </w:p>
        </w:tc>
        <w:tc>
          <w:tcPr>
            <w:tcW w:w="5669" w:type="dxa"/>
          </w:tcPr>
          <w:p w14:paraId="18BF28BB" w14:textId="77777777" w:rsidR="00514CC0" w:rsidRDefault="00E72B49">
            <w:pPr>
              <w:pStyle w:val="OWTablebodyleft"/>
            </w:pPr>
            <w:r>
              <w:t>Short- and medium-term: the proportion of the population who reject gendered attitudes towards violence and acceptability will increase.</w:t>
            </w:r>
          </w:p>
          <w:p w14:paraId="788A5496" w14:textId="77777777" w:rsidR="00514CC0" w:rsidRDefault="00E72B49">
            <w:pPr>
              <w:pStyle w:val="OWTablebodyleft"/>
            </w:pPr>
            <w:r>
              <w:t>Long-term: this proportion will plateau.</w:t>
            </w:r>
          </w:p>
        </w:tc>
      </w:tr>
      <w:tr w:rsidR="00514CC0" w14:paraId="608C0689" w14:textId="77777777" w:rsidTr="00F0324E">
        <w:trPr>
          <w:cantSplit/>
          <w:trHeight w:val="60"/>
        </w:trPr>
        <w:tc>
          <w:tcPr>
            <w:tcW w:w="3402" w:type="dxa"/>
          </w:tcPr>
          <w:p w14:paraId="2D6D517A" w14:textId="77777777" w:rsidR="00514CC0" w:rsidRDefault="00E72B49">
            <w:pPr>
              <w:pStyle w:val="OWTablebodyleft"/>
            </w:pPr>
            <w:r>
              <w:t>Data source(s)</w:t>
            </w:r>
          </w:p>
        </w:tc>
        <w:tc>
          <w:tcPr>
            <w:tcW w:w="5669" w:type="dxa"/>
          </w:tcPr>
          <w:p w14:paraId="55DB7E60" w14:textId="77777777" w:rsidR="00514CC0" w:rsidRDefault="00E72B49">
            <w:pPr>
              <w:pStyle w:val="OWTablebodyleft"/>
            </w:pPr>
            <w:r>
              <w:t>National Community Attitudes towards Violence against Women Survey (NCAS) 2017, Australia’s National Research Organisation for Women’s Safety (ANROWS)</w:t>
            </w:r>
          </w:p>
        </w:tc>
      </w:tr>
      <w:tr w:rsidR="00514CC0" w14:paraId="14113B85" w14:textId="77777777" w:rsidTr="00F0324E">
        <w:trPr>
          <w:cantSplit/>
          <w:trHeight w:val="60"/>
        </w:trPr>
        <w:tc>
          <w:tcPr>
            <w:tcW w:w="3402" w:type="dxa"/>
          </w:tcPr>
          <w:p w14:paraId="76E3918E" w14:textId="2F1D3602" w:rsidR="00514CC0" w:rsidRDefault="00E72B49">
            <w:pPr>
              <w:pStyle w:val="OWTablebodyleft"/>
            </w:pPr>
            <w:r>
              <w:t>Change over time summary: short-term change revealed by</w:t>
            </w:r>
            <w:r w:rsidR="00D57A45">
              <w:t> </w:t>
            </w:r>
            <w:r>
              <w:t>the data</w:t>
            </w:r>
          </w:p>
        </w:tc>
        <w:tc>
          <w:tcPr>
            <w:tcW w:w="5669" w:type="dxa"/>
          </w:tcPr>
          <w:p w14:paraId="1353E1FC" w14:textId="380DA65F" w:rsidR="00514CC0" w:rsidRDefault="00E72B49">
            <w:pPr>
              <w:pStyle w:val="OWTablebodyleft"/>
            </w:pPr>
            <w:r>
              <w:t>Only baseline data available at this point; no</w:t>
            </w:r>
            <w:r w:rsidR="00D57A45">
              <w:t> </w:t>
            </w:r>
            <w:r>
              <w:t>assessment of change possible.</w:t>
            </w:r>
          </w:p>
        </w:tc>
      </w:tr>
      <w:tr w:rsidR="00514CC0" w14:paraId="1DE94412" w14:textId="77777777" w:rsidTr="00F0324E">
        <w:trPr>
          <w:cantSplit/>
          <w:trHeight w:val="60"/>
        </w:trPr>
        <w:tc>
          <w:tcPr>
            <w:tcW w:w="3402" w:type="dxa"/>
          </w:tcPr>
          <w:p w14:paraId="74250EEB" w14:textId="77777777" w:rsidR="00514CC0" w:rsidRDefault="00E72B49">
            <w:pPr>
              <w:pStyle w:val="OWTablebodyleft"/>
            </w:pPr>
            <w:r>
              <w:lastRenderedPageBreak/>
              <w:t>Does the change confirm or run contrary to expected change?</w:t>
            </w:r>
          </w:p>
        </w:tc>
        <w:tc>
          <w:tcPr>
            <w:tcW w:w="5669" w:type="dxa"/>
          </w:tcPr>
          <w:p w14:paraId="4CBA30A7" w14:textId="77777777" w:rsidR="00514CC0" w:rsidRDefault="00E72B49">
            <w:pPr>
              <w:pStyle w:val="OWTablebodyleft"/>
            </w:pPr>
            <w:r>
              <w:t>Not yet able to assess change.</w:t>
            </w:r>
          </w:p>
        </w:tc>
      </w:tr>
      <w:tr w:rsidR="00514CC0" w14:paraId="024B5C7C" w14:textId="77777777" w:rsidTr="00F0324E">
        <w:trPr>
          <w:cantSplit/>
          <w:trHeight w:val="60"/>
        </w:trPr>
        <w:tc>
          <w:tcPr>
            <w:tcW w:w="3402" w:type="dxa"/>
          </w:tcPr>
          <w:p w14:paraId="18E5325F" w14:textId="77777777" w:rsidR="00514CC0" w:rsidRDefault="00E72B49">
            <w:pPr>
              <w:pStyle w:val="OWTablebodyleft"/>
            </w:pPr>
            <w:r>
              <w:t>Gaps in existing data</w:t>
            </w:r>
          </w:p>
        </w:tc>
        <w:tc>
          <w:tcPr>
            <w:tcW w:w="5669" w:type="dxa"/>
          </w:tcPr>
          <w:p w14:paraId="2BCA1318" w14:textId="77777777" w:rsidR="00514CC0" w:rsidRDefault="00E72B49">
            <w:pPr>
              <w:pStyle w:val="OWTablebodyleft"/>
            </w:pPr>
            <w:r>
              <w:t>New datasets should incorporate a focus on the relationship between masculinity and the acceptability of violence.</w:t>
            </w:r>
          </w:p>
        </w:tc>
      </w:tr>
    </w:tbl>
    <w:p w14:paraId="2D8792E4" w14:textId="4CC4802E" w:rsidR="00514CC0" w:rsidRDefault="00E72B49" w:rsidP="00E36D92">
      <w:pPr>
        <w:pStyle w:val="OWBodytextlargespaceabove"/>
      </w:pPr>
      <w:r>
        <w:t>The 2017 NCAS benchmarked attitudes legitimising or minimising violence as a practice in general in terms of reprisal, punishment or a response to conflict. The questions asked of respondents under this theme included scenarios of violence in the sporting arena, games and the media, child disciplining, and retaliation between adults.</w:t>
      </w:r>
      <w:r w:rsidR="009F1A64">
        <w:rPr>
          <w:rStyle w:val="EndnoteReference"/>
        </w:rPr>
        <w:endnoteReference w:id="450"/>
      </w:r>
    </w:p>
    <w:p w14:paraId="451B024E" w14:textId="77777777" w:rsidR="00514CC0" w:rsidRDefault="00E72B49">
      <w:pPr>
        <w:pStyle w:val="BodyText"/>
      </w:pPr>
      <w:r>
        <w:t>The results of this set of questions have not been reported in great detail in the NCAS reports; however, overall a majority of respondents disagreed with the legitimacy of violence in general. And yet, in response to most of the questions, a significant minority responded in a way that condones violence in general as a practice. For example:</w:t>
      </w:r>
    </w:p>
    <w:p w14:paraId="38343D22" w14:textId="67023ED1" w:rsidR="00514CC0" w:rsidRDefault="00E72B49">
      <w:pPr>
        <w:pStyle w:val="OWBullet1"/>
      </w:pPr>
      <w:r>
        <w:t>in response to the statement ‘If a person hits you, you should hit them back’, nearly</w:t>
      </w:r>
      <w:r w:rsidR="00D57A45">
        <w:t> </w:t>
      </w:r>
      <w:r>
        <w:t>three-quarters (73%) of Australians disagreed, while 22% agreed</w:t>
      </w:r>
    </w:p>
    <w:p w14:paraId="471A102D" w14:textId="77777777" w:rsidR="00514CC0" w:rsidRDefault="00E72B49">
      <w:pPr>
        <w:pStyle w:val="OWBullet1"/>
      </w:pPr>
      <w:r>
        <w:t>in response to the statement ‘It is okay to hit children if they have done something wrong’, 71% disagreed and 18% agreed</w:t>
      </w:r>
    </w:p>
    <w:p w14:paraId="4DEB6B7C" w14:textId="01F21551" w:rsidR="00514CC0" w:rsidRDefault="00E72B49">
      <w:pPr>
        <w:pStyle w:val="OWBullet1"/>
      </w:pPr>
      <w:r>
        <w:t>a concerning one-third (30%) agreed that ‘When children misbehave, a quick slap is</w:t>
      </w:r>
      <w:r w:rsidR="00D57A45">
        <w:t> </w:t>
      </w:r>
      <w:r>
        <w:t>the</w:t>
      </w:r>
      <w:r w:rsidR="00D57A45">
        <w:t> </w:t>
      </w:r>
      <w:r>
        <w:t>best way to quickly end trouble’, with 66% disagreeing</w:t>
      </w:r>
    </w:p>
    <w:p w14:paraId="5B87456B" w14:textId="3E034DDA" w:rsidR="00514CC0" w:rsidRDefault="00E72B49">
      <w:pPr>
        <w:pStyle w:val="OWBullet1"/>
      </w:pPr>
      <w:r>
        <w:t>nine in ten (90%) disagreed with the statement ‘Violence among fans in sporting arenas is just “part of the game” and should not be taken seriously’, with only 9% agreeing.</w:t>
      </w:r>
      <w:r w:rsidR="009F1A64">
        <w:rPr>
          <w:rStyle w:val="EndnoteReference"/>
        </w:rPr>
        <w:endnoteReference w:id="451"/>
      </w:r>
    </w:p>
    <w:p w14:paraId="6F7EFDBF" w14:textId="10081986" w:rsidR="00514CC0" w:rsidRDefault="00E72B49" w:rsidP="00E36D92">
      <w:pPr>
        <w:pStyle w:val="OWBodytextafterlist"/>
      </w:pPr>
      <w:r>
        <w:t>The 2017 NCAS sought to test the theorised relationship between attitudes condoning violence in general, attitudes condoning violence against women, and gender equality attitudes.</w:t>
      </w:r>
      <w:r w:rsidR="009F1A64">
        <w:rPr>
          <w:rStyle w:val="EndnoteReference"/>
        </w:rPr>
        <w:endnoteReference w:id="452"/>
      </w:r>
      <w:r>
        <w:t xml:space="preserve"> This was achieved by asking whether in the contemporary Australian context there is a significant relationship between a culture that condones violence in general and a culture that condones violence against women specifically. That is, the NCAS was seeking to</w:t>
      </w:r>
      <w:r w:rsidR="00D57A45">
        <w:t> </w:t>
      </w:r>
      <w:r>
        <w:t>test the empirical evidence for a relationship between ‘attitudes endorsing violence generally, whereby those who support dominance and aggression as ways of resolving conflict are more likely to hold attitudes supportive of violence against women’.</w:t>
      </w:r>
      <w:r w:rsidR="009F1A64">
        <w:rPr>
          <w:rStyle w:val="EndnoteReference"/>
        </w:rPr>
        <w:endnoteReference w:id="453"/>
      </w:r>
    </w:p>
    <w:p w14:paraId="75D98D75" w14:textId="24B5A586" w:rsidR="00514CC0" w:rsidRDefault="00E72B49">
      <w:pPr>
        <w:pStyle w:val="BodyText"/>
      </w:pPr>
      <w:r>
        <w:t>The findings of the 2017 NCAS are clear. Those people who demonstrate attitudes of high support for violence in general are more likely to hold attitudes supportive of violence against women and less likely to endorse positive attitudes towards gender equality. The converse is also clear – people who reject the use of violence in general are also more likely to have higher attitudinal support for gender equality and lower attitudinal support for violence against women.</w:t>
      </w:r>
      <w:r w:rsidR="009F1A64">
        <w:rPr>
          <w:rStyle w:val="EndnoteReference"/>
        </w:rPr>
        <w:endnoteReference w:id="454"/>
      </w:r>
    </w:p>
    <w:p w14:paraId="3614B21F" w14:textId="3C460BD7" w:rsidR="00514CC0" w:rsidRDefault="00E72B49">
      <w:pPr>
        <w:pStyle w:val="BodyText"/>
      </w:pPr>
      <w:r>
        <w:t>More specifically, attitudes endorsing violence generally was the second strongest predictor of attitudes to gender equality (after prejudicial attitudes), accounting for 24% of individuals’ differences in their support for gender equality.</w:t>
      </w:r>
      <w:r w:rsidR="009F1A64">
        <w:rPr>
          <w:rStyle w:val="EndnoteReference"/>
        </w:rPr>
        <w:endnoteReference w:id="455"/>
      </w:r>
      <w:r>
        <w:t xml:space="preserve"> To put this in context, this is a far stronger association than any demographic factor linked to the individual respondent. For example, gender of the respondent only accounts for 6% of contribution to variance between support for gender equality; age is also 6%, and education is 9%.</w:t>
      </w:r>
      <w:r w:rsidR="009F1A64">
        <w:rPr>
          <w:rStyle w:val="EndnoteReference"/>
        </w:rPr>
        <w:endnoteReference w:id="456"/>
      </w:r>
    </w:p>
    <w:p w14:paraId="53022966" w14:textId="5CF4D406" w:rsidR="00514CC0" w:rsidRDefault="00E72B49">
      <w:pPr>
        <w:pStyle w:val="BodyText"/>
      </w:pPr>
      <w:r>
        <w:lastRenderedPageBreak/>
        <w:t>From those who demonstrated a high attitudinal support for violence in general, 43% also registered a high endorsement for attitudes supportive of violence against women, while only 10% registered a low endorsement.</w:t>
      </w:r>
      <w:r w:rsidR="009F1A64">
        <w:rPr>
          <w:rStyle w:val="EndnoteReference"/>
        </w:rPr>
        <w:endnoteReference w:id="457"/>
      </w:r>
      <w:r>
        <w:t xml:space="preserve"> Conversely, of those who registered a low support for violence in general, 41% also registered a lower endorsement of attitudes supportive of violence against women, and only 15% registered a high endorsement.</w:t>
      </w:r>
      <w:r w:rsidR="009F1A64">
        <w:rPr>
          <w:rStyle w:val="EndnoteReference"/>
        </w:rPr>
        <w:endnoteReference w:id="458"/>
      </w:r>
    </w:p>
    <w:p w14:paraId="14FB1B9A" w14:textId="77777777" w:rsidR="00514CC0" w:rsidRDefault="00E72B49">
      <w:pPr>
        <w:pStyle w:val="BodyText"/>
      </w:pPr>
      <w:r>
        <w:t>There is, then, a significant relationship between attitudes condoning violence in general and attitudes resistant to gender equality and condoning of violence against women. Policy and practice implications include the need to simultaneously address cultures and settings legitimising all forms of violence, and associations between valorised masculinities and violent practices, while also targeting violence against women specifically.</w:t>
      </w:r>
    </w:p>
    <w:p w14:paraId="005EABDB" w14:textId="058C4C5D" w:rsidR="00514CC0" w:rsidRDefault="00E72B49" w:rsidP="001A03A8">
      <w:pPr>
        <w:pStyle w:val="Heading3"/>
        <w:rPr>
          <w:rStyle w:val="OWCharacterOpal"/>
        </w:rPr>
      </w:pPr>
      <w:bookmarkStart w:id="86" w:name="_Toc55053319"/>
      <w:r>
        <w:rPr>
          <w:rStyle w:val="OWCharacterOpal"/>
        </w:rPr>
        <w:lastRenderedPageBreak/>
        <w:t>Reinforcing factor: Experience of, and exposure to, violence</w:t>
      </w:r>
      <w:bookmarkEnd w:id="86"/>
    </w:p>
    <w:p w14:paraId="4AF399EB" w14:textId="77777777" w:rsidR="00514CC0" w:rsidRPr="000F735C" w:rsidRDefault="00E72B49" w:rsidP="00E36D92">
      <w:pPr>
        <w:pStyle w:val="Heading4"/>
        <w:spacing w:before="160"/>
        <w:rPr>
          <w:rStyle w:val="OWCharacterOpal"/>
        </w:rPr>
      </w:pPr>
      <w:r>
        <w:rPr>
          <w:rStyle w:val="OWCharacterOpal"/>
        </w:rPr>
        <w:t>Monitoring domain 8: Experience of, and exposure to, violence</w:t>
      </w:r>
      <w:r w:rsidRPr="00AA283C">
        <w:rPr>
          <w:rStyle w:val="OWSuperscriptOpal"/>
          <w:color w:val="00828C"/>
        </w:rPr>
        <w:footnoteReference w:id="51"/>
      </w:r>
    </w:p>
    <w:tbl>
      <w:tblPr>
        <w:tblStyle w:val="Indicatoroutlineopal"/>
        <w:tblW w:w="9072" w:type="dxa"/>
        <w:tblLayout w:type="fixed"/>
        <w:tblLook w:val="0680" w:firstRow="0" w:lastRow="0" w:firstColumn="1" w:lastColumn="0" w:noHBand="1" w:noVBand="1"/>
      </w:tblPr>
      <w:tblGrid>
        <w:gridCol w:w="1701"/>
        <w:gridCol w:w="7371"/>
      </w:tblGrid>
      <w:tr w:rsidR="00514CC0" w14:paraId="096B13BA" w14:textId="77777777" w:rsidTr="00F0324E">
        <w:trPr>
          <w:cantSplit/>
          <w:trHeight w:val="60"/>
        </w:trPr>
        <w:tc>
          <w:tcPr>
            <w:tcW w:w="1701" w:type="dxa"/>
          </w:tcPr>
          <w:p w14:paraId="7E64B066" w14:textId="77777777" w:rsidR="00514CC0" w:rsidRDefault="00E72B49">
            <w:pPr>
              <w:pStyle w:val="OWTablebodyleftK100"/>
            </w:pPr>
            <w:r>
              <w:t>Indicator 8.1</w:t>
            </w:r>
          </w:p>
        </w:tc>
        <w:tc>
          <w:tcPr>
            <w:tcW w:w="7370" w:type="dxa"/>
          </w:tcPr>
          <w:p w14:paraId="77D03415" w14:textId="77777777" w:rsidR="00514CC0" w:rsidRDefault="00E72B49">
            <w:pPr>
              <w:pStyle w:val="OWTablebodyleftK100"/>
            </w:pPr>
            <w:r>
              <w:t>Proportion of children aged 0 to 17 years who experienced any physical punishment and/or psychological aggression that constitutes abuse by caregivers in the past year</w:t>
            </w:r>
          </w:p>
        </w:tc>
      </w:tr>
      <w:tr w:rsidR="00514CC0" w14:paraId="5D219991" w14:textId="77777777" w:rsidTr="00F0324E">
        <w:trPr>
          <w:cantSplit/>
          <w:trHeight w:val="60"/>
        </w:trPr>
        <w:tc>
          <w:tcPr>
            <w:tcW w:w="1701" w:type="dxa"/>
          </w:tcPr>
          <w:p w14:paraId="6BE0710D" w14:textId="77777777" w:rsidR="00514CC0" w:rsidRDefault="00E72B49">
            <w:pPr>
              <w:pStyle w:val="OWTablebodyleftK100"/>
            </w:pPr>
            <w:r>
              <w:t>Indicator 8.2</w:t>
            </w:r>
          </w:p>
        </w:tc>
        <w:tc>
          <w:tcPr>
            <w:tcW w:w="7370" w:type="dxa"/>
          </w:tcPr>
          <w:p w14:paraId="1C5DFF8E" w14:textId="77777777" w:rsidR="00514CC0" w:rsidRDefault="00E72B49">
            <w:pPr>
              <w:pStyle w:val="OWTablebodyleftK100"/>
            </w:pPr>
            <w:r>
              <w:t>Percentage of men who have experienced violence by a male perpetrator (male victims of male-on-male violence)</w:t>
            </w:r>
          </w:p>
        </w:tc>
      </w:tr>
    </w:tbl>
    <w:p w14:paraId="2C5AA600" w14:textId="58F73860" w:rsidR="00514CC0" w:rsidRDefault="00E72B49" w:rsidP="00E36D92">
      <w:pPr>
        <w:pStyle w:val="OWBodytextlargespaceabove"/>
      </w:pPr>
      <w:r>
        <w:t>Exposure to violence as a child (such as witnessing abuse of a mother or other female caregiver, family member or friend), direct experience of violence (such as child physical or sexual abuse) or long-term exposure to other forms of violence either during childhood or adulthood (such as racial violence, community violence or armed conflict) can contribute to</w:t>
      </w:r>
      <w:r w:rsidR="00D57A45">
        <w:t> </w:t>
      </w:r>
      <w:r>
        <w:t>the normalisation of violence. This is especially the case where positive supports or reinforcements are lacking, such as in the absence of positive alternatives and support to recover from the impacts of these experiences. Importantly, experiences of and exposure to</w:t>
      </w:r>
      <w:r w:rsidR="00D57A45">
        <w:t> </w:t>
      </w:r>
      <w:r>
        <w:t>violence can be mitigated by other social, educational and psychological factors, such as positive relationship models, and gender-equitable and non-violent norms. For this reason, those who have been exposed to or experienced violence should not be considered at inevitably higher risk of perpetration or victimisation.</w:t>
      </w:r>
    </w:p>
    <w:p w14:paraId="2C9F05D3" w14:textId="77777777" w:rsidR="00514CC0" w:rsidRDefault="00E72B49" w:rsidP="00F868FE">
      <w:pPr>
        <w:pStyle w:val="Heading5"/>
      </w:pPr>
      <w:r>
        <w:t>Childhood exposure to, and experience of, violence</w:t>
      </w:r>
    </w:p>
    <w:p w14:paraId="6BAF2F7D" w14:textId="295BD4A2" w:rsidR="00514CC0" w:rsidRDefault="00E72B49">
      <w:pPr>
        <w:pStyle w:val="BodyText"/>
      </w:pPr>
      <w:r>
        <w:t>Children’s direct experience of physical or sexual violence, and/or exposure to violence against their mothers or other female caregivers, can have profound and negative impacts on their development and later lives. Early exposure to violence can potentially lead to developmental issues that predispose a child to later behavioural problems, such as poor school performance, bullying or antisocial behaviour in adolescence.</w:t>
      </w:r>
      <w:r w:rsidR="009F1A64">
        <w:rPr>
          <w:rStyle w:val="EndnoteReference"/>
        </w:rPr>
        <w:endnoteReference w:id="459"/>
      </w:r>
      <w:r>
        <w:t xml:space="preserve"> This pathway is not inevitable – while exposure of children to violence (either directly, or witnessing violence against female caregivers) can shape later attitudes to violence and gender relationships, making some more accepting of violence against women, it conversely makes others ‘highly</w:t>
      </w:r>
      <w:r w:rsidR="00D57A45">
        <w:t> </w:t>
      </w:r>
      <w:r>
        <w:t>intolerant of such violence, having experienced its damaging effects’.</w:t>
      </w:r>
      <w:r w:rsidR="00CF2C19">
        <w:rPr>
          <w:rStyle w:val="EndnoteReference"/>
        </w:rPr>
        <w:endnoteReference w:id="460"/>
      </w:r>
    </w:p>
    <w:p w14:paraId="3ABDC552" w14:textId="1573A716" w:rsidR="00514CC0" w:rsidRDefault="00E72B49">
      <w:pPr>
        <w:pStyle w:val="BodyText"/>
      </w:pPr>
      <w:r>
        <w:lastRenderedPageBreak/>
        <w:t>Long-term exposure to, or experience of, any type of violence – particularly in early life, but also for adults – can establish and reinforce a belief that violence is an appropriate form of discipline, punishment or way of solving disputes.</w:t>
      </w:r>
      <w:r w:rsidR="00CF2C19">
        <w:rPr>
          <w:rStyle w:val="EndnoteReference"/>
        </w:rPr>
        <w:endnoteReference w:id="461"/>
      </w:r>
      <w:r>
        <w:t xml:space="preserve"> But such social learning does not occur in isolation from learning about gendered power and roles. For example, childhood exposure to violence against mothers, stepmothers or non-binary parents by fathers, stepfathers or</w:t>
      </w:r>
      <w:r w:rsidR="00F42FFD">
        <w:t> </w:t>
      </w:r>
      <w:r>
        <w:t>other male partners also normalises such violence as an expression of masculinity in relationships and can increase the likelihood of intergenerational transmission of violence. Children witnessing violence against their mothers also learn that it is acceptable for men to control and denigrate women. The impact of exposure to or experience of violence reflects gendered socialisation and patterns of violence – that is, boys and men are more likely to go</w:t>
      </w:r>
      <w:r w:rsidR="00F42FFD">
        <w:t> </w:t>
      </w:r>
      <w:r>
        <w:t>on to perpetrate violence, and girls and women to experience and/or accept it. This demonstrates the need to address gender norms and power relations, and not just the practice of violence itself.</w:t>
      </w:r>
    </w:p>
    <w:p w14:paraId="1D47BED2" w14:textId="77777777" w:rsidR="00514CC0" w:rsidRDefault="00E72B49" w:rsidP="00F868FE">
      <w:pPr>
        <w:pStyle w:val="Heading5"/>
      </w:pPr>
      <w:r>
        <w:t>Violence in adulthood: men’s experiences of male-perpetrated violence</w:t>
      </w:r>
    </w:p>
    <w:p w14:paraId="64704492" w14:textId="2791AF70" w:rsidR="00514CC0" w:rsidRDefault="00E72B49">
      <w:pPr>
        <w:pStyle w:val="BodyText"/>
      </w:pPr>
      <w:r>
        <w:t>Men’s experience of male-perpetrated violence is another aspect of this domain that it is important to measure. International research suggests that men who enact violence upon other men are more likely to perpetrate violence against women than men who do not use physical violence against other men. Models of masculinity that support and emphasise aggression and violence towards other men are linked to and overlap with ideas of masculinity that emphasise dominance and power over women and condone violence against women.</w:t>
      </w:r>
    </w:p>
    <w:p w14:paraId="42037D6A" w14:textId="77777777" w:rsidR="00514CC0" w:rsidRDefault="00E72B49">
      <w:pPr>
        <w:pStyle w:val="BodyText"/>
      </w:pPr>
      <w:r>
        <w:t>The indicators identified as measurements of progress in this domain look at exposure to violence in childhood, and men’s experience of male-perpetrated violence after the age of 15.</w:t>
      </w:r>
      <w:r>
        <w:rPr>
          <w:rStyle w:val="OWSuperscript"/>
        </w:rPr>
        <w:footnoteReference w:id="52"/>
      </w:r>
    </w:p>
    <w:p w14:paraId="1AEF2653" w14:textId="77777777" w:rsidR="00514CC0" w:rsidRDefault="00E72B49" w:rsidP="00F868FE">
      <w:pPr>
        <w:pStyle w:val="Heading5"/>
      </w:pPr>
      <w:r>
        <w:t>Reducing exposure to, and experience of, violence: Summary of change over time</w:t>
      </w:r>
    </w:p>
    <w:p w14:paraId="639DF752" w14:textId="3B5325A7" w:rsidR="00514CC0" w:rsidRDefault="00E72B49">
      <w:pPr>
        <w:pStyle w:val="BodyText"/>
      </w:pPr>
      <w:r>
        <w:t>Recent analysis (2019) of Personal Safety Survey (PSS) data of 2016</w:t>
      </w:r>
      <w:r w:rsidR="00CF2C19">
        <w:rPr>
          <w:rStyle w:val="EndnoteReference"/>
        </w:rPr>
        <w:endnoteReference w:id="462"/>
      </w:r>
      <w:r>
        <w:t xml:space="preserve"> validates what was</w:t>
      </w:r>
      <w:r w:rsidR="00F42FFD">
        <w:t> </w:t>
      </w:r>
      <w:r>
        <w:t xml:space="preserve">articulated in </w:t>
      </w:r>
      <w:r w:rsidRPr="003E209A">
        <w:rPr>
          <w:rStyle w:val="Emphasis"/>
        </w:rPr>
        <w:t>Change the story</w:t>
      </w:r>
      <w:r>
        <w:t xml:space="preserve">: a strong correlation between childhood exposure to violence, and experiences of violence as an adult (after age 15) among the current adult </w:t>
      </w:r>
      <w:r>
        <w:lastRenderedPageBreak/>
        <w:t>population in Australia.</w:t>
      </w:r>
      <w:r>
        <w:rPr>
          <w:rStyle w:val="OWSuperscript"/>
        </w:rPr>
        <w:footnoteReference w:id="53"/>
      </w:r>
      <w:r>
        <w:t xml:space="preserve"> The PSS data from 2016 shows that 71% of people who experienced childhood abuse also experienced some form of violence in their adult lifetime, compared with 33% of those who have not experienced childhood abuse. That is, ‘people who experienced childhood abuse were twice as likely to experience violence as an adult compared to those who did not experience abuse’ during childhood.</w:t>
      </w:r>
      <w:r w:rsidR="00CF2C19">
        <w:rPr>
          <w:rStyle w:val="EndnoteReference"/>
        </w:rPr>
        <w:endnoteReference w:id="463"/>
      </w:r>
      <w:r>
        <w:t xml:space="preserve"> Women who experienced childhood abuse were almost three times as likely to experience physical violence as an adult (61% who experienced childhood abuse compared with 24% who did</w:t>
      </w:r>
      <w:r w:rsidR="00F42FFD">
        <w:t> </w:t>
      </w:r>
      <w:r>
        <w:t>not), and more than three times as likely to experience sexual violence as an adult (43%</w:t>
      </w:r>
      <w:r w:rsidR="00F42FFD">
        <w:t> </w:t>
      </w:r>
      <w:r>
        <w:t>compared with 13%). Women who experienced childhood abuse were also almost three times as likely to experience physical and/or sexual partner violence as women who did not</w:t>
      </w:r>
      <w:r w:rsidR="00F42FFD">
        <w:t> </w:t>
      </w:r>
      <w:r>
        <w:t>experience childhood abuse (36% compared with 13%), and over twice as likely to experience partner emotional abuse (46% as compared with 18%).</w:t>
      </w:r>
      <w:r w:rsidR="00CF2C19">
        <w:rPr>
          <w:rStyle w:val="EndnoteReference"/>
        </w:rPr>
        <w:endnoteReference w:id="464"/>
      </w:r>
    </w:p>
    <w:p w14:paraId="3E25F555" w14:textId="48C96DF1" w:rsidR="00514CC0" w:rsidRDefault="00E72B49">
      <w:pPr>
        <w:pStyle w:val="BodyText"/>
      </w:pPr>
      <w:r>
        <w:t>While the PSS data helps to further evidence this correlation between childhood experiences of violence and adult victimisation,</w:t>
      </w:r>
      <w:r>
        <w:rPr>
          <w:rStyle w:val="OWSuperscript"/>
        </w:rPr>
        <w:footnoteReference w:id="54"/>
      </w:r>
      <w:r>
        <w:t xml:space="preserve"> it is difficult to assess change to prevalence rates of childhood abuse from this survey instrument. This is because the PSS asks adults about their historical experiences of childhood abuse, meaning this data would take a generation to reveal change to childhood abuse prevalence, and would always be historical in nature. However, other sources of data on childhood abuse, most notably administrative child protection data, reveal a very large rise (24% increase) in the number of children who were the subjects of child protection substantiated reports between 2013–14 and 2017–18. While</w:t>
      </w:r>
      <w:r w:rsidR="00F42FFD">
        <w:t> </w:t>
      </w:r>
      <w:r>
        <w:t>there are likely to be a number of factors contributing to this steep increase in child protection substantiated reports, including changes to reporting procedures, an actual rise in</w:t>
      </w:r>
      <w:r w:rsidR="00F42FFD">
        <w:t> </w:t>
      </w:r>
      <w:r>
        <w:t>incidence may be one of those factors. From this data, it is clear at the very least that the rates of child abuse in Australia are considerable and certainly not on the decline.</w:t>
      </w:r>
    </w:p>
    <w:p w14:paraId="514190F9" w14:textId="2A450A08" w:rsidR="00514CC0" w:rsidRDefault="00E72B49">
      <w:pPr>
        <w:pStyle w:val="BodyText"/>
      </w:pPr>
      <w:r>
        <w:t xml:space="preserve">In relation to men’s experiences of male-perpetrated violence, whole-of-population data (the PSS) shows that lifetime and 12-month prevalence of male-perpetrated physical and/or sexual violence experienced by men has decreased markedly between 2012 and 2016, mostly due to a considerable decline in physical violence. It could be posited that public attention and policy responses to male public violence have had some effect in the time period. The rate of male homicide victimisation also declined between 2009–10 and </w:t>
      </w:r>
      <w:r w:rsidR="00E36D92">
        <w:br/>
      </w:r>
      <w:r>
        <w:t>2015–16.</w:t>
      </w:r>
    </w:p>
    <w:p w14:paraId="5B638B27" w14:textId="402E3316" w:rsidR="00514CC0" w:rsidRDefault="00E72B49">
      <w:pPr>
        <w:pStyle w:val="BodyText"/>
      </w:pPr>
      <w:r>
        <w:t>These findings are encouraging and show that high rates of violence can be reduced in</w:t>
      </w:r>
      <w:r w:rsidR="00F42FFD">
        <w:t> </w:t>
      </w:r>
      <w:r>
        <w:t>relatively short periods of time. On the basis of this data, it is not possible to make conclusive statements about what factors have influenced this marked decline in the prevalence rates of men’s experiences of male physical violence. However, there have been</w:t>
      </w:r>
      <w:r w:rsidR="00F42FFD">
        <w:t> </w:t>
      </w:r>
      <w:r>
        <w:t>a number of public policy interventions and legislative reforms undertaken in this time period, as well as significant community discourse, focused on male violence towards other men in public spaces. However, it is also important to note that, as</w:t>
      </w:r>
      <w:r w:rsidR="0044154C">
        <w:t xml:space="preserve"> Section 2 Part B</w:t>
      </w:r>
      <w:r>
        <w:t xml:space="preserve"> of</w:t>
      </w:r>
      <w:r w:rsidR="0044154C">
        <w:t xml:space="preserve"> </w:t>
      </w:r>
      <w:r>
        <w:t>this report demonstrates, commensurate declines in women’s experiences of male-perpetrated violence have not occurred in the same period. In this respect, while it is critical</w:t>
      </w:r>
      <w:r w:rsidR="00F42FFD">
        <w:t> </w:t>
      </w:r>
      <w:r>
        <w:t xml:space="preserve">to reduce </w:t>
      </w:r>
      <w:r>
        <w:lastRenderedPageBreak/>
        <w:t>men’s experience of male violence (both in principle and because this is a</w:t>
      </w:r>
      <w:r w:rsidR="00F42FFD">
        <w:t> </w:t>
      </w:r>
      <w:r>
        <w:t>reinforcing factor for violence against women), the data shows that this alone will not automatically translate to a reduction in male-perpetrated violence against women. Without</w:t>
      </w:r>
      <w:r w:rsidR="00F42FFD">
        <w:t> </w:t>
      </w:r>
      <w:r>
        <w:t>ongoing attention to the gendered drivers of violence against women, it is unlikely that we will see such declines in the prevalence rates of violence experienced by women.</w:t>
      </w:r>
    </w:p>
    <w:p w14:paraId="14DE4A30" w14:textId="7919EED8" w:rsidR="00514CC0" w:rsidRDefault="00E72B49">
      <w:pPr>
        <w:pStyle w:val="BodyText"/>
      </w:pPr>
      <w:r>
        <w:t xml:space="preserve">Additionally, reductions in men’s experiences of male violence have not been universally experienced across the Australian population. As the National Aboriginal and Torres Strait Islander Social Survey (NATSISS) data reveals, the 12-month prevalence rate of Aboriginal and Torres Strait Islander men’s experience of violence has remained high and relatively consistent between 2008 and 2014–15. </w:t>
      </w:r>
      <w:r w:rsidR="006C1E37" w:rsidRPr="006C1E37">
        <w:t>This finding highlights the need to address not only</w:t>
      </w:r>
      <w:r w:rsidR="006C1E37">
        <w:t> </w:t>
      </w:r>
      <w:r w:rsidR="006C1E37" w:rsidRPr="006C1E37">
        <w:t>gender inequality but other intersecting forms of discrimination and oppression in undertaking violence prevention work – what works for significant proportions of the population does not work for everyone.</w:t>
      </w:r>
    </w:p>
    <w:p w14:paraId="2ED0BFF2" w14:textId="77777777" w:rsidR="00514CC0" w:rsidRDefault="00E72B49" w:rsidP="00E1549C">
      <w:pPr>
        <w:pStyle w:val="Heading4"/>
        <w:rPr>
          <w:rStyle w:val="OWCharacterOpal"/>
        </w:rPr>
      </w:pPr>
      <w:r>
        <w:rPr>
          <w:rStyle w:val="OWCharacterOpal"/>
        </w:rPr>
        <w:t>Indicator 8.1: Proportion of children aged 0 to 17 years who experienced any physical punishment and/or psychological aggression that constitutes abuse by caregivers in the past year</w:t>
      </w:r>
      <w:r w:rsidRPr="00AA283C">
        <w:rPr>
          <w:rStyle w:val="OWSuperscriptOpal"/>
          <w:color w:val="00828C"/>
        </w:rPr>
        <w:footnoteReference w:id="55"/>
      </w:r>
    </w:p>
    <w:tbl>
      <w:tblPr>
        <w:tblStyle w:val="Indicatoroutlineopal"/>
        <w:tblW w:w="9072" w:type="dxa"/>
        <w:tblLayout w:type="fixed"/>
        <w:tblLook w:val="0680" w:firstRow="0" w:lastRow="0" w:firstColumn="1" w:lastColumn="0" w:noHBand="1" w:noVBand="1"/>
      </w:tblPr>
      <w:tblGrid>
        <w:gridCol w:w="3402"/>
        <w:gridCol w:w="5670"/>
      </w:tblGrid>
      <w:tr w:rsidR="00514CC0" w14:paraId="13CCCB51" w14:textId="77777777" w:rsidTr="00F0324E">
        <w:trPr>
          <w:cantSplit/>
          <w:trHeight w:val="60"/>
        </w:trPr>
        <w:tc>
          <w:tcPr>
            <w:tcW w:w="3402" w:type="dxa"/>
          </w:tcPr>
          <w:p w14:paraId="19607CB6" w14:textId="77777777" w:rsidR="00514CC0" w:rsidRDefault="00E72B49">
            <w:pPr>
              <w:pStyle w:val="OWTablebodyleft"/>
            </w:pPr>
            <w:r>
              <w:t>What does this indicator tell us about Monitoring domain 8: Experience of, and exposure to, violence?</w:t>
            </w:r>
          </w:p>
        </w:tc>
        <w:tc>
          <w:tcPr>
            <w:tcW w:w="5669" w:type="dxa"/>
          </w:tcPr>
          <w:p w14:paraId="259D04C5" w14:textId="77777777" w:rsidR="00514CC0" w:rsidRDefault="00E72B49">
            <w:pPr>
              <w:pStyle w:val="OWTablebodyleft"/>
            </w:pPr>
            <w:r>
              <w:t>This indicator measures change in contemporary incident reporting of child abuse by caregivers through the national child protection system.</w:t>
            </w:r>
          </w:p>
        </w:tc>
      </w:tr>
      <w:tr w:rsidR="00514CC0" w14:paraId="48C0E2C1" w14:textId="77777777" w:rsidTr="00F0324E">
        <w:trPr>
          <w:cantSplit/>
          <w:trHeight w:val="60"/>
        </w:trPr>
        <w:tc>
          <w:tcPr>
            <w:tcW w:w="3402" w:type="dxa"/>
          </w:tcPr>
          <w:p w14:paraId="32A09C6C" w14:textId="77777777" w:rsidR="00514CC0" w:rsidRDefault="00E72B49">
            <w:pPr>
              <w:pStyle w:val="OWTablebodyleft"/>
            </w:pPr>
            <w:r>
              <w:t>Expected change if high-quality programs and infrastructure for prevention of violence against women and gender equality are implemented</w:t>
            </w:r>
          </w:p>
        </w:tc>
        <w:tc>
          <w:tcPr>
            <w:tcW w:w="5669" w:type="dxa"/>
          </w:tcPr>
          <w:p w14:paraId="569DA556" w14:textId="77777777" w:rsidR="00514CC0" w:rsidRDefault="00E72B49">
            <w:pPr>
              <w:pStyle w:val="OWTablebodyleft"/>
            </w:pPr>
            <w:r>
              <w:t>Short- and medium-term: increased reports of child abuse and neglect.</w:t>
            </w:r>
          </w:p>
          <w:p w14:paraId="78DCC6BB" w14:textId="77777777" w:rsidR="00514CC0" w:rsidRDefault="00E72B49">
            <w:pPr>
              <w:pStyle w:val="OWTablebodyleft"/>
            </w:pPr>
            <w:r>
              <w:t>Long-term: these rates will plateau.</w:t>
            </w:r>
          </w:p>
        </w:tc>
      </w:tr>
      <w:tr w:rsidR="00514CC0" w14:paraId="4EA41322" w14:textId="77777777" w:rsidTr="00F0324E">
        <w:trPr>
          <w:cantSplit/>
          <w:trHeight w:val="60"/>
        </w:trPr>
        <w:tc>
          <w:tcPr>
            <w:tcW w:w="3402" w:type="dxa"/>
          </w:tcPr>
          <w:p w14:paraId="2AC7D278" w14:textId="77777777" w:rsidR="00514CC0" w:rsidRDefault="00E72B49">
            <w:pPr>
              <w:pStyle w:val="OWTablebodyleft"/>
            </w:pPr>
            <w:r>
              <w:t>Data source(s)</w:t>
            </w:r>
          </w:p>
        </w:tc>
        <w:tc>
          <w:tcPr>
            <w:tcW w:w="5669" w:type="dxa"/>
          </w:tcPr>
          <w:p w14:paraId="4EE1FC97" w14:textId="08383599" w:rsidR="00514CC0" w:rsidRDefault="00E72B49">
            <w:pPr>
              <w:pStyle w:val="OWTablebodyleft"/>
            </w:pPr>
            <w:r>
              <w:t xml:space="preserve">Australian Institute of Health and Welfare (AIHW), </w:t>
            </w:r>
            <w:r w:rsidRPr="003E209A">
              <w:rPr>
                <w:rStyle w:val="Emphasis"/>
              </w:rPr>
              <w:t>Child</w:t>
            </w:r>
            <w:r w:rsidR="00F42FFD">
              <w:rPr>
                <w:rStyle w:val="Emphasis"/>
              </w:rPr>
              <w:t> </w:t>
            </w:r>
            <w:r w:rsidRPr="003E209A">
              <w:rPr>
                <w:rStyle w:val="Emphasis"/>
              </w:rPr>
              <w:t>protection Australia</w:t>
            </w:r>
            <w:r>
              <w:t>, annual reports, 2013–14 and 2017–18, AIHW</w:t>
            </w:r>
            <w:r w:rsidR="00CF2C19">
              <w:rPr>
                <w:rStyle w:val="EndnoteReference"/>
              </w:rPr>
              <w:endnoteReference w:id="465"/>
            </w:r>
          </w:p>
        </w:tc>
      </w:tr>
      <w:tr w:rsidR="00514CC0" w14:paraId="04CE6EBD" w14:textId="77777777" w:rsidTr="00F0324E">
        <w:trPr>
          <w:cantSplit/>
          <w:trHeight w:val="211"/>
        </w:trPr>
        <w:tc>
          <w:tcPr>
            <w:tcW w:w="3402" w:type="dxa"/>
          </w:tcPr>
          <w:p w14:paraId="077ED6DF" w14:textId="3DD31A83" w:rsidR="00514CC0" w:rsidRDefault="00E72B49">
            <w:pPr>
              <w:pStyle w:val="OWTablebodyleft"/>
            </w:pPr>
            <w:r>
              <w:t>Change over time summary: short-term change revealed by</w:t>
            </w:r>
            <w:r w:rsidR="00F42FFD">
              <w:t> </w:t>
            </w:r>
            <w:r>
              <w:t>the data</w:t>
            </w:r>
          </w:p>
        </w:tc>
        <w:tc>
          <w:tcPr>
            <w:tcW w:w="5669" w:type="dxa"/>
          </w:tcPr>
          <w:p w14:paraId="2805E27C" w14:textId="77777777" w:rsidR="00514CC0" w:rsidRDefault="00E72B49">
            <w:pPr>
              <w:pStyle w:val="OWTablebodyleft"/>
            </w:pPr>
            <w:r>
              <w:t xml:space="preserve">Substantial increase in substantiated reports of child abuse through the national child protection system, between 2013–14 and 2017–18. </w:t>
            </w:r>
          </w:p>
        </w:tc>
      </w:tr>
      <w:tr w:rsidR="00514CC0" w14:paraId="4136E945" w14:textId="77777777" w:rsidTr="00F0324E">
        <w:trPr>
          <w:cantSplit/>
          <w:trHeight w:val="60"/>
        </w:trPr>
        <w:tc>
          <w:tcPr>
            <w:tcW w:w="3402" w:type="dxa"/>
          </w:tcPr>
          <w:p w14:paraId="7E7B0B45" w14:textId="77777777" w:rsidR="00514CC0" w:rsidRDefault="00E72B49">
            <w:pPr>
              <w:pStyle w:val="OWTablebodyleft"/>
            </w:pPr>
            <w:r>
              <w:t>Does the change confirm or run contrary to expected change?</w:t>
            </w:r>
          </w:p>
        </w:tc>
        <w:tc>
          <w:tcPr>
            <w:tcW w:w="5669" w:type="dxa"/>
          </w:tcPr>
          <w:p w14:paraId="516C4243" w14:textId="77777777" w:rsidR="00514CC0" w:rsidRDefault="00E72B49">
            <w:pPr>
              <w:pStyle w:val="OWTablebodyleft"/>
            </w:pPr>
            <w:r>
              <w:t>Confirms expected change.</w:t>
            </w:r>
          </w:p>
        </w:tc>
      </w:tr>
      <w:tr w:rsidR="00514CC0" w14:paraId="29DBE096" w14:textId="77777777" w:rsidTr="00F0324E">
        <w:trPr>
          <w:cantSplit/>
          <w:trHeight w:val="60"/>
        </w:trPr>
        <w:tc>
          <w:tcPr>
            <w:tcW w:w="3402" w:type="dxa"/>
          </w:tcPr>
          <w:p w14:paraId="729FC93D" w14:textId="77777777" w:rsidR="00514CC0" w:rsidRDefault="00E72B49">
            <w:pPr>
              <w:pStyle w:val="OWTablebodyleft"/>
            </w:pPr>
            <w:r>
              <w:t>Gaps in existing data</w:t>
            </w:r>
          </w:p>
        </w:tc>
        <w:tc>
          <w:tcPr>
            <w:tcW w:w="5669" w:type="dxa"/>
          </w:tcPr>
          <w:p w14:paraId="76F82CCE" w14:textId="11CFF5A3" w:rsidR="00514CC0" w:rsidRDefault="00E72B49">
            <w:pPr>
              <w:pStyle w:val="OWTablebodyleft"/>
            </w:pPr>
            <w:r>
              <w:t>Child protection data is not prevalence data; that is, it</w:t>
            </w:r>
            <w:r w:rsidR="00F42FFD">
              <w:t> </w:t>
            </w:r>
            <w:r>
              <w:t>does not tell us the true prevalence of child abuse and neglect in the current period.</w:t>
            </w:r>
          </w:p>
        </w:tc>
      </w:tr>
    </w:tbl>
    <w:p w14:paraId="02FD6582" w14:textId="4C21773A" w:rsidR="00514CC0" w:rsidRDefault="00E72B49" w:rsidP="00E36D92">
      <w:pPr>
        <w:pStyle w:val="OWBodytextlargespaceabove"/>
      </w:pPr>
      <w:r>
        <w:lastRenderedPageBreak/>
        <w:t>There are currently no Australian nationwide studies tracking the prevalence of child abuse and neglect in the contemporary period.</w:t>
      </w:r>
      <w:r w:rsidR="00CF2C19">
        <w:rPr>
          <w:rStyle w:val="EndnoteReference"/>
        </w:rPr>
        <w:endnoteReference w:id="466"/>
      </w:r>
      <w:r>
        <w:t xml:space="preserve"> The PSS only tracks prevalence of child abuse by asking adults about their childhood experiences, and therefore is historical in nature. The following data relies on administrative data that measures incidences of specific forms of maltreatment, as reported and investigated through child protection channels. National child protection data is aggregated across states and territories annually. However, it is important to note that this data is based on </w:t>
      </w:r>
      <w:r w:rsidRPr="003E209A">
        <w:rPr>
          <w:rStyle w:val="Emphasis"/>
        </w:rPr>
        <w:t>reported</w:t>
      </w:r>
      <w:r>
        <w:t xml:space="preserve"> cases, so is likely to understate the true</w:t>
      </w:r>
      <w:r w:rsidR="00F42FFD">
        <w:t> </w:t>
      </w:r>
      <w:r>
        <w:t xml:space="preserve">prevalence of child abuse and neglect across Australia. Data tracking over time also has some limitations including jurisdictional changes, and therefore data collected earlier than </w:t>
      </w:r>
      <w:r>
        <w:br/>
        <w:t>2013–14 cannot be compared to the most recent data (2017–18).</w:t>
      </w:r>
      <w:r w:rsidR="00CF2C19">
        <w:rPr>
          <w:rStyle w:val="EndnoteReference"/>
        </w:rPr>
        <w:endnoteReference w:id="467"/>
      </w:r>
    </w:p>
    <w:p w14:paraId="4E2BEBB1" w14:textId="6F9BF5A5" w:rsidR="00514CC0" w:rsidRDefault="00E72B49">
      <w:pPr>
        <w:pStyle w:val="BodyText"/>
      </w:pPr>
      <w:r>
        <w:t>According to the Australian Institute of Health and Welfare’s Child Protection Australia reports, the overall number of children who were the subjects of child protection report substantiations has risen by 24% between 2013–14 and 2017–18.</w:t>
      </w:r>
      <w:r w:rsidR="00CF2C19">
        <w:rPr>
          <w:rStyle w:val="EndnoteReference"/>
        </w:rPr>
        <w:endnoteReference w:id="468"/>
      </w:r>
      <w:r>
        <w:t xml:space="preserve"> A ‘substantiation’ means there is ‘sufficient reason (after an investigation) to believe the child has been, is being, or is likely to be abused, neglected or otherwise harmed’.</w:t>
      </w:r>
      <w:r w:rsidR="00CF2C19">
        <w:rPr>
          <w:rStyle w:val="EndnoteReference"/>
        </w:rPr>
        <w:endnoteReference w:id="469"/>
      </w:r>
      <w:r>
        <w:t xml:space="preserve"> As a proportion of the population aged 0 to 17 years, this increase is from 7.2 per 1,000 children in 2013 to 2014, to 8.5 per 1,000 in 2017 to 2018.</w:t>
      </w:r>
      <w:r w:rsidR="00CF2C19">
        <w:rPr>
          <w:rStyle w:val="EndnoteReference"/>
        </w:rPr>
        <w:endnoteReference w:id="470"/>
      </w:r>
    </w:p>
    <w:p w14:paraId="05FDB960" w14:textId="6A3E3AB1" w:rsidR="00514CC0" w:rsidRDefault="00E72B49">
      <w:pPr>
        <w:pStyle w:val="BodyText"/>
      </w:pPr>
      <w:r>
        <w:t>The Australian Institute of Health and Welfare attributes the significant increase in substantiations (and prior notifications or reports) to legislative changes, enhanced public awareness, changes to statutory responses to child protection issues, and inquiries into child protection processes, as well as actual increases in the incidences of abuse and neglect perpetrated against children.</w:t>
      </w:r>
      <w:r w:rsidR="00CF2C19">
        <w:rPr>
          <w:rStyle w:val="EndnoteReference"/>
        </w:rPr>
        <w:endnoteReference w:id="471"/>
      </w:r>
      <w:r>
        <w:t xml:space="preserve"> The Royal Commission into Institutional Responses to Child Sexual Abuse ran from January 2013 to December 2017. The subsequent media coverage and public discourse around the broader issue of child sexual abuse may have contributed to</w:t>
      </w:r>
      <w:r w:rsidR="00F42FFD">
        <w:t> </w:t>
      </w:r>
      <w:r>
        <w:t>the increase in public awareness and subsequent reporting.</w:t>
      </w:r>
    </w:p>
    <w:p w14:paraId="71BD5AB5" w14:textId="77777777" w:rsidR="00514CC0" w:rsidRDefault="00E72B49" w:rsidP="00E1549C">
      <w:pPr>
        <w:pStyle w:val="Heading4"/>
        <w:rPr>
          <w:rStyle w:val="OWCharacterOpal"/>
        </w:rPr>
      </w:pPr>
      <w:r>
        <w:rPr>
          <w:rStyle w:val="OWCharacterOpal"/>
        </w:rPr>
        <w:t>Indicator 8.2: Percentage of men who have experienced violence by a male perpetrator (male victims of male-on-male violence)</w:t>
      </w:r>
    </w:p>
    <w:tbl>
      <w:tblPr>
        <w:tblStyle w:val="Indicatoroutlineopal"/>
        <w:tblW w:w="9072" w:type="dxa"/>
        <w:tblLayout w:type="fixed"/>
        <w:tblLook w:val="0680" w:firstRow="0" w:lastRow="0" w:firstColumn="1" w:lastColumn="0" w:noHBand="1" w:noVBand="1"/>
      </w:tblPr>
      <w:tblGrid>
        <w:gridCol w:w="2835"/>
        <w:gridCol w:w="6237"/>
      </w:tblGrid>
      <w:tr w:rsidR="00514CC0" w14:paraId="690B1DCB" w14:textId="77777777" w:rsidTr="00F0324E">
        <w:trPr>
          <w:cantSplit/>
          <w:trHeight w:val="60"/>
        </w:trPr>
        <w:tc>
          <w:tcPr>
            <w:tcW w:w="2835" w:type="dxa"/>
          </w:tcPr>
          <w:p w14:paraId="084DD2DC" w14:textId="77777777" w:rsidR="00514CC0" w:rsidRDefault="00E72B49">
            <w:pPr>
              <w:pStyle w:val="OWTablebodyleft"/>
            </w:pPr>
            <w:r>
              <w:t>What does this indicator tell us about Monitoring domain 8: Experience of, and exposure to, violence?</w:t>
            </w:r>
          </w:p>
        </w:tc>
        <w:tc>
          <w:tcPr>
            <w:tcW w:w="6236" w:type="dxa"/>
          </w:tcPr>
          <w:p w14:paraId="2C9EF433" w14:textId="77777777" w:rsidR="00514CC0" w:rsidRDefault="00E72B49">
            <w:pPr>
              <w:pStyle w:val="OWTablebodyleft"/>
            </w:pPr>
            <w:r>
              <w:t>Men’s exposure to violence from other men, and socialisation into a culture of interpersonal relations whereby violence is a key form of male expression, propels greater risk of male perpetration of violence against women. A decrease in male-on-male violence is one necessary element in reducing the risk of male perpetration of violence against women. This indicator tracks any change to male victimisation by other men.</w:t>
            </w:r>
          </w:p>
        </w:tc>
      </w:tr>
      <w:tr w:rsidR="00514CC0" w14:paraId="13ABDDEF" w14:textId="77777777" w:rsidTr="00F0324E">
        <w:trPr>
          <w:cantSplit/>
          <w:trHeight w:val="60"/>
        </w:trPr>
        <w:tc>
          <w:tcPr>
            <w:tcW w:w="2835" w:type="dxa"/>
          </w:tcPr>
          <w:p w14:paraId="6A82E9B5" w14:textId="77777777" w:rsidR="00514CC0" w:rsidRDefault="00E72B49">
            <w:pPr>
              <w:pStyle w:val="OWTablebodyleft"/>
            </w:pPr>
            <w:r>
              <w:t>Expected change if high-quality programs and infrastructure for prevention of violence against women and gender equality are implemented</w:t>
            </w:r>
          </w:p>
        </w:tc>
        <w:tc>
          <w:tcPr>
            <w:tcW w:w="6236" w:type="dxa"/>
          </w:tcPr>
          <w:p w14:paraId="3B4CB359" w14:textId="77777777" w:rsidR="00514CC0" w:rsidRDefault="00E72B49">
            <w:pPr>
              <w:pStyle w:val="OWTablebodyleft"/>
            </w:pPr>
            <w:r>
              <w:t>Short- and medium-term: Reported rates of violence will increase with increased awareness.</w:t>
            </w:r>
          </w:p>
          <w:p w14:paraId="08893B12" w14:textId="77777777" w:rsidR="00514CC0" w:rsidRDefault="00E72B49">
            <w:pPr>
              <w:pStyle w:val="OWTablebodyleft"/>
            </w:pPr>
            <w:r>
              <w:t>Long-term: Experiences of male-on-male violence will plateau.</w:t>
            </w:r>
          </w:p>
        </w:tc>
      </w:tr>
      <w:tr w:rsidR="00514CC0" w14:paraId="38203393" w14:textId="77777777" w:rsidTr="00F0324E">
        <w:trPr>
          <w:cantSplit/>
          <w:trHeight w:val="60"/>
        </w:trPr>
        <w:tc>
          <w:tcPr>
            <w:tcW w:w="2835" w:type="dxa"/>
          </w:tcPr>
          <w:p w14:paraId="436DDCBC" w14:textId="77777777" w:rsidR="00514CC0" w:rsidRDefault="00E72B49">
            <w:pPr>
              <w:pStyle w:val="OWTablebodyleft"/>
            </w:pPr>
            <w:r>
              <w:lastRenderedPageBreak/>
              <w:t>Data source(s)</w:t>
            </w:r>
          </w:p>
        </w:tc>
        <w:tc>
          <w:tcPr>
            <w:tcW w:w="6236" w:type="dxa"/>
          </w:tcPr>
          <w:p w14:paraId="68B9FA00" w14:textId="77777777" w:rsidR="00514CC0" w:rsidRDefault="00E72B49" w:rsidP="002C2EC7">
            <w:pPr>
              <w:pStyle w:val="OWTablenumberdigit"/>
              <w:numPr>
                <w:ilvl w:val="0"/>
                <w:numId w:val="37"/>
              </w:numPr>
            </w:pPr>
            <w:r>
              <w:t>Personal Safety Survey (PSS) 2012 and 2016, ABS</w:t>
            </w:r>
          </w:p>
          <w:p w14:paraId="41B8CCCF" w14:textId="77777777" w:rsidR="00514CC0" w:rsidRDefault="00E72B49">
            <w:pPr>
              <w:pStyle w:val="OWTablenumberdigit"/>
            </w:pPr>
            <w:r>
              <w:t>National Aboriginal and Torres Strait Islander Social Survey (NATSISS) 2008 and 2014–15, ABS</w:t>
            </w:r>
          </w:p>
          <w:p w14:paraId="6995EFDF" w14:textId="34A10411" w:rsidR="00514CC0" w:rsidRDefault="00E72B49">
            <w:pPr>
              <w:pStyle w:val="OWTablenumberdigit"/>
            </w:pPr>
            <w:r>
              <w:t>National Homicide Monitoring Program, Australian Institute of Criminology, analysis of 2009–2016 homicide data</w:t>
            </w:r>
            <w:r w:rsidR="00CF2C19">
              <w:rPr>
                <w:rStyle w:val="EndnoteReference"/>
              </w:rPr>
              <w:endnoteReference w:id="472"/>
            </w:r>
          </w:p>
        </w:tc>
      </w:tr>
      <w:tr w:rsidR="00514CC0" w14:paraId="188ED536" w14:textId="77777777" w:rsidTr="00F0324E">
        <w:trPr>
          <w:cantSplit/>
          <w:trHeight w:val="60"/>
        </w:trPr>
        <w:tc>
          <w:tcPr>
            <w:tcW w:w="2835" w:type="dxa"/>
          </w:tcPr>
          <w:p w14:paraId="46676804" w14:textId="754A3E59" w:rsidR="00514CC0" w:rsidRDefault="00E72B49">
            <w:pPr>
              <w:pStyle w:val="OWTablebodyleft"/>
            </w:pPr>
            <w:r>
              <w:t>Change over time summary: short-term change revealed by the</w:t>
            </w:r>
            <w:r w:rsidR="00F42FFD">
              <w:t> </w:t>
            </w:r>
            <w:r>
              <w:t>data</w:t>
            </w:r>
          </w:p>
        </w:tc>
        <w:tc>
          <w:tcPr>
            <w:tcW w:w="6236" w:type="dxa"/>
          </w:tcPr>
          <w:p w14:paraId="080E4496" w14:textId="77777777" w:rsidR="00514CC0" w:rsidRDefault="00E72B49">
            <w:pPr>
              <w:pStyle w:val="OWTablebodyleft"/>
            </w:pPr>
            <w:r>
              <w:t>A decline in men’s 12-month experiences of male-perpetrated physical violence has been noted.</w:t>
            </w:r>
          </w:p>
          <w:p w14:paraId="2669EDE2" w14:textId="77777777" w:rsidR="00514CC0" w:rsidRDefault="00E72B49">
            <w:pPr>
              <w:pStyle w:val="OWTablebodyleft"/>
            </w:pPr>
            <w:r>
              <w:t>The 12-month prevalence rate of Aboriginal and Torres Strait Islander men’s experiences of physical violence has remained high and relatively consistent between 2008 and 2014–15.</w:t>
            </w:r>
          </w:p>
          <w:p w14:paraId="48D7C434" w14:textId="77777777" w:rsidR="00514CC0" w:rsidRDefault="00E72B49">
            <w:pPr>
              <w:pStyle w:val="OWTablebodyleft"/>
            </w:pPr>
            <w:r>
              <w:t>The rate of whole-of-population male homicide victimisation declined between 2009–10 and 2015–16.</w:t>
            </w:r>
          </w:p>
        </w:tc>
      </w:tr>
      <w:tr w:rsidR="00514CC0" w14:paraId="3567D5B9" w14:textId="77777777" w:rsidTr="00F0324E">
        <w:trPr>
          <w:cantSplit/>
          <w:trHeight w:val="60"/>
        </w:trPr>
        <w:tc>
          <w:tcPr>
            <w:tcW w:w="2835" w:type="dxa"/>
          </w:tcPr>
          <w:p w14:paraId="3A9635AF" w14:textId="77777777" w:rsidR="00514CC0" w:rsidRDefault="00E72B49">
            <w:pPr>
              <w:pStyle w:val="OWTablebodyleft"/>
            </w:pPr>
            <w:r>
              <w:t>Does the change confirm or run contrary to expected change?</w:t>
            </w:r>
          </w:p>
        </w:tc>
        <w:tc>
          <w:tcPr>
            <w:tcW w:w="6236" w:type="dxa"/>
          </w:tcPr>
          <w:p w14:paraId="2F9655D7" w14:textId="77777777" w:rsidR="00514CC0" w:rsidRDefault="00E72B49">
            <w:pPr>
              <w:pStyle w:val="OWTablebodyleft"/>
            </w:pPr>
            <w:r>
              <w:t>Contrary to expected change: there has been a decline in prevalence rates of male-on-male violence.</w:t>
            </w:r>
          </w:p>
        </w:tc>
      </w:tr>
      <w:tr w:rsidR="00514CC0" w14:paraId="2635DB53" w14:textId="77777777" w:rsidTr="00F0324E">
        <w:trPr>
          <w:cantSplit/>
          <w:trHeight w:val="60"/>
        </w:trPr>
        <w:tc>
          <w:tcPr>
            <w:tcW w:w="2835" w:type="dxa"/>
          </w:tcPr>
          <w:p w14:paraId="6B7EF205" w14:textId="77777777" w:rsidR="00514CC0" w:rsidRDefault="00E72B49">
            <w:pPr>
              <w:pStyle w:val="OWTablebodyleft"/>
            </w:pPr>
            <w:r>
              <w:t>Gaps in existing data</w:t>
            </w:r>
          </w:p>
        </w:tc>
        <w:tc>
          <w:tcPr>
            <w:tcW w:w="6236" w:type="dxa"/>
          </w:tcPr>
          <w:p w14:paraId="787703BC" w14:textId="16032497" w:rsidR="000C36AA" w:rsidRDefault="000C36AA">
            <w:pPr>
              <w:pStyle w:val="OWTablebodyleft"/>
            </w:pPr>
            <w:r w:rsidRPr="000C36AA">
              <w:t>The PSS 12-month rates of male-perpetrated sexual violence against men are very low with high relative standards of error, and therefore not provided in this report.</w:t>
            </w:r>
          </w:p>
          <w:p w14:paraId="0017A587" w14:textId="77777777" w:rsidR="00514CC0" w:rsidRDefault="00E72B49">
            <w:pPr>
              <w:pStyle w:val="OWTablebodyleft"/>
            </w:pPr>
            <w:r>
              <w:t xml:space="preserve">The publicly-available NATSISS data does not allow for gender disaggregation of perpetration; therefore there are limits to the accuracy in measuring First Nations men’s experience of </w:t>
            </w:r>
            <w:r w:rsidRPr="00841735">
              <w:rPr>
                <w:i/>
              </w:rPr>
              <w:t>male</w:t>
            </w:r>
            <w:r>
              <w:t>-perpetrated violence.</w:t>
            </w:r>
          </w:p>
        </w:tc>
      </w:tr>
    </w:tbl>
    <w:p w14:paraId="59FA210F" w14:textId="77777777" w:rsidR="00514CC0" w:rsidRDefault="00E72B49" w:rsidP="00F868FE">
      <w:pPr>
        <w:pStyle w:val="Heading5"/>
      </w:pPr>
      <w:r>
        <w:t>Men’s 12-month experiences of physical violence by a male perpetrator</w:t>
      </w:r>
      <w:r>
        <w:rPr>
          <w:rStyle w:val="OWSuperscript"/>
        </w:rPr>
        <w:footnoteReference w:id="56"/>
      </w:r>
    </w:p>
    <w:p w14:paraId="6BD31E61" w14:textId="77777777" w:rsidR="00514CC0" w:rsidRDefault="00E72B49">
      <w:pPr>
        <w:pStyle w:val="BodyText"/>
      </w:pPr>
      <w:r>
        <w:t>On the basis of the PSS data, in 2012, 7.7% of adult men experienced male-perpetrated physical violence in the previous 12 months. This rate had declined to 4.4% of adult men in 2016.</w:t>
      </w:r>
    </w:p>
    <w:p w14:paraId="1D415897" w14:textId="77777777" w:rsidR="00514CC0" w:rsidRDefault="00E72B49" w:rsidP="00F868FE">
      <w:pPr>
        <w:pStyle w:val="Heading5"/>
      </w:pPr>
      <w:r>
        <w:t>Aboriginal and Torres Strait Islander men’s experiences of physical violence</w:t>
      </w:r>
    </w:p>
    <w:p w14:paraId="6EF05B50" w14:textId="77777777" w:rsidR="00514CC0" w:rsidRDefault="00E72B49">
      <w:pPr>
        <w:pStyle w:val="BodyText"/>
      </w:pPr>
      <w:r>
        <w:t xml:space="preserve">As noted elsewhere in this report and in </w:t>
      </w:r>
      <w:r w:rsidRPr="003E209A">
        <w:rPr>
          <w:rStyle w:val="Emphasis"/>
        </w:rPr>
        <w:t>Counting on change</w:t>
      </w:r>
      <w:r>
        <w:t>, the PSS does not disaggregate results by Indigenous status and therefore does not allow for analysis of Aboriginal and Torres Strait Islander men’s experiences of male violence as compared with the broader or non-Indigenous population. The 2014–15 NATSISS gives us some indication of Aboriginal and Torres Strait Islander men’s experiences of male violence, as does national homicide data (see the next section).</w:t>
      </w:r>
    </w:p>
    <w:p w14:paraId="15EC10B0" w14:textId="1545A393" w:rsidR="00514CC0" w:rsidRDefault="00E72B49">
      <w:pPr>
        <w:pStyle w:val="BodyText"/>
      </w:pPr>
      <w:r>
        <w:t xml:space="preserve">According to the 2014–15 NATSISS, both Aboriginal and Torres Strait Islander men and women experienced, in the 12 months prior, physical violence or threatened physical </w:t>
      </w:r>
      <w:r>
        <w:lastRenderedPageBreak/>
        <w:t>violence at rates which are similar to each other (22.8% of Aboriginal and Torres Strait Islander men, and 21.7% of Aboriginal and Torres Strait Islander women).</w:t>
      </w:r>
      <w:r>
        <w:rPr>
          <w:rStyle w:val="OWSuperscript"/>
        </w:rPr>
        <w:footnoteReference w:id="57"/>
      </w:r>
      <w:r>
        <w:t xml:space="preserve"> In the 12</w:t>
      </w:r>
      <w:r w:rsidR="00F42FFD">
        <w:t> </w:t>
      </w:r>
      <w:r>
        <w:t>months prior to the 2008 survey, 24% of Aboriginal and Torres Strait Islander men had experienced one or more incidents of physical violence (by any perpetrator). Therefore, between 2008 and 2014–15, 12-month prevalence rates of physical violence experienced by</w:t>
      </w:r>
      <w:r w:rsidR="00F42FFD">
        <w:t> </w:t>
      </w:r>
      <w:r>
        <w:t>Aboriginal and Torres Strait Islander men have remained high and relatively consistent, though with a marginal decrease of approximately 1%.</w:t>
      </w:r>
    </w:p>
    <w:p w14:paraId="1C48F6E6" w14:textId="77777777" w:rsidR="00514CC0" w:rsidRDefault="00E72B49">
      <w:pPr>
        <w:pStyle w:val="BodyText"/>
      </w:pPr>
      <w:r>
        <w:t>Unfortunately, publicly available NATSISS data does not allow for a sex/gender-disaggregation of perpetrators of violence against Aboriginal and Torres Strait Islander people, and therefore the exact prevalence of specifically male violence against Aboriginal and Torres Strait Islander men is unable to be reported here. However, it can be inferred from looking at the victim–perpetrator relationship in the data that men are more likely to be perpetrators of violence against Aboriginal and Torres Strait Islander men and women than women. On the basis of the 2014–15 NATSISS data, women were approximately seven times more likely than men to identify an intimate partner as the perpetrator of their most recent incident of physical violence in the previous 12 months. On the other hand, Aboriginal and Torres Strait Islander men were more likely than women to experience violence from a known person other than a family member (49.4% of men and 29.9% of women) or a stranger (17.2% of men and 4.7% of women).</w:t>
      </w:r>
    </w:p>
    <w:p w14:paraId="3634898E" w14:textId="033A1495" w:rsidR="00514CC0" w:rsidRDefault="00E72B49">
      <w:pPr>
        <w:pStyle w:val="BodyText"/>
      </w:pPr>
      <w:r>
        <w:t xml:space="preserve">It should also be noted that the NATSISS data does not allow for disaggregation as to whether perpetrators are Indigenous or non-Indigenous. However, as was noted in </w:t>
      </w:r>
      <w:r w:rsidRPr="003E209A">
        <w:rPr>
          <w:rStyle w:val="Emphasis"/>
        </w:rPr>
        <w:t>Changing the picture, Background paper</w:t>
      </w:r>
      <w:r>
        <w:t xml:space="preserve"> (2018), violence against Aboriginal and Torres Strait Islander women is perpetrated by men of all cultural backgrounds.</w:t>
      </w:r>
      <w:r w:rsidR="0088778C">
        <w:rPr>
          <w:rStyle w:val="EndnoteReference"/>
        </w:rPr>
        <w:endnoteReference w:id="473"/>
      </w:r>
      <w:r>
        <w:t xml:space="preserve"> As such, we would also expect this in relation to violence experienced by Aboriginal and Torres Strait Islander men.</w:t>
      </w:r>
    </w:p>
    <w:p w14:paraId="188DE8AD" w14:textId="77777777" w:rsidR="00514CC0" w:rsidRDefault="00E72B49" w:rsidP="00F868FE">
      <w:pPr>
        <w:pStyle w:val="Heading5"/>
      </w:pPr>
      <w:r>
        <w:t>Male homicide victimisation</w:t>
      </w:r>
    </w:p>
    <w:p w14:paraId="1723F164" w14:textId="7A0A9FF2" w:rsidR="00514CC0" w:rsidRDefault="00E72B49">
      <w:pPr>
        <w:pStyle w:val="BodyText"/>
      </w:pPr>
      <w:r>
        <w:t>While men are overrepresented as victims of homicide,</w:t>
      </w:r>
      <w:r>
        <w:rPr>
          <w:rStyle w:val="OWSuperscript"/>
        </w:rPr>
        <w:footnoteReference w:id="58"/>
      </w:r>
      <w:r>
        <w:t xml:space="preserve"> the annual rate of male homicide victimisation has declined somewhat in recent years. In 2009–10, the male victimisation rate was 1.70 homicides per 100,000 men; in 2015–16, this had declined to 1.27 homicides per 100,000 men.</w:t>
      </w:r>
      <w:r w:rsidR="0088778C">
        <w:rPr>
          <w:rStyle w:val="EndnoteReference"/>
        </w:rPr>
        <w:endnoteReference w:id="474"/>
      </w:r>
    </w:p>
    <w:p w14:paraId="58F05A2D" w14:textId="742F64BA" w:rsidR="00514CC0" w:rsidRDefault="00E72B49">
      <w:pPr>
        <w:pStyle w:val="BodyText"/>
      </w:pPr>
      <w:r>
        <w:t>Men are far more likely than women to perpetrate homicide, with 88% of homicide offenders in the 2012 to 2014 period being men. Men have consistently comprised at least 80% of offenders over the 25 years since the National Homicide Monitoring Program was established in 1989–90.</w:t>
      </w:r>
      <w:r w:rsidR="0088778C">
        <w:rPr>
          <w:rStyle w:val="EndnoteReference"/>
        </w:rPr>
        <w:endnoteReference w:id="475"/>
      </w:r>
    </w:p>
    <w:p w14:paraId="17C049D1" w14:textId="38AB9119" w:rsidR="00514CC0" w:rsidRDefault="00E72B49">
      <w:pPr>
        <w:pStyle w:val="BodyText"/>
      </w:pPr>
      <w:r>
        <w:lastRenderedPageBreak/>
        <w:t>The patterns of male and female homicide victimisation vary considerably, and echo broader violence patterns, whereby women are far more likely to be killed by an offender with whom they have a partner or familial relationship than men, and less likely than men to be victims of acquaintance or stranger homicide. In the period from 2012 to 2014, women comprised 79% of intimate partner homicide victims, and were almost twice as likely as men to be victims of any type of domestic/familial homicide. In contrast, men comprised 83% of acquaintance homicides, 92% of stranger homicides and 82% of homicides wherein the principal relationship to the perpetrator was not able to be determined or had not yet been</w:t>
      </w:r>
      <w:r w:rsidR="00F42FFD">
        <w:t> </w:t>
      </w:r>
      <w:r>
        <w:t xml:space="preserve">determined (see Table </w:t>
      </w:r>
      <w:r w:rsidR="0017588F">
        <w:t>35</w:t>
      </w:r>
      <w:r>
        <w:t>, below).</w:t>
      </w:r>
      <w:r w:rsidR="0088778C">
        <w:rPr>
          <w:rStyle w:val="EndnoteReference"/>
        </w:rPr>
        <w:endnoteReference w:id="476"/>
      </w:r>
    </w:p>
    <w:p w14:paraId="46DC85C2" w14:textId="77F497F8" w:rsidR="00514CC0" w:rsidRDefault="00E72B49">
      <w:pPr>
        <w:pStyle w:val="OWTablecaption"/>
      </w:pPr>
      <w:r>
        <w:t xml:space="preserve">Table </w:t>
      </w:r>
      <w:r w:rsidR="0017588F">
        <w:t>35</w:t>
      </w:r>
      <w:r>
        <w:t>: Proportion of type of homicide by gender of victim, 2012 to 2014</w:t>
      </w:r>
    </w:p>
    <w:tbl>
      <w:tblPr>
        <w:tblStyle w:val="Datatableopal"/>
        <w:tblW w:w="9072" w:type="dxa"/>
        <w:tblLayout w:type="fixed"/>
        <w:tblLook w:val="06A0" w:firstRow="1" w:lastRow="0" w:firstColumn="1" w:lastColumn="0" w:noHBand="1" w:noVBand="1"/>
      </w:tblPr>
      <w:tblGrid>
        <w:gridCol w:w="4536"/>
        <w:gridCol w:w="2268"/>
        <w:gridCol w:w="2268"/>
      </w:tblGrid>
      <w:tr w:rsidR="00514CC0" w14:paraId="437C94E9" w14:textId="77777777" w:rsidTr="00F0324E">
        <w:trPr>
          <w:cnfStyle w:val="100000000000" w:firstRow="1" w:lastRow="0" w:firstColumn="0" w:lastColumn="0" w:oddVBand="0" w:evenVBand="0" w:oddHBand="0" w:evenHBand="0" w:firstRowFirstColumn="0" w:firstRowLastColumn="0" w:lastRowFirstColumn="0" w:lastRowLastColumn="0"/>
          <w:cantSplit/>
          <w:trHeight w:val="60"/>
          <w:tblHeader/>
        </w:trPr>
        <w:tc>
          <w:tcPr>
            <w:tcW w:w="4535" w:type="dxa"/>
          </w:tcPr>
          <w:p w14:paraId="15042B1C" w14:textId="77777777" w:rsidR="00514CC0" w:rsidRPr="00CA5A0E" w:rsidRDefault="00E72B49">
            <w:pPr>
              <w:pStyle w:val="OWTablecolumnheadleftK100"/>
            </w:pPr>
            <w:r w:rsidRPr="00CA5A0E">
              <w:t>Type of homicide as classified by victim’s principal relationship to offender</w:t>
            </w:r>
          </w:p>
        </w:tc>
        <w:tc>
          <w:tcPr>
            <w:tcW w:w="2268" w:type="dxa"/>
          </w:tcPr>
          <w:p w14:paraId="5BF69D86" w14:textId="77777777" w:rsidR="00514CC0" w:rsidRPr="00CA5A0E" w:rsidRDefault="00E72B49">
            <w:pPr>
              <w:pStyle w:val="OWTablecolumnheadcentreK100"/>
            </w:pPr>
            <w:r w:rsidRPr="00CA5A0E">
              <w:t>Proportion of female victims</w:t>
            </w:r>
          </w:p>
        </w:tc>
        <w:tc>
          <w:tcPr>
            <w:tcW w:w="2268" w:type="dxa"/>
          </w:tcPr>
          <w:p w14:paraId="1F05FB0B" w14:textId="77777777" w:rsidR="00514CC0" w:rsidRPr="00CA5A0E" w:rsidRDefault="00E72B49">
            <w:pPr>
              <w:pStyle w:val="OWTablecolumnheadcentreK100"/>
            </w:pPr>
            <w:r w:rsidRPr="00CA5A0E">
              <w:t>Proportion of male victims</w:t>
            </w:r>
          </w:p>
        </w:tc>
      </w:tr>
      <w:tr w:rsidR="00514CC0" w14:paraId="43D40FE3" w14:textId="77777777" w:rsidTr="00F0324E">
        <w:trPr>
          <w:cantSplit/>
          <w:trHeight w:val="60"/>
        </w:trPr>
        <w:tc>
          <w:tcPr>
            <w:tcW w:w="4535" w:type="dxa"/>
          </w:tcPr>
          <w:p w14:paraId="1D69862A" w14:textId="77777777" w:rsidR="00514CC0" w:rsidRDefault="00E72B49">
            <w:pPr>
              <w:pStyle w:val="OWTablebodyleft"/>
            </w:pPr>
            <w:r>
              <w:t>Intimate partner (current or former)</w:t>
            </w:r>
          </w:p>
        </w:tc>
        <w:tc>
          <w:tcPr>
            <w:tcW w:w="2268" w:type="dxa"/>
          </w:tcPr>
          <w:p w14:paraId="744CB2BA" w14:textId="77777777" w:rsidR="00514CC0" w:rsidRDefault="00E72B49">
            <w:pPr>
              <w:pStyle w:val="OWTablebodycentre"/>
            </w:pPr>
            <w:r>
              <w:t>79%</w:t>
            </w:r>
          </w:p>
        </w:tc>
        <w:tc>
          <w:tcPr>
            <w:tcW w:w="2268" w:type="dxa"/>
          </w:tcPr>
          <w:p w14:paraId="3D716FA0" w14:textId="77777777" w:rsidR="00514CC0" w:rsidRDefault="00E72B49">
            <w:pPr>
              <w:pStyle w:val="OWTablebodycentre"/>
            </w:pPr>
            <w:r>
              <w:t>21%</w:t>
            </w:r>
          </w:p>
        </w:tc>
      </w:tr>
      <w:tr w:rsidR="00514CC0" w14:paraId="651261B3" w14:textId="77777777" w:rsidTr="00F0324E">
        <w:trPr>
          <w:cantSplit/>
          <w:trHeight w:val="60"/>
        </w:trPr>
        <w:tc>
          <w:tcPr>
            <w:tcW w:w="4535" w:type="dxa"/>
          </w:tcPr>
          <w:p w14:paraId="39724B3C" w14:textId="77777777" w:rsidR="00514CC0" w:rsidRDefault="00E72B49">
            <w:pPr>
              <w:pStyle w:val="OWTablebodyleft"/>
            </w:pPr>
            <w:r>
              <w:t xml:space="preserve">Total domestic / familial </w:t>
            </w:r>
            <w:r>
              <w:br/>
              <w:t>(including intimate partner)</w:t>
            </w:r>
          </w:p>
        </w:tc>
        <w:tc>
          <w:tcPr>
            <w:tcW w:w="2268" w:type="dxa"/>
          </w:tcPr>
          <w:p w14:paraId="70BD197B" w14:textId="77777777" w:rsidR="00514CC0" w:rsidRDefault="00E72B49">
            <w:pPr>
              <w:pStyle w:val="OWTablebodycentre"/>
            </w:pPr>
            <w:r>
              <w:t>65%</w:t>
            </w:r>
          </w:p>
        </w:tc>
        <w:tc>
          <w:tcPr>
            <w:tcW w:w="2268" w:type="dxa"/>
          </w:tcPr>
          <w:p w14:paraId="218777F9" w14:textId="77777777" w:rsidR="00514CC0" w:rsidRDefault="00E72B49">
            <w:pPr>
              <w:pStyle w:val="OWTablebodycentre"/>
            </w:pPr>
            <w:r>
              <w:t>35%</w:t>
            </w:r>
          </w:p>
        </w:tc>
      </w:tr>
      <w:tr w:rsidR="00514CC0" w14:paraId="3C723409" w14:textId="77777777" w:rsidTr="00F0324E">
        <w:trPr>
          <w:cantSplit/>
          <w:trHeight w:val="60"/>
        </w:trPr>
        <w:tc>
          <w:tcPr>
            <w:tcW w:w="4535" w:type="dxa"/>
          </w:tcPr>
          <w:p w14:paraId="0D3AEC7E" w14:textId="77777777" w:rsidR="00514CC0" w:rsidRDefault="00E72B49">
            <w:pPr>
              <w:pStyle w:val="OWTablebodyleft"/>
            </w:pPr>
            <w:r>
              <w:t>Acquaintance</w:t>
            </w:r>
          </w:p>
        </w:tc>
        <w:tc>
          <w:tcPr>
            <w:tcW w:w="2268" w:type="dxa"/>
          </w:tcPr>
          <w:p w14:paraId="288F56CC" w14:textId="77777777" w:rsidR="00514CC0" w:rsidRDefault="00E72B49">
            <w:pPr>
              <w:pStyle w:val="OWTablebodycentre"/>
            </w:pPr>
            <w:r>
              <w:t>17%</w:t>
            </w:r>
          </w:p>
        </w:tc>
        <w:tc>
          <w:tcPr>
            <w:tcW w:w="2268" w:type="dxa"/>
          </w:tcPr>
          <w:p w14:paraId="1E018C5B" w14:textId="77777777" w:rsidR="00514CC0" w:rsidRDefault="00E72B49">
            <w:pPr>
              <w:pStyle w:val="OWTablebodycentre"/>
            </w:pPr>
            <w:r>
              <w:t>83%</w:t>
            </w:r>
          </w:p>
        </w:tc>
      </w:tr>
      <w:tr w:rsidR="00514CC0" w14:paraId="5E1582ED" w14:textId="77777777" w:rsidTr="00F0324E">
        <w:trPr>
          <w:cantSplit/>
          <w:trHeight w:val="60"/>
        </w:trPr>
        <w:tc>
          <w:tcPr>
            <w:tcW w:w="4535" w:type="dxa"/>
          </w:tcPr>
          <w:p w14:paraId="044300DC" w14:textId="77777777" w:rsidR="00514CC0" w:rsidRDefault="00E72B49">
            <w:pPr>
              <w:pStyle w:val="OWTablebodyleft"/>
            </w:pPr>
            <w:r>
              <w:t>Stranger</w:t>
            </w:r>
          </w:p>
        </w:tc>
        <w:tc>
          <w:tcPr>
            <w:tcW w:w="2268" w:type="dxa"/>
          </w:tcPr>
          <w:p w14:paraId="1984A542" w14:textId="77777777" w:rsidR="00514CC0" w:rsidRDefault="00E72B49">
            <w:pPr>
              <w:pStyle w:val="OWTablebodycentre"/>
            </w:pPr>
            <w:r>
              <w:t>8%</w:t>
            </w:r>
          </w:p>
        </w:tc>
        <w:tc>
          <w:tcPr>
            <w:tcW w:w="2268" w:type="dxa"/>
          </w:tcPr>
          <w:p w14:paraId="10C48456" w14:textId="77777777" w:rsidR="00514CC0" w:rsidRDefault="00E72B49">
            <w:pPr>
              <w:pStyle w:val="OWTablebodycentre"/>
            </w:pPr>
            <w:r>
              <w:t>92%</w:t>
            </w:r>
          </w:p>
        </w:tc>
      </w:tr>
      <w:tr w:rsidR="00514CC0" w14:paraId="5C65F869" w14:textId="77777777" w:rsidTr="00F0324E">
        <w:trPr>
          <w:cantSplit/>
          <w:trHeight w:val="60"/>
        </w:trPr>
        <w:tc>
          <w:tcPr>
            <w:tcW w:w="4535" w:type="dxa"/>
          </w:tcPr>
          <w:p w14:paraId="7A4C93F6" w14:textId="77777777" w:rsidR="00514CC0" w:rsidRDefault="00E72B49">
            <w:pPr>
              <w:pStyle w:val="OWTablebodyleft"/>
            </w:pPr>
            <w:r>
              <w:t>Unclassified</w:t>
            </w:r>
          </w:p>
        </w:tc>
        <w:tc>
          <w:tcPr>
            <w:tcW w:w="2268" w:type="dxa"/>
          </w:tcPr>
          <w:p w14:paraId="66D54AB6" w14:textId="77777777" w:rsidR="00514CC0" w:rsidRDefault="00E72B49">
            <w:pPr>
              <w:pStyle w:val="OWTablebodycentre"/>
            </w:pPr>
            <w:r>
              <w:t>18%</w:t>
            </w:r>
          </w:p>
        </w:tc>
        <w:tc>
          <w:tcPr>
            <w:tcW w:w="2268" w:type="dxa"/>
          </w:tcPr>
          <w:p w14:paraId="1FA01C2F" w14:textId="77777777" w:rsidR="00514CC0" w:rsidRDefault="00E72B49">
            <w:pPr>
              <w:pStyle w:val="OWTablebodycentre"/>
            </w:pPr>
            <w:r>
              <w:t>82%</w:t>
            </w:r>
          </w:p>
        </w:tc>
      </w:tr>
    </w:tbl>
    <w:p w14:paraId="1119545B" w14:textId="77777777" w:rsidR="00514CC0" w:rsidRDefault="00E72B49">
      <w:pPr>
        <w:pStyle w:val="OWTablefootnote"/>
      </w:pPr>
      <w:r>
        <w:t>Source: Bryant and Bricknell, 2017, p. 20</w:t>
      </w:r>
    </w:p>
    <w:p w14:paraId="13C5EDDE" w14:textId="7FA5F4A1" w:rsidR="00514CC0" w:rsidRDefault="00E72B49">
      <w:pPr>
        <w:pStyle w:val="OWBodytextlargespaceabove"/>
      </w:pPr>
      <w:r>
        <w:t>Aboriginal and Torres Strait Islander people are highly overrepresented as homicide victims. Aboriginal and Torres Strait Islander men experience homicide at a rate of 4.9 per 100,000 persons, five times the rate of non-Indigenous men.</w:t>
      </w:r>
      <w:r w:rsidR="0088778C">
        <w:rPr>
          <w:rStyle w:val="EndnoteReference"/>
        </w:rPr>
        <w:endnoteReference w:id="477"/>
      </w:r>
    </w:p>
    <w:p w14:paraId="2B432A14" w14:textId="77777777" w:rsidR="00514CC0" w:rsidRDefault="00E72B49" w:rsidP="001A03A8">
      <w:pPr>
        <w:pStyle w:val="Heading3"/>
        <w:rPr>
          <w:rStyle w:val="OWCharacterOpal"/>
        </w:rPr>
      </w:pPr>
      <w:bookmarkStart w:id="87" w:name="_Toc55053320"/>
      <w:r>
        <w:rPr>
          <w:rStyle w:val="OWCharacterOpal"/>
        </w:rPr>
        <w:lastRenderedPageBreak/>
        <w:t>Reinforcing factor: Weakening of pro-social behaviour, especially harmful use of alcohol</w:t>
      </w:r>
      <w:bookmarkEnd w:id="87"/>
    </w:p>
    <w:p w14:paraId="4AB1FF3B" w14:textId="77777777" w:rsidR="00514CC0" w:rsidRDefault="00E72B49" w:rsidP="00CA5A0E">
      <w:pPr>
        <w:pStyle w:val="Heading4"/>
        <w:spacing w:before="160"/>
        <w:rPr>
          <w:rStyle w:val="OWCharacterOpal"/>
        </w:rPr>
      </w:pPr>
      <w:r>
        <w:rPr>
          <w:rStyle w:val="OWCharacterOpal"/>
        </w:rPr>
        <w:t>Monitoring domain 9: Weakening of pro-social behaviour (harmful use of alcohol)</w:t>
      </w:r>
    </w:p>
    <w:tbl>
      <w:tblPr>
        <w:tblStyle w:val="Indicatorlistingopal"/>
        <w:tblW w:w="9072" w:type="dxa"/>
        <w:tblLayout w:type="fixed"/>
        <w:tblLook w:val="0680" w:firstRow="0" w:lastRow="0" w:firstColumn="1" w:lastColumn="0" w:noHBand="1" w:noVBand="1"/>
      </w:tblPr>
      <w:tblGrid>
        <w:gridCol w:w="1701"/>
        <w:gridCol w:w="7371"/>
      </w:tblGrid>
      <w:tr w:rsidR="00514CC0" w14:paraId="41314FB3" w14:textId="77777777" w:rsidTr="00F0324E">
        <w:trPr>
          <w:cantSplit/>
          <w:trHeight w:val="60"/>
        </w:trPr>
        <w:tc>
          <w:tcPr>
            <w:tcW w:w="1701" w:type="dxa"/>
          </w:tcPr>
          <w:p w14:paraId="29995C97" w14:textId="77777777" w:rsidR="00514CC0" w:rsidRDefault="00E72B49">
            <w:pPr>
              <w:pStyle w:val="OWTablebodyleftK100"/>
            </w:pPr>
            <w:r>
              <w:t>Indicator 9.1</w:t>
            </w:r>
          </w:p>
        </w:tc>
        <w:tc>
          <w:tcPr>
            <w:tcW w:w="7370" w:type="dxa"/>
          </w:tcPr>
          <w:p w14:paraId="7B81E4BE" w14:textId="16FBB430" w:rsidR="00514CC0" w:rsidRDefault="00E72B49">
            <w:pPr>
              <w:pStyle w:val="OWTablebodyleftK100"/>
            </w:pPr>
            <w:r>
              <w:t>Percentage of population who report that, in the past 12 months, their</w:t>
            </w:r>
            <w:r w:rsidR="00F42FFD">
              <w:t> </w:t>
            </w:r>
            <w:r>
              <w:t>drinking or being drunk has had a harmful effect on their intimate relationship or family members, including children, and/or has played a</w:t>
            </w:r>
            <w:r w:rsidR="00F42FFD">
              <w:t> </w:t>
            </w:r>
            <w:r>
              <w:t>role in them getting involved in a (verbal and/or physical) fight</w:t>
            </w:r>
          </w:p>
        </w:tc>
      </w:tr>
    </w:tbl>
    <w:p w14:paraId="62E7A7CE" w14:textId="5A299A8F" w:rsidR="00514CC0" w:rsidRDefault="00E72B49" w:rsidP="004B0B37">
      <w:pPr>
        <w:pStyle w:val="OWBodytextlargespaceabove"/>
        <w:spacing w:before="240" w:after="120"/>
      </w:pPr>
      <w:r>
        <w:t>Certain factors erode or weaken pro-social behaviour, heighten individualistic tendencies or</w:t>
      </w:r>
      <w:r w:rsidR="00F42FFD">
        <w:t> </w:t>
      </w:r>
      <w:r>
        <w:t>reduce concern for others and the consequences of actions in the context of gendered socialisation and power imbalances. These factors include harmful use of alcohol. Alcohol is</w:t>
      </w:r>
      <w:r w:rsidR="00F42FFD">
        <w:t> </w:t>
      </w:r>
      <w:r>
        <w:t>a feature in a disproportionate number of police call-outs to partner violence, and is correlated with a higher number of, and more severe, incidents of violence against women.</w:t>
      </w:r>
      <w:r w:rsidR="0088778C">
        <w:rPr>
          <w:rStyle w:val="EndnoteReference"/>
        </w:rPr>
        <w:endnoteReference w:id="478"/>
      </w:r>
      <w:r>
        <w:t xml:space="preserve"> Alcohol does not itself drive violence against women; not all people who drink are violent, and many people who do not drink are violent. However, the contribution of alcohol to increased perpetration is significant in the context of social norms and practices that condone or support violence against women, in particular those relating to masculinity and masculine peer group behaviour.</w:t>
      </w:r>
      <w:r w:rsidR="00E7255A">
        <w:rPr>
          <w:rStyle w:val="EndnoteReference"/>
        </w:rPr>
        <w:endnoteReference w:id="479"/>
      </w:r>
    </w:p>
    <w:p w14:paraId="6C1D646C" w14:textId="77777777" w:rsidR="00514CC0" w:rsidRDefault="00E72B49" w:rsidP="004B0B37">
      <w:pPr>
        <w:pStyle w:val="BodyText"/>
        <w:spacing w:after="120"/>
      </w:pPr>
      <w:r>
        <w:t>Gender socialisation and identities are also reflected in the ways in which alcohol is consumed, and in the social norms relating to alcohol, e.g. in drinking cultures that emphasise male conquest and aggression, as well as in the ways individual men and women tend to behave under the influence of alcohol. This suggests it is the interaction between social norms relating to alcohol and social norms relating to gender that can increase the likelihood, frequency or severity of violence against women, not just the consumption of alcohol itself. Strategies that address the intersection between alcohol use and social norms relating to both violence and gender can help create a more supportive environment for other prevention activity.</w:t>
      </w:r>
    </w:p>
    <w:p w14:paraId="3EA2743A" w14:textId="7DDE3E89" w:rsidR="00514CC0" w:rsidRDefault="00E72B49" w:rsidP="004B0B37">
      <w:pPr>
        <w:pStyle w:val="BodyText"/>
        <w:spacing w:after="120"/>
      </w:pPr>
      <w:r>
        <w:t>Research is limited on the impact of other drugs on violence against women, but similarities can exist where a drug has similar effects to alcohol, and where it is also used in the context of gendered socialisation and power differentials. For example, a recent synthesis of Australian and international evidence found that there is some basis for an association between methamphetamine use (a growing trend in the past decade in Australia) and domestic violence.</w:t>
      </w:r>
      <w:r w:rsidR="00E7255A">
        <w:rPr>
          <w:rStyle w:val="EndnoteReference"/>
        </w:rPr>
        <w:endnoteReference w:id="480"/>
      </w:r>
      <w:r>
        <w:t xml:space="preserve"> The authors note, however, that the evidence is complex and suggests that methamphetamine use can exacerbate the likelihood of violence by reinforcing other ‘determinants’ (or drivers) of domestic violence.</w:t>
      </w:r>
    </w:p>
    <w:p w14:paraId="7951AB9C" w14:textId="7EC92448" w:rsidR="00514CC0" w:rsidRDefault="00E72B49">
      <w:pPr>
        <w:pStyle w:val="BodyText"/>
      </w:pPr>
      <w:r>
        <w:t>This domain is measured by a single indicator. This indicator does not focus on the violence prevalence data in terms of where alcohol usage has been reported by victims, either by the</w:t>
      </w:r>
      <w:r w:rsidR="00F42FFD">
        <w:t> </w:t>
      </w:r>
      <w:r>
        <w:t>perpetrator or by themselves (such as asked in the PSS), or recorded by others (such as homicide data drawn from police records). Rather, it looks at the data focused on alcohol usage whereby respondents are asked about the effect of their alcohol usage on key relationships (with partners, children and other family members) and whether they have been involved in fights when consuming alcohol.</w:t>
      </w:r>
    </w:p>
    <w:p w14:paraId="4D317802" w14:textId="77777777" w:rsidR="00514CC0" w:rsidRDefault="00E72B49" w:rsidP="00F868FE">
      <w:pPr>
        <w:pStyle w:val="Heading5"/>
      </w:pPr>
      <w:r>
        <w:lastRenderedPageBreak/>
        <w:t>Strengthening pro-social behaviour: Summary of change over time</w:t>
      </w:r>
    </w:p>
    <w:p w14:paraId="7DD5B3C6" w14:textId="1235BCA6" w:rsidR="00514CC0" w:rsidRDefault="00E72B49">
      <w:pPr>
        <w:pStyle w:val="BodyText"/>
      </w:pPr>
      <w:r>
        <w:t>Little progress has been made in terms of reducing alcohol-related violence. Some indicators</w:t>
      </w:r>
      <w:r w:rsidR="00F42FFD">
        <w:t> </w:t>
      </w:r>
      <w:r>
        <w:t>suggest an increase in personal experiences of alcohol-related violence in the past 12 months. However, due to the lack of earlier data, it is unclear if this is evidence is reliable. According to reports by the Foundation for Alcohol Research and Education (FARE),</w:t>
      </w:r>
      <w:r w:rsidR="00E7255A">
        <w:rPr>
          <w:rStyle w:val="EndnoteReference"/>
        </w:rPr>
        <w:endnoteReference w:id="481"/>
      </w:r>
      <w:r>
        <w:t xml:space="preserve"> the proportion of Australians that has been affected by alcohol-related violence, either directly or as experienced by a friend or family member, has remained fairly consistent over time, as</w:t>
      </w:r>
      <w:r w:rsidR="00F42FFD">
        <w:t> </w:t>
      </w:r>
      <w:r>
        <w:t>has the proportion who reported physically or verbally abusing someone after drinking, and the proportion of parents reporting their children being harmed or put at risk of harm</w:t>
      </w:r>
      <w:r w:rsidR="00F42FFD">
        <w:t> </w:t>
      </w:r>
      <w:r>
        <w:t>because of someone else’s drinking. Alcohol-related violence continues to have a disproportionate impact on women, with women being more likely than men to have been</w:t>
      </w:r>
      <w:r w:rsidR="00F42FFD">
        <w:t> </w:t>
      </w:r>
      <w:r>
        <w:t>the direct victim of alcohol-related violence.</w:t>
      </w:r>
    </w:p>
    <w:p w14:paraId="0A5EA4F9" w14:textId="13F4CA5D" w:rsidR="00514CC0" w:rsidRDefault="00E72B49">
      <w:pPr>
        <w:pStyle w:val="BodyText"/>
      </w:pPr>
      <w:r>
        <w:t>While behaviour appears to have remained constant, there are indications in the NCAS</w:t>
      </w:r>
      <w:r w:rsidR="00E7255A">
        <w:rPr>
          <w:rStyle w:val="EndnoteReference"/>
        </w:rPr>
        <w:endnoteReference w:id="482"/>
      </w:r>
      <w:r>
        <w:t xml:space="preserve"> that attitudinal change is occurring, with only a small and declining proportion of Australians believing that alcohol use excuses male perpetrators or suggests that female victims of violence are partly to blame. This is linked to Monitoring domain 1: Condoning of violence against women, and the data analysed in this domain overall suggests that while some attitudes are changing, further work is required to translate this into meaningful and sustained behaviour change.</w:t>
      </w:r>
    </w:p>
    <w:p w14:paraId="6BEBA99D" w14:textId="172F0F38" w:rsidR="00514CC0" w:rsidRDefault="00E72B49">
      <w:pPr>
        <w:pStyle w:val="BodyText"/>
      </w:pPr>
      <w:r>
        <w:t>Strategies to prevent violence against women can be supported by approaches that aim to reduce the harmful use of alcohol and other drugs across the Australian population, when implemented in ways that address not only the substance itself,</w:t>
      </w:r>
      <w:r w:rsidR="00F42FFD">
        <w:t> </w:t>
      </w:r>
      <w:r>
        <w:t>but the social context of its use.</w:t>
      </w:r>
      <w:r w:rsidR="00E7255A">
        <w:rPr>
          <w:rStyle w:val="EndnoteReference"/>
        </w:rPr>
        <w:endnoteReference w:id="483"/>
      </w:r>
      <w:r>
        <w:t xml:space="preserve"> Starting points for this work might include increased inclusion of gender-specific and violence related questions in alcohol-related research, and evaluation and monitoring tools that ensure the data can be disaggregated by gender. In addition, program development to prevent harmful use of alcohol should include initiatives specifically designed to address male drinking cultures that emphasise aggression and disrespect for women, and the intersection between these and other prejudicial attitudes, such as racism.</w:t>
      </w:r>
    </w:p>
    <w:p w14:paraId="4AD6DEFA" w14:textId="77777777" w:rsidR="00514CC0" w:rsidRDefault="00E72B49" w:rsidP="00E1549C">
      <w:pPr>
        <w:pStyle w:val="Heading4"/>
        <w:rPr>
          <w:rStyle w:val="OWCharacterOpal"/>
        </w:rPr>
      </w:pPr>
      <w:r>
        <w:rPr>
          <w:rStyle w:val="OWCharacterOpal"/>
        </w:rPr>
        <w:t>Indicator 9.1: Percentage of population who report that, in the past 12 months, their drinking or being drunk has had a harmful effect on their intimate relationship or family members, including children, and/or has played a role in them getting involved in a fight</w:t>
      </w:r>
    </w:p>
    <w:tbl>
      <w:tblPr>
        <w:tblStyle w:val="Indicatoroutlineopal"/>
        <w:tblW w:w="9072" w:type="dxa"/>
        <w:tblLayout w:type="fixed"/>
        <w:tblLook w:val="0680" w:firstRow="0" w:lastRow="0" w:firstColumn="1" w:lastColumn="0" w:noHBand="1" w:noVBand="1"/>
      </w:tblPr>
      <w:tblGrid>
        <w:gridCol w:w="2835"/>
        <w:gridCol w:w="6237"/>
      </w:tblGrid>
      <w:tr w:rsidR="00514CC0" w14:paraId="5BFFE0AF" w14:textId="77777777" w:rsidTr="00F0324E">
        <w:trPr>
          <w:cantSplit/>
          <w:trHeight w:val="60"/>
        </w:trPr>
        <w:tc>
          <w:tcPr>
            <w:tcW w:w="2835" w:type="dxa"/>
          </w:tcPr>
          <w:p w14:paraId="3034E8E0" w14:textId="77777777" w:rsidR="00514CC0" w:rsidRDefault="00E72B49">
            <w:pPr>
              <w:pStyle w:val="OWTablebodyleft"/>
            </w:pPr>
            <w:r>
              <w:t>What does this indicator tell us about Monitoring domain 9: Weakening of pro-social behaviour (harmful use of alcohol)?</w:t>
            </w:r>
          </w:p>
        </w:tc>
        <w:tc>
          <w:tcPr>
            <w:tcW w:w="6236" w:type="dxa"/>
          </w:tcPr>
          <w:p w14:paraId="78D69ADC" w14:textId="77777777" w:rsidR="00514CC0" w:rsidRDefault="00E72B49">
            <w:pPr>
              <w:pStyle w:val="OWTablebodyleft"/>
            </w:pPr>
            <w:r>
              <w:t>Alcohol does not itself drive violence against women; however, the contribution of alcohol to increased perpetration is significant in the context of social norms and practices that condone or support violence against women. Therefore, a decrease in the percentage of the population who report that drinking or being drunk had a harmful effect on their intimate relationship, family members or whether they were involved in a fight will contribute to our understanding of whether significant changes have been made to underlying social norms and practices that drive violence against women.</w:t>
            </w:r>
          </w:p>
        </w:tc>
      </w:tr>
      <w:tr w:rsidR="00514CC0" w14:paraId="4797B987" w14:textId="77777777" w:rsidTr="00F0324E">
        <w:trPr>
          <w:cantSplit/>
          <w:trHeight w:val="60"/>
        </w:trPr>
        <w:tc>
          <w:tcPr>
            <w:tcW w:w="2835" w:type="dxa"/>
          </w:tcPr>
          <w:p w14:paraId="025B6FAC" w14:textId="77777777" w:rsidR="00514CC0" w:rsidRDefault="00E72B49">
            <w:pPr>
              <w:pStyle w:val="OWTablebodyleft"/>
            </w:pPr>
            <w:r>
              <w:lastRenderedPageBreak/>
              <w:t>Expected change if high-quality programs and infrastructure for prevention of violence against women and gender equality are implemented</w:t>
            </w:r>
          </w:p>
        </w:tc>
        <w:tc>
          <w:tcPr>
            <w:tcW w:w="6236" w:type="dxa"/>
          </w:tcPr>
          <w:p w14:paraId="08D7C1A6" w14:textId="77777777" w:rsidR="00514CC0" w:rsidRDefault="00E72B49">
            <w:pPr>
              <w:pStyle w:val="OWTablebodyleft"/>
            </w:pPr>
            <w:r>
              <w:t>Short- and medium-term: decreased rate of alcohol-related violence in past 12 months.</w:t>
            </w:r>
          </w:p>
          <w:p w14:paraId="582CBE92" w14:textId="77777777" w:rsidR="00514CC0" w:rsidRDefault="00E72B49">
            <w:pPr>
              <w:pStyle w:val="OWTablebodyleft"/>
            </w:pPr>
            <w:r>
              <w:t>Long-term: decreased rate of alcohol-related violence ever experienced.</w:t>
            </w:r>
          </w:p>
        </w:tc>
      </w:tr>
      <w:tr w:rsidR="00514CC0" w14:paraId="6AD0223A" w14:textId="77777777" w:rsidTr="00F0324E">
        <w:trPr>
          <w:cantSplit/>
          <w:trHeight w:val="60"/>
        </w:trPr>
        <w:tc>
          <w:tcPr>
            <w:tcW w:w="2835" w:type="dxa"/>
          </w:tcPr>
          <w:p w14:paraId="22B53A13" w14:textId="77777777" w:rsidR="00514CC0" w:rsidRDefault="00E72B49">
            <w:pPr>
              <w:pStyle w:val="OWTablebodyleft"/>
            </w:pPr>
            <w:r>
              <w:t>Data source(s)</w:t>
            </w:r>
          </w:p>
        </w:tc>
        <w:tc>
          <w:tcPr>
            <w:tcW w:w="6236" w:type="dxa"/>
          </w:tcPr>
          <w:p w14:paraId="1D81B010" w14:textId="77777777" w:rsidR="00514CC0" w:rsidRDefault="00E72B49" w:rsidP="002C2EC7">
            <w:pPr>
              <w:pStyle w:val="OWTablenumberdigit"/>
              <w:numPr>
                <w:ilvl w:val="0"/>
                <w:numId w:val="38"/>
              </w:numPr>
            </w:pPr>
            <w:r>
              <w:t>Annual survey on alcohol-related attitudes and behaviours, 2011 to 2018, Foundation for Alcohol Research and Education (FARE)</w:t>
            </w:r>
          </w:p>
          <w:p w14:paraId="134C2264" w14:textId="77777777" w:rsidR="00514CC0" w:rsidRDefault="00E72B49">
            <w:pPr>
              <w:pStyle w:val="OWTablenumberdigit"/>
            </w:pPr>
            <w:r>
              <w:t>National Community Attitudes towards Violence against Women Survey (NCAS) 2017, Australia’s National Research Organisation for Women’s Safety (ANROWS)</w:t>
            </w:r>
          </w:p>
        </w:tc>
      </w:tr>
      <w:tr w:rsidR="00514CC0" w14:paraId="63DE7EB9" w14:textId="77777777" w:rsidTr="00F0324E">
        <w:trPr>
          <w:cantSplit/>
          <w:trHeight w:val="60"/>
        </w:trPr>
        <w:tc>
          <w:tcPr>
            <w:tcW w:w="2835" w:type="dxa"/>
          </w:tcPr>
          <w:p w14:paraId="4DBE0B59" w14:textId="77777777" w:rsidR="00514CC0" w:rsidRDefault="00E72B49">
            <w:pPr>
              <w:pStyle w:val="OWTablebodyleft"/>
            </w:pPr>
            <w:r>
              <w:t>Change over time summary: short-term change revealed by the data</w:t>
            </w:r>
          </w:p>
        </w:tc>
        <w:tc>
          <w:tcPr>
            <w:tcW w:w="6236" w:type="dxa"/>
          </w:tcPr>
          <w:p w14:paraId="0EC62DFA" w14:textId="50CF4CE4" w:rsidR="00514CC0" w:rsidRDefault="00E72B49">
            <w:pPr>
              <w:pStyle w:val="OWTablebodyleft"/>
            </w:pPr>
            <w:r>
              <w:t>No decrease in the rate of alcohol-related violence has been</w:t>
            </w:r>
            <w:r w:rsidR="00F42FFD">
              <w:t> </w:t>
            </w:r>
            <w:r>
              <w:t>recorded; however, there has been a decline in the proportion of Australians who hold attitudes that excuse perpetrators or blame the victim where alcohol usage co</w:t>
            </w:r>
            <w:r>
              <w:rPr>
                <w:rFonts w:ascii="Cambria Math" w:hAnsi="Cambria Math" w:cs="Cambria Math"/>
              </w:rPr>
              <w:t>‑</w:t>
            </w:r>
            <w:r>
              <w:t>exists with male violence against women.</w:t>
            </w:r>
          </w:p>
        </w:tc>
      </w:tr>
      <w:tr w:rsidR="00514CC0" w14:paraId="1E8E0FB8" w14:textId="77777777" w:rsidTr="00F0324E">
        <w:trPr>
          <w:cantSplit/>
          <w:trHeight w:val="60"/>
        </w:trPr>
        <w:tc>
          <w:tcPr>
            <w:tcW w:w="2835" w:type="dxa"/>
          </w:tcPr>
          <w:p w14:paraId="69B0742B" w14:textId="77777777" w:rsidR="00514CC0" w:rsidRDefault="00E72B49">
            <w:pPr>
              <w:pStyle w:val="OWTablebodyleft"/>
            </w:pPr>
            <w:r>
              <w:t>Does the change confirm or run contrary to expected change?</w:t>
            </w:r>
          </w:p>
        </w:tc>
        <w:tc>
          <w:tcPr>
            <w:tcW w:w="6236" w:type="dxa"/>
          </w:tcPr>
          <w:p w14:paraId="31658437" w14:textId="77777777" w:rsidR="00514CC0" w:rsidRDefault="00E72B49">
            <w:pPr>
              <w:pStyle w:val="OWTablebodyleft"/>
            </w:pPr>
            <w:r>
              <w:t>Slower than expected.</w:t>
            </w:r>
          </w:p>
        </w:tc>
      </w:tr>
      <w:tr w:rsidR="00514CC0" w14:paraId="24F93255" w14:textId="77777777" w:rsidTr="00F0324E">
        <w:trPr>
          <w:cantSplit/>
          <w:trHeight w:val="60"/>
        </w:trPr>
        <w:tc>
          <w:tcPr>
            <w:tcW w:w="2835" w:type="dxa"/>
          </w:tcPr>
          <w:p w14:paraId="4AFDC23C" w14:textId="77777777" w:rsidR="00514CC0" w:rsidRDefault="00E72B49">
            <w:pPr>
              <w:pStyle w:val="OWTablebodyleft"/>
            </w:pPr>
            <w:r>
              <w:t>Gaps in existing data</w:t>
            </w:r>
          </w:p>
        </w:tc>
        <w:tc>
          <w:tcPr>
            <w:tcW w:w="6236" w:type="dxa"/>
          </w:tcPr>
          <w:p w14:paraId="04116113" w14:textId="77777777" w:rsidR="00514CC0" w:rsidRDefault="00E72B49">
            <w:pPr>
              <w:pStyle w:val="OWTablebodyleft"/>
            </w:pPr>
            <w:r>
              <w:t>The data is not oriented so much to measuring social norms related to violence (and for example to masculinity). This would be a helpful direction for future research.</w:t>
            </w:r>
          </w:p>
          <w:p w14:paraId="29C5D13F" w14:textId="0DC7FA80" w:rsidR="00514CC0" w:rsidRDefault="00E72B49">
            <w:pPr>
              <w:pStyle w:val="OWTablebodyleft"/>
            </w:pPr>
            <w:r>
              <w:t xml:space="preserve">Key </w:t>
            </w:r>
            <w:r w:rsidR="005B2381">
              <w:t>data point</w:t>
            </w:r>
            <w:r>
              <w:t>s are not (at least in public reporting) disaggregated by gender.</w:t>
            </w:r>
          </w:p>
        </w:tc>
      </w:tr>
    </w:tbl>
    <w:p w14:paraId="0D9DD7CA" w14:textId="77777777" w:rsidR="00514CC0" w:rsidRDefault="00E72B49" w:rsidP="00F868FE">
      <w:pPr>
        <w:pStyle w:val="Heading5"/>
      </w:pPr>
      <w:r>
        <w:t>Experiences of alcohol-related harms and negative behaviours</w:t>
      </w:r>
    </w:p>
    <w:p w14:paraId="7B6C13A1" w14:textId="77777777" w:rsidR="00514CC0" w:rsidRDefault="00E72B49" w:rsidP="00CA5A0E">
      <w:pPr>
        <w:pStyle w:val="Heading6"/>
        <w:spacing w:before="160"/>
      </w:pPr>
      <w:r>
        <w:t>Alcohol-related violence – overall victimisation</w:t>
      </w:r>
    </w:p>
    <w:p w14:paraId="7C3A10FA" w14:textId="436CA7AE" w:rsidR="00514CC0" w:rsidRDefault="00E72B49">
      <w:pPr>
        <w:pStyle w:val="BodyText"/>
      </w:pPr>
      <w:r>
        <w:t>FARE’s annual survey on alcohol-related attitudes and behaviours suggested that, for the past eight years (2011 to 2018), approximately one-third of Australians had been affected by</w:t>
      </w:r>
      <w:r w:rsidR="00F42FFD">
        <w:t> </w:t>
      </w:r>
      <w:r>
        <w:t>alcohol-related violence either directly (they were a victim), or a friend or family member was a victim.</w:t>
      </w:r>
      <w:r w:rsidR="00E7255A">
        <w:rPr>
          <w:rStyle w:val="EndnoteReference"/>
        </w:rPr>
        <w:endnoteReference w:id="484"/>
      </w:r>
      <w:r>
        <w:t xml:space="preserve"> This has remained fairly consistent over time (41% in 2011 and 37% in 2018). Each year, women were more likely than men to have been the direct victim of alcohol-related violence. For example, in the most recent survey, 23% of women had </w:t>
      </w:r>
      <w:r w:rsidRPr="003E209A">
        <w:rPr>
          <w:rStyle w:val="Emphasis"/>
        </w:rPr>
        <w:t>ever</w:t>
      </w:r>
      <w:r>
        <w:t xml:space="preserve"> been a</w:t>
      </w:r>
      <w:r w:rsidR="00F42FFD">
        <w:t> </w:t>
      </w:r>
      <w:r>
        <w:t>victim of alcohol-related violence, compared to 18% of men.</w:t>
      </w:r>
    </w:p>
    <w:p w14:paraId="5AAA5303" w14:textId="77777777" w:rsidR="00514CC0" w:rsidRDefault="00E72B49" w:rsidP="00F868FE">
      <w:pPr>
        <w:pStyle w:val="Heading6"/>
      </w:pPr>
      <w:r>
        <w:t>Alcohol-related violence – personal victimisation</w:t>
      </w:r>
    </w:p>
    <w:p w14:paraId="533F6E3C" w14:textId="3D98160F" w:rsidR="00514CC0" w:rsidRDefault="00E72B49">
      <w:pPr>
        <w:pStyle w:val="BodyText"/>
      </w:pPr>
      <w:r>
        <w:t xml:space="preserve">The FARE survey has recently expanded to collect 12-month prevalence of alcohol-related violence (2017 and 2018 surveys). Initial findings suggest that personal experiences of alcohol-related violence in the past 12 months may have increased (17% of people in 2017 to 24% of people in 2018); however, in the absence of earlier data, it is unclear if this is </w:t>
      </w:r>
      <w:r>
        <w:lastRenderedPageBreak/>
        <w:t>evidence for an increase in the overall rates of alcohol-related violence. A definition of alcohol-related violence was not provided in the survey and it is possible that this increase in</w:t>
      </w:r>
      <w:r w:rsidR="00F42FFD">
        <w:t> </w:t>
      </w:r>
      <w:r>
        <w:t>reporting may reflect the growing recognition of non-physical forms of violence.</w:t>
      </w:r>
    </w:p>
    <w:p w14:paraId="4374CCF6" w14:textId="77777777" w:rsidR="00514CC0" w:rsidRDefault="00E72B49" w:rsidP="00F868FE">
      <w:pPr>
        <w:pStyle w:val="Heading6"/>
      </w:pPr>
      <w:r>
        <w:t>Alcohol-related harm – parents’ reports on child’s exposure</w:t>
      </w:r>
    </w:p>
    <w:p w14:paraId="72E7D90C" w14:textId="6C3CCBFE" w:rsidR="00514CC0" w:rsidRDefault="00E72B49">
      <w:pPr>
        <w:pStyle w:val="BodyText"/>
      </w:pPr>
      <w:r>
        <w:t>Since 2015, parents’ reports of their children being harmed or put at risk of harm because of</w:t>
      </w:r>
      <w:r w:rsidR="00F42FFD">
        <w:t> </w:t>
      </w:r>
      <w:r>
        <w:t>someone else’s drinking have remained fairly static. According to FARE, the proportion of</w:t>
      </w:r>
      <w:r w:rsidR="00F42FFD">
        <w:t> </w:t>
      </w:r>
      <w:r>
        <w:t>parents who report that their children had being exposed to various forms of harm (including verbal abuse, physical abuse and neglect) related to someone else’s drinking have</w:t>
      </w:r>
      <w:r w:rsidR="00F42FFD">
        <w:t> </w:t>
      </w:r>
      <w:r>
        <w:t>remained at around one in five parents for the past four iterations of the survey (20%</w:t>
      </w:r>
      <w:r w:rsidR="00F42FFD">
        <w:t> </w:t>
      </w:r>
      <w:r>
        <w:t>in 2015 and 23% in 2018).</w:t>
      </w:r>
      <w:r w:rsidR="00E7255A">
        <w:rPr>
          <w:rStyle w:val="EndnoteReference"/>
        </w:rPr>
        <w:endnoteReference w:id="485"/>
      </w:r>
    </w:p>
    <w:p w14:paraId="437E9FD7" w14:textId="77777777" w:rsidR="00514CC0" w:rsidRDefault="00E72B49" w:rsidP="00F868FE">
      <w:pPr>
        <w:pStyle w:val="Heading6"/>
      </w:pPr>
      <w:r>
        <w:t>Negative drinking behaviours</w:t>
      </w:r>
    </w:p>
    <w:p w14:paraId="6BC6C5F5" w14:textId="231C789A" w:rsidR="00514CC0" w:rsidRDefault="00E72B49">
      <w:pPr>
        <w:pStyle w:val="BodyText"/>
      </w:pPr>
      <w:r>
        <w:t>FARE surveyed negative drinking behaviours over a 3-year period (2014, 2015 and 2016) and</w:t>
      </w:r>
      <w:r w:rsidR="00F42FFD">
        <w:t> </w:t>
      </w:r>
      <w:r>
        <w:t>found that the proportion of Australians who reported physically or verbally abusing someone after drinking was fairly consistent. Specifically:</w:t>
      </w:r>
    </w:p>
    <w:p w14:paraId="43A53374" w14:textId="77777777" w:rsidR="00514CC0" w:rsidRDefault="00E72B49">
      <w:pPr>
        <w:pStyle w:val="OWBullet1"/>
      </w:pPr>
      <w:r>
        <w:t>the proportion of Australians who had ever physically abused someone after drinking was consistent (3% each year). Men were more likely than women to report this (5% of men and 2% of women from the 2018 survey). Between 0–1% of people reported they had physically abused someone in the past year</w:t>
      </w:r>
    </w:p>
    <w:p w14:paraId="33B3AEE6" w14:textId="6A5CE4C8" w:rsidR="00514CC0" w:rsidRDefault="00E72B49">
      <w:pPr>
        <w:pStyle w:val="OWBullet1"/>
      </w:pPr>
      <w:r>
        <w:t>the proportion of Australians who reported having ever verbally abused someone after</w:t>
      </w:r>
      <w:r w:rsidR="00F42FFD">
        <w:t> </w:t>
      </w:r>
      <w:r>
        <w:t>drinking declined slightly (13% in 2014, 12% in 2015 and 10% in 2016). Gender disaggregation was not provided for this behaviour. Between 2–3% of people had done so in the past year</w:t>
      </w:r>
    </w:p>
    <w:p w14:paraId="0F498B85" w14:textId="771C85A6" w:rsidR="00514CC0" w:rsidRDefault="00E72B49">
      <w:pPr>
        <w:pStyle w:val="OWBullet1"/>
      </w:pPr>
      <w:r>
        <w:t>the proportion of Australians who reported having ever had an argument after drinking declined slightly (24% in 2014, 20% in 2015 and 19% in 2016). Gender disaggregation was not provided for this behaviour. Between 6–7% of people had done so in the past year.</w:t>
      </w:r>
      <w:r w:rsidR="00E7255A">
        <w:rPr>
          <w:rStyle w:val="EndnoteReference"/>
        </w:rPr>
        <w:endnoteReference w:id="486"/>
      </w:r>
    </w:p>
    <w:p w14:paraId="137A1841" w14:textId="77777777" w:rsidR="00514CC0" w:rsidRDefault="00E72B49" w:rsidP="00F868FE">
      <w:pPr>
        <w:pStyle w:val="Heading5"/>
      </w:pPr>
      <w:r>
        <w:t>Attitudes excusing violence against women where alcohol is involved</w:t>
      </w:r>
    </w:p>
    <w:p w14:paraId="4E012C29" w14:textId="574F51CD" w:rsidR="00514CC0" w:rsidRDefault="00E72B49">
      <w:pPr>
        <w:pStyle w:val="BodyText"/>
      </w:pPr>
      <w:r>
        <w:t>While this indicator focuses on harmful usage of alcohol as a reinforcing factor for violence against women, it is worth examining Australians’ attitudes about the interactions between violence and violence against women, for a number of reasons. First, by doing so we can test public understanding of the drivers of violence against women – whether Australians are mistaking reinforcing risk factors such as alcohol usage as the underpinnings of violence against women, or whether the general population recognise that alcohol is only ever a factor in violence against women where other gendered drivers of violence are already in play. As noted in the National Community Attitudes towards Violence against Women Survey (NCAS) 2017 report, evidence shows that ‘the increased risk [of sexual violence perpetration] associated with alcohol is primarily among men who are already predisposed to sexual aggression’.</w:t>
      </w:r>
      <w:r w:rsidR="00E7255A">
        <w:rPr>
          <w:rStyle w:val="EndnoteReference"/>
        </w:rPr>
        <w:endnoteReference w:id="487"/>
      </w:r>
    </w:p>
    <w:p w14:paraId="1E0803BA" w14:textId="60BE2939" w:rsidR="00514CC0" w:rsidRDefault="00E72B49">
      <w:pPr>
        <w:pStyle w:val="BodyText"/>
      </w:pPr>
      <w:r>
        <w:t>The second reason for examining Australians’ attitudes to alcohol in the context of violence against women is to reveal whether we are prepared to hold perpetrators accountable for their actions or to excuse them if the perpetrator or the victim is intoxicated at the point of the physical or sexual violence incident.</w:t>
      </w:r>
      <w:r w:rsidR="00E7255A">
        <w:rPr>
          <w:rStyle w:val="EndnoteReference"/>
        </w:rPr>
        <w:endnoteReference w:id="488"/>
      </w:r>
      <w:r>
        <w:t xml:space="preserve"> This relates to Monitoring domain 1: Condoning </w:t>
      </w:r>
      <w:r>
        <w:lastRenderedPageBreak/>
        <w:t>of violence against women, and is important in terms of understanding how we can prevent this form of behaviour and also how criminal justice agencies and men’s services respond to it.</w:t>
      </w:r>
    </w:p>
    <w:p w14:paraId="3483C073" w14:textId="2986FE2D" w:rsidR="00514CC0" w:rsidRDefault="00E72B49">
      <w:pPr>
        <w:pStyle w:val="BodyText"/>
      </w:pPr>
      <w:r>
        <w:t>Hearteningly, the 2017 NCAS results reveal that a small and declining proportion of Australians hold attitudes that excuse perpetrators or blame the victim where alcohol usage co-exists with male violence against women. In 2017 only 5% of Australians agreed with statements that excuse domestic violence where there has been alcohol usage by either the perpetrator or the victim (‘Domestic violence can be excused if the victim is heavily affected by alcohol’ and ‘Domestic violence can be excused if the offender is heavily affected by alcohol’).</w:t>
      </w:r>
      <w:r w:rsidR="00E7255A">
        <w:rPr>
          <w:rStyle w:val="EndnoteReference"/>
        </w:rPr>
        <w:endnoteReference w:id="489"/>
      </w:r>
      <w:r>
        <w:t xml:space="preserve"> The 2017 results to each of these questions shows some progress in Australians’ attitudes regarding alcohol usage in the context of domestic violence. In 2013, 11% of Australians agreed with excusing domestic violence where the victim was affected by</w:t>
      </w:r>
      <w:r w:rsidR="00F42FFD">
        <w:t> </w:t>
      </w:r>
      <w:r>
        <w:t>alcohol, and 9% where the offender was intoxicated.</w:t>
      </w:r>
    </w:p>
    <w:p w14:paraId="3D7AD95D" w14:textId="2BB3D4B6" w:rsidR="00514CC0" w:rsidRDefault="00E72B49">
      <w:pPr>
        <w:pStyle w:val="BodyText"/>
      </w:pPr>
      <w:r>
        <w:t>There has also been a positive change since 2013 in the proportion of Australians prepared to excuse a male rape perpetrator or blame a female rape victim where they are intoxicated or affected by drugs. In 2013, 19% agreed that ‘If a woman is raped while she is drunk or affected by drugs she is at least partly responsible’ compared to 13% in 2017. However, the proportions of Australians who in 2017 indicate excusing perpetration or victim-blaming in the context of sexual assault is still higher than it is for domestic violence. This is particularly the case in terms of at least partly blaming female rape victims – in 2017, 13% of Australians agreed that ‘If a woman is raped while she is drunk or affected by drugs she is at least partly responsible’.</w:t>
      </w:r>
      <w:r w:rsidR="00E7255A">
        <w:rPr>
          <w:rStyle w:val="EndnoteReference"/>
        </w:rPr>
        <w:endnoteReference w:id="490"/>
      </w:r>
      <w:r>
        <w:t xml:space="preserve"> While this result represents a 6 percentage point decline from 2013, these results, combined with other findings of the NCAS on attitudes to sexual violence and consent, and Australia’s prevalence rates on sexual violence, do suggest that sexual relations and sexual violence need a strong focus in our prevention efforts moving forward.</w:t>
      </w:r>
    </w:p>
    <w:p w14:paraId="2CF1999B" w14:textId="4EDFBF2D" w:rsidR="00514CC0" w:rsidRDefault="00E72B49" w:rsidP="001A03A8">
      <w:pPr>
        <w:pStyle w:val="Heading3"/>
        <w:rPr>
          <w:rStyle w:val="OWCharacterOpal"/>
        </w:rPr>
      </w:pPr>
      <w:bookmarkStart w:id="88" w:name="_Toc55053321"/>
      <w:r>
        <w:rPr>
          <w:rStyle w:val="OWCharacterOpal"/>
        </w:rPr>
        <w:lastRenderedPageBreak/>
        <w:t>Reinforcing factor: Backlash factors (when male dominance, power or status is challenged)</w:t>
      </w:r>
      <w:bookmarkEnd w:id="88"/>
    </w:p>
    <w:p w14:paraId="4B9E9A76" w14:textId="77777777" w:rsidR="00514CC0" w:rsidRDefault="00E72B49" w:rsidP="00CA5A0E">
      <w:pPr>
        <w:pStyle w:val="Heading4"/>
        <w:spacing w:before="160"/>
        <w:rPr>
          <w:rStyle w:val="OWCharacterOpal"/>
        </w:rPr>
      </w:pPr>
      <w:r>
        <w:rPr>
          <w:rStyle w:val="OWCharacterOpal"/>
        </w:rPr>
        <w:t>Monitoring domain 10: Backlash factors</w:t>
      </w:r>
    </w:p>
    <w:p w14:paraId="1E9881D4" w14:textId="251E9869" w:rsidR="00514CC0" w:rsidRDefault="00E72B49">
      <w:pPr>
        <w:pStyle w:val="BodyText"/>
      </w:pPr>
      <w:r>
        <w:t>Backlash theories point to the aggressive, sometimes explicit and violent, and sometimes</w:t>
      </w:r>
      <w:r w:rsidR="00F42FFD">
        <w:t> </w:t>
      </w:r>
      <w:r w:rsidR="002B47AA">
        <w:t>m</w:t>
      </w:r>
      <w:r>
        <w:t>ore implicit and covert resistance to change that has been demonstrated in the</w:t>
      </w:r>
      <w:r w:rsidR="00F42FFD">
        <w:t> </w:t>
      </w:r>
      <w:r>
        <w:t>international research when rigid gender roles and stereotyped constructions of masculinity and femininity are challenged. For example, violence against women is more likely to be condoned in societies undergoing rapid social and economic change, where women are being propelled into more prominent roles in paid work and civic society.</w:t>
      </w:r>
      <w:r w:rsidR="00B031E5">
        <w:rPr>
          <w:rStyle w:val="EndnoteReference"/>
        </w:rPr>
        <w:endnoteReference w:id="491"/>
      </w:r>
      <w:r>
        <w:t xml:space="preserve"> At</w:t>
      </w:r>
      <w:r w:rsidR="00F42FFD">
        <w:t> </w:t>
      </w:r>
      <w:r>
        <w:t>an individual/relationship level, men who have fewer economic and social resources relative to their partners (whether in the form of employment, education or income) have been shown to be more likely to perpetrate violence against women, but this is primarily among men holding stereotypical beliefs about their roles as ‘providers’.</w:t>
      </w:r>
      <w:r w:rsidR="00B031E5">
        <w:rPr>
          <w:rStyle w:val="EndnoteReference"/>
        </w:rPr>
        <w:endnoteReference w:id="492"/>
      </w:r>
      <w:r>
        <w:t xml:space="preserve"> Men with fewer</w:t>
      </w:r>
      <w:r w:rsidR="00F42FFD">
        <w:t> </w:t>
      </w:r>
      <w:r>
        <w:t>resources than their partners who hold more egalitarian beliefs about gender roles do</w:t>
      </w:r>
      <w:r w:rsidR="00F42FFD">
        <w:t> </w:t>
      </w:r>
      <w:r>
        <w:t>not have a greater risk of perpetration.</w:t>
      </w:r>
      <w:r w:rsidR="00B031E5">
        <w:rPr>
          <w:rStyle w:val="EndnoteReference"/>
        </w:rPr>
        <w:endnoteReference w:id="493"/>
      </w:r>
      <w:r>
        <w:t xml:space="preserve"> Increases in perpetration of violence in such circumstances indicate that violence is used as a tool to re-establish a perceived ‘natural’, ‘traditional’ or pre-existing gender role.</w:t>
      </w:r>
    </w:p>
    <w:p w14:paraId="5BB95723" w14:textId="3BB10C28" w:rsidR="00514CC0" w:rsidRDefault="00E72B49">
      <w:pPr>
        <w:pStyle w:val="BodyText"/>
      </w:pPr>
      <w:r>
        <w:t>In working towards the prevention of violence against women and the promotion of gender equality and women’s rights, it is essential we closely monitor associated trends in backlash activity. International research about gains in the field of gender equality and women’s rights shows that there are typically countervailing forces that rise up to resist and counter this progress. While the rise of these forces may in themselves be an indication of progress (i.e. there is a perceived need for a ‘pre-emptive strike’ by opponents of gender equality because of the strength, or perceived strength, of progress), backlash is also harmful to individual women and to the progress of movements for gender equality and prevention of</w:t>
      </w:r>
      <w:r w:rsidR="00F42FFD">
        <w:t> </w:t>
      </w:r>
      <w:r>
        <w:t>violence against women as a whole.</w:t>
      </w:r>
      <w:r w:rsidR="00B031E5">
        <w:rPr>
          <w:rStyle w:val="EndnoteReference"/>
        </w:rPr>
        <w:endnoteReference w:id="494"/>
      </w:r>
    </w:p>
    <w:p w14:paraId="7050D199" w14:textId="4DC6CE6C" w:rsidR="00514CC0" w:rsidRDefault="00E72B49">
      <w:pPr>
        <w:pStyle w:val="BodyText"/>
      </w:pPr>
      <w:r>
        <w:t>This domain is measured by a single indicator, which uses attitudinal data collected in</w:t>
      </w:r>
      <w:r w:rsidR="00F42FFD">
        <w:t> </w:t>
      </w:r>
      <w:r>
        <w:t>the</w:t>
      </w:r>
      <w:r w:rsidR="00F42FFD">
        <w:t> </w:t>
      </w:r>
      <w:r>
        <w:t>most recent iteration of the NCAS (2017).</w:t>
      </w:r>
    </w:p>
    <w:p w14:paraId="6785CC65" w14:textId="77777777" w:rsidR="00514CC0" w:rsidRDefault="00E72B49" w:rsidP="00F868FE">
      <w:pPr>
        <w:pStyle w:val="Heading5"/>
      </w:pPr>
      <w:r>
        <w:t>Backlash: Summary of change over time</w:t>
      </w:r>
    </w:p>
    <w:p w14:paraId="12FF3B9A" w14:textId="4C6BFC5F" w:rsidR="00514CC0" w:rsidRDefault="00E72B49">
      <w:pPr>
        <w:pStyle w:val="BodyText"/>
      </w:pPr>
      <w:r>
        <w:t>As this is a monitoring domain with limited and emerging data, this analysis is establishing a</w:t>
      </w:r>
      <w:r w:rsidR="00F42FFD">
        <w:t> </w:t>
      </w:r>
      <w:r>
        <w:t xml:space="preserve">baseline, rather than reporting on progress. As a benchmarking exercise, however, the results of the relevant </w:t>
      </w:r>
      <w:r w:rsidR="005B2381">
        <w:t>data point</w:t>
      </w:r>
      <w:r>
        <w:t>s in the 2017 NCAS are concerning. They indicate that considerable proportions of the population deny the continued persistence of gender inequality in Australia, consider women to be too sensitive about sexism, think that women</w:t>
      </w:r>
      <w:r w:rsidR="00F42FFD">
        <w:t> </w:t>
      </w:r>
      <w:r>
        <w:t>flirt with men in order to hurt them, and believe women undervalue men.</w:t>
      </w:r>
    </w:p>
    <w:p w14:paraId="649E2E8D" w14:textId="77777777" w:rsidR="00514CC0" w:rsidRDefault="00E72B49">
      <w:pPr>
        <w:pStyle w:val="BodyText"/>
      </w:pPr>
      <w:r>
        <w:t>Analysis of the 2017 NCAS results highlights a strong correlation between backlash attitudes that deny the problem of gender inequality, and attitudes supportive of violence against women. That is, the holding of backlash attitudes was a strong predictor of attitudes that condone violence against women.</w:t>
      </w:r>
    </w:p>
    <w:p w14:paraId="39FC513B" w14:textId="77777777" w:rsidR="002B47AA" w:rsidRPr="002B47AA" w:rsidRDefault="002B47AA" w:rsidP="002B47AA">
      <w:pPr>
        <w:pStyle w:val="BodyText"/>
      </w:pPr>
      <w:r w:rsidRPr="002B47AA">
        <w:br w:type="page"/>
      </w:r>
    </w:p>
    <w:p w14:paraId="236CCC7D" w14:textId="32D895EC" w:rsidR="00514CC0" w:rsidRDefault="00E72B49">
      <w:pPr>
        <w:pStyle w:val="BodyText"/>
      </w:pPr>
      <w:r>
        <w:lastRenderedPageBreak/>
        <w:t>While there is limited quantitative data available for this domain, qualitative analyses of the political environment have identified the rise of contemporary backlash forces operating at a global and national level, challenging movements for gender equality and the prevention of violence against women. These backlash activities are taking the form of:</w:t>
      </w:r>
    </w:p>
    <w:p w14:paraId="1FED9527" w14:textId="41530ED7" w:rsidR="00514CC0" w:rsidRDefault="00E72B49">
      <w:pPr>
        <w:pStyle w:val="OWBullet1"/>
      </w:pPr>
      <w:r>
        <w:t>Men’s Rights Activist movements, including overlapping or sub-groups such as Fathers’ Rights Activists and Incels (Involuntary Celibates), which not only reject a gendered understanding of violence and issues faced by women and men, but argue that feminism has created a crisis of masculinity, hurting and disadvantaging men.</w:t>
      </w:r>
      <w:r w:rsidR="001234AB">
        <w:rPr>
          <w:rStyle w:val="EndnoteReference"/>
        </w:rPr>
        <w:endnoteReference w:id="495"/>
      </w:r>
      <w:r>
        <w:t xml:space="preserve"> Organised men’s rights movements in Australia have had significant influence on areas of policy and legislative reform, especially family law</w:t>
      </w:r>
      <w:r w:rsidR="001234AB">
        <w:rPr>
          <w:rStyle w:val="EndnoteReference"/>
        </w:rPr>
        <w:endnoteReference w:id="496"/>
      </w:r>
    </w:p>
    <w:p w14:paraId="787FC66A" w14:textId="77777777" w:rsidR="00514CC0" w:rsidRDefault="00E72B49">
      <w:pPr>
        <w:pStyle w:val="OWBullet1"/>
      </w:pPr>
      <w:r>
        <w:t>The rise of far-right extremist political parties, movements and political representatives, which tend to espouse misogynistic, racist and anti-diversity ideologies (demonstrating how anti-gender equality attitudes are typically held simultaneously with other forms of discriminatory attitudes)</w:t>
      </w:r>
    </w:p>
    <w:p w14:paraId="58EBDB20" w14:textId="2A2A1D5E" w:rsidR="00514CC0" w:rsidRDefault="00E72B49">
      <w:pPr>
        <w:pStyle w:val="OWBullet1"/>
      </w:pPr>
      <w:r>
        <w:t>Strategies of men associated with men’s rights or far right ideologies, especially organised online trolling and harassment (including threats of violence), of women and</w:t>
      </w:r>
      <w:r w:rsidR="00F42FFD">
        <w:t> </w:t>
      </w:r>
      <w:r>
        <w:t>organisations working to progress gender equality and prevent violence against women</w:t>
      </w:r>
      <w:r w:rsidR="001234AB">
        <w:rPr>
          <w:rStyle w:val="EndnoteReference"/>
        </w:rPr>
        <w:endnoteReference w:id="497"/>
      </w:r>
    </w:p>
    <w:p w14:paraId="6B4235F6" w14:textId="1A14EDCD" w:rsidR="00514CC0" w:rsidRDefault="00E72B49">
      <w:pPr>
        <w:pStyle w:val="OWBullet1"/>
      </w:pPr>
      <w:r>
        <w:t>Backlash against the #MeToo movement’s exposure of the widespread nature of women’s experiences of sexual harassment and sexual violence, particularly in workplaces. Some analyses have characterised this backlash in terms of men’s dismissal of women’s claims, rising denial of gender inequality, and discrimination against and hostility toward women in hiring and other workplace practices as a means of avoiding sexual harassment claims.</w:t>
      </w:r>
      <w:r w:rsidR="001234AB">
        <w:rPr>
          <w:rStyle w:val="EndnoteReference"/>
        </w:rPr>
        <w:endnoteReference w:id="498"/>
      </w:r>
      <w:r>
        <w:t xml:space="preserve"> Interestingly, this corresponds with analysis of the gender pay gap in Australia, which places gender discrimination in the workplace as the leading contributor to the gender pay gap, and one that has grown in influence in recent years.</w:t>
      </w:r>
      <w:r w:rsidR="001234AB">
        <w:rPr>
          <w:rStyle w:val="EndnoteReference"/>
        </w:rPr>
        <w:endnoteReference w:id="499"/>
      </w:r>
    </w:p>
    <w:p w14:paraId="661D0850" w14:textId="77777777" w:rsidR="00514CC0" w:rsidRDefault="00E72B49" w:rsidP="00CA5A0E">
      <w:pPr>
        <w:pStyle w:val="OWBodytextafterlist"/>
      </w:pPr>
      <w:r>
        <w:t>In summary, there is a need for better data to monitor backlash forces, particularly in Australia. However, emerging evidence suggests backlash expressed as a denial of gender inequality is considerable. Moreover, ideological movements associated with anti-gender equality positions are in effect exacting influence upon policy spaces and individual attitudes, and creating harm against women. Prevention strategies will need to carefully monitor and account for backlash forces moving forward, to ensure that any gains achieved are not lost.</w:t>
      </w:r>
    </w:p>
    <w:p w14:paraId="5139D099" w14:textId="77777777" w:rsidR="0051280E" w:rsidRPr="0051280E" w:rsidRDefault="0051280E" w:rsidP="0051280E">
      <w:pPr>
        <w:pStyle w:val="BodyText"/>
      </w:pPr>
      <w:r w:rsidRPr="0051280E">
        <w:br w:type="page"/>
      </w:r>
    </w:p>
    <w:p w14:paraId="02D4DF46" w14:textId="380FCD0A" w:rsidR="00514CC0" w:rsidRDefault="00E72B49" w:rsidP="00E1549C">
      <w:pPr>
        <w:pStyle w:val="Heading4"/>
        <w:rPr>
          <w:rStyle w:val="OWCharacterOpal"/>
        </w:rPr>
      </w:pPr>
      <w:r>
        <w:rPr>
          <w:rStyle w:val="OWCharacterOpal"/>
        </w:rPr>
        <w:lastRenderedPageBreak/>
        <w:t>Indicator 10.1: Backlash factors</w:t>
      </w:r>
    </w:p>
    <w:tbl>
      <w:tblPr>
        <w:tblStyle w:val="Indicatoroutlineopal"/>
        <w:tblW w:w="9072" w:type="dxa"/>
        <w:tblLayout w:type="fixed"/>
        <w:tblLook w:val="0680" w:firstRow="0" w:lastRow="0" w:firstColumn="1" w:lastColumn="0" w:noHBand="1" w:noVBand="1"/>
      </w:tblPr>
      <w:tblGrid>
        <w:gridCol w:w="2835"/>
        <w:gridCol w:w="6237"/>
      </w:tblGrid>
      <w:tr w:rsidR="00514CC0" w14:paraId="56A5DCB5" w14:textId="77777777" w:rsidTr="00F0324E">
        <w:trPr>
          <w:cantSplit/>
          <w:trHeight w:val="60"/>
        </w:trPr>
        <w:tc>
          <w:tcPr>
            <w:tcW w:w="2835" w:type="dxa"/>
          </w:tcPr>
          <w:p w14:paraId="3B863DB9" w14:textId="77777777" w:rsidR="00514CC0" w:rsidRDefault="00E72B49">
            <w:pPr>
              <w:pStyle w:val="OWTablebodyleft"/>
            </w:pPr>
            <w:r>
              <w:t>What does this indicator tell us about Monitoring domain 10: Backlash factors?</w:t>
            </w:r>
          </w:p>
        </w:tc>
        <w:tc>
          <w:tcPr>
            <w:tcW w:w="6236" w:type="dxa"/>
          </w:tcPr>
          <w:p w14:paraId="27FAAC04" w14:textId="1FBF60EB" w:rsidR="00514CC0" w:rsidRDefault="00E72B49">
            <w:pPr>
              <w:pStyle w:val="OWTablebodyleft"/>
            </w:pPr>
            <w:r>
              <w:t>Backlash is a reaction against progressive social change, designed to prevent further change from happening.</w:t>
            </w:r>
            <w:r w:rsidR="001234AB">
              <w:rPr>
                <w:rStyle w:val="EndnoteReference"/>
              </w:rPr>
              <w:endnoteReference w:id="500"/>
            </w:r>
            <w:r>
              <w:t xml:space="preserve"> As</w:t>
            </w:r>
            <w:r w:rsidR="00F42FFD">
              <w:t> </w:t>
            </w:r>
            <w:r>
              <w:t>backlash can be enacted by individuals and groups, this indicator measures individual attitudes that indicate ‘overt hostility to women’ or that deny the persistence of sexism and gender inequality in Australia.</w:t>
            </w:r>
          </w:p>
        </w:tc>
      </w:tr>
      <w:tr w:rsidR="00514CC0" w14:paraId="4C23346B" w14:textId="77777777" w:rsidTr="00F0324E">
        <w:trPr>
          <w:cantSplit/>
          <w:trHeight w:val="60"/>
        </w:trPr>
        <w:tc>
          <w:tcPr>
            <w:tcW w:w="2835" w:type="dxa"/>
          </w:tcPr>
          <w:p w14:paraId="341101FE" w14:textId="77777777" w:rsidR="00514CC0" w:rsidRDefault="00E72B49">
            <w:pPr>
              <w:pStyle w:val="OWTablebodyleft"/>
            </w:pPr>
            <w:r>
              <w:t>Expected change if high-quality programs and infrastructure for prevention of violence against women and gender equality are implemented</w:t>
            </w:r>
          </w:p>
        </w:tc>
        <w:tc>
          <w:tcPr>
            <w:tcW w:w="6236" w:type="dxa"/>
          </w:tcPr>
          <w:p w14:paraId="0B8638E1" w14:textId="7AC25229" w:rsidR="00514CC0" w:rsidRDefault="00E72B49">
            <w:pPr>
              <w:pStyle w:val="OWTablebodyleft"/>
            </w:pPr>
            <w:r>
              <w:t>Short- and medium-term: proportion of the population who</w:t>
            </w:r>
            <w:r w:rsidR="00F42FFD">
              <w:t> </w:t>
            </w:r>
            <w:r>
              <w:t>express denial of continued gender inequality, hostility towards women, and antagonism towards the women’s movement may increase. Backlash to gender equality and a societal rejection of violence against women is, somewhat conversely, often a sign of progress. However, it needs to be effectively countered.</w:t>
            </w:r>
          </w:p>
          <w:p w14:paraId="3740CDC8" w14:textId="77777777" w:rsidR="00514CC0" w:rsidRDefault="00E72B49">
            <w:pPr>
              <w:pStyle w:val="OWTablebodyleft"/>
            </w:pPr>
            <w:r>
              <w:t>Long-term: if effective strategies to address backlash are put into place, the proportion of the population who express these views will decrease.</w:t>
            </w:r>
          </w:p>
        </w:tc>
      </w:tr>
      <w:tr w:rsidR="00514CC0" w14:paraId="1BB56EB5" w14:textId="77777777" w:rsidTr="00F0324E">
        <w:trPr>
          <w:cantSplit/>
          <w:trHeight w:val="60"/>
        </w:trPr>
        <w:tc>
          <w:tcPr>
            <w:tcW w:w="2835" w:type="dxa"/>
          </w:tcPr>
          <w:p w14:paraId="7D9EC0A3" w14:textId="77777777" w:rsidR="00514CC0" w:rsidRDefault="00E72B49">
            <w:pPr>
              <w:pStyle w:val="OWTablebodyleft"/>
            </w:pPr>
            <w:r>
              <w:t>Data source(s)</w:t>
            </w:r>
          </w:p>
        </w:tc>
        <w:tc>
          <w:tcPr>
            <w:tcW w:w="6236" w:type="dxa"/>
          </w:tcPr>
          <w:p w14:paraId="4E513044" w14:textId="77777777" w:rsidR="00514CC0" w:rsidRDefault="00E72B49">
            <w:pPr>
              <w:pStyle w:val="OWTablebodyleft"/>
            </w:pPr>
            <w:r>
              <w:t>National Community Attitudes towards Violence against Women Survey (NCAS) 2017, Australia’s National Research Organisation for Women’s Safety (ANROWS)</w:t>
            </w:r>
          </w:p>
        </w:tc>
      </w:tr>
      <w:tr w:rsidR="00514CC0" w14:paraId="4B665AE0" w14:textId="77777777" w:rsidTr="00F0324E">
        <w:trPr>
          <w:cantSplit/>
          <w:trHeight w:val="60"/>
        </w:trPr>
        <w:tc>
          <w:tcPr>
            <w:tcW w:w="2835" w:type="dxa"/>
          </w:tcPr>
          <w:p w14:paraId="1A64CC9B" w14:textId="36E7C0B2" w:rsidR="00514CC0" w:rsidRDefault="00E72B49">
            <w:pPr>
              <w:pStyle w:val="OWTablebodyleft"/>
            </w:pPr>
            <w:r>
              <w:t>Change over time summary: short-term change revealed by the</w:t>
            </w:r>
            <w:r w:rsidR="00F42FFD">
              <w:t> </w:t>
            </w:r>
            <w:r>
              <w:t>data</w:t>
            </w:r>
          </w:p>
        </w:tc>
        <w:tc>
          <w:tcPr>
            <w:tcW w:w="6236" w:type="dxa"/>
          </w:tcPr>
          <w:p w14:paraId="280A084A" w14:textId="77777777" w:rsidR="00514CC0" w:rsidRDefault="00E72B49">
            <w:pPr>
              <w:pStyle w:val="OWTablebodyleft"/>
            </w:pPr>
            <w:r>
              <w:t>For four of the five questions, only baseline data is available at this point; no assessment of change is possible. However, the high levels of attitudes linked to backlash may be a sign of progress.</w:t>
            </w:r>
          </w:p>
          <w:p w14:paraId="23ECB848" w14:textId="77777777" w:rsidR="00514CC0" w:rsidRDefault="00E72B49">
            <w:pPr>
              <w:pStyle w:val="OWTablebodyleft"/>
            </w:pPr>
            <w:r>
              <w:t>The one question measuring attitudes that has been collected over time indicates a reduction in attitudes that are linked with backlash, specifically in relation to discrimination in the workplace in Australia.</w:t>
            </w:r>
          </w:p>
        </w:tc>
      </w:tr>
      <w:tr w:rsidR="00514CC0" w14:paraId="557765F5" w14:textId="77777777" w:rsidTr="00F0324E">
        <w:trPr>
          <w:cantSplit/>
          <w:trHeight w:val="60"/>
        </w:trPr>
        <w:tc>
          <w:tcPr>
            <w:tcW w:w="2835" w:type="dxa"/>
          </w:tcPr>
          <w:p w14:paraId="30B93079" w14:textId="77777777" w:rsidR="00514CC0" w:rsidRDefault="00E72B49">
            <w:pPr>
              <w:pStyle w:val="OWTablebodyleft"/>
            </w:pPr>
            <w:r>
              <w:t>Does the change confirm or run contrary to expected change?</w:t>
            </w:r>
          </w:p>
        </w:tc>
        <w:tc>
          <w:tcPr>
            <w:tcW w:w="6236" w:type="dxa"/>
          </w:tcPr>
          <w:p w14:paraId="4B85576A" w14:textId="77777777" w:rsidR="00514CC0" w:rsidRDefault="00E72B49">
            <w:pPr>
              <w:pStyle w:val="OWTablebodyleft"/>
            </w:pPr>
            <w:r>
              <w:t>Not yet able to assess change.</w:t>
            </w:r>
          </w:p>
        </w:tc>
      </w:tr>
      <w:tr w:rsidR="00514CC0" w14:paraId="6B3B8FE0" w14:textId="77777777" w:rsidTr="00F0324E">
        <w:trPr>
          <w:cantSplit/>
          <w:trHeight w:val="60"/>
        </w:trPr>
        <w:tc>
          <w:tcPr>
            <w:tcW w:w="2835" w:type="dxa"/>
          </w:tcPr>
          <w:p w14:paraId="608F49C9" w14:textId="77777777" w:rsidR="00514CC0" w:rsidRDefault="00E72B49">
            <w:pPr>
              <w:pStyle w:val="OWTablebodyleft"/>
            </w:pPr>
            <w:r>
              <w:t>Gaps in existing data</w:t>
            </w:r>
          </w:p>
        </w:tc>
        <w:tc>
          <w:tcPr>
            <w:tcW w:w="6236" w:type="dxa"/>
          </w:tcPr>
          <w:p w14:paraId="740E7F6E" w14:textId="77777777" w:rsidR="00514CC0" w:rsidRDefault="00E72B49">
            <w:pPr>
              <w:pStyle w:val="OWTablebodyleft"/>
            </w:pPr>
            <w:r>
              <w:t>The NCAS provides limited attitudinal backlash measures. However, other forms of quantitative data on the shape of backlash in Australia, and change over time, are greatly needed.</w:t>
            </w:r>
          </w:p>
        </w:tc>
      </w:tr>
    </w:tbl>
    <w:p w14:paraId="13E79015" w14:textId="77777777" w:rsidR="004724DD" w:rsidRPr="004724DD" w:rsidRDefault="004724DD" w:rsidP="004724DD">
      <w:pPr>
        <w:pStyle w:val="BodyText"/>
      </w:pPr>
      <w:r w:rsidRPr="004724DD">
        <w:br w:type="page"/>
      </w:r>
    </w:p>
    <w:p w14:paraId="3E63051A" w14:textId="778A68E8" w:rsidR="00514CC0" w:rsidRDefault="00E72B49" w:rsidP="00CA5A0E">
      <w:pPr>
        <w:pStyle w:val="OWBodytextlargespaceabove"/>
      </w:pPr>
      <w:r>
        <w:lastRenderedPageBreak/>
        <w:t>The 2017 NCAS was adapted to include five questions (four new) associated with backlash attitudes – that is, attitudes that indicate an ‘overt hostility to women’ or that deny the persistence of sexism and gender inequality in Australia.</w:t>
      </w:r>
      <w:r w:rsidR="001234AB">
        <w:rPr>
          <w:rStyle w:val="EndnoteReference"/>
        </w:rPr>
        <w:endnoteReference w:id="501"/>
      </w:r>
      <w:r>
        <w:t xml:space="preserve"> Results of the 2017 NCAS on backlash attitudes are disturbing:</w:t>
      </w:r>
    </w:p>
    <w:p w14:paraId="77C787D0" w14:textId="77777777" w:rsidR="00514CC0" w:rsidRDefault="00E72B49">
      <w:pPr>
        <w:pStyle w:val="OWBullet1"/>
      </w:pPr>
      <w:r>
        <w:t>Two in five (40%) Australians deny the continued persistence of gender inequality, agreeing ‘Many women exaggerate how unequally women are treated in Australia.’</w:t>
      </w:r>
    </w:p>
    <w:p w14:paraId="3CB240CE" w14:textId="77777777" w:rsidR="00514CC0" w:rsidRDefault="00E72B49">
      <w:pPr>
        <w:pStyle w:val="OWBullet1"/>
      </w:pPr>
      <w:r>
        <w:t>Half of all Australians (50%) agreed that ‘Many women mistakenly interpret innocent remarks or acts as being sexist.’</w:t>
      </w:r>
    </w:p>
    <w:p w14:paraId="1D6CFD9F" w14:textId="77777777" w:rsidR="00514CC0" w:rsidRDefault="00E72B49">
      <w:pPr>
        <w:pStyle w:val="OWBullet1"/>
      </w:pPr>
      <w:r>
        <w:t>One in five (20%) agreed that ‘Women often flirt with men just to be hurtful.’</w:t>
      </w:r>
    </w:p>
    <w:p w14:paraId="794A8DFB" w14:textId="77777777" w:rsidR="00514CC0" w:rsidRDefault="00E72B49">
      <w:pPr>
        <w:pStyle w:val="OWBullet1"/>
      </w:pPr>
      <w:r>
        <w:t>Over one-third (36%) agreed that ‘Many women fail to fully appreciate all that men do for them.’</w:t>
      </w:r>
    </w:p>
    <w:p w14:paraId="3C35D27D" w14:textId="33367C33" w:rsidR="00514CC0" w:rsidRDefault="00E72B49" w:rsidP="0051280E">
      <w:pPr>
        <w:pStyle w:val="OWBodytextlargespacebelow"/>
        <w:spacing w:before="140"/>
      </w:pPr>
      <w:r>
        <w:t>However, and significantly, the one statement that has been asked over successive NCAS waves – ‘Discrimination against women is no longer a problem in the workplace in Australia’ – received the lowest agreement response rate in 2017. One in ten (10%) agreed in 2017, as</w:t>
      </w:r>
      <w:r w:rsidR="00F42FFD">
        <w:t> </w:t>
      </w:r>
      <w:r>
        <w:t>compared to 13% in 2013 and 11% in 2009, indicating a shift in attitudes regarding recognition of discrimination against women in Australian workplaces.</w:t>
      </w:r>
    </w:p>
    <w:tbl>
      <w:tblPr>
        <w:tblStyle w:val="Casestudyopal"/>
        <w:tblW w:w="0" w:type="auto"/>
        <w:tblLayout w:type="fixed"/>
        <w:tblLook w:val="0600" w:firstRow="0" w:lastRow="0" w:firstColumn="0" w:lastColumn="0" w:noHBand="1" w:noVBand="1"/>
      </w:tblPr>
      <w:tblGrid>
        <w:gridCol w:w="9071"/>
      </w:tblGrid>
      <w:tr w:rsidR="00514CC0" w14:paraId="57F35529" w14:textId="77777777" w:rsidTr="00F0324E">
        <w:trPr>
          <w:trHeight w:val="60"/>
        </w:trPr>
        <w:tc>
          <w:tcPr>
            <w:tcW w:w="9071" w:type="dxa"/>
          </w:tcPr>
          <w:p w14:paraId="77D8EC6F" w14:textId="69512C1D" w:rsidR="00514CC0" w:rsidRDefault="00E72B49" w:rsidP="00CA5A0E">
            <w:pPr>
              <w:pStyle w:val="OWTablebodyleft"/>
              <w:spacing w:before="320"/>
            </w:pPr>
            <w:r>
              <w:t>The prevalence of backlash attitudes in contemporary gender equality movements – as indicated by the NCAS results above – are high. It is also crucial to note that the 2017 NCAS results indicate that backlash attitudes that deny the problem of gender inequality is the strongest gender equality theme predictor of attitudes supportive of violence against women. That is, the 2017 NCAS found that gender equality attitudes are the factor most predictive of attitudes towards violence against women. Within gender equality attitudes, backlash attitudes make the largest contribution (40%) to attitudes supportive of violence against women, demonstrating a strong association between backlash attitudes and attitudinal support for violence against women. This</w:t>
            </w:r>
            <w:r w:rsidR="00F42FFD">
              <w:t> </w:t>
            </w:r>
            <w:r>
              <w:t>further underlines the critical importance of efforts to prevent violence against women becoming equipped to deal with and counter backlash.</w:t>
            </w:r>
          </w:p>
        </w:tc>
      </w:tr>
    </w:tbl>
    <w:p w14:paraId="0519465F" w14:textId="77777777" w:rsidR="000A5ACD" w:rsidRPr="000A5ACD" w:rsidRDefault="000A5ACD" w:rsidP="000A5ACD">
      <w:pPr>
        <w:pStyle w:val="OWBodytextlargespaceabove"/>
      </w:pPr>
    </w:p>
    <w:p w14:paraId="0F71CB05" w14:textId="1B862A81" w:rsidR="000A5ACD" w:rsidRPr="000A5ACD" w:rsidRDefault="000A5ACD" w:rsidP="000A5ACD">
      <w:pPr>
        <w:pStyle w:val="OWBodytextlargespaceabove"/>
        <w:sectPr w:rsidR="000A5ACD" w:rsidRPr="000A5ACD" w:rsidSect="00386F57">
          <w:footerReference w:type="even" r:id="rId77"/>
          <w:footerReference w:type="default" r:id="rId78"/>
          <w:footnotePr>
            <w:numFmt w:val="lowerRoman"/>
          </w:footnotePr>
          <w:endnotePr>
            <w:numFmt w:val="decimal"/>
          </w:endnotePr>
          <w:pgSz w:w="11906" w:h="16838" w:code="9"/>
          <w:pgMar w:top="1418" w:right="1418" w:bottom="1418" w:left="1418" w:header="454" w:footer="454" w:gutter="0"/>
          <w:cols w:space="720"/>
          <w:noEndnote/>
        </w:sectPr>
      </w:pPr>
    </w:p>
    <w:p w14:paraId="62107B47" w14:textId="0E46CE76" w:rsidR="00514CC0" w:rsidRDefault="00B13020" w:rsidP="00F3391D">
      <w:pPr>
        <w:pStyle w:val="Heading2"/>
        <w:rPr>
          <w:rStyle w:val="OWCharacterUmber"/>
        </w:rPr>
      </w:pPr>
      <w:bookmarkStart w:id="89" w:name="_Toc55053322"/>
      <w:r w:rsidRPr="00B13020">
        <w:rPr>
          <w:rStyle w:val="OWCharacterUmber"/>
        </w:rPr>
        <w:lastRenderedPageBreak/>
        <w:t xml:space="preserve">Section 2 Part </w:t>
      </w:r>
      <w:r>
        <w:rPr>
          <w:rStyle w:val="OWCharacterUmber"/>
        </w:rPr>
        <w:t>B</w:t>
      </w:r>
      <w:r w:rsidRPr="00B13020">
        <w:rPr>
          <w:rStyle w:val="OWCharacterUmber"/>
        </w:rPr>
        <w:t xml:space="preserve">: </w:t>
      </w:r>
      <w:r w:rsidR="000A5ACD">
        <w:rPr>
          <w:noProof/>
          <w:color w:val="00688C"/>
          <w:shd w:val="clear" w:color="auto" w:fill="E6E6E6"/>
          <w:lang w:val="en-US" w:eastAsia="en-US"/>
        </w:rPr>
        <w:drawing>
          <wp:anchor distT="0" distB="0" distL="114300" distR="114300" simplePos="0" relativeHeight="251658241" behindDoc="1" locked="1" layoutInCell="1" allowOverlap="1" wp14:anchorId="0BFC8EFF" wp14:editId="6B2E0628">
            <wp:simplePos x="0" y="0"/>
            <wp:positionH relativeFrom="page">
              <wp:align>left</wp:align>
            </wp:positionH>
            <wp:positionV relativeFrom="page">
              <wp:align>top</wp:align>
            </wp:positionV>
            <wp:extent cx="7563600" cy="9725760"/>
            <wp:effectExtent l="0" t="0" r="0" b="8890"/>
            <wp:wrapNone/>
            <wp:docPr id="36" name="Picture 3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ection start teal.png"/>
                    <pic:cNvPicPr/>
                  </pic:nvPicPr>
                  <pic:blipFill>
                    <a:blip r:embed="rId79"/>
                    <a:stretch>
                      <a:fillRect/>
                    </a:stretch>
                  </pic:blipFill>
                  <pic:spPr>
                    <a:xfrm>
                      <a:off x="0" y="0"/>
                      <a:ext cx="7563600" cy="9725760"/>
                    </a:xfrm>
                    <a:prstGeom prst="rect">
                      <a:avLst/>
                    </a:prstGeom>
                  </pic:spPr>
                </pic:pic>
              </a:graphicData>
            </a:graphic>
            <wp14:sizeRelH relativeFrom="margin">
              <wp14:pctWidth>0</wp14:pctWidth>
            </wp14:sizeRelH>
            <wp14:sizeRelV relativeFrom="margin">
              <wp14:pctHeight>0</wp14:pctHeight>
            </wp14:sizeRelV>
          </wp:anchor>
        </w:drawing>
      </w:r>
      <w:r w:rsidR="00E72B49">
        <w:rPr>
          <w:rStyle w:val="OWCharacterUmber"/>
        </w:rPr>
        <w:t>Long-term change: Prevalence of violence against women</w:t>
      </w:r>
      <w:bookmarkEnd w:id="89"/>
    </w:p>
    <w:p w14:paraId="7D67875D" w14:textId="0396AC18" w:rsidR="00B5531E" w:rsidRDefault="00B5531E" w:rsidP="00B5531E">
      <w:pPr>
        <w:pStyle w:val="OWBodytextlargespaceabove"/>
      </w:pPr>
      <w:r w:rsidRPr="003E209A">
        <w:rPr>
          <w:rStyle w:val="Emphasis"/>
        </w:rPr>
        <w:t xml:space="preserve">Change the story </w:t>
      </w:r>
      <w:r>
        <w:t>outlines how violence against women and their children</w:t>
      </w:r>
      <w:r>
        <w:rPr>
          <w:rStyle w:val="OWSuperscript"/>
        </w:rPr>
        <w:footnoteReference w:id="59"/>
      </w:r>
      <w:r>
        <w:t xml:space="preserve"> is a prevalent, serious and preventable abuse of human rights with devastating individual and social consequences. The ultimate goal of those working on prevention is the elimination of violence against women; hence, monitoring prevalence is essential in order to track progress towards this ultimate goal. This section focuses on the prevalence of key forms of violence against women in Australia.</w:t>
      </w:r>
    </w:p>
    <w:p w14:paraId="0AA0B314" w14:textId="6430DD71" w:rsidR="00B5531E" w:rsidRPr="00DB6BB9" w:rsidRDefault="00B5531E" w:rsidP="00B40399">
      <w:pPr>
        <w:pStyle w:val="Heading3"/>
        <w:pageBreakBefore w:val="0"/>
        <w:rPr>
          <w:rStyle w:val="OWCharacterUmber"/>
        </w:rPr>
      </w:pPr>
      <w:bookmarkStart w:id="90" w:name="_Toc55053323"/>
      <w:r w:rsidRPr="00DB6BB9">
        <w:rPr>
          <w:rStyle w:val="OWCharacterUmber"/>
        </w:rPr>
        <w:t>A focus on short-term prevalence data, with</w:t>
      </w:r>
      <w:r w:rsidR="00DB6BB9" w:rsidRPr="00DB6BB9">
        <w:rPr>
          <w:rStyle w:val="OWCharacterUmber"/>
        </w:rPr>
        <w:t> </w:t>
      </w:r>
      <w:r w:rsidRPr="00DB6BB9">
        <w:rPr>
          <w:rStyle w:val="OWCharacterUmber"/>
        </w:rPr>
        <w:t>lifetime prevalence as a baseline for</w:t>
      </w:r>
      <w:r w:rsidR="00DB6BB9" w:rsidRPr="00DB6BB9">
        <w:rPr>
          <w:rStyle w:val="OWCharacterUmber"/>
        </w:rPr>
        <w:br/>
      </w:r>
      <w:r w:rsidRPr="00DB6BB9">
        <w:rPr>
          <w:rStyle w:val="OWCharacterUmber"/>
        </w:rPr>
        <w:t>longer-term monitoring</w:t>
      </w:r>
      <w:bookmarkEnd w:id="90"/>
    </w:p>
    <w:p w14:paraId="595FB993" w14:textId="25A4BDCE" w:rsidR="00B40399" w:rsidRDefault="00E72B49" w:rsidP="00256C4F">
      <w:pPr>
        <w:pStyle w:val="BodyText"/>
      </w:pPr>
      <w:r>
        <w:t>Lifetime prevalence would only be expected to decrease at the population level in the very long term, because incidents in the relatively distant past will continue to be recorded long after any prevention strategies have been introduced. The short-term period prevalence measurement is more amenable to change over time, as it captures the proportion of women who have experienced violence within a short-term contemporary period (typically</w:t>
      </w:r>
      <w:r w:rsidR="00F42FFD">
        <w:t> </w:t>
      </w:r>
      <w:r>
        <w:t>12 months), and therefore is likely to be more reflective of prevention strategies implemented in recent years.</w:t>
      </w:r>
    </w:p>
    <w:p w14:paraId="1E9D228B" w14:textId="77777777" w:rsidR="00256C4F" w:rsidRDefault="00256C4F">
      <w:pPr>
        <w:pStyle w:val="BodyText"/>
        <w:sectPr w:rsidR="00256C4F" w:rsidSect="00256C4F">
          <w:footerReference w:type="default" r:id="rId80"/>
          <w:footnotePr>
            <w:numFmt w:val="lowerRoman"/>
          </w:footnotePr>
          <w:endnotePr>
            <w:numFmt w:val="decimal"/>
          </w:endnotePr>
          <w:pgSz w:w="11906" w:h="16838" w:code="9"/>
          <w:pgMar w:top="1418" w:right="1418" w:bottom="3969" w:left="1418" w:header="454" w:footer="454" w:gutter="0"/>
          <w:cols w:space="720"/>
          <w:noEndnote/>
        </w:sectPr>
      </w:pPr>
    </w:p>
    <w:p w14:paraId="5F7C4331" w14:textId="5A984508" w:rsidR="00514CC0" w:rsidRDefault="00E72B49">
      <w:pPr>
        <w:pStyle w:val="BodyText"/>
      </w:pPr>
      <w:r>
        <w:lastRenderedPageBreak/>
        <w:t>For this reason, the following sections draw on 12-month prevalence data as the more appropriate timeframe to compare across survey periods. The most recent data on lifetime exposure to violence (that is, occurring at any point or points since age 15) is presented, in order to provide broader context and a baseline for future prevention monitoring reports.</w:t>
      </w:r>
    </w:p>
    <w:p w14:paraId="3D2A9F6B" w14:textId="551162E7" w:rsidR="00514CC0" w:rsidRDefault="00E72B49">
      <w:pPr>
        <w:pStyle w:val="BodyText"/>
      </w:pPr>
      <w:r>
        <w:t xml:space="preserve">However, while we would expect 12-month prevalence to decrease </w:t>
      </w:r>
      <w:r w:rsidRPr="003E209A">
        <w:rPr>
          <w:rStyle w:val="Emphasis"/>
        </w:rPr>
        <w:t xml:space="preserve">sooner </w:t>
      </w:r>
      <w:r>
        <w:t>than lifetime prevalence, we would still not expect to see a measurable decrease in the short term. This is</w:t>
      </w:r>
      <w:r w:rsidR="00F42FFD">
        <w:t> </w:t>
      </w:r>
      <w:r>
        <w:t>because short-term prevalence rates are still dependent on primary prevention strategies comprehensively and effectively addressing the drivers of violence against women and reaching the whole population in a sustained and coordinated way.</w:t>
      </w:r>
    </w:p>
    <w:p w14:paraId="65AA5AEB" w14:textId="68F87384" w:rsidR="00834BF3" w:rsidRPr="00841735" w:rsidRDefault="00834BF3" w:rsidP="00841735">
      <w:pPr>
        <w:pStyle w:val="BodyText"/>
      </w:pPr>
      <w:r w:rsidRPr="00841735">
        <w:br w:type="page"/>
      </w:r>
    </w:p>
    <w:p w14:paraId="2732A5F0" w14:textId="57E0C9CB" w:rsidR="00514CC0" w:rsidRDefault="00E72B49" w:rsidP="00E1549C">
      <w:pPr>
        <w:pStyle w:val="Heading4"/>
        <w:rPr>
          <w:rStyle w:val="OWCharacterUmber"/>
        </w:rPr>
      </w:pPr>
      <w:r>
        <w:rPr>
          <w:rStyle w:val="OWCharacterUmber"/>
        </w:rPr>
        <w:lastRenderedPageBreak/>
        <w:t>Monitoring domain 11: Prevalence of violence against women</w:t>
      </w:r>
    </w:p>
    <w:p w14:paraId="5D14A866" w14:textId="77777777" w:rsidR="00514CC0" w:rsidRDefault="00E72B49" w:rsidP="00730A1D">
      <w:pPr>
        <w:pStyle w:val="Heading5"/>
        <w:spacing w:before="160"/>
      </w:pPr>
      <w:r>
        <w:t>Twelve-month prevalence indicators</w:t>
      </w:r>
    </w:p>
    <w:tbl>
      <w:tblPr>
        <w:tblStyle w:val="Indicatorlistingumber"/>
        <w:tblW w:w="9072" w:type="dxa"/>
        <w:tblLayout w:type="fixed"/>
        <w:tblLook w:val="0680" w:firstRow="0" w:lastRow="0" w:firstColumn="1" w:lastColumn="0" w:noHBand="1" w:noVBand="1"/>
      </w:tblPr>
      <w:tblGrid>
        <w:gridCol w:w="1701"/>
        <w:gridCol w:w="7371"/>
      </w:tblGrid>
      <w:tr w:rsidR="00514CC0" w14:paraId="36FC5877" w14:textId="77777777" w:rsidTr="00F0324E">
        <w:trPr>
          <w:cantSplit/>
          <w:trHeight w:val="60"/>
        </w:trPr>
        <w:tc>
          <w:tcPr>
            <w:tcW w:w="1701" w:type="dxa"/>
          </w:tcPr>
          <w:p w14:paraId="7C8D4471" w14:textId="77777777" w:rsidR="00514CC0" w:rsidRDefault="00E72B49">
            <w:pPr>
              <w:pStyle w:val="OWTablebodyleftwhite"/>
            </w:pPr>
            <w:r>
              <w:t>Indicator 11.1</w:t>
            </w:r>
          </w:p>
        </w:tc>
        <w:tc>
          <w:tcPr>
            <w:tcW w:w="7371" w:type="dxa"/>
          </w:tcPr>
          <w:p w14:paraId="528798C3" w14:textId="77777777" w:rsidR="00514CC0" w:rsidRDefault="00E72B49">
            <w:pPr>
              <w:pStyle w:val="OWTablebodyleftwhite"/>
            </w:pPr>
            <w:r>
              <w:t>Proportion of women aged 18 years and older subjected to physical, sexual or psychological violence by a current or former intimate partner in the last 12 months</w:t>
            </w:r>
          </w:p>
        </w:tc>
      </w:tr>
      <w:tr w:rsidR="00514CC0" w14:paraId="17B6464F" w14:textId="77777777" w:rsidTr="00F0324E">
        <w:trPr>
          <w:cantSplit/>
          <w:trHeight w:val="60"/>
        </w:trPr>
        <w:tc>
          <w:tcPr>
            <w:tcW w:w="1701" w:type="dxa"/>
          </w:tcPr>
          <w:p w14:paraId="09DAAF17" w14:textId="77777777" w:rsidR="00514CC0" w:rsidRDefault="00E72B49">
            <w:pPr>
              <w:pStyle w:val="OWTablebodyleftwhite"/>
            </w:pPr>
            <w:r>
              <w:t>Indicator 11.2</w:t>
            </w:r>
          </w:p>
        </w:tc>
        <w:tc>
          <w:tcPr>
            <w:tcW w:w="7371" w:type="dxa"/>
          </w:tcPr>
          <w:p w14:paraId="257BC160" w14:textId="77777777" w:rsidR="00514CC0" w:rsidRDefault="00E72B49">
            <w:pPr>
              <w:pStyle w:val="OWTablebodyleftwhite"/>
            </w:pPr>
            <w:r>
              <w:t>Proportion of women aged 18 years and older subjected to sexual violence by persons other than an intimate partner in the last 12 months</w:t>
            </w:r>
          </w:p>
        </w:tc>
      </w:tr>
      <w:tr w:rsidR="00514CC0" w14:paraId="7273CFA8" w14:textId="77777777" w:rsidTr="00F0324E">
        <w:trPr>
          <w:cantSplit/>
          <w:trHeight w:val="60"/>
        </w:trPr>
        <w:tc>
          <w:tcPr>
            <w:tcW w:w="1701" w:type="dxa"/>
          </w:tcPr>
          <w:p w14:paraId="46B414A6" w14:textId="77777777" w:rsidR="00514CC0" w:rsidRDefault="00E72B49">
            <w:pPr>
              <w:pStyle w:val="OWTablebodyleftwhite"/>
            </w:pPr>
            <w:r>
              <w:t>Indicator 11.3</w:t>
            </w:r>
          </w:p>
        </w:tc>
        <w:tc>
          <w:tcPr>
            <w:tcW w:w="7371" w:type="dxa"/>
          </w:tcPr>
          <w:p w14:paraId="0588F6E1" w14:textId="77777777" w:rsidR="00514CC0" w:rsidRDefault="00E72B49">
            <w:pPr>
              <w:pStyle w:val="OWTablebodyleftwhite"/>
            </w:pPr>
            <w:r>
              <w:t>Proportion of women aged 18 years and older subjected to physical and/or sexual violence by any perpetrator in the last 12 months</w:t>
            </w:r>
          </w:p>
        </w:tc>
      </w:tr>
      <w:tr w:rsidR="00514CC0" w14:paraId="0F9B131E" w14:textId="77777777" w:rsidTr="00F0324E">
        <w:trPr>
          <w:cantSplit/>
          <w:trHeight w:val="60"/>
        </w:trPr>
        <w:tc>
          <w:tcPr>
            <w:tcW w:w="1701" w:type="dxa"/>
          </w:tcPr>
          <w:p w14:paraId="5FF24987" w14:textId="77777777" w:rsidR="00514CC0" w:rsidRDefault="00E72B49">
            <w:pPr>
              <w:pStyle w:val="OWTablebodyleftwhite"/>
            </w:pPr>
            <w:r>
              <w:t>Indicator 11.4</w:t>
            </w:r>
          </w:p>
        </w:tc>
        <w:tc>
          <w:tcPr>
            <w:tcW w:w="7371" w:type="dxa"/>
          </w:tcPr>
          <w:p w14:paraId="6CFBB6A7" w14:textId="77777777" w:rsidR="00514CC0" w:rsidRDefault="00E72B49">
            <w:pPr>
              <w:pStyle w:val="OWTablebodyleftwhite"/>
            </w:pPr>
            <w:r>
              <w:t>Proportion of women who have experienced sexual harassment in the last 12 months</w:t>
            </w:r>
          </w:p>
        </w:tc>
      </w:tr>
      <w:tr w:rsidR="00514CC0" w14:paraId="7FB6BFAD" w14:textId="77777777" w:rsidTr="00F0324E">
        <w:trPr>
          <w:cantSplit/>
          <w:trHeight w:val="60"/>
        </w:trPr>
        <w:tc>
          <w:tcPr>
            <w:tcW w:w="1701" w:type="dxa"/>
          </w:tcPr>
          <w:p w14:paraId="4B390F7C" w14:textId="77777777" w:rsidR="00514CC0" w:rsidRDefault="00E72B49">
            <w:pPr>
              <w:pStyle w:val="OWTablebodyleftwhite"/>
            </w:pPr>
            <w:r>
              <w:t>Indicator 11.5</w:t>
            </w:r>
          </w:p>
        </w:tc>
        <w:tc>
          <w:tcPr>
            <w:tcW w:w="7371" w:type="dxa"/>
          </w:tcPr>
          <w:p w14:paraId="6713DA9E" w14:textId="77777777" w:rsidR="00514CC0" w:rsidRDefault="00E72B49">
            <w:pPr>
              <w:pStyle w:val="OWTablebodyleftwhite"/>
            </w:pPr>
            <w:r>
              <w:t>Number of women killed per year by any (non-state actor) perpetrator (femicide)*</w:t>
            </w:r>
          </w:p>
        </w:tc>
      </w:tr>
    </w:tbl>
    <w:p w14:paraId="49D140D8" w14:textId="2CA0921C" w:rsidR="000F3FAA" w:rsidRDefault="000F3FAA" w:rsidP="000F3FAA">
      <w:pPr>
        <w:pStyle w:val="OWTablefootnoteindent"/>
      </w:pPr>
      <w:r>
        <w:t>*</w:t>
      </w:r>
      <w:r>
        <w:tab/>
        <w:t xml:space="preserve">Indicator 11.5 is an addition to those in </w:t>
      </w:r>
      <w:r w:rsidRPr="003E209A">
        <w:rPr>
          <w:rStyle w:val="Emphasis"/>
        </w:rPr>
        <w:t xml:space="preserve">Counting on change </w:t>
      </w:r>
      <w:r>
        <w:t>and has been included to aid a more comprehensive picture of the prevalence of violence against women in Australia.</w:t>
      </w:r>
    </w:p>
    <w:p w14:paraId="7438995D" w14:textId="77777777" w:rsidR="00514CC0" w:rsidRDefault="00E72B49" w:rsidP="00F868FE">
      <w:pPr>
        <w:pStyle w:val="Heading5"/>
      </w:pPr>
      <w:r>
        <w:t>Lifetime prevalence indicators</w:t>
      </w:r>
    </w:p>
    <w:tbl>
      <w:tblPr>
        <w:tblStyle w:val="Indicatorlistingumber"/>
        <w:tblW w:w="9072" w:type="dxa"/>
        <w:tblLayout w:type="fixed"/>
        <w:tblLook w:val="0680" w:firstRow="0" w:lastRow="0" w:firstColumn="1" w:lastColumn="0" w:noHBand="1" w:noVBand="1"/>
      </w:tblPr>
      <w:tblGrid>
        <w:gridCol w:w="1701"/>
        <w:gridCol w:w="7371"/>
      </w:tblGrid>
      <w:tr w:rsidR="00514CC0" w14:paraId="0064782D" w14:textId="77777777" w:rsidTr="00F0324E">
        <w:trPr>
          <w:cantSplit/>
          <w:trHeight w:val="60"/>
        </w:trPr>
        <w:tc>
          <w:tcPr>
            <w:tcW w:w="1701" w:type="dxa"/>
          </w:tcPr>
          <w:p w14:paraId="3A60733B" w14:textId="77777777" w:rsidR="00514CC0" w:rsidRDefault="00E72B49">
            <w:pPr>
              <w:pStyle w:val="OWTablebodyleftwhite"/>
            </w:pPr>
            <w:r>
              <w:t>Indicator 11.6</w:t>
            </w:r>
          </w:p>
        </w:tc>
        <w:tc>
          <w:tcPr>
            <w:tcW w:w="7371" w:type="dxa"/>
          </w:tcPr>
          <w:p w14:paraId="21316E62" w14:textId="77777777" w:rsidR="00514CC0" w:rsidRDefault="00E72B49">
            <w:pPr>
              <w:pStyle w:val="OWTablebodyleftwhite"/>
            </w:pPr>
            <w:r>
              <w:t xml:space="preserve">Proportion of women subjected to physical, sexual or psychological violence by a current or former intimate partner since age 15 </w:t>
            </w:r>
          </w:p>
        </w:tc>
      </w:tr>
      <w:tr w:rsidR="00514CC0" w14:paraId="71ECAB86" w14:textId="77777777" w:rsidTr="00F0324E">
        <w:trPr>
          <w:cantSplit/>
          <w:trHeight w:val="60"/>
        </w:trPr>
        <w:tc>
          <w:tcPr>
            <w:tcW w:w="1701" w:type="dxa"/>
          </w:tcPr>
          <w:p w14:paraId="29631045" w14:textId="77777777" w:rsidR="00514CC0" w:rsidRDefault="00E72B49">
            <w:pPr>
              <w:pStyle w:val="OWTablebodyleftwhite"/>
            </w:pPr>
            <w:r>
              <w:t>Indicator 11.7</w:t>
            </w:r>
          </w:p>
        </w:tc>
        <w:tc>
          <w:tcPr>
            <w:tcW w:w="7371" w:type="dxa"/>
          </w:tcPr>
          <w:p w14:paraId="5873EA34" w14:textId="77777777" w:rsidR="00514CC0" w:rsidRDefault="00E72B49">
            <w:pPr>
              <w:pStyle w:val="OWTablebodyleftwhite"/>
            </w:pPr>
            <w:r>
              <w:t>Proportion of women subjected to sexual violence by a person other than an intimate partner since age 15</w:t>
            </w:r>
          </w:p>
        </w:tc>
      </w:tr>
      <w:tr w:rsidR="00514CC0" w14:paraId="754961F8" w14:textId="77777777" w:rsidTr="00F0324E">
        <w:trPr>
          <w:cantSplit/>
          <w:trHeight w:val="60"/>
        </w:trPr>
        <w:tc>
          <w:tcPr>
            <w:tcW w:w="1701" w:type="dxa"/>
          </w:tcPr>
          <w:p w14:paraId="1F7D1D55" w14:textId="77777777" w:rsidR="00514CC0" w:rsidRDefault="00E72B49">
            <w:pPr>
              <w:pStyle w:val="OWTablebodyleftwhite"/>
            </w:pPr>
            <w:r>
              <w:t>Indicator 11.8</w:t>
            </w:r>
          </w:p>
        </w:tc>
        <w:tc>
          <w:tcPr>
            <w:tcW w:w="7371" w:type="dxa"/>
          </w:tcPr>
          <w:p w14:paraId="1DDAFDDA" w14:textId="77777777" w:rsidR="00514CC0" w:rsidRDefault="00E72B49">
            <w:pPr>
              <w:pStyle w:val="OWTablebodyleftwhite"/>
            </w:pPr>
            <w:r>
              <w:t>Proportion of women aged 18 years and older subjected to physical and/or sexual violence by any perpetrator since age 15</w:t>
            </w:r>
          </w:p>
        </w:tc>
      </w:tr>
      <w:tr w:rsidR="00514CC0" w14:paraId="0902D901" w14:textId="77777777" w:rsidTr="00F0324E">
        <w:trPr>
          <w:cantSplit/>
          <w:trHeight w:val="60"/>
        </w:trPr>
        <w:tc>
          <w:tcPr>
            <w:tcW w:w="1701" w:type="dxa"/>
          </w:tcPr>
          <w:p w14:paraId="1B4055C4" w14:textId="77777777" w:rsidR="00514CC0" w:rsidRDefault="00E72B49">
            <w:pPr>
              <w:pStyle w:val="OWTablebodyleftwhite"/>
            </w:pPr>
            <w:r>
              <w:t>Indicator 11.9</w:t>
            </w:r>
          </w:p>
        </w:tc>
        <w:tc>
          <w:tcPr>
            <w:tcW w:w="7371" w:type="dxa"/>
          </w:tcPr>
          <w:p w14:paraId="0E26FE9F" w14:textId="77777777" w:rsidR="00514CC0" w:rsidRDefault="00E72B49">
            <w:pPr>
              <w:pStyle w:val="OWTablebodyleftwhite"/>
            </w:pPr>
            <w:r>
              <w:t>Proportion of women who have experienced sexual harassment since age 15*</w:t>
            </w:r>
          </w:p>
        </w:tc>
      </w:tr>
    </w:tbl>
    <w:p w14:paraId="79E399C7" w14:textId="38233DA4" w:rsidR="000F3FAA" w:rsidRDefault="000F3FAA" w:rsidP="000F3FAA">
      <w:pPr>
        <w:pStyle w:val="OWTablefootnoteindent"/>
      </w:pPr>
      <w:r>
        <w:t>*</w:t>
      </w:r>
      <w:r>
        <w:tab/>
        <w:t xml:space="preserve">Indicator 11.9 is an addition to those in </w:t>
      </w:r>
      <w:r w:rsidRPr="003E209A">
        <w:rPr>
          <w:rStyle w:val="Emphasis"/>
        </w:rPr>
        <w:t xml:space="preserve">Counting on change </w:t>
      </w:r>
      <w:r>
        <w:t>and has been included to aid a more comprehensive picture of the prevalence of violence against women in Australia.</w:t>
      </w:r>
    </w:p>
    <w:p w14:paraId="2AF57D82" w14:textId="704CB95D" w:rsidR="00514CC0" w:rsidRDefault="00E72B49" w:rsidP="00B5531E">
      <w:pPr>
        <w:pStyle w:val="OWBodytextlargespaceabove"/>
      </w:pPr>
      <w:r>
        <w:t xml:space="preserve">Australia’s shared framework for the prevention of violence against women, </w:t>
      </w:r>
      <w:r w:rsidRPr="003E209A">
        <w:rPr>
          <w:rStyle w:val="Emphasis"/>
        </w:rPr>
        <w:t>Change the</w:t>
      </w:r>
      <w:r w:rsidR="00F42FFD">
        <w:rPr>
          <w:rStyle w:val="Emphasis"/>
        </w:rPr>
        <w:t> </w:t>
      </w:r>
      <w:r w:rsidRPr="003E209A">
        <w:rPr>
          <w:rStyle w:val="Emphasis"/>
        </w:rPr>
        <w:t>story</w:t>
      </w:r>
      <w:r>
        <w:t>, and the C</w:t>
      </w:r>
      <w:r w:rsidRPr="003E209A">
        <w:rPr>
          <w:rStyle w:val="Emphasis"/>
        </w:rPr>
        <w:t xml:space="preserve">ounting on change </w:t>
      </w:r>
      <w:r>
        <w:t>prevention monitoring framework recognise that reductions in the rates of violence against women will only be seen in the long-term (i.e.</w:t>
      </w:r>
      <w:r w:rsidR="00F42FFD">
        <w:t> </w:t>
      </w:r>
      <w:r>
        <w:t xml:space="preserve">outside of the time period in consideration within this first monitoring report). Moreover, long-term change to prevalence rates is not inevitable: it is only going to be achieved if we sufficiently address the gendered drivers of violence, intersecting </w:t>
      </w:r>
      <w:r w:rsidR="00FF48B5" w:rsidRPr="00FF48B5">
        <w:t>drivers of violence (other forms of oppression and discrimination)</w:t>
      </w:r>
      <w:r>
        <w:t xml:space="preserve">, and other factors reinforcing the likelihood of violence. To this end, then, the framework for prevention monitoring outlined in </w:t>
      </w:r>
      <w:r w:rsidRPr="003E209A">
        <w:rPr>
          <w:rStyle w:val="Emphasis"/>
        </w:rPr>
        <w:t xml:space="preserve">Counting on change </w:t>
      </w:r>
      <w:r>
        <w:t xml:space="preserve">and operationalised in this report does not focus on prevalence alone as the only measures by which we know we are succeeding in preventing violence against women. It also measures change in relation to the </w:t>
      </w:r>
      <w:r w:rsidR="00085DA8" w:rsidRPr="00085DA8">
        <w:t>gendered</w:t>
      </w:r>
      <w:r w:rsidR="00085DA8">
        <w:t xml:space="preserve"> </w:t>
      </w:r>
      <w:r>
        <w:t xml:space="preserve">drivers, intersecting </w:t>
      </w:r>
      <w:r w:rsidR="00FF48B5">
        <w:t>drivers</w:t>
      </w:r>
      <w:r>
        <w:t xml:space="preserve"> and reinforcing factors, as</w:t>
      </w:r>
      <w:r w:rsidR="00F42FFD">
        <w:t> </w:t>
      </w:r>
      <w:r>
        <w:t xml:space="preserve">well as the national infrastructure that catalyses and supports change. </w:t>
      </w:r>
      <w:r>
        <w:lastRenderedPageBreak/>
        <w:t>‘Significant and sustained reductions’</w:t>
      </w:r>
      <w:r w:rsidR="001234AB">
        <w:rPr>
          <w:rStyle w:val="EndnoteReference"/>
        </w:rPr>
        <w:endnoteReference w:id="502"/>
      </w:r>
      <w:r>
        <w:t xml:space="preserve"> in prevalence of violence against women can, logically, only</w:t>
      </w:r>
      <w:r w:rsidR="00085DA8">
        <w:t> </w:t>
      </w:r>
      <w:r>
        <w:t>be</w:t>
      </w:r>
      <w:r w:rsidR="00085DA8">
        <w:t> </w:t>
      </w:r>
      <w:r>
        <w:t>expected if we first achieve reductions in the factors that drive such violence.</w:t>
      </w:r>
    </w:p>
    <w:p w14:paraId="26DCAAA9" w14:textId="77777777" w:rsidR="00514CC0" w:rsidRDefault="00E72B49" w:rsidP="00F868FE">
      <w:pPr>
        <w:pStyle w:val="Heading5"/>
      </w:pPr>
      <w:r>
        <w:t>Reducing the prevalence of violence against women: Summary of change over time</w:t>
      </w:r>
    </w:p>
    <w:p w14:paraId="7A8BE557" w14:textId="77777777" w:rsidR="00514CC0" w:rsidRDefault="00E72B49">
      <w:pPr>
        <w:pStyle w:val="BodyText"/>
      </w:pPr>
      <w:r>
        <w:t>The data detailed in the indicators which follow show that there have been only minor and inconsistent changes in the 12-month prevalence rates of most forms of violence against women in the time period under consideration in this report. That is, prevalence rates of most forms of violence against women have remained relatively consistent over the past decade. Where there have been reductions, these have been mostly only small and we cannot yet determine if these reductions will ‘stick’ (be sustained).</w:t>
      </w:r>
    </w:p>
    <w:p w14:paraId="63EA338A" w14:textId="674479EB" w:rsidR="00514CC0" w:rsidRDefault="00E72B49">
      <w:pPr>
        <w:pStyle w:val="BodyText"/>
      </w:pPr>
      <w:r>
        <w:t>The clear exception to the overall findings is with regard to sexual harassment prevalence rates. Women are reporting marked increases in 12-month experiences of sexual harassment (in any setting). Workplace sexual harassment data, detailed in Indicator 3.6, also shows a marked upswing in reported rates of workplace sexual harassment of women. It is not possible to conclusively state why prevalence surveys have registered significantly higher prevalence rates of sexual harassment between survey waves (between 2012 and 2016 for the Personal Safety Survey (PSS), and 2012 and 2018 for the AHRC workplace sexual harassment surveys). However, it is hypothesised that this may be linked to the #MeToo movements (and its antecedents), which have shone a light on sexual harassment and reframed many women’s perceptions of their own experiences. Further research is required</w:t>
      </w:r>
      <w:r w:rsidR="00F42FFD">
        <w:t> </w:t>
      </w:r>
      <w:r>
        <w:t>to understand the considerable increases in prevalence rates of sexual harassment experienced by women in this short period of time.</w:t>
      </w:r>
    </w:p>
    <w:p w14:paraId="2AC81591" w14:textId="1D9AED8D" w:rsidR="00514CC0" w:rsidRDefault="00E72B49">
      <w:pPr>
        <w:pStyle w:val="BodyText"/>
      </w:pPr>
      <w:r>
        <w:t xml:space="preserve">While there are many gaps in data with regard to the victimisation rates of women who experience intersecting forms of inequality and discrimination (as noted throughout this section), available data suggests disproportionately high and mostly unchanging prevalence rates for </w:t>
      </w:r>
      <w:r w:rsidR="00DA1BC4">
        <w:t>Aboriginal and Torres Strait Islander</w:t>
      </w:r>
      <w:r>
        <w:t xml:space="preserve"> women, women with disability, and women who experience socioeconomic disadvantage.</w:t>
      </w:r>
    </w:p>
    <w:p w14:paraId="58F02CBF" w14:textId="77777777" w:rsidR="00514CC0" w:rsidRDefault="00E72B49">
      <w:pPr>
        <w:pStyle w:val="BodyText"/>
      </w:pPr>
      <w:r>
        <w:t>The data collated against this monitoring domain demonstrates the clear need for continued, sustained and strategic efforts to both prevent and respond to violence against women in Australia. The whole-of-population prevalence of violence against women remains unacceptably high and persistent, and higher still for women who experience intersecting forms of inequality and discrimination.</w:t>
      </w:r>
    </w:p>
    <w:p w14:paraId="10F189C2" w14:textId="77777777" w:rsidR="00514CC0" w:rsidRDefault="00E72B49" w:rsidP="00F868FE">
      <w:pPr>
        <w:pStyle w:val="Heading6"/>
      </w:pPr>
      <w:r>
        <w:t>Short-term prevalence shifts</w:t>
      </w:r>
    </w:p>
    <w:p w14:paraId="1D3EA04F" w14:textId="77777777" w:rsidR="00514CC0" w:rsidRDefault="00E72B49">
      <w:pPr>
        <w:pStyle w:val="BodyText"/>
      </w:pPr>
      <w:r>
        <w:t>For the most part, there have not been large shifts in 12-month prevalence rates of different forms of violence against women, by different categories of perpetrator, in the time period under consideration in this report. For example:</w:t>
      </w:r>
    </w:p>
    <w:p w14:paraId="0698BF75" w14:textId="77777777" w:rsidR="00514CC0" w:rsidRDefault="00E72B49">
      <w:pPr>
        <w:pStyle w:val="OWBullet1"/>
      </w:pPr>
      <w:r>
        <w:t>Twelve-month rates of violence against women by intimate partners have remained fairly consistent between 2012 and 2016.</w:t>
      </w:r>
    </w:p>
    <w:p w14:paraId="2CF5AD4B" w14:textId="77777777" w:rsidR="00514CC0" w:rsidRDefault="00E72B49">
      <w:pPr>
        <w:pStyle w:val="OWBullet1"/>
      </w:pPr>
      <w:r>
        <w:t>Twelve-month rates of sexual assault against women perpetrated by persons other than partners have remained fairly consistent.</w:t>
      </w:r>
    </w:p>
    <w:p w14:paraId="6805DC27" w14:textId="77777777" w:rsidR="00514CC0" w:rsidRDefault="00E72B49" w:rsidP="00F6538C">
      <w:pPr>
        <w:pStyle w:val="OWBodytextafterlist"/>
        <w:keepNext/>
      </w:pPr>
      <w:r>
        <w:lastRenderedPageBreak/>
        <w:t>However, the following statistically significant changes to prevalence rates are noted:</w:t>
      </w:r>
    </w:p>
    <w:p w14:paraId="43DBB011" w14:textId="77777777" w:rsidR="00514CC0" w:rsidRDefault="00E72B49">
      <w:pPr>
        <w:pStyle w:val="OWBullet1"/>
      </w:pPr>
      <w:r>
        <w:t>Twelve-month rates of sexual violence against women by any perpetrator have increased somewhat.</w:t>
      </w:r>
    </w:p>
    <w:p w14:paraId="5DFE453B" w14:textId="77777777" w:rsidR="00514CC0" w:rsidRDefault="00E72B49">
      <w:pPr>
        <w:pStyle w:val="OWBullet1"/>
      </w:pPr>
      <w:r>
        <w:t>Twelve-month rates of physical violence against women by any perpetrator have decreased somewhat.</w:t>
      </w:r>
    </w:p>
    <w:p w14:paraId="7EB2C617" w14:textId="77777777" w:rsidR="00514CC0" w:rsidRDefault="00E72B49">
      <w:pPr>
        <w:pStyle w:val="OWBullet1"/>
      </w:pPr>
      <w:r>
        <w:t>There has been a marked increase in twelve-month rates of sexual harassment of women.</w:t>
      </w:r>
    </w:p>
    <w:p w14:paraId="2B666282" w14:textId="77777777" w:rsidR="00514CC0" w:rsidRDefault="00E72B49" w:rsidP="00F868FE">
      <w:pPr>
        <w:pStyle w:val="Heading5"/>
      </w:pPr>
      <w:r>
        <w:t>About prevalence data</w:t>
      </w:r>
    </w:p>
    <w:p w14:paraId="11DDDC56" w14:textId="7A6446F3" w:rsidR="00514CC0" w:rsidRDefault="00E72B49">
      <w:pPr>
        <w:pStyle w:val="BodyText"/>
      </w:pPr>
      <w:r>
        <w:t>Measuring change in the proportion of women who have experienced violence is best done</w:t>
      </w:r>
      <w:r w:rsidR="00F42FFD">
        <w:t> </w:t>
      </w:r>
      <w:r>
        <w:t>through repeatable population-based surveys, which provide reliable, comparable prevalence data. In Australia the primary vehicle for measuring the prevalence of violence is</w:t>
      </w:r>
      <w:r w:rsidR="00F42FFD">
        <w:t> </w:t>
      </w:r>
      <w:r>
        <w:t>the Personal Safety Survey (PSS), funded by the Department of Social Services and conducted by the Australian Bureau of Statistics (ABS). Australia’s PSS is considered to be world-class. It conforms with, and has informed, international World Health Organization (WHO) module standards and ethical procedures. Violence prevalence surveys – including the PSS – usually distinguish between different forms of violence (e.g. physical and sexual) and different categories of perpetrator (e.g. former or current intimate partner, friend or colleague), and such distinctions are essential to any nuanced understanding of change.</w:t>
      </w:r>
    </w:p>
    <w:p w14:paraId="075A912F" w14:textId="77777777" w:rsidR="00514CC0" w:rsidRDefault="00E72B49">
      <w:pPr>
        <w:pStyle w:val="BodyText"/>
      </w:pPr>
      <w:r>
        <w:t>Violence prevalence rates are often measured in two ways:</w:t>
      </w:r>
    </w:p>
    <w:p w14:paraId="3880658E" w14:textId="77777777" w:rsidR="00514CC0" w:rsidRDefault="00E72B49" w:rsidP="002C2EC7">
      <w:pPr>
        <w:pStyle w:val="OWNumberdigit"/>
        <w:numPr>
          <w:ilvl w:val="0"/>
          <w:numId w:val="12"/>
        </w:numPr>
      </w:pPr>
      <w:r>
        <w:t>lifetime prevalence (i.e. the percentage of women who have experienced violence in their lifetime since the age of 15), and</w:t>
      </w:r>
    </w:p>
    <w:p w14:paraId="30C4DC3E" w14:textId="77777777" w:rsidR="00514CC0" w:rsidRDefault="00E72B49">
      <w:pPr>
        <w:pStyle w:val="OWNumberdigit"/>
      </w:pPr>
      <w:r>
        <w:t>short-term prevalence rates, typically 12 months (i.e. the percentage of women who have experienced violence in the past year at the point of survey).</w:t>
      </w:r>
    </w:p>
    <w:p w14:paraId="0B420055" w14:textId="77777777" w:rsidR="00514CC0" w:rsidRDefault="00E72B49" w:rsidP="00445923">
      <w:pPr>
        <w:pStyle w:val="OWBodytextafterlist"/>
      </w:pPr>
      <w:r>
        <w:t>The PSS measures 12-month and lifetime experiences of violence (as well as collecting some data on past childhood experiences of abuse).</w:t>
      </w:r>
    </w:p>
    <w:p w14:paraId="7E136D21" w14:textId="77777777" w:rsidR="00514CC0" w:rsidRDefault="00E72B49" w:rsidP="00F868FE">
      <w:pPr>
        <w:pStyle w:val="Heading6"/>
      </w:pPr>
      <w:r>
        <w:t>Limitations to whole-of-population violence against women prevalence data</w:t>
      </w:r>
    </w:p>
    <w:p w14:paraId="4A4E8A4B" w14:textId="77777777" w:rsidR="00514CC0" w:rsidRDefault="00E72B49">
      <w:pPr>
        <w:pStyle w:val="BodyText"/>
      </w:pPr>
      <w:r>
        <w:t>Population-based prevalence data is essential to our understanding of whether we are making progress toward the elimination of violence against women at a population level. Australia is leading the way globally through having a strong, credible and dedicated instrument in the PSS. However, there are some important limits to what population-based surveys (including the PSS) and prevalence data tell us about progress in prevention of violence against women.</w:t>
      </w:r>
    </w:p>
    <w:p w14:paraId="421C2A1A" w14:textId="77777777" w:rsidR="00514CC0" w:rsidRDefault="00E72B49" w:rsidP="00F868FE">
      <w:pPr>
        <w:pStyle w:val="Heading7"/>
      </w:pPr>
      <w:r>
        <w:t>Measuring the prevalence of all forms of violence against women</w:t>
      </w:r>
    </w:p>
    <w:p w14:paraId="4D87EC87" w14:textId="3B9AAB22" w:rsidR="00514CC0" w:rsidRDefault="00E72B49">
      <w:pPr>
        <w:pStyle w:val="BodyText"/>
      </w:pPr>
      <w:r>
        <w:t xml:space="preserve">For methodological and pragmatic reasons, and to be able to preserve data comparability over time (as well as between countries/jurisdictions), key prevalence surveys typically focus on the most common interpersonal forms of violence against women. The PSS is highly comprehensive by international standards. It measures, for example, physical and sexual violence, as well as emotional abuse (which includes some measures of financial abuse), sexual harassment, and stalking. At present, it does not measure other forms of gendered violence which have been gaining increased attention and driving new policy and practice, such as reproductive coercion, systems abuse, elder abuse, coercive control, and a range of </w:t>
      </w:r>
      <w:r>
        <w:lastRenderedPageBreak/>
        <w:t>technological, emotional and financial abuse behaviours. It is also not able to measure in</w:t>
      </w:r>
      <w:r w:rsidR="00DB6BB9">
        <w:t> </w:t>
      </w:r>
      <w:r>
        <w:t>great detail the settings in which certain forms of violence may be enabled, e.g. in institutional settings. Of course, survey instruments are also unable to measure the most severe form of violence against women – homicide – so results must be read in conjunction with homicide statistics. For this reason, homicide crime statistics and coronial data have been included in this report.</w:t>
      </w:r>
    </w:p>
    <w:p w14:paraId="7289E303" w14:textId="742FB23B" w:rsidR="00514CC0" w:rsidRDefault="00E72B49">
      <w:pPr>
        <w:pStyle w:val="BodyText"/>
      </w:pPr>
      <w:r>
        <w:t>Surveys such as the PSS, by their nature, focus on direct, interpersonal, individual experiences of violence. They are not suitable for measuring structural violence against women. To capture this aspect and provide a fuller picture of violence against women, other</w:t>
      </w:r>
      <w:r w:rsidR="00DB6BB9">
        <w:t> </w:t>
      </w:r>
      <w:r>
        <w:t xml:space="preserve">indicators are critical - including those associated with intersecting drivers of </w:t>
      </w:r>
      <w:r w:rsidR="00BC3FA6" w:rsidRPr="00BC3FA6">
        <w:t>violence (other forms of oppression and discrimination)</w:t>
      </w:r>
      <w:r>
        <w:t>, and those associated with the range of reinforcing factors discussed in this report.</w:t>
      </w:r>
    </w:p>
    <w:p w14:paraId="2ED6E07A" w14:textId="77777777" w:rsidR="00514CC0" w:rsidRDefault="00E72B49" w:rsidP="00F868FE">
      <w:pPr>
        <w:pStyle w:val="Heading7"/>
      </w:pPr>
      <w:r>
        <w:t>Measuring the prevalence (and patterns) of perpetration</w:t>
      </w:r>
    </w:p>
    <w:p w14:paraId="046E81DD" w14:textId="48C118EF" w:rsidR="00514CC0" w:rsidRDefault="00E72B49">
      <w:pPr>
        <w:pStyle w:val="BodyText"/>
      </w:pPr>
      <w:r>
        <w:t>As with most international survey instruments, the PSS and other prevalence instruments in</w:t>
      </w:r>
      <w:r w:rsidR="00DB6BB9">
        <w:t> </w:t>
      </w:r>
      <w:r>
        <w:t xml:space="preserve">Australia focus on eliciting data on respondents’ </w:t>
      </w:r>
      <w:r w:rsidRPr="003E209A">
        <w:rPr>
          <w:rStyle w:val="Emphasis"/>
        </w:rPr>
        <w:t xml:space="preserve">experience </w:t>
      </w:r>
      <w:r>
        <w:t xml:space="preserve">of violence (i.e. victimisation information), rather than on respondents’ </w:t>
      </w:r>
      <w:r w:rsidRPr="003E209A">
        <w:rPr>
          <w:rStyle w:val="Emphasis"/>
        </w:rPr>
        <w:t xml:space="preserve">perpetration </w:t>
      </w:r>
      <w:r>
        <w:t>of violence. As such, perpetration data in the PSS is limited to what respondents who have been subject to violence reveal about their relationship to the perpetrator. Population-based data on the proportion of the population who are perpetrating violence, and their patterns of perpetration, is therefore, limited, and cannot be comprehensively included in our prevention monitoring framework.</w:t>
      </w:r>
    </w:p>
    <w:p w14:paraId="1E78B116" w14:textId="77777777" w:rsidR="00514CC0" w:rsidRDefault="00E72B49" w:rsidP="00F868FE">
      <w:pPr>
        <w:pStyle w:val="Heading7"/>
      </w:pPr>
      <w:r>
        <w:t>Capturing demographic diversity and disaggregation of analysis</w:t>
      </w:r>
    </w:p>
    <w:p w14:paraId="172E5C81" w14:textId="77777777" w:rsidR="00514CC0" w:rsidRDefault="00E72B49">
      <w:pPr>
        <w:pStyle w:val="BodyText"/>
      </w:pPr>
      <w:r>
        <w:t>In the design of population-representative surveys, certain choices are made about the capturing of demographic information, and then the extent to which disaggregated analysis is made available to the public. These choices are made in a way that seeks to balance nuance and sub-population group representation with sample size and the ability to disaggregate findings along multiple axes. Demographic choices are also sometimes made due to ethical reasons or pragmatic difficulties in survey delivery in the field, and sometimes political choices or reflections of our understanding of diversity at particular points in time. Such choices are also difficult to shift over time because of the potential to obstruct ‘timeseries analysis’, i.e. the comparison of data over time based on different survey waves.</w:t>
      </w:r>
    </w:p>
    <w:p w14:paraId="689F8D96" w14:textId="77777777" w:rsidR="00514CC0" w:rsidRDefault="00E72B49">
      <w:pPr>
        <w:pStyle w:val="BodyText"/>
      </w:pPr>
      <w:r>
        <w:t>For example, the PSS is affected by a number of diversity and demographic limitations:</w:t>
      </w:r>
    </w:p>
    <w:p w14:paraId="4C07B3B2" w14:textId="0F471A46" w:rsidR="00514CC0" w:rsidRDefault="00E72B49">
      <w:pPr>
        <w:pStyle w:val="OWBullet1"/>
      </w:pPr>
      <w:r>
        <w:t xml:space="preserve">Disaggregation of PSS victimisation data by demographic factors is mostly limited to </w:t>
      </w:r>
      <w:r w:rsidR="00DB6BB9">
        <w:br/>
      </w:r>
      <w:r>
        <w:t>12-month data rather than lifetime prevalence data, because victim demographics can change over time (i.e. people age or can acquire disability). However, as noted by Cox (2016, p. 51), ‘the use of prior year data reduces the sample size … making it more difficult for variations between groups to be classified as statistically significant’.</w:t>
      </w:r>
      <w:r w:rsidR="001234AB">
        <w:rPr>
          <w:rStyle w:val="EndnoteReference"/>
        </w:rPr>
        <w:endnoteReference w:id="503"/>
      </w:r>
      <w:r>
        <w:t xml:space="preserve"> As</w:t>
      </w:r>
      <w:r w:rsidR="00DB6BB9">
        <w:t> </w:t>
      </w:r>
      <w:r>
        <w:t>such, it is likely that there is more difference in prevalence rates between different groups of women than the PSS data reveals.</w:t>
      </w:r>
      <w:r w:rsidR="001234AB">
        <w:rPr>
          <w:rStyle w:val="EndnoteReference"/>
        </w:rPr>
        <w:endnoteReference w:id="504"/>
      </w:r>
    </w:p>
    <w:p w14:paraId="5E858556" w14:textId="77777777" w:rsidR="00514CC0" w:rsidRDefault="00E72B49">
      <w:pPr>
        <w:pStyle w:val="OWBullet1"/>
      </w:pPr>
      <w:r>
        <w:t xml:space="preserve">Notably, the PSS is not able to be disaggregated by Indigenous status, nor is it administered in remote communities. For these reasons, it cannot tell us anything about the comparative prevalence rates of violence experienced by Aboriginal and Torres Strait Islander women vis-à-vis the whole population or the non-Indigenous population. While other surveys focused on Aboriginal and Torres Strait Islander people are used to generate violence prevalence data (the National Aboriginal and Torres Strait Islander </w:t>
      </w:r>
      <w:r>
        <w:lastRenderedPageBreak/>
        <w:t>Health Survey, NATSIHS, and the National Aboriginal and Torres Strait Islander Social Survey, NATSISS), this data is not directly comparable to that of the PSS, and perhaps more importantly, is not as comprehensive because these other survey instruments are not focused solely on violence.</w:t>
      </w:r>
    </w:p>
    <w:p w14:paraId="43590DA2" w14:textId="56A72821" w:rsidR="00514CC0" w:rsidRDefault="00E72B49">
      <w:pPr>
        <w:pStyle w:val="OWBullet1"/>
      </w:pPr>
      <w:r>
        <w:t>While some information is collected on cultural and language diversity through country of birth and language demographic factors, the demographic information is limited and the survey is typically delivered in English, though some provision for interpretation is made. Publicly available analysis of the PSS data typically yields findings which do not give us great insight into how experiences and prevalence of violence differ along cultural or linguistic or place-of-birth lines. This is likely to stem in significant part from under-representation of people from culturally and linguistically diverse communities, due to the limitations in the delivery of the survey in languages other than English.</w:t>
      </w:r>
      <w:r w:rsidR="001234AB">
        <w:rPr>
          <w:rStyle w:val="EndnoteReference"/>
        </w:rPr>
        <w:endnoteReference w:id="505"/>
      </w:r>
      <w:r>
        <w:t xml:space="preserve"> This report does not include, then, disaggregation by country of birth and language under all indicators, as this data seems to be limited in its usefulness.</w:t>
      </w:r>
    </w:p>
    <w:p w14:paraId="4A6CCE14" w14:textId="3B3B1F0A" w:rsidR="00514CC0" w:rsidRDefault="00E72B49">
      <w:pPr>
        <w:pStyle w:val="OWBullet1"/>
      </w:pPr>
      <w:r>
        <w:t>The PSS is not administered in care or other institutions, nor are the sensitive questions on violence allowed to be administered with the assistance of a caregiver. The ABS therefore notes that people with more severe, and particularly communicative, forms of disability, are likely to under-represented in the survey sample.</w:t>
      </w:r>
      <w:r w:rsidR="00806EC1">
        <w:rPr>
          <w:rStyle w:val="EndnoteReference"/>
        </w:rPr>
        <w:endnoteReference w:id="506"/>
      </w:r>
    </w:p>
    <w:p w14:paraId="4B2AA105" w14:textId="3D58141A" w:rsidR="00514CC0" w:rsidRDefault="00E72B49">
      <w:pPr>
        <w:pStyle w:val="OWBullet1"/>
      </w:pPr>
      <w:r>
        <w:t>Given that the survey is administered to individuals with a fixed residential address only and not in institutions, it excludes participation by individuals who are either transient or</w:t>
      </w:r>
      <w:r w:rsidR="00F42FFD">
        <w:t> </w:t>
      </w:r>
      <w:r>
        <w:t>institutionalised, such as homeless women, trafficked women, imprisoned women, institutionalised women with disability, and asylum seeker or migrant women in detention centres. And yet we know through settings-based evidence that women in such institutions are likely to experience high prevalence rates of violence, as a catalyst to institutionalisation or homelessness, and/or due to being subject to violence within a hostile institutional setting or in impermanent accommodation.</w:t>
      </w:r>
    </w:p>
    <w:p w14:paraId="3D7008CB" w14:textId="77777777" w:rsidR="00514CC0" w:rsidRDefault="00E72B49">
      <w:pPr>
        <w:pStyle w:val="OWBullet1"/>
      </w:pPr>
      <w:r>
        <w:t>While in the forthcoming wave of the PSS (2020) information will be captured about sexual identity for the first time, currently there is no option on gender identity which goes beyond the binary male/female option, nor does this allow self-identification as cisgender or transgender. Therefore, prevalence rates among women of diverse sexual orientations and gender identities is rendered largely invisible in the PSS data.</w:t>
      </w:r>
    </w:p>
    <w:p w14:paraId="0E0E34A2" w14:textId="77777777" w:rsidR="00514CC0" w:rsidRDefault="00E72B49" w:rsidP="00F868FE">
      <w:pPr>
        <w:pStyle w:val="Heading6"/>
      </w:pPr>
      <w:r>
        <w:t>Understanding the gendered and intersectional nature of violence against women: Beyond prevalence to experiences</w:t>
      </w:r>
    </w:p>
    <w:p w14:paraId="5205D902" w14:textId="69F28489" w:rsidR="00514CC0" w:rsidRDefault="00E72B49">
      <w:pPr>
        <w:pStyle w:val="BodyText"/>
      </w:pPr>
      <w:r>
        <w:t>The PSS and other data and research regarding women’s victimisation can tell us a great deal more than simply prevalence and comparative demographic patterns of victimisation and perpetration. Analysis of what happens during and after incidents of violence, impacts on victims, or patterns of multiple victimisations and ongoing patterns of violence are not included in this section. Some of this is drawn upon in the Drivers and Reinforcers sections of</w:t>
      </w:r>
      <w:r w:rsidR="003F4F30">
        <w:t> </w:t>
      </w:r>
      <w:r>
        <w:t xml:space="preserve">this report; other analysis is beyond its scope. We have not undertaken an exhaustive comparison to men’s violence victimisation – though key elements of this are included at Indicator 8.2: Percentage of men who reported experiencing violence by a male perpetrator. However, in order to fully understand women’s experiences of violence based on available data, including comparison to male victimisation, we recommend other reports such as </w:t>
      </w:r>
      <w:r w:rsidRPr="003E209A">
        <w:rPr>
          <w:rStyle w:val="Emphasis"/>
        </w:rPr>
        <w:t xml:space="preserve">Violence against women: Additional analysis of the Australian Bureau of Statistics’ Personal Safety Survey, 2012 </w:t>
      </w:r>
      <w:r>
        <w:t xml:space="preserve">(ANROWS, 2016), and Our Watch’s recent report on understanding the </w:t>
      </w:r>
      <w:r>
        <w:lastRenderedPageBreak/>
        <w:t>higher prevalence and differential impacts of</w:t>
      </w:r>
      <w:r w:rsidR="00F42FFD">
        <w:rPr>
          <w:b/>
        </w:rPr>
        <w:t> </w:t>
      </w:r>
      <w:r>
        <w:t>violence against Aboriginal and Torres Strait Islander women.</w:t>
      </w:r>
      <w:r w:rsidR="001234AB">
        <w:rPr>
          <w:rStyle w:val="EndnoteReference"/>
        </w:rPr>
        <w:endnoteReference w:id="507"/>
      </w:r>
    </w:p>
    <w:p w14:paraId="4562F75F" w14:textId="38D50F69" w:rsidR="00514CC0" w:rsidRDefault="00E72B49">
      <w:pPr>
        <w:pStyle w:val="BodyText"/>
      </w:pPr>
      <w:r>
        <w:t xml:space="preserve">Even where we have some prevalence data </w:t>
      </w:r>
      <w:r w:rsidR="009B4FF0">
        <w:t xml:space="preserve">for </w:t>
      </w:r>
      <w:r>
        <w:t xml:space="preserve">groups of women who experience intersecting forms of discrimination and oppression, victimisation prevalence data alone does not </w:t>
      </w:r>
      <w:r w:rsidR="00185968" w:rsidRPr="00185968">
        <w:t>describe or explain</w:t>
      </w:r>
      <w:r w:rsidR="00185968">
        <w:t xml:space="preserve"> </w:t>
      </w:r>
      <w:r>
        <w:t xml:space="preserve">the full extent of how violence is disproportionate and particular for </w:t>
      </w:r>
      <w:r w:rsidR="00071DC7" w:rsidRPr="00071DC7">
        <w:t>some women when compared to others</w:t>
      </w:r>
      <w:r>
        <w:t xml:space="preserve">. </w:t>
      </w:r>
      <w:r w:rsidR="00185968" w:rsidRPr="00185968">
        <w:t xml:space="preserve">Other forms of data related to the severity, impacts, frequency, patterns and qualitative experiences of violence against some women compared to others are critical to build an understanding of how violence against women manifests where gender inequality intersects with drivers of violence that are associated with other forms of oppression and discrimination. Therefore, this monitoring report should be read in conjunction with other work that examines the experiences of violence against specific population groups, such as </w:t>
      </w:r>
      <w:r w:rsidR="00185968" w:rsidRPr="00185968">
        <w:rPr>
          <w:rStyle w:val="Emphasis"/>
        </w:rPr>
        <w:t>Changing the picture</w:t>
      </w:r>
      <w:r w:rsidR="00185968" w:rsidRPr="00185968">
        <w:t>, which analyses violence against Aboriginal and Torres Strait Islander women, for example.</w:t>
      </w:r>
    </w:p>
    <w:p w14:paraId="00B8C298" w14:textId="3C129C24" w:rsidR="00514CC0" w:rsidRDefault="00E72B49" w:rsidP="001A03A8">
      <w:pPr>
        <w:pStyle w:val="Heading3"/>
        <w:rPr>
          <w:rStyle w:val="OWCharacterUmber"/>
        </w:rPr>
      </w:pPr>
      <w:bookmarkStart w:id="91" w:name="_Toc55053324"/>
      <w:r>
        <w:rPr>
          <w:rStyle w:val="OWCharacterUmber"/>
        </w:rPr>
        <w:lastRenderedPageBreak/>
        <w:t>Twelve-month prevalence</w:t>
      </w:r>
      <w:bookmarkEnd w:id="91"/>
    </w:p>
    <w:p w14:paraId="4B0DF4D8" w14:textId="77777777" w:rsidR="00514CC0" w:rsidRDefault="00E72B49" w:rsidP="00445923">
      <w:pPr>
        <w:pStyle w:val="Heading4"/>
        <w:spacing w:before="160"/>
        <w:rPr>
          <w:rStyle w:val="OWCharacterUmber"/>
        </w:rPr>
      </w:pPr>
      <w:r>
        <w:rPr>
          <w:rStyle w:val="OWCharacterUmber"/>
        </w:rPr>
        <w:t>Indicator 11.1: Proportion of women aged 18 years and older subjected to physical, sexual or psychological violence by a current or former intimate partner in the last 12 months, by form of violence</w:t>
      </w:r>
      <w:r>
        <w:rPr>
          <w:rStyle w:val="OWSuperscriptUmber"/>
        </w:rPr>
        <w:footnoteReference w:id="60"/>
      </w:r>
    </w:p>
    <w:tbl>
      <w:tblPr>
        <w:tblStyle w:val="Indicatoroutlineumber"/>
        <w:tblW w:w="9072" w:type="dxa"/>
        <w:tblLayout w:type="fixed"/>
        <w:tblLook w:val="0680" w:firstRow="0" w:lastRow="0" w:firstColumn="1" w:lastColumn="0" w:noHBand="1" w:noVBand="1"/>
      </w:tblPr>
      <w:tblGrid>
        <w:gridCol w:w="2268"/>
        <w:gridCol w:w="6804"/>
      </w:tblGrid>
      <w:tr w:rsidR="00514CC0" w14:paraId="18C3AA1B" w14:textId="77777777" w:rsidTr="00F0324E">
        <w:trPr>
          <w:cantSplit/>
          <w:trHeight w:val="60"/>
        </w:trPr>
        <w:tc>
          <w:tcPr>
            <w:tcW w:w="2268" w:type="dxa"/>
          </w:tcPr>
          <w:p w14:paraId="7176E213" w14:textId="77777777" w:rsidR="00514CC0" w:rsidRDefault="00E72B49">
            <w:pPr>
              <w:pStyle w:val="OWTablebodyleft"/>
            </w:pPr>
            <w:r>
              <w:t>What does this indicator tell us about Monitoring domain 11: Prevalence of violence against women?</w:t>
            </w:r>
          </w:p>
        </w:tc>
        <w:tc>
          <w:tcPr>
            <w:tcW w:w="6803" w:type="dxa"/>
          </w:tcPr>
          <w:p w14:paraId="78CBF5E0" w14:textId="68240488" w:rsidR="00514CC0" w:rsidRDefault="00E72B49">
            <w:pPr>
              <w:pStyle w:val="OWTablebodyleft"/>
            </w:pPr>
            <w:r>
              <w:t>This indicator allows us to compare the proportion of the population of women in Australia who experienced intimate partner-perpetrated physical, sexual and/or emotional violence in</w:t>
            </w:r>
            <w:r w:rsidR="00F42FFD">
              <w:t> </w:t>
            </w:r>
            <w:r>
              <w:t>a defined short-term window (12 months) prior to each survey wave. In doing so, it allows for an assessment of whether rates of partner violence against women are shifting in the short term.</w:t>
            </w:r>
          </w:p>
          <w:p w14:paraId="43A47FB2" w14:textId="77777777" w:rsidR="00514CC0" w:rsidRDefault="00E72B49">
            <w:pPr>
              <w:pStyle w:val="OWTablebodyleft"/>
            </w:pPr>
            <w:r w:rsidRPr="002D0D52">
              <w:rPr>
                <w:rStyle w:val="Strong"/>
              </w:rPr>
              <w:t xml:space="preserve">Please note: </w:t>
            </w:r>
            <w:r>
              <w:t>See also Indicator 4.1 for detailed analysis of partner emotional abuse, and Indicator 11.5 for detailing of 12-month femicide prevalence rates, including as perpetrated by intimate partners.</w:t>
            </w:r>
          </w:p>
        </w:tc>
      </w:tr>
      <w:tr w:rsidR="00514CC0" w14:paraId="4EEB52F7" w14:textId="77777777" w:rsidTr="00F0324E">
        <w:trPr>
          <w:cantSplit/>
          <w:trHeight w:val="60"/>
        </w:trPr>
        <w:tc>
          <w:tcPr>
            <w:tcW w:w="2268" w:type="dxa"/>
          </w:tcPr>
          <w:p w14:paraId="25618A81" w14:textId="2E131C0C" w:rsidR="00514CC0" w:rsidRDefault="00E72B49">
            <w:pPr>
              <w:pStyle w:val="OWTablebodyleft"/>
            </w:pPr>
            <w:r>
              <w:t>Expected change if</w:t>
            </w:r>
            <w:r w:rsidR="00F42FFD">
              <w:t> </w:t>
            </w:r>
            <w:r>
              <w:t>high-quality programs and infrastructure for prevention of violence against women and gender equality are implemented</w:t>
            </w:r>
          </w:p>
        </w:tc>
        <w:tc>
          <w:tcPr>
            <w:tcW w:w="6803" w:type="dxa"/>
          </w:tcPr>
          <w:p w14:paraId="2A0B2F49" w14:textId="77777777" w:rsidR="00514CC0" w:rsidRDefault="00E72B49">
            <w:pPr>
              <w:pStyle w:val="OWTablebodyleft"/>
            </w:pPr>
            <w:r>
              <w:t>Short- and medium-term: little change in the 12-month prevalence of intimate partner violence.</w:t>
            </w:r>
          </w:p>
          <w:p w14:paraId="0A21D4BF" w14:textId="77777777" w:rsidR="00514CC0" w:rsidRDefault="00E72B49">
            <w:pPr>
              <w:pStyle w:val="OWTablebodyleft"/>
            </w:pPr>
            <w:r>
              <w:t>Long-term: as drivers of violence are addressed, prevalence rates of intimate partner violence to drop. Twelve-month prevalence rates will show change before lifetime prevalence rates.</w:t>
            </w:r>
          </w:p>
        </w:tc>
      </w:tr>
      <w:tr w:rsidR="00514CC0" w14:paraId="33761478" w14:textId="77777777" w:rsidTr="00F0324E">
        <w:trPr>
          <w:cantSplit/>
          <w:trHeight w:val="60"/>
        </w:trPr>
        <w:tc>
          <w:tcPr>
            <w:tcW w:w="2268" w:type="dxa"/>
          </w:tcPr>
          <w:p w14:paraId="34DAB4AF" w14:textId="77777777" w:rsidR="00514CC0" w:rsidRDefault="00E72B49">
            <w:pPr>
              <w:pStyle w:val="OWTablebodyleft"/>
            </w:pPr>
            <w:r>
              <w:t>Data source(s)</w:t>
            </w:r>
          </w:p>
        </w:tc>
        <w:tc>
          <w:tcPr>
            <w:tcW w:w="6803" w:type="dxa"/>
          </w:tcPr>
          <w:p w14:paraId="45526714" w14:textId="77777777" w:rsidR="00514CC0" w:rsidRDefault="00E72B49" w:rsidP="002C2EC7">
            <w:pPr>
              <w:pStyle w:val="OWTablenumberdigit"/>
              <w:numPr>
                <w:ilvl w:val="0"/>
                <w:numId w:val="39"/>
              </w:numPr>
            </w:pPr>
            <w:r>
              <w:t>Personal Safety Survey (PSS) 2012 and 2016, ABS, including additional analysis of partner violence data from the 2016 PSS</w:t>
            </w:r>
          </w:p>
          <w:p w14:paraId="05494B60" w14:textId="77777777" w:rsidR="00514CC0" w:rsidRDefault="00E72B49">
            <w:pPr>
              <w:pStyle w:val="OWTablenumberdigit"/>
            </w:pPr>
            <w:r>
              <w:t>National Aboriginal and Torres Strait Islander Social Survey (NATSISS) 2008 and 2014–15, ABS</w:t>
            </w:r>
          </w:p>
          <w:p w14:paraId="67DD64EF" w14:textId="72742AB3" w:rsidR="00514CC0" w:rsidRDefault="00E72B49">
            <w:pPr>
              <w:pStyle w:val="OWTablenumberdigit"/>
            </w:pPr>
            <w:r>
              <w:t>National Aboriginal and Torres Strait Islander Health Survey (NATSIHS) 2018–19</w:t>
            </w:r>
            <w:r w:rsidR="0015376C">
              <w:rPr>
                <w:rStyle w:val="EndnoteReference"/>
              </w:rPr>
              <w:endnoteReference w:id="508"/>
            </w:r>
          </w:p>
        </w:tc>
      </w:tr>
      <w:tr w:rsidR="00514CC0" w14:paraId="40346DDD" w14:textId="77777777" w:rsidTr="00F0324E">
        <w:trPr>
          <w:cantSplit/>
          <w:trHeight w:val="60"/>
        </w:trPr>
        <w:tc>
          <w:tcPr>
            <w:tcW w:w="2268" w:type="dxa"/>
          </w:tcPr>
          <w:p w14:paraId="53FC0BCC" w14:textId="77777777" w:rsidR="00514CC0" w:rsidRDefault="00E72B49">
            <w:pPr>
              <w:pStyle w:val="OWTablebodyleft"/>
            </w:pPr>
            <w:r>
              <w:lastRenderedPageBreak/>
              <w:t>Change over time summary: short-term change revealed by the data</w:t>
            </w:r>
          </w:p>
        </w:tc>
        <w:tc>
          <w:tcPr>
            <w:tcW w:w="6803" w:type="dxa"/>
          </w:tcPr>
          <w:p w14:paraId="075D608A" w14:textId="77777777" w:rsidR="00514CC0" w:rsidRDefault="00E72B49">
            <w:pPr>
              <w:pStyle w:val="OWTablebodyleft"/>
            </w:pPr>
            <w:r>
              <w:t>In comparing the data for the 12 months prior to the 2012 and 2016 PSS waves, whole-of-population prevalence rates of partner-perpetrated physical and sexual violence and emotional abuse have remained relatively consistent.</w:t>
            </w:r>
          </w:p>
          <w:p w14:paraId="244D2FED" w14:textId="77777777" w:rsidR="00514CC0" w:rsidRDefault="00E72B49">
            <w:pPr>
              <w:pStyle w:val="OWTablebodyleft"/>
            </w:pPr>
            <w:r>
              <w:t>Data from the 2008 and 2015–16 NATSISS waves do not allow full comparison of 12-month rates of partner-perpetrated physical assault. Only one wave of data (2018–19) is available for the NATSIHS, and perpetration by intimate partners and family members is presented as a single category. These limitations noted, data from these two surveys suggests that 12-month rates of partner-perpetrated physical assault against Aboriginal and Torres Strait Islander women are high and relatively consistent over time.</w:t>
            </w:r>
          </w:p>
        </w:tc>
      </w:tr>
      <w:tr w:rsidR="00514CC0" w14:paraId="5E0617F9" w14:textId="77777777" w:rsidTr="00F0324E">
        <w:trPr>
          <w:cantSplit/>
          <w:trHeight w:val="60"/>
        </w:trPr>
        <w:tc>
          <w:tcPr>
            <w:tcW w:w="2268" w:type="dxa"/>
          </w:tcPr>
          <w:p w14:paraId="36679E2A" w14:textId="77777777" w:rsidR="00514CC0" w:rsidRDefault="00E72B49">
            <w:pPr>
              <w:pStyle w:val="OWTablebodyleft"/>
            </w:pPr>
            <w:r>
              <w:t>Does the change confirm or run contrary to expected change?</w:t>
            </w:r>
          </w:p>
        </w:tc>
        <w:tc>
          <w:tcPr>
            <w:tcW w:w="6803" w:type="dxa"/>
          </w:tcPr>
          <w:p w14:paraId="402B73CB" w14:textId="77777777" w:rsidR="00514CC0" w:rsidRDefault="00E72B49">
            <w:pPr>
              <w:pStyle w:val="OWTablebodyleft"/>
            </w:pPr>
            <w:r>
              <w:t>Whole-of-population results (PSS) and Aboriginal and Torres Strait Islander women population results (NATSISS) confirm expected short-term consistency in prevalence rates.</w:t>
            </w:r>
          </w:p>
        </w:tc>
      </w:tr>
      <w:tr w:rsidR="00514CC0" w14:paraId="6AE43A5F" w14:textId="77777777" w:rsidTr="00F0324E">
        <w:trPr>
          <w:cantSplit/>
          <w:trHeight w:val="60"/>
        </w:trPr>
        <w:tc>
          <w:tcPr>
            <w:tcW w:w="2268" w:type="dxa"/>
          </w:tcPr>
          <w:p w14:paraId="2AD29482" w14:textId="77777777" w:rsidR="00514CC0" w:rsidRDefault="00E72B49">
            <w:pPr>
              <w:pStyle w:val="OWTablebodyleft"/>
            </w:pPr>
            <w:r>
              <w:t>Gaps in existing data</w:t>
            </w:r>
          </w:p>
        </w:tc>
        <w:tc>
          <w:tcPr>
            <w:tcW w:w="6803" w:type="dxa"/>
          </w:tcPr>
          <w:p w14:paraId="6B980C07" w14:textId="77777777" w:rsidR="00514CC0" w:rsidRDefault="00E72B49">
            <w:pPr>
              <w:pStyle w:val="OWTablebodyleft"/>
            </w:pPr>
            <w:r>
              <w:t>Current datasets focused on Aboriginal and Torres Strait Islander people do not allow for investigation of Aboriginal and Torres Strait Islander women’s 12-month experiences of partner-perpetrated sexual violence, sexual harassment and non-physical forms of violence (defined as ‘emotional abuse’ in the PSS).</w:t>
            </w:r>
          </w:p>
          <w:p w14:paraId="4312495A" w14:textId="77777777" w:rsidR="00514CC0" w:rsidRDefault="00E72B49">
            <w:pPr>
              <w:pStyle w:val="OWTablebodyleft"/>
            </w:pPr>
            <w:r>
              <w:t>The National and Aboriginal Torres Strait Islander Health Survey (2018–19) publicly available data presents ‘intimate partner or other family member’ as a single perpetrator category; therefore, specific figures pertaining to the proportion of women who reported an intimate partner as the perpetrator of their experience of physical harm are not able to be reported here.</w:t>
            </w:r>
          </w:p>
          <w:p w14:paraId="2F94CF3F" w14:textId="7AFFDD6C" w:rsidR="00514CC0" w:rsidRDefault="00E72B49">
            <w:pPr>
              <w:pStyle w:val="OWTablebodyleft"/>
            </w:pPr>
            <w:r>
              <w:t>Moreover, there are other critical methodological factors in the NATSISS and NATSIHS which affect prevalence reporting. Most critically, the surveys are administered with respondents in such a</w:t>
            </w:r>
            <w:r w:rsidR="00F42FFD">
              <w:t> </w:t>
            </w:r>
            <w:r>
              <w:t>way as does not require respondents to be alone, out of earshot of others. This is likely to result in a significant under-reporting of experiences of violence, especially as women are likely to know or be in a current or former intimate or family relationship with the perpetrator.</w:t>
            </w:r>
          </w:p>
          <w:p w14:paraId="7ADF7DA6" w14:textId="0FFA4D17" w:rsidR="00514CC0" w:rsidRDefault="00E72B49">
            <w:pPr>
              <w:pStyle w:val="OWTablebodyleft"/>
            </w:pPr>
            <w:r>
              <w:t>Publicly available PSS data has also been limited in terms of disaggregation of women who experience partner violence by other socio-demographic characteristics; however, recently additional analysis of partner violence data from the PSS 2016 was</w:t>
            </w:r>
            <w:r w:rsidR="00F42FFD">
              <w:t> </w:t>
            </w:r>
            <w:r>
              <w:t>released, which reveals that higher rates of partner violence victimisation are associated with certain socio-demographic variables such as disability, socioeconomic disadvantage and single</w:t>
            </w:r>
            <w:r w:rsidR="00F42FFD">
              <w:t> </w:t>
            </w:r>
            <w:r>
              <w:t>parenthood.</w:t>
            </w:r>
            <w:r w:rsidR="0015376C">
              <w:rPr>
                <w:rStyle w:val="EndnoteReference"/>
              </w:rPr>
              <w:endnoteReference w:id="509"/>
            </w:r>
          </w:p>
        </w:tc>
      </w:tr>
    </w:tbl>
    <w:p w14:paraId="2BC88FFA" w14:textId="3980B656" w:rsidR="00514CC0" w:rsidRDefault="00E72B49" w:rsidP="008A47DE">
      <w:pPr>
        <w:pStyle w:val="OWBodytextlargespaceabove"/>
      </w:pPr>
      <w:r>
        <w:lastRenderedPageBreak/>
        <w:t xml:space="preserve">Comparing the results from the 2012 and 2016 waves of the PSS, the proportion of women aged 18 years and over who have experienced physical and/or sexual violence, or emotional abuse, during the last 12 months by an intimate partner has remained relatively stable. That is, </w:t>
      </w:r>
      <w:r w:rsidRPr="002D0D52">
        <w:rPr>
          <w:rStyle w:val="Strong"/>
        </w:rPr>
        <w:t>there has been little change in 12-month prevalence rates of partner violence against women in the time period under consideration in this report</w:t>
      </w:r>
      <w:r>
        <w:t>. As noted by the ABS, looking at change over time back to 2005, the ‘proportion of women who experienced partner violence in the previous 12 months has remained fairly stable over the last decade’.</w:t>
      </w:r>
      <w:r w:rsidR="0015376C">
        <w:rPr>
          <w:rStyle w:val="EndnoteReference"/>
        </w:rPr>
        <w:endnoteReference w:id="510"/>
      </w:r>
    </w:p>
    <w:p w14:paraId="48483BF1" w14:textId="77777777" w:rsidR="00514CC0" w:rsidRDefault="00E72B49" w:rsidP="00F868FE">
      <w:pPr>
        <w:pStyle w:val="Heading5"/>
      </w:pPr>
      <w:r>
        <w:t>Physical and/or sexual violence</w:t>
      </w:r>
    </w:p>
    <w:p w14:paraId="16306964" w14:textId="77777777" w:rsidR="00514CC0" w:rsidRPr="002D0D52" w:rsidRDefault="00E72B49">
      <w:pPr>
        <w:pStyle w:val="BodyText"/>
        <w:rPr>
          <w:rStyle w:val="Strong"/>
        </w:rPr>
      </w:pPr>
      <w:r w:rsidRPr="002D0D52">
        <w:rPr>
          <w:rStyle w:val="Strong"/>
        </w:rPr>
        <w:t>In 2012, one in 50 (2.1%) women in Australia had experienced at least one incident of physical and/or sexual violence by an intimate partner (cohabiting or non-cohabiting, current or former) in the last 12 months. This figure had increased slightly to 2.3% in 2016.</w:t>
      </w:r>
    </w:p>
    <w:p w14:paraId="5A47D6D3" w14:textId="3BCFC9A5" w:rsidR="00514CC0" w:rsidRDefault="00E72B49">
      <w:pPr>
        <w:pStyle w:val="BodyText"/>
      </w:pPr>
      <w:r>
        <w:t xml:space="preserve">The proportion of women in Australia who experienced current and/or previous </w:t>
      </w:r>
      <w:r w:rsidRPr="003E209A">
        <w:rPr>
          <w:rStyle w:val="Emphasis"/>
        </w:rPr>
        <w:t xml:space="preserve">cohabiting </w:t>
      </w:r>
      <w:r>
        <w:t xml:space="preserve">partner physical and/or sexual violence (whether one or more incidents, by one or more partners) in the past 12 months was 1.7% in 2016 and 1.5% in 2012. In 2016, an additional 0.6% of women experienced physical and/or sexual violence from a non-cohabiting boyfriend/girlfriend (current and/or former) or date. The 12-month rate of violence perpetrated by non-cohabiting intimate partners in 2012 was a similar 0.8% (see Table </w:t>
      </w:r>
      <w:r w:rsidR="0017588F">
        <w:t>36</w:t>
      </w:r>
      <w:r>
        <w:t>, below). None of this change is statistically significant.</w:t>
      </w:r>
    </w:p>
    <w:p w14:paraId="11095105" w14:textId="1DB6931B" w:rsidR="00514CC0" w:rsidRDefault="00E72B49">
      <w:pPr>
        <w:pStyle w:val="OWTablecaption"/>
      </w:pPr>
      <w:r>
        <w:t xml:space="preserve">Table </w:t>
      </w:r>
      <w:r w:rsidR="0017588F">
        <w:t>36</w:t>
      </w:r>
      <w:r>
        <w:t>: Partner physical and/or sexual violence against women in the last 12 months, 2012 and 2016, proportion of women %</w:t>
      </w:r>
    </w:p>
    <w:tbl>
      <w:tblPr>
        <w:tblStyle w:val="Datatableumber"/>
        <w:tblW w:w="9072" w:type="dxa"/>
        <w:tblLayout w:type="fixed"/>
        <w:tblLook w:val="06A0" w:firstRow="1" w:lastRow="0" w:firstColumn="1" w:lastColumn="0" w:noHBand="1" w:noVBand="1"/>
      </w:tblPr>
      <w:tblGrid>
        <w:gridCol w:w="6237"/>
        <w:gridCol w:w="1418"/>
        <w:gridCol w:w="1417"/>
      </w:tblGrid>
      <w:tr w:rsidR="00514CC0" w14:paraId="46F04E30" w14:textId="77777777" w:rsidTr="00F0324E">
        <w:trPr>
          <w:cnfStyle w:val="100000000000" w:firstRow="1" w:lastRow="0" w:firstColumn="0" w:lastColumn="0" w:oddVBand="0" w:evenVBand="0" w:oddHBand="0" w:evenHBand="0" w:firstRowFirstColumn="0" w:firstRowLastColumn="0" w:lastRowFirstColumn="0" w:lastRowLastColumn="0"/>
          <w:cantSplit/>
          <w:trHeight w:val="60"/>
          <w:tblHeader/>
        </w:trPr>
        <w:tc>
          <w:tcPr>
            <w:tcW w:w="6236" w:type="dxa"/>
          </w:tcPr>
          <w:p w14:paraId="2D75E3AA" w14:textId="77777777" w:rsidR="00514CC0" w:rsidRPr="008A47DE" w:rsidRDefault="00514CC0" w:rsidP="00AD1342">
            <w:pPr>
              <w:pStyle w:val="OWTablecolumnheadleft"/>
            </w:pPr>
          </w:p>
        </w:tc>
        <w:tc>
          <w:tcPr>
            <w:tcW w:w="1418" w:type="dxa"/>
          </w:tcPr>
          <w:p w14:paraId="1EABC91A" w14:textId="77777777" w:rsidR="00514CC0" w:rsidRPr="008A47DE" w:rsidRDefault="00E72B49">
            <w:pPr>
              <w:pStyle w:val="OWTablecolumnheadcentre"/>
            </w:pPr>
            <w:r w:rsidRPr="008A47DE">
              <w:t>2012</w:t>
            </w:r>
          </w:p>
        </w:tc>
        <w:tc>
          <w:tcPr>
            <w:tcW w:w="1417" w:type="dxa"/>
          </w:tcPr>
          <w:p w14:paraId="3F4EA3D7" w14:textId="77777777" w:rsidR="00514CC0" w:rsidRPr="008A47DE" w:rsidRDefault="00E72B49">
            <w:pPr>
              <w:pStyle w:val="OWTablecolumnheadcentre"/>
            </w:pPr>
            <w:r w:rsidRPr="008A47DE">
              <w:t>2016</w:t>
            </w:r>
          </w:p>
        </w:tc>
      </w:tr>
      <w:tr w:rsidR="00514CC0" w14:paraId="4F141E19" w14:textId="77777777" w:rsidTr="00F0324E">
        <w:trPr>
          <w:cantSplit/>
          <w:trHeight w:val="60"/>
        </w:trPr>
        <w:tc>
          <w:tcPr>
            <w:tcW w:w="6236" w:type="dxa"/>
          </w:tcPr>
          <w:p w14:paraId="0BF47489" w14:textId="77777777" w:rsidR="00514CC0" w:rsidRDefault="00E72B49">
            <w:pPr>
              <w:pStyle w:val="OWTablebodyleft"/>
            </w:pPr>
            <w:r>
              <w:t>Intimate partner violence experiences in past 12 months, total cohabiting and non-cohabiting partner</w:t>
            </w:r>
          </w:p>
        </w:tc>
        <w:tc>
          <w:tcPr>
            <w:tcW w:w="1418" w:type="dxa"/>
          </w:tcPr>
          <w:p w14:paraId="3C27713B" w14:textId="77777777" w:rsidR="00514CC0" w:rsidRDefault="00E72B49">
            <w:pPr>
              <w:pStyle w:val="OWTablebodycentre"/>
            </w:pPr>
            <w:r w:rsidRPr="002D0D52">
              <w:rPr>
                <w:rStyle w:val="Strong"/>
              </w:rPr>
              <w:t>2.1%</w:t>
            </w:r>
          </w:p>
        </w:tc>
        <w:tc>
          <w:tcPr>
            <w:tcW w:w="1417" w:type="dxa"/>
          </w:tcPr>
          <w:p w14:paraId="502FA685" w14:textId="77777777" w:rsidR="00514CC0" w:rsidRDefault="00E72B49">
            <w:pPr>
              <w:pStyle w:val="OWTablebodycentre"/>
            </w:pPr>
            <w:r w:rsidRPr="002D0D52">
              <w:rPr>
                <w:rStyle w:val="Strong"/>
              </w:rPr>
              <w:t>2.3%</w:t>
            </w:r>
          </w:p>
        </w:tc>
      </w:tr>
      <w:tr w:rsidR="00514CC0" w14:paraId="1C3DAA78" w14:textId="77777777" w:rsidTr="00F0324E">
        <w:trPr>
          <w:cantSplit/>
          <w:trHeight w:val="60"/>
        </w:trPr>
        <w:tc>
          <w:tcPr>
            <w:tcW w:w="6236" w:type="dxa"/>
          </w:tcPr>
          <w:p w14:paraId="51D3807E" w14:textId="77777777" w:rsidR="00514CC0" w:rsidRDefault="00E72B49">
            <w:pPr>
              <w:pStyle w:val="OWTablebodyindent1"/>
            </w:pPr>
            <w:r>
              <w:t>Cohabiting partner total</w:t>
            </w:r>
          </w:p>
        </w:tc>
        <w:tc>
          <w:tcPr>
            <w:tcW w:w="1418" w:type="dxa"/>
          </w:tcPr>
          <w:p w14:paraId="39F552B1" w14:textId="77777777" w:rsidR="00514CC0" w:rsidRDefault="00E72B49">
            <w:pPr>
              <w:pStyle w:val="OWTablebodycentre"/>
            </w:pPr>
            <w:r w:rsidRPr="002D0D52">
              <w:rPr>
                <w:rStyle w:val="Strong"/>
              </w:rPr>
              <w:t>1.5%</w:t>
            </w:r>
          </w:p>
        </w:tc>
        <w:tc>
          <w:tcPr>
            <w:tcW w:w="1417" w:type="dxa"/>
          </w:tcPr>
          <w:p w14:paraId="13721FE1" w14:textId="77777777" w:rsidR="00514CC0" w:rsidRDefault="00E72B49">
            <w:pPr>
              <w:pStyle w:val="OWTablebodycentre"/>
            </w:pPr>
            <w:r w:rsidRPr="002D0D52">
              <w:rPr>
                <w:rStyle w:val="Strong"/>
              </w:rPr>
              <w:t>1.7%</w:t>
            </w:r>
          </w:p>
        </w:tc>
      </w:tr>
      <w:tr w:rsidR="00514CC0" w14:paraId="3EBD9A27" w14:textId="77777777" w:rsidTr="00F0324E">
        <w:trPr>
          <w:cantSplit/>
          <w:trHeight w:val="60"/>
        </w:trPr>
        <w:tc>
          <w:tcPr>
            <w:tcW w:w="6236" w:type="dxa"/>
          </w:tcPr>
          <w:p w14:paraId="04C18C1F" w14:textId="77777777" w:rsidR="00514CC0" w:rsidRDefault="00E72B49">
            <w:pPr>
              <w:pStyle w:val="OWTablebodyindent2"/>
            </w:pPr>
            <w:r>
              <w:t>Current partner</w:t>
            </w:r>
          </w:p>
        </w:tc>
        <w:tc>
          <w:tcPr>
            <w:tcW w:w="1418" w:type="dxa"/>
          </w:tcPr>
          <w:p w14:paraId="10294287" w14:textId="77777777" w:rsidR="00514CC0" w:rsidRDefault="00E72B49">
            <w:pPr>
              <w:pStyle w:val="OWTablebodycentre"/>
            </w:pPr>
            <w:r>
              <w:t>0.8%</w:t>
            </w:r>
          </w:p>
        </w:tc>
        <w:tc>
          <w:tcPr>
            <w:tcW w:w="1417" w:type="dxa"/>
          </w:tcPr>
          <w:p w14:paraId="19E9F08A" w14:textId="77777777" w:rsidR="00514CC0" w:rsidRDefault="00E72B49">
            <w:pPr>
              <w:pStyle w:val="OWTablebodycentre"/>
            </w:pPr>
            <w:r>
              <w:t>0.9%</w:t>
            </w:r>
          </w:p>
        </w:tc>
      </w:tr>
      <w:tr w:rsidR="00514CC0" w14:paraId="33CDDB20" w14:textId="77777777" w:rsidTr="00F0324E">
        <w:trPr>
          <w:cantSplit/>
          <w:trHeight w:val="60"/>
        </w:trPr>
        <w:tc>
          <w:tcPr>
            <w:tcW w:w="6236" w:type="dxa"/>
          </w:tcPr>
          <w:p w14:paraId="0ACF909B" w14:textId="77777777" w:rsidR="00514CC0" w:rsidRDefault="00E72B49">
            <w:pPr>
              <w:pStyle w:val="OWTablebodyindent2"/>
            </w:pPr>
            <w:r>
              <w:t>Previous partner</w:t>
            </w:r>
          </w:p>
        </w:tc>
        <w:tc>
          <w:tcPr>
            <w:tcW w:w="1418" w:type="dxa"/>
          </w:tcPr>
          <w:p w14:paraId="57EB33E5" w14:textId="77777777" w:rsidR="00514CC0" w:rsidRDefault="00E72B49">
            <w:pPr>
              <w:pStyle w:val="OWTablebodycentre"/>
            </w:pPr>
            <w:r>
              <w:t>0.8%</w:t>
            </w:r>
          </w:p>
        </w:tc>
        <w:tc>
          <w:tcPr>
            <w:tcW w:w="1417" w:type="dxa"/>
          </w:tcPr>
          <w:p w14:paraId="7532AAC2" w14:textId="77777777" w:rsidR="00514CC0" w:rsidRDefault="00E72B49">
            <w:pPr>
              <w:pStyle w:val="OWTablebodycentre"/>
            </w:pPr>
            <w:r>
              <w:t>0.7%</w:t>
            </w:r>
          </w:p>
        </w:tc>
      </w:tr>
      <w:tr w:rsidR="00514CC0" w14:paraId="36059CB1" w14:textId="77777777" w:rsidTr="00F0324E">
        <w:trPr>
          <w:cantSplit/>
          <w:trHeight w:val="60"/>
        </w:trPr>
        <w:tc>
          <w:tcPr>
            <w:tcW w:w="6236" w:type="dxa"/>
          </w:tcPr>
          <w:p w14:paraId="7B5C1DD5" w14:textId="77777777" w:rsidR="00514CC0" w:rsidRDefault="00E72B49">
            <w:pPr>
              <w:pStyle w:val="OWTablebodyindent1"/>
            </w:pPr>
            <w:r>
              <w:t>Non-cohabiting partner (boyfriend/girlfriend or date)</w:t>
            </w:r>
          </w:p>
        </w:tc>
        <w:tc>
          <w:tcPr>
            <w:tcW w:w="1418" w:type="dxa"/>
          </w:tcPr>
          <w:p w14:paraId="17F171F6" w14:textId="77777777" w:rsidR="00514CC0" w:rsidRDefault="00E72B49">
            <w:pPr>
              <w:pStyle w:val="OWTablebodycentre"/>
            </w:pPr>
            <w:r>
              <w:t>0.8%</w:t>
            </w:r>
          </w:p>
        </w:tc>
        <w:tc>
          <w:tcPr>
            <w:tcW w:w="1417" w:type="dxa"/>
          </w:tcPr>
          <w:p w14:paraId="24ADAE54" w14:textId="77777777" w:rsidR="00514CC0" w:rsidRDefault="00E72B49">
            <w:pPr>
              <w:pStyle w:val="OWTablebodycentre"/>
            </w:pPr>
            <w:r>
              <w:t>0.6%</w:t>
            </w:r>
          </w:p>
        </w:tc>
      </w:tr>
    </w:tbl>
    <w:p w14:paraId="3F7EFD6E" w14:textId="77777777" w:rsidR="00514CC0" w:rsidRDefault="00E72B49">
      <w:pPr>
        <w:pStyle w:val="OWTablefootnote"/>
      </w:pPr>
      <w:r>
        <w:t>Sources: ABS, PSS 2012 and PSS 2016; Cox, 2016</w:t>
      </w:r>
    </w:p>
    <w:p w14:paraId="17F2EB13" w14:textId="77777777" w:rsidR="0051280E" w:rsidRPr="0051280E" w:rsidRDefault="0051280E" w:rsidP="0051280E">
      <w:pPr>
        <w:pStyle w:val="BodyText"/>
      </w:pPr>
      <w:r w:rsidRPr="0051280E">
        <w:br w:type="page"/>
      </w:r>
    </w:p>
    <w:p w14:paraId="05CD2939" w14:textId="41AFFFBE" w:rsidR="00514CC0" w:rsidRDefault="00E72B49" w:rsidP="00F868FE">
      <w:pPr>
        <w:pStyle w:val="Heading5"/>
      </w:pPr>
      <w:r>
        <w:lastRenderedPageBreak/>
        <w:t>Emotional abuse</w:t>
      </w:r>
    </w:p>
    <w:p w14:paraId="2AB33564" w14:textId="77777777" w:rsidR="00514CC0" w:rsidRPr="002D0D52" w:rsidRDefault="00E72B49">
      <w:pPr>
        <w:pStyle w:val="BodyText"/>
        <w:rPr>
          <w:rStyle w:val="Strong"/>
        </w:rPr>
      </w:pPr>
      <w:r w:rsidRPr="002D0D52">
        <w:rPr>
          <w:rStyle w:val="Strong"/>
        </w:rPr>
        <w:t>On the basis of PSS data, the proportion of women in Australia who have experienced emotional abuse from a cohabiting partner (current or previous) in the previous 12 months remained high and consistent between 2012 (4.7%) and 2016 (4.8%). That is, in 2012 and 2016, approximately one in 20 women reported having experienced emotional abuse by a cohabiting partner in the past 12 months.</w:t>
      </w:r>
    </w:p>
    <w:p w14:paraId="38141452" w14:textId="3F025F1C" w:rsidR="00514CC0" w:rsidRDefault="00E72B49">
      <w:pPr>
        <w:pStyle w:val="BodyText"/>
      </w:pPr>
      <w:r>
        <w:t>See Indicator 4.1 for more detailed analysis of partner emotional abuse and a summary of</w:t>
      </w:r>
      <w:r w:rsidR="00F42FFD">
        <w:t> </w:t>
      </w:r>
      <w:r>
        <w:t>the emotionally abusive behaviours measured in the PSS.</w:t>
      </w:r>
    </w:p>
    <w:p w14:paraId="755C6334" w14:textId="77777777" w:rsidR="00514CC0" w:rsidRDefault="00E72B49" w:rsidP="00F868FE">
      <w:pPr>
        <w:pStyle w:val="Heading5"/>
      </w:pPr>
      <w:r>
        <w:t>Socio-demographic characteristics of women who experienced partner violence</w:t>
      </w:r>
    </w:p>
    <w:p w14:paraId="7456C4CA" w14:textId="44BF591E" w:rsidR="00514CC0" w:rsidRDefault="00E72B49">
      <w:pPr>
        <w:pStyle w:val="BodyText"/>
      </w:pPr>
      <w:r>
        <w:t>The ABS published additional analysis of partner violence data from the 2016</w:t>
      </w:r>
      <w:r w:rsidR="00F42FFD">
        <w:t> </w:t>
      </w:r>
      <w:r>
        <w:t>wave of the PSS.</w:t>
      </w:r>
      <w:r w:rsidR="0015376C">
        <w:rPr>
          <w:rStyle w:val="EndnoteReference"/>
        </w:rPr>
        <w:endnoteReference w:id="511"/>
      </w:r>
      <w:r>
        <w:t xml:space="preserve"> This analysis reveals that certain socio-demographic variables are</w:t>
      </w:r>
      <w:r w:rsidR="00F42FFD">
        <w:t> </w:t>
      </w:r>
      <w:r>
        <w:t>associated with higher short-term rates of partner violence. These socio-demographic characteristics include</w:t>
      </w:r>
      <w:r w:rsidR="000C2D8C">
        <w:t> </w:t>
      </w:r>
      <w:r>
        <w:t>disability, socioeconomic disadvantage, financial stress, unemployment and single parenthood.</w:t>
      </w:r>
      <w:r w:rsidR="0015376C">
        <w:rPr>
          <w:rStyle w:val="EndnoteReference"/>
        </w:rPr>
        <w:endnoteReference w:id="512"/>
      </w:r>
      <w:r>
        <w:t xml:space="preserve"> For example, 3.9% of women who had a disability or long-term health condition experienced partner violence in the last two years, compared with 2.2% of women without a disability or long-term health condition.</w:t>
      </w:r>
      <w:r w:rsidR="00252ABC">
        <w:rPr>
          <w:rStyle w:val="EndnoteReference"/>
        </w:rPr>
        <w:endnoteReference w:id="513"/>
      </w:r>
      <w:r>
        <w:t xml:space="preserve"> This is consistent with an intersectional understanding of violence against women, whereby gender inequalities intersect with other forms of structural inequality and disadvantage to drive</w:t>
      </w:r>
      <w:r w:rsidR="00F42FFD">
        <w:t> </w:t>
      </w:r>
      <w:r>
        <w:t>violence against women.</w:t>
      </w:r>
    </w:p>
    <w:p w14:paraId="3FC85FCF" w14:textId="77777777" w:rsidR="00514CC0" w:rsidRDefault="00E72B49" w:rsidP="00F868FE">
      <w:pPr>
        <w:pStyle w:val="Heading5"/>
      </w:pPr>
      <w:r>
        <w:t>Aboriginal and Torres Strait Islander women’s 12-month experiences of partner-perpetrated physical assault</w:t>
      </w:r>
    </w:p>
    <w:p w14:paraId="05106DBB" w14:textId="77777777" w:rsidR="00514CC0" w:rsidRPr="002D0D52" w:rsidRDefault="00E72B49">
      <w:pPr>
        <w:pStyle w:val="BodyText"/>
        <w:rPr>
          <w:rStyle w:val="Strong"/>
        </w:rPr>
      </w:pPr>
      <w:r w:rsidRPr="002D0D52">
        <w:rPr>
          <w:rStyle w:val="Strong"/>
        </w:rPr>
        <w:t>Available data suggests that Aboriginal and Torres Strait Islander women continue to experience a disproportionately high prevalence of 12-month experiences of partner-perpetrated violence.</w:t>
      </w:r>
    </w:p>
    <w:p w14:paraId="624E5721" w14:textId="77777777" w:rsidR="00514CC0" w:rsidRDefault="00E72B49">
      <w:pPr>
        <w:pStyle w:val="BodyText"/>
      </w:pPr>
      <w:r>
        <w:t>As outlined previously, the PSS does not allow for analysis of Aboriginal and Torres Strait Islander women’s experiences of violence. The other currently available datasets, the National Aboriginal and Torres Strait Islander Social Survey (NATSISS) and the National Aboriginal and Torres Strait Islander Health Survey (NATSIHS), focus on measuring a limited definition of violence – physical only, and not including sexual violence, sexual harassment, or other non-physical forms of violence included in the ‘emotional abuse’ module of the PSS. The surveys also only measure 12-month experiences rather than lifetime experiences.</w:t>
      </w:r>
    </w:p>
    <w:p w14:paraId="72716FAB" w14:textId="77777777" w:rsidR="00514CC0" w:rsidRDefault="00E72B49">
      <w:pPr>
        <w:pStyle w:val="BodyText"/>
      </w:pPr>
      <w:r>
        <w:t xml:space="preserve">The 2018–19 wave of the NATSISS was the first instance that questions about 12-month experiences of violence (defined as ‘physical harm’ or ‘threatened physical harm’) were included. Unfortunately, the publicly available survey data does not distinguish intimate partner perpetration as its own category. Rather, cumulative figures for victims who name an intimate partner (inclusive of cohabiting partners and non-cohabiting partners and dates) </w:t>
      </w:r>
      <w:r w:rsidRPr="003E209A">
        <w:rPr>
          <w:rStyle w:val="Emphasis"/>
        </w:rPr>
        <w:t xml:space="preserve">or </w:t>
      </w:r>
      <w:r>
        <w:t xml:space="preserve">family member as a perpetrator are reported. Results of this survey show that while there were relatively even reported prevalence rates of 12-month physical harm or threatened </w:t>
      </w:r>
      <w:r>
        <w:lastRenderedPageBreak/>
        <w:t>physical harm for women and men,</w:t>
      </w:r>
      <w:r>
        <w:rPr>
          <w:rStyle w:val="OWSuperscript"/>
        </w:rPr>
        <w:footnoteReference w:id="61"/>
      </w:r>
      <w:r>
        <w:t xml:space="preserve"> women were far more likely than men to name an intimate partner or family member as the perpetrator of the violence. These findings are consistent with the NATSISS (see below).</w:t>
      </w:r>
    </w:p>
    <w:p w14:paraId="04D5D56E" w14:textId="104EEBBC" w:rsidR="00514CC0" w:rsidRDefault="00E72B49">
      <w:pPr>
        <w:pStyle w:val="BodyText"/>
      </w:pPr>
      <w:r>
        <w:t xml:space="preserve">In 2018–19, of the Aboriginal and Torres Strait Islander women (6.2%) who reported experiencing physical harm in the 12 months prior to the survey, three-quarters of these (74.4%) named an intimate partner or family member as a perpetrator of this violence (as compared with 56.0% of men). Of those women who reported experiencing face-to-face threatened physical harm in the previous 12 months (8.4%), approximately two-thirds (67.3%) named an intimate partner or family member as a perpetrator (see Table </w:t>
      </w:r>
      <w:r w:rsidR="0017588F">
        <w:t>37</w:t>
      </w:r>
      <w:r>
        <w:t>, below).</w:t>
      </w:r>
    </w:p>
    <w:p w14:paraId="1A699C6E" w14:textId="2DDC7612" w:rsidR="00514CC0" w:rsidRDefault="00E72B49">
      <w:pPr>
        <w:pStyle w:val="OWTablecaption"/>
      </w:pPr>
      <w:r>
        <w:t xml:space="preserve">Table </w:t>
      </w:r>
      <w:r w:rsidR="0017588F">
        <w:t>37</w:t>
      </w:r>
      <w:r>
        <w:t>: Physical harm or threatened physical harm experienced by Aboriginal and Torres Strait Islander women, proportion (%) of women aged 15 years and over who experienced harm perpetrated by an intimate partner or family member, 2018–19</w:t>
      </w:r>
    </w:p>
    <w:tbl>
      <w:tblPr>
        <w:tblStyle w:val="Datatableumber"/>
        <w:tblW w:w="9072" w:type="dxa"/>
        <w:tblLayout w:type="fixed"/>
        <w:tblLook w:val="06A0" w:firstRow="1" w:lastRow="0" w:firstColumn="1" w:lastColumn="0" w:noHBand="1" w:noVBand="1"/>
      </w:tblPr>
      <w:tblGrid>
        <w:gridCol w:w="5103"/>
        <w:gridCol w:w="1985"/>
        <w:gridCol w:w="1984"/>
      </w:tblGrid>
      <w:tr w:rsidR="00514CC0" w14:paraId="1426E52D" w14:textId="77777777" w:rsidTr="00F0324E">
        <w:trPr>
          <w:cnfStyle w:val="100000000000" w:firstRow="1" w:lastRow="0" w:firstColumn="0" w:lastColumn="0" w:oddVBand="0" w:evenVBand="0" w:oddHBand="0" w:evenHBand="0" w:firstRowFirstColumn="0" w:firstRowLastColumn="0" w:lastRowFirstColumn="0" w:lastRowLastColumn="0"/>
          <w:cantSplit/>
          <w:trHeight w:val="60"/>
          <w:tblHeader/>
        </w:trPr>
        <w:tc>
          <w:tcPr>
            <w:tcW w:w="5102" w:type="dxa"/>
          </w:tcPr>
          <w:p w14:paraId="60A2D5AA" w14:textId="77777777" w:rsidR="00514CC0" w:rsidRPr="008A47DE" w:rsidRDefault="00E72B49">
            <w:pPr>
              <w:pStyle w:val="OWTablecolumnheadleft"/>
            </w:pPr>
            <w:r w:rsidRPr="008A47DE">
              <w:t>Perpetrator category</w:t>
            </w:r>
          </w:p>
        </w:tc>
        <w:tc>
          <w:tcPr>
            <w:tcW w:w="1985" w:type="dxa"/>
          </w:tcPr>
          <w:p w14:paraId="61EBD351" w14:textId="77777777" w:rsidR="00514CC0" w:rsidRPr="008A47DE" w:rsidRDefault="00E72B49">
            <w:pPr>
              <w:pStyle w:val="OWTablecolumnheadcentre"/>
            </w:pPr>
            <w:r w:rsidRPr="008A47DE">
              <w:t>Physical harm</w:t>
            </w:r>
          </w:p>
        </w:tc>
        <w:tc>
          <w:tcPr>
            <w:tcW w:w="1984" w:type="dxa"/>
          </w:tcPr>
          <w:p w14:paraId="2F16AE3B" w14:textId="77777777" w:rsidR="00514CC0" w:rsidRPr="008A47DE" w:rsidRDefault="00E72B49">
            <w:pPr>
              <w:pStyle w:val="OWTablecolumnheadcentre"/>
            </w:pPr>
            <w:r w:rsidRPr="008A47DE">
              <w:t>Face-to-face threatened physical harm</w:t>
            </w:r>
          </w:p>
        </w:tc>
      </w:tr>
      <w:tr w:rsidR="00514CC0" w14:paraId="1D4CBA84" w14:textId="77777777" w:rsidTr="00F0324E">
        <w:trPr>
          <w:cantSplit/>
          <w:trHeight w:val="60"/>
        </w:trPr>
        <w:tc>
          <w:tcPr>
            <w:tcW w:w="5102" w:type="dxa"/>
          </w:tcPr>
          <w:p w14:paraId="3332BDB9" w14:textId="77777777" w:rsidR="00514CC0" w:rsidRDefault="00E72B49">
            <w:pPr>
              <w:pStyle w:val="OWTablebodyleft"/>
            </w:pPr>
            <w:r>
              <w:t>Total proportion of Aboriginal and Torres Strait Islander women who experienced this harm in the previous 12 months</w:t>
            </w:r>
          </w:p>
        </w:tc>
        <w:tc>
          <w:tcPr>
            <w:tcW w:w="1985" w:type="dxa"/>
          </w:tcPr>
          <w:p w14:paraId="3CA53BE6" w14:textId="77777777" w:rsidR="00514CC0" w:rsidRDefault="00E72B49">
            <w:pPr>
              <w:pStyle w:val="OWTablebodycentre"/>
            </w:pPr>
            <w:r>
              <w:t>6.2%</w:t>
            </w:r>
          </w:p>
        </w:tc>
        <w:tc>
          <w:tcPr>
            <w:tcW w:w="1984" w:type="dxa"/>
          </w:tcPr>
          <w:p w14:paraId="29F7AA4B" w14:textId="77777777" w:rsidR="00514CC0" w:rsidRDefault="00E72B49">
            <w:pPr>
              <w:pStyle w:val="OWTablebodycentre"/>
            </w:pPr>
            <w:r>
              <w:t>8.4%</w:t>
            </w:r>
          </w:p>
        </w:tc>
      </w:tr>
      <w:tr w:rsidR="00514CC0" w14:paraId="24D2251C" w14:textId="77777777" w:rsidTr="00F0324E">
        <w:trPr>
          <w:cantSplit/>
          <w:trHeight w:val="60"/>
        </w:trPr>
        <w:tc>
          <w:tcPr>
            <w:tcW w:w="5102" w:type="dxa"/>
          </w:tcPr>
          <w:p w14:paraId="239C276E" w14:textId="77777777" w:rsidR="00514CC0" w:rsidRDefault="00E72B49">
            <w:pPr>
              <w:pStyle w:val="OWTablebodyindent1"/>
            </w:pPr>
            <w:r>
              <w:t>% of women who named intimate partner or family member as perpetrator</w:t>
            </w:r>
          </w:p>
        </w:tc>
        <w:tc>
          <w:tcPr>
            <w:tcW w:w="1985" w:type="dxa"/>
          </w:tcPr>
          <w:p w14:paraId="38A179C2" w14:textId="77777777" w:rsidR="00514CC0" w:rsidRDefault="00E72B49">
            <w:pPr>
              <w:pStyle w:val="OWTablebodycentre"/>
            </w:pPr>
            <w:r>
              <w:t>74.4%</w:t>
            </w:r>
          </w:p>
        </w:tc>
        <w:tc>
          <w:tcPr>
            <w:tcW w:w="1984" w:type="dxa"/>
          </w:tcPr>
          <w:p w14:paraId="25C8D64E" w14:textId="77777777" w:rsidR="00514CC0" w:rsidRDefault="00E72B49">
            <w:pPr>
              <w:pStyle w:val="OWTablebodycentre"/>
            </w:pPr>
            <w:r>
              <w:t>67.3%</w:t>
            </w:r>
          </w:p>
        </w:tc>
      </w:tr>
      <w:tr w:rsidR="00514CC0" w14:paraId="01219DC0" w14:textId="77777777" w:rsidTr="00F0324E">
        <w:trPr>
          <w:cantSplit/>
          <w:trHeight w:val="60"/>
        </w:trPr>
        <w:tc>
          <w:tcPr>
            <w:tcW w:w="5102" w:type="dxa"/>
          </w:tcPr>
          <w:p w14:paraId="2CE6748C" w14:textId="77777777" w:rsidR="00514CC0" w:rsidRDefault="00E72B49">
            <w:pPr>
              <w:pStyle w:val="OWTablebodyindent1"/>
            </w:pPr>
            <w:r>
              <w:t>% named other known person as perpetrator</w:t>
            </w:r>
          </w:p>
        </w:tc>
        <w:tc>
          <w:tcPr>
            <w:tcW w:w="1985" w:type="dxa"/>
          </w:tcPr>
          <w:p w14:paraId="2011DC61" w14:textId="77777777" w:rsidR="00514CC0" w:rsidRDefault="00E72B49">
            <w:pPr>
              <w:pStyle w:val="OWTablebodycentre"/>
            </w:pPr>
            <w:r>
              <w:t>28.1%</w:t>
            </w:r>
          </w:p>
        </w:tc>
        <w:tc>
          <w:tcPr>
            <w:tcW w:w="1984" w:type="dxa"/>
          </w:tcPr>
          <w:p w14:paraId="68402D95" w14:textId="77777777" w:rsidR="00514CC0" w:rsidRDefault="00E72B49">
            <w:pPr>
              <w:pStyle w:val="OWTablebodycentre"/>
            </w:pPr>
            <w:r>
              <w:t>36.9%</w:t>
            </w:r>
          </w:p>
        </w:tc>
      </w:tr>
      <w:tr w:rsidR="00514CC0" w14:paraId="05BA2C9A" w14:textId="77777777" w:rsidTr="00F0324E">
        <w:trPr>
          <w:cantSplit/>
          <w:trHeight w:val="60"/>
        </w:trPr>
        <w:tc>
          <w:tcPr>
            <w:tcW w:w="5102" w:type="dxa"/>
          </w:tcPr>
          <w:p w14:paraId="01AD8274" w14:textId="77777777" w:rsidR="00514CC0" w:rsidRDefault="00E72B49">
            <w:pPr>
              <w:pStyle w:val="OWTablebodyindent1"/>
            </w:pPr>
            <w:r>
              <w:t>% named stranger as perpetrator</w:t>
            </w:r>
          </w:p>
        </w:tc>
        <w:tc>
          <w:tcPr>
            <w:tcW w:w="1985" w:type="dxa"/>
          </w:tcPr>
          <w:p w14:paraId="78725C5A" w14:textId="77777777" w:rsidR="00514CC0" w:rsidRDefault="00E72B49">
            <w:pPr>
              <w:pStyle w:val="OWTablebodycentre"/>
            </w:pPr>
            <w:r>
              <w:t>5.6%</w:t>
            </w:r>
          </w:p>
        </w:tc>
        <w:tc>
          <w:tcPr>
            <w:tcW w:w="1984" w:type="dxa"/>
          </w:tcPr>
          <w:p w14:paraId="564DE795" w14:textId="77777777" w:rsidR="00514CC0" w:rsidRDefault="00E72B49">
            <w:pPr>
              <w:pStyle w:val="OWTablebodycentre"/>
            </w:pPr>
            <w:r>
              <w:t>7.4%</w:t>
            </w:r>
          </w:p>
        </w:tc>
      </w:tr>
    </w:tbl>
    <w:p w14:paraId="0E799EF3" w14:textId="77777777" w:rsidR="00514CC0" w:rsidRDefault="00E72B49">
      <w:pPr>
        <w:pStyle w:val="OWTablefootnote"/>
      </w:pPr>
      <w:r>
        <w:t>Source: ABS, NATSISS 2018–19</w:t>
      </w:r>
    </w:p>
    <w:p w14:paraId="75345F37" w14:textId="77777777" w:rsidR="006B08D1" w:rsidRPr="006B08D1" w:rsidRDefault="006B08D1" w:rsidP="006B08D1">
      <w:pPr>
        <w:pStyle w:val="BodyText"/>
      </w:pPr>
      <w:r w:rsidRPr="006B08D1">
        <w:br w:type="page"/>
      </w:r>
    </w:p>
    <w:p w14:paraId="6AD38D91" w14:textId="5C4243EA" w:rsidR="00514CC0" w:rsidRDefault="00E72B49">
      <w:pPr>
        <w:pStyle w:val="OWBodytextlargespaceabove"/>
      </w:pPr>
      <w:r>
        <w:lastRenderedPageBreak/>
        <w:t xml:space="preserve">The NATSISS measures prevalence of physical violence (assault and threat) within a </w:t>
      </w:r>
      <w:r w:rsidR="00F42FFD">
        <w:br/>
      </w:r>
      <w:r>
        <w:t>12-month timeframe. In 2008, one-quarter (25%) of Aboriginal and Torres Strait Islander women had experienced at least one incident of physical violence in the 12 months prior to the survey. This had decreased somewhat to 21.7% in the 12 months prior to the 2014–15 survey.</w:t>
      </w:r>
    </w:p>
    <w:p w14:paraId="50EAE3D8" w14:textId="1770E787" w:rsidR="00514CC0" w:rsidRDefault="00E72B49">
      <w:pPr>
        <w:pStyle w:val="BodyText"/>
      </w:pPr>
      <w:r>
        <w:t xml:space="preserve">In the 2014–15 survey results, 37% of women who had experienced physical assault in the 12 months prior identified an intimate partner as responsible for their most recent incident of physical assault (see Table </w:t>
      </w:r>
      <w:r w:rsidR="0017588F">
        <w:t>38</w:t>
      </w:r>
      <w:r>
        <w:t>, below). A like figure is not available for the 2008 survey results, as publicly available 2008 data does not aggregate intimate partner-perpetrated physical assault including non-cohabiting partners (e.g. boyfriends, dates). Moreover, the</w:t>
      </w:r>
      <w:r w:rsidR="00F42FFD">
        <w:t> </w:t>
      </w:r>
      <w:r>
        <w:t xml:space="preserve">way that the NATSISS data presents prevalence of partner violence is as a proportion of the women who have experienced violence, not a proportion of the overall population of Aboriginal and Torres Strait Islander women, and therefore is different to PSS data analysis. However, data from both waves of the survey suggests that </w:t>
      </w:r>
      <w:r w:rsidRPr="002D0D52">
        <w:rPr>
          <w:rStyle w:val="Strong"/>
        </w:rPr>
        <w:t>a high prevalence of partner-perpetrated physical assault continues to be experienced by Aboriginal and Torres Strait Islander women in a 12-month timeframe</w:t>
      </w:r>
      <w:r>
        <w:t>.</w:t>
      </w:r>
    </w:p>
    <w:p w14:paraId="5E33AC29" w14:textId="736E3761" w:rsidR="00514CC0" w:rsidRDefault="00E72B49">
      <w:pPr>
        <w:pStyle w:val="OWTablecaption"/>
      </w:pPr>
      <w:r>
        <w:t xml:space="preserve">Table </w:t>
      </w:r>
      <w:r w:rsidR="0017588F">
        <w:t>38</w:t>
      </w:r>
      <w:r>
        <w:t>: Physical assault experienced by Aboriginal and Torres Strait Islander women, most recent incidents of physical assault by type of perpetrator, proportion (%) of women who experienced physical assault in the previous 12 months</w:t>
      </w:r>
      <w:r>
        <w:rPr>
          <w:rStyle w:val="OWSuperscript"/>
        </w:rPr>
        <w:footnoteReference w:id="62"/>
      </w:r>
    </w:p>
    <w:tbl>
      <w:tblPr>
        <w:tblStyle w:val="Datatableumber"/>
        <w:tblW w:w="9072" w:type="dxa"/>
        <w:tblLayout w:type="fixed"/>
        <w:tblLook w:val="06A0" w:firstRow="1" w:lastRow="0" w:firstColumn="1" w:lastColumn="0" w:noHBand="1" w:noVBand="1"/>
      </w:tblPr>
      <w:tblGrid>
        <w:gridCol w:w="5103"/>
        <w:gridCol w:w="1985"/>
        <w:gridCol w:w="1984"/>
      </w:tblGrid>
      <w:tr w:rsidR="00514CC0" w14:paraId="370EC191" w14:textId="77777777" w:rsidTr="00F0324E">
        <w:trPr>
          <w:cnfStyle w:val="100000000000" w:firstRow="1" w:lastRow="0" w:firstColumn="0" w:lastColumn="0" w:oddVBand="0" w:evenVBand="0" w:oddHBand="0" w:evenHBand="0" w:firstRowFirstColumn="0" w:firstRowLastColumn="0" w:lastRowFirstColumn="0" w:lastRowLastColumn="0"/>
          <w:cantSplit/>
          <w:trHeight w:val="60"/>
          <w:tblHeader/>
        </w:trPr>
        <w:tc>
          <w:tcPr>
            <w:tcW w:w="5102" w:type="dxa"/>
          </w:tcPr>
          <w:p w14:paraId="7F6080CD" w14:textId="77777777" w:rsidR="00514CC0" w:rsidRPr="008A47DE" w:rsidRDefault="00E72B49">
            <w:pPr>
              <w:pStyle w:val="OWTablecolumnheadleft"/>
            </w:pPr>
            <w:r w:rsidRPr="008A47DE">
              <w:t>Perpetrator category</w:t>
            </w:r>
          </w:p>
        </w:tc>
        <w:tc>
          <w:tcPr>
            <w:tcW w:w="1985" w:type="dxa"/>
          </w:tcPr>
          <w:p w14:paraId="343A257F" w14:textId="77777777" w:rsidR="00514CC0" w:rsidRPr="008A47DE" w:rsidRDefault="00E72B49">
            <w:pPr>
              <w:pStyle w:val="OWTablecolumnheadcentre"/>
            </w:pPr>
            <w:r w:rsidRPr="008A47DE">
              <w:t>2008</w:t>
            </w:r>
          </w:p>
        </w:tc>
        <w:tc>
          <w:tcPr>
            <w:tcW w:w="1984" w:type="dxa"/>
          </w:tcPr>
          <w:p w14:paraId="35BD37B4" w14:textId="77777777" w:rsidR="00514CC0" w:rsidRPr="008A47DE" w:rsidRDefault="00E72B49">
            <w:pPr>
              <w:pStyle w:val="OWTablecolumnheadcentre"/>
            </w:pPr>
            <w:r w:rsidRPr="008A47DE">
              <w:t>2014–15</w:t>
            </w:r>
          </w:p>
        </w:tc>
      </w:tr>
      <w:tr w:rsidR="00514CC0" w14:paraId="15163C82" w14:textId="77777777" w:rsidTr="00F0324E">
        <w:trPr>
          <w:cantSplit/>
          <w:trHeight w:val="60"/>
        </w:trPr>
        <w:tc>
          <w:tcPr>
            <w:tcW w:w="5102" w:type="dxa"/>
          </w:tcPr>
          <w:p w14:paraId="4C24B4F6" w14:textId="77777777" w:rsidR="00514CC0" w:rsidRDefault="00E72B49">
            <w:pPr>
              <w:pStyle w:val="OWTablebodyleft"/>
            </w:pPr>
            <w:r w:rsidRPr="002D0D52">
              <w:rPr>
                <w:rStyle w:val="Strong"/>
              </w:rPr>
              <w:t>Intimate partner</w:t>
            </w:r>
            <w:r>
              <w:t xml:space="preserve"> (inclusive of current or previous partners, cohabiting or non-cohabiting)</w:t>
            </w:r>
          </w:p>
        </w:tc>
        <w:tc>
          <w:tcPr>
            <w:tcW w:w="1985" w:type="dxa"/>
          </w:tcPr>
          <w:p w14:paraId="373F20AD" w14:textId="77777777" w:rsidR="00514CC0" w:rsidRDefault="00E72B49">
            <w:pPr>
              <w:pStyle w:val="OWTablebodycentre"/>
            </w:pPr>
            <w:r>
              <w:t>Not calculated</w:t>
            </w:r>
          </w:p>
        </w:tc>
        <w:tc>
          <w:tcPr>
            <w:tcW w:w="1984" w:type="dxa"/>
          </w:tcPr>
          <w:p w14:paraId="0BD5687D" w14:textId="77777777" w:rsidR="00514CC0" w:rsidRDefault="00E72B49">
            <w:pPr>
              <w:pStyle w:val="OWTablebodycentre"/>
            </w:pPr>
            <w:r>
              <w:t>37%</w:t>
            </w:r>
          </w:p>
        </w:tc>
      </w:tr>
      <w:tr w:rsidR="00514CC0" w14:paraId="4E8B8BC5" w14:textId="77777777" w:rsidTr="00F0324E">
        <w:trPr>
          <w:cantSplit/>
          <w:trHeight w:val="60"/>
        </w:trPr>
        <w:tc>
          <w:tcPr>
            <w:tcW w:w="5102" w:type="dxa"/>
          </w:tcPr>
          <w:p w14:paraId="111C0A71" w14:textId="77777777" w:rsidR="00514CC0" w:rsidRDefault="00E72B49">
            <w:pPr>
              <w:pStyle w:val="OWTablebodyindent1"/>
            </w:pPr>
            <w:r w:rsidRPr="002D0D52">
              <w:rPr>
                <w:rStyle w:val="Strong"/>
              </w:rPr>
              <w:t>Current cohabiting partner</w:t>
            </w:r>
          </w:p>
        </w:tc>
        <w:tc>
          <w:tcPr>
            <w:tcW w:w="1985" w:type="dxa"/>
          </w:tcPr>
          <w:p w14:paraId="7BC941E7" w14:textId="77777777" w:rsidR="00514CC0" w:rsidRDefault="00E72B49">
            <w:pPr>
              <w:pStyle w:val="OWTablebodycentre"/>
            </w:pPr>
            <w:r>
              <w:t>12%</w:t>
            </w:r>
          </w:p>
        </w:tc>
        <w:tc>
          <w:tcPr>
            <w:tcW w:w="1984" w:type="dxa"/>
          </w:tcPr>
          <w:p w14:paraId="72F2253D" w14:textId="77777777" w:rsidR="00514CC0" w:rsidRDefault="00E72B49">
            <w:pPr>
              <w:pStyle w:val="OWTablebodycentre"/>
            </w:pPr>
            <w:r>
              <w:t>13%</w:t>
            </w:r>
          </w:p>
        </w:tc>
      </w:tr>
      <w:tr w:rsidR="00514CC0" w14:paraId="2E624B99" w14:textId="77777777" w:rsidTr="00F0324E">
        <w:trPr>
          <w:cantSplit/>
          <w:trHeight w:val="60"/>
        </w:trPr>
        <w:tc>
          <w:tcPr>
            <w:tcW w:w="5102" w:type="dxa"/>
          </w:tcPr>
          <w:p w14:paraId="5A7DF316" w14:textId="77777777" w:rsidR="00514CC0" w:rsidRDefault="00E72B49">
            <w:pPr>
              <w:pStyle w:val="OWTablebodyindent1"/>
            </w:pPr>
            <w:r w:rsidRPr="002D0D52">
              <w:rPr>
                <w:rStyle w:val="Strong"/>
              </w:rPr>
              <w:t>Previous cohabiting partner</w:t>
            </w:r>
          </w:p>
        </w:tc>
        <w:tc>
          <w:tcPr>
            <w:tcW w:w="1985" w:type="dxa"/>
          </w:tcPr>
          <w:p w14:paraId="2CE369C3" w14:textId="77777777" w:rsidR="00514CC0" w:rsidRDefault="00E72B49">
            <w:pPr>
              <w:pStyle w:val="OWTablebodycentre"/>
            </w:pPr>
            <w:r>
              <w:t>21%</w:t>
            </w:r>
          </w:p>
        </w:tc>
        <w:tc>
          <w:tcPr>
            <w:tcW w:w="1984" w:type="dxa"/>
          </w:tcPr>
          <w:p w14:paraId="2B5D1E5B" w14:textId="77777777" w:rsidR="00514CC0" w:rsidRDefault="00E72B49">
            <w:pPr>
              <w:pStyle w:val="OWTablebodycentre"/>
            </w:pPr>
            <w:r>
              <w:t>15%</w:t>
            </w:r>
          </w:p>
        </w:tc>
      </w:tr>
      <w:tr w:rsidR="00514CC0" w14:paraId="66CBF2B6" w14:textId="77777777" w:rsidTr="00F0324E">
        <w:trPr>
          <w:cantSplit/>
          <w:trHeight w:val="60"/>
        </w:trPr>
        <w:tc>
          <w:tcPr>
            <w:tcW w:w="5102" w:type="dxa"/>
          </w:tcPr>
          <w:p w14:paraId="0BFAEB73" w14:textId="77777777" w:rsidR="00514CC0" w:rsidRDefault="00E72B49">
            <w:pPr>
              <w:pStyle w:val="OWTablebodyindent1"/>
            </w:pPr>
            <w:r w:rsidRPr="002D0D52">
              <w:rPr>
                <w:rStyle w:val="Strong"/>
              </w:rPr>
              <w:t>Non-cohabiting partner, current or previous (e.g. boyfriend, date)</w:t>
            </w:r>
          </w:p>
        </w:tc>
        <w:tc>
          <w:tcPr>
            <w:tcW w:w="1985" w:type="dxa"/>
          </w:tcPr>
          <w:p w14:paraId="34275D77" w14:textId="77777777" w:rsidR="00514CC0" w:rsidRDefault="00E72B49">
            <w:pPr>
              <w:pStyle w:val="OWTablebodycentre"/>
            </w:pPr>
            <w:r>
              <w:t>Not presented as a category</w:t>
            </w:r>
          </w:p>
        </w:tc>
        <w:tc>
          <w:tcPr>
            <w:tcW w:w="1984" w:type="dxa"/>
          </w:tcPr>
          <w:p w14:paraId="65396B08" w14:textId="77777777" w:rsidR="00514CC0" w:rsidRDefault="00E72B49">
            <w:pPr>
              <w:pStyle w:val="OWTablebodycentre"/>
            </w:pPr>
            <w:r>
              <w:t>10%</w:t>
            </w:r>
          </w:p>
        </w:tc>
      </w:tr>
      <w:tr w:rsidR="00514CC0" w14:paraId="4077DBF3" w14:textId="77777777" w:rsidTr="00F0324E">
        <w:trPr>
          <w:cantSplit/>
          <w:trHeight w:val="60"/>
        </w:trPr>
        <w:tc>
          <w:tcPr>
            <w:tcW w:w="5102" w:type="dxa"/>
          </w:tcPr>
          <w:p w14:paraId="392B2408" w14:textId="77777777" w:rsidR="00514CC0" w:rsidRDefault="00E72B49">
            <w:pPr>
              <w:pStyle w:val="OWTablebodyleft"/>
            </w:pPr>
            <w:r>
              <w:t>Other family member</w:t>
            </w:r>
          </w:p>
        </w:tc>
        <w:tc>
          <w:tcPr>
            <w:tcW w:w="1985" w:type="dxa"/>
          </w:tcPr>
          <w:p w14:paraId="471220AC" w14:textId="77777777" w:rsidR="00514CC0" w:rsidRDefault="00E72B49">
            <w:pPr>
              <w:pStyle w:val="OWTablebodycentre"/>
            </w:pPr>
            <w:r>
              <w:t>28%</w:t>
            </w:r>
          </w:p>
        </w:tc>
        <w:tc>
          <w:tcPr>
            <w:tcW w:w="1984" w:type="dxa"/>
          </w:tcPr>
          <w:p w14:paraId="1D7C3131" w14:textId="77777777" w:rsidR="00514CC0" w:rsidRDefault="00E72B49">
            <w:pPr>
              <w:pStyle w:val="OWTablebodycentre"/>
            </w:pPr>
            <w:r>
              <w:t>37%</w:t>
            </w:r>
          </w:p>
        </w:tc>
      </w:tr>
      <w:tr w:rsidR="00514CC0" w14:paraId="1359AABF" w14:textId="77777777" w:rsidTr="00F0324E">
        <w:trPr>
          <w:cantSplit/>
          <w:trHeight w:val="60"/>
        </w:trPr>
        <w:tc>
          <w:tcPr>
            <w:tcW w:w="5102" w:type="dxa"/>
          </w:tcPr>
          <w:p w14:paraId="513DC721" w14:textId="77777777" w:rsidR="00514CC0" w:rsidRDefault="00E72B49">
            <w:pPr>
              <w:pStyle w:val="OWTablebodyleft"/>
            </w:pPr>
            <w:r>
              <w:t>Stranger</w:t>
            </w:r>
          </w:p>
        </w:tc>
        <w:tc>
          <w:tcPr>
            <w:tcW w:w="1985" w:type="dxa"/>
          </w:tcPr>
          <w:p w14:paraId="4A0D0C43" w14:textId="77777777" w:rsidR="00514CC0" w:rsidRDefault="00E72B49">
            <w:pPr>
              <w:pStyle w:val="OWTablebodycentre"/>
            </w:pPr>
            <w:r>
              <w:t>6%</w:t>
            </w:r>
          </w:p>
        </w:tc>
        <w:tc>
          <w:tcPr>
            <w:tcW w:w="1984" w:type="dxa"/>
          </w:tcPr>
          <w:p w14:paraId="719C46EB" w14:textId="77777777" w:rsidR="00514CC0" w:rsidRDefault="00E72B49">
            <w:pPr>
              <w:pStyle w:val="OWTablebodycentre"/>
            </w:pPr>
            <w:r>
              <w:t>5%</w:t>
            </w:r>
          </w:p>
        </w:tc>
      </w:tr>
    </w:tbl>
    <w:p w14:paraId="571C9EBF" w14:textId="77777777" w:rsidR="00514CC0" w:rsidRDefault="00E72B49">
      <w:pPr>
        <w:pStyle w:val="OWTablefootnote"/>
      </w:pPr>
      <w:r>
        <w:t>Sources: ABS, NATSISS 2008 and NATSISS 2014–15</w:t>
      </w:r>
    </w:p>
    <w:p w14:paraId="0002ED9E" w14:textId="23E9A5EC" w:rsidR="00514CC0" w:rsidRDefault="00E72B49">
      <w:pPr>
        <w:pStyle w:val="OWBodytextlargespaceabove"/>
      </w:pPr>
      <w:r>
        <w:t>As noted earlier, the National Aboriginal and Torres Strait Islander Health Survey and the National Aboriginal and Torres Strait Social Survey do not measure non-physical forms of</w:t>
      </w:r>
      <w:r w:rsidR="00F42FFD">
        <w:t> </w:t>
      </w:r>
      <w:r>
        <w:t>violence.</w:t>
      </w:r>
    </w:p>
    <w:p w14:paraId="0B626CEA" w14:textId="77777777" w:rsidR="00514CC0" w:rsidRPr="008A47DE" w:rsidRDefault="00E72B49" w:rsidP="00E1549C">
      <w:pPr>
        <w:pStyle w:val="Heading4"/>
        <w:rPr>
          <w:rStyle w:val="OWCharacterUmber"/>
        </w:rPr>
      </w:pPr>
      <w:r>
        <w:rPr>
          <w:rStyle w:val="OWCharacterUmber"/>
        </w:rPr>
        <w:lastRenderedPageBreak/>
        <w:t>Indicator 11.2: Proportion of women aged 18 years and older subjected to sexual violence by persons other than an intimate partner in the last 12 months</w:t>
      </w:r>
      <w:r>
        <w:rPr>
          <w:rStyle w:val="OWSuperscriptUmber"/>
        </w:rPr>
        <w:footnoteReference w:id="63"/>
      </w:r>
    </w:p>
    <w:tbl>
      <w:tblPr>
        <w:tblStyle w:val="Indicatoroutlineumber"/>
        <w:tblW w:w="9072" w:type="dxa"/>
        <w:tblLayout w:type="fixed"/>
        <w:tblLook w:val="0680" w:firstRow="0" w:lastRow="0" w:firstColumn="1" w:lastColumn="0" w:noHBand="1" w:noVBand="1"/>
      </w:tblPr>
      <w:tblGrid>
        <w:gridCol w:w="2835"/>
        <w:gridCol w:w="6237"/>
      </w:tblGrid>
      <w:tr w:rsidR="00514CC0" w14:paraId="39711E03" w14:textId="77777777" w:rsidTr="00F0324E">
        <w:trPr>
          <w:cantSplit/>
          <w:trHeight w:val="60"/>
        </w:trPr>
        <w:tc>
          <w:tcPr>
            <w:tcW w:w="2835" w:type="dxa"/>
          </w:tcPr>
          <w:p w14:paraId="59F90E6C" w14:textId="77777777" w:rsidR="00514CC0" w:rsidRDefault="00E72B49">
            <w:pPr>
              <w:pStyle w:val="OWTablebodyleft"/>
            </w:pPr>
            <w:r>
              <w:t>What does this indicator tell us about Monitoring domain 11: Prevalence of violence against women?</w:t>
            </w:r>
          </w:p>
        </w:tc>
        <w:tc>
          <w:tcPr>
            <w:tcW w:w="6236" w:type="dxa"/>
          </w:tcPr>
          <w:p w14:paraId="42AB1C7F" w14:textId="1E0F7E68" w:rsidR="00514CC0" w:rsidRDefault="00E72B49">
            <w:pPr>
              <w:pStyle w:val="OWTablebodyleft"/>
            </w:pPr>
            <w:r>
              <w:t>This indicator allows us to compare the proportion of the population of women in Australia who experienced sexual violence by a perpetrator other than a partner in a defined short-term window (12 months) prior to each survey wave. In</w:t>
            </w:r>
            <w:r w:rsidR="00F42FFD">
              <w:t> </w:t>
            </w:r>
            <w:r>
              <w:t>doing so, it allows for an assessment of how rates of non-partner sexual violence against women are shifting (or otherwise) in the short term. The Personal Safety Survey (PSS) definition of sexual violence includes sexual assault and</w:t>
            </w:r>
            <w:r w:rsidR="00F42FFD">
              <w:t> </w:t>
            </w:r>
            <w:r>
              <w:t xml:space="preserve">threat of sexual assault; however, publicly available </w:t>
            </w:r>
            <w:r w:rsidR="00F42FFD">
              <w:br/>
            </w:r>
            <w:r>
              <w:t>12-month data only allows for comparison of rates of sexual assault.</w:t>
            </w:r>
          </w:p>
        </w:tc>
      </w:tr>
      <w:tr w:rsidR="00514CC0" w14:paraId="38F456C4" w14:textId="77777777" w:rsidTr="00F0324E">
        <w:trPr>
          <w:cantSplit/>
          <w:trHeight w:val="60"/>
        </w:trPr>
        <w:tc>
          <w:tcPr>
            <w:tcW w:w="2835" w:type="dxa"/>
          </w:tcPr>
          <w:p w14:paraId="439925D1" w14:textId="77777777" w:rsidR="00514CC0" w:rsidRDefault="00E72B49">
            <w:pPr>
              <w:pStyle w:val="OWTablebodyleft"/>
            </w:pPr>
            <w:r>
              <w:t>Expected change if high-quality programs and infrastructure for prevention of violence against women and gender equality are implemented</w:t>
            </w:r>
          </w:p>
        </w:tc>
        <w:tc>
          <w:tcPr>
            <w:tcW w:w="6236" w:type="dxa"/>
          </w:tcPr>
          <w:p w14:paraId="654C9CC3" w14:textId="77777777" w:rsidR="00514CC0" w:rsidRDefault="00E72B49">
            <w:pPr>
              <w:pStyle w:val="OWTablebodyleft"/>
            </w:pPr>
            <w:r>
              <w:t>Short- and medium-term: little change in the 12-month prevalence of non-partner sexual violence.</w:t>
            </w:r>
          </w:p>
          <w:p w14:paraId="4726DCE0" w14:textId="77777777" w:rsidR="00514CC0" w:rsidRDefault="00E72B49">
            <w:pPr>
              <w:pStyle w:val="OWTablebodyleft"/>
            </w:pPr>
            <w:r>
              <w:t>Long-term: as drivers of violence are addressed, prevalence rates of non-partner sexual violence to drop. Twelve-month prevalence rates will show change before lifetime prevalence rates.</w:t>
            </w:r>
          </w:p>
        </w:tc>
      </w:tr>
      <w:tr w:rsidR="00514CC0" w14:paraId="39A10675" w14:textId="77777777" w:rsidTr="00F0324E">
        <w:trPr>
          <w:cantSplit/>
          <w:trHeight w:val="60"/>
        </w:trPr>
        <w:tc>
          <w:tcPr>
            <w:tcW w:w="2835" w:type="dxa"/>
          </w:tcPr>
          <w:p w14:paraId="10B16B6E" w14:textId="77777777" w:rsidR="00514CC0" w:rsidRDefault="00E72B49">
            <w:pPr>
              <w:pStyle w:val="OWTablebodyleft"/>
            </w:pPr>
            <w:r>
              <w:t>Data source(s)</w:t>
            </w:r>
          </w:p>
        </w:tc>
        <w:tc>
          <w:tcPr>
            <w:tcW w:w="6236" w:type="dxa"/>
          </w:tcPr>
          <w:p w14:paraId="017326B8" w14:textId="77777777" w:rsidR="00514CC0" w:rsidRDefault="00E72B49">
            <w:pPr>
              <w:pStyle w:val="OWTablebodyleft"/>
            </w:pPr>
            <w:r>
              <w:t>Personal Safety Survey (PSS) 2012 and 2016, ABS</w:t>
            </w:r>
          </w:p>
        </w:tc>
      </w:tr>
      <w:tr w:rsidR="00514CC0" w14:paraId="055A87FB" w14:textId="77777777" w:rsidTr="00F0324E">
        <w:trPr>
          <w:cantSplit/>
          <w:trHeight w:val="60"/>
        </w:trPr>
        <w:tc>
          <w:tcPr>
            <w:tcW w:w="2835" w:type="dxa"/>
          </w:tcPr>
          <w:p w14:paraId="71819762" w14:textId="5D455B61" w:rsidR="00514CC0" w:rsidRDefault="00E72B49">
            <w:pPr>
              <w:pStyle w:val="OWTablebodyleft"/>
            </w:pPr>
            <w:r>
              <w:t>Change over time summary: short-term change revealed by the</w:t>
            </w:r>
            <w:r w:rsidR="00F42FFD">
              <w:t> </w:t>
            </w:r>
            <w:r>
              <w:t>data</w:t>
            </w:r>
          </w:p>
        </w:tc>
        <w:tc>
          <w:tcPr>
            <w:tcW w:w="6236" w:type="dxa"/>
          </w:tcPr>
          <w:p w14:paraId="139990F3" w14:textId="77777777" w:rsidR="00514CC0" w:rsidRDefault="00E72B49">
            <w:pPr>
              <w:pStyle w:val="OWTablebodyleft"/>
            </w:pPr>
            <w:r>
              <w:t>In comparing the data for the 2012 and 2016 survey waves, the 12-month prevalence rate of non-partner sexual assault against women has remained fairly consistent, noting the limitations with this data as below.</w:t>
            </w:r>
          </w:p>
        </w:tc>
      </w:tr>
      <w:tr w:rsidR="00514CC0" w14:paraId="1B18CF6A" w14:textId="77777777" w:rsidTr="00F0324E">
        <w:trPr>
          <w:cantSplit/>
          <w:trHeight w:val="60"/>
        </w:trPr>
        <w:tc>
          <w:tcPr>
            <w:tcW w:w="2835" w:type="dxa"/>
          </w:tcPr>
          <w:p w14:paraId="7D1F6985" w14:textId="77777777" w:rsidR="00514CC0" w:rsidRDefault="00E72B49">
            <w:pPr>
              <w:pStyle w:val="OWTablebodyleft"/>
            </w:pPr>
            <w:r>
              <w:t>Does the change confirm or run contrary to expected change?</w:t>
            </w:r>
          </w:p>
        </w:tc>
        <w:tc>
          <w:tcPr>
            <w:tcW w:w="6236" w:type="dxa"/>
          </w:tcPr>
          <w:p w14:paraId="391FFC24" w14:textId="77777777" w:rsidR="00514CC0" w:rsidRDefault="00E72B49">
            <w:pPr>
              <w:pStyle w:val="OWTablebodyleft"/>
            </w:pPr>
            <w:r>
              <w:t>Confirms expected change.</w:t>
            </w:r>
          </w:p>
        </w:tc>
      </w:tr>
      <w:tr w:rsidR="00514CC0" w14:paraId="21C8FFB2" w14:textId="77777777" w:rsidTr="00F0324E">
        <w:trPr>
          <w:cantSplit/>
          <w:trHeight w:val="60"/>
        </w:trPr>
        <w:tc>
          <w:tcPr>
            <w:tcW w:w="2835" w:type="dxa"/>
          </w:tcPr>
          <w:p w14:paraId="21D9E349" w14:textId="77777777" w:rsidR="00514CC0" w:rsidRDefault="00E72B49">
            <w:pPr>
              <w:pStyle w:val="OWTablebodyleft"/>
            </w:pPr>
            <w:r>
              <w:lastRenderedPageBreak/>
              <w:t>Gaps in existing data</w:t>
            </w:r>
          </w:p>
        </w:tc>
        <w:tc>
          <w:tcPr>
            <w:tcW w:w="6236" w:type="dxa"/>
          </w:tcPr>
          <w:p w14:paraId="3EF12FD3" w14:textId="77777777" w:rsidR="00514CC0" w:rsidRDefault="00E72B49">
            <w:pPr>
              <w:pStyle w:val="OWTablebodyleft"/>
            </w:pPr>
            <w:r>
              <w:t>12-month figures for sexual violence against women perpetrated by persons other than partners cannot be aggregated into a total. Further, 12-month experiences disaggregated by the categories of stranger and known persons other than partners are so low that it is difficult to track change over time. It is therefore difficult to provide a meaningful assessment of change against this indicator.</w:t>
            </w:r>
          </w:p>
          <w:p w14:paraId="45C4965B" w14:textId="77777777" w:rsidR="00514CC0" w:rsidRDefault="00E72B49">
            <w:pPr>
              <w:pStyle w:val="OWTablebodyleft"/>
            </w:pPr>
            <w:r>
              <w:t>Key datasets (PSS, National Aboriginal and Torres Strait Islander Social Survey, National Aboriginal and Torres Strait Islander Health Survey) do not allow us to analyse prevalence of sexual violence against Aboriginal and Torres Islander women, no matter the perpetrator.</w:t>
            </w:r>
          </w:p>
        </w:tc>
      </w:tr>
    </w:tbl>
    <w:p w14:paraId="7F11D275" w14:textId="77777777" w:rsidR="00514CC0" w:rsidRPr="00A72020" w:rsidRDefault="00E72B49" w:rsidP="008A47DE">
      <w:pPr>
        <w:pStyle w:val="OWBodytextlargespaceabove"/>
        <w:rPr>
          <w:rStyle w:val="Strong"/>
          <w:b w:val="0"/>
        </w:rPr>
      </w:pPr>
      <w:r w:rsidRPr="002D0D52">
        <w:rPr>
          <w:rStyle w:val="Strong"/>
        </w:rPr>
        <w:t xml:space="preserve">The proportion of women in Australia who experienced sexual assault by a perpetrator </w:t>
      </w:r>
      <w:r w:rsidRPr="00841735">
        <w:rPr>
          <w:rStyle w:val="OWBoldItalic"/>
        </w:rPr>
        <w:t>other than a partner</w:t>
      </w:r>
      <w:r w:rsidRPr="002D0D52">
        <w:rPr>
          <w:rStyle w:val="Strong"/>
        </w:rPr>
        <w:t xml:space="preserve"> in the 12 months prior to the 2012 and 2016 surveys has remained consistently low, </w:t>
      </w:r>
      <w:r w:rsidRPr="00057529">
        <w:rPr>
          <w:rStyle w:val="Strong"/>
          <w:b w:val="0"/>
        </w:rPr>
        <w:t>with partners continuing to account for a considerable portion of women’s experiences of sexual assault.</w:t>
      </w:r>
    </w:p>
    <w:p w14:paraId="69C3DF11" w14:textId="77777777" w:rsidR="00514CC0" w:rsidRDefault="00E72B49">
      <w:pPr>
        <w:pStyle w:val="BodyText"/>
      </w:pPr>
      <w:r>
        <w:t>The PSS allows for measurement of rates of sexual assault by two categories of</w:t>
      </w:r>
      <w:r w:rsidRPr="003E209A">
        <w:rPr>
          <w:rStyle w:val="Emphasis"/>
        </w:rPr>
        <w:t xml:space="preserve"> non-partner </w:t>
      </w:r>
      <w:r>
        <w:t>perpetrators:</w:t>
      </w:r>
    </w:p>
    <w:p w14:paraId="1A518617" w14:textId="77777777" w:rsidR="00514CC0" w:rsidRDefault="00E72B49" w:rsidP="002C2EC7">
      <w:pPr>
        <w:pStyle w:val="OWNumberdigit"/>
        <w:numPr>
          <w:ilvl w:val="0"/>
          <w:numId w:val="13"/>
        </w:numPr>
      </w:pPr>
      <w:r>
        <w:t>strangers (that is, persons unknown to the woman subject to violence), and</w:t>
      </w:r>
    </w:p>
    <w:p w14:paraId="4491DDF2" w14:textId="77777777" w:rsidR="00514CC0" w:rsidRDefault="00E72B49">
      <w:pPr>
        <w:pStyle w:val="OWNumberdigit"/>
      </w:pPr>
      <w:r>
        <w:t>persons known to the victim (‘known persons’), but not a partner (i.e. other family member, friend, housemate, acquaintance, neighbour, person in the workplace, client, patient, customer, medical practitioner, religious leader, etc.).</w:t>
      </w:r>
    </w:p>
    <w:p w14:paraId="2AFC7298" w14:textId="77777777" w:rsidR="00514CC0" w:rsidRDefault="00E72B49" w:rsidP="008A47DE">
      <w:pPr>
        <w:pStyle w:val="OWBodytextafterlist"/>
      </w:pPr>
      <w:r>
        <w:t>This data cannot be combined to create an aggregate total of 12-month non-partner sexual assault prevalence, as a person may have experienced sexual assault by more than one perpetrator in the time period.</w:t>
      </w:r>
    </w:p>
    <w:p w14:paraId="31C4F75A" w14:textId="2F3EA1E5" w:rsidR="00514CC0" w:rsidRDefault="00E72B49">
      <w:pPr>
        <w:pStyle w:val="BodyText"/>
      </w:pPr>
      <w:r>
        <w:t xml:space="preserve">In 2016, 0.4% of women reported experiencing sexual assault perpetrated by a stranger, and 0.6% experienced sexual assault perpetrated by a known person other than a partner, in the previous 12 months. Comparable figures are not provided for 2012 due to high relative standards of error with these figures (see Table </w:t>
      </w:r>
      <w:r w:rsidR="0017588F">
        <w:t>39</w:t>
      </w:r>
      <w:r>
        <w:t>, below).</w:t>
      </w:r>
    </w:p>
    <w:p w14:paraId="6C521222" w14:textId="77777777" w:rsidR="00514CC0" w:rsidRDefault="00E72B49">
      <w:pPr>
        <w:pStyle w:val="BodyText"/>
      </w:pPr>
      <w:r>
        <w:t>Overall, 12-month prevalence of sexual assault of women by any perpetrator increased between 2012 and 2016, and this represents a statistically significant change. Overall sexual violence 12-month prevalence is further examined under Indicator 11.3.</w:t>
      </w:r>
    </w:p>
    <w:p w14:paraId="6E42F442" w14:textId="77777777" w:rsidR="0051280E" w:rsidRPr="0051280E" w:rsidRDefault="0051280E" w:rsidP="0051280E">
      <w:pPr>
        <w:pStyle w:val="OWBodytextafterlist"/>
      </w:pPr>
      <w:r w:rsidRPr="0051280E">
        <w:br w:type="page"/>
      </w:r>
    </w:p>
    <w:p w14:paraId="238E8569" w14:textId="02FFC8EA" w:rsidR="00514CC0" w:rsidRDefault="00E72B49">
      <w:pPr>
        <w:pStyle w:val="OWTablecaption"/>
      </w:pPr>
      <w:r>
        <w:lastRenderedPageBreak/>
        <w:t xml:space="preserve">Table </w:t>
      </w:r>
      <w:r w:rsidR="0017588F">
        <w:t>39</w:t>
      </w:r>
      <w:r>
        <w:t>: Sexual assault against women during the last 12 months, by type of perpetrator, 2012 and 2016, proportion of women</w:t>
      </w:r>
    </w:p>
    <w:tbl>
      <w:tblPr>
        <w:tblStyle w:val="Datatableumber"/>
        <w:tblW w:w="9072" w:type="dxa"/>
        <w:tblLayout w:type="fixed"/>
        <w:tblLook w:val="06A0" w:firstRow="1" w:lastRow="0" w:firstColumn="1" w:lastColumn="0" w:noHBand="1" w:noVBand="1"/>
      </w:tblPr>
      <w:tblGrid>
        <w:gridCol w:w="6237"/>
        <w:gridCol w:w="1418"/>
        <w:gridCol w:w="1417"/>
      </w:tblGrid>
      <w:tr w:rsidR="00514CC0" w14:paraId="681F847E" w14:textId="77777777" w:rsidTr="00F0324E">
        <w:trPr>
          <w:cnfStyle w:val="100000000000" w:firstRow="1" w:lastRow="0" w:firstColumn="0" w:lastColumn="0" w:oddVBand="0" w:evenVBand="0" w:oddHBand="0" w:evenHBand="0" w:firstRowFirstColumn="0" w:firstRowLastColumn="0" w:lastRowFirstColumn="0" w:lastRowLastColumn="0"/>
          <w:cantSplit/>
          <w:trHeight w:val="60"/>
          <w:tblHeader/>
        </w:trPr>
        <w:tc>
          <w:tcPr>
            <w:tcW w:w="6236" w:type="dxa"/>
          </w:tcPr>
          <w:p w14:paraId="2DA0C5B8" w14:textId="77777777" w:rsidR="00514CC0" w:rsidRPr="008A47DE" w:rsidRDefault="00E72B49">
            <w:pPr>
              <w:pStyle w:val="OWTablecolumnheadleft"/>
            </w:pPr>
            <w:r w:rsidRPr="008A47DE">
              <w:t>Perpetrator</w:t>
            </w:r>
          </w:p>
        </w:tc>
        <w:tc>
          <w:tcPr>
            <w:tcW w:w="1418" w:type="dxa"/>
          </w:tcPr>
          <w:p w14:paraId="0BCDDCA5" w14:textId="77777777" w:rsidR="00514CC0" w:rsidRPr="008A47DE" w:rsidRDefault="00E72B49">
            <w:pPr>
              <w:pStyle w:val="OWTablecolumnheadcentre"/>
            </w:pPr>
            <w:r w:rsidRPr="008A47DE">
              <w:t>2012</w:t>
            </w:r>
          </w:p>
        </w:tc>
        <w:tc>
          <w:tcPr>
            <w:tcW w:w="1417" w:type="dxa"/>
          </w:tcPr>
          <w:p w14:paraId="73964D47" w14:textId="77777777" w:rsidR="00514CC0" w:rsidRPr="008A47DE" w:rsidRDefault="00E72B49">
            <w:pPr>
              <w:pStyle w:val="OWTablecolumnheadcentre"/>
            </w:pPr>
            <w:r w:rsidRPr="008A47DE">
              <w:t>2016</w:t>
            </w:r>
          </w:p>
        </w:tc>
      </w:tr>
      <w:tr w:rsidR="00514CC0" w14:paraId="6A3AFA38" w14:textId="77777777" w:rsidTr="00F0324E">
        <w:trPr>
          <w:cantSplit/>
          <w:trHeight w:val="60"/>
        </w:trPr>
        <w:tc>
          <w:tcPr>
            <w:tcW w:w="6236" w:type="dxa"/>
          </w:tcPr>
          <w:p w14:paraId="1C2ABE9A" w14:textId="77777777" w:rsidR="00514CC0" w:rsidRDefault="00E72B49">
            <w:pPr>
              <w:pStyle w:val="OWTablebodyleft"/>
            </w:pPr>
            <w:r>
              <w:t>Stranger</w:t>
            </w:r>
          </w:p>
        </w:tc>
        <w:tc>
          <w:tcPr>
            <w:tcW w:w="1418" w:type="dxa"/>
          </w:tcPr>
          <w:p w14:paraId="2EDED1D8" w14:textId="77777777" w:rsidR="00514CC0" w:rsidRDefault="00E72B49">
            <w:pPr>
              <w:pStyle w:val="OWTablebodycentre"/>
            </w:pPr>
            <w:r>
              <w:t>*</w:t>
            </w:r>
          </w:p>
        </w:tc>
        <w:tc>
          <w:tcPr>
            <w:tcW w:w="1417" w:type="dxa"/>
          </w:tcPr>
          <w:p w14:paraId="35251247" w14:textId="77777777" w:rsidR="00514CC0" w:rsidRDefault="00E72B49">
            <w:pPr>
              <w:pStyle w:val="OWTablebodycentre"/>
            </w:pPr>
            <w:r>
              <w:t>0.4%</w:t>
            </w:r>
          </w:p>
        </w:tc>
      </w:tr>
      <w:tr w:rsidR="00514CC0" w14:paraId="6D66E0A5" w14:textId="77777777" w:rsidTr="00F0324E">
        <w:trPr>
          <w:cantSplit/>
          <w:trHeight w:val="60"/>
        </w:trPr>
        <w:tc>
          <w:tcPr>
            <w:tcW w:w="6236" w:type="dxa"/>
          </w:tcPr>
          <w:p w14:paraId="739E1AAB" w14:textId="77777777" w:rsidR="00514CC0" w:rsidRDefault="00E72B49">
            <w:pPr>
              <w:pStyle w:val="OWTablebodyleft"/>
            </w:pPr>
            <w:r>
              <w:t>Other non-partner known person</w:t>
            </w:r>
          </w:p>
        </w:tc>
        <w:tc>
          <w:tcPr>
            <w:tcW w:w="1418" w:type="dxa"/>
          </w:tcPr>
          <w:p w14:paraId="13721AA5" w14:textId="77777777" w:rsidR="00514CC0" w:rsidRDefault="00E72B49">
            <w:pPr>
              <w:pStyle w:val="OWTablebodycentre"/>
            </w:pPr>
            <w:r>
              <w:t>*</w:t>
            </w:r>
          </w:p>
        </w:tc>
        <w:tc>
          <w:tcPr>
            <w:tcW w:w="1417" w:type="dxa"/>
          </w:tcPr>
          <w:p w14:paraId="1B74DD9F" w14:textId="77777777" w:rsidR="00514CC0" w:rsidRDefault="00E72B49">
            <w:pPr>
              <w:pStyle w:val="OWTablebodycentre"/>
            </w:pPr>
            <w:r>
              <w:t>0.6%</w:t>
            </w:r>
          </w:p>
        </w:tc>
      </w:tr>
      <w:tr w:rsidR="00514CC0" w14:paraId="470B8333" w14:textId="77777777" w:rsidTr="00F0324E">
        <w:trPr>
          <w:cantSplit/>
          <w:trHeight w:val="60"/>
        </w:trPr>
        <w:tc>
          <w:tcPr>
            <w:tcW w:w="6236" w:type="dxa"/>
          </w:tcPr>
          <w:p w14:paraId="1EC50983" w14:textId="77777777" w:rsidR="00514CC0" w:rsidRDefault="00E72B49">
            <w:pPr>
              <w:pStyle w:val="OWTablebodyleft"/>
            </w:pPr>
            <w:r>
              <w:t>Partner (cohabiting, current or previous)</w:t>
            </w:r>
          </w:p>
        </w:tc>
        <w:tc>
          <w:tcPr>
            <w:tcW w:w="1418" w:type="dxa"/>
          </w:tcPr>
          <w:p w14:paraId="080AABE7" w14:textId="77777777" w:rsidR="00514CC0" w:rsidRDefault="00E72B49">
            <w:pPr>
              <w:pStyle w:val="OWTablebodycentre"/>
            </w:pPr>
            <w:r>
              <w:t>0.3%</w:t>
            </w:r>
          </w:p>
        </w:tc>
        <w:tc>
          <w:tcPr>
            <w:tcW w:w="1417" w:type="dxa"/>
          </w:tcPr>
          <w:p w14:paraId="1C717112" w14:textId="77777777" w:rsidR="00514CC0" w:rsidRDefault="00E72B49">
            <w:pPr>
              <w:pStyle w:val="OWTablebodycentre"/>
            </w:pPr>
            <w:r>
              <w:t>0.4%</w:t>
            </w:r>
          </w:p>
        </w:tc>
      </w:tr>
      <w:tr w:rsidR="00514CC0" w14:paraId="162988AC" w14:textId="77777777" w:rsidTr="00F0324E">
        <w:trPr>
          <w:cantSplit/>
          <w:trHeight w:val="60"/>
        </w:trPr>
        <w:tc>
          <w:tcPr>
            <w:tcW w:w="6236" w:type="dxa"/>
          </w:tcPr>
          <w:p w14:paraId="1FB51631" w14:textId="77777777" w:rsidR="00514CC0" w:rsidRDefault="00E72B49">
            <w:pPr>
              <w:pStyle w:val="OWTablebodyleft"/>
            </w:pPr>
            <w:r>
              <w:t>Non-cohabiting partner (boyfriend/girlfriend or date)</w:t>
            </w:r>
          </w:p>
        </w:tc>
        <w:tc>
          <w:tcPr>
            <w:tcW w:w="1418" w:type="dxa"/>
          </w:tcPr>
          <w:p w14:paraId="01212767" w14:textId="77777777" w:rsidR="00514CC0" w:rsidRDefault="00E72B49">
            <w:pPr>
              <w:pStyle w:val="OWTablebodycentre"/>
            </w:pPr>
            <w:r>
              <w:t>0.3%</w:t>
            </w:r>
          </w:p>
        </w:tc>
        <w:tc>
          <w:tcPr>
            <w:tcW w:w="1417" w:type="dxa"/>
          </w:tcPr>
          <w:p w14:paraId="6FF14679" w14:textId="77777777" w:rsidR="00514CC0" w:rsidRDefault="00E72B49">
            <w:pPr>
              <w:pStyle w:val="OWTablebodycentre"/>
            </w:pPr>
            <w:r>
              <w:t>0.2%</w:t>
            </w:r>
          </w:p>
        </w:tc>
      </w:tr>
      <w:tr w:rsidR="00514CC0" w14:paraId="4B43EDB3" w14:textId="77777777" w:rsidTr="00F0324E">
        <w:trPr>
          <w:cantSplit/>
          <w:trHeight w:val="60"/>
        </w:trPr>
        <w:tc>
          <w:tcPr>
            <w:tcW w:w="6236" w:type="dxa"/>
          </w:tcPr>
          <w:p w14:paraId="526CDF1D" w14:textId="77777777" w:rsidR="00514CC0" w:rsidRDefault="00E72B49">
            <w:pPr>
              <w:pStyle w:val="OWTablebodyleft"/>
            </w:pPr>
            <w:r>
              <w:t>Total all perpetrators (including known and unknown persons)</w:t>
            </w:r>
          </w:p>
        </w:tc>
        <w:tc>
          <w:tcPr>
            <w:tcW w:w="1418" w:type="dxa"/>
          </w:tcPr>
          <w:p w14:paraId="35B830F4" w14:textId="77777777" w:rsidR="00514CC0" w:rsidRDefault="00E72B49">
            <w:pPr>
              <w:pStyle w:val="OWTablebodycentre"/>
            </w:pPr>
            <w:r>
              <w:t>1.0%</w:t>
            </w:r>
          </w:p>
        </w:tc>
        <w:tc>
          <w:tcPr>
            <w:tcW w:w="1417" w:type="dxa"/>
          </w:tcPr>
          <w:p w14:paraId="763ADD2D" w14:textId="77777777" w:rsidR="00514CC0" w:rsidRDefault="00E72B49">
            <w:pPr>
              <w:pStyle w:val="OWTablebodycentre"/>
            </w:pPr>
            <w:r>
              <w:t>1.6%^</w:t>
            </w:r>
          </w:p>
        </w:tc>
      </w:tr>
    </w:tbl>
    <w:p w14:paraId="6E259F0A" w14:textId="77777777" w:rsidR="00514CC0" w:rsidRDefault="00E72B49">
      <w:pPr>
        <w:pStyle w:val="OWTablefootnote"/>
      </w:pPr>
      <w:r>
        <w:t>Sources: ABS, PSS 2012 and PSS 2016</w:t>
      </w:r>
    </w:p>
    <w:p w14:paraId="3453472F" w14:textId="77777777" w:rsidR="00514CC0" w:rsidRDefault="00E72B49">
      <w:pPr>
        <w:pStyle w:val="OWTablefootnoteindent"/>
      </w:pPr>
      <w:r>
        <w:t>*</w:t>
      </w:r>
      <w:r>
        <w:tab/>
        <w:t>Figure has a high relatively standard of error and is therefore not provided.</w:t>
      </w:r>
    </w:p>
    <w:p w14:paraId="79DE95FC" w14:textId="77777777" w:rsidR="00514CC0" w:rsidRDefault="00E72B49">
      <w:pPr>
        <w:pStyle w:val="OWTablefootnoteindent"/>
      </w:pPr>
      <w:r>
        <w:t>^</w:t>
      </w:r>
      <w:r>
        <w:tab/>
        <w:t>Denotes statistically significant change over time.</w:t>
      </w:r>
    </w:p>
    <w:p w14:paraId="6B2CE26D" w14:textId="77777777" w:rsidR="00514CC0" w:rsidRDefault="00E72B49" w:rsidP="006B08D1">
      <w:pPr>
        <w:pStyle w:val="OWTablefootnote"/>
        <w:spacing w:after="360"/>
      </w:pPr>
      <w:r>
        <w:t>Note: The figures for the categories of perpetrator cannot be aggregated as a respondent may have experienced sexual assault by more than one perpetrator in the previous 12 months.</w:t>
      </w:r>
    </w:p>
    <w:tbl>
      <w:tblPr>
        <w:tblStyle w:val="Casestudyumber"/>
        <w:tblW w:w="0" w:type="auto"/>
        <w:tblLayout w:type="fixed"/>
        <w:tblLook w:val="0620" w:firstRow="1" w:lastRow="0" w:firstColumn="0" w:lastColumn="0" w:noHBand="1" w:noVBand="1"/>
      </w:tblPr>
      <w:tblGrid>
        <w:gridCol w:w="9071"/>
      </w:tblGrid>
      <w:tr w:rsidR="00514CC0" w14:paraId="31AF1517" w14:textId="77777777" w:rsidTr="00F0324E">
        <w:trPr>
          <w:cnfStyle w:val="100000000000" w:firstRow="1" w:lastRow="0" w:firstColumn="0" w:lastColumn="0" w:oddVBand="0" w:evenVBand="0" w:oddHBand="0" w:evenHBand="0" w:firstRowFirstColumn="0" w:firstRowLastColumn="0" w:lastRowFirstColumn="0" w:lastRowLastColumn="0"/>
          <w:trHeight w:val="60"/>
        </w:trPr>
        <w:tc>
          <w:tcPr>
            <w:tcW w:w="9071" w:type="dxa"/>
          </w:tcPr>
          <w:p w14:paraId="33F74F6F" w14:textId="77777777" w:rsidR="00514CC0" w:rsidRPr="008A47DE" w:rsidRDefault="00E72B49">
            <w:pPr>
              <w:pStyle w:val="OWBoxheading"/>
            </w:pPr>
            <w:r w:rsidRPr="008A47DE">
              <w:t>Missing subjects: Measuring the prevalence of sexual violence against Aboriginal and Torres Strait Islander women</w:t>
            </w:r>
          </w:p>
        </w:tc>
      </w:tr>
      <w:tr w:rsidR="00514CC0" w14:paraId="48D0A4E6" w14:textId="77777777" w:rsidTr="00F0324E">
        <w:trPr>
          <w:trHeight w:val="60"/>
        </w:trPr>
        <w:tc>
          <w:tcPr>
            <w:tcW w:w="9071" w:type="dxa"/>
          </w:tcPr>
          <w:p w14:paraId="24C8DCF0" w14:textId="77777777" w:rsidR="00514CC0" w:rsidRDefault="00E72B49">
            <w:pPr>
              <w:pStyle w:val="OWTablebodyleft"/>
            </w:pPr>
            <w:r>
              <w:t>Key violence prevalence survey instruments in Australia either do not disaggregate for Indigenous status, or only measure non-sexual physical forms of violence against Aboriginal and Torres Strait Islander women. There is a glaring gap with regard to prevalence data about sexual violence (and sexual harassment) experienced by First Nations women.</w:t>
            </w:r>
          </w:p>
        </w:tc>
      </w:tr>
    </w:tbl>
    <w:p w14:paraId="13EEF194" w14:textId="3A51880B" w:rsidR="00514CC0" w:rsidRPr="000F735C" w:rsidRDefault="00E72B49" w:rsidP="00E1549C">
      <w:pPr>
        <w:pStyle w:val="Heading4"/>
        <w:rPr>
          <w:rStyle w:val="OWCharacterUmber"/>
        </w:rPr>
      </w:pPr>
      <w:r>
        <w:rPr>
          <w:rStyle w:val="OWCharacterUmber"/>
        </w:rPr>
        <w:lastRenderedPageBreak/>
        <w:t>Indicator 11.3: Proportion of women aged 18 years and older subjected</w:t>
      </w:r>
      <w:r w:rsidR="00F42FFD">
        <w:rPr>
          <w:rStyle w:val="OWCharacterUmber"/>
        </w:rPr>
        <w:t> </w:t>
      </w:r>
      <w:r>
        <w:rPr>
          <w:rStyle w:val="OWCharacterUmber"/>
        </w:rPr>
        <w:t>to physical and/or sexual violence by any perpetrator in the</w:t>
      </w:r>
      <w:r w:rsidR="00F42FFD">
        <w:rPr>
          <w:rStyle w:val="OWCharacterUmber"/>
        </w:rPr>
        <w:t> </w:t>
      </w:r>
      <w:r>
        <w:rPr>
          <w:rStyle w:val="OWCharacterUmber"/>
        </w:rPr>
        <w:t>last 12 months</w:t>
      </w:r>
      <w:r>
        <w:rPr>
          <w:rStyle w:val="OWSuperscriptUmber"/>
        </w:rPr>
        <w:footnoteReference w:id="64"/>
      </w:r>
    </w:p>
    <w:tbl>
      <w:tblPr>
        <w:tblStyle w:val="Indicatoroutlineumber"/>
        <w:tblW w:w="9072" w:type="dxa"/>
        <w:tblLayout w:type="fixed"/>
        <w:tblLook w:val="0680" w:firstRow="0" w:lastRow="0" w:firstColumn="1" w:lastColumn="0" w:noHBand="1" w:noVBand="1"/>
      </w:tblPr>
      <w:tblGrid>
        <w:gridCol w:w="2268"/>
        <w:gridCol w:w="6804"/>
      </w:tblGrid>
      <w:tr w:rsidR="00514CC0" w14:paraId="5A547C31" w14:textId="77777777" w:rsidTr="00F0324E">
        <w:trPr>
          <w:cantSplit/>
          <w:trHeight w:val="60"/>
        </w:trPr>
        <w:tc>
          <w:tcPr>
            <w:tcW w:w="2268" w:type="dxa"/>
          </w:tcPr>
          <w:p w14:paraId="50B68372" w14:textId="77777777" w:rsidR="00514CC0" w:rsidRDefault="00E72B49">
            <w:pPr>
              <w:pStyle w:val="OWTablebodyleft"/>
            </w:pPr>
            <w:r>
              <w:t>What does this indicator tell us about Monitoring domain 11: Prevalence of violence against women?</w:t>
            </w:r>
          </w:p>
        </w:tc>
        <w:tc>
          <w:tcPr>
            <w:tcW w:w="6803" w:type="dxa"/>
          </w:tcPr>
          <w:p w14:paraId="04DD8D9A" w14:textId="77777777" w:rsidR="00514CC0" w:rsidRDefault="00E72B49">
            <w:pPr>
              <w:pStyle w:val="OWTablebodyleft"/>
            </w:pPr>
            <w:r>
              <w:t xml:space="preserve">Indicators 11.1 and 11.2 allow for reporting on 12-month prevalence rates for certain forms of violence as enacted by certain categories of perpetrators (partners and non-partners). Measuring the proportion of women who have experienced physical and/or sexual violence by </w:t>
            </w:r>
            <w:r w:rsidRPr="003E209A">
              <w:rPr>
                <w:rStyle w:val="Emphasis"/>
              </w:rPr>
              <w:t>any perpetrator</w:t>
            </w:r>
            <w:r>
              <w:t xml:space="preserve"> in the last 12 months allows us to assess change to the overall extent of violence experienced by women in the short term. It also provides greater ability to disaggregate prevalence of violence against women by other socio-demographic characteristics, so that we have a stronger picture of prevalence of violence for different groups of women. For these reasons, this indicator is an addition to the </w:t>
            </w:r>
            <w:r w:rsidRPr="003E209A">
              <w:rPr>
                <w:rStyle w:val="Emphasis"/>
              </w:rPr>
              <w:t xml:space="preserve">Counting on change </w:t>
            </w:r>
            <w:r>
              <w:t>monitoring guide.</w:t>
            </w:r>
          </w:p>
          <w:p w14:paraId="428DF09D" w14:textId="77777777" w:rsidR="00514CC0" w:rsidRDefault="00E72B49">
            <w:pPr>
              <w:pStyle w:val="OWTablebodyleft"/>
            </w:pPr>
            <w:r w:rsidRPr="002D0D52">
              <w:rPr>
                <w:rStyle w:val="Strong"/>
              </w:rPr>
              <w:t xml:space="preserve">Please note: </w:t>
            </w:r>
            <w:r>
              <w:t xml:space="preserve">See also Indicator 11.5 for detailing of 12-month femicide prevalence rates. </w:t>
            </w:r>
          </w:p>
        </w:tc>
      </w:tr>
      <w:tr w:rsidR="00514CC0" w14:paraId="4C43639A" w14:textId="77777777" w:rsidTr="00F0324E">
        <w:trPr>
          <w:cantSplit/>
          <w:trHeight w:val="60"/>
        </w:trPr>
        <w:tc>
          <w:tcPr>
            <w:tcW w:w="2268" w:type="dxa"/>
          </w:tcPr>
          <w:p w14:paraId="762D56BD" w14:textId="1DA86829" w:rsidR="00514CC0" w:rsidRDefault="00E72B49">
            <w:pPr>
              <w:pStyle w:val="OWTablebodyleft"/>
            </w:pPr>
            <w:r>
              <w:t>Expected change if</w:t>
            </w:r>
            <w:r w:rsidR="00F42FFD">
              <w:t> </w:t>
            </w:r>
            <w:r>
              <w:t>high-quality programs and infrastructure for prevention of violence against women and gender equality are implemented</w:t>
            </w:r>
          </w:p>
        </w:tc>
        <w:tc>
          <w:tcPr>
            <w:tcW w:w="6803" w:type="dxa"/>
          </w:tcPr>
          <w:p w14:paraId="446582ED" w14:textId="77777777" w:rsidR="00514CC0" w:rsidRDefault="00E72B49">
            <w:pPr>
              <w:pStyle w:val="OWTablebodyleft"/>
            </w:pPr>
            <w:r>
              <w:t>Short- and medium-term: little change in the 12-month prevalence of physical and/or sexual violence by any perpetrator.</w:t>
            </w:r>
          </w:p>
          <w:p w14:paraId="055C9817" w14:textId="77777777" w:rsidR="00514CC0" w:rsidRDefault="00E72B49">
            <w:pPr>
              <w:pStyle w:val="OWTablebodyleft"/>
            </w:pPr>
            <w:r>
              <w:t>Long-term: as drivers of violence are addressed, 12-month prevalence rates of physical and sexual violence to decrease.</w:t>
            </w:r>
          </w:p>
        </w:tc>
      </w:tr>
      <w:tr w:rsidR="00514CC0" w14:paraId="132A5EFF" w14:textId="77777777" w:rsidTr="00F0324E">
        <w:trPr>
          <w:cantSplit/>
          <w:trHeight w:val="60"/>
        </w:trPr>
        <w:tc>
          <w:tcPr>
            <w:tcW w:w="2268" w:type="dxa"/>
          </w:tcPr>
          <w:p w14:paraId="5050DC18" w14:textId="77777777" w:rsidR="00514CC0" w:rsidRDefault="00E72B49">
            <w:pPr>
              <w:pStyle w:val="OWTablebodyleft"/>
            </w:pPr>
            <w:r>
              <w:t>Data source(s)</w:t>
            </w:r>
          </w:p>
        </w:tc>
        <w:tc>
          <w:tcPr>
            <w:tcW w:w="6803" w:type="dxa"/>
          </w:tcPr>
          <w:p w14:paraId="491853B1" w14:textId="77777777" w:rsidR="00514CC0" w:rsidRDefault="00E72B49" w:rsidP="002C2EC7">
            <w:pPr>
              <w:pStyle w:val="OWTablenumberdigit"/>
              <w:numPr>
                <w:ilvl w:val="0"/>
                <w:numId w:val="40"/>
              </w:numPr>
            </w:pPr>
            <w:r>
              <w:t>Personal Safety Survey (PSS) 2012 and 2016, ABS</w:t>
            </w:r>
          </w:p>
          <w:p w14:paraId="454F9860" w14:textId="77777777" w:rsidR="00514CC0" w:rsidRDefault="00E72B49">
            <w:pPr>
              <w:pStyle w:val="OWTablenumberdigit"/>
            </w:pPr>
            <w:r>
              <w:t>National Aboriginal and Torres Strait Islander Social Survey (NATSISS) 2008 and 2014–15, ABS</w:t>
            </w:r>
          </w:p>
          <w:p w14:paraId="19956402" w14:textId="77777777" w:rsidR="00514CC0" w:rsidRDefault="00E72B49">
            <w:pPr>
              <w:pStyle w:val="OWTablenumberdigit"/>
            </w:pPr>
            <w:r>
              <w:t>National Aboriginal and Torres Strait Islander Health Survey (NATSIHS) 2018–19, ABS</w:t>
            </w:r>
          </w:p>
        </w:tc>
      </w:tr>
      <w:tr w:rsidR="00514CC0" w14:paraId="5A3FC749" w14:textId="77777777" w:rsidTr="00F0324E">
        <w:trPr>
          <w:cantSplit/>
          <w:trHeight w:val="60"/>
        </w:trPr>
        <w:tc>
          <w:tcPr>
            <w:tcW w:w="2268" w:type="dxa"/>
          </w:tcPr>
          <w:p w14:paraId="5B8B0DF0" w14:textId="77777777" w:rsidR="00514CC0" w:rsidRDefault="00E72B49">
            <w:pPr>
              <w:pStyle w:val="OWTablebodyleft"/>
            </w:pPr>
            <w:r>
              <w:lastRenderedPageBreak/>
              <w:t>Change over time summary: short-term change revealed by the data</w:t>
            </w:r>
          </w:p>
        </w:tc>
        <w:tc>
          <w:tcPr>
            <w:tcW w:w="6803" w:type="dxa"/>
          </w:tcPr>
          <w:p w14:paraId="00A29DF6" w14:textId="77777777" w:rsidR="00514CC0" w:rsidRDefault="00E72B49">
            <w:pPr>
              <w:pStyle w:val="OWTablebodyleft"/>
            </w:pPr>
            <w:r>
              <w:t>Between the years 2012 and 2016, there has been statistically significant a decrease in 12-month physical violence prevalence rates, while sexual violence prevalence rates have increased (with statistical significance).</w:t>
            </w:r>
          </w:p>
          <w:p w14:paraId="79929DD0" w14:textId="77777777" w:rsidR="00514CC0" w:rsidRDefault="00E72B49">
            <w:pPr>
              <w:pStyle w:val="OWTablebodyleft"/>
            </w:pPr>
            <w:r>
              <w:t>Twelve-month rates of physical and/or sexual violence against women with disability or long-term health conditions have remained high and consistent between 2012 and 2016.</w:t>
            </w:r>
          </w:p>
          <w:p w14:paraId="08BD1E4B" w14:textId="77777777" w:rsidR="00514CC0" w:rsidRDefault="00E72B49">
            <w:pPr>
              <w:pStyle w:val="OWTablebodyleft"/>
            </w:pPr>
            <w:r>
              <w:t>Prevalence of 12-month rates of physical violence against Aboriginal and Torres Strait Islander women (as measured through the NATSISS) have decreased between 2008 and 2014–15. However, rates of physical violence against Aboriginal and Torres Strait Islander women are still disproportionately high as compared with whole-of-population results. This is confirmed by the results of the 2018–19 NATSISS.</w:t>
            </w:r>
          </w:p>
        </w:tc>
      </w:tr>
      <w:tr w:rsidR="00514CC0" w14:paraId="3409BCB9" w14:textId="77777777" w:rsidTr="00F0324E">
        <w:trPr>
          <w:cantSplit/>
          <w:trHeight w:val="60"/>
        </w:trPr>
        <w:tc>
          <w:tcPr>
            <w:tcW w:w="2268" w:type="dxa"/>
          </w:tcPr>
          <w:p w14:paraId="5BCD2385" w14:textId="77777777" w:rsidR="00514CC0" w:rsidRDefault="00E72B49">
            <w:pPr>
              <w:pStyle w:val="OWTablebodyleft"/>
            </w:pPr>
            <w:r>
              <w:t>Do the results confirm or run contrary to expected change?</w:t>
            </w:r>
          </w:p>
        </w:tc>
        <w:tc>
          <w:tcPr>
            <w:tcW w:w="6803" w:type="dxa"/>
          </w:tcPr>
          <w:p w14:paraId="67D883A6" w14:textId="098BABA9" w:rsidR="00514CC0" w:rsidRDefault="00E72B49">
            <w:pPr>
              <w:pStyle w:val="OWTablebodyleft"/>
            </w:pPr>
            <w:r>
              <w:t>At a whole-of-population level (PSS), results largely confirm expected change, though a small decrease in the 12-month prevalence rate for physical and/or sexual violence against all women by any perpetrator is noted. However, the prevalence rate</w:t>
            </w:r>
            <w:r w:rsidR="00F42FFD">
              <w:t> </w:t>
            </w:r>
            <w:r>
              <w:t>for sexual violence by any perpetrator has increased, as has the 12-month rate of sexual assault of young women aged between 18 and 34.</w:t>
            </w:r>
          </w:p>
          <w:p w14:paraId="783F6B71" w14:textId="51AF67A8" w:rsidR="00514CC0" w:rsidRDefault="00E72B49">
            <w:pPr>
              <w:pStyle w:val="OWTablebodyleft"/>
            </w:pPr>
            <w:r>
              <w:t>The decrease in the 12-month prevalence rate of physical violence against Aboriginal and Torres Strait Islander women (NATSISS) runs</w:t>
            </w:r>
            <w:r w:rsidR="00F42FFD">
              <w:t> </w:t>
            </w:r>
            <w:r>
              <w:t>contrary to expected change. However, it must be noted that</w:t>
            </w:r>
            <w:r w:rsidR="00F42FFD">
              <w:t> </w:t>
            </w:r>
            <w:r>
              <w:t>prevalence rates still remain disproportionately higher as compared with whole-of-population rates, and the impacts more severe. Moreover, this data is limited in a number of ways, not least being that it does not measure sexual violence, emotional abuse or lifetime prevalence. Disproportionately high rates of</w:t>
            </w:r>
            <w:r w:rsidR="00F42FFD">
              <w:t> </w:t>
            </w:r>
            <w:r>
              <w:t>Aboriginal and Torres Strait Islander women’s 12-month experiences of physical violence are confirmed by the NATSISS.</w:t>
            </w:r>
          </w:p>
        </w:tc>
      </w:tr>
      <w:tr w:rsidR="00514CC0" w14:paraId="7999254F" w14:textId="77777777" w:rsidTr="00F0324E">
        <w:trPr>
          <w:cantSplit/>
          <w:trHeight w:val="60"/>
        </w:trPr>
        <w:tc>
          <w:tcPr>
            <w:tcW w:w="2268" w:type="dxa"/>
          </w:tcPr>
          <w:p w14:paraId="7499C39F" w14:textId="77777777" w:rsidR="00514CC0" w:rsidRDefault="00E72B49">
            <w:pPr>
              <w:pStyle w:val="OWTablebodyleft"/>
            </w:pPr>
            <w:r>
              <w:t>Gaps in existing data</w:t>
            </w:r>
          </w:p>
        </w:tc>
        <w:tc>
          <w:tcPr>
            <w:tcW w:w="6803" w:type="dxa"/>
          </w:tcPr>
          <w:p w14:paraId="49F2905D" w14:textId="77777777" w:rsidR="00514CC0" w:rsidRDefault="00E72B49">
            <w:pPr>
              <w:pStyle w:val="OWTablebodyleft"/>
            </w:pPr>
            <w:r>
              <w:t>The available data does not tell us about Aboriginal and Torres Strait Islander women’s 12-month experiences of sexual violence. PSS data also has not proved sensitive to revealing statistically significant differences in the experiences of violence of migrant and non-migrant women.</w:t>
            </w:r>
          </w:p>
        </w:tc>
      </w:tr>
    </w:tbl>
    <w:p w14:paraId="483D5298" w14:textId="1E7A8857" w:rsidR="00514CC0" w:rsidRDefault="00E72B49" w:rsidP="00620E3F">
      <w:pPr>
        <w:pStyle w:val="OWBodytextlargespaceabove"/>
      </w:pPr>
      <w:r w:rsidRPr="00841735">
        <w:rPr>
          <w:rStyle w:val="Strong"/>
        </w:rPr>
        <w:t>In both 2012 and 2016, about one in 20 women in Australia had experienced at least one incident of physical and/or sexual violence (by any perpetrator) in the previous 12 months. Notably, the 12-month prevalence rate of sexual violence against women by any perpetrator has registered a statistically significant increase</w:t>
      </w:r>
      <w:r>
        <w:t xml:space="preserve">, from 1.2% in 2012 to 1.8% in 2016 (see Table </w:t>
      </w:r>
      <w:r w:rsidR="0017588F">
        <w:t>40</w:t>
      </w:r>
      <w:r>
        <w:t xml:space="preserve"> below). Women’s 12-month experiences of physical violence have demonstrated a statistically significant decline, from 4.6% in 2016 to 3.5% in 2012.</w:t>
      </w:r>
    </w:p>
    <w:p w14:paraId="73965B19" w14:textId="08F46E56" w:rsidR="00514CC0" w:rsidRDefault="00E72B49">
      <w:pPr>
        <w:pStyle w:val="OWTablecaption"/>
      </w:pPr>
      <w:r>
        <w:lastRenderedPageBreak/>
        <w:t xml:space="preserve">Table </w:t>
      </w:r>
      <w:r w:rsidR="0017588F">
        <w:t>40</w:t>
      </w:r>
      <w:r>
        <w:t>: Prevalence of physical and sexual violence against women in the past 12 months by any perpetrator, 2012 and 2016, proportion of women (%)</w:t>
      </w:r>
    </w:p>
    <w:tbl>
      <w:tblPr>
        <w:tblStyle w:val="Datatableumber"/>
        <w:tblW w:w="9072" w:type="dxa"/>
        <w:tblLayout w:type="fixed"/>
        <w:tblLook w:val="06A0" w:firstRow="1" w:lastRow="0" w:firstColumn="1" w:lastColumn="0" w:noHBand="1" w:noVBand="1"/>
      </w:tblPr>
      <w:tblGrid>
        <w:gridCol w:w="3025"/>
        <w:gridCol w:w="3023"/>
        <w:gridCol w:w="3024"/>
      </w:tblGrid>
      <w:tr w:rsidR="00514CC0" w14:paraId="4545BB99" w14:textId="77777777" w:rsidTr="00F0324E">
        <w:trPr>
          <w:cnfStyle w:val="100000000000" w:firstRow="1" w:lastRow="0" w:firstColumn="0" w:lastColumn="0" w:oddVBand="0" w:evenVBand="0" w:oddHBand="0" w:evenHBand="0" w:firstRowFirstColumn="0" w:firstRowLastColumn="0" w:lastRowFirstColumn="0" w:lastRowLastColumn="0"/>
          <w:cantSplit/>
          <w:trHeight w:val="60"/>
          <w:tblHeader/>
        </w:trPr>
        <w:tc>
          <w:tcPr>
            <w:tcW w:w="3024" w:type="dxa"/>
          </w:tcPr>
          <w:p w14:paraId="6A31C2AB" w14:textId="389C0C5D" w:rsidR="00514CC0" w:rsidRPr="008A47DE" w:rsidRDefault="00E72B49">
            <w:pPr>
              <w:pStyle w:val="OWTablecolumnheadleft"/>
            </w:pPr>
            <w:r w:rsidRPr="008A47DE">
              <w:t>Women’s 12-month experiences of violence by</w:t>
            </w:r>
            <w:r w:rsidR="00EB54F7">
              <w:t> </w:t>
            </w:r>
            <w:r w:rsidRPr="008A47DE">
              <w:t>any perpetrator</w:t>
            </w:r>
          </w:p>
        </w:tc>
        <w:tc>
          <w:tcPr>
            <w:tcW w:w="3023" w:type="dxa"/>
          </w:tcPr>
          <w:p w14:paraId="12060C3D" w14:textId="77777777" w:rsidR="00514CC0" w:rsidRPr="008A47DE" w:rsidRDefault="00E72B49">
            <w:pPr>
              <w:pStyle w:val="OWTablecolumnheadcentre"/>
            </w:pPr>
            <w:r w:rsidRPr="008A47DE">
              <w:t>2012</w:t>
            </w:r>
          </w:p>
        </w:tc>
        <w:tc>
          <w:tcPr>
            <w:tcW w:w="3024" w:type="dxa"/>
          </w:tcPr>
          <w:p w14:paraId="0D104C24" w14:textId="77777777" w:rsidR="00514CC0" w:rsidRPr="008A47DE" w:rsidRDefault="00E72B49">
            <w:pPr>
              <w:pStyle w:val="OWTablecolumnheadcentre"/>
            </w:pPr>
            <w:r w:rsidRPr="008A47DE">
              <w:t>2016</w:t>
            </w:r>
          </w:p>
        </w:tc>
      </w:tr>
      <w:tr w:rsidR="00514CC0" w14:paraId="51B0ED50" w14:textId="77777777" w:rsidTr="00F0324E">
        <w:trPr>
          <w:cantSplit/>
          <w:trHeight w:val="60"/>
        </w:trPr>
        <w:tc>
          <w:tcPr>
            <w:tcW w:w="3024" w:type="dxa"/>
          </w:tcPr>
          <w:p w14:paraId="1F3AB11A" w14:textId="77777777" w:rsidR="00514CC0" w:rsidRDefault="00E72B49">
            <w:pPr>
              <w:pStyle w:val="OWTablebodyleft"/>
            </w:pPr>
            <w:r w:rsidRPr="002D0D52">
              <w:rPr>
                <w:rStyle w:val="Strong"/>
              </w:rPr>
              <w:t>Total sexual violence</w:t>
            </w:r>
          </w:p>
        </w:tc>
        <w:tc>
          <w:tcPr>
            <w:tcW w:w="3023" w:type="dxa"/>
          </w:tcPr>
          <w:p w14:paraId="29A90817" w14:textId="77777777" w:rsidR="00514CC0" w:rsidRDefault="00E72B49">
            <w:pPr>
              <w:pStyle w:val="OWTablebodycentre"/>
            </w:pPr>
            <w:r w:rsidRPr="002D0D52">
              <w:rPr>
                <w:rStyle w:val="Strong"/>
              </w:rPr>
              <w:t>1.2%</w:t>
            </w:r>
          </w:p>
        </w:tc>
        <w:tc>
          <w:tcPr>
            <w:tcW w:w="3024" w:type="dxa"/>
          </w:tcPr>
          <w:p w14:paraId="54A8256F" w14:textId="18A929B3" w:rsidR="00514CC0" w:rsidRDefault="00E72B49">
            <w:pPr>
              <w:pStyle w:val="OWTablebodycentre"/>
            </w:pPr>
            <w:r w:rsidRPr="002D0D52">
              <w:rPr>
                <w:rStyle w:val="Strong"/>
              </w:rPr>
              <w:t>1.8%</w:t>
            </w:r>
            <w:r w:rsidR="005B2381">
              <w:rPr>
                <w:rStyle w:val="Strong"/>
              </w:rPr>
              <w:t>^</w:t>
            </w:r>
          </w:p>
        </w:tc>
      </w:tr>
      <w:tr w:rsidR="00514CC0" w14:paraId="38B382BA" w14:textId="77777777" w:rsidTr="00F0324E">
        <w:trPr>
          <w:cantSplit/>
          <w:trHeight w:val="60"/>
        </w:trPr>
        <w:tc>
          <w:tcPr>
            <w:tcW w:w="3024" w:type="dxa"/>
          </w:tcPr>
          <w:p w14:paraId="0B8CF5AD" w14:textId="77777777" w:rsidR="00514CC0" w:rsidRDefault="00E72B49">
            <w:pPr>
              <w:pStyle w:val="OWTablebodyindent1"/>
            </w:pPr>
            <w:r>
              <w:t>Sexual assault</w:t>
            </w:r>
          </w:p>
        </w:tc>
        <w:tc>
          <w:tcPr>
            <w:tcW w:w="3023" w:type="dxa"/>
          </w:tcPr>
          <w:p w14:paraId="39B998A2" w14:textId="77777777" w:rsidR="00514CC0" w:rsidRDefault="00E72B49">
            <w:pPr>
              <w:pStyle w:val="OWTablebodycentre"/>
            </w:pPr>
            <w:r>
              <w:t>1.0%</w:t>
            </w:r>
          </w:p>
        </w:tc>
        <w:tc>
          <w:tcPr>
            <w:tcW w:w="3024" w:type="dxa"/>
          </w:tcPr>
          <w:p w14:paraId="20214DD4" w14:textId="33F619BA" w:rsidR="00514CC0" w:rsidRDefault="00E72B49">
            <w:pPr>
              <w:pStyle w:val="OWTablebodycentre"/>
            </w:pPr>
            <w:r>
              <w:t>1.6%</w:t>
            </w:r>
            <w:r w:rsidR="005B2381">
              <w:t>^</w:t>
            </w:r>
          </w:p>
        </w:tc>
      </w:tr>
      <w:tr w:rsidR="00514CC0" w14:paraId="50BF276F" w14:textId="77777777" w:rsidTr="00F0324E">
        <w:trPr>
          <w:cantSplit/>
          <w:trHeight w:val="60"/>
        </w:trPr>
        <w:tc>
          <w:tcPr>
            <w:tcW w:w="3024" w:type="dxa"/>
          </w:tcPr>
          <w:p w14:paraId="59AAE2B3" w14:textId="77777777" w:rsidR="00514CC0" w:rsidRDefault="00E72B49">
            <w:pPr>
              <w:pStyle w:val="OWTablebodyindent1"/>
            </w:pPr>
            <w:r>
              <w:t>Sexual threat</w:t>
            </w:r>
          </w:p>
        </w:tc>
        <w:tc>
          <w:tcPr>
            <w:tcW w:w="3023" w:type="dxa"/>
          </w:tcPr>
          <w:p w14:paraId="0BC7D1A9" w14:textId="77777777" w:rsidR="00514CC0" w:rsidRDefault="00E72B49">
            <w:pPr>
              <w:pStyle w:val="OWTablebodycentre"/>
            </w:pPr>
            <w:r>
              <w:t>Figure has a high relative standard of error and therefore is not used</w:t>
            </w:r>
          </w:p>
        </w:tc>
        <w:tc>
          <w:tcPr>
            <w:tcW w:w="3024" w:type="dxa"/>
          </w:tcPr>
          <w:p w14:paraId="0BC2F1B3" w14:textId="77777777" w:rsidR="00514CC0" w:rsidRDefault="00E72B49">
            <w:pPr>
              <w:pStyle w:val="OWTablebodycentre"/>
            </w:pPr>
            <w:r>
              <w:t>0.4%</w:t>
            </w:r>
          </w:p>
        </w:tc>
      </w:tr>
      <w:tr w:rsidR="00514CC0" w14:paraId="18EBEA52" w14:textId="77777777" w:rsidTr="00F0324E">
        <w:trPr>
          <w:cantSplit/>
          <w:trHeight w:val="60"/>
        </w:trPr>
        <w:tc>
          <w:tcPr>
            <w:tcW w:w="3024" w:type="dxa"/>
          </w:tcPr>
          <w:p w14:paraId="5058AB22" w14:textId="77777777" w:rsidR="00514CC0" w:rsidRDefault="00E72B49">
            <w:pPr>
              <w:pStyle w:val="OWTablebodyleft"/>
            </w:pPr>
            <w:r w:rsidRPr="002D0D52">
              <w:rPr>
                <w:rStyle w:val="Strong"/>
              </w:rPr>
              <w:t>Total physical violence</w:t>
            </w:r>
          </w:p>
        </w:tc>
        <w:tc>
          <w:tcPr>
            <w:tcW w:w="3023" w:type="dxa"/>
          </w:tcPr>
          <w:p w14:paraId="74AA2113" w14:textId="77777777" w:rsidR="00514CC0" w:rsidRDefault="00E72B49">
            <w:pPr>
              <w:pStyle w:val="OWTablebodycentre"/>
            </w:pPr>
            <w:r w:rsidRPr="002D0D52">
              <w:rPr>
                <w:rStyle w:val="Strong"/>
              </w:rPr>
              <w:t>4.6%</w:t>
            </w:r>
          </w:p>
        </w:tc>
        <w:tc>
          <w:tcPr>
            <w:tcW w:w="3024" w:type="dxa"/>
          </w:tcPr>
          <w:p w14:paraId="3DC3BB0E" w14:textId="1028979E" w:rsidR="00514CC0" w:rsidRDefault="00E72B49">
            <w:pPr>
              <w:pStyle w:val="OWTablebodycentre"/>
            </w:pPr>
            <w:r w:rsidRPr="002D0D52">
              <w:rPr>
                <w:rStyle w:val="Strong"/>
              </w:rPr>
              <w:t>3.5%</w:t>
            </w:r>
            <w:r w:rsidR="005B2381">
              <w:rPr>
                <w:rStyle w:val="Strong"/>
              </w:rPr>
              <w:t>^</w:t>
            </w:r>
          </w:p>
        </w:tc>
      </w:tr>
      <w:tr w:rsidR="00514CC0" w14:paraId="334C5584" w14:textId="77777777" w:rsidTr="00F0324E">
        <w:trPr>
          <w:cantSplit/>
          <w:trHeight w:val="60"/>
        </w:trPr>
        <w:tc>
          <w:tcPr>
            <w:tcW w:w="3024" w:type="dxa"/>
          </w:tcPr>
          <w:p w14:paraId="2D890449" w14:textId="77777777" w:rsidR="00514CC0" w:rsidRDefault="00E72B49">
            <w:pPr>
              <w:pStyle w:val="OWTablebodyindent1"/>
            </w:pPr>
            <w:r>
              <w:t>Physical assault</w:t>
            </w:r>
          </w:p>
        </w:tc>
        <w:tc>
          <w:tcPr>
            <w:tcW w:w="3023" w:type="dxa"/>
          </w:tcPr>
          <w:p w14:paraId="7C763CB5" w14:textId="77777777" w:rsidR="00514CC0" w:rsidRDefault="00E72B49">
            <w:pPr>
              <w:pStyle w:val="OWTablebodycentre"/>
            </w:pPr>
            <w:r>
              <w:t>3.0%</w:t>
            </w:r>
          </w:p>
        </w:tc>
        <w:tc>
          <w:tcPr>
            <w:tcW w:w="3024" w:type="dxa"/>
          </w:tcPr>
          <w:p w14:paraId="5F03E3F0" w14:textId="77777777" w:rsidR="00514CC0" w:rsidRDefault="00E72B49">
            <w:pPr>
              <w:pStyle w:val="OWTablebodycentre"/>
            </w:pPr>
            <w:r>
              <w:t>2.7%</w:t>
            </w:r>
          </w:p>
        </w:tc>
      </w:tr>
      <w:tr w:rsidR="00514CC0" w14:paraId="080D5BD6" w14:textId="77777777" w:rsidTr="00F0324E">
        <w:trPr>
          <w:cantSplit/>
          <w:trHeight w:val="60"/>
        </w:trPr>
        <w:tc>
          <w:tcPr>
            <w:tcW w:w="3024" w:type="dxa"/>
          </w:tcPr>
          <w:p w14:paraId="12796EF0" w14:textId="77777777" w:rsidR="00514CC0" w:rsidRDefault="00E72B49">
            <w:pPr>
              <w:pStyle w:val="OWTablebodyindent1"/>
            </w:pPr>
            <w:r>
              <w:t>Physical threat</w:t>
            </w:r>
          </w:p>
        </w:tc>
        <w:tc>
          <w:tcPr>
            <w:tcW w:w="3023" w:type="dxa"/>
          </w:tcPr>
          <w:p w14:paraId="57A1B9B0" w14:textId="77777777" w:rsidR="00514CC0" w:rsidRDefault="00E72B49">
            <w:pPr>
              <w:pStyle w:val="OWTablebodycentre"/>
            </w:pPr>
            <w:r>
              <w:t>2.2%</w:t>
            </w:r>
          </w:p>
        </w:tc>
        <w:tc>
          <w:tcPr>
            <w:tcW w:w="3024" w:type="dxa"/>
          </w:tcPr>
          <w:p w14:paraId="725D803B" w14:textId="75B94707" w:rsidR="00514CC0" w:rsidRDefault="00E72B49">
            <w:pPr>
              <w:pStyle w:val="OWTablebodycentre"/>
            </w:pPr>
            <w:r>
              <w:t>1.4%</w:t>
            </w:r>
            <w:r w:rsidR="005B2381">
              <w:t>^</w:t>
            </w:r>
          </w:p>
        </w:tc>
      </w:tr>
      <w:tr w:rsidR="00514CC0" w14:paraId="15D6DCA4" w14:textId="77777777" w:rsidTr="00F0324E">
        <w:trPr>
          <w:cantSplit/>
          <w:trHeight w:val="60"/>
        </w:trPr>
        <w:tc>
          <w:tcPr>
            <w:tcW w:w="3024" w:type="dxa"/>
          </w:tcPr>
          <w:p w14:paraId="0388D2B9" w14:textId="77777777" w:rsidR="00514CC0" w:rsidRDefault="00E72B49">
            <w:pPr>
              <w:pStyle w:val="OWTablebodyleft"/>
            </w:pPr>
            <w:r w:rsidRPr="002D0D52">
              <w:rPr>
                <w:rStyle w:val="Strong"/>
              </w:rPr>
              <w:t>Total all physical and sexual violence</w:t>
            </w:r>
          </w:p>
        </w:tc>
        <w:tc>
          <w:tcPr>
            <w:tcW w:w="3023" w:type="dxa"/>
          </w:tcPr>
          <w:p w14:paraId="3308BC9A" w14:textId="77777777" w:rsidR="00514CC0" w:rsidRDefault="00E72B49">
            <w:pPr>
              <w:pStyle w:val="OWTablebodycentre"/>
            </w:pPr>
            <w:r w:rsidRPr="002D0D52">
              <w:rPr>
                <w:rStyle w:val="Strong"/>
              </w:rPr>
              <w:t>5.3%</w:t>
            </w:r>
          </w:p>
        </w:tc>
        <w:tc>
          <w:tcPr>
            <w:tcW w:w="3024" w:type="dxa"/>
          </w:tcPr>
          <w:p w14:paraId="71383F07" w14:textId="77777777" w:rsidR="00514CC0" w:rsidRDefault="00E72B49">
            <w:pPr>
              <w:pStyle w:val="OWTablebodycentre"/>
            </w:pPr>
            <w:r w:rsidRPr="002D0D52">
              <w:rPr>
                <w:rStyle w:val="Strong"/>
              </w:rPr>
              <w:t>4.7%</w:t>
            </w:r>
          </w:p>
        </w:tc>
      </w:tr>
    </w:tbl>
    <w:p w14:paraId="6CF452B8" w14:textId="77777777" w:rsidR="00514CC0" w:rsidRDefault="00E72B49">
      <w:pPr>
        <w:pStyle w:val="OWTablefootnote"/>
      </w:pPr>
      <w:r>
        <w:t>Sources: ABS, PSS 2012 and PSS 2016</w:t>
      </w:r>
    </w:p>
    <w:p w14:paraId="74163EC6" w14:textId="34CB157F" w:rsidR="00514CC0" w:rsidRDefault="005B2381">
      <w:pPr>
        <w:pStyle w:val="OWTablefootnoteindent"/>
      </w:pPr>
      <w:r>
        <w:t>^</w:t>
      </w:r>
      <w:r w:rsidR="00E72B49">
        <w:tab/>
        <w:t>Denotes a statistically significant change between survey waves</w:t>
      </w:r>
    </w:p>
    <w:p w14:paraId="14731B5B" w14:textId="77777777" w:rsidR="00514CC0" w:rsidRDefault="00E72B49" w:rsidP="00F868FE">
      <w:pPr>
        <w:pStyle w:val="Heading5"/>
      </w:pPr>
      <w:r>
        <w:t>Age</w:t>
      </w:r>
    </w:p>
    <w:p w14:paraId="1EED3B6A" w14:textId="53FC7A9A" w:rsidR="00514CC0" w:rsidRDefault="00E72B49">
      <w:pPr>
        <w:pStyle w:val="BodyText"/>
      </w:pPr>
      <w:r>
        <w:t xml:space="preserve">Analysis of the PSS 2016 data on 12-month prevalence of sexual and physical violence against women by age groups reveals that younger women are at higher risk of experiencing sexual violence, and physical and/or sexual violence (assault and threat), than women of other age groups (see Table </w:t>
      </w:r>
      <w:r w:rsidR="0017588F">
        <w:t>41</w:t>
      </w:r>
      <w:r>
        <w:t>, below).</w:t>
      </w:r>
    </w:p>
    <w:p w14:paraId="0E0D24AE" w14:textId="320862A4" w:rsidR="00514CC0" w:rsidRDefault="00E72B49">
      <w:pPr>
        <w:pStyle w:val="OWTablecaption"/>
      </w:pPr>
      <w:r>
        <w:t xml:space="preserve">Table </w:t>
      </w:r>
      <w:r w:rsidR="0017588F">
        <w:t>41</w:t>
      </w:r>
      <w:r>
        <w:t>: 12-month prevalence of physical and sexual violence against women, by age group, 2016, % of women</w:t>
      </w:r>
    </w:p>
    <w:tbl>
      <w:tblPr>
        <w:tblStyle w:val="Datatableumber"/>
        <w:tblW w:w="9072" w:type="dxa"/>
        <w:tblLayout w:type="fixed"/>
        <w:tblLook w:val="06A0" w:firstRow="1" w:lastRow="0" w:firstColumn="1" w:lastColumn="0" w:noHBand="1" w:noVBand="1"/>
      </w:tblPr>
      <w:tblGrid>
        <w:gridCol w:w="2269"/>
        <w:gridCol w:w="3401"/>
        <w:gridCol w:w="3402"/>
      </w:tblGrid>
      <w:tr w:rsidR="00514CC0" w14:paraId="073AA185" w14:textId="77777777" w:rsidTr="00F0324E">
        <w:trPr>
          <w:cnfStyle w:val="100000000000" w:firstRow="1" w:lastRow="0" w:firstColumn="0" w:lastColumn="0" w:oddVBand="0" w:evenVBand="0" w:oddHBand="0" w:evenHBand="0" w:firstRowFirstColumn="0" w:firstRowLastColumn="0" w:lastRowFirstColumn="0" w:lastRowLastColumn="0"/>
          <w:cantSplit/>
          <w:trHeight w:val="60"/>
          <w:tblHeader/>
        </w:trPr>
        <w:tc>
          <w:tcPr>
            <w:tcW w:w="2268" w:type="dxa"/>
          </w:tcPr>
          <w:p w14:paraId="2944F284" w14:textId="77777777" w:rsidR="00514CC0" w:rsidRDefault="00E72B49">
            <w:pPr>
              <w:pStyle w:val="OWTablecolumnheadleft"/>
            </w:pPr>
            <w:r>
              <w:t>Age group</w:t>
            </w:r>
          </w:p>
        </w:tc>
        <w:tc>
          <w:tcPr>
            <w:tcW w:w="3401" w:type="dxa"/>
          </w:tcPr>
          <w:p w14:paraId="55187A7C" w14:textId="77777777" w:rsidR="00514CC0" w:rsidRDefault="00E72B49">
            <w:pPr>
              <w:pStyle w:val="OWTablecolumnheadcentre"/>
            </w:pPr>
            <w:r>
              <w:t>Sexual violence (including assault and threats)</w:t>
            </w:r>
          </w:p>
        </w:tc>
        <w:tc>
          <w:tcPr>
            <w:tcW w:w="3402" w:type="dxa"/>
          </w:tcPr>
          <w:p w14:paraId="271FBA4B" w14:textId="77777777" w:rsidR="00514CC0" w:rsidRDefault="00E72B49">
            <w:pPr>
              <w:pStyle w:val="OWTablecolumnheadcentre"/>
            </w:pPr>
            <w:r>
              <w:t>All physical and sexual violence (including assault and threats)</w:t>
            </w:r>
          </w:p>
        </w:tc>
      </w:tr>
      <w:tr w:rsidR="00514CC0" w14:paraId="418B3B64" w14:textId="77777777" w:rsidTr="00F0324E">
        <w:trPr>
          <w:cantSplit/>
          <w:trHeight w:val="60"/>
        </w:trPr>
        <w:tc>
          <w:tcPr>
            <w:tcW w:w="2268" w:type="dxa"/>
          </w:tcPr>
          <w:p w14:paraId="6F532FB9" w14:textId="77777777" w:rsidR="00514CC0" w:rsidRDefault="00E72B49" w:rsidP="0051280E">
            <w:pPr>
              <w:pStyle w:val="OWTablebodyleft"/>
              <w:spacing w:before="60" w:after="80"/>
            </w:pPr>
            <w:r>
              <w:t>18–24</w:t>
            </w:r>
          </w:p>
        </w:tc>
        <w:tc>
          <w:tcPr>
            <w:tcW w:w="3401" w:type="dxa"/>
          </w:tcPr>
          <w:p w14:paraId="655AC630" w14:textId="77777777" w:rsidR="00514CC0" w:rsidRDefault="00E72B49" w:rsidP="0051280E">
            <w:pPr>
              <w:pStyle w:val="OWTablebodycentre"/>
              <w:spacing w:before="60" w:after="80"/>
            </w:pPr>
            <w:r>
              <w:t>5.9%</w:t>
            </w:r>
          </w:p>
        </w:tc>
        <w:tc>
          <w:tcPr>
            <w:tcW w:w="3402" w:type="dxa"/>
          </w:tcPr>
          <w:p w14:paraId="6672148C" w14:textId="77777777" w:rsidR="00514CC0" w:rsidRDefault="00E72B49" w:rsidP="0051280E">
            <w:pPr>
              <w:pStyle w:val="OWTablebodycentre"/>
              <w:spacing w:before="60" w:after="80"/>
            </w:pPr>
            <w:r>
              <w:t>11.7%</w:t>
            </w:r>
          </w:p>
        </w:tc>
      </w:tr>
      <w:tr w:rsidR="00514CC0" w14:paraId="4E9901AE" w14:textId="77777777" w:rsidTr="00F0324E">
        <w:trPr>
          <w:cantSplit/>
          <w:trHeight w:val="60"/>
        </w:trPr>
        <w:tc>
          <w:tcPr>
            <w:tcW w:w="2268" w:type="dxa"/>
          </w:tcPr>
          <w:p w14:paraId="157240D3" w14:textId="77777777" w:rsidR="00514CC0" w:rsidRDefault="00E72B49" w:rsidP="0051280E">
            <w:pPr>
              <w:pStyle w:val="OWTablebodyleft"/>
              <w:spacing w:before="60" w:after="80"/>
            </w:pPr>
            <w:r>
              <w:t>25–34</w:t>
            </w:r>
          </w:p>
        </w:tc>
        <w:tc>
          <w:tcPr>
            <w:tcW w:w="3401" w:type="dxa"/>
          </w:tcPr>
          <w:p w14:paraId="5B2D9BCB" w14:textId="77777777" w:rsidR="00514CC0" w:rsidRDefault="00E72B49" w:rsidP="0051280E">
            <w:pPr>
              <w:pStyle w:val="OWTablebodycentre"/>
              <w:spacing w:before="60" w:after="80"/>
            </w:pPr>
            <w:r>
              <w:t>3.5%</w:t>
            </w:r>
          </w:p>
        </w:tc>
        <w:tc>
          <w:tcPr>
            <w:tcW w:w="3402" w:type="dxa"/>
          </w:tcPr>
          <w:p w14:paraId="7FBE9CF9" w14:textId="77777777" w:rsidR="00514CC0" w:rsidRDefault="00E72B49" w:rsidP="0051280E">
            <w:pPr>
              <w:pStyle w:val="OWTablebodycentre"/>
              <w:spacing w:before="60" w:after="80"/>
            </w:pPr>
            <w:r>
              <w:t>7.0%</w:t>
            </w:r>
          </w:p>
        </w:tc>
      </w:tr>
      <w:tr w:rsidR="00514CC0" w14:paraId="5D3391CC" w14:textId="77777777" w:rsidTr="00F0324E">
        <w:trPr>
          <w:cantSplit/>
          <w:trHeight w:val="60"/>
        </w:trPr>
        <w:tc>
          <w:tcPr>
            <w:tcW w:w="2268" w:type="dxa"/>
          </w:tcPr>
          <w:p w14:paraId="5EE2488D" w14:textId="77777777" w:rsidR="00514CC0" w:rsidRDefault="00E72B49" w:rsidP="0051280E">
            <w:pPr>
              <w:pStyle w:val="OWTablebodyleft"/>
              <w:spacing w:before="60" w:after="80"/>
            </w:pPr>
            <w:r>
              <w:t>35–44</w:t>
            </w:r>
          </w:p>
        </w:tc>
        <w:tc>
          <w:tcPr>
            <w:tcW w:w="3401" w:type="dxa"/>
          </w:tcPr>
          <w:p w14:paraId="2A0628FC" w14:textId="77777777" w:rsidR="00514CC0" w:rsidRDefault="00E72B49" w:rsidP="0051280E">
            <w:pPr>
              <w:pStyle w:val="OWTablebodycentre"/>
              <w:spacing w:before="60" w:after="80"/>
            </w:pPr>
            <w:r>
              <w:t>1.2%</w:t>
            </w:r>
          </w:p>
        </w:tc>
        <w:tc>
          <w:tcPr>
            <w:tcW w:w="3402" w:type="dxa"/>
          </w:tcPr>
          <w:p w14:paraId="495F0444" w14:textId="77777777" w:rsidR="00514CC0" w:rsidRDefault="00E72B49" w:rsidP="0051280E">
            <w:pPr>
              <w:pStyle w:val="OWTablebodycentre"/>
              <w:spacing w:before="60" w:after="80"/>
            </w:pPr>
            <w:r>
              <w:t>4.1%</w:t>
            </w:r>
          </w:p>
        </w:tc>
      </w:tr>
      <w:tr w:rsidR="00514CC0" w14:paraId="35A0C103" w14:textId="77777777" w:rsidTr="00F0324E">
        <w:trPr>
          <w:cantSplit/>
          <w:trHeight w:val="60"/>
        </w:trPr>
        <w:tc>
          <w:tcPr>
            <w:tcW w:w="2268" w:type="dxa"/>
          </w:tcPr>
          <w:p w14:paraId="1E6D2AEF" w14:textId="77777777" w:rsidR="00514CC0" w:rsidRDefault="00E72B49" w:rsidP="0051280E">
            <w:pPr>
              <w:pStyle w:val="OWTablebodyleft"/>
              <w:spacing w:before="60" w:after="80"/>
            </w:pPr>
            <w:r>
              <w:t>45–54</w:t>
            </w:r>
          </w:p>
        </w:tc>
        <w:tc>
          <w:tcPr>
            <w:tcW w:w="3401" w:type="dxa"/>
          </w:tcPr>
          <w:p w14:paraId="5D14D4E9" w14:textId="77777777" w:rsidR="00514CC0" w:rsidRDefault="00E72B49" w:rsidP="0051280E">
            <w:pPr>
              <w:pStyle w:val="OWTablebodycentre"/>
              <w:spacing w:before="60" w:after="80"/>
            </w:pPr>
            <w:r>
              <w:t>0.8%</w:t>
            </w:r>
          </w:p>
        </w:tc>
        <w:tc>
          <w:tcPr>
            <w:tcW w:w="3402" w:type="dxa"/>
          </w:tcPr>
          <w:p w14:paraId="0338D06E" w14:textId="77777777" w:rsidR="00514CC0" w:rsidRDefault="00E72B49" w:rsidP="0051280E">
            <w:pPr>
              <w:pStyle w:val="OWTablebodycentre"/>
              <w:spacing w:before="60" w:after="80"/>
            </w:pPr>
            <w:r>
              <w:t>4.0%</w:t>
            </w:r>
          </w:p>
        </w:tc>
      </w:tr>
      <w:tr w:rsidR="00514CC0" w14:paraId="053C3031" w14:textId="77777777" w:rsidTr="00F0324E">
        <w:trPr>
          <w:cantSplit/>
          <w:trHeight w:val="60"/>
        </w:trPr>
        <w:tc>
          <w:tcPr>
            <w:tcW w:w="2268" w:type="dxa"/>
          </w:tcPr>
          <w:p w14:paraId="73195AA5" w14:textId="77777777" w:rsidR="00514CC0" w:rsidRDefault="00E72B49" w:rsidP="0051280E">
            <w:pPr>
              <w:pStyle w:val="OWTablebodyleft"/>
              <w:spacing w:before="60" w:after="80"/>
            </w:pPr>
            <w:r>
              <w:t>55–64</w:t>
            </w:r>
          </w:p>
        </w:tc>
        <w:tc>
          <w:tcPr>
            <w:tcW w:w="3401" w:type="dxa"/>
          </w:tcPr>
          <w:p w14:paraId="2EB75285" w14:textId="77777777" w:rsidR="00514CC0" w:rsidRDefault="00E72B49" w:rsidP="0051280E">
            <w:pPr>
              <w:pStyle w:val="OWTablebodycentre"/>
              <w:spacing w:before="60" w:after="80"/>
            </w:pPr>
            <w:r>
              <w:t>0.6%</w:t>
            </w:r>
          </w:p>
        </w:tc>
        <w:tc>
          <w:tcPr>
            <w:tcW w:w="3402" w:type="dxa"/>
          </w:tcPr>
          <w:p w14:paraId="49E5856B" w14:textId="77777777" w:rsidR="00514CC0" w:rsidRDefault="00E72B49" w:rsidP="0051280E">
            <w:pPr>
              <w:pStyle w:val="OWTablebodycentre"/>
              <w:spacing w:before="60" w:after="80"/>
            </w:pPr>
            <w:r>
              <w:t>2.6%</w:t>
            </w:r>
          </w:p>
        </w:tc>
      </w:tr>
      <w:tr w:rsidR="00514CC0" w14:paraId="4986F5AF" w14:textId="77777777" w:rsidTr="00F0324E">
        <w:trPr>
          <w:cantSplit/>
          <w:trHeight w:val="60"/>
        </w:trPr>
        <w:tc>
          <w:tcPr>
            <w:tcW w:w="2268" w:type="dxa"/>
          </w:tcPr>
          <w:p w14:paraId="711184DD" w14:textId="77777777" w:rsidR="00514CC0" w:rsidRDefault="00E72B49" w:rsidP="0051280E">
            <w:pPr>
              <w:pStyle w:val="OWTablebodyleft"/>
              <w:spacing w:before="60" w:after="80"/>
            </w:pPr>
            <w:r>
              <w:t>65 years and over</w:t>
            </w:r>
          </w:p>
        </w:tc>
        <w:tc>
          <w:tcPr>
            <w:tcW w:w="3401" w:type="dxa"/>
          </w:tcPr>
          <w:p w14:paraId="482313E9" w14:textId="77777777" w:rsidR="00514CC0" w:rsidRDefault="00E72B49" w:rsidP="0051280E">
            <w:pPr>
              <w:pStyle w:val="OWTablebodycentre"/>
              <w:spacing w:before="60" w:after="80"/>
            </w:pPr>
            <w:r>
              <w:t>0.3%</w:t>
            </w:r>
          </w:p>
        </w:tc>
        <w:tc>
          <w:tcPr>
            <w:tcW w:w="3402" w:type="dxa"/>
          </w:tcPr>
          <w:p w14:paraId="04BFB4C7" w14:textId="77777777" w:rsidR="00514CC0" w:rsidRDefault="00E72B49" w:rsidP="0051280E">
            <w:pPr>
              <w:pStyle w:val="OWTablebodycentre"/>
              <w:spacing w:before="60" w:after="80"/>
            </w:pPr>
            <w:r>
              <w:t>1.2%</w:t>
            </w:r>
          </w:p>
        </w:tc>
      </w:tr>
      <w:tr w:rsidR="00514CC0" w14:paraId="208D2F47" w14:textId="77777777" w:rsidTr="00F0324E">
        <w:trPr>
          <w:cantSplit/>
          <w:trHeight w:val="60"/>
        </w:trPr>
        <w:tc>
          <w:tcPr>
            <w:tcW w:w="2268" w:type="dxa"/>
          </w:tcPr>
          <w:p w14:paraId="598C07AD" w14:textId="77777777" w:rsidR="00514CC0" w:rsidRDefault="00E72B49" w:rsidP="0051280E">
            <w:pPr>
              <w:pStyle w:val="OWTablebodyleft"/>
              <w:spacing w:before="60" w:after="80"/>
            </w:pPr>
            <w:r>
              <w:t>All ages</w:t>
            </w:r>
          </w:p>
        </w:tc>
        <w:tc>
          <w:tcPr>
            <w:tcW w:w="3401" w:type="dxa"/>
          </w:tcPr>
          <w:p w14:paraId="6C0F4E2A" w14:textId="77777777" w:rsidR="00514CC0" w:rsidRDefault="00E72B49" w:rsidP="0051280E">
            <w:pPr>
              <w:pStyle w:val="OWTablebodycentre"/>
              <w:spacing w:before="60" w:after="80"/>
            </w:pPr>
            <w:r>
              <w:t>1.8%</w:t>
            </w:r>
          </w:p>
        </w:tc>
        <w:tc>
          <w:tcPr>
            <w:tcW w:w="3402" w:type="dxa"/>
          </w:tcPr>
          <w:p w14:paraId="223684B1" w14:textId="77777777" w:rsidR="00514CC0" w:rsidRDefault="00E72B49" w:rsidP="0051280E">
            <w:pPr>
              <w:pStyle w:val="OWTablebodycentre"/>
              <w:spacing w:before="60" w:after="80"/>
            </w:pPr>
            <w:r>
              <w:t>4.7%</w:t>
            </w:r>
          </w:p>
        </w:tc>
      </w:tr>
    </w:tbl>
    <w:p w14:paraId="4772AEEF" w14:textId="77777777" w:rsidR="00514CC0" w:rsidRDefault="00E72B49">
      <w:pPr>
        <w:pStyle w:val="OWTablefootnote"/>
      </w:pPr>
      <w:r>
        <w:t>Source: ABS, PSS 2016</w:t>
      </w:r>
    </w:p>
    <w:p w14:paraId="15ADDC8C" w14:textId="77777777" w:rsidR="00514CC0" w:rsidRDefault="00E72B49" w:rsidP="00F868FE">
      <w:pPr>
        <w:pStyle w:val="Heading5"/>
      </w:pPr>
      <w:r>
        <w:lastRenderedPageBreak/>
        <w:t>Women with disability and long-term health conditions</w:t>
      </w:r>
    </w:p>
    <w:p w14:paraId="49F2928B" w14:textId="77777777" w:rsidR="00514CC0" w:rsidRDefault="00E72B49">
      <w:pPr>
        <w:pStyle w:val="BodyText"/>
      </w:pPr>
      <w:r>
        <w:t xml:space="preserve">Even with the methodological limitations in terms of measuring violence against women with disability which are likely to result in an under-representation of prevalence, the PSS data reveals that women with disability or long-term health conditions are more likely to have been subject to </w:t>
      </w:r>
      <w:r w:rsidRPr="003E209A">
        <w:rPr>
          <w:rStyle w:val="Emphasis"/>
        </w:rPr>
        <w:t>all forms of violence</w:t>
      </w:r>
      <w:r>
        <w:t xml:space="preserve"> within the past 12 months than women without disability or long-term health conditions.</w:t>
      </w:r>
    </w:p>
    <w:p w14:paraId="79ECB45C" w14:textId="2F7E62F0" w:rsidR="00514CC0" w:rsidRDefault="00E72B49">
      <w:pPr>
        <w:pStyle w:val="BodyText"/>
      </w:pPr>
      <w:r w:rsidRPr="002D0D52">
        <w:rPr>
          <w:rStyle w:val="Strong"/>
        </w:rPr>
        <w:t>The 12-month prevalence rates of any physical and/or sexual violence experienced by women with disability or long-term health conditions has remained consistently high between 2012 (6.0%) and 2016 (5.9%).</w:t>
      </w:r>
      <w:r>
        <w:t xml:space="preserve"> That is, in both survey waves, approximately one in 17 women with disability or long-term health conditions had experienced physical and/or sexual violence within the previous year.</w:t>
      </w:r>
      <w:r>
        <w:rPr>
          <w:rStyle w:val="OWSuperscript"/>
        </w:rPr>
        <w:footnoteReference w:id="65"/>
      </w:r>
      <w:r>
        <w:t xml:space="preserve"> Analysis of the 2016 PSS data reveals that women with a disability or long-term health condition experienced statistically significant higher </w:t>
      </w:r>
      <w:r w:rsidR="00F42FFD">
        <w:br/>
      </w:r>
      <w:r>
        <w:t xml:space="preserve">12-month rates of sexual violence, physical violence, and overall physical and/or sexual violence. (see Table </w:t>
      </w:r>
      <w:r w:rsidR="0017588F">
        <w:t>42</w:t>
      </w:r>
      <w:r>
        <w:t>, below).</w:t>
      </w:r>
    </w:p>
    <w:p w14:paraId="08D033C6" w14:textId="36CFC7D3" w:rsidR="00514CC0" w:rsidRDefault="00E72B49">
      <w:pPr>
        <w:pStyle w:val="OWTablecaption"/>
      </w:pPr>
      <w:r>
        <w:t xml:space="preserve">Table </w:t>
      </w:r>
      <w:r w:rsidR="0017588F">
        <w:t>42</w:t>
      </w:r>
      <w:r>
        <w:t>: Women’s experiences of violence in the past 12 months, comparison of women with and without disability or long-term health condition status, 2012 and 2016, % of women</w:t>
      </w:r>
    </w:p>
    <w:tbl>
      <w:tblPr>
        <w:tblStyle w:val="Datatableumber"/>
        <w:tblW w:w="9072" w:type="dxa"/>
        <w:tblLayout w:type="fixed"/>
        <w:tblLook w:val="06A0" w:firstRow="1" w:lastRow="0" w:firstColumn="1" w:lastColumn="0" w:noHBand="1" w:noVBand="1"/>
      </w:tblPr>
      <w:tblGrid>
        <w:gridCol w:w="1815"/>
        <w:gridCol w:w="1814"/>
        <w:gridCol w:w="1815"/>
        <w:gridCol w:w="1814"/>
        <w:gridCol w:w="1814"/>
      </w:tblGrid>
      <w:tr w:rsidR="00514CC0" w14:paraId="39B7F0BF" w14:textId="77777777" w:rsidTr="00F0324E">
        <w:trPr>
          <w:cnfStyle w:val="100000000000" w:firstRow="1" w:lastRow="0" w:firstColumn="0" w:lastColumn="0" w:oddVBand="0" w:evenVBand="0" w:oddHBand="0" w:evenHBand="0" w:firstRowFirstColumn="0" w:firstRowLastColumn="0" w:lastRowFirstColumn="0" w:lastRowLastColumn="0"/>
          <w:cantSplit/>
          <w:trHeight w:val="60"/>
          <w:tblHeader/>
        </w:trPr>
        <w:tc>
          <w:tcPr>
            <w:tcW w:w="1814" w:type="dxa"/>
          </w:tcPr>
          <w:p w14:paraId="365EDA45" w14:textId="77777777" w:rsidR="00514CC0" w:rsidRPr="008A47DE" w:rsidRDefault="00E72B49">
            <w:pPr>
              <w:pStyle w:val="OWTablecolumnheadleft"/>
            </w:pPr>
            <w:r w:rsidRPr="008A47DE">
              <w:t>Type of violence experienced in past 12 months</w:t>
            </w:r>
          </w:p>
        </w:tc>
        <w:tc>
          <w:tcPr>
            <w:tcW w:w="1814" w:type="dxa"/>
          </w:tcPr>
          <w:p w14:paraId="6FE84A67" w14:textId="77777777" w:rsidR="00514CC0" w:rsidRPr="008A47DE" w:rsidRDefault="00E72B49">
            <w:pPr>
              <w:pStyle w:val="OWTablecolumnheadcentre"/>
            </w:pPr>
            <w:r w:rsidRPr="008A47DE">
              <w:t>Women with a disability or long-term health condition</w:t>
            </w:r>
          </w:p>
          <w:p w14:paraId="3D7B3A3E" w14:textId="77777777" w:rsidR="00514CC0" w:rsidRPr="008A47DE" w:rsidRDefault="00E72B49">
            <w:pPr>
              <w:pStyle w:val="OWTablecolumnheadcentre"/>
            </w:pPr>
            <w:r w:rsidRPr="008A47DE">
              <w:t>2012</w:t>
            </w:r>
          </w:p>
        </w:tc>
        <w:tc>
          <w:tcPr>
            <w:tcW w:w="1815" w:type="dxa"/>
          </w:tcPr>
          <w:p w14:paraId="3B763ADC" w14:textId="77777777" w:rsidR="00514CC0" w:rsidRPr="008A47DE" w:rsidRDefault="00E72B49">
            <w:pPr>
              <w:pStyle w:val="OWTablecolumnheadcentre"/>
            </w:pPr>
            <w:r w:rsidRPr="008A47DE">
              <w:t>Women who did not have a disability or long-term health condition</w:t>
            </w:r>
          </w:p>
          <w:p w14:paraId="41BCD7B3" w14:textId="77777777" w:rsidR="00514CC0" w:rsidRPr="008A47DE" w:rsidRDefault="00E72B49">
            <w:pPr>
              <w:pStyle w:val="OWTablecolumnheadcentre"/>
            </w:pPr>
            <w:r w:rsidRPr="008A47DE">
              <w:t>2012</w:t>
            </w:r>
          </w:p>
        </w:tc>
        <w:tc>
          <w:tcPr>
            <w:tcW w:w="1814" w:type="dxa"/>
          </w:tcPr>
          <w:p w14:paraId="04ABB656" w14:textId="77777777" w:rsidR="00514CC0" w:rsidRPr="008A47DE" w:rsidRDefault="00E72B49">
            <w:pPr>
              <w:pStyle w:val="OWTablecolumnheadcentre"/>
            </w:pPr>
            <w:r w:rsidRPr="008A47DE">
              <w:t>Women with a disability or long-term health condition</w:t>
            </w:r>
          </w:p>
          <w:p w14:paraId="4A7EBF95" w14:textId="77777777" w:rsidR="00514CC0" w:rsidRPr="008A47DE" w:rsidRDefault="00E72B49">
            <w:pPr>
              <w:pStyle w:val="OWTablecolumnheadcentre"/>
            </w:pPr>
            <w:r w:rsidRPr="008A47DE">
              <w:t>2016</w:t>
            </w:r>
          </w:p>
        </w:tc>
        <w:tc>
          <w:tcPr>
            <w:tcW w:w="1814" w:type="dxa"/>
          </w:tcPr>
          <w:p w14:paraId="7B8895C3" w14:textId="6D2549AD" w:rsidR="00514CC0" w:rsidRPr="008A47DE" w:rsidRDefault="00E72B49">
            <w:pPr>
              <w:pStyle w:val="OWTablecolumnheadcentre"/>
            </w:pPr>
            <w:r w:rsidRPr="008A47DE">
              <w:t>Women who did not have a disability or long-term health condition</w:t>
            </w:r>
          </w:p>
          <w:p w14:paraId="41E6437D" w14:textId="77777777" w:rsidR="00514CC0" w:rsidRPr="008A47DE" w:rsidRDefault="00E72B49">
            <w:pPr>
              <w:pStyle w:val="OWTablecolumnheadcentre"/>
            </w:pPr>
            <w:r w:rsidRPr="008A47DE">
              <w:t>2016</w:t>
            </w:r>
          </w:p>
        </w:tc>
      </w:tr>
      <w:tr w:rsidR="00514CC0" w14:paraId="54DA23E9" w14:textId="77777777" w:rsidTr="00F0324E">
        <w:trPr>
          <w:cantSplit/>
          <w:trHeight w:val="60"/>
        </w:trPr>
        <w:tc>
          <w:tcPr>
            <w:tcW w:w="1814" w:type="dxa"/>
          </w:tcPr>
          <w:p w14:paraId="609B9D29" w14:textId="77777777" w:rsidR="00514CC0" w:rsidRDefault="00E72B49">
            <w:pPr>
              <w:pStyle w:val="OWTablebodyleft"/>
            </w:pPr>
            <w:r>
              <w:t>Sexual violence total</w:t>
            </w:r>
          </w:p>
        </w:tc>
        <w:tc>
          <w:tcPr>
            <w:tcW w:w="1814" w:type="dxa"/>
          </w:tcPr>
          <w:p w14:paraId="4CE91C90" w14:textId="77777777" w:rsidR="00514CC0" w:rsidRDefault="00E72B49">
            <w:pPr>
              <w:pStyle w:val="OWTablebodycentre"/>
            </w:pPr>
            <w:r>
              <w:t>1.7%</w:t>
            </w:r>
          </w:p>
        </w:tc>
        <w:tc>
          <w:tcPr>
            <w:tcW w:w="1815" w:type="dxa"/>
          </w:tcPr>
          <w:p w14:paraId="25F9A505" w14:textId="77777777" w:rsidR="00514CC0" w:rsidRDefault="00E72B49">
            <w:pPr>
              <w:pStyle w:val="OWTablebodycentre"/>
            </w:pPr>
            <w:r>
              <w:t>0.9%</w:t>
            </w:r>
          </w:p>
        </w:tc>
        <w:tc>
          <w:tcPr>
            <w:tcW w:w="1814" w:type="dxa"/>
          </w:tcPr>
          <w:p w14:paraId="753C6916" w14:textId="77777777" w:rsidR="00514CC0" w:rsidRDefault="00E72B49">
            <w:pPr>
              <w:pStyle w:val="OWTablebodycentre"/>
            </w:pPr>
            <w:r>
              <w:t>2.2%</w:t>
            </w:r>
          </w:p>
        </w:tc>
        <w:tc>
          <w:tcPr>
            <w:tcW w:w="1814" w:type="dxa"/>
          </w:tcPr>
          <w:p w14:paraId="29985AA5" w14:textId="77777777" w:rsidR="00514CC0" w:rsidRDefault="00E72B49">
            <w:pPr>
              <w:pStyle w:val="OWTablebodycentre"/>
            </w:pPr>
            <w:r>
              <w:t>1.6%</w:t>
            </w:r>
          </w:p>
        </w:tc>
      </w:tr>
      <w:tr w:rsidR="00514CC0" w14:paraId="1E1B12F7" w14:textId="77777777" w:rsidTr="00F0324E">
        <w:trPr>
          <w:cantSplit/>
          <w:trHeight w:val="60"/>
        </w:trPr>
        <w:tc>
          <w:tcPr>
            <w:tcW w:w="1814" w:type="dxa"/>
          </w:tcPr>
          <w:p w14:paraId="4FA095C8" w14:textId="77777777" w:rsidR="00514CC0" w:rsidRDefault="00E72B49">
            <w:pPr>
              <w:pStyle w:val="OWTablebodyleft"/>
            </w:pPr>
            <w:r>
              <w:t>Physical violence total</w:t>
            </w:r>
          </w:p>
        </w:tc>
        <w:tc>
          <w:tcPr>
            <w:tcW w:w="1814" w:type="dxa"/>
          </w:tcPr>
          <w:p w14:paraId="5E9F0853" w14:textId="77777777" w:rsidR="00514CC0" w:rsidRDefault="00E72B49">
            <w:pPr>
              <w:pStyle w:val="OWTablebodycentre"/>
            </w:pPr>
            <w:r>
              <w:t>5.0%</w:t>
            </w:r>
          </w:p>
        </w:tc>
        <w:tc>
          <w:tcPr>
            <w:tcW w:w="1815" w:type="dxa"/>
          </w:tcPr>
          <w:p w14:paraId="160F3CDC" w14:textId="77777777" w:rsidR="00514CC0" w:rsidRDefault="00E72B49">
            <w:pPr>
              <w:pStyle w:val="OWTablebodycentre"/>
            </w:pPr>
            <w:r>
              <w:t>4.4%</w:t>
            </w:r>
          </w:p>
        </w:tc>
        <w:tc>
          <w:tcPr>
            <w:tcW w:w="1814" w:type="dxa"/>
          </w:tcPr>
          <w:p w14:paraId="619E7C31" w14:textId="77777777" w:rsidR="00514CC0" w:rsidRDefault="00E72B49">
            <w:pPr>
              <w:pStyle w:val="OWTablebodycentre"/>
            </w:pPr>
            <w:r>
              <w:t>4.8%</w:t>
            </w:r>
          </w:p>
        </w:tc>
        <w:tc>
          <w:tcPr>
            <w:tcW w:w="1814" w:type="dxa"/>
          </w:tcPr>
          <w:p w14:paraId="180F4D74" w14:textId="77777777" w:rsidR="00514CC0" w:rsidRDefault="00E72B49">
            <w:pPr>
              <w:pStyle w:val="OWTablebodycentre"/>
            </w:pPr>
            <w:r>
              <w:t>2.9%</w:t>
            </w:r>
          </w:p>
        </w:tc>
      </w:tr>
      <w:tr w:rsidR="00514CC0" w14:paraId="57AE326A" w14:textId="77777777" w:rsidTr="00F0324E">
        <w:trPr>
          <w:cantSplit/>
          <w:trHeight w:val="60"/>
        </w:trPr>
        <w:tc>
          <w:tcPr>
            <w:tcW w:w="1814" w:type="dxa"/>
          </w:tcPr>
          <w:p w14:paraId="0FB34D93" w14:textId="77777777" w:rsidR="00514CC0" w:rsidRDefault="00E72B49">
            <w:pPr>
              <w:pStyle w:val="OWTablebodyleft"/>
            </w:pPr>
            <w:r w:rsidRPr="002D0D52">
              <w:rPr>
                <w:rStyle w:val="Strong"/>
              </w:rPr>
              <w:t>Any physical or sexual violence total</w:t>
            </w:r>
          </w:p>
        </w:tc>
        <w:tc>
          <w:tcPr>
            <w:tcW w:w="1814" w:type="dxa"/>
          </w:tcPr>
          <w:p w14:paraId="6CB3AA96" w14:textId="77777777" w:rsidR="00514CC0" w:rsidRDefault="00E72B49">
            <w:pPr>
              <w:pStyle w:val="OWTablebodycentre"/>
            </w:pPr>
            <w:r w:rsidRPr="002D0D52">
              <w:rPr>
                <w:rStyle w:val="Strong"/>
              </w:rPr>
              <w:t>6.0%</w:t>
            </w:r>
          </w:p>
        </w:tc>
        <w:tc>
          <w:tcPr>
            <w:tcW w:w="1815" w:type="dxa"/>
          </w:tcPr>
          <w:p w14:paraId="43A42072" w14:textId="77777777" w:rsidR="00514CC0" w:rsidRDefault="00E72B49">
            <w:pPr>
              <w:pStyle w:val="OWTablebodycentre"/>
            </w:pPr>
            <w:r w:rsidRPr="002D0D52">
              <w:rPr>
                <w:rStyle w:val="Strong"/>
              </w:rPr>
              <w:t>5.0%</w:t>
            </w:r>
          </w:p>
        </w:tc>
        <w:tc>
          <w:tcPr>
            <w:tcW w:w="1814" w:type="dxa"/>
          </w:tcPr>
          <w:p w14:paraId="0A7D9B3F" w14:textId="77777777" w:rsidR="00514CC0" w:rsidRDefault="00E72B49">
            <w:pPr>
              <w:pStyle w:val="OWTablebodycentre"/>
            </w:pPr>
            <w:r w:rsidRPr="002D0D52">
              <w:rPr>
                <w:rStyle w:val="Strong"/>
              </w:rPr>
              <w:t>5.9%</w:t>
            </w:r>
          </w:p>
        </w:tc>
        <w:tc>
          <w:tcPr>
            <w:tcW w:w="1814" w:type="dxa"/>
          </w:tcPr>
          <w:p w14:paraId="0FB96D99" w14:textId="77777777" w:rsidR="00514CC0" w:rsidRDefault="00E72B49">
            <w:pPr>
              <w:pStyle w:val="OWTablebodycentre"/>
            </w:pPr>
            <w:r w:rsidRPr="002D0D52">
              <w:rPr>
                <w:rStyle w:val="Strong"/>
              </w:rPr>
              <w:t>4.3%</w:t>
            </w:r>
          </w:p>
        </w:tc>
      </w:tr>
    </w:tbl>
    <w:p w14:paraId="7AA004CD" w14:textId="32B0D7F7" w:rsidR="00514CC0" w:rsidRDefault="00E72B49">
      <w:pPr>
        <w:pStyle w:val="OWTablefootnote"/>
      </w:pPr>
      <w:r>
        <w:t>Sources: ABS (2018), ‘</w:t>
      </w:r>
      <w:hyperlink r:id="rId81" w:history="1">
        <w:r w:rsidRPr="000B492C">
          <w:rPr>
            <w:rStyle w:val="Hyperlink"/>
          </w:rPr>
          <w:t>Experiences of violence and personal safety of people with disability, 2016</w:t>
        </w:r>
      </w:hyperlink>
      <w:r>
        <w:t>’, PSS</w:t>
      </w:r>
      <w:r w:rsidR="000B492C">
        <w:t> </w:t>
      </w:r>
      <w:r>
        <w:t>2012; custom data request</w:t>
      </w:r>
    </w:p>
    <w:p w14:paraId="67E52135" w14:textId="79EE6BA6" w:rsidR="00514CC0" w:rsidRDefault="00E72B49">
      <w:pPr>
        <w:pStyle w:val="OWBodytextlargespaceabove"/>
      </w:pPr>
      <w:r>
        <w:t xml:space="preserve">Publicly available PSS data from 2012 also shows that the prevalence of physical and/or sexual violence against women with profound disability and psychological disability is higher again. Whereas, overall, 6.0% of women with disability or long-term health conditions experienced physical and/or sexual violence in the 12 months prior to the 2012 survey, </w:t>
      </w:r>
      <w:r>
        <w:lastRenderedPageBreak/>
        <w:t>6.7%</w:t>
      </w:r>
      <w:r w:rsidR="00F42FFD">
        <w:t> </w:t>
      </w:r>
      <w:r>
        <w:t>of women with profound or severe core activity restriction experienced violence, and</w:t>
      </w:r>
      <w:r w:rsidR="00F42FFD">
        <w:t> </w:t>
      </w:r>
      <w:r>
        <w:t>12.0% of women with a form of psychological disability.</w:t>
      </w:r>
    </w:p>
    <w:p w14:paraId="5C37EE74" w14:textId="77777777" w:rsidR="00514CC0" w:rsidRDefault="00E72B49" w:rsidP="00F868FE">
      <w:pPr>
        <w:pStyle w:val="Heading5"/>
      </w:pPr>
      <w:r>
        <w:t>Aboriginal and Torres Strait Islander women’s 12-month experiences of physical violence</w:t>
      </w:r>
    </w:p>
    <w:p w14:paraId="68C3D02C" w14:textId="77777777" w:rsidR="00514CC0" w:rsidRDefault="00E72B49">
      <w:pPr>
        <w:pStyle w:val="BodyText"/>
      </w:pPr>
      <w:r>
        <w:t>The PSS does not allow for analysis of Aboriginal and Torres Strait Islander women’s experiences of violence, and the NATSISS and NATSIHS only measure 12-month experiences of physical violence (rather than sexual violence, sexual harassment or emotional abuse).</w:t>
      </w:r>
    </w:p>
    <w:p w14:paraId="3B1627BD" w14:textId="409A315D" w:rsidR="00514CC0" w:rsidRDefault="00E72B49">
      <w:pPr>
        <w:pStyle w:val="BodyText"/>
      </w:pPr>
      <w:r>
        <w:t xml:space="preserve">The NATSISS data suggests that while Aboriginal and Torres Strait Islander women experience disproportionately high 12-month rates of physical violence (and with severe impacts), </w:t>
      </w:r>
      <w:r w:rsidRPr="002D0D52">
        <w:rPr>
          <w:rStyle w:val="Strong"/>
        </w:rPr>
        <w:t>prevalence decreased somewhat between the 2008 and 2014–15 surveys</w:t>
      </w:r>
      <w:r>
        <w:t>. In</w:t>
      </w:r>
      <w:r w:rsidR="00F42FFD">
        <w:t> </w:t>
      </w:r>
      <w:r>
        <w:t>2008, one</w:t>
      </w:r>
      <w:r>
        <w:rPr>
          <w:rFonts w:ascii="Cambria Math" w:hAnsi="Cambria Math" w:cs="Cambria Math"/>
        </w:rPr>
        <w:t>‑</w:t>
      </w:r>
      <w:r>
        <w:t>quarter (25%) of Aboriginal and Torres Strait Islander women aged 15 years and</w:t>
      </w:r>
      <w:r w:rsidR="00F42FFD">
        <w:t> </w:t>
      </w:r>
      <w:r>
        <w:t xml:space="preserve">over reported experiencing at least one incident of physical violence in the 12 months prior to the survey. This figure had decreased to 21.7% in 2014–15 (see Table </w:t>
      </w:r>
      <w:r w:rsidR="0017588F">
        <w:t>43</w:t>
      </w:r>
      <w:r>
        <w:t xml:space="preserve">, below). </w:t>
      </w:r>
      <w:r w:rsidRPr="002D0D52">
        <w:rPr>
          <w:rStyle w:val="Strong"/>
        </w:rPr>
        <w:t>However, this decrease is more attributable to a reduction in the prevalence rate of threats of physical assaults than in physical assaults themselves.</w:t>
      </w:r>
    </w:p>
    <w:p w14:paraId="5BFF4BE2" w14:textId="59B766A9" w:rsidR="00514CC0" w:rsidRDefault="00E72B49">
      <w:pPr>
        <w:pStyle w:val="OWTablecaption"/>
      </w:pPr>
      <w:r>
        <w:t xml:space="preserve">Table </w:t>
      </w:r>
      <w:r w:rsidR="0017588F">
        <w:t>43</w:t>
      </w:r>
      <w:r>
        <w:t>: Physical violence experienced by Aboriginal and Torres Strait Islander women aged 15 and over in 12 months prior to survey by any perpetrator, proportion (%) of Aboriginal and Torres Strait Islander female population</w:t>
      </w:r>
    </w:p>
    <w:tbl>
      <w:tblPr>
        <w:tblStyle w:val="Datatableumber"/>
        <w:tblW w:w="9072" w:type="dxa"/>
        <w:tblLayout w:type="fixed"/>
        <w:tblLook w:val="06A0" w:firstRow="1" w:lastRow="0" w:firstColumn="1" w:lastColumn="0" w:noHBand="1" w:noVBand="1"/>
      </w:tblPr>
      <w:tblGrid>
        <w:gridCol w:w="4536"/>
        <w:gridCol w:w="2268"/>
        <w:gridCol w:w="2268"/>
      </w:tblGrid>
      <w:tr w:rsidR="00514CC0" w14:paraId="24A297BF" w14:textId="77777777" w:rsidTr="00F0324E">
        <w:trPr>
          <w:cnfStyle w:val="100000000000" w:firstRow="1" w:lastRow="0" w:firstColumn="0" w:lastColumn="0" w:oddVBand="0" w:evenVBand="0" w:oddHBand="0" w:evenHBand="0" w:firstRowFirstColumn="0" w:firstRowLastColumn="0" w:lastRowFirstColumn="0" w:lastRowLastColumn="0"/>
          <w:cantSplit/>
          <w:trHeight w:val="60"/>
          <w:tblHeader/>
        </w:trPr>
        <w:tc>
          <w:tcPr>
            <w:tcW w:w="4535" w:type="dxa"/>
          </w:tcPr>
          <w:p w14:paraId="6C0F0F37" w14:textId="77777777" w:rsidR="00514CC0" w:rsidRPr="008A47DE" w:rsidRDefault="00E72B49">
            <w:pPr>
              <w:pStyle w:val="OWTablecolumnheadleft"/>
            </w:pPr>
            <w:r w:rsidRPr="008A47DE">
              <w:t>Type of physical violence</w:t>
            </w:r>
          </w:p>
        </w:tc>
        <w:tc>
          <w:tcPr>
            <w:tcW w:w="2268" w:type="dxa"/>
          </w:tcPr>
          <w:p w14:paraId="18C7A353" w14:textId="77777777" w:rsidR="00514CC0" w:rsidRPr="008A47DE" w:rsidRDefault="00E72B49">
            <w:pPr>
              <w:pStyle w:val="OWTablecolumnheadcentre"/>
            </w:pPr>
            <w:r w:rsidRPr="008A47DE">
              <w:t>2008</w:t>
            </w:r>
          </w:p>
        </w:tc>
        <w:tc>
          <w:tcPr>
            <w:tcW w:w="2268" w:type="dxa"/>
          </w:tcPr>
          <w:p w14:paraId="3DD161D2" w14:textId="77777777" w:rsidR="00514CC0" w:rsidRPr="008A47DE" w:rsidRDefault="00E72B49">
            <w:pPr>
              <w:pStyle w:val="OWTablecolumnheadcentre"/>
            </w:pPr>
            <w:r w:rsidRPr="008A47DE">
              <w:t>2014–15</w:t>
            </w:r>
          </w:p>
        </w:tc>
      </w:tr>
      <w:tr w:rsidR="00514CC0" w14:paraId="77822F12" w14:textId="77777777" w:rsidTr="00F0324E">
        <w:trPr>
          <w:cantSplit/>
          <w:trHeight w:val="60"/>
        </w:trPr>
        <w:tc>
          <w:tcPr>
            <w:tcW w:w="4535" w:type="dxa"/>
          </w:tcPr>
          <w:p w14:paraId="0CA447CB" w14:textId="77777777" w:rsidR="00514CC0" w:rsidRDefault="00E72B49">
            <w:pPr>
              <w:pStyle w:val="OWTablebodyleft"/>
            </w:pPr>
            <w:r>
              <w:t>Physical assault</w:t>
            </w:r>
          </w:p>
        </w:tc>
        <w:tc>
          <w:tcPr>
            <w:tcW w:w="2268" w:type="dxa"/>
          </w:tcPr>
          <w:p w14:paraId="1562DC37" w14:textId="77777777" w:rsidR="00514CC0" w:rsidRDefault="00E72B49">
            <w:pPr>
              <w:pStyle w:val="OWTablebodycentre"/>
            </w:pPr>
            <w:r>
              <w:t>15%</w:t>
            </w:r>
          </w:p>
        </w:tc>
        <w:tc>
          <w:tcPr>
            <w:tcW w:w="2268" w:type="dxa"/>
          </w:tcPr>
          <w:p w14:paraId="0CA6D691" w14:textId="77777777" w:rsidR="00514CC0" w:rsidRDefault="00E72B49">
            <w:pPr>
              <w:pStyle w:val="OWTablebodycentre"/>
            </w:pPr>
            <w:r>
              <w:t>13.8%</w:t>
            </w:r>
          </w:p>
        </w:tc>
      </w:tr>
      <w:tr w:rsidR="00514CC0" w14:paraId="428544D2" w14:textId="77777777" w:rsidTr="00F0324E">
        <w:trPr>
          <w:cantSplit/>
          <w:trHeight w:val="60"/>
        </w:trPr>
        <w:tc>
          <w:tcPr>
            <w:tcW w:w="4535" w:type="dxa"/>
          </w:tcPr>
          <w:p w14:paraId="5854C0CC" w14:textId="77777777" w:rsidR="00514CC0" w:rsidRDefault="00E72B49">
            <w:pPr>
              <w:pStyle w:val="OWTablebodyleft"/>
            </w:pPr>
            <w:r>
              <w:t>Threat of physical assault</w:t>
            </w:r>
          </w:p>
        </w:tc>
        <w:tc>
          <w:tcPr>
            <w:tcW w:w="2268" w:type="dxa"/>
          </w:tcPr>
          <w:p w14:paraId="4675244E" w14:textId="77777777" w:rsidR="00514CC0" w:rsidRDefault="00E72B49">
            <w:pPr>
              <w:pStyle w:val="OWTablebodycentre"/>
            </w:pPr>
            <w:r>
              <w:t>19%</w:t>
            </w:r>
          </w:p>
        </w:tc>
        <w:tc>
          <w:tcPr>
            <w:tcW w:w="2268" w:type="dxa"/>
          </w:tcPr>
          <w:p w14:paraId="16FEA825" w14:textId="77777777" w:rsidR="00514CC0" w:rsidRDefault="00E72B49">
            <w:pPr>
              <w:pStyle w:val="OWTablebodycentre"/>
            </w:pPr>
            <w:r>
              <w:t>14.9%</w:t>
            </w:r>
          </w:p>
        </w:tc>
      </w:tr>
      <w:tr w:rsidR="00514CC0" w14:paraId="2FF43339" w14:textId="77777777" w:rsidTr="00F0324E">
        <w:trPr>
          <w:cantSplit/>
          <w:trHeight w:val="60"/>
        </w:trPr>
        <w:tc>
          <w:tcPr>
            <w:tcW w:w="4535" w:type="dxa"/>
          </w:tcPr>
          <w:p w14:paraId="0DADFAAB" w14:textId="77777777" w:rsidR="00514CC0" w:rsidRDefault="00E72B49">
            <w:pPr>
              <w:pStyle w:val="OWTablebodyleft"/>
            </w:pPr>
            <w:r>
              <w:t>Both assault and threat</w:t>
            </w:r>
          </w:p>
        </w:tc>
        <w:tc>
          <w:tcPr>
            <w:tcW w:w="2268" w:type="dxa"/>
          </w:tcPr>
          <w:p w14:paraId="66762572" w14:textId="77777777" w:rsidR="00514CC0" w:rsidRDefault="00E72B49">
            <w:pPr>
              <w:pStyle w:val="OWTablebodycentre"/>
            </w:pPr>
            <w:r>
              <w:t>9%</w:t>
            </w:r>
          </w:p>
        </w:tc>
        <w:tc>
          <w:tcPr>
            <w:tcW w:w="2268" w:type="dxa"/>
          </w:tcPr>
          <w:p w14:paraId="5D877083" w14:textId="77777777" w:rsidR="00514CC0" w:rsidRDefault="00E72B49">
            <w:pPr>
              <w:pStyle w:val="OWTablebodycentre"/>
            </w:pPr>
            <w:r>
              <w:t>Data not publicly available</w:t>
            </w:r>
          </w:p>
        </w:tc>
      </w:tr>
      <w:tr w:rsidR="00514CC0" w14:paraId="2A3C83E1" w14:textId="77777777" w:rsidTr="00F0324E">
        <w:trPr>
          <w:cantSplit/>
          <w:trHeight w:val="60"/>
        </w:trPr>
        <w:tc>
          <w:tcPr>
            <w:tcW w:w="4535" w:type="dxa"/>
          </w:tcPr>
          <w:p w14:paraId="465DDF2F" w14:textId="77777777" w:rsidR="00514CC0" w:rsidRDefault="00E72B49">
            <w:pPr>
              <w:pStyle w:val="OWTablebodyleft"/>
            </w:pPr>
            <w:r>
              <w:t>Any kind of physical violence (assault and/or threat)</w:t>
            </w:r>
          </w:p>
        </w:tc>
        <w:tc>
          <w:tcPr>
            <w:tcW w:w="2268" w:type="dxa"/>
          </w:tcPr>
          <w:p w14:paraId="1A47E0DF" w14:textId="77777777" w:rsidR="00514CC0" w:rsidRDefault="00E72B49">
            <w:pPr>
              <w:pStyle w:val="OWTablebodycentre"/>
            </w:pPr>
            <w:r>
              <w:t>25%</w:t>
            </w:r>
          </w:p>
        </w:tc>
        <w:tc>
          <w:tcPr>
            <w:tcW w:w="2268" w:type="dxa"/>
          </w:tcPr>
          <w:p w14:paraId="528A99D6" w14:textId="77777777" w:rsidR="00514CC0" w:rsidRDefault="00E72B49">
            <w:pPr>
              <w:pStyle w:val="OWTablebodycentre"/>
            </w:pPr>
            <w:r>
              <w:t>21.7%</w:t>
            </w:r>
          </w:p>
        </w:tc>
      </w:tr>
    </w:tbl>
    <w:p w14:paraId="7688B60C" w14:textId="77777777" w:rsidR="00514CC0" w:rsidRDefault="00E72B49">
      <w:pPr>
        <w:pStyle w:val="OWTablefootnote"/>
      </w:pPr>
      <w:r>
        <w:t>Sources: ABS, NATSISS 2008 and NATSISS 2014–15</w:t>
      </w:r>
    </w:p>
    <w:p w14:paraId="75BCEF81" w14:textId="2E9F79FC" w:rsidR="00514CC0" w:rsidRDefault="00E72B49">
      <w:pPr>
        <w:pStyle w:val="OWBodytextlargespaceabove"/>
      </w:pPr>
      <w:r>
        <w:t xml:space="preserve">The NATSISS 2018–19 shows a high prevalence of Aboriginal and Torres Strait Islander women who experienced physical harm and/or threatened physical harm in the 12 months prior to the survey. In 2018–19, </w:t>
      </w:r>
      <w:r w:rsidRPr="002D0D52">
        <w:rPr>
          <w:rStyle w:val="Strong"/>
        </w:rPr>
        <w:t>one in seven (14.2%) Aboriginal and Torres Strait Islander women reported experiencing physical harm and/or threatened physical harm in the previous 12 months</w:t>
      </w:r>
      <w:r>
        <w:t>. The prevalence of 12-month experiences of physical harm was 6.2%,</w:t>
      </w:r>
      <w:r w:rsidR="00F42FFD">
        <w:t> </w:t>
      </w:r>
      <w:r>
        <w:t xml:space="preserve">while 11.4% of Aboriginal and Torres Strait Islander women reported experiencing threatened physical harm in the previous 12 months, 8.4% reported face-to-face threats of physical harm and 5.3% reported non-face-to-face threats of physical harm (see Figure </w:t>
      </w:r>
      <w:r w:rsidR="00531647">
        <w:t>36</w:t>
      </w:r>
      <w:r>
        <w:t>, below).</w:t>
      </w:r>
    </w:p>
    <w:p w14:paraId="20AAD5C5" w14:textId="16100F28" w:rsidR="00134D12" w:rsidRDefault="00E72B49" w:rsidP="00134D12">
      <w:pPr>
        <w:pStyle w:val="OWFigurecaption"/>
      </w:pPr>
      <w:r>
        <w:lastRenderedPageBreak/>
        <w:t xml:space="preserve">Figure </w:t>
      </w:r>
      <w:r w:rsidR="00531647">
        <w:t>36</w:t>
      </w:r>
      <w:r>
        <w:t xml:space="preserve">: </w:t>
      </w:r>
      <w:r w:rsidR="00134D12">
        <w:t>Proportion of Aboriginal and Torres Strait Islander women aged 15 and over who experienced physical harm or threat</w:t>
      </w:r>
      <w:r w:rsidR="00645F17">
        <w:t xml:space="preserve"> of</w:t>
      </w:r>
      <w:r w:rsidR="00134D12">
        <w:t xml:space="preserve"> physical harm in 12 months prior to survey by</w:t>
      </w:r>
      <w:r w:rsidR="00645F17">
        <w:t> </w:t>
      </w:r>
      <w:r w:rsidR="00134D12">
        <w:t>any perpetrator</w:t>
      </w:r>
    </w:p>
    <w:p w14:paraId="7FEF34AA" w14:textId="3685397B" w:rsidR="00514CC0" w:rsidRDefault="002E16D1" w:rsidP="008A47DE">
      <w:pPr>
        <w:pStyle w:val="OWFigureinline"/>
      </w:pPr>
      <w:r>
        <w:rPr>
          <w:noProof/>
        </w:rPr>
        <w:drawing>
          <wp:inline distT="0" distB="0" distL="0" distR="0" wp14:anchorId="535385C3" wp14:editId="10C59685">
            <wp:extent cx="5700397" cy="3694430"/>
            <wp:effectExtent l="0" t="0" r="0" b="1270"/>
            <wp:docPr id="361096668" name="Picture 87" descr="Column graph of the following data (proportion). Experienced physical harm and/or threat of physical harm – 14.2%. Experienced physical harm – 6.2%. Experienced threat of physical harm – 11.4%. Experienced face-to-face threat of physical harm – 8.4%. Experienced non-face-to-face threat of physical harm –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96668" name="Picture 87" descr="Column graph of the following data (proportion). Experienced physical harm and/or threat of physical harm – 14.2%. Experienced physical harm – 6.2%. Experienced threat of physical harm – 11.4%. Experienced face-to-face threat of physical harm – 8.4%. Experienced non-face-to-face threat of physical harm – 5.3%."/>
                    <pic:cNvPicPr/>
                  </pic:nvPicPr>
                  <pic:blipFill>
                    <a:blip r:embed="rId82">
                      <a:extLst>
                        <a:ext uri="{28A0092B-C50C-407E-A947-70E740481C1C}">
                          <a14:useLocalDpi xmlns:a14="http://schemas.microsoft.com/office/drawing/2010/main" val="0"/>
                        </a:ext>
                      </a:extLst>
                    </a:blip>
                    <a:stretch>
                      <a:fillRect/>
                    </a:stretch>
                  </pic:blipFill>
                  <pic:spPr>
                    <a:xfrm>
                      <a:off x="0" y="0"/>
                      <a:ext cx="5700397" cy="3694430"/>
                    </a:xfrm>
                    <a:prstGeom prst="rect">
                      <a:avLst/>
                    </a:prstGeom>
                  </pic:spPr>
                </pic:pic>
              </a:graphicData>
            </a:graphic>
          </wp:inline>
        </w:drawing>
      </w:r>
    </w:p>
    <w:p w14:paraId="16C447A2" w14:textId="77777777" w:rsidR="00514CC0" w:rsidRDefault="00E72B49" w:rsidP="008A3B93">
      <w:pPr>
        <w:pStyle w:val="OWFigurefootnote"/>
        <w:spacing w:after="480"/>
      </w:pPr>
      <w:r>
        <w:t>Source: ABS, NATSISS 2018–19</w:t>
      </w:r>
    </w:p>
    <w:tbl>
      <w:tblPr>
        <w:tblStyle w:val="Casestudyumber"/>
        <w:tblW w:w="0" w:type="auto"/>
        <w:tblLayout w:type="fixed"/>
        <w:tblLook w:val="0620" w:firstRow="1" w:lastRow="0" w:firstColumn="0" w:lastColumn="0" w:noHBand="1" w:noVBand="1"/>
      </w:tblPr>
      <w:tblGrid>
        <w:gridCol w:w="9071"/>
      </w:tblGrid>
      <w:tr w:rsidR="00514CC0" w14:paraId="39F68D7A" w14:textId="77777777" w:rsidTr="00F0324E">
        <w:trPr>
          <w:cnfStyle w:val="100000000000" w:firstRow="1" w:lastRow="0" w:firstColumn="0" w:lastColumn="0" w:oddVBand="0" w:evenVBand="0" w:oddHBand="0" w:evenHBand="0" w:firstRowFirstColumn="0" w:firstRowLastColumn="0" w:lastRowFirstColumn="0" w:lastRowLastColumn="0"/>
          <w:trHeight w:val="60"/>
        </w:trPr>
        <w:tc>
          <w:tcPr>
            <w:tcW w:w="9071" w:type="dxa"/>
          </w:tcPr>
          <w:p w14:paraId="02FCDEA8" w14:textId="77777777" w:rsidR="00514CC0" w:rsidRPr="008A47DE" w:rsidRDefault="00E72B49">
            <w:pPr>
              <w:pStyle w:val="OWBoxheading"/>
            </w:pPr>
            <w:r w:rsidRPr="008A47DE">
              <w:t>Technology-facilitated violence experienced by Aboriginal and Torres Strait Islander women</w:t>
            </w:r>
          </w:p>
        </w:tc>
      </w:tr>
      <w:tr w:rsidR="00514CC0" w14:paraId="4E44B1C7" w14:textId="77777777" w:rsidTr="00F0324E">
        <w:trPr>
          <w:trHeight w:val="60"/>
        </w:trPr>
        <w:tc>
          <w:tcPr>
            <w:tcW w:w="9071" w:type="dxa"/>
          </w:tcPr>
          <w:p w14:paraId="429E4EE0" w14:textId="4A52CAF9" w:rsidR="00514CC0" w:rsidRDefault="00E72B49">
            <w:pPr>
              <w:pStyle w:val="OWTablebodyleft"/>
            </w:pPr>
            <w:r>
              <w:t>In the 2018–19 National Aboriginal and Torres Strait Islander Health Survey, of the 5.3% of women who reported experiencing non-face-to-face threats of physical harm in the prior 12 months, 45.6% said they’d received threats via a social media network, and 75% said they’d received threats via text message, phone, email or writing. These results demonstrate how technology is being utilised to facilitate violence against women in the contemporary context.</w:t>
            </w:r>
          </w:p>
        </w:tc>
      </w:tr>
    </w:tbl>
    <w:p w14:paraId="3C65074B" w14:textId="77777777" w:rsidR="00514CC0" w:rsidRDefault="00514CC0" w:rsidP="008A47DE">
      <w:pPr>
        <w:pStyle w:val="BodyText"/>
      </w:pPr>
    </w:p>
    <w:tbl>
      <w:tblPr>
        <w:tblStyle w:val="Casestudyumber"/>
        <w:tblW w:w="0" w:type="auto"/>
        <w:tblLayout w:type="fixed"/>
        <w:tblLook w:val="0620" w:firstRow="1" w:lastRow="0" w:firstColumn="0" w:lastColumn="0" w:noHBand="1" w:noVBand="1"/>
      </w:tblPr>
      <w:tblGrid>
        <w:gridCol w:w="9071"/>
      </w:tblGrid>
      <w:tr w:rsidR="00514CC0" w14:paraId="41646FE8" w14:textId="77777777" w:rsidTr="00F0324E">
        <w:trPr>
          <w:cnfStyle w:val="100000000000" w:firstRow="1" w:lastRow="0" w:firstColumn="0" w:lastColumn="0" w:oddVBand="0" w:evenVBand="0" w:oddHBand="0" w:evenHBand="0" w:firstRowFirstColumn="0" w:firstRowLastColumn="0" w:lastRowFirstColumn="0" w:lastRowLastColumn="0"/>
          <w:trHeight w:val="60"/>
        </w:trPr>
        <w:tc>
          <w:tcPr>
            <w:tcW w:w="9071" w:type="dxa"/>
          </w:tcPr>
          <w:p w14:paraId="0AD5A696" w14:textId="77777777" w:rsidR="00514CC0" w:rsidRDefault="00E72B49">
            <w:pPr>
              <w:pStyle w:val="OWBoxheading"/>
            </w:pPr>
            <w:r>
              <w:lastRenderedPageBreak/>
              <w:t>Forthcoming research: ‘Reducing family violence among Aboriginal and Torres Strait Islander communities’</w:t>
            </w:r>
          </w:p>
        </w:tc>
      </w:tr>
      <w:tr w:rsidR="00514CC0" w14:paraId="58FF6232" w14:textId="77777777" w:rsidTr="00F0324E">
        <w:trPr>
          <w:trHeight w:val="60"/>
        </w:trPr>
        <w:tc>
          <w:tcPr>
            <w:tcW w:w="9071" w:type="dxa"/>
          </w:tcPr>
          <w:p w14:paraId="4525DF96" w14:textId="4559F6EC" w:rsidR="00514CC0" w:rsidRDefault="00E72B49">
            <w:pPr>
              <w:pStyle w:val="OWTablebodyleft"/>
            </w:pPr>
            <w:r>
              <w:t xml:space="preserve">In 2020, researchers (Dr Bianca Calabria, Dr Jill Guthrie, Associate Professor Ray Lovett, Dr Katie Thurber) at ANU’s National Centre for Epidemiology and Population Health are scheduled to release findings of a new study into ‘the extent and impacts of family violence among Aboriginal and Torres Strait Islander communities’, as well as response and early intervention–related areas of inquiry. See </w:t>
            </w:r>
            <w:hyperlink r:id="rId83" w:history="1">
              <w:r>
                <w:rPr>
                  <w:rStyle w:val="Hyperlink"/>
                </w:rPr>
                <w:t>Reducing family violence among Aboriginal and Torres Strait Islander communities</w:t>
              </w:r>
            </w:hyperlink>
            <w:r>
              <w:t xml:space="preserve"> for further information.</w:t>
            </w:r>
          </w:p>
        </w:tc>
      </w:tr>
    </w:tbl>
    <w:p w14:paraId="0116D9C3" w14:textId="77777777" w:rsidR="00514CC0" w:rsidRDefault="00E72B49" w:rsidP="00E1549C">
      <w:pPr>
        <w:pStyle w:val="Heading4"/>
        <w:rPr>
          <w:rStyle w:val="OWCharacterUmber"/>
        </w:rPr>
      </w:pPr>
      <w:r>
        <w:rPr>
          <w:rStyle w:val="OWCharacterUmber"/>
        </w:rPr>
        <w:t>Indicator 11.4: Proportion of women who have experienced sexual harassment in the last 12 months, all settings</w:t>
      </w:r>
    </w:p>
    <w:tbl>
      <w:tblPr>
        <w:tblStyle w:val="Indicatoroutlineumber"/>
        <w:tblW w:w="9072" w:type="dxa"/>
        <w:tblLayout w:type="fixed"/>
        <w:tblLook w:val="0680" w:firstRow="0" w:lastRow="0" w:firstColumn="1" w:lastColumn="0" w:noHBand="1" w:noVBand="1"/>
      </w:tblPr>
      <w:tblGrid>
        <w:gridCol w:w="2268"/>
        <w:gridCol w:w="6804"/>
      </w:tblGrid>
      <w:tr w:rsidR="00514CC0" w14:paraId="27594228" w14:textId="77777777" w:rsidTr="00F0324E">
        <w:trPr>
          <w:cantSplit/>
          <w:trHeight w:val="60"/>
        </w:trPr>
        <w:tc>
          <w:tcPr>
            <w:tcW w:w="2268" w:type="dxa"/>
          </w:tcPr>
          <w:p w14:paraId="64ACC5A9" w14:textId="77777777" w:rsidR="00514CC0" w:rsidRDefault="00E72B49">
            <w:pPr>
              <w:pStyle w:val="OWTablebodyleft"/>
            </w:pPr>
            <w:r>
              <w:t>What does this indicator tell us about Monitoring domain 11: Prevalence of violence against women?</w:t>
            </w:r>
          </w:p>
        </w:tc>
        <w:tc>
          <w:tcPr>
            <w:tcW w:w="6803" w:type="dxa"/>
          </w:tcPr>
          <w:p w14:paraId="5327CA99" w14:textId="77777777" w:rsidR="00514CC0" w:rsidRDefault="00E72B49">
            <w:pPr>
              <w:pStyle w:val="OWTablebodyleft"/>
            </w:pPr>
            <w:r>
              <w:t>This indicator allows us to compare the proportion of the population of women in Australia who experienced sexual harassment in any public setting in a defined short-term window (12 months) prior to each survey wave. In doing so, it allows for an assessment of whether sexual harassment prevalence is shifting in the short term.</w:t>
            </w:r>
          </w:p>
          <w:p w14:paraId="38942B98" w14:textId="77777777" w:rsidR="00514CC0" w:rsidRDefault="00E72B49">
            <w:pPr>
              <w:pStyle w:val="OWTablebodyleft"/>
            </w:pPr>
            <w:r>
              <w:t>For workplace sexual harassment data, please see Indicator 3.6 of this report.</w:t>
            </w:r>
          </w:p>
        </w:tc>
      </w:tr>
      <w:tr w:rsidR="00514CC0" w14:paraId="53EF3246" w14:textId="77777777" w:rsidTr="00F0324E">
        <w:trPr>
          <w:cantSplit/>
          <w:trHeight w:val="60"/>
        </w:trPr>
        <w:tc>
          <w:tcPr>
            <w:tcW w:w="2268" w:type="dxa"/>
          </w:tcPr>
          <w:p w14:paraId="264BCD80" w14:textId="1A94A6F5" w:rsidR="00514CC0" w:rsidRDefault="00E72B49">
            <w:pPr>
              <w:pStyle w:val="OWTablebodyleft"/>
            </w:pPr>
            <w:r>
              <w:t>Expected change if</w:t>
            </w:r>
            <w:r w:rsidR="00F42FFD">
              <w:t> </w:t>
            </w:r>
            <w:r>
              <w:t>high-quality programs and infrastructure for prevention of violence against women and gender equality are implemented</w:t>
            </w:r>
          </w:p>
        </w:tc>
        <w:tc>
          <w:tcPr>
            <w:tcW w:w="6803" w:type="dxa"/>
          </w:tcPr>
          <w:p w14:paraId="45178097" w14:textId="77777777" w:rsidR="00514CC0" w:rsidRDefault="00E72B49">
            <w:pPr>
              <w:pStyle w:val="OWTablebodyleft"/>
            </w:pPr>
            <w:r>
              <w:t>Short- and medium-term: an increase in the proportion of women and girls who report experiencing sexual harassment in any public setting in the past 12 months, due to increased public awareness.</w:t>
            </w:r>
          </w:p>
          <w:p w14:paraId="31ACF992" w14:textId="77777777" w:rsidR="00514CC0" w:rsidRDefault="00E72B49">
            <w:pPr>
              <w:pStyle w:val="OWTablebodyleft"/>
            </w:pPr>
            <w:r>
              <w:t>Long-term: 12-month prevalence of sexual harassment of women reduced.</w:t>
            </w:r>
          </w:p>
        </w:tc>
      </w:tr>
      <w:tr w:rsidR="00514CC0" w14:paraId="67CB277A" w14:textId="77777777" w:rsidTr="00F0324E">
        <w:trPr>
          <w:cantSplit/>
          <w:trHeight w:val="60"/>
        </w:trPr>
        <w:tc>
          <w:tcPr>
            <w:tcW w:w="2268" w:type="dxa"/>
          </w:tcPr>
          <w:p w14:paraId="1A689846" w14:textId="77777777" w:rsidR="00514CC0" w:rsidRDefault="00E72B49">
            <w:pPr>
              <w:pStyle w:val="OWTablebodyleft"/>
            </w:pPr>
            <w:r>
              <w:t>Data source(s)</w:t>
            </w:r>
          </w:p>
        </w:tc>
        <w:tc>
          <w:tcPr>
            <w:tcW w:w="6803" w:type="dxa"/>
          </w:tcPr>
          <w:p w14:paraId="39A67E09" w14:textId="77777777" w:rsidR="00514CC0" w:rsidRDefault="00E72B49">
            <w:pPr>
              <w:pStyle w:val="OWTablebodyleft"/>
            </w:pPr>
            <w:r>
              <w:t>Personal Safety Survey (PSS) 2012 and 2016, ABS</w:t>
            </w:r>
          </w:p>
          <w:p w14:paraId="433DF97C" w14:textId="77777777" w:rsidR="00514CC0" w:rsidRDefault="00E72B49">
            <w:pPr>
              <w:pStyle w:val="OWTablebodyleft"/>
            </w:pPr>
            <w:r>
              <w:t>The Australian Human Rights Commission (AHRC) workplace sexual harassment data is not used against this indicator, because:</w:t>
            </w:r>
          </w:p>
          <w:p w14:paraId="3B98D833" w14:textId="77777777" w:rsidR="00514CC0" w:rsidRDefault="00E72B49">
            <w:pPr>
              <w:pStyle w:val="OWTablebullet1"/>
            </w:pPr>
            <w:r>
              <w:t>this data has already been detailed against Indicator 3.6</w:t>
            </w:r>
          </w:p>
          <w:p w14:paraId="71AAE14F" w14:textId="204F5C84" w:rsidR="00514CC0" w:rsidRDefault="00E72B49">
            <w:pPr>
              <w:pStyle w:val="OWTablebullet1"/>
            </w:pPr>
            <w:r>
              <w:t>for the short-term victimisation data, the AHRC’s focus is workplace sexual harassment, rather than sexual harassment in</w:t>
            </w:r>
            <w:r w:rsidR="00F42FFD">
              <w:t> </w:t>
            </w:r>
            <w:r>
              <w:t>any setting</w:t>
            </w:r>
          </w:p>
          <w:p w14:paraId="43928A29" w14:textId="77777777" w:rsidR="00514CC0" w:rsidRDefault="00E72B49" w:rsidP="008A53B4">
            <w:pPr>
              <w:pStyle w:val="OWTablebullet1"/>
              <w:spacing w:after="140"/>
              <w:ind w:left="284" w:hanging="284"/>
            </w:pPr>
            <w:r>
              <w:t>the AHRC data measures lifetime and 5-year experiences – not 12-month experiences.</w:t>
            </w:r>
          </w:p>
        </w:tc>
      </w:tr>
      <w:tr w:rsidR="00514CC0" w14:paraId="027FF19A" w14:textId="77777777" w:rsidTr="00F0324E">
        <w:trPr>
          <w:cantSplit/>
          <w:trHeight w:val="60"/>
        </w:trPr>
        <w:tc>
          <w:tcPr>
            <w:tcW w:w="2268" w:type="dxa"/>
          </w:tcPr>
          <w:p w14:paraId="77B65254" w14:textId="77777777" w:rsidR="00514CC0" w:rsidRDefault="00E72B49">
            <w:pPr>
              <w:pStyle w:val="OWTablebodyleft"/>
            </w:pPr>
            <w:r>
              <w:lastRenderedPageBreak/>
              <w:t>Change over time summary: short-term change revealed by the data</w:t>
            </w:r>
          </w:p>
        </w:tc>
        <w:tc>
          <w:tcPr>
            <w:tcW w:w="6803" w:type="dxa"/>
          </w:tcPr>
          <w:p w14:paraId="288146A5" w14:textId="77777777" w:rsidR="00514CC0" w:rsidRDefault="00E72B49">
            <w:pPr>
              <w:pStyle w:val="OWTablebodyleft"/>
            </w:pPr>
            <w:r>
              <w:t>Marked, statistically significant increase in the reported prevalence of sexual harassment experienced by women in the past 12 months, between 2012 and 2016 survey waves.</w:t>
            </w:r>
          </w:p>
        </w:tc>
      </w:tr>
      <w:tr w:rsidR="00514CC0" w14:paraId="7385EFB4" w14:textId="77777777" w:rsidTr="00F0324E">
        <w:trPr>
          <w:cantSplit/>
          <w:trHeight w:val="60"/>
        </w:trPr>
        <w:tc>
          <w:tcPr>
            <w:tcW w:w="2268" w:type="dxa"/>
          </w:tcPr>
          <w:p w14:paraId="01644344" w14:textId="77777777" w:rsidR="00514CC0" w:rsidRDefault="00E72B49">
            <w:pPr>
              <w:pStyle w:val="OWTablebodyleft"/>
            </w:pPr>
            <w:r>
              <w:t>Does the change confirm or run contrary to expected change?</w:t>
            </w:r>
          </w:p>
        </w:tc>
        <w:tc>
          <w:tcPr>
            <w:tcW w:w="6803" w:type="dxa"/>
          </w:tcPr>
          <w:p w14:paraId="7E754285" w14:textId="77777777" w:rsidR="00514CC0" w:rsidRDefault="00E72B49">
            <w:pPr>
              <w:pStyle w:val="OWTablebodyleft"/>
            </w:pPr>
            <w:r>
              <w:t>Confirms expected change.</w:t>
            </w:r>
          </w:p>
        </w:tc>
      </w:tr>
      <w:tr w:rsidR="00514CC0" w14:paraId="254A67F2" w14:textId="77777777" w:rsidTr="00F0324E">
        <w:trPr>
          <w:cantSplit/>
          <w:trHeight w:val="60"/>
        </w:trPr>
        <w:tc>
          <w:tcPr>
            <w:tcW w:w="2268" w:type="dxa"/>
          </w:tcPr>
          <w:p w14:paraId="7449C21A" w14:textId="77777777" w:rsidR="00514CC0" w:rsidRDefault="00E72B49">
            <w:pPr>
              <w:pStyle w:val="OWTablebodyleft"/>
            </w:pPr>
            <w:r>
              <w:t>Gaps in existing data</w:t>
            </w:r>
          </w:p>
        </w:tc>
        <w:tc>
          <w:tcPr>
            <w:tcW w:w="6803" w:type="dxa"/>
          </w:tcPr>
          <w:p w14:paraId="4CA84712" w14:textId="1D4442A8" w:rsidR="00514CC0" w:rsidRDefault="00E72B49">
            <w:pPr>
              <w:pStyle w:val="OWTablebodyleft"/>
            </w:pPr>
            <w:r>
              <w:t>The PSS does not allow for measurement of Aboriginal and Torres Strait Islander women’s experiences of violence. The alternate ABS instruments which have been used to measure prevalence of violence against Aboriginal and Torres Strait Islander people, the National Aboriginal and Torres Strait Islander Social Survey and the National Aboriginal and Torres Strait Islander Health Survey, do not include questions about sexual harassment. Therefore, from the most available and rigorous survey instruments, no conclusions can</w:t>
            </w:r>
            <w:r w:rsidR="00F42FFD">
              <w:t> </w:t>
            </w:r>
            <w:r>
              <w:t>be drawn about Aboriginal and Torres Strait Islander women’s 12-month experiences of sexual harassment.</w:t>
            </w:r>
          </w:p>
          <w:p w14:paraId="6EBB5F78" w14:textId="3E370ABB" w:rsidR="00514CC0" w:rsidRDefault="00E72B49">
            <w:pPr>
              <w:pStyle w:val="OWTablebodyleft"/>
            </w:pPr>
            <w:r>
              <w:t>Five-year data on workplace sexual harassment generated by the</w:t>
            </w:r>
            <w:r w:rsidR="00F42FFD">
              <w:t> </w:t>
            </w:r>
            <w:r>
              <w:t>AHRC and detailed at Indicator 3.6 shows that Aboriginal and Torres Strait Islander women experience disproportionately high rates of workplace sexual harassment, as compared with non</w:t>
            </w:r>
            <w:r>
              <w:rPr>
                <w:rFonts w:ascii="Cambria Math" w:hAnsi="Cambria Math" w:cs="Cambria Math"/>
              </w:rPr>
              <w:t>‑</w:t>
            </w:r>
            <w:r>
              <w:t>Indigenous Australians.</w:t>
            </w:r>
          </w:p>
        </w:tc>
      </w:tr>
    </w:tbl>
    <w:p w14:paraId="51444E22" w14:textId="351836ED" w:rsidR="00514CC0" w:rsidRDefault="00E72B49" w:rsidP="008A53B4">
      <w:pPr>
        <w:pStyle w:val="OWBodytextlargespaceabove"/>
      </w:pPr>
      <w:r w:rsidRPr="002D0D52">
        <w:rPr>
          <w:rStyle w:val="Strong"/>
        </w:rPr>
        <w:t xml:space="preserve">Comparison of the 2012 and 2016 waves of the PSS data reveals a statistically significant increase in the proportion of women reporting having been subjected to sexual harassment in the past 12 months. </w:t>
      </w:r>
      <w:r>
        <w:t xml:space="preserve">In 2012, 14.8% of women aged 18 years and over reported having experienced sexual harassment in the past 12 months. This increased in 2016 by 2.5 percentage points, with 17.3% of women having reported experiencing sexual harassment in the 12 months prior to the survey (see Table </w:t>
      </w:r>
      <w:r w:rsidR="0017588F">
        <w:t>44</w:t>
      </w:r>
      <w:r>
        <w:t>, below).</w:t>
      </w:r>
    </w:p>
    <w:p w14:paraId="44765B86" w14:textId="77777777" w:rsidR="00514CC0" w:rsidRDefault="00E72B49">
      <w:pPr>
        <w:pStyle w:val="BodyText"/>
      </w:pPr>
      <w:r>
        <w:t>In both 2012 and 2016, men were far more likely than women to perpetrate sexual harassment against women. In 2016, men were nearly four times more likely than women to perpetrate sexual harassment against a woman (Table 40).</w:t>
      </w:r>
    </w:p>
    <w:p w14:paraId="0BA1F01C" w14:textId="6B8AECD0" w:rsidR="00514CC0" w:rsidRDefault="00E72B49">
      <w:pPr>
        <w:pStyle w:val="OWTablecaption"/>
      </w:pPr>
      <w:r>
        <w:t xml:space="preserve">Table </w:t>
      </w:r>
      <w:r w:rsidR="0017588F">
        <w:t>44</w:t>
      </w:r>
      <w:r>
        <w:t>: Women’s experiences of sexual harassment in the past 12 months by sex of perpetrator, 2012 and 2016, proportion of women (%)</w:t>
      </w:r>
    </w:p>
    <w:tbl>
      <w:tblPr>
        <w:tblStyle w:val="Datatableumber"/>
        <w:tblW w:w="9072" w:type="dxa"/>
        <w:tblLayout w:type="fixed"/>
        <w:tblLook w:val="06A0" w:firstRow="1" w:lastRow="0" w:firstColumn="1" w:lastColumn="0" w:noHBand="1" w:noVBand="1"/>
      </w:tblPr>
      <w:tblGrid>
        <w:gridCol w:w="4536"/>
        <w:gridCol w:w="2268"/>
        <w:gridCol w:w="2268"/>
      </w:tblGrid>
      <w:tr w:rsidR="00514CC0" w14:paraId="153E343C" w14:textId="77777777" w:rsidTr="00F0324E">
        <w:trPr>
          <w:cnfStyle w:val="100000000000" w:firstRow="1" w:lastRow="0" w:firstColumn="0" w:lastColumn="0" w:oddVBand="0" w:evenVBand="0" w:oddHBand="0" w:evenHBand="0" w:firstRowFirstColumn="0" w:firstRowLastColumn="0" w:lastRowFirstColumn="0" w:lastRowLastColumn="0"/>
          <w:cantSplit/>
          <w:trHeight w:val="60"/>
          <w:tblHeader/>
        </w:trPr>
        <w:tc>
          <w:tcPr>
            <w:tcW w:w="4535" w:type="dxa"/>
          </w:tcPr>
          <w:p w14:paraId="5E852023" w14:textId="77777777" w:rsidR="00514CC0" w:rsidRPr="008A53B4" w:rsidRDefault="00E72B49">
            <w:pPr>
              <w:pStyle w:val="OWTablecolumnheadleft"/>
            </w:pPr>
            <w:r w:rsidRPr="008A53B4">
              <w:t>Perpetrator</w:t>
            </w:r>
          </w:p>
        </w:tc>
        <w:tc>
          <w:tcPr>
            <w:tcW w:w="2268" w:type="dxa"/>
          </w:tcPr>
          <w:p w14:paraId="342EC0DF" w14:textId="77777777" w:rsidR="00514CC0" w:rsidRPr="008A53B4" w:rsidRDefault="00E72B49">
            <w:pPr>
              <w:pStyle w:val="OWTablecolumnheadcentre"/>
            </w:pPr>
            <w:r w:rsidRPr="008A53B4">
              <w:t>2012</w:t>
            </w:r>
          </w:p>
        </w:tc>
        <w:tc>
          <w:tcPr>
            <w:tcW w:w="2268" w:type="dxa"/>
          </w:tcPr>
          <w:p w14:paraId="00AA02E8" w14:textId="77777777" w:rsidR="00514CC0" w:rsidRPr="008A53B4" w:rsidRDefault="00E72B49">
            <w:pPr>
              <w:pStyle w:val="OWTablecolumnheadcentre"/>
            </w:pPr>
            <w:r w:rsidRPr="008A53B4">
              <w:t>2016</w:t>
            </w:r>
          </w:p>
        </w:tc>
      </w:tr>
      <w:tr w:rsidR="00514CC0" w14:paraId="41543D79" w14:textId="77777777" w:rsidTr="00F0324E">
        <w:trPr>
          <w:cantSplit/>
          <w:trHeight w:val="60"/>
        </w:trPr>
        <w:tc>
          <w:tcPr>
            <w:tcW w:w="4535" w:type="dxa"/>
          </w:tcPr>
          <w:p w14:paraId="0E668CE3" w14:textId="77777777" w:rsidR="00514CC0" w:rsidRDefault="00E72B49" w:rsidP="0051280E">
            <w:pPr>
              <w:pStyle w:val="OWTablebodyleft"/>
              <w:spacing w:before="60" w:after="80"/>
            </w:pPr>
            <w:r>
              <w:t>By a male</w:t>
            </w:r>
          </w:p>
        </w:tc>
        <w:tc>
          <w:tcPr>
            <w:tcW w:w="2268" w:type="dxa"/>
          </w:tcPr>
          <w:p w14:paraId="0F378A17" w14:textId="77777777" w:rsidR="00514CC0" w:rsidRDefault="00E72B49" w:rsidP="0051280E">
            <w:pPr>
              <w:pStyle w:val="OWTablebodycentre"/>
              <w:spacing w:before="60" w:after="80"/>
            </w:pPr>
            <w:r>
              <w:t>14.0%</w:t>
            </w:r>
          </w:p>
        </w:tc>
        <w:tc>
          <w:tcPr>
            <w:tcW w:w="2268" w:type="dxa"/>
          </w:tcPr>
          <w:p w14:paraId="60B9573A" w14:textId="70FF99D6" w:rsidR="00514CC0" w:rsidRDefault="00E72B49" w:rsidP="0051280E">
            <w:pPr>
              <w:pStyle w:val="OWTablebodycentre"/>
              <w:spacing w:before="60" w:after="80"/>
            </w:pPr>
            <w:r>
              <w:t>16.1%</w:t>
            </w:r>
            <w:r w:rsidR="005B2381">
              <w:t>^</w:t>
            </w:r>
          </w:p>
        </w:tc>
      </w:tr>
      <w:tr w:rsidR="00514CC0" w14:paraId="3DDA6E5E" w14:textId="77777777" w:rsidTr="00F0324E">
        <w:trPr>
          <w:cantSplit/>
          <w:trHeight w:val="60"/>
        </w:trPr>
        <w:tc>
          <w:tcPr>
            <w:tcW w:w="4535" w:type="dxa"/>
          </w:tcPr>
          <w:p w14:paraId="57C7349B" w14:textId="77777777" w:rsidR="00514CC0" w:rsidRDefault="00E72B49" w:rsidP="0051280E">
            <w:pPr>
              <w:pStyle w:val="OWTablebodyleft"/>
              <w:spacing w:before="60" w:after="80"/>
            </w:pPr>
            <w:r>
              <w:t>By a female</w:t>
            </w:r>
          </w:p>
        </w:tc>
        <w:tc>
          <w:tcPr>
            <w:tcW w:w="2268" w:type="dxa"/>
          </w:tcPr>
          <w:p w14:paraId="1039FC7F" w14:textId="77777777" w:rsidR="00514CC0" w:rsidRDefault="00E72B49" w:rsidP="0051280E">
            <w:pPr>
              <w:pStyle w:val="OWTablebodycentre"/>
              <w:spacing w:before="60" w:after="80"/>
            </w:pPr>
            <w:r>
              <w:t>2.8%</w:t>
            </w:r>
          </w:p>
        </w:tc>
        <w:tc>
          <w:tcPr>
            <w:tcW w:w="2268" w:type="dxa"/>
          </w:tcPr>
          <w:p w14:paraId="1B9853FA" w14:textId="3013E852" w:rsidR="00514CC0" w:rsidRDefault="00E72B49" w:rsidP="0051280E">
            <w:pPr>
              <w:pStyle w:val="OWTablebodycentre"/>
              <w:spacing w:before="60" w:after="80"/>
            </w:pPr>
            <w:r>
              <w:t>4.1%</w:t>
            </w:r>
            <w:r w:rsidR="005B2381">
              <w:t>^</w:t>
            </w:r>
          </w:p>
        </w:tc>
      </w:tr>
      <w:tr w:rsidR="00514CC0" w14:paraId="718F8CC8" w14:textId="77777777" w:rsidTr="00F0324E">
        <w:trPr>
          <w:cantSplit/>
          <w:trHeight w:val="60"/>
        </w:trPr>
        <w:tc>
          <w:tcPr>
            <w:tcW w:w="4535" w:type="dxa"/>
          </w:tcPr>
          <w:p w14:paraId="7FC8F019" w14:textId="77777777" w:rsidR="00514CC0" w:rsidRDefault="00E72B49" w:rsidP="0051280E">
            <w:pPr>
              <w:pStyle w:val="OWTablebodyleft"/>
              <w:spacing w:before="60" w:after="80"/>
            </w:pPr>
            <w:r w:rsidRPr="002D0D52">
              <w:rPr>
                <w:rStyle w:val="Strong"/>
              </w:rPr>
              <w:t>Total by any person</w:t>
            </w:r>
          </w:p>
        </w:tc>
        <w:tc>
          <w:tcPr>
            <w:tcW w:w="2268" w:type="dxa"/>
          </w:tcPr>
          <w:p w14:paraId="5AAFFB1F" w14:textId="77777777" w:rsidR="00514CC0" w:rsidRDefault="00E72B49" w:rsidP="0051280E">
            <w:pPr>
              <w:pStyle w:val="OWTablebodycentre"/>
              <w:spacing w:before="60" w:after="80"/>
            </w:pPr>
            <w:r w:rsidRPr="002D0D52">
              <w:rPr>
                <w:rStyle w:val="Strong"/>
              </w:rPr>
              <w:t>14.8%</w:t>
            </w:r>
          </w:p>
        </w:tc>
        <w:tc>
          <w:tcPr>
            <w:tcW w:w="2268" w:type="dxa"/>
          </w:tcPr>
          <w:p w14:paraId="2C41C0D6" w14:textId="7DF52CCC" w:rsidR="00514CC0" w:rsidRDefault="00E72B49" w:rsidP="0051280E">
            <w:pPr>
              <w:pStyle w:val="OWTablebodycentre"/>
              <w:spacing w:before="60" w:after="80"/>
            </w:pPr>
            <w:r w:rsidRPr="002D0D52">
              <w:rPr>
                <w:rStyle w:val="Strong"/>
              </w:rPr>
              <w:t>17.3%</w:t>
            </w:r>
            <w:r w:rsidR="005B2381">
              <w:rPr>
                <w:rStyle w:val="Strong"/>
              </w:rPr>
              <w:t>^</w:t>
            </w:r>
          </w:p>
        </w:tc>
      </w:tr>
    </w:tbl>
    <w:p w14:paraId="736E44DF" w14:textId="77777777" w:rsidR="00514CC0" w:rsidRDefault="00E72B49">
      <w:pPr>
        <w:pStyle w:val="OWTablefootnote"/>
      </w:pPr>
      <w:r>
        <w:t>Sources: ABS, PSS 2012 and PSS 2016</w:t>
      </w:r>
    </w:p>
    <w:p w14:paraId="68551A0B" w14:textId="05D5E510" w:rsidR="00514CC0" w:rsidRDefault="005B2381">
      <w:pPr>
        <w:pStyle w:val="OWTablefootnoteindent"/>
      </w:pPr>
      <w:r>
        <w:t>^</w:t>
      </w:r>
      <w:r w:rsidR="00E72B49">
        <w:tab/>
        <w:t>Denotes a statistically significant change between survey waves.</w:t>
      </w:r>
    </w:p>
    <w:p w14:paraId="23D4FBBA" w14:textId="77777777" w:rsidR="00514CC0" w:rsidRDefault="00E72B49" w:rsidP="00F868FE">
      <w:pPr>
        <w:pStyle w:val="Heading5"/>
      </w:pPr>
      <w:r>
        <w:lastRenderedPageBreak/>
        <w:t>Age</w:t>
      </w:r>
    </w:p>
    <w:p w14:paraId="3CC9DF58" w14:textId="4A82A7F8" w:rsidR="00514CC0" w:rsidRDefault="00E72B49">
      <w:pPr>
        <w:pStyle w:val="BodyText"/>
      </w:pPr>
      <w:r>
        <w:t xml:space="preserve">On the basis of the 2016 PSS data, </w:t>
      </w:r>
      <w:r w:rsidRPr="002D0D52">
        <w:rPr>
          <w:rStyle w:val="Strong"/>
        </w:rPr>
        <w:t>younger women are more likely to have experienced sexual harassment in the last 12 months than older women</w:t>
      </w:r>
      <w:r>
        <w:t>. Nearly two in five (38.3%) women aged 18 to 24 years and approximately one-quarter (24.8%) of women aged 25 to</w:t>
      </w:r>
      <w:r w:rsidR="00F42FFD">
        <w:t> </w:t>
      </w:r>
      <w:r>
        <w:t>34 years reported having experienced sexual harassment in the previous 12 months (see</w:t>
      </w:r>
      <w:r w:rsidR="00F42FFD">
        <w:t> </w:t>
      </w:r>
      <w:r>
        <w:t xml:space="preserve">Table </w:t>
      </w:r>
      <w:r w:rsidR="0017588F">
        <w:t>45</w:t>
      </w:r>
      <w:r>
        <w:t>, below).</w:t>
      </w:r>
    </w:p>
    <w:p w14:paraId="278A0577" w14:textId="3E1EE10F" w:rsidR="00514CC0" w:rsidRDefault="00E72B49">
      <w:pPr>
        <w:pStyle w:val="OWTablecaption"/>
      </w:pPr>
      <w:r>
        <w:t xml:space="preserve">Table </w:t>
      </w:r>
      <w:r w:rsidR="0017588F">
        <w:t>45</w:t>
      </w:r>
      <w:r>
        <w:t>: Women’s experiences of sexual harassment in the past 12 months by age of respondent, 2016, proportion of women (%)</w:t>
      </w:r>
    </w:p>
    <w:tbl>
      <w:tblPr>
        <w:tblStyle w:val="Datatableumber"/>
        <w:tblW w:w="9072" w:type="dxa"/>
        <w:tblLayout w:type="fixed"/>
        <w:tblLook w:val="06A0" w:firstRow="1" w:lastRow="0" w:firstColumn="1" w:lastColumn="0" w:noHBand="1" w:noVBand="1"/>
      </w:tblPr>
      <w:tblGrid>
        <w:gridCol w:w="4252"/>
        <w:gridCol w:w="4820"/>
      </w:tblGrid>
      <w:tr w:rsidR="00514CC0" w14:paraId="75477FD8" w14:textId="77777777" w:rsidTr="00F0324E">
        <w:trPr>
          <w:cnfStyle w:val="100000000000" w:firstRow="1" w:lastRow="0" w:firstColumn="0" w:lastColumn="0" w:oddVBand="0" w:evenVBand="0" w:oddHBand="0" w:evenHBand="0" w:firstRowFirstColumn="0" w:firstRowLastColumn="0" w:lastRowFirstColumn="0" w:lastRowLastColumn="0"/>
          <w:cantSplit/>
          <w:trHeight w:val="60"/>
          <w:tblHeader/>
        </w:trPr>
        <w:tc>
          <w:tcPr>
            <w:tcW w:w="4252" w:type="dxa"/>
          </w:tcPr>
          <w:p w14:paraId="75007F8B" w14:textId="77777777" w:rsidR="00514CC0" w:rsidRPr="008A53B4" w:rsidRDefault="00E72B49">
            <w:pPr>
              <w:pStyle w:val="OWTablecolumnheadleft"/>
            </w:pPr>
            <w:r w:rsidRPr="008A53B4">
              <w:t>Age group</w:t>
            </w:r>
          </w:p>
        </w:tc>
        <w:tc>
          <w:tcPr>
            <w:tcW w:w="4819" w:type="dxa"/>
          </w:tcPr>
          <w:p w14:paraId="2F29E51E" w14:textId="77777777" w:rsidR="00514CC0" w:rsidRPr="008A53B4" w:rsidRDefault="00E72B49">
            <w:pPr>
              <w:pStyle w:val="OWTablecolumnheadcentre"/>
            </w:pPr>
            <w:r w:rsidRPr="008A53B4">
              <w:t>Proportion of women from that age group who experienced sexual harassment in the previous 12 months, 2016 (%)</w:t>
            </w:r>
          </w:p>
        </w:tc>
      </w:tr>
      <w:tr w:rsidR="00514CC0" w14:paraId="33A1F945" w14:textId="77777777" w:rsidTr="00F0324E">
        <w:trPr>
          <w:cantSplit/>
          <w:trHeight w:val="60"/>
        </w:trPr>
        <w:tc>
          <w:tcPr>
            <w:tcW w:w="4252" w:type="dxa"/>
          </w:tcPr>
          <w:p w14:paraId="53007A67" w14:textId="77777777" w:rsidR="00514CC0" w:rsidRDefault="00E72B49">
            <w:pPr>
              <w:pStyle w:val="OWTablebodyleft"/>
            </w:pPr>
            <w:r>
              <w:t>18 to 24 years</w:t>
            </w:r>
          </w:p>
        </w:tc>
        <w:tc>
          <w:tcPr>
            <w:tcW w:w="4819" w:type="dxa"/>
          </w:tcPr>
          <w:p w14:paraId="5464A1DA" w14:textId="77777777" w:rsidR="00514CC0" w:rsidRDefault="00E72B49">
            <w:pPr>
              <w:pStyle w:val="OWTablebodycentre"/>
            </w:pPr>
            <w:r>
              <w:t>38.3%</w:t>
            </w:r>
          </w:p>
        </w:tc>
      </w:tr>
      <w:tr w:rsidR="00514CC0" w14:paraId="0178A60E" w14:textId="77777777" w:rsidTr="00F0324E">
        <w:trPr>
          <w:cantSplit/>
          <w:trHeight w:val="60"/>
        </w:trPr>
        <w:tc>
          <w:tcPr>
            <w:tcW w:w="4252" w:type="dxa"/>
          </w:tcPr>
          <w:p w14:paraId="67E49412" w14:textId="77777777" w:rsidR="00514CC0" w:rsidRDefault="00E72B49">
            <w:pPr>
              <w:pStyle w:val="OWTablebodyleft"/>
            </w:pPr>
            <w:r>
              <w:t>25 to 34 years</w:t>
            </w:r>
          </w:p>
        </w:tc>
        <w:tc>
          <w:tcPr>
            <w:tcW w:w="4819" w:type="dxa"/>
          </w:tcPr>
          <w:p w14:paraId="471165BC" w14:textId="77777777" w:rsidR="00514CC0" w:rsidRDefault="00E72B49">
            <w:pPr>
              <w:pStyle w:val="OWTablebodycentre"/>
            </w:pPr>
            <w:r>
              <w:t>24.8%</w:t>
            </w:r>
          </w:p>
        </w:tc>
      </w:tr>
      <w:tr w:rsidR="00514CC0" w14:paraId="527DC48E" w14:textId="77777777" w:rsidTr="00F0324E">
        <w:trPr>
          <w:cantSplit/>
          <w:trHeight w:val="60"/>
        </w:trPr>
        <w:tc>
          <w:tcPr>
            <w:tcW w:w="4252" w:type="dxa"/>
          </w:tcPr>
          <w:p w14:paraId="0C8728E0" w14:textId="77777777" w:rsidR="00514CC0" w:rsidRDefault="00E72B49">
            <w:pPr>
              <w:pStyle w:val="OWTablebodyleft"/>
            </w:pPr>
            <w:r>
              <w:t>35 to 44 years</w:t>
            </w:r>
          </w:p>
        </w:tc>
        <w:tc>
          <w:tcPr>
            <w:tcW w:w="4819" w:type="dxa"/>
          </w:tcPr>
          <w:p w14:paraId="3837DF49" w14:textId="77777777" w:rsidR="00514CC0" w:rsidRDefault="00E72B49">
            <w:pPr>
              <w:pStyle w:val="OWTablebodycentre"/>
            </w:pPr>
            <w:r>
              <w:t>17.4%</w:t>
            </w:r>
          </w:p>
        </w:tc>
      </w:tr>
      <w:tr w:rsidR="00514CC0" w14:paraId="533C19A0" w14:textId="77777777" w:rsidTr="00F0324E">
        <w:trPr>
          <w:cantSplit/>
          <w:trHeight w:val="60"/>
        </w:trPr>
        <w:tc>
          <w:tcPr>
            <w:tcW w:w="4252" w:type="dxa"/>
          </w:tcPr>
          <w:p w14:paraId="3DEA5341" w14:textId="77777777" w:rsidR="00514CC0" w:rsidRDefault="00E72B49">
            <w:pPr>
              <w:pStyle w:val="OWTablebodyleft"/>
            </w:pPr>
            <w:r>
              <w:t>45 to 54 years</w:t>
            </w:r>
          </w:p>
        </w:tc>
        <w:tc>
          <w:tcPr>
            <w:tcW w:w="4819" w:type="dxa"/>
          </w:tcPr>
          <w:p w14:paraId="6188AC05" w14:textId="77777777" w:rsidR="00514CC0" w:rsidRDefault="00E72B49">
            <w:pPr>
              <w:pStyle w:val="OWTablebodycentre"/>
            </w:pPr>
            <w:r>
              <w:t>14.7%</w:t>
            </w:r>
          </w:p>
        </w:tc>
      </w:tr>
      <w:tr w:rsidR="00514CC0" w14:paraId="4F8982A1" w14:textId="77777777" w:rsidTr="00F0324E">
        <w:trPr>
          <w:cantSplit/>
          <w:trHeight w:val="60"/>
        </w:trPr>
        <w:tc>
          <w:tcPr>
            <w:tcW w:w="4252" w:type="dxa"/>
          </w:tcPr>
          <w:p w14:paraId="43AFF8D9" w14:textId="77777777" w:rsidR="00514CC0" w:rsidRDefault="00E72B49">
            <w:pPr>
              <w:pStyle w:val="OWTablebodyleft"/>
            </w:pPr>
            <w:r>
              <w:t>55 to 64 years</w:t>
            </w:r>
          </w:p>
        </w:tc>
        <w:tc>
          <w:tcPr>
            <w:tcW w:w="4819" w:type="dxa"/>
          </w:tcPr>
          <w:p w14:paraId="50EA81FC" w14:textId="77777777" w:rsidR="00514CC0" w:rsidRDefault="00E72B49">
            <w:pPr>
              <w:pStyle w:val="OWTablebodycentre"/>
            </w:pPr>
            <w:r>
              <w:t>10.3%</w:t>
            </w:r>
          </w:p>
        </w:tc>
      </w:tr>
      <w:tr w:rsidR="00514CC0" w14:paraId="39DD6DD7" w14:textId="77777777" w:rsidTr="00F0324E">
        <w:trPr>
          <w:cantSplit/>
          <w:trHeight w:val="60"/>
        </w:trPr>
        <w:tc>
          <w:tcPr>
            <w:tcW w:w="4252" w:type="dxa"/>
          </w:tcPr>
          <w:p w14:paraId="69652B69" w14:textId="77777777" w:rsidR="00514CC0" w:rsidRDefault="00E72B49">
            <w:pPr>
              <w:pStyle w:val="OWTablebodyleft"/>
            </w:pPr>
            <w:r>
              <w:t>65 years and over</w:t>
            </w:r>
          </w:p>
        </w:tc>
        <w:tc>
          <w:tcPr>
            <w:tcW w:w="4819" w:type="dxa"/>
          </w:tcPr>
          <w:p w14:paraId="693F3B93" w14:textId="77777777" w:rsidR="00514CC0" w:rsidRDefault="00E72B49">
            <w:pPr>
              <w:pStyle w:val="OWTablebodycentre"/>
            </w:pPr>
            <w:r>
              <w:t>4.7%</w:t>
            </w:r>
          </w:p>
        </w:tc>
      </w:tr>
      <w:tr w:rsidR="00514CC0" w14:paraId="0009FCE8" w14:textId="77777777" w:rsidTr="00F0324E">
        <w:trPr>
          <w:cantSplit/>
          <w:trHeight w:val="60"/>
        </w:trPr>
        <w:tc>
          <w:tcPr>
            <w:tcW w:w="4252" w:type="dxa"/>
          </w:tcPr>
          <w:p w14:paraId="7ECB991C" w14:textId="77777777" w:rsidR="00514CC0" w:rsidRDefault="00E72B49">
            <w:pPr>
              <w:pStyle w:val="OWTablebodyleft"/>
            </w:pPr>
            <w:r w:rsidRPr="002D0D52">
              <w:rPr>
                <w:rStyle w:val="Strong"/>
              </w:rPr>
              <w:t>Any age (total population of women)</w:t>
            </w:r>
          </w:p>
        </w:tc>
        <w:tc>
          <w:tcPr>
            <w:tcW w:w="4819" w:type="dxa"/>
          </w:tcPr>
          <w:p w14:paraId="63BDB65D" w14:textId="77777777" w:rsidR="00514CC0" w:rsidRDefault="00E72B49">
            <w:pPr>
              <w:pStyle w:val="OWTablebodycentre"/>
            </w:pPr>
            <w:r w:rsidRPr="002D0D52">
              <w:rPr>
                <w:rStyle w:val="Strong"/>
              </w:rPr>
              <w:t>17.3%</w:t>
            </w:r>
          </w:p>
        </w:tc>
      </w:tr>
    </w:tbl>
    <w:p w14:paraId="741A0272" w14:textId="77777777" w:rsidR="00514CC0" w:rsidRDefault="00E72B49">
      <w:pPr>
        <w:pStyle w:val="OWTablefootnote"/>
      </w:pPr>
      <w:r>
        <w:t>Source: PSS 2016</w:t>
      </w:r>
    </w:p>
    <w:p w14:paraId="24DCC8F8" w14:textId="77777777" w:rsidR="00514CC0" w:rsidRDefault="00E72B49" w:rsidP="00F868FE">
      <w:pPr>
        <w:pStyle w:val="Heading5"/>
      </w:pPr>
      <w:r>
        <w:t>Disability and long-term health conditions</w:t>
      </w:r>
    </w:p>
    <w:p w14:paraId="4516959B" w14:textId="53ABD10C" w:rsidR="00514CC0" w:rsidRDefault="00E72B49">
      <w:pPr>
        <w:pStyle w:val="BodyText"/>
      </w:pPr>
      <w:r>
        <w:t xml:space="preserve">On the basis of the 2016 PSS data, </w:t>
      </w:r>
      <w:r w:rsidRPr="002D0D52">
        <w:rPr>
          <w:rStyle w:val="Strong"/>
        </w:rPr>
        <w:t>women with disability or long-term health conditions are more likely than women without disability or long-term health conditions to have experienced sexual harassment</w:t>
      </w:r>
      <w:r>
        <w:t>.</w:t>
      </w:r>
      <w:r>
        <w:rPr>
          <w:rStyle w:val="OWSuperscript"/>
        </w:rPr>
        <w:footnoteReference w:id="66"/>
      </w:r>
      <w:r>
        <w:t xml:space="preserve"> Nearly one in 20 (19.1%) of women with disability or long-term health conditions reported experiencing sexual harassment by any perpetrator in the past 12 months. In comparison, 16.5% of women without disability or long-term health conditions reported experiencing sexual harassment in the previous 12 months.</w:t>
      </w:r>
      <w:r w:rsidR="00252ABC">
        <w:rPr>
          <w:rStyle w:val="EndnoteReference"/>
        </w:rPr>
        <w:endnoteReference w:id="514"/>
      </w:r>
    </w:p>
    <w:p w14:paraId="0E76280A" w14:textId="660A46AE" w:rsidR="00514CC0" w:rsidRDefault="00E72B49">
      <w:pPr>
        <w:pStyle w:val="BodyText"/>
      </w:pPr>
      <w:r>
        <w:t>Men are over three times more likely than women to perpetrate sexual harassment against women with disability or long-term health conditions, with 17.3% of women with disability reporting having experienced sexual harassment in the past 12 months perpetrated by a man, compared to 5.4% who experienced sexual harassment by a woman.</w:t>
      </w:r>
      <w:r w:rsidR="00252ABC">
        <w:rPr>
          <w:rStyle w:val="EndnoteReference"/>
        </w:rPr>
        <w:endnoteReference w:id="515"/>
      </w:r>
    </w:p>
    <w:p w14:paraId="65EABB1B" w14:textId="77777777" w:rsidR="00514CC0" w:rsidRDefault="00E72B49" w:rsidP="00F868FE">
      <w:pPr>
        <w:pStyle w:val="Heading5"/>
      </w:pPr>
      <w:r>
        <w:t>Socioeconomic disadvantage</w:t>
      </w:r>
    </w:p>
    <w:p w14:paraId="7918F2D7" w14:textId="56D45C50" w:rsidR="00514CC0" w:rsidRDefault="00E72B49">
      <w:pPr>
        <w:pStyle w:val="BodyText"/>
      </w:pPr>
      <w:r>
        <w:t xml:space="preserve">On the basis of the 2016 PSS data, </w:t>
      </w:r>
      <w:r w:rsidRPr="002D0D52">
        <w:rPr>
          <w:rStyle w:val="Strong"/>
        </w:rPr>
        <w:t xml:space="preserve">women from the lowest two quintiles of socioeconomic disadvantage status are more likely than other women to have experienced sexual harassment in the past 12 months </w:t>
      </w:r>
      <w:r>
        <w:t xml:space="preserve">(see Table </w:t>
      </w:r>
      <w:r w:rsidR="0017588F">
        <w:t>46</w:t>
      </w:r>
      <w:r>
        <w:t>, below).</w:t>
      </w:r>
    </w:p>
    <w:p w14:paraId="4D2921DC" w14:textId="77D18B31" w:rsidR="00514CC0" w:rsidRDefault="00E72B49">
      <w:pPr>
        <w:pStyle w:val="OWTablecaption"/>
      </w:pPr>
      <w:r>
        <w:lastRenderedPageBreak/>
        <w:t xml:space="preserve">Table </w:t>
      </w:r>
      <w:r w:rsidR="0017588F">
        <w:t>46</w:t>
      </w:r>
      <w:r>
        <w:t>: Women’s experiences of sexual harassment in the past 12 months by socioeconomic index of disadvantage, 2016, proportion of women (%)</w:t>
      </w:r>
    </w:p>
    <w:tbl>
      <w:tblPr>
        <w:tblStyle w:val="Datatableumber"/>
        <w:tblW w:w="9072" w:type="dxa"/>
        <w:tblLayout w:type="fixed"/>
        <w:tblLook w:val="06A0" w:firstRow="1" w:lastRow="0" w:firstColumn="1" w:lastColumn="0" w:noHBand="1" w:noVBand="1"/>
      </w:tblPr>
      <w:tblGrid>
        <w:gridCol w:w="4535"/>
        <w:gridCol w:w="4537"/>
      </w:tblGrid>
      <w:tr w:rsidR="00514CC0" w14:paraId="506227D1" w14:textId="77777777" w:rsidTr="00F0324E">
        <w:trPr>
          <w:cnfStyle w:val="100000000000" w:firstRow="1" w:lastRow="0" w:firstColumn="0" w:lastColumn="0" w:oddVBand="0" w:evenVBand="0" w:oddHBand="0" w:evenHBand="0" w:firstRowFirstColumn="0" w:firstRowLastColumn="0" w:lastRowFirstColumn="0" w:lastRowLastColumn="0"/>
          <w:cantSplit/>
          <w:trHeight w:val="60"/>
          <w:tblHeader/>
        </w:trPr>
        <w:tc>
          <w:tcPr>
            <w:tcW w:w="4535" w:type="dxa"/>
          </w:tcPr>
          <w:p w14:paraId="3E04C339" w14:textId="215BF483" w:rsidR="00514CC0" w:rsidRPr="008A53B4" w:rsidRDefault="00E72B49">
            <w:pPr>
              <w:pStyle w:val="OWTablecolumnheadleft"/>
            </w:pPr>
            <w:r w:rsidRPr="008A53B4">
              <w:t>Quintile of socioeconomic index</w:t>
            </w:r>
            <w:r w:rsidR="008A53B4">
              <w:t> </w:t>
            </w:r>
            <w:r w:rsidRPr="008A53B4">
              <w:t>of</w:t>
            </w:r>
            <w:r w:rsidR="008A53B4">
              <w:t> </w:t>
            </w:r>
            <w:r w:rsidRPr="008A53B4">
              <w:t>disadvantage</w:t>
            </w:r>
          </w:p>
        </w:tc>
        <w:tc>
          <w:tcPr>
            <w:tcW w:w="4536" w:type="dxa"/>
          </w:tcPr>
          <w:p w14:paraId="57C2346D" w14:textId="77777777" w:rsidR="00514CC0" w:rsidRPr="008A53B4" w:rsidRDefault="00E72B49">
            <w:pPr>
              <w:pStyle w:val="OWTablecolumnheadcentre"/>
            </w:pPr>
            <w:r w:rsidRPr="008A53B4">
              <w:t>Proportion of women from that quintile who experienced sexual harassment in the past 12 months, 2016 (%)</w:t>
            </w:r>
          </w:p>
        </w:tc>
      </w:tr>
      <w:tr w:rsidR="00514CC0" w14:paraId="4DAC53F1" w14:textId="77777777" w:rsidTr="00F0324E">
        <w:trPr>
          <w:cantSplit/>
          <w:trHeight w:val="60"/>
        </w:trPr>
        <w:tc>
          <w:tcPr>
            <w:tcW w:w="4535" w:type="dxa"/>
          </w:tcPr>
          <w:p w14:paraId="609E5E2E" w14:textId="77777777" w:rsidR="00514CC0" w:rsidRDefault="00E72B49">
            <w:pPr>
              <w:pStyle w:val="OWTablebodyleft"/>
            </w:pPr>
            <w:r>
              <w:t>Lowest quintile</w:t>
            </w:r>
          </w:p>
        </w:tc>
        <w:tc>
          <w:tcPr>
            <w:tcW w:w="4536" w:type="dxa"/>
          </w:tcPr>
          <w:p w14:paraId="36900213" w14:textId="77777777" w:rsidR="00514CC0" w:rsidRDefault="00E72B49">
            <w:pPr>
              <w:pStyle w:val="OWTablebodycentre"/>
            </w:pPr>
            <w:r>
              <w:t>18.5%</w:t>
            </w:r>
          </w:p>
        </w:tc>
      </w:tr>
      <w:tr w:rsidR="00514CC0" w14:paraId="546E1832" w14:textId="77777777" w:rsidTr="00F0324E">
        <w:trPr>
          <w:cantSplit/>
          <w:trHeight w:val="60"/>
        </w:trPr>
        <w:tc>
          <w:tcPr>
            <w:tcW w:w="4535" w:type="dxa"/>
          </w:tcPr>
          <w:p w14:paraId="671D1180" w14:textId="77777777" w:rsidR="00514CC0" w:rsidRDefault="00E72B49">
            <w:pPr>
              <w:pStyle w:val="OWTablebodyleft"/>
            </w:pPr>
            <w:r>
              <w:t>Second quintile</w:t>
            </w:r>
          </w:p>
        </w:tc>
        <w:tc>
          <w:tcPr>
            <w:tcW w:w="4536" w:type="dxa"/>
          </w:tcPr>
          <w:p w14:paraId="61354A3E" w14:textId="77777777" w:rsidR="00514CC0" w:rsidRDefault="00E72B49">
            <w:pPr>
              <w:pStyle w:val="OWTablebodycentre"/>
            </w:pPr>
            <w:r>
              <w:t>19.5%</w:t>
            </w:r>
          </w:p>
        </w:tc>
      </w:tr>
      <w:tr w:rsidR="00514CC0" w14:paraId="1CE593AD" w14:textId="77777777" w:rsidTr="00F0324E">
        <w:trPr>
          <w:cantSplit/>
          <w:trHeight w:val="60"/>
        </w:trPr>
        <w:tc>
          <w:tcPr>
            <w:tcW w:w="4535" w:type="dxa"/>
          </w:tcPr>
          <w:p w14:paraId="1EA310AE" w14:textId="77777777" w:rsidR="00514CC0" w:rsidRDefault="00E72B49">
            <w:pPr>
              <w:pStyle w:val="OWTablebodyleft"/>
            </w:pPr>
            <w:r>
              <w:t>Third quintile</w:t>
            </w:r>
          </w:p>
        </w:tc>
        <w:tc>
          <w:tcPr>
            <w:tcW w:w="4536" w:type="dxa"/>
          </w:tcPr>
          <w:p w14:paraId="70C3A6DE" w14:textId="77777777" w:rsidR="00514CC0" w:rsidRDefault="00E72B49">
            <w:pPr>
              <w:pStyle w:val="OWTablebodycentre"/>
            </w:pPr>
            <w:r>
              <w:t>15.3%</w:t>
            </w:r>
          </w:p>
        </w:tc>
      </w:tr>
      <w:tr w:rsidR="00514CC0" w14:paraId="03E5AFE0" w14:textId="77777777" w:rsidTr="00F0324E">
        <w:trPr>
          <w:cantSplit/>
          <w:trHeight w:val="60"/>
        </w:trPr>
        <w:tc>
          <w:tcPr>
            <w:tcW w:w="4535" w:type="dxa"/>
          </w:tcPr>
          <w:p w14:paraId="2E5F2599" w14:textId="77777777" w:rsidR="00514CC0" w:rsidRDefault="00E72B49">
            <w:pPr>
              <w:pStyle w:val="OWTablebodyleft"/>
            </w:pPr>
            <w:r>
              <w:t>Fourth quintile</w:t>
            </w:r>
          </w:p>
        </w:tc>
        <w:tc>
          <w:tcPr>
            <w:tcW w:w="4536" w:type="dxa"/>
          </w:tcPr>
          <w:p w14:paraId="13321894" w14:textId="77777777" w:rsidR="00514CC0" w:rsidRDefault="00E72B49">
            <w:pPr>
              <w:pStyle w:val="OWTablebodycentre"/>
            </w:pPr>
            <w:r>
              <w:t>16.8%</w:t>
            </w:r>
          </w:p>
        </w:tc>
      </w:tr>
      <w:tr w:rsidR="00514CC0" w14:paraId="6382470B" w14:textId="77777777" w:rsidTr="00F0324E">
        <w:trPr>
          <w:cantSplit/>
          <w:trHeight w:val="60"/>
        </w:trPr>
        <w:tc>
          <w:tcPr>
            <w:tcW w:w="4535" w:type="dxa"/>
          </w:tcPr>
          <w:p w14:paraId="1D98CA24" w14:textId="77777777" w:rsidR="00514CC0" w:rsidRDefault="00E72B49">
            <w:pPr>
              <w:pStyle w:val="OWTablebodyleft"/>
            </w:pPr>
            <w:r>
              <w:t>Highest quintile</w:t>
            </w:r>
          </w:p>
        </w:tc>
        <w:tc>
          <w:tcPr>
            <w:tcW w:w="4536" w:type="dxa"/>
          </w:tcPr>
          <w:p w14:paraId="098F8F8A" w14:textId="77777777" w:rsidR="00514CC0" w:rsidRDefault="00E72B49">
            <w:pPr>
              <w:pStyle w:val="OWTablebodycentre"/>
            </w:pPr>
            <w:r>
              <w:t>16.6%</w:t>
            </w:r>
          </w:p>
        </w:tc>
      </w:tr>
      <w:tr w:rsidR="00514CC0" w14:paraId="51720DF2" w14:textId="77777777" w:rsidTr="00F0324E">
        <w:trPr>
          <w:cantSplit/>
          <w:trHeight w:val="60"/>
        </w:trPr>
        <w:tc>
          <w:tcPr>
            <w:tcW w:w="4535" w:type="dxa"/>
          </w:tcPr>
          <w:p w14:paraId="17EC6DC1" w14:textId="77777777" w:rsidR="00514CC0" w:rsidRDefault="00E72B49">
            <w:pPr>
              <w:pStyle w:val="OWTablebodyleft"/>
            </w:pPr>
            <w:r w:rsidRPr="002D0D52">
              <w:rPr>
                <w:rStyle w:val="Strong"/>
              </w:rPr>
              <w:t>Any quintile (total population of women)</w:t>
            </w:r>
          </w:p>
        </w:tc>
        <w:tc>
          <w:tcPr>
            <w:tcW w:w="4536" w:type="dxa"/>
          </w:tcPr>
          <w:p w14:paraId="643B4925" w14:textId="77777777" w:rsidR="00514CC0" w:rsidRDefault="00E72B49">
            <w:pPr>
              <w:pStyle w:val="OWTablebodycentre"/>
            </w:pPr>
            <w:r w:rsidRPr="002D0D52">
              <w:rPr>
                <w:rStyle w:val="Strong"/>
              </w:rPr>
              <w:t>17.3%</w:t>
            </w:r>
          </w:p>
        </w:tc>
      </w:tr>
    </w:tbl>
    <w:p w14:paraId="20E18B5D" w14:textId="77777777" w:rsidR="00514CC0" w:rsidRDefault="00E72B49">
      <w:pPr>
        <w:pStyle w:val="OWTablefootnote"/>
      </w:pPr>
      <w:r>
        <w:t>Source: ABS, PSS 2016</w:t>
      </w:r>
    </w:p>
    <w:p w14:paraId="07AC2F87" w14:textId="5994B1A3" w:rsidR="00514CC0" w:rsidRDefault="00E72B49" w:rsidP="00E1549C">
      <w:pPr>
        <w:pStyle w:val="Heading4"/>
        <w:rPr>
          <w:rStyle w:val="OWCharacterUmber"/>
        </w:rPr>
      </w:pPr>
      <w:r>
        <w:rPr>
          <w:rStyle w:val="OWCharacterUmber"/>
        </w:rPr>
        <w:t>Indicator 11.5: Number of women killed per year by any (non-state</w:t>
      </w:r>
      <w:r w:rsidR="00F42FFD">
        <w:rPr>
          <w:rStyle w:val="OWCharacterUmber"/>
        </w:rPr>
        <w:t xml:space="preserve"> </w:t>
      </w:r>
      <w:r>
        <w:rPr>
          <w:rStyle w:val="OWCharacterUmber"/>
        </w:rPr>
        <w:t>actor) perpetrator (</w:t>
      </w:r>
      <w:r w:rsidR="000F3FAA">
        <w:rPr>
          <w:rStyle w:val="OWCharacterUmber"/>
        </w:rPr>
        <w:t>femicide</w:t>
      </w:r>
      <w:r>
        <w:rPr>
          <w:rStyle w:val="OWCharacterUmber"/>
        </w:rPr>
        <w:t>)</w:t>
      </w:r>
      <w:r>
        <w:rPr>
          <w:rStyle w:val="OWSuperscriptUmber"/>
        </w:rPr>
        <w:footnoteReference w:id="67"/>
      </w:r>
    </w:p>
    <w:tbl>
      <w:tblPr>
        <w:tblStyle w:val="Indicatoroutlineumber"/>
        <w:tblW w:w="9072" w:type="dxa"/>
        <w:tblLayout w:type="fixed"/>
        <w:tblLook w:val="0680" w:firstRow="0" w:lastRow="0" w:firstColumn="1" w:lastColumn="0" w:noHBand="1" w:noVBand="1"/>
      </w:tblPr>
      <w:tblGrid>
        <w:gridCol w:w="2835"/>
        <w:gridCol w:w="6237"/>
      </w:tblGrid>
      <w:tr w:rsidR="00514CC0" w14:paraId="204AB2F3" w14:textId="77777777" w:rsidTr="00F0324E">
        <w:trPr>
          <w:cantSplit/>
          <w:trHeight w:val="60"/>
        </w:trPr>
        <w:tc>
          <w:tcPr>
            <w:tcW w:w="2835" w:type="dxa"/>
          </w:tcPr>
          <w:p w14:paraId="73A7FF1E" w14:textId="77777777" w:rsidR="00514CC0" w:rsidRDefault="00E72B49">
            <w:pPr>
              <w:pStyle w:val="OWTablebodyleft"/>
            </w:pPr>
            <w:r>
              <w:t>What does this indicator tell us about Monitoring domain 11: Prevalence of violence against women?</w:t>
            </w:r>
          </w:p>
        </w:tc>
        <w:tc>
          <w:tcPr>
            <w:tcW w:w="6236" w:type="dxa"/>
          </w:tcPr>
          <w:p w14:paraId="0EF32121" w14:textId="77777777" w:rsidR="00514CC0" w:rsidRDefault="00E72B49">
            <w:pPr>
              <w:pStyle w:val="OWTablebodyleft"/>
            </w:pPr>
            <w:r>
              <w:t xml:space="preserve">Homicide of women (or ‘femicide’) represents the most extreme form of violence against women. Women are more likely to be killed by a partner or other known person than a stranger, and homicide is often preceded by other acts of violence, especially in the case of partner-perpetrated homicide. </w:t>
            </w:r>
          </w:p>
        </w:tc>
      </w:tr>
      <w:tr w:rsidR="00514CC0" w14:paraId="693CC7E6" w14:textId="77777777" w:rsidTr="00F0324E">
        <w:trPr>
          <w:cantSplit/>
          <w:trHeight w:val="60"/>
        </w:trPr>
        <w:tc>
          <w:tcPr>
            <w:tcW w:w="2835" w:type="dxa"/>
          </w:tcPr>
          <w:p w14:paraId="6CBFE473" w14:textId="77777777" w:rsidR="00514CC0" w:rsidRDefault="00E72B49">
            <w:pPr>
              <w:pStyle w:val="OWTablebodyleft"/>
            </w:pPr>
            <w:r>
              <w:t>Expected change if high-quality programs and infrastructure for prevention of violence against women and gender equality are implemented</w:t>
            </w:r>
          </w:p>
        </w:tc>
        <w:tc>
          <w:tcPr>
            <w:tcW w:w="6236" w:type="dxa"/>
          </w:tcPr>
          <w:p w14:paraId="18ABF742" w14:textId="77777777" w:rsidR="00514CC0" w:rsidRDefault="00E72B49">
            <w:pPr>
              <w:pStyle w:val="OWTablebodyleft"/>
            </w:pPr>
            <w:r>
              <w:t>Short- and medium-term: Little to no change to the prevalence of homicide of women.</w:t>
            </w:r>
          </w:p>
          <w:p w14:paraId="18394C9C" w14:textId="748B05A8" w:rsidR="00514CC0" w:rsidRDefault="00E72B49">
            <w:pPr>
              <w:pStyle w:val="OWTablebodyleft"/>
            </w:pPr>
            <w:r>
              <w:t>Long-term: A decrease in the rate of homicide of women as</w:t>
            </w:r>
            <w:r w:rsidR="00093BCF">
              <w:t> </w:t>
            </w:r>
            <w:r>
              <w:t>the drivers of violence against women are addressed.</w:t>
            </w:r>
          </w:p>
        </w:tc>
      </w:tr>
      <w:tr w:rsidR="00514CC0" w14:paraId="625EA965" w14:textId="77777777" w:rsidTr="00F0324E">
        <w:trPr>
          <w:cantSplit/>
          <w:trHeight w:val="60"/>
        </w:trPr>
        <w:tc>
          <w:tcPr>
            <w:tcW w:w="2835" w:type="dxa"/>
          </w:tcPr>
          <w:p w14:paraId="5BCDAA7B" w14:textId="77777777" w:rsidR="00514CC0" w:rsidRDefault="00E72B49">
            <w:pPr>
              <w:pStyle w:val="OWTablebodyleft"/>
            </w:pPr>
            <w:r>
              <w:lastRenderedPageBreak/>
              <w:t>Data source(s)</w:t>
            </w:r>
          </w:p>
        </w:tc>
        <w:tc>
          <w:tcPr>
            <w:tcW w:w="6236" w:type="dxa"/>
          </w:tcPr>
          <w:p w14:paraId="7C12080C" w14:textId="77777777" w:rsidR="00514CC0" w:rsidRDefault="00E72B49" w:rsidP="002C2EC7">
            <w:pPr>
              <w:pStyle w:val="OWTablenumberdigit"/>
              <w:numPr>
                <w:ilvl w:val="0"/>
                <w:numId w:val="41"/>
              </w:numPr>
            </w:pPr>
            <w:r>
              <w:t>Australian Institute of Criminology National Homicide Monitoring Program 2012–13, 2013–14 (published 2017) and 2015–16 (published 2019)</w:t>
            </w:r>
          </w:p>
          <w:p w14:paraId="5ACBAC9E" w14:textId="77777777" w:rsidR="00514CC0" w:rsidRDefault="00E72B49">
            <w:pPr>
              <w:pStyle w:val="OWTablenumberdigit"/>
            </w:pPr>
            <w:r>
              <w:t>Australian Domestic and Family Violence Death Review Network analysis of coronial records, 2010 to 2014 (published 2018)</w:t>
            </w:r>
          </w:p>
          <w:p w14:paraId="52AA17C4" w14:textId="77777777" w:rsidR="00514CC0" w:rsidRDefault="00E72B49">
            <w:pPr>
              <w:pStyle w:val="OWTablenumberdigit"/>
            </w:pPr>
            <w:r>
              <w:t>Recorded Crime – Victims, Australia, 2010 to 2018, ABS</w:t>
            </w:r>
          </w:p>
        </w:tc>
      </w:tr>
      <w:tr w:rsidR="00514CC0" w14:paraId="6D0B5CD7" w14:textId="77777777" w:rsidTr="00F0324E">
        <w:trPr>
          <w:cantSplit/>
          <w:trHeight w:val="60"/>
        </w:trPr>
        <w:tc>
          <w:tcPr>
            <w:tcW w:w="2835" w:type="dxa"/>
          </w:tcPr>
          <w:p w14:paraId="649576CF" w14:textId="77777777" w:rsidR="00514CC0" w:rsidRDefault="00E72B49">
            <w:pPr>
              <w:pStyle w:val="OWTablebodyleft"/>
            </w:pPr>
            <w:r>
              <w:t>Change over time summary: short-term change revealed by the data</w:t>
            </w:r>
          </w:p>
        </w:tc>
        <w:tc>
          <w:tcPr>
            <w:tcW w:w="6236" w:type="dxa"/>
          </w:tcPr>
          <w:p w14:paraId="54FBCB59" w14:textId="77777777" w:rsidR="00514CC0" w:rsidRDefault="00E72B49">
            <w:pPr>
              <w:pStyle w:val="OWTablebodyleft"/>
            </w:pPr>
            <w:r>
              <w:t>Available Homicide Monitoring Program and Recorded Crime – Victims data shows relative consistency in overall female homicide victimisation rates, with a slight decline over time. Aboriginal and Torres Strait Islander women are over-represented as victims of homicide, and victimisation rates are unstable, with no decline over time noted.</w:t>
            </w:r>
          </w:p>
          <w:p w14:paraId="5AB5019A" w14:textId="77777777" w:rsidR="00514CC0" w:rsidRDefault="00E72B49">
            <w:pPr>
              <w:pStyle w:val="OWTablebodyleft"/>
            </w:pPr>
            <w:r>
              <w:t>Data on intimate partner-perpetrated homicide is only nascent; as such, only baseline data is available. This data shows that women are over-represented as victims of male-perpetrated partner violence, and that these figures include high representation of migrant, refugee and Aboriginal and Torres Strait Islander women.</w:t>
            </w:r>
          </w:p>
        </w:tc>
      </w:tr>
      <w:tr w:rsidR="00514CC0" w14:paraId="74581A43" w14:textId="77777777" w:rsidTr="00F0324E">
        <w:trPr>
          <w:cantSplit/>
          <w:trHeight w:val="60"/>
        </w:trPr>
        <w:tc>
          <w:tcPr>
            <w:tcW w:w="2835" w:type="dxa"/>
          </w:tcPr>
          <w:p w14:paraId="67F59386" w14:textId="77777777" w:rsidR="00514CC0" w:rsidRDefault="00E72B49">
            <w:pPr>
              <w:pStyle w:val="OWTablebodyleft"/>
            </w:pPr>
            <w:r>
              <w:t>Does the change confirm or run contrary to expected change?</w:t>
            </w:r>
          </w:p>
        </w:tc>
        <w:tc>
          <w:tcPr>
            <w:tcW w:w="6236" w:type="dxa"/>
          </w:tcPr>
          <w:p w14:paraId="5329596A" w14:textId="77777777" w:rsidR="00514CC0" w:rsidRDefault="00E72B49">
            <w:pPr>
              <w:pStyle w:val="OWTablebodyleft"/>
            </w:pPr>
            <w:r>
              <w:t>Confirms limited to no change at this point.</w:t>
            </w:r>
          </w:p>
        </w:tc>
      </w:tr>
      <w:tr w:rsidR="00514CC0" w14:paraId="3C3B345C" w14:textId="77777777" w:rsidTr="00F0324E">
        <w:trPr>
          <w:cantSplit/>
          <w:trHeight w:val="274"/>
        </w:trPr>
        <w:tc>
          <w:tcPr>
            <w:tcW w:w="2835" w:type="dxa"/>
          </w:tcPr>
          <w:p w14:paraId="72F4659C" w14:textId="77777777" w:rsidR="00514CC0" w:rsidRDefault="00E72B49">
            <w:pPr>
              <w:pStyle w:val="OWTablebodyleft"/>
            </w:pPr>
            <w:r>
              <w:t>Gaps in existing data</w:t>
            </w:r>
          </w:p>
        </w:tc>
        <w:tc>
          <w:tcPr>
            <w:tcW w:w="6236" w:type="dxa"/>
          </w:tcPr>
          <w:p w14:paraId="24EB19D2" w14:textId="77777777" w:rsidR="00514CC0" w:rsidRDefault="00E72B49">
            <w:pPr>
              <w:pStyle w:val="OWTablebodyleft"/>
            </w:pPr>
            <w:r>
              <w:t>Homicide statistics are complex. As administrative data, they are based on official police or coronial records, in which a crime must be recorded or determined as homicide (or a related offence such as manslaughter). There are often significant time lags with coronial data, and jurisdictional differences in how coronial data is recorded and made available. There is a possibility that some or many homicide cases ‘go missing’, e.g. a murder or death is not reported, cause of death is miscategorised, or missing persons cases are not closed or pursued. Patterns of missing data often correspond with intersecting forms of discrimination and disadvantage, compounding invisibility. How perpetrators/ offenders are categorised also differs across jurisdictions.</w:t>
            </w:r>
          </w:p>
          <w:p w14:paraId="6A4A4269" w14:textId="77777777" w:rsidR="00514CC0" w:rsidRDefault="00E72B49">
            <w:pPr>
              <w:pStyle w:val="OWTablebodyleft"/>
            </w:pPr>
            <w:r>
              <w:t>Moreover, official homicide data does not include deaths perpetrated by state actors (for example, in custody) or in offshore, Australian-managed facilities.</w:t>
            </w:r>
          </w:p>
          <w:p w14:paraId="3DE2AE08" w14:textId="77777777" w:rsidR="00514CC0" w:rsidRDefault="00E72B49">
            <w:pPr>
              <w:pStyle w:val="OWTablebodyleft"/>
            </w:pPr>
            <w:r>
              <w:t>See the text boxes in the section below for commentary on missing and complex data with regard to intimate partner homicide, homicides of Aboriginal and Torres Strait Islander women and girls, and homicides of trans women and gender-diverse people.</w:t>
            </w:r>
          </w:p>
        </w:tc>
      </w:tr>
    </w:tbl>
    <w:p w14:paraId="33548CD5" w14:textId="77777777" w:rsidR="00514CC0" w:rsidRDefault="00E72B49" w:rsidP="00F868FE">
      <w:pPr>
        <w:pStyle w:val="Heading5"/>
      </w:pPr>
      <w:r>
        <w:lastRenderedPageBreak/>
        <w:t>Overall homicide rates</w:t>
      </w:r>
    </w:p>
    <w:p w14:paraId="4DAB9A66" w14:textId="199BCC81" w:rsidR="00514CC0" w:rsidRDefault="00E72B49">
      <w:pPr>
        <w:pStyle w:val="BodyText"/>
      </w:pPr>
      <w:r>
        <w:t>The Australian Institute of Criminology’s National Homicide Monitoring Program captures, analyses and monitors homicide data from police records and state coronial records, supplementing this data with media reports on occasion.</w:t>
      </w:r>
      <w:r w:rsidR="00252ABC">
        <w:rPr>
          <w:rStyle w:val="EndnoteReference"/>
        </w:rPr>
        <w:endnoteReference w:id="516"/>
      </w:r>
      <w:r>
        <w:t xml:space="preserve"> There is some time lag with homicide data due to the nature of investigation, such that the most recent public data is 2015–16.</w:t>
      </w:r>
    </w:p>
    <w:p w14:paraId="4B4F1EC9" w14:textId="30EC9B6F" w:rsidR="00514CC0" w:rsidRDefault="00E72B49">
      <w:pPr>
        <w:pStyle w:val="BodyText"/>
      </w:pPr>
      <w:r>
        <w:t xml:space="preserve">The National Homicide Monitoring Program analysis shows that between 2009–10 and 2015–16, there has been only a small decrease in the annual rate of female homicide victimisation. In 2009–10, the overall rate of female homicide victimisation per 100,000 women (killed by any perpetrator) was 0.87 (96 women killed); in 2015–16, the comparable rate was 0.67 (82 women killed) (see Table </w:t>
      </w:r>
      <w:r w:rsidR="0017588F">
        <w:t>47</w:t>
      </w:r>
      <w:r>
        <w:t>, below).</w:t>
      </w:r>
    </w:p>
    <w:p w14:paraId="355CD5CB" w14:textId="69650A25" w:rsidR="00514CC0" w:rsidRDefault="00E72B49">
      <w:pPr>
        <w:pStyle w:val="OWTablecaption"/>
      </w:pPr>
      <w:r>
        <w:t xml:space="preserve">Table </w:t>
      </w:r>
      <w:r w:rsidR="0017588F">
        <w:t>47</w:t>
      </w:r>
      <w:r>
        <w:t>: Female homicide victimisation prevalence, 2009–10 to 2015, number and rate per 100,000</w:t>
      </w:r>
    </w:p>
    <w:tbl>
      <w:tblPr>
        <w:tblStyle w:val="Datatableumber"/>
        <w:tblW w:w="9072" w:type="dxa"/>
        <w:tblLayout w:type="fixed"/>
        <w:tblLook w:val="06A0" w:firstRow="1" w:lastRow="0" w:firstColumn="1" w:lastColumn="0" w:noHBand="1" w:noVBand="1"/>
      </w:tblPr>
      <w:tblGrid>
        <w:gridCol w:w="3025"/>
        <w:gridCol w:w="3023"/>
        <w:gridCol w:w="3024"/>
      </w:tblGrid>
      <w:tr w:rsidR="00514CC0" w14:paraId="564AF8A8" w14:textId="77777777" w:rsidTr="00F0324E">
        <w:trPr>
          <w:cnfStyle w:val="100000000000" w:firstRow="1" w:lastRow="0" w:firstColumn="0" w:lastColumn="0" w:oddVBand="0" w:evenVBand="0" w:oddHBand="0" w:evenHBand="0" w:firstRowFirstColumn="0" w:firstRowLastColumn="0" w:lastRowFirstColumn="0" w:lastRowLastColumn="0"/>
          <w:cantSplit/>
          <w:trHeight w:val="60"/>
          <w:tblHeader/>
        </w:trPr>
        <w:tc>
          <w:tcPr>
            <w:tcW w:w="3024" w:type="dxa"/>
          </w:tcPr>
          <w:p w14:paraId="45829F3E" w14:textId="77777777" w:rsidR="00514CC0" w:rsidRPr="008A53B4" w:rsidRDefault="00E72B49">
            <w:pPr>
              <w:pStyle w:val="OWTablecolumnheadleft"/>
            </w:pPr>
            <w:r w:rsidRPr="008A53B4">
              <w:t>Year</w:t>
            </w:r>
          </w:p>
        </w:tc>
        <w:tc>
          <w:tcPr>
            <w:tcW w:w="3023" w:type="dxa"/>
          </w:tcPr>
          <w:p w14:paraId="3F23E6D7" w14:textId="5FC007D3" w:rsidR="00514CC0" w:rsidRPr="008A53B4" w:rsidRDefault="00E72B49">
            <w:pPr>
              <w:pStyle w:val="OWTablecolumnheadcentre"/>
            </w:pPr>
            <w:r w:rsidRPr="008A53B4">
              <w:t>Number</w:t>
            </w:r>
          </w:p>
        </w:tc>
        <w:tc>
          <w:tcPr>
            <w:tcW w:w="3024" w:type="dxa"/>
          </w:tcPr>
          <w:p w14:paraId="5F5B8D5C" w14:textId="77777777" w:rsidR="00514CC0" w:rsidRPr="008A53B4" w:rsidRDefault="00E72B49">
            <w:pPr>
              <w:pStyle w:val="OWTablecolumnheadcentre"/>
            </w:pPr>
            <w:r w:rsidRPr="008A53B4">
              <w:t>Rate per 100,000 women</w:t>
            </w:r>
          </w:p>
        </w:tc>
      </w:tr>
      <w:tr w:rsidR="00514CC0" w14:paraId="740FEF3E" w14:textId="77777777" w:rsidTr="00F0324E">
        <w:trPr>
          <w:cantSplit/>
          <w:trHeight w:val="60"/>
        </w:trPr>
        <w:tc>
          <w:tcPr>
            <w:tcW w:w="3024" w:type="dxa"/>
          </w:tcPr>
          <w:p w14:paraId="15323700" w14:textId="77777777" w:rsidR="00514CC0" w:rsidRDefault="00E72B49">
            <w:pPr>
              <w:pStyle w:val="OWTablebodyleft"/>
            </w:pPr>
            <w:r>
              <w:t>2009–10</w:t>
            </w:r>
          </w:p>
        </w:tc>
        <w:tc>
          <w:tcPr>
            <w:tcW w:w="3023" w:type="dxa"/>
          </w:tcPr>
          <w:p w14:paraId="4274B90A" w14:textId="77777777" w:rsidR="00514CC0" w:rsidRDefault="00E72B49">
            <w:pPr>
              <w:pStyle w:val="OWTablebodycentre"/>
            </w:pPr>
            <w:r>
              <w:t>96</w:t>
            </w:r>
          </w:p>
        </w:tc>
        <w:tc>
          <w:tcPr>
            <w:tcW w:w="3024" w:type="dxa"/>
          </w:tcPr>
          <w:p w14:paraId="12EB9DC3" w14:textId="77777777" w:rsidR="00514CC0" w:rsidRDefault="00E72B49">
            <w:pPr>
              <w:pStyle w:val="OWTablebodycentre"/>
            </w:pPr>
            <w:r>
              <w:t>0.87</w:t>
            </w:r>
          </w:p>
        </w:tc>
      </w:tr>
      <w:tr w:rsidR="00514CC0" w14:paraId="0D1171D5" w14:textId="77777777" w:rsidTr="00F0324E">
        <w:trPr>
          <w:cantSplit/>
          <w:trHeight w:val="60"/>
        </w:trPr>
        <w:tc>
          <w:tcPr>
            <w:tcW w:w="3024" w:type="dxa"/>
          </w:tcPr>
          <w:p w14:paraId="225A2093" w14:textId="77777777" w:rsidR="00514CC0" w:rsidRDefault="00E72B49">
            <w:pPr>
              <w:pStyle w:val="OWTablebodyleft"/>
            </w:pPr>
            <w:r>
              <w:t>2010–11</w:t>
            </w:r>
          </w:p>
        </w:tc>
        <w:tc>
          <w:tcPr>
            <w:tcW w:w="3023" w:type="dxa"/>
          </w:tcPr>
          <w:p w14:paraId="76A07566" w14:textId="77777777" w:rsidR="00514CC0" w:rsidRDefault="00E72B49">
            <w:pPr>
              <w:pStyle w:val="OWTablebodycentre"/>
            </w:pPr>
            <w:r>
              <w:t>90</w:t>
            </w:r>
          </w:p>
        </w:tc>
        <w:tc>
          <w:tcPr>
            <w:tcW w:w="3024" w:type="dxa"/>
          </w:tcPr>
          <w:p w14:paraId="04C4CDA2" w14:textId="77777777" w:rsidR="00514CC0" w:rsidRDefault="00E72B49">
            <w:pPr>
              <w:pStyle w:val="OWTablebodycentre"/>
            </w:pPr>
            <w:r>
              <w:t>0.80</w:t>
            </w:r>
          </w:p>
        </w:tc>
      </w:tr>
      <w:tr w:rsidR="00514CC0" w14:paraId="40EC4EC4" w14:textId="77777777" w:rsidTr="00F0324E">
        <w:trPr>
          <w:cantSplit/>
          <w:trHeight w:val="60"/>
        </w:trPr>
        <w:tc>
          <w:tcPr>
            <w:tcW w:w="3024" w:type="dxa"/>
          </w:tcPr>
          <w:p w14:paraId="7148B1C5" w14:textId="77777777" w:rsidR="00514CC0" w:rsidRDefault="00E72B49">
            <w:pPr>
              <w:pStyle w:val="OWTablebodyleft"/>
            </w:pPr>
            <w:r>
              <w:t>2011–12</w:t>
            </w:r>
          </w:p>
        </w:tc>
        <w:tc>
          <w:tcPr>
            <w:tcW w:w="3023" w:type="dxa"/>
          </w:tcPr>
          <w:p w14:paraId="0CD8D804" w14:textId="77777777" w:rsidR="00514CC0" w:rsidRDefault="00E72B49">
            <w:pPr>
              <w:pStyle w:val="OWTablebodycentre"/>
            </w:pPr>
            <w:r>
              <w:t>94</w:t>
            </w:r>
          </w:p>
        </w:tc>
        <w:tc>
          <w:tcPr>
            <w:tcW w:w="3024" w:type="dxa"/>
          </w:tcPr>
          <w:p w14:paraId="75E3D842" w14:textId="77777777" w:rsidR="00514CC0" w:rsidRDefault="00E72B49">
            <w:pPr>
              <w:pStyle w:val="OWTablebodycentre"/>
            </w:pPr>
            <w:r>
              <w:t>0.82</w:t>
            </w:r>
          </w:p>
        </w:tc>
      </w:tr>
      <w:tr w:rsidR="00514CC0" w14:paraId="04AB7B35" w14:textId="77777777" w:rsidTr="00F0324E">
        <w:trPr>
          <w:cantSplit/>
          <w:trHeight w:val="60"/>
        </w:trPr>
        <w:tc>
          <w:tcPr>
            <w:tcW w:w="3024" w:type="dxa"/>
          </w:tcPr>
          <w:p w14:paraId="44969988" w14:textId="77777777" w:rsidR="00514CC0" w:rsidRDefault="00E72B49">
            <w:pPr>
              <w:pStyle w:val="OWTablebodyleft"/>
            </w:pPr>
            <w:r>
              <w:t>2012–13</w:t>
            </w:r>
          </w:p>
        </w:tc>
        <w:tc>
          <w:tcPr>
            <w:tcW w:w="3023" w:type="dxa"/>
          </w:tcPr>
          <w:p w14:paraId="608CD890" w14:textId="77777777" w:rsidR="00514CC0" w:rsidRDefault="00E72B49">
            <w:pPr>
              <w:pStyle w:val="OWTablebodycentre"/>
            </w:pPr>
            <w:r>
              <w:t>86</w:t>
            </w:r>
          </w:p>
        </w:tc>
        <w:tc>
          <w:tcPr>
            <w:tcW w:w="3024" w:type="dxa"/>
          </w:tcPr>
          <w:p w14:paraId="165CE435" w14:textId="77777777" w:rsidR="00514CC0" w:rsidRDefault="00E72B49">
            <w:pPr>
              <w:pStyle w:val="OWTablebodycentre"/>
            </w:pPr>
            <w:r>
              <w:t>0.74</w:t>
            </w:r>
          </w:p>
        </w:tc>
      </w:tr>
      <w:tr w:rsidR="00514CC0" w14:paraId="4580DF8B" w14:textId="77777777" w:rsidTr="00F0324E">
        <w:trPr>
          <w:cantSplit/>
          <w:trHeight w:val="60"/>
        </w:trPr>
        <w:tc>
          <w:tcPr>
            <w:tcW w:w="3024" w:type="dxa"/>
          </w:tcPr>
          <w:p w14:paraId="41A24B57" w14:textId="77777777" w:rsidR="00514CC0" w:rsidRDefault="00E72B49">
            <w:pPr>
              <w:pStyle w:val="OWTablebodyleft"/>
            </w:pPr>
            <w:r>
              <w:t>2013–14</w:t>
            </w:r>
          </w:p>
        </w:tc>
        <w:tc>
          <w:tcPr>
            <w:tcW w:w="3023" w:type="dxa"/>
          </w:tcPr>
          <w:p w14:paraId="0A310D18" w14:textId="77777777" w:rsidR="00514CC0" w:rsidRDefault="00E72B49">
            <w:pPr>
              <w:pStyle w:val="OWTablebodycentre"/>
            </w:pPr>
            <w:r>
              <w:t>99</w:t>
            </w:r>
          </w:p>
        </w:tc>
        <w:tc>
          <w:tcPr>
            <w:tcW w:w="3024" w:type="dxa"/>
          </w:tcPr>
          <w:p w14:paraId="16D005F2" w14:textId="77777777" w:rsidR="00514CC0" w:rsidRDefault="00E72B49">
            <w:pPr>
              <w:pStyle w:val="OWTablebodycentre"/>
            </w:pPr>
            <w:r>
              <w:t>0.84</w:t>
            </w:r>
          </w:p>
        </w:tc>
      </w:tr>
      <w:tr w:rsidR="00514CC0" w14:paraId="4DC1D919" w14:textId="77777777" w:rsidTr="00F0324E">
        <w:trPr>
          <w:cantSplit/>
          <w:trHeight w:val="60"/>
        </w:trPr>
        <w:tc>
          <w:tcPr>
            <w:tcW w:w="3024" w:type="dxa"/>
          </w:tcPr>
          <w:p w14:paraId="7C0CAE09" w14:textId="77777777" w:rsidR="00514CC0" w:rsidRDefault="00E72B49">
            <w:pPr>
              <w:pStyle w:val="OWTablebodyleft"/>
            </w:pPr>
            <w:r>
              <w:t>2014–15</w:t>
            </w:r>
          </w:p>
        </w:tc>
        <w:tc>
          <w:tcPr>
            <w:tcW w:w="3023" w:type="dxa"/>
          </w:tcPr>
          <w:p w14:paraId="0D7D879C" w14:textId="77777777" w:rsidR="00514CC0" w:rsidRDefault="00E72B49">
            <w:pPr>
              <w:pStyle w:val="OWTablebodycentre"/>
            </w:pPr>
            <w:r>
              <w:t>84</w:t>
            </w:r>
          </w:p>
        </w:tc>
        <w:tc>
          <w:tcPr>
            <w:tcW w:w="3024" w:type="dxa"/>
          </w:tcPr>
          <w:p w14:paraId="23C8145C" w14:textId="77777777" w:rsidR="00514CC0" w:rsidRDefault="00E72B49">
            <w:pPr>
              <w:pStyle w:val="OWTablebodycentre"/>
            </w:pPr>
            <w:r>
              <w:t>0.70</w:t>
            </w:r>
          </w:p>
        </w:tc>
      </w:tr>
      <w:tr w:rsidR="00514CC0" w14:paraId="0CCF10BC" w14:textId="77777777" w:rsidTr="00F0324E">
        <w:trPr>
          <w:cantSplit/>
          <w:trHeight w:val="60"/>
        </w:trPr>
        <w:tc>
          <w:tcPr>
            <w:tcW w:w="3024" w:type="dxa"/>
          </w:tcPr>
          <w:p w14:paraId="20B27F75" w14:textId="77777777" w:rsidR="00514CC0" w:rsidRDefault="00E72B49">
            <w:pPr>
              <w:pStyle w:val="OWTablebodyleft"/>
            </w:pPr>
            <w:r>
              <w:t>2015–16</w:t>
            </w:r>
          </w:p>
        </w:tc>
        <w:tc>
          <w:tcPr>
            <w:tcW w:w="3023" w:type="dxa"/>
          </w:tcPr>
          <w:p w14:paraId="7AD06A24" w14:textId="77777777" w:rsidR="00514CC0" w:rsidRDefault="00E72B49">
            <w:pPr>
              <w:pStyle w:val="OWTablebodycentre"/>
            </w:pPr>
            <w:r>
              <w:t>82</w:t>
            </w:r>
          </w:p>
        </w:tc>
        <w:tc>
          <w:tcPr>
            <w:tcW w:w="3024" w:type="dxa"/>
          </w:tcPr>
          <w:p w14:paraId="2884E196" w14:textId="77777777" w:rsidR="00514CC0" w:rsidRDefault="00E72B49">
            <w:pPr>
              <w:pStyle w:val="OWTablebodycentre"/>
            </w:pPr>
            <w:r>
              <w:t>0.67</w:t>
            </w:r>
          </w:p>
        </w:tc>
      </w:tr>
    </w:tbl>
    <w:p w14:paraId="696C9A7C" w14:textId="77777777" w:rsidR="00514CC0" w:rsidRDefault="00E72B49">
      <w:pPr>
        <w:pStyle w:val="OWTablefootnote"/>
      </w:pPr>
      <w:r>
        <w:t>Source: Australian Institute of Criminology, National Homicide Monitoring Program, 2019, p. 27</w:t>
      </w:r>
    </w:p>
    <w:p w14:paraId="066F78B8" w14:textId="77777777" w:rsidR="00514CC0" w:rsidRDefault="00E72B49" w:rsidP="00F868FE">
      <w:pPr>
        <w:pStyle w:val="Heading6"/>
      </w:pPr>
      <w:r>
        <w:t>Aboriginal and Torres Strait Islander women victims of homicide</w:t>
      </w:r>
    </w:p>
    <w:p w14:paraId="7D76CD02" w14:textId="61E5A552" w:rsidR="00514CC0" w:rsidRDefault="00E72B49">
      <w:pPr>
        <w:pStyle w:val="BodyText"/>
      </w:pPr>
      <w:r>
        <w:t>On the basis of population figures, Aboriginal and Torres Strait Islander women are significantly over-represented as victims of homicide. In 2015–16, the homicide victimisation rate of Aboriginal and Torres Strait Islander women was 3.5 per 100,000, which equates to six times the non-Indigenous female victimisation rate (0.6 per 100,000).</w:t>
      </w:r>
      <w:r w:rsidR="00252ABC">
        <w:rPr>
          <w:rStyle w:val="EndnoteReference"/>
        </w:rPr>
        <w:endnoteReference w:id="517"/>
      </w:r>
      <w:r>
        <w:t xml:space="preserve"> Moreover, while the rate of non-Indigenous female homicide victimisation has remained relatively consistent, with a small decline between 2009–10 to 2015–16, the rate of Aboriginal and Torres Strait Islander female victimisation has fluctuated considerably, and there has been no overall decline. In fact, in the time period examined, the victimisation rate for Aboriginal and Torres Strait Islander women was at its lowest in 2009–10. In 2009–10, ten homicides of Aboriginal and Torres Strait Islander women were recorded, and 13 in 2015–16 (see Table </w:t>
      </w:r>
      <w:r w:rsidR="0017588F">
        <w:t>48</w:t>
      </w:r>
      <w:r>
        <w:t>, below).</w:t>
      </w:r>
      <w:r w:rsidR="009C737B">
        <w:rPr>
          <w:rStyle w:val="EndnoteReference"/>
        </w:rPr>
        <w:endnoteReference w:id="518"/>
      </w:r>
    </w:p>
    <w:p w14:paraId="51A3BF56" w14:textId="4FCD6B18" w:rsidR="00514CC0" w:rsidRDefault="00E72B49">
      <w:pPr>
        <w:pStyle w:val="OWTablecaption"/>
      </w:pPr>
      <w:r>
        <w:lastRenderedPageBreak/>
        <w:t xml:space="preserve">Table </w:t>
      </w:r>
      <w:r w:rsidR="0017588F">
        <w:t>48</w:t>
      </w:r>
      <w:r>
        <w:t>: Comparison of Aboriginal and Torres Strait Islander and non-Indigenous female homicide victimisation prevalence, 2009–10 to 2015, number and rate per 100,000</w:t>
      </w:r>
    </w:p>
    <w:tbl>
      <w:tblPr>
        <w:tblStyle w:val="Datatableumber"/>
        <w:tblW w:w="9072" w:type="dxa"/>
        <w:tblLayout w:type="fixed"/>
        <w:tblLook w:val="06A0" w:firstRow="1" w:lastRow="0" w:firstColumn="1" w:lastColumn="0" w:noHBand="1" w:noVBand="1"/>
      </w:tblPr>
      <w:tblGrid>
        <w:gridCol w:w="1135"/>
        <w:gridCol w:w="1984"/>
        <w:gridCol w:w="1984"/>
        <w:gridCol w:w="1985"/>
        <w:gridCol w:w="1984"/>
      </w:tblGrid>
      <w:tr w:rsidR="00514CC0" w14:paraId="2B8CF1E1" w14:textId="77777777" w:rsidTr="00F0324E">
        <w:trPr>
          <w:cnfStyle w:val="100000000000" w:firstRow="1" w:lastRow="0" w:firstColumn="0" w:lastColumn="0" w:oddVBand="0" w:evenVBand="0" w:oddHBand="0" w:evenHBand="0" w:firstRowFirstColumn="0" w:firstRowLastColumn="0" w:lastRowFirstColumn="0" w:lastRowLastColumn="0"/>
          <w:cantSplit/>
          <w:trHeight w:val="60"/>
          <w:tblHeader/>
        </w:trPr>
        <w:tc>
          <w:tcPr>
            <w:tcW w:w="1134" w:type="dxa"/>
          </w:tcPr>
          <w:p w14:paraId="11F01897" w14:textId="77777777" w:rsidR="00514CC0" w:rsidRPr="008A53B4" w:rsidRDefault="00E72B49">
            <w:pPr>
              <w:pStyle w:val="OWTablecolumnheadleft"/>
            </w:pPr>
            <w:r w:rsidRPr="008A53B4">
              <w:t>Year</w:t>
            </w:r>
          </w:p>
        </w:tc>
        <w:tc>
          <w:tcPr>
            <w:tcW w:w="1984" w:type="dxa"/>
          </w:tcPr>
          <w:p w14:paraId="42EC243C" w14:textId="77777777" w:rsidR="00514CC0" w:rsidRPr="008A53B4" w:rsidRDefault="00E72B49">
            <w:pPr>
              <w:pStyle w:val="OWTablecolumnheadcentre"/>
            </w:pPr>
            <w:r w:rsidRPr="008A53B4">
              <w:t>Number of Aboriginal and Torres Strait Islander women</w:t>
            </w:r>
          </w:p>
        </w:tc>
        <w:tc>
          <w:tcPr>
            <w:tcW w:w="1984" w:type="dxa"/>
          </w:tcPr>
          <w:p w14:paraId="7836E14B" w14:textId="77777777" w:rsidR="00514CC0" w:rsidRPr="008A53B4" w:rsidRDefault="00E72B49">
            <w:pPr>
              <w:pStyle w:val="OWTablecolumnheadcentre"/>
            </w:pPr>
            <w:r w:rsidRPr="008A53B4">
              <w:t>Aboriginal and Torres Strait Islander rate per 100,000 women</w:t>
            </w:r>
          </w:p>
        </w:tc>
        <w:tc>
          <w:tcPr>
            <w:tcW w:w="1985" w:type="dxa"/>
          </w:tcPr>
          <w:p w14:paraId="6C6DEFBB" w14:textId="77777777" w:rsidR="00514CC0" w:rsidRPr="008A53B4" w:rsidRDefault="00E72B49">
            <w:pPr>
              <w:pStyle w:val="OWTablecolumnheadcentre"/>
            </w:pPr>
            <w:r w:rsidRPr="008A53B4">
              <w:t>Number of non-Indigenous women</w:t>
            </w:r>
          </w:p>
        </w:tc>
        <w:tc>
          <w:tcPr>
            <w:tcW w:w="1984" w:type="dxa"/>
          </w:tcPr>
          <w:p w14:paraId="5092D1F1" w14:textId="77777777" w:rsidR="00514CC0" w:rsidRPr="008A53B4" w:rsidRDefault="00E72B49">
            <w:pPr>
              <w:pStyle w:val="OWTablecolumnheadcentre"/>
            </w:pPr>
            <w:r w:rsidRPr="008A53B4">
              <w:t>Non-Indigenous rate per 100,000 women</w:t>
            </w:r>
          </w:p>
        </w:tc>
      </w:tr>
      <w:tr w:rsidR="00514CC0" w14:paraId="48B1C8D1" w14:textId="77777777" w:rsidTr="00F0324E">
        <w:trPr>
          <w:cantSplit/>
          <w:trHeight w:val="60"/>
        </w:trPr>
        <w:tc>
          <w:tcPr>
            <w:tcW w:w="1134" w:type="dxa"/>
          </w:tcPr>
          <w:p w14:paraId="59280AB8" w14:textId="77777777" w:rsidR="00514CC0" w:rsidRDefault="00E72B49">
            <w:pPr>
              <w:pStyle w:val="OWTablebodyleft"/>
            </w:pPr>
            <w:r>
              <w:t>2009–10</w:t>
            </w:r>
          </w:p>
        </w:tc>
        <w:tc>
          <w:tcPr>
            <w:tcW w:w="1984" w:type="dxa"/>
          </w:tcPr>
          <w:p w14:paraId="703027B5" w14:textId="77777777" w:rsidR="00514CC0" w:rsidRDefault="00E72B49">
            <w:pPr>
              <w:pStyle w:val="OWTablebodycentre"/>
            </w:pPr>
            <w:r>
              <w:t>10</w:t>
            </w:r>
          </w:p>
        </w:tc>
        <w:tc>
          <w:tcPr>
            <w:tcW w:w="1984" w:type="dxa"/>
          </w:tcPr>
          <w:p w14:paraId="0270360E" w14:textId="77777777" w:rsidR="00514CC0" w:rsidRDefault="00E72B49">
            <w:pPr>
              <w:pStyle w:val="OWTablebodycentre"/>
            </w:pPr>
            <w:r>
              <w:t>3.0</w:t>
            </w:r>
          </w:p>
        </w:tc>
        <w:tc>
          <w:tcPr>
            <w:tcW w:w="1985" w:type="dxa"/>
          </w:tcPr>
          <w:p w14:paraId="25D66EC2" w14:textId="77777777" w:rsidR="00514CC0" w:rsidRDefault="00E72B49">
            <w:pPr>
              <w:pStyle w:val="OWTablebodycentre"/>
            </w:pPr>
            <w:r>
              <w:t>86</w:t>
            </w:r>
          </w:p>
        </w:tc>
        <w:tc>
          <w:tcPr>
            <w:tcW w:w="1984" w:type="dxa"/>
          </w:tcPr>
          <w:p w14:paraId="2E63E0BF" w14:textId="77777777" w:rsidR="00514CC0" w:rsidRDefault="00E72B49">
            <w:pPr>
              <w:pStyle w:val="OWTablebodycentre"/>
            </w:pPr>
            <w:r>
              <w:t>0.8</w:t>
            </w:r>
          </w:p>
        </w:tc>
      </w:tr>
      <w:tr w:rsidR="00514CC0" w14:paraId="0E11FD16" w14:textId="77777777" w:rsidTr="00F0324E">
        <w:trPr>
          <w:cantSplit/>
          <w:trHeight w:val="60"/>
        </w:trPr>
        <w:tc>
          <w:tcPr>
            <w:tcW w:w="1134" w:type="dxa"/>
          </w:tcPr>
          <w:p w14:paraId="6771D410" w14:textId="77777777" w:rsidR="00514CC0" w:rsidRDefault="00E72B49">
            <w:pPr>
              <w:pStyle w:val="OWTablebodyleft"/>
            </w:pPr>
            <w:r>
              <w:t>2010–11</w:t>
            </w:r>
          </w:p>
        </w:tc>
        <w:tc>
          <w:tcPr>
            <w:tcW w:w="1984" w:type="dxa"/>
          </w:tcPr>
          <w:p w14:paraId="14E1575C" w14:textId="77777777" w:rsidR="00514CC0" w:rsidRDefault="00E72B49">
            <w:pPr>
              <w:pStyle w:val="OWTablebodycentre"/>
            </w:pPr>
            <w:r>
              <w:t>17</w:t>
            </w:r>
          </w:p>
        </w:tc>
        <w:tc>
          <w:tcPr>
            <w:tcW w:w="1984" w:type="dxa"/>
          </w:tcPr>
          <w:p w14:paraId="23E12D54" w14:textId="77777777" w:rsidR="00514CC0" w:rsidRDefault="00E72B49">
            <w:pPr>
              <w:pStyle w:val="OWTablebodycentre"/>
            </w:pPr>
            <w:r>
              <w:t>5.1</w:t>
            </w:r>
          </w:p>
        </w:tc>
        <w:tc>
          <w:tcPr>
            <w:tcW w:w="1985" w:type="dxa"/>
          </w:tcPr>
          <w:p w14:paraId="1094BF3E" w14:textId="77777777" w:rsidR="00514CC0" w:rsidRDefault="00E72B49">
            <w:pPr>
              <w:pStyle w:val="OWTablebodycentre"/>
            </w:pPr>
            <w:r>
              <w:t>73</w:t>
            </w:r>
          </w:p>
        </w:tc>
        <w:tc>
          <w:tcPr>
            <w:tcW w:w="1984" w:type="dxa"/>
          </w:tcPr>
          <w:p w14:paraId="35796B31" w14:textId="77777777" w:rsidR="00514CC0" w:rsidRDefault="00E72B49">
            <w:pPr>
              <w:pStyle w:val="OWTablebodycentre"/>
            </w:pPr>
            <w:r>
              <w:t>0.7</w:t>
            </w:r>
          </w:p>
        </w:tc>
      </w:tr>
      <w:tr w:rsidR="00514CC0" w14:paraId="1227FFF3" w14:textId="77777777" w:rsidTr="00F0324E">
        <w:trPr>
          <w:cantSplit/>
          <w:trHeight w:val="60"/>
        </w:trPr>
        <w:tc>
          <w:tcPr>
            <w:tcW w:w="1134" w:type="dxa"/>
          </w:tcPr>
          <w:p w14:paraId="6326F701" w14:textId="77777777" w:rsidR="00514CC0" w:rsidRDefault="00E72B49">
            <w:pPr>
              <w:pStyle w:val="OWTablebodyleft"/>
            </w:pPr>
            <w:r>
              <w:t>2011–12</w:t>
            </w:r>
          </w:p>
        </w:tc>
        <w:tc>
          <w:tcPr>
            <w:tcW w:w="1984" w:type="dxa"/>
          </w:tcPr>
          <w:p w14:paraId="68DEBC2D" w14:textId="77777777" w:rsidR="00514CC0" w:rsidRDefault="00E72B49">
            <w:pPr>
              <w:pStyle w:val="OWTablebodycentre"/>
            </w:pPr>
            <w:r>
              <w:t>11</w:t>
            </w:r>
          </w:p>
        </w:tc>
        <w:tc>
          <w:tcPr>
            <w:tcW w:w="1984" w:type="dxa"/>
          </w:tcPr>
          <w:p w14:paraId="43E5E9E2" w14:textId="77777777" w:rsidR="00514CC0" w:rsidRDefault="00E72B49">
            <w:pPr>
              <w:pStyle w:val="OWTablebodycentre"/>
            </w:pPr>
            <w:r>
              <w:t>3.2</w:t>
            </w:r>
          </w:p>
        </w:tc>
        <w:tc>
          <w:tcPr>
            <w:tcW w:w="1985" w:type="dxa"/>
          </w:tcPr>
          <w:p w14:paraId="664A4D47" w14:textId="77777777" w:rsidR="00514CC0" w:rsidRDefault="00E72B49">
            <w:pPr>
              <w:pStyle w:val="OWTablebodycentre"/>
            </w:pPr>
            <w:r>
              <w:t>83</w:t>
            </w:r>
          </w:p>
        </w:tc>
        <w:tc>
          <w:tcPr>
            <w:tcW w:w="1984" w:type="dxa"/>
          </w:tcPr>
          <w:p w14:paraId="4B839640" w14:textId="77777777" w:rsidR="00514CC0" w:rsidRDefault="00E72B49">
            <w:pPr>
              <w:pStyle w:val="OWTablebodycentre"/>
            </w:pPr>
            <w:r>
              <w:t>0.7</w:t>
            </w:r>
          </w:p>
        </w:tc>
      </w:tr>
      <w:tr w:rsidR="00514CC0" w14:paraId="1C2BF452" w14:textId="77777777" w:rsidTr="00F0324E">
        <w:trPr>
          <w:cantSplit/>
          <w:trHeight w:val="60"/>
        </w:trPr>
        <w:tc>
          <w:tcPr>
            <w:tcW w:w="1134" w:type="dxa"/>
          </w:tcPr>
          <w:p w14:paraId="2392D9EE" w14:textId="77777777" w:rsidR="00514CC0" w:rsidRDefault="00E72B49">
            <w:pPr>
              <w:pStyle w:val="OWTablebodyleft"/>
            </w:pPr>
            <w:r>
              <w:t>2012–13</w:t>
            </w:r>
          </w:p>
        </w:tc>
        <w:tc>
          <w:tcPr>
            <w:tcW w:w="1984" w:type="dxa"/>
          </w:tcPr>
          <w:p w14:paraId="53BF5255" w14:textId="77777777" w:rsidR="00514CC0" w:rsidRDefault="00E72B49">
            <w:pPr>
              <w:pStyle w:val="OWTablebodycentre"/>
            </w:pPr>
            <w:r>
              <w:t>17</w:t>
            </w:r>
          </w:p>
        </w:tc>
        <w:tc>
          <w:tcPr>
            <w:tcW w:w="1984" w:type="dxa"/>
          </w:tcPr>
          <w:p w14:paraId="6DC65CAB" w14:textId="77777777" w:rsidR="00514CC0" w:rsidRDefault="00E72B49">
            <w:pPr>
              <w:pStyle w:val="OWTablebodycentre"/>
            </w:pPr>
            <w:r>
              <w:t>4.9</w:t>
            </w:r>
          </w:p>
        </w:tc>
        <w:tc>
          <w:tcPr>
            <w:tcW w:w="1985" w:type="dxa"/>
          </w:tcPr>
          <w:p w14:paraId="6DDE0B7F" w14:textId="77777777" w:rsidR="00514CC0" w:rsidRDefault="00E72B49">
            <w:pPr>
              <w:pStyle w:val="OWTablebodycentre"/>
            </w:pPr>
            <w:r>
              <w:t>69</w:t>
            </w:r>
          </w:p>
        </w:tc>
        <w:tc>
          <w:tcPr>
            <w:tcW w:w="1984" w:type="dxa"/>
          </w:tcPr>
          <w:p w14:paraId="7A6BFF3E" w14:textId="77777777" w:rsidR="00514CC0" w:rsidRDefault="00E72B49">
            <w:pPr>
              <w:pStyle w:val="OWTablebodycentre"/>
            </w:pPr>
            <w:r>
              <w:t>0.6</w:t>
            </w:r>
          </w:p>
        </w:tc>
      </w:tr>
      <w:tr w:rsidR="00514CC0" w14:paraId="6E6EAFE8" w14:textId="77777777" w:rsidTr="00F0324E">
        <w:trPr>
          <w:cantSplit/>
          <w:trHeight w:val="60"/>
        </w:trPr>
        <w:tc>
          <w:tcPr>
            <w:tcW w:w="1134" w:type="dxa"/>
          </w:tcPr>
          <w:p w14:paraId="5D48BEEF" w14:textId="77777777" w:rsidR="00514CC0" w:rsidRDefault="00E72B49">
            <w:pPr>
              <w:pStyle w:val="OWTablebodyleft"/>
            </w:pPr>
            <w:r>
              <w:t>2013–14</w:t>
            </w:r>
          </w:p>
        </w:tc>
        <w:tc>
          <w:tcPr>
            <w:tcW w:w="1984" w:type="dxa"/>
          </w:tcPr>
          <w:p w14:paraId="4AD1CC29" w14:textId="77777777" w:rsidR="00514CC0" w:rsidRDefault="00E72B49">
            <w:pPr>
              <w:pStyle w:val="OWTablebodycentre"/>
            </w:pPr>
            <w:r>
              <w:t>15</w:t>
            </w:r>
          </w:p>
        </w:tc>
        <w:tc>
          <w:tcPr>
            <w:tcW w:w="1984" w:type="dxa"/>
          </w:tcPr>
          <w:p w14:paraId="6D922BF7" w14:textId="77777777" w:rsidR="00514CC0" w:rsidRDefault="00E72B49">
            <w:pPr>
              <w:pStyle w:val="OWTablebodycentre"/>
            </w:pPr>
            <w:r>
              <w:t>4.2</w:t>
            </w:r>
          </w:p>
        </w:tc>
        <w:tc>
          <w:tcPr>
            <w:tcW w:w="1985" w:type="dxa"/>
          </w:tcPr>
          <w:p w14:paraId="1BAD923A" w14:textId="77777777" w:rsidR="00514CC0" w:rsidRDefault="00E72B49">
            <w:pPr>
              <w:pStyle w:val="OWTablebodycentre"/>
            </w:pPr>
            <w:r>
              <w:t>84</w:t>
            </w:r>
          </w:p>
        </w:tc>
        <w:tc>
          <w:tcPr>
            <w:tcW w:w="1984" w:type="dxa"/>
          </w:tcPr>
          <w:p w14:paraId="6CCF7955" w14:textId="77777777" w:rsidR="00514CC0" w:rsidRDefault="00E72B49">
            <w:pPr>
              <w:pStyle w:val="OWTablebodycentre"/>
            </w:pPr>
            <w:r>
              <w:t>0.6</w:t>
            </w:r>
          </w:p>
        </w:tc>
      </w:tr>
      <w:tr w:rsidR="00514CC0" w14:paraId="4C501500" w14:textId="77777777" w:rsidTr="00F0324E">
        <w:trPr>
          <w:cantSplit/>
          <w:trHeight w:val="60"/>
        </w:trPr>
        <w:tc>
          <w:tcPr>
            <w:tcW w:w="1134" w:type="dxa"/>
          </w:tcPr>
          <w:p w14:paraId="275F4534" w14:textId="77777777" w:rsidR="00514CC0" w:rsidRDefault="00E72B49">
            <w:pPr>
              <w:pStyle w:val="OWTablebodyleft"/>
            </w:pPr>
            <w:r>
              <w:t>2014–15</w:t>
            </w:r>
          </w:p>
        </w:tc>
        <w:tc>
          <w:tcPr>
            <w:tcW w:w="1984" w:type="dxa"/>
          </w:tcPr>
          <w:p w14:paraId="0CEEA15A" w14:textId="77777777" w:rsidR="00514CC0" w:rsidRDefault="00E72B49">
            <w:pPr>
              <w:pStyle w:val="OWTablebodycentre"/>
            </w:pPr>
            <w:r>
              <w:t>15</w:t>
            </w:r>
          </w:p>
        </w:tc>
        <w:tc>
          <w:tcPr>
            <w:tcW w:w="1984" w:type="dxa"/>
          </w:tcPr>
          <w:p w14:paraId="39B0BBC8" w14:textId="77777777" w:rsidR="00514CC0" w:rsidRDefault="00E72B49">
            <w:pPr>
              <w:pStyle w:val="OWTablebodycentre"/>
            </w:pPr>
            <w:r>
              <w:t>Not reported</w:t>
            </w:r>
          </w:p>
        </w:tc>
        <w:tc>
          <w:tcPr>
            <w:tcW w:w="1985" w:type="dxa"/>
          </w:tcPr>
          <w:p w14:paraId="4C20C970" w14:textId="77777777" w:rsidR="00514CC0" w:rsidRDefault="00E72B49">
            <w:pPr>
              <w:pStyle w:val="OWTablebodycentre"/>
            </w:pPr>
            <w:r>
              <w:t>69</w:t>
            </w:r>
          </w:p>
        </w:tc>
        <w:tc>
          <w:tcPr>
            <w:tcW w:w="1984" w:type="dxa"/>
          </w:tcPr>
          <w:p w14:paraId="20DCA91A" w14:textId="77777777" w:rsidR="00514CC0" w:rsidRDefault="00E72B49">
            <w:pPr>
              <w:pStyle w:val="OWTablebodycentre"/>
            </w:pPr>
            <w:r>
              <w:t>Not reported</w:t>
            </w:r>
          </w:p>
        </w:tc>
      </w:tr>
      <w:tr w:rsidR="00514CC0" w14:paraId="2E85C3DE" w14:textId="77777777" w:rsidTr="00F0324E">
        <w:trPr>
          <w:cantSplit/>
          <w:trHeight w:val="60"/>
        </w:trPr>
        <w:tc>
          <w:tcPr>
            <w:tcW w:w="1134" w:type="dxa"/>
          </w:tcPr>
          <w:p w14:paraId="37427093" w14:textId="77777777" w:rsidR="00514CC0" w:rsidRDefault="00E72B49">
            <w:pPr>
              <w:pStyle w:val="OWTablebodyleft"/>
            </w:pPr>
            <w:r>
              <w:t>2015–16</w:t>
            </w:r>
          </w:p>
        </w:tc>
        <w:tc>
          <w:tcPr>
            <w:tcW w:w="1984" w:type="dxa"/>
          </w:tcPr>
          <w:p w14:paraId="0AE58D80" w14:textId="77777777" w:rsidR="00514CC0" w:rsidRDefault="00E72B49">
            <w:pPr>
              <w:pStyle w:val="OWTablebodycentre"/>
            </w:pPr>
            <w:r>
              <w:t>13</w:t>
            </w:r>
          </w:p>
        </w:tc>
        <w:tc>
          <w:tcPr>
            <w:tcW w:w="1984" w:type="dxa"/>
          </w:tcPr>
          <w:p w14:paraId="23720FAA" w14:textId="77777777" w:rsidR="00514CC0" w:rsidRDefault="00E72B49">
            <w:pPr>
              <w:pStyle w:val="OWTablebodycentre"/>
            </w:pPr>
            <w:r>
              <w:t>3.5</w:t>
            </w:r>
          </w:p>
        </w:tc>
        <w:tc>
          <w:tcPr>
            <w:tcW w:w="1985" w:type="dxa"/>
          </w:tcPr>
          <w:p w14:paraId="69CFAE05" w14:textId="77777777" w:rsidR="00514CC0" w:rsidRDefault="00E72B49">
            <w:pPr>
              <w:pStyle w:val="OWTablebodycentre"/>
            </w:pPr>
            <w:r>
              <w:t>69</w:t>
            </w:r>
          </w:p>
        </w:tc>
        <w:tc>
          <w:tcPr>
            <w:tcW w:w="1984" w:type="dxa"/>
          </w:tcPr>
          <w:p w14:paraId="5F53D7AC" w14:textId="77777777" w:rsidR="00514CC0" w:rsidRDefault="00E72B49">
            <w:pPr>
              <w:pStyle w:val="OWTablebodycentre"/>
            </w:pPr>
            <w:r>
              <w:t>0.6</w:t>
            </w:r>
          </w:p>
        </w:tc>
      </w:tr>
    </w:tbl>
    <w:p w14:paraId="15690F95" w14:textId="77777777" w:rsidR="00514CC0" w:rsidRDefault="00E72B49">
      <w:pPr>
        <w:pStyle w:val="OWTablefootnote"/>
      </w:pPr>
      <w:r>
        <w:t>Sources: Australian Institute of Criminology, National Homicide Monitoring Program, 2019; Australian Institute of Criminology, National Homicide Monitoring Program, 2017</w:t>
      </w:r>
    </w:p>
    <w:tbl>
      <w:tblPr>
        <w:tblStyle w:val="Casestudyumber"/>
        <w:tblW w:w="9071" w:type="dxa"/>
        <w:tblLayout w:type="fixed"/>
        <w:tblLook w:val="0620" w:firstRow="1" w:lastRow="0" w:firstColumn="0" w:lastColumn="0" w:noHBand="1" w:noVBand="1"/>
      </w:tblPr>
      <w:tblGrid>
        <w:gridCol w:w="9071"/>
      </w:tblGrid>
      <w:tr w:rsidR="00514CC0" w14:paraId="39608A87" w14:textId="77777777" w:rsidTr="00F0324E">
        <w:trPr>
          <w:cnfStyle w:val="100000000000" w:firstRow="1" w:lastRow="0" w:firstColumn="0" w:lastColumn="0" w:oddVBand="0" w:evenVBand="0" w:oddHBand="0" w:evenHBand="0" w:firstRowFirstColumn="0" w:firstRowLastColumn="0" w:lastRowFirstColumn="0" w:lastRowLastColumn="0"/>
          <w:trHeight w:val="60"/>
        </w:trPr>
        <w:tc>
          <w:tcPr>
            <w:tcW w:w="9071" w:type="dxa"/>
          </w:tcPr>
          <w:p w14:paraId="7A877355" w14:textId="2E5B4E22" w:rsidR="00514CC0" w:rsidRPr="008A53B4" w:rsidRDefault="00E72B49" w:rsidP="00C87520">
            <w:pPr>
              <w:pStyle w:val="OWBoxheading"/>
            </w:pPr>
            <w:r w:rsidRPr="008A53B4">
              <w:lastRenderedPageBreak/>
              <w:t>Counting violent deaths of trans women and gender</w:t>
            </w:r>
            <w:r w:rsidRPr="008A53B4">
              <w:rPr>
                <w:rFonts w:ascii="Cambria Math" w:hAnsi="Cambria Math" w:cs="Cambria Math"/>
              </w:rPr>
              <w:t>‑</w:t>
            </w:r>
            <w:r w:rsidRPr="008A53B4">
              <w:t>diverse</w:t>
            </w:r>
            <w:r w:rsidR="00A72020">
              <w:t xml:space="preserve"> </w:t>
            </w:r>
            <w:r w:rsidRPr="008A53B4">
              <w:t>people</w:t>
            </w:r>
          </w:p>
        </w:tc>
      </w:tr>
      <w:tr w:rsidR="007333EC" w14:paraId="2DD8CE7D" w14:textId="77777777" w:rsidTr="00F0324E">
        <w:tc>
          <w:tcPr>
            <w:tcW w:w="9071" w:type="dxa"/>
          </w:tcPr>
          <w:p w14:paraId="47AF2041" w14:textId="18376350" w:rsidR="007333EC" w:rsidRDefault="007333EC">
            <w:pPr>
              <w:pStyle w:val="OWTablebodyleft"/>
              <w:spacing w:after="85"/>
            </w:pPr>
            <w:r>
              <w:t xml:space="preserve">Like most official datasets and administrative systems in Australia, the homicide datasets profiled in this section assume a female–male (cis) gender binary for gender categorisation. As such, they cannot tell us about the homicides of trans women and gender-diverse people. As the trans community in Australia points out, official reports are likely to vastly under-represent the numbers of trans and gender diverse people murdered (E. Brook </w:t>
            </w:r>
            <w:r w:rsidR="00D87D6C">
              <w:t>[</w:t>
            </w:r>
            <w:r>
              <w:t>2019–20</w:t>
            </w:r>
            <w:r w:rsidR="00D87D6C">
              <w:t>]</w:t>
            </w:r>
            <w:r>
              <w:t>, ‘Counting the Dead’, The Gender Centre Inc., Sydney).</w:t>
            </w:r>
          </w:p>
          <w:p w14:paraId="247534D5" w14:textId="27628D8F" w:rsidR="007333EC" w:rsidRDefault="007333EC">
            <w:pPr>
              <w:pStyle w:val="OWTablebodyleft"/>
              <w:spacing w:after="85"/>
            </w:pPr>
            <w:r>
              <w:t xml:space="preserve">Internationally, since 2008 the Trans Murder Monitoring (TMM) Project, organised by Transrespect vs Transphobia has sought to address the consistent gap in global data by monitoring and analysing reports of homicides of trans and gender-diverse people. The project collates cases reported on the internet, and by crowd-sourcing information from activists and researchers worldwide (see </w:t>
            </w:r>
            <w:hyperlink r:id="rId84" w:history="1">
              <w:r>
                <w:rPr>
                  <w:rStyle w:val="Hyperlink"/>
                </w:rPr>
                <w:t>TMM website</w:t>
              </w:r>
            </w:hyperlink>
            <w:r>
              <w:t>).</w:t>
            </w:r>
          </w:p>
          <w:p w14:paraId="3F789357" w14:textId="71A2769D" w:rsidR="007333EC" w:rsidRDefault="007333EC">
            <w:pPr>
              <w:pStyle w:val="OWTablebodyleft"/>
              <w:spacing w:after="85"/>
            </w:pPr>
            <w:r>
              <w:t xml:space="preserve">Researchers in Australia have begun to investigate and draw public attention to our lack of knowledge of and ability to commemorate the homicides and other deaths of trans and gender-diverse people in Australia, and take account of the complex intersecting drivers of this violence, including transphobia and transmisogyny. </w:t>
            </w:r>
            <w:r w:rsidRPr="007333EC">
              <w:t>Dr</w:t>
            </w:r>
            <w:r>
              <w:t> </w:t>
            </w:r>
            <w:r w:rsidRPr="007333EC">
              <w:t>Eloise Brook of NSW’s The Gender Centre Inc. has recorded the difficult process of</w:t>
            </w:r>
            <w:r>
              <w:t> </w:t>
            </w:r>
            <w:r w:rsidRPr="007333EC">
              <w:t xml:space="preserve">trying to find and count the violent deaths of trans and gender-diverse people in Australia. </w:t>
            </w:r>
            <w:r>
              <w:t>Prompted by the Transgender Day of Remembrance, the TMM Project and the fact that there were so few stories known in Australia, Dr Brook describes her determination to ensure that people and their deaths do not ‘slip through the cracks’. She is interested in more than the numbers; she wants to bring people’s stories to life and ensure that their deaths are remembered. (Brook, 2019–20, Episode 1).</w:t>
            </w:r>
          </w:p>
          <w:p w14:paraId="43776AB4" w14:textId="77777777" w:rsidR="007333EC" w:rsidRDefault="007333EC" w:rsidP="00C87520">
            <w:pPr>
              <w:pStyle w:val="OWTablebodyleft"/>
              <w:spacing w:after="85"/>
            </w:pPr>
            <w:r w:rsidRPr="007333EC">
              <w:t>On Brook</w:t>
            </w:r>
            <w:r>
              <w:t>’</w:t>
            </w:r>
            <w:r w:rsidRPr="007333EC">
              <w:t>s podcast, Dr Andy Kaladelfos of UNSW points to several factors that complicate the task of making these deaths more visible.</w:t>
            </w:r>
            <w:r>
              <w:t xml:space="preserve"> Not only is there no standard way of recording trans or gender-diverse status in homicide records, police records or coronial proceedings, Australia does not even have an accurate figure for the number of trans and gender-diverse people in Australia. It is widely believed by the trans community that the first attempt at recording this by the ABS in the 2016 Census of Population and Housing was inaccurate and vastly under-represented numbers. Without population baseline data, it is impossible to determine homicide victimisation or prevalence rates. The invisibility of trans and gender-diverse people in violence statistics reflects the lack of recognition of this community in society more broadly. Dr Kaladelfos also draws attention to the likelihood of homicide cases being miscategorised as other causes of death, such as suicide.</w:t>
            </w:r>
          </w:p>
          <w:p w14:paraId="50F6F9C5" w14:textId="0ADD67EA" w:rsidR="007333EC" w:rsidRDefault="007333EC" w:rsidP="007333EC">
            <w:pPr>
              <w:pStyle w:val="OWTablebodyleft"/>
            </w:pPr>
            <w:r>
              <w:t>There are other complications in counting homicides of trans people; some identify with the gender binary and do not want to be recorded as trans, while others are misgendered after their deaths by families or institutions (A. Lavoipierre, ‘</w:t>
            </w:r>
            <w:hyperlink r:id="rId85" w:history="1">
              <w:r w:rsidRPr="000B492C">
                <w:rPr>
                  <w:rStyle w:val="Hyperlink"/>
                </w:rPr>
                <w:t>Why is it so hard to work out how many transgender people have been murdered in Australia?</w:t>
              </w:r>
            </w:hyperlink>
            <w:r>
              <w:t>’, ABC News, 20 November 2019.</w:t>
            </w:r>
          </w:p>
        </w:tc>
      </w:tr>
    </w:tbl>
    <w:p w14:paraId="63C16D2A" w14:textId="77777777" w:rsidR="00514CC0" w:rsidRDefault="00E72B49" w:rsidP="00F868FE">
      <w:pPr>
        <w:pStyle w:val="Heading5"/>
      </w:pPr>
      <w:r>
        <w:lastRenderedPageBreak/>
        <w:t>Intimate partner-perpetrated homicide</w:t>
      </w:r>
    </w:p>
    <w:p w14:paraId="0E85E1C4" w14:textId="08017D3A" w:rsidR="00514CC0" w:rsidRDefault="00E72B49">
      <w:pPr>
        <w:pStyle w:val="BodyText"/>
      </w:pPr>
      <w:r>
        <w:t>As noted by the Australian Institute of Criminology in its National Homicide Monitoring Program reports, while the rate of male homicide victimisation is higher than for women, women are more likely to be victims of intimate partner homicide.</w:t>
      </w:r>
      <w:r w:rsidR="009C737B">
        <w:rPr>
          <w:rStyle w:val="EndnoteReference"/>
        </w:rPr>
        <w:endnoteReference w:id="519"/>
      </w:r>
      <w:r>
        <w:t xml:space="preserve"> On the basis of the AIC’s 2012–14 data, women represented 79% (n=99) of victims of intimate partner-perpetrated homicide.</w:t>
      </w:r>
      <w:r w:rsidR="009C737B">
        <w:rPr>
          <w:rStyle w:val="EndnoteReference"/>
        </w:rPr>
        <w:endnoteReference w:id="520"/>
      </w:r>
    </w:p>
    <w:p w14:paraId="4132D932" w14:textId="77777777" w:rsidR="00514CC0" w:rsidRDefault="00E72B49">
      <w:pPr>
        <w:pStyle w:val="BodyText"/>
      </w:pPr>
      <w:r>
        <w:t>The Australian Domestic and Family Violence Death Review Network (the ‘Network’) is an interjurisdictional government initiative established in 2011 to better document and analyse data on ‘domestic and family violence-related homicide’. The Network collates and analyses Coroners Court data from state and territory jurisdictions across Australia. The Network’s 2018 report examined cases wherein:</w:t>
      </w:r>
    </w:p>
    <w:p w14:paraId="56C32775" w14:textId="77777777" w:rsidR="00514CC0" w:rsidRDefault="00E72B49">
      <w:pPr>
        <w:pStyle w:val="OWBullet1"/>
      </w:pPr>
      <w:r>
        <w:t>the death resulted from homicide and occurred between 1 July 2010 and 30 June 2014, and coronial or criminal proceedings were finalised by September 2017;</w:t>
      </w:r>
    </w:p>
    <w:p w14:paraId="17CD9A9C" w14:textId="77777777" w:rsidR="00514CC0" w:rsidRDefault="00E72B49">
      <w:pPr>
        <w:pStyle w:val="OWBullet1"/>
      </w:pPr>
      <w:r>
        <w:t>there was a known intimate partner relationship (current or previous) between victim and offender; and</w:t>
      </w:r>
    </w:p>
    <w:p w14:paraId="45B103C0" w14:textId="22ACFB49" w:rsidR="00514CC0" w:rsidRDefault="00E72B49">
      <w:pPr>
        <w:pStyle w:val="OWBullet1"/>
      </w:pPr>
      <w:r>
        <w:t>there was an ‘identifiable history’ of violence (from police reports, intervention orders, anecdotal evidence) between offender and victim.</w:t>
      </w:r>
      <w:r w:rsidR="009C737B">
        <w:rPr>
          <w:rStyle w:val="EndnoteReference"/>
        </w:rPr>
        <w:endnoteReference w:id="521"/>
      </w:r>
    </w:p>
    <w:p w14:paraId="32E9B59E" w14:textId="3D701F02" w:rsidR="00514CC0" w:rsidRDefault="00E72B49" w:rsidP="008A53B4">
      <w:pPr>
        <w:pStyle w:val="OWBodytextafterlist"/>
      </w:pPr>
      <w:r w:rsidRPr="002D0D52">
        <w:rPr>
          <w:rStyle w:val="Strong"/>
        </w:rPr>
        <w:t>Of the 152 intimate partner-perpetrated homicides that occurred in Australia between 2010 and 2014 that followed an identifiable history of partner violence, eight in ten (79.6%, n=121) involved a man killing a woman; that is, male-perpetrated intimate partner homicide.</w:t>
      </w:r>
      <w:r w:rsidR="004B4DE0" w:rsidRPr="004B4DE0">
        <w:rPr>
          <w:rStyle w:val="EndnoteReference"/>
        </w:rPr>
        <w:endnoteReference w:id="522"/>
      </w:r>
      <w:r>
        <w:t xml:space="preserve"> In 92.6% of these cases (n=112), it was established that the male perpetrator had been violent with the woman on other occasions prior to killing her.</w:t>
      </w:r>
      <w:r w:rsidR="004B4DE0">
        <w:rPr>
          <w:rStyle w:val="EndnoteReference"/>
        </w:rPr>
        <w:endnoteReference w:id="523"/>
      </w:r>
    </w:p>
    <w:p w14:paraId="4AE93235" w14:textId="17268A0E" w:rsidR="00514CC0" w:rsidRDefault="00E72B49">
      <w:pPr>
        <w:pStyle w:val="BodyText"/>
      </w:pPr>
      <w:r>
        <w:t>From the 121 cases where a man killed a female partner, over one-third (36.4%) killed a former partner, and of the cases where there was a current relationship at the time of the homicide, in just under one-third of the cases one or both parties had indicated an intention to separate. Therefore the Network concluded that separation or intention to separate is a key characteristic of male-perpetrated intimate partner homicides.</w:t>
      </w:r>
      <w:r w:rsidR="004B4DE0">
        <w:rPr>
          <w:rStyle w:val="EndnoteReference"/>
        </w:rPr>
        <w:endnoteReference w:id="524"/>
      </w:r>
    </w:p>
    <w:p w14:paraId="6F3803DA" w14:textId="4326733C" w:rsidR="00514CC0" w:rsidRDefault="00E72B49">
      <w:pPr>
        <w:pStyle w:val="BodyText"/>
      </w:pPr>
      <w:r>
        <w:t>One in five (20%) of the 121 men who killed a female partner in this time period subsequently committed suicide.</w:t>
      </w:r>
      <w:r w:rsidR="004B4DE0">
        <w:rPr>
          <w:rStyle w:val="EndnoteReference"/>
        </w:rPr>
        <w:endnoteReference w:id="525"/>
      </w:r>
    </w:p>
    <w:p w14:paraId="52F8B1EA" w14:textId="77777777" w:rsidR="00514CC0" w:rsidRDefault="00E72B49" w:rsidP="00F868FE">
      <w:pPr>
        <w:pStyle w:val="Heading6"/>
      </w:pPr>
      <w:r>
        <w:t>Demographics of female intimate partner homicide victims</w:t>
      </w:r>
    </w:p>
    <w:p w14:paraId="29CE3141" w14:textId="326889D8" w:rsidR="00514CC0" w:rsidRDefault="00E72B49">
      <w:pPr>
        <w:pStyle w:val="BodyText"/>
      </w:pPr>
      <w:r>
        <w:t>One-quarter (25.6%, n=31) of the 121 female victims of male-perpetrated intimate partner homicide were migrants or refugees, from a wide range of countries. Just under one-quarter (22.3%, n=27) of victims were Aboriginal, meaning that Aboriginal women are highly over-represented as victims of intimate partner homicide. The median age of victims was 35 years and the average age 37.6 years. Five per cent of victims were on a disability pension (n=6) and almost half (44.6%, n=54) were unemployed at the time they were killed.</w:t>
      </w:r>
      <w:r w:rsidR="004B4DE0">
        <w:rPr>
          <w:rStyle w:val="EndnoteReference"/>
        </w:rPr>
        <w:endnoteReference w:id="526"/>
      </w:r>
      <w:r>
        <w:t xml:space="preserve"> </w:t>
      </w:r>
      <w:r w:rsidR="00EA39ED" w:rsidRPr="00EA39ED">
        <w:t>This data</w:t>
      </w:r>
      <w:r w:rsidR="00EA39ED">
        <w:t> </w:t>
      </w:r>
      <w:r w:rsidR="00EA39ED" w:rsidRPr="00EA39ED">
        <w:t>suggests that there is considerable interplay between gender inequality and other, intersecting drivers of violence when it comes to female homicide victimisation.</w:t>
      </w:r>
      <w:r>
        <w:t xml:space="preserve"> Understanding these intersections is key to prevention.</w:t>
      </w:r>
    </w:p>
    <w:tbl>
      <w:tblPr>
        <w:tblStyle w:val="Casestudyumber"/>
        <w:tblW w:w="0" w:type="auto"/>
        <w:tblLayout w:type="fixed"/>
        <w:tblLook w:val="0620" w:firstRow="1" w:lastRow="0" w:firstColumn="0" w:lastColumn="0" w:noHBand="1" w:noVBand="1"/>
      </w:tblPr>
      <w:tblGrid>
        <w:gridCol w:w="9071"/>
      </w:tblGrid>
      <w:tr w:rsidR="00514CC0" w14:paraId="67AC34DF" w14:textId="77777777" w:rsidTr="009135EE">
        <w:trPr>
          <w:cnfStyle w:val="100000000000" w:firstRow="1" w:lastRow="0" w:firstColumn="0" w:lastColumn="0" w:oddVBand="0" w:evenVBand="0" w:oddHBand="0" w:evenHBand="0" w:firstRowFirstColumn="0" w:firstRowLastColumn="0" w:lastRowFirstColumn="0" w:lastRowLastColumn="0"/>
          <w:trHeight w:val="60"/>
        </w:trPr>
        <w:tc>
          <w:tcPr>
            <w:tcW w:w="9071" w:type="dxa"/>
          </w:tcPr>
          <w:p w14:paraId="66445CE2" w14:textId="77777777" w:rsidR="00514CC0" w:rsidRDefault="00E72B49">
            <w:pPr>
              <w:pStyle w:val="OWBoxheading"/>
            </w:pPr>
            <w:r>
              <w:lastRenderedPageBreak/>
              <w:t>Data project case study: Securing women’s lives – preventing intimate partner homicide</w:t>
            </w:r>
          </w:p>
        </w:tc>
      </w:tr>
      <w:tr w:rsidR="00514CC0" w14:paraId="01C85F14" w14:textId="77777777" w:rsidTr="009135EE">
        <w:trPr>
          <w:trHeight w:val="60"/>
        </w:trPr>
        <w:tc>
          <w:tcPr>
            <w:tcW w:w="9071" w:type="dxa"/>
          </w:tcPr>
          <w:p w14:paraId="547548FE" w14:textId="77777777" w:rsidR="00514CC0" w:rsidRPr="003E209A" w:rsidRDefault="00E72B49">
            <w:pPr>
              <w:pStyle w:val="BodyText"/>
              <w:rPr>
                <w:rStyle w:val="Emphasis"/>
              </w:rPr>
            </w:pPr>
            <w:r w:rsidRPr="003E209A">
              <w:rPr>
                <w:rStyle w:val="Emphasis"/>
              </w:rPr>
              <w:t>Authored by the project research team, Monash Gender and Family Violence Prevention Centre (Monash University)</w:t>
            </w:r>
          </w:p>
          <w:p w14:paraId="327E2D63" w14:textId="77777777" w:rsidR="00514CC0" w:rsidRDefault="00E72B49">
            <w:pPr>
              <w:pStyle w:val="BodyText"/>
            </w:pPr>
            <w:r>
              <w:t>Researchers from the Monash Gender and Family Violence Prevention Centre are conducting a three-year Australian Research Council (ARC) Funded Discovery Project which aims to develop new understandings of risk and to build the evidence base needed to inform the prevention of intimate partner homicide in Australia.</w:t>
            </w:r>
          </w:p>
          <w:p w14:paraId="2DA00522" w14:textId="77777777" w:rsidR="00514CC0" w:rsidRDefault="00E72B49">
            <w:pPr>
              <w:pStyle w:val="BodyText"/>
            </w:pPr>
            <w:r>
              <w:t>The project team has collected sentencing judgments and coronial findings in over 250 intimate partner homicide cases from across Australian state and territory jurisdictions. While the project intends to produce national findings, the final project database does not include any Queensland homicide cases due to challenges arising from data access.</w:t>
            </w:r>
          </w:p>
          <w:p w14:paraId="6EF1BED8" w14:textId="77777777" w:rsidR="00514CC0" w:rsidRDefault="00E72B49">
            <w:pPr>
              <w:pStyle w:val="BodyText"/>
            </w:pPr>
            <w:r>
              <w:t>The research team has utilised the sentencing judgments in each case to identify potential points of intervention that might have provided an opportunity to prevent such killings. Sentencing judgments are typically detailed narrative accounts, in which the judge describes how and where the crime took place, and the circumstances that led to it. The research team, assisted by Dr Jasmine McGowan, Naomi Pfitzner, and Kate Thomas, have identified over 75 themes from the judgments relating to risk, intervention and prevention.</w:t>
            </w:r>
          </w:p>
          <w:p w14:paraId="4B3347F9" w14:textId="77777777" w:rsidR="00514CC0" w:rsidRDefault="00E72B49">
            <w:pPr>
              <w:pStyle w:val="BodyText"/>
            </w:pPr>
            <w:r>
              <w:t xml:space="preserve">As part of this project the researchers published </w:t>
            </w:r>
            <w:r w:rsidRPr="003E209A">
              <w:rPr>
                <w:rStyle w:val="Emphasis"/>
              </w:rPr>
              <w:t>Towards a Global Femicide Index: Counting the Costs</w:t>
            </w:r>
            <w:r>
              <w:t xml:space="preserve"> (Routledge, 2020).</w:t>
            </w:r>
          </w:p>
          <w:p w14:paraId="095CFDB1" w14:textId="77777777" w:rsidR="00514CC0" w:rsidRDefault="00E72B49">
            <w:pPr>
              <w:pStyle w:val="BodyText"/>
            </w:pPr>
            <w:r>
              <w:t>Increasingly there is global attention on the prevalence of women’s deaths resulting from intimate partner violence. Campaigns such as ‘Counting Dead Women’ in Australia, the ‘Femicide Census in England’, the Canadian Femicide Observatory, and the emergence of family violence death review teams globally highlight the fatal consequences of intimate partner violence for women around the world.</w:t>
            </w:r>
          </w:p>
          <w:p w14:paraId="4F7D27CC" w14:textId="77777777" w:rsidR="00514CC0" w:rsidRDefault="00E72B49">
            <w:pPr>
              <w:pStyle w:val="BodyText"/>
            </w:pPr>
            <w:r w:rsidRPr="003E209A">
              <w:rPr>
                <w:rStyle w:val="Emphasis"/>
              </w:rPr>
              <w:t>Towards a Global Femicide Index</w:t>
            </w:r>
            <w:r>
              <w:t xml:space="preserve"> considers the need for and the steps to be taken towards creating a meaningful framework for a global index of women’s deaths from intimate partner violence. While there are global indices for deaths that relate to public violence, such as terrorism, there is to date no systematic global count of killings of women by their intimate partners. This project considers the possibilities and challenges that arise in counting intimate partner femicide. It argues that such an exercise needs to avoid narrow empiricism and instead be part of a broader feminist political project aimed at ending violence against women.</w:t>
            </w:r>
          </w:p>
          <w:p w14:paraId="0F6C954E" w14:textId="77777777" w:rsidR="00514CC0" w:rsidRDefault="00E72B49">
            <w:pPr>
              <w:pStyle w:val="BodyText"/>
            </w:pPr>
            <w:r w:rsidRPr="002D0D52">
              <w:rPr>
                <w:rStyle w:val="Strong"/>
              </w:rPr>
              <w:t>Research Team:</w:t>
            </w:r>
            <w:r>
              <w:t xml:space="preserve"> Professor Jude McCulloch, Dr Kate Fitz-Gibbon, Professor JaneMaree Maher and Professor Sandra Walklate.</w:t>
            </w:r>
          </w:p>
          <w:p w14:paraId="53A87CCB" w14:textId="6AE841FD" w:rsidR="00514CC0" w:rsidRDefault="00E72B49">
            <w:pPr>
              <w:pStyle w:val="BodyText"/>
            </w:pPr>
            <w:r w:rsidRPr="00ED204E">
              <w:rPr>
                <w:rStyle w:val="Strong"/>
              </w:rPr>
              <w:t>Pro</w:t>
            </w:r>
            <w:r w:rsidRPr="002D0D52">
              <w:rPr>
                <w:rStyle w:val="Strong"/>
              </w:rPr>
              <w:t>ject website:</w:t>
            </w:r>
            <w:r>
              <w:t xml:space="preserve"> </w:t>
            </w:r>
            <w:hyperlink r:id="rId86" w:history="1">
              <w:r w:rsidR="004C798A">
                <w:rPr>
                  <w:rStyle w:val="Hyperlink"/>
                </w:rPr>
                <w:t>Research project – Intimate partner homicide</w:t>
              </w:r>
            </w:hyperlink>
          </w:p>
        </w:tc>
      </w:tr>
    </w:tbl>
    <w:p w14:paraId="76C4CDF7" w14:textId="77777777" w:rsidR="00514CC0" w:rsidRDefault="00E72B49" w:rsidP="00F868FE">
      <w:pPr>
        <w:pStyle w:val="Heading5"/>
      </w:pPr>
      <w:r>
        <w:lastRenderedPageBreak/>
        <w:t>Homicide and related offences crime statistics</w:t>
      </w:r>
    </w:p>
    <w:p w14:paraId="771E7F07" w14:textId="018EBAD5" w:rsidR="00514CC0" w:rsidRDefault="00E72B49">
      <w:pPr>
        <w:pStyle w:val="BodyText"/>
      </w:pPr>
      <w:r>
        <w:t>The ABS also compiles data annually on recorded victimisation for particular crimes (as</w:t>
      </w:r>
      <w:r w:rsidR="00CD3A16">
        <w:t> </w:t>
      </w:r>
      <w:r>
        <w:t>recorded by police) from participating jurisdictions, published as Recorded Crime – Victims.</w:t>
      </w:r>
      <w:r w:rsidR="004B4DE0">
        <w:rPr>
          <w:rStyle w:val="EndnoteReference"/>
        </w:rPr>
        <w:endnoteReference w:id="527"/>
      </w:r>
      <w:r>
        <w:t xml:space="preserve"> The value of this data is that it is more up-to-date than coronial data.</w:t>
      </w:r>
    </w:p>
    <w:p w14:paraId="67FC2AF3" w14:textId="77C303DB" w:rsidR="00514CC0" w:rsidRDefault="00E72B49">
      <w:pPr>
        <w:pStyle w:val="BodyText"/>
      </w:pPr>
      <w:r>
        <w:t>Analysis of this crime data shows that there has been relative consistency, though some small decrease, in the victimisation rates for homicide and related offences in total (murder, attempted murder, manslaughter) and murder for women over time. In 2010, the female victimisation rate for homicide and related offences was 1.5 per 100,000; this figure was 1.0</w:t>
      </w:r>
      <w:r w:rsidR="00CD3A16">
        <w:t> </w:t>
      </w:r>
      <w:r>
        <w:t xml:space="preserve">in 2018. The female victimisation rate for murder specifically was 0.8 per 100,000 in 2010 and 0.7 in 2018. In 2010, there were 93 recorded murders of women in Australia and there were 82 in 2018 (see Table </w:t>
      </w:r>
      <w:r w:rsidR="0017588F">
        <w:t>49</w:t>
      </w:r>
      <w:r>
        <w:t>, below).</w:t>
      </w:r>
    </w:p>
    <w:p w14:paraId="50088C69" w14:textId="097CB7BC" w:rsidR="00514CC0" w:rsidRDefault="00E72B49">
      <w:pPr>
        <w:pStyle w:val="OWTablecaption"/>
      </w:pPr>
      <w:r>
        <w:t xml:space="preserve">Table </w:t>
      </w:r>
      <w:r w:rsidR="0017588F">
        <w:t>49</w:t>
      </w:r>
      <w:r>
        <w:t>: Recorded homicide and related offences, number of women and female victimisation rate per 100,000, 2010 to 2018</w:t>
      </w:r>
    </w:p>
    <w:tbl>
      <w:tblPr>
        <w:tblStyle w:val="Datatableumber"/>
        <w:tblW w:w="9072" w:type="dxa"/>
        <w:tblLayout w:type="fixed"/>
        <w:tblLook w:val="06A0" w:firstRow="1" w:lastRow="0" w:firstColumn="1" w:lastColumn="0" w:noHBand="1" w:noVBand="1"/>
      </w:tblPr>
      <w:tblGrid>
        <w:gridCol w:w="965"/>
        <w:gridCol w:w="2027"/>
        <w:gridCol w:w="2026"/>
        <w:gridCol w:w="2027"/>
        <w:gridCol w:w="2027"/>
      </w:tblGrid>
      <w:tr w:rsidR="00514CC0" w14:paraId="6551DE5A" w14:textId="77777777" w:rsidTr="009135EE">
        <w:trPr>
          <w:cnfStyle w:val="100000000000" w:firstRow="1" w:lastRow="0" w:firstColumn="0" w:lastColumn="0" w:oddVBand="0" w:evenVBand="0" w:oddHBand="0" w:evenHBand="0" w:firstRowFirstColumn="0" w:firstRowLastColumn="0" w:lastRowFirstColumn="0" w:lastRowLastColumn="0"/>
          <w:cantSplit/>
          <w:trHeight w:val="60"/>
          <w:tblHeader/>
        </w:trPr>
        <w:tc>
          <w:tcPr>
            <w:tcW w:w="964" w:type="dxa"/>
          </w:tcPr>
          <w:p w14:paraId="72FF73B4" w14:textId="77777777" w:rsidR="00514CC0" w:rsidRPr="008A53B4" w:rsidRDefault="00E72B49">
            <w:pPr>
              <w:pStyle w:val="OWTablecolumnheadleft"/>
            </w:pPr>
            <w:r w:rsidRPr="008A53B4">
              <w:t>Year</w:t>
            </w:r>
          </w:p>
        </w:tc>
        <w:tc>
          <w:tcPr>
            <w:tcW w:w="2027" w:type="dxa"/>
          </w:tcPr>
          <w:p w14:paraId="4D06BF3E" w14:textId="77777777" w:rsidR="00514CC0" w:rsidRPr="008A53B4" w:rsidRDefault="00E72B49">
            <w:pPr>
              <w:pStyle w:val="OWTablecolumnheadcentre"/>
            </w:pPr>
            <w:r w:rsidRPr="008A53B4">
              <w:t>Number of homicides and related offences of women</w:t>
            </w:r>
          </w:p>
        </w:tc>
        <w:tc>
          <w:tcPr>
            <w:tcW w:w="2026" w:type="dxa"/>
          </w:tcPr>
          <w:p w14:paraId="16E39B4C" w14:textId="77777777" w:rsidR="00514CC0" w:rsidRPr="008A53B4" w:rsidRDefault="00E72B49">
            <w:pPr>
              <w:pStyle w:val="OWTablecolumnheadcentre"/>
            </w:pPr>
            <w:r w:rsidRPr="008A53B4">
              <w:t>Female victimisation rate per 100,000, homicide and related offences</w:t>
            </w:r>
          </w:p>
        </w:tc>
        <w:tc>
          <w:tcPr>
            <w:tcW w:w="2027" w:type="dxa"/>
          </w:tcPr>
          <w:p w14:paraId="34C96A0F" w14:textId="77777777" w:rsidR="00514CC0" w:rsidRPr="008A53B4" w:rsidRDefault="00E72B49">
            <w:pPr>
              <w:pStyle w:val="OWTablecolumnheadcentre"/>
            </w:pPr>
            <w:r w:rsidRPr="008A53B4">
              <w:t>Number of murders of women</w:t>
            </w:r>
          </w:p>
        </w:tc>
        <w:tc>
          <w:tcPr>
            <w:tcW w:w="2027" w:type="dxa"/>
          </w:tcPr>
          <w:p w14:paraId="2DF684D0" w14:textId="77777777" w:rsidR="00514CC0" w:rsidRPr="008A53B4" w:rsidRDefault="00E72B49">
            <w:pPr>
              <w:pStyle w:val="OWTablecolumnheadcentre"/>
            </w:pPr>
            <w:r w:rsidRPr="008A53B4">
              <w:t>Female victimisation rate per 100,000, murder</w:t>
            </w:r>
          </w:p>
        </w:tc>
      </w:tr>
      <w:tr w:rsidR="00514CC0" w14:paraId="2FFE8571" w14:textId="77777777" w:rsidTr="009135EE">
        <w:trPr>
          <w:cantSplit/>
          <w:trHeight w:val="60"/>
        </w:trPr>
        <w:tc>
          <w:tcPr>
            <w:tcW w:w="964" w:type="dxa"/>
          </w:tcPr>
          <w:p w14:paraId="10CC04C8" w14:textId="77777777" w:rsidR="00514CC0" w:rsidRDefault="00E72B49">
            <w:pPr>
              <w:pStyle w:val="OWTablebodyleft"/>
            </w:pPr>
            <w:r>
              <w:t>2010</w:t>
            </w:r>
          </w:p>
        </w:tc>
        <w:tc>
          <w:tcPr>
            <w:tcW w:w="2027" w:type="dxa"/>
          </w:tcPr>
          <w:p w14:paraId="7DE01736" w14:textId="77777777" w:rsidR="00514CC0" w:rsidRDefault="00E72B49">
            <w:pPr>
              <w:pStyle w:val="OWTablebodycentre"/>
            </w:pPr>
            <w:r>
              <w:t>169</w:t>
            </w:r>
          </w:p>
        </w:tc>
        <w:tc>
          <w:tcPr>
            <w:tcW w:w="2026" w:type="dxa"/>
          </w:tcPr>
          <w:p w14:paraId="18E7796A" w14:textId="77777777" w:rsidR="00514CC0" w:rsidRDefault="00E72B49">
            <w:pPr>
              <w:pStyle w:val="OWTablebodycentre"/>
            </w:pPr>
            <w:r>
              <w:t>1.5</w:t>
            </w:r>
          </w:p>
        </w:tc>
        <w:tc>
          <w:tcPr>
            <w:tcW w:w="2027" w:type="dxa"/>
          </w:tcPr>
          <w:p w14:paraId="0329A8A9" w14:textId="77777777" w:rsidR="00514CC0" w:rsidRDefault="00E72B49">
            <w:pPr>
              <w:pStyle w:val="OWTablebodycentre"/>
            </w:pPr>
            <w:r>
              <w:t>93</w:t>
            </w:r>
          </w:p>
        </w:tc>
        <w:tc>
          <w:tcPr>
            <w:tcW w:w="2027" w:type="dxa"/>
          </w:tcPr>
          <w:p w14:paraId="70380401" w14:textId="77777777" w:rsidR="00514CC0" w:rsidRDefault="00E72B49">
            <w:pPr>
              <w:pStyle w:val="OWTablebodycentre"/>
            </w:pPr>
            <w:r>
              <w:t>0.8</w:t>
            </w:r>
          </w:p>
        </w:tc>
      </w:tr>
      <w:tr w:rsidR="00514CC0" w14:paraId="50618120" w14:textId="77777777" w:rsidTr="009135EE">
        <w:trPr>
          <w:cantSplit/>
          <w:trHeight w:val="60"/>
        </w:trPr>
        <w:tc>
          <w:tcPr>
            <w:tcW w:w="964" w:type="dxa"/>
          </w:tcPr>
          <w:p w14:paraId="5251F9D2" w14:textId="77777777" w:rsidR="00514CC0" w:rsidRDefault="00E72B49">
            <w:pPr>
              <w:pStyle w:val="OWTablebodyleft"/>
            </w:pPr>
            <w:r>
              <w:t>2011</w:t>
            </w:r>
          </w:p>
        </w:tc>
        <w:tc>
          <w:tcPr>
            <w:tcW w:w="2027" w:type="dxa"/>
          </w:tcPr>
          <w:p w14:paraId="2DE9C8DA" w14:textId="77777777" w:rsidR="00514CC0" w:rsidRDefault="00E72B49">
            <w:pPr>
              <w:pStyle w:val="OWTablebodycentre"/>
            </w:pPr>
            <w:r>
              <w:t>149</w:t>
            </w:r>
          </w:p>
        </w:tc>
        <w:tc>
          <w:tcPr>
            <w:tcW w:w="2026" w:type="dxa"/>
          </w:tcPr>
          <w:p w14:paraId="7CCB2BAF" w14:textId="77777777" w:rsidR="00514CC0" w:rsidRDefault="00E72B49">
            <w:pPr>
              <w:pStyle w:val="OWTablebodycentre"/>
            </w:pPr>
            <w:r>
              <w:t>1.3</w:t>
            </w:r>
          </w:p>
        </w:tc>
        <w:tc>
          <w:tcPr>
            <w:tcW w:w="2027" w:type="dxa"/>
          </w:tcPr>
          <w:p w14:paraId="1957C646" w14:textId="77777777" w:rsidR="00514CC0" w:rsidRDefault="00E72B49">
            <w:pPr>
              <w:pStyle w:val="OWTablebodycentre"/>
            </w:pPr>
            <w:r>
              <w:t>90</w:t>
            </w:r>
          </w:p>
        </w:tc>
        <w:tc>
          <w:tcPr>
            <w:tcW w:w="2027" w:type="dxa"/>
          </w:tcPr>
          <w:p w14:paraId="575E1BE8" w14:textId="77777777" w:rsidR="00514CC0" w:rsidRDefault="00E72B49">
            <w:pPr>
              <w:pStyle w:val="OWTablebodycentre"/>
            </w:pPr>
            <w:r>
              <w:t>0.8</w:t>
            </w:r>
          </w:p>
        </w:tc>
      </w:tr>
      <w:tr w:rsidR="00514CC0" w14:paraId="71BF4996" w14:textId="77777777" w:rsidTr="009135EE">
        <w:trPr>
          <w:cantSplit/>
          <w:trHeight w:val="60"/>
        </w:trPr>
        <w:tc>
          <w:tcPr>
            <w:tcW w:w="964" w:type="dxa"/>
          </w:tcPr>
          <w:p w14:paraId="47A38D67" w14:textId="77777777" w:rsidR="00514CC0" w:rsidRDefault="00E72B49">
            <w:pPr>
              <w:pStyle w:val="OWTablebodyleft"/>
            </w:pPr>
            <w:r>
              <w:t>2012</w:t>
            </w:r>
          </w:p>
        </w:tc>
        <w:tc>
          <w:tcPr>
            <w:tcW w:w="2027" w:type="dxa"/>
          </w:tcPr>
          <w:p w14:paraId="68748E05" w14:textId="77777777" w:rsidR="00514CC0" w:rsidRDefault="00E72B49">
            <w:pPr>
              <w:pStyle w:val="OWTablebodycentre"/>
            </w:pPr>
            <w:r>
              <w:t>138</w:t>
            </w:r>
          </w:p>
        </w:tc>
        <w:tc>
          <w:tcPr>
            <w:tcW w:w="2026" w:type="dxa"/>
          </w:tcPr>
          <w:p w14:paraId="5A793B58" w14:textId="77777777" w:rsidR="00514CC0" w:rsidRDefault="00E72B49">
            <w:pPr>
              <w:pStyle w:val="OWTablebodycentre"/>
            </w:pPr>
            <w:r>
              <w:t>1.2</w:t>
            </w:r>
          </w:p>
        </w:tc>
        <w:tc>
          <w:tcPr>
            <w:tcW w:w="2027" w:type="dxa"/>
          </w:tcPr>
          <w:p w14:paraId="77E67D86" w14:textId="77777777" w:rsidR="00514CC0" w:rsidRDefault="00E72B49">
            <w:pPr>
              <w:pStyle w:val="OWTablebodycentre"/>
            </w:pPr>
            <w:r>
              <w:t>83</w:t>
            </w:r>
          </w:p>
        </w:tc>
        <w:tc>
          <w:tcPr>
            <w:tcW w:w="2027" w:type="dxa"/>
          </w:tcPr>
          <w:p w14:paraId="606A86B9" w14:textId="77777777" w:rsidR="00514CC0" w:rsidRDefault="00E72B49">
            <w:pPr>
              <w:pStyle w:val="OWTablebodycentre"/>
            </w:pPr>
            <w:r>
              <w:t>0.7</w:t>
            </w:r>
          </w:p>
        </w:tc>
      </w:tr>
      <w:tr w:rsidR="00514CC0" w14:paraId="56D3B406" w14:textId="77777777" w:rsidTr="009135EE">
        <w:trPr>
          <w:cantSplit/>
          <w:trHeight w:val="60"/>
        </w:trPr>
        <w:tc>
          <w:tcPr>
            <w:tcW w:w="964" w:type="dxa"/>
          </w:tcPr>
          <w:p w14:paraId="5276EC4A" w14:textId="77777777" w:rsidR="00514CC0" w:rsidRDefault="00E72B49">
            <w:pPr>
              <w:pStyle w:val="OWTablebodyleft"/>
            </w:pPr>
            <w:r>
              <w:t>2013</w:t>
            </w:r>
          </w:p>
        </w:tc>
        <w:tc>
          <w:tcPr>
            <w:tcW w:w="2027" w:type="dxa"/>
          </w:tcPr>
          <w:p w14:paraId="3753A2D5" w14:textId="77777777" w:rsidR="00514CC0" w:rsidRDefault="00E72B49">
            <w:pPr>
              <w:pStyle w:val="OWTablebodycentre"/>
            </w:pPr>
            <w:r>
              <w:t>154</w:t>
            </w:r>
          </w:p>
        </w:tc>
        <w:tc>
          <w:tcPr>
            <w:tcW w:w="2026" w:type="dxa"/>
          </w:tcPr>
          <w:p w14:paraId="1E9A97F4" w14:textId="77777777" w:rsidR="00514CC0" w:rsidRDefault="00E72B49">
            <w:pPr>
              <w:pStyle w:val="OWTablebodycentre"/>
            </w:pPr>
            <w:r>
              <w:t>1.3</w:t>
            </w:r>
          </w:p>
        </w:tc>
        <w:tc>
          <w:tcPr>
            <w:tcW w:w="2027" w:type="dxa"/>
          </w:tcPr>
          <w:p w14:paraId="2BC42590" w14:textId="77777777" w:rsidR="00514CC0" w:rsidRDefault="00E72B49">
            <w:pPr>
              <w:pStyle w:val="OWTablebodycentre"/>
            </w:pPr>
            <w:r>
              <w:t>94</w:t>
            </w:r>
          </w:p>
        </w:tc>
        <w:tc>
          <w:tcPr>
            <w:tcW w:w="2027" w:type="dxa"/>
          </w:tcPr>
          <w:p w14:paraId="1EE1C873" w14:textId="77777777" w:rsidR="00514CC0" w:rsidRDefault="00E72B49">
            <w:pPr>
              <w:pStyle w:val="OWTablebodycentre"/>
            </w:pPr>
            <w:r>
              <w:t>0.8</w:t>
            </w:r>
          </w:p>
        </w:tc>
      </w:tr>
      <w:tr w:rsidR="00514CC0" w14:paraId="1149B8C7" w14:textId="77777777" w:rsidTr="009135EE">
        <w:trPr>
          <w:cantSplit/>
          <w:trHeight w:val="60"/>
        </w:trPr>
        <w:tc>
          <w:tcPr>
            <w:tcW w:w="964" w:type="dxa"/>
          </w:tcPr>
          <w:p w14:paraId="12AE38A1" w14:textId="77777777" w:rsidR="00514CC0" w:rsidRDefault="00E72B49">
            <w:pPr>
              <w:pStyle w:val="OWTablebodyleft"/>
            </w:pPr>
            <w:r>
              <w:t>2014</w:t>
            </w:r>
          </w:p>
        </w:tc>
        <w:tc>
          <w:tcPr>
            <w:tcW w:w="2027" w:type="dxa"/>
          </w:tcPr>
          <w:p w14:paraId="40BF21ED" w14:textId="77777777" w:rsidR="00514CC0" w:rsidRDefault="00E72B49">
            <w:pPr>
              <w:pStyle w:val="OWTablebodycentre"/>
            </w:pPr>
            <w:r>
              <w:t>151</w:t>
            </w:r>
          </w:p>
        </w:tc>
        <w:tc>
          <w:tcPr>
            <w:tcW w:w="2026" w:type="dxa"/>
          </w:tcPr>
          <w:p w14:paraId="7F8545BA" w14:textId="77777777" w:rsidR="00514CC0" w:rsidRDefault="00E72B49">
            <w:pPr>
              <w:pStyle w:val="OWTablebodycentre"/>
            </w:pPr>
            <w:r>
              <w:t>1.3</w:t>
            </w:r>
          </w:p>
        </w:tc>
        <w:tc>
          <w:tcPr>
            <w:tcW w:w="2027" w:type="dxa"/>
          </w:tcPr>
          <w:p w14:paraId="36D0FF76" w14:textId="77777777" w:rsidR="00514CC0" w:rsidRDefault="00E72B49">
            <w:pPr>
              <w:pStyle w:val="OWTablebodycentre"/>
            </w:pPr>
            <w:r>
              <w:t>94</w:t>
            </w:r>
          </w:p>
        </w:tc>
        <w:tc>
          <w:tcPr>
            <w:tcW w:w="2027" w:type="dxa"/>
          </w:tcPr>
          <w:p w14:paraId="0AE51455" w14:textId="77777777" w:rsidR="00514CC0" w:rsidRDefault="00E72B49">
            <w:pPr>
              <w:pStyle w:val="OWTablebodycentre"/>
            </w:pPr>
            <w:r>
              <w:t>0.8</w:t>
            </w:r>
          </w:p>
        </w:tc>
      </w:tr>
      <w:tr w:rsidR="00514CC0" w14:paraId="53A49DFC" w14:textId="77777777" w:rsidTr="009135EE">
        <w:trPr>
          <w:cantSplit/>
          <w:trHeight w:val="60"/>
        </w:trPr>
        <w:tc>
          <w:tcPr>
            <w:tcW w:w="964" w:type="dxa"/>
          </w:tcPr>
          <w:p w14:paraId="54427119" w14:textId="77777777" w:rsidR="00514CC0" w:rsidRDefault="00E72B49">
            <w:pPr>
              <w:pStyle w:val="OWTablebodyleft"/>
            </w:pPr>
            <w:r>
              <w:t>2015</w:t>
            </w:r>
          </w:p>
        </w:tc>
        <w:tc>
          <w:tcPr>
            <w:tcW w:w="2027" w:type="dxa"/>
          </w:tcPr>
          <w:p w14:paraId="13F9BEE0" w14:textId="77777777" w:rsidR="00514CC0" w:rsidRDefault="00E72B49">
            <w:pPr>
              <w:pStyle w:val="OWTablebodycentre"/>
            </w:pPr>
            <w:r>
              <w:t>146</w:t>
            </w:r>
          </w:p>
        </w:tc>
        <w:tc>
          <w:tcPr>
            <w:tcW w:w="2026" w:type="dxa"/>
          </w:tcPr>
          <w:p w14:paraId="6F1C5557" w14:textId="77777777" w:rsidR="00514CC0" w:rsidRDefault="00E72B49">
            <w:pPr>
              <w:pStyle w:val="OWTablebodycentre"/>
            </w:pPr>
            <w:r>
              <w:t>1.2</w:t>
            </w:r>
          </w:p>
        </w:tc>
        <w:tc>
          <w:tcPr>
            <w:tcW w:w="2027" w:type="dxa"/>
          </w:tcPr>
          <w:p w14:paraId="2D02CCC3" w14:textId="77777777" w:rsidR="00514CC0" w:rsidRDefault="00E72B49">
            <w:pPr>
              <w:pStyle w:val="OWTablebodycentre"/>
            </w:pPr>
            <w:r>
              <w:t>84</w:t>
            </w:r>
          </w:p>
        </w:tc>
        <w:tc>
          <w:tcPr>
            <w:tcW w:w="2027" w:type="dxa"/>
          </w:tcPr>
          <w:p w14:paraId="5F762CE1" w14:textId="77777777" w:rsidR="00514CC0" w:rsidRDefault="00E72B49">
            <w:pPr>
              <w:pStyle w:val="OWTablebodycentre"/>
            </w:pPr>
            <w:r>
              <w:t>0.7</w:t>
            </w:r>
          </w:p>
        </w:tc>
      </w:tr>
      <w:tr w:rsidR="00514CC0" w14:paraId="52973D44" w14:textId="77777777" w:rsidTr="009135EE">
        <w:trPr>
          <w:cantSplit/>
          <w:trHeight w:val="60"/>
        </w:trPr>
        <w:tc>
          <w:tcPr>
            <w:tcW w:w="964" w:type="dxa"/>
          </w:tcPr>
          <w:p w14:paraId="6D4DBC1D" w14:textId="77777777" w:rsidR="00514CC0" w:rsidRDefault="00E72B49">
            <w:pPr>
              <w:pStyle w:val="OWTablebodyleft"/>
            </w:pPr>
            <w:r>
              <w:t>2016</w:t>
            </w:r>
          </w:p>
        </w:tc>
        <w:tc>
          <w:tcPr>
            <w:tcW w:w="2027" w:type="dxa"/>
          </w:tcPr>
          <w:p w14:paraId="5A369022" w14:textId="77777777" w:rsidR="00514CC0" w:rsidRDefault="00E72B49">
            <w:pPr>
              <w:pStyle w:val="OWTablebodycentre"/>
            </w:pPr>
            <w:r>
              <w:t>164</w:t>
            </w:r>
          </w:p>
        </w:tc>
        <w:tc>
          <w:tcPr>
            <w:tcW w:w="2026" w:type="dxa"/>
          </w:tcPr>
          <w:p w14:paraId="7A443BE5" w14:textId="77777777" w:rsidR="00514CC0" w:rsidRDefault="00E72B49">
            <w:pPr>
              <w:pStyle w:val="OWTablebodycentre"/>
            </w:pPr>
            <w:r>
              <w:t>1.4</w:t>
            </w:r>
          </w:p>
        </w:tc>
        <w:tc>
          <w:tcPr>
            <w:tcW w:w="2027" w:type="dxa"/>
          </w:tcPr>
          <w:p w14:paraId="26BAAE56" w14:textId="77777777" w:rsidR="00514CC0" w:rsidRDefault="00E72B49">
            <w:pPr>
              <w:pStyle w:val="OWTablebodycentre"/>
            </w:pPr>
            <w:r>
              <w:t>80</w:t>
            </w:r>
          </w:p>
        </w:tc>
        <w:tc>
          <w:tcPr>
            <w:tcW w:w="2027" w:type="dxa"/>
          </w:tcPr>
          <w:p w14:paraId="62BEF3AE" w14:textId="77777777" w:rsidR="00514CC0" w:rsidRDefault="00E72B49">
            <w:pPr>
              <w:pStyle w:val="OWTablebodycentre"/>
            </w:pPr>
            <w:r>
              <w:t>0.7</w:t>
            </w:r>
          </w:p>
        </w:tc>
      </w:tr>
      <w:tr w:rsidR="00514CC0" w14:paraId="209B0084" w14:textId="77777777" w:rsidTr="009135EE">
        <w:trPr>
          <w:cantSplit/>
          <w:trHeight w:val="60"/>
        </w:trPr>
        <w:tc>
          <w:tcPr>
            <w:tcW w:w="964" w:type="dxa"/>
          </w:tcPr>
          <w:p w14:paraId="0F16387E" w14:textId="77777777" w:rsidR="00514CC0" w:rsidRDefault="00E72B49">
            <w:pPr>
              <w:pStyle w:val="OWTablebodyleft"/>
            </w:pPr>
            <w:r>
              <w:t>2017</w:t>
            </w:r>
          </w:p>
        </w:tc>
        <w:tc>
          <w:tcPr>
            <w:tcW w:w="2027" w:type="dxa"/>
          </w:tcPr>
          <w:p w14:paraId="6281E4A1" w14:textId="77777777" w:rsidR="00514CC0" w:rsidRDefault="00E72B49">
            <w:pPr>
              <w:pStyle w:val="OWTablebodycentre"/>
            </w:pPr>
            <w:r>
              <w:t>134</w:t>
            </w:r>
          </w:p>
        </w:tc>
        <w:tc>
          <w:tcPr>
            <w:tcW w:w="2026" w:type="dxa"/>
          </w:tcPr>
          <w:p w14:paraId="2C2CF0CC" w14:textId="77777777" w:rsidR="00514CC0" w:rsidRDefault="00E72B49">
            <w:pPr>
              <w:pStyle w:val="OWTablebodycentre"/>
            </w:pPr>
            <w:r>
              <w:t>1.1</w:t>
            </w:r>
          </w:p>
        </w:tc>
        <w:tc>
          <w:tcPr>
            <w:tcW w:w="2027" w:type="dxa"/>
          </w:tcPr>
          <w:p w14:paraId="531E82B2" w14:textId="77777777" w:rsidR="00514CC0" w:rsidRDefault="00E72B49">
            <w:pPr>
              <w:pStyle w:val="OWTablebodycentre"/>
            </w:pPr>
            <w:r>
              <w:t>63</w:t>
            </w:r>
          </w:p>
        </w:tc>
        <w:tc>
          <w:tcPr>
            <w:tcW w:w="2027" w:type="dxa"/>
          </w:tcPr>
          <w:p w14:paraId="5488D688" w14:textId="77777777" w:rsidR="00514CC0" w:rsidRDefault="00E72B49">
            <w:pPr>
              <w:pStyle w:val="OWTablebodycentre"/>
            </w:pPr>
            <w:r>
              <w:t>0.5</w:t>
            </w:r>
          </w:p>
        </w:tc>
      </w:tr>
      <w:tr w:rsidR="00514CC0" w14:paraId="20A8FECA" w14:textId="77777777" w:rsidTr="009135EE">
        <w:trPr>
          <w:cantSplit/>
          <w:trHeight w:val="60"/>
        </w:trPr>
        <w:tc>
          <w:tcPr>
            <w:tcW w:w="964" w:type="dxa"/>
          </w:tcPr>
          <w:p w14:paraId="756F8B03" w14:textId="77777777" w:rsidR="00514CC0" w:rsidRDefault="00E72B49">
            <w:pPr>
              <w:pStyle w:val="OWTablebodyleft"/>
            </w:pPr>
            <w:r>
              <w:t>2018</w:t>
            </w:r>
          </w:p>
        </w:tc>
        <w:tc>
          <w:tcPr>
            <w:tcW w:w="2027" w:type="dxa"/>
          </w:tcPr>
          <w:p w14:paraId="5334E1BB" w14:textId="77777777" w:rsidR="00514CC0" w:rsidRDefault="00E72B49">
            <w:pPr>
              <w:pStyle w:val="OWTablebodycentre"/>
            </w:pPr>
            <w:r>
              <w:t>127</w:t>
            </w:r>
          </w:p>
        </w:tc>
        <w:tc>
          <w:tcPr>
            <w:tcW w:w="2026" w:type="dxa"/>
          </w:tcPr>
          <w:p w14:paraId="2EC4B5A6" w14:textId="77777777" w:rsidR="00514CC0" w:rsidRDefault="00E72B49">
            <w:pPr>
              <w:pStyle w:val="OWTablebodycentre"/>
            </w:pPr>
            <w:r>
              <w:t>1.0</w:t>
            </w:r>
          </w:p>
        </w:tc>
        <w:tc>
          <w:tcPr>
            <w:tcW w:w="2027" w:type="dxa"/>
          </w:tcPr>
          <w:p w14:paraId="4B797EAA" w14:textId="77777777" w:rsidR="00514CC0" w:rsidRDefault="00E72B49">
            <w:pPr>
              <w:pStyle w:val="OWTablebodycentre"/>
            </w:pPr>
            <w:r>
              <w:t>82</w:t>
            </w:r>
          </w:p>
        </w:tc>
        <w:tc>
          <w:tcPr>
            <w:tcW w:w="2027" w:type="dxa"/>
          </w:tcPr>
          <w:p w14:paraId="0EFD260A" w14:textId="77777777" w:rsidR="00514CC0" w:rsidRDefault="00E72B49">
            <w:pPr>
              <w:pStyle w:val="OWTablebodycentre"/>
            </w:pPr>
            <w:r>
              <w:t>0.7</w:t>
            </w:r>
          </w:p>
        </w:tc>
      </w:tr>
    </w:tbl>
    <w:p w14:paraId="45B5453F" w14:textId="77777777" w:rsidR="00514CC0" w:rsidRDefault="00E72B49">
      <w:pPr>
        <w:pStyle w:val="OWTablefootnote"/>
      </w:pPr>
      <w:r>
        <w:t>Source: ABS, Recorded Crime – Victims, Australia, 2018</w:t>
      </w:r>
    </w:p>
    <w:p w14:paraId="562E6ADC" w14:textId="30B1E74E" w:rsidR="00514CC0" w:rsidRDefault="00E72B49">
      <w:pPr>
        <w:pStyle w:val="OWBodytextlargespaceabove"/>
      </w:pPr>
      <w:r>
        <w:t>The ABS notes that in 2018, over one-third (38%, or n=75) of recorded female homicides and</w:t>
      </w:r>
      <w:r w:rsidR="00CD3A16">
        <w:t> </w:t>
      </w:r>
      <w:r>
        <w:t>related offences were ‘family- and domestic-violence-related’, and almost half (45%) of</w:t>
      </w:r>
      <w:r w:rsidR="00CD3A16">
        <w:t> </w:t>
      </w:r>
      <w:r>
        <w:t>these were perpetrated by an intimate partner.</w:t>
      </w:r>
      <w:r w:rsidR="004B4DE0">
        <w:rPr>
          <w:rStyle w:val="EndnoteReference"/>
        </w:rPr>
        <w:endnoteReference w:id="528"/>
      </w:r>
    </w:p>
    <w:tbl>
      <w:tblPr>
        <w:tblStyle w:val="Casestudyumber"/>
        <w:tblW w:w="0" w:type="auto"/>
        <w:tblLayout w:type="fixed"/>
        <w:tblLook w:val="0620" w:firstRow="1" w:lastRow="0" w:firstColumn="0" w:lastColumn="0" w:noHBand="1" w:noVBand="1"/>
      </w:tblPr>
      <w:tblGrid>
        <w:gridCol w:w="9071"/>
      </w:tblGrid>
      <w:tr w:rsidR="00514CC0" w14:paraId="4F4871D4" w14:textId="77777777" w:rsidTr="009135EE">
        <w:trPr>
          <w:cnfStyle w:val="100000000000" w:firstRow="1" w:lastRow="0" w:firstColumn="0" w:lastColumn="0" w:oddVBand="0" w:evenVBand="0" w:oddHBand="0" w:evenHBand="0" w:firstRowFirstColumn="0" w:firstRowLastColumn="0" w:lastRowFirstColumn="0" w:lastRowLastColumn="0"/>
          <w:trHeight w:val="60"/>
        </w:trPr>
        <w:tc>
          <w:tcPr>
            <w:tcW w:w="9071" w:type="dxa"/>
          </w:tcPr>
          <w:p w14:paraId="4DC6661E" w14:textId="77777777" w:rsidR="00514CC0" w:rsidRPr="008A53B4" w:rsidRDefault="00E72B49">
            <w:pPr>
              <w:pStyle w:val="OWBoxheading"/>
            </w:pPr>
            <w:r w:rsidRPr="008A53B4">
              <w:lastRenderedPageBreak/>
              <w:t>Over-represented in statistics, yet the full picture still obscured: Femicides of Aboriginal and Torres Strait Islander women and girls</w:t>
            </w:r>
          </w:p>
        </w:tc>
      </w:tr>
      <w:tr w:rsidR="00514CC0" w14:paraId="3BA7E6A0" w14:textId="77777777" w:rsidTr="009135EE">
        <w:trPr>
          <w:trHeight w:val="60"/>
        </w:trPr>
        <w:tc>
          <w:tcPr>
            <w:tcW w:w="9071" w:type="dxa"/>
          </w:tcPr>
          <w:p w14:paraId="29439F32" w14:textId="77777777" w:rsidR="00514CC0" w:rsidRDefault="00E72B49">
            <w:pPr>
              <w:pStyle w:val="OWTablebodyleft"/>
            </w:pPr>
            <w:r>
              <w:t>As detailed in this indicator, official homicide statistics show that Aboriginal and Torres Strait Islander women are over-represented as victims. And yet researchers and advocates argue that these figures considerably under-represent the extent of femicides of First Nations women.</w:t>
            </w:r>
          </w:p>
          <w:p w14:paraId="223EF817" w14:textId="6B3879C6" w:rsidR="00514CC0" w:rsidRDefault="00E72B49">
            <w:pPr>
              <w:pStyle w:val="OWTablebodyleft"/>
            </w:pPr>
            <w:r>
              <w:t xml:space="preserve">A 2018 research case study in the </w:t>
            </w:r>
            <w:r w:rsidRPr="003E209A">
              <w:rPr>
                <w:rStyle w:val="Emphasis"/>
              </w:rPr>
              <w:t xml:space="preserve">Deathscapes </w:t>
            </w:r>
            <w:r>
              <w:t>project, ‘Indigenous Femicide and the</w:t>
            </w:r>
            <w:r w:rsidR="00CD3A16">
              <w:t> </w:t>
            </w:r>
            <w:r>
              <w:t>Killing State’, draws attention to the multiplicity of ways that official homicide statistics obscure the scale of deaths of First Nations women and girls (T. Allas et al. (2018). ‘</w:t>
            </w:r>
            <w:hyperlink r:id="rId87" w:history="1">
              <w:r w:rsidRPr="00D24F94">
                <w:rPr>
                  <w:rStyle w:val="Hyperlink"/>
                </w:rPr>
                <w:t>Indigenous Femicide and the Killing State</w:t>
              </w:r>
            </w:hyperlink>
            <w:r>
              <w:t xml:space="preserve">’, </w:t>
            </w:r>
            <w:r w:rsidRPr="003E209A">
              <w:rPr>
                <w:rStyle w:val="Emphasis"/>
              </w:rPr>
              <w:t>Deathscapes: Mapping race and violence in settler states</w:t>
            </w:r>
            <w:r>
              <w:t xml:space="preserve">, </w:t>
            </w:r>
            <w:r w:rsidR="00994FE4" w:rsidRPr="00994FE4">
              <w:t>retrieved</w:t>
            </w:r>
            <w:r w:rsidR="00994FE4">
              <w:t xml:space="preserve"> </w:t>
            </w:r>
            <w:r>
              <w:t>15</w:t>
            </w:r>
            <w:r w:rsidR="00994FE4">
              <w:t xml:space="preserve"> </w:t>
            </w:r>
            <w:r>
              <w:t>December 2019).</w:t>
            </w:r>
          </w:p>
          <w:p w14:paraId="64C0434D" w14:textId="77777777" w:rsidR="00514CC0" w:rsidRDefault="00E72B49">
            <w:pPr>
              <w:pStyle w:val="OWTablebodyleft"/>
            </w:pPr>
            <w:r>
              <w:t>The authors show that femicides of First Nations women are more likely to be under</w:t>
            </w:r>
            <w:r>
              <w:rPr>
                <w:rFonts w:ascii="Cambria Math" w:hAnsi="Cambria Math" w:cs="Cambria Math"/>
              </w:rPr>
              <w:t>‑</w:t>
            </w:r>
            <w:r>
              <w:t>recorded in circumstances such as:</w:t>
            </w:r>
          </w:p>
          <w:p w14:paraId="3EE2BC9C" w14:textId="77777777" w:rsidR="00514CC0" w:rsidRDefault="00E72B49">
            <w:pPr>
              <w:pStyle w:val="OWTablebullet1"/>
            </w:pPr>
            <w:r>
              <w:t>deaths occurring in custody (which are not included in homicide statistics)</w:t>
            </w:r>
          </w:p>
          <w:p w14:paraId="1B6A8C22" w14:textId="4A0ABA99" w:rsidR="00514CC0" w:rsidRDefault="00E72B49">
            <w:pPr>
              <w:pStyle w:val="OWTablebullet1"/>
            </w:pPr>
            <w:r>
              <w:t>‘slow deaths’ – suicides due to racialised, sexualised or gendered violence, or</w:t>
            </w:r>
            <w:r w:rsidR="00CD3A16">
              <w:t> </w:t>
            </w:r>
            <w:r>
              <w:t>deaths due to ill health as a result of ongoing or past violence</w:t>
            </w:r>
          </w:p>
          <w:p w14:paraId="618EB78F" w14:textId="77777777" w:rsidR="00514CC0" w:rsidRDefault="00E72B49">
            <w:pPr>
              <w:pStyle w:val="OWTablebullet1"/>
            </w:pPr>
            <w:r>
              <w:t>deaths being miscategorised as due to ‘natural causes’ (for example, an acute health condition), even when there has been very recent interpersonal violence experienced by the deceased</w:t>
            </w:r>
          </w:p>
          <w:p w14:paraId="3B24E688" w14:textId="3EDC901F" w:rsidR="00514CC0" w:rsidRDefault="00E72B49">
            <w:pPr>
              <w:pStyle w:val="OWTablebullet1"/>
            </w:pPr>
            <w:r>
              <w:t>unpursued or delayed missing persons cases and poor investigations due to police</w:t>
            </w:r>
            <w:r w:rsidR="00CD3A16">
              <w:t> </w:t>
            </w:r>
            <w:r>
              <w:t>reluctance to take seriously reports of disappearances of First Nations women and girls</w:t>
            </w:r>
          </w:p>
          <w:p w14:paraId="11ACB35F" w14:textId="77777777" w:rsidR="00514CC0" w:rsidRDefault="00E72B49">
            <w:pPr>
              <w:pStyle w:val="OWTablebullet1"/>
            </w:pPr>
            <w:r>
              <w:t>open coronial findings in cases where there has been obstruction of justice (T. Allas et al., 2018).</w:t>
            </w:r>
          </w:p>
          <w:p w14:paraId="2969ED53" w14:textId="454D4DC3" w:rsidR="00514CC0" w:rsidRDefault="00E72B49" w:rsidP="00E83BB7">
            <w:pPr>
              <w:pStyle w:val="OWTablebodyleft"/>
              <w:spacing w:before="100"/>
            </w:pPr>
            <w:r>
              <w:t xml:space="preserve">Missing data on the femicides of First Nations women and girls is reflective of the same intersection of factors – gender inequality, racism and the ongoing impacts of colonisation – that drives this violence. (See Our Watch, 2018, </w:t>
            </w:r>
            <w:r w:rsidRPr="003E209A">
              <w:rPr>
                <w:rStyle w:val="Emphasis"/>
              </w:rPr>
              <w:t xml:space="preserve">Changing the </w:t>
            </w:r>
            <w:r w:rsidR="00B5171B">
              <w:rPr>
                <w:rStyle w:val="Emphasis"/>
              </w:rPr>
              <w:t>p</w:t>
            </w:r>
            <w:r w:rsidRPr="003E209A">
              <w:rPr>
                <w:rStyle w:val="Emphasis"/>
              </w:rPr>
              <w:t>icture</w:t>
            </w:r>
            <w:r>
              <w:t>.)</w:t>
            </w:r>
          </w:p>
          <w:p w14:paraId="5FC24A43" w14:textId="70A48C4D" w:rsidR="00514CC0" w:rsidRDefault="00E72B49">
            <w:pPr>
              <w:pStyle w:val="OWTablebodyleft"/>
            </w:pPr>
            <w:r>
              <w:t>As has occurred in Canada and the United States, there have been recent calls in Australia for an official government inquiry into missing and murdered Indigenous women (R. Hirini, ‘</w:t>
            </w:r>
            <w:hyperlink r:id="rId88" w:history="1">
              <w:r w:rsidRPr="00D24F94">
                <w:rPr>
                  <w:rStyle w:val="Hyperlink"/>
                </w:rPr>
                <w:t>“Why isn’t this a national crisis”: Report calls for action on Indigenous women’s deaths</w:t>
              </w:r>
            </w:hyperlink>
            <w:r>
              <w:t>’, NITV News, 5 February 2020.</w:t>
            </w:r>
          </w:p>
        </w:tc>
      </w:tr>
    </w:tbl>
    <w:p w14:paraId="514A37A6" w14:textId="77777777" w:rsidR="00514CC0" w:rsidRDefault="00E72B49" w:rsidP="001A03A8">
      <w:pPr>
        <w:pStyle w:val="Heading3"/>
        <w:rPr>
          <w:rStyle w:val="OWCharacterUmber"/>
        </w:rPr>
      </w:pPr>
      <w:bookmarkStart w:id="92" w:name="_Toc55053325"/>
      <w:r>
        <w:rPr>
          <w:rStyle w:val="OWCharacterUmber"/>
        </w:rPr>
        <w:lastRenderedPageBreak/>
        <w:t>Lifetime prevalence: Proportions of women subject to various forms of violence at least once during their lifetime since age 15</w:t>
      </w:r>
      <w:bookmarkEnd w:id="92"/>
    </w:p>
    <w:p w14:paraId="2745B24C" w14:textId="77777777" w:rsidR="00514CC0" w:rsidRDefault="00E72B49" w:rsidP="008A53B4">
      <w:pPr>
        <w:pStyle w:val="Heading4"/>
        <w:spacing w:before="160"/>
        <w:rPr>
          <w:rStyle w:val="OWCharacterUmber"/>
        </w:rPr>
      </w:pPr>
      <w:r>
        <w:rPr>
          <w:rStyle w:val="OWCharacterUmber"/>
        </w:rPr>
        <w:t>Indicator 11.6: Proportion of women subjected to physical, sexual or psychological violence by a current or former intimate partner since age 15</w:t>
      </w:r>
    </w:p>
    <w:p w14:paraId="37D5E307" w14:textId="77777777" w:rsidR="00514CC0" w:rsidRDefault="00E72B49">
      <w:pPr>
        <w:pStyle w:val="BodyText"/>
      </w:pPr>
      <w:r>
        <w:t>Lifetime prevalence data is highly insensitive to change over time, (unless one had access to data covering several decades), given that this data captures a person’s experience at any point since the age of 15. For example, a women’s experience of incidents of violence in earlier life continue to be accounted for as part of her ‘lifetime experience’ across multiple waves of the survey as she ages. It would therefore be misleading to perform timeseries analysis, or analysis of change over time, for lifetime prevalence data between the 2012 and 2016 waves of the Personal Safety Survey, or the 2012 and 2018 waves of the Australian Human Rights Commission’s National Workplace Sexual Harassment survey. The time period between these survey waves is far too short to provide any reliable indication of change. As such, only the most recent wave of lifetime prevalence data sources has been included in this section, and we caution that these figures comprise a baseline which should not be used to assess change over time, at least until several decades have passed. Lifetime prevalence data has been included in this report to provide a fuller picture as to the extent of violence against women in Australia, and to provide a baseline for long-term monitoring.</w:t>
      </w:r>
    </w:p>
    <w:p w14:paraId="23736015" w14:textId="2EDCA024" w:rsidR="00514CC0" w:rsidRDefault="00E72B49" w:rsidP="008A53B4">
      <w:pPr>
        <w:pStyle w:val="BodyText"/>
        <w:spacing w:after="320"/>
      </w:pPr>
      <w:r>
        <w:t xml:space="preserve">For these reasons the data summary tables for the following indicators do not include a summary of expected change or change over time between two </w:t>
      </w:r>
      <w:r w:rsidR="005B2381">
        <w:t>data point</w:t>
      </w:r>
      <w:r>
        <w:t>s.</w:t>
      </w:r>
    </w:p>
    <w:tbl>
      <w:tblPr>
        <w:tblStyle w:val="Indicatoroutlineumber"/>
        <w:tblW w:w="9072" w:type="dxa"/>
        <w:tblLayout w:type="fixed"/>
        <w:tblLook w:val="0680" w:firstRow="0" w:lastRow="0" w:firstColumn="1" w:lastColumn="0" w:noHBand="1" w:noVBand="1"/>
      </w:tblPr>
      <w:tblGrid>
        <w:gridCol w:w="2268"/>
        <w:gridCol w:w="6804"/>
      </w:tblGrid>
      <w:tr w:rsidR="00514CC0" w14:paraId="2EE3E5D1" w14:textId="77777777" w:rsidTr="009135EE">
        <w:trPr>
          <w:cantSplit/>
          <w:trHeight w:val="60"/>
        </w:trPr>
        <w:tc>
          <w:tcPr>
            <w:tcW w:w="2268" w:type="dxa"/>
          </w:tcPr>
          <w:p w14:paraId="1C39C59F" w14:textId="77777777" w:rsidR="00514CC0" w:rsidRDefault="00E72B49">
            <w:pPr>
              <w:pStyle w:val="OWTablebodyleft"/>
            </w:pPr>
            <w:r>
              <w:t>What does this indicator tell us about Monitoring domain 11: Prevalence of violence against women?</w:t>
            </w:r>
          </w:p>
        </w:tc>
        <w:tc>
          <w:tcPr>
            <w:tcW w:w="6803" w:type="dxa"/>
          </w:tcPr>
          <w:p w14:paraId="6F5F1CE1" w14:textId="2E7D9F5E" w:rsidR="00514CC0" w:rsidRDefault="00E72B49">
            <w:pPr>
              <w:pStyle w:val="OWTablebodyleft"/>
            </w:pPr>
            <w:r>
              <w:t>This indicator allows us to establish a baseline for lifetime prevalence rates of intimate partner violence experienced by</w:t>
            </w:r>
            <w:r w:rsidR="00CD3A16">
              <w:t> </w:t>
            </w:r>
            <w:r>
              <w:t>women.</w:t>
            </w:r>
          </w:p>
        </w:tc>
      </w:tr>
      <w:tr w:rsidR="00514CC0" w14:paraId="2F15336F" w14:textId="77777777" w:rsidTr="009135EE">
        <w:trPr>
          <w:cantSplit/>
          <w:trHeight w:val="60"/>
        </w:trPr>
        <w:tc>
          <w:tcPr>
            <w:tcW w:w="2268" w:type="dxa"/>
          </w:tcPr>
          <w:p w14:paraId="77F442FD" w14:textId="528F70BB" w:rsidR="00514CC0" w:rsidRDefault="00E72B49">
            <w:pPr>
              <w:pStyle w:val="OWTablebodyleft"/>
            </w:pPr>
            <w:r>
              <w:t>Expected change if</w:t>
            </w:r>
            <w:r w:rsidR="00CD3A16">
              <w:t> </w:t>
            </w:r>
            <w:r>
              <w:t>high-quality programs and infrastructure for prevention of violence against women and gender equality are implemented</w:t>
            </w:r>
          </w:p>
        </w:tc>
        <w:tc>
          <w:tcPr>
            <w:tcW w:w="6803" w:type="dxa"/>
          </w:tcPr>
          <w:p w14:paraId="70BAC95C" w14:textId="609E7721" w:rsidR="00514CC0" w:rsidRDefault="00E72B49">
            <w:pPr>
              <w:pStyle w:val="OWTablebodyleft"/>
            </w:pPr>
            <w:r>
              <w:t>This monitoring report is designed to monitor change across a</w:t>
            </w:r>
            <w:r w:rsidR="00CD3A16">
              <w:t> </w:t>
            </w:r>
            <w:r>
              <w:t>number of points within a lifetime. As such, while lifetime prevalence is included, it is included to provide the broad context for shorter-term tracking (i.e. tracking covering less than 80 years at a time).</w:t>
            </w:r>
          </w:p>
          <w:p w14:paraId="48CBCC87" w14:textId="27656193" w:rsidR="00514CC0" w:rsidRDefault="00E72B49">
            <w:pPr>
              <w:pStyle w:val="OWTablebodyleft"/>
            </w:pPr>
            <w:r>
              <w:t>Short- and medium-term: little change in lifetime prevalence of</w:t>
            </w:r>
            <w:r w:rsidR="00CD3A16">
              <w:t> </w:t>
            </w:r>
            <w:r>
              <w:t>intimate partner violence expected.</w:t>
            </w:r>
          </w:p>
          <w:p w14:paraId="4D72257E" w14:textId="77777777" w:rsidR="00514CC0" w:rsidRDefault="00E72B49">
            <w:pPr>
              <w:pStyle w:val="OWTablebodyleft"/>
            </w:pPr>
            <w:r>
              <w:t>Long-term: as drivers of violence are addressed, 12-month rates of intimate partner violence to drop, with lifetime prevalence rates falling in the very long term.</w:t>
            </w:r>
          </w:p>
        </w:tc>
      </w:tr>
      <w:tr w:rsidR="00514CC0" w14:paraId="19F9451F" w14:textId="77777777" w:rsidTr="009135EE">
        <w:trPr>
          <w:cantSplit/>
          <w:trHeight w:val="60"/>
        </w:trPr>
        <w:tc>
          <w:tcPr>
            <w:tcW w:w="2268" w:type="dxa"/>
          </w:tcPr>
          <w:p w14:paraId="5B62E8F0" w14:textId="77777777" w:rsidR="00514CC0" w:rsidRDefault="00E72B49">
            <w:pPr>
              <w:pStyle w:val="OWTablebodyleft"/>
            </w:pPr>
            <w:r>
              <w:lastRenderedPageBreak/>
              <w:t>Data source(s)</w:t>
            </w:r>
          </w:p>
        </w:tc>
        <w:tc>
          <w:tcPr>
            <w:tcW w:w="6803" w:type="dxa"/>
          </w:tcPr>
          <w:p w14:paraId="7C8F2131" w14:textId="77777777" w:rsidR="00514CC0" w:rsidRDefault="00E72B49">
            <w:pPr>
              <w:pStyle w:val="OWTablebodyleft"/>
            </w:pPr>
            <w:r>
              <w:t>Personal Safety Survey (PSS) 2016, ABS</w:t>
            </w:r>
          </w:p>
        </w:tc>
      </w:tr>
      <w:tr w:rsidR="00514CC0" w14:paraId="64D01190" w14:textId="77777777" w:rsidTr="009135EE">
        <w:trPr>
          <w:cantSplit/>
          <w:trHeight w:val="60"/>
        </w:trPr>
        <w:tc>
          <w:tcPr>
            <w:tcW w:w="2268" w:type="dxa"/>
          </w:tcPr>
          <w:p w14:paraId="0ADD7488" w14:textId="77777777" w:rsidR="00514CC0" w:rsidRDefault="00E72B49">
            <w:pPr>
              <w:pStyle w:val="OWTablebodyleft"/>
            </w:pPr>
            <w:r>
              <w:t>Gaps in existing data</w:t>
            </w:r>
          </w:p>
        </w:tc>
        <w:tc>
          <w:tcPr>
            <w:tcW w:w="6803" w:type="dxa"/>
          </w:tcPr>
          <w:p w14:paraId="6CCC36B5" w14:textId="77777777" w:rsidR="00514CC0" w:rsidRDefault="00E72B49">
            <w:pPr>
              <w:pStyle w:val="OWTablebodyleft"/>
            </w:pPr>
            <w:r>
              <w:t>Current datasets do not allow for investigation of Aboriginal and Torres Strait Islander women’s lifetime experiences of partner-perpetrated violence.</w:t>
            </w:r>
            <w:r>
              <w:rPr>
                <w:rStyle w:val="OWSuperscript"/>
              </w:rPr>
              <w:footnoteReference w:id="68"/>
            </w:r>
            <w:r>
              <w:t xml:space="preserve"> Please refer to Indicator 11.1 for inclusion of data on Aboriginal and Torres Strait Islander women’s 12-month experiences of partner-perpetrated physical assault.</w:t>
            </w:r>
          </w:p>
          <w:p w14:paraId="715BAB85" w14:textId="77777777" w:rsidR="00514CC0" w:rsidRDefault="00E72B49">
            <w:pPr>
              <w:pStyle w:val="OWTablebodyleft"/>
            </w:pPr>
            <w:r>
              <w:t>Publicly available PSS data has also been limited in terms of disaggregation of women who experience partner violence during their lifetime by other socio-demographic characteristics. This was recently partly addressed (February 2020) with the release of additional analysis of partner violence. See Indicator 11.1 for a breakdown of socio-demographic characteristics associated with higher rates of short-term partner violence prevalence.</w:t>
            </w:r>
          </w:p>
        </w:tc>
      </w:tr>
    </w:tbl>
    <w:p w14:paraId="09429145" w14:textId="77777777" w:rsidR="00514CC0" w:rsidRDefault="00E72B49" w:rsidP="00F868FE">
      <w:pPr>
        <w:pStyle w:val="Heading5"/>
      </w:pPr>
      <w:r>
        <w:t>Physical and/or sexual violence against women by a partner</w:t>
      </w:r>
    </w:p>
    <w:p w14:paraId="59CBBC09" w14:textId="77777777" w:rsidR="00514CC0" w:rsidRDefault="00E72B49">
      <w:pPr>
        <w:pStyle w:val="BodyText"/>
      </w:pPr>
      <w:r w:rsidRPr="002D0D52">
        <w:rPr>
          <w:rStyle w:val="Strong"/>
        </w:rPr>
        <w:t>Lifetime prevalence rates of physical and/or sexual partner violence experienced by women are high.</w:t>
      </w:r>
      <w:r>
        <w:t xml:space="preserve"> In 2016, approximately one in five (17.3%) women reported having experienced cohabiting partner physical and/or sexual violence since the age of 15 during their lifetime.</w:t>
      </w:r>
    </w:p>
    <w:p w14:paraId="77F99968" w14:textId="4C5A9C59" w:rsidR="00514CC0" w:rsidRDefault="00E72B49">
      <w:pPr>
        <w:pStyle w:val="BodyText"/>
      </w:pPr>
      <w:r>
        <w:t>With the addition of women who have experienced non-cohabiting partner violence (i.e.</w:t>
      </w:r>
      <w:r w:rsidR="00CD3A16">
        <w:t> </w:t>
      </w:r>
      <w:r>
        <w:t>violence by a boyfriend, girlfriend or date, as it is termed in the PSS), this 2016 figure of</w:t>
      </w:r>
      <w:r w:rsidR="00CD3A16">
        <w:t> </w:t>
      </w:r>
      <w:r>
        <w:t>lifetime partner violence prevalence jumps from 17.3% to an astounding 23.0%. That is,</w:t>
      </w:r>
      <w:r w:rsidR="00CD3A16">
        <w:t> </w:t>
      </w:r>
      <w:r>
        <w:t>based on 2016 data, nearly one-quarter of all adult women have experienced intimate partner physical and/or sexual violence on at least one occasion during their lifetime since age 15.</w:t>
      </w:r>
    </w:p>
    <w:p w14:paraId="3D7F1973" w14:textId="37E5DC15" w:rsidR="00514CC0" w:rsidRDefault="00E72B49">
      <w:pPr>
        <w:pStyle w:val="BodyText"/>
      </w:pPr>
      <w:r>
        <w:t>Men comprise the vast majority of partners perpetrating physical and/or sexual violence against women. In 2016, 22.8% of women reported having experienced intimate partner violence from a man (cohabiting or boyfriend/date) during their lifetime, whereas only 0.3%</w:t>
      </w:r>
      <w:r w:rsidR="00CD3A16">
        <w:t> </w:t>
      </w:r>
      <w:r>
        <w:t>of women reported having experienced female intimate partner violence (see Table</w:t>
      </w:r>
      <w:r w:rsidR="00CD3A16">
        <w:t> </w:t>
      </w:r>
      <w:r w:rsidR="0017588F">
        <w:t>50</w:t>
      </w:r>
      <w:r>
        <w:t>,</w:t>
      </w:r>
      <w:r w:rsidR="00CD3A16">
        <w:t> </w:t>
      </w:r>
      <w:r>
        <w:t>below). That is, based on 2016 figures women are 76 times more likely to experience male partner violence than female partner violence.</w:t>
      </w:r>
    </w:p>
    <w:p w14:paraId="58ACDD72" w14:textId="77777777" w:rsidR="0051280E" w:rsidRPr="0051280E" w:rsidRDefault="0051280E" w:rsidP="0051280E">
      <w:pPr>
        <w:pStyle w:val="BodyText"/>
      </w:pPr>
      <w:r w:rsidRPr="0051280E">
        <w:br w:type="page"/>
      </w:r>
    </w:p>
    <w:p w14:paraId="5000358E" w14:textId="6BE4397E" w:rsidR="00514CC0" w:rsidRDefault="00E72B49">
      <w:pPr>
        <w:pStyle w:val="OWTablecaption"/>
      </w:pPr>
      <w:r>
        <w:lastRenderedPageBreak/>
        <w:t xml:space="preserve">Table </w:t>
      </w:r>
      <w:r w:rsidR="0017588F">
        <w:t>50</w:t>
      </w:r>
      <w:r>
        <w:t>: Lifetime prevalence of intimate partner violence, by sex of perpetrator, proportion of women, 2016</w:t>
      </w:r>
    </w:p>
    <w:tbl>
      <w:tblPr>
        <w:tblStyle w:val="Datatableumber"/>
        <w:tblW w:w="9072" w:type="dxa"/>
        <w:tblLayout w:type="fixed"/>
        <w:tblLook w:val="06A0" w:firstRow="1" w:lastRow="0" w:firstColumn="1" w:lastColumn="0" w:noHBand="1" w:noVBand="1"/>
      </w:tblPr>
      <w:tblGrid>
        <w:gridCol w:w="3970"/>
        <w:gridCol w:w="1700"/>
        <w:gridCol w:w="1701"/>
        <w:gridCol w:w="1701"/>
      </w:tblGrid>
      <w:tr w:rsidR="00514CC0" w14:paraId="6C8599B1" w14:textId="77777777" w:rsidTr="009135EE">
        <w:trPr>
          <w:cnfStyle w:val="100000000000" w:firstRow="1" w:lastRow="0" w:firstColumn="0" w:lastColumn="0" w:oddVBand="0" w:evenVBand="0" w:oddHBand="0" w:evenHBand="0" w:firstRowFirstColumn="0" w:firstRowLastColumn="0" w:lastRowFirstColumn="0" w:lastRowLastColumn="0"/>
          <w:cantSplit/>
          <w:trHeight w:val="60"/>
          <w:tblHeader/>
        </w:trPr>
        <w:tc>
          <w:tcPr>
            <w:tcW w:w="3969" w:type="dxa"/>
          </w:tcPr>
          <w:p w14:paraId="33136E31" w14:textId="77777777" w:rsidR="00514CC0" w:rsidRPr="008A53B4" w:rsidRDefault="00514CC0" w:rsidP="00AD1342">
            <w:pPr>
              <w:pStyle w:val="OWTablecolumnheadleft"/>
            </w:pPr>
          </w:p>
        </w:tc>
        <w:tc>
          <w:tcPr>
            <w:tcW w:w="1700" w:type="dxa"/>
          </w:tcPr>
          <w:p w14:paraId="0B770CF8" w14:textId="77777777" w:rsidR="00514CC0" w:rsidRPr="008A53B4" w:rsidRDefault="00E72B49">
            <w:pPr>
              <w:pStyle w:val="OWTablecolumnheadcentre"/>
            </w:pPr>
            <w:r w:rsidRPr="008A53B4">
              <w:t>Male perpetrator</w:t>
            </w:r>
          </w:p>
        </w:tc>
        <w:tc>
          <w:tcPr>
            <w:tcW w:w="1701" w:type="dxa"/>
          </w:tcPr>
          <w:p w14:paraId="71393E4A" w14:textId="77777777" w:rsidR="00514CC0" w:rsidRPr="008A53B4" w:rsidRDefault="00E72B49">
            <w:pPr>
              <w:pStyle w:val="OWTablecolumnheadcentre"/>
            </w:pPr>
            <w:r w:rsidRPr="008A53B4">
              <w:t>Female perpetrator</w:t>
            </w:r>
          </w:p>
        </w:tc>
        <w:tc>
          <w:tcPr>
            <w:tcW w:w="1701" w:type="dxa"/>
          </w:tcPr>
          <w:p w14:paraId="3C177F90" w14:textId="77777777" w:rsidR="00514CC0" w:rsidRPr="008A53B4" w:rsidRDefault="00E72B49">
            <w:pPr>
              <w:pStyle w:val="OWTablecolumnheadcentre"/>
            </w:pPr>
            <w:r w:rsidRPr="008A53B4">
              <w:t>All perpetrators</w:t>
            </w:r>
          </w:p>
        </w:tc>
      </w:tr>
      <w:tr w:rsidR="00514CC0" w14:paraId="38A7C572" w14:textId="77777777" w:rsidTr="009135EE">
        <w:trPr>
          <w:cantSplit/>
          <w:trHeight w:val="60"/>
        </w:trPr>
        <w:tc>
          <w:tcPr>
            <w:tcW w:w="3969" w:type="dxa"/>
          </w:tcPr>
          <w:p w14:paraId="5C660818" w14:textId="77777777" w:rsidR="00514CC0" w:rsidRDefault="00E72B49">
            <w:pPr>
              <w:pStyle w:val="OWTablebodyleft"/>
            </w:pPr>
            <w:r w:rsidRPr="002D0D52">
              <w:rPr>
                <w:rStyle w:val="Strong"/>
              </w:rPr>
              <w:t>Intimate partner violence, total</w:t>
            </w:r>
          </w:p>
        </w:tc>
        <w:tc>
          <w:tcPr>
            <w:tcW w:w="1700" w:type="dxa"/>
          </w:tcPr>
          <w:p w14:paraId="51517708" w14:textId="77777777" w:rsidR="00514CC0" w:rsidRDefault="00E72B49">
            <w:pPr>
              <w:pStyle w:val="OWTablebodycentre"/>
            </w:pPr>
            <w:r>
              <w:t>22.8%</w:t>
            </w:r>
          </w:p>
        </w:tc>
        <w:tc>
          <w:tcPr>
            <w:tcW w:w="1701" w:type="dxa"/>
          </w:tcPr>
          <w:p w14:paraId="3D50407A" w14:textId="77777777" w:rsidR="00514CC0" w:rsidRDefault="00E72B49">
            <w:pPr>
              <w:pStyle w:val="OWTablebodycentre"/>
            </w:pPr>
            <w:r>
              <w:t>0.3%</w:t>
            </w:r>
          </w:p>
        </w:tc>
        <w:tc>
          <w:tcPr>
            <w:tcW w:w="1701" w:type="dxa"/>
          </w:tcPr>
          <w:p w14:paraId="4AC6689A" w14:textId="77777777" w:rsidR="00514CC0" w:rsidRDefault="00E72B49">
            <w:pPr>
              <w:pStyle w:val="OWTablebodycentre"/>
            </w:pPr>
            <w:r>
              <w:t>23.0%</w:t>
            </w:r>
          </w:p>
        </w:tc>
      </w:tr>
      <w:tr w:rsidR="00514CC0" w14:paraId="2D397B89" w14:textId="77777777" w:rsidTr="009135EE">
        <w:trPr>
          <w:cantSplit/>
          <w:trHeight w:val="60"/>
        </w:trPr>
        <w:tc>
          <w:tcPr>
            <w:tcW w:w="3969" w:type="dxa"/>
          </w:tcPr>
          <w:p w14:paraId="174E76AA" w14:textId="77777777" w:rsidR="00514CC0" w:rsidRDefault="00E72B49">
            <w:pPr>
              <w:pStyle w:val="OWTablebodyleft"/>
            </w:pPr>
            <w:r>
              <w:t>Cohabiting partner violence (current or previous partner)</w:t>
            </w:r>
          </w:p>
        </w:tc>
        <w:tc>
          <w:tcPr>
            <w:tcW w:w="1700" w:type="dxa"/>
          </w:tcPr>
          <w:p w14:paraId="382B1FD7" w14:textId="77777777" w:rsidR="00514CC0" w:rsidRDefault="00E72B49">
            <w:pPr>
              <w:pStyle w:val="OWTablebodycentre"/>
            </w:pPr>
            <w:r>
              <w:t>17.2%</w:t>
            </w:r>
          </w:p>
        </w:tc>
        <w:tc>
          <w:tcPr>
            <w:tcW w:w="1701" w:type="dxa"/>
          </w:tcPr>
          <w:p w14:paraId="69714AE7" w14:textId="77777777" w:rsidR="00514CC0" w:rsidRDefault="00E72B49">
            <w:pPr>
              <w:pStyle w:val="OWTablebodycentre"/>
            </w:pPr>
            <w:r>
              <w:t>0.2%</w:t>
            </w:r>
          </w:p>
        </w:tc>
        <w:tc>
          <w:tcPr>
            <w:tcW w:w="1701" w:type="dxa"/>
          </w:tcPr>
          <w:p w14:paraId="3A536AEB" w14:textId="77777777" w:rsidR="00514CC0" w:rsidRDefault="00E72B49">
            <w:pPr>
              <w:pStyle w:val="OWTablebodycentre"/>
            </w:pPr>
            <w:r>
              <w:t>17.3%</w:t>
            </w:r>
          </w:p>
        </w:tc>
      </w:tr>
      <w:tr w:rsidR="00514CC0" w14:paraId="6A3E4FA2" w14:textId="77777777" w:rsidTr="009135EE">
        <w:trPr>
          <w:cantSplit/>
          <w:trHeight w:val="60"/>
        </w:trPr>
        <w:tc>
          <w:tcPr>
            <w:tcW w:w="3969" w:type="dxa"/>
          </w:tcPr>
          <w:p w14:paraId="1144F929" w14:textId="77777777" w:rsidR="00514CC0" w:rsidRDefault="00E72B49">
            <w:pPr>
              <w:pStyle w:val="OWTablebodyleft"/>
            </w:pPr>
            <w:r>
              <w:t>Non-cohabiting partner violence (boyfriend/girlfriend or date)</w:t>
            </w:r>
          </w:p>
        </w:tc>
        <w:tc>
          <w:tcPr>
            <w:tcW w:w="1700" w:type="dxa"/>
          </w:tcPr>
          <w:p w14:paraId="1E174AD3" w14:textId="77777777" w:rsidR="00514CC0" w:rsidRDefault="00E72B49">
            <w:pPr>
              <w:pStyle w:val="OWTablebodycentre"/>
            </w:pPr>
            <w:r>
              <w:t>7.4%</w:t>
            </w:r>
          </w:p>
        </w:tc>
        <w:tc>
          <w:tcPr>
            <w:tcW w:w="1701" w:type="dxa"/>
          </w:tcPr>
          <w:p w14:paraId="7E9E4B94" w14:textId="77777777" w:rsidR="00514CC0" w:rsidRDefault="00E72B49">
            <w:pPr>
              <w:pStyle w:val="OWTablebodycentre"/>
            </w:pPr>
            <w:r>
              <w:t>Too low to report</w:t>
            </w:r>
          </w:p>
        </w:tc>
        <w:tc>
          <w:tcPr>
            <w:tcW w:w="1701" w:type="dxa"/>
          </w:tcPr>
          <w:p w14:paraId="19C65F2F" w14:textId="77777777" w:rsidR="00514CC0" w:rsidRDefault="00E72B49">
            <w:pPr>
              <w:pStyle w:val="OWTablebodycentre"/>
            </w:pPr>
            <w:r>
              <w:t>7.4%</w:t>
            </w:r>
          </w:p>
        </w:tc>
      </w:tr>
    </w:tbl>
    <w:p w14:paraId="5C03E106" w14:textId="77777777" w:rsidR="00514CC0" w:rsidRDefault="00E72B49">
      <w:pPr>
        <w:pStyle w:val="OWTablefootnote"/>
      </w:pPr>
      <w:r>
        <w:t>Source: ABS, PSS 2016</w:t>
      </w:r>
    </w:p>
    <w:p w14:paraId="1BDC918D" w14:textId="77777777" w:rsidR="00514CC0" w:rsidRDefault="00E72B49">
      <w:pPr>
        <w:pStyle w:val="OWTablefootnote"/>
      </w:pPr>
      <w:r>
        <w:t>Note: Total refers to the total proportion of women who have experienced intimate partner violence during their lifetime since age 15, noting that they may have experienced violence from more than one partner.</w:t>
      </w:r>
    </w:p>
    <w:p w14:paraId="77C8970D" w14:textId="77777777" w:rsidR="00514CC0" w:rsidRDefault="00E72B49" w:rsidP="00F868FE">
      <w:pPr>
        <w:pStyle w:val="Heading5"/>
      </w:pPr>
      <w:r>
        <w:t>Proportion of women who experienced partner violence while pregnant</w:t>
      </w:r>
    </w:p>
    <w:p w14:paraId="6557BCD7" w14:textId="065F1408" w:rsidR="00514CC0" w:rsidRDefault="00E72B49">
      <w:pPr>
        <w:pStyle w:val="BodyText"/>
      </w:pPr>
      <w:r>
        <w:t>It is well established in Australia and internationally that pregnancy is a key transitional risk point in patterns of male partner violence against women, and often the beginning of the exposure of children to partner violence.</w:t>
      </w:r>
      <w:r w:rsidR="004B4DE0">
        <w:rPr>
          <w:rStyle w:val="EndnoteReference"/>
        </w:rPr>
        <w:endnoteReference w:id="529"/>
      </w:r>
      <w:r>
        <w:t xml:space="preserve"> It is also a recognised period of heightened risk</w:t>
      </w:r>
      <w:r w:rsidR="00CD3A16">
        <w:t> </w:t>
      </w:r>
      <w:r>
        <w:t>of intimate partner homicide. The PSS measures this violence during pregnancy as a proportion of women who have reported experiencing current or previous cohabiting partner physical and/or sexual violence since age 15 and who have been pregnant during that relationship.</w:t>
      </w:r>
    </w:p>
    <w:p w14:paraId="71F46C54" w14:textId="1E8B7CC1" w:rsidR="00514CC0" w:rsidRDefault="00E72B49">
      <w:pPr>
        <w:pStyle w:val="BodyText"/>
      </w:pPr>
      <w:r>
        <w:t>In 2016, 18.2% (34,500) of women who had experienced current partner violence since age</w:t>
      </w:r>
      <w:r w:rsidR="00CD3A16">
        <w:t> </w:t>
      </w:r>
      <w:r>
        <w:t>15 and who had been pregnant at some point during that relationship reporting having experienced violence from that partner while pregnant. Of the women who experienced violence and were pregnant during the relationship with a current partner, in 2016, 5.2% experienced violence by that current partner for the first time during pregnancy (see Table </w:t>
      </w:r>
      <w:r w:rsidR="0017588F">
        <w:t>51</w:t>
      </w:r>
      <w:r>
        <w:t>, below).</w:t>
      </w:r>
    </w:p>
    <w:p w14:paraId="48ECC5C1" w14:textId="3FE4FFD0" w:rsidR="00514CC0" w:rsidRDefault="00E72B49">
      <w:pPr>
        <w:pStyle w:val="OWTablecaption"/>
      </w:pPr>
      <w:r>
        <w:rPr>
          <w:spacing w:val="-1"/>
        </w:rPr>
        <w:t xml:space="preserve">Table </w:t>
      </w:r>
      <w:r w:rsidR="0017588F">
        <w:rPr>
          <w:spacing w:val="-1"/>
        </w:rPr>
        <w:t>51</w:t>
      </w:r>
      <w:r>
        <w:rPr>
          <w:spacing w:val="-1"/>
        </w:rPr>
        <w:t>: Proportion (%) of women who experienced partner violence while pregnant, 2016</w:t>
      </w:r>
    </w:p>
    <w:tbl>
      <w:tblPr>
        <w:tblStyle w:val="Datatableumber"/>
        <w:tblW w:w="9072" w:type="dxa"/>
        <w:tblLayout w:type="fixed"/>
        <w:tblLook w:val="06A0" w:firstRow="1" w:lastRow="0" w:firstColumn="1" w:lastColumn="0" w:noHBand="1" w:noVBand="1"/>
      </w:tblPr>
      <w:tblGrid>
        <w:gridCol w:w="6521"/>
        <w:gridCol w:w="1275"/>
        <w:gridCol w:w="1276"/>
      </w:tblGrid>
      <w:tr w:rsidR="00514CC0" w14:paraId="715B747C" w14:textId="77777777" w:rsidTr="009135EE">
        <w:trPr>
          <w:cnfStyle w:val="100000000000" w:firstRow="1" w:lastRow="0" w:firstColumn="0" w:lastColumn="0" w:oddVBand="0" w:evenVBand="0" w:oddHBand="0" w:evenHBand="0" w:firstRowFirstColumn="0" w:firstRowLastColumn="0" w:lastRowFirstColumn="0" w:lastRowLastColumn="0"/>
          <w:cantSplit/>
          <w:trHeight w:val="60"/>
          <w:tblHeader/>
        </w:trPr>
        <w:tc>
          <w:tcPr>
            <w:tcW w:w="6520" w:type="dxa"/>
          </w:tcPr>
          <w:p w14:paraId="3E6B650A" w14:textId="77777777" w:rsidR="00514CC0" w:rsidRDefault="00E72B49">
            <w:pPr>
              <w:pStyle w:val="OWTablecolumnheadleft"/>
            </w:pPr>
            <w:r>
              <w:t>Of the women who experienced violence and were pregnant during the relationship:</w:t>
            </w:r>
          </w:p>
        </w:tc>
        <w:tc>
          <w:tcPr>
            <w:tcW w:w="1275" w:type="dxa"/>
          </w:tcPr>
          <w:p w14:paraId="39100800" w14:textId="77777777" w:rsidR="00514CC0" w:rsidRDefault="00E72B49">
            <w:pPr>
              <w:pStyle w:val="OWTablecolumnheadcentre"/>
            </w:pPr>
            <w:r>
              <w:t>Current partner</w:t>
            </w:r>
          </w:p>
        </w:tc>
        <w:tc>
          <w:tcPr>
            <w:tcW w:w="1276" w:type="dxa"/>
          </w:tcPr>
          <w:p w14:paraId="370FB9E6" w14:textId="77777777" w:rsidR="00514CC0" w:rsidRDefault="00E72B49">
            <w:pPr>
              <w:pStyle w:val="OWTablecolumnheadcentre"/>
            </w:pPr>
            <w:r>
              <w:t>Previous partner</w:t>
            </w:r>
          </w:p>
        </w:tc>
      </w:tr>
      <w:tr w:rsidR="00514CC0" w14:paraId="345D02DB" w14:textId="77777777" w:rsidTr="009135EE">
        <w:trPr>
          <w:cantSplit/>
          <w:trHeight w:val="60"/>
        </w:trPr>
        <w:tc>
          <w:tcPr>
            <w:tcW w:w="6520" w:type="dxa"/>
          </w:tcPr>
          <w:p w14:paraId="5C90A145" w14:textId="77777777" w:rsidR="00514CC0" w:rsidRDefault="00E72B49">
            <w:pPr>
              <w:pStyle w:val="OWTablebodyleft"/>
            </w:pPr>
            <w:r>
              <w:t xml:space="preserve">Violence occurred during pregnancy </w:t>
            </w:r>
          </w:p>
        </w:tc>
        <w:tc>
          <w:tcPr>
            <w:tcW w:w="1275" w:type="dxa"/>
          </w:tcPr>
          <w:p w14:paraId="3387C762" w14:textId="77777777" w:rsidR="00514CC0" w:rsidRDefault="00E72B49">
            <w:pPr>
              <w:pStyle w:val="OWTablebodycentre"/>
            </w:pPr>
            <w:r>
              <w:t>18.2%</w:t>
            </w:r>
          </w:p>
        </w:tc>
        <w:tc>
          <w:tcPr>
            <w:tcW w:w="1276" w:type="dxa"/>
          </w:tcPr>
          <w:p w14:paraId="7AF8C2FB" w14:textId="77777777" w:rsidR="00514CC0" w:rsidRDefault="00E72B49">
            <w:pPr>
              <w:pStyle w:val="OWTablebodycentre"/>
            </w:pPr>
            <w:r>
              <w:t>47.5%</w:t>
            </w:r>
          </w:p>
        </w:tc>
      </w:tr>
      <w:tr w:rsidR="00514CC0" w14:paraId="25C3089F" w14:textId="77777777" w:rsidTr="009135EE">
        <w:trPr>
          <w:cantSplit/>
          <w:trHeight w:val="60"/>
        </w:trPr>
        <w:tc>
          <w:tcPr>
            <w:tcW w:w="6520" w:type="dxa"/>
          </w:tcPr>
          <w:p w14:paraId="6F436625" w14:textId="77777777" w:rsidR="00514CC0" w:rsidRDefault="00E72B49">
            <w:pPr>
              <w:pStyle w:val="OWTablebodyleft"/>
            </w:pPr>
            <w:r>
              <w:t>Violence occurred for the first time during pregnancy</w:t>
            </w:r>
          </w:p>
        </w:tc>
        <w:tc>
          <w:tcPr>
            <w:tcW w:w="1275" w:type="dxa"/>
          </w:tcPr>
          <w:p w14:paraId="07B28A70" w14:textId="77777777" w:rsidR="00514CC0" w:rsidRDefault="00E72B49">
            <w:pPr>
              <w:pStyle w:val="OWTablebodycentre"/>
            </w:pPr>
            <w:r>
              <w:t>5.2%</w:t>
            </w:r>
          </w:p>
        </w:tc>
        <w:tc>
          <w:tcPr>
            <w:tcW w:w="1276" w:type="dxa"/>
          </w:tcPr>
          <w:p w14:paraId="67759ADD" w14:textId="77777777" w:rsidR="00514CC0" w:rsidRDefault="00E72B49">
            <w:pPr>
              <w:pStyle w:val="OWTablebodycentre"/>
            </w:pPr>
            <w:r>
              <w:t>24.1%</w:t>
            </w:r>
          </w:p>
        </w:tc>
      </w:tr>
    </w:tbl>
    <w:p w14:paraId="028A5981" w14:textId="77777777" w:rsidR="00514CC0" w:rsidRDefault="00E72B49">
      <w:pPr>
        <w:pStyle w:val="OWTablefootnote"/>
      </w:pPr>
      <w:r>
        <w:t>Sources: ABS, PSS 2016</w:t>
      </w:r>
    </w:p>
    <w:p w14:paraId="56B3694F" w14:textId="77777777" w:rsidR="0051280E" w:rsidRPr="0051280E" w:rsidRDefault="0051280E" w:rsidP="0051280E">
      <w:pPr>
        <w:pStyle w:val="BodyText"/>
      </w:pPr>
      <w:r w:rsidRPr="0051280E">
        <w:br w:type="page"/>
      </w:r>
    </w:p>
    <w:p w14:paraId="109850C1" w14:textId="1CBE96FF" w:rsidR="00514CC0" w:rsidRDefault="00E72B49" w:rsidP="00F868FE">
      <w:pPr>
        <w:pStyle w:val="Heading5"/>
      </w:pPr>
      <w:r>
        <w:lastRenderedPageBreak/>
        <w:t>Emotional abuse</w:t>
      </w:r>
    </w:p>
    <w:p w14:paraId="3E5EBA02" w14:textId="77777777" w:rsidR="00514CC0" w:rsidRPr="002D0D52" w:rsidRDefault="00E72B49">
      <w:pPr>
        <w:pStyle w:val="BodyText"/>
        <w:rPr>
          <w:rStyle w:val="Strong"/>
        </w:rPr>
      </w:pPr>
      <w:r w:rsidRPr="002D0D52">
        <w:rPr>
          <w:rStyle w:val="Strong"/>
        </w:rPr>
        <w:t>The lifetime prevalence rates for emotional abuse experienced by women perpetrated by a cohabiting partner (current or previous) are high. Approximately one-quarter of women in 2016 reported having experienced emotional abuse by a partner at some point during their lifetime since age 15.</w:t>
      </w:r>
    </w:p>
    <w:p w14:paraId="5312AA8E" w14:textId="13A66ABF" w:rsidR="00514CC0" w:rsidRDefault="00E72B49">
      <w:pPr>
        <w:pStyle w:val="BodyText"/>
      </w:pPr>
      <w:r>
        <w:t>Of those women who, at the time of the 2016 survey, had a current partner, one in ten (10.2%) had experienced emotional abuse by that partner at some point. Recent experiences of partner emotional abuse contribute considerably to overall lifetime prevalence rates. For</w:t>
      </w:r>
      <w:r w:rsidR="00CD3A16">
        <w:t> </w:t>
      </w:r>
      <w:r>
        <w:t>5.3% of women with a current partner, partner emotional abuse had occurred less than 12 months ago and for 7.8% it had occurred less than five years ago.</w:t>
      </w:r>
    </w:p>
    <w:p w14:paraId="0E25DC89" w14:textId="77777777" w:rsidR="00514CC0" w:rsidRDefault="00E72B49" w:rsidP="00E1549C">
      <w:pPr>
        <w:pStyle w:val="Heading4"/>
        <w:rPr>
          <w:rStyle w:val="OWCharacterUmber"/>
        </w:rPr>
      </w:pPr>
      <w:r>
        <w:rPr>
          <w:rStyle w:val="OWCharacterUmber"/>
        </w:rPr>
        <w:t>Indicator 11.7: Proportion of women subjected to sexual violence by person other than an intimate partner since age 15</w:t>
      </w:r>
    </w:p>
    <w:tbl>
      <w:tblPr>
        <w:tblStyle w:val="Indicatoroutlineumber"/>
        <w:tblW w:w="9072" w:type="dxa"/>
        <w:tblLayout w:type="fixed"/>
        <w:tblLook w:val="0680" w:firstRow="0" w:lastRow="0" w:firstColumn="1" w:lastColumn="0" w:noHBand="1" w:noVBand="1"/>
      </w:tblPr>
      <w:tblGrid>
        <w:gridCol w:w="2268"/>
        <w:gridCol w:w="6804"/>
      </w:tblGrid>
      <w:tr w:rsidR="00514CC0" w14:paraId="16020214" w14:textId="77777777" w:rsidTr="009135EE">
        <w:trPr>
          <w:cantSplit/>
          <w:trHeight w:val="60"/>
        </w:trPr>
        <w:tc>
          <w:tcPr>
            <w:tcW w:w="2268" w:type="dxa"/>
          </w:tcPr>
          <w:p w14:paraId="5D8A2A2A" w14:textId="77777777" w:rsidR="00514CC0" w:rsidRDefault="00E72B49">
            <w:pPr>
              <w:pStyle w:val="OWTablebodyleft"/>
            </w:pPr>
            <w:r>
              <w:t>What does this indicator tell us about Monitoring domain 11: Prevalence of violence against women?</w:t>
            </w:r>
          </w:p>
        </w:tc>
        <w:tc>
          <w:tcPr>
            <w:tcW w:w="6803" w:type="dxa"/>
          </w:tcPr>
          <w:p w14:paraId="18808885" w14:textId="77777777" w:rsidR="00514CC0" w:rsidRDefault="00E72B49">
            <w:pPr>
              <w:pStyle w:val="OWTablebodyleft"/>
            </w:pPr>
            <w:r>
              <w:t xml:space="preserve">This indicator allows us to understand the proportion of the population of women in Australia who experienced sexual violence by a perpetrator other than a partner at any point during their lifetime since age 15. In doing so, it allows for an assessment of how rates of non-partner sexual violence against women are shifting (or otherwise) across generations. The Personal Safety Survey definition of sexual violence includes sexual assault and threat of sexual assault; however, publicly available data only allows for comparison of non-partner sexual </w:t>
            </w:r>
            <w:r w:rsidRPr="003E209A">
              <w:rPr>
                <w:rStyle w:val="Emphasis"/>
              </w:rPr>
              <w:t xml:space="preserve">assault </w:t>
            </w:r>
            <w:r>
              <w:t>prevalence.</w:t>
            </w:r>
          </w:p>
        </w:tc>
      </w:tr>
      <w:tr w:rsidR="00514CC0" w14:paraId="6618536B" w14:textId="77777777" w:rsidTr="009135EE">
        <w:trPr>
          <w:cantSplit/>
          <w:trHeight w:val="60"/>
        </w:trPr>
        <w:tc>
          <w:tcPr>
            <w:tcW w:w="2268" w:type="dxa"/>
          </w:tcPr>
          <w:p w14:paraId="66166FBD" w14:textId="461042A7" w:rsidR="00514CC0" w:rsidRDefault="00E72B49">
            <w:pPr>
              <w:pStyle w:val="OWTablebodyleft"/>
            </w:pPr>
            <w:r>
              <w:t>Expected change if</w:t>
            </w:r>
            <w:r w:rsidR="00CD3A16">
              <w:t> </w:t>
            </w:r>
            <w:r>
              <w:t>high-quality programs and infrastructure for prevention of violence against women and gender equality are implemented</w:t>
            </w:r>
          </w:p>
        </w:tc>
        <w:tc>
          <w:tcPr>
            <w:tcW w:w="6803" w:type="dxa"/>
          </w:tcPr>
          <w:p w14:paraId="05C98187" w14:textId="25E72058" w:rsidR="00514CC0" w:rsidRDefault="00E72B49">
            <w:pPr>
              <w:pStyle w:val="OWTablebodyleft"/>
            </w:pPr>
            <w:r>
              <w:t>Short- and medium-term: little change in lifetime prevalence of</w:t>
            </w:r>
            <w:r w:rsidR="00CD3A16">
              <w:t> </w:t>
            </w:r>
            <w:r>
              <w:t>non-partner sexual violence against women.</w:t>
            </w:r>
          </w:p>
          <w:p w14:paraId="1E7ABFAF" w14:textId="77777777" w:rsidR="00514CC0" w:rsidRDefault="00E72B49">
            <w:pPr>
              <w:pStyle w:val="OWTablebodyleft"/>
            </w:pPr>
            <w:r>
              <w:t>Long-term: as drivers of violence are addressed, 12-month prevalence rates of non-partner sexual violence to drop and lifetime prevalence rates to fall in the very long term (i.e. across generations).</w:t>
            </w:r>
          </w:p>
        </w:tc>
      </w:tr>
      <w:tr w:rsidR="00514CC0" w14:paraId="7E520CFA" w14:textId="77777777" w:rsidTr="009135EE">
        <w:trPr>
          <w:cantSplit/>
          <w:trHeight w:val="60"/>
        </w:trPr>
        <w:tc>
          <w:tcPr>
            <w:tcW w:w="2268" w:type="dxa"/>
          </w:tcPr>
          <w:p w14:paraId="4E452E93" w14:textId="77777777" w:rsidR="00514CC0" w:rsidRDefault="00E72B49">
            <w:pPr>
              <w:pStyle w:val="OWTablebodyleft"/>
            </w:pPr>
            <w:r>
              <w:t>Data source(s)</w:t>
            </w:r>
          </w:p>
        </w:tc>
        <w:tc>
          <w:tcPr>
            <w:tcW w:w="6803" w:type="dxa"/>
          </w:tcPr>
          <w:p w14:paraId="4F189D29" w14:textId="77777777" w:rsidR="00514CC0" w:rsidRDefault="00E72B49">
            <w:pPr>
              <w:pStyle w:val="OWTablebodyleft"/>
            </w:pPr>
            <w:r>
              <w:t>Personal Safety Survey (PSS) 2016, ABS</w:t>
            </w:r>
          </w:p>
        </w:tc>
      </w:tr>
      <w:tr w:rsidR="00514CC0" w14:paraId="07E42704" w14:textId="77777777" w:rsidTr="009135EE">
        <w:trPr>
          <w:cantSplit/>
          <w:trHeight w:val="60"/>
        </w:trPr>
        <w:tc>
          <w:tcPr>
            <w:tcW w:w="2268" w:type="dxa"/>
          </w:tcPr>
          <w:p w14:paraId="2CC8BFEB" w14:textId="77777777" w:rsidR="00514CC0" w:rsidRDefault="00E72B49">
            <w:pPr>
              <w:pStyle w:val="OWTablebodyleft"/>
            </w:pPr>
            <w:r>
              <w:t>Gaps in existing data</w:t>
            </w:r>
          </w:p>
        </w:tc>
        <w:tc>
          <w:tcPr>
            <w:tcW w:w="6803" w:type="dxa"/>
          </w:tcPr>
          <w:p w14:paraId="2C775FD5" w14:textId="77777777" w:rsidR="00514CC0" w:rsidRDefault="00E72B49">
            <w:pPr>
              <w:pStyle w:val="OWTablebodyleft"/>
            </w:pPr>
            <w:r>
              <w:t>Current datasets do not allow for investigation of Aboriginal and Torres Strait Islander women’s lifetime experiences of sexual violence.</w:t>
            </w:r>
            <w:r>
              <w:rPr>
                <w:rStyle w:val="OWSuperscript"/>
              </w:rPr>
              <w:footnoteReference w:id="69"/>
            </w:r>
          </w:p>
          <w:p w14:paraId="7AA43076" w14:textId="77777777" w:rsidR="00514CC0" w:rsidRDefault="00E72B49">
            <w:pPr>
              <w:pStyle w:val="OWTablebodyleft"/>
            </w:pPr>
            <w:r>
              <w:t>Publicly available PSS data is limited in terms of disaggregation of women who experience non-partner sexual violence during their lifetime by other socio-demographic characteristics.</w:t>
            </w:r>
          </w:p>
        </w:tc>
      </w:tr>
    </w:tbl>
    <w:p w14:paraId="2479F44A" w14:textId="2675AEB1" w:rsidR="00514CC0" w:rsidRDefault="00E72B49" w:rsidP="008A53B4">
      <w:pPr>
        <w:pStyle w:val="OWBodytextlargespaceabove"/>
      </w:pPr>
      <w:r w:rsidRPr="002D0D52">
        <w:rPr>
          <w:rStyle w:val="Strong"/>
        </w:rPr>
        <w:lastRenderedPageBreak/>
        <w:t xml:space="preserve">The lifetime prevalence of sexual assault against women by persons known to the woman who are </w:t>
      </w:r>
      <w:r>
        <w:rPr>
          <w:rStyle w:val="OWBoldItalic"/>
        </w:rPr>
        <w:t>not</w:t>
      </w:r>
      <w:r>
        <w:t xml:space="preserve"> </w:t>
      </w:r>
      <w:r w:rsidRPr="002D0D52">
        <w:rPr>
          <w:rStyle w:val="Strong"/>
        </w:rPr>
        <w:t xml:space="preserve">partners was 9.2% in 2016. The proportion of women in Australia who have experienced sexual </w:t>
      </w:r>
      <w:r>
        <w:rPr>
          <w:rStyle w:val="OWBoldItalic"/>
        </w:rPr>
        <w:t>assault</w:t>
      </w:r>
      <w:r>
        <w:t xml:space="preserve"> </w:t>
      </w:r>
      <w:r w:rsidRPr="002D0D52">
        <w:rPr>
          <w:rStyle w:val="Strong"/>
        </w:rPr>
        <w:t xml:space="preserve">by a </w:t>
      </w:r>
      <w:r>
        <w:rPr>
          <w:rStyle w:val="OWBoldItalic"/>
        </w:rPr>
        <w:t>stranger</w:t>
      </w:r>
      <w:r>
        <w:t xml:space="preserve"> </w:t>
      </w:r>
      <w:r w:rsidRPr="002D0D52">
        <w:rPr>
          <w:rStyle w:val="Strong"/>
        </w:rPr>
        <w:t xml:space="preserve">at at least one point during their lifetime since age 15 was 3.7% in 2016 </w:t>
      </w:r>
      <w:r>
        <w:t xml:space="preserve">(see Table </w:t>
      </w:r>
      <w:r w:rsidR="0017588F">
        <w:t>52</w:t>
      </w:r>
      <w:r>
        <w:t>, below).</w:t>
      </w:r>
    </w:p>
    <w:p w14:paraId="759D8655" w14:textId="3AF3750C" w:rsidR="00514CC0" w:rsidRDefault="00E72B49">
      <w:pPr>
        <w:pStyle w:val="BodyText"/>
      </w:pPr>
      <w:r>
        <w:t>Partners comprise a significant proportion of perpetrators of sexual assault of women, and</w:t>
      </w:r>
      <w:r w:rsidR="00CD3A16">
        <w:t> </w:t>
      </w:r>
      <w:r>
        <w:t>men are almost exclusively the perpetrators of sexual assault of women.</w:t>
      </w:r>
      <w:r>
        <w:rPr>
          <w:rStyle w:val="OWSuperscript"/>
        </w:rPr>
        <w:footnoteReference w:id="70"/>
      </w:r>
    </w:p>
    <w:p w14:paraId="373767B6" w14:textId="33F9395B" w:rsidR="00514CC0" w:rsidRDefault="00E72B49">
      <w:pPr>
        <w:pStyle w:val="OWTablecaption"/>
      </w:pPr>
      <w:r>
        <w:t xml:space="preserve">Table </w:t>
      </w:r>
      <w:r w:rsidR="0017588F">
        <w:t>52</w:t>
      </w:r>
      <w:r>
        <w:t>: Women’s lifetime experiences since age 15 of sexual assault, by perpetrator type, 2016, proportion (%) of women</w:t>
      </w:r>
    </w:p>
    <w:tbl>
      <w:tblPr>
        <w:tblStyle w:val="Datatableumber"/>
        <w:tblW w:w="9072" w:type="dxa"/>
        <w:tblLayout w:type="fixed"/>
        <w:tblLook w:val="06A0" w:firstRow="1" w:lastRow="0" w:firstColumn="1" w:lastColumn="0" w:noHBand="1" w:noVBand="1"/>
      </w:tblPr>
      <w:tblGrid>
        <w:gridCol w:w="6804"/>
        <w:gridCol w:w="2268"/>
      </w:tblGrid>
      <w:tr w:rsidR="00514CC0" w14:paraId="3C5C75AB" w14:textId="77777777" w:rsidTr="009135EE">
        <w:trPr>
          <w:cnfStyle w:val="100000000000" w:firstRow="1" w:lastRow="0" w:firstColumn="0" w:lastColumn="0" w:oddVBand="0" w:evenVBand="0" w:oddHBand="0" w:evenHBand="0" w:firstRowFirstColumn="0" w:firstRowLastColumn="0" w:lastRowFirstColumn="0" w:lastRowLastColumn="0"/>
          <w:cantSplit/>
          <w:trHeight w:val="60"/>
          <w:tblHeader/>
        </w:trPr>
        <w:tc>
          <w:tcPr>
            <w:tcW w:w="6803" w:type="dxa"/>
          </w:tcPr>
          <w:p w14:paraId="63927C45" w14:textId="77777777" w:rsidR="00514CC0" w:rsidRPr="008A53B4" w:rsidRDefault="00E72B49">
            <w:pPr>
              <w:pStyle w:val="OWTablecolumnheadleft"/>
            </w:pPr>
            <w:r w:rsidRPr="008A53B4">
              <w:t>Perpetrator type</w:t>
            </w:r>
          </w:p>
        </w:tc>
        <w:tc>
          <w:tcPr>
            <w:tcW w:w="2268" w:type="dxa"/>
          </w:tcPr>
          <w:p w14:paraId="05B64407" w14:textId="77777777" w:rsidR="00514CC0" w:rsidRPr="008A53B4" w:rsidRDefault="00E72B49">
            <w:pPr>
              <w:pStyle w:val="OWTablecolumnheadcentre"/>
            </w:pPr>
            <w:r w:rsidRPr="008A53B4">
              <w:t>2016</w:t>
            </w:r>
          </w:p>
        </w:tc>
      </w:tr>
      <w:tr w:rsidR="00514CC0" w14:paraId="634D4C28" w14:textId="77777777" w:rsidTr="009135EE">
        <w:trPr>
          <w:cantSplit/>
          <w:trHeight w:val="60"/>
        </w:trPr>
        <w:tc>
          <w:tcPr>
            <w:tcW w:w="6803" w:type="dxa"/>
          </w:tcPr>
          <w:p w14:paraId="421AF2A5" w14:textId="77777777" w:rsidR="00514CC0" w:rsidRDefault="00E72B49">
            <w:pPr>
              <w:pStyle w:val="OWTablebodyleft"/>
            </w:pPr>
            <w:r w:rsidRPr="003E209A">
              <w:rPr>
                <w:rStyle w:val="Emphasis"/>
              </w:rPr>
              <w:t>Stranger</w:t>
            </w:r>
          </w:p>
        </w:tc>
        <w:tc>
          <w:tcPr>
            <w:tcW w:w="2268" w:type="dxa"/>
          </w:tcPr>
          <w:p w14:paraId="1EDB6F66" w14:textId="77777777" w:rsidR="00514CC0" w:rsidRDefault="00E72B49">
            <w:pPr>
              <w:pStyle w:val="OWTablebodycentre"/>
            </w:pPr>
            <w:r w:rsidRPr="003E209A">
              <w:rPr>
                <w:rStyle w:val="Emphasis"/>
              </w:rPr>
              <w:t>3.7%</w:t>
            </w:r>
          </w:p>
        </w:tc>
      </w:tr>
      <w:tr w:rsidR="00514CC0" w14:paraId="057FF023" w14:textId="77777777" w:rsidTr="009135EE">
        <w:trPr>
          <w:cantSplit/>
          <w:trHeight w:val="60"/>
        </w:trPr>
        <w:tc>
          <w:tcPr>
            <w:tcW w:w="6803" w:type="dxa"/>
          </w:tcPr>
          <w:p w14:paraId="276F8BE6" w14:textId="77777777" w:rsidR="00514CC0" w:rsidRDefault="00E72B49">
            <w:pPr>
              <w:pStyle w:val="OWTablebodyleft"/>
            </w:pPr>
            <w:r>
              <w:t>Known person</w:t>
            </w:r>
          </w:p>
        </w:tc>
        <w:tc>
          <w:tcPr>
            <w:tcW w:w="2268" w:type="dxa"/>
          </w:tcPr>
          <w:p w14:paraId="7D56C992" w14:textId="77777777" w:rsidR="00514CC0" w:rsidRDefault="00E72B49">
            <w:pPr>
              <w:pStyle w:val="OWTablebodycentre"/>
            </w:pPr>
            <w:r>
              <w:t>15.3%</w:t>
            </w:r>
          </w:p>
        </w:tc>
      </w:tr>
      <w:tr w:rsidR="00514CC0" w14:paraId="2C46EF78" w14:textId="77777777" w:rsidTr="009135EE">
        <w:trPr>
          <w:cantSplit/>
          <w:trHeight w:val="60"/>
        </w:trPr>
        <w:tc>
          <w:tcPr>
            <w:tcW w:w="6803" w:type="dxa"/>
          </w:tcPr>
          <w:p w14:paraId="182C1934" w14:textId="77777777" w:rsidR="00514CC0" w:rsidRDefault="00E72B49">
            <w:pPr>
              <w:pStyle w:val="OWTablebodyindent1"/>
            </w:pPr>
            <w:r>
              <w:t>Intimate partner</w:t>
            </w:r>
          </w:p>
        </w:tc>
        <w:tc>
          <w:tcPr>
            <w:tcW w:w="2268" w:type="dxa"/>
          </w:tcPr>
          <w:p w14:paraId="6ECF92FD" w14:textId="77777777" w:rsidR="00514CC0" w:rsidRDefault="00E72B49">
            <w:pPr>
              <w:pStyle w:val="OWTablebodycentre"/>
            </w:pPr>
            <w:r>
              <w:t>8.4%</w:t>
            </w:r>
          </w:p>
        </w:tc>
      </w:tr>
      <w:tr w:rsidR="00514CC0" w14:paraId="53F8A57C" w14:textId="77777777" w:rsidTr="009135EE">
        <w:trPr>
          <w:cantSplit/>
          <w:trHeight w:val="60"/>
        </w:trPr>
        <w:tc>
          <w:tcPr>
            <w:tcW w:w="6803" w:type="dxa"/>
          </w:tcPr>
          <w:p w14:paraId="385D964D" w14:textId="77777777" w:rsidR="00514CC0" w:rsidRDefault="00E72B49">
            <w:pPr>
              <w:pStyle w:val="OWTablebodyindent2"/>
            </w:pPr>
            <w:r>
              <w:t>Cohabiting partner (current and/or previous)</w:t>
            </w:r>
          </w:p>
        </w:tc>
        <w:tc>
          <w:tcPr>
            <w:tcW w:w="2268" w:type="dxa"/>
          </w:tcPr>
          <w:p w14:paraId="795BDB4A" w14:textId="77777777" w:rsidR="00514CC0" w:rsidRDefault="00E72B49">
            <w:pPr>
              <w:pStyle w:val="OWTablebodycentre"/>
            </w:pPr>
            <w:r>
              <w:t>4.7%</w:t>
            </w:r>
          </w:p>
        </w:tc>
      </w:tr>
      <w:tr w:rsidR="00514CC0" w14:paraId="7BCF924C" w14:textId="77777777" w:rsidTr="009135EE">
        <w:trPr>
          <w:cantSplit/>
          <w:trHeight w:val="60"/>
        </w:trPr>
        <w:tc>
          <w:tcPr>
            <w:tcW w:w="6803" w:type="dxa"/>
          </w:tcPr>
          <w:p w14:paraId="04F16CC7" w14:textId="77777777" w:rsidR="00514CC0" w:rsidRDefault="00E72B49">
            <w:pPr>
              <w:pStyle w:val="OWTablebodyindent2"/>
            </w:pPr>
            <w:r>
              <w:t>Boyfriend/girlfriend or date</w:t>
            </w:r>
          </w:p>
        </w:tc>
        <w:tc>
          <w:tcPr>
            <w:tcW w:w="2268" w:type="dxa"/>
          </w:tcPr>
          <w:p w14:paraId="3CE6C2E5" w14:textId="77777777" w:rsidR="00514CC0" w:rsidRDefault="00E72B49">
            <w:pPr>
              <w:pStyle w:val="OWTablebodycentre"/>
            </w:pPr>
            <w:r>
              <w:t>3.8%</w:t>
            </w:r>
          </w:p>
        </w:tc>
      </w:tr>
      <w:tr w:rsidR="00514CC0" w14:paraId="273B6211" w14:textId="77777777" w:rsidTr="009135EE">
        <w:trPr>
          <w:cantSplit/>
          <w:trHeight w:val="60"/>
        </w:trPr>
        <w:tc>
          <w:tcPr>
            <w:tcW w:w="6803" w:type="dxa"/>
          </w:tcPr>
          <w:p w14:paraId="652C55E8" w14:textId="77777777" w:rsidR="00514CC0" w:rsidRDefault="00E72B49">
            <w:pPr>
              <w:pStyle w:val="OWTablebodyindent1"/>
            </w:pPr>
            <w:r w:rsidRPr="003E209A">
              <w:rPr>
                <w:rStyle w:val="Emphasis"/>
              </w:rPr>
              <w:t>Other known person (family member, friend, housemate, acquaintance or neighbour, person in workplace, client, patient or customer, medical practitioner, other non-partner known person)</w:t>
            </w:r>
          </w:p>
        </w:tc>
        <w:tc>
          <w:tcPr>
            <w:tcW w:w="2268" w:type="dxa"/>
          </w:tcPr>
          <w:p w14:paraId="70E89F7D" w14:textId="77777777" w:rsidR="00514CC0" w:rsidRDefault="00E72B49">
            <w:pPr>
              <w:pStyle w:val="OWTablebodycentre"/>
            </w:pPr>
            <w:r w:rsidRPr="003E209A">
              <w:rPr>
                <w:rStyle w:val="Emphasis"/>
              </w:rPr>
              <w:t>9.2%</w:t>
            </w:r>
          </w:p>
        </w:tc>
      </w:tr>
    </w:tbl>
    <w:p w14:paraId="7962068A" w14:textId="113FE2A8" w:rsidR="00514CC0" w:rsidRDefault="00E72B49">
      <w:pPr>
        <w:pStyle w:val="OWTablefootnote"/>
      </w:pPr>
      <w:r>
        <w:t xml:space="preserve">Sources: </w:t>
      </w:r>
      <w:r w:rsidR="00433321">
        <w:t>ABS, PSS</w:t>
      </w:r>
      <w:r>
        <w:t xml:space="preserve"> 2016; Cox, 2016</w:t>
      </w:r>
    </w:p>
    <w:p w14:paraId="66B5E029" w14:textId="77777777" w:rsidR="0051280E" w:rsidRPr="0051280E" w:rsidRDefault="0051280E" w:rsidP="0051280E">
      <w:pPr>
        <w:pStyle w:val="BodyText"/>
      </w:pPr>
      <w:r w:rsidRPr="0051280E">
        <w:br w:type="page"/>
      </w:r>
    </w:p>
    <w:p w14:paraId="40A1D332" w14:textId="1A451150" w:rsidR="00514CC0" w:rsidRPr="000F735C" w:rsidRDefault="00E72B49" w:rsidP="00E1549C">
      <w:pPr>
        <w:pStyle w:val="Heading4"/>
        <w:rPr>
          <w:rStyle w:val="OWCharacterUmber"/>
        </w:rPr>
      </w:pPr>
      <w:r>
        <w:rPr>
          <w:rStyle w:val="OWCharacterUmber"/>
        </w:rPr>
        <w:lastRenderedPageBreak/>
        <w:t>Indicator 11.8: Proportion of women aged 18 years and older subjected to physical and/or sexual violence by any perpetrator since age 15</w:t>
      </w:r>
      <w:r>
        <w:rPr>
          <w:rStyle w:val="OWSuperscriptUmber"/>
        </w:rPr>
        <w:footnoteReference w:id="71"/>
      </w:r>
    </w:p>
    <w:tbl>
      <w:tblPr>
        <w:tblStyle w:val="Indicatoroutlineumber"/>
        <w:tblW w:w="9072" w:type="dxa"/>
        <w:tblLayout w:type="fixed"/>
        <w:tblLook w:val="0680" w:firstRow="0" w:lastRow="0" w:firstColumn="1" w:lastColumn="0" w:noHBand="1" w:noVBand="1"/>
      </w:tblPr>
      <w:tblGrid>
        <w:gridCol w:w="2268"/>
        <w:gridCol w:w="6804"/>
      </w:tblGrid>
      <w:tr w:rsidR="00514CC0" w14:paraId="0C43EA70" w14:textId="77777777" w:rsidTr="009135EE">
        <w:trPr>
          <w:cantSplit/>
          <w:trHeight w:val="60"/>
        </w:trPr>
        <w:tc>
          <w:tcPr>
            <w:tcW w:w="2268" w:type="dxa"/>
          </w:tcPr>
          <w:p w14:paraId="1B2FF0C5" w14:textId="77777777" w:rsidR="00514CC0" w:rsidRDefault="00E72B49">
            <w:pPr>
              <w:pStyle w:val="OWTablebodyleft"/>
            </w:pPr>
            <w:r>
              <w:t>What does this indicator tell us about Monitoring domain 11: Prevalence of violence against women?</w:t>
            </w:r>
          </w:p>
        </w:tc>
        <w:tc>
          <w:tcPr>
            <w:tcW w:w="6803" w:type="dxa"/>
          </w:tcPr>
          <w:p w14:paraId="1934739C" w14:textId="77777777" w:rsidR="00514CC0" w:rsidRDefault="00E72B49">
            <w:pPr>
              <w:pStyle w:val="OWTablebodyleft"/>
            </w:pPr>
            <w:r>
              <w:t xml:space="preserve">Indicators 11.6 and 11.7 allow for reporting on lifetime prevalence rates for certain forms of violence as enacted by certain categories of perpetrators (partners and non-partners), providing a baseline measure of the proportion of women who have experienced physical and/or sexual violence by </w:t>
            </w:r>
            <w:r w:rsidRPr="003E209A">
              <w:rPr>
                <w:rStyle w:val="Emphasis"/>
              </w:rPr>
              <w:t>any perpetrator</w:t>
            </w:r>
            <w:r>
              <w:t xml:space="preserve"> during their lifetime since age 15.</w:t>
            </w:r>
          </w:p>
        </w:tc>
      </w:tr>
      <w:tr w:rsidR="00514CC0" w14:paraId="40D221FF" w14:textId="77777777" w:rsidTr="009135EE">
        <w:trPr>
          <w:cantSplit/>
          <w:trHeight w:val="60"/>
        </w:trPr>
        <w:tc>
          <w:tcPr>
            <w:tcW w:w="2268" w:type="dxa"/>
          </w:tcPr>
          <w:p w14:paraId="24857819" w14:textId="7D392C9E" w:rsidR="00514CC0" w:rsidRDefault="00E72B49">
            <w:pPr>
              <w:pStyle w:val="OWTablebodyleft"/>
            </w:pPr>
            <w:r>
              <w:t>Expected change if</w:t>
            </w:r>
            <w:r w:rsidR="00CD3A16">
              <w:t> </w:t>
            </w:r>
            <w:r>
              <w:t>high-quality programs and infrastructure for prevention of violence against women and gender equality are implemented</w:t>
            </w:r>
          </w:p>
        </w:tc>
        <w:tc>
          <w:tcPr>
            <w:tcW w:w="6803" w:type="dxa"/>
          </w:tcPr>
          <w:p w14:paraId="2F5D0D68" w14:textId="4AC2131B" w:rsidR="00514CC0" w:rsidRDefault="00E72B49">
            <w:pPr>
              <w:pStyle w:val="OWTablebodyleft"/>
            </w:pPr>
            <w:r>
              <w:t>Short- and medium-term: no change expected in lifetime prevalence of physical and/or sexual violence against women by</w:t>
            </w:r>
            <w:r w:rsidR="00CD3A16">
              <w:t> </w:t>
            </w:r>
            <w:r>
              <w:t>any perpetrator.</w:t>
            </w:r>
          </w:p>
          <w:p w14:paraId="1FD81CB5" w14:textId="733DBBA0" w:rsidR="00514CC0" w:rsidRDefault="00E72B49">
            <w:pPr>
              <w:pStyle w:val="OWTablebodyleft"/>
            </w:pPr>
            <w:r>
              <w:t>Long-term: as drivers of violence are addressed, 12-month prevalence rates of physical and sexual violence to decrease, with</w:t>
            </w:r>
            <w:r w:rsidR="00CD3A16">
              <w:t> </w:t>
            </w:r>
            <w:r>
              <w:t>lifetime prevalence rates to drop in the very long term (i.e.</w:t>
            </w:r>
            <w:r w:rsidR="00CD3A16">
              <w:t> </w:t>
            </w:r>
            <w:r>
              <w:t>across generations).</w:t>
            </w:r>
          </w:p>
        </w:tc>
      </w:tr>
      <w:tr w:rsidR="00514CC0" w14:paraId="459FADD6" w14:textId="77777777" w:rsidTr="009135EE">
        <w:trPr>
          <w:cantSplit/>
          <w:trHeight w:val="60"/>
        </w:trPr>
        <w:tc>
          <w:tcPr>
            <w:tcW w:w="2268" w:type="dxa"/>
          </w:tcPr>
          <w:p w14:paraId="586F1019" w14:textId="77777777" w:rsidR="00514CC0" w:rsidRDefault="00E72B49">
            <w:pPr>
              <w:pStyle w:val="OWTablebodyleft"/>
            </w:pPr>
            <w:r>
              <w:t>Data source(s)</w:t>
            </w:r>
          </w:p>
        </w:tc>
        <w:tc>
          <w:tcPr>
            <w:tcW w:w="6803" w:type="dxa"/>
          </w:tcPr>
          <w:p w14:paraId="37C96E77" w14:textId="77777777" w:rsidR="00514CC0" w:rsidRDefault="00E72B49">
            <w:pPr>
              <w:pStyle w:val="OWTablebodyleft"/>
            </w:pPr>
            <w:r>
              <w:t>Personal Safety Survey (PSS) 2016, ABS</w:t>
            </w:r>
          </w:p>
        </w:tc>
      </w:tr>
      <w:tr w:rsidR="00514CC0" w14:paraId="15D6BE92" w14:textId="77777777" w:rsidTr="009135EE">
        <w:trPr>
          <w:cantSplit/>
          <w:trHeight w:val="60"/>
        </w:trPr>
        <w:tc>
          <w:tcPr>
            <w:tcW w:w="2268" w:type="dxa"/>
          </w:tcPr>
          <w:p w14:paraId="19DCC615" w14:textId="77777777" w:rsidR="00514CC0" w:rsidRDefault="00E72B49">
            <w:pPr>
              <w:pStyle w:val="OWTablebodyleft"/>
            </w:pPr>
            <w:r>
              <w:t>Gaps in existing data</w:t>
            </w:r>
          </w:p>
        </w:tc>
        <w:tc>
          <w:tcPr>
            <w:tcW w:w="6803" w:type="dxa"/>
          </w:tcPr>
          <w:p w14:paraId="45A7D737" w14:textId="1C26C5DF" w:rsidR="00514CC0" w:rsidRDefault="00E72B49">
            <w:pPr>
              <w:pStyle w:val="OWTablebodyleft"/>
            </w:pPr>
            <w:r>
              <w:t>Current datasets do not allow for investigation of Aboriginal and Torres Strait Islander women’s lifetime experiences of physical and</w:t>
            </w:r>
            <w:r w:rsidR="00CD3A16">
              <w:t> </w:t>
            </w:r>
            <w:r>
              <w:t>sexual violence.</w:t>
            </w:r>
            <w:r>
              <w:rPr>
                <w:rStyle w:val="OWSuperscript"/>
              </w:rPr>
              <w:footnoteReference w:id="72"/>
            </w:r>
          </w:p>
          <w:p w14:paraId="52F82CAD" w14:textId="77777777" w:rsidR="00514CC0" w:rsidRDefault="00E72B49">
            <w:pPr>
              <w:pStyle w:val="OWTablebodyleft"/>
            </w:pPr>
            <w:r>
              <w:t>Publicly available PSS data is also very limited in terms of disaggregation of women who experience physical and/or sexual violence during their lifetime by other socio-demographic characteristics. Please refer to Indicator 11.3 for inclusion of publicly available and useful data on 12-month experiences of physical and/or sexual violence, disaggregated by socioeconomic demographic factors.</w:t>
            </w:r>
          </w:p>
        </w:tc>
      </w:tr>
    </w:tbl>
    <w:p w14:paraId="095E9914" w14:textId="77777777" w:rsidR="00514CC0" w:rsidRPr="002D0D52" w:rsidRDefault="00E72B49" w:rsidP="008A53B4">
      <w:pPr>
        <w:pStyle w:val="OWBodytextlargespaceabove"/>
        <w:rPr>
          <w:rStyle w:val="Strong"/>
        </w:rPr>
      </w:pPr>
      <w:r w:rsidRPr="002D0D52">
        <w:rPr>
          <w:rStyle w:val="Strong"/>
        </w:rPr>
        <w:t>Lifetime prevalence of physical and/or sexual violence against women in Australia is devastatingly high.</w:t>
      </w:r>
    </w:p>
    <w:p w14:paraId="0D234DE4" w14:textId="5DF88E2F" w:rsidR="00514CC0" w:rsidRDefault="00E72B49">
      <w:pPr>
        <w:pStyle w:val="OWBullet1"/>
      </w:pPr>
      <w:r>
        <w:t xml:space="preserve">The overall proportion of women who have experienced at least one incident of </w:t>
      </w:r>
      <w:r w:rsidRPr="002D0D52">
        <w:rPr>
          <w:rStyle w:val="Strong"/>
        </w:rPr>
        <w:t>physical</w:t>
      </w:r>
      <w:r w:rsidR="00CD3A16">
        <w:rPr>
          <w:rStyle w:val="Strong"/>
        </w:rPr>
        <w:t> </w:t>
      </w:r>
      <w:r w:rsidRPr="002D0D52">
        <w:rPr>
          <w:rStyle w:val="Strong"/>
        </w:rPr>
        <w:t>and/or sexual violence</w:t>
      </w:r>
      <w:r>
        <w:t xml:space="preserve"> since age 15 was 36.8% in 2016.</w:t>
      </w:r>
    </w:p>
    <w:p w14:paraId="1E6FCB18" w14:textId="77777777" w:rsidR="00514CC0" w:rsidRDefault="00E72B49">
      <w:pPr>
        <w:pStyle w:val="OWBullet1"/>
      </w:pPr>
      <w:r>
        <w:t xml:space="preserve">The proportion of women who have experienced at least one incident of (non-sexual) </w:t>
      </w:r>
      <w:r w:rsidRPr="002D0D52">
        <w:rPr>
          <w:rStyle w:val="Strong"/>
        </w:rPr>
        <w:t>physical violence</w:t>
      </w:r>
      <w:r>
        <w:t xml:space="preserve"> since age 15 was 30.5% in 2016.</w:t>
      </w:r>
    </w:p>
    <w:p w14:paraId="41CF1217" w14:textId="08044844" w:rsidR="00514CC0" w:rsidRDefault="00E72B49">
      <w:pPr>
        <w:pStyle w:val="OWBullet1"/>
      </w:pPr>
      <w:r>
        <w:t xml:space="preserve">The proportion of women who have experienced at least one incident of </w:t>
      </w:r>
      <w:r w:rsidRPr="002D0D52">
        <w:rPr>
          <w:rStyle w:val="Strong"/>
        </w:rPr>
        <w:t>sexual violence</w:t>
      </w:r>
      <w:r>
        <w:t xml:space="preserve"> since age 15 was 18.4% in 2016 (see Table </w:t>
      </w:r>
      <w:r w:rsidR="0017588F">
        <w:t>53</w:t>
      </w:r>
      <w:r>
        <w:t>, below).</w:t>
      </w:r>
    </w:p>
    <w:p w14:paraId="3FF5C2F0" w14:textId="5ADE21B5" w:rsidR="00514CC0" w:rsidRDefault="00E72B49">
      <w:pPr>
        <w:pStyle w:val="OWTablecaption"/>
      </w:pPr>
      <w:r>
        <w:lastRenderedPageBreak/>
        <w:t xml:space="preserve">Table </w:t>
      </w:r>
      <w:r w:rsidR="0017588F">
        <w:t>53</w:t>
      </w:r>
      <w:r>
        <w:t>: Prevalence of physical and sexual violence against women since age 15, 2016, % of women, by type of violence</w:t>
      </w:r>
    </w:p>
    <w:tbl>
      <w:tblPr>
        <w:tblStyle w:val="Datatableumber"/>
        <w:tblW w:w="9072" w:type="dxa"/>
        <w:tblLayout w:type="fixed"/>
        <w:tblLook w:val="06A0" w:firstRow="1" w:lastRow="0" w:firstColumn="1" w:lastColumn="0" w:noHBand="1" w:noVBand="1"/>
      </w:tblPr>
      <w:tblGrid>
        <w:gridCol w:w="6804"/>
        <w:gridCol w:w="2268"/>
      </w:tblGrid>
      <w:tr w:rsidR="00514CC0" w14:paraId="38EAF677" w14:textId="77777777" w:rsidTr="009135EE">
        <w:trPr>
          <w:cnfStyle w:val="100000000000" w:firstRow="1" w:lastRow="0" w:firstColumn="0" w:lastColumn="0" w:oddVBand="0" w:evenVBand="0" w:oddHBand="0" w:evenHBand="0" w:firstRowFirstColumn="0" w:firstRowLastColumn="0" w:lastRowFirstColumn="0" w:lastRowLastColumn="0"/>
          <w:cantSplit/>
          <w:trHeight w:val="60"/>
          <w:tblHeader/>
        </w:trPr>
        <w:tc>
          <w:tcPr>
            <w:tcW w:w="6803" w:type="dxa"/>
          </w:tcPr>
          <w:p w14:paraId="52444F12" w14:textId="77777777" w:rsidR="00514CC0" w:rsidRPr="0034367F" w:rsidRDefault="00E72B49">
            <w:pPr>
              <w:pStyle w:val="OWTablecolumnheadleft"/>
            </w:pPr>
            <w:r w:rsidRPr="0034367F">
              <w:t>Women’s lifetime experience of violence by any perpetrator</w:t>
            </w:r>
          </w:p>
        </w:tc>
        <w:tc>
          <w:tcPr>
            <w:tcW w:w="2268" w:type="dxa"/>
          </w:tcPr>
          <w:p w14:paraId="219A563C" w14:textId="77777777" w:rsidR="00514CC0" w:rsidRPr="0034367F" w:rsidRDefault="00E72B49">
            <w:pPr>
              <w:pStyle w:val="OWTablecolumnheadcentre"/>
            </w:pPr>
            <w:r w:rsidRPr="0034367F">
              <w:t>2016</w:t>
            </w:r>
          </w:p>
        </w:tc>
      </w:tr>
      <w:tr w:rsidR="00514CC0" w14:paraId="3902AB6F" w14:textId="77777777" w:rsidTr="009135EE">
        <w:trPr>
          <w:cantSplit/>
          <w:trHeight w:val="60"/>
        </w:trPr>
        <w:tc>
          <w:tcPr>
            <w:tcW w:w="6803" w:type="dxa"/>
          </w:tcPr>
          <w:p w14:paraId="28FE15B0" w14:textId="77777777" w:rsidR="00514CC0" w:rsidRDefault="00E72B49">
            <w:pPr>
              <w:pStyle w:val="OWTablebodyleft"/>
            </w:pPr>
            <w:r w:rsidRPr="002D0D52">
              <w:rPr>
                <w:rStyle w:val="Strong"/>
              </w:rPr>
              <w:t>Total sexual violence</w:t>
            </w:r>
          </w:p>
        </w:tc>
        <w:tc>
          <w:tcPr>
            <w:tcW w:w="2268" w:type="dxa"/>
          </w:tcPr>
          <w:p w14:paraId="3692CE57" w14:textId="77777777" w:rsidR="00514CC0" w:rsidRDefault="00E72B49">
            <w:pPr>
              <w:pStyle w:val="OWTablebodycentre"/>
            </w:pPr>
            <w:r w:rsidRPr="002D0D52">
              <w:rPr>
                <w:rStyle w:val="Strong"/>
              </w:rPr>
              <w:t>18.4%</w:t>
            </w:r>
          </w:p>
        </w:tc>
      </w:tr>
      <w:tr w:rsidR="00514CC0" w14:paraId="5C5354E8" w14:textId="77777777" w:rsidTr="009135EE">
        <w:trPr>
          <w:cantSplit/>
          <w:trHeight w:val="60"/>
        </w:trPr>
        <w:tc>
          <w:tcPr>
            <w:tcW w:w="6803" w:type="dxa"/>
          </w:tcPr>
          <w:p w14:paraId="36779445" w14:textId="77777777" w:rsidR="00514CC0" w:rsidRDefault="00E72B49">
            <w:pPr>
              <w:pStyle w:val="OWTablebodyindent1"/>
            </w:pPr>
            <w:r>
              <w:t>Sexual assault</w:t>
            </w:r>
          </w:p>
        </w:tc>
        <w:tc>
          <w:tcPr>
            <w:tcW w:w="2268" w:type="dxa"/>
          </w:tcPr>
          <w:p w14:paraId="247FF7D4" w14:textId="77777777" w:rsidR="00514CC0" w:rsidRDefault="00E72B49">
            <w:pPr>
              <w:pStyle w:val="OWTablebodycentre"/>
            </w:pPr>
            <w:r>
              <w:t>16.9%</w:t>
            </w:r>
          </w:p>
        </w:tc>
      </w:tr>
      <w:tr w:rsidR="00514CC0" w14:paraId="3BD5677F" w14:textId="77777777" w:rsidTr="009135EE">
        <w:trPr>
          <w:cantSplit/>
          <w:trHeight w:val="60"/>
        </w:trPr>
        <w:tc>
          <w:tcPr>
            <w:tcW w:w="6803" w:type="dxa"/>
          </w:tcPr>
          <w:p w14:paraId="03ED40C5" w14:textId="77777777" w:rsidR="00514CC0" w:rsidRDefault="00E72B49">
            <w:pPr>
              <w:pStyle w:val="OWTablebodyindent1"/>
            </w:pPr>
            <w:r>
              <w:t>Sexual threat</w:t>
            </w:r>
          </w:p>
        </w:tc>
        <w:tc>
          <w:tcPr>
            <w:tcW w:w="2268" w:type="dxa"/>
          </w:tcPr>
          <w:p w14:paraId="3FDA7C0A" w14:textId="77777777" w:rsidR="00514CC0" w:rsidRDefault="00E72B49">
            <w:pPr>
              <w:pStyle w:val="OWTablebodycentre"/>
            </w:pPr>
            <w:r>
              <w:t>3.6%</w:t>
            </w:r>
          </w:p>
        </w:tc>
      </w:tr>
      <w:tr w:rsidR="00514CC0" w14:paraId="60663470" w14:textId="77777777" w:rsidTr="009135EE">
        <w:trPr>
          <w:cantSplit/>
          <w:trHeight w:val="60"/>
        </w:trPr>
        <w:tc>
          <w:tcPr>
            <w:tcW w:w="6803" w:type="dxa"/>
          </w:tcPr>
          <w:p w14:paraId="04F04124" w14:textId="77777777" w:rsidR="00514CC0" w:rsidRDefault="00E72B49">
            <w:pPr>
              <w:pStyle w:val="OWTablebodyleft"/>
            </w:pPr>
            <w:r w:rsidRPr="002D0D52">
              <w:rPr>
                <w:rStyle w:val="Strong"/>
              </w:rPr>
              <w:t>Total physical violence</w:t>
            </w:r>
          </w:p>
        </w:tc>
        <w:tc>
          <w:tcPr>
            <w:tcW w:w="2268" w:type="dxa"/>
          </w:tcPr>
          <w:p w14:paraId="0FFFB8EE" w14:textId="77777777" w:rsidR="00514CC0" w:rsidRDefault="00E72B49">
            <w:pPr>
              <w:pStyle w:val="OWTablebodycentre"/>
            </w:pPr>
            <w:r w:rsidRPr="002D0D52">
              <w:rPr>
                <w:rStyle w:val="Strong"/>
              </w:rPr>
              <w:t>30.5%</w:t>
            </w:r>
          </w:p>
        </w:tc>
      </w:tr>
      <w:tr w:rsidR="00514CC0" w14:paraId="0529853C" w14:textId="77777777" w:rsidTr="009135EE">
        <w:trPr>
          <w:cantSplit/>
          <w:trHeight w:val="60"/>
        </w:trPr>
        <w:tc>
          <w:tcPr>
            <w:tcW w:w="6803" w:type="dxa"/>
          </w:tcPr>
          <w:p w14:paraId="4BF68C72" w14:textId="77777777" w:rsidR="00514CC0" w:rsidRDefault="00E72B49">
            <w:pPr>
              <w:pStyle w:val="OWTablebodyindent1"/>
            </w:pPr>
            <w:r>
              <w:t>Physical assault</w:t>
            </w:r>
          </w:p>
        </w:tc>
        <w:tc>
          <w:tcPr>
            <w:tcW w:w="2268" w:type="dxa"/>
          </w:tcPr>
          <w:p w14:paraId="4C76D07F" w14:textId="77777777" w:rsidR="00514CC0" w:rsidRDefault="00E72B49">
            <w:pPr>
              <w:pStyle w:val="OWTablebodycentre"/>
            </w:pPr>
            <w:r>
              <w:t>27.2%</w:t>
            </w:r>
          </w:p>
        </w:tc>
      </w:tr>
      <w:tr w:rsidR="00514CC0" w14:paraId="49B24998" w14:textId="77777777" w:rsidTr="009135EE">
        <w:trPr>
          <w:cantSplit/>
          <w:trHeight w:val="60"/>
        </w:trPr>
        <w:tc>
          <w:tcPr>
            <w:tcW w:w="6803" w:type="dxa"/>
          </w:tcPr>
          <w:p w14:paraId="24E91442" w14:textId="77777777" w:rsidR="00514CC0" w:rsidRDefault="00E72B49">
            <w:pPr>
              <w:pStyle w:val="OWTablebodyindent1"/>
            </w:pPr>
            <w:r>
              <w:t>Physical threat</w:t>
            </w:r>
          </w:p>
        </w:tc>
        <w:tc>
          <w:tcPr>
            <w:tcW w:w="2268" w:type="dxa"/>
          </w:tcPr>
          <w:p w14:paraId="1CBAEA11" w14:textId="77777777" w:rsidR="00514CC0" w:rsidRDefault="00E72B49">
            <w:pPr>
              <w:pStyle w:val="OWTablebodycentre"/>
            </w:pPr>
            <w:r>
              <w:t>10.2%</w:t>
            </w:r>
          </w:p>
        </w:tc>
      </w:tr>
      <w:tr w:rsidR="00514CC0" w14:paraId="5831315B" w14:textId="77777777" w:rsidTr="009135EE">
        <w:trPr>
          <w:cantSplit/>
          <w:trHeight w:val="60"/>
        </w:trPr>
        <w:tc>
          <w:tcPr>
            <w:tcW w:w="6803" w:type="dxa"/>
          </w:tcPr>
          <w:p w14:paraId="57BE27A1" w14:textId="77777777" w:rsidR="00514CC0" w:rsidRDefault="00E72B49">
            <w:pPr>
              <w:pStyle w:val="OWTablebodyleft"/>
            </w:pPr>
            <w:r w:rsidRPr="002D0D52">
              <w:rPr>
                <w:rStyle w:val="Strong"/>
              </w:rPr>
              <w:t>Total all physical and sexual violence</w:t>
            </w:r>
          </w:p>
        </w:tc>
        <w:tc>
          <w:tcPr>
            <w:tcW w:w="2268" w:type="dxa"/>
          </w:tcPr>
          <w:p w14:paraId="35033C68" w14:textId="77777777" w:rsidR="00514CC0" w:rsidRDefault="00E72B49">
            <w:pPr>
              <w:pStyle w:val="OWTablebodycentre"/>
            </w:pPr>
            <w:r w:rsidRPr="002D0D52">
              <w:rPr>
                <w:rStyle w:val="Strong"/>
              </w:rPr>
              <w:t>36.8%</w:t>
            </w:r>
          </w:p>
        </w:tc>
      </w:tr>
    </w:tbl>
    <w:p w14:paraId="007314B2" w14:textId="77777777" w:rsidR="00514CC0" w:rsidRDefault="00E72B49">
      <w:pPr>
        <w:pStyle w:val="OWTablefootnote"/>
      </w:pPr>
      <w:r>
        <w:t>Sources: ABS, PSS 2016</w:t>
      </w:r>
    </w:p>
    <w:p w14:paraId="59EDB1ED" w14:textId="40EA2BBC" w:rsidR="00514CC0" w:rsidRDefault="00E72B49">
      <w:pPr>
        <w:pStyle w:val="OWBodytextlargespaceabove"/>
      </w:pPr>
      <w:r>
        <w:t xml:space="preserve">Lifetime prevalence rates of physical and sexual violence continue to be very high, and </w:t>
      </w:r>
      <w:r w:rsidR="00CD3A16">
        <w:br/>
      </w:r>
      <w:r>
        <w:t>12-month prevalence rates quite stable. This trend is similar for emotional abuse, as previously outlined.</w:t>
      </w:r>
    </w:p>
    <w:p w14:paraId="0ECFB2F5" w14:textId="2BBBB449" w:rsidR="00514CC0" w:rsidRDefault="00E72B49" w:rsidP="004B4DE0">
      <w:pPr>
        <w:pStyle w:val="OWBodytextlargespacebelow"/>
      </w:pPr>
      <w:r>
        <w:t>Men are almost exclusively the perpetrators of sexual violence against women, comprising 99% of perpetrators of sexual assault against women in 2012 and 98% in 2016.</w:t>
      </w:r>
      <w:r w:rsidR="004B4DE0">
        <w:rPr>
          <w:rStyle w:val="EndnoteReference"/>
        </w:rPr>
        <w:endnoteReference w:id="530"/>
      </w:r>
    </w:p>
    <w:tbl>
      <w:tblPr>
        <w:tblStyle w:val="Casestudyumber"/>
        <w:tblW w:w="9071" w:type="dxa"/>
        <w:tblLayout w:type="fixed"/>
        <w:tblLook w:val="0620" w:firstRow="1" w:lastRow="0" w:firstColumn="0" w:lastColumn="0" w:noHBand="1" w:noVBand="1"/>
      </w:tblPr>
      <w:tblGrid>
        <w:gridCol w:w="9071"/>
      </w:tblGrid>
      <w:tr w:rsidR="00514CC0" w14:paraId="4A91E141" w14:textId="77777777" w:rsidTr="009135EE">
        <w:trPr>
          <w:cnfStyle w:val="100000000000" w:firstRow="1" w:lastRow="0" w:firstColumn="0" w:lastColumn="0" w:oddVBand="0" w:evenVBand="0" w:oddHBand="0" w:evenHBand="0" w:firstRowFirstColumn="0" w:firstRowLastColumn="0" w:lastRowFirstColumn="0" w:lastRowLastColumn="0"/>
          <w:trHeight w:val="60"/>
        </w:trPr>
        <w:tc>
          <w:tcPr>
            <w:tcW w:w="9071" w:type="dxa"/>
          </w:tcPr>
          <w:p w14:paraId="1A4B01D4" w14:textId="77777777" w:rsidR="00514CC0" w:rsidRPr="0034367F" w:rsidRDefault="00E72B49">
            <w:pPr>
              <w:pStyle w:val="OWBoxheading"/>
            </w:pPr>
            <w:bookmarkStart w:id="93" w:name="DataProjectCaseStudy" w:colFirst="0" w:colLast="0"/>
            <w:r w:rsidRPr="0034367F">
              <w:t>Data project case study: Violence against women with disability</w:t>
            </w:r>
          </w:p>
        </w:tc>
      </w:tr>
      <w:bookmarkEnd w:id="93"/>
      <w:tr w:rsidR="00514CC0" w14:paraId="7F850AD5" w14:textId="77777777" w:rsidTr="009135EE">
        <w:trPr>
          <w:trHeight w:val="60"/>
        </w:trPr>
        <w:tc>
          <w:tcPr>
            <w:tcW w:w="9071" w:type="dxa"/>
          </w:tcPr>
          <w:p w14:paraId="597B6024" w14:textId="77777777" w:rsidR="00514CC0" w:rsidRPr="003E209A" w:rsidRDefault="00E72B49">
            <w:pPr>
              <w:pStyle w:val="OWTablebodyleft"/>
              <w:rPr>
                <w:rStyle w:val="Emphasis"/>
              </w:rPr>
            </w:pPr>
            <w:r w:rsidRPr="003E209A">
              <w:rPr>
                <w:rStyle w:val="Emphasis"/>
              </w:rPr>
              <w:t>Authored by the project research team, Disability and Health Unit and the Melbourne Disability Institute at the University of Melbourne, with the Centre of Research Excellence in Disability and Health (CRE-DH)</w:t>
            </w:r>
          </w:p>
          <w:p w14:paraId="6D2423A3" w14:textId="77777777" w:rsidR="00514CC0" w:rsidRDefault="00E72B49">
            <w:pPr>
              <w:pStyle w:val="OWTablebodyleft"/>
            </w:pPr>
            <w:r>
              <w:t>The Disability and Health Unit and the Melbourne Disability Institute at the University of Melbourne, together with the Centre of Research Excellence in Disability and Health (CRE-DH) are undertaking a series of projects examining the extent of violence against people with disability in Australia. Embedded in these projects is a key focus on the intersections of gender, disability and violence.</w:t>
            </w:r>
          </w:p>
          <w:p w14:paraId="7DAD6192" w14:textId="2586A2DD" w:rsidR="00EB54F7" w:rsidRDefault="00E72B49" w:rsidP="00CA091B">
            <w:pPr>
              <w:pStyle w:val="OWTablebodyleft"/>
            </w:pPr>
            <w:r>
              <w:t>It is generally acknowledged that women with disability experience violence at higher rates than women in the general population. However, their under-representation or omission from national data collections, and the lack of up-to-date analyses where comprehensive data are available, means there is limited empirical evidence to understand the scope of the problem and respond accordingly.</w:t>
            </w:r>
          </w:p>
        </w:tc>
      </w:tr>
      <w:tr w:rsidR="00514CC0" w14:paraId="76F59058" w14:textId="77777777" w:rsidTr="009135EE">
        <w:trPr>
          <w:trHeight w:val="60"/>
        </w:trPr>
        <w:tc>
          <w:tcPr>
            <w:tcW w:w="9071" w:type="dxa"/>
          </w:tcPr>
          <w:p w14:paraId="6FB0FB80" w14:textId="42A0B762" w:rsidR="00CA091B" w:rsidRDefault="00CA091B" w:rsidP="00CA091B">
            <w:pPr>
              <w:pStyle w:val="OWTablebodyleft"/>
              <w:spacing w:before="360"/>
            </w:pPr>
            <w:r>
              <w:lastRenderedPageBreak/>
              <w:t>Our projects respond to this knowledge gap in several ways. We have undertaken additional analyses of key Australian population level datasets, including e.g. the Australian Bureau of Statistics (ABS) 2016 Personal Safety Survey (PSS), to provide current estimates of the prevalence of violence against people with disability, patterns of abuse for men and women with disability, where violence takes place and who perpetrates the violence. We have also compiled a data compendium on existing survey, longitudinal and administrative data sources in Australia that include identifiers for violence and disability.</w:t>
            </w:r>
          </w:p>
          <w:p w14:paraId="73AD5D40" w14:textId="77777777" w:rsidR="00CA091B" w:rsidRDefault="00CA091B" w:rsidP="00CA091B">
            <w:pPr>
              <w:pStyle w:val="OWTablebodyleft"/>
            </w:pPr>
            <w:r>
              <w:t>The compendium includes a precis of the strengths and limitations of each data source.</w:t>
            </w:r>
          </w:p>
          <w:p w14:paraId="5CDF54E9" w14:textId="77777777" w:rsidR="00CA091B" w:rsidRDefault="00CA091B" w:rsidP="00CA091B">
            <w:pPr>
              <w:pStyle w:val="OWTablebodyleft"/>
            </w:pPr>
            <w:r>
              <w:t>Key findings include:</w:t>
            </w:r>
          </w:p>
          <w:p w14:paraId="7EC967CD" w14:textId="77777777" w:rsidR="00CA091B" w:rsidRDefault="00CA091B" w:rsidP="00CA091B">
            <w:pPr>
              <w:pStyle w:val="OWTablebullet1"/>
            </w:pPr>
            <w:r>
              <w:t>Violence against women with disability is a widespread problem in Australia.</w:t>
            </w:r>
          </w:p>
          <w:p w14:paraId="0FA018AA" w14:textId="77777777" w:rsidR="00CA091B" w:rsidRDefault="00CA091B" w:rsidP="00CA091B">
            <w:pPr>
              <w:pStyle w:val="OWTablebullet1"/>
            </w:pPr>
            <w:r>
              <w:t>Across their lifetime, 65% of women with disability have experienced at least one incident of violence (physical, sexual, emotional abuse, stalking and/or harassment).</w:t>
            </w:r>
          </w:p>
          <w:p w14:paraId="0BDEE889" w14:textId="77777777" w:rsidR="00CA091B" w:rsidRDefault="00CA091B" w:rsidP="00CA091B">
            <w:pPr>
              <w:pStyle w:val="OWTablebullet1"/>
            </w:pPr>
            <w:r>
              <w:t>Approximately one in three women with disability has experienced sexual violence since the age of 15.</w:t>
            </w:r>
          </w:p>
          <w:p w14:paraId="2D43F5A1" w14:textId="018B7AC8" w:rsidR="00CA091B" w:rsidRDefault="00CA091B" w:rsidP="00CA091B">
            <w:pPr>
              <w:pStyle w:val="OWTablebodyleft"/>
            </w:pPr>
            <w:r>
              <w:t>Young women with disability (under the age of 25 years) and women with psychosocial and cognitive disability are at particular risk of violence and abuse.</w:t>
            </w:r>
          </w:p>
          <w:p w14:paraId="4F53BAB8" w14:textId="733AAE77" w:rsidR="00514CC0" w:rsidRDefault="00E72B49" w:rsidP="00CA091B">
            <w:pPr>
              <w:pStyle w:val="OWTablebodyleft"/>
            </w:pPr>
            <w:r>
              <w:t>Overwhelming, however, our investigations have shown that despite many decades of advocacy to improve the representation of people with disability in population-based data collections in Australia, very little has changed. Key challenges remain and</w:t>
            </w:r>
            <w:r w:rsidR="00CD3A16">
              <w:t> </w:t>
            </w:r>
            <w:r>
              <w:t>include:</w:t>
            </w:r>
          </w:p>
          <w:p w14:paraId="5A2F0AAC" w14:textId="77777777" w:rsidR="00514CC0" w:rsidRDefault="00E72B49">
            <w:pPr>
              <w:pStyle w:val="OWTablebullet1"/>
            </w:pPr>
            <w:r>
              <w:t>definitional complexities within data sources;</w:t>
            </w:r>
          </w:p>
          <w:p w14:paraId="59B93C8D" w14:textId="4563246B" w:rsidR="00514CC0" w:rsidRDefault="00E72B49">
            <w:pPr>
              <w:pStyle w:val="OWTablebullet1"/>
            </w:pPr>
            <w:r>
              <w:t>methodological and design shortcomings that exclude people from participating in</w:t>
            </w:r>
            <w:r w:rsidR="00CD3A16">
              <w:t> </w:t>
            </w:r>
            <w:r>
              <w:t>surveys;</w:t>
            </w:r>
          </w:p>
          <w:p w14:paraId="3254E5C9" w14:textId="77777777" w:rsidR="00514CC0" w:rsidRDefault="00E72B49">
            <w:pPr>
              <w:pStyle w:val="OWTablebullet1"/>
            </w:pPr>
            <w:r>
              <w:t>barriers to reporting in administrative data systems designed to collect information about violence, abuse, neglect and exploitation;</w:t>
            </w:r>
          </w:p>
          <w:p w14:paraId="7E000D75" w14:textId="77777777" w:rsidR="00514CC0" w:rsidRDefault="00E72B49">
            <w:pPr>
              <w:pStyle w:val="OWTablebullet1"/>
            </w:pPr>
            <w:r>
              <w:t>gaps in recording and reporting of data; and</w:t>
            </w:r>
          </w:p>
          <w:p w14:paraId="63113F9B" w14:textId="6C6FD362" w:rsidR="00514CC0" w:rsidRDefault="00E72B49">
            <w:pPr>
              <w:pStyle w:val="OWTablebullet1"/>
            </w:pPr>
            <w:r>
              <w:t>gaps in the leveraging of existing data and linking of data for the creation of new</w:t>
            </w:r>
            <w:r w:rsidR="00CD3A16">
              <w:t> </w:t>
            </w:r>
            <w:r>
              <w:t>statistical information.</w:t>
            </w:r>
          </w:p>
          <w:p w14:paraId="27C21220" w14:textId="77777777" w:rsidR="00514CC0" w:rsidRPr="002D0D52" w:rsidRDefault="00E72B49">
            <w:pPr>
              <w:pStyle w:val="OWTablebodyleft"/>
              <w:spacing w:after="57"/>
              <w:rPr>
                <w:rStyle w:val="Strong"/>
              </w:rPr>
            </w:pPr>
            <w:r w:rsidRPr="002D0D52">
              <w:rPr>
                <w:rStyle w:val="Strong"/>
              </w:rPr>
              <w:t>Research Team:</w:t>
            </w:r>
          </w:p>
          <w:p w14:paraId="5B3E0FEB" w14:textId="77777777" w:rsidR="00514CC0" w:rsidRDefault="00E72B49">
            <w:pPr>
              <w:pStyle w:val="OWTablebodyleft"/>
            </w:pPr>
            <w:r>
              <w:t>Professor Anne Kavanagh, Ms Lauren Krnjacki, Ms Anne-Marie Bollier, Dr Georgina Sutherland and Dr Sean Byars, Disability and Health Unit, Centre for Health Equity, Melbourne School of Population and Global Health, University of Melbourne; Ms Jen Hargrave, Senior Policy Officer, Women with Disabilities Victoria and co-researcher, Centre for Health Equity, Melbourne School of Population and Global Health, University of Melbourne; Professor Gwynnyth Llewellyn, Professor, Family and Disability Studies Head, WHO Collaborating Centre in Strengthening Rehabilitation Capacity in Health Systems.</w:t>
            </w:r>
          </w:p>
        </w:tc>
      </w:tr>
    </w:tbl>
    <w:p w14:paraId="7A0E3B8E" w14:textId="77777777" w:rsidR="00514CC0" w:rsidRPr="000F735C" w:rsidRDefault="00E72B49" w:rsidP="00E1549C">
      <w:pPr>
        <w:pStyle w:val="Heading4"/>
        <w:rPr>
          <w:rStyle w:val="OWCharacterUmber"/>
        </w:rPr>
      </w:pPr>
      <w:r>
        <w:rPr>
          <w:rStyle w:val="OWCharacterUmber"/>
        </w:rPr>
        <w:lastRenderedPageBreak/>
        <w:t>Indicator 11.9: Proportion of women who have experienced sexual harassment since age 15</w:t>
      </w:r>
      <w:r>
        <w:rPr>
          <w:rStyle w:val="OWSuperscriptUmber"/>
        </w:rPr>
        <w:footnoteReference w:id="73"/>
      </w:r>
    </w:p>
    <w:tbl>
      <w:tblPr>
        <w:tblStyle w:val="Indicatoroutlineumber"/>
        <w:tblW w:w="9072" w:type="dxa"/>
        <w:tblLayout w:type="fixed"/>
        <w:tblLook w:val="0680" w:firstRow="0" w:lastRow="0" w:firstColumn="1" w:lastColumn="0" w:noHBand="1" w:noVBand="1"/>
      </w:tblPr>
      <w:tblGrid>
        <w:gridCol w:w="2268"/>
        <w:gridCol w:w="6804"/>
      </w:tblGrid>
      <w:tr w:rsidR="00514CC0" w14:paraId="3CF53E53" w14:textId="77777777" w:rsidTr="009135EE">
        <w:trPr>
          <w:cantSplit/>
          <w:trHeight w:val="60"/>
        </w:trPr>
        <w:tc>
          <w:tcPr>
            <w:tcW w:w="2268" w:type="dxa"/>
          </w:tcPr>
          <w:p w14:paraId="0F0FC182" w14:textId="77777777" w:rsidR="00514CC0" w:rsidRDefault="00E72B49">
            <w:pPr>
              <w:pStyle w:val="OWTablebodyleft"/>
            </w:pPr>
            <w:r>
              <w:t>What does this indicator tell us about Monitoring domain 11: Prevalence of violence against women?</w:t>
            </w:r>
          </w:p>
        </w:tc>
        <w:tc>
          <w:tcPr>
            <w:tcW w:w="6803" w:type="dxa"/>
          </w:tcPr>
          <w:p w14:paraId="6A7F42B5" w14:textId="33498E68" w:rsidR="00514CC0" w:rsidRDefault="00E72B49">
            <w:pPr>
              <w:pStyle w:val="OWTablebodyleft"/>
            </w:pPr>
            <w:r>
              <w:t>This indicator tells us the proportion of the population of women in</w:t>
            </w:r>
            <w:r w:rsidR="00CD3A16">
              <w:t> </w:t>
            </w:r>
            <w:r>
              <w:t>Australia who have experienced at least one incident of sexual harassment (in any setting) during their lifetime since age 15.</w:t>
            </w:r>
          </w:p>
          <w:p w14:paraId="2F2F1995" w14:textId="163F4856" w:rsidR="00514CC0" w:rsidRDefault="00E72B49">
            <w:pPr>
              <w:pStyle w:val="OWTablebodyleft"/>
            </w:pPr>
            <w:r>
              <w:t>This indicator should be read alongside Indicator 11.4 (12-month experiences of sexual harassment in any setting), Indicator 3.6 (workplace sexual harassment) and Indicator 3.9 (feelings of lack of</w:t>
            </w:r>
            <w:r w:rsidR="00CD3A16">
              <w:t> </w:t>
            </w:r>
            <w:r>
              <w:t>safety in public spaces) for a more complete picture of the prevalence and patterns of sexual harassment, including disaggregated five-year workplace sexual harassment prevalence figures for different groups of women.</w:t>
            </w:r>
          </w:p>
        </w:tc>
      </w:tr>
      <w:tr w:rsidR="00514CC0" w14:paraId="128D9A4B" w14:textId="77777777" w:rsidTr="009135EE">
        <w:trPr>
          <w:cantSplit/>
          <w:trHeight w:val="60"/>
        </w:trPr>
        <w:tc>
          <w:tcPr>
            <w:tcW w:w="2268" w:type="dxa"/>
          </w:tcPr>
          <w:p w14:paraId="2764BDC9" w14:textId="64C51D4B" w:rsidR="00514CC0" w:rsidRDefault="00E72B49">
            <w:pPr>
              <w:pStyle w:val="OWTablebodyleft"/>
            </w:pPr>
            <w:r>
              <w:t>Expected change if</w:t>
            </w:r>
            <w:r w:rsidR="00CD3A16">
              <w:t> </w:t>
            </w:r>
            <w:r>
              <w:t>high-quality programs and infrastructure for prevention of violence against women and gender equality are implemented</w:t>
            </w:r>
          </w:p>
        </w:tc>
        <w:tc>
          <w:tcPr>
            <w:tcW w:w="6803" w:type="dxa"/>
          </w:tcPr>
          <w:p w14:paraId="5ED1945F" w14:textId="77777777" w:rsidR="00514CC0" w:rsidRDefault="00E72B49">
            <w:pPr>
              <w:pStyle w:val="OWTablebodyleft"/>
            </w:pPr>
            <w:r>
              <w:t>Short- and medium-term: an increase in the proportion of women and girls who report experiencing sexual harassment during their lifetime, due to increased public awareness.</w:t>
            </w:r>
          </w:p>
          <w:p w14:paraId="2935DDE0" w14:textId="77777777" w:rsidR="00514CC0" w:rsidRDefault="00E72B49">
            <w:pPr>
              <w:pStyle w:val="OWTablebodyleft"/>
            </w:pPr>
            <w:r>
              <w:t>Long-term: lifetime prevalence of sexual harassment of women reduced.</w:t>
            </w:r>
          </w:p>
        </w:tc>
      </w:tr>
      <w:tr w:rsidR="00514CC0" w14:paraId="350FD94C" w14:textId="77777777" w:rsidTr="009135EE">
        <w:trPr>
          <w:cantSplit/>
          <w:trHeight w:val="60"/>
        </w:trPr>
        <w:tc>
          <w:tcPr>
            <w:tcW w:w="2268" w:type="dxa"/>
          </w:tcPr>
          <w:p w14:paraId="5D64E066" w14:textId="50719D04" w:rsidR="00514CC0" w:rsidRDefault="00CD2A02">
            <w:pPr>
              <w:pStyle w:val="OWTablebodyleft"/>
            </w:pPr>
            <w:r>
              <w:t>Data source(s)</w:t>
            </w:r>
          </w:p>
        </w:tc>
        <w:tc>
          <w:tcPr>
            <w:tcW w:w="6803" w:type="dxa"/>
          </w:tcPr>
          <w:p w14:paraId="020188E4" w14:textId="77777777" w:rsidR="00514CC0" w:rsidRDefault="00E72B49" w:rsidP="002C2EC7">
            <w:pPr>
              <w:pStyle w:val="OWTablenumberdigit"/>
              <w:numPr>
                <w:ilvl w:val="0"/>
                <w:numId w:val="42"/>
              </w:numPr>
            </w:pPr>
            <w:r>
              <w:t>Personal Safety Survey (PSS) 2016, ABS</w:t>
            </w:r>
          </w:p>
          <w:p w14:paraId="0FED5285" w14:textId="2408756A" w:rsidR="00514CC0" w:rsidRDefault="00E72B49">
            <w:pPr>
              <w:pStyle w:val="OWTablenumberdigit"/>
            </w:pPr>
            <w:r>
              <w:t>Workplace Sexual Harassment Survey 2018, AHRC (lifetime data</w:t>
            </w:r>
            <w:r w:rsidR="00CD3A16">
              <w:t> </w:t>
            </w:r>
            <w:r>
              <w:t>is not restricted to workplace experiences of sexual harassment)</w:t>
            </w:r>
          </w:p>
          <w:p w14:paraId="1E837AEF" w14:textId="34732D7C" w:rsidR="00514CC0" w:rsidRDefault="00E72B49">
            <w:pPr>
              <w:pStyle w:val="OWTablebodyleft"/>
            </w:pPr>
            <w:r>
              <w:t>Important methodological differences exist between these two</w:t>
            </w:r>
            <w:r w:rsidR="00CD3A16">
              <w:t> </w:t>
            </w:r>
            <w:r>
              <w:t>survey instruments in terms of how sexual harassment is</w:t>
            </w:r>
            <w:r w:rsidR="00CD3A16">
              <w:t> </w:t>
            </w:r>
            <w:r>
              <w:t>measured.</w:t>
            </w:r>
            <w:r>
              <w:rPr>
                <w:rStyle w:val="OWSuperscript"/>
              </w:rPr>
              <w:footnoteReference w:id="74"/>
            </w:r>
            <w:r w:rsidRPr="00187DF8">
              <w:t xml:space="preserve"> </w:t>
            </w:r>
            <w:r>
              <w:t>As such the two datasets are not directly comparable.</w:t>
            </w:r>
          </w:p>
        </w:tc>
      </w:tr>
      <w:tr w:rsidR="00514CC0" w14:paraId="02BCE553" w14:textId="77777777" w:rsidTr="009135EE">
        <w:trPr>
          <w:cantSplit/>
          <w:trHeight w:val="60"/>
        </w:trPr>
        <w:tc>
          <w:tcPr>
            <w:tcW w:w="2268" w:type="dxa"/>
          </w:tcPr>
          <w:p w14:paraId="3C101479" w14:textId="19ADED85" w:rsidR="00514CC0" w:rsidRDefault="00F45C94">
            <w:pPr>
              <w:pStyle w:val="OWTablebodyleft"/>
            </w:pPr>
            <w:r>
              <w:lastRenderedPageBreak/>
              <w:t>Gaps in existing data</w:t>
            </w:r>
          </w:p>
        </w:tc>
        <w:tc>
          <w:tcPr>
            <w:tcW w:w="6803" w:type="dxa"/>
          </w:tcPr>
          <w:p w14:paraId="4FEE33F5" w14:textId="7E9CB961" w:rsidR="00514CC0" w:rsidRDefault="00E72B49">
            <w:pPr>
              <w:pStyle w:val="OWTablebodyleft"/>
            </w:pPr>
            <w:r>
              <w:t>The PSS does allow for analysis of the prevalence of Aboriginal and</w:t>
            </w:r>
            <w:r w:rsidR="00CD3A16">
              <w:t> </w:t>
            </w:r>
            <w:r>
              <w:t>Torres Strait Islander women’s lifetime experiences of sexual harassment.</w:t>
            </w:r>
            <w:r>
              <w:rPr>
                <w:rStyle w:val="OWSuperscript"/>
              </w:rPr>
              <w:footnoteReference w:id="75"/>
            </w:r>
            <w:r>
              <w:t xml:space="preserve"> The publicly available data is also limited in terms of disaggregation by other socioeconomic demographic factors. Please refer to Indicator 11.4 for inclusion of publicly available and useful disaggregated data on women’s 12-month experiences of sexual harassment.</w:t>
            </w:r>
          </w:p>
          <w:p w14:paraId="004C1B38" w14:textId="64A07CDF" w:rsidR="00514CC0" w:rsidRDefault="00E72B49">
            <w:pPr>
              <w:pStyle w:val="OWTablebodyleft"/>
            </w:pPr>
            <w:r>
              <w:t>The latest AHRC data is, however, able to be disaggregated by a number of socio-demographic factors, which is helpful in building a</w:t>
            </w:r>
            <w:r w:rsidR="00CD3A16">
              <w:t> </w:t>
            </w:r>
            <w:r>
              <w:t xml:space="preserve">picture of the prevalence of sexual harassment against women and non-binary people who experience intersecting forms of discrimination and </w:t>
            </w:r>
            <w:r w:rsidR="003D5091" w:rsidRPr="003D5091">
              <w:t>oppression</w:t>
            </w:r>
            <w:r>
              <w:t>. It is limited, however, in revealing differences on the basis of cultural and linguistic diversity, partly because the survey is administered in English only.</w:t>
            </w:r>
          </w:p>
        </w:tc>
      </w:tr>
    </w:tbl>
    <w:p w14:paraId="25BC9A52" w14:textId="7F4F37A1" w:rsidR="00514CC0" w:rsidRDefault="00E72B49" w:rsidP="008A53B4">
      <w:pPr>
        <w:pStyle w:val="OWBodytextlargespaceabove"/>
      </w:pPr>
      <w:r>
        <w:t xml:space="preserve">PSS data shows that in 2016, 52.9% of women reported lifetime experiences of sexual harassment (see Table </w:t>
      </w:r>
      <w:r w:rsidR="0017588F">
        <w:t>54</w:t>
      </w:r>
      <w:r>
        <w:t>, below).</w:t>
      </w:r>
      <w:r>
        <w:rPr>
          <w:rStyle w:val="OWSuperscript"/>
        </w:rPr>
        <w:footnoteReference w:id="76"/>
      </w:r>
      <w:r>
        <w:t xml:space="preserve"> In both the 2012 and 2016 PSS results, men were almost five times more likely than women to be perpetrators of sexual harassment of women.</w:t>
      </w:r>
    </w:p>
    <w:p w14:paraId="4F78FDD6" w14:textId="2A40045D" w:rsidR="00514CC0" w:rsidRDefault="00E72B49">
      <w:pPr>
        <w:pStyle w:val="OWTablecaption"/>
      </w:pPr>
      <w:r>
        <w:t xml:space="preserve">Table </w:t>
      </w:r>
      <w:r w:rsidR="0017588F">
        <w:t>54</w:t>
      </w:r>
      <w:r>
        <w:t>: Proportion (%) of women who have experienced sexual harassment during their</w:t>
      </w:r>
      <w:r w:rsidR="00CD3A16">
        <w:t> </w:t>
      </w:r>
      <w:r>
        <w:t>lifetime, by sex of perpetrator, 2016</w:t>
      </w:r>
    </w:p>
    <w:tbl>
      <w:tblPr>
        <w:tblStyle w:val="Datatableumber"/>
        <w:tblW w:w="9072" w:type="dxa"/>
        <w:tblLayout w:type="fixed"/>
        <w:tblLook w:val="06A0" w:firstRow="1" w:lastRow="0" w:firstColumn="1" w:lastColumn="0" w:noHBand="1" w:noVBand="1"/>
      </w:tblPr>
      <w:tblGrid>
        <w:gridCol w:w="6804"/>
        <w:gridCol w:w="2268"/>
      </w:tblGrid>
      <w:tr w:rsidR="00514CC0" w14:paraId="04FF674E" w14:textId="77777777" w:rsidTr="009135EE">
        <w:trPr>
          <w:cnfStyle w:val="100000000000" w:firstRow="1" w:lastRow="0" w:firstColumn="0" w:lastColumn="0" w:oddVBand="0" w:evenVBand="0" w:oddHBand="0" w:evenHBand="0" w:firstRowFirstColumn="0" w:firstRowLastColumn="0" w:lastRowFirstColumn="0" w:lastRowLastColumn="0"/>
          <w:cantSplit/>
          <w:trHeight w:val="60"/>
          <w:tblHeader/>
        </w:trPr>
        <w:tc>
          <w:tcPr>
            <w:tcW w:w="6803" w:type="dxa"/>
          </w:tcPr>
          <w:p w14:paraId="6FAEEC38" w14:textId="77777777" w:rsidR="00514CC0" w:rsidRPr="0034367F" w:rsidRDefault="00E72B49">
            <w:pPr>
              <w:pStyle w:val="OWTablecolumnheadleft"/>
            </w:pPr>
            <w:r w:rsidRPr="0034367F">
              <w:t>Sex of sexual harassment perpetrator</w:t>
            </w:r>
          </w:p>
        </w:tc>
        <w:tc>
          <w:tcPr>
            <w:tcW w:w="2268" w:type="dxa"/>
          </w:tcPr>
          <w:p w14:paraId="24A9110A" w14:textId="77777777" w:rsidR="00514CC0" w:rsidRPr="0034367F" w:rsidRDefault="00E72B49">
            <w:pPr>
              <w:pStyle w:val="OWTablecolumnheadcentre"/>
            </w:pPr>
            <w:r w:rsidRPr="0034367F">
              <w:t>2016</w:t>
            </w:r>
          </w:p>
        </w:tc>
      </w:tr>
      <w:tr w:rsidR="00514CC0" w14:paraId="35F20F9D" w14:textId="77777777" w:rsidTr="009135EE">
        <w:trPr>
          <w:cantSplit/>
          <w:trHeight w:val="60"/>
        </w:trPr>
        <w:tc>
          <w:tcPr>
            <w:tcW w:w="6803" w:type="dxa"/>
          </w:tcPr>
          <w:p w14:paraId="552AD76D" w14:textId="77777777" w:rsidR="00514CC0" w:rsidRDefault="00E72B49">
            <w:pPr>
              <w:pStyle w:val="OWTablebodyleft"/>
            </w:pPr>
            <w:r>
              <w:t>A man</w:t>
            </w:r>
          </w:p>
        </w:tc>
        <w:tc>
          <w:tcPr>
            <w:tcW w:w="2268" w:type="dxa"/>
          </w:tcPr>
          <w:p w14:paraId="6797645C" w14:textId="77777777" w:rsidR="00514CC0" w:rsidRDefault="00E72B49">
            <w:pPr>
              <w:pStyle w:val="OWTablebodycentre"/>
            </w:pPr>
            <w:r>
              <w:t>52.2%</w:t>
            </w:r>
          </w:p>
        </w:tc>
      </w:tr>
      <w:tr w:rsidR="00514CC0" w14:paraId="0D2E39D0" w14:textId="77777777" w:rsidTr="009135EE">
        <w:trPr>
          <w:cantSplit/>
          <w:trHeight w:val="60"/>
        </w:trPr>
        <w:tc>
          <w:tcPr>
            <w:tcW w:w="6803" w:type="dxa"/>
          </w:tcPr>
          <w:p w14:paraId="224DCCFC" w14:textId="77777777" w:rsidR="00514CC0" w:rsidRDefault="00E72B49">
            <w:pPr>
              <w:pStyle w:val="OWTablebodyleft"/>
            </w:pPr>
            <w:r>
              <w:t>A woman</w:t>
            </w:r>
          </w:p>
        </w:tc>
        <w:tc>
          <w:tcPr>
            <w:tcW w:w="2268" w:type="dxa"/>
          </w:tcPr>
          <w:p w14:paraId="1DBD95F2" w14:textId="77777777" w:rsidR="00514CC0" w:rsidRDefault="00E72B49">
            <w:pPr>
              <w:pStyle w:val="OWTablebodycentre"/>
            </w:pPr>
            <w:r>
              <w:t>10.6%</w:t>
            </w:r>
          </w:p>
        </w:tc>
      </w:tr>
      <w:tr w:rsidR="00514CC0" w14:paraId="24818FFD" w14:textId="77777777" w:rsidTr="009135EE">
        <w:trPr>
          <w:cantSplit/>
          <w:trHeight w:val="60"/>
        </w:trPr>
        <w:tc>
          <w:tcPr>
            <w:tcW w:w="6803" w:type="dxa"/>
          </w:tcPr>
          <w:p w14:paraId="416C8C52" w14:textId="77777777" w:rsidR="00514CC0" w:rsidRDefault="00E72B49">
            <w:pPr>
              <w:pStyle w:val="OWTablebodyleft"/>
            </w:pPr>
            <w:r>
              <w:t>Anyone (total for lifetime sexual harassment experience)</w:t>
            </w:r>
          </w:p>
        </w:tc>
        <w:tc>
          <w:tcPr>
            <w:tcW w:w="2268" w:type="dxa"/>
          </w:tcPr>
          <w:p w14:paraId="7C50029F" w14:textId="77777777" w:rsidR="00514CC0" w:rsidRDefault="00E72B49">
            <w:pPr>
              <w:pStyle w:val="OWTablebodycentre"/>
            </w:pPr>
            <w:r>
              <w:t>52.9%</w:t>
            </w:r>
          </w:p>
        </w:tc>
      </w:tr>
    </w:tbl>
    <w:p w14:paraId="0518499A" w14:textId="77777777" w:rsidR="00514CC0" w:rsidRDefault="00E72B49">
      <w:pPr>
        <w:pStyle w:val="OWTablefootnote"/>
      </w:pPr>
      <w:r>
        <w:t>Sources: ABS, PSS 2016</w:t>
      </w:r>
    </w:p>
    <w:p w14:paraId="0FCC42AF" w14:textId="61159FF6" w:rsidR="00514CC0" w:rsidRDefault="00E72B49">
      <w:pPr>
        <w:pStyle w:val="OWBodytextlargespaceabove"/>
      </w:pPr>
      <w:r>
        <w:t xml:space="preserve">The Workplace Sexual Harassment surveys by the Australian Human Right Commission (AHRC) have also measured lifetime prevalence of sexual harassment in </w:t>
      </w:r>
      <w:r w:rsidRPr="003E209A">
        <w:rPr>
          <w:rStyle w:val="Emphasis"/>
        </w:rPr>
        <w:t>any setting</w:t>
      </w:r>
      <w:r>
        <w:t xml:space="preserve"> (that is,</w:t>
      </w:r>
      <w:r w:rsidR="00CD3A16">
        <w:t> </w:t>
      </w:r>
      <w:r>
        <w:t xml:space="preserve">not just workplaces). This data reveals that </w:t>
      </w:r>
      <w:r w:rsidR="005C5428" w:rsidRPr="005C5428">
        <w:rPr>
          <w:rStyle w:val="Strong"/>
        </w:rPr>
        <w:t>prevalence of sexual harassment is both gendered and driven by intersecting forms of oppression and discrimination</w:t>
      </w:r>
      <w:r>
        <w:t>.</w:t>
      </w:r>
    </w:p>
    <w:p w14:paraId="2A26EDB8" w14:textId="77777777" w:rsidR="00514CC0" w:rsidRDefault="00E72B49">
      <w:pPr>
        <w:pStyle w:val="BodyText"/>
      </w:pPr>
      <w:r>
        <w:t>In 2018, when reading the legal definition of sexual harassment, 61% of women aged between 18 and 64 reported having experienced sexual harassment at some point during their lifetimes since the age of 15.</w:t>
      </w:r>
    </w:p>
    <w:p w14:paraId="327A83E3" w14:textId="77777777" w:rsidR="00514CC0" w:rsidRDefault="00E72B49">
      <w:pPr>
        <w:pStyle w:val="BodyText"/>
        <w:keepLines/>
      </w:pPr>
      <w:r>
        <w:lastRenderedPageBreak/>
        <w:t>Respondents were also asked about their experience of sexual harassment behaviours. Together, the proportion of women who reported sexual harassment lifetime experiences (against the legal definition or in response to behavioural questions) was 85% in 2018 (as compared with 56% of men).</w:t>
      </w:r>
    </w:p>
    <w:p w14:paraId="21225F5A" w14:textId="77777777" w:rsidR="00514CC0" w:rsidRDefault="00E72B49" w:rsidP="008A53B4">
      <w:pPr>
        <w:pStyle w:val="BodyText"/>
        <w:spacing w:after="320"/>
      </w:pPr>
      <w:r>
        <w:t>The AHRC provided useful disaggregation of lifetime sexual harassment 2018 data by a number of other demographic factors, as follows:</w:t>
      </w:r>
    </w:p>
    <w:tbl>
      <w:tblPr>
        <w:tblStyle w:val="Datatableumber"/>
        <w:tblW w:w="9072" w:type="dxa"/>
        <w:tblLayout w:type="fixed"/>
        <w:tblLook w:val="06A0" w:firstRow="1" w:lastRow="0" w:firstColumn="1" w:lastColumn="0" w:noHBand="1" w:noVBand="1"/>
      </w:tblPr>
      <w:tblGrid>
        <w:gridCol w:w="2268"/>
        <w:gridCol w:w="6804"/>
      </w:tblGrid>
      <w:tr w:rsidR="00514CC0" w14:paraId="7870AAB6" w14:textId="77777777" w:rsidTr="009135EE">
        <w:trPr>
          <w:cnfStyle w:val="100000000000" w:firstRow="1" w:lastRow="0" w:firstColumn="0" w:lastColumn="0" w:oddVBand="0" w:evenVBand="0" w:oddHBand="0" w:evenHBand="0" w:firstRowFirstColumn="0" w:firstRowLastColumn="0" w:lastRowFirstColumn="0" w:lastRowLastColumn="0"/>
          <w:cantSplit/>
          <w:trHeight w:val="60"/>
          <w:tblHeader/>
        </w:trPr>
        <w:tc>
          <w:tcPr>
            <w:tcW w:w="2268" w:type="dxa"/>
          </w:tcPr>
          <w:p w14:paraId="3EB0C8E7" w14:textId="77777777" w:rsidR="00514CC0" w:rsidRPr="0034367F" w:rsidRDefault="00E72B49">
            <w:pPr>
              <w:pStyle w:val="OWTablecolumnheadleft"/>
            </w:pPr>
            <w:r w:rsidRPr="0034367F">
              <w:t>Demographic factor</w:t>
            </w:r>
          </w:p>
        </w:tc>
        <w:tc>
          <w:tcPr>
            <w:tcW w:w="6803" w:type="dxa"/>
          </w:tcPr>
          <w:p w14:paraId="1F180B27" w14:textId="77777777" w:rsidR="00514CC0" w:rsidRPr="0034367F" w:rsidRDefault="00E72B49">
            <w:pPr>
              <w:pStyle w:val="OWTablecolumnheadleft"/>
            </w:pPr>
            <w:r w:rsidRPr="0034367F">
              <w:t>Lifetime sexual harassment prevalence data</w:t>
            </w:r>
          </w:p>
        </w:tc>
      </w:tr>
      <w:tr w:rsidR="00514CC0" w14:paraId="224BAF5A" w14:textId="77777777" w:rsidTr="009135EE">
        <w:trPr>
          <w:cantSplit/>
          <w:trHeight w:val="60"/>
        </w:trPr>
        <w:tc>
          <w:tcPr>
            <w:tcW w:w="2268" w:type="dxa"/>
          </w:tcPr>
          <w:p w14:paraId="1551F644" w14:textId="77777777" w:rsidR="00514CC0" w:rsidRDefault="00E72B49">
            <w:pPr>
              <w:pStyle w:val="OWTablebodyleft"/>
            </w:pPr>
            <w:r>
              <w:t>Gender identity</w:t>
            </w:r>
          </w:p>
        </w:tc>
        <w:tc>
          <w:tcPr>
            <w:tcW w:w="6803" w:type="dxa"/>
          </w:tcPr>
          <w:p w14:paraId="046142C8" w14:textId="77777777" w:rsidR="00514CC0" w:rsidRDefault="00E72B49">
            <w:pPr>
              <w:pStyle w:val="OWTablebullet1"/>
            </w:pPr>
            <w:r>
              <w:t>89% of non-binary people have experienced sexual harassment during their lifetime</w:t>
            </w:r>
          </w:p>
        </w:tc>
      </w:tr>
      <w:tr w:rsidR="00514CC0" w14:paraId="37229335" w14:textId="77777777" w:rsidTr="009135EE">
        <w:trPr>
          <w:cantSplit/>
          <w:trHeight w:val="60"/>
        </w:trPr>
        <w:tc>
          <w:tcPr>
            <w:tcW w:w="2268" w:type="dxa"/>
          </w:tcPr>
          <w:p w14:paraId="4C92C81E" w14:textId="77777777" w:rsidR="00514CC0" w:rsidRDefault="00E72B49">
            <w:pPr>
              <w:pStyle w:val="OWTablebodyleft"/>
            </w:pPr>
            <w:r>
              <w:t>Intersex status</w:t>
            </w:r>
          </w:p>
        </w:tc>
        <w:tc>
          <w:tcPr>
            <w:tcW w:w="6803" w:type="dxa"/>
          </w:tcPr>
          <w:p w14:paraId="3613F81F" w14:textId="77777777" w:rsidR="00514CC0" w:rsidRDefault="00E72B49">
            <w:pPr>
              <w:pStyle w:val="OWTablebullet1"/>
            </w:pPr>
            <w:r>
              <w:t>90% of intersex people have experienced sexual harassment during their lifetime</w:t>
            </w:r>
          </w:p>
        </w:tc>
      </w:tr>
      <w:tr w:rsidR="00514CC0" w14:paraId="15F161BE" w14:textId="77777777" w:rsidTr="009135EE">
        <w:trPr>
          <w:cantSplit/>
          <w:trHeight w:val="60"/>
        </w:trPr>
        <w:tc>
          <w:tcPr>
            <w:tcW w:w="2268" w:type="dxa"/>
          </w:tcPr>
          <w:p w14:paraId="447618D8" w14:textId="77777777" w:rsidR="00514CC0" w:rsidRDefault="00E72B49">
            <w:pPr>
              <w:pStyle w:val="OWTablebodyleft"/>
            </w:pPr>
            <w:r>
              <w:t>Sexual orientation</w:t>
            </w:r>
          </w:p>
        </w:tc>
        <w:tc>
          <w:tcPr>
            <w:tcW w:w="6803" w:type="dxa"/>
          </w:tcPr>
          <w:p w14:paraId="01A3DFFA" w14:textId="77777777" w:rsidR="00514CC0" w:rsidRDefault="00E72B49">
            <w:pPr>
              <w:pStyle w:val="OWTablebullet1"/>
            </w:pPr>
            <w:r>
              <w:t>70% of people (any gender) who are straight or heterosexual have experienced sexual harassment in their lifetime, as compared with 84% of people who are gay, lesbian, bisexual, pansexual, queer, asexual, aromantic, undecided, not sure, questioning or other sexual orientation</w:t>
            </w:r>
          </w:p>
          <w:p w14:paraId="06D43491" w14:textId="77777777" w:rsidR="00514CC0" w:rsidRDefault="00E72B49">
            <w:pPr>
              <w:pStyle w:val="OWTablebullet1"/>
            </w:pPr>
            <w:r>
              <w:t>92% of women who identify as gay, lesbian, bisexual, pansexual, queer, asexual, aromantic, undecided, not sure, questioning or other have experienced sexual harassment during their lifetime</w:t>
            </w:r>
          </w:p>
        </w:tc>
      </w:tr>
      <w:tr w:rsidR="00514CC0" w14:paraId="3FB89559" w14:textId="77777777" w:rsidTr="009135EE">
        <w:trPr>
          <w:cantSplit/>
          <w:trHeight w:val="60"/>
        </w:trPr>
        <w:tc>
          <w:tcPr>
            <w:tcW w:w="2268" w:type="dxa"/>
          </w:tcPr>
          <w:p w14:paraId="683F6470" w14:textId="77777777" w:rsidR="00514CC0" w:rsidRDefault="00E72B49">
            <w:pPr>
              <w:pStyle w:val="OWTablebodyleft"/>
            </w:pPr>
            <w:r>
              <w:t>Aboriginal and Torres Strait Islander status</w:t>
            </w:r>
          </w:p>
        </w:tc>
        <w:tc>
          <w:tcPr>
            <w:tcW w:w="6803" w:type="dxa"/>
          </w:tcPr>
          <w:p w14:paraId="62FD1DE6" w14:textId="77777777" w:rsidR="00514CC0" w:rsidRDefault="00E72B49">
            <w:pPr>
              <w:pStyle w:val="OWTablebullet1"/>
            </w:pPr>
            <w:r>
              <w:t>The data did not reveal a significant difference in the lifetime prevalence of sexual harassment experienced by Aboriginal or Torres Strait Islander women as compared with non-Indigenous women</w:t>
            </w:r>
          </w:p>
          <w:p w14:paraId="2370F6CB" w14:textId="2F283862" w:rsidR="00514CC0" w:rsidRDefault="00E72B49">
            <w:pPr>
              <w:pStyle w:val="OWTablebullet1"/>
            </w:pPr>
            <w:r>
              <w:t>Aboriginal and Torres Strait Islander men were more likely to</w:t>
            </w:r>
            <w:r w:rsidR="00CD3A16">
              <w:t> </w:t>
            </w:r>
            <w:r>
              <w:t>have experienced sexual harassment during their lifetime (66%) than other men (56%)</w:t>
            </w:r>
          </w:p>
        </w:tc>
      </w:tr>
      <w:tr w:rsidR="00514CC0" w14:paraId="3E941701" w14:textId="77777777" w:rsidTr="009135EE">
        <w:trPr>
          <w:cantSplit/>
          <w:trHeight w:val="60"/>
        </w:trPr>
        <w:tc>
          <w:tcPr>
            <w:tcW w:w="2268" w:type="dxa"/>
          </w:tcPr>
          <w:p w14:paraId="27465BBD" w14:textId="77777777" w:rsidR="00514CC0" w:rsidRDefault="00E72B49">
            <w:pPr>
              <w:pStyle w:val="OWTablebodyleft"/>
            </w:pPr>
            <w:r>
              <w:t>Disability</w:t>
            </w:r>
          </w:p>
        </w:tc>
        <w:tc>
          <w:tcPr>
            <w:tcW w:w="6803" w:type="dxa"/>
          </w:tcPr>
          <w:p w14:paraId="513A246C" w14:textId="77777777" w:rsidR="00514CC0" w:rsidRDefault="00E72B49">
            <w:pPr>
              <w:pStyle w:val="OWTablebullet1"/>
            </w:pPr>
            <w:r>
              <w:t>89% of women with disability have experienced sexual harassment during their lifetime</w:t>
            </w:r>
          </w:p>
        </w:tc>
      </w:tr>
      <w:tr w:rsidR="00514CC0" w14:paraId="154C448D" w14:textId="77777777" w:rsidTr="009135EE">
        <w:trPr>
          <w:cantSplit/>
          <w:trHeight w:val="60"/>
        </w:trPr>
        <w:tc>
          <w:tcPr>
            <w:tcW w:w="2268" w:type="dxa"/>
          </w:tcPr>
          <w:p w14:paraId="52435E0C" w14:textId="77777777" w:rsidR="00514CC0" w:rsidRDefault="00E72B49">
            <w:pPr>
              <w:pStyle w:val="OWTablebodyleft"/>
            </w:pPr>
            <w:r>
              <w:t>Age</w:t>
            </w:r>
          </w:p>
        </w:tc>
        <w:tc>
          <w:tcPr>
            <w:tcW w:w="6803" w:type="dxa"/>
          </w:tcPr>
          <w:p w14:paraId="7D7BE6A5" w14:textId="77777777" w:rsidR="00514CC0" w:rsidRDefault="00E72B49">
            <w:pPr>
              <w:pStyle w:val="OWTablebullet1"/>
            </w:pPr>
            <w:r>
              <w:t>75% of people aged 18 to 29 years and 67% of people aged 65 years and over have experienced sexual harassment during their lifetime. No gender disaggregation is available for these figures.</w:t>
            </w:r>
          </w:p>
        </w:tc>
      </w:tr>
    </w:tbl>
    <w:p w14:paraId="3F66880B" w14:textId="77777777" w:rsidR="00514CC0" w:rsidRDefault="00E72B49">
      <w:pPr>
        <w:pStyle w:val="OWTablefootnote"/>
      </w:pPr>
      <w:r>
        <w:t>Source: AHRC 2018, pp. 21–24</w:t>
      </w:r>
    </w:p>
    <w:p w14:paraId="6F46D257" w14:textId="4726D3E0" w:rsidR="00E30781" w:rsidRPr="00E30781" w:rsidRDefault="00E30781" w:rsidP="00E30781">
      <w:pPr>
        <w:pStyle w:val="Heading2"/>
        <w:rPr>
          <w:rStyle w:val="OWCharacterHibiscus"/>
        </w:rPr>
      </w:pPr>
      <w:bookmarkStart w:id="94" w:name="_Toc55053326"/>
      <w:r>
        <w:rPr>
          <w:noProof/>
          <w:color w:val="702652" w:themeColor="accent4"/>
          <w:shd w:val="clear" w:color="auto" w:fill="E6E6E6"/>
          <w:lang w:val="en-US" w:eastAsia="en-US"/>
        </w:rPr>
        <w:lastRenderedPageBreak/>
        <w:drawing>
          <wp:anchor distT="0" distB="0" distL="114300" distR="114300" simplePos="0" relativeHeight="251658245" behindDoc="1" locked="1" layoutInCell="1" allowOverlap="1" wp14:anchorId="379B197C" wp14:editId="0610643C">
            <wp:simplePos x="900113" y="852488"/>
            <wp:positionH relativeFrom="page">
              <wp:posOffset>0</wp:posOffset>
            </wp:positionH>
            <wp:positionV relativeFrom="page">
              <wp:posOffset>0</wp:posOffset>
            </wp:positionV>
            <wp:extent cx="7563600" cy="9725760"/>
            <wp:effectExtent l="0" t="0" r="0" b="8890"/>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ction start hibiscus.png"/>
                    <pic:cNvPicPr/>
                  </pic:nvPicPr>
                  <pic:blipFill>
                    <a:blip r:embed="rId17"/>
                    <a:stretch>
                      <a:fillRect/>
                    </a:stretch>
                  </pic:blipFill>
                  <pic:spPr>
                    <a:xfrm>
                      <a:off x="0" y="0"/>
                      <a:ext cx="7563600" cy="9725760"/>
                    </a:xfrm>
                    <a:prstGeom prst="rect">
                      <a:avLst/>
                    </a:prstGeom>
                  </pic:spPr>
                </pic:pic>
              </a:graphicData>
            </a:graphic>
            <wp14:sizeRelH relativeFrom="margin">
              <wp14:pctWidth>0</wp14:pctWidth>
            </wp14:sizeRelH>
            <wp14:sizeRelV relativeFrom="margin">
              <wp14:pctHeight>0</wp14:pctHeight>
            </wp14:sizeRelV>
          </wp:anchor>
        </w:drawing>
      </w:r>
      <w:r w:rsidRPr="00E30781">
        <w:rPr>
          <w:rStyle w:val="OWCharacterHibiscus"/>
        </w:rPr>
        <w:t>Conclusion and ways forward</w:t>
      </w:r>
      <w:bookmarkEnd w:id="94"/>
    </w:p>
    <w:p w14:paraId="0B003949" w14:textId="73A74B0C" w:rsidR="00E30781" w:rsidRPr="00F80024" w:rsidRDefault="00E30781" w:rsidP="00E30781">
      <w:pPr>
        <w:pStyle w:val="BodyText"/>
      </w:pPr>
      <w:r>
        <w:t>Primary prevention is a long-term collaborative effort, and population-level change will only</w:t>
      </w:r>
      <w:r w:rsidR="00F80024">
        <w:t> </w:t>
      </w:r>
      <w:r>
        <w:t xml:space="preserve">occur over a sustained period of time. Learning from our </w:t>
      </w:r>
      <w:r w:rsidR="00AB48C5">
        <w:t>endeavo</w:t>
      </w:r>
      <w:r w:rsidR="0067564B">
        <w:t>u</w:t>
      </w:r>
      <w:r w:rsidR="00AB48C5">
        <w:t>rs</w:t>
      </w:r>
      <w:r>
        <w:t xml:space="preserve"> and making the</w:t>
      </w:r>
      <w:r w:rsidR="000C2D8C">
        <w:t> </w:t>
      </w:r>
      <w:r>
        <w:t>most of</w:t>
      </w:r>
      <w:r w:rsidR="00F80024">
        <w:t> </w:t>
      </w:r>
      <w:r>
        <w:t>emerging opportunities is critical to ensuring our concerted efforts lead to the short-, medium- and long-term change required to lower the probability of violence against women</w:t>
      </w:r>
      <w:r w:rsidR="00F80024">
        <w:t> </w:t>
      </w:r>
      <w:r>
        <w:t xml:space="preserve">and </w:t>
      </w:r>
      <w:r w:rsidR="000A7B51">
        <w:t xml:space="preserve">reduce </w:t>
      </w:r>
      <w:r>
        <w:t>future occurrences. Some of Australia’s successes to date have been</w:t>
      </w:r>
      <w:r w:rsidR="00F80024">
        <w:t xml:space="preserve"> </w:t>
      </w:r>
      <w:r>
        <w:t>articulated in this report, together with areas requiring additional attention and effort, and</w:t>
      </w:r>
      <w:r w:rsidR="000C2D8C">
        <w:t> </w:t>
      </w:r>
      <w:r>
        <w:t xml:space="preserve">opportunities to strengthen the </w:t>
      </w:r>
      <w:r w:rsidR="00DD6C7F">
        <w:t xml:space="preserve">national </w:t>
      </w:r>
      <w:r>
        <w:t>approach</w:t>
      </w:r>
      <w:r w:rsidR="000863F5">
        <w:t>.</w:t>
      </w:r>
      <w:r w:rsidR="000863F5" w:rsidRPr="000863F5">
        <w:t xml:space="preserve"> These are summarised in the Executive Summary, where </w:t>
      </w:r>
      <w:hyperlink w:anchor="_Key_findings" w:history="1">
        <w:r w:rsidR="000863F5" w:rsidRPr="000863F5">
          <w:rPr>
            <w:rStyle w:val="Hyperlink"/>
          </w:rPr>
          <w:t>key findings</w:t>
        </w:r>
      </w:hyperlink>
      <w:r w:rsidR="000863F5" w:rsidRPr="000863F5">
        <w:t xml:space="preserve"> and the implications of these for next steps and</w:t>
      </w:r>
      <w:r w:rsidR="000863F5">
        <w:t> </w:t>
      </w:r>
      <w:r w:rsidR="000863F5" w:rsidRPr="000863F5">
        <w:t>future priorities are discussed.</w:t>
      </w:r>
    </w:p>
    <w:p w14:paraId="22A26BBB" w14:textId="77777777" w:rsidR="00E30781" w:rsidRPr="00F80024" w:rsidRDefault="00E30781" w:rsidP="00F80024">
      <w:pPr>
        <w:pStyle w:val="Heading3"/>
        <w:pageBreakBefore w:val="0"/>
        <w:rPr>
          <w:rStyle w:val="OWCharacterHibiscus"/>
        </w:rPr>
      </w:pPr>
      <w:bookmarkStart w:id="95" w:name="_Toc55053327"/>
      <w:r w:rsidRPr="00F80024">
        <w:rPr>
          <w:rStyle w:val="OWCharacterHibiscus"/>
        </w:rPr>
        <w:t>Suggested directions forward from this first national prevention monitoring report</w:t>
      </w:r>
      <w:bookmarkEnd w:id="95"/>
    </w:p>
    <w:p w14:paraId="4C0B9FFA" w14:textId="77777777" w:rsidR="00E30781" w:rsidRPr="00F80024" w:rsidRDefault="00E30781" w:rsidP="00E30781">
      <w:pPr>
        <w:pStyle w:val="BodyText"/>
      </w:pPr>
      <w:r w:rsidRPr="00F80024">
        <w:t>This first monitoring report is intended to provide a basis for a national conversation about how to move forward with primary prevention monitoring into the future. We hope to encourage wider uptake of monitoring at national, state and local levels and collaboration between governments and other stakeholders (including NGOs, research institutions and data collection organisations) to institutionalise regular, long-term monitoring.</w:t>
      </w:r>
    </w:p>
    <w:p w14:paraId="4972CD21" w14:textId="77777777" w:rsidR="00657317" w:rsidRPr="00F80024" w:rsidRDefault="00657317" w:rsidP="00657317">
      <w:pPr>
        <w:pStyle w:val="BodyText"/>
      </w:pPr>
      <w:r w:rsidRPr="00F80024">
        <w:t>Stakeholders are invited to use this first national monitoring report on the primary</w:t>
      </w:r>
      <w:r>
        <w:t xml:space="preserve"> </w:t>
      </w:r>
      <w:r w:rsidRPr="00F80024">
        <w:t>prevention of violence against women in various ways, for example:</w:t>
      </w:r>
    </w:p>
    <w:p w14:paraId="391FE248" w14:textId="77777777" w:rsidR="00E30781" w:rsidRPr="00F80024" w:rsidRDefault="00E30781" w:rsidP="00F80024">
      <w:pPr>
        <w:pStyle w:val="OWBullet1"/>
      </w:pPr>
      <w:r w:rsidRPr="00F80024">
        <w:t>as a basis for future national monitoring</w:t>
      </w:r>
    </w:p>
    <w:p w14:paraId="1738B36F" w14:textId="77777777" w:rsidR="00E30781" w:rsidRPr="00F80024" w:rsidRDefault="00E30781" w:rsidP="00F80024">
      <w:pPr>
        <w:pStyle w:val="OWBullet1"/>
      </w:pPr>
      <w:r w:rsidRPr="00F80024">
        <w:t>as monitoring guidance</w:t>
      </w:r>
    </w:p>
    <w:p w14:paraId="7548638A" w14:textId="77777777" w:rsidR="00E30781" w:rsidRPr="00F80024" w:rsidRDefault="00E30781" w:rsidP="00F80024">
      <w:pPr>
        <w:pStyle w:val="OWBullet1"/>
      </w:pPr>
      <w:r w:rsidRPr="00F80024">
        <w:t>to understand change to date in order to support future prevention strategies</w:t>
      </w:r>
    </w:p>
    <w:p w14:paraId="751FAA81" w14:textId="77777777" w:rsidR="00E30781" w:rsidRPr="00F80024" w:rsidRDefault="00E30781" w:rsidP="00F80024">
      <w:pPr>
        <w:pStyle w:val="OWBullet1"/>
      </w:pPr>
      <w:r w:rsidRPr="00F80024">
        <w:t>as a tool to support advocacy</w:t>
      </w:r>
    </w:p>
    <w:p w14:paraId="5ADCFCFD" w14:textId="77777777" w:rsidR="00E30781" w:rsidRPr="00F80024" w:rsidRDefault="00E30781" w:rsidP="00F80024">
      <w:pPr>
        <w:pStyle w:val="OWBullet1"/>
      </w:pPr>
      <w:r w:rsidRPr="00F80024">
        <w:t>to inform future directions for research, data collection, and analysis and evaluation.</w:t>
      </w:r>
    </w:p>
    <w:p w14:paraId="7E032ADA" w14:textId="77777777" w:rsidR="00F80024" w:rsidRPr="00F80024" w:rsidRDefault="00F80024" w:rsidP="00F80024">
      <w:pPr>
        <w:pStyle w:val="Heading3"/>
        <w:rPr>
          <w:rStyle w:val="OWCharacterHibiscus"/>
        </w:rPr>
      </w:pPr>
      <w:bookmarkStart w:id="96" w:name="_Toc55053328"/>
      <w:r w:rsidRPr="00F80024">
        <w:rPr>
          <w:rStyle w:val="OWCharacterHibiscus"/>
        </w:rPr>
        <w:lastRenderedPageBreak/>
        <w:t>Considerations for the process of future primary prevention monitoring</w:t>
      </w:r>
      <w:bookmarkEnd w:id="96"/>
    </w:p>
    <w:p w14:paraId="5A8FE035" w14:textId="77777777" w:rsidR="00F80024" w:rsidRPr="00F80024" w:rsidRDefault="00F80024" w:rsidP="00F80024">
      <w:pPr>
        <w:pStyle w:val="Heading4"/>
        <w:spacing w:before="160"/>
        <w:rPr>
          <w:rStyle w:val="OWCharacterHibiscus"/>
        </w:rPr>
      </w:pPr>
      <w:r w:rsidRPr="00F80024">
        <w:rPr>
          <w:rStyle w:val="OWCharacterHibiscus"/>
        </w:rPr>
        <w:t>Who should undertake future primary prevention national monitoring?</w:t>
      </w:r>
    </w:p>
    <w:p w14:paraId="6F38A2C8" w14:textId="77777777" w:rsidR="009A21F6" w:rsidRDefault="00F80024" w:rsidP="00F80024">
      <w:pPr>
        <w:pStyle w:val="BodyText"/>
      </w:pPr>
      <w:r w:rsidRPr="00F80024">
        <w:t>Ideally, national primary prevention monitoring should involve a range of organisational stakeholders, professional skillsets, and a diversity of community perspectives</w:t>
      </w:r>
      <w:r w:rsidR="001A4819">
        <w:t>;</w:t>
      </w:r>
      <w:r w:rsidRPr="00F80024">
        <w:t xml:space="preserve"> be appropriately staffed by a team</w:t>
      </w:r>
      <w:r w:rsidR="001A4819">
        <w:t>;</w:t>
      </w:r>
      <w:r w:rsidRPr="00F80024">
        <w:t xml:space="preserve"> and be guided by at least one advisory group with varied</w:t>
      </w:r>
      <w:r>
        <w:t> </w:t>
      </w:r>
      <w:r w:rsidRPr="00F80024">
        <w:t>representation.</w:t>
      </w:r>
    </w:p>
    <w:p w14:paraId="7FCE5312" w14:textId="2F3DC198" w:rsidR="00F80024" w:rsidRPr="00F80024" w:rsidRDefault="00F80024" w:rsidP="00F80024">
      <w:pPr>
        <w:pStyle w:val="Heading4"/>
        <w:rPr>
          <w:rStyle w:val="OWCharacterHibiscus"/>
        </w:rPr>
      </w:pPr>
      <w:r w:rsidRPr="00F80024">
        <w:rPr>
          <w:rStyle w:val="OWCharacterHibiscus"/>
        </w:rPr>
        <w:t>How often should primary prevention monitoring be undertaken?</w:t>
      </w:r>
    </w:p>
    <w:p w14:paraId="2955D4CC" w14:textId="77777777" w:rsidR="00F80024" w:rsidRPr="00F80024" w:rsidRDefault="00F80024" w:rsidP="00F80024">
      <w:pPr>
        <w:pStyle w:val="BodyText"/>
      </w:pPr>
      <w:r w:rsidRPr="00F80024">
        <w:t>Future primary prevention national monitoring should be undertaken at regular, reasonably spaced intervals which allow enough time for new data to be released and for some population-level change to be registered. For example, five-year national prevention monitoring waves would be sensible.</w:t>
      </w:r>
    </w:p>
    <w:p w14:paraId="5CD1684E" w14:textId="77777777" w:rsidR="00F80024" w:rsidRPr="00F80024" w:rsidRDefault="00F80024" w:rsidP="00F80024">
      <w:pPr>
        <w:pStyle w:val="Heading4"/>
        <w:rPr>
          <w:rStyle w:val="OWCharacterHibiscus"/>
        </w:rPr>
      </w:pPr>
      <w:r w:rsidRPr="00F80024">
        <w:rPr>
          <w:rStyle w:val="OWCharacterHibiscus"/>
        </w:rPr>
        <w:t>Advice for state and territory jurisdictions</w:t>
      </w:r>
    </w:p>
    <w:p w14:paraId="689B5C23" w14:textId="700A544B" w:rsidR="00F80024" w:rsidRPr="00F80024" w:rsidRDefault="00F80024" w:rsidP="00F80024">
      <w:pPr>
        <w:pStyle w:val="BodyText"/>
      </w:pPr>
      <w:r w:rsidRPr="00F80024">
        <w:t xml:space="preserve">As with </w:t>
      </w:r>
      <w:r w:rsidRPr="00145015">
        <w:rPr>
          <w:i/>
        </w:rPr>
        <w:t>Counting on change</w:t>
      </w:r>
      <w:r w:rsidRPr="00F80024">
        <w:t>, we encourage state and territory jurisdictions to take up primary prevention monitoring. In doing so, states and territories should consider not only</w:t>
      </w:r>
      <w:r>
        <w:t> </w:t>
      </w:r>
      <w:r w:rsidRPr="00F80024">
        <w:t xml:space="preserve">the recommendations outlined in this report, but also the ability of datasets to be disaggregated to state/territory level. </w:t>
      </w:r>
      <w:r w:rsidRPr="00145015">
        <w:rPr>
          <w:i/>
        </w:rPr>
        <w:t>Counting on change</w:t>
      </w:r>
      <w:r w:rsidRPr="00F80024">
        <w:t xml:space="preserve"> provides some guidance on this.</w:t>
      </w:r>
      <w:r>
        <w:t> </w:t>
      </w:r>
      <w:r w:rsidRPr="00F80024">
        <w:t>Choices may need to be made about the number of indicators monitored. We would encourage at</w:t>
      </w:r>
      <w:r w:rsidR="00C50DF3">
        <w:t xml:space="preserve"> a</w:t>
      </w:r>
      <w:r w:rsidRPr="00F80024">
        <w:t xml:space="preserve"> minimum ensuring some coverage across four gendered drivers of violence, indicators pertaining to all forms of structural inequality and discrimination, and 12-month and lifetime prevalence rates of particular forms of violence against women. As with national monitoring, we suggest that state and territory jurisdictional monitoring be undertaken in collaboration with a diverse range of stakeholders.</w:t>
      </w:r>
    </w:p>
    <w:p w14:paraId="476DD766" w14:textId="77777777" w:rsidR="00F80024" w:rsidRPr="00F80024" w:rsidRDefault="00F80024" w:rsidP="00F80024">
      <w:pPr>
        <w:pStyle w:val="BodyText"/>
      </w:pPr>
    </w:p>
    <w:p w14:paraId="4DF1ADAE" w14:textId="77777777" w:rsidR="00437ED1" w:rsidRPr="00F80024" w:rsidRDefault="00437ED1" w:rsidP="00F80024">
      <w:pPr>
        <w:pStyle w:val="BodyText"/>
        <w:sectPr w:rsidR="00437ED1" w:rsidRPr="00F80024" w:rsidSect="00B40399">
          <w:footnotePr>
            <w:numFmt w:val="lowerRoman"/>
          </w:footnotePr>
          <w:endnotePr>
            <w:numFmt w:val="decimal"/>
          </w:endnotePr>
          <w:pgSz w:w="11906" w:h="16838" w:code="9"/>
          <w:pgMar w:top="1418" w:right="1418" w:bottom="1418" w:left="1418" w:header="454" w:footer="454" w:gutter="0"/>
          <w:cols w:space="720"/>
          <w:noEndnote/>
        </w:sectPr>
      </w:pPr>
    </w:p>
    <w:p w14:paraId="4BA0BEC8" w14:textId="71B25400" w:rsidR="00437ED1" w:rsidRPr="00790783" w:rsidRDefault="00437ED1" w:rsidP="00437ED1">
      <w:pPr>
        <w:pStyle w:val="Heading2"/>
        <w:rPr>
          <w:rStyle w:val="OWCharacterHibiscus"/>
        </w:rPr>
      </w:pPr>
      <w:bookmarkStart w:id="97" w:name="_Toc55053329"/>
      <w:r w:rsidRPr="00790783">
        <w:rPr>
          <w:rStyle w:val="OWCharacterHibiscus"/>
        </w:rPr>
        <w:lastRenderedPageBreak/>
        <w:t>Appendix A</w:t>
      </w:r>
      <w:r>
        <w:rPr>
          <w:rStyle w:val="OWCharacterHibiscus"/>
        </w:rPr>
        <w:t>:</w:t>
      </w:r>
      <w:r w:rsidRPr="00790783">
        <w:rPr>
          <w:rStyle w:val="OWCharacterHibiscus"/>
        </w:rPr>
        <w:t xml:space="preserve"> Methodology and</w:t>
      </w:r>
      <w:r w:rsidR="00107D55">
        <w:rPr>
          <w:rStyle w:val="OWCharacterHibiscus"/>
        </w:rPr>
        <w:t> </w:t>
      </w:r>
      <w:r w:rsidRPr="00790783">
        <w:rPr>
          <w:rStyle w:val="OWCharacterHibiscus"/>
        </w:rPr>
        <w:t>limitations</w:t>
      </w:r>
      <w:bookmarkEnd w:id="97"/>
    </w:p>
    <w:p w14:paraId="70C3DEF0" w14:textId="1F246E4A" w:rsidR="00437ED1" w:rsidRPr="005172C9" w:rsidRDefault="00437ED1" w:rsidP="00437ED1">
      <w:pPr>
        <w:pStyle w:val="Heading3"/>
        <w:pageBreakBefore w:val="0"/>
        <w:rPr>
          <w:rStyle w:val="OWCharacterHibiscus"/>
        </w:rPr>
      </w:pPr>
      <w:bookmarkStart w:id="98" w:name="_Toc55053330"/>
      <w:r w:rsidRPr="005172C9">
        <w:rPr>
          <w:rStyle w:val="OWCharacterHibiscus"/>
        </w:rPr>
        <w:t>Quality primary prevention infrastructure: the foundations of change – an overview of the measures investigated, methodology used and</w:t>
      </w:r>
      <w:r w:rsidR="00A672E1">
        <w:rPr>
          <w:rStyle w:val="OWCharacterHibiscus"/>
        </w:rPr>
        <w:t> </w:t>
      </w:r>
      <w:r w:rsidRPr="005172C9">
        <w:rPr>
          <w:rStyle w:val="OWCharacterHibiscus"/>
        </w:rPr>
        <w:t>limitations</w:t>
      </w:r>
      <w:bookmarkEnd w:id="98"/>
    </w:p>
    <w:p w14:paraId="254C86B0" w14:textId="017E9056" w:rsidR="00437ED1" w:rsidRDefault="00437ED1" w:rsidP="00437ED1">
      <w:pPr>
        <w:pStyle w:val="BodyText"/>
      </w:pPr>
      <w:r w:rsidRPr="00ED4674">
        <w:rPr>
          <w:rStyle w:val="Emphasis"/>
        </w:rPr>
        <w:t>Counting on change: A guide to prevention monitoring</w:t>
      </w:r>
      <w:r>
        <w:t xml:space="preserve"> developed a number of suggested </w:t>
      </w:r>
      <w:r w:rsidR="002D3B04">
        <w:t>measures but</w:t>
      </w:r>
      <w:r>
        <w:t xml:space="preserve"> acknowledged that data for many of these is not currently collected in Australia. As such, a limitation across this section is that the data collected was drawn either</w:t>
      </w:r>
      <w:r w:rsidR="006B08D1">
        <w:t> </w:t>
      </w:r>
      <w:r>
        <w:t>from limited publicly available information, or from the survey and semi-structured interviews conducted specifically for this project. Only two interviews were conducted as the interview and follow-up process was interrupted by the social disruptions associated with the COVID-19 crisis. While every effort was made to capture information from across the decade where possible, more recent initiatives and information was more readily available in</w:t>
      </w:r>
      <w:r w:rsidR="006B08D1">
        <w:t> </w:t>
      </w:r>
      <w:r>
        <w:t>the public realm. Additional limitations of particular data collection approaches are noted below.</w:t>
      </w:r>
    </w:p>
    <w:p w14:paraId="3BEE67B9" w14:textId="77777777" w:rsidR="00107D55" w:rsidRPr="001577BA" w:rsidRDefault="00107D55" w:rsidP="00107D55">
      <w:pPr>
        <w:pStyle w:val="Heading4"/>
        <w:rPr>
          <w:rStyle w:val="OWCharacterHibiscus"/>
        </w:rPr>
      </w:pPr>
      <w:r w:rsidRPr="001577BA">
        <w:rPr>
          <w:rStyle w:val="OWCharacterHibiscus"/>
        </w:rPr>
        <w:t>Domain 1 – Political and civil society leadership</w:t>
      </w:r>
    </w:p>
    <w:p w14:paraId="39B44463" w14:textId="77777777" w:rsidR="00107D55" w:rsidRPr="0071774C" w:rsidRDefault="00107D55" w:rsidP="00107D55">
      <w:pPr>
        <w:pStyle w:val="Heading5"/>
        <w:spacing w:before="160"/>
      </w:pPr>
      <w:r w:rsidRPr="0071774C">
        <w:rPr>
          <w:rFonts w:cs="Calibri"/>
        </w:rPr>
        <w:t>Measure</w:t>
      </w:r>
    </w:p>
    <w:p w14:paraId="53B05976" w14:textId="77777777" w:rsidR="00107D55" w:rsidRDefault="00107D55" w:rsidP="00107D55">
      <w:pPr>
        <w:pStyle w:val="OWBullet1"/>
      </w:pPr>
      <w:r w:rsidRPr="0071774C">
        <w:t>Public</w:t>
      </w:r>
      <w:r>
        <w:t xml:space="preserve"> </w:t>
      </w:r>
      <w:r w:rsidRPr="0071774C">
        <w:t>statements</w:t>
      </w:r>
      <w:r>
        <w:t xml:space="preserve"> </w:t>
      </w:r>
      <w:r w:rsidRPr="0071774C">
        <w:t>in</w:t>
      </w:r>
      <w:r>
        <w:t xml:space="preserve"> </w:t>
      </w:r>
      <w:r w:rsidRPr="0071774C">
        <w:t>the</w:t>
      </w:r>
      <w:r>
        <w:t xml:space="preserve"> </w:t>
      </w:r>
      <w:r w:rsidRPr="0071774C">
        <w:t>context</w:t>
      </w:r>
      <w:r>
        <w:t xml:space="preserve"> </w:t>
      </w:r>
      <w:r w:rsidRPr="0071774C">
        <w:t>of</w:t>
      </w:r>
      <w:r>
        <w:t xml:space="preserve"> </w:t>
      </w:r>
      <w:r w:rsidRPr="0071774C">
        <w:t>parliament</w:t>
      </w:r>
      <w:r>
        <w:t xml:space="preserve"> </w:t>
      </w:r>
      <w:r w:rsidRPr="0071774C">
        <w:t>by</w:t>
      </w:r>
      <w:r>
        <w:t xml:space="preserve"> </w:t>
      </w:r>
      <w:r w:rsidRPr="0071774C">
        <w:t>political</w:t>
      </w:r>
      <w:r>
        <w:t xml:space="preserve"> </w:t>
      </w:r>
      <w:r w:rsidRPr="0071774C">
        <w:t>leaders,</w:t>
      </w:r>
      <w:r>
        <w:t xml:space="preserve"> </w:t>
      </w:r>
      <w:r w:rsidRPr="0071774C">
        <w:t>across</w:t>
      </w:r>
      <w:r>
        <w:t xml:space="preserve"> </w:t>
      </w:r>
      <w:r w:rsidRPr="0071774C">
        <w:t>the</w:t>
      </w:r>
      <w:r>
        <w:t xml:space="preserve"> </w:t>
      </w:r>
      <w:r w:rsidRPr="0071774C">
        <w:t>political</w:t>
      </w:r>
      <w:r>
        <w:t xml:space="preserve"> </w:t>
      </w:r>
      <w:r w:rsidRPr="0071774C">
        <w:t>spectrum</w:t>
      </w:r>
      <w:r>
        <w:t xml:space="preserve"> </w:t>
      </w:r>
      <w:r w:rsidRPr="0071774C">
        <w:t>and</w:t>
      </w:r>
      <w:r>
        <w:t xml:space="preserve"> </w:t>
      </w:r>
      <w:r w:rsidRPr="0071774C">
        <w:t>at</w:t>
      </w:r>
      <w:r>
        <w:t xml:space="preserve"> </w:t>
      </w:r>
      <w:r w:rsidRPr="0071774C">
        <w:t>different</w:t>
      </w:r>
      <w:r>
        <w:t xml:space="preserve"> </w:t>
      </w:r>
      <w:r w:rsidRPr="0071774C">
        <w:t>levels</w:t>
      </w:r>
      <w:r>
        <w:t xml:space="preserve"> </w:t>
      </w:r>
      <w:r w:rsidRPr="0071774C">
        <w:t>of</w:t>
      </w:r>
      <w:r>
        <w:t xml:space="preserve"> </w:t>
      </w:r>
      <w:r w:rsidRPr="0071774C">
        <w:t>government,</w:t>
      </w:r>
      <w:r>
        <w:t xml:space="preserve"> </w:t>
      </w:r>
      <w:r w:rsidRPr="0071774C">
        <w:t>and</w:t>
      </w:r>
      <w:r>
        <w:t xml:space="preserve"> </w:t>
      </w:r>
      <w:r w:rsidRPr="0071774C">
        <w:t>civil</w:t>
      </w:r>
      <w:r>
        <w:t xml:space="preserve"> </w:t>
      </w:r>
      <w:r w:rsidRPr="0071774C">
        <w:t>society</w:t>
      </w:r>
      <w:r>
        <w:t xml:space="preserve"> </w:t>
      </w:r>
      <w:r w:rsidRPr="0071774C">
        <w:t>organisations</w:t>
      </w:r>
      <w:r>
        <w:t xml:space="preserve"> </w:t>
      </w:r>
      <w:r w:rsidRPr="0071774C">
        <w:t>speaking</w:t>
      </w:r>
      <w:r>
        <w:t xml:space="preserve"> </w:t>
      </w:r>
      <w:r w:rsidRPr="0071774C">
        <w:t>in</w:t>
      </w:r>
      <w:r>
        <w:t xml:space="preserve"> </w:t>
      </w:r>
      <w:r w:rsidRPr="0071774C">
        <w:t>parliament.</w:t>
      </w:r>
    </w:p>
    <w:p w14:paraId="2F64F95B" w14:textId="77777777" w:rsidR="00107D55" w:rsidRDefault="00107D55" w:rsidP="00107D55">
      <w:pPr>
        <w:pStyle w:val="OWBullet1"/>
      </w:pPr>
      <w:r w:rsidRPr="0071774C">
        <w:t>Private</w:t>
      </w:r>
      <w:r>
        <w:t xml:space="preserve"> </w:t>
      </w:r>
      <w:r w:rsidRPr="0071774C">
        <w:t>and</w:t>
      </w:r>
      <w:r>
        <w:t xml:space="preserve"> </w:t>
      </w:r>
      <w:r w:rsidRPr="0071774C">
        <w:t>not-for-profit</w:t>
      </w:r>
      <w:r>
        <w:t xml:space="preserve"> </w:t>
      </w:r>
      <w:r w:rsidRPr="0071774C">
        <w:t>sector</w:t>
      </w:r>
      <w:r>
        <w:t xml:space="preserve"> </w:t>
      </w:r>
      <w:r w:rsidRPr="0071774C">
        <w:t>workplaces</w:t>
      </w:r>
      <w:r>
        <w:t xml:space="preserve"> </w:t>
      </w:r>
      <w:r w:rsidRPr="0071774C">
        <w:t>reporting</w:t>
      </w:r>
      <w:r>
        <w:t xml:space="preserve"> </w:t>
      </w:r>
      <w:r w:rsidRPr="0071774C">
        <w:t>to</w:t>
      </w:r>
      <w:r>
        <w:t xml:space="preserve"> </w:t>
      </w:r>
      <w:r w:rsidRPr="0071774C">
        <w:t>WGEA</w:t>
      </w:r>
      <w:r>
        <w:t xml:space="preserve"> </w:t>
      </w:r>
      <w:r w:rsidRPr="0071774C">
        <w:t>have</w:t>
      </w:r>
      <w:r>
        <w:t xml:space="preserve"> </w:t>
      </w:r>
      <w:r w:rsidRPr="0071774C">
        <w:t>or</w:t>
      </w:r>
      <w:r>
        <w:t xml:space="preserve"> </w:t>
      </w:r>
      <w:r w:rsidRPr="0071774C">
        <w:t>institute</w:t>
      </w:r>
      <w:r>
        <w:t xml:space="preserve"> </w:t>
      </w:r>
      <w:r w:rsidRPr="0071774C">
        <w:t>domestic</w:t>
      </w:r>
      <w:r>
        <w:t xml:space="preserve"> </w:t>
      </w:r>
      <w:r w:rsidRPr="0071774C">
        <w:t>violence</w:t>
      </w:r>
      <w:r>
        <w:t xml:space="preserve"> </w:t>
      </w:r>
      <w:r w:rsidRPr="0071774C">
        <w:t>leave,</w:t>
      </w:r>
      <w:r>
        <w:t xml:space="preserve"> </w:t>
      </w:r>
      <w:r w:rsidRPr="0071774C">
        <w:t>parental</w:t>
      </w:r>
      <w:r>
        <w:t xml:space="preserve"> </w:t>
      </w:r>
      <w:r w:rsidRPr="0071774C">
        <w:t>leave,</w:t>
      </w:r>
      <w:r>
        <w:t xml:space="preserve"> </w:t>
      </w:r>
      <w:r w:rsidRPr="0071774C">
        <w:t>and</w:t>
      </w:r>
      <w:r>
        <w:t xml:space="preserve"> </w:t>
      </w:r>
      <w:r w:rsidRPr="0071774C">
        <w:t>flexible</w:t>
      </w:r>
      <w:r>
        <w:t xml:space="preserve"> </w:t>
      </w:r>
      <w:r w:rsidRPr="0071774C">
        <w:t>work</w:t>
      </w:r>
      <w:r>
        <w:t xml:space="preserve"> </w:t>
      </w:r>
      <w:r w:rsidRPr="0071774C">
        <w:t>provisions</w:t>
      </w:r>
      <w:r>
        <w:t xml:space="preserve"> </w:t>
      </w:r>
      <w:r w:rsidRPr="0071774C">
        <w:t>for</w:t>
      </w:r>
      <w:r>
        <w:t xml:space="preserve"> </w:t>
      </w:r>
      <w:r w:rsidRPr="0071774C">
        <w:t>their</w:t>
      </w:r>
      <w:r>
        <w:t xml:space="preserve"> </w:t>
      </w:r>
      <w:r w:rsidRPr="0071774C">
        <w:t>employees.</w:t>
      </w:r>
    </w:p>
    <w:p w14:paraId="4FBEEAB4" w14:textId="77777777" w:rsidR="00107D55" w:rsidRDefault="00107D55" w:rsidP="00107D55">
      <w:pPr>
        <w:pStyle w:val="OWBullet1"/>
      </w:pPr>
      <w:r w:rsidRPr="0071774C">
        <w:t>Public</w:t>
      </w:r>
      <w:r>
        <w:t xml:space="preserve"> </w:t>
      </w:r>
      <w:r w:rsidRPr="0071774C">
        <w:t>employers</w:t>
      </w:r>
      <w:r>
        <w:t xml:space="preserve"> </w:t>
      </w:r>
      <w:r w:rsidRPr="0071774C">
        <w:t>have</w:t>
      </w:r>
      <w:r>
        <w:t xml:space="preserve"> </w:t>
      </w:r>
      <w:r w:rsidRPr="0071774C">
        <w:t>or</w:t>
      </w:r>
      <w:r>
        <w:t xml:space="preserve"> </w:t>
      </w:r>
      <w:r w:rsidRPr="0071774C">
        <w:t>institute</w:t>
      </w:r>
      <w:r>
        <w:t xml:space="preserve"> </w:t>
      </w:r>
      <w:r w:rsidRPr="0071774C">
        <w:t>domestic</w:t>
      </w:r>
      <w:r>
        <w:t xml:space="preserve"> </w:t>
      </w:r>
      <w:r w:rsidRPr="0071774C">
        <w:t>violence</w:t>
      </w:r>
      <w:r>
        <w:t xml:space="preserve"> </w:t>
      </w:r>
      <w:r w:rsidRPr="0071774C">
        <w:t>leave,</w:t>
      </w:r>
      <w:r>
        <w:t xml:space="preserve"> </w:t>
      </w:r>
      <w:r w:rsidRPr="0071774C">
        <w:t>parental</w:t>
      </w:r>
      <w:r>
        <w:t xml:space="preserve"> </w:t>
      </w:r>
      <w:r w:rsidRPr="0071774C">
        <w:t>leave,</w:t>
      </w:r>
      <w:r>
        <w:t xml:space="preserve"> </w:t>
      </w:r>
      <w:r w:rsidRPr="0071774C">
        <w:t>and</w:t>
      </w:r>
      <w:r>
        <w:t xml:space="preserve"> </w:t>
      </w:r>
      <w:r w:rsidRPr="0071774C">
        <w:t>flexible</w:t>
      </w:r>
      <w:r>
        <w:t xml:space="preserve"> </w:t>
      </w:r>
      <w:r w:rsidRPr="0071774C">
        <w:t>work</w:t>
      </w:r>
      <w:r>
        <w:t xml:space="preserve"> </w:t>
      </w:r>
      <w:r w:rsidRPr="0071774C">
        <w:t>provisions</w:t>
      </w:r>
      <w:r>
        <w:t xml:space="preserve"> </w:t>
      </w:r>
      <w:r w:rsidRPr="0071774C">
        <w:t>for</w:t>
      </w:r>
      <w:r>
        <w:t xml:space="preserve"> </w:t>
      </w:r>
      <w:r w:rsidRPr="0071774C">
        <w:t>their</w:t>
      </w:r>
      <w:r>
        <w:t xml:space="preserve"> </w:t>
      </w:r>
      <w:r w:rsidRPr="0071774C">
        <w:t>employees.</w:t>
      </w:r>
    </w:p>
    <w:p w14:paraId="6A3EE2A4" w14:textId="77777777" w:rsidR="00107D55" w:rsidRPr="0071774C" w:rsidRDefault="00107D55" w:rsidP="00107D55">
      <w:pPr>
        <w:pStyle w:val="OWBullet1"/>
      </w:pPr>
      <w:r w:rsidRPr="0071774C">
        <w:t>Joint</w:t>
      </w:r>
      <w:r>
        <w:t xml:space="preserve"> </w:t>
      </w:r>
      <w:r w:rsidRPr="0071774C">
        <w:t>campaigns</w:t>
      </w:r>
      <w:r>
        <w:t xml:space="preserve"> </w:t>
      </w:r>
      <w:r w:rsidRPr="0071774C">
        <w:t>and</w:t>
      </w:r>
      <w:r>
        <w:t xml:space="preserve"> </w:t>
      </w:r>
      <w:r w:rsidRPr="0071774C">
        <w:t>joint</w:t>
      </w:r>
      <w:r>
        <w:t xml:space="preserve"> </w:t>
      </w:r>
      <w:r w:rsidRPr="0071774C">
        <w:t>statements</w:t>
      </w:r>
      <w:r>
        <w:t xml:space="preserve"> </w:t>
      </w:r>
      <w:r w:rsidRPr="0071774C">
        <w:t>initiated</w:t>
      </w:r>
      <w:r>
        <w:t xml:space="preserve"> </w:t>
      </w:r>
      <w:r w:rsidRPr="0071774C">
        <w:t>and</w:t>
      </w:r>
      <w:r>
        <w:t xml:space="preserve"> </w:t>
      </w:r>
      <w:r w:rsidRPr="0071774C">
        <w:t>led</w:t>
      </w:r>
      <w:r>
        <w:t xml:space="preserve"> </w:t>
      </w:r>
      <w:r w:rsidRPr="0071774C">
        <w:t>by</w:t>
      </w:r>
      <w:r>
        <w:t xml:space="preserve"> </w:t>
      </w:r>
      <w:r w:rsidRPr="0071774C">
        <w:t>those</w:t>
      </w:r>
      <w:r>
        <w:t xml:space="preserve"> </w:t>
      </w:r>
      <w:r w:rsidRPr="0071774C">
        <w:t>most</w:t>
      </w:r>
      <w:r>
        <w:t xml:space="preserve"> </w:t>
      </w:r>
      <w:r w:rsidRPr="0071774C">
        <w:t>impacted</w:t>
      </w:r>
      <w:r>
        <w:t xml:space="preserve"> </w:t>
      </w:r>
      <w:r w:rsidRPr="0071774C">
        <w:t>are</w:t>
      </w:r>
      <w:r>
        <w:t xml:space="preserve"> </w:t>
      </w:r>
      <w:r w:rsidRPr="0071774C">
        <w:t>supported</w:t>
      </w:r>
      <w:r>
        <w:t xml:space="preserve"> </w:t>
      </w:r>
      <w:r w:rsidRPr="0071774C">
        <w:t>by</w:t>
      </w:r>
      <w:r>
        <w:t xml:space="preserve"> </w:t>
      </w:r>
      <w:r w:rsidRPr="0071774C">
        <w:t>those</w:t>
      </w:r>
      <w:r>
        <w:t xml:space="preserve"> </w:t>
      </w:r>
      <w:r w:rsidRPr="0071774C">
        <w:t>working</w:t>
      </w:r>
      <w:r>
        <w:t xml:space="preserve"> </w:t>
      </w:r>
      <w:r w:rsidRPr="0071774C">
        <w:t>towards</w:t>
      </w:r>
      <w:r>
        <w:t xml:space="preserve"> </w:t>
      </w:r>
      <w:r w:rsidRPr="0071774C">
        <w:t>gender</w:t>
      </w:r>
      <w:r>
        <w:t xml:space="preserve"> </w:t>
      </w:r>
      <w:r w:rsidRPr="0071774C">
        <w:t>equality</w:t>
      </w:r>
      <w:r>
        <w:t xml:space="preserve"> </w:t>
      </w:r>
      <w:r w:rsidRPr="0071774C">
        <w:t>more</w:t>
      </w:r>
      <w:r>
        <w:t xml:space="preserve"> </w:t>
      </w:r>
      <w:r w:rsidRPr="0071774C">
        <w:t>broadly</w:t>
      </w:r>
      <w:r>
        <w:t xml:space="preserve"> </w:t>
      </w:r>
      <w:r w:rsidRPr="0071774C">
        <w:t>(e.g.</w:t>
      </w:r>
      <w:r>
        <w:t xml:space="preserve"> </w:t>
      </w:r>
      <w:r w:rsidRPr="0071774C">
        <w:t>significant</w:t>
      </w:r>
      <w:r>
        <w:t xml:space="preserve"> </w:t>
      </w:r>
      <w:r w:rsidRPr="0071774C">
        <w:t>events,</w:t>
      </w:r>
      <w:r>
        <w:t xml:space="preserve"> </w:t>
      </w:r>
      <w:r w:rsidRPr="0071774C">
        <w:t>responses</w:t>
      </w:r>
      <w:r>
        <w:t xml:space="preserve"> </w:t>
      </w:r>
      <w:r w:rsidRPr="0071774C">
        <w:t>to</w:t>
      </w:r>
      <w:r>
        <w:t xml:space="preserve"> </w:t>
      </w:r>
      <w:r w:rsidRPr="0071774C">
        <w:t>injustice,</w:t>
      </w:r>
      <w:r>
        <w:t xml:space="preserve"> </w:t>
      </w:r>
      <w:r w:rsidRPr="0071774C">
        <w:t>responses</w:t>
      </w:r>
      <w:r>
        <w:t xml:space="preserve"> </w:t>
      </w:r>
      <w:r w:rsidRPr="0071774C">
        <w:t>to</w:t>
      </w:r>
      <w:r>
        <w:t xml:space="preserve"> </w:t>
      </w:r>
      <w:r w:rsidRPr="0071774C">
        <w:t>inquiries).</w:t>
      </w:r>
    </w:p>
    <w:p w14:paraId="35504BA6" w14:textId="77777777" w:rsidR="00154F63" w:rsidRPr="00154F63" w:rsidRDefault="00154F63" w:rsidP="00154F63">
      <w:pPr>
        <w:pStyle w:val="BodyText"/>
      </w:pPr>
      <w:r w:rsidRPr="00154F63">
        <w:br w:type="page"/>
      </w:r>
    </w:p>
    <w:p w14:paraId="098992F6" w14:textId="33B4ACA7" w:rsidR="00107D55" w:rsidRPr="0071774C" w:rsidRDefault="00107D55" w:rsidP="00107D55">
      <w:pPr>
        <w:pStyle w:val="Heading5"/>
      </w:pPr>
      <w:r w:rsidRPr="0071774C">
        <w:rPr>
          <w:rFonts w:cs="Calibri"/>
        </w:rPr>
        <w:lastRenderedPageBreak/>
        <w:t>Methodology</w:t>
      </w:r>
    </w:p>
    <w:p w14:paraId="7DD791A0" w14:textId="7D53EA60" w:rsidR="00107D55" w:rsidRDefault="00107D55" w:rsidP="00107D55">
      <w:pPr>
        <w:pStyle w:val="OWBullet1"/>
      </w:pPr>
      <w:r w:rsidRPr="0071774C">
        <w:t>Keywords</w:t>
      </w:r>
      <w:r>
        <w:t xml:space="preserve"> </w:t>
      </w:r>
      <w:r w:rsidRPr="0071774C">
        <w:t>and</w:t>
      </w:r>
      <w:r>
        <w:t xml:space="preserve"> </w:t>
      </w:r>
      <w:r w:rsidRPr="0071774C">
        <w:t>keyword</w:t>
      </w:r>
      <w:r>
        <w:t xml:space="preserve"> </w:t>
      </w:r>
      <w:r w:rsidRPr="0071774C">
        <w:t>combinations,</w:t>
      </w:r>
      <w:r>
        <w:t xml:space="preserve"> </w:t>
      </w:r>
      <w:r w:rsidRPr="0071774C">
        <w:t>using</w:t>
      </w:r>
      <w:r>
        <w:t xml:space="preserve"> </w:t>
      </w:r>
      <w:r w:rsidRPr="0071774C">
        <w:t>the</w:t>
      </w:r>
      <w:r>
        <w:t xml:space="preserve"> </w:t>
      </w:r>
      <w:r w:rsidRPr="0071774C">
        <w:t>publicly</w:t>
      </w:r>
      <w:r>
        <w:t xml:space="preserve"> </w:t>
      </w:r>
      <w:r w:rsidRPr="0071774C">
        <w:t>available</w:t>
      </w:r>
      <w:r>
        <w:t xml:space="preserve"> </w:t>
      </w:r>
      <w:r w:rsidRPr="0071774C">
        <w:t>online</w:t>
      </w:r>
      <w:r>
        <w:t xml:space="preserve"> </w:t>
      </w:r>
      <w:r w:rsidRPr="0071774C">
        <w:t>search</w:t>
      </w:r>
      <w:r>
        <w:t xml:space="preserve"> </w:t>
      </w:r>
      <w:r w:rsidR="003F2C89">
        <w:t>databases</w:t>
      </w:r>
      <w:r>
        <w:t xml:space="preserve"> </w:t>
      </w:r>
      <w:r w:rsidRPr="0071774C">
        <w:t>provided</w:t>
      </w:r>
      <w:r>
        <w:t xml:space="preserve"> </w:t>
      </w:r>
      <w:r w:rsidRPr="0071774C">
        <w:t>for</w:t>
      </w:r>
      <w:r>
        <w:t xml:space="preserve"> </w:t>
      </w:r>
      <w:r w:rsidRPr="0071774C">
        <w:t>the</w:t>
      </w:r>
      <w:r>
        <w:t xml:space="preserve"> </w:t>
      </w:r>
      <w:r w:rsidRPr="0071774C">
        <w:t>Commonwealth</w:t>
      </w:r>
      <w:r>
        <w:t xml:space="preserve"> </w:t>
      </w:r>
      <w:r w:rsidRPr="0071774C">
        <w:t>Parliament,</w:t>
      </w:r>
      <w:r>
        <w:t xml:space="preserve"> </w:t>
      </w:r>
      <w:r w:rsidRPr="0071774C">
        <w:t>the</w:t>
      </w:r>
      <w:r>
        <w:t xml:space="preserve"> </w:t>
      </w:r>
      <w:r w:rsidRPr="0071774C">
        <w:t>Parliament</w:t>
      </w:r>
      <w:r>
        <w:t xml:space="preserve"> </w:t>
      </w:r>
      <w:r w:rsidRPr="0071774C">
        <w:t>of</w:t>
      </w:r>
      <w:r>
        <w:t xml:space="preserve"> </w:t>
      </w:r>
      <w:r w:rsidRPr="0071774C">
        <w:t>New</w:t>
      </w:r>
      <w:r>
        <w:t xml:space="preserve"> </w:t>
      </w:r>
      <w:r w:rsidRPr="0071774C">
        <w:t>South</w:t>
      </w:r>
      <w:r>
        <w:t xml:space="preserve"> </w:t>
      </w:r>
      <w:r w:rsidRPr="0071774C">
        <w:t>Wales</w:t>
      </w:r>
      <w:r>
        <w:t xml:space="preserve"> </w:t>
      </w:r>
      <w:r w:rsidRPr="0071774C">
        <w:t>and</w:t>
      </w:r>
      <w:r>
        <w:t xml:space="preserve"> </w:t>
      </w:r>
      <w:r w:rsidRPr="0071774C">
        <w:t>the</w:t>
      </w:r>
      <w:r>
        <w:t xml:space="preserve"> </w:t>
      </w:r>
      <w:r w:rsidRPr="0071774C">
        <w:t>Parliament</w:t>
      </w:r>
      <w:r>
        <w:t xml:space="preserve"> </w:t>
      </w:r>
      <w:r w:rsidRPr="0071774C">
        <w:t>of</w:t>
      </w:r>
      <w:r>
        <w:t xml:space="preserve"> </w:t>
      </w:r>
      <w:r w:rsidRPr="0071774C">
        <w:t>South</w:t>
      </w:r>
      <w:r>
        <w:t xml:space="preserve"> </w:t>
      </w:r>
      <w:r w:rsidRPr="0071774C">
        <w:t>Australia.</w:t>
      </w:r>
      <w:r>
        <w:t xml:space="preserve"> </w:t>
      </w:r>
      <w:r w:rsidRPr="0071774C">
        <w:t>The</w:t>
      </w:r>
      <w:r>
        <w:t xml:space="preserve"> </w:t>
      </w:r>
      <w:r w:rsidRPr="0071774C">
        <w:t>date</w:t>
      </w:r>
      <w:r>
        <w:t xml:space="preserve"> </w:t>
      </w:r>
      <w:r w:rsidRPr="0071774C">
        <w:t>range</w:t>
      </w:r>
      <w:r>
        <w:t xml:space="preserve"> </w:t>
      </w:r>
      <w:r w:rsidRPr="0071774C">
        <w:t>searched</w:t>
      </w:r>
      <w:r>
        <w:t xml:space="preserve"> </w:t>
      </w:r>
      <w:r w:rsidRPr="0071774C">
        <w:t>was</w:t>
      </w:r>
      <w:r>
        <w:t xml:space="preserve"> </w:t>
      </w:r>
      <w:r w:rsidRPr="0071774C">
        <w:t>January</w:t>
      </w:r>
      <w:r>
        <w:t xml:space="preserve"> </w:t>
      </w:r>
      <w:r w:rsidRPr="0071774C">
        <w:t>2009</w:t>
      </w:r>
      <w:r>
        <w:t xml:space="preserve"> </w:t>
      </w:r>
      <w:r w:rsidRPr="0071774C">
        <w:t>to</w:t>
      </w:r>
      <w:r>
        <w:t xml:space="preserve"> </w:t>
      </w:r>
      <w:r w:rsidRPr="0071774C">
        <w:t>December</w:t>
      </w:r>
      <w:r>
        <w:t xml:space="preserve"> </w:t>
      </w:r>
      <w:r w:rsidRPr="0071774C">
        <w:t>2019.</w:t>
      </w:r>
      <w:r>
        <w:t xml:space="preserve"> </w:t>
      </w:r>
      <w:r w:rsidRPr="0071774C">
        <w:t>Keyword</w:t>
      </w:r>
      <w:r>
        <w:t xml:space="preserve"> </w:t>
      </w:r>
      <w:r w:rsidRPr="0071774C">
        <w:t>frequencies</w:t>
      </w:r>
      <w:r>
        <w:t xml:space="preserve"> </w:t>
      </w:r>
      <w:r w:rsidRPr="0071774C">
        <w:t>were</w:t>
      </w:r>
      <w:r>
        <w:t xml:space="preserve"> </w:t>
      </w:r>
      <w:r w:rsidRPr="0071774C">
        <w:t>recorded</w:t>
      </w:r>
      <w:r>
        <w:t xml:space="preserve"> </w:t>
      </w:r>
      <w:r w:rsidRPr="0071774C">
        <w:t>per</w:t>
      </w:r>
      <w:r>
        <w:t xml:space="preserve"> </w:t>
      </w:r>
      <w:r w:rsidRPr="0071774C">
        <w:t>calendar</w:t>
      </w:r>
      <w:r>
        <w:t xml:space="preserve"> </w:t>
      </w:r>
      <w:r w:rsidRPr="0071774C">
        <w:t>year</w:t>
      </w:r>
      <w:r>
        <w:t xml:space="preserve"> </w:t>
      </w:r>
      <w:r w:rsidRPr="0071774C">
        <w:t>and</w:t>
      </w:r>
      <w:r>
        <w:t xml:space="preserve"> </w:t>
      </w:r>
      <w:r w:rsidRPr="0071774C">
        <w:t>per</w:t>
      </w:r>
      <w:r>
        <w:t xml:space="preserve"> </w:t>
      </w:r>
      <w:r w:rsidRPr="0071774C">
        <w:t>search</w:t>
      </w:r>
      <w:r>
        <w:t xml:space="preserve"> </w:t>
      </w:r>
      <w:r w:rsidRPr="0071774C">
        <w:t>term.</w:t>
      </w:r>
      <w:r>
        <w:t xml:space="preserve"> </w:t>
      </w:r>
      <w:r w:rsidRPr="0071774C">
        <w:t>These</w:t>
      </w:r>
      <w:r>
        <w:t xml:space="preserve"> </w:t>
      </w:r>
      <w:r w:rsidRPr="0071774C">
        <w:t>three</w:t>
      </w:r>
      <w:r>
        <w:t xml:space="preserve"> </w:t>
      </w:r>
      <w:r w:rsidRPr="0071774C">
        <w:t>jurisdictions</w:t>
      </w:r>
      <w:r>
        <w:t xml:space="preserve"> </w:t>
      </w:r>
      <w:r w:rsidRPr="0071774C">
        <w:t>were</w:t>
      </w:r>
      <w:r>
        <w:t xml:space="preserve"> </w:t>
      </w:r>
      <w:r w:rsidRPr="0071774C">
        <w:t>chosen</w:t>
      </w:r>
      <w:r>
        <w:t xml:space="preserve"> </w:t>
      </w:r>
      <w:r w:rsidRPr="0071774C">
        <w:t>because</w:t>
      </w:r>
      <w:r>
        <w:t xml:space="preserve"> </w:t>
      </w:r>
      <w:r w:rsidRPr="0071774C">
        <w:t>the</w:t>
      </w:r>
      <w:r>
        <w:t xml:space="preserve"> </w:t>
      </w:r>
      <w:r w:rsidRPr="0071774C">
        <w:t>Hansard</w:t>
      </w:r>
      <w:r>
        <w:t xml:space="preserve"> </w:t>
      </w:r>
      <w:r w:rsidRPr="0071774C">
        <w:t>search</w:t>
      </w:r>
      <w:r>
        <w:t xml:space="preserve"> </w:t>
      </w:r>
      <w:r w:rsidRPr="0071774C">
        <w:t>functions</w:t>
      </w:r>
      <w:r>
        <w:t xml:space="preserve"> </w:t>
      </w:r>
      <w:r w:rsidRPr="0071774C">
        <w:t>were</w:t>
      </w:r>
      <w:r>
        <w:t xml:space="preserve"> </w:t>
      </w:r>
      <w:r w:rsidRPr="0071774C">
        <w:t>the</w:t>
      </w:r>
      <w:r>
        <w:t xml:space="preserve"> </w:t>
      </w:r>
      <w:r w:rsidRPr="0071774C">
        <w:t>most</w:t>
      </w:r>
      <w:r>
        <w:t xml:space="preserve"> </w:t>
      </w:r>
      <w:r w:rsidR="004C21F3">
        <w:t>comparable</w:t>
      </w:r>
      <w:r w:rsidRPr="0071774C">
        <w:t>.</w:t>
      </w:r>
    </w:p>
    <w:p w14:paraId="51FA920C" w14:textId="77777777" w:rsidR="00107D55" w:rsidRDefault="00107D55" w:rsidP="00107D55">
      <w:pPr>
        <w:pStyle w:val="OWBullet1"/>
      </w:pPr>
      <w:r w:rsidRPr="0071774C">
        <w:t>Rapid</w:t>
      </w:r>
      <w:r>
        <w:t xml:space="preserve"> </w:t>
      </w:r>
      <w:r w:rsidRPr="0071774C">
        <w:t>content</w:t>
      </w:r>
      <w:r>
        <w:t xml:space="preserve"> </w:t>
      </w:r>
      <w:r w:rsidRPr="0071774C">
        <w:t>analysis</w:t>
      </w:r>
      <w:r>
        <w:t xml:space="preserve"> </w:t>
      </w:r>
      <w:r w:rsidRPr="0071774C">
        <w:t>of</w:t>
      </w:r>
      <w:r>
        <w:t xml:space="preserve"> </w:t>
      </w:r>
      <w:r w:rsidRPr="0071774C">
        <w:t>a</w:t>
      </w:r>
      <w:r>
        <w:t xml:space="preserve"> </w:t>
      </w:r>
      <w:r w:rsidRPr="0071774C">
        <w:t>single</w:t>
      </w:r>
      <w:r>
        <w:t xml:space="preserve"> </w:t>
      </w:r>
      <w:r w:rsidRPr="0071774C">
        <w:t>year</w:t>
      </w:r>
      <w:r>
        <w:t xml:space="preserve"> </w:t>
      </w:r>
      <w:r w:rsidRPr="0071774C">
        <w:t>of</w:t>
      </w:r>
      <w:r>
        <w:t xml:space="preserve"> </w:t>
      </w:r>
      <w:r w:rsidRPr="0071774C">
        <w:t>mentions</w:t>
      </w:r>
      <w:r>
        <w:t xml:space="preserve"> </w:t>
      </w:r>
      <w:r w:rsidRPr="0071774C">
        <w:t>in</w:t>
      </w:r>
      <w:r>
        <w:t xml:space="preserve"> </w:t>
      </w:r>
      <w:r w:rsidRPr="0071774C">
        <w:t>one</w:t>
      </w:r>
      <w:r>
        <w:t xml:space="preserve"> </w:t>
      </w:r>
      <w:r w:rsidRPr="0071774C">
        <w:t>jurisdiction,</w:t>
      </w:r>
      <w:r>
        <w:t xml:space="preserve"> </w:t>
      </w:r>
      <w:r w:rsidRPr="0071774C">
        <w:t>using</w:t>
      </w:r>
      <w:r>
        <w:t xml:space="preserve"> </w:t>
      </w:r>
      <w:r w:rsidRPr="0071774C">
        <w:t>inductive</w:t>
      </w:r>
      <w:r>
        <w:t xml:space="preserve"> </w:t>
      </w:r>
      <w:r w:rsidRPr="0071774C">
        <w:t>and</w:t>
      </w:r>
      <w:r>
        <w:t xml:space="preserve"> </w:t>
      </w:r>
      <w:r w:rsidRPr="0071774C">
        <w:t>deductive</w:t>
      </w:r>
      <w:r>
        <w:t xml:space="preserve"> </w:t>
      </w:r>
      <w:r w:rsidRPr="0071774C">
        <w:t>coding.</w:t>
      </w:r>
    </w:p>
    <w:p w14:paraId="14C1B7FE" w14:textId="77777777" w:rsidR="00107D55" w:rsidRPr="0071774C" w:rsidRDefault="00107D55" w:rsidP="00107D55">
      <w:pPr>
        <w:pStyle w:val="OWBullet1"/>
        <w:rPr>
          <w:rFonts w:eastAsia="Calibri"/>
        </w:rPr>
      </w:pPr>
      <w:r w:rsidRPr="0071774C">
        <w:t>A</w:t>
      </w:r>
      <w:r>
        <w:t xml:space="preserve"> </w:t>
      </w:r>
      <w:r w:rsidRPr="0071774C">
        <w:t>desktop</w:t>
      </w:r>
      <w:r>
        <w:t xml:space="preserve"> </w:t>
      </w:r>
      <w:r w:rsidRPr="0071774C">
        <w:t>search</w:t>
      </w:r>
      <w:r>
        <w:t xml:space="preserve"> </w:t>
      </w:r>
      <w:r w:rsidRPr="0071774C">
        <w:t>strategy</w:t>
      </w:r>
      <w:r>
        <w:t xml:space="preserve"> </w:t>
      </w:r>
      <w:r w:rsidRPr="0071774C">
        <w:t>was</w:t>
      </w:r>
      <w:r>
        <w:t xml:space="preserve"> </w:t>
      </w:r>
      <w:r w:rsidRPr="0071774C">
        <w:t>employed</w:t>
      </w:r>
      <w:r>
        <w:t xml:space="preserve"> </w:t>
      </w:r>
      <w:r w:rsidRPr="0071774C">
        <w:t>to</w:t>
      </w:r>
      <w:r>
        <w:t xml:space="preserve"> </w:t>
      </w:r>
      <w:r w:rsidRPr="0071774C">
        <w:t>gather</w:t>
      </w:r>
      <w:r>
        <w:t xml:space="preserve"> </w:t>
      </w:r>
      <w:r w:rsidRPr="0071774C">
        <w:t>information</w:t>
      </w:r>
      <w:r>
        <w:t xml:space="preserve"> </w:t>
      </w:r>
      <w:r w:rsidRPr="0071774C">
        <w:t>about</w:t>
      </w:r>
      <w:r>
        <w:t xml:space="preserve"> </w:t>
      </w:r>
      <w:r w:rsidRPr="0071774C">
        <w:t>public</w:t>
      </w:r>
      <w:r>
        <w:t xml:space="preserve"> </w:t>
      </w:r>
      <w:r w:rsidRPr="0071774C">
        <w:t>service</w:t>
      </w:r>
      <w:r>
        <w:t xml:space="preserve"> </w:t>
      </w:r>
      <w:r w:rsidRPr="0071774C">
        <w:t>provisions.</w:t>
      </w:r>
      <w:r>
        <w:t xml:space="preserve"> </w:t>
      </w:r>
      <w:r w:rsidRPr="0071774C">
        <w:t>This</w:t>
      </w:r>
      <w:r>
        <w:t xml:space="preserve"> </w:t>
      </w:r>
      <w:r w:rsidRPr="0071774C">
        <w:t>included</w:t>
      </w:r>
      <w:r>
        <w:t xml:space="preserve"> </w:t>
      </w:r>
      <w:r w:rsidRPr="0071774C">
        <w:t>searches</w:t>
      </w:r>
      <w:r>
        <w:t xml:space="preserve"> </w:t>
      </w:r>
      <w:r w:rsidRPr="0071774C">
        <w:t>for</w:t>
      </w:r>
      <w:r>
        <w:t xml:space="preserve">, </w:t>
      </w:r>
      <w:r w:rsidRPr="0071774C">
        <w:t>and</w:t>
      </w:r>
      <w:r>
        <w:t xml:space="preserve"> </w:t>
      </w:r>
      <w:r w:rsidRPr="0071774C">
        <w:t>reviews</w:t>
      </w:r>
      <w:r>
        <w:t xml:space="preserve"> </w:t>
      </w:r>
      <w:r w:rsidRPr="0071774C">
        <w:t>of</w:t>
      </w:r>
      <w:r>
        <w:t xml:space="preserve">, </w:t>
      </w:r>
      <w:r w:rsidRPr="0071774C">
        <w:t>publicly</w:t>
      </w:r>
      <w:r>
        <w:t xml:space="preserve"> </w:t>
      </w:r>
      <w:r w:rsidRPr="0071774C">
        <w:t>available</w:t>
      </w:r>
      <w:r>
        <w:t xml:space="preserve"> </w:t>
      </w:r>
      <w:r w:rsidRPr="0071774C">
        <w:t>policies</w:t>
      </w:r>
      <w:r>
        <w:t xml:space="preserve"> </w:t>
      </w:r>
      <w:r w:rsidRPr="0071774C">
        <w:t>in</w:t>
      </w:r>
      <w:r>
        <w:t xml:space="preserve"> </w:t>
      </w:r>
      <w:r w:rsidRPr="0071774C">
        <w:t>each</w:t>
      </w:r>
      <w:r>
        <w:t xml:space="preserve"> </w:t>
      </w:r>
      <w:r w:rsidRPr="0071774C">
        <w:t>jurisdiction</w:t>
      </w:r>
      <w:r>
        <w:t xml:space="preserve"> </w:t>
      </w:r>
      <w:r w:rsidRPr="0071774C">
        <w:t>as</w:t>
      </w:r>
      <w:r>
        <w:t xml:space="preserve"> </w:t>
      </w:r>
      <w:r w:rsidRPr="0071774C">
        <w:t>well</w:t>
      </w:r>
      <w:r>
        <w:t xml:space="preserve"> </w:t>
      </w:r>
      <w:r w:rsidRPr="0071774C">
        <w:t>publicly</w:t>
      </w:r>
      <w:r>
        <w:t xml:space="preserve"> </w:t>
      </w:r>
      <w:r w:rsidRPr="0071774C">
        <w:t>available</w:t>
      </w:r>
      <w:r>
        <w:t xml:space="preserve"> </w:t>
      </w:r>
      <w:r w:rsidRPr="0071774C">
        <w:rPr>
          <w:rFonts w:eastAsia="Calibri"/>
        </w:rPr>
        <w:t>Enterprise</w:t>
      </w:r>
      <w:r>
        <w:rPr>
          <w:rFonts w:eastAsia="Calibri"/>
        </w:rPr>
        <w:t xml:space="preserve"> </w:t>
      </w:r>
      <w:r w:rsidRPr="0071774C">
        <w:rPr>
          <w:rFonts w:eastAsia="Calibri"/>
        </w:rPr>
        <w:t>Bargaining</w:t>
      </w:r>
      <w:r>
        <w:rPr>
          <w:rFonts w:eastAsia="Calibri"/>
        </w:rPr>
        <w:t xml:space="preserve"> </w:t>
      </w:r>
      <w:r w:rsidRPr="0071774C">
        <w:rPr>
          <w:rFonts w:eastAsia="Calibri"/>
        </w:rPr>
        <w:t>Agreements</w:t>
      </w:r>
      <w:r>
        <w:rPr>
          <w:rFonts w:eastAsia="Calibri"/>
        </w:rPr>
        <w:t xml:space="preserve"> </w:t>
      </w:r>
      <w:r w:rsidRPr="0071774C">
        <w:rPr>
          <w:rFonts w:eastAsia="Calibri"/>
        </w:rPr>
        <w:t>across</w:t>
      </w:r>
      <w:r>
        <w:rPr>
          <w:rFonts w:eastAsia="Calibri"/>
        </w:rPr>
        <w:t xml:space="preserve"> </w:t>
      </w:r>
      <w:r w:rsidRPr="0071774C">
        <w:rPr>
          <w:rFonts w:eastAsia="Calibri"/>
        </w:rPr>
        <w:t>public</w:t>
      </w:r>
      <w:r>
        <w:rPr>
          <w:rFonts w:eastAsia="Calibri"/>
        </w:rPr>
        <w:t xml:space="preserve"> </w:t>
      </w:r>
      <w:r w:rsidRPr="0071774C">
        <w:rPr>
          <w:rFonts w:eastAsia="Calibri"/>
        </w:rPr>
        <w:t>service</w:t>
      </w:r>
      <w:r>
        <w:rPr>
          <w:rFonts w:eastAsia="Calibri"/>
        </w:rPr>
        <w:t xml:space="preserve"> </w:t>
      </w:r>
      <w:r w:rsidRPr="0071774C">
        <w:rPr>
          <w:rFonts w:eastAsia="Calibri"/>
        </w:rPr>
        <w:t>departments,</w:t>
      </w:r>
      <w:r>
        <w:rPr>
          <w:rFonts w:eastAsia="Calibri"/>
        </w:rPr>
        <w:t xml:space="preserve"> </w:t>
      </w:r>
      <w:r w:rsidRPr="0071774C">
        <w:rPr>
          <w:rFonts w:eastAsia="Calibri"/>
        </w:rPr>
        <w:t>as</w:t>
      </w:r>
      <w:r>
        <w:rPr>
          <w:rFonts w:eastAsia="Calibri"/>
        </w:rPr>
        <w:t xml:space="preserve"> </w:t>
      </w:r>
      <w:r w:rsidRPr="0071774C">
        <w:rPr>
          <w:rFonts w:eastAsia="Calibri"/>
        </w:rPr>
        <w:t>well</w:t>
      </w:r>
      <w:r>
        <w:rPr>
          <w:rFonts w:eastAsia="Calibri"/>
        </w:rPr>
        <w:t xml:space="preserve"> </w:t>
      </w:r>
      <w:r w:rsidRPr="0071774C">
        <w:rPr>
          <w:rFonts w:eastAsia="Calibri"/>
        </w:rPr>
        <w:t>as</w:t>
      </w:r>
      <w:r>
        <w:rPr>
          <w:rFonts w:eastAsia="Calibri"/>
        </w:rPr>
        <w:t xml:space="preserve"> </w:t>
      </w:r>
      <w:r w:rsidRPr="0071774C">
        <w:rPr>
          <w:rFonts w:eastAsia="Calibri"/>
        </w:rPr>
        <w:t>state</w:t>
      </w:r>
      <w:r>
        <w:rPr>
          <w:rFonts w:eastAsia="Calibri"/>
        </w:rPr>
        <w:t xml:space="preserve"> </w:t>
      </w:r>
      <w:r w:rsidRPr="0071774C">
        <w:rPr>
          <w:rFonts w:eastAsia="Calibri"/>
        </w:rPr>
        <w:t>and</w:t>
      </w:r>
      <w:r>
        <w:rPr>
          <w:rFonts w:eastAsia="Calibri"/>
        </w:rPr>
        <w:t xml:space="preserve"> </w:t>
      </w:r>
      <w:r w:rsidRPr="0071774C">
        <w:rPr>
          <w:rFonts w:eastAsia="Calibri"/>
        </w:rPr>
        <w:t>federal</w:t>
      </w:r>
      <w:r>
        <w:rPr>
          <w:rFonts w:eastAsia="Calibri"/>
        </w:rPr>
        <w:t xml:space="preserve"> </w:t>
      </w:r>
      <w:r w:rsidRPr="0071774C">
        <w:rPr>
          <w:rFonts w:eastAsia="Calibri"/>
        </w:rPr>
        <w:t>reports</w:t>
      </w:r>
      <w:r>
        <w:rPr>
          <w:rFonts w:eastAsia="Calibri"/>
        </w:rPr>
        <w:t xml:space="preserve"> </w:t>
      </w:r>
      <w:r w:rsidRPr="0071774C">
        <w:rPr>
          <w:rFonts w:eastAsia="Calibri"/>
        </w:rPr>
        <w:t>on</w:t>
      </w:r>
      <w:r>
        <w:rPr>
          <w:rFonts w:eastAsia="Calibri"/>
        </w:rPr>
        <w:t xml:space="preserve"> </w:t>
      </w:r>
      <w:r w:rsidRPr="0071774C">
        <w:rPr>
          <w:rFonts w:eastAsia="Calibri"/>
        </w:rPr>
        <w:t>gender</w:t>
      </w:r>
      <w:r>
        <w:rPr>
          <w:rFonts w:eastAsia="Calibri"/>
        </w:rPr>
        <w:t xml:space="preserve"> </w:t>
      </w:r>
      <w:r w:rsidRPr="0071774C">
        <w:rPr>
          <w:rFonts w:eastAsia="Calibri"/>
        </w:rPr>
        <w:t>equality.</w:t>
      </w:r>
    </w:p>
    <w:p w14:paraId="66BC58BF" w14:textId="77777777" w:rsidR="00107D55" w:rsidRPr="0071774C" w:rsidRDefault="00107D55" w:rsidP="00107D55">
      <w:pPr>
        <w:pStyle w:val="OWBullet1"/>
      </w:pPr>
      <w:r w:rsidRPr="0071774C">
        <w:t>Desktop</w:t>
      </w:r>
      <w:r>
        <w:t xml:space="preserve"> </w:t>
      </w:r>
      <w:r w:rsidRPr="0071774C">
        <w:t>scan</w:t>
      </w:r>
      <w:r>
        <w:t xml:space="preserve"> </w:t>
      </w:r>
      <w:r w:rsidRPr="0071774C">
        <w:t>and</w:t>
      </w:r>
      <w:r>
        <w:t xml:space="preserve"> </w:t>
      </w:r>
      <w:r w:rsidRPr="0071774C">
        <w:t>review</w:t>
      </w:r>
      <w:r>
        <w:t xml:space="preserve"> </w:t>
      </w:r>
      <w:r w:rsidRPr="0071774C">
        <w:t>of</w:t>
      </w:r>
      <w:r>
        <w:t xml:space="preserve"> </w:t>
      </w:r>
      <w:r w:rsidRPr="0071774C">
        <w:t>inquiry</w:t>
      </w:r>
      <w:r>
        <w:t xml:space="preserve"> </w:t>
      </w:r>
      <w:r w:rsidRPr="0071774C">
        <w:t>submissions.</w:t>
      </w:r>
    </w:p>
    <w:p w14:paraId="62A5908B" w14:textId="77777777" w:rsidR="00107D55" w:rsidRPr="0071774C" w:rsidRDefault="00107D55" w:rsidP="00107D55">
      <w:pPr>
        <w:pStyle w:val="Heading5"/>
      </w:pPr>
      <w:r>
        <w:rPr>
          <w:rFonts w:cs="Calibri"/>
        </w:rPr>
        <w:t>Limitations</w:t>
      </w:r>
    </w:p>
    <w:p w14:paraId="04A719B0" w14:textId="77777777" w:rsidR="00107D55" w:rsidRDefault="00107D55" w:rsidP="00107D55">
      <w:pPr>
        <w:pStyle w:val="OWBullet1"/>
      </w:pPr>
      <w:r>
        <w:t>To ensure data was comparable, the search of Hansard parliamentary records was conducted across three jurisdictions.</w:t>
      </w:r>
    </w:p>
    <w:p w14:paraId="19912BB6" w14:textId="07223AF2" w:rsidR="00107D55" w:rsidRDefault="00107D55" w:rsidP="00107D55">
      <w:pPr>
        <w:pStyle w:val="OWBullet1"/>
      </w:pPr>
      <w:r>
        <w:t xml:space="preserve">A content analysis wasn’t conducted across every year for every word mention; </w:t>
      </w:r>
      <w:r w:rsidR="001B4187">
        <w:t xml:space="preserve">therefore </w:t>
      </w:r>
      <w:r>
        <w:t xml:space="preserve">this analysis </w:t>
      </w:r>
      <w:r w:rsidR="001B4187">
        <w:t>isn’t able</w:t>
      </w:r>
      <w:r>
        <w:t xml:space="preserve"> to provide insight into the context and sentiment surrounding the use of the terms.</w:t>
      </w:r>
    </w:p>
    <w:p w14:paraId="7146B67D" w14:textId="5AAE3F8E" w:rsidR="00107D55" w:rsidRDefault="00107D55" w:rsidP="00107D55">
      <w:pPr>
        <w:pStyle w:val="OWBullet1"/>
      </w:pPr>
      <w:r>
        <w:t>Public sector organisations and organisations employing under 100 people are not represented in the WGEA data – therefore, this analysis doesn’t cover all employers, or</w:t>
      </w:r>
      <w:r w:rsidR="00154F63">
        <w:t> </w:t>
      </w:r>
      <w:r>
        <w:t>all organisation types.</w:t>
      </w:r>
    </w:p>
    <w:p w14:paraId="40D3BD4A" w14:textId="77777777" w:rsidR="00107D55" w:rsidRDefault="00107D55" w:rsidP="00107D55">
      <w:pPr>
        <w:pStyle w:val="OWBullet1"/>
      </w:pPr>
      <w:r>
        <w:t>The desktop search strategy used to gather information about entitlements in the public service was limited to overarching enterprise bargaining agreements and policy documents covering the entire public service for each jurisdiction. As such, this analysis doesn’t include additional entitlements that may be provided by particular departments.</w:t>
      </w:r>
    </w:p>
    <w:p w14:paraId="16119EAC" w14:textId="1CA7D8C0" w:rsidR="00107D55" w:rsidRPr="0071774C" w:rsidRDefault="00107D55" w:rsidP="00107D55">
      <w:pPr>
        <w:pStyle w:val="OWBullet1"/>
      </w:pPr>
      <w:r>
        <w:t>Data about joint campaigns and joint statements was collected through identifying government inquiries and commissions in Hansard documents, and then reviewing submissions. This was combined with data provided by survey respondents. Despite the use of two data collection methods, some joint campaigns, submissions and responses may not have been captured.</w:t>
      </w:r>
    </w:p>
    <w:p w14:paraId="67696137" w14:textId="702D4346" w:rsidR="00107D55" w:rsidRPr="001577BA" w:rsidRDefault="00107D55" w:rsidP="00107D55">
      <w:pPr>
        <w:pStyle w:val="Heading4"/>
        <w:rPr>
          <w:rStyle w:val="OWCharacterHibiscus"/>
        </w:rPr>
      </w:pPr>
      <w:r w:rsidRPr="001577BA">
        <w:rPr>
          <w:rStyle w:val="OWCharacterHibiscus"/>
        </w:rPr>
        <w:t>Domain 2: Policy and legislative reform</w:t>
      </w:r>
    </w:p>
    <w:p w14:paraId="15EC9100" w14:textId="77777777" w:rsidR="00107D55" w:rsidRPr="0071774C" w:rsidRDefault="00107D55" w:rsidP="00107D55">
      <w:pPr>
        <w:pStyle w:val="Heading5"/>
        <w:spacing w:before="160"/>
      </w:pPr>
      <w:r w:rsidRPr="0071774C">
        <w:rPr>
          <w:rFonts w:cs="Calibri"/>
        </w:rPr>
        <w:t>Measure</w:t>
      </w:r>
    </w:p>
    <w:p w14:paraId="2F836978" w14:textId="77777777" w:rsidR="00107D55" w:rsidRDefault="00107D55" w:rsidP="00D8674A">
      <w:pPr>
        <w:pStyle w:val="OWBullet1"/>
        <w:rPr>
          <w:rFonts w:eastAsia="Calibri"/>
        </w:rPr>
      </w:pPr>
      <w:r w:rsidRPr="0071774C">
        <w:rPr>
          <w:rFonts w:eastAsia="Calibri"/>
        </w:rPr>
        <w:t>Governments</w:t>
      </w:r>
      <w:r>
        <w:rPr>
          <w:rFonts w:eastAsia="Calibri"/>
        </w:rPr>
        <w:t xml:space="preserve"> </w:t>
      </w:r>
      <w:r w:rsidRPr="0071774C">
        <w:rPr>
          <w:rFonts w:eastAsia="Calibri"/>
        </w:rPr>
        <w:t>(federal,</w:t>
      </w:r>
      <w:r>
        <w:rPr>
          <w:rFonts w:eastAsia="Calibri"/>
        </w:rPr>
        <w:t xml:space="preserve"> </w:t>
      </w:r>
      <w:r w:rsidRPr="0071774C">
        <w:rPr>
          <w:rFonts w:eastAsia="Calibri"/>
        </w:rPr>
        <w:t>state/territory)</w:t>
      </w:r>
      <w:r>
        <w:rPr>
          <w:rFonts w:eastAsia="Calibri"/>
        </w:rPr>
        <w:t xml:space="preserve"> </w:t>
      </w:r>
      <w:r w:rsidRPr="0071774C">
        <w:rPr>
          <w:rFonts w:eastAsia="Calibri"/>
        </w:rPr>
        <w:t>have</w:t>
      </w:r>
      <w:r>
        <w:rPr>
          <w:rFonts w:eastAsia="Calibri"/>
        </w:rPr>
        <w:t xml:space="preserve"> </w:t>
      </w:r>
      <w:r w:rsidRPr="0071774C">
        <w:rPr>
          <w:rFonts w:eastAsia="Calibri"/>
        </w:rPr>
        <w:t>a</w:t>
      </w:r>
      <w:r>
        <w:rPr>
          <w:rFonts w:eastAsia="Calibri"/>
        </w:rPr>
        <w:t xml:space="preserve"> </w:t>
      </w:r>
      <w:r w:rsidRPr="0071774C">
        <w:rPr>
          <w:rFonts w:eastAsia="Calibri"/>
        </w:rPr>
        <w:t>dedicated</w:t>
      </w:r>
      <w:r>
        <w:rPr>
          <w:rFonts w:eastAsia="Calibri"/>
        </w:rPr>
        <w:t xml:space="preserve"> </w:t>
      </w:r>
      <w:r w:rsidRPr="0071774C">
        <w:rPr>
          <w:rFonts w:eastAsia="Calibri"/>
        </w:rPr>
        <w:t>policy</w:t>
      </w:r>
      <w:r>
        <w:rPr>
          <w:rFonts w:eastAsia="Calibri"/>
        </w:rPr>
        <w:t xml:space="preserve"> </w:t>
      </w:r>
      <w:r w:rsidRPr="0071774C">
        <w:rPr>
          <w:rFonts w:eastAsia="Calibri"/>
        </w:rPr>
        <w:t>for</w:t>
      </w:r>
      <w:r>
        <w:rPr>
          <w:rFonts w:eastAsia="Calibri"/>
        </w:rPr>
        <w:t xml:space="preserve"> </w:t>
      </w:r>
      <w:r w:rsidRPr="0071774C">
        <w:rPr>
          <w:rFonts w:eastAsia="Calibri"/>
        </w:rPr>
        <w:t>primary</w:t>
      </w:r>
      <w:r>
        <w:rPr>
          <w:rFonts w:eastAsia="Calibri"/>
        </w:rPr>
        <w:t xml:space="preserve"> </w:t>
      </w:r>
      <w:r w:rsidRPr="0071774C">
        <w:rPr>
          <w:rFonts w:eastAsia="Calibri"/>
        </w:rPr>
        <w:t>prevention</w:t>
      </w:r>
      <w:r>
        <w:rPr>
          <w:rFonts w:eastAsia="Calibri"/>
        </w:rPr>
        <w:t xml:space="preserve"> </w:t>
      </w:r>
      <w:r w:rsidRPr="0071774C">
        <w:rPr>
          <w:rFonts w:eastAsia="Calibri"/>
        </w:rPr>
        <w:t>of</w:t>
      </w:r>
      <w:r>
        <w:rPr>
          <w:rFonts w:eastAsia="Calibri"/>
        </w:rPr>
        <w:t xml:space="preserve"> </w:t>
      </w:r>
      <w:r w:rsidRPr="0071774C">
        <w:rPr>
          <w:rFonts w:eastAsia="Calibri"/>
        </w:rPr>
        <w:t>violence</w:t>
      </w:r>
      <w:r>
        <w:rPr>
          <w:rFonts w:eastAsia="Calibri"/>
        </w:rPr>
        <w:t xml:space="preserve"> </w:t>
      </w:r>
      <w:r w:rsidRPr="0071774C">
        <w:rPr>
          <w:rFonts w:eastAsia="Calibri"/>
        </w:rPr>
        <w:t>against</w:t>
      </w:r>
      <w:r>
        <w:rPr>
          <w:rFonts w:eastAsia="Calibri"/>
        </w:rPr>
        <w:t xml:space="preserve"> </w:t>
      </w:r>
      <w:r w:rsidRPr="0071774C">
        <w:rPr>
          <w:rFonts w:eastAsia="Calibri"/>
        </w:rPr>
        <w:t>women</w:t>
      </w:r>
      <w:r>
        <w:rPr>
          <w:rFonts w:eastAsia="Calibri"/>
        </w:rPr>
        <w:t xml:space="preserve"> </w:t>
      </w:r>
      <w:r w:rsidRPr="0071774C">
        <w:rPr>
          <w:rFonts w:eastAsia="Calibri"/>
        </w:rPr>
        <w:t>or</w:t>
      </w:r>
      <w:r>
        <w:rPr>
          <w:rFonts w:eastAsia="Calibri"/>
        </w:rPr>
        <w:t xml:space="preserve"> </w:t>
      </w:r>
      <w:r w:rsidRPr="0071774C">
        <w:rPr>
          <w:rFonts w:eastAsia="Calibri"/>
        </w:rPr>
        <w:t>have</w:t>
      </w:r>
      <w:r>
        <w:rPr>
          <w:rFonts w:eastAsia="Calibri"/>
        </w:rPr>
        <w:t xml:space="preserve"> </w:t>
      </w:r>
      <w:r w:rsidRPr="0071774C">
        <w:rPr>
          <w:rFonts w:eastAsia="Calibri"/>
        </w:rPr>
        <w:t>primary</w:t>
      </w:r>
      <w:r>
        <w:rPr>
          <w:rFonts w:eastAsia="Calibri"/>
        </w:rPr>
        <w:t xml:space="preserve"> </w:t>
      </w:r>
      <w:r w:rsidRPr="0071774C">
        <w:rPr>
          <w:rFonts w:eastAsia="Calibri"/>
        </w:rPr>
        <w:t>prevention</w:t>
      </w:r>
      <w:r>
        <w:rPr>
          <w:rFonts w:eastAsia="Calibri"/>
        </w:rPr>
        <w:t xml:space="preserve"> </w:t>
      </w:r>
      <w:r w:rsidRPr="0071774C">
        <w:rPr>
          <w:rFonts w:eastAsia="Calibri"/>
        </w:rPr>
        <w:t>of</w:t>
      </w:r>
      <w:r>
        <w:rPr>
          <w:rFonts w:eastAsia="Calibri"/>
        </w:rPr>
        <w:t xml:space="preserve"> </w:t>
      </w:r>
      <w:r w:rsidRPr="0071774C">
        <w:rPr>
          <w:rFonts w:eastAsia="Calibri"/>
        </w:rPr>
        <w:t>violence</w:t>
      </w:r>
      <w:r>
        <w:rPr>
          <w:rFonts w:eastAsia="Calibri"/>
        </w:rPr>
        <w:t xml:space="preserve"> </w:t>
      </w:r>
      <w:r w:rsidRPr="0071774C">
        <w:rPr>
          <w:rFonts w:eastAsia="Calibri"/>
        </w:rPr>
        <w:t>against</w:t>
      </w:r>
      <w:r>
        <w:rPr>
          <w:rFonts w:eastAsia="Calibri"/>
        </w:rPr>
        <w:t xml:space="preserve"> </w:t>
      </w:r>
      <w:r w:rsidRPr="0071774C">
        <w:rPr>
          <w:rFonts w:eastAsia="Calibri"/>
        </w:rPr>
        <w:t>women</w:t>
      </w:r>
      <w:r>
        <w:rPr>
          <w:rFonts w:eastAsia="Calibri"/>
        </w:rPr>
        <w:t xml:space="preserve"> </w:t>
      </w:r>
      <w:r w:rsidRPr="0071774C">
        <w:rPr>
          <w:rFonts w:eastAsia="Calibri"/>
        </w:rPr>
        <w:t>included</w:t>
      </w:r>
      <w:r>
        <w:rPr>
          <w:rFonts w:eastAsia="Calibri"/>
        </w:rPr>
        <w:t xml:space="preserve"> </w:t>
      </w:r>
      <w:r w:rsidRPr="0071774C">
        <w:rPr>
          <w:rFonts w:eastAsia="Calibri"/>
        </w:rPr>
        <w:t>as</w:t>
      </w:r>
      <w:r>
        <w:rPr>
          <w:rFonts w:eastAsia="Calibri"/>
        </w:rPr>
        <w:t xml:space="preserve"> </w:t>
      </w:r>
      <w:r w:rsidRPr="0071774C">
        <w:rPr>
          <w:rFonts w:eastAsia="Calibri"/>
        </w:rPr>
        <w:t>a</w:t>
      </w:r>
      <w:r>
        <w:rPr>
          <w:rFonts w:eastAsia="Calibri"/>
        </w:rPr>
        <w:t xml:space="preserve"> </w:t>
      </w:r>
      <w:r w:rsidRPr="0071774C">
        <w:rPr>
          <w:rFonts w:eastAsia="Calibri"/>
        </w:rPr>
        <w:t>specific</w:t>
      </w:r>
      <w:r>
        <w:rPr>
          <w:rFonts w:eastAsia="Calibri"/>
        </w:rPr>
        <w:t xml:space="preserve"> </w:t>
      </w:r>
      <w:r w:rsidRPr="0071774C">
        <w:rPr>
          <w:rFonts w:eastAsia="Calibri"/>
        </w:rPr>
        <w:t>area</w:t>
      </w:r>
      <w:r>
        <w:rPr>
          <w:rFonts w:eastAsia="Calibri"/>
        </w:rPr>
        <w:t xml:space="preserve"> </w:t>
      </w:r>
      <w:r w:rsidRPr="0071774C">
        <w:rPr>
          <w:rFonts w:eastAsia="Calibri"/>
        </w:rPr>
        <w:t>within</w:t>
      </w:r>
      <w:r>
        <w:rPr>
          <w:rFonts w:eastAsia="Calibri"/>
        </w:rPr>
        <w:t xml:space="preserve"> </w:t>
      </w:r>
      <w:r w:rsidRPr="0071774C">
        <w:rPr>
          <w:rFonts w:eastAsia="Calibri"/>
        </w:rPr>
        <w:t>a</w:t>
      </w:r>
      <w:r>
        <w:rPr>
          <w:rFonts w:eastAsia="Calibri"/>
        </w:rPr>
        <w:t xml:space="preserve"> </w:t>
      </w:r>
      <w:r w:rsidRPr="0071774C">
        <w:rPr>
          <w:rFonts w:eastAsia="Calibri"/>
        </w:rPr>
        <w:t>broader</w:t>
      </w:r>
      <w:r>
        <w:rPr>
          <w:rFonts w:eastAsia="Calibri"/>
        </w:rPr>
        <w:t xml:space="preserve"> </w:t>
      </w:r>
      <w:r w:rsidRPr="0071774C">
        <w:rPr>
          <w:rFonts w:eastAsia="Calibri"/>
        </w:rPr>
        <w:t>policy,</w:t>
      </w:r>
      <w:r>
        <w:rPr>
          <w:rFonts w:eastAsia="Calibri"/>
        </w:rPr>
        <w:t xml:space="preserve"> </w:t>
      </w:r>
      <w:r w:rsidRPr="0071774C">
        <w:rPr>
          <w:rFonts w:eastAsia="Calibri"/>
        </w:rPr>
        <w:t>aligned</w:t>
      </w:r>
      <w:r>
        <w:rPr>
          <w:rFonts w:eastAsia="Calibri"/>
        </w:rPr>
        <w:t xml:space="preserve"> </w:t>
      </w:r>
      <w:r w:rsidRPr="0071774C">
        <w:rPr>
          <w:rFonts w:eastAsia="Calibri"/>
        </w:rPr>
        <w:t>with</w:t>
      </w:r>
      <w:r>
        <w:rPr>
          <w:rFonts w:eastAsia="Calibri"/>
        </w:rPr>
        <w:t xml:space="preserve"> </w:t>
      </w:r>
      <w:r w:rsidRPr="00ED4674">
        <w:rPr>
          <w:rStyle w:val="Emphasis"/>
          <w:rFonts w:eastAsia="Calibri"/>
        </w:rPr>
        <w:t>Change the story</w:t>
      </w:r>
      <w:r w:rsidRPr="0071774C">
        <w:rPr>
          <w:rFonts w:eastAsia="Calibri"/>
        </w:rPr>
        <w:t>.</w:t>
      </w:r>
    </w:p>
    <w:p w14:paraId="5F71EA79" w14:textId="77777777" w:rsidR="00107D55" w:rsidRDefault="00107D55" w:rsidP="00D8674A">
      <w:pPr>
        <w:pStyle w:val="OWBullet1"/>
        <w:rPr>
          <w:rFonts w:eastAsia="Calibri"/>
        </w:rPr>
      </w:pPr>
      <w:r w:rsidRPr="0071774C">
        <w:rPr>
          <w:rFonts w:eastAsia="Calibri"/>
        </w:rPr>
        <w:t>Governments</w:t>
      </w:r>
      <w:r>
        <w:rPr>
          <w:rFonts w:eastAsia="Calibri"/>
        </w:rPr>
        <w:t xml:space="preserve"> </w:t>
      </w:r>
      <w:r w:rsidRPr="0071774C">
        <w:rPr>
          <w:rFonts w:eastAsia="Calibri"/>
        </w:rPr>
        <w:t>have</w:t>
      </w:r>
      <w:r>
        <w:rPr>
          <w:rFonts w:eastAsia="Calibri"/>
        </w:rPr>
        <w:t xml:space="preserve"> </w:t>
      </w:r>
      <w:r w:rsidRPr="0071774C">
        <w:rPr>
          <w:rFonts w:eastAsia="Calibri"/>
        </w:rPr>
        <w:t>a</w:t>
      </w:r>
      <w:r>
        <w:rPr>
          <w:rFonts w:eastAsia="Calibri"/>
        </w:rPr>
        <w:t xml:space="preserve"> </w:t>
      </w:r>
      <w:r w:rsidRPr="0071774C">
        <w:rPr>
          <w:rFonts w:eastAsia="Calibri"/>
        </w:rPr>
        <w:t>gender</w:t>
      </w:r>
      <w:r>
        <w:rPr>
          <w:rFonts w:eastAsia="Calibri"/>
        </w:rPr>
        <w:t xml:space="preserve"> </w:t>
      </w:r>
      <w:r w:rsidRPr="0071774C">
        <w:rPr>
          <w:rFonts w:eastAsia="Calibri"/>
        </w:rPr>
        <w:t>equality</w:t>
      </w:r>
      <w:r>
        <w:rPr>
          <w:rFonts w:eastAsia="Calibri"/>
        </w:rPr>
        <w:t xml:space="preserve"> </w:t>
      </w:r>
      <w:r w:rsidRPr="0071774C">
        <w:rPr>
          <w:rFonts w:eastAsia="Calibri"/>
        </w:rPr>
        <w:t>policy.</w:t>
      </w:r>
    </w:p>
    <w:p w14:paraId="303D018B" w14:textId="75457EA2" w:rsidR="00107D55" w:rsidRPr="0071774C" w:rsidRDefault="00107D55" w:rsidP="00D8674A">
      <w:pPr>
        <w:pStyle w:val="OWBullet1"/>
      </w:pPr>
      <w:r w:rsidRPr="0071774C">
        <w:rPr>
          <w:rFonts w:eastAsia="Calibri"/>
        </w:rPr>
        <w:t>Changes</w:t>
      </w:r>
      <w:r>
        <w:rPr>
          <w:rFonts w:eastAsia="Calibri"/>
        </w:rPr>
        <w:t xml:space="preserve"> </w:t>
      </w:r>
      <w:r w:rsidRPr="0071774C">
        <w:rPr>
          <w:rFonts w:eastAsia="Calibri"/>
        </w:rPr>
        <w:t>to</w:t>
      </w:r>
      <w:r>
        <w:rPr>
          <w:rFonts w:eastAsia="Calibri"/>
        </w:rPr>
        <w:t xml:space="preserve"> </w:t>
      </w:r>
      <w:r w:rsidRPr="0071774C">
        <w:rPr>
          <w:rFonts w:eastAsia="Calibri"/>
        </w:rPr>
        <w:t>legislation</w:t>
      </w:r>
      <w:r>
        <w:rPr>
          <w:rFonts w:eastAsia="Calibri"/>
        </w:rPr>
        <w:t xml:space="preserve"> </w:t>
      </w:r>
      <w:r w:rsidRPr="0071774C">
        <w:rPr>
          <w:rFonts w:eastAsia="Calibri"/>
        </w:rPr>
        <w:t>address</w:t>
      </w:r>
      <w:r>
        <w:rPr>
          <w:rFonts w:eastAsia="Calibri"/>
        </w:rPr>
        <w:t xml:space="preserve"> </w:t>
      </w:r>
      <w:r w:rsidRPr="0071774C">
        <w:rPr>
          <w:rFonts w:eastAsia="Calibri"/>
        </w:rPr>
        <w:t>the</w:t>
      </w:r>
      <w:r>
        <w:rPr>
          <w:rFonts w:eastAsia="Calibri"/>
        </w:rPr>
        <w:t xml:space="preserve"> </w:t>
      </w:r>
      <w:r w:rsidRPr="0071774C">
        <w:rPr>
          <w:rFonts w:eastAsia="Calibri"/>
        </w:rPr>
        <w:t>drivers</w:t>
      </w:r>
      <w:r>
        <w:rPr>
          <w:rFonts w:eastAsia="Calibri"/>
        </w:rPr>
        <w:t xml:space="preserve"> </w:t>
      </w:r>
      <w:r w:rsidRPr="0071774C">
        <w:rPr>
          <w:rFonts w:eastAsia="Calibri"/>
        </w:rPr>
        <w:t>of</w:t>
      </w:r>
      <w:r>
        <w:rPr>
          <w:rFonts w:eastAsia="Calibri"/>
        </w:rPr>
        <w:t xml:space="preserve"> </w:t>
      </w:r>
      <w:r w:rsidRPr="0071774C">
        <w:rPr>
          <w:rFonts w:eastAsia="Calibri"/>
        </w:rPr>
        <w:t>violence</w:t>
      </w:r>
      <w:r>
        <w:rPr>
          <w:rFonts w:eastAsia="Calibri"/>
        </w:rPr>
        <w:t xml:space="preserve"> </w:t>
      </w:r>
      <w:r w:rsidRPr="0071774C">
        <w:rPr>
          <w:rFonts w:eastAsia="Calibri"/>
        </w:rPr>
        <w:t>against</w:t>
      </w:r>
      <w:r>
        <w:rPr>
          <w:rFonts w:eastAsia="Calibri"/>
        </w:rPr>
        <w:t xml:space="preserve"> </w:t>
      </w:r>
      <w:r w:rsidRPr="0071774C">
        <w:rPr>
          <w:rFonts w:eastAsia="Calibri"/>
        </w:rPr>
        <w:t>women.</w:t>
      </w:r>
    </w:p>
    <w:p w14:paraId="2F710651" w14:textId="77777777" w:rsidR="00107D55" w:rsidRPr="0071774C" w:rsidRDefault="00107D55" w:rsidP="00D8674A">
      <w:pPr>
        <w:pStyle w:val="OWBullet1"/>
      </w:pPr>
      <w:r w:rsidRPr="00EF619E">
        <w:rPr>
          <w:rFonts w:eastAsia="Calibri"/>
        </w:rPr>
        <w:lastRenderedPageBreak/>
        <w:t>Governments (federal, state/territory and local) embed gender equality goals and targets in legislation, regulation and agency guidelines (e.g. &gt;40% representation for each gender on public committees and boards).</w:t>
      </w:r>
    </w:p>
    <w:p w14:paraId="1E0C1C95" w14:textId="77777777" w:rsidR="00107D55" w:rsidRPr="0071774C" w:rsidRDefault="00107D55" w:rsidP="00107D55">
      <w:pPr>
        <w:pStyle w:val="Heading5"/>
      </w:pPr>
      <w:r w:rsidRPr="0071774C">
        <w:rPr>
          <w:rFonts w:cs="Calibri"/>
        </w:rPr>
        <w:t>Methodology</w:t>
      </w:r>
    </w:p>
    <w:p w14:paraId="51B13AB9" w14:textId="77777777" w:rsidR="00107D55" w:rsidRPr="0071774C" w:rsidRDefault="00107D55" w:rsidP="00D8674A">
      <w:pPr>
        <w:pStyle w:val="OWBullet1"/>
        <w:rPr>
          <w:rFonts w:eastAsia="Calibri"/>
        </w:rPr>
      </w:pPr>
      <w:r w:rsidRPr="0071774C">
        <w:rPr>
          <w:rFonts w:eastAsia="Calibri"/>
        </w:rPr>
        <w:t>Online</w:t>
      </w:r>
      <w:r>
        <w:rPr>
          <w:rFonts w:eastAsia="Calibri"/>
        </w:rPr>
        <w:t xml:space="preserve"> </w:t>
      </w:r>
      <w:r w:rsidRPr="0071774C">
        <w:rPr>
          <w:rFonts w:eastAsia="Calibri"/>
        </w:rPr>
        <w:t>search</w:t>
      </w:r>
      <w:r>
        <w:rPr>
          <w:rFonts w:eastAsia="Calibri"/>
        </w:rPr>
        <w:t xml:space="preserve"> </w:t>
      </w:r>
      <w:r w:rsidRPr="0071774C">
        <w:rPr>
          <w:rFonts w:eastAsia="Calibri"/>
        </w:rPr>
        <w:t>to</w:t>
      </w:r>
      <w:r>
        <w:rPr>
          <w:rFonts w:eastAsia="Calibri"/>
        </w:rPr>
        <w:t xml:space="preserve"> </w:t>
      </w:r>
      <w:r w:rsidRPr="0071774C">
        <w:rPr>
          <w:rFonts w:eastAsia="Calibri"/>
        </w:rPr>
        <w:t>identify</w:t>
      </w:r>
      <w:r>
        <w:rPr>
          <w:rFonts w:eastAsia="Calibri"/>
        </w:rPr>
        <w:t xml:space="preserve"> </w:t>
      </w:r>
      <w:r w:rsidRPr="0071774C">
        <w:rPr>
          <w:rFonts w:eastAsia="Calibri"/>
        </w:rPr>
        <w:t>all</w:t>
      </w:r>
      <w:r>
        <w:rPr>
          <w:rFonts w:eastAsia="Calibri"/>
        </w:rPr>
        <w:t xml:space="preserve"> </w:t>
      </w:r>
      <w:r w:rsidRPr="0071774C">
        <w:rPr>
          <w:rFonts w:eastAsia="Calibri"/>
        </w:rPr>
        <w:t>available</w:t>
      </w:r>
      <w:r>
        <w:rPr>
          <w:rFonts w:eastAsia="Calibri"/>
        </w:rPr>
        <w:t xml:space="preserve"> </w:t>
      </w:r>
      <w:r w:rsidRPr="0071774C">
        <w:rPr>
          <w:rFonts w:eastAsia="Calibri"/>
        </w:rPr>
        <w:t>relevant</w:t>
      </w:r>
      <w:r>
        <w:rPr>
          <w:rFonts w:eastAsia="Calibri"/>
        </w:rPr>
        <w:t xml:space="preserve"> </w:t>
      </w:r>
      <w:r w:rsidRPr="0071774C">
        <w:rPr>
          <w:rFonts w:eastAsia="Calibri"/>
        </w:rPr>
        <w:t>government</w:t>
      </w:r>
      <w:r>
        <w:rPr>
          <w:rFonts w:eastAsia="Calibri"/>
        </w:rPr>
        <w:t xml:space="preserve"> </w:t>
      </w:r>
      <w:r w:rsidRPr="0071774C">
        <w:rPr>
          <w:rFonts w:eastAsia="Calibri"/>
        </w:rPr>
        <w:t>strategies,</w:t>
      </w:r>
      <w:r>
        <w:rPr>
          <w:rFonts w:eastAsia="Calibri"/>
        </w:rPr>
        <w:t xml:space="preserve"> </w:t>
      </w:r>
      <w:r w:rsidRPr="0071774C">
        <w:rPr>
          <w:rFonts w:eastAsia="Calibri"/>
        </w:rPr>
        <w:t>policies</w:t>
      </w:r>
      <w:r>
        <w:rPr>
          <w:rFonts w:eastAsia="Calibri"/>
        </w:rPr>
        <w:t xml:space="preserve"> </w:t>
      </w:r>
      <w:r w:rsidRPr="0071774C">
        <w:rPr>
          <w:rFonts w:eastAsia="Calibri"/>
        </w:rPr>
        <w:t>and</w:t>
      </w:r>
      <w:r>
        <w:rPr>
          <w:rFonts w:eastAsia="Calibri"/>
        </w:rPr>
        <w:t xml:space="preserve"> </w:t>
      </w:r>
      <w:r w:rsidRPr="0071774C">
        <w:rPr>
          <w:rFonts w:eastAsia="Calibri"/>
        </w:rPr>
        <w:t>plans</w:t>
      </w:r>
      <w:r>
        <w:rPr>
          <w:rFonts w:eastAsia="Calibri"/>
        </w:rPr>
        <w:t>.</w:t>
      </w:r>
    </w:p>
    <w:p w14:paraId="1726A6B3" w14:textId="77777777" w:rsidR="00107D55" w:rsidRDefault="00107D55" w:rsidP="00D8674A">
      <w:pPr>
        <w:pStyle w:val="OWBullet1"/>
        <w:rPr>
          <w:rFonts w:eastAsia="Calibri"/>
        </w:rPr>
      </w:pPr>
      <w:r w:rsidRPr="0071774C">
        <w:rPr>
          <w:rFonts w:eastAsia="Calibri"/>
        </w:rPr>
        <w:t>Rapid</w:t>
      </w:r>
      <w:r>
        <w:rPr>
          <w:rFonts w:eastAsia="Calibri"/>
        </w:rPr>
        <w:t xml:space="preserve"> </w:t>
      </w:r>
      <w:r w:rsidRPr="0071774C">
        <w:rPr>
          <w:rFonts w:eastAsia="Calibri"/>
        </w:rPr>
        <w:t>content</w:t>
      </w:r>
      <w:r>
        <w:rPr>
          <w:rFonts w:eastAsia="Calibri"/>
        </w:rPr>
        <w:t xml:space="preserve"> </w:t>
      </w:r>
      <w:r w:rsidRPr="0071774C">
        <w:rPr>
          <w:rFonts w:eastAsia="Calibri"/>
        </w:rPr>
        <w:t>analysis</w:t>
      </w:r>
      <w:r>
        <w:rPr>
          <w:rFonts w:eastAsia="Calibri"/>
        </w:rPr>
        <w:t xml:space="preserve"> </w:t>
      </w:r>
      <w:r w:rsidRPr="0071774C">
        <w:rPr>
          <w:rFonts w:eastAsia="Calibri"/>
        </w:rPr>
        <w:t>of</w:t>
      </w:r>
      <w:r>
        <w:rPr>
          <w:rFonts w:eastAsia="Calibri"/>
        </w:rPr>
        <w:t xml:space="preserve"> </w:t>
      </w:r>
      <w:r w:rsidRPr="0071774C">
        <w:rPr>
          <w:rFonts w:eastAsia="Calibri"/>
        </w:rPr>
        <w:t>policies,</w:t>
      </w:r>
      <w:r>
        <w:rPr>
          <w:rFonts w:eastAsia="Calibri"/>
        </w:rPr>
        <w:t xml:space="preserve"> </w:t>
      </w:r>
      <w:r w:rsidRPr="0071774C">
        <w:rPr>
          <w:rFonts w:eastAsia="Calibri"/>
        </w:rPr>
        <w:t>strategies</w:t>
      </w:r>
      <w:r>
        <w:rPr>
          <w:rFonts w:eastAsia="Calibri"/>
        </w:rPr>
        <w:t xml:space="preserve"> </w:t>
      </w:r>
      <w:r w:rsidRPr="0071774C">
        <w:rPr>
          <w:rFonts w:eastAsia="Calibri"/>
        </w:rPr>
        <w:t>and</w:t>
      </w:r>
      <w:r>
        <w:rPr>
          <w:rFonts w:eastAsia="Calibri"/>
        </w:rPr>
        <w:t xml:space="preserve"> </w:t>
      </w:r>
      <w:r w:rsidRPr="0071774C">
        <w:rPr>
          <w:rFonts w:eastAsia="Calibri"/>
        </w:rPr>
        <w:t>action</w:t>
      </w:r>
      <w:r>
        <w:rPr>
          <w:rFonts w:eastAsia="Calibri"/>
        </w:rPr>
        <w:t xml:space="preserve"> </w:t>
      </w:r>
      <w:r w:rsidRPr="0071774C">
        <w:rPr>
          <w:rFonts w:eastAsia="Calibri"/>
        </w:rPr>
        <w:t>plans,</w:t>
      </w:r>
      <w:r>
        <w:rPr>
          <w:rFonts w:eastAsia="Calibri"/>
        </w:rPr>
        <w:t xml:space="preserve"> </w:t>
      </w:r>
      <w:r w:rsidRPr="0071774C">
        <w:rPr>
          <w:rFonts w:eastAsia="Calibri"/>
        </w:rPr>
        <w:t>based</w:t>
      </w:r>
      <w:r>
        <w:rPr>
          <w:rFonts w:eastAsia="Calibri"/>
        </w:rPr>
        <w:t xml:space="preserve"> </w:t>
      </w:r>
      <w:r w:rsidRPr="0071774C">
        <w:rPr>
          <w:rFonts w:eastAsia="Calibri"/>
        </w:rPr>
        <w:t>on</w:t>
      </w:r>
      <w:r>
        <w:rPr>
          <w:rFonts w:eastAsia="Calibri"/>
        </w:rPr>
        <w:t xml:space="preserve"> </w:t>
      </w:r>
      <w:r w:rsidRPr="0071774C">
        <w:rPr>
          <w:rFonts w:eastAsia="Calibri"/>
        </w:rPr>
        <w:t>a</w:t>
      </w:r>
      <w:r>
        <w:rPr>
          <w:rFonts w:eastAsia="Calibri"/>
        </w:rPr>
        <w:t xml:space="preserve"> </w:t>
      </w:r>
      <w:r w:rsidRPr="0071774C">
        <w:rPr>
          <w:rFonts w:eastAsia="Calibri"/>
        </w:rPr>
        <w:t>keyword</w:t>
      </w:r>
      <w:r>
        <w:rPr>
          <w:rFonts w:eastAsia="Calibri"/>
        </w:rPr>
        <w:t xml:space="preserve"> </w:t>
      </w:r>
      <w:r w:rsidRPr="0071774C">
        <w:rPr>
          <w:rFonts w:eastAsia="Calibri"/>
        </w:rPr>
        <w:t>search</w:t>
      </w:r>
      <w:r>
        <w:rPr>
          <w:rFonts w:eastAsia="Calibri"/>
        </w:rPr>
        <w:t xml:space="preserve"> </w:t>
      </w:r>
      <w:r w:rsidRPr="0071774C">
        <w:rPr>
          <w:rFonts w:eastAsia="Calibri"/>
        </w:rPr>
        <w:t>to</w:t>
      </w:r>
      <w:r>
        <w:rPr>
          <w:rFonts w:eastAsia="Calibri"/>
        </w:rPr>
        <w:t xml:space="preserve"> </w:t>
      </w:r>
      <w:r w:rsidRPr="0071774C">
        <w:rPr>
          <w:rFonts w:eastAsia="Calibri"/>
        </w:rPr>
        <w:t>investigate</w:t>
      </w:r>
      <w:r>
        <w:rPr>
          <w:rFonts w:eastAsia="Calibri"/>
        </w:rPr>
        <w:t xml:space="preserve"> </w:t>
      </w:r>
      <w:r w:rsidRPr="0071774C">
        <w:rPr>
          <w:rFonts w:eastAsia="Calibri"/>
        </w:rPr>
        <w:t>references</w:t>
      </w:r>
      <w:r>
        <w:rPr>
          <w:rFonts w:eastAsia="Calibri"/>
        </w:rPr>
        <w:t xml:space="preserve"> </w:t>
      </w:r>
      <w:r w:rsidRPr="0071774C">
        <w:rPr>
          <w:rFonts w:eastAsia="Calibri"/>
        </w:rPr>
        <w:t>to:</w:t>
      </w:r>
    </w:p>
    <w:p w14:paraId="40D5CC30" w14:textId="77777777" w:rsidR="00107D55" w:rsidRDefault="00107D55" w:rsidP="00D8674A">
      <w:pPr>
        <w:pStyle w:val="OWBullet2"/>
        <w:rPr>
          <w:rFonts w:eastAsia="Calibri"/>
        </w:rPr>
      </w:pPr>
      <w:r w:rsidRPr="0071774C">
        <w:rPr>
          <w:rFonts w:eastAsia="Calibri"/>
        </w:rPr>
        <w:t>primary</w:t>
      </w:r>
      <w:r>
        <w:rPr>
          <w:rFonts w:eastAsia="Calibri"/>
        </w:rPr>
        <w:t xml:space="preserve"> </w:t>
      </w:r>
      <w:r w:rsidRPr="0071774C">
        <w:rPr>
          <w:rFonts w:eastAsia="Calibri"/>
        </w:rPr>
        <w:t>prevention</w:t>
      </w:r>
      <w:r>
        <w:rPr>
          <w:rFonts w:eastAsia="Calibri"/>
        </w:rPr>
        <w:t xml:space="preserve"> </w:t>
      </w:r>
      <w:r w:rsidRPr="0071774C">
        <w:rPr>
          <w:rFonts w:eastAsia="Calibri"/>
        </w:rPr>
        <w:t>in</w:t>
      </w:r>
      <w:r>
        <w:rPr>
          <w:rFonts w:eastAsia="Calibri"/>
        </w:rPr>
        <w:t xml:space="preserve"> </w:t>
      </w:r>
      <w:r w:rsidRPr="0071774C">
        <w:rPr>
          <w:rFonts w:eastAsia="Calibri"/>
        </w:rPr>
        <w:t>existing</w:t>
      </w:r>
      <w:r>
        <w:rPr>
          <w:rFonts w:eastAsia="Calibri"/>
        </w:rPr>
        <w:t xml:space="preserve"> </w:t>
      </w:r>
      <w:r w:rsidRPr="0071774C">
        <w:rPr>
          <w:rFonts w:eastAsia="Calibri"/>
        </w:rPr>
        <w:t>government</w:t>
      </w:r>
      <w:r>
        <w:rPr>
          <w:rFonts w:eastAsia="Calibri"/>
        </w:rPr>
        <w:t xml:space="preserve"> </w:t>
      </w:r>
      <w:r w:rsidRPr="0071774C">
        <w:rPr>
          <w:rFonts w:eastAsia="Calibri"/>
        </w:rPr>
        <w:t>policies,</w:t>
      </w:r>
      <w:r>
        <w:rPr>
          <w:rFonts w:eastAsia="Calibri"/>
        </w:rPr>
        <w:t xml:space="preserve"> </w:t>
      </w:r>
      <w:r w:rsidRPr="0071774C">
        <w:rPr>
          <w:rFonts w:eastAsia="Calibri"/>
        </w:rPr>
        <w:t>strategies</w:t>
      </w:r>
      <w:r>
        <w:rPr>
          <w:rFonts w:eastAsia="Calibri"/>
        </w:rPr>
        <w:t xml:space="preserve"> </w:t>
      </w:r>
      <w:r w:rsidRPr="0071774C">
        <w:rPr>
          <w:rFonts w:eastAsia="Calibri"/>
        </w:rPr>
        <w:t>and</w:t>
      </w:r>
      <w:r>
        <w:rPr>
          <w:rFonts w:eastAsia="Calibri"/>
        </w:rPr>
        <w:t xml:space="preserve"> </w:t>
      </w:r>
      <w:r w:rsidRPr="0071774C">
        <w:rPr>
          <w:rFonts w:eastAsia="Calibri"/>
        </w:rPr>
        <w:t>action</w:t>
      </w:r>
      <w:r>
        <w:rPr>
          <w:rFonts w:eastAsia="Calibri"/>
        </w:rPr>
        <w:t xml:space="preserve"> </w:t>
      </w:r>
      <w:r w:rsidRPr="0071774C">
        <w:rPr>
          <w:rFonts w:eastAsia="Calibri"/>
        </w:rPr>
        <w:t>plans</w:t>
      </w:r>
    </w:p>
    <w:p w14:paraId="650718E3" w14:textId="77777777" w:rsidR="00107D55" w:rsidRDefault="00107D55" w:rsidP="00D8674A">
      <w:pPr>
        <w:pStyle w:val="OWBullet2"/>
        <w:rPr>
          <w:rFonts w:eastAsia="Calibri"/>
        </w:rPr>
      </w:pPr>
      <w:r w:rsidRPr="0071774C">
        <w:rPr>
          <w:rFonts w:eastAsia="Calibri"/>
        </w:rPr>
        <w:t>shared</w:t>
      </w:r>
      <w:r>
        <w:rPr>
          <w:rFonts w:eastAsia="Calibri"/>
        </w:rPr>
        <w:t xml:space="preserve"> </w:t>
      </w:r>
      <w:r w:rsidRPr="0071774C">
        <w:rPr>
          <w:rFonts w:eastAsia="Calibri"/>
        </w:rPr>
        <w:t>frameworks</w:t>
      </w:r>
      <w:r>
        <w:rPr>
          <w:rFonts w:eastAsia="Calibri"/>
        </w:rPr>
        <w:t xml:space="preserve"> </w:t>
      </w:r>
      <w:r w:rsidRPr="0071774C">
        <w:rPr>
          <w:rFonts w:eastAsia="Calibri"/>
        </w:rPr>
        <w:t>and</w:t>
      </w:r>
      <w:r>
        <w:rPr>
          <w:rFonts w:eastAsia="Calibri"/>
        </w:rPr>
        <w:t xml:space="preserve"> </w:t>
      </w:r>
      <w:r w:rsidRPr="0071774C">
        <w:rPr>
          <w:rFonts w:eastAsia="Calibri"/>
        </w:rPr>
        <w:t>recent</w:t>
      </w:r>
      <w:r>
        <w:rPr>
          <w:rFonts w:eastAsia="Calibri"/>
        </w:rPr>
        <w:t xml:space="preserve"> </w:t>
      </w:r>
      <w:r w:rsidRPr="0071774C">
        <w:rPr>
          <w:rFonts w:eastAsia="Calibri"/>
        </w:rPr>
        <w:t>evidence</w:t>
      </w:r>
      <w:r>
        <w:rPr>
          <w:rFonts w:eastAsia="Calibri"/>
        </w:rPr>
        <w:t xml:space="preserve"> </w:t>
      </w:r>
      <w:r w:rsidRPr="0071774C">
        <w:rPr>
          <w:rFonts w:eastAsia="Calibri"/>
        </w:rPr>
        <w:t>referenced</w:t>
      </w:r>
      <w:r>
        <w:rPr>
          <w:rFonts w:eastAsia="Calibri"/>
        </w:rPr>
        <w:t xml:space="preserve"> </w:t>
      </w:r>
      <w:r w:rsidRPr="0071774C">
        <w:rPr>
          <w:rFonts w:eastAsia="Calibri"/>
        </w:rPr>
        <w:t>in</w:t>
      </w:r>
      <w:r>
        <w:rPr>
          <w:rFonts w:eastAsia="Calibri"/>
        </w:rPr>
        <w:t xml:space="preserve"> </w:t>
      </w:r>
      <w:r w:rsidRPr="0071774C">
        <w:rPr>
          <w:rFonts w:eastAsia="Calibri"/>
        </w:rPr>
        <w:t>these</w:t>
      </w:r>
      <w:r>
        <w:rPr>
          <w:rFonts w:eastAsia="Calibri"/>
        </w:rPr>
        <w:t xml:space="preserve"> </w:t>
      </w:r>
      <w:r w:rsidRPr="0071774C">
        <w:rPr>
          <w:rFonts w:eastAsia="Calibri"/>
        </w:rPr>
        <w:t>documents</w:t>
      </w:r>
    </w:p>
    <w:p w14:paraId="5C52B94B" w14:textId="77777777" w:rsidR="00107D55" w:rsidRDefault="00107D55" w:rsidP="00D8674A">
      <w:pPr>
        <w:pStyle w:val="OWBullet2"/>
        <w:rPr>
          <w:rFonts w:eastAsia="Calibri"/>
        </w:rPr>
      </w:pPr>
      <w:r w:rsidRPr="0071774C">
        <w:rPr>
          <w:rFonts w:eastAsia="Calibri"/>
        </w:rPr>
        <w:t>gender</w:t>
      </w:r>
      <w:r>
        <w:rPr>
          <w:rFonts w:eastAsia="Calibri"/>
        </w:rPr>
        <w:t xml:space="preserve"> </w:t>
      </w:r>
      <w:r w:rsidRPr="0071774C">
        <w:rPr>
          <w:rFonts w:eastAsia="Calibri"/>
        </w:rPr>
        <w:t>equality</w:t>
      </w:r>
      <w:r>
        <w:rPr>
          <w:rFonts w:eastAsia="Calibri"/>
        </w:rPr>
        <w:t xml:space="preserve"> </w:t>
      </w:r>
      <w:r w:rsidRPr="0071774C">
        <w:rPr>
          <w:rFonts w:eastAsia="Calibri"/>
        </w:rPr>
        <w:t>as</w:t>
      </w:r>
      <w:r>
        <w:rPr>
          <w:rFonts w:eastAsia="Calibri"/>
        </w:rPr>
        <w:t xml:space="preserve"> </w:t>
      </w:r>
      <w:r w:rsidRPr="0071774C">
        <w:rPr>
          <w:rFonts w:eastAsia="Calibri"/>
        </w:rPr>
        <w:t>a</w:t>
      </w:r>
      <w:r>
        <w:rPr>
          <w:rFonts w:eastAsia="Calibri"/>
        </w:rPr>
        <w:t xml:space="preserve"> </w:t>
      </w:r>
      <w:r w:rsidRPr="0071774C">
        <w:rPr>
          <w:rFonts w:eastAsia="Calibri"/>
        </w:rPr>
        <w:t>human</w:t>
      </w:r>
      <w:r>
        <w:rPr>
          <w:rFonts w:eastAsia="Calibri"/>
        </w:rPr>
        <w:t xml:space="preserve"> </w:t>
      </w:r>
      <w:r w:rsidRPr="0071774C">
        <w:rPr>
          <w:rFonts w:eastAsia="Calibri"/>
        </w:rPr>
        <w:t>right</w:t>
      </w:r>
    </w:p>
    <w:p w14:paraId="6C9B639C" w14:textId="77777777" w:rsidR="00107D55" w:rsidRPr="0071774C" w:rsidRDefault="00107D55" w:rsidP="00D8674A">
      <w:pPr>
        <w:pStyle w:val="OWBullet2"/>
        <w:rPr>
          <w:rFonts w:eastAsia="Calibri"/>
        </w:rPr>
      </w:pPr>
      <w:r w:rsidRPr="0071774C">
        <w:rPr>
          <w:rFonts w:eastAsia="Calibri"/>
        </w:rPr>
        <w:t>how</w:t>
      </w:r>
      <w:r>
        <w:rPr>
          <w:rFonts w:eastAsia="Calibri"/>
        </w:rPr>
        <w:t xml:space="preserve"> </w:t>
      </w:r>
      <w:r w:rsidRPr="0071774C">
        <w:rPr>
          <w:rFonts w:eastAsia="Calibri"/>
        </w:rPr>
        <w:t>approaches</w:t>
      </w:r>
      <w:r>
        <w:rPr>
          <w:rFonts w:eastAsia="Calibri"/>
        </w:rPr>
        <w:t xml:space="preserve"> </w:t>
      </w:r>
      <w:r w:rsidRPr="0071774C">
        <w:rPr>
          <w:rFonts w:eastAsia="Calibri"/>
        </w:rPr>
        <w:t>account</w:t>
      </w:r>
      <w:r>
        <w:rPr>
          <w:rFonts w:eastAsia="Calibri"/>
        </w:rPr>
        <w:t xml:space="preserve"> </w:t>
      </w:r>
      <w:r w:rsidRPr="0071774C">
        <w:rPr>
          <w:rFonts w:eastAsia="Calibri"/>
        </w:rPr>
        <w:t>for</w:t>
      </w:r>
      <w:r>
        <w:rPr>
          <w:rFonts w:eastAsia="Calibri"/>
        </w:rPr>
        <w:t xml:space="preserve"> </w:t>
      </w:r>
      <w:r w:rsidRPr="0071774C">
        <w:rPr>
          <w:rFonts w:eastAsia="Calibri"/>
        </w:rPr>
        <w:t>differential</w:t>
      </w:r>
      <w:r>
        <w:rPr>
          <w:rFonts w:eastAsia="Calibri"/>
        </w:rPr>
        <w:t xml:space="preserve"> </w:t>
      </w:r>
      <w:r w:rsidRPr="0071774C">
        <w:rPr>
          <w:rFonts w:eastAsia="Calibri"/>
        </w:rPr>
        <w:t>experiences</w:t>
      </w:r>
      <w:r>
        <w:rPr>
          <w:rFonts w:eastAsia="Calibri"/>
        </w:rPr>
        <w:t xml:space="preserve"> </w:t>
      </w:r>
      <w:r w:rsidRPr="0071774C">
        <w:rPr>
          <w:rFonts w:eastAsia="Calibri"/>
        </w:rPr>
        <w:t>of</w:t>
      </w:r>
      <w:r>
        <w:rPr>
          <w:rFonts w:eastAsia="Calibri"/>
        </w:rPr>
        <w:t xml:space="preserve"> </w:t>
      </w:r>
      <w:r w:rsidRPr="0071774C">
        <w:rPr>
          <w:rFonts w:eastAsia="Calibri"/>
        </w:rPr>
        <w:t>violence,</w:t>
      </w:r>
      <w:r>
        <w:rPr>
          <w:rFonts w:eastAsia="Calibri"/>
        </w:rPr>
        <w:t xml:space="preserve"> </w:t>
      </w:r>
      <w:r w:rsidRPr="0071774C">
        <w:rPr>
          <w:rFonts w:eastAsia="Calibri"/>
        </w:rPr>
        <w:t>and</w:t>
      </w:r>
      <w:r>
        <w:rPr>
          <w:rFonts w:eastAsia="Calibri"/>
        </w:rPr>
        <w:t xml:space="preserve"> </w:t>
      </w:r>
      <w:r w:rsidRPr="0071774C">
        <w:rPr>
          <w:rFonts w:eastAsia="Calibri"/>
        </w:rPr>
        <w:t>for</w:t>
      </w:r>
      <w:r>
        <w:rPr>
          <w:rFonts w:eastAsia="Calibri"/>
        </w:rPr>
        <w:t xml:space="preserve"> </w:t>
      </w:r>
      <w:r w:rsidRPr="0071774C">
        <w:rPr>
          <w:rFonts w:eastAsia="Calibri"/>
        </w:rPr>
        <w:t>structural</w:t>
      </w:r>
      <w:r>
        <w:rPr>
          <w:rFonts w:eastAsia="Calibri"/>
        </w:rPr>
        <w:t xml:space="preserve"> </w:t>
      </w:r>
      <w:r w:rsidRPr="0071774C">
        <w:rPr>
          <w:rFonts w:eastAsia="Calibri"/>
        </w:rPr>
        <w:t>discrimination</w:t>
      </w:r>
    </w:p>
    <w:p w14:paraId="2049510F" w14:textId="77777777" w:rsidR="00107D55" w:rsidRDefault="00107D55" w:rsidP="00D8674A">
      <w:pPr>
        <w:pStyle w:val="OWBullet2"/>
        <w:rPr>
          <w:rFonts w:eastAsia="Calibri"/>
        </w:rPr>
      </w:pPr>
      <w:r w:rsidRPr="0071774C">
        <w:rPr>
          <w:rFonts w:eastAsia="Calibri"/>
        </w:rPr>
        <w:t>governance</w:t>
      </w:r>
      <w:r>
        <w:rPr>
          <w:rFonts w:eastAsia="Calibri"/>
        </w:rPr>
        <w:t xml:space="preserve"> </w:t>
      </w:r>
      <w:r w:rsidRPr="0071774C">
        <w:rPr>
          <w:rFonts w:eastAsia="Calibri"/>
        </w:rPr>
        <w:t>arrangements</w:t>
      </w:r>
    </w:p>
    <w:p w14:paraId="37B769D1" w14:textId="77777777" w:rsidR="00107D55" w:rsidRDefault="00107D55" w:rsidP="00D8674A">
      <w:pPr>
        <w:pStyle w:val="OWBullet2"/>
        <w:rPr>
          <w:rFonts w:eastAsia="Calibri"/>
        </w:rPr>
      </w:pPr>
      <w:r w:rsidRPr="0071774C">
        <w:rPr>
          <w:rFonts w:eastAsia="Calibri"/>
        </w:rPr>
        <w:t>length</w:t>
      </w:r>
      <w:r>
        <w:rPr>
          <w:rFonts w:eastAsia="Calibri"/>
        </w:rPr>
        <w:t xml:space="preserve"> </w:t>
      </w:r>
      <w:r w:rsidRPr="0071774C">
        <w:rPr>
          <w:rFonts w:eastAsia="Calibri"/>
        </w:rPr>
        <w:t>of</w:t>
      </w:r>
      <w:r>
        <w:rPr>
          <w:rFonts w:eastAsia="Calibri"/>
        </w:rPr>
        <w:t xml:space="preserve"> </w:t>
      </w:r>
      <w:r w:rsidRPr="0071774C">
        <w:rPr>
          <w:rFonts w:eastAsia="Calibri"/>
        </w:rPr>
        <w:t>funded</w:t>
      </w:r>
      <w:r>
        <w:rPr>
          <w:rFonts w:eastAsia="Calibri"/>
        </w:rPr>
        <w:t xml:space="preserve"> </w:t>
      </w:r>
      <w:r w:rsidRPr="0071774C">
        <w:rPr>
          <w:rFonts w:eastAsia="Calibri"/>
        </w:rPr>
        <w:t>period</w:t>
      </w:r>
      <w:r>
        <w:rPr>
          <w:rFonts w:eastAsia="Calibri"/>
        </w:rPr>
        <w:t xml:space="preserve"> </w:t>
      </w:r>
      <w:r w:rsidRPr="0071774C">
        <w:rPr>
          <w:rFonts w:eastAsia="Calibri"/>
        </w:rPr>
        <w:t>(short</w:t>
      </w:r>
      <w:r>
        <w:rPr>
          <w:rFonts w:eastAsia="Calibri"/>
        </w:rPr>
        <w:t xml:space="preserve">- </w:t>
      </w:r>
      <w:r w:rsidRPr="0071774C">
        <w:rPr>
          <w:rFonts w:eastAsia="Calibri"/>
        </w:rPr>
        <w:t>or</w:t>
      </w:r>
      <w:r>
        <w:rPr>
          <w:rFonts w:eastAsia="Calibri"/>
        </w:rPr>
        <w:t xml:space="preserve"> </w:t>
      </w:r>
      <w:r w:rsidRPr="0071774C">
        <w:rPr>
          <w:rFonts w:eastAsia="Calibri"/>
        </w:rPr>
        <w:t>longer</w:t>
      </w:r>
      <w:r>
        <w:rPr>
          <w:rFonts w:eastAsia="Calibri"/>
        </w:rPr>
        <w:t>-</w:t>
      </w:r>
      <w:r w:rsidRPr="0071774C">
        <w:rPr>
          <w:rFonts w:eastAsia="Calibri"/>
        </w:rPr>
        <w:t>term)</w:t>
      </w:r>
      <w:r>
        <w:rPr>
          <w:rFonts w:eastAsia="Calibri"/>
        </w:rPr>
        <w:t>.</w:t>
      </w:r>
    </w:p>
    <w:p w14:paraId="126347B4" w14:textId="77777777" w:rsidR="00107D55" w:rsidRDefault="00107D55" w:rsidP="00D8674A">
      <w:pPr>
        <w:pStyle w:val="OWBullet1"/>
        <w:rPr>
          <w:rFonts w:eastAsia="Calibri"/>
        </w:rPr>
      </w:pPr>
      <w:r w:rsidRPr="0071774C">
        <w:rPr>
          <w:rFonts w:eastAsia="Calibri"/>
        </w:rPr>
        <w:t>Scan</w:t>
      </w:r>
      <w:r>
        <w:rPr>
          <w:rFonts w:eastAsia="Calibri"/>
        </w:rPr>
        <w:t xml:space="preserve"> </w:t>
      </w:r>
      <w:r w:rsidRPr="0071774C">
        <w:rPr>
          <w:rFonts w:eastAsia="Calibri"/>
        </w:rPr>
        <w:t>of</w:t>
      </w:r>
      <w:r>
        <w:rPr>
          <w:rFonts w:eastAsia="Calibri"/>
        </w:rPr>
        <w:t xml:space="preserve"> </w:t>
      </w:r>
      <w:r w:rsidRPr="0071774C">
        <w:rPr>
          <w:rFonts w:eastAsia="Calibri"/>
        </w:rPr>
        <w:t>legislation</w:t>
      </w:r>
      <w:r>
        <w:rPr>
          <w:rFonts w:eastAsia="Calibri"/>
        </w:rPr>
        <w:t xml:space="preserve"> </w:t>
      </w:r>
      <w:r w:rsidRPr="0071774C">
        <w:rPr>
          <w:rFonts w:eastAsia="Calibri"/>
        </w:rPr>
        <w:t>for</w:t>
      </w:r>
      <w:r>
        <w:rPr>
          <w:rFonts w:eastAsia="Calibri"/>
        </w:rPr>
        <w:t xml:space="preserve"> </w:t>
      </w:r>
      <w:r w:rsidRPr="0071774C">
        <w:rPr>
          <w:rFonts w:eastAsia="Calibri"/>
        </w:rPr>
        <w:t>all</w:t>
      </w:r>
      <w:r>
        <w:rPr>
          <w:rFonts w:eastAsia="Calibri"/>
        </w:rPr>
        <w:t xml:space="preserve"> </w:t>
      </w:r>
      <w:r w:rsidRPr="0071774C">
        <w:rPr>
          <w:rFonts w:eastAsia="Calibri"/>
        </w:rPr>
        <w:t>calendar</w:t>
      </w:r>
      <w:r>
        <w:rPr>
          <w:rFonts w:eastAsia="Calibri"/>
        </w:rPr>
        <w:t xml:space="preserve"> </w:t>
      </w:r>
      <w:r w:rsidRPr="0071774C">
        <w:rPr>
          <w:rFonts w:eastAsia="Calibri"/>
        </w:rPr>
        <w:t>years</w:t>
      </w:r>
      <w:r>
        <w:rPr>
          <w:rFonts w:eastAsia="Calibri"/>
        </w:rPr>
        <w:t xml:space="preserve"> </w:t>
      </w:r>
      <w:r w:rsidRPr="0071774C">
        <w:rPr>
          <w:rFonts w:eastAsia="Calibri"/>
        </w:rPr>
        <w:t>2009</w:t>
      </w:r>
      <w:r>
        <w:rPr>
          <w:rFonts w:eastAsia="Calibri"/>
        </w:rPr>
        <w:t>–</w:t>
      </w:r>
      <w:r w:rsidRPr="0071774C">
        <w:rPr>
          <w:rFonts w:eastAsia="Calibri"/>
        </w:rPr>
        <w:t>2019</w:t>
      </w:r>
      <w:r>
        <w:rPr>
          <w:rFonts w:eastAsia="Calibri"/>
        </w:rPr>
        <w:t xml:space="preserve"> </w:t>
      </w:r>
      <w:r w:rsidRPr="0071774C">
        <w:rPr>
          <w:rFonts w:eastAsia="Calibri"/>
        </w:rPr>
        <w:t>inclusive</w:t>
      </w:r>
      <w:r>
        <w:rPr>
          <w:rFonts w:eastAsia="Calibri"/>
        </w:rPr>
        <w:t xml:space="preserve"> </w:t>
      </w:r>
      <w:r w:rsidRPr="0071774C">
        <w:rPr>
          <w:rFonts w:eastAsia="Calibri"/>
        </w:rPr>
        <w:t>using</w:t>
      </w:r>
      <w:r>
        <w:rPr>
          <w:rFonts w:eastAsia="Calibri"/>
        </w:rPr>
        <w:t xml:space="preserve"> </w:t>
      </w:r>
      <w:r w:rsidRPr="0071774C">
        <w:rPr>
          <w:rFonts w:eastAsia="Calibri"/>
        </w:rPr>
        <w:t>the</w:t>
      </w:r>
      <w:r>
        <w:rPr>
          <w:rFonts w:eastAsia="Calibri"/>
        </w:rPr>
        <w:t xml:space="preserve"> </w:t>
      </w:r>
      <w:r w:rsidRPr="0071774C">
        <w:rPr>
          <w:rFonts w:eastAsia="Calibri"/>
        </w:rPr>
        <w:t>keyword</w:t>
      </w:r>
      <w:r>
        <w:rPr>
          <w:rFonts w:eastAsia="Calibri"/>
        </w:rPr>
        <w:t xml:space="preserve"> </w:t>
      </w:r>
      <w:r w:rsidRPr="0071774C">
        <w:rPr>
          <w:rFonts w:eastAsia="Calibri"/>
        </w:rPr>
        <w:t>search</w:t>
      </w:r>
      <w:r>
        <w:rPr>
          <w:rFonts w:eastAsia="Calibri"/>
        </w:rPr>
        <w:t xml:space="preserve"> </w:t>
      </w:r>
      <w:r w:rsidRPr="0071774C">
        <w:rPr>
          <w:rFonts w:eastAsia="Calibri"/>
        </w:rPr>
        <w:t>function</w:t>
      </w:r>
      <w:r>
        <w:rPr>
          <w:rFonts w:eastAsia="Calibri"/>
        </w:rPr>
        <w:t xml:space="preserve"> </w:t>
      </w:r>
      <w:r w:rsidRPr="0071774C">
        <w:rPr>
          <w:rFonts w:eastAsia="Calibri"/>
        </w:rPr>
        <w:t>in</w:t>
      </w:r>
      <w:r>
        <w:rPr>
          <w:rFonts w:eastAsia="Calibri"/>
        </w:rPr>
        <w:t xml:space="preserve"> </w:t>
      </w:r>
      <w:r w:rsidRPr="0071774C">
        <w:rPr>
          <w:rFonts w:eastAsia="Calibri"/>
        </w:rPr>
        <w:t>Lawlex.</w:t>
      </w:r>
      <w:r>
        <w:rPr>
          <w:rFonts w:eastAsia="Calibri"/>
        </w:rPr>
        <w:t xml:space="preserve"> </w:t>
      </w:r>
      <w:r w:rsidRPr="0071774C">
        <w:rPr>
          <w:rFonts w:eastAsia="Calibri"/>
        </w:rPr>
        <w:t>More</w:t>
      </w:r>
      <w:r>
        <w:rPr>
          <w:rFonts w:eastAsia="Calibri"/>
        </w:rPr>
        <w:t xml:space="preserve"> </w:t>
      </w:r>
      <w:r w:rsidRPr="0071774C">
        <w:rPr>
          <w:rFonts w:eastAsia="Calibri"/>
        </w:rPr>
        <w:t>than</w:t>
      </w:r>
      <w:r>
        <w:rPr>
          <w:rFonts w:eastAsia="Calibri"/>
        </w:rPr>
        <w:t xml:space="preserve"> </w:t>
      </w:r>
      <w:r w:rsidRPr="0071774C">
        <w:rPr>
          <w:rFonts w:eastAsia="Calibri"/>
        </w:rPr>
        <w:t>20</w:t>
      </w:r>
      <w:r>
        <w:rPr>
          <w:rFonts w:eastAsia="Calibri"/>
        </w:rPr>
        <w:t xml:space="preserve"> </w:t>
      </w:r>
      <w:r w:rsidRPr="0071774C">
        <w:rPr>
          <w:rFonts w:eastAsia="Calibri"/>
        </w:rPr>
        <w:t>keywords</w:t>
      </w:r>
      <w:r>
        <w:rPr>
          <w:rFonts w:eastAsia="Calibri"/>
        </w:rPr>
        <w:t xml:space="preserve"> </w:t>
      </w:r>
      <w:r w:rsidRPr="0071774C">
        <w:rPr>
          <w:rFonts w:eastAsia="Calibri"/>
        </w:rPr>
        <w:t>and</w:t>
      </w:r>
      <w:r>
        <w:rPr>
          <w:rFonts w:eastAsia="Calibri"/>
        </w:rPr>
        <w:t xml:space="preserve"> </w:t>
      </w:r>
      <w:r w:rsidRPr="0071774C">
        <w:rPr>
          <w:rFonts w:eastAsia="Calibri"/>
        </w:rPr>
        <w:t>combinations</w:t>
      </w:r>
      <w:r>
        <w:rPr>
          <w:rFonts w:eastAsia="Calibri"/>
        </w:rPr>
        <w:t xml:space="preserve"> </w:t>
      </w:r>
      <w:r w:rsidRPr="0071774C">
        <w:rPr>
          <w:rFonts w:eastAsia="Calibri"/>
        </w:rPr>
        <w:t>of</w:t>
      </w:r>
      <w:r>
        <w:rPr>
          <w:rFonts w:eastAsia="Calibri"/>
        </w:rPr>
        <w:t xml:space="preserve"> </w:t>
      </w:r>
      <w:r w:rsidRPr="0071774C">
        <w:rPr>
          <w:rFonts w:eastAsia="Calibri"/>
        </w:rPr>
        <w:t>keywords</w:t>
      </w:r>
      <w:r>
        <w:rPr>
          <w:rFonts w:eastAsia="Calibri"/>
        </w:rPr>
        <w:t xml:space="preserve"> </w:t>
      </w:r>
      <w:r w:rsidRPr="0071774C">
        <w:rPr>
          <w:rFonts w:eastAsia="Calibri"/>
        </w:rPr>
        <w:t>were</w:t>
      </w:r>
      <w:r>
        <w:rPr>
          <w:rFonts w:eastAsia="Calibri"/>
        </w:rPr>
        <w:t xml:space="preserve"> </w:t>
      </w:r>
      <w:r w:rsidRPr="0071774C">
        <w:rPr>
          <w:rFonts w:eastAsia="Calibri"/>
        </w:rPr>
        <w:t>used</w:t>
      </w:r>
      <w:r>
        <w:rPr>
          <w:rFonts w:eastAsia="Calibri"/>
        </w:rPr>
        <w:t xml:space="preserve"> </w:t>
      </w:r>
      <w:r w:rsidRPr="0071774C">
        <w:rPr>
          <w:rFonts w:eastAsia="Calibri"/>
        </w:rPr>
        <w:t>in</w:t>
      </w:r>
      <w:r>
        <w:rPr>
          <w:rFonts w:eastAsia="Calibri"/>
        </w:rPr>
        <w:t xml:space="preserve"> </w:t>
      </w:r>
      <w:r w:rsidRPr="0071774C">
        <w:rPr>
          <w:rFonts w:eastAsia="Calibri"/>
        </w:rPr>
        <w:t>this</w:t>
      </w:r>
      <w:r>
        <w:rPr>
          <w:rFonts w:eastAsia="Calibri"/>
        </w:rPr>
        <w:t xml:space="preserve"> </w:t>
      </w:r>
      <w:r w:rsidRPr="0071774C">
        <w:rPr>
          <w:rFonts w:eastAsia="Calibri"/>
        </w:rPr>
        <w:t>search.</w:t>
      </w:r>
    </w:p>
    <w:p w14:paraId="05C27087" w14:textId="77777777" w:rsidR="00107D55" w:rsidRPr="0071774C" w:rsidRDefault="00107D55" w:rsidP="00D8674A">
      <w:pPr>
        <w:pStyle w:val="OWBullet1"/>
      </w:pPr>
      <w:r w:rsidRPr="0071774C">
        <w:rPr>
          <w:rFonts w:eastAsia="Calibri"/>
        </w:rPr>
        <w:t>Desktop</w:t>
      </w:r>
      <w:r>
        <w:rPr>
          <w:rFonts w:eastAsia="Calibri"/>
        </w:rPr>
        <w:t xml:space="preserve"> </w:t>
      </w:r>
      <w:r w:rsidRPr="0071774C">
        <w:rPr>
          <w:rFonts w:eastAsia="Calibri"/>
        </w:rPr>
        <w:t>scan</w:t>
      </w:r>
      <w:r>
        <w:rPr>
          <w:rFonts w:eastAsia="Calibri"/>
        </w:rPr>
        <w:t xml:space="preserve"> using key word searching to identify </w:t>
      </w:r>
      <w:r w:rsidRPr="0071774C">
        <w:rPr>
          <w:rFonts w:eastAsia="Calibri"/>
        </w:rPr>
        <w:t>gender</w:t>
      </w:r>
      <w:r>
        <w:rPr>
          <w:rFonts w:eastAsia="Calibri"/>
        </w:rPr>
        <w:t xml:space="preserve"> </w:t>
      </w:r>
      <w:r w:rsidRPr="0071774C">
        <w:rPr>
          <w:rFonts w:eastAsia="Calibri"/>
        </w:rPr>
        <w:t>equality</w:t>
      </w:r>
      <w:r>
        <w:rPr>
          <w:rFonts w:eastAsia="Calibri"/>
        </w:rPr>
        <w:t xml:space="preserve"> </w:t>
      </w:r>
      <w:r w:rsidRPr="0071774C">
        <w:rPr>
          <w:rFonts w:eastAsia="Calibri"/>
        </w:rPr>
        <w:t>goals</w:t>
      </w:r>
      <w:r>
        <w:rPr>
          <w:rFonts w:eastAsia="Calibri"/>
        </w:rPr>
        <w:t xml:space="preserve"> </w:t>
      </w:r>
      <w:r w:rsidRPr="0071774C">
        <w:rPr>
          <w:rFonts w:eastAsia="Calibri"/>
        </w:rPr>
        <w:t>and</w:t>
      </w:r>
      <w:r>
        <w:rPr>
          <w:rFonts w:eastAsia="Calibri"/>
        </w:rPr>
        <w:t xml:space="preserve"> </w:t>
      </w:r>
      <w:r w:rsidRPr="0071774C">
        <w:rPr>
          <w:rFonts w:eastAsia="Calibri"/>
        </w:rPr>
        <w:t>targets.</w:t>
      </w:r>
    </w:p>
    <w:p w14:paraId="0F639DFF" w14:textId="77777777" w:rsidR="00107D55" w:rsidRPr="0071774C" w:rsidRDefault="00107D55" w:rsidP="00107D55">
      <w:pPr>
        <w:pStyle w:val="Heading5"/>
      </w:pPr>
      <w:r>
        <w:rPr>
          <w:rFonts w:cs="Calibri"/>
        </w:rPr>
        <w:t>Limitations</w:t>
      </w:r>
    </w:p>
    <w:p w14:paraId="7BB106E4" w14:textId="77777777" w:rsidR="00107D55" w:rsidRPr="0071774C" w:rsidRDefault="00107D55" w:rsidP="00D8674A">
      <w:pPr>
        <w:pStyle w:val="BodyText"/>
      </w:pPr>
      <w:r>
        <w:rPr>
          <w:rFonts w:eastAsia="Calibri"/>
        </w:rPr>
        <w:t>The desktop scan approach and keyword search approaches used in this and other domains have some limitations, including that not all relevant materials may be captured by the search strategy. As such, where documents identified in keywords linked to other relevant documents, a snowball approach was utilised to ensure as many relevant documents as possible were uncovered and analysed.</w:t>
      </w:r>
    </w:p>
    <w:p w14:paraId="4422CEB5" w14:textId="77777777" w:rsidR="00107D55" w:rsidRPr="001577BA" w:rsidRDefault="00107D55" w:rsidP="00107D55">
      <w:pPr>
        <w:pStyle w:val="Heading4"/>
        <w:rPr>
          <w:rStyle w:val="OWCharacterHibiscus"/>
        </w:rPr>
      </w:pPr>
      <w:r w:rsidRPr="001577BA">
        <w:rPr>
          <w:rStyle w:val="OWCharacterHibiscus"/>
        </w:rPr>
        <w:t>Domain 3: An expert workforce</w:t>
      </w:r>
    </w:p>
    <w:p w14:paraId="52A6B10C" w14:textId="51B802E8" w:rsidR="00107D55" w:rsidRPr="0071774C" w:rsidRDefault="00107D55" w:rsidP="00107D55">
      <w:pPr>
        <w:pStyle w:val="Heading5"/>
        <w:spacing w:before="160"/>
      </w:pPr>
      <w:r w:rsidRPr="0071774C">
        <w:rPr>
          <w:rFonts w:cs="Calibri"/>
        </w:rPr>
        <w:t>Measure</w:t>
      </w:r>
    </w:p>
    <w:p w14:paraId="5FE2ECAE" w14:textId="77777777" w:rsidR="00107D55" w:rsidRDefault="00107D55" w:rsidP="00D8674A">
      <w:pPr>
        <w:pStyle w:val="OWBullet1"/>
      </w:pPr>
      <w:r w:rsidRPr="0071774C">
        <w:t>The</w:t>
      </w:r>
      <w:r>
        <w:t xml:space="preserve"> </w:t>
      </w:r>
      <w:r w:rsidRPr="0071774C">
        <w:t>current</w:t>
      </w:r>
      <w:r>
        <w:t xml:space="preserve"> </w:t>
      </w:r>
      <w:r w:rsidRPr="0071774C">
        <w:t>and</w:t>
      </w:r>
      <w:r>
        <w:t xml:space="preserve"> </w:t>
      </w:r>
      <w:r w:rsidRPr="0071774C">
        <w:t>future</w:t>
      </w:r>
      <w:r>
        <w:t xml:space="preserve"> </w:t>
      </w:r>
      <w:r w:rsidRPr="0071774C">
        <w:t>workforce</w:t>
      </w:r>
      <w:r>
        <w:t xml:space="preserve"> </w:t>
      </w:r>
      <w:r w:rsidRPr="0071774C">
        <w:t>is</w:t>
      </w:r>
      <w:r>
        <w:t xml:space="preserve"> </w:t>
      </w:r>
      <w:r w:rsidRPr="0071774C">
        <w:t>supported</w:t>
      </w:r>
      <w:r>
        <w:t xml:space="preserve"> </w:t>
      </w:r>
      <w:r w:rsidRPr="0071774C">
        <w:t>by</w:t>
      </w:r>
      <w:r>
        <w:t xml:space="preserve"> </w:t>
      </w:r>
      <w:r w:rsidRPr="0071774C">
        <w:t>formal,</w:t>
      </w:r>
      <w:r>
        <w:t xml:space="preserve"> </w:t>
      </w:r>
      <w:r w:rsidRPr="0071774C">
        <w:t>accredited</w:t>
      </w:r>
      <w:r>
        <w:t xml:space="preserve"> </w:t>
      </w:r>
      <w:r w:rsidRPr="0071774C">
        <w:t>and</w:t>
      </w:r>
      <w:r>
        <w:t xml:space="preserve"> </w:t>
      </w:r>
      <w:r w:rsidRPr="0071774C">
        <w:t>non-accredited</w:t>
      </w:r>
      <w:r>
        <w:t xml:space="preserve"> </w:t>
      </w:r>
      <w:r w:rsidRPr="0071774C">
        <w:t>pre-service</w:t>
      </w:r>
      <w:r>
        <w:t xml:space="preserve"> </w:t>
      </w:r>
      <w:r w:rsidRPr="0071774C">
        <w:t>and</w:t>
      </w:r>
      <w:r>
        <w:t xml:space="preserve"> </w:t>
      </w:r>
      <w:r w:rsidRPr="0071774C">
        <w:t>in-service</w:t>
      </w:r>
      <w:r>
        <w:t xml:space="preserve"> </w:t>
      </w:r>
      <w:r w:rsidRPr="0071774C">
        <w:t>gender</w:t>
      </w:r>
      <w:r>
        <w:t xml:space="preserve"> </w:t>
      </w:r>
      <w:r w:rsidRPr="0071774C">
        <w:t>equality</w:t>
      </w:r>
      <w:r>
        <w:t xml:space="preserve"> </w:t>
      </w:r>
      <w:r w:rsidRPr="0071774C">
        <w:t>and</w:t>
      </w:r>
      <w:r>
        <w:t xml:space="preserve"> </w:t>
      </w:r>
      <w:r w:rsidRPr="0071774C">
        <w:t>primary</w:t>
      </w:r>
      <w:r>
        <w:t xml:space="preserve"> </w:t>
      </w:r>
      <w:r w:rsidRPr="0071774C">
        <w:t>prevention</w:t>
      </w:r>
      <w:r>
        <w:t xml:space="preserve"> </w:t>
      </w:r>
      <w:r w:rsidRPr="0071774C">
        <w:t>training,</w:t>
      </w:r>
      <w:r>
        <w:t xml:space="preserve"> </w:t>
      </w:r>
      <w:r w:rsidRPr="0071774C">
        <w:t>professional</w:t>
      </w:r>
      <w:r>
        <w:t xml:space="preserve"> </w:t>
      </w:r>
      <w:r w:rsidRPr="0071774C">
        <w:t>development,</w:t>
      </w:r>
      <w:r>
        <w:t xml:space="preserve"> </w:t>
      </w:r>
      <w:r w:rsidRPr="0071774C">
        <w:t>guidance</w:t>
      </w:r>
      <w:r>
        <w:t xml:space="preserve"> </w:t>
      </w:r>
      <w:r w:rsidRPr="0071774C">
        <w:t>and</w:t>
      </w:r>
      <w:r>
        <w:t xml:space="preserve"> </w:t>
      </w:r>
      <w:r w:rsidRPr="0071774C">
        <w:t>support.</w:t>
      </w:r>
    </w:p>
    <w:p w14:paraId="1F9EA874" w14:textId="70022875" w:rsidR="00107D55" w:rsidRDefault="00107D55" w:rsidP="00D8674A">
      <w:pPr>
        <w:pStyle w:val="OWBullet1"/>
      </w:pPr>
      <w:r w:rsidRPr="0071774C">
        <w:t>An</w:t>
      </w:r>
      <w:r>
        <w:t xml:space="preserve"> </w:t>
      </w:r>
      <w:r w:rsidRPr="0071774C">
        <w:t>increasing</w:t>
      </w:r>
      <w:r>
        <w:t xml:space="preserve"> </w:t>
      </w:r>
      <w:r w:rsidRPr="0071774C">
        <w:t>number</w:t>
      </w:r>
      <w:r>
        <w:t xml:space="preserve"> </w:t>
      </w:r>
      <w:r w:rsidRPr="0071774C">
        <w:t>of</w:t>
      </w:r>
      <w:r>
        <w:t xml:space="preserve"> </w:t>
      </w:r>
      <w:r w:rsidRPr="0071774C">
        <w:t>people</w:t>
      </w:r>
      <w:r>
        <w:t xml:space="preserve"> </w:t>
      </w:r>
      <w:r w:rsidRPr="0071774C">
        <w:t>who</w:t>
      </w:r>
      <w:r>
        <w:t xml:space="preserve"> </w:t>
      </w:r>
      <w:r w:rsidRPr="0071774C">
        <w:t>work</w:t>
      </w:r>
      <w:r>
        <w:t xml:space="preserve"> </w:t>
      </w:r>
      <w:r w:rsidRPr="0071774C">
        <w:t>to</w:t>
      </w:r>
      <w:r>
        <w:t xml:space="preserve"> </w:t>
      </w:r>
      <w:r w:rsidRPr="0071774C">
        <w:t>prevent</w:t>
      </w:r>
      <w:r>
        <w:t xml:space="preserve"> </w:t>
      </w:r>
      <w:r w:rsidRPr="0071774C">
        <w:t>violence</w:t>
      </w:r>
      <w:r>
        <w:t xml:space="preserve"> </w:t>
      </w:r>
      <w:r w:rsidRPr="0071774C">
        <w:t>against</w:t>
      </w:r>
      <w:r>
        <w:t xml:space="preserve"> </w:t>
      </w:r>
      <w:r w:rsidRPr="0071774C">
        <w:t>women</w:t>
      </w:r>
      <w:r>
        <w:t xml:space="preserve"> </w:t>
      </w:r>
      <w:r w:rsidRPr="0071774C">
        <w:t>undertake</w:t>
      </w:r>
      <w:r>
        <w:t xml:space="preserve"> </w:t>
      </w:r>
      <w:r w:rsidRPr="0071774C">
        <w:t>professional</w:t>
      </w:r>
      <w:r>
        <w:t xml:space="preserve"> </w:t>
      </w:r>
      <w:r w:rsidRPr="0071774C">
        <w:t>development</w:t>
      </w:r>
      <w:r>
        <w:t xml:space="preserve"> </w:t>
      </w:r>
      <w:r w:rsidRPr="0071774C">
        <w:t>in</w:t>
      </w:r>
      <w:r>
        <w:t xml:space="preserve"> </w:t>
      </w:r>
      <w:r w:rsidRPr="0071774C">
        <w:t>specific</w:t>
      </w:r>
      <w:r>
        <w:t xml:space="preserve"> </w:t>
      </w:r>
      <w:r w:rsidRPr="0071774C">
        <w:t>areas.</w:t>
      </w:r>
    </w:p>
    <w:p w14:paraId="24B12A6E" w14:textId="77777777" w:rsidR="00107D55" w:rsidRDefault="00107D55" w:rsidP="00D8674A">
      <w:pPr>
        <w:pStyle w:val="OWBullet1"/>
      </w:pPr>
      <w:r w:rsidRPr="0071774C">
        <w:t>Specific</w:t>
      </w:r>
      <w:r>
        <w:t xml:space="preserve"> </w:t>
      </w:r>
      <w:r w:rsidRPr="0071774C">
        <w:t>Aboriginal</w:t>
      </w:r>
      <w:r>
        <w:t xml:space="preserve"> </w:t>
      </w:r>
      <w:r w:rsidRPr="0071774C">
        <w:t>and</w:t>
      </w:r>
      <w:r>
        <w:t xml:space="preserve"> </w:t>
      </w:r>
      <w:r w:rsidRPr="0071774C">
        <w:t>Torres</w:t>
      </w:r>
      <w:r>
        <w:t xml:space="preserve"> </w:t>
      </w:r>
      <w:r w:rsidRPr="0071774C">
        <w:t>Strait</w:t>
      </w:r>
      <w:r>
        <w:t xml:space="preserve"> </w:t>
      </w:r>
      <w:r w:rsidRPr="0071774C">
        <w:t>Islander</w:t>
      </w:r>
      <w:r>
        <w:t xml:space="preserve"> </w:t>
      </w:r>
      <w:r w:rsidRPr="0071774C">
        <w:t>women’s</w:t>
      </w:r>
      <w:r>
        <w:t xml:space="preserve"> </w:t>
      </w:r>
      <w:r w:rsidRPr="0071774C">
        <w:t>leadership</w:t>
      </w:r>
      <w:r>
        <w:t xml:space="preserve"> </w:t>
      </w:r>
      <w:r w:rsidRPr="0071774C">
        <w:t>strategies</w:t>
      </w:r>
      <w:r>
        <w:t xml:space="preserve"> </w:t>
      </w:r>
      <w:r w:rsidRPr="0071774C">
        <w:t>and</w:t>
      </w:r>
      <w:r>
        <w:t xml:space="preserve"> </w:t>
      </w:r>
      <w:r w:rsidRPr="0071774C">
        <w:t>models</w:t>
      </w:r>
      <w:r>
        <w:t xml:space="preserve"> </w:t>
      </w:r>
      <w:r w:rsidRPr="0071774C">
        <w:t>of</w:t>
      </w:r>
      <w:r>
        <w:t xml:space="preserve"> </w:t>
      </w:r>
      <w:r w:rsidRPr="0071774C">
        <w:t>leadership</w:t>
      </w:r>
      <w:r>
        <w:t xml:space="preserve"> </w:t>
      </w:r>
      <w:r w:rsidRPr="0071774C">
        <w:t>are</w:t>
      </w:r>
      <w:r>
        <w:t xml:space="preserve"> </w:t>
      </w:r>
      <w:r w:rsidRPr="0071774C">
        <w:t>resourced</w:t>
      </w:r>
      <w:r>
        <w:t xml:space="preserve"> </w:t>
      </w:r>
      <w:r w:rsidRPr="0071774C">
        <w:t>and</w:t>
      </w:r>
      <w:r>
        <w:t xml:space="preserve"> </w:t>
      </w:r>
      <w:r w:rsidRPr="0071774C">
        <w:t>supported.</w:t>
      </w:r>
    </w:p>
    <w:p w14:paraId="3BB591F5" w14:textId="77777777" w:rsidR="00107D55" w:rsidRDefault="00107D55" w:rsidP="00D8674A">
      <w:pPr>
        <w:pStyle w:val="OWBullet1"/>
        <w:rPr>
          <w:color w:val="000000"/>
        </w:rPr>
      </w:pP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workforce</w:t>
      </w:r>
      <w:r>
        <w:t xml:space="preserve"> </w:t>
      </w:r>
      <w:r w:rsidRPr="0071774C">
        <w:t>and</w:t>
      </w:r>
      <w:r>
        <w:t xml:space="preserve"> </w:t>
      </w:r>
      <w:r w:rsidRPr="0071774C">
        <w:t>organisational</w:t>
      </w:r>
      <w:r>
        <w:t xml:space="preserve"> </w:t>
      </w:r>
      <w:r w:rsidRPr="0071774C">
        <w:t>development</w:t>
      </w:r>
      <w:r>
        <w:t xml:space="preserve"> </w:t>
      </w:r>
      <w:r w:rsidRPr="0071774C">
        <w:t>is</w:t>
      </w:r>
      <w:r>
        <w:t xml:space="preserve"> </w:t>
      </w:r>
      <w:r w:rsidRPr="0071774C">
        <w:t>resourced</w:t>
      </w:r>
      <w:r>
        <w:t xml:space="preserve"> </w:t>
      </w:r>
      <w:r w:rsidRPr="0071774C">
        <w:t>and</w:t>
      </w:r>
      <w:r>
        <w:t xml:space="preserve"> </w:t>
      </w:r>
      <w:r w:rsidRPr="0071774C">
        <w:t>supported</w:t>
      </w:r>
      <w:r>
        <w:t xml:space="preserve"> </w:t>
      </w:r>
      <w:r w:rsidRPr="0071774C">
        <w:t>–</w:t>
      </w:r>
      <w:r>
        <w:t xml:space="preserve"> </w:t>
      </w:r>
      <w:r w:rsidRPr="0071774C">
        <w:t>financially</w:t>
      </w:r>
      <w:r>
        <w:t xml:space="preserve"> </w:t>
      </w:r>
      <w:r w:rsidRPr="0071774C">
        <w:t>and</w:t>
      </w:r>
      <w:r>
        <w:t xml:space="preserve"> </w:t>
      </w:r>
      <w:r w:rsidRPr="0071774C">
        <w:t>in-kind</w:t>
      </w:r>
      <w:r>
        <w:t xml:space="preserve"> </w:t>
      </w:r>
      <w:r w:rsidRPr="0071774C">
        <w:t>–</w:t>
      </w:r>
      <w:r>
        <w:t xml:space="preserve"> </w:t>
      </w:r>
      <w:r w:rsidRPr="0071774C">
        <w:t>by</w:t>
      </w:r>
      <w:r>
        <w:t xml:space="preserve"> </w:t>
      </w:r>
      <w:r w:rsidRPr="0071774C">
        <w:t>governments,</w:t>
      </w:r>
      <w:r>
        <w:t xml:space="preserve"> </w:t>
      </w:r>
      <w:r w:rsidRPr="0071774C">
        <w:t>workplaces</w:t>
      </w:r>
      <w:r>
        <w:t xml:space="preserve"> </w:t>
      </w:r>
      <w:r w:rsidRPr="0071774C">
        <w:t>and</w:t>
      </w:r>
      <w:r>
        <w:t xml:space="preserve"> </w:t>
      </w:r>
      <w:r w:rsidRPr="0071774C">
        <w:t>relevant</w:t>
      </w:r>
      <w:r>
        <w:t xml:space="preserve"> </w:t>
      </w:r>
      <w:r w:rsidRPr="0071774C">
        <w:t>training</w:t>
      </w:r>
      <w:r>
        <w:t xml:space="preserve"> </w:t>
      </w:r>
      <w:r w:rsidRPr="0071774C">
        <w:t>institutions.</w:t>
      </w:r>
    </w:p>
    <w:p w14:paraId="3FAD2F3B" w14:textId="3D392738" w:rsidR="00107D55" w:rsidRPr="0071774C" w:rsidRDefault="00107D55" w:rsidP="00D8674A">
      <w:pPr>
        <w:pStyle w:val="OWBullet1"/>
      </w:pPr>
      <w:r w:rsidRPr="0071774C">
        <w:t>A</w:t>
      </w:r>
      <w:r>
        <w:t xml:space="preserve"> </w:t>
      </w:r>
      <w:r w:rsidRPr="0071774C">
        <w:t>specialist</w:t>
      </w:r>
      <w:r>
        <w:t xml:space="preserve"> </w:t>
      </w:r>
      <w:r w:rsidRPr="0071774C">
        <w:t>and</w:t>
      </w:r>
      <w:r>
        <w:t xml:space="preserve"> </w:t>
      </w:r>
      <w:r w:rsidRPr="0071774C">
        <w:t>expert</w:t>
      </w:r>
      <w:r>
        <w:t xml:space="preserve"> </w:t>
      </w:r>
      <w:r w:rsidRPr="0071774C">
        <w:t>prevention</w:t>
      </w:r>
      <w:r>
        <w:t xml:space="preserve"> </w:t>
      </w:r>
      <w:r w:rsidRPr="0071774C">
        <w:t>workforce</w:t>
      </w:r>
      <w:r>
        <w:t xml:space="preserve"> </w:t>
      </w:r>
      <w:r w:rsidRPr="0071774C">
        <w:t>provides</w:t>
      </w:r>
      <w:r>
        <w:t xml:space="preserve"> </w:t>
      </w:r>
      <w:r w:rsidRPr="0071774C">
        <w:t>leadership,</w:t>
      </w:r>
      <w:r>
        <w:t xml:space="preserve"> </w:t>
      </w:r>
      <w:r w:rsidRPr="0071774C">
        <w:t>technical</w:t>
      </w:r>
      <w:r>
        <w:t xml:space="preserve"> </w:t>
      </w:r>
      <w:r w:rsidRPr="0071774C">
        <w:t>assistance,</w:t>
      </w:r>
      <w:r>
        <w:t xml:space="preserve"> </w:t>
      </w:r>
      <w:r w:rsidRPr="0071774C">
        <w:t>program</w:t>
      </w:r>
      <w:r>
        <w:t xml:space="preserve"> </w:t>
      </w:r>
      <w:r w:rsidRPr="0071774C">
        <w:t>development</w:t>
      </w:r>
      <w:r>
        <w:t xml:space="preserve"> </w:t>
      </w:r>
      <w:r w:rsidRPr="0071774C">
        <w:t>and</w:t>
      </w:r>
      <w:r>
        <w:t xml:space="preserve"> </w:t>
      </w:r>
      <w:r w:rsidRPr="0071774C">
        <w:t>policy</w:t>
      </w:r>
      <w:r>
        <w:t xml:space="preserve"> </w:t>
      </w:r>
      <w:r w:rsidRPr="0071774C">
        <w:t>support</w:t>
      </w:r>
      <w:r>
        <w:t xml:space="preserve"> </w:t>
      </w:r>
      <w:r w:rsidRPr="0071774C">
        <w:t>to</w:t>
      </w:r>
      <w:r>
        <w:t xml:space="preserve"> </w:t>
      </w:r>
      <w:r w:rsidRPr="0071774C">
        <w:t>a</w:t>
      </w:r>
      <w:r>
        <w:t xml:space="preserve"> </w:t>
      </w:r>
      <w:r w:rsidRPr="0071774C">
        <w:t>diverse</w:t>
      </w:r>
      <w:r>
        <w:t xml:space="preserve"> </w:t>
      </w:r>
      <w:r w:rsidRPr="0071774C">
        <w:t>range</w:t>
      </w:r>
      <w:r>
        <w:t xml:space="preserve"> </w:t>
      </w:r>
      <w:r w:rsidRPr="0071774C">
        <w:t>of</w:t>
      </w:r>
      <w:r>
        <w:t xml:space="preserve"> </w:t>
      </w:r>
      <w:r w:rsidRPr="0071774C">
        <w:t>stakeholders</w:t>
      </w:r>
      <w:r>
        <w:t xml:space="preserve"> </w:t>
      </w:r>
      <w:r w:rsidRPr="0071774C">
        <w:t>to</w:t>
      </w:r>
      <w:r>
        <w:t xml:space="preserve"> </w:t>
      </w:r>
      <w:r w:rsidRPr="0071774C">
        <w:t>prevent</w:t>
      </w:r>
      <w:r>
        <w:t xml:space="preserve"> </w:t>
      </w:r>
      <w:r w:rsidRPr="0071774C">
        <w:t>violence</w:t>
      </w:r>
      <w:r>
        <w:t xml:space="preserve"> </w:t>
      </w:r>
      <w:r w:rsidRPr="0071774C">
        <w:t>against</w:t>
      </w:r>
      <w:r>
        <w:t xml:space="preserve"> </w:t>
      </w:r>
      <w:r w:rsidRPr="0071774C">
        <w:t>women.</w:t>
      </w:r>
    </w:p>
    <w:p w14:paraId="71F9D25B" w14:textId="04D11AE9" w:rsidR="00107D55" w:rsidRPr="0071774C" w:rsidRDefault="00107D55" w:rsidP="00107D55">
      <w:pPr>
        <w:pStyle w:val="Heading5"/>
      </w:pPr>
      <w:r w:rsidRPr="0071774C">
        <w:lastRenderedPageBreak/>
        <w:t>Methodology</w:t>
      </w:r>
    </w:p>
    <w:p w14:paraId="1807EACB" w14:textId="330A1BC8" w:rsidR="00107D55" w:rsidRDefault="00107D55" w:rsidP="00D8674A">
      <w:pPr>
        <w:pStyle w:val="OWBullet1"/>
      </w:pPr>
      <w:r w:rsidRPr="0071774C">
        <w:t>Collection</w:t>
      </w:r>
      <w:r>
        <w:t xml:space="preserve"> </w:t>
      </w:r>
      <w:r w:rsidRPr="0071774C">
        <w:t>of</w:t>
      </w:r>
      <w:r>
        <w:t xml:space="preserve"> </w:t>
      </w:r>
      <w:r w:rsidRPr="0071774C">
        <w:t>quantitative</w:t>
      </w:r>
      <w:r>
        <w:t xml:space="preserve"> </w:t>
      </w:r>
      <w:r w:rsidRPr="0071774C">
        <w:t>and</w:t>
      </w:r>
      <w:r>
        <w:t xml:space="preserve"> </w:t>
      </w:r>
      <w:r w:rsidRPr="0071774C">
        <w:t>qualitative</w:t>
      </w:r>
      <w:r>
        <w:t xml:space="preserve"> </w:t>
      </w:r>
      <w:r w:rsidRPr="0071774C">
        <w:t>data</w:t>
      </w:r>
      <w:r>
        <w:t xml:space="preserve"> </w:t>
      </w:r>
      <w:r w:rsidRPr="0071774C">
        <w:t>through</w:t>
      </w:r>
      <w:r>
        <w:t xml:space="preserve"> </w:t>
      </w:r>
      <w:r w:rsidRPr="0071774C">
        <w:t>an</w:t>
      </w:r>
      <w:r>
        <w:t xml:space="preserve"> </w:t>
      </w:r>
      <w:r w:rsidRPr="0071774C">
        <w:t>online</w:t>
      </w:r>
      <w:r>
        <w:t xml:space="preserve"> </w:t>
      </w:r>
      <w:r w:rsidR="00473135">
        <w:t>research</w:t>
      </w:r>
      <w:r>
        <w:t xml:space="preserve"> </w:t>
      </w:r>
      <w:r w:rsidRPr="0071774C">
        <w:t>survey</w:t>
      </w:r>
      <w:r>
        <w:t xml:space="preserve"> </w:t>
      </w:r>
      <w:r w:rsidRPr="0071774C">
        <w:t>(</w:t>
      </w:r>
      <w:r>
        <w:t>n=</w:t>
      </w:r>
      <w:r w:rsidRPr="0071774C">
        <w:t>312</w:t>
      </w:r>
      <w:r>
        <w:t xml:space="preserve"> </w:t>
      </w:r>
      <w:r w:rsidRPr="0071774C">
        <w:t>partial</w:t>
      </w:r>
      <w:r>
        <w:t xml:space="preserve"> </w:t>
      </w:r>
      <w:r w:rsidRPr="0071774C">
        <w:t>and</w:t>
      </w:r>
      <w:r>
        <w:t xml:space="preserve"> </w:t>
      </w:r>
      <w:r w:rsidRPr="0071774C">
        <w:t>complete)</w:t>
      </w:r>
      <w:r>
        <w:t xml:space="preserve"> </w:t>
      </w:r>
      <w:r w:rsidRPr="0071774C">
        <w:t>distributed</w:t>
      </w:r>
      <w:r>
        <w:t xml:space="preserve"> </w:t>
      </w:r>
      <w:r w:rsidRPr="0071774C">
        <w:t>using</w:t>
      </w:r>
      <w:r>
        <w:t xml:space="preserve"> </w:t>
      </w:r>
      <w:r w:rsidRPr="0071774C">
        <w:t>a</w:t>
      </w:r>
      <w:r>
        <w:t xml:space="preserve"> </w:t>
      </w:r>
      <w:r w:rsidRPr="0071774C">
        <w:t>snowball</w:t>
      </w:r>
      <w:r>
        <w:t xml:space="preserve"> </w:t>
      </w:r>
      <w:r w:rsidRPr="0071774C">
        <w:t>method.</w:t>
      </w:r>
      <w:r>
        <w:t xml:space="preserve"> </w:t>
      </w:r>
      <w:r w:rsidRPr="0071774C">
        <w:t>The</w:t>
      </w:r>
      <w:r>
        <w:t xml:space="preserve"> </w:t>
      </w:r>
      <w:r w:rsidRPr="0071774C">
        <w:t>survey</w:t>
      </w:r>
      <w:r>
        <w:t xml:space="preserve"> </w:t>
      </w:r>
      <w:r w:rsidRPr="0071774C">
        <w:t>was</w:t>
      </w:r>
      <w:r>
        <w:t xml:space="preserve"> </w:t>
      </w:r>
      <w:r w:rsidRPr="0071774C">
        <w:t>initially</w:t>
      </w:r>
      <w:r>
        <w:t xml:space="preserve"> </w:t>
      </w:r>
      <w:r w:rsidRPr="0071774C">
        <w:t>distributed</w:t>
      </w:r>
      <w:r>
        <w:t xml:space="preserve"> </w:t>
      </w:r>
      <w:r w:rsidRPr="0071774C">
        <w:t>in</w:t>
      </w:r>
      <w:r>
        <w:t xml:space="preserve"> </w:t>
      </w:r>
      <w:r w:rsidRPr="0071774C">
        <w:t>January</w:t>
      </w:r>
      <w:r>
        <w:t xml:space="preserve"> </w:t>
      </w:r>
      <w:r w:rsidRPr="0071774C">
        <w:t>2020</w:t>
      </w:r>
      <w:r>
        <w:t xml:space="preserve"> </w:t>
      </w:r>
      <w:r w:rsidRPr="0071774C">
        <w:t>to</w:t>
      </w:r>
      <w:r>
        <w:t xml:space="preserve"> </w:t>
      </w:r>
      <w:r w:rsidRPr="0071774C">
        <w:t>2000</w:t>
      </w:r>
      <w:r>
        <w:t xml:space="preserve"> </w:t>
      </w:r>
      <w:r w:rsidRPr="0071774C">
        <w:t>Our</w:t>
      </w:r>
      <w:r>
        <w:t xml:space="preserve"> </w:t>
      </w:r>
      <w:r w:rsidRPr="0071774C">
        <w:t>Watch</w:t>
      </w:r>
      <w:r>
        <w:t xml:space="preserve"> </w:t>
      </w:r>
      <w:r w:rsidRPr="0071774C">
        <w:t>stakeholders</w:t>
      </w:r>
      <w:r>
        <w:t xml:space="preserve"> </w:t>
      </w:r>
      <w:r w:rsidRPr="0071774C">
        <w:t>and</w:t>
      </w:r>
      <w:r>
        <w:t xml:space="preserve"> </w:t>
      </w:r>
      <w:r w:rsidRPr="0071774C">
        <w:t>closed</w:t>
      </w:r>
      <w:r>
        <w:t xml:space="preserve"> </w:t>
      </w:r>
      <w:r w:rsidRPr="0071774C">
        <w:t>in</w:t>
      </w:r>
      <w:r>
        <w:t xml:space="preserve"> </w:t>
      </w:r>
      <w:r w:rsidR="00154F63">
        <w:br/>
      </w:r>
      <w:r w:rsidRPr="0071774C">
        <w:t>mid-February</w:t>
      </w:r>
      <w:r>
        <w:t xml:space="preserve"> </w:t>
      </w:r>
      <w:r w:rsidRPr="0071774C">
        <w:t>2020.</w:t>
      </w:r>
      <w:r>
        <w:t xml:space="preserve"> Where percentages are provided for survey data, these are the percentages of total responses to the question referenced.</w:t>
      </w:r>
    </w:p>
    <w:p w14:paraId="02C7196F" w14:textId="77777777" w:rsidR="00107D55" w:rsidRPr="0071774C" w:rsidRDefault="00107D55" w:rsidP="00D8674A">
      <w:pPr>
        <w:pStyle w:val="OWBullet1"/>
        <w:rPr>
          <w:rFonts w:eastAsia="Calibri"/>
        </w:rPr>
      </w:pPr>
      <w:r w:rsidRPr="0071774C">
        <w:t>Analysis</w:t>
      </w:r>
      <w:r>
        <w:t xml:space="preserve"> </w:t>
      </w:r>
      <w:r w:rsidRPr="0071774C">
        <w:t>of</w:t>
      </w:r>
      <w:r>
        <w:t xml:space="preserve"> </w:t>
      </w:r>
      <w:r w:rsidRPr="0071774C">
        <w:t>survey</w:t>
      </w:r>
      <w:r>
        <w:t xml:space="preserve"> </w:t>
      </w:r>
      <w:r w:rsidRPr="0071774C">
        <w:t>data</w:t>
      </w:r>
      <w:r>
        <w:t xml:space="preserve"> </w:t>
      </w:r>
      <w:r w:rsidRPr="0071774C">
        <w:t>included:</w:t>
      </w:r>
    </w:p>
    <w:p w14:paraId="2B2766D5" w14:textId="77777777" w:rsidR="00107D55" w:rsidRDefault="00107D55" w:rsidP="00D8674A">
      <w:pPr>
        <w:pStyle w:val="OWBullet2"/>
      </w:pPr>
      <w:r>
        <w:t>s</w:t>
      </w:r>
      <w:r w:rsidRPr="0071774C">
        <w:t>imple</w:t>
      </w:r>
      <w:r>
        <w:t xml:space="preserve"> </w:t>
      </w:r>
      <w:r w:rsidRPr="0071774C">
        <w:t>descriptive</w:t>
      </w:r>
      <w:r>
        <w:t xml:space="preserve"> </w:t>
      </w:r>
      <w:r w:rsidRPr="0071774C">
        <w:t>statistical</w:t>
      </w:r>
      <w:r>
        <w:t xml:space="preserve"> </w:t>
      </w:r>
      <w:r w:rsidRPr="0071774C">
        <w:t>analysis</w:t>
      </w:r>
      <w:r>
        <w:t xml:space="preserve"> </w:t>
      </w:r>
      <w:r w:rsidRPr="0071774C">
        <w:t>of</w:t>
      </w:r>
      <w:r>
        <w:t xml:space="preserve"> </w:t>
      </w:r>
      <w:r w:rsidRPr="0071774C">
        <w:t>quantitative</w:t>
      </w:r>
      <w:r>
        <w:t xml:space="preserve"> </w:t>
      </w:r>
      <w:r w:rsidRPr="0071774C">
        <w:t>data</w:t>
      </w:r>
    </w:p>
    <w:p w14:paraId="21A0B301" w14:textId="3F84EAB4" w:rsidR="00107D55" w:rsidRPr="0071774C" w:rsidRDefault="00107D55" w:rsidP="00D8674A">
      <w:pPr>
        <w:pStyle w:val="OWBullet2"/>
      </w:pPr>
      <w:r>
        <w:t>t</w:t>
      </w:r>
      <w:r w:rsidRPr="0071774C">
        <w:t>hematic</w:t>
      </w:r>
      <w:r>
        <w:t xml:space="preserve"> </w:t>
      </w:r>
      <w:r w:rsidRPr="0071774C">
        <w:t>analysis</w:t>
      </w:r>
      <w:r>
        <w:t xml:space="preserve"> </w:t>
      </w:r>
      <w:r w:rsidRPr="0071774C">
        <w:t>of</w:t>
      </w:r>
      <w:r>
        <w:t xml:space="preserve"> </w:t>
      </w:r>
      <w:r w:rsidRPr="0071774C">
        <w:t>qualitative</w:t>
      </w:r>
      <w:r>
        <w:t xml:space="preserve"> </w:t>
      </w:r>
      <w:r w:rsidR="00473135">
        <w:t>research</w:t>
      </w:r>
      <w:r>
        <w:t xml:space="preserve"> </w:t>
      </w:r>
      <w:r w:rsidRPr="0071774C">
        <w:t>survey</w:t>
      </w:r>
      <w:r>
        <w:t xml:space="preserve"> </w:t>
      </w:r>
      <w:r w:rsidRPr="0071774C">
        <w:t>data,</w:t>
      </w:r>
      <w:r>
        <w:t xml:space="preserve"> </w:t>
      </w:r>
      <w:r w:rsidRPr="0071774C">
        <w:t>involving</w:t>
      </w:r>
      <w:r>
        <w:t xml:space="preserve"> </w:t>
      </w:r>
      <w:r w:rsidRPr="0071774C">
        <w:t>inductive</w:t>
      </w:r>
      <w:r>
        <w:t xml:space="preserve"> </w:t>
      </w:r>
      <w:r w:rsidRPr="0071774C">
        <w:t>and</w:t>
      </w:r>
      <w:r>
        <w:t xml:space="preserve"> </w:t>
      </w:r>
      <w:r w:rsidRPr="0071774C">
        <w:t>deductive</w:t>
      </w:r>
      <w:r>
        <w:t xml:space="preserve"> </w:t>
      </w:r>
      <w:r w:rsidRPr="0071774C">
        <w:t>coding</w:t>
      </w:r>
      <w:r>
        <w:t xml:space="preserve"> </w:t>
      </w:r>
      <w:r w:rsidRPr="0071774C">
        <w:t>of</w:t>
      </w:r>
      <w:r>
        <w:t xml:space="preserve"> </w:t>
      </w:r>
      <w:r w:rsidRPr="0071774C">
        <w:t>qualitative</w:t>
      </w:r>
      <w:r>
        <w:t xml:space="preserve"> </w:t>
      </w:r>
      <w:r w:rsidRPr="0071774C">
        <w:t>survey</w:t>
      </w:r>
      <w:r>
        <w:t xml:space="preserve"> </w:t>
      </w:r>
      <w:r w:rsidRPr="0071774C">
        <w:t>responses,</w:t>
      </w:r>
      <w:r>
        <w:t xml:space="preserve"> </w:t>
      </w:r>
      <w:r w:rsidRPr="0071774C">
        <w:t>which</w:t>
      </w:r>
      <w:r>
        <w:t xml:space="preserve"> </w:t>
      </w:r>
      <w:r w:rsidRPr="0071774C">
        <w:t>were</w:t>
      </w:r>
      <w:r>
        <w:t xml:space="preserve"> </w:t>
      </w:r>
      <w:r w:rsidRPr="0071774C">
        <w:t>then</w:t>
      </w:r>
      <w:r>
        <w:t xml:space="preserve"> </w:t>
      </w:r>
      <w:r w:rsidRPr="0071774C">
        <w:t>themed</w:t>
      </w:r>
      <w:r>
        <w:t xml:space="preserve"> </w:t>
      </w:r>
      <w:r w:rsidRPr="0071774C">
        <w:t>and</w:t>
      </w:r>
      <w:r>
        <w:t xml:space="preserve"> </w:t>
      </w:r>
      <w:r w:rsidRPr="0071774C">
        <w:t>analysed</w:t>
      </w:r>
      <w:r>
        <w:t xml:space="preserve"> </w:t>
      </w:r>
      <w:r w:rsidRPr="0071774C">
        <w:t>alongside</w:t>
      </w:r>
      <w:r>
        <w:t xml:space="preserve"> </w:t>
      </w:r>
      <w:r w:rsidRPr="0071774C">
        <w:t>quantitative</w:t>
      </w:r>
      <w:r>
        <w:t xml:space="preserve"> </w:t>
      </w:r>
      <w:r w:rsidRPr="0071774C">
        <w:t>responses</w:t>
      </w:r>
      <w:r>
        <w:t xml:space="preserve"> </w:t>
      </w:r>
      <w:r w:rsidRPr="0071774C">
        <w:t>to</w:t>
      </w:r>
      <w:r>
        <w:t xml:space="preserve"> </w:t>
      </w:r>
      <w:r w:rsidRPr="0071774C">
        <w:t>create</w:t>
      </w:r>
      <w:r>
        <w:t xml:space="preserve"> </w:t>
      </w:r>
      <w:r w:rsidRPr="0071774C">
        <w:t>categories</w:t>
      </w:r>
      <w:r>
        <w:t xml:space="preserve"> </w:t>
      </w:r>
      <w:r w:rsidRPr="0071774C">
        <w:t>for</w:t>
      </w:r>
      <w:r>
        <w:t xml:space="preserve"> </w:t>
      </w:r>
      <w:r w:rsidRPr="0071774C">
        <w:t>interpretive</w:t>
      </w:r>
      <w:r>
        <w:t xml:space="preserve"> </w:t>
      </w:r>
      <w:r w:rsidRPr="0071774C">
        <w:t>analysis</w:t>
      </w:r>
      <w:r>
        <w:t xml:space="preserve"> </w:t>
      </w:r>
      <w:r w:rsidRPr="0071774C">
        <w:t>and</w:t>
      </w:r>
      <w:r>
        <w:t xml:space="preserve"> </w:t>
      </w:r>
      <w:r w:rsidRPr="0071774C">
        <w:t>cross-analysis</w:t>
      </w:r>
      <w:r>
        <w:t xml:space="preserve"> </w:t>
      </w:r>
      <w:r w:rsidRPr="0071774C">
        <w:t>with</w:t>
      </w:r>
      <w:r>
        <w:t xml:space="preserve"> </w:t>
      </w:r>
      <w:r w:rsidRPr="0071774C">
        <w:t>other</w:t>
      </w:r>
      <w:r>
        <w:t xml:space="preserve"> </w:t>
      </w:r>
      <w:r w:rsidRPr="0071774C">
        <w:t>questions</w:t>
      </w:r>
      <w:r>
        <w:t>.</w:t>
      </w:r>
    </w:p>
    <w:p w14:paraId="2CFFEBA1" w14:textId="77777777" w:rsidR="00107D55" w:rsidRPr="0071774C" w:rsidRDefault="00107D55" w:rsidP="00D8674A">
      <w:pPr>
        <w:pStyle w:val="OWBullet1"/>
      </w:pPr>
      <w:r w:rsidRPr="0071774C">
        <w:rPr>
          <w:rFonts w:eastAsia="Calibri"/>
        </w:rPr>
        <w:t>Desktop</w:t>
      </w:r>
      <w:r>
        <w:rPr>
          <w:rFonts w:eastAsia="Calibri"/>
        </w:rPr>
        <w:t xml:space="preserve"> </w:t>
      </w:r>
      <w:r w:rsidRPr="0071774C">
        <w:rPr>
          <w:rFonts w:eastAsia="Calibri"/>
        </w:rPr>
        <w:t>scan</w:t>
      </w:r>
      <w:r>
        <w:rPr>
          <w:rFonts w:eastAsia="Calibri"/>
        </w:rPr>
        <w:t xml:space="preserve"> </w:t>
      </w:r>
      <w:r w:rsidRPr="0071774C">
        <w:rPr>
          <w:rFonts w:eastAsia="Calibri"/>
        </w:rPr>
        <w:t>to</w:t>
      </w:r>
      <w:r>
        <w:rPr>
          <w:rFonts w:eastAsia="Calibri"/>
        </w:rPr>
        <w:t xml:space="preserve"> </w:t>
      </w:r>
      <w:r w:rsidRPr="0071774C">
        <w:rPr>
          <w:rFonts w:eastAsia="Calibri"/>
        </w:rPr>
        <w:t>review</w:t>
      </w:r>
      <w:r>
        <w:rPr>
          <w:rFonts w:eastAsia="Calibri"/>
        </w:rPr>
        <w:t xml:space="preserve"> </w:t>
      </w:r>
      <w:r w:rsidRPr="0071774C">
        <w:rPr>
          <w:rFonts w:eastAsia="Calibri"/>
        </w:rPr>
        <w:t>university</w:t>
      </w:r>
      <w:r>
        <w:rPr>
          <w:rFonts w:eastAsia="Calibri"/>
        </w:rPr>
        <w:t xml:space="preserve"> </w:t>
      </w:r>
      <w:r w:rsidRPr="0071774C">
        <w:rPr>
          <w:rFonts w:eastAsia="Calibri"/>
        </w:rPr>
        <w:t>course</w:t>
      </w:r>
      <w:r>
        <w:rPr>
          <w:rFonts w:eastAsia="Calibri"/>
        </w:rPr>
        <w:t>s and identify Aboriginal and Torres Strait Islander women’s leadership initiatives.</w:t>
      </w:r>
    </w:p>
    <w:p w14:paraId="70FF5727" w14:textId="77777777" w:rsidR="00107D55" w:rsidRPr="0071774C" w:rsidRDefault="00107D55" w:rsidP="00107D55">
      <w:pPr>
        <w:pStyle w:val="Heading5"/>
      </w:pPr>
      <w:r>
        <w:rPr>
          <w:rFonts w:cs="Calibri"/>
        </w:rPr>
        <w:t>Limitations</w:t>
      </w:r>
    </w:p>
    <w:p w14:paraId="0EBF60F1" w14:textId="565D17A1" w:rsidR="00107D55" w:rsidRPr="0071774C" w:rsidRDefault="00107D55" w:rsidP="00D8674A">
      <w:pPr>
        <w:pStyle w:val="BodyText"/>
      </w:pPr>
      <w:r>
        <w:t>While the survey respondents represent more than 10% of the initial distribution group, 46%</w:t>
      </w:r>
      <w:r w:rsidR="00154F63">
        <w:t> </w:t>
      </w:r>
      <w:r>
        <w:t>of respondents indicated that their work was focused in a single jurisdiction (Victoria). This was considered during data analysis, with some analysis being conducted with and without the Victorian data to minimise bias.</w:t>
      </w:r>
    </w:p>
    <w:p w14:paraId="539D5E63" w14:textId="37D6F5A7" w:rsidR="00107D55" w:rsidRPr="001577BA" w:rsidRDefault="00107D55" w:rsidP="00107D55">
      <w:pPr>
        <w:pStyle w:val="Heading4"/>
        <w:rPr>
          <w:rStyle w:val="OWCharacterHibiscus"/>
        </w:rPr>
      </w:pPr>
      <w:r w:rsidRPr="001577BA">
        <w:rPr>
          <w:rStyle w:val="OWCharacterHibiscus"/>
        </w:rPr>
        <w:t>Domain 4: Mechanisms for coordination, collaboration and quality</w:t>
      </w:r>
      <w:r w:rsidR="00154F63">
        <w:rPr>
          <w:rStyle w:val="OWCharacterHibiscus"/>
        </w:rPr>
        <w:t> </w:t>
      </w:r>
      <w:r w:rsidRPr="001577BA">
        <w:rPr>
          <w:rStyle w:val="OWCharacterHibiscus"/>
        </w:rPr>
        <w:t>assurance</w:t>
      </w:r>
    </w:p>
    <w:p w14:paraId="0DC14CD2" w14:textId="77777777" w:rsidR="00107D55" w:rsidRPr="0071774C" w:rsidRDefault="00107D55" w:rsidP="00107D55">
      <w:pPr>
        <w:pStyle w:val="Heading5"/>
        <w:spacing w:before="160"/>
      </w:pPr>
      <w:r w:rsidRPr="0071774C">
        <w:rPr>
          <w:rFonts w:cs="Calibri"/>
        </w:rPr>
        <w:t>Measure</w:t>
      </w:r>
    </w:p>
    <w:p w14:paraId="4BACC704" w14:textId="77777777" w:rsidR="00107D55" w:rsidRDefault="00107D55" w:rsidP="00D8674A">
      <w:pPr>
        <w:pStyle w:val="OWBullet1"/>
      </w:pPr>
      <w:r w:rsidRPr="0071774C">
        <w:t>Coordination</w:t>
      </w:r>
      <w:r>
        <w:t xml:space="preserve"> </w:t>
      </w:r>
      <w:r w:rsidRPr="0071774C">
        <w:t>structures</w:t>
      </w:r>
      <w:r>
        <w:t xml:space="preserve"> </w:t>
      </w:r>
      <w:r w:rsidRPr="0071774C">
        <w:t>exist</w:t>
      </w:r>
      <w:r>
        <w:t xml:space="preserve"> </w:t>
      </w:r>
      <w:r w:rsidRPr="0071774C">
        <w:t>across</w:t>
      </w:r>
      <w:r>
        <w:t xml:space="preserve"> </w:t>
      </w:r>
      <w:r w:rsidRPr="0071774C">
        <w:t>different</w:t>
      </w:r>
      <w:r>
        <w:t xml:space="preserve"> </w:t>
      </w:r>
      <w:r w:rsidRPr="0071774C">
        <w:t>levels,</w:t>
      </w:r>
      <w:r>
        <w:t xml:space="preserve"> </w:t>
      </w:r>
      <w:r w:rsidRPr="0071774C">
        <w:t>and</w:t>
      </w:r>
      <w:r>
        <w:t xml:space="preserve"> </w:t>
      </w:r>
      <w:r w:rsidRPr="0071774C">
        <w:t>these</w:t>
      </w:r>
      <w:r>
        <w:t xml:space="preserve"> </w:t>
      </w:r>
      <w:r w:rsidRPr="0071774C">
        <w:t>structures</w:t>
      </w:r>
      <w:r>
        <w:t xml:space="preserve"> </w:t>
      </w:r>
      <w:r w:rsidRPr="0071774C">
        <w:t>promote</w:t>
      </w:r>
      <w:r>
        <w:t xml:space="preserve"> </w:t>
      </w:r>
      <w:r w:rsidRPr="0071774C">
        <w:t>consistency</w:t>
      </w:r>
      <w:r>
        <w:t xml:space="preserve"> </w:t>
      </w:r>
      <w:r w:rsidRPr="0071774C">
        <w:t>between</w:t>
      </w:r>
      <w:r>
        <w:t xml:space="preserve"> </w:t>
      </w:r>
      <w:r w:rsidRPr="0071774C">
        <w:t>legislative</w:t>
      </w:r>
      <w:r>
        <w:t xml:space="preserve"> </w:t>
      </w:r>
      <w:r w:rsidRPr="0071774C">
        <w:t>and</w:t>
      </w:r>
      <w:r>
        <w:t xml:space="preserve"> </w:t>
      </w:r>
      <w:r w:rsidRPr="0071774C">
        <w:t>policy</w:t>
      </w:r>
      <w:r>
        <w:t xml:space="preserve"> </w:t>
      </w:r>
      <w:r w:rsidRPr="0071774C">
        <w:t>reforms,</w:t>
      </w:r>
      <w:r>
        <w:t xml:space="preserve"> </w:t>
      </w:r>
      <w:r w:rsidRPr="0071774C">
        <w:t>programs,</w:t>
      </w:r>
      <w:r>
        <w:t xml:space="preserve"> </w:t>
      </w:r>
      <w:r w:rsidRPr="0071774C">
        <w:t>communications</w:t>
      </w:r>
      <w:r>
        <w:t xml:space="preserve"> </w:t>
      </w:r>
      <w:r w:rsidRPr="0071774C">
        <w:t>campaigns</w:t>
      </w:r>
      <w:r>
        <w:t xml:space="preserve"> </w:t>
      </w:r>
      <w:r w:rsidRPr="0071774C">
        <w:t>and</w:t>
      </w:r>
      <w:r>
        <w:t xml:space="preserve"> </w:t>
      </w:r>
      <w:r w:rsidRPr="0071774C">
        <w:t>other</w:t>
      </w:r>
      <w:r>
        <w:t xml:space="preserve"> </w:t>
      </w:r>
      <w:r w:rsidRPr="0071774C">
        <w:t>prevention</w:t>
      </w:r>
      <w:r>
        <w:t xml:space="preserve"> </w:t>
      </w:r>
      <w:r w:rsidRPr="0071774C">
        <w:t>efforts.</w:t>
      </w:r>
    </w:p>
    <w:p w14:paraId="3E5BBD2B" w14:textId="77777777" w:rsidR="00107D55" w:rsidRDefault="00107D55" w:rsidP="00D8674A">
      <w:pPr>
        <w:pStyle w:val="OWBullet1"/>
      </w:pPr>
      <w:r w:rsidRPr="0071774C">
        <w:t>Advisory</w:t>
      </w:r>
      <w:r>
        <w:t xml:space="preserve"> </w:t>
      </w:r>
      <w:r w:rsidRPr="0071774C">
        <w:t>structures</w:t>
      </w:r>
      <w:r>
        <w:t xml:space="preserve"> </w:t>
      </w:r>
      <w:r w:rsidRPr="0071774C">
        <w:t>exist</w:t>
      </w:r>
      <w:r>
        <w:t xml:space="preserve"> </w:t>
      </w:r>
      <w:r w:rsidRPr="0071774C">
        <w:t>to</w:t>
      </w:r>
      <w:r>
        <w:t xml:space="preserve"> </w:t>
      </w:r>
      <w:r w:rsidRPr="0071774C">
        <w:t>support</w:t>
      </w:r>
      <w:r>
        <w:t xml:space="preserve"> </w:t>
      </w:r>
      <w:r w:rsidRPr="0071774C">
        <w:t>quality</w:t>
      </w:r>
      <w:r>
        <w:t xml:space="preserve"> primary </w:t>
      </w:r>
      <w:r w:rsidRPr="0071774C">
        <w:t>prevention</w:t>
      </w:r>
      <w:r>
        <w:t xml:space="preserve"> </w:t>
      </w:r>
      <w:r w:rsidRPr="0071774C">
        <w:t>policy</w:t>
      </w:r>
      <w:r>
        <w:t xml:space="preserve"> </w:t>
      </w:r>
      <w:r w:rsidRPr="0071774C">
        <w:t>and</w:t>
      </w:r>
      <w:r>
        <w:t xml:space="preserve"> </w:t>
      </w:r>
      <w:r w:rsidRPr="0071774C">
        <w:t>programming.</w:t>
      </w:r>
    </w:p>
    <w:p w14:paraId="6074F6DB" w14:textId="77777777" w:rsidR="00107D55" w:rsidRDefault="00107D55" w:rsidP="00D8674A">
      <w:pPr>
        <w:pStyle w:val="OWBullet1"/>
      </w:pPr>
      <w:r w:rsidRPr="0071774C">
        <w:t>Prevention</w:t>
      </w:r>
      <w:r>
        <w:t xml:space="preserve"> </w:t>
      </w:r>
      <w:r w:rsidRPr="0071774C">
        <w:t>programs</w:t>
      </w:r>
      <w:r>
        <w:t xml:space="preserve"> </w:t>
      </w:r>
      <w:r w:rsidRPr="0071774C">
        <w:t>show</w:t>
      </w:r>
      <w:r>
        <w:t xml:space="preserve"> </w:t>
      </w:r>
      <w:r w:rsidRPr="0071774C">
        <w:t>evidence</w:t>
      </w:r>
      <w:r>
        <w:t xml:space="preserve"> </w:t>
      </w:r>
      <w:r w:rsidRPr="0071774C">
        <w:t>of</w:t>
      </w:r>
      <w:r>
        <w:t xml:space="preserve"> </w:t>
      </w:r>
      <w:r w:rsidRPr="0071774C">
        <w:t>being</w:t>
      </w:r>
      <w:r>
        <w:t xml:space="preserve"> </w:t>
      </w:r>
      <w:r w:rsidRPr="0071774C">
        <w:t>implemented</w:t>
      </w:r>
      <w:r>
        <w:t xml:space="preserve"> </w:t>
      </w:r>
      <w:r w:rsidRPr="0071774C">
        <w:t>and</w:t>
      </w:r>
      <w:r>
        <w:t xml:space="preserve"> </w:t>
      </w:r>
      <w:r w:rsidRPr="0071774C">
        <w:t>evaluated</w:t>
      </w:r>
      <w:r>
        <w:t xml:space="preserve"> </w:t>
      </w:r>
      <w:r w:rsidRPr="0071774C">
        <w:t>according</w:t>
      </w:r>
      <w:r>
        <w:t xml:space="preserve"> </w:t>
      </w:r>
      <w:r w:rsidRPr="0071774C">
        <w:t>to</w:t>
      </w:r>
      <w:r>
        <w:t xml:space="preserve"> </w:t>
      </w:r>
      <w:r w:rsidRPr="0071774C">
        <w:t>good</w:t>
      </w:r>
      <w:r>
        <w:t xml:space="preserve"> </w:t>
      </w:r>
      <w:r w:rsidRPr="0071774C">
        <w:t>practice</w:t>
      </w:r>
      <w:r>
        <w:t xml:space="preserve"> </w:t>
      </w:r>
      <w:r w:rsidRPr="0071774C">
        <w:t>principles</w:t>
      </w:r>
      <w:r>
        <w:t xml:space="preserve"> </w:t>
      </w:r>
      <w:r w:rsidRPr="0071774C">
        <w:t>(e.g.</w:t>
      </w:r>
      <w:r>
        <w:t xml:space="preserve"> </w:t>
      </w:r>
      <w:r w:rsidRPr="0071774C">
        <w:t>those</w:t>
      </w:r>
      <w:r>
        <w:t xml:space="preserve"> </w:t>
      </w:r>
      <w:r w:rsidRPr="0071774C">
        <w:t>outlined</w:t>
      </w:r>
      <w:r>
        <w:t xml:space="preserve"> </w:t>
      </w:r>
      <w:r w:rsidRPr="0071774C">
        <w:t>in</w:t>
      </w:r>
      <w:r>
        <w:t xml:space="preserve"> </w:t>
      </w:r>
      <w:r w:rsidRPr="0071774C">
        <w:t>the</w:t>
      </w:r>
      <w:r>
        <w:t xml:space="preserve"> </w:t>
      </w:r>
      <w:r w:rsidRPr="0071774C">
        <w:t>Our</w:t>
      </w:r>
      <w:r>
        <w:t xml:space="preserve"> </w:t>
      </w:r>
      <w:r w:rsidRPr="0071774C">
        <w:t>Watch/VicHealth</w:t>
      </w:r>
      <w:r>
        <w:t xml:space="preserve"> </w:t>
      </w:r>
      <w:r w:rsidRPr="0071774C">
        <w:t>Handbook).</w:t>
      </w:r>
    </w:p>
    <w:p w14:paraId="022F2068" w14:textId="77777777" w:rsidR="00107D55" w:rsidRPr="0071774C" w:rsidRDefault="00107D55" w:rsidP="00D8674A">
      <w:pPr>
        <w:pStyle w:val="OWBullet1"/>
      </w:pPr>
      <w:r w:rsidRPr="0071774C">
        <w:t>Partnerships</w:t>
      </w:r>
      <w:r>
        <w:t xml:space="preserve"> </w:t>
      </w:r>
      <w:r w:rsidRPr="0071774C">
        <w:t>of</w:t>
      </w:r>
      <w:r>
        <w:t xml:space="preserve"> </w:t>
      </w:r>
      <w:r w:rsidRPr="0071774C">
        <w:t>all</w:t>
      </w:r>
      <w:r>
        <w:t xml:space="preserve"> </w:t>
      </w:r>
      <w:r w:rsidRPr="0071774C">
        <w:t>kinds</w:t>
      </w:r>
      <w:r>
        <w:t xml:space="preserve"> </w:t>
      </w:r>
      <w:r w:rsidRPr="0071774C">
        <w:t>demonstrate</w:t>
      </w:r>
      <w:r>
        <w:t xml:space="preserve"> </w:t>
      </w:r>
      <w:r w:rsidRPr="0071774C">
        <w:t>an</w:t>
      </w:r>
      <w:r>
        <w:t xml:space="preserve"> </w:t>
      </w:r>
      <w:r w:rsidRPr="0071774C">
        <w:t>inclusive,</w:t>
      </w:r>
      <w:r>
        <w:t xml:space="preserve"> </w:t>
      </w:r>
      <w:r w:rsidRPr="0071774C">
        <w:t>intersectional</w:t>
      </w:r>
      <w:r>
        <w:t xml:space="preserve"> </w:t>
      </w:r>
      <w:r w:rsidRPr="0071774C">
        <w:t>and</w:t>
      </w:r>
      <w:r>
        <w:t xml:space="preserve"> </w:t>
      </w:r>
      <w:r w:rsidRPr="0071774C">
        <w:t>participatory</w:t>
      </w:r>
      <w:r>
        <w:t xml:space="preserve"> </w:t>
      </w:r>
      <w:r w:rsidRPr="0071774C">
        <w:t>approach</w:t>
      </w:r>
      <w:r>
        <w:t xml:space="preserve"> </w:t>
      </w:r>
      <w:r w:rsidRPr="0071774C">
        <w:t>(e.g.</w:t>
      </w:r>
      <w:r>
        <w:t xml:space="preserve"> </w:t>
      </w:r>
      <w:r w:rsidRPr="0071774C">
        <w:t>policy</w:t>
      </w:r>
      <w:r>
        <w:t xml:space="preserve"> </w:t>
      </w:r>
      <w:r w:rsidRPr="0071774C">
        <w:t>and</w:t>
      </w:r>
      <w:r>
        <w:t xml:space="preserve"> </w:t>
      </w:r>
      <w:r w:rsidRPr="0071774C">
        <w:t>program</w:t>
      </w:r>
      <w:r>
        <w:t xml:space="preserve"> </w:t>
      </w:r>
      <w:r w:rsidRPr="0071774C">
        <w:t>development</w:t>
      </w:r>
      <w:r>
        <w:t xml:space="preserve"> </w:t>
      </w:r>
      <w:r w:rsidRPr="0071774C">
        <w:t>is</w:t>
      </w:r>
      <w:r>
        <w:t xml:space="preserve"> </w:t>
      </w:r>
      <w:r w:rsidRPr="0071774C">
        <w:t>led</w:t>
      </w:r>
      <w:r>
        <w:t xml:space="preserve"> </w:t>
      </w:r>
      <w:r w:rsidRPr="0071774C">
        <w:t>by</w:t>
      </w:r>
      <w:r>
        <w:t xml:space="preserve"> </w:t>
      </w:r>
      <w:r w:rsidRPr="0071774C">
        <w:t>members</w:t>
      </w:r>
      <w:r>
        <w:t xml:space="preserve"> </w:t>
      </w:r>
      <w:r w:rsidRPr="0071774C">
        <w:t>of</w:t>
      </w:r>
      <w:r>
        <w:t xml:space="preserve"> </w:t>
      </w:r>
      <w:r w:rsidRPr="0071774C">
        <w:t>the</w:t>
      </w:r>
      <w:r>
        <w:t xml:space="preserve"> </w:t>
      </w:r>
      <w:r w:rsidRPr="0071774C">
        <w:t>different</w:t>
      </w:r>
      <w:r>
        <w:t xml:space="preserve"> </w:t>
      </w:r>
      <w:r w:rsidRPr="0071774C">
        <w:t>communities</w:t>
      </w:r>
      <w:r>
        <w:t xml:space="preserve"> </w:t>
      </w:r>
      <w:r w:rsidRPr="0071774C">
        <w:t>it</w:t>
      </w:r>
      <w:r>
        <w:t xml:space="preserve"> </w:t>
      </w:r>
      <w:r w:rsidRPr="0071774C">
        <w:t>seeks</w:t>
      </w:r>
      <w:r>
        <w:t xml:space="preserve"> </w:t>
      </w:r>
      <w:r w:rsidRPr="0071774C">
        <w:t>to</w:t>
      </w:r>
      <w:r>
        <w:t xml:space="preserve"> </w:t>
      </w:r>
      <w:r w:rsidRPr="0071774C">
        <w:t>engage).</w:t>
      </w:r>
    </w:p>
    <w:p w14:paraId="64FAD806" w14:textId="77777777" w:rsidR="00107D55" w:rsidRPr="0071774C" w:rsidRDefault="00107D55" w:rsidP="00107D55">
      <w:pPr>
        <w:pStyle w:val="Heading5"/>
      </w:pPr>
      <w:r w:rsidRPr="0071774C">
        <w:rPr>
          <w:rFonts w:cs="Calibri"/>
        </w:rPr>
        <w:t>Methodology</w:t>
      </w:r>
    </w:p>
    <w:p w14:paraId="063E3866" w14:textId="77777777" w:rsidR="00107D55" w:rsidRPr="0071774C" w:rsidRDefault="00107D55" w:rsidP="00D8674A">
      <w:pPr>
        <w:pStyle w:val="OWBullet1"/>
        <w:rPr>
          <w:rFonts w:eastAsia="Calibri"/>
        </w:rPr>
      </w:pPr>
      <w:r w:rsidRPr="0071774C">
        <w:rPr>
          <w:rFonts w:eastAsia="Calibri"/>
        </w:rPr>
        <w:t>Online</w:t>
      </w:r>
      <w:r>
        <w:rPr>
          <w:rFonts w:eastAsia="Calibri"/>
        </w:rPr>
        <w:t xml:space="preserve"> </w:t>
      </w:r>
      <w:r w:rsidRPr="0071774C">
        <w:rPr>
          <w:rFonts w:eastAsia="Calibri"/>
        </w:rPr>
        <w:t>search</w:t>
      </w:r>
      <w:r>
        <w:rPr>
          <w:rFonts w:eastAsia="Calibri"/>
        </w:rPr>
        <w:t xml:space="preserve"> </w:t>
      </w:r>
      <w:r w:rsidRPr="0071774C">
        <w:rPr>
          <w:rFonts w:eastAsia="Calibri"/>
        </w:rPr>
        <w:t>to</w:t>
      </w:r>
      <w:r>
        <w:rPr>
          <w:rFonts w:eastAsia="Calibri"/>
        </w:rPr>
        <w:t xml:space="preserve"> </w:t>
      </w:r>
      <w:r w:rsidRPr="0071774C">
        <w:rPr>
          <w:rFonts w:eastAsia="Calibri"/>
        </w:rPr>
        <w:t>identify</w:t>
      </w:r>
      <w:r>
        <w:rPr>
          <w:rFonts w:eastAsia="Calibri"/>
        </w:rPr>
        <w:t xml:space="preserve"> </w:t>
      </w:r>
      <w:r w:rsidRPr="0071774C">
        <w:rPr>
          <w:rFonts w:eastAsia="Calibri"/>
        </w:rPr>
        <w:t>all</w:t>
      </w:r>
      <w:r>
        <w:rPr>
          <w:rFonts w:eastAsia="Calibri"/>
        </w:rPr>
        <w:t xml:space="preserve"> </w:t>
      </w:r>
      <w:r w:rsidRPr="0071774C">
        <w:rPr>
          <w:rFonts w:eastAsia="Calibri"/>
        </w:rPr>
        <w:t>available</w:t>
      </w:r>
      <w:r>
        <w:rPr>
          <w:rFonts w:eastAsia="Calibri"/>
        </w:rPr>
        <w:t xml:space="preserve"> </w:t>
      </w:r>
      <w:r w:rsidRPr="0071774C">
        <w:rPr>
          <w:rFonts w:eastAsia="Calibri"/>
        </w:rPr>
        <w:t>relevant</w:t>
      </w:r>
      <w:r>
        <w:rPr>
          <w:rFonts w:eastAsia="Calibri"/>
        </w:rPr>
        <w:t xml:space="preserve"> </w:t>
      </w:r>
      <w:r w:rsidRPr="0071774C">
        <w:rPr>
          <w:rFonts w:eastAsia="Calibri"/>
        </w:rPr>
        <w:t>government</w:t>
      </w:r>
      <w:r>
        <w:rPr>
          <w:rFonts w:eastAsia="Calibri"/>
        </w:rPr>
        <w:t xml:space="preserve"> </w:t>
      </w:r>
      <w:r w:rsidRPr="0071774C">
        <w:rPr>
          <w:rFonts w:eastAsia="Calibri"/>
        </w:rPr>
        <w:t>strategies,</w:t>
      </w:r>
      <w:r>
        <w:rPr>
          <w:rFonts w:eastAsia="Calibri"/>
        </w:rPr>
        <w:t xml:space="preserve"> </w:t>
      </w:r>
      <w:r w:rsidRPr="0071774C">
        <w:rPr>
          <w:rFonts w:eastAsia="Calibri"/>
        </w:rPr>
        <w:t>policies</w:t>
      </w:r>
      <w:r>
        <w:rPr>
          <w:rFonts w:eastAsia="Calibri"/>
        </w:rPr>
        <w:t xml:space="preserve"> </w:t>
      </w:r>
      <w:r w:rsidRPr="0071774C">
        <w:rPr>
          <w:rFonts w:eastAsia="Calibri"/>
        </w:rPr>
        <w:t>and</w:t>
      </w:r>
      <w:r>
        <w:rPr>
          <w:rFonts w:eastAsia="Calibri"/>
        </w:rPr>
        <w:t xml:space="preserve"> </w:t>
      </w:r>
      <w:r w:rsidRPr="0071774C">
        <w:rPr>
          <w:rFonts w:eastAsia="Calibri"/>
        </w:rPr>
        <w:t>plans</w:t>
      </w:r>
      <w:r>
        <w:rPr>
          <w:rFonts w:eastAsia="Calibri"/>
        </w:rPr>
        <w:t>.</w:t>
      </w:r>
    </w:p>
    <w:p w14:paraId="1C065FD9" w14:textId="77777777" w:rsidR="00107D55" w:rsidRDefault="00107D55" w:rsidP="00D8674A">
      <w:pPr>
        <w:pStyle w:val="OWBullet1"/>
      </w:pPr>
      <w:r w:rsidRPr="0071774C">
        <w:t>Rapid</w:t>
      </w:r>
      <w:r>
        <w:t xml:space="preserve"> </w:t>
      </w:r>
      <w:r w:rsidRPr="0071774C">
        <w:t>content</w:t>
      </w:r>
      <w:r>
        <w:t xml:space="preserve"> </w:t>
      </w:r>
      <w:r w:rsidRPr="0071774C">
        <w:t>analysis</w:t>
      </w:r>
      <w:r>
        <w:t xml:space="preserve"> </w:t>
      </w:r>
      <w:r w:rsidRPr="0071774C">
        <w:t>of</w:t>
      </w:r>
      <w:r>
        <w:t xml:space="preserve"> </w:t>
      </w:r>
      <w:r w:rsidRPr="0071774C">
        <w:t>policies,</w:t>
      </w:r>
      <w:r>
        <w:t xml:space="preserve"> </w:t>
      </w:r>
      <w:r w:rsidRPr="0071774C">
        <w:t>strategies</w:t>
      </w:r>
      <w:r>
        <w:t xml:space="preserve"> </w:t>
      </w:r>
      <w:r w:rsidRPr="0071774C">
        <w:t>and</w:t>
      </w:r>
      <w:r>
        <w:t xml:space="preserve"> </w:t>
      </w:r>
      <w:r w:rsidRPr="0071774C">
        <w:t>action</w:t>
      </w:r>
      <w:r>
        <w:t xml:space="preserve"> </w:t>
      </w:r>
      <w:r w:rsidRPr="0071774C">
        <w:t>plans,</w:t>
      </w:r>
      <w:r>
        <w:t xml:space="preserve"> </w:t>
      </w:r>
      <w:r w:rsidRPr="0071774C">
        <w:t>searching</w:t>
      </w:r>
      <w:r>
        <w:t xml:space="preserve"> </w:t>
      </w:r>
      <w:r w:rsidRPr="0071774C">
        <w:t>for</w:t>
      </w:r>
      <w:r>
        <w:t xml:space="preserve"> </w:t>
      </w:r>
      <w:r w:rsidRPr="0071774C">
        <w:t>references</w:t>
      </w:r>
      <w:r>
        <w:t xml:space="preserve"> </w:t>
      </w:r>
      <w:r w:rsidRPr="0071774C">
        <w:t>to</w:t>
      </w:r>
      <w:r>
        <w:t xml:space="preserve"> </w:t>
      </w:r>
      <w:r w:rsidRPr="0071774C">
        <w:t>coordination</w:t>
      </w:r>
      <w:r>
        <w:t xml:space="preserve"> </w:t>
      </w:r>
      <w:r w:rsidRPr="0071774C">
        <w:t>structures</w:t>
      </w:r>
      <w:r>
        <w:t xml:space="preserve"> </w:t>
      </w:r>
      <w:r w:rsidRPr="0071774C">
        <w:t>or</w:t>
      </w:r>
      <w:r>
        <w:t xml:space="preserve"> </w:t>
      </w:r>
      <w:r w:rsidRPr="0071774C">
        <w:t>advisory</w:t>
      </w:r>
      <w:r>
        <w:t xml:space="preserve"> </w:t>
      </w:r>
      <w:r w:rsidRPr="0071774C">
        <w:t>groups.</w:t>
      </w:r>
    </w:p>
    <w:p w14:paraId="3B97C38D" w14:textId="77777777" w:rsidR="00107D55" w:rsidRDefault="00107D55" w:rsidP="00D8674A">
      <w:pPr>
        <w:pStyle w:val="OWBullet1"/>
      </w:pPr>
      <w:r w:rsidRPr="0071774C">
        <w:t>A</w:t>
      </w:r>
      <w:r>
        <w:t xml:space="preserve"> </w:t>
      </w:r>
      <w:r w:rsidRPr="0071774C">
        <w:t>desktop</w:t>
      </w:r>
      <w:r>
        <w:t xml:space="preserve"> </w:t>
      </w:r>
      <w:r w:rsidRPr="0071774C">
        <w:t>scan</w:t>
      </w:r>
      <w:r>
        <w:t xml:space="preserve"> </w:t>
      </w:r>
      <w:r w:rsidRPr="0071774C">
        <w:t>of</w:t>
      </w:r>
      <w:r>
        <w:t xml:space="preserve"> </w:t>
      </w:r>
      <w:r w:rsidRPr="0071774C">
        <w:t>all</w:t>
      </w:r>
      <w:r>
        <w:t xml:space="preserve"> </w:t>
      </w:r>
      <w:r w:rsidRPr="0071774C">
        <w:t>state</w:t>
      </w:r>
      <w:r>
        <w:t xml:space="preserve"> </w:t>
      </w:r>
      <w:r w:rsidRPr="0071774C">
        <w:t>and</w:t>
      </w:r>
      <w:r>
        <w:t xml:space="preserve"> </w:t>
      </w:r>
      <w:r w:rsidRPr="0071774C">
        <w:t>federal</w:t>
      </w:r>
      <w:r>
        <w:t xml:space="preserve"> </w:t>
      </w:r>
      <w:r w:rsidRPr="0071774C">
        <w:t>parliamentary</w:t>
      </w:r>
      <w:r>
        <w:t xml:space="preserve"> </w:t>
      </w:r>
      <w:r w:rsidRPr="0071774C">
        <w:t>websites</w:t>
      </w:r>
      <w:r>
        <w:t xml:space="preserve"> </w:t>
      </w:r>
      <w:r w:rsidRPr="0071774C">
        <w:t>was</w:t>
      </w:r>
      <w:r>
        <w:t xml:space="preserve"> </w:t>
      </w:r>
      <w:r w:rsidRPr="0071774C">
        <w:t>conducted</w:t>
      </w:r>
      <w:r>
        <w:t xml:space="preserve"> </w:t>
      </w:r>
      <w:r w:rsidRPr="0071774C">
        <w:t>to</w:t>
      </w:r>
      <w:r>
        <w:t xml:space="preserve"> </w:t>
      </w:r>
      <w:r w:rsidRPr="0071774C">
        <w:t>identify</w:t>
      </w:r>
      <w:r>
        <w:t xml:space="preserve"> </w:t>
      </w:r>
      <w:r w:rsidRPr="0071774C">
        <w:t>inquir</w:t>
      </w:r>
      <w:r>
        <w:t>i</w:t>
      </w:r>
      <w:r w:rsidRPr="0071774C">
        <w:t>es</w:t>
      </w:r>
      <w:r>
        <w:t xml:space="preserve"> </w:t>
      </w:r>
      <w:r w:rsidRPr="0071774C">
        <w:t>and</w:t>
      </w:r>
      <w:r>
        <w:t xml:space="preserve"> </w:t>
      </w:r>
      <w:r w:rsidRPr="0071774C">
        <w:t>royal</w:t>
      </w:r>
      <w:r>
        <w:t xml:space="preserve"> </w:t>
      </w:r>
      <w:r w:rsidRPr="0071774C">
        <w:t>commissions.</w:t>
      </w:r>
      <w:r>
        <w:t xml:space="preserve"> </w:t>
      </w:r>
      <w:r w:rsidRPr="0071774C">
        <w:t>Where</w:t>
      </w:r>
      <w:r>
        <w:t xml:space="preserve"> </w:t>
      </w:r>
      <w:r w:rsidRPr="0071774C">
        <w:t>inquiries</w:t>
      </w:r>
      <w:r>
        <w:t xml:space="preserve"> </w:t>
      </w:r>
      <w:r w:rsidRPr="0071774C">
        <w:t>aligned</w:t>
      </w:r>
      <w:r>
        <w:t xml:space="preserve"> </w:t>
      </w:r>
      <w:r w:rsidRPr="0071774C">
        <w:t>with</w:t>
      </w:r>
      <w:r>
        <w:t xml:space="preserve"> </w:t>
      </w:r>
      <w:r w:rsidRPr="0071774C">
        <w:t>the</w:t>
      </w:r>
      <w:r>
        <w:t xml:space="preserve"> </w:t>
      </w:r>
      <w:r w:rsidRPr="0071774C">
        <w:t>drivers</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or</w:t>
      </w:r>
      <w:r>
        <w:t xml:space="preserve"> </w:t>
      </w:r>
      <w:r w:rsidRPr="0071774C">
        <w:t>the</w:t>
      </w:r>
      <w:r>
        <w:t xml:space="preserve"> </w:t>
      </w:r>
      <w:r w:rsidRPr="0071774C">
        <w:t>reinforcing</w:t>
      </w:r>
      <w:r>
        <w:t xml:space="preserve"> </w:t>
      </w:r>
      <w:r w:rsidRPr="0071774C">
        <w:t>factors,</w:t>
      </w:r>
      <w:r>
        <w:t xml:space="preserve"> </w:t>
      </w:r>
      <w:r w:rsidRPr="0071774C">
        <w:t>a</w:t>
      </w:r>
      <w:r>
        <w:t xml:space="preserve"> </w:t>
      </w:r>
      <w:r w:rsidRPr="0071774C">
        <w:t>further</w:t>
      </w:r>
      <w:r>
        <w:t xml:space="preserve"> </w:t>
      </w:r>
      <w:r w:rsidRPr="0071774C">
        <w:t>review</w:t>
      </w:r>
      <w:r>
        <w:t xml:space="preserve"> </w:t>
      </w:r>
      <w:r w:rsidRPr="0071774C">
        <w:t>of</w:t>
      </w:r>
      <w:r>
        <w:t xml:space="preserve"> </w:t>
      </w:r>
      <w:r w:rsidRPr="0071774C">
        <w:t>submissions</w:t>
      </w:r>
      <w:r>
        <w:t xml:space="preserve"> </w:t>
      </w:r>
      <w:r w:rsidRPr="0071774C">
        <w:t>was</w:t>
      </w:r>
      <w:r>
        <w:t xml:space="preserve"> </w:t>
      </w:r>
      <w:r w:rsidRPr="0071774C">
        <w:t>conducted.</w:t>
      </w:r>
    </w:p>
    <w:p w14:paraId="4835C925" w14:textId="02164D77" w:rsidR="00107D55" w:rsidRDefault="00107D55" w:rsidP="00D8674A">
      <w:pPr>
        <w:pStyle w:val="OWBullet1"/>
      </w:pPr>
      <w:r w:rsidRPr="0071774C">
        <w:lastRenderedPageBreak/>
        <w:t>Analysis</w:t>
      </w:r>
      <w:r>
        <w:t xml:space="preserve"> </w:t>
      </w:r>
      <w:r w:rsidRPr="0071774C">
        <w:t>of</w:t>
      </w:r>
      <w:r>
        <w:t xml:space="preserve"> </w:t>
      </w:r>
      <w:r w:rsidRPr="0071774C">
        <w:t>quantitative</w:t>
      </w:r>
      <w:r>
        <w:t xml:space="preserve"> </w:t>
      </w:r>
      <w:r w:rsidRPr="0071774C">
        <w:t>and</w:t>
      </w:r>
      <w:r>
        <w:t xml:space="preserve"> </w:t>
      </w:r>
      <w:r w:rsidRPr="0071774C">
        <w:t>qualitative</w:t>
      </w:r>
      <w:r>
        <w:t xml:space="preserve"> </w:t>
      </w:r>
      <w:r w:rsidRPr="0071774C">
        <w:t>data</w:t>
      </w:r>
      <w:r>
        <w:t xml:space="preserve"> </w:t>
      </w:r>
      <w:r w:rsidRPr="0071774C">
        <w:t>collected</w:t>
      </w:r>
      <w:r>
        <w:t xml:space="preserve"> </w:t>
      </w:r>
      <w:r w:rsidRPr="0071774C">
        <w:t>through</w:t>
      </w:r>
      <w:r>
        <w:t xml:space="preserve"> </w:t>
      </w:r>
      <w:r w:rsidRPr="0071774C">
        <w:t>the</w:t>
      </w:r>
      <w:r>
        <w:t xml:space="preserve"> </w:t>
      </w:r>
      <w:r w:rsidR="00473135">
        <w:t>research</w:t>
      </w:r>
      <w:r>
        <w:t xml:space="preserve"> </w:t>
      </w:r>
      <w:r w:rsidRPr="0071774C">
        <w:t>survey</w:t>
      </w:r>
      <w:r>
        <w:t xml:space="preserve"> </w:t>
      </w:r>
      <w:r w:rsidRPr="0071774C">
        <w:t>(</w:t>
      </w:r>
      <w:r>
        <w:t>n=</w:t>
      </w:r>
      <w:r w:rsidRPr="0071774C">
        <w:t>312)</w:t>
      </w:r>
      <w:r>
        <w:t xml:space="preserve"> </w:t>
      </w:r>
      <w:r w:rsidRPr="0071774C">
        <w:t>outlined</w:t>
      </w:r>
      <w:r>
        <w:t xml:space="preserve"> </w:t>
      </w:r>
      <w:r w:rsidRPr="0071774C">
        <w:t>above.</w:t>
      </w:r>
    </w:p>
    <w:p w14:paraId="527270E0" w14:textId="55E46F62" w:rsidR="00107D55" w:rsidRDefault="00107D55" w:rsidP="00D8674A">
      <w:pPr>
        <w:pStyle w:val="OWBullet1"/>
      </w:pPr>
      <w:r w:rsidRPr="0071774C">
        <w:t>Desktop</w:t>
      </w:r>
      <w:r>
        <w:t xml:space="preserve"> </w:t>
      </w:r>
      <w:r w:rsidRPr="0071774C">
        <w:t>scan</w:t>
      </w:r>
      <w:r>
        <w:t xml:space="preserve"> </w:t>
      </w:r>
      <w:r w:rsidRPr="0071774C">
        <w:t>of</w:t>
      </w:r>
      <w:r>
        <w:t xml:space="preserve"> </w:t>
      </w:r>
      <w:r w:rsidRPr="0071774C">
        <w:t>the</w:t>
      </w:r>
      <w:r>
        <w:t xml:space="preserve"> </w:t>
      </w:r>
      <w:r w:rsidRPr="0071774C">
        <w:t>grey</w:t>
      </w:r>
      <w:r>
        <w:t xml:space="preserve"> </w:t>
      </w:r>
      <w:r w:rsidRPr="0071774C">
        <w:t>literature</w:t>
      </w:r>
      <w:r>
        <w:t xml:space="preserve"> </w:t>
      </w:r>
      <w:r w:rsidRPr="0071774C">
        <w:t>on</w:t>
      </w:r>
      <w:r>
        <w:t xml:space="preserve"> </w:t>
      </w:r>
      <w:r w:rsidRPr="0071774C">
        <w:t>primary</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evaluations,</w:t>
      </w:r>
      <w:r>
        <w:t xml:space="preserve"> </w:t>
      </w:r>
      <w:r w:rsidRPr="0071774C">
        <w:t>intersectional</w:t>
      </w:r>
      <w:r>
        <w:t xml:space="preserve"> </w:t>
      </w:r>
      <w:r w:rsidRPr="0071774C">
        <w:t>approaches</w:t>
      </w:r>
      <w:r>
        <w:t xml:space="preserve"> to primary prevention, u</w:t>
      </w:r>
      <w:r w:rsidRPr="0071774C">
        <w:t>sing</w:t>
      </w:r>
      <w:r>
        <w:t xml:space="preserve"> </w:t>
      </w:r>
      <w:r w:rsidRPr="0071774C">
        <w:t>combinations</w:t>
      </w:r>
      <w:r>
        <w:t xml:space="preserve"> </w:t>
      </w:r>
      <w:r w:rsidRPr="0071774C">
        <w:t>of</w:t>
      </w:r>
      <w:r>
        <w:t xml:space="preserve"> </w:t>
      </w:r>
      <w:r w:rsidRPr="0071774C">
        <w:t>the</w:t>
      </w:r>
      <w:r w:rsidR="00154F63">
        <w:t> </w:t>
      </w:r>
      <w:r w:rsidRPr="0071774C">
        <w:t>search</w:t>
      </w:r>
      <w:r>
        <w:t xml:space="preserve"> </w:t>
      </w:r>
      <w:r w:rsidRPr="0071774C">
        <w:t>terms,</w:t>
      </w:r>
      <w:r>
        <w:t xml:space="preserve"> </w:t>
      </w:r>
      <w:r w:rsidRPr="0071774C">
        <w:t>such</w:t>
      </w:r>
      <w:r>
        <w:t xml:space="preserve"> </w:t>
      </w:r>
      <w:r w:rsidRPr="0071774C">
        <w:t>as</w:t>
      </w:r>
      <w:r>
        <w:t xml:space="preserve"> </w:t>
      </w:r>
      <w:r w:rsidRPr="0071774C">
        <w:t>‘evaluation</w:t>
      </w:r>
      <w:r>
        <w:t xml:space="preserve"> </w:t>
      </w:r>
      <w:r w:rsidRPr="0071774C">
        <w:t>framework’,</w:t>
      </w:r>
      <w:r>
        <w:t xml:space="preserve"> </w:t>
      </w:r>
      <w:r w:rsidRPr="0071774C">
        <w:t>‘outcomes</w:t>
      </w:r>
      <w:r>
        <w:t xml:space="preserve"> </w:t>
      </w:r>
      <w:r w:rsidRPr="0071774C">
        <w:t>framework’,</w:t>
      </w:r>
      <w:r>
        <w:t xml:space="preserve"> </w:t>
      </w:r>
      <w:r w:rsidRPr="0071774C">
        <w:t>‘monitoring’</w:t>
      </w:r>
      <w:r>
        <w:t xml:space="preserve"> </w:t>
      </w:r>
      <w:r w:rsidRPr="0071774C">
        <w:t>together</w:t>
      </w:r>
      <w:r>
        <w:t xml:space="preserve"> </w:t>
      </w:r>
      <w:r w:rsidRPr="0071774C">
        <w:t>with</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‘primary</w:t>
      </w:r>
      <w:r>
        <w:t xml:space="preserve"> </w:t>
      </w:r>
      <w:r w:rsidRPr="0071774C">
        <w:t>prevention’,</w:t>
      </w:r>
      <w:r>
        <w:t xml:space="preserve"> </w:t>
      </w:r>
      <w:r w:rsidRPr="0071774C">
        <w:t>‘primary</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and</w:t>
      </w:r>
      <w:r>
        <w:t xml:space="preserve"> </w:t>
      </w:r>
      <w:r w:rsidRPr="0071774C">
        <w:t>‘gender</w:t>
      </w:r>
      <w:r>
        <w:t xml:space="preserve"> </w:t>
      </w:r>
      <w:r w:rsidRPr="0071774C">
        <w:t>equality’.</w:t>
      </w:r>
      <w:r>
        <w:t xml:space="preserve"> </w:t>
      </w:r>
      <w:r w:rsidRPr="0071774C">
        <w:t>Additional</w:t>
      </w:r>
      <w:r>
        <w:t xml:space="preserve"> </w:t>
      </w:r>
      <w:r w:rsidRPr="0071774C">
        <w:t>targeted</w:t>
      </w:r>
      <w:r>
        <w:t xml:space="preserve"> </w:t>
      </w:r>
      <w:r w:rsidRPr="0071774C">
        <w:t>searches</w:t>
      </w:r>
      <w:r>
        <w:t xml:space="preserve"> </w:t>
      </w:r>
      <w:r w:rsidRPr="0071774C">
        <w:t>on</w:t>
      </w:r>
      <w:r>
        <w:t xml:space="preserve"> </w:t>
      </w:r>
      <w:r w:rsidRPr="0071774C">
        <w:t>the</w:t>
      </w:r>
      <w:r>
        <w:t xml:space="preserve"> </w:t>
      </w:r>
      <w:r w:rsidRPr="0071774C">
        <w:t>ANROWS</w:t>
      </w:r>
      <w:r>
        <w:t xml:space="preserve"> </w:t>
      </w:r>
      <w:r w:rsidRPr="0071774C">
        <w:t>and</w:t>
      </w:r>
      <w:r>
        <w:t xml:space="preserve"> </w:t>
      </w:r>
      <w:r w:rsidRPr="0071774C">
        <w:t>National</w:t>
      </w:r>
      <w:r>
        <w:t xml:space="preserve"> </w:t>
      </w:r>
      <w:r w:rsidRPr="0071774C">
        <w:t>Plan</w:t>
      </w:r>
      <w:r>
        <w:t xml:space="preserve"> </w:t>
      </w:r>
      <w:r w:rsidRPr="0071774C">
        <w:t>websites.</w:t>
      </w:r>
    </w:p>
    <w:p w14:paraId="0B611273" w14:textId="77777777" w:rsidR="00107D55" w:rsidRPr="0071774C" w:rsidRDefault="00107D55" w:rsidP="00D8674A">
      <w:pPr>
        <w:pStyle w:val="OWBullet1"/>
      </w:pPr>
      <w:r w:rsidRPr="0071774C">
        <w:t>Snowball</w:t>
      </w:r>
      <w:r>
        <w:t xml:space="preserve"> </w:t>
      </w:r>
      <w:r w:rsidRPr="0071774C">
        <w:t>searching</w:t>
      </w:r>
      <w:r>
        <w:t xml:space="preserve"> </w:t>
      </w:r>
      <w:r w:rsidRPr="0071774C">
        <w:t>from</w:t>
      </w:r>
      <w:r>
        <w:t xml:space="preserve"> </w:t>
      </w:r>
      <w:r w:rsidRPr="0071774C">
        <w:t>data</w:t>
      </w:r>
      <w:r>
        <w:t xml:space="preserve"> </w:t>
      </w:r>
      <w:r w:rsidRPr="0071774C">
        <w:t>collected</w:t>
      </w:r>
      <w:r>
        <w:t xml:space="preserve"> </w:t>
      </w:r>
      <w:r w:rsidRPr="0071774C">
        <w:t>in</w:t>
      </w:r>
      <w:r>
        <w:t xml:space="preserve"> </w:t>
      </w:r>
      <w:r w:rsidRPr="0071774C">
        <w:t>the</w:t>
      </w:r>
      <w:r>
        <w:t xml:space="preserve"> </w:t>
      </w:r>
      <w:r w:rsidRPr="0071774C">
        <w:t>two</w:t>
      </w:r>
      <w:r>
        <w:t xml:space="preserve"> </w:t>
      </w:r>
      <w:r w:rsidRPr="0071774C">
        <w:t>searches</w:t>
      </w:r>
      <w:r>
        <w:t xml:space="preserve"> </w:t>
      </w:r>
      <w:r w:rsidRPr="0071774C">
        <w:t>above</w:t>
      </w:r>
      <w:r>
        <w:t xml:space="preserve"> </w:t>
      </w:r>
      <w:r w:rsidRPr="0071774C">
        <w:t>also</w:t>
      </w:r>
      <w:r>
        <w:t xml:space="preserve"> </w:t>
      </w:r>
      <w:r w:rsidRPr="0071774C">
        <w:t>identified</w:t>
      </w:r>
      <w:r>
        <w:t xml:space="preserve"> </w:t>
      </w:r>
      <w:r w:rsidRPr="0071774C">
        <w:t>additional</w:t>
      </w:r>
      <w:r>
        <w:t xml:space="preserve"> </w:t>
      </w:r>
      <w:r w:rsidRPr="0071774C">
        <w:t>relevant</w:t>
      </w:r>
      <w:r>
        <w:t xml:space="preserve"> </w:t>
      </w:r>
      <w:r w:rsidRPr="0071774C">
        <w:t>information.</w:t>
      </w:r>
    </w:p>
    <w:p w14:paraId="260D8DC9" w14:textId="77777777" w:rsidR="00107D55" w:rsidRPr="0071774C" w:rsidRDefault="00107D55" w:rsidP="00107D55">
      <w:pPr>
        <w:pStyle w:val="Heading5"/>
      </w:pPr>
      <w:r>
        <w:rPr>
          <w:rFonts w:cs="Calibri"/>
        </w:rPr>
        <w:t>Limitations</w:t>
      </w:r>
    </w:p>
    <w:p w14:paraId="710520D9" w14:textId="77777777" w:rsidR="00107D55" w:rsidRPr="0071774C" w:rsidRDefault="00107D55" w:rsidP="00D8674A">
      <w:pPr>
        <w:pStyle w:val="BodyText"/>
      </w:pPr>
      <w:r>
        <w:rPr>
          <w:rFonts w:eastAsia="Calibri"/>
        </w:rPr>
        <w:t>As identified above, as much of this data isn’t currently collected, the online search strategy was able to identify a lot of the current work. However, it did not necessarily provide a comprehensive mapping of every evaluation for every program across the decade. This is also limited by the fact that evaluation information may be removed from websites as it is replaced by newer content. This limitation was ameliorated by including snowball search strategies whereby additional searches were conducted based on information provided in documents discovered in the initial search and further exploration of websites and documents identified by survey respondents.</w:t>
      </w:r>
    </w:p>
    <w:p w14:paraId="7F04AF45" w14:textId="77777777" w:rsidR="00107D55" w:rsidRPr="001577BA" w:rsidRDefault="00107D55" w:rsidP="00107D55">
      <w:pPr>
        <w:pStyle w:val="Heading4"/>
        <w:rPr>
          <w:rStyle w:val="OWCharacterHibiscus"/>
        </w:rPr>
      </w:pPr>
      <w:r w:rsidRPr="001577BA">
        <w:rPr>
          <w:rStyle w:val="OWCharacterHibiscus"/>
        </w:rPr>
        <w:t>Domain 5: Monitoring, reporting and evaluation frameworks</w:t>
      </w:r>
    </w:p>
    <w:p w14:paraId="622764E7" w14:textId="77777777" w:rsidR="00107D55" w:rsidRPr="0071774C" w:rsidRDefault="00107D55" w:rsidP="00107D55">
      <w:pPr>
        <w:pStyle w:val="Heading5"/>
        <w:spacing w:before="160"/>
      </w:pPr>
      <w:r w:rsidRPr="0071774C">
        <w:rPr>
          <w:rFonts w:cs="Calibri"/>
        </w:rPr>
        <w:t>Measure</w:t>
      </w:r>
    </w:p>
    <w:p w14:paraId="1C56D2A7" w14:textId="77777777" w:rsidR="00107D55" w:rsidRDefault="00107D55" w:rsidP="00D8674A">
      <w:pPr>
        <w:pStyle w:val="OWBullet1"/>
      </w:pPr>
      <w:r w:rsidRPr="0071774C">
        <w:t>Agreed</w:t>
      </w:r>
      <w:r>
        <w:t xml:space="preserve"> </w:t>
      </w:r>
      <w:r w:rsidRPr="0071774C">
        <w:t>monitoring</w:t>
      </w:r>
      <w:r>
        <w:t xml:space="preserve"> </w:t>
      </w:r>
      <w:r w:rsidRPr="0071774C">
        <w:t>and</w:t>
      </w:r>
      <w:r>
        <w:t xml:space="preserve"> </w:t>
      </w:r>
      <w:r w:rsidRPr="0071774C">
        <w:t>evaluation</w:t>
      </w:r>
      <w:r>
        <w:t xml:space="preserve"> </w:t>
      </w:r>
      <w:r w:rsidRPr="0071774C">
        <w:t>frameworks</w:t>
      </w:r>
      <w:r>
        <w:t xml:space="preserve"> </w:t>
      </w:r>
      <w:r w:rsidRPr="0071774C">
        <w:t>exist</w:t>
      </w:r>
      <w:r>
        <w:t xml:space="preserve"> </w:t>
      </w:r>
      <w:r w:rsidRPr="0071774C">
        <w:t>with</w:t>
      </w:r>
      <w:r>
        <w:t xml:space="preserve"> </w:t>
      </w:r>
      <w:r w:rsidRPr="0071774C">
        <w:t>accountabilities</w:t>
      </w:r>
      <w:r>
        <w:t xml:space="preserve"> </w:t>
      </w:r>
      <w:r w:rsidRPr="0071774C">
        <w:t>articulated</w:t>
      </w:r>
      <w:r>
        <w:t xml:space="preserve"> </w:t>
      </w:r>
      <w:r w:rsidRPr="0071774C">
        <w:t>for</w:t>
      </w:r>
      <w:r>
        <w:t xml:space="preserve"> </w:t>
      </w:r>
      <w:r w:rsidRPr="0071774C">
        <w:t>all</w:t>
      </w:r>
      <w:r>
        <w:t xml:space="preserve"> </w:t>
      </w:r>
      <w:r w:rsidRPr="0071774C">
        <w:t>relevant</w:t>
      </w:r>
      <w:r>
        <w:t xml:space="preserve"> </w:t>
      </w:r>
      <w:r w:rsidRPr="0071774C">
        <w:t>implementing</w:t>
      </w:r>
      <w:r>
        <w:t xml:space="preserve"> </w:t>
      </w:r>
      <w:r w:rsidRPr="0071774C">
        <w:t>partners</w:t>
      </w:r>
      <w:r>
        <w:t xml:space="preserve"> </w:t>
      </w:r>
      <w:r w:rsidRPr="0071774C">
        <w:t>(e.g.</w:t>
      </w:r>
      <w:r>
        <w:t xml:space="preserve"> </w:t>
      </w:r>
      <w:r w:rsidRPr="0071774C">
        <w:t>different</w:t>
      </w:r>
      <w:r>
        <w:t xml:space="preserve"> </w:t>
      </w:r>
      <w:r w:rsidRPr="0071774C">
        <w:t>government</w:t>
      </w:r>
      <w:r>
        <w:t xml:space="preserve"> </w:t>
      </w:r>
      <w:r w:rsidRPr="0071774C">
        <w:t>departments</w:t>
      </w:r>
      <w:r>
        <w:t xml:space="preserve"> </w:t>
      </w:r>
      <w:r w:rsidRPr="0071774C">
        <w:t>or</w:t>
      </w:r>
      <w:r>
        <w:t xml:space="preserve"> </w:t>
      </w:r>
      <w:r w:rsidRPr="0071774C">
        <w:t>different</w:t>
      </w:r>
      <w:r>
        <w:t xml:space="preserve"> </w:t>
      </w:r>
      <w:r w:rsidRPr="0071774C">
        <w:t>regional</w:t>
      </w:r>
      <w:r>
        <w:t xml:space="preserve"> </w:t>
      </w:r>
      <w:r w:rsidRPr="0071774C">
        <w:t>agencies).</w:t>
      </w:r>
    </w:p>
    <w:p w14:paraId="49DC1740" w14:textId="065E98AA" w:rsidR="00107D55" w:rsidRDefault="00107D55" w:rsidP="00D8674A">
      <w:pPr>
        <w:pStyle w:val="OWBullet1"/>
      </w:pPr>
      <w:r w:rsidRPr="0071774C">
        <w:t>Agreed</w:t>
      </w:r>
      <w:r>
        <w:t xml:space="preserve"> </w:t>
      </w:r>
      <w:r w:rsidRPr="0071774C">
        <w:t>monitoring</w:t>
      </w:r>
      <w:r>
        <w:t xml:space="preserve"> </w:t>
      </w:r>
      <w:r w:rsidRPr="0071774C">
        <w:t>and</w:t>
      </w:r>
      <w:r>
        <w:t xml:space="preserve"> </w:t>
      </w:r>
      <w:r w:rsidRPr="0071774C">
        <w:t>evaluation</w:t>
      </w:r>
      <w:r>
        <w:t xml:space="preserve"> </w:t>
      </w:r>
      <w:r w:rsidRPr="0071774C">
        <w:t>frameworks</w:t>
      </w:r>
      <w:r>
        <w:t xml:space="preserve"> </w:t>
      </w:r>
      <w:r w:rsidRPr="0071774C">
        <w:t>exist</w:t>
      </w:r>
      <w:r>
        <w:t xml:space="preserve"> </w:t>
      </w:r>
      <w:r w:rsidRPr="0071774C">
        <w:t>with</w:t>
      </w:r>
      <w:r>
        <w:t xml:space="preserve"> </w:t>
      </w:r>
      <w:r w:rsidRPr="0071774C">
        <w:t>outcomes</w:t>
      </w:r>
      <w:r>
        <w:t xml:space="preserve"> </w:t>
      </w:r>
      <w:r w:rsidRPr="0071774C">
        <w:t>and</w:t>
      </w:r>
      <w:r>
        <w:t xml:space="preserve"> </w:t>
      </w:r>
      <w:r w:rsidRPr="0071774C">
        <w:t>targets</w:t>
      </w:r>
      <w:r>
        <w:t xml:space="preserve"> </w:t>
      </w:r>
      <w:r w:rsidRPr="0071774C">
        <w:t>that</w:t>
      </w:r>
      <w:r>
        <w:t xml:space="preserve"> </w:t>
      </w:r>
      <w:r w:rsidRPr="0071774C">
        <w:t>demonstrate</w:t>
      </w:r>
      <w:r>
        <w:t xml:space="preserve"> </w:t>
      </w:r>
      <w:r w:rsidRPr="0071774C">
        <w:t>alignment</w:t>
      </w:r>
      <w:r>
        <w:t xml:space="preserve"> </w:t>
      </w:r>
      <w:r w:rsidRPr="0071774C">
        <w:t>with</w:t>
      </w:r>
      <w:r>
        <w:t xml:space="preserve"> </w:t>
      </w:r>
      <w:r w:rsidRPr="0071774C">
        <w:t>the</w:t>
      </w:r>
      <w:r>
        <w:t xml:space="preserve"> </w:t>
      </w:r>
      <w:r w:rsidRPr="0071774C">
        <w:t>shared</w:t>
      </w:r>
      <w:r>
        <w:t xml:space="preserve"> </w:t>
      </w:r>
      <w:r w:rsidRPr="0071774C">
        <w:t>national</w:t>
      </w:r>
      <w:r>
        <w:t xml:space="preserve"> </w:t>
      </w:r>
      <w:r w:rsidRPr="0071774C">
        <w:t>framework,</w:t>
      </w:r>
      <w:r>
        <w:rPr>
          <w:rStyle w:val="Emphasis"/>
        </w:rPr>
        <w:t xml:space="preserve"> </w:t>
      </w:r>
      <w:r w:rsidRPr="00ED4674">
        <w:rPr>
          <w:rStyle w:val="Emphasis"/>
        </w:rPr>
        <w:t>Changing the picture</w:t>
      </w:r>
      <w:r>
        <w:rPr>
          <w:iCs/>
        </w:rPr>
        <w:t>,</w:t>
      </w:r>
      <w:r>
        <w:t xml:space="preserve"> </w:t>
      </w:r>
      <w:r w:rsidRPr="0071774C">
        <w:t>and</w:t>
      </w:r>
      <w:r w:rsidR="00154F63">
        <w:t> </w:t>
      </w:r>
      <w:r w:rsidRPr="0071774C">
        <w:t>with</w:t>
      </w:r>
      <w:r>
        <w:rPr>
          <w:rStyle w:val="Emphasis"/>
        </w:rPr>
        <w:t xml:space="preserve"> </w:t>
      </w:r>
      <w:r w:rsidRPr="00ED4674">
        <w:rPr>
          <w:rStyle w:val="Emphasis"/>
        </w:rPr>
        <w:t xml:space="preserve">Counting on </w:t>
      </w:r>
      <w:r w:rsidR="005B20FC">
        <w:rPr>
          <w:rStyle w:val="Emphasis"/>
        </w:rPr>
        <w:t>c</w:t>
      </w:r>
      <w:r w:rsidRPr="00ED4674">
        <w:rPr>
          <w:rStyle w:val="Emphasis"/>
        </w:rPr>
        <w:t>hange</w:t>
      </w:r>
      <w:r w:rsidRPr="0071774C">
        <w:t>.</w:t>
      </w:r>
    </w:p>
    <w:p w14:paraId="1B74D023" w14:textId="77777777" w:rsidR="00107D55" w:rsidRDefault="00107D55" w:rsidP="00D8674A">
      <w:pPr>
        <w:pStyle w:val="OWBullet1"/>
      </w:pPr>
      <w:r w:rsidRPr="0071774C">
        <w:t>Monitoring</w:t>
      </w:r>
      <w:r>
        <w:t xml:space="preserve"> </w:t>
      </w:r>
      <w:r w:rsidRPr="0071774C">
        <w:t>frameworks</w:t>
      </w:r>
      <w:r>
        <w:t xml:space="preserve"> </w:t>
      </w:r>
      <w:r w:rsidRPr="0071774C">
        <w:t>and</w:t>
      </w:r>
      <w:r>
        <w:t xml:space="preserve"> </w:t>
      </w:r>
      <w:r w:rsidRPr="0071774C">
        <w:t>national</w:t>
      </w:r>
      <w:r>
        <w:t xml:space="preserve"> </w:t>
      </w:r>
      <w:r w:rsidRPr="0071774C">
        <w:t>research</w:t>
      </w:r>
      <w:r>
        <w:t xml:space="preserve"> </w:t>
      </w:r>
      <w:r w:rsidRPr="0071774C">
        <w:t>and</w:t>
      </w:r>
      <w:r>
        <w:t xml:space="preserve"> </w:t>
      </w:r>
      <w:r w:rsidRPr="0071774C">
        <w:t>data</w:t>
      </w:r>
      <w:r>
        <w:t xml:space="preserve"> </w:t>
      </w:r>
      <w:r w:rsidRPr="0071774C">
        <w:t>strategies</w:t>
      </w:r>
      <w:r>
        <w:t xml:space="preserve"> </w:t>
      </w:r>
      <w:r w:rsidRPr="0071774C">
        <w:t>are</w:t>
      </w:r>
      <w:r>
        <w:t xml:space="preserve"> </w:t>
      </w:r>
      <w:r w:rsidRPr="0071774C">
        <w:t>established</w:t>
      </w:r>
      <w:r>
        <w:t xml:space="preserve"> </w:t>
      </w:r>
      <w:r w:rsidRPr="0071774C">
        <w:t>to</w:t>
      </w:r>
      <w:r>
        <w:t xml:space="preserve"> </w:t>
      </w:r>
      <w:r w:rsidRPr="0071774C">
        <w:t>support</w:t>
      </w:r>
      <w:r>
        <w:t xml:space="preserve"> </w:t>
      </w:r>
      <w:r w:rsidRPr="0071774C">
        <w:t>evidence</w:t>
      </w:r>
      <w:r>
        <w:t xml:space="preserve"> </w:t>
      </w:r>
      <w:r w:rsidRPr="0071774C">
        <w:t>building</w:t>
      </w:r>
      <w:r>
        <w:t xml:space="preserve"> </w:t>
      </w:r>
      <w:r w:rsidRPr="0071774C">
        <w:t>and</w:t>
      </w:r>
      <w:r>
        <w:t xml:space="preserve"> </w:t>
      </w:r>
      <w:r w:rsidRPr="0071774C">
        <w:t>accountability</w:t>
      </w:r>
      <w:r>
        <w:t xml:space="preserve"> </w:t>
      </w:r>
      <w:r w:rsidRPr="0071774C">
        <w:t>for</w:t>
      </w:r>
      <w:r>
        <w:t xml:space="preserve"> </w:t>
      </w:r>
      <w:r w:rsidRPr="0071774C">
        <w:t>the</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all</w:t>
      </w:r>
      <w:r>
        <w:t xml:space="preserve"> </w:t>
      </w:r>
      <w:r w:rsidRPr="0071774C">
        <w:t>women,</w:t>
      </w:r>
      <w:r>
        <w:t xml:space="preserve"> </w:t>
      </w:r>
      <w:r w:rsidRPr="0071774C">
        <w:t>which</w:t>
      </w:r>
      <w:r>
        <w:t xml:space="preserve"> </w:t>
      </w:r>
      <w:r w:rsidRPr="0071774C">
        <w:t>acknowledge</w:t>
      </w:r>
      <w:r>
        <w:t xml:space="preserve"> </w:t>
      </w:r>
      <w:r w:rsidRPr="0071774C">
        <w:t>multiple</w:t>
      </w:r>
      <w:r>
        <w:t xml:space="preserve"> </w:t>
      </w:r>
      <w:r w:rsidRPr="0071774C">
        <w:t>forms</w:t>
      </w:r>
      <w:r>
        <w:t xml:space="preserve"> </w:t>
      </w:r>
      <w:r w:rsidRPr="0071774C">
        <w:t>of</w:t>
      </w:r>
      <w:r>
        <w:t xml:space="preserve"> </w:t>
      </w:r>
      <w:r w:rsidRPr="0071774C">
        <w:t>knowledge</w:t>
      </w:r>
      <w:r>
        <w:t xml:space="preserve"> </w:t>
      </w:r>
      <w:r w:rsidRPr="0071774C">
        <w:t>and</w:t>
      </w:r>
      <w:r>
        <w:t xml:space="preserve"> </w:t>
      </w:r>
      <w:r w:rsidRPr="0071774C">
        <w:t>data.</w:t>
      </w:r>
    </w:p>
    <w:p w14:paraId="6B61990B" w14:textId="77777777" w:rsidR="00107D55" w:rsidRDefault="00107D55" w:rsidP="00D8674A">
      <w:pPr>
        <w:pStyle w:val="OWBullet1"/>
      </w:pPr>
      <w:r w:rsidRPr="0071774C">
        <w:t>Such</w:t>
      </w:r>
      <w:r>
        <w:t xml:space="preserve"> </w:t>
      </w:r>
      <w:r w:rsidRPr="0071774C">
        <w:t>monitoring,</w:t>
      </w:r>
      <w:r>
        <w:t xml:space="preserve"> </w:t>
      </w:r>
      <w:r w:rsidRPr="0071774C">
        <w:t>evaluation,</w:t>
      </w:r>
      <w:r>
        <w:t xml:space="preserve"> </w:t>
      </w:r>
      <w:r w:rsidRPr="0071774C">
        <w:t>research</w:t>
      </w:r>
      <w:r>
        <w:t xml:space="preserve"> </w:t>
      </w:r>
      <w:r w:rsidRPr="0071774C">
        <w:t>and</w:t>
      </w:r>
      <w:r>
        <w:t xml:space="preserve"> </w:t>
      </w:r>
      <w:r w:rsidRPr="0071774C">
        <w:t>data</w:t>
      </w:r>
      <w:r>
        <w:t xml:space="preserve"> </w:t>
      </w:r>
      <w:r w:rsidRPr="0071774C">
        <w:t>frameworks</w:t>
      </w:r>
      <w:r>
        <w:t xml:space="preserve"> </w:t>
      </w:r>
      <w:r w:rsidRPr="0071774C">
        <w:t>and</w:t>
      </w:r>
      <w:r>
        <w:t xml:space="preserve"> </w:t>
      </w:r>
      <w:r w:rsidRPr="0071774C">
        <w:t>strategies</w:t>
      </w:r>
      <w:r>
        <w:t xml:space="preserve"> </w:t>
      </w:r>
      <w:r w:rsidRPr="0071774C">
        <w:t>are</w:t>
      </w:r>
      <w:r>
        <w:t xml:space="preserve"> </w:t>
      </w:r>
      <w:r w:rsidRPr="0071774C">
        <w:t>supported</w:t>
      </w:r>
      <w:r>
        <w:t xml:space="preserve"> </w:t>
      </w:r>
      <w:r w:rsidRPr="0071774C">
        <w:t>(financially,</w:t>
      </w:r>
      <w:r>
        <w:t xml:space="preserve"> </w:t>
      </w:r>
      <w:r w:rsidRPr="0071774C">
        <w:t>in-kind</w:t>
      </w:r>
      <w:r>
        <w:t xml:space="preserve"> </w:t>
      </w:r>
      <w:r w:rsidRPr="0071774C">
        <w:t>and</w:t>
      </w:r>
      <w:r>
        <w:t xml:space="preserve"> </w:t>
      </w:r>
      <w:r w:rsidRPr="0071774C">
        <w:t>through</w:t>
      </w:r>
      <w:r>
        <w:t xml:space="preserve"> </w:t>
      </w:r>
      <w:r w:rsidRPr="0071774C">
        <w:t>appropriate</w:t>
      </w:r>
      <w:r>
        <w:t xml:space="preserve"> </w:t>
      </w:r>
      <w:r w:rsidRPr="0071774C">
        <w:t>and</w:t>
      </w:r>
      <w:r>
        <w:t xml:space="preserve"> </w:t>
      </w:r>
      <w:r w:rsidRPr="0071774C">
        <w:t>fair</w:t>
      </w:r>
      <w:r>
        <w:t xml:space="preserve"> </w:t>
      </w:r>
      <w:r w:rsidRPr="0071774C">
        <w:t>mechanisms</w:t>
      </w:r>
      <w:r>
        <w:t xml:space="preserve"> </w:t>
      </w:r>
      <w:r w:rsidRPr="0071774C">
        <w:t>and</w:t>
      </w:r>
      <w:r>
        <w:t xml:space="preserve"> </w:t>
      </w:r>
      <w:r w:rsidRPr="0071774C">
        <w:t>systems)</w:t>
      </w:r>
      <w:r>
        <w:t xml:space="preserve"> </w:t>
      </w:r>
      <w:r w:rsidRPr="0071774C">
        <w:t>by</w:t>
      </w:r>
      <w:r>
        <w:t xml:space="preserve"> </w:t>
      </w:r>
      <w:r w:rsidRPr="0071774C">
        <w:t>implementing</w:t>
      </w:r>
      <w:r>
        <w:t xml:space="preserve"> </w:t>
      </w:r>
      <w:r w:rsidRPr="0071774C">
        <w:t>partners</w:t>
      </w:r>
      <w:r>
        <w:t xml:space="preserve"> </w:t>
      </w:r>
      <w:r w:rsidRPr="0071774C">
        <w:t>and</w:t>
      </w:r>
      <w:r>
        <w:t xml:space="preserve"> </w:t>
      </w:r>
      <w:r w:rsidRPr="0071774C">
        <w:t>their</w:t>
      </w:r>
      <w:r>
        <w:t xml:space="preserve"> </w:t>
      </w:r>
      <w:r w:rsidRPr="0071774C">
        <w:t>funders.</w:t>
      </w:r>
    </w:p>
    <w:p w14:paraId="1A391C08" w14:textId="77777777" w:rsidR="00107D55" w:rsidRDefault="00107D55" w:rsidP="00D8674A">
      <w:pPr>
        <w:pStyle w:val="OWBullet1"/>
      </w:pPr>
      <w:r w:rsidRPr="0071774C">
        <w:t>Prevention</w:t>
      </w:r>
      <w:r>
        <w:t xml:space="preserve"> </w:t>
      </w:r>
      <w:r w:rsidRPr="0071774C">
        <w:t>initiatives</w:t>
      </w:r>
      <w:r>
        <w:t xml:space="preserve"> </w:t>
      </w:r>
      <w:r w:rsidRPr="0071774C">
        <w:t>are</w:t>
      </w:r>
      <w:r>
        <w:t xml:space="preserve"> </w:t>
      </w:r>
      <w:r w:rsidRPr="0071774C">
        <w:t>supported</w:t>
      </w:r>
      <w:r>
        <w:t xml:space="preserve"> </w:t>
      </w:r>
      <w:r w:rsidRPr="0071774C">
        <w:t>to</w:t>
      </w:r>
      <w:r>
        <w:t xml:space="preserve"> </w:t>
      </w:r>
      <w:r w:rsidRPr="0071774C">
        <w:t>undertake</w:t>
      </w:r>
      <w:r>
        <w:t xml:space="preserve"> </w:t>
      </w:r>
      <w:r w:rsidRPr="0071774C">
        <w:t>ethical,</w:t>
      </w:r>
      <w:r>
        <w:t xml:space="preserve"> </w:t>
      </w:r>
      <w:r w:rsidRPr="0071774C">
        <w:t>appropriate</w:t>
      </w:r>
      <w:r>
        <w:t xml:space="preserve"> </w:t>
      </w:r>
      <w:r w:rsidRPr="0071774C">
        <w:t>and</w:t>
      </w:r>
      <w:r>
        <w:t xml:space="preserve"> </w:t>
      </w:r>
      <w:r w:rsidRPr="0071774C">
        <w:t>effective</w:t>
      </w:r>
      <w:r>
        <w:t xml:space="preserve"> </w:t>
      </w:r>
      <w:r w:rsidRPr="0071774C">
        <w:t>monitoring,</w:t>
      </w:r>
      <w:r>
        <w:t xml:space="preserve"> </w:t>
      </w:r>
      <w:r w:rsidRPr="0071774C">
        <w:t>evaluation</w:t>
      </w:r>
      <w:r>
        <w:t xml:space="preserve"> </w:t>
      </w:r>
      <w:r w:rsidRPr="0071774C">
        <w:t>and</w:t>
      </w:r>
      <w:r>
        <w:t xml:space="preserve"> </w:t>
      </w:r>
      <w:r w:rsidRPr="0071774C">
        <w:t>learning</w:t>
      </w:r>
      <w:r>
        <w:t xml:space="preserve"> </w:t>
      </w:r>
      <w:r w:rsidRPr="0071774C">
        <w:t>practice</w:t>
      </w:r>
      <w:r>
        <w:t xml:space="preserve"> </w:t>
      </w:r>
      <w:r w:rsidRPr="0071774C">
        <w:t>through</w:t>
      </w:r>
      <w:r>
        <w:t xml:space="preserve"> </w:t>
      </w:r>
      <w:r w:rsidRPr="0071774C">
        <w:t>funding</w:t>
      </w:r>
      <w:r>
        <w:t xml:space="preserve"> </w:t>
      </w:r>
      <w:r w:rsidRPr="0071774C">
        <w:t>investment</w:t>
      </w:r>
      <w:r>
        <w:t xml:space="preserve"> </w:t>
      </w:r>
      <w:r w:rsidRPr="0071774C">
        <w:t>and</w:t>
      </w:r>
      <w:r>
        <w:t xml:space="preserve"> </w:t>
      </w:r>
      <w:r w:rsidRPr="0071774C">
        <w:t>sectoral</w:t>
      </w:r>
      <w:r>
        <w:t xml:space="preserve"> </w:t>
      </w:r>
      <w:r w:rsidRPr="0071774C">
        <w:t>capacity</w:t>
      </w:r>
      <w:r>
        <w:t xml:space="preserve"> </w:t>
      </w:r>
      <w:r w:rsidRPr="0071774C">
        <w:t>building,</w:t>
      </w:r>
      <w:r>
        <w:t xml:space="preserve"> </w:t>
      </w:r>
      <w:r w:rsidRPr="0071774C">
        <w:t>knowledge</w:t>
      </w:r>
      <w:r>
        <w:t xml:space="preserve"> </w:t>
      </w:r>
      <w:r w:rsidRPr="0071774C">
        <w:t>sharing</w:t>
      </w:r>
      <w:r>
        <w:t xml:space="preserve"> </w:t>
      </w:r>
      <w:r w:rsidRPr="0071774C">
        <w:t>and</w:t>
      </w:r>
      <w:r>
        <w:t xml:space="preserve"> </w:t>
      </w:r>
      <w:r w:rsidRPr="0071774C">
        <w:t>collaboration.</w:t>
      </w:r>
    </w:p>
    <w:p w14:paraId="1BF51B14" w14:textId="77777777" w:rsidR="00107D55" w:rsidRPr="0071774C" w:rsidRDefault="00107D55" w:rsidP="00D8674A">
      <w:pPr>
        <w:pStyle w:val="OWBullet1"/>
      </w:pPr>
      <w:r w:rsidRPr="0071774C">
        <w:t>Governments</w:t>
      </w:r>
      <w:r>
        <w:t xml:space="preserve"> </w:t>
      </w:r>
      <w:r w:rsidRPr="0071774C">
        <w:t>(federal,</w:t>
      </w:r>
      <w:r>
        <w:t xml:space="preserve"> </w:t>
      </w:r>
      <w:r w:rsidRPr="0071774C">
        <w:t>state/territory</w:t>
      </w:r>
      <w:r>
        <w:t xml:space="preserve"> </w:t>
      </w:r>
      <w:r w:rsidRPr="0071774C">
        <w:t>and</w:t>
      </w:r>
      <w:r>
        <w:t xml:space="preserve"> </w:t>
      </w:r>
      <w:r w:rsidRPr="0071774C">
        <w:t>local)</w:t>
      </w:r>
      <w:r>
        <w:t xml:space="preserve"> </w:t>
      </w:r>
      <w:r w:rsidRPr="0071774C">
        <w:t>establish</w:t>
      </w:r>
      <w:r>
        <w:t xml:space="preserve"> </w:t>
      </w:r>
      <w:r w:rsidRPr="0071774C">
        <w:t>independent</w:t>
      </w:r>
      <w:r>
        <w:t xml:space="preserve"> </w:t>
      </w:r>
      <w:r w:rsidRPr="0071774C">
        <w:t>governance</w:t>
      </w:r>
      <w:r>
        <w:t xml:space="preserve"> </w:t>
      </w:r>
      <w:r w:rsidRPr="0071774C">
        <w:t>and</w:t>
      </w:r>
      <w:r>
        <w:t xml:space="preserve"> </w:t>
      </w:r>
      <w:r w:rsidRPr="0071774C">
        <w:t>oversight</w:t>
      </w:r>
      <w:r>
        <w:t xml:space="preserve"> </w:t>
      </w:r>
      <w:r w:rsidRPr="0071774C">
        <w:t>mechanisms</w:t>
      </w:r>
      <w:r>
        <w:t xml:space="preserve"> </w:t>
      </w:r>
      <w:r w:rsidRPr="0071774C">
        <w:t>to</w:t>
      </w:r>
      <w:r>
        <w:t xml:space="preserve"> </w:t>
      </w:r>
      <w:r w:rsidRPr="0071774C">
        <w:t>monitor</w:t>
      </w:r>
      <w:r>
        <w:t xml:space="preserve"> </w:t>
      </w:r>
      <w:r w:rsidRPr="0071774C">
        <w:t>progress</w:t>
      </w:r>
      <w:r>
        <w:t xml:space="preserve"> </w:t>
      </w:r>
      <w:r w:rsidRPr="0071774C">
        <w:t>on</w:t>
      </w:r>
      <w:r>
        <w:t xml:space="preserve"> </w:t>
      </w:r>
      <w:r w:rsidRPr="0071774C">
        <w:t>preventing</w:t>
      </w:r>
      <w:r>
        <w:t xml:space="preserve"> </w:t>
      </w:r>
      <w:r w:rsidRPr="0071774C">
        <w:t>violence</w:t>
      </w:r>
      <w:r>
        <w:t xml:space="preserve"> </w:t>
      </w:r>
      <w:r w:rsidRPr="0071774C">
        <w:t>against</w:t>
      </w:r>
      <w:r>
        <w:t xml:space="preserve"> </w:t>
      </w:r>
      <w:r w:rsidRPr="0071774C">
        <w:t>women</w:t>
      </w:r>
      <w:r>
        <w:t xml:space="preserve"> </w:t>
      </w:r>
      <w:r w:rsidRPr="0071774C">
        <w:t>and</w:t>
      </w:r>
      <w:r>
        <w:t xml:space="preserve"> </w:t>
      </w:r>
      <w:r w:rsidRPr="0071774C">
        <w:t>promoting</w:t>
      </w:r>
      <w:r>
        <w:t xml:space="preserve"> </w:t>
      </w:r>
      <w:r w:rsidRPr="0071774C">
        <w:t>gender</w:t>
      </w:r>
      <w:r>
        <w:t xml:space="preserve"> </w:t>
      </w:r>
      <w:r w:rsidRPr="0071774C">
        <w:t>equality.</w:t>
      </w:r>
    </w:p>
    <w:p w14:paraId="251C7C46" w14:textId="77777777" w:rsidR="00107D55" w:rsidRPr="0071774C" w:rsidRDefault="00107D55" w:rsidP="00107D55">
      <w:pPr>
        <w:pStyle w:val="Heading5"/>
      </w:pPr>
      <w:r w:rsidRPr="0071774C">
        <w:rPr>
          <w:rFonts w:cs="Calibri"/>
        </w:rPr>
        <w:lastRenderedPageBreak/>
        <w:t>Methodology</w:t>
      </w:r>
    </w:p>
    <w:p w14:paraId="50D85123" w14:textId="213F53AE" w:rsidR="00107D55" w:rsidRDefault="00107D55" w:rsidP="00D8674A">
      <w:pPr>
        <w:pStyle w:val="OWBullet1"/>
      </w:pPr>
      <w:r w:rsidRPr="0071774C">
        <w:t>Grey</w:t>
      </w:r>
      <w:r>
        <w:t xml:space="preserve"> </w:t>
      </w:r>
      <w:r w:rsidRPr="0071774C">
        <w:t>literature</w:t>
      </w:r>
      <w:r>
        <w:t xml:space="preserve"> </w:t>
      </w:r>
      <w:r w:rsidRPr="0071774C">
        <w:t>search</w:t>
      </w:r>
      <w:r>
        <w:t xml:space="preserve"> </w:t>
      </w:r>
      <w:r w:rsidRPr="0071774C">
        <w:t>for</w:t>
      </w:r>
      <w:r>
        <w:t xml:space="preserve"> </w:t>
      </w:r>
      <w:r w:rsidRPr="0071774C">
        <w:t>key</w:t>
      </w:r>
      <w:r>
        <w:t xml:space="preserve"> </w:t>
      </w:r>
      <w:r w:rsidRPr="0071774C">
        <w:t>references</w:t>
      </w:r>
      <w:r>
        <w:t xml:space="preserve"> </w:t>
      </w:r>
      <w:r w:rsidRPr="0071774C">
        <w:t>to</w:t>
      </w:r>
      <w:r>
        <w:t xml:space="preserve"> </w:t>
      </w:r>
      <w:r w:rsidRPr="0071774C">
        <w:t>monitoring</w:t>
      </w:r>
      <w:r>
        <w:t xml:space="preserve"> </w:t>
      </w:r>
      <w:r w:rsidRPr="0071774C">
        <w:t>and</w:t>
      </w:r>
      <w:r>
        <w:t xml:space="preserve"> </w:t>
      </w:r>
      <w:r w:rsidRPr="0071774C">
        <w:t>evaluation</w:t>
      </w:r>
      <w:r>
        <w:t xml:space="preserve"> </w:t>
      </w:r>
      <w:r w:rsidRPr="0071774C">
        <w:t>in</w:t>
      </w:r>
      <w:r>
        <w:t xml:space="preserve"> </w:t>
      </w:r>
      <w:r w:rsidRPr="0071774C">
        <w:t>primary</w:t>
      </w:r>
      <w:r>
        <w:t xml:space="preserve"> </w:t>
      </w:r>
      <w:r w:rsidRPr="0071774C">
        <w:t>prevention</w:t>
      </w:r>
      <w:r>
        <w:t xml:space="preserve"> </w:t>
      </w:r>
      <w:r w:rsidRPr="0071774C">
        <w:t>of</w:t>
      </w:r>
      <w:r>
        <w:t xml:space="preserve"> </w:t>
      </w:r>
      <w:r w:rsidRPr="0071774C">
        <w:t>violence</w:t>
      </w:r>
      <w:r>
        <w:t xml:space="preserve"> </w:t>
      </w:r>
      <w:r w:rsidRPr="0071774C">
        <w:t>against</w:t>
      </w:r>
      <w:r>
        <w:t xml:space="preserve"> </w:t>
      </w:r>
      <w:r w:rsidRPr="0071774C">
        <w:t>women</w:t>
      </w:r>
      <w:r>
        <w:t xml:space="preserve"> </w:t>
      </w:r>
      <w:r w:rsidRPr="0071774C">
        <w:t>between</w:t>
      </w:r>
      <w:r>
        <w:t xml:space="preserve"> </w:t>
      </w:r>
      <w:r w:rsidRPr="0071774C">
        <w:t>2009</w:t>
      </w:r>
      <w:r>
        <w:t xml:space="preserve"> </w:t>
      </w:r>
      <w:r w:rsidRPr="0071774C">
        <w:t>and</w:t>
      </w:r>
      <w:r>
        <w:t xml:space="preserve"> </w:t>
      </w:r>
      <w:r w:rsidRPr="0071774C">
        <w:t>2019.</w:t>
      </w:r>
      <w:r>
        <w:t xml:space="preserve"> </w:t>
      </w:r>
      <w:r w:rsidRPr="0071774C">
        <w:t>Desktop</w:t>
      </w:r>
      <w:r>
        <w:t xml:space="preserve"> </w:t>
      </w:r>
      <w:r w:rsidRPr="0071774C">
        <w:t>searches</w:t>
      </w:r>
      <w:r>
        <w:t xml:space="preserve"> </w:t>
      </w:r>
      <w:r w:rsidRPr="0071774C">
        <w:t>as</w:t>
      </w:r>
      <w:r w:rsidR="00154F63">
        <w:t> </w:t>
      </w:r>
      <w:r w:rsidRPr="0071774C">
        <w:t>outlined</w:t>
      </w:r>
      <w:r>
        <w:t xml:space="preserve"> </w:t>
      </w:r>
      <w:r w:rsidRPr="0071774C">
        <w:t>in</w:t>
      </w:r>
      <w:r>
        <w:t xml:space="preserve"> </w:t>
      </w:r>
      <w:r w:rsidRPr="0071774C">
        <w:t>Domain</w:t>
      </w:r>
      <w:r>
        <w:t xml:space="preserve"> </w:t>
      </w:r>
      <w:r w:rsidRPr="0071774C">
        <w:t>4.</w:t>
      </w:r>
    </w:p>
    <w:p w14:paraId="15AD7F0A" w14:textId="77777777" w:rsidR="00107D55" w:rsidRDefault="00107D55" w:rsidP="00D8674A">
      <w:pPr>
        <w:pStyle w:val="OWBullet1"/>
      </w:pPr>
      <w:r w:rsidRPr="0071774C">
        <w:t>Content</w:t>
      </w:r>
      <w:r>
        <w:t xml:space="preserve"> </w:t>
      </w:r>
      <w:r w:rsidRPr="0071774C">
        <w:t>analysis</w:t>
      </w:r>
      <w:r>
        <w:t xml:space="preserve"> </w:t>
      </w:r>
      <w:r w:rsidRPr="0071774C">
        <w:t>of</w:t>
      </w:r>
      <w:r>
        <w:t xml:space="preserve"> </w:t>
      </w:r>
      <w:r w:rsidRPr="0071774C">
        <w:t>policy</w:t>
      </w:r>
      <w:r>
        <w:t xml:space="preserve"> </w:t>
      </w:r>
      <w:r w:rsidRPr="0071774C">
        <w:t>documents</w:t>
      </w:r>
      <w:r>
        <w:t xml:space="preserve"> </w:t>
      </w:r>
      <w:r w:rsidRPr="0071774C">
        <w:t>referred</w:t>
      </w:r>
      <w:r>
        <w:t xml:space="preserve"> </w:t>
      </w:r>
      <w:r w:rsidRPr="0071774C">
        <w:t>to</w:t>
      </w:r>
      <w:r>
        <w:t xml:space="preserve"> </w:t>
      </w:r>
      <w:r w:rsidRPr="0071774C">
        <w:t>in</w:t>
      </w:r>
      <w:r>
        <w:t xml:space="preserve"> </w:t>
      </w:r>
      <w:r w:rsidRPr="0071774C">
        <w:t>Domain</w:t>
      </w:r>
      <w:r>
        <w:t xml:space="preserve"> </w:t>
      </w:r>
      <w:r w:rsidRPr="0071774C">
        <w:t>2.</w:t>
      </w:r>
    </w:p>
    <w:p w14:paraId="3BEF5582" w14:textId="09A257CF" w:rsidR="00107D55" w:rsidRPr="0071774C" w:rsidRDefault="00107D55" w:rsidP="00D8674A">
      <w:pPr>
        <w:pStyle w:val="OWBullet1"/>
      </w:pPr>
      <w:r w:rsidRPr="0071774C">
        <w:t>Further</w:t>
      </w:r>
      <w:r>
        <w:t xml:space="preserve"> </w:t>
      </w:r>
      <w:r w:rsidRPr="0071774C">
        <w:t>analysis</w:t>
      </w:r>
      <w:r>
        <w:t xml:space="preserve"> </w:t>
      </w:r>
      <w:r w:rsidRPr="0071774C">
        <w:t>of</w:t>
      </w:r>
      <w:r>
        <w:t xml:space="preserve"> </w:t>
      </w:r>
      <w:r w:rsidRPr="0071774C">
        <w:t>quantitative</w:t>
      </w:r>
      <w:r>
        <w:t xml:space="preserve"> </w:t>
      </w:r>
      <w:r w:rsidRPr="0071774C">
        <w:t>and</w:t>
      </w:r>
      <w:r>
        <w:t xml:space="preserve"> </w:t>
      </w:r>
      <w:r w:rsidRPr="0071774C">
        <w:t>qualitative</w:t>
      </w:r>
      <w:r>
        <w:t xml:space="preserve"> </w:t>
      </w:r>
      <w:r w:rsidRPr="0071774C">
        <w:t>data</w:t>
      </w:r>
      <w:r>
        <w:t xml:space="preserve"> </w:t>
      </w:r>
      <w:r w:rsidRPr="0071774C">
        <w:t>collected</w:t>
      </w:r>
      <w:r>
        <w:t xml:space="preserve"> </w:t>
      </w:r>
      <w:r w:rsidRPr="0071774C">
        <w:t>through</w:t>
      </w:r>
      <w:r>
        <w:t xml:space="preserve"> </w:t>
      </w:r>
      <w:r w:rsidRPr="0071774C">
        <w:t>the</w:t>
      </w:r>
      <w:r>
        <w:t xml:space="preserve"> </w:t>
      </w:r>
      <w:r w:rsidR="00473135">
        <w:t>research</w:t>
      </w:r>
      <w:r>
        <w:t xml:space="preserve"> </w:t>
      </w:r>
      <w:r w:rsidRPr="0071774C">
        <w:t>survey</w:t>
      </w:r>
      <w:r>
        <w:t xml:space="preserve"> </w:t>
      </w:r>
      <w:r w:rsidRPr="0071774C">
        <w:t>(</w:t>
      </w:r>
      <w:r>
        <w:t>n=</w:t>
      </w:r>
      <w:r w:rsidRPr="0071774C">
        <w:t>312)</w:t>
      </w:r>
      <w:r>
        <w:t xml:space="preserve"> </w:t>
      </w:r>
      <w:r w:rsidRPr="0071774C">
        <w:t>as</w:t>
      </w:r>
      <w:r>
        <w:t xml:space="preserve"> </w:t>
      </w:r>
      <w:r w:rsidRPr="0071774C">
        <w:t>outlined</w:t>
      </w:r>
      <w:r>
        <w:t xml:space="preserve"> </w:t>
      </w:r>
      <w:r w:rsidRPr="0071774C">
        <w:t>in</w:t>
      </w:r>
      <w:r>
        <w:t xml:space="preserve"> </w:t>
      </w:r>
      <w:r w:rsidRPr="0071774C">
        <w:t>Domain</w:t>
      </w:r>
      <w:r>
        <w:t xml:space="preserve"> </w:t>
      </w:r>
      <w:r w:rsidRPr="0071774C">
        <w:t>3.</w:t>
      </w:r>
    </w:p>
    <w:p w14:paraId="67B042E0" w14:textId="77777777" w:rsidR="00107D55" w:rsidRPr="0071774C" w:rsidRDefault="00107D55" w:rsidP="00107D55">
      <w:pPr>
        <w:pStyle w:val="Heading5"/>
      </w:pPr>
      <w:r>
        <w:rPr>
          <w:rFonts w:cs="Calibri"/>
        </w:rPr>
        <w:t>Limitations</w:t>
      </w:r>
    </w:p>
    <w:p w14:paraId="700285BB" w14:textId="77777777" w:rsidR="00107D55" w:rsidRPr="0071774C" w:rsidRDefault="00107D55" w:rsidP="00D8674A">
      <w:pPr>
        <w:pStyle w:val="BodyText"/>
      </w:pPr>
      <w:r>
        <w:rPr>
          <w:rFonts w:eastAsia="Calibri"/>
        </w:rPr>
        <w:t>As identified above, as much of this data isn’t currently collected, the online search strategy was able to identify a lot of relevant literature, although it did not necessarily provide a comprehensive mapping of all documents. This is also limited by the fact that evaluation and monitoring information may be removed from websites as it is replaced by newer content. This limitation was ameliorated by including snowball search strategies whereby additional searches were conducted based on information provided in documents discovered in the initial search, or websites and documents identified by survey respondents.</w:t>
      </w:r>
    </w:p>
    <w:p w14:paraId="1E65AAAC" w14:textId="77777777" w:rsidR="00107D55" w:rsidRPr="001577BA" w:rsidRDefault="00107D55" w:rsidP="00107D55">
      <w:pPr>
        <w:pStyle w:val="Heading4"/>
        <w:rPr>
          <w:rStyle w:val="OWCharacterHibiscus"/>
        </w:rPr>
      </w:pPr>
      <w:r w:rsidRPr="001577BA">
        <w:rPr>
          <w:rStyle w:val="OWCharacterHibiscus"/>
        </w:rPr>
        <w:t>Domain 6: Quality primary prevention programming</w:t>
      </w:r>
    </w:p>
    <w:p w14:paraId="25D57A8D" w14:textId="77777777" w:rsidR="00107D55" w:rsidRPr="0071774C" w:rsidRDefault="00107D55" w:rsidP="00107D55">
      <w:pPr>
        <w:pStyle w:val="Heading5"/>
        <w:spacing w:before="160"/>
      </w:pPr>
      <w:r w:rsidRPr="0071774C">
        <w:rPr>
          <w:rFonts w:cs="Calibri"/>
        </w:rPr>
        <w:t>Measure</w:t>
      </w:r>
    </w:p>
    <w:p w14:paraId="09CB3F5A" w14:textId="77777777" w:rsidR="00107D55" w:rsidRDefault="00107D55" w:rsidP="00D8674A">
      <w:pPr>
        <w:pStyle w:val="OWBullet1"/>
      </w:pPr>
      <w:r w:rsidRPr="0071774C">
        <w:t>Prevention</w:t>
      </w:r>
      <w:r>
        <w:t xml:space="preserve"> </w:t>
      </w:r>
      <w:r w:rsidRPr="0071774C">
        <w:t>programming</w:t>
      </w:r>
      <w:r>
        <w:t>:</w:t>
      </w:r>
    </w:p>
    <w:p w14:paraId="554A2826" w14:textId="77777777" w:rsidR="00107D55" w:rsidRDefault="00107D55" w:rsidP="00D8674A">
      <w:pPr>
        <w:pStyle w:val="OWBullet2"/>
        <w:rPr>
          <w:rFonts w:eastAsia="Calibri"/>
        </w:rPr>
      </w:pPr>
      <w:r w:rsidRPr="0071774C">
        <w:rPr>
          <w:rFonts w:eastAsia="Calibri"/>
        </w:rPr>
        <w:t>takes</w:t>
      </w:r>
      <w:r>
        <w:rPr>
          <w:rFonts w:eastAsia="Calibri"/>
        </w:rPr>
        <w:t xml:space="preserve"> </w:t>
      </w:r>
      <w:r w:rsidRPr="0071774C">
        <w:rPr>
          <w:rFonts w:eastAsia="Calibri"/>
        </w:rPr>
        <w:t>an</w:t>
      </w:r>
      <w:r>
        <w:rPr>
          <w:rFonts w:eastAsia="Calibri"/>
        </w:rPr>
        <w:t xml:space="preserve"> </w:t>
      </w:r>
      <w:r w:rsidRPr="0071774C">
        <w:rPr>
          <w:rFonts w:eastAsia="Calibri"/>
        </w:rPr>
        <w:t>intersectional</w:t>
      </w:r>
      <w:r>
        <w:rPr>
          <w:rFonts w:eastAsia="Calibri"/>
        </w:rPr>
        <w:t xml:space="preserve"> </w:t>
      </w:r>
      <w:r w:rsidRPr="0071774C">
        <w:rPr>
          <w:rFonts w:eastAsia="Calibri"/>
        </w:rPr>
        <w:t>approach</w:t>
      </w:r>
      <w:r>
        <w:rPr>
          <w:rFonts w:eastAsia="Calibri"/>
        </w:rPr>
        <w:t xml:space="preserve"> </w:t>
      </w:r>
      <w:r w:rsidRPr="0071774C">
        <w:rPr>
          <w:rFonts w:eastAsia="Calibri"/>
        </w:rPr>
        <w:t>to</w:t>
      </w:r>
      <w:r>
        <w:rPr>
          <w:rFonts w:eastAsia="Calibri"/>
        </w:rPr>
        <w:t xml:space="preserve"> </w:t>
      </w:r>
      <w:r w:rsidRPr="0071774C">
        <w:rPr>
          <w:rFonts w:eastAsia="Calibri"/>
        </w:rPr>
        <w:t>addressing</w:t>
      </w:r>
      <w:r>
        <w:rPr>
          <w:rFonts w:eastAsia="Calibri"/>
        </w:rPr>
        <w:t xml:space="preserve"> </w:t>
      </w:r>
      <w:r w:rsidRPr="0071774C">
        <w:rPr>
          <w:rFonts w:eastAsia="Calibri"/>
        </w:rPr>
        <w:t>drivers</w:t>
      </w:r>
      <w:r>
        <w:rPr>
          <w:rFonts w:eastAsia="Calibri"/>
        </w:rPr>
        <w:t xml:space="preserve"> </w:t>
      </w:r>
      <w:r w:rsidRPr="0071774C">
        <w:rPr>
          <w:rFonts w:eastAsia="Calibri"/>
        </w:rPr>
        <w:t>of</w:t>
      </w:r>
      <w:r>
        <w:rPr>
          <w:rFonts w:eastAsia="Calibri"/>
        </w:rPr>
        <w:t xml:space="preserve"> </w:t>
      </w:r>
      <w:r w:rsidRPr="0071774C">
        <w:rPr>
          <w:rFonts w:eastAsia="Calibri"/>
        </w:rPr>
        <w:t>violence</w:t>
      </w:r>
    </w:p>
    <w:p w14:paraId="18F32C73" w14:textId="77777777" w:rsidR="00107D55" w:rsidRDefault="00107D55" w:rsidP="00D8674A">
      <w:pPr>
        <w:pStyle w:val="OWBullet2"/>
        <w:rPr>
          <w:rFonts w:eastAsia="Calibri"/>
        </w:rPr>
      </w:pPr>
      <w:r w:rsidRPr="0071774C">
        <w:rPr>
          <w:rFonts w:eastAsia="Calibri"/>
        </w:rPr>
        <w:t>employs</w:t>
      </w:r>
      <w:r>
        <w:rPr>
          <w:rFonts w:eastAsia="Calibri"/>
        </w:rPr>
        <w:t xml:space="preserve"> </w:t>
      </w:r>
      <w:r w:rsidRPr="0071774C">
        <w:rPr>
          <w:rFonts w:eastAsia="Calibri"/>
        </w:rPr>
        <w:t>a</w:t>
      </w:r>
      <w:r>
        <w:rPr>
          <w:rFonts w:eastAsia="Calibri"/>
        </w:rPr>
        <w:t xml:space="preserve"> </w:t>
      </w:r>
      <w:r w:rsidRPr="0071774C">
        <w:rPr>
          <w:rFonts w:eastAsia="Calibri"/>
        </w:rPr>
        <w:t>range</w:t>
      </w:r>
      <w:r>
        <w:rPr>
          <w:rFonts w:eastAsia="Calibri"/>
        </w:rPr>
        <w:t xml:space="preserve"> </w:t>
      </w:r>
      <w:r w:rsidRPr="0071774C">
        <w:rPr>
          <w:rFonts w:eastAsia="Calibri"/>
        </w:rPr>
        <w:t>of</w:t>
      </w:r>
      <w:r>
        <w:rPr>
          <w:rFonts w:eastAsia="Calibri"/>
        </w:rPr>
        <w:t xml:space="preserve"> </w:t>
      </w:r>
      <w:r w:rsidRPr="0071774C">
        <w:rPr>
          <w:rFonts w:eastAsia="Calibri"/>
        </w:rPr>
        <w:t>techniques</w:t>
      </w:r>
      <w:r>
        <w:rPr>
          <w:rFonts w:eastAsia="Calibri"/>
        </w:rPr>
        <w:t xml:space="preserve"> </w:t>
      </w:r>
      <w:r w:rsidRPr="0071774C">
        <w:rPr>
          <w:rFonts w:eastAsia="Calibri"/>
        </w:rPr>
        <w:t>across</w:t>
      </w:r>
      <w:r>
        <w:rPr>
          <w:rFonts w:eastAsia="Calibri"/>
        </w:rPr>
        <w:t xml:space="preserve"> </w:t>
      </w:r>
      <w:r w:rsidRPr="0071774C">
        <w:rPr>
          <w:rFonts w:eastAsia="Calibri"/>
        </w:rPr>
        <w:t>a</w:t>
      </w:r>
      <w:r>
        <w:rPr>
          <w:rFonts w:eastAsia="Calibri"/>
        </w:rPr>
        <w:t xml:space="preserve"> </w:t>
      </w:r>
      <w:r w:rsidRPr="0071774C">
        <w:rPr>
          <w:rFonts w:eastAsia="Calibri"/>
        </w:rPr>
        <w:t>range</w:t>
      </w:r>
      <w:r>
        <w:rPr>
          <w:rFonts w:eastAsia="Calibri"/>
        </w:rPr>
        <w:t xml:space="preserve"> </w:t>
      </w:r>
      <w:r w:rsidRPr="0071774C">
        <w:rPr>
          <w:rFonts w:eastAsia="Calibri"/>
        </w:rPr>
        <w:t>of</w:t>
      </w:r>
      <w:r>
        <w:rPr>
          <w:rFonts w:eastAsia="Calibri"/>
        </w:rPr>
        <w:t xml:space="preserve"> </w:t>
      </w:r>
      <w:r w:rsidRPr="0071774C">
        <w:rPr>
          <w:rFonts w:eastAsia="Calibri"/>
        </w:rPr>
        <w:t>settings</w:t>
      </w:r>
      <w:r>
        <w:rPr>
          <w:rFonts w:eastAsia="Calibri"/>
        </w:rPr>
        <w:t xml:space="preserve"> </w:t>
      </w:r>
      <w:r w:rsidRPr="0071774C">
        <w:rPr>
          <w:rFonts w:eastAsia="Calibri"/>
        </w:rPr>
        <w:t>and</w:t>
      </w:r>
      <w:r>
        <w:rPr>
          <w:rFonts w:eastAsia="Calibri"/>
        </w:rPr>
        <w:t xml:space="preserve"> </w:t>
      </w:r>
      <w:r w:rsidRPr="0071774C">
        <w:rPr>
          <w:rFonts w:eastAsia="Calibri"/>
        </w:rPr>
        <w:t>context</w:t>
      </w:r>
      <w:r>
        <w:rPr>
          <w:rFonts w:eastAsia="Calibri"/>
        </w:rPr>
        <w:t>s</w:t>
      </w:r>
    </w:p>
    <w:p w14:paraId="43FCE7CE" w14:textId="77777777" w:rsidR="00107D55" w:rsidRDefault="00107D55" w:rsidP="00D8674A">
      <w:pPr>
        <w:pStyle w:val="OWBullet2"/>
        <w:rPr>
          <w:rFonts w:eastAsia="Calibri"/>
        </w:rPr>
      </w:pPr>
      <w:r w:rsidRPr="0071774C">
        <w:rPr>
          <w:rFonts w:eastAsia="Calibri"/>
        </w:rPr>
        <w:t>works</w:t>
      </w:r>
      <w:r>
        <w:rPr>
          <w:rFonts w:eastAsia="Calibri"/>
        </w:rPr>
        <w:t xml:space="preserve"> </w:t>
      </w:r>
      <w:r w:rsidRPr="0071774C">
        <w:rPr>
          <w:rFonts w:eastAsia="Calibri"/>
        </w:rPr>
        <w:t>at</w:t>
      </w:r>
      <w:r>
        <w:rPr>
          <w:rFonts w:eastAsia="Calibri"/>
        </w:rPr>
        <w:t xml:space="preserve"> </w:t>
      </w:r>
      <w:r w:rsidRPr="0071774C">
        <w:rPr>
          <w:rFonts w:eastAsia="Calibri"/>
        </w:rPr>
        <w:t>different</w:t>
      </w:r>
      <w:r>
        <w:rPr>
          <w:rFonts w:eastAsia="Calibri"/>
        </w:rPr>
        <w:t xml:space="preserve"> </w:t>
      </w:r>
      <w:r w:rsidRPr="0071774C">
        <w:rPr>
          <w:rFonts w:eastAsia="Calibri"/>
        </w:rPr>
        <w:t>levels</w:t>
      </w:r>
      <w:r>
        <w:rPr>
          <w:rFonts w:eastAsia="Calibri"/>
        </w:rPr>
        <w:t xml:space="preserve"> </w:t>
      </w:r>
      <w:r w:rsidRPr="0071774C">
        <w:rPr>
          <w:rFonts w:eastAsia="Calibri"/>
        </w:rPr>
        <w:t>of</w:t>
      </w:r>
      <w:r>
        <w:rPr>
          <w:rFonts w:eastAsia="Calibri"/>
        </w:rPr>
        <w:t xml:space="preserve"> </w:t>
      </w:r>
      <w:r w:rsidRPr="0071774C">
        <w:rPr>
          <w:rFonts w:eastAsia="Calibri"/>
        </w:rPr>
        <w:t>the</w:t>
      </w:r>
      <w:r>
        <w:rPr>
          <w:rFonts w:eastAsia="Calibri"/>
        </w:rPr>
        <w:t xml:space="preserve"> </w:t>
      </w:r>
      <w:r w:rsidRPr="0071774C">
        <w:rPr>
          <w:rFonts w:eastAsia="Calibri"/>
        </w:rPr>
        <w:t>socio-ecological</w:t>
      </w:r>
      <w:r>
        <w:rPr>
          <w:rFonts w:eastAsia="Calibri"/>
        </w:rPr>
        <w:t xml:space="preserve"> </w:t>
      </w:r>
      <w:r w:rsidRPr="0071774C">
        <w:rPr>
          <w:rFonts w:eastAsia="Calibri"/>
        </w:rPr>
        <w:t>framework</w:t>
      </w:r>
    </w:p>
    <w:p w14:paraId="5855B43C" w14:textId="77777777" w:rsidR="00107D55" w:rsidRDefault="00107D55" w:rsidP="00D8674A">
      <w:pPr>
        <w:pStyle w:val="OWBullet2"/>
        <w:rPr>
          <w:rFonts w:eastAsia="Calibri"/>
        </w:rPr>
      </w:pPr>
      <w:r w:rsidRPr="0071774C">
        <w:rPr>
          <w:rFonts w:eastAsia="Calibri"/>
        </w:rPr>
        <w:t>is</w:t>
      </w:r>
      <w:r>
        <w:rPr>
          <w:rFonts w:eastAsia="Calibri"/>
        </w:rPr>
        <w:t xml:space="preserve"> </w:t>
      </w:r>
      <w:r w:rsidRPr="0071774C">
        <w:rPr>
          <w:rFonts w:eastAsia="Calibri"/>
        </w:rPr>
        <w:t>tailored</w:t>
      </w:r>
      <w:r>
        <w:rPr>
          <w:rFonts w:eastAsia="Calibri"/>
        </w:rPr>
        <w:t xml:space="preserve"> </w:t>
      </w:r>
      <w:r w:rsidRPr="0071774C">
        <w:rPr>
          <w:rFonts w:eastAsia="Calibri"/>
        </w:rPr>
        <w:t>to</w:t>
      </w:r>
      <w:r>
        <w:rPr>
          <w:rFonts w:eastAsia="Calibri"/>
        </w:rPr>
        <w:t xml:space="preserve"> </w:t>
      </w:r>
      <w:r w:rsidRPr="0071774C">
        <w:rPr>
          <w:rFonts w:eastAsia="Calibri"/>
        </w:rPr>
        <w:t>audience</w:t>
      </w:r>
      <w:r>
        <w:rPr>
          <w:rFonts w:eastAsia="Calibri"/>
        </w:rPr>
        <w:t xml:space="preserve"> </w:t>
      </w:r>
      <w:r w:rsidRPr="0071774C">
        <w:rPr>
          <w:rFonts w:eastAsia="Calibri"/>
        </w:rPr>
        <w:t>and</w:t>
      </w:r>
      <w:r>
        <w:rPr>
          <w:rFonts w:eastAsia="Calibri"/>
        </w:rPr>
        <w:t xml:space="preserve"> </w:t>
      </w:r>
      <w:r w:rsidRPr="0071774C">
        <w:rPr>
          <w:rFonts w:eastAsia="Calibri"/>
        </w:rPr>
        <w:t>context</w:t>
      </w:r>
      <w:r>
        <w:rPr>
          <w:rFonts w:eastAsia="Calibri"/>
        </w:rPr>
        <w:t xml:space="preserve"> </w:t>
      </w:r>
      <w:r w:rsidRPr="0071774C">
        <w:rPr>
          <w:rFonts w:eastAsia="Calibri"/>
        </w:rPr>
        <w:t>and</w:t>
      </w:r>
      <w:r>
        <w:rPr>
          <w:rFonts w:eastAsia="Calibri"/>
        </w:rPr>
        <w:t xml:space="preserve"> </w:t>
      </w:r>
      <w:r w:rsidRPr="0071774C">
        <w:rPr>
          <w:rFonts w:eastAsia="Calibri"/>
        </w:rPr>
        <w:t>inclusive</w:t>
      </w:r>
    </w:p>
    <w:p w14:paraId="6AF038F0" w14:textId="77777777" w:rsidR="00107D55" w:rsidRDefault="00107D55" w:rsidP="00D8674A">
      <w:pPr>
        <w:pStyle w:val="OWBullet2"/>
        <w:rPr>
          <w:rFonts w:eastAsia="Calibri"/>
        </w:rPr>
      </w:pPr>
      <w:r w:rsidRPr="0071774C">
        <w:rPr>
          <w:rFonts w:eastAsia="Calibri"/>
        </w:rPr>
        <w:t>is</w:t>
      </w:r>
      <w:r>
        <w:rPr>
          <w:rFonts w:eastAsia="Calibri"/>
        </w:rPr>
        <w:t xml:space="preserve"> </w:t>
      </w:r>
      <w:r w:rsidRPr="0071774C">
        <w:rPr>
          <w:rFonts w:eastAsia="Calibri"/>
        </w:rPr>
        <w:t>long-term.</w:t>
      </w:r>
    </w:p>
    <w:p w14:paraId="1CC5328B" w14:textId="77777777" w:rsidR="00107D55" w:rsidRDefault="00107D55" w:rsidP="00D8674A">
      <w:pPr>
        <w:pStyle w:val="OWBullet1"/>
      </w:pPr>
      <w:r w:rsidRPr="0071774C">
        <w:t>Prevention</w:t>
      </w:r>
      <w:r>
        <w:t xml:space="preserve"> </w:t>
      </w:r>
      <w:r w:rsidRPr="0071774C">
        <w:t>programs</w:t>
      </w:r>
      <w:r>
        <w:t xml:space="preserve"> </w:t>
      </w:r>
      <w:r w:rsidRPr="0071774C">
        <w:t>that</w:t>
      </w:r>
      <w:r>
        <w:t xml:space="preserve"> </w:t>
      </w:r>
      <w:r w:rsidRPr="0071774C">
        <w:t>have</w:t>
      </w:r>
      <w:r>
        <w:t xml:space="preserve"> </w:t>
      </w:r>
      <w:r w:rsidRPr="0071774C">
        <w:t>been</w:t>
      </w:r>
      <w:r>
        <w:t xml:space="preserve"> </w:t>
      </w:r>
      <w:r w:rsidRPr="0071774C">
        <w:t>trialled</w:t>
      </w:r>
      <w:r>
        <w:t xml:space="preserve"> </w:t>
      </w:r>
      <w:r w:rsidRPr="0071774C">
        <w:t>and</w:t>
      </w:r>
      <w:r>
        <w:t xml:space="preserve"> </w:t>
      </w:r>
      <w:r w:rsidRPr="0071774C">
        <w:t>evaluated</w:t>
      </w:r>
      <w:r>
        <w:t xml:space="preserve"> </w:t>
      </w:r>
      <w:r w:rsidRPr="0071774C">
        <w:t>as</w:t>
      </w:r>
      <w:r>
        <w:t xml:space="preserve"> </w:t>
      </w:r>
      <w:r w:rsidRPr="0071774C">
        <w:t>effective</w:t>
      </w:r>
      <w:r>
        <w:t xml:space="preserve"> </w:t>
      </w:r>
      <w:r w:rsidRPr="0071774C">
        <w:t>or</w:t>
      </w:r>
      <w:r>
        <w:t xml:space="preserve"> </w:t>
      </w:r>
      <w:r w:rsidRPr="0071774C">
        <w:t>promising</w:t>
      </w:r>
      <w:r>
        <w:t xml:space="preserve"> </w:t>
      </w:r>
      <w:r w:rsidRPr="0071774C">
        <w:t>are</w:t>
      </w:r>
      <w:r>
        <w:t xml:space="preserve"> </w:t>
      </w:r>
      <w:r w:rsidRPr="0071774C">
        <w:t>supported</w:t>
      </w:r>
      <w:r>
        <w:t xml:space="preserve"> </w:t>
      </w:r>
      <w:r w:rsidRPr="0071774C">
        <w:t>for</w:t>
      </w:r>
      <w:r>
        <w:t xml:space="preserve"> </w:t>
      </w:r>
      <w:r w:rsidRPr="0071774C">
        <w:t>continuous</w:t>
      </w:r>
      <w:r>
        <w:t xml:space="preserve"> </w:t>
      </w:r>
      <w:r w:rsidRPr="0071774C">
        <w:t>improvement</w:t>
      </w:r>
      <w:r>
        <w:t xml:space="preserve"> </w:t>
      </w:r>
      <w:r w:rsidRPr="0071774C">
        <w:t>and</w:t>
      </w:r>
      <w:r>
        <w:t xml:space="preserve"> </w:t>
      </w:r>
      <w:r w:rsidRPr="0071774C">
        <w:t>scale-up</w:t>
      </w:r>
      <w:r>
        <w:t xml:space="preserve"> </w:t>
      </w:r>
      <w:r w:rsidRPr="0071774C">
        <w:t>over</w:t>
      </w:r>
      <w:r>
        <w:t xml:space="preserve"> </w:t>
      </w:r>
      <w:r w:rsidRPr="0071774C">
        <w:t>the</w:t>
      </w:r>
      <w:r>
        <w:t xml:space="preserve"> </w:t>
      </w:r>
      <w:r w:rsidRPr="0071774C">
        <w:t>long</w:t>
      </w:r>
      <w:r>
        <w:t xml:space="preserve"> </w:t>
      </w:r>
      <w:r w:rsidRPr="0071774C">
        <w:t>term</w:t>
      </w:r>
      <w:r>
        <w:t xml:space="preserve"> </w:t>
      </w:r>
      <w:r w:rsidRPr="0071774C">
        <w:t>(i.e.</w:t>
      </w:r>
      <w:r>
        <w:t xml:space="preserve"> </w:t>
      </w:r>
      <w:r w:rsidRPr="0071774C">
        <w:t>more</w:t>
      </w:r>
      <w:r>
        <w:t xml:space="preserve"> </w:t>
      </w:r>
      <w:r w:rsidRPr="0071774C">
        <w:t>than</w:t>
      </w:r>
      <w:r>
        <w:t xml:space="preserve"> five </w:t>
      </w:r>
      <w:r w:rsidRPr="0071774C">
        <w:t>years).</w:t>
      </w:r>
    </w:p>
    <w:p w14:paraId="5430D2F0" w14:textId="77777777" w:rsidR="00107D55" w:rsidRDefault="00107D55" w:rsidP="00D8674A">
      <w:pPr>
        <w:pStyle w:val="OWBullet1"/>
      </w:pPr>
      <w:r w:rsidRPr="0071774C">
        <w:t>As</w:t>
      </w:r>
      <w:r>
        <w:t xml:space="preserve"> </w:t>
      </w:r>
      <w:r w:rsidRPr="0071774C">
        <w:t>the</w:t>
      </w:r>
      <w:r>
        <w:t xml:space="preserve"> </w:t>
      </w:r>
      <w:r w:rsidRPr="0071774C">
        <w:t>above</w:t>
      </w:r>
      <w:r>
        <w:t xml:space="preserve"> </w:t>
      </w:r>
      <w:r w:rsidRPr="0071774C">
        <w:t>quality</w:t>
      </w:r>
      <w:r>
        <w:t xml:space="preserve"> </w:t>
      </w:r>
      <w:r w:rsidRPr="0071774C">
        <w:t>standards</w:t>
      </w:r>
      <w:r>
        <w:t xml:space="preserve"> </w:t>
      </w:r>
      <w:r w:rsidRPr="0071774C">
        <w:t>are</w:t>
      </w:r>
      <w:r>
        <w:t xml:space="preserve"> </w:t>
      </w:r>
      <w:r w:rsidRPr="0071774C">
        <w:t>progressively</w:t>
      </w:r>
      <w:r>
        <w:t xml:space="preserve"> </w:t>
      </w:r>
      <w:r w:rsidRPr="0071774C">
        <w:t>developed,</w:t>
      </w:r>
      <w:r>
        <w:t xml:space="preserve"> </w:t>
      </w:r>
      <w:r w:rsidRPr="0071774C">
        <w:t>measures</w:t>
      </w:r>
      <w:r>
        <w:t xml:space="preserve"> </w:t>
      </w:r>
      <w:r w:rsidRPr="0071774C">
        <w:t>of</w:t>
      </w:r>
      <w:r>
        <w:t xml:space="preserve"> </w:t>
      </w:r>
      <w:r w:rsidRPr="0071774C">
        <w:t>progress</w:t>
      </w:r>
      <w:r>
        <w:t xml:space="preserve"> </w:t>
      </w:r>
      <w:r w:rsidRPr="0071774C">
        <w:t>in</w:t>
      </w:r>
      <w:r>
        <w:t xml:space="preserve"> </w:t>
      </w:r>
      <w:r w:rsidRPr="0071774C">
        <w:t>each</w:t>
      </w:r>
      <w:r>
        <w:t xml:space="preserve"> </w:t>
      </w:r>
      <w:r w:rsidRPr="0071774C">
        <w:t>setting</w:t>
      </w:r>
      <w:r>
        <w:t xml:space="preserve"> </w:t>
      </w:r>
      <w:r w:rsidRPr="0071774C">
        <w:t>are</w:t>
      </w:r>
      <w:r>
        <w:t xml:space="preserve"> </w:t>
      </w:r>
      <w:r w:rsidRPr="0071774C">
        <w:t>identified,</w:t>
      </w:r>
      <w:r>
        <w:t xml:space="preserve"> </w:t>
      </w:r>
      <w:r w:rsidRPr="0071774C">
        <w:t>monitored</w:t>
      </w:r>
      <w:r>
        <w:t xml:space="preserve"> </w:t>
      </w:r>
      <w:r w:rsidRPr="0071774C">
        <w:t>and</w:t>
      </w:r>
      <w:r>
        <w:t xml:space="preserve"> </w:t>
      </w:r>
      <w:r w:rsidRPr="0071774C">
        <w:t>reported</w:t>
      </w:r>
      <w:r>
        <w:t xml:space="preserve"> </w:t>
      </w:r>
      <w:r w:rsidRPr="0071774C">
        <w:t>on.</w:t>
      </w:r>
      <w:r>
        <w:t xml:space="preserve"> </w:t>
      </w:r>
      <w:r w:rsidRPr="0071774C">
        <w:t>For</w:t>
      </w:r>
      <w:r>
        <w:t xml:space="preserve"> </w:t>
      </w:r>
      <w:r w:rsidRPr="0071774C">
        <w:t>example,</w:t>
      </w:r>
      <w:r>
        <w:t xml:space="preserve"> </w:t>
      </w:r>
      <w:r w:rsidRPr="0071774C">
        <w:t>for</w:t>
      </w:r>
      <w:r>
        <w:t xml:space="preserve"> </w:t>
      </w:r>
      <w:r w:rsidRPr="0071774C">
        <w:t>education</w:t>
      </w:r>
      <w:r>
        <w:t xml:space="preserve"> </w:t>
      </w:r>
      <w:r w:rsidRPr="0071774C">
        <w:t>and</w:t>
      </w:r>
      <w:r>
        <w:t xml:space="preserve"> </w:t>
      </w:r>
      <w:r w:rsidRPr="0071774C">
        <w:t>care</w:t>
      </w:r>
      <w:r>
        <w:t xml:space="preserve"> </w:t>
      </w:r>
      <w:r w:rsidRPr="0071774C">
        <w:t>settings,</w:t>
      </w:r>
      <w:r>
        <w:t xml:space="preserve"> </w:t>
      </w:r>
      <w:r w:rsidRPr="0071774C">
        <w:t>the</w:t>
      </w:r>
      <w:r>
        <w:t xml:space="preserve"> </w:t>
      </w:r>
      <w:r w:rsidRPr="0071774C">
        <w:t>number</w:t>
      </w:r>
      <w:r>
        <w:t xml:space="preserve"> </w:t>
      </w:r>
      <w:r w:rsidRPr="0071774C">
        <w:t>of</w:t>
      </w:r>
      <w:r>
        <w:t xml:space="preserve"> </w:t>
      </w:r>
      <w:r w:rsidRPr="0071774C">
        <w:t>students</w:t>
      </w:r>
      <w:r>
        <w:t xml:space="preserve"> </w:t>
      </w:r>
      <w:r w:rsidRPr="0071774C">
        <w:t>(K</w:t>
      </w:r>
      <w:r>
        <w:t>–</w:t>
      </w:r>
      <w:r w:rsidRPr="0071774C">
        <w:t>12)</w:t>
      </w:r>
      <w:r>
        <w:t xml:space="preserve"> </w:t>
      </w:r>
      <w:r w:rsidRPr="0071774C">
        <w:t>reached</w:t>
      </w:r>
      <w:r>
        <w:t xml:space="preserve"> </w:t>
      </w:r>
      <w:r w:rsidRPr="0071774C">
        <w:t>by</w:t>
      </w:r>
      <w:r>
        <w:t xml:space="preserve"> r</w:t>
      </w:r>
      <w:r w:rsidRPr="0071774C">
        <w:t>espectful</w:t>
      </w:r>
      <w:r>
        <w:t xml:space="preserve"> r</w:t>
      </w:r>
      <w:r w:rsidRPr="0071774C">
        <w:t>elationships</w:t>
      </w:r>
      <w:r>
        <w:t xml:space="preserve"> e</w:t>
      </w:r>
      <w:r w:rsidRPr="0071774C">
        <w:t>ducation</w:t>
      </w:r>
      <w:r>
        <w:t xml:space="preserve"> </w:t>
      </w:r>
      <w:r w:rsidRPr="0071774C">
        <w:t>initiatives</w:t>
      </w:r>
      <w:r>
        <w:t xml:space="preserve"> </w:t>
      </w:r>
      <w:r w:rsidRPr="0071774C">
        <w:t>using</w:t>
      </w:r>
      <w:r>
        <w:t xml:space="preserve"> </w:t>
      </w:r>
      <w:r w:rsidRPr="0071774C">
        <w:t>the</w:t>
      </w:r>
      <w:r>
        <w:t xml:space="preserve"> </w:t>
      </w:r>
      <w:r w:rsidRPr="0071774C">
        <w:t>whole</w:t>
      </w:r>
      <w:r>
        <w:t>-of-</w:t>
      </w:r>
      <w:r w:rsidRPr="0071774C">
        <w:t>school</w:t>
      </w:r>
      <w:r>
        <w:t xml:space="preserve"> </w:t>
      </w:r>
      <w:r w:rsidRPr="0071774C">
        <w:t>approach.</w:t>
      </w:r>
    </w:p>
    <w:p w14:paraId="70193639" w14:textId="6332C3A3" w:rsidR="00107D55" w:rsidRDefault="00107D55" w:rsidP="00D8674A">
      <w:pPr>
        <w:pStyle w:val="OWBullet1"/>
      </w:pPr>
      <w:r w:rsidRPr="0071774C">
        <w:t>Prevention</w:t>
      </w:r>
      <w:r>
        <w:t xml:space="preserve"> </w:t>
      </w:r>
      <w:r w:rsidRPr="0071774C">
        <w:t>programs</w:t>
      </w:r>
      <w:r>
        <w:t xml:space="preserve"> </w:t>
      </w:r>
      <w:r w:rsidRPr="0071774C">
        <w:t>show</w:t>
      </w:r>
      <w:r>
        <w:t xml:space="preserve"> </w:t>
      </w:r>
      <w:r w:rsidRPr="0071774C">
        <w:t>evidence</w:t>
      </w:r>
      <w:r>
        <w:t xml:space="preserve"> </w:t>
      </w:r>
      <w:r w:rsidRPr="0071774C">
        <w:t>of</w:t>
      </w:r>
      <w:r>
        <w:t xml:space="preserve"> </w:t>
      </w:r>
      <w:r w:rsidRPr="0071774C">
        <w:t>being</w:t>
      </w:r>
      <w:r>
        <w:t xml:space="preserve"> </w:t>
      </w:r>
      <w:r w:rsidRPr="0071774C">
        <w:t>implemented</w:t>
      </w:r>
      <w:r>
        <w:t xml:space="preserve"> </w:t>
      </w:r>
      <w:r w:rsidRPr="0071774C">
        <w:t>and</w:t>
      </w:r>
      <w:r>
        <w:t xml:space="preserve"> </w:t>
      </w:r>
      <w:r w:rsidRPr="0071774C">
        <w:t>evaluated</w:t>
      </w:r>
      <w:r>
        <w:t xml:space="preserve"> </w:t>
      </w:r>
      <w:r w:rsidRPr="0071774C">
        <w:t>according</w:t>
      </w:r>
      <w:r>
        <w:t xml:space="preserve"> </w:t>
      </w:r>
      <w:r w:rsidRPr="0071774C">
        <w:t>to</w:t>
      </w:r>
      <w:r w:rsidR="00154F63">
        <w:t> </w:t>
      </w:r>
      <w:r w:rsidRPr="0071774C">
        <w:t>good</w:t>
      </w:r>
      <w:r>
        <w:t xml:space="preserve"> </w:t>
      </w:r>
      <w:r w:rsidRPr="0071774C">
        <w:t>practice</w:t>
      </w:r>
      <w:r>
        <w:t xml:space="preserve"> </w:t>
      </w:r>
      <w:r w:rsidRPr="0071774C">
        <w:t>principles</w:t>
      </w:r>
      <w:r>
        <w:t xml:space="preserve"> </w:t>
      </w:r>
      <w:r w:rsidRPr="0071774C">
        <w:t>and</w:t>
      </w:r>
      <w:r>
        <w:t xml:space="preserve"> </w:t>
      </w:r>
      <w:r w:rsidRPr="0071774C">
        <w:t>shared</w:t>
      </w:r>
      <w:r>
        <w:t xml:space="preserve"> </w:t>
      </w:r>
      <w:r w:rsidRPr="0071774C">
        <w:t>standards.</w:t>
      </w:r>
    </w:p>
    <w:p w14:paraId="12421E46" w14:textId="77777777" w:rsidR="00107D55" w:rsidRDefault="00107D55" w:rsidP="00D8674A">
      <w:pPr>
        <w:pStyle w:val="OWBullet1"/>
      </w:pPr>
      <w:r w:rsidRPr="0071774C">
        <w:t>Measures</w:t>
      </w:r>
      <w:r>
        <w:t xml:space="preserve"> </w:t>
      </w:r>
      <w:r w:rsidRPr="0071774C">
        <w:t>of</w:t>
      </w:r>
      <w:r>
        <w:t xml:space="preserve"> </w:t>
      </w:r>
      <w:r w:rsidRPr="0071774C">
        <w:t>progress</w:t>
      </w:r>
      <w:r>
        <w:t xml:space="preserve"> </w:t>
      </w:r>
      <w:r w:rsidRPr="0071774C">
        <w:t>in</w:t>
      </w:r>
      <w:r>
        <w:t xml:space="preserve"> </w:t>
      </w:r>
      <w:r w:rsidRPr="0071774C">
        <w:t>each</w:t>
      </w:r>
      <w:r>
        <w:t xml:space="preserve"> </w:t>
      </w:r>
      <w:r w:rsidRPr="0071774C">
        <w:t>setting</w:t>
      </w:r>
      <w:r>
        <w:t xml:space="preserve"> </w:t>
      </w:r>
      <w:r w:rsidRPr="0071774C">
        <w:t>are</w:t>
      </w:r>
      <w:r>
        <w:t xml:space="preserve"> </w:t>
      </w:r>
      <w:r w:rsidRPr="0071774C">
        <w:t>identified,</w:t>
      </w:r>
      <w:r>
        <w:t xml:space="preserve"> </w:t>
      </w:r>
      <w:r w:rsidRPr="0071774C">
        <w:t>monitored</w:t>
      </w:r>
      <w:r>
        <w:t xml:space="preserve"> </w:t>
      </w:r>
      <w:r w:rsidRPr="0071774C">
        <w:t>and</w:t>
      </w:r>
      <w:r>
        <w:t xml:space="preserve"> </w:t>
      </w:r>
      <w:r w:rsidRPr="0071774C">
        <w:t>reported</w:t>
      </w:r>
      <w:r>
        <w:t xml:space="preserve"> </w:t>
      </w:r>
      <w:r w:rsidRPr="0071774C">
        <w:t>on.</w:t>
      </w:r>
    </w:p>
    <w:p w14:paraId="0D9016C2" w14:textId="57FAE16E" w:rsidR="00107D55" w:rsidRDefault="00107D55" w:rsidP="00D8674A">
      <w:pPr>
        <w:pStyle w:val="OWBullet1"/>
      </w:pPr>
      <w:r w:rsidRPr="0071774C">
        <w:t>Prevention</w:t>
      </w:r>
      <w:r>
        <w:t xml:space="preserve"> </w:t>
      </w:r>
      <w:r w:rsidRPr="0071774C">
        <w:t>programs</w:t>
      </w:r>
      <w:r>
        <w:t xml:space="preserve"> </w:t>
      </w:r>
      <w:r w:rsidRPr="0071774C">
        <w:t>show</w:t>
      </w:r>
      <w:r>
        <w:t xml:space="preserve"> </w:t>
      </w:r>
      <w:r w:rsidRPr="0071774C">
        <w:t>evidence</w:t>
      </w:r>
      <w:r>
        <w:t xml:space="preserve"> </w:t>
      </w:r>
      <w:r w:rsidRPr="0071774C">
        <w:t>of</w:t>
      </w:r>
      <w:r>
        <w:t xml:space="preserve"> </w:t>
      </w:r>
      <w:r w:rsidRPr="0071774C">
        <w:t>being</w:t>
      </w:r>
      <w:r>
        <w:t xml:space="preserve"> </w:t>
      </w:r>
      <w:r w:rsidRPr="0071774C">
        <w:t>designed</w:t>
      </w:r>
      <w:r>
        <w:t xml:space="preserve"> </w:t>
      </w:r>
      <w:r w:rsidRPr="0071774C">
        <w:t>and</w:t>
      </w:r>
      <w:r>
        <w:t xml:space="preserve"> </w:t>
      </w:r>
      <w:r w:rsidRPr="0071774C">
        <w:t>funded</w:t>
      </w:r>
      <w:r>
        <w:t xml:space="preserve"> </w:t>
      </w:r>
      <w:r w:rsidRPr="0071774C">
        <w:t>in</w:t>
      </w:r>
      <w:r>
        <w:t xml:space="preserve"> </w:t>
      </w:r>
      <w:r w:rsidRPr="0071774C">
        <w:t>accordance</w:t>
      </w:r>
      <w:r>
        <w:t xml:space="preserve"> </w:t>
      </w:r>
      <w:r w:rsidRPr="0071774C">
        <w:t>with</w:t>
      </w:r>
      <w:r>
        <w:t xml:space="preserve"> </w:t>
      </w:r>
      <w:r w:rsidRPr="0071774C">
        <w:t>the</w:t>
      </w:r>
      <w:r>
        <w:t xml:space="preserve"> </w:t>
      </w:r>
      <w:r w:rsidRPr="0071774C">
        <w:t>evidence</w:t>
      </w:r>
      <w:r>
        <w:t xml:space="preserve"> </w:t>
      </w:r>
      <w:r w:rsidRPr="0071774C">
        <w:t>base</w:t>
      </w:r>
      <w:r>
        <w:t xml:space="preserve"> </w:t>
      </w:r>
      <w:r w:rsidRPr="0071774C">
        <w:t>and</w:t>
      </w:r>
      <w:r>
        <w:t xml:space="preserve"> </w:t>
      </w:r>
      <w:r w:rsidRPr="0071774C">
        <w:t>shared</w:t>
      </w:r>
      <w:r>
        <w:t xml:space="preserve"> </w:t>
      </w:r>
      <w:r w:rsidRPr="0071774C">
        <w:t>national</w:t>
      </w:r>
      <w:r>
        <w:t xml:space="preserve"> </w:t>
      </w:r>
      <w:r w:rsidRPr="0071774C">
        <w:t>framework</w:t>
      </w:r>
      <w:r>
        <w:t xml:space="preserve"> </w:t>
      </w:r>
      <w:r w:rsidRPr="0071774C">
        <w:t>(i.e.</w:t>
      </w:r>
      <w:r>
        <w:t xml:space="preserve"> </w:t>
      </w:r>
      <w:r w:rsidRPr="0071774C">
        <w:t>based</w:t>
      </w:r>
      <w:r>
        <w:t xml:space="preserve"> </w:t>
      </w:r>
      <w:r w:rsidRPr="0071774C">
        <w:t>on</w:t>
      </w:r>
      <w:r>
        <w:t xml:space="preserve"> </w:t>
      </w:r>
      <w:r w:rsidRPr="0071774C">
        <w:t>alignment</w:t>
      </w:r>
      <w:r>
        <w:t xml:space="preserve"> </w:t>
      </w:r>
      <w:r w:rsidRPr="0071774C">
        <w:t>with</w:t>
      </w:r>
      <w:r>
        <w:t xml:space="preserve"> </w:t>
      </w:r>
      <w:r w:rsidRPr="00ED4674">
        <w:rPr>
          <w:rStyle w:val="Emphasis"/>
        </w:rPr>
        <w:t>Change the story,</w:t>
      </w:r>
      <w:r>
        <w:rPr>
          <w:rStyle w:val="Emphasis"/>
        </w:rPr>
        <w:t xml:space="preserve"> </w:t>
      </w:r>
      <w:r w:rsidRPr="00ED4674">
        <w:rPr>
          <w:rStyle w:val="Emphasis"/>
        </w:rPr>
        <w:t>Changing the picture</w:t>
      </w:r>
      <w:r w:rsidRPr="0071774C">
        <w:t>,</w:t>
      </w:r>
      <w:r>
        <w:t xml:space="preserve"> </w:t>
      </w:r>
      <w:r w:rsidRPr="00ED4674">
        <w:rPr>
          <w:rStyle w:val="Emphasis"/>
        </w:rPr>
        <w:t>Primary prevention of family violence against people from LGBTI communities</w:t>
      </w:r>
      <w:r w:rsidRPr="0071774C">
        <w:t>,</w:t>
      </w:r>
      <w:r>
        <w:t xml:space="preserve"> </w:t>
      </w:r>
      <w:r w:rsidRPr="0071774C">
        <w:t>previous</w:t>
      </w:r>
      <w:r>
        <w:t xml:space="preserve"> </w:t>
      </w:r>
      <w:r w:rsidRPr="0071774C">
        <w:t>program</w:t>
      </w:r>
      <w:r>
        <w:t xml:space="preserve"> </w:t>
      </w:r>
      <w:r w:rsidRPr="0071774C">
        <w:t>learning).</w:t>
      </w:r>
    </w:p>
    <w:p w14:paraId="6BC5D436" w14:textId="77777777" w:rsidR="00107D55" w:rsidRPr="0071774C" w:rsidRDefault="00107D55" w:rsidP="00D8674A">
      <w:pPr>
        <w:pStyle w:val="OWBullet1"/>
      </w:pPr>
      <w:r w:rsidRPr="0071774C">
        <w:t>At</w:t>
      </w:r>
      <w:r>
        <w:t xml:space="preserve"> </w:t>
      </w:r>
      <w:r w:rsidRPr="0071774C">
        <w:t>the</w:t>
      </w:r>
      <w:r>
        <w:t xml:space="preserve"> </w:t>
      </w:r>
      <w:r w:rsidRPr="0071774C">
        <w:t>program</w:t>
      </w:r>
      <w:r>
        <w:t xml:space="preserve"> </w:t>
      </w:r>
      <w:r w:rsidRPr="0071774C">
        <w:t>level,</w:t>
      </w:r>
      <w:r>
        <w:t xml:space="preserve"> </w:t>
      </w:r>
      <w:r w:rsidRPr="0071774C">
        <w:t>prevention</w:t>
      </w:r>
      <w:r>
        <w:t xml:space="preserve"> </w:t>
      </w:r>
      <w:r w:rsidRPr="0071774C">
        <w:t>initiatives</w:t>
      </w:r>
      <w:r>
        <w:t xml:space="preserve"> </w:t>
      </w:r>
      <w:r w:rsidRPr="0071774C">
        <w:t>demonstrate</w:t>
      </w:r>
      <w:r>
        <w:t xml:space="preserve"> </w:t>
      </w:r>
      <w:r w:rsidRPr="0071774C">
        <w:t>implementation</w:t>
      </w:r>
      <w:r>
        <w:t xml:space="preserve"> </w:t>
      </w:r>
      <w:r w:rsidRPr="0071774C">
        <w:t>of</w:t>
      </w:r>
      <w:r>
        <w:t xml:space="preserve"> </w:t>
      </w:r>
      <w:r w:rsidRPr="0071774C">
        <w:t>shared</w:t>
      </w:r>
      <w:r>
        <w:t xml:space="preserve"> </w:t>
      </w:r>
      <w:r w:rsidRPr="0071774C">
        <w:t>evaluation</w:t>
      </w:r>
      <w:r>
        <w:t xml:space="preserve"> </w:t>
      </w:r>
      <w:r w:rsidRPr="0071774C">
        <w:t>frameworks,</w:t>
      </w:r>
      <w:r>
        <w:t xml:space="preserve"> </w:t>
      </w:r>
      <w:r w:rsidRPr="0071774C">
        <w:t>and</w:t>
      </w:r>
      <w:r>
        <w:t xml:space="preserve"> </w:t>
      </w:r>
      <w:r w:rsidRPr="0071774C">
        <w:t>monitor</w:t>
      </w:r>
      <w:r>
        <w:t xml:space="preserve"> </w:t>
      </w:r>
      <w:r w:rsidRPr="0071774C">
        <w:t>and</w:t>
      </w:r>
      <w:r>
        <w:t xml:space="preserve"> </w:t>
      </w:r>
      <w:r w:rsidRPr="0071774C">
        <w:t>report</w:t>
      </w:r>
      <w:r>
        <w:t xml:space="preserve"> </w:t>
      </w:r>
      <w:r w:rsidRPr="0071774C">
        <w:t>on</w:t>
      </w:r>
      <w:r>
        <w:t xml:space="preserve"> </w:t>
      </w:r>
      <w:r w:rsidRPr="0071774C">
        <w:t>progress</w:t>
      </w:r>
      <w:r>
        <w:t xml:space="preserve"> </w:t>
      </w:r>
      <w:r w:rsidRPr="0071774C">
        <w:t>according</w:t>
      </w:r>
      <w:r>
        <w:t xml:space="preserve"> </w:t>
      </w:r>
      <w:r w:rsidRPr="0071774C">
        <w:t>to</w:t>
      </w:r>
      <w:r>
        <w:t xml:space="preserve"> </w:t>
      </w:r>
      <w:r w:rsidRPr="0071774C">
        <w:t>the</w:t>
      </w:r>
      <w:r>
        <w:t xml:space="preserve"> </w:t>
      </w:r>
      <w:r w:rsidRPr="0071774C">
        <w:t>above</w:t>
      </w:r>
      <w:r>
        <w:t xml:space="preserve"> </w:t>
      </w:r>
      <w:r w:rsidRPr="0071774C">
        <w:t>frameworks.</w:t>
      </w:r>
    </w:p>
    <w:p w14:paraId="1F6AFD40" w14:textId="77777777" w:rsidR="00107D55" w:rsidRPr="0071774C" w:rsidRDefault="00107D55" w:rsidP="00107D55">
      <w:pPr>
        <w:pStyle w:val="Heading5"/>
      </w:pPr>
      <w:r w:rsidRPr="0071774C">
        <w:rPr>
          <w:rFonts w:cs="Calibri"/>
        </w:rPr>
        <w:lastRenderedPageBreak/>
        <w:t>Methodology</w:t>
      </w:r>
    </w:p>
    <w:p w14:paraId="66824DCC" w14:textId="77777777" w:rsidR="00107D55" w:rsidRPr="0071774C" w:rsidRDefault="00107D55" w:rsidP="00D8674A">
      <w:pPr>
        <w:pStyle w:val="OWBullet1"/>
      </w:pPr>
      <w:r w:rsidRPr="0071774C">
        <w:t>Rapid</w:t>
      </w:r>
      <w:r>
        <w:t xml:space="preserve"> </w:t>
      </w:r>
      <w:r w:rsidRPr="0071774C">
        <w:t>scan</w:t>
      </w:r>
      <w:r>
        <w:t xml:space="preserve"> </w:t>
      </w:r>
      <w:r w:rsidRPr="0071774C">
        <w:t>of</w:t>
      </w:r>
      <w:r>
        <w:t xml:space="preserve"> </w:t>
      </w:r>
      <w:r w:rsidRPr="0071774C">
        <w:t>primary</w:t>
      </w:r>
      <w:r>
        <w:t xml:space="preserve"> </w:t>
      </w:r>
      <w:r w:rsidRPr="0071774C">
        <w:t>prevention</w:t>
      </w:r>
      <w:r>
        <w:t xml:space="preserve"> </w:t>
      </w:r>
      <w:r w:rsidRPr="0071774C">
        <w:t>initiatives</w:t>
      </w:r>
      <w:r>
        <w:t xml:space="preserve"> </w:t>
      </w:r>
      <w:r w:rsidRPr="0071774C">
        <w:t>funded</w:t>
      </w:r>
      <w:r>
        <w:t xml:space="preserve"> </w:t>
      </w:r>
      <w:r w:rsidRPr="0071774C">
        <w:t>under</w:t>
      </w:r>
      <w:r>
        <w:t xml:space="preserve"> </w:t>
      </w:r>
      <w:r w:rsidRPr="0071774C">
        <w:t>the</w:t>
      </w:r>
      <w:r>
        <w:t xml:space="preserve"> </w:t>
      </w:r>
      <w:r w:rsidRPr="0071774C">
        <w:t>National</w:t>
      </w:r>
      <w:r>
        <w:t xml:space="preserve"> </w:t>
      </w:r>
      <w:r w:rsidRPr="0071774C">
        <w:t>Plan</w:t>
      </w:r>
      <w:r>
        <w:t xml:space="preserve"> </w:t>
      </w:r>
      <w:r w:rsidRPr="0071774C">
        <w:t>published</w:t>
      </w:r>
      <w:r>
        <w:t xml:space="preserve"> </w:t>
      </w:r>
      <w:r w:rsidRPr="0071774C">
        <w:t>on</w:t>
      </w:r>
      <w:r>
        <w:t xml:space="preserve"> </w:t>
      </w:r>
      <w:r w:rsidRPr="0071774C">
        <w:t>the</w:t>
      </w:r>
      <w:r>
        <w:t xml:space="preserve"> </w:t>
      </w:r>
      <w:r w:rsidRPr="0071774C">
        <w:t>National</w:t>
      </w:r>
      <w:r>
        <w:t xml:space="preserve"> </w:t>
      </w:r>
      <w:r w:rsidRPr="0071774C">
        <w:t>Plan</w:t>
      </w:r>
      <w:r>
        <w:t xml:space="preserve"> </w:t>
      </w:r>
      <w:r w:rsidRPr="0071774C">
        <w:t>website</w:t>
      </w:r>
      <w:r>
        <w:t xml:space="preserve">, </w:t>
      </w:r>
      <w:r w:rsidRPr="0071774C">
        <w:t>selecting</w:t>
      </w:r>
      <w:r>
        <w:t xml:space="preserve"> </w:t>
      </w:r>
      <w:r w:rsidRPr="0071774C">
        <w:t>only</w:t>
      </w:r>
      <w:r>
        <w:t xml:space="preserve"> </w:t>
      </w:r>
      <w:r w:rsidRPr="0071774C">
        <w:t>initiatives</w:t>
      </w:r>
      <w:r>
        <w:t xml:space="preserve"> </w:t>
      </w:r>
      <w:r w:rsidRPr="0071774C">
        <w:t>that</w:t>
      </w:r>
      <w:r>
        <w:t xml:space="preserve"> </w:t>
      </w:r>
      <w:r w:rsidRPr="0071774C">
        <w:t>were</w:t>
      </w:r>
      <w:r>
        <w:t xml:space="preserve"> </w:t>
      </w:r>
      <w:r w:rsidRPr="0071774C">
        <w:t>coded</w:t>
      </w:r>
      <w:r>
        <w:t xml:space="preserve"> </w:t>
      </w:r>
      <w:r w:rsidRPr="0071774C">
        <w:t>to</w:t>
      </w:r>
      <w:r>
        <w:t xml:space="preserve"> </w:t>
      </w:r>
      <w:r w:rsidRPr="0071774C">
        <w:t>one</w:t>
      </w:r>
      <w:r>
        <w:t xml:space="preserve"> </w:t>
      </w:r>
      <w:r w:rsidRPr="0071774C">
        <w:t>or</w:t>
      </w:r>
      <w:r>
        <w:t xml:space="preserve"> </w:t>
      </w:r>
      <w:r w:rsidRPr="0071774C">
        <w:t>more</w:t>
      </w:r>
      <w:r>
        <w:t xml:space="preserve"> </w:t>
      </w:r>
      <w:r w:rsidRPr="0071774C">
        <w:t>of</w:t>
      </w:r>
      <w:r>
        <w:t xml:space="preserve"> </w:t>
      </w:r>
      <w:r w:rsidRPr="0071774C">
        <w:t>the</w:t>
      </w:r>
      <w:r>
        <w:t xml:space="preserve"> </w:t>
      </w:r>
      <w:r w:rsidRPr="0071774C">
        <w:t>‘</w:t>
      </w:r>
      <w:r>
        <w:t>P</w:t>
      </w:r>
      <w:r w:rsidRPr="0071774C">
        <w:t>rimary</w:t>
      </w:r>
      <w:r>
        <w:t xml:space="preserve"> </w:t>
      </w:r>
      <w:r w:rsidRPr="0071774C">
        <w:t>prevention</w:t>
      </w:r>
      <w:r>
        <w:t xml:space="preserve"> </w:t>
      </w:r>
      <w:r w:rsidRPr="0071774C">
        <w:t>is</w:t>
      </w:r>
      <w:r>
        <w:t xml:space="preserve"> </w:t>
      </w:r>
      <w:r w:rsidRPr="0071774C">
        <w:t>key’</w:t>
      </w:r>
      <w:r>
        <w:t xml:space="preserve"> </w:t>
      </w:r>
      <w:r w:rsidRPr="0071774C">
        <w:t>national</w:t>
      </w:r>
      <w:r>
        <w:t xml:space="preserve"> </w:t>
      </w:r>
      <w:r w:rsidRPr="0071774C">
        <w:t>priority</w:t>
      </w:r>
      <w:r>
        <w:t xml:space="preserve"> </w:t>
      </w:r>
      <w:r w:rsidRPr="0071774C">
        <w:t>actions</w:t>
      </w:r>
      <w:r>
        <w:t xml:space="preserve"> </w:t>
      </w:r>
      <w:r w:rsidRPr="0071774C">
        <w:t>(</w:t>
      </w:r>
      <w:r>
        <w:t>N</w:t>
      </w:r>
      <w:r w:rsidRPr="0071774C">
        <w:t>ational</w:t>
      </w:r>
      <w:r>
        <w:t xml:space="preserve"> </w:t>
      </w:r>
      <w:r w:rsidRPr="0071774C">
        <w:t>priority</w:t>
      </w:r>
      <w:r>
        <w:t xml:space="preserve"> </w:t>
      </w:r>
      <w:r w:rsidRPr="0071774C">
        <w:t>actions</w:t>
      </w:r>
      <w:r>
        <w:t xml:space="preserve"> </w:t>
      </w:r>
      <w:r w:rsidRPr="0071774C">
        <w:t>1–5).</w:t>
      </w:r>
    </w:p>
    <w:p w14:paraId="2FEF8B3D" w14:textId="77777777" w:rsidR="00107D55" w:rsidRDefault="00107D55" w:rsidP="00D8674A">
      <w:pPr>
        <w:pStyle w:val="OWBullet1"/>
      </w:pPr>
      <w:r w:rsidRPr="0071774C">
        <w:t>Rapid</w:t>
      </w:r>
      <w:r>
        <w:t xml:space="preserve"> </w:t>
      </w:r>
      <w:r w:rsidRPr="0071774C">
        <w:t>scan</w:t>
      </w:r>
      <w:r>
        <w:t xml:space="preserve"> </w:t>
      </w:r>
      <w:r w:rsidRPr="0071774C">
        <w:t>of</w:t>
      </w:r>
      <w:r>
        <w:t xml:space="preserve"> </w:t>
      </w:r>
      <w:r w:rsidRPr="0071774C">
        <w:t>primary</w:t>
      </w:r>
      <w:r>
        <w:t xml:space="preserve"> </w:t>
      </w:r>
      <w:r w:rsidRPr="0071774C">
        <w:t>prevention</w:t>
      </w:r>
      <w:r>
        <w:t xml:space="preserve"> </w:t>
      </w:r>
      <w:r w:rsidRPr="0071774C">
        <w:t>programs</w:t>
      </w:r>
      <w:r>
        <w:t xml:space="preserve"> </w:t>
      </w:r>
      <w:r w:rsidRPr="0071774C">
        <w:t>in</w:t>
      </w:r>
      <w:r>
        <w:t xml:space="preserve"> </w:t>
      </w:r>
      <w:r w:rsidRPr="0071774C">
        <w:t>addition</w:t>
      </w:r>
      <w:r>
        <w:t xml:space="preserve"> </w:t>
      </w:r>
      <w:r w:rsidRPr="0071774C">
        <w:t>to</w:t>
      </w:r>
      <w:r>
        <w:t xml:space="preserve"> </w:t>
      </w:r>
      <w:r w:rsidRPr="0071774C">
        <w:t>those</w:t>
      </w:r>
      <w:r>
        <w:t xml:space="preserve"> </w:t>
      </w:r>
      <w:r w:rsidRPr="0071774C">
        <w:t>found</w:t>
      </w:r>
      <w:r>
        <w:t xml:space="preserve"> </w:t>
      </w:r>
      <w:r w:rsidRPr="0071774C">
        <w:t>in</w:t>
      </w:r>
      <w:r>
        <w:t xml:space="preserve"> </w:t>
      </w:r>
      <w:r w:rsidRPr="0071774C">
        <w:t>key</w:t>
      </w:r>
      <w:r>
        <w:t xml:space="preserve"> </w:t>
      </w:r>
      <w:r w:rsidRPr="0071774C">
        <w:t>pieces</w:t>
      </w:r>
      <w:r>
        <w:t xml:space="preserve"> </w:t>
      </w:r>
      <w:r w:rsidRPr="0071774C">
        <w:t>of</w:t>
      </w:r>
      <w:r>
        <w:t xml:space="preserve"> </w:t>
      </w:r>
      <w:r w:rsidRPr="0071774C">
        <w:t>literature</w:t>
      </w:r>
      <w:r>
        <w:t xml:space="preserve"> </w:t>
      </w:r>
      <w:r w:rsidRPr="0071774C">
        <w:t>identified</w:t>
      </w:r>
      <w:r>
        <w:t xml:space="preserve"> </w:t>
      </w:r>
      <w:r w:rsidRPr="0071774C">
        <w:t>in</w:t>
      </w:r>
      <w:r>
        <w:t xml:space="preserve"> </w:t>
      </w:r>
      <w:r w:rsidRPr="0071774C">
        <w:t>desktop</w:t>
      </w:r>
      <w:r>
        <w:t xml:space="preserve"> </w:t>
      </w:r>
      <w:r w:rsidRPr="0071774C">
        <w:t>searches</w:t>
      </w:r>
      <w:r>
        <w:t xml:space="preserve"> </w:t>
      </w:r>
      <w:r w:rsidRPr="0071774C">
        <w:t>described</w:t>
      </w:r>
      <w:r>
        <w:t xml:space="preserve"> </w:t>
      </w:r>
      <w:r w:rsidRPr="0071774C">
        <w:t>above,</w:t>
      </w:r>
      <w:r>
        <w:t xml:space="preserve"> </w:t>
      </w:r>
      <w:r w:rsidRPr="0071774C">
        <w:t>including:</w:t>
      </w:r>
    </w:p>
    <w:p w14:paraId="13BD6DDE" w14:textId="77777777" w:rsidR="00107D55" w:rsidRPr="0071774C" w:rsidRDefault="00107D55" w:rsidP="00D8674A">
      <w:pPr>
        <w:pStyle w:val="OWBullet2"/>
      </w:pPr>
      <w:r>
        <w:t xml:space="preserve">a </w:t>
      </w:r>
      <w:r w:rsidRPr="0071774C">
        <w:t>selection</w:t>
      </w:r>
      <w:r>
        <w:t xml:space="preserve"> </w:t>
      </w:r>
      <w:r w:rsidRPr="0071774C">
        <w:t>of</w:t>
      </w:r>
      <w:r>
        <w:t xml:space="preserve"> </w:t>
      </w:r>
      <w:r w:rsidRPr="0071774C">
        <w:t>programs</w:t>
      </w:r>
      <w:r>
        <w:t xml:space="preserve"> </w:t>
      </w:r>
      <w:r w:rsidRPr="0071774C">
        <w:t>that</w:t>
      </w:r>
      <w:r>
        <w:t xml:space="preserve"> </w:t>
      </w:r>
      <w:r w:rsidRPr="0071774C">
        <w:t>have</w:t>
      </w:r>
      <w:r>
        <w:t xml:space="preserve"> </w:t>
      </w:r>
      <w:r w:rsidRPr="0071774C">
        <w:t>been</w:t>
      </w:r>
      <w:r>
        <w:t xml:space="preserve"> </w:t>
      </w:r>
      <w:r w:rsidRPr="0071774C">
        <w:t>used</w:t>
      </w:r>
      <w:r>
        <w:t xml:space="preserve"> </w:t>
      </w:r>
      <w:r w:rsidRPr="0071774C">
        <w:t>a</w:t>
      </w:r>
      <w:r>
        <w:t xml:space="preserve">s </w:t>
      </w:r>
      <w:r w:rsidRPr="0071774C">
        <w:t>case</w:t>
      </w:r>
      <w:r>
        <w:t xml:space="preserve"> </w:t>
      </w:r>
      <w:r w:rsidRPr="0071774C">
        <w:t>studies</w:t>
      </w:r>
      <w:r>
        <w:t xml:space="preserve"> </w:t>
      </w:r>
      <w:r w:rsidRPr="0071774C">
        <w:t>in</w:t>
      </w:r>
      <w:r>
        <w:t xml:space="preserve"> </w:t>
      </w:r>
      <w:r w:rsidRPr="0071774C">
        <w:t>previous</w:t>
      </w:r>
      <w:r>
        <w:t xml:space="preserve"> </w:t>
      </w:r>
      <w:r w:rsidRPr="0071774C">
        <w:t>Our</w:t>
      </w:r>
      <w:r>
        <w:t xml:space="preserve"> </w:t>
      </w:r>
      <w:r w:rsidRPr="0071774C">
        <w:t>Watch</w:t>
      </w:r>
      <w:r>
        <w:t xml:space="preserve"> </w:t>
      </w:r>
      <w:r w:rsidRPr="0071774C">
        <w:t>publications</w:t>
      </w:r>
    </w:p>
    <w:p w14:paraId="652C94CB" w14:textId="77777777" w:rsidR="00107D55" w:rsidRPr="0071774C" w:rsidRDefault="00107D55" w:rsidP="00D8674A">
      <w:pPr>
        <w:pStyle w:val="OWBullet2"/>
      </w:pPr>
      <w:r>
        <w:t>p</w:t>
      </w:r>
      <w:r w:rsidRPr="0071774C">
        <w:t>rograms</w:t>
      </w:r>
      <w:r>
        <w:t xml:space="preserve"> </w:t>
      </w:r>
      <w:r w:rsidRPr="0071774C">
        <w:t>cited</w:t>
      </w:r>
      <w:r>
        <w:t xml:space="preserve"> </w:t>
      </w:r>
      <w:r w:rsidRPr="0071774C">
        <w:t>in</w:t>
      </w:r>
      <w:r>
        <w:t xml:space="preserve"> </w:t>
      </w:r>
      <w:r w:rsidRPr="0071774C">
        <w:t>the</w:t>
      </w:r>
      <w:r>
        <w:t xml:space="preserve"> </w:t>
      </w:r>
      <w:r w:rsidRPr="0071774C">
        <w:t>2017</w:t>
      </w:r>
      <w:r>
        <w:t>–</w:t>
      </w:r>
      <w:r w:rsidRPr="0071774C">
        <w:t>18</w:t>
      </w:r>
      <w:r>
        <w:t xml:space="preserve"> </w:t>
      </w:r>
      <w:r w:rsidRPr="0071774C">
        <w:t>Annual</w:t>
      </w:r>
      <w:r>
        <w:t xml:space="preserve"> </w:t>
      </w:r>
      <w:r w:rsidRPr="0071774C">
        <w:t>Progress</w:t>
      </w:r>
      <w:r>
        <w:t xml:space="preserve"> </w:t>
      </w:r>
      <w:r w:rsidRPr="0071774C">
        <w:t>Report</w:t>
      </w:r>
      <w:r>
        <w:t xml:space="preserve"> </w:t>
      </w:r>
      <w:r w:rsidRPr="0071774C">
        <w:t>of</w:t>
      </w:r>
      <w:r>
        <w:t xml:space="preserve"> </w:t>
      </w:r>
      <w:r w:rsidRPr="0071774C">
        <w:t>the</w:t>
      </w:r>
      <w:r>
        <w:t xml:space="preserve"> </w:t>
      </w:r>
      <w:r w:rsidRPr="0071774C">
        <w:t>Third</w:t>
      </w:r>
      <w:r>
        <w:t xml:space="preserve"> </w:t>
      </w:r>
      <w:r w:rsidRPr="0071774C">
        <w:t>Action</w:t>
      </w:r>
      <w:r>
        <w:t xml:space="preserve"> </w:t>
      </w:r>
      <w:r w:rsidRPr="0071774C">
        <w:t>Plan</w:t>
      </w:r>
      <w:r w:rsidRPr="0071774C">
        <w:rPr>
          <w:rStyle w:val="EndnoteReference"/>
        </w:rPr>
        <w:endnoteReference w:id="531"/>
      </w:r>
    </w:p>
    <w:p w14:paraId="7A5523F5" w14:textId="77777777" w:rsidR="00107D55" w:rsidRPr="0071774C" w:rsidRDefault="00107D55" w:rsidP="00D8674A">
      <w:pPr>
        <w:pStyle w:val="OWBullet2"/>
      </w:pPr>
      <w:r>
        <w:t>a</w:t>
      </w:r>
      <w:r w:rsidRPr="0071774C">
        <w:t>dditional</w:t>
      </w:r>
      <w:r>
        <w:t xml:space="preserve"> </w:t>
      </w:r>
      <w:r w:rsidRPr="0071774C">
        <w:t>flagship</w:t>
      </w:r>
      <w:r>
        <w:t xml:space="preserve"> </w:t>
      </w:r>
      <w:r w:rsidRPr="0071774C">
        <w:t>or</w:t>
      </w:r>
      <w:r>
        <w:t xml:space="preserve"> </w:t>
      </w:r>
      <w:r w:rsidRPr="0071774C">
        <w:t>well-known</w:t>
      </w:r>
      <w:r>
        <w:t xml:space="preserve"> </w:t>
      </w:r>
      <w:r w:rsidRPr="0071774C">
        <w:t>programs</w:t>
      </w:r>
      <w:r>
        <w:t>.</w:t>
      </w:r>
    </w:p>
    <w:p w14:paraId="2F5163A5" w14:textId="7AF18147" w:rsidR="00107D55" w:rsidRPr="0071774C" w:rsidRDefault="00107D55" w:rsidP="00D8674A">
      <w:pPr>
        <w:pStyle w:val="OWBullet1"/>
      </w:pPr>
      <w:r w:rsidRPr="0071774C">
        <w:t>Further</w:t>
      </w:r>
      <w:r>
        <w:t xml:space="preserve"> </w:t>
      </w:r>
      <w:r w:rsidRPr="0071774C">
        <w:t>analysis</w:t>
      </w:r>
      <w:r>
        <w:t xml:space="preserve"> </w:t>
      </w:r>
      <w:r w:rsidRPr="0071774C">
        <w:t>of</w:t>
      </w:r>
      <w:r>
        <w:t xml:space="preserve"> </w:t>
      </w:r>
      <w:r w:rsidRPr="0071774C">
        <w:t>quantitative</w:t>
      </w:r>
      <w:r>
        <w:t xml:space="preserve"> </w:t>
      </w:r>
      <w:r w:rsidRPr="0071774C">
        <w:t>and</w:t>
      </w:r>
      <w:r>
        <w:t xml:space="preserve"> </w:t>
      </w:r>
      <w:r w:rsidRPr="0071774C">
        <w:t>qualitative</w:t>
      </w:r>
      <w:r>
        <w:t xml:space="preserve"> </w:t>
      </w:r>
      <w:r w:rsidRPr="0071774C">
        <w:t>data</w:t>
      </w:r>
      <w:r>
        <w:t xml:space="preserve"> </w:t>
      </w:r>
      <w:r w:rsidRPr="0071774C">
        <w:t>collected</w:t>
      </w:r>
      <w:r>
        <w:t xml:space="preserve"> </w:t>
      </w:r>
      <w:r w:rsidRPr="0071774C">
        <w:t>through</w:t>
      </w:r>
      <w:r>
        <w:t xml:space="preserve"> </w:t>
      </w:r>
      <w:r w:rsidRPr="0071774C">
        <w:t>the</w:t>
      </w:r>
      <w:r>
        <w:t xml:space="preserve"> </w:t>
      </w:r>
      <w:r w:rsidR="00473135">
        <w:t>research</w:t>
      </w:r>
      <w:r>
        <w:t xml:space="preserve"> </w:t>
      </w:r>
      <w:r w:rsidRPr="0071774C">
        <w:t>survey</w:t>
      </w:r>
      <w:r>
        <w:t xml:space="preserve"> </w:t>
      </w:r>
      <w:r w:rsidRPr="0071774C">
        <w:t>(</w:t>
      </w:r>
      <w:r>
        <w:t>n=</w:t>
      </w:r>
      <w:r w:rsidRPr="0071774C">
        <w:t>312)</w:t>
      </w:r>
      <w:r>
        <w:t xml:space="preserve"> </w:t>
      </w:r>
      <w:r w:rsidRPr="0071774C">
        <w:t>as</w:t>
      </w:r>
      <w:r>
        <w:t xml:space="preserve"> </w:t>
      </w:r>
      <w:r w:rsidRPr="0071774C">
        <w:t>outlined</w:t>
      </w:r>
      <w:r>
        <w:t xml:space="preserve"> </w:t>
      </w:r>
      <w:r w:rsidRPr="0071774C">
        <w:t>in</w:t>
      </w:r>
      <w:r>
        <w:t xml:space="preserve"> </w:t>
      </w:r>
      <w:r w:rsidRPr="0071774C">
        <w:t>Domain</w:t>
      </w:r>
      <w:r>
        <w:t xml:space="preserve"> </w:t>
      </w:r>
      <w:r w:rsidRPr="0071774C">
        <w:t>3.</w:t>
      </w:r>
    </w:p>
    <w:p w14:paraId="60686B4F" w14:textId="77777777" w:rsidR="00107D55" w:rsidRPr="0071774C" w:rsidRDefault="00107D55" w:rsidP="00107D55">
      <w:pPr>
        <w:pStyle w:val="Heading5"/>
      </w:pPr>
      <w:r>
        <w:t>Limitations</w:t>
      </w:r>
    </w:p>
    <w:p w14:paraId="20E9A2A6" w14:textId="77777777" w:rsidR="00107D55" w:rsidRPr="0071774C" w:rsidRDefault="00107D55" w:rsidP="00D8674A">
      <w:pPr>
        <w:pStyle w:val="BodyText"/>
      </w:pPr>
      <w:r>
        <w:t>Due to similar limitations noted above, the strategies of keyword and snowball searching were used to identify primary prevention programming between 2009 and 2019. However, this is not a comprehensive mapping activity and may not have captured all activities.</w:t>
      </w:r>
    </w:p>
    <w:p w14:paraId="44487E1B" w14:textId="5CCCB531" w:rsidR="00437ED1" w:rsidRPr="001577BA" w:rsidRDefault="00437ED1" w:rsidP="00437ED1">
      <w:pPr>
        <w:pStyle w:val="Heading3"/>
        <w:rPr>
          <w:rStyle w:val="OWCharacterHibiscus"/>
        </w:rPr>
      </w:pPr>
      <w:bookmarkStart w:id="99" w:name="_Toc34915304"/>
      <w:bookmarkStart w:id="100" w:name="_Toc55053331"/>
      <w:r w:rsidRPr="001577BA">
        <w:rPr>
          <w:rStyle w:val="OWCharacterHibiscus"/>
        </w:rPr>
        <w:lastRenderedPageBreak/>
        <w:t xml:space="preserve">Adjustments made compared to the </w:t>
      </w:r>
      <w:r w:rsidRPr="003974E9">
        <w:rPr>
          <w:rStyle w:val="OWCharacterHibiscusItalic"/>
        </w:rPr>
        <w:t>Counting</w:t>
      </w:r>
      <w:r w:rsidR="00A672E1" w:rsidRPr="003974E9">
        <w:rPr>
          <w:rStyle w:val="OWCharacterHibiscusItalic"/>
        </w:rPr>
        <w:t> </w:t>
      </w:r>
      <w:r w:rsidRPr="003974E9">
        <w:rPr>
          <w:rStyle w:val="OWCharacterHibiscusItalic"/>
        </w:rPr>
        <w:t>on</w:t>
      </w:r>
      <w:r w:rsidR="00A672E1" w:rsidRPr="003974E9">
        <w:rPr>
          <w:rStyle w:val="OWCharacterHibiscusItalic"/>
        </w:rPr>
        <w:t> </w:t>
      </w:r>
      <w:r w:rsidRPr="003974E9">
        <w:rPr>
          <w:rStyle w:val="OWCharacterHibiscusItalic"/>
        </w:rPr>
        <w:t xml:space="preserve">change </w:t>
      </w:r>
      <w:r w:rsidRPr="001577BA">
        <w:rPr>
          <w:rStyle w:val="OWCharacterHibiscus"/>
        </w:rPr>
        <w:t>monitoring guide</w:t>
      </w:r>
      <w:bookmarkEnd w:id="99"/>
      <w:bookmarkEnd w:id="100"/>
    </w:p>
    <w:p w14:paraId="2C1A9A14" w14:textId="77777777" w:rsidR="00437ED1" w:rsidRPr="001577BA" w:rsidRDefault="00437ED1" w:rsidP="00A80362">
      <w:pPr>
        <w:pStyle w:val="Heading4"/>
        <w:spacing w:before="160"/>
        <w:rPr>
          <w:rStyle w:val="OWCharacterHibiscus"/>
        </w:rPr>
      </w:pPr>
      <w:bookmarkStart w:id="101" w:name="_Toc32897314"/>
      <w:bookmarkStart w:id="102" w:name="_Toc33450751"/>
      <w:bookmarkStart w:id="103" w:name="_Toc34915305"/>
      <w:r w:rsidRPr="001577BA">
        <w:rPr>
          <w:rStyle w:val="OWCharacterHibiscus"/>
        </w:rPr>
        <w:t>Structural changes</w:t>
      </w:r>
      <w:bookmarkEnd w:id="101"/>
      <w:bookmarkEnd w:id="102"/>
      <w:bookmarkEnd w:id="103"/>
    </w:p>
    <w:p w14:paraId="1395BF58" w14:textId="77777777" w:rsidR="00437ED1" w:rsidRPr="00ED4674" w:rsidRDefault="00437ED1" w:rsidP="00437ED1">
      <w:pPr>
        <w:pStyle w:val="BodyText"/>
      </w:pPr>
      <w:r w:rsidRPr="008235ED">
        <w:t>This</w:t>
      </w:r>
      <w:r>
        <w:t xml:space="preserve"> </w:t>
      </w:r>
      <w:r w:rsidRPr="008235ED">
        <w:t>monitoring</w:t>
      </w:r>
      <w:r>
        <w:t xml:space="preserve"> </w:t>
      </w:r>
      <w:r w:rsidRPr="008235ED">
        <w:t>report</w:t>
      </w:r>
      <w:r>
        <w:t xml:space="preserve"> </w:t>
      </w:r>
      <w:r w:rsidRPr="008235ED">
        <w:t>has</w:t>
      </w:r>
      <w:r>
        <w:t xml:space="preserve"> </w:t>
      </w:r>
      <w:r w:rsidRPr="008235ED">
        <w:t>been</w:t>
      </w:r>
      <w:r>
        <w:t xml:space="preserve"> </w:t>
      </w:r>
      <w:r w:rsidRPr="008235ED">
        <w:t>structured</w:t>
      </w:r>
      <w:r>
        <w:t xml:space="preserve"> </w:t>
      </w:r>
      <w:r w:rsidRPr="008235ED">
        <w:t>to</w:t>
      </w:r>
      <w:r>
        <w:t xml:space="preserve"> </w:t>
      </w:r>
      <w:r w:rsidRPr="008235ED">
        <w:t>align</w:t>
      </w:r>
      <w:r>
        <w:t xml:space="preserve"> </w:t>
      </w:r>
      <w:r w:rsidRPr="008235ED">
        <w:t>more</w:t>
      </w:r>
      <w:r>
        <w:t xml:space="preserve"> </w:t>
      </w:r>
      <w:r w:rsidRPr="008235ED">
        <w:t>closely</w:t>
      </w:r>
      <w:r>
        <w:t xml:space="preserve"> </w:t>
      </w:r>
      <w:r w:rsidRPr="008235ED">
        <w:t>with</w:t>
      </w:r>
      <w:r>
        <w:t xml:space="preserve"> </w:t>
      </w:r>
      <w:r w:rsidRPr="008235ED">
        <w:t>the</w:t>
      </w:r>
      <w:r>
        <w:t xml:space="preserve"> </w:t>
      </w:r>
      <w:r w:rsidRPr="008235ED">
        <w:t>elements</w:t>
      </w:r>
      <w:r>
        <w:t xml:space="preserve"> </w:t>
      </w:r>
      <w:r w:rsidRPr="008235ED">
        <w:t>of</w:t>
      </w:r>
      <w:r>
        <w:t xml:space="preserve"> </w:t>
      </w:r>
      <w:r w:rsidRPr="00ED4674">
        <w:rPr>
          <w:rStyle w:val="Emphasis"/>
        </w:rPr>
        <w:t>Change the story</w:t>
      </w:r>
      <w:r w:rsidRPr="00ED4674">
        <w:t>. A</w:t>
      </w:r>
      <w:r w:rsidRPr="008235ED">
        <w:t>s</w:t>
      </w:r>
      <w:r>
        <w:t xml:space="preserve"> </w:t>
      </w:r>
      <w:r w:rsidRPr="008235ED">
        <w:t>such</w:t>
      </w:r>
      <w:r w:rsidRPr="00ED4674">
        <w:t>, t</w:t>
      </w:r>
      <w:r w:rsidRPr="008235ED">
        <w:t>here</w:t>
      </w:r>
      <w:r>
        <w:t xml:space="preserve"> </w:t>
      </w:r>
      <w:r w:rsidRPr="008235ED">
        <w:t>are</w:t>
      </w:r>
      <w:r>
        <w:t xml:space="preserve"> </w:t>
      </w:r>
      <w:r w:rsidRPr="008235ED">
        <w:t>fewer</w:t>
      </w:r>
      <w:r>
        <w:t xml:space="preserve"> </w:t>
      </w:r>
      <w:r w:rsidRPr="008235ED">
        <w:t>monitoring</w:t>
      </w:r>
      <w:r>
        <w:t xml:space="preserve"> </w:t>
      </w:r>
      <w:r w:rsidRPr="008235ED">
        <w:t>domains</w:t>
      </w:r>
      <w:r>
        <w:t xml:space="preserve"> </w:t>
      </w:r>
      <w:r w:rsidRPr="008235ED">
        <w:t>than</w:t>
      </w:r>
      <w:r>
        <w:t xml:space="preserve"> </w:t>
      </w:r>
      <w:r w:rsidRPr="008235ED">
        <w:t>appeared</w:t>
      </w:r>
      <w:r>
        <w:t xml:space="preserve"> </w:t>
      </w:r>
      <w:r w:rsidRPr="008235ED">
        <w:t>in</w:t>
      </w:r>
      <w:r>
        <w:t xml:space="preserve"> </w:t>
      </w:r>
      <w:r w:rsidRPr="00ED4674">
        <w:rPr>
          <w:rStyle w:val="Emphasis"/>
        </w:rPr>
        <w:t>Counting on change</w:t>
      </w:r>
      <w:r>
        <w:t xml:space="preserve"> </w:t>
      </w:r>
      <w:r w:rsidRPr="008235ED">
        <w:t>and</w:t>
      </w:r>
      <w:r>
        <w:t xml:space="preserve"> </w:t>
      </w:r>
      <w:r w:rsidRPr="008235ED">
        <w:t>the</w:t>
      </w:r>
      <w:r>
        <w:t xml:space="preserve"> </w:t>
      </w:r>
      <w:r w:rsidRPr="008235ED">
        <w:t>numbering</w:t>
      </w:r>
      <w:r>
        <w:t xml:space="preserve"> </w:t>
      </w:r>
      <w:r w:rsidRPr="008235ED">
        <w:t>also</w:t>
      </w:r>
      <w:r>
        <w:t xml:space="preserve"> </w:t>
      </w:r>
      <w:r w:rsidRPr="008235ED">
        <w:t>differs</w:t>
      </w:r>
      <w:r>
        <w:t xml:space="preserve"> </w:t>
      </w:r>
      <w:r w:rsidRPr="008235ED">
        <w:t>from</w:t>
      </w:r>
      <w:r>
        <w:t xml:space="preserve"> </w:t>
      </w:r>
      <w:r w:rsidRPr="00ED4674">
        <w:rPr>
          <w:rStyle w:val="Emphasis"/>
        </w:rPr>
        <w:t>Counting on change</w:t>
      </w:r>
      <w:r w:rsidRPr="00ED4674">
        <w:t>.</w:t>
      </w:r>
    </w:p>
    <w:p w14:paraId="72DA50C8" w14:textId="29D036AB" w:rsidR="00437ED1" w:rsidRDefault="00437ED1" w:rsidP="00437ED1">
      <w:pPr>
        <w:pStyle w:val="BodyText"/>
      </w:pPr>
      <w:r w:rsidRPr="008235ED">
        <w:t>The</w:t>
      </w:r>
      <w:r>
        <w:t xml:space="preserve"> </w:t>
      </w:r>
      <w:r w:rsidRPr="008235ED">
        <w:t>monitoring</w:t>
      </w:r>
      <w:r>
        <w:t xml:space="preserve"> </w:t>
      </w:r>
      <w:r w:rsidRPr="008235ED">
        <w:t>domains</w:t>
      </w:r>
      <w:r>
        <w:t xml:space="preserve"> </w:t>
      </w:r>
      <w:r w:rsidRPr="008235ED">
        <w:t>for</w:t>
      </w:r>
      <w:r>
        <w:t xml:space="preserve"> </w:t>
      </w:r>
      <w:r w:rsidRPr="008235ED">
        <w:t>the</w:t>
      </w:r>
      <w:r>
        <w:t xml:space="preserve"> </w:t>
      </w:r>
      <w:r w:rsidRPr="008235ED">
        <w:t>medium-term</w:t>
      </w:r>
      <w:r>
        <w:t xml:space="preserve"> </w:t>
      </w:r>
      <w:r w:rsidRPr="008235ED">
        <w:t>outcomes</w:t>
      </w:r>
      <w:r>
        <w:t xml:space="preserve"> </w:t>
      </w:r>
      <w:r w:rsidRPr="008235ED">
        <w:t>correspond</w:t>
      </w:r>
      <w:r>
        <w:t xml:space="preserve"> </w:t>
      </w:r>
      <w:r w:rsidRPr="008235ED">
        <w:t>with</w:t>
      </w:r>
      <w:r>
        <w:t xml:space="preserve"> </w:t>
      </w:r>
      <w:r w:rsidRPr="008235ED">
        <w:t>the</w:t>
      </w:r>
      <w:r>
        <w:t xml:space="preserve"> </w:t>
      </w:r>
      <w:r w:rsidRPr="008235ED">
        <w:t>gendered</w:t>
      </w:r>
      <w:r>
        <w:t xml:space="preserve"> </w:t>
      </w:r>
      <w:r w:rsidRPr="008235ED">
        <w:t>drivers</w:t>
      </w:r>
      <w:r>
        <w:t xml:space="preserve"> </w:t>
      </w:r>
      <w:r w:rsidRPr="008235ED">
        <w:t>and</w:t>
      </w:r>
      <w:r>
        <w:t xml:space="preserve"> </w:t>
      </w:r>
      <w:r w:rsidRPr="008235ED">
        <w:t>reinforcing</w:t>
      </w:r>
      <w:r>
        <w:t xml:space="preserve"> </w:t>
      </w:r>
      <w:r w:rsidRPr="008235ED">
        <w:t>factors</w:t>
      </w:r>
      <w:r>
        <w:t xml:space="preserve"> </w:t>
      </w:r>
      <w:r w:rsidRPr="008235ED">
        <w:t>outlined</w:t>
      </w:r>
      <w:r>
        <w:t xml:space="preserve"> </w:t>
      </w:r>
      <w:r w:rsidRPr="008235ED">
        <w:t>in</w:t>
      </w:r>
      <w:r>
        <w:t xml:space="preserve"> </w:t>
      </w:r>
      <w:r w:rsidRPr="00ED4674">
        <w:rPr>
          <w:rStyle w:val="Emphasis"/>
        </w:rPr>
        <w:t>Change the story</w:t>
      </w:r>
      <w:r>
        <w:t xml:space="preserve"> </w:t>
      </w:r>
      <w:r w:rsidRPr="008235ED">
        <w:t>–</w:t>
      </w:r>
      <w:r>
        <w:t xml:space="preserve"> </w:t>
      </w:r>
      <w:r w:rsidRPr="008235ED">
        <w:t>with</w:t>
      </w:r>
      <w:r>
        <w:t xml:space="preserve"> </w:t>
      </w:r>
      <w:r w:rsidRPr="008235ED">
        <w:t>one</w:t>
      </w:r>
      <w:r>
        <w:t xml:space="preserve"> </w:t>
      </w:r>
      <w:r w:rsidRPr="008235ED">
        <w:t>difference</w:t>
      </w:r>
      <w:r w:rsidRPr="00ED4674">
        <w:t>. I</w:t>
      </w:r>
      <w:r w:rsidRPr="008235ED">
        <w:t>n</w:t>
      </w:r>
      <w:r>
        <w:t xml:space="preserve"> </w:t>
      </w:r>
      <w:r w:rsidRPr="00ED4674">
        <w:rPr>
          <w:rStyle w:val="Emphasis"/>
        </w:rPr>
        <w:t>Counting on change</w:t>
      </w:r>
      <w:r w:rsidRPr="00ED4674">
        <w:t xml:space="preserve">, </w:t>
      </w:r>
      <w:r w:rsidRPr="008235ED">
        <w:t>‘Socio-economic</w:t>
      </w:r>
      <w:r>
        <w:t xml:space="preserve"> </w:t>
      </w:r>
      <w:r w:rsidRPr="008235ED">
        <w:t>inequality</w:t>
      </w:r>
      <w:r>
        <w:t xml:space="preserve"> </w:t>
      </w:r>
      <w:r w:rsidRPr="008235ED">
        <w:t>and</w:t>
      </w:r>
      <w:r>
        <w:t xml:space="preserve"> </w:t>
      </w:r>
      <w:r w:rsidRPr="008235ED">
        <w:t>discrimination’</w:t>
      </w:r>
      <w:r>
        <w:t xml:space="preserve"> </w:t>
      </w:r>
      <w:r w:rsidRPr="008235ED">
        <w:t>was</w:t>
      </w:r>
      <w:r>
        <w:t xml:space="preserve"> </w:t>
      </w:r>
      <w:r w:rsidRPr="008235ED">
        <w:t>included</w:t>
      </w:r>
      <w:r>
        <w:t xml:space="preserve"> </w:t>
      </w:r>
      <w:r w:rsidRPr="008235ED">
        <w:t>as</w:t>
      </w:r>
      <w:r>
        <w:t xml:space="preserve"> </w:t>
      </w:r>
      <w:r w:rsidRPr="008235ED">
        <w:t>a</w:t>
      </w:r>
      <w:r>
        <w:t xml:space="preserve"> </w:t>
      </w:r>
      <w:r w:rsidRPr="008235ED">
        <w:t>reinforcing</w:t>
      </w:r>
      <w:r>
        <w:t xml:space="preserve"> </w:t>
      </w:r>
      <w:r w:rsidRPr="008235ED">
        <w:t>factor,</w:t>
      </w:r>
      <w:r>
        <w:t xml:space="preserve"> </w:t>
      </w:r>
      <w:r w:rsidRPr="008235ED">
        <w:t>and</w:t>
      </w:r>
      <w:r>
        <w:t xml:space="preserve"> </w:t>
      </w:r>
      <w:r w:rsidRPr="008235ED">
        <w:t>one</w:t>
      </w:r>
      <w:r>
        <w:t xml:space="preserve"> </w:t>
      </w:r>
      <w:r w:rsidRPr="008235ED">
        <w:t>indicator</w:t>
      </w:r>
      <w:r>
        <w:t xml:space="preserve"> </w:t>
      </w:r>
      <w:r w:rsidRPr="008235ED">
        <w:t>under</w:t>
      </w:r>
      <w:r>
        <w:t xml:space="preserve"> </w:t>
      </w:r>
      <w:r w:rsidRPr="008235ED">
        <w:t>this</w:t>
      </w:r>
      <w:r>
        <w:t xml:space="preserve"> </w:t>
      </w:r>
      <w:r w:rsidRPr="008235ED">
        <w:t>domain</w:t>
      </w:r>
      <w:r>
        <w:t xml:space="preserve"> </w:t>
      </w:r>
      <w:r w:rsidRPr="008235ED">
        <w:t>was</w:t>
      </w:r>
      <w:r>
        <w:t xml:space="preserve"> </w:t>
      </w:r>
      <w:r w:rsidRPr="008235ED">
        <w:t>‘Indigenous</w:t>
      </w:r>
      <w:r>
        <w:t xml:space="preserve"> </w:t>
      </w:r>
      <w:r w:rsidRPr="008235ED">
        <w:t>structural</w:t>
      </w:r>
      <w:r>
        <w:t xml:space="preserve"> </w:t>
      </w:r>
      <w:r w:rsidRPr="008235ED">
        <w:t>disadvantage’.</w:t>
      </w:r>
      <w:r>
        <w:t xml:space="preserve"> </w:t>
      </w:r>
      <w:r w:rsidRPr="008235ED">
        <w:t>This</w:t>
      </w:r>
      <w:r>
        <w:t xml:space="preserve"> </w:t>
      </w:r>
      <w:r w:rsidRPr="008235ED">
        <w:t>reflects</w:t>
      </w:r>
      <w:r>
        <w:t xml:space="preserve"> </w:t>
      </w:r>
      <w:r w:rsidRPr="00ED4674">
        <w:rPr>
          <w:rStyle w:val="Emphasis"/>
        </w:rPr>
        <w:t>Change the story</w:t>
      </w:r>
      <w:r w:rsidRPr="00ED4674">
        <w:t xml:space="preserve">. </w:t>
      </w:r>
      <w:r w:rsidRPr="008235ED">
        <w:t>However,</w:t>
      </w:r>
      <w:r>
        <w:t xml:space="preserve"> </w:t>
      </w:r>
      <w:r w:rsidRPr="008235ED">
        <w:t>in</w:t>
      </w:r>
      <w:r>
        <w:t xml:space="preserve"> </w:t>
      </w:r>
      <w:r w:rsidRPr="008235ED">
        <w:t>2018</w:t>
      </w:r>
      <w:r>
        <w:t xml:space="preserve"> </w:t>
      </w:r>
      <w:r w:rsidRPr="008235ED">
        <w:t>Our</w:t>
      </w:r>
      <w:r>
        <w:t xml:space="preserve"> </w:t>
      </w:r>
      <w:r w:rsidRPr="008235ED">
        <w:t>Watch</w:t>
      </w:r>
      <w:r>
        <w:t xml:space="preserve"> </w:t>
      </w:r>
      <w:r w:rsidRPr="008235ED">
        <w:t>released</w:t>
      </w:r>
      <w:r>
        <w:t xml:space="preserve"> </w:t>
      </w:r>
      <w:r w:rsidRPr="00ED4674">
        <w:rPr>
          <w:rStyle w:val="Emphasis"/>
        </w:rPr>
        <w:t xml:space="preserve">Changing the picture: </w:t>
      </w:r>
      <w:r w:rsidR="00B5171B">
        <w:rPr>
          <w:rStyle w:val="Emphasis"/>
        </w:rPr>
        <w:t>A</w:t>
      </w:r>
      <w:r w:rsidRPr="00ED4674">
        <w:rPr>
          <w:rStyle w:val="Emphasis"/>
        </w:rPr>
        <w:t xml:space="preserve"> national resource to support the prevention of violence against Aboriginal and Torres Strait Islander women and their children</w:t>
      </w:r>
      <w:r w:rsidRPr="00ED4674">
        <w:t>.</w:t>
      </w:r>
      <w:r w:rsidRPr="2D990CCC">
        <w:rPr>
          <w:rStyle w:val="EndnoteReference"/>
          <w:rFonts w:eastAsiaTheme="majorEastAsia" w:cstheme="minorBidi"/>
        </w:rPr>
        <w:endnoteReference w:id="532"/>
      </w:r>
      <w:r w:rsidRPr="00ED4674">
        <w:rPr>
          <w:rStyle w:val="Emphasis"/>
        </w:rPr>
        <w:t xml:space="preserve"> Changing the picture </w:t>
      </w:r>
      <w:r w:rsidRPr="008235ED">
        <w:t>acknowledges</w:t>
      </w:r>
      <w:r>
        <w:t xml:space="preserve"> </w:t>
      </w:r>
      <w:r w:rsidRPr="008235ED">
        <w:t>that</w:t>
      </w:r>
      <w:r>
        <w:t xml:space="preserve"> </w:t>
      </w:r>
      <w:r w:rsidRPr="008235ED">
        <w:t>in</w:t>
      </w:r>
      <w:r>
        <w:t xml:space="preserve"> </w:t>
      </w:r>
      <w:r w:rsidRPr="008235ED">
        <w:t>the</w:t>
      </w:r>
      <w:r>
        <w:t xml:space="preserve"> </w:t>
      </w:r>
      <w:r w:rsidRPr="008235ED">
        <w:t>context</w:t>
      </w:r>
      <w:r>
        <w:t xml:space="preserve"> </w:t>
      </w:r>
      <w:r w:rsidRPr="008235ED">
        <w:t>of</w:t>
      </w:r>
      <w:r>
        <w:t xml:space="preserve"> </w:t>
      </w:r>
      <w:r w:rsidRPr="008235ED">
        <w:t>violence</w:t>
      </w:r>
      <w:r>
        <w:t xml:space="preserve"> </w:t>
      </w:r>
      <w:r w:rsidRPr="008235ED">
        <w:t>against</w:t>
      </w:r>
      <w:r>
        <w:t xml:space="preserve"> </w:t>
      </w:r>
      <w:r w:rsidRPr="008235ED">
        <w:t>Aboriginal</w:t>
      </w:r>
      <w:r>
        <w:t xml:space="preserve"> </w:t>
      </w:r>
      <w:r w:rsidRPr="008235ED">
        <w:t>and</w:t>
      </w:r>
      <w:r>
        <w:t xml:space="preserve"> </w:t>
      </w:r>
      <w:r w:rsidRPr="008235ED">
        <w:t>Torres</w:t>
      </w:r>
      <w:r>
        <w:t xml:space="preserve"> </w:t>
      </w:r>
      <w:r w:rsidRPr="008235ED">
        <w:t>Strait</w:t>
      </w:r>
      <w:r>
        <w:t xml:space="preserve"> </w:t>
      </w:r>
      <w:r w:rsidRPr="008235ED">
        <w:t>Islander</w:t>
      </w:r>
      <w:r>
        <w:t xml:space="preserve"> </w:t>
      </w:r>
      <w:r w:rsidRPr="008235ED">
        <w:t>women,</w:t>
      </w:r>
      <w:r>
        <w:t xml:space="preserve"> </w:t>
      </w:r>
      <w:r w:rsidRPr="008235ED">
        <w:t>racism</w:t>
      </w:r>
      <w:r>
        <w:t xml:space="preserve"> </w:t>
      </w:r>
      <w:r w:rsidRPr="008235ED">
        <w:t>and</w:t>
      </w:r>
      <w:r>
        <w:t xml:space="preserve"> </w:t>
      </w:r>
      <w:r w:rsidRPr="008235ED">
        <w:t>the</w:t>
      </w:r>
      <w:r>
        <w:t xml:space="preserve"> </w:t>
      </w:r>
      <w:r w:rsidRPr="008235ED">
        <w:t>impacts</w:t>
      </w:r>
      <w:r>
        <w:t xml:space="preserve"> </w:t>
      </w:r>
      <w:r w:rsidRPr="008235ED">
        <w:t>of</w:t>
      </w:r>
      <w:r>
        <w:t xml:space="preserve"> </w:t>
      </w:r>
      <w:r w:rsidRPr="008235ED">
        <w:t>colonisation</w:t>
      </w:r>
      <w:r>
        <w:t xml:space="preserve"> </w:t>
      </w:r>
      <w:r w:rsidRPr="008235ED">
        <w:t>upon</w:t>
      </w:r>
      <w:r>
        <w:t xml:space="preserve"> </w:t>
      </w:r>
      <w:r w:rsidRPr="008235ED">
        <w:t>Aboriginal</w:t>
      </w:r>
      <w:r>
        <w:t xml:space="preserve"> </w:t>
      </w:r>
      <w:r w:rsidRPr="008235ED">
        <w:t>and</w:t>
      </w:r>
      <w:r>
        <w:t xml:space="preserve"> </w:t>
      </w:r>
      <w:r w:rsidRPr="008235ED">
        <w:t>Torres</w:t>
      </w:r>
      <w:r>
        <w:t xml:space="preserve"> </w:t>
      </w:r>
      <w:r w:rsidRPr="008235ED">
        <w:t>Strait</w:t>
      </w:r>
      <w:r>
        <w:t xml:space="preserve"> </w:t>
      </w:r>
      <w:r w:rsidRPr="008235ED">
        <w:t>Islander</w:t>
      </w:r>
      <w:r>
        <w:t xml:space="preserve"> </w:t>
      </w:r>
      <w:r w:rsidRPr="008235ED">
        <w:t>people</w:t>
      </w:r>
      <w:r>
        <w:t xml:space="preserve"> </w:t>
      </w:r>
      <w:r w:rsidRPr="008235ED">
        <w:t>and</w:t>
      </w:r>
      <w:r>
        <w:t xml:space="preserve"> </w:t>
      </w:r>
      <w:r w:rsidRPr="008235ED">
        <w:t>upon</w:t>
      </w:r>
      <w:r>
        <w:t xml:space="preserve"> </w:t>
      </w:r>
      <w:r w:rsidRPr="008235ED">
        <w:t>non-Indigenous</w:t>
      </w:r>
      <w:r>
        <w:t xml:space="preserve"> </w:t>
      </w:r>
      <w:r w:rsidRPr="008235ED">
        <w:t>people</w:t>
      </w:r>
      <w:r>
        <w:t xml:space="preserve"> </w:t>
      </w:r>
      <w:r w:rsidRPr="008235ED">
        <w:t>and</w:t>
      </w:r>
      <w:r>
        <w:t xml:space="preserve"> </w:t>
      </w:r>
      <w:r w:rsidRPr="008235ED">
        <w:t>society</w:t>
      </w:r>
      <w:r>
        <w:t xml:space="preserve"> </w:t>
      </w:r>
      <w:r w:rsidRPr="008235ED">
        <w:t>are</w:t>
      </w:r>
      <w:r>
        <w:t xml:space="preserve"> </w:t>
      </w:r>
      <w:r w:rsidRPr="008235ED">
        <w:t>also</w:t>
      </w:r>
      <w:r>
        <w:t xml:space="preserve"> </w:t>
      </w:r>
      <w:r w:rsidRPr="008235ED">
        <w:t>drivers</w:t>
      </w:r>
      <w:r>
        <w:t xml:space="preserve"> </w:t>
      </w:r>
      <w:r w:rsidRPr="008235ED">
        <w:t>of</w:t>
      </w:r>
      <w:r>
        <w:t xml:space="preserve"> </w:t>
      </w:r>
      <w:r w:rsidRPr="008235ED">
        <w:t>violence,</w:t>
      </w:r>
      <w:r>
        <w:t xml:space="preserve"> </w:t>
      </w:r>
      <w:r w:rsidRPr="008235ED">
        <w:t>which</w:t>
      </w:r>
      <w:r>
        <w:t xml:space="preserve"> </w:t>
      </w:r>
      <w:r w:rsidRPr="008235ED">
        <w:t>interact</w:t>
      </w:r>
      <w:r>
        <w:t xml:space="preserve"> </w:t>
      </w:r>
      <w:r w:rsidRPr="008235ED">
        <w:t>with</w:t>
      </w:r>
      <w:r>
        <w:t xml:space="preserve"> </w:t>
      </w:r>
      <w:r w:rsidRPr="008235ED">
        <w:t>the</w:t>
      </w:r>
      <w:r>
        <w:t xml:space="preserve"> </w:t>
      </w:r>
      <w:r w:rsidRPr="008235ED">
        <w:t>gendered</w:t>
      </w:r>
      <w:r>
        <w:t xml:space="preserve"> </w:t>
      </w:r>
      <w:r w:rsidRPr="008235ED">
        <w:t>drivers</w:t>
      </w:r>
      <w:r>
        <w:t xml:space="preserve"> </w:t>
      </w:r>
      <w:r w:rsidRPr="008235ED">
        <w:t>outlined</w:t>
      </w:r>
      <w:r>
        <w:t xml:space="preserve"> </w:t>
      </w:r>
      <w:r w:rsidRPr="008235ED">
        <w:t>in</w:t>
      </w:r>
      <w:r>
        <w:t xml:space="preserve"> </w:t>
      </w:r>
      <w:r w:rsidRPr="00ED4674">
        <w:rPr>
          <w:rStyle w:val="Emphasis"/>
        </w:rPr>
        <w:t>Change the story</w:t>
      </w:r>
      <w:r w:rsidRPr="008235ED">
        <w:t>.</w:t>
      </w:r>
    </w:p>
    <w:p w14:paraId="3C5A033D" w14:textId="30469213" w:rsidR="00437ED1" w:rsidRDefault="00437ED1" w:rsidP="00437ED1">
      <w:pPr>
        <w:pStyle w:val="BodyText"/>
      </w:pPr>
      <w:r>
        <w:t>Therefore</w:t>
      </w:r>
      <w:r w:rsidRPr="008235ED">
        <w:t>,</w:t>
      </w:r>
      <w:r>
        <w:t xml:space="preserve"> </w:t>
      </w:r>
      <w:r w:rsidRPr="008235ED">
        <w:t>in</w:t>
      </w:r>
      <w:r>
        <w:t xml:space="preserve"> </w:t>
      </w:r>
      <w:r w:rsidRPr="008235ED">
        <w:t>this</w:t>
      </w:r>
      <w:r>
        <w:t xml:space="preserve"> </w:t>
      </w:r>
      <w:r w:rsidRPr="008235ED">
        <w:t>report</w:t>
      </w:r>
      <w:r>
        <w:t xml:space="preserve"> </w:t>
      </w:r>
      <w:r w:rsidRPr="008235ED">
        <w:t>the</w:t>
      </w:r>
      <w:r>
        <w:t xml:space="preserve"> </w:t>
      </w:r>
      <w:r w:rsidRPr="00ED4674">
        <w:rPr>
          <w:rStyle w:val="Emphasis"/>
        </w:rPr>
        <w:t xml:space="preserve">Counting on change </w:t>
      </w:r>
      <w:r w:rsidRPr="008235ED">
        <w:t>reinforcing</w:t>
      </w:r>
      <w:r>
        <w:t xml:space="preserve"> </w:t>
      </w:r>
      <w:r w:rsidRPr="008235ED">
        <w:t>factor</w:t>
      </w:r>
      <w:r>
        <w:t xml:space="preserve"> </w:t>
      </w:r>
      <w:r w:rsidRPr="008235ED">
        <w:t>domain</w:t>
      </w:r>
      <w:r>
        <w:t xml:space="preserve"> </w:t>
      </w:r>
      <w:r w:rsidRPr="008235ED">
        <w:t>of</w:t>
      </w:r>
      <w:r>
        <w:t xml:space="preserve"> </w:t>
      </w:r>
      <w:r w:rsidRPr="008235ED">
        <w:t>‘Socio-economic</w:t>
      </w:r>
      <w:r>
        <w:t xml:space="preserve"> </w:t>
      </w:r>
      <w:r w:rsidRPr="008235ED">
        <w:t>inequality</w:t>
      </w:r>
      <w:r>
        <w:t xml:space="preserve"> </w:t>
      </w:r>
      <w:r w:rsidRPr="008235ED">
        <w:t>and</w:t>
      </w:r>
      <w:r>
        <w:t xml:space="preserve"> </w:t>
      </w:r>
      <w:r w:rsidRPr="008235ED">
        <w:t>discrimination’</w:t>
      </w:r>
      <w:r>
        <w:t xml:space="preserve"> </w:t>
      </w:r>
      <w:r w:rsidRPr="008235ED">
        <w:t>has</w:t>
      </w:r>
      <w:r>
        <w:t xml:space="preserve"> </w:t>
      </w:r>
      <w:r w:rsidRPr="008235ED">
        <w:t>been</w:t>
      </w:r>
      <w:r>
        <w:t xml:space="preserve"> </w:t>
      </w:r>
      <w:r w:rsidRPr="008235ED">
        <w:t>recast</w:t>
      </w:r>
      <w:r>
        <w:t xml:space="preserve"> </w:t>
      </w:r>
      <w:r w:rsidRPr="008235ED">
        <w:t>as</w:t>
      </w:r>
      <w:r>
        <w:t xml:space="preserve"> </w:t>
      </w:r>
      <w:r w:rsidR="00250AF8">
        <w:t>‘</w:t>
      </w:r>
      <w:r w:rsidR="00250AF8" w:rsidRPr="00250AF8">
        <w:t>intersecting drivers of violence (other forms of oppression and discrimination)</w:t>
      </w:r>
      <w:r w:rsidR="00250AF8">
        <w:t>’</w:t>
      </w:r>
      <w:r w:rsidR="003F555F">
        <w:t>.</w:t>
      </w:r>
      <w:r>
        <w:t xml:space="preserve"> </w:t>
      </w:r>
      <w:r w:rsidR="003F555F" w:rsidRPr="003F555F">
        <w:t>This includes indicators focused on:</w:t>
      </w:r>
    </w:p>
    <w:p w14:paraId="643B1B4B" w14:textId="77777777" w:rsidR="00437ED1" w:rsidRPr="008235ED" w:rsidRDefault="00437ED1" w:rsidP="00437ED1">
      <w:pPr>
        <w:pStyle w:val="OWBullet1"/>
      </w:pPr>
      <w:r w:rsidRPr="008235ED">
        <w:t>racism</w:t>
      </w:r>
      <w:r>
        <w:t xml:space="preserve"> </w:t>
      </w:r>
      <w:r w:rsidRPr="008235ED">
        <w:t>and</w:t>
      </w:r>
      <w:r>
        <w:t xml:space="preserve"> </w:t>
      </w:r>
      <w:r w:rsidRPr="008235ED">
        <w:t>the</w:t>
      </w:r>
      <w:r>
        <w:t xml:space="preserve"> </w:t>
      </w:r>
      <w:r w:rsidRPr="008235ED">
        <w:t>ongoing</w:t>
      </w:r>
      <w:r>
        <w:t xml:space="preserve"> </w:t>
      </w:r>
      <w:r w:rsidRPr="008235ED">
        <w:t>impacts</w:t>
      </w:r>
      <w:r>
        <w:t xml:space="preserve"> </w:t>
      </w:r>
      <w:r w:rsidRPr="008235ED">
        <w:t>of</w:t>
      </w:r>
      <w:r>
        <w:t xml:space="preserve"> </w:t>
      </w:r>
      <w:r w:rsidRPr="008235ED">
        <w:t>colonisation</w:t>
      </w:r>
      <w:r>
        <w:t xml:space="preserve"> </w:t>
      </w:r>
      <w:r w:rsidRPr="008235ED">
        <w:t>upon</w:t>
      </w:r>
      <w:r>
        <w:t xml:space="preserve"> </w:t>
      </w:r>
      <w:r w:rsidRPr="008235ED">
        <w:t>Aboriginal</w:t>
      </w:r>
      <w:r>
        <w:t xml:space="preserve"> </w:t>
      </w:r>
      <w:r w:rsidRPr="008235ED">
        <w:t>and</w:t>
      </w:r>
      <w:r>
        <w:t xml:space="preserve"> </w:t>
      </w:r>
      <w:r w:rsidRPr="008235ED">
        <w:t>Torres</w:t>
      </w:r>
      <w:r>
        <w:t xml:space="preserve"> </w:t>
      </w:r>
      <w:r w:rsidRPr="008235ED">
        <w:t>Strait</w:t>
      </w:r>
      <w:r>
        <w:t xml:space="preserve"> </w:t>
      </w:r>
      <w:r w:rsidRPr="008235ED">
        <w:t>Islander</w:t>
      </w:r>
      <w:r>
        <w:t xml:space="preserve"> </w:t>
      </w:r>
      <w:r w:rsidRPr="008235ED">
        <w:t>people</w:t>
      </w:r>
    </w:p>
    <w:p w14:paraId="4A92E7CF" w14:textId="77777777" w:rsidR="00437ED1" w:rsidRDefault="00437ED1" w:rsidP="00437ED1">
      <w:pPr>
        <w:pStyle w:val="OWBullet1"/>
      </w:pPr>
      <w:r w:rsidRPr="008235ED">
        <w:t>other</w:t>
      </w:r>
      <w:r>
        <w:t xml:space="preserve"> </w:t>
      </w:r>
      <w:r w:rsidRPr="008235ED">
        <w:t>forms</w:t>
      </w:r>
      <w:r>
        <w:t xml:space="preserve"> </w:t>
      </w:r>
      <w:r w:rsidRPr="008235ED">
        <w:t>of</w:t>
      </w:r>
      <w:r>
        <w:t xml:space="preserve"> </w:t>
      </w:r>
      <w:r w:rsidRPr="008235ED">
        <w:t>structural</w:t>
      </w:r>
      <w:r>
        <w:t xml:space="preserve"> </w:t>
      </w:r>
      <w:r w:rsidRPr="008235ED">
        <w:t>inequality</w:t>
      </w:r>
      <w:r>
        <w:t xml:space="preserve"> </w:t>
      </w:r>
      <w:r w:rsidRPr="008235ED">
        <w:t>and</w:t>
      </w:r>
      <w:r>
        <w:t xml:space="preserve"> </w:t>
      </w:r>
      <w:r w:rsidRPr="008235ED">
        <w:t>discrimination</w:t>
      </w:r>
      <w:r>
        <w:t xml:space="preserve"> </w:t>
      </w:r>
      <w:r w:rsidRPr="008235ED">
        <w:t>such</w:t>
      </w:r>
      <w:r>
        <w:t xml:space="preserve"> </w:t>
      </w:r>
      <w:r w:rsidRPr="008235ED">
        <w:t>as</w:t>
      </w:r>
      <w:r>
        <w:t xml:space="preserve"> </w:t>
      </w:r>
      <w:r w:rsidRPr="008235ED">
        <w:t>homophobia,</w:t>
      </w:r>
      <w:r>
        <w:t xml:space="preserve"> </w:t>
      </w:r>
      <w:r w:rsidRPr="008235ED">
        <w:t>transphobia,</w:t>
      </w:r>
      <w:r>
        <w:t xml:space="preserve"> </w:t>
      </w:r>
      <w:r w:rsidRPr="008235ED">
        <w:t>heterosexism,</w:t>
      </w:r>
      <w:r>
        <w:t xml:space="preserve"> </w:t>
      </w:r>
      <w:r w:rsidRPr="008235ED">
        <w:t>ableism,</w:t>
      </w:r>
      <w:r>
        <w:t xml:space="preserve"> </w:t>
      </w:r>
      <w:r w:rsidRPr="008235ED">
        <w:t>racism,</w:t>
      </w:r>
      <w:r>
        <w:t xml:space="preserve"> </w:t>
      </w:r>
      <w:r w:rsidRPr="008235ED">
        <w:t>xenophobia,</w:t>
      </w:r>
      <w:r>
        <w:t xml:space="preserve"> </w:t>
      </w:r>
      <w:r w:rsidRPr="008235ED">
        <w:t>socioeconomic</w:t>
      </w:r>
      <w:r>
        <w:t xml:space="preserve"> </w:t>
      </w:r>
      <w:r w:rsidRPr="008235ED">
        <w:t>disadvantage,</w:t>
      </w:r>
      <w:r>
        <w:t xml:space="preserve"> </w:t>
      </w:r>
      <w:r w:rsidRPr="008235ED">
        <w:t>and</w:t>
      </w:r>
      <w:r>
        <w:t xml:space="preserve"> </w:t>
      </w:r>
      <w:r w:rsidRPr="008235ED">
        <w:t>rigid</w:t>
      </w:r>
      <w:r>
        <w:t xml:space="preserve"> </w:t>
      </w:r>
      <w:r w:rsidRPr="008235ED">
        <w:t>norms</w:t>
      </w:r>
      <w:r>
        <w:t xml:space="preserve"> </w:t>
      </w:r>
      <w:r w:rsidRPr="008235ED">
        <w:t>about</w:t>
      </w:r>
      <w:r>
        <w:t xml:space="preserve"> </w:t>
      </w:r>
      <w:r w:rsidRPr="008235ED">
        <w:t>family</w:t>
      </w:r>
      <w:r>
        <w:t xml:space="preserve"> </w:t>
      </w:r>
      <w:r w:rsidRPr="008235ED">
        <w:t>formations,</w:t>
      </w:r>
      <w:r>
        <w:t xml:space="preserve"> </w:t>
      </w:r>
      <w:r w:rsidRPr="008235ED">
        <w:t>which</w:t>
      </w:r>
      <w:r>
        <w:t xml:space="preserve"> </w:t>
      </w:r>
      <w:r w:rsidRPr="008235ED">
        <w:t>can</w:t>
      </w:r>
      <w:r>
        <w:t xml:space="preserve"> </w:t>
      </w:r>
      <w:r w:rsidRPr="008235ED">
        <w:t>interact</w:t>
      </w:r>
      <w:r>
        <w:t xml:space="preserve"> </w:t>
      </w:r>
      <w:r w:rsidRPr="008235ED">
        <w:t>with</w:t>
      </w:r>
      <w:r>
        <w:t xml:space="preserve"> </w:t>
      </w:r>
      <w:r w:rsidRPr="008235ED">
        <w:t>gendered</w:t>
      </w:r>
      <w:r>
        <w:t xml:space="preserve"> </w:t>
      </w:r>
      <w:r w:rsidRPr="008235ED">
        <w:t>drivers</w:t>
      </w:r>
      <w:r>
        <w:t xml:space="preserve"> </w:t>
      </w:r>
      <w:r w:rsidRPr="008235ED">
        <w:t>to</w:t>
      </w:r>
      <w:r>
        <w:t xml:space="preserve"> </w:t>
      </w:r>
      <w:r w:rsidRPr="008235ED">
        <w:t>drive</w:t>
      </w:r>
      <w:r>
        <w:t xml:space="preserve">, </w:t>
      </w:r>
      <w:r w:rsidRPr="008235ED">
        <w:t>and</w:t>
      </w:r>
      <w:r>
        <w:t xml:space="preserve"> </w:t>
      </w:r>
      <w:r w:rsidRPr="008235ED">
        <w:t>influence</w:t>
      </w:r>
      <w:r>
        <w:t xml:space="preserve">, </w:t>
      </w:r>
      <w:r w:rsidRPr="008235ED">
        <w:t>the</w:t>
      </w:r>
      <w:r>
        <w:t xml:space="preserve"> </w:t>
      </w:r>
      <w:r w:rsidRPr="008235ED">
        <w:t>patterns</w:t>
      </w:r>
      <w:r>
        <w:t xml:space="preserve"> </w:t>
      </w:r>
      <w:r w:rsidRPr="008235ED">
        <w:t>and</w:t>
      </w:r>
      <w:r>
        <w:t xml:space="preserve"> </w:t>
      </w:r>
      <w:r w:rsidRPr="008235ED">
        <w:t>dynamics</w:t>
      </w:r>
      <w:r>
        <w:t xml:space="preserve"> </w:t>
      </w:r>
      <w:r w:rsidRPr="008235ED">
        <w:t>of</w:t>
      </w:r>
      <w:r>
        <w:t xml:space="preserve"> </w:t>
      </w:r>
      <w:r w:rsidRPr="008235ED">
        <w:t>violence</w:t>
      </w:r>
      <w:r>
        <w:t xml:space="preserve"> </w:t>
      </w:r>
      <w:r w:rsidRPr="008235ED">
        <w:t>against</w:t>
      </w:r>
      <w:r>
        <w:t xml:space="preserve"> </w:t>
      </w:r>
      <w:r w:rsidRPr="008235ED">
        <w:t>women.</w:t>
      </w:r>
    </w:p>
    <w:p w14:paraId="00D3C8B2" w14:textId="02F002B0" w:rsidR="00437ED1" w:rsidRPr="000E30A0" w:rsidRDefault="00437ED1" w:rsidP="00437ED1">
      <w:pPr>
        <w:pStyle w:val="Heading4"/>
        <w:rPr>
          <w:rStyle w:val="OWCharacterHibiscus"/>
        </w:rPr>
      </w:pPr>
      <w:bookmarkStart w:id="104" w:name="_Toc32897315"/>
      <w:bookmarkStart w:id="105" w:name="_Toc33450752"/>
      <w:bookmarkStart w:id="106" w:name="_Toc34915306"/>
      <w:r w:rsidRPr="000E30A0">
        <w:rPr>
          <w:rStyle w:val="OWCharacterHibiscus"/>
        </w:rPr>
        <w:t>Significant developments: understanding and assessing change to</w:t>
      </w:r>
      <w:r w:rsidR="00154F63">
        <w:rPr>
          <w:rStyle w:val="OWCharacterHibiscus"/>
        </w:rPr>
        <w:t> </w:t>
      </w:r>
      <w:r w:rsidRPr="000E30A0">
        <w:rPr>
          <w:rStyle w:val="OWCharacterHibiscus"/>
        </w:rPr>
        <w:t>primary prevention foundations</w:t>
      </w:r>
      <w:bookmarkEnd w:id="104"/>
      <w:bookmarkEnd w:id="105"/>
      <w:bookmarkEnd w:id="106"/>
    </w:p>
    <w:p w14:paraId="57C6F5A2" w14:textId="63E33D0B" w:rsidR="00437ED1" w:rsidRPr="00ED4674" w:rsidRDefault="00437ED1" w:rsidP="00437ED1">
      <w:pPr>
        <w:pStyle w:val="BodyText"/>
      </w:pPr>
      <w:r w:rsidRPr="00ED4674">
        <w:rPr>
          <w:rStyle w:val="Emphasis"/>
        </w:rPr>
        <w:t xml:space="preserve">Counting on change </w:t>
      </w:r>
      <w:r w:rsidRPr="008235ED">
        <w:t>left</w:t>
      </w:r>
      <w:r>
        <w:t xml:space="preserve"> </w:t>
      </w:r>
      <w:r w:rsidRPr="008235ED">
        <w:t>scope</w:t>
      </w:r>
      <w:r>
        <w:t xml:space="preserve"> </w:t>
      </w:r>
      <w:r w:rsidRPr="008235ED">
        <w:t>for</w:t>
      </w:r>
      <w:r>
        <w:t xml:space="preserve"> </w:t>
      </w:r>
      <w:r w:rsidRPr="008235ED">
        <w:t>the</w:t>
      </w:r>
      <w:r>
        <w:t xml:space="preserve"> </w:t>
      </w:r>
      <w:r w:rsidRPr="008235ED">
        <w:t>further</w:t>
      </w:r>
      <w:r>
        <w:t xml:space="preserve"> </w:t>
      </w:r>
      <w:r w:rsidRPr="008235ED">
        <w:t>development</w:t>
      </w:r>
      <w:r>
        <w:t xml:space="preserve"> </w:t>
      </w:r>
      <w:r w:rsidRPr="008235ED">
        <w:t>of</w:t>
      </w:r>
      <w:r>
        <w:t xml:space="preserve"> </w:t>
      </w:r>
      <w:r w:rsidRPr="008235ED">
        <w:t>the</w:t>
      </w:r>
      <w:r>
        <w:t xml:space="preserve"> </w:t>
      </w:r>
      <w:r w:rsidRPr="008235ED">
        <w:t>approach</w:t>
      </w:r>
      <w:r>
        <w:t xml:space="preserve"> </w:t>
      </w:r>
      <w:r w:rsidRPr="008235ED">
        <w:t>to</w:t>
      </w:r>
      <w:r>
        <w:t xml:space="preserve"> </w:t>
      </w:r>
      <w:r w:rsidRPr="008235ED">
        <w:t>understanding</w:t>
      </w:r>
      <w:r>
        <w:t xml:space="preserve"> </w:t>
      </w:r>
      <w:r w:rsidRPr="008235ED">
        <w:t>and</w:t>
      </w:r>
      <w:r>
        <w:t xml:space="preserve"> </w:t>
      </w:r>
      <w:r w:rsidRPr="008235ED">
        <w:t>assessing</w:t>
      </w:r>
      <w:r>
        <w:t xml:space="preserve"> </w:t>
      </w:r>
      <w:r w:rsidRPr="008235ED">
        <w:t>change</w:t>
      </w:r>
      <w:r>
        <w:t xml:space="preserve"> </w:t>
      </w:r>
      <w:r w:rsidRPr="008235ED">
        <w:t>to</w:t>
      </w:r>
      <w:r>
        <w:t xml:space="preserve"> </w:t>
      </w:r>
      <w:r w:rsidRPr="008235ED">
        <w:t>the</w:t>
      </w:r>
      <w:r>
        <w:t xml:space="preserve"> </w:t>
      </w:r>
      <w:r w:rsidRPr="008235ED">
        <w:t>building</w:t>
      </w:r>
      <w:r>
        <w:t xml:space="preserve"> </w:t>
      </w:r>
      <w:r w:rsidRPr="008235ED">
        <w:t>of</w:t>
      </w:r>
      <w:r>
        <w:t xml:space="preserve"> </w:t>
      </w:r>
      <w:r w:rsidRPr="008235ED">
        <w:t>foundations</w:t>
      </w:r>
      <w:r>
        <w:t xml:space="preserve"> </w:t>
      </w:r>
      <w:r w:rsidRPr="008235ED">
        <w:t>for</w:t>
      </w:r>
      <w:r>
        <w:t xml:space="preserve"> </w:t>
      </w:r>
      <w:r w:rsidRPr="008235ED">
        <w:t>effective</w:t>
      </w:r>
      <w:r>
        <w:t xml:space="preserve"> </w:t>
      </w:r>
      <w:r w:rsidRPr="008235ED">
        <w:t>primary</w:t>
      </w:r>
      <w:r>
        <w:t xml:space="preserve"> </w:t>
      </w:r>
      <w:r w:rsidRPr="008235ED">
        <w:t>prevention.</w:t>
      </w:r>
      <w:r>
        <w:t xml:space="preserve"> </w:t>
      </w:r>
      <w:r w:rsidRPr="008235ED">
        <w:t>Accordingly,</w:t>
      </w:r>
      <w:r>
        <w:t xml:space="preserve"> </w:t>
      </w:r>
      <w:r w:rsidRPr="008235ED">
        <w:t>during</w:t>
      </w:r>
      <w:r>
        <w:t xml:space="preserve"> </w:t>
      </w:r>
      <w:r w:rsidRPr="008235ED">
        <w:t>this</w:t>
      </w:r>
      <w:r>
        <w:t xml:space="preserve"> </w:t>
      </w:r>
      <w:r w:rsidRPr="008235ED">
        <w:t>pr</w:t>
      </w:r>
      <w:r w:rsidRPr="00ED4674">
        <w:t>oject th</w:t>
      </w:r>
      <w:r w:rsidRPr="008235ED">
        <w:t>e</w:t>
      </w:r>
      <w:r>
        <w:t xml:space="preserve"> </w:t>
      </w:r>
      <w:r w:rsidRPr="008235ED">
        <w:t>project</w:t>
      </w:r>
      <w:r>
        <w:t xml:space="preserve"> </w:t>
      </w:r>
      <w:r w:rsidRPr="008235ED">
        <w:t>team</w:t>
      </w:r>
      <w:r>
        <w:t xml:space="preserve"> </w:t>
      </w:r>
      <w:r w:rsidRPr="008235ED">
        <w:t>carefully</w:t>
      </w:r>
      <w:r>
        <w:t xml:space="preserve"> </w:t>
      </w:r>
      <w:r w:rsidRPr="008235ED">
        <w:t>considered</w:t>
      </w:r>
      <w:r>
        <w:t xml:space="preserve"> </w:t>
      </w:r>
      <w:r w:rsidRPr="008235ED">
        <w:t>the</w:t>
      </w:r>
      <w:r>
        <w:t xml:space="preserve"> </w:t>
      </w:r>
      <w:r w:rsidRPr="008235ED">
        <w:t>most</w:t>
      </w:r>
      <w:r>
        <w:t xml:space="preserve"> </w:t>
      </w:r>
      <w:r w:rsidRPr="008235ED">
        <w:t>appropriate</w:t>
      </w:r>
      <w:r>
        <w:t xml:space="preserve"> </w:t>
      </w:r>
      <w:r w:rsidRPr="008235ED">
        <w:t>ways</w:t>
      </w:r>
      <w:r>
        <w:t xml:space="preserve"> </w:t>
      </w:r>
      <w:r w:rsidRPr="008235ED">
        <w:t>to</w:t>
      </w:r>
      <w:r>
        <w:t xml:space="preserve"> </w:t>
      </w:r>
      <w:r w:rsidRPr="008235ED">
        <w:t>understand</w:t>
      </w:r>
      <w:r>
        <w:t xml:space="preserve"> </w:t>
      </w:r>
      <w:r w:rsidRPr="008235ED">
        <w:t>and</w:t>
      </w:r>
      <w:r>
        <w:t xml:space="preserve"> </w:t>
      </w:r>
      <w:r w:rsidRPr="008235ED">
        <w:t>track</w:t>
      </w:r>
      <w:r>
        <w:t xml:space="preserve"> </w:t>
      </w:r>
      <w:r w:rsidRPr="008235ED">
        <w:t>change</w:t>
      </w:r>
      <w:r>
        <w:t xml:space="preserve"> </w:t>
      </w:r>
      <w:r w:rsidRPr="008235ED">
        <w:t>to</w:t>
      </w:r>
      <w:r>
        <w:t xml:space="preserve"> </w:t>
      </w:r>
      <w:r w:rsidRPr="008235ED">
        <w:t>the</w:t>
      </w:r>
      <w:r>
        <w:t xml:space="preserve"> </w:t>
      </w:r>
      <w:r w:rsidRPr="008235ED">
        <w:t>building</w:t>
      </w:r>
      <w:r>
        <w:t xml:space="preserve"> </w:t>
      </w:r>
      <w:r w:rsidRPr="008235ED">
        <w:t>of</w:t>
      </w:r>
      <w:r>
        <w:t xml:space="preserve"> primary </w:t>
      </w:r>
      <w:r w:rsidRPr="008235ED">
        <w:t>prevention</w:t>
      </w:r>
      <w:r>
        <w:t xml:space="preserve"> </w:t>
      </w:r>
      <w:r w:rsidRPr="008235ED">
        <w:t>foundations,</w:t>
      </w:r>
      <w:r>
        <w:t xml:space="preserve"> </w:t>
      </w:r>
      <w:r w:rsidRPr="008235ED">
        <w:t>and</w:t>
      </w:r>
      <w:r>
        <w:t xml:space="preserve"> </w:t>
      </w:r>
      <w:r w:rsidRPr="008235ED">
        <w:t>assessed</w:t>
      </w:r>
      <w:r>
        <w:t xml:space="preserve"> </w:t>
      </w:r>
      <w:r w:rsidRPr="008235ED">
        <w:t>the</w:t>
      </w:r>
      <w:r>
        <w:t xml:space="preserve"> </w:t>
      </w:r>
      <w:r w:rsidRPr="008235ED">
        <w:t>forms</w:t>
      </w:r>
      <w:r>
        <w:t xml:space="preserve"> </w:t>
      </w:r>
      <w:r w:rsidRPr="008235ED">
        <w:t>of</w:t>
      </w:r>
      <w:r>
        <w:t xml:space="preserve"> </w:t>
      </w:r>
      <w:r w:rsidRPr="008235ED">
        <w:t>available</w:t>
      </w:r>
      <w:r>
        <w:t xml:space="preserve"> </w:t>
      </w:r>
      <w:r w:rsidRPr="008235ED">
        <w:t>evidence</w:t>
      </w:r>
      <w:r>
        <w:t xml:space="preserve"> </w:t>
      </w:r>
      <w:r w:rsidRPr="008235ED">
        <w:t>and</w:t>
      </w:r>
      <w:r>
        <w:t xml:space="preserve"> </w:t>
      </w:r>
      <w:r w:rsidRPr="008235ED">
        <w:t>what</w:t>
      </w:r>
      <w:r>
        <w:t xml:space="preserve"> </w:t>
      </w:r>
      <w:r w:rsidRPr="008235ED">
        <w:t>new</w:t>
      </w:r>
      <w:r>
        <w:t xml:space="preserve"> </w:t>
      </w:r>
      <w:r w:rsidRPr="008235ED">
        <w:t>evidence</w:t>
      </w:r>
      <w:r>
        <w:t xml:space="preserve"> </w:t>
      </w:r>
      <w:r w:rsidRPr="008235ED">
        <w:t>was</w:t>
      </w:r>
      <w:r w:rsidR="00154F63">
        <w:t> </w:t>
      </w:r>
      <w:r w:rsidRPr="008235ED">
        <w:t>needed.</w:t>
      </w:r>
      <w:r>
        <w:t xml:space="preserve"> </w:t>
      </w:r>
      <w:r w:rsidRPr="008235ED">
        <w:t>This</w:t>
      </w:r>
      <w:r>
        <w:t xml:space="preserve"> </w:t>
      </w:r>
      <w:r w:rsidRPr="008235ED">
        <w:t>exploratory</w:t>
      </w:r>
      <w:r>
        <w:t xml:space="preserve"> </w:t>
      </w:r>
      <w:r w:rsidRPr="008235ED">
        <w:t>work</w:t>
      </w:r>
      <w:r>
        <w:t xml:space="preserve"> </w:t>
      </w:r>
      <w:r w:rsidRPr="008235ED">
        <w:t>led</w:t>
      </w:r>
      <w:r>
        <w:t xml:space="preserve"> </w:t>
      </w:r>
      <w:r w:rsidRPr="008235ED">
        <w:t>to</w:t>
      </w:r>
      <w:r>
        <w:t xml:space="preserve"> </w:t>
      </w:r>
      <w:r w:rsidRPr="008235ED">
        <w:t>a</w:t>
      </w:r>
      <w:r>
        <w:t xml:space="preserve"> </w:t>
      </w:r>
      <w:r w:rsidRPr="008235ED">
        <w:t>less</w:t>
      </w:r>
      <w:r>
        <w:t xml:space="preserve"> </w:t>
      </w:r>
      <w:r w:rsidRPr="008235ED">
        <w:t>quantitative</w:t>
      </w:r>
      <w:r>
        <w:t xml:space="preserve"> </w:t>
      </w:r>
      <w:r w:rsidRPr="008235ED">
        <w:t>and</w:t>
      </w:r>
      <w:r>
        <w:t xml:space="preserve"> </w:t>
      </w:r>
      <w:r w:rsidRPr="008235ED">
        <w:t>more</w:t>
      </w:r>
      <w:r>
        <w:t xml:space="preserve"> </w:t>
      </w:r>
      <w:r w:rsidRPr="008235ED">
        <w:t>qualitative</w:t>
      </w:r>
      <w:r>
        <w:t xml:space="preserve"> </w:t>
      </w:r>
      <w:r w:rsidRPr="008235ED">
        <w:t>methodological</w:t>
      </w:r>
      <w:r>
        <w:t xml:space="preserve"> </w:t>
      </w:r>
      <w:r w:rsidRPr="008235ED">
        <w:t>approach</w:t>
      </w:r>
      <w:r>
        <w:t xml:space="preserve"> </w:t>
      </w:r>
      <w:r w:rsidRPr="008235ED">
        <w:t>to</w:t>
      </w:r>
      <w:r>
        <w:t xml:space="preserve"> </w:t>
      </w:r>
      <w:r w:rsidRPr="008235ED">
        <w:t>that</w:t>
      </w:r>
      <w:r>
        <w:t xml:space="preserve"> </w:t>
      </w:r>
      <w:r w:rsidRPr="008235ED">
        <w:t>suggested</w:t>
      </w:r>
      <w:r>
        <w:t xml:space="preserve"> </w:t>
      </w:r>
      <w:r w:rsidRPr="008235ED">
        <w:t>in</w:t>
      </w:r>
      <w:r>
        <w:t xml:space="preserve"> </w:t>
      </w:r>
      <w:r w:rsidRPr="00ED4674">
        <w:rPr>
          <w:rStyle w:val="Emphasis"/>
        </w:rPr>
        <w:t>Counting on change</w:t>
      </w:r>
      <w:r w:rsidRPr="00ED4674">
        <w:t xml:space="preserve">. </w:t>
      </w:r>
      <w:r w:rsidRPr="008235ED">
        <w:rPr>
          <w:iCs/>
        </w:rPr>
        <w:t>As</w:t>
      </w:r>
      <w:r>
        <w:rPr>
          <w:iCs/>
        </w:rPr>
        <w:t xml:space="preserve"> </w:t>
      </w:r>
      <w:r w:rsidRPr="008235ED">
        <w:rPr>
          <w:iCs/>
        </w:rPr>
        <w:t>a</w:t>
      </w:r>
      <w:r>
        <w:rPr>
          <w:iCs/>
        </w:rPr>
        <w:t xml:space="preserve"> </w:t>
      </w:r>
      <w:r w:rsidRPr="008235ED">
        <w:rPr>
          <w:iCs/>
        </w:rPr>
        <w:t>result,</w:t>
      </w:r>
      <w:r>
        <w:rPr>
          <w:iCs/>
        </w:rPr>
        <w:t xml:space="preserve"> </w:t>
      </w:r>
      <w:r w:rsidRPr="008235ED">
        <w:rPr>
          <w:iCs/>
        </w:rPr>
        <w:t>m</w:t>
      </w:r>
      <w:r w:rsidRPr="008235ED">
        <w:t>any</w:t>
      </w:r>
      <w:r>
        <w:t xml:space="preserve"> </w:t>
      </w:r>
      <w:r w:rsidRPr="008235ED">
        <w:t>of</w:t>
      </w:r>
      <w:r>
        <w:t xml:space="preserve"> </w:t>
      </w:r>
      <w:r w:rsidRPr="008235ED">
        <w:t>the</w:t>
      </w:r>
      <w:r w:rsidR="00154F63">
        <w:t> </w:t>
      </w:r>
      <w:r w:rsidRPr="008235ED">
        <w:t>Foundations</w:t>
      </w:r>
      <w:r>
        <w:t xml:space="preserve"> </w:t>
      </w:r>
      <w:r w:rsidRPr="008235ED">
        <w:t>indicators</w:t>
      </w:r>
      <w:r>
        <w:t xml:space="preserve"> </w:t>
      </w:r>
      <w:r w:rsidRPr="008235ED">
        <w:t>now</w:t>
      </w:r>
      <w:r>
        <w:t xml:space="preserve"> </w:t>
      </w:r>
      <w:r w:rsidRPr="008235ED">
        <w:t>look</w:t>
      </w:r>
      <w:r>
        <w:t xml:space="preserve"> </w:t>
      </w:r>
      <w:r w:rsidRPr="008235ED">
        <w:t>different</w:t>
      </w:r>
      <w:r>
        <w:t xml:space="preserve"> </w:t>
      </w:r>
      <w:r w:rsidRPr="008235ED">
        <w:t>to</w:t>
      </w:r>
      <w:r>
        <w:t xml:space="preserve"> </w:t>
      </w:r>
      <w:r w:rsidRPr="008235ED">
        <w:t>those</w:t>
      </w:r>
      <w:r>
        <w:t xml:space="preserve"> </w:t>
      </w:r>
      <w:r w:rsidRPr="008235ED">
        <w:t>suggested</w:t>
      </w:r>
      <w:r>
        <w:t xml:space="preserve"> </w:t>
      </w:r>
      <w:r w:rsidRPr="008235ED">
        <w:t>in</w:t>
      </w:r>
      <w:r>
        <w:t xml:space="preserve"> </w:t>
      </w:r>
      <w:r w:rsidRPr="00ED4674">
        <w:rPr>
          <w:rStyle w:val="Emphasis"/>
        </w:rPr>
        <w:t>Counting on change</w:t>
      </w:r>
      <w:r w:rsidRPr="00ED4674">
        <w:t>.</w:t>
      </w:r>
    </w:p>
    <w:p w14:paraId="06CA1EB3" w14:textId="02049AAE" w:rsidR="00437ED1" w:rsidRPr="000E30A0" w:rsidRDefault="00437ED1" w:rsidP="00437ED1">
      <w:pPr>
        <w:pStyle w:val="Heading4"/>
        <w:rPr>
          <w:rStyle w:val="OWCharacterHibiscus"/>
        </w:rPr>
      </w:pPr>
      <w:bookmarkStart w:id="107" w:name="_Toc32897316"/>
      <w:bookmarkStart w:id="108" w:name="_Toc33450753"/>
      <w:bookmarkStart w:id="109" w:name="_Toc34915307"/>
      <w:r w:rsidRPr="000E30A0">
        <w:rPr>
          <w:rStyle w:val="OWCharacterHibiscus"/>
        </w:rPr>
        <w:lastRenderedPageBreak/>
        <w:t xml:space="preserve">Minor changes, additions and refinements to the medium- </w:t>
      </w:r>
      <w:r w:rsidR="00154F63">
        <w:rPr>
          <w:rStyle w:val="OWCharacterHibiscus"/>
        </w:rPr>
        <w:br/>
      </w:r>
      <w:r w:rsidRPr="000E30A0">
        <w:rPr>
          <w:rStyle w:val="OWCharacterHibiscus"/>
        </w:rPr>
        <w:t>and long-term outcomes indicators</w:t>
      </w:r>
      <w:bookmarkEnd w:id="107"/>
      <w:bookmarkEnd w:id="108"/>
      <w:bookmarkEnd w:id="109"/>
    </w:p>
    <w:p w14:paraId="1308659D" w14:textId="71E7742D" w:rsidR="00437ED1" w:rsidRDefault="00437ED1" w:rsidP="00437ED1">
      <w:pPr>
        <w:pStyle w:val="BodyText"/>
      </w:pPr>
      <w:r w:rsidRPr="00ED4674">
        <w:rPr>
          <w:rStyle w:val="Emphasis"/>
        </w:rPr>
        <w:t xml:space="preserve">Counting on change </w:t>
      </w:r>
      <w:r w:rsidRPr="008235ED">
        <w:t>identified</w:t>
      </w:r>
      <w:r>
        <w:t xml:space="preserve"> </w:t>
      </w:r>
      <w:r w:rsidRPr="008235ED">
        <w:t>datasets</w:t>
      </w:r>
      <w:r>
        <w:t xml:space="preserve"> </w:t>
      </w:r>
      <w:r w:rsidRPr="008235ED">
        <w:t>which</w:t>
      </w:r>
      <w:r>
        <w:t xml:space="preserve"> </w:t>
      </w:r>
      <w:r w:rsidRPr="008235ED">
        <w:t>could</w:t>
      </w:r>
      <w:r>
        <w:t xml:space="preserve"> </w:t>
      </w:r>
      <w:r w:rsidRPr="008235ED">
        <w:t>be</w:t>
      </w:r>
      <w:r>
        <w:t xml:space="preserve"> </w:t>
      </w:r>
      <w:r w:rsidRPr="008235ED">
        <w:t>used</w:t>
      </w:r>
      <w:r>
        <w:t xml:space="preserve"> </w:t>
      </w:r>
      <w:r w:rsidRPr="008235ED">
        <w:t>to</w:t>
      </w:r>
      <w:r>
        <w:t xml:space="preserve"> </w:t>
      </w:r>
      <w:r w:rsidRPr="008235ED">
        <w:t>measure</w:t>
      </w:r>
      <w:r>
        <w:t xml:space="preserve"> </w:t>
      </w:r>
      <w:r w:rsidRPr="008235ED">
        <w:t>particular</w:t>
      </w:r>
      <w:r>
        <w:t xml:space="preserve"> </w:t>
      </w:r>
      <w:r w:rsidRPr="008235ED">
        <w:t>indicators</w:t>
      </w:r>
      <w:r>
        <w:t xml:space="preserve"> </w:t>
      </w:r>
      <w:r w:rsidRPr="008235ED">
        <w:t>aligned</w:t>
      </w:r>
      <w:r>
        <w:t xml:space="preserve"> </w:t>
      </w:r>
      <w:r w:rsidRPr="008235ED">
        <w:t>with</w:t>
      </w:r>
      <w:r>
        <w:t xml:space="preserve"> </w:t>
      </w:r>
      <w:r w:rsidRPr="008235ED">
        <w:t>the</w:t>
      </w:r>
      <w:r>
        <w:t xml:space="preserve"> </w:t>
      </w:r>
      <w:r w:rsidRPr="008235ED">
        <w:t>medium-</w:t>
      </w:r>
      <w:r>
        <w:t xml:space="preserve"> </w:t>
      </w:r>
      <w:r w:rsidRPr="008235ED">
        <w:t>and</w:t>
      </w:r>
      <w:r>
        <w:t xml:space="preserve"> </w:t>
      </w:r>
      <w:r w:rsidRPr="008235ED">
        <w:t>long-term</w:t>
      </w:r>
      <w:r>
        <w:t xml:space="preserve"> </w:t>
      </w:r>
      <w:r w:rsidRPr="008235ED">
        <w:t>outcomes.</w:t>
      </w:r>
      <w:r>
        <w:t xml:space="preserve"> </w:t>
      </w:r>
      <w:r w:rsidRPr="008235ED">
        <w:t>This</w:t>
      </w:r>
      <w:r>
        <w:t xml:space="preserve"> </w:t>
      </w:r>
      <w:r w:rsidRPr="008235ED">
        <w:t>monitoring</w:t>
      </w:r>
      <w:r>
        <w:t xml:space="preserve"> </w:t>
      </w:r>
      <w:r w:rsidRPr="008235ED">
        <w:t>report</w:t>
      </w:r>
      <w:r>
        <w:t xml:space="preserve"> </w:t>
      </w:r>
      <w:r w:rsidRPr="008235ED">
        <w:t>identified</w:t>
      </w:r>
      <w:r>
        <w:t xml:space="preserve"> </w:t>
      </w:r>
      <w:r w:rsidRPr="008235ED">
        <w:t>specific</w:t>
      </w:r>
      <w:r>
        <w:t xml:space="preserve"> </w:t>
      </w:r>
      <w:r w:rsidRPr="008235ED">
        <w:t>data</w:t>
      </w:r>
      <w:r w:rsidR="007135CE">
        <w:t xml:space="preserve"> </w:t>
      </w:r>
      <w:r w:rsidRPr="008235ED">
        <w:t>points</w:t>
      </w:r>
      <w:r>
        <w:t xml:space="preserve"> </w:t>
      </w:r>
      <w:r w:rsidRPr="008235ED">
        <w:t>within</w:t>
      </w:r>
      <w:r>
        <w:t xml:space="preserve"> </w:t>
      </w:r>
      <w:r w:rsidRPr="008235ED">
        <w:t>the</w:t>
      </w:r>
      <w:r>
        <w:t xml:space="preserve"> </w:t>
      </w:r>
      <w:r w:rsidRPr="008235ED">
        <w:t>datasets</w:t>
      </w:r>
      <w:r>
        <w:t xml:space="preserve"> </w:t>
      </w:r>
      <w:r w:rsidRPr="008235ED">
        <w:t>(that</w:t>
      </w:r>
      <w:r>
        <w:t xml:space="preserve"> </w:t>
      </w:r>
      <w:r w:rsidRPr="008235ED">
        <w:t>is,</w:t>
      </w:r>
      <w:r>
        <w:t xml:space="preserve"> </w:t>
      </w:r>
      <w:r w:rsidRPr="008235ED">
        <w:t>key</w:t>
      </w:r>
      <w:r>
        <w:t xml:space="preserve"> </w:t>
      </w:r>
      <w:r w:rsidRPr="008235ED">
        <w:t>questions</w:t>
      </w:r>
      <w:r>
        <w:t xml:space="preserve"> </w:t>
      </w:r>
      <w:r w:rsidRPr="008235ED">
        <w:t>or</w:t>
      </w:r>
      <w:r>
        <w:t xml:space="preserve"> </w:t>
      </w:r>
      <w:r w:rsidRPr="008235ED">
        <w:t>measures)</w:t>
      </w:r>
      <w:r>
        <w:t xml:space="preserve"> </w:t>
      </w:r>
      <w:r w:rsidRPr="008235ED">
        <w:t>relevant</w:t>
      </w:r>
      <w:r>
        <w:t xml:space="preserve"> </w:t>
      </w:r>
      <w:r w:rsidRPr="008235ED">
        <w:t>to</w:t>
      </w:r>
      <w:r>
        <w:t xml:space="preserve"> </w:t>
      </w:r>
      <w:r w:rsidRPr="008235ED">
        <w:t>each</w:t>
      </w:r>
      <w:r>
        <w:t xml:space="preserve"> </w:t>
      </w:r>
      <w:r w:rsidRPr="008235ED">
        <w:t>indicator</w:t>
      </w:r>
      <w:r>
        <w:t xml:space="preserve"> </w:t>
      </w:r>
      <w:r w:rsidRPr="008235ED">
        <w:t>and</w:t>
      </w:r>
      <w:r>
        <w:t xml:space="preserve"> </w:t>
      </w:r>
      <w:r w:rsidRPr="008235ED">
        <w:t>provides</w:t>
      </w:r>
      <w:r>
        <w:t xml:space="preserve"> </w:t>
      </w:r>
      <w:r w:rsidRPr="008235ED">
        <w:t>more</w:t>
      </w:r>
      <w:r>
        <w:t xml:space="preserve"> </w:t>
      </w:r>
      <w:r w:rsidRPr="008235ED">
        <w:t>detailed</w:t>
      </w:r>
      <w:r>
        <w:t xml:space="preserve"> </w:t>
      </w:r>
      <w:r w:rsidRPr="008235ED">
        <w:t>guidance</w:t>
      </w:r>
      <w:r>
        <w:t xml:space="preserve"> </w:t>
      </w:r>
      <w:r w:rsidRPr="008235ED">
        <w:t>on</w:t>
      </w:r>
      <w:r>
        <w:t xml:space="preserve"> </w:t>
      </w:r>
      <w:r w:rsidRPr="008235ED">
        <w:t>how</w:t>
      </w:r>
      <w:r>
        <w:t xml:space="preserve"> </w:t>
      </w:r>
      <w:r w:rsidRPr="008235ED">
        <w:t>to</w:t>
      </w:r>
      <w:r>
        <w:t xml:space="preserve"> </w:t>
      </w:r>
      <w:r w:rsidRPr="008235ED">
        <w:t>use</w:t>
      </w:r>
      <w:r>
        <w:t xml:space="preserve"> </w:t>
      </w:r>
      <w:r w:rsidRPr="008235ED">
        <w:t>these</w:t>
      </w:r>
      <w:r>
        <w:t xml:space="preserve"> </w:t>
      </w:r>
      <w:r w:rsidRPr="008235ED">
        <w:t>particular</w:t>
      </w:r>
      <w:r>
        <w:t xml:space="preserve"> </w:t>
      </w:r>
      <w:r w:rsidRPr="008235ED">
        <w:t>data</w:t>
      </w:r>
      <w:r w:rsidR="00553627">
        <w:t xml:space="preserve"> </w:t>
      </w:r>
      <w:r w:rsidRPr="008235ED">
        <w:t>points</w:t>
      </w:r>
      <w:r>
        <w:t xml:space="preserve"> </w:t>
      </w:r>
      <w:r w:rsidRPr="008235ED">
        <w:t>to</w:t>
      </w:r>
      <w:r>
        <w:t xml:space="preserve"> </w:t>
      </w:r>
      <w:r w:rsidRPr="008235ED">
        <w:t>measure</w:t>
      </w:r>
      <w:r>
        <w:t xml:space="preserve"> </w:t>
      </w:r>
      <w:r w:rsidRPr="008235ED">
        <w:t>specified</w:t>
      </w:r>
      <w:r>
        <w:t xml:space="preserve"> </w:t>
      </w:r>
      <w:r w:rsidRPr="008235ED">
        <w:t>indicators.</w:t>
      </w:r>
      <w:r>
        <w:t xml:space="preserve"> </w:t>
      </w:r>
      <w:r w:rsidRPr="008235ED">
        <w:t>Some</w:t>
      </w:r>
      <w:r>
        <w:t xml:space="preserve"> </w:t>
      </w:r>
      <w:r w:rsidRPr="008235ED">
        <w:t>indicators</w:t>
      </w:r>
      <w:r>
        <w:t xml:space="preserve"> </w:t>
      </w:r>
      <w:r w:rsidRPr="008235ED">
        <w:t>themselves</w:t>
      </w:r>
      <w:r>
        <w:t xml:space="preserve"> </w:t>
      </w:r>
      <w:r w:rsidRPr="008235ED">
        <w:t>were</w:t>
      </w:r>
      <w:r>
        <w:t xml:space="preserve"> </w:t>
      </w:r>
      <w:r w:rsidRPr="008235ED">
        <w:t>slightly</w:t>
      </w:r>
      <w:r>
        <w:t xml:space="preserve"> </w:t>
      </w:r>
      <w:r w:rsidRPr="008235ED">
        <w:t>altered</w:t>
      </w:r>
      <w:r>
        <w:t xml:space="preserve"> </w:t>
      </w:r>
      <w:r w:rsidRPr="008235ED">
        <w:t>to</w:t>
      </w:r>
      <w:r>
        <w:t xml:space="preserve"> </w:t>
      </w:r>
      <w:r w:rsidRPr="008235ED">
        <w:t>reflect</w:t>
      </w:r>
      <w:r>
        <w:t xml:space="preserve"> </w:t>
      </w:r>
      <w:r w:rsidRPr="008235ED">
        <w:t>the</w:t>
      </w:r>
      <w:r>
        <w:t xml:space="preserve"> </w:t>
      </w:r>
      <w:r w:rsidRPr="008235ED">
        <w:t>specificity</w:t>
      </w:r>
      <w:r>
        <w:t xml:space="preserve"> </w:t>
      </w:r>
      <w:r w:rsidRPr="008235ED">
        <w:t>of</w:t>
      </w:r>
      <w:r>
        <w:t xml:space="preserve"> </w:t>
      </w:r>
      <w:r w:rsidRPr="008235ED">
        <w:t>available</w:t>
      </w:r>
      <w:r>
        <w:t xml:space="preserve"> </w:t>
      </w:r>
      <w:r w:rsidRPr="008235ED">
        <w:t>data,</w:t>
      </w:r>
      <w:r>
        <w:t xml:space="preserve"> </w:t>
      </w:r>
      <w:r w:rsidRPr="008235ED">
        <w:t>or</w:t>
      </w:r>
      <w:r>
        <w:t xml:space="preserve"> </w:t>
      </w:r>
      <w:r w:rsidRPr="008235ED">
        <w:t>evolutions</w:t>
      </w:r>
      <w:r>
        <w:t xml:space="preserve"> </w:t>
      </w:r>
      <w:r w:rsidRPr="008235ED">
        <w:t>in</w:t>
      </w:r>
      <w:r>
        <w:t xml:space="preserve"> </w:t>
      </w:r>
      <w:r w:rsidRPr="008235ED">
        <w:t>Our</w:t>
      </w:r>
      <w:r>
        <w:t xml:space="preserve"> </w:t>
      </w:r>
      <w:r w:rsidRPr="008235ED">
        <w:t>Watch’s</w:t>
      </w:r>
      <w:r>
        <w:t xml:space="preserve"> </w:t>
      </w:r>
      <w:r w:rsidRPr="008235ED">
        <w:t>understanding</w:t>
      </w:r>
      <w:r>
        <w:t xml:space="preserve"> </w:t>
      </w:r>
      <w:r w:rsidRPr="008235ED">
        <w:t>of</w:t>
      </w:r>
      <w:r>
        <w:t xml:space="preserve"> </w:t>
      </w:r>
      <w:r w:rsidRPr="008235ED">
        <w:t>effective</w:t>
      </w:r>
      <w:r>
        <w:t xml:space="preserve"> </w:t>
      </w:r>
      <w:r w:rsidRPr="008235ED">
        <w:t>primary</w:t>
      </w:r>
      <w:r>
        <w:t xml:space="preserve"> </w:t>
      </w:r>
      <w:r w:rsidRPr="008235ED">
        <w:t>prevention</w:t>
      </w:r>
      <w:r>
        <w:t xml:space="preserve"> </w:t>
      </w:r>
      <w:r w:rsidRPr="008235ED">
        <w:t>of</w:t>
      </w:r>
      <w:r>
        <w:t xml:space="preserve"> </w:t>
      </w:r>
      <w:r w:rsidRPr="008235ED">
        <w:t>violence</w:t>
      </w:r>
      <w:r>
        <w:t xml:space="preserve"> </w:t>
      </w:r>
      <w:r w:rsidRPr="008235ED">
        <w:t>against</w:t>
      </w:r>
      <w:r>
        <w:t xml:space="preserve"> </w:t>
      </w:r>
      <w:r w:rsidRPr="008235ED">
        <w:t>women.</w:t>
      </w:r>
      <w:r>
        <w:t xml:space="preserve"> </w:t>
      </w:r>
      <w:r w:rsidRPr="008235ED">
        <w:t>Unless</w:t>
      </w:r>
      <w:r>
        <w:t xml:space="preserve"> </w:t>
      </w:r>
      <w:r w:rsidRPr="008235ED">
        <w:t>very</w:t>
      </w:r>
      <w:r>
        <w:t xml:space="preserve"> </w:t>
      </w:r>
      <w:r w:rsidRPr="008235ED">
        <w:t>minor,</w:t>
      </w:r>
      <w:r>
        <w:t xml:space="preserve"> </w:t>
      </w:r>
      <w:r w:rsidRPr="008235ED">
        <w:t>these</w:t>
      </w:r>
      <w:r>
        <w:t xml:space="preserve"> </w:t>
      </w:r>
      <w:r w:rsidRPr="008235ED">
        <w:t>changes</w:t>
      </w:r>
      <w:r>
        <w:t xml:space="preserve"> </w:t>
      </w:r>
      <w:r w:rsidRPr="008235ED">
        <w:t>have</w:t>
      </w:r>
      <w:r>
        <w:t xml:space="preserve"> </w:t>
      </w:r>
      <w:r w:rsidRPr="008235ED">
        <w:t>been</w:t>
      </w:r>
      <w:r>
        <w:t xml:space="preserve"> </w:t>
      </w:r>
      <w:r w:rsidRPr="008235ED">
        <w:t>noted</w:t>
      </w:r>
      <w:r>
        <w:t xml:space="preserve"> </w:t>
      </w:r>
      <w:r w:rsidRPr="008235ED">
        <w:t>throughout</w:t>
      </w:r>
      <w:r>
        <w:t xml:space="preserve"> </w:t>
      </w:r>
      <w:r w:rsidRPr="008235ED">
        <w:t>the</w:t>
      </w:r>
      <w:r>
        <w:t xml:space="preserve"> </w:t>
      </w:r>
      <w:r w:rsidRPr="008235ED">
        <w:t>report.</w:t>
      </w:r>
    </w:p>
    <w:p w14:paraId="442EEE6F" w14:textId="1C5D8687" w:rsidR="00437ED1" w:rsidRDefault="00437ED1" w:rsidP="00437ED1">
      <w:pPr>
        <w:pStyle w:val="BodyText"/>
      </w:pPr>
      <w:r w:rsidRPr="008235ED">
        <w:t>This</w:t>
      </w:r>
      <w:r>
        <w:t xml:space="preserve"> </w:t>
      </w:r>
      <w:r w:rsidRPr="008235ED">
        <w:t>monitoring</w:t>
      </w:r>
      <w:r>
        <w:t xml:space="preserve"> </w:t>
      </w:r>
      <w:r w:rsidRPr="008235ED">
        <w:t>report</w:t>
      </w:r>
      <w:r>
        <w:t xml:space="preserve"> </w:t>
      </w:r>
      <w:r w:rsidRPr="008235ED">
        <w:t>also</w:t>
      </w:r>
      <w:r>
        <w:t xml:space="preserve"> </w:t>
      </w:r>
      <w:r w:rsidRPr="008235ED">
        <w:t>sees</w:t>
      </w:r>
      <w:r>
        <w:t xml:space="preserve"> </w:t>
      </w:r>
      <w:r w:rsidRPr="008235ED">
        <w:t>the</w:t>
      </w:r>
      <w:r>
        <w:t xml:space="preserve"> </w:t>
      </w:r>
      <w:r w:rsidRPr="008235ED">
        <w:t>inclusion</w:t>
      </w:r>
      <w:r>
        <w:t xml:space="preserve"> </w:t>
      </w:r>
      <w:r w:rsidRPr="008235ED">
        <w:t>of</w:t>
      </w:r>
      <w:r>
        <w:t xml:space="preserve"> </w:t>
      </w:r>
      <w:r w:rsidRPr="008235ED">
        <w:t>some</w:t>
      </w:r>
      <w:r>
        <w:t xml:space="preserve"> </w:t>
      </w:r>
      <w:r w:rsidRPr="008235ED">
        <w:t>new</w:t>
      </w:r>
      <w:r>
        <w:t xml:space="preserve"> </w:t>
      </w:r>
      <w:r w:rsidRPr="008235ED">
        <w:t>indicators</w:t>
      </w:r>
      <w:r>
        <w:t xml:space="preserve"> </w:t>
      </w:r>
      <w:r w:rsidRPr="008235ED">
        <w:t>in</w:t>
      </w:r>
      <w:r>
        <w:t xml:space="preserve"> </w:t>
      </w:r>
      <w:r w:rsidRPr="008235ED">
        <w:t>the</w:t>
      </w:r>
      <w:r>
        <w:t xml:space="preserve"> </w:t>
      </w:r>
      <w:r w:rsidRPr="008235ED">
        <w:t>medium-</w:t>
      </w:r>
      <w:r>
        <w:t xml:space="preserve"> </w:t>
      </w:r>
      <w:r w:rsidRPr="008235ED">
        <w:t>and</w:t>
      </w:r>
      <w:r w:rsidR="00154F63">
        <w:t> </w:t>
      </w:r>
      <w:r w:rsidRPr="008235ED">
        <w:t>long-term</w:t>
      </w:r>
      <w:r>
        <w:t xml:space="preserve"> </w:t>
      </w:r>
      <w:r w:rsidRPr="008235ED">
        <w:t>outcomes</w:t>
      </w:r>
      <w:r>
        <w:t xml:space="preserve"> </w:t>
      </w:r>
      <w:r w:rsidRPr="008235ED">
        <w:t>monitoring</w:t>
      </w:r>
      <w:r>
        <w:t xml:space="preserve"> </w:t>
      </w:r>
      <w:r w:rsidRPr="008235ED">
        <w:t>domains,</w:t>
      </w:r>
      <w:r>
        <w:t xml:space="preserve"> </w:t>
      </w:r>
      <w:r w:rsidRPr="008235ED">
        <w:t>where</w:t>
      </w:r>
      <w:r>
        <w:t xml:space="preserve"> </w:t>
      </w:r>
      <w:r w:rsidRPr="008235ED">
        <w:t>it</w:t>
      </w:r>
      <w:r>
        <w:t xml:space="preserve"> </w:t>
      </w:r>
      <w:r w:rsidRPr="008235ED">
        <w:t>was</w:t>
      </w:r>
      <w:r>
        <w:t xml:space="preserve"> </w:t>
      </w:r>
      <w:r w:rsidRPr="008235ED">
        <w:t>determined</w:t>
      </w:r>
      <w:r>
        <w:t xml:space="preserve"> </w:t>
      </w:r>
      <w:r w:rsidRPr="008235ED">
        <w:t>that</w:t>
      </w:r>
      <w:r>
        <w:t xml:space="preserve"> </w:t>
      </w:r>
      <w:r w:rsidRPr="008235ED">
        <w:t>there</w:t>
      </w:r>
      <w:r>
        <w:t xml:space="preserve"> </w:t>
      </w:r>
      <w:r w:rsidRPr="008235ED">
        <w:t>was</w:t>
      </w:r>
      <w:r>
        <w:t xml:space="preserve"> </w:t>
      </w:r>
      <w:r w:rsidRPr="008235ED">
        <w:t>a</w:t>
      </w:r>
      <w:r>
        <w:t xml:space="preserve"> </w:t>
      </w:r>
      <w:r w:rsidRPr="008235ED">
        <w:t>significant</w:t>
      </w:r>
      <w:r>
        <w:t xml:space="preserve"> </w:t>
      </w:r>
      <w:r w:rsidRPr="008235ED">
        <w:t>need</w:t>
      </w:r>
      <w:r>
        <w:t xml:space="preserve"> </w:t>
      </w:r>
      <w:r w:rsidRPr="008235ED">
        <w:t>and</w:t>
      </w:r>
      <w:r>
        <w:t xml:space="preserve"> </w:t>
      </w:r>
      <w:r w:rsidRPr="008235ED">
        <w:t>where</w:t>
      </w:r>
      <w:r>
        <w:t xml:space="preserve"> </w:t>
      </w:r>
      <w:r w:rsidRPr="008235ED">
        <w:t>data</w:t>
      </w:r>
      <w:r>
        <w:t xml:space="preserve"> </w:t>
      </w:r>
      <w:r w:rsidRPr="008235ED">
        <w:t>was</w:t>
      </w:r>
      <w:r>
        <w:t xml:space="preserve"> </w:t>
      </w:r>
      <w:r w:rsidRPr="008235ED">
        <w:t>available.</w:t>
      </w:r>
      <w:r>
        <w:t xml:space="preserve"> </w:t>
      </w:r>
      <w:r w:rsidRPr="008235ED">
        <w:t>These</w:t>
      </w:r>
      <w:r>
        <w:t xml:space="preserve"> </w:t>
      </w:r>
      <w:r w:rsidRPr="008235ED">
        <w:t>additional</w:t>
      </w:r>
      <w:r>
        <w:t xml:space="preserve"> </w:t>
      </w:r>
      <w:r w:rsidRPr="008235ED">
        <w:t>indicators</w:t>
      </w:r>
      <w:r>
        <w:t xml:space="preserve"> </w:t>
      </w:r>
      <w:r w:rsidRPr="008235ED">
        <w:t>have</w:t>
      </w:r>
      <w:r>
        <w:t xml:space="preserve"> </w:t>
      </w:r>
      <w:r w:rsidRPr="008235ED">
        <w:t>been</w:t>
      </w:r>
      <w:r>
        <w:t xml:space="preserve"> </w:t>
      </w:r>
      <w:r w:rsidRPr="008235ED">
        <w:t>noted</w:t>
      </w:r>
      <w:r>
        <w:t xml:space="preserve"> </w:t>
      </w:r>
      <w:r w:rsidRPr="008235ED">
        <w:t>throughout</w:t>
      </w:r>
      <w:r>
        <w:t xml:space="preserve"> </w:t>
      </w:r>
      <w:r w:rsidRPr="008235ED">
        <w:t>the</w:t>
      </w:r>
      <w:r>
        <w:t xml:space="preserve"> </w:t>
      </w:r>
      <w:r w:rsidRPr="008235ED">
        <w:t>report.</w:t>
      </w:r>
      <w:r>
        <w:t xml:space="preserve"> </w:t>
      </w:r>
      <w:r w:rsidRPr="008235ED">
        <w:t>Additional</w:t>
      </w:r>
      <w:r>
        <w:t xml:space="preserve"> </w:t>
      </w:r>
      <w:r w:rsidRPr="008235ED">
        <w:t>or</w:t>
      </w:r>
      <w:r>
        <w:t xml:space="preserve"> </w:t>
      </w:r>
      <w:r w:rsidRPr="008235ED">
        <w:t>more</w:t>
      </w:r>
      <w:r>
        <w:t xml:space="preserve"> </w:t>
      </w:r>
      <w:r w:rsidRPr="008235ED">
        <w:t>appropriate</w:t>
      </w:r>
      <w:r>
        <w:t xml:space="preserve"> </w:t>
      </w:r>
      <w:r w:rsidRPr="008235ED">
        <w:t>alternative</w:t>
      </w:r>
      <w:r>
        <w:t xml:space="preserve"> </w:t>
      </w:r>
      <w:r w:rsidRPr="008235ED">
        <w:t>datasets</w:t>
      </w:r>
      <w:r>
        <w:t xml:space="preserve"> </w:t>
      </w:r>
      <w:r w:rsidRPr="008235ED">
        <w:t>have</w:t>
      </w:r>
      <w:r>
        <w:t xml:space="preserve"> </w:t>
      </w:r>
      <w:r w:rsidRPr="008235ED">
        <w:t>also</w:t>
      </w:r>
      <w:r>
        <w:t xml:space="preserve"> </w:t>
      </w:r>
      <w:r w:rsidRPr="008235ED">
        <w:t>been</w:t>
      </w:r>
      <w:r>
        <w:t xml:space="preserve"> </w:t>
      </w:r>
      <w:r w:rsidRPr="008235ED">
        <w:t>identified</w:t>
      </w:r>
      <w:r>
        <w:t xml:space="preserve"> </w:t>
      </w:r>
      <w:r w:rsidRPr="008235ED">
        <w:t>for</w:t>
      </w:r>
      <w:r>
        <w:t xml:space="preserve"> </w:t>
      </w:r>
      <w:r w:rsidRPr="008235ED">
        <w:t>many</w:t>
      </w:r>
      <w:r>
        <w:t xml:space="preserve"> </w:t>
      </w:r>
      <w:r w:rsidRPr="008235ED">
        <w:t>of</w:t>
      </w:r>
      <w:r>
        <w:t xml:space="preserve"> </w:t>
      </w:r>
      <w:r w:rsidRPr="008235ED">
        <w:t>the</w:t>
      </w:r>
      <w:r>
        <w:t xml:space="preserve"> </w:t>
      </w:r>
      <w:r w:rsidRPr="008235ED">
        <w:t>indicators.</w:t>
      </w:r>
      <w:r>
        <w:t xml:space="preserve"> </w:t>
      </w:r>
      <w:r w:rsidRPr="008235ED">
        <w:t>In</w:t>
      </w:r>
      <w:r>
        <w:t xml:space="preserve"> </w:t>
      </w:r>
      <w:r w:rsidRPr="008235ED">
        <w:t>some</w:t>
      </w:r>
      <w:r>
        <w:t xml:space="preserve"> </w:t>
      </w:r>
      <w:r w:rsidRPr="008235ED">
        <w:t>cases,</w:t>
      </w:r>
      <w:r>
        <w:t xml:space="preserve"> </w:t>
      </w:r>
      <w:r w:rsidRPr="008235ED">
        <w:t>additions</w:t>
      </w:r>
      <w:r>
        <w:t xml:space="preserve"> </w:t>
      </w:r>
      <w:r w:rsidRPr="008235ED">
        <w:t>reflect</w:t>
      </w:r>
      <w:r>
        <w:t xml:space="preserve"> </w:t>
      </w:r>
      <w:r w:rsidRPr="008235ED">
        <w:t>new</w:t>
      </w:r>
      <w:r>
        <w:t xml:space="preserve"> </w:t>
      </w:r>
      <w:r w:rsidRPr="008235ED">
        <w:t>data</w:t>
      </w:r>
      <w:r>
        <w:t xml:space="preserve"> </w:t>
      </w:r>
      <w:r w:rsidRPr="008235ED">
        <w:t>releases</w:t>
      </w:r>
      <w:r>
        <w:t xml:space="preserve"> </w:t>
      </w:r>
      <w:r w:rsidRPr="008235ED">
        <w:t>or</w:t>
      </w:r>
      <w:r>
        <w:t xml:space="preserve"> </w:t>
      </w:r>
      <w:r w:rsidRPr="008235ED">
        <w:t>the</w:t>
      </w:r>
      <w:r>
        <w:t xml:space="preserve"> </w:t>
      </w:r>
      <w:r w:rsidRPr="008235ED">
        <w:t>incorporation</w:t>
      </w:r>
      <w:r>
        <w:t xml:space="preserve"> </w:t>
      </w:r>
      <w:r w:rsidRPr="008235ED">
        <w:t>of</w:t>
      </w:r>
      <w:r>
        <w:t xml:space="preserve"> </w:t>
      </w:r>
      <w:r w:rsidRPr="008235ED">
        <w:t>previously</w:t>
      </w:r>
      <w:r>
        <w:t xml:space="preserve"> </w:t>
      </w:r>
      <w:r w:rsidRPr="008235ED">
        <w:t>unfamiliar</w:t>
      </w:r>
      <w:r>
        <w:t xml:space="preserve"> </w:t>
      </w:r>
      <w:r w:rsidRPr="008235ED">
        <w:t>datasets</w:t>
      </w:r>
      <w:r>
        <w:t xml:space="preserve"> </w:t>
      </w:r>
      <w:r w:rsidRPr="008235ED">
        <w:t>that</w:t>
      </w:r>
      <w:r>
        <w:t xml:space="preserve"> </w:t>
      </w:r>
      <w:r w:rsidRPr="008235ED">
        <w:t>came</w:t>
      </w:r>
      <w:r>
        <w:t xml:space="preserve"> </w:t>
      </w:r>
      <w:r w:rsidRPr="008235ED">
        <w:t>to</w:t>
      </w:r>
      <w:r>
        <w:t xml:space="preserve"> </w:t>
      </w:r>
      <w:r w:rsidRPr="008235ED">
        <w:t>light</w:t>
      </w:r>
      <w:r>
        <w:t xml:space="preserve"> </w:t>
      </w:r>
      <w:r w:rsidRPr="008235ED">
        <w:t>during</w:t>
      </w:r>
      <w:r>
        <w:t xml:space="preserve"> </w:t>
      </w:r>
      <w:r w:rsidRPr="008235ED">
        <w:t>the</w:t>
      </w:r>
      <w:r>
        <w:t xml:space="preserve"> </w:t>
      </w:r>
      <w:r w:rsidRPr="008235ED">
        <w:t>project.</w:t>
      </w:r>
    </w:p>
    <w:p w14:paraId="577DED38" w14:textId="77777777" w:rsidR="00437ED1" w:rsidRPr="000E30A0" w:rsidRDefault="00437ED1" w:rsidP="00437ED1">
      <w:pPr>
        <w:pStyle w:val="Heading4"/>
        <w:rPr>
          <w:rStyle w:val="OWCharacterHibiscus"/>
        </w:rPr>
      </w:pPr>
      <w:bookmarkStart w:id="110" w:name="_Toc32897317"/>
      <w:bookmarkStart w:id="111" w:name="_Toc33450754"/>
      <w:bookmarkStart w:id="112" w:name="_Toc34915308"/>
      <w:r w:rsidRPr="000E30A0">
        <w:rPr>
          <w:rStyle w:val="OWCharacterHibiscus"/>
        </w:rPr>
        <w:t>Inclusion of data by revised criteria for medium- and long-term outcomes indicators</w:t>
      </w:r>
      <w:bookmarkEnd w:id="110"/>
      <w:bookmarkEnd w:id="111"/>
      <w:bookmarkEnd w:id="112"/>
    </w:p>
    <w:p w14:paraId="15024F78" w14:textId="6DDBF1EF" w:rsidR="00437ED1" w:rsidRPr="00187A71" w:rsidRDefault="00437ED1" w:rsidP="00437ED1">
      <w:pPr>
        <w:pStyle w:val="BodyText"/>
      </w:pPr>
      <w:r w:rsidRPr="00ED4674">
        <w:rPr>
          <w:rStyle w:val="Emphasis"/>
        </w:rPr>
        <w:t xml:space="preserve">Counting on change </w:t>
      </w:r>
      <w:r w:rsidRPr="008235ED">
        <w:t>identified</w:t>
      </w:r>
      <w:r>
        <w:t xml:space="preserve"> </w:t>
      </w:r>
      <w:r w:rsidRPr="008235ED">
        <w:t>datasets</w:t>
      </w:r>
      <w:r>
        <w:t xml:space="preserve"> </w:t>
      </w:r>
      <w:r w:rsidRPr="008235ED">
        <w:t>for</w:t>
      </w:r>
      <w:r>
        <w:t xml:space="preserve"> </w:t>
      </w:r>
      <w:r w:rsidRPr="008235ED">
        <w:t>the</w:t>
      </w:r>
      <w:r>
        <w:t xml:space="preserve"> </w:t>
      </w:r>
      <w:r w:rsidRPr="008235ED">
        <w:t>medium-</w:t>
      </w:r>
      <w:r>
        <w:t xml:space="preserve"> </w:t>
      </w:r>
      <w:r w:rsidRPr="008235ED">
        <w:t>and</w:t>
      </w:r>
      <w:r>
        <w:t xml:space="preserve"> </w:t>
      </w:r>
      <w:r w:rsidRPr="008235ED">
        <w:t>long-term</w:t>
      </w:r>
      <w:r>
        <w:t xml:space="preserve"> </w:t>
      </w:r>
      <w:r w:rsidRPr="008235ED">
        <w:t>outcomes</w:t>
      </w:r>
      <w:r>
        <w:t xml:space="preserve"> </w:t>
      </w:r>
      <w:r w:rsidRPr="008235ED">
        <w:t>monitoring</w:t>
      </w:r>
      <w:r w:rsidR="00154F63">
        <w:t> </w:t>
      </w:r>
      <w:r w:rsidRPr="008235ED">
        <w:t>indicators</w:t>
      </w:r>
      <w:r>
        <w:t xml:space="preserve"> </w:t>
      </w:r>
      <w:r w:rsidRPr="008235ED">
        <w:t>based</w:t>
      </w:r>
      <w:r>
        <w:t xml:space="preserve"> </w:t>
      </w:r>
      <w:r w:rsidRPr="008235ED">
        <w:t>on</w:t>
      </w:r>
      <w:r>
        <w:t xml:space="preserve"> </w:t>
      </w:r>
      <w:r w:rsidRPr="008235ED">
        <w:t>the</w:t>
      </w:r>
      <w:r>
        <w:t xml:space="preserve"> </w:t>
      </w:r>
      <w:r w:rsidRPr="008235ED">
        <w:t>following</w:t>
      </w:r>
      <w:r>
        <w:t xml:space="preserve"> </w:t>
      </w:r>
      <w:r w:rsidRPr="008235ED">
        <w:t>criteria</w:t>
      </w:r>
      <w:r w:rsidRPr="00187A71">
        <w:t>:</w:t>
      </w:r>
    </w:p>
    <w:p w14:paraId="14AF6512" w14:textId="77777777" w:rsidR="00437ED1" w:rsidRPr="008235ED" w:rsidRDefault="00437ED1" w:rsidP="00437ED1">
      <w:pPr>
        <w:pStyle w:val="OWBullet1"/>
      </w:pPr>
      <w:r w:rsidRPr="008235ED">
        <w:t>they</w:t>
      </w:r>
      <w:r>
        <w:t xml:space="preserve"> </w:t>
      </w:r>
      <w:r w:rsidRPr="008235ED">
        <w:t>are</w:t>
      </w:r>
      <w:r>
        <w:t xml:space="preserve"> </w:t>
      </w:r>
      <w:r w:rsidRPr="008235ED">
        <w:t>quantitative</w:t>
      </w:r>
      <w:r>
        <w:t xml:space="preserve"> </w:t>
      </w:r>
      <w:r w:rsidRPr="008235ED">
        <w:t>in</w:t>
      </w:r>
      <w:r>
        <w:t xml:space="preserve"> </w:t>
      </w:r>
      <w:r w:rsidRPr="008235ED">
        <w:t>nature</w:t>
      </w:r>
    </w:p>
    <w:p w14:paraId="27C5190A" w14:textId="77777777" w:rsidR="00437ED1" w:rsidRDefault="00437ED1" w:rsidP="00437ED1">
      <w:pPr>
        <w:pStyle w:val="OWBullet1"/>
      </w:pPr>
      <w:r w:rsidRPr="008235ED">
        <w:t>they</w:t>
      </w:r>
      <w:r>
        <w:t xml:space="preserve"> </w:t>
      </w:r>
      <w:r w:rsidRPr="008235ED">
        <w:t>are</w:t>
      </w:r>
      <w:r>
        <w:t xml:space="preserve"> </w:t>
      </w:r>
      <w:r w:rsidRPr="008235ED">
        <w:t>designed,</w:t>
      </w:r>
      <w:r>
        <w:t xml:space="preserve"> </w:t>
      </w:r>
      <w:r w:rsidRPr="008235ED">
        <w:t>tested</w:t>
      </w:r>
      <w:r>
        <w:t xml:space="preserve"> </w:t>
      </w:r>
      <w:r w:rsidRPr="008235ED">
        <w:t>and</w:t>
      </w:r>
      <w:r>
        <w:t xml:space="preserve"> </w:t>
      </w:r>
      <w:r w:rsidRPr="008235ED">
        <w:t>implemented</w:t>
      </w:r>
      <w:r>
        <w:t xml:space="preserve"> </w:t>
      </w:r>
      <w:r w:rsidRPr="008235ED">
        <w:t>with</w:t>
      </w:r>
      <w:r>
        <w:t xml:space="preserve"> </w:t>
      </w:r>
      <w:r w:rsidRPr="008235ED">
        <w:t>a</w:t>
      </w:r>
      <w:r>
        <w:t xml:space="preserve"> </w:t>
      </w:r>
      <w:r w:rsidRPr="008235ED">
        <w:t>high</w:t>
      </w:r>
      <w:r>
        <w:t xml:space="preserve"> </w:t>
      </w:r>
      <w:r w:rsidRPr="008235ED">
        <w:t>level</w:t>
      </w:r>
      <w:r>
        <w:t xml:space="preserve"> </w:t>
      </w:r>
      <w:r w:rsidRPr="008235ED">
        <w:t>of</w:t>
      </w:r>
      <w:r>
        <w:t xml:space="preserve"> </w:t>
      </w:r>
      <w:r w:rsidRPr="008235ED">
        <w:t>rigour</w:t>
      </w:r>
    </w:p>
    <w:p w14:paraId="4F5E62A2" w14:textId="77777777" w:rsidR="00437ED1" w:rsidRPr="008235ED" w:rsidRDefault="00437ED1" w:rsidP="00437ED1">
      <w:pPr>
        <w:pStyle w:val="OWBullet1"/>
      </w:pPr>
      <w:r w:rsidRPr="008235ED">
        <w:t>they</w:t>
      </w:r>
      <w:r>
        <w:t xml:space="preserve"> </w:t>
      </w:r>
      <w:r w:rsidRPr="008235ED">
        <w:t>are</w:t>
      </w:r>
      <w:r>
        <w:t xml:space="preserve"> </w:t>
      </w:r>
      <w:r w:rsidRPr="008235ED">
        <w:t>population-level</w:t>
      </w:r>
      <w:r>
        <w:t xml:space="preserve"> </w:t>
      </w:r>
      <w:r w:rsidRPr="008235ED">
        <w:t>and</w:t>
      </w:r>
      <w:r>
        <w:t xml:space="preserve"> </w:t>
      </w:r>
      <w:r w:rsidRPr="008235ED">
        <w:t>with</w:t>
      </w:r>
      <w:r>
        <w:t xml:space="preserve"> </w:t>
      </w:r>
      <w:r w:rsidRPr="008235ED">
        <w:t>population-representative</w:t>
      </w:r>
      <w:r>
        <w:t xml:space="preserve"> </w:t>
      </w:r>
      <w:r w:rsidRPr="008235ED">
        <w:t>sampling</w:t>
      </w:r>
    </w:p>
    <w:p w14:paraId="72FABE0F" w14:textId="77777777" w:rsidR="00437ED1" w:rsidRDefault="00437ED1" w:rsidP="00437ED1">
      <w:pPr>
        <w:pStyle w:val="OWBullet1"/>
      </w:pPr>
      <w:r w:rsidRPr="008235ED">
        <w:t>data</w:t>
      </w:r>
      <w:r>
        <w:t xml:space="preserve"> </w:t>
      </w:r>
      <w:r w:rsidRPr="008235ED">
        <w:t>is</w:t>
      </w:r>
      <w:r>
        <w:t xml:space="preserve"> </w:t>
      </w:r>
      <w:r w:rsidRPr="008235ED">
        <w:t>readily</w:t>
      </w:r>
      <w:r>
        <w:t xml:space="preserve"> </w:t>
      </w:r>
      <w:r w:rsidRPr="008235ED">
        <w:t>publicly</w:t>
      </w:r>
      <w:r>
        <w:t xml:space="preserve"> </w:t>
      </w:r>
      <w:r w:rsidRPr="008235ED">
        <w:t>available,</w:t>
      </w:r>
      <w:r>
        <w:t xml:space="preserve"> </w:t>
      </w:r>
      <w:r w:rsidRPr="008235ED">
        <w:t>and</w:t>
      </w:r>
    </w:p>
    <w:p w14:paraId="185A4428" w14:textId="6EB1EDA8" w:rsidR="00437ED1" w:rsidRDefault="00437ED1" w:rsidP="00437ED1">
      <w:pPr>
        <w:pStyle w:val="OWBullet1"/>
      </w:pPr>
      <w:r w:rsidRPr="008235ED">
        <w:t>the</w:t>
      </w:r>
      <w:r>
        <w:t xml:space="preserve"> </w:t>
      </w:r>
      <w:r w:rsidRPr="008235ED">
        <w:t>studies</w:t>
      </w:r>
      <w:r>
        <w:t xml:space="preserve"> </w:t>
      </w:r>
      <w:r w:rsidRPr="008235ED">
        <w:t>are</w:t>
      </w:r>
      <w:r>
        <w:t xml:space="preserve"> </w:t>
      </w:r>
      <w:r w:rsidRPr="008235ED">
        <w:t>replicated</w:t>
      </w:r>
      <w:r>
        <w:t xml:space="preserve"> </w:t>
      </w:r>
      <w:r w:rsidRPr="008235ED">
        <w:t>at</w:t>
      </w:r>
      <w:r>
        <w:t xml:space="preserve"> </w:t>
      </w:r>
      <w:r w:rsidRPr="008235ED">
        <w:t>regular</w:t>
      </w:r>
      <w:r>
        <w:t xml:space="preserve"> </w:t>
      </w:r>
      <w:r w:rsidRPr="008235ED">
        <w:t>intervals</w:t>
      </w:r>
      <w:r>
        <w:t xml:space="preserve"> </w:t>
      </w:r>
      <w:r w:rsidRPr="008235ED">
        <w:t>to</w:t>
      </w:r>
      <w:r>
        <w:t xml:space="preserve"> </w:t>
      </w:r>
      <w:r w:rsidRPr="008235ED">
        <w:t>allow</w:t>
      </w:r>
      <w:r>
        <w:t xml:space="preserve"> </w:t>
      </w:r>
      <w:r w:rsidRPr="008235ED">
        <w:t>for</w:t>
      </w:r>
      <w:r>
        <w:t xml:space="preserve"> </w:t>
      </w:r>
      <w:r w:rsidRPr="008235ED">
        <w:t>comparison</w:t>
      </w:r>
      <w:r>
        <w:t xml:space="preserve"> </w:t>
      </w:r>
      <w:r w:rsidRPr="008235ED">
        <w:t>of</w:t>
      </w:r>
      <w:r>
        <w:t xml:space="preserve"> </w:t>
      </w:r>
      <w:r w:rsidRPr="008235ED">
        <w:t>results</w:t>
      </w:r>
      <w:r>
        <w:t xml:space="preserve"> </w:t>
      </w:r>
      <w:r w:rsidRPr="008235ED">
        <w:t>and</w:t>
      </w:r>
      <w:r w:rsidR="00154F63">
        <w:t> </w:t>
      </w:r>
      <w:r w:rsidRPr="008235ED">
        <w:t>tracking</w:t>
      </w:r>
      <w:r>
        <w:t xml:space="preserve"> </w:t>
      </w:r>
      <w:r w:rsidRPr="008235ED">
        <w:t>change</w:t>
      </w:r>
      <w:r>
        <w:t xml:space="preserve"> </w:t>
      </w:r>
      <w:r w:rsidRPr="008235ED">
        <w:t>over</w:t>
      </w:r>
      <w:r>
        <w:t xml:space="preserve"> </w:t>
      </w:r>
      <w:r w:rsidRPr="008235ED">
        <w:t>time</w:t>
      </w:r>
      <w:r>
        <w:t xml:space="preserve"> </w:t>
      </w:r>
      <w:r w:rsidRPr="008235ED">
        <w:t>(known</w:t>
      </w:r>
      <w:r>
        <w:t xml:space="preserve"> </w:t>
      </w:r>
      <w:r w:rsidRPr="008235ED">
        <w:t>as</w:t>
      </w:r>
      <w:r>
        <w:t xml:space="preserve"> </w:t>
      </w:r>
      <w:r w:rsidRPr="008235ED">
        <w:t>‘timeseries</w:t>
      </w:r>
      <w:r>
        <w:t xml:space="preserve"> </w:t>
      </w:r>
      <w:r w:rsidRPr="008235ED">
        <w:t>analysis’).</w:t>
      </w:r>
    </w:p>
    <w:p w14:paraId="59F56C00" w14:textId="77777777" w:rsidR="00437ED1" w:rsidRDefault="00437ED1" w:rsidP="00437ED1">
      <w:pPr>
        <w:pStyle w:val="OWBodytextafterlist"/>
      </w:pPr>
      <w:r w:rsidRPr="008235ED">
        <w:t>Adopting</w:t>
      </w:r>
      <w:r>
        <w:t xml:space="preserve"> </w:t>
      </w:r>
      <w:r w:rsidRPr="008235ED">
        <w:t>these</w:t>
      </w:r>
      <w:r>
        <w:t xml:space="preserve"> </w:t>
      </w:r>
      <w:r w:rsidRPr="008235ED">
        <w:t>criteria</w:t>
      </w:r>
      <w:r>
        <w:t xml:space="preserve"> </w:t>
      </w:r>
      <w:r w:rsidRPr="008235ED">
        <w:t>meant</w:t>
      </w:r>
      <w:r>
        <w:t xml:space="preserve"> </w:t>
      </w:r>
      <w:r w:rsidRPr="00ED4674">
        <w:rPr>
          <w:rStyle w:val="Emphasis"/>
        </w:rPr>
        <w:t>Counting on change</w:t>
      </w:r>
      <w:r>
        <w:t xml:space="preserve"> </w:t>
      </w:r>
      <w:r w:rsidRPr="008235ED">
        <w:t>prioritised</w:t>
      </w:r>
      <w:r>
        <w:t xml:space="preserve"> </w:t>
      </w:r>
      <w:r w:rsidRPr="008235ED">
        <w:t>large,</w:t>
      </w:r>
      <w:r>
        <w:t xml:space="preserve"> </w:t>
      </w:r>
      <w:r w:rsidRPr="008235ED">
        <w:t>established,</w:t>
      </w:r>
      <w:r>
        <w:t xml:space="preserve"> </w:t>
      </w:r>
      <w:r w:rsidRPr="008235ED">
        <w:t>cross-sectional</w:t>
      </w:r>
      <w:r>
        <w:t xml:space="preserve"> </w:t>
      </w:r>
      <w:r w:rsidRPr="008235ED">
        <w:t>and</w:t>
      </w:r>
      <w:r>
        <w:t xml:space="preserve"> </w:t>
      </w:r>
      <w:r w:rsidRPr="008235ED">
        <w:t>longitudinal</w:t>
      </w:r>
      <w:r>
        <w:t xml:space="preserve"> </w:t>
      </w:r>
      <w:r w:rsidRPr="008235ED">
        <w:t>statistical</w:t>
      </w:r>
      <w:r>
        <w:t xml:space="preserve"> </w:t>
      </w:r>
      <w:r w:rsidRPr="008235ED">
        <w:t>survey</w:t>
      </w:r>
      <w:r>
        <w:t xml:space="preserve"> </w:t>
      </w:r>
      <w:r w:rsidRPr="008235ED">
        <w:t>datasets</w:t>
      </w:r>
      <w:r>
        <w:t xml:space="preserve"> </w:t>
      </w:r>
      <w:r w:rsidRPr="008235ED">
        <w:t>(typically</w:t>
      </w:r>
      <w:r>
        <w:t xml:space="preserve"> </w:t>
      </w:r>
      <w:r w:rsidRPr="008235ED">
        <w:t>administered</w:t>
      </w:r>
      <w:r>
        <w:t xml:space="preserve"> </w:t>
      </w:r>
      <w:r w:rsidRPr="008235ED">
        <w:t>by</w:t>
      </w:r>
      <w:r>
        <w:t xml:space="preserve"> </w:t>
      </w:r>
      <w:r w:rsidRPr="008235ED">
        <w:t>the</w:t>
      </w:r>
      <w:r>
        <w:t xml:space="preserve"> </w:t>
      </w:r>
      <w:r w:rsidRPr="008235ED">
        <w:t>Australian</w:t>
      </w:r>
      <w:r>
        <w:t xml:space="preserve"> </w:t>
      </w:r>
      <w:r w:rsidRPr="008235ED">
        <w:t>Bureau</w:t>
      </w:r>
      <w:r>
        <w:t xml:space="preserve"> </w:t>
      </w:r>
      <w:r w:rsidRPr="008235ED">
        <w:t>of</w:t>
      </w:r>
      <w:r>
        <w:t xml:space="preserve"> </w:t>
      </w:r>
      <w:r w:rsidRPr="008235ED">
        <w:t>Statistics,</w:t>
      </w:r>
      <w:r>
        <w:t xml:space="preserve"> </w:t>
      </w:r>
      <w:r w:rsidRPr="008235ED">
        <w:t>other</w:t>
      </w:r>
      <w:r>
        <w:t xml:space="preserve"> </w:t>
      </w:r>
      <w:r w:rsidRPr="008235ED">
        <w:t>government</w:t>
      </w:r>
      <w:r>
        <w:t xml:space="preserve"> </w:t>
      </w:r>
      <w:r w:rsidRPr="008235ED">
        <w:t>data</w:t>
      </w:r>
      <w:r>
        <w:t xml:space="preserve"> </w:t>
      </w:r>
      <w:r w:rsidRPr="008235ED">
        <w:t>agencies,</w:t>
      </w:r>
      <w:r>
        <w:t xml:space="preserve"> </w:t>
      </w:r>
      <w:r w:rsidRPr="008235ED">
        <w:t>or</w:t>
      </w:r>
      <w:r>
        <w:t xml:space="preserve"> </w:t>
      </w:r>
      <w:r w:rsidRPr="008235ED">
        <w:t>by</w:t>
      </w:r>
      <w:r>
        <w:t xml:space="preserve"> </w:t>
      </w:r>
      <w:r w:rsidRPr="008235ED">
        <w:t>research</w:t>
      </w:r>
      <w:r>
        <w:t xml:space="preserve"> </w:t>
      </w:r>
      <w:r w:rsidRPr="008235ED">
        <w:t>agencies,</w:t>
      </w:r>
      <w:r>
        <w:t xml:space="preserve"> </w:t>
      </w:r>
      <w:r w:rsidRPr="008235ED">
        <w:t>often</w:t>
      </w:r>
      <w:r>
        <w:t xml:space="preserve"> </w:t>
      </w:r>
      <w:r w:rsidRPr="008235ED">
        <w:t>funded</w:t>
      </w:r>
      <w:r>
        <w:t xml:space="preserve"> </w:t>
      </w:r>
      <w:r w:rsidRPr="008235ED">
        <w:t>through</w:t>
      </w:r>
      <w:r>
        <w:t xml:space="preserve"> </w:t>
      </w:r>
      <w:r w:rsidRPr="008235ED">
        <w:t>the</w:t>
      </w:r>
      <w:r>
        <w:t xml:space="preserve"> </w:t>
      </w:r>
      <w:r w:rsidRPr="008235ED">
        <w:t>Commonwealth</w:t>
      </w:r>
      <w:r>
        <w:t xml:space="preserve"> </w:t>
      </w:r>
      <w:r w:rsidRPr="008235ED">
        <w:t>Government</w:t>
      </w:r>
      <w:r>
        <w:t xml:space="preserve"> </w:t>
      </w:r>
      <w:r w:rsidRPr="008235ED">
        <w:t>and</w:t>
      </w:r>
      <w:r>
        <w:t xml:space="preserve"> </w:t>
      </w:r>
      <w:r w:rsidRPr="008235ED">
        <w:t>aligned</w:t>
      </w:r>
      <w:r>
        <w:t xml:space="preserve"> </w:t>
      </w:r>
      <w:r w:rsidRPr="008235ED">
        <w:t>with</w:t>
      </w:r>
      <w:r>
        <w:t xml:space="preserve"> </w:t>
      </w:r>
      <w:r w:rsidRPr="008235ED">
        <w:t>key</w:t>
      </w:r>
      <w:r>
        <w:t xml:space="preserve"> </w:t>
      </w:r>
      <w:r w:rsidRPr="008235ED">
        <w:t>policy</w:t>
      </w:r>
      <w:r>
        <w:t xml:space="preserve"> </w:t>
      </w:r>
      <w:r w:rsidRPr="008235ED">
        <w:t>areas</w:t>
      </w:r>
      <w:r>
        <w:t xml:space="preserve"> </w:t>
      </w:r>
      <w:r w:rsidRPr="008235ED">
        <w:t>or</w:t>
      </w:r>
      <w:r>
        <w:t xml:space="preserve"> </w:t>
      </w:r>
      <w:r w:rsidRPr="008235ED">
        <w:t>strategies</w:t>
      </w:r>
      <w:r>
        <w:t xml:space="preserve"> </w:t>
      </w:r>
      <w:r w:rsidRPr="008235ED">
        <w:t>such</w:t>
      </w:r>
      <w:r>
        <w:t xml:space="preserve"> </w:t>
      </w:r>
      <w:r w:rsidRPr="008235ED">
        <w:t>as</w:t>
      </w:r>
      <w:r>
        <w:t xml:space="preserve"> </w:t>
      </w:r>
      <w:r w:rsidRPr="008235ED">
        <w:t>the</w:t>
      </w:r>
      <w:r>
        <w:t xml:space="preserve"> </w:t>
      </w:r>
      <w:r w:rsidRPr="008235ED">
        <w:t>National</w:t>
      </w:r>
      <w:r>
        <w:t xml:space="preserve"> </w:t>
      </w:r>
      <w:r w:rsidRPr="008235ED">
        <w:t>Plan),</w:t>
      </w:r>
      <w:r>
        <w:t xml:space="preserve"> </w:t>
      </w:r>
      <w:r w:rsidRPr="008235ED">
        <w:t>as</w:t>
      </w:r>
      <w:r>
        <w:t xml:space="preserve"> </w:t>
      </w:r>
      <w:r w:rsidRPr="008235ED">
        <w:t>well</w:t>
      </w:r>
      <w:r>
        <w:t xml:space="preserve"> </w:t>
      </w:r>
      <w:r w:rsidRPr="008235ED">
        <w:t>as</w:t>
      </w:r>
      <w:r>
        <w:t xml:space="preserve"> </w:t>
      </w:r>
      <w:r w:rsidRPr="008235ED">
        <w:t>some</w:t>
      </w:r>
      <w:r>
        <w:t xml:space="preserve"> </w:t>
      </w:r>
      <w:r w:rsidRPr="008235ED">
        <w:t>select</w:t>
      </w:r>
      <w:r>
        <w:t xml:space="preserve"> </w:t>
      </w:r>
      <w:r w:rsidRPr="008235ED">
        <w:t>administrative</w:t>
      </w:r>
      <w:r>
        <w:t xml:space="preserve"> </w:t>
      </w:r>
      <w:r w:rsidRPr="008235ED">
        <w:t>datasets.</w:t>
      </w:r>
    </w:p>
    <w:p w14:paraId="373D220E" w14:textId="042FC6A9" w:rsidR="00437ED1" w:rsidRDefault="00437ED1" w:rsidP="00437ED1">
      <w:pPr>
        <w:pStyle w:val="BodyText"/>
      </w:pPr>
      <w:r w:rsidRPr="008235ED">
        <w:rPr>
          <w:iCs/>
        </w:rPr>
        <w:t>As</w:t>
      </w:r>
      <w:r>
        <w:rPr>
          <w:iCs/>
        </w:rPr>
        <w:t xml:space="preserve"> </w:t>
      </w:r>
      <w:r w:rsidRPr="00ED4674">
        <w:rPr>
          <w:rStyle w:val="Emphasis"/>
        </w:rPr>
        <w:t xml:space="preserve">Counting on change </w:t>
      </w:r>
      <w:r w:rsidRPr="008235ED">
        <w:t>acknowledged,</w:t>
      </w:r>
      <w:r>
        <w:t xml:space="preserve"> </w:t>
      </w:r>
      <w:r w:rsidRPr="008235ED">
        <w:t>there</w:t>
      </w:r>
      <w:r>
        <w:t xml:space="preserve"> </w:t>
      </w:r>
      <w:r w:rsidRPr="008235ED">
        <w:t>are</w:t>
      </w:r>
      <w:r>
        <w:t xml:space="preserve"> </w:t>
      </w:r>
      <w:r w:rsidRPr="008235ED">
        <w:t>limits</w:t>
      </w:r>
      <w:r>
        <w:t xml:space="preserve"> </w:t>
      </w:r>
      <w:r w:rsidRPr="008235ED">
        <w:t>to</w:t>
      </w:r>
      <w:r>
        <w:t xml:space="preserve"> </w:t>
      </w:r>
      <w:r w:rsidRPr="008235ED">
        <w:t>these</w:t>
      </w:r>
      <w:r>
        <w:t xml:space="preserve"> </w:t>
      </w:r>
      <w:r w:rsidRPr="008235ED">
        <w:t>datasets</w:t>
      </w:r>
      <w:r>
        <w:t xml:space="preserve"> </w:t>
      </w:r>
      <w:r w:rsidRPr="008235ED">
        <w:t>when</w:t>
      </w:r>
      <w:r>
        <w:t xml:space="preserve"> </w:t>
      </w:r>
      <w:r w:rsidRPr="008235ED">
        <w:t>attempting</w:t>
      </w:r>
      <w:r>
        <w:t xml:space="preserve"> </w:t>
      </w:r>
      <w:r w:rsidRPr="008235ED">
        <w:t>to</w:t>
      </w:r>
      <w:r>
        <w:t xml:space="preserve"> </w:t>
      </w:r>
      <w:r w:rsidRPr="008235ED">
        <w:t>apply</w:t>
      </w:r>
      <w:r>
        <w:t xml:space="preserve"> </w:t>
      </w:r>
      <w:r w:rsidRPr="008235ED">
        <w:t>an</w:t>
      </w:r>
      <w:r>
        <w:t xml:space="preserve"> </w:t>
      </w:r>
      <w:r w:rsidRPr="008235ED">
        <w:t>intersectional</w:t>
      </w:r>
      <w:r>
        <w:t xml:space="preserve"> </w:t>
      </w:r>
      <w:r w:rsidRPr="008235ED">
        <w:t>lens</w:t>
      </w:r>
      <w:r>
        <w:t xml:space="preserve"> </w:t>
      </w:r>
      <w:r w:rsidRPr="008235ED">
        <w:t>to</w:t>
      </w:r>
      <w:r>
        <w:t xml:space="preserve"> </w:t>
      </w:r>
      <w:r w:rsidRPr="008235ED">
        <w:t>the</w:t>
      </w:r>
      <w:r>
        <w:t xml:space="preserve"> </w:t>
      </w:r>
      <w:r w:rsidRPr="008235ED">
        <w:t>data.</w:t>
      </w:r>
      <w:r>
        <w:t xml:space="preserve"> </w:t>
      </w:r>
      <w:r w:rsidRPr="008235ED">
        <w:t>For</w:t>
      </w:r>
      <w:r>
        <w:t xml:space="preserve"> </w:t>
      </w:r>
      <w:r w:rsidRPr="008235ED">
        <w:t>this</w:t>
      </w:r>
      <w:r>
        <w:t xml:space="preserve"> </w:t>
      </w:r>
      <w:r w:rsidRPr="008235ED">
        <w:t>reason,</w:t>
      </w:r>
      <w:r>
        <w:t xml:space="preserve"> </w:t>
      </w:r>
      <w:r w:rsidRPr="008235ED">
        <w:t>in</w:t>
      </w:r>
      <w:r>
        <w:t xml:space="preserve"> </w:t>
      </w:r>
      <w:r w:rsidRPr="008235ED">
        <w:t>this</w:t>
      </w:r>
      <w:r>
        <w:t xml:space="preserve"> </w:t>
      </w:r>
      <w:r w:rsidRPr="008235ED">
        <w:t>project</w:t>
      </w:r>
      <w:r>
        <w:t xml:space="preserve"> </w:t>
      </w:r>
      <w:r w:rsidRPr="008235ED">
        <w:t>we</w:t>
      </w:r>
      <w:r>
        <w:t xml:space="preserve"> </w:t>
      </w:r>
      <w:r w:rsidRPr="008235ED">
        <w:t>have</w:t>
      </w:r>
      <w:r>
        <w:t xml:space="preserve"> </w:t>
      </w:r>
      <w:r w:rsidRPr="008235ED">
        <w:t>broadened</w:t>
      </w:r>
      <w:r>
        <w:t xml:space="preserve"> </w:t>
      </w:r>
      <w:r w:rsidRPr="008235ED">
        <w:t>the</w:t>
      </w:r>
      <w:r>
        <w:t xml:space="preserve"> </w:t>
      </w:r>
      <w:r w:rsidRPr="008235ED">
        <w:t>criteria</w:t>
      </w:r>
      <w:r>
        <w:t xml:space="preserve"> </w:t>
      </w:r>
      <w:r w:rsidRPr="008235ED">
        <w:t>for</w:t>
      </w:r>
      <w:r>
        <w:t xml:space="preserve"> </w:t>
      </w:r>
      <w:r w:rsidRPr="008235ED">
        <w:t>data</w:t>
      </w:r>
      <w:r>
        <w:t xml:space="preserve"> </w:t>
      </w:r>
      <w:r w:rsidRPr="008235ED">
        <w:t>inclusion</w:t>
      </w:r>
      <w:r>
        <w:t xml:space="preserve"> </w:t>
      </w:r>
      <w:r w:rsidRPr="008235ED">
        <w:t>to</w:t>
      </w:r>
      <w:r>
        <w:t xml:space="preserve"> </w:t>
      </w:r>
      <w:r w:rsidRPr="008235ED">
        <w:t>enable</w:t>
      </w:r>
      <w:r>
        <w:t xml:space="preserve"> </w:t>
      </w:r>
      <w:r w:rsidRPr="008235ED">
        <w:t>us</w:t>
      </w:r>
      <w:r>
        <w:t xml:space="preserve"> </w:t>
      </w:r>
      <w:r w:rsidRPr="008235ED">
        <w:t>to</w:t>
      </w:r>
      <w:r>
        <w:t xml:space="preserve"> </w:t>
      </w:r>
      <w:r w:rsidRPr="008235ED">
        <w:t>draw</w:t>
      </w:r>
      <w:r>
        <w:t xml:space="preserve"> </w:t>
      </w:r>
      <w:r w:rsidRPr="008235ED">
        <w:t>upon</w:t>
      </w:r>
      <w:r>
        <w:t xml:space="preserve"> </w:t>
      </w:r>
      <w:r w:rsidRPr="008235ED">
        <w:t>other</w:t>
      </w:r>
      <w:r>
        <w:t xml:space="preserve"> </w:t>
      </w:r>
      <w:r w:rsidRPr="008235ED">
        <w:t>quantitative</w:t>
      </w:r>
      <w:r>
        <w:t xml:space="preserve"> </w:t>
      </w:r>
      <w:r w:rsidRPr="008235ED">
        <w:t>studies,</w:t>
      </w:r>
      <w:r>
        <w:t xml:space="preserve"> </w:t>
      </w:r>
      <w:r w:rsidRPr="008235ED">
        <w:t>even</w:t>
      </w:r>
      <w:r>
        <w:t xml:space="preserve"> </w:t>
      </w:r>
      <w:r w:rsidRPr="008235ED">
        <w:t>if</w:t>
      </w:r>
      <w:r>
        <w:t xml:space="preserve"> </w:t>
      </w:r>
      <w:r w:rsidRPr="008235ED">
        <w:t>small</w:t>
      </w:r>
      <w:r>
        <w:t xml:space="preserve"> </w:t>
      </w:r>
      <w:r w:rsidRPr="008235ED">
        <w:t>or</w:t>
      </w:r>
      <w:r>
        <w:t xml:space="preserve"> </w:t>
      </w:r>
      <w:r w:rsidRPr="008235ED">
        <w:t>single-study,</w:t>
      </w:r>
      <w:r>
        <w:t xml:space="preserve"> </w:t>
      </w:r>
      <w:r w:rsidRPr="008235ED">
        <w:t>where</w:t>
      </w:r>
      <w:r>
        <w:t xml:space="preserve"> </w:t>
      </w:r>
      <w:r w:rsidRPr="008235ED">
        <w:t>they</w:t>
      </w:r>
      <w:r>
        <w:t xml:space="preserve"> </w:t>
      </w:r>
      <w:r w:rsidRPr="008235ED">
        <w:t>help</w:t>
      </w:r>
      <w:r>
        <w:t xml:space="preserve"> </w:t>
      </w:r>
      <w:r w:rsidRPr="008235ED">
        <w:t>to</w:t>
      </w:r>
      <w:r>
        <w:t xml:space="preserve"> </w:t>
      </w:r>
      <w:r w:rsidRPr="008235ED">
        <w:t>provide</w:t>
      </w:r>
      <w:r>
        <w:t xml:space="preserve"> </w:t>
      </w:r>
      <w:r w:rsidRPr="008235ED">
        <w:t>a</w:t>
      </w:r>
      <w:r>
        <w:t xml:space="preserve"> </w:t>
      </w:r>
      <w:r w:rsidRPr="008235ED">
        <w:t>different</w:t>
      </w:r>
      <w:r>
        <w:t xml:space="preserve"> </w:t>
      </w:r>
      <w:r w:rsidRPr="008235ED">
        <w:t>angle</w:t>
      </w:r>
      <w:r>
        <w:t xml:space="preserve"> </w:t>
      </w:r>
      <w:r w:rsidRPr="008235ED">
        <w:t>or</w:t>
      </w:r>
      <w:r>
        <w:t xml:space="preserve"> </w:t>
      </w:r>
      <w:r w:rsidRPr="008235ED">
        <w:t>build</w:t>
      </w:r>
      <w:r>
        <w:t xml:space="preserve"> </w:t>
      </w:r>
      <w:r w:rsidRPr="008235ED">
        <w:t>a</w:t>
      </w:r>
      <w:r>
        <w:t xml:space="preserve"> </w:t>
      </w:r>
      <w:r w:rsidRPr="008235ED">
        <w:t>richer</w:t>
      </w:r>
      <w:r>
        <w:t xml:space="preserve"> </w:t>
      </w:r>
      <w:r w:rsidRPr="008235ED">
        <w:t>picture</w:t>
      </w:r>
      <w:r>
        <w:t xml:space="preserve"> </w:t>
      </w:r>
      <w:r w:rsidRPr="008235ED">
        <w:t>of</w:t>
      </w:r>
      <w:r w:rsidR="00154F63">
        <w:t> </w:t>
      </w:r>
      <w:r w:rsidRPr="008235ED">
        <w:t>the</w:t>
      </w:r>
      <w:r>
        <w:t xml:space="preserve"> </w:t>
      </w:r>
      <w:r w:rsidRPr="008235ED">
        <w:t>indicator</w:t>
      </w:r>
      <w:r>
        <w:t xml:space="preserve"> </w:t>
      </w:r>
      <w:r w:rsidRPr="008235ED">
        <w:t>under</w:t>
      </w:r>
      <w:r>
        <w:t xml:space="preserve"> </w:t>
      </w:r>
      <w:r w:rsidRPr="008235ED">
        <w:t>consideration.</w:t>
      </w:r>
      <w:r>
        <w:t xml:space="preserve"> </w:t>
      </w:r>
      <w:r w:rsidRPr="008235ED">
        <w:t>These</w:t>
      </w:r>
      <w:r>
        <w:t xml:space="preserve"> </w:t>
      </w:r>
      <w:r w:rsidRPr="008235ED">
        <w:t>additions</w:t>
      </w:r>
      <w:r>
        <w:t xml:space="preserve"> </w:t>
      </w:r>
      <w:r w:rsidRPr="008235ED">
        <w:t>appear</w:t>
      </w:r>
      <w:r>
        <w:t xml:space="preserve"> </w:t>
      </w:r>
      <w:r w:rsidRPr="008235ED">
        <w:t>as</w:t>
      </w:r>
      <w:r>
        <w:t xml:space="preserve"> </w:t>
      </w:r>
      <w:r w:rsidRPr="008235ED">
        <w:t>text</w:t>
      </w:r>
      <w:r>
        <w:t xml:space="preserve"> </w:t>
      </w:r>
      <w:r w:rsidRPr="008235ED">
        <w:t>boxes</w:t>
      </w:r>
      <w:r>
        <w:t xml:space="preserve"> </w:t>
      </w:r>
      <w:r w:rsidRPr="008235ED">
        <w:t>throughout</w:t>
      </w:r>
      <w:r>
        <w:t xml:space="preserve"> </w:t>
      </w:r>
      <w:r w:rsidRPr="008235ED">
        <w:t>the</w:t>
      </w:r>
      <w:r>
        <w:t xml:space="preserve"> </w:t>
      </w:r>
      <w:r w:rsidRPr="008235ED">
        <w:t>report.</w:t>
      </w:r>
      <w:r>
        <w:t xml:space="preserve"> </w:t>
      </w:r>
      <w:r w:rsidRPr="008235ED">
        <w:t>The</w:t>
      </w:r>
      <w:r>
        <w:t xml:space="preserve"> </w:t>
      </w:r>
      <w:r w:rsidRPr="008235ED">
        <w:t>scope</w:t>
      </w:r>
      <w:r>
        <w:t xml:space="preserve"> </w:t>
      </w:r>
      <w:r w:rsidRPr="008235ED">
        <w:t>of</w:t>
      </w:r>
      <w:r>
        <w:t xml:space="preserve"> </w:t>
      </w:r>
      <w:r w:rsidRPr="008235ED">
        <w:t>the</w:t>
      </w:r>
      <w:r>
        <w:t xml:space="preserve"> </w:t>
      </w:r>
      <w:r w:rsidRPr="008235ED">
        <w:t>project</w:t>
      </w:r>
      <w:r>
        <w:t xml:space="preserve"> </w:t>
      </w:r>
      <w:r w:rsidRPr="008235ED">
        <w:t>did</w:t>
      </w:r>
      <w:r>
        <w:t xml:space="preserve"> </w:t>
      </w:r>
      <w:r w:rsidRPr="008235ED">
        <w:t>not</w:t>
      </w:r>
      <w:r>
        <w:t xml:space="preserve"> </w:t>
      </w:r>
      <w:r w:rsidRPr="008235ED">
        <w:t>allow</w:t>
      </w:r>
      <w:r>
        <w:t xml:space="preserve"> </w:t>
      </w:r>
      <w:r w:rsidRPr="008235ED">
        <w:t>for</w:t>
      </w:r>
      <w:r>
        <w:t xml:space="preserve"> </w:t>
      </w:r>
      <w:r w:rsidRPr="008235ED">
        <w:t>an</w:t>
      </w:r>
      <w:r>
        <w:t xml:space="preserve"> </w:t>
      </w:r>
      <w:r w:rsidRPr="008235ED">
        <w:t>exhaustive</w:t>
      </w:r>
      <w:r>
        <w:t xml:space="preserve"> </w:t>
      </w:r>
      <w:r w:rsidRPr="008235ED">
        <w:t>mining</w:t>
      </w:r>
      <w:r>
        <w:t xml:space="preserve"> </w:t>
      </w:r>
      <w:r w:rsidRPr="008235ED">
        <w:t>of</w:t>
      </w:r>
      <w:r>
        <w:t xml:space="preserve"> </w:t>
      </w:r>
      <w:r w:rsidRPr="008235ED">
        <w:t>such</w:t>
      </w:r>
      <w:r>
        <w:t xml:space="preserve"> </w:t>
      </w:r>
      <w:r w:rsidRPr="008235ED">
        <w:t>additional</w:t>
      </w:r>
      <w:r>
        <w:t xml:space="preserve"> </w:t>
      </w:r>
      <w:r w:rsidRPr="008235ED">
        <w:t>data</w:t>
      </w:r>
      <w:r>
        <w:t xml:space="preserve"> </w:t>
      </w:r>
      <w:r w:rsidRPr="008235ED">
        <w:t>sources.</w:t>
      </w:r>
      <w:r>
        <w:t xml:space="preserve"> </w:t>
      </w:r>
      <w:r w:rsidRPr="008235ED">
        <w:t>However,</w:t>
      </w:r>
      <w:r>
        <w:t xml:space="preserve"> </w:t>
      </w:r>
      <w:r w:rsidRPr="008235ED">
        <w:t>by</w:t>
      </w:r>
      <w:r>
        <w:t xml:space="preserve"> </w:t>
      </w:r>
      <w:r w:rsidRPr="008235ED">
        <w:t>including</w:t>
      </w:r>
      <w:r>
        <w:t xml:space="preserve"> </w:t>
      </w:r>
      <w:r w:rsidRPr="008235ED">
        <w:t>some</w:t>
      </w:r>
      <w:r>
        <w:t xml:space="preserve"> </w:t>
      </w:r>
      <w:r w:rsidRPr="008235ED">
        <w:t>of</w:t>
      </w:r>
      <w:r>
        <w:t xml:space="preserve"> </w:t>
      </w:r>
      <w:r w:rsidRPr="008235ED">
        <w:t>them</w:t>
      </w:r>
      <w:r>
        <w:t xml:space="preserve"> </w:t>
      </w:r>
      <w:r w:rsidRPr="008235ED">
        <w:t>we</w:t>
      </w:r>
      <w:r>
        <w:t xml:space="preserve"> </w:t>
      </w:r>
      <w:r w:rsidRPr="008235ED">
        <w:t>hope</w:t>
      </w:r>
      <w:r>
        <w:t xml:space="preserve"> </w:t>
      </w:r>
      <w:r w:rsidRPr="008235ED">
        <w:t>to</w:t>
      </w:r>
      <w:r>
        <w:t xml:space="preserve"> </w:t>
      </w:r>
      <w:r w:rsidRPr="008235ED">
        <w:t>generate</w:t>
      </w:r>
      <w:r>
        <w:t xml:space="preserve"> </w:t>
      </w:r>
      <w:r w:rsidRPr="008235ED">
        <w:t>interest</w:t>
      </w:r>
      <w:r>
        <w:t xml:space="preserve"> </w:t>
      </w:r>
      <w:r w:rsidRPr="008235ED">
        <w:t>and</w:t>
      </w:r>
      <w:r>
        <w:t xml:space="preserve"> </w:t>
      </w:r>
      <w:r w:rsidRPr="008235ED">
        <w:t>prompt</w:t>
      </w:r>
      <w:r>
        <w:t xml:space="preserve"> </w:t>
      </w:r>
      <w:r w:rsidRPr="008235ED">
        <w:t>further</w:t>
      </w:r>
      <w:r>
        <w:t xml:space="preserve"> </w:t>
      </w:r>
      <w:r w:rsidRPr="008235ED">
        <w:t>questions</w:t>
      </w:r>
      <w:r>
        <w:t xml:space="preserve"> </w:t>
      </w:r>
      <w:r w:rsidRPr="008235ED">
        <w:t>among</w:t>
      </w:r>
      <w:r>
        <w:t xml:space="preserve"> </w:t>
      </w:r>
      <w:r w:rsidRPr="008235ED">
        <w:t>readers,</w:t>
      </w:r>
      <w:r>
        <w:t xml:space="preserve"> </w:t>
      </w:r>
      <w:r w:rsidRPr="008235ED">
        <w:t>and</w:t>
      </w:r>
      <w:r>
        <w:t xml:space="preserve"> </w:t>
      </w:r>
      <w:r w:rsidRPr="008235ED">
        <w:t>encourage</w:t>
      </w:r>
      <w:r>
        <w:t xml:space="preserve"> </w:t>
      </w:r>
      <w:r w:rsidRPr="008235ED">
        <w:t>further</w:t>
      </w:r>
      <w:r>
        <w:t xml:space="preserve"> </w:t>
      </w:r>
      <w:r w:rsidRPr="008235ED">
        <w:t>research</w:t>
      </w:r>
      <w:r>
        <w:t xml:space="preserve"> </w:t>
      </w:r>
      <w:r w:rsidRPr="008235ED">
        <w:t>and</w:t>
      </w:r>
      <w:r>
        <w:t xml:space="preserve"> </w:t>
      </w:r>
      <w:r w:rsidRPr="008235ED">
        <w:t>data</w:t>
      </w:r>
      <w:r>
        <w:t xml:space="preserve"> </w:t>
      </w:r>
      <w:r w:rsidRPr="008235ED">
        <w:t>collection</w:t>
      </w:r>
      <w:r>
        <w:t xml:space="preserve"> </w:t>
      </w:r>
      <w:r w:rsidRPr="008235ED">
        <w:t>to</w:t>
      </w:r>
      <w:r>
        <w:t xml:space="preserve"> </w:t>
      </w:r>
      <w:r w:rsidRPr="008235ED">
        <w:t>strengthen</w:t>
      </w:r>
      <w:r>
        <w:t xml:space="preserve"> </w:t>
      </w:r>
      <w:r w:rsidRPr="008235ED">
        <w:t>an</w:t>
      </w:r>
      <w:r>
        <w:t xml:space="preserve"> </w:t>
      </w:r>
      <w:r w:rsidRPr="008235ED">
        <w:t>intersectional</w:t>
      </w:r>
      <w:r>
        <w:t xml:space="preserve"> </w:t>
      </w:r>
      <w:r w:rsidRPr="008235ED">
        <w:t>approach</w:t>
      </w:r>
      <w:r>
        <w:t xml:space="preserve"> </w:t>
      </w:r>
      <w:r w:rsidRPr="008235ED">
        <w:t>to</w:t>
      </w:r>
      <w:r>
        <w:t xml:space="preserve"> </w:t>
      </w:r>
      <w:r w:rsidRPr="008235ED">
        <w:t>prevention</w:t>
      </w:r>
      <w:r>
        <w:t xml:space="preserve"> </w:t>
      </w:r>
      <w:r w:rsidRPr="008235ED">
        <w:t>monitoring.</w:t>
      </w:r>
      <w:r>
        <w:t xml:space="preserve"> </w:t>
      </w:r>
      <w:r w:rsidRPr="008235ED">
        <w:t>We</w:t>
      </w:r>
      <w:r>
        <w:t xml:space="preserve"> </w:t>
      </w:r>
      <w:r w:rsidRPr="008235ED">
        <w:t>hope</w:t>
      </w:r>
      <w:r>
        <w:t xml:space="preserve"> </w:t>
      </w:r>
      <w:r w:rsidRPr="008235ED">
        <w:t>these</w:t>
      </w:r>
      <w:r>
        <w:t xml:space="preserve"> </w:t>
      </w:r>
      <w:r w:rsidRPr="008235ED">
        <w:t>examples</w:t>
      </w:r>
      <w:r>
        <w:t xml:space="preserve"> </w:t>
      </w:r>
      <w:r w:rsidRPr="008235ED">
        <w:t>prompt</w:t>
      </w:r>
      <w:r>
        <w:t xml:space="preserve"> </w:t>
      </w:r>
      <w:r w:rsidRPr="008235ED">
        <w:t>thinking</w:t>
      </w:r>
      <w:r>
        <w:t xml:space="preserve"> </w:t>
      </w:r>
      <w:r w:rsidRPr="008235ED">
        <w:t>about</w:t>
      </w:r>
      <w:r>
        <w:t xml:space="preserve"> </w:t>
      </w:r>
      <w:r w:rsidRPr="008235ED">
        <w:t>how</w:t>
      </w:r>
      <w:r>
        <w:t xml:space="preserve"> </w:t>
      </w:r>
      <w:r w:rsidRPr="008235ED">
        <w:t>to</w:t>
      </w:r>
      <w:r>
        <w:t xml:space="preserve"> </w:t>
      </w:r>
      <w:r w:rsidRPr="008235ED">
        <w:t>strengthen</w:t>
      </w:r>
      <w:r>
        <w:t xml:space="preserve"> </w:t>
      </w:r>
      <w:r w:rsidRPr="008235ED">
        <w:t>existing</w:t>
      </w:r>
      <w:r>
        <w:t xml:space="preserve"> </w:t>
      </w:r>
      <w:r w:rsidRPr="008235ED">
        <w:t>datasets,</w:t>
      </w:r>
      <w:r>
        <w:t xml:space="preserve"> </w:t>
      </w:r>
      <w:r w:rsidRPr="008235ED">
        <w:t>support</w:t>
      </w:r>
      <w:r>
        <w:t xml:space="preserve"> </w:t>
      </w:r>
      <w:r w:rsidRPr="008235ED">
        <w:t>new</w:t>
      </w:r>
      <w:r>
        <w:t xml:space="preserve"> </w:t>
      </w:r>
      <w:r w:rsidRPr="008235ED">
        <w:t>data</w:t>
      </w:r>
      <w:r>
        <w:t xml:space="preserve"> </w:t>
      </w:r>
      <w:r w:rsidRPr="008235ED">
        <w:t>initiatives</w:t>
      </w:r>
      <w:r>
        <w:t xml:space="preserve"> </w:t>
      </w:r>
      <w:r w:rsidRPr="008235ED">
        <w:t>and</w:t>
      </w:r>
      <w:r>
        <w:t xml:space="preserve"> </w:t>
      </w:r>
      <w:r w:rsidRPr="008235ED">
        <w:t>design</w:t>
      </w:r>
      <w:r>
        <w:t xml:space="preserve"> </w:t>
      </w:r>
      <w:r w:rsidRPr="008235ED">
        <w:t>new</w:t>
      </w:r>
      <w:r>
        <w:t xml:space="preserve"> </w:t>
      </w:r>
      <w:r w:rsidRPr="008235ED">
        <w:t>datasets.</w:t>
      </w:r>
    </w:p>
    <w:p w14:paraId="3F5035B3" w14:textId="6EA2B537" w:rsidR="00437ED1" w:rsidRPr="000E30A0" w:rsidRDefault="00437ED1" w:rsidP="00437ED1">
      <w:pPr>
        <w:pStyle w:val="Heading4"/>
        <w:rPr>
          <w:rStyle w:val="OWCharacterHibiscus"/>
        </w:rPr>
      </w:pPr>
      <w:r w:rsidRPr="000E30A0">
        <w:rPr>
          <w:rStyle w:val="OWCharacterHibiscus"/>
        </w:rPr>
        <w:lastRenderedPageBreak/>
        <w:t>Surfacing and addressing the limitations, tensions and partiality in</w:t>
      </w:r>
      <w:r w:rsidR="00154F63">
        <w:rPr>
          <w:rStyle w:val="OWCharacterHibiscus"/>
        </w:rPr>
        <w:t> </w:t>
      </w:r>
      <w:r w:rsidRPr="000E30A0">
        <w:rPr>
          <w:rStyle w:val="OWCharacterHibiscus"/>
        </w:rPr>
        <w:t>numerically based indicators</w:t>
      </w:r>
    </w:p>
    <w:p w14:paraId="0328D9DD" w14:textId="77777777" w:rsidR="00437ED1" w:rsidRDefault="00437ED1" w:rsidP="00437ED1">
      <w:pPr>
        <w:pStyle w:val="BodyText"/>
      </w:pPr>
      <w:r w:rsidRPr="00A62D44">
        <w:t>There</w:t>
      </w:r>
      <w:r>
        <w:t xml:space="preserve"> </w:t>
      </w:r>
      <w:r w:rsidRPr="00A62D44">
        <w:t>are</w:t>
      </w:r>
      <w:r>
        <w:t xml:space="preserve"> </w:t>
      </w:r>
      <w:r w:rsidRPr="00A62D44">
        <w:t>great</w:t>
      </w:r>
      <w:r>
        <w:t xml:space="preserve"> </w:t>
      </w:r>
      <w:r w:rsidRPr="00A62D44">
        <w:t>benefits</w:t>
      </w:r>
      <w:r>
        <w:t xml:space="preserve"> </w:t>
      </w:r>
      <w:r w:rsidRPr="00A62D44">
        <w:t>to</w:t>
      </w:r>
      <w:r>
        <w:t xml:space="preserve"> </w:t>
      </w:r>
      <w:r w:rsidRPr="00A62D44">
        <w:t>analysing</w:t>
      </w:r>
      <w:r>
        <w:t xml:space="preserve"> </w:t>
      </w:r>
      <w:r w:rsidRPr="00A62D44">
        <w:t>numerical</w:t>
      </w:r>
      <w:r>
        <w:t xml:space="preserve"> </w:t>
      </w:r>
      <w:r w:rsidRPr="00A62D44">
        <w:t>data</w:t>
      </w:r>
      <w:r>
        <w:t xml:space="preserve"> </w:t>
      </w:r>
      <w:r w:rsidRPr="00A62D44">
        <w:t>to</w:t>
      </w:r>
      <w:r>
        <w:t xml:space="preserve"> </w:t>
      </w:r>
      <w:r w:rsidRPr="00A62D44">
        <w:t>help</w:t>
      </w:r>
      <w:r>
        <w:t xml:space="preserve"> </w:t>
      </w:r>
      <w:r w:rsidRPr="00A62D44">
        <w:t>describe</w:t>
      </w:r>
      <w:r>
        <w:t xml:space="preserve"> </w:t>
      </w:r>
      <w:r w:rsidRPr="00A62D44">
        <w:t>and</w:t>
      </w:r>
      <w:r>
        <w:t xml:space="preserve"> </w:t>
      </w:r>
      <w:r w:rsidRPr="00A62D44">
        <w:t>monitor</w:t>
      </w:r>
      <w:r>
        <w:t xml:space="preserve"> </w:t>
      </w:r>
      <w:r w:rsidRPr="00A62D44">
        <w:t>complex</w:t>
      </w:r>
      <w:r>
        <w:t xml:space="preserve"> </w:t>
      </w:r>
      <w:r w:rsidRPr="00A62D44">
        <w:t>social</w:t>
      </w:r>
      <w:r>
        <w:t xml:space="preserve"> </w:t>
      </w:r>
      <w:r w:rsidRPr="00A62D44">
        <w:t>phenomena</w:t>
      </w:r>
      <w:r>
        <w:t xml:space="preserve"> </w:t>
      </w:r>
      <w:r w:rsidRPr="00A62D44">
        <w:t>such</w:t>
      </w:r>
      <w:r>
        <w:t xml:space="preserve"> </w:t>
      </w:r>
      <w:r w:rsidRPr="00A62D44">
        <w:t>as</w:t>
      </w:r>
      <w:r>
        <w:t xml:space="preserve"> </w:t>
      </w:r>
      <w:r w:rsidRPr="00A62D44">
        <w:t>violence</w:t>
      </w:r>
      <w:r>
        <w:t xml:space="preserve"> </w:t>
      </w:r>
      <w:r w:rsidRPr="00A62D44">
        <w:t>or</w:t>
      </w:r>
      <w:r>
        <w:t xml:space="preserve"> </w:t>
      </w:r>
      <w:r w:rsidRPr="00A62D44">
        <w:t>its</w:t>
      </w:r>
      <w:r>
        <w:t xml:space="preserve"> </w:t>
      </w:r>
      <w:r w:rsidRPr="00A62D44">
        <w:t>gendered</w:t>
      </w:r>
      <w:r>
        <w:t xml:space="preserve"> </w:t>
      </w:r>
      <w:r w:rsidRPr="00A62D44">
        <w:t>drivers.</w:t>
      </w:r>
      <w:r>
        <w:t xml:space="preserve"> </w:t>
      </w:r>
      <w:r w:rsidRPr="00A62D44">
        <w:t>However,</w:t>
      </w:r>
      <w:r>
        <w:t xml:space="preserve"> </w:t>
      </w:r>
      <w:r w:rsidRPr="00A62D44">
        <w:t>this</w:t>
      </w:r>
      <w:r>
        <w:t xml:space="preserve"> </w:t>
      </w:r>
      <w:r w:rsidRPr="00A62D44">
        <w:t>project</w:t>
      </w:r>
      <w:r>
        <w:t xml:space="preserve"> </w:t>
      </w:r>
      <w:r w:rsidRPr="00A62D44">
        <w:t>also</w:t>
      </w:r>
      <w:r>
        <w:t xml:space="preserve"> </w:t>
      </w:r>
      <w:r w:rsidRPr="00A62D44">
        <w:t>been</w:t>
      </w:r>
      <w:r>
        <w:t xml:space="preserve"> </w:t>
      </w:r>
      <w:r w:rsidRPr="00A62D44">
        <w:t>concerned</w:t>
      </w:r>
      <w:r>
        <w:t xml:space="preserve"> </w:t>
      </w:r>
      <w:r w:rsidRPr="00A62D44">
        <w:t>to</w:t>
      </w:r>
      <w:r>
        <w:t xml:space="preserve"> </w:t>
      </w:r>
      <w:r w:rsidRPr="00A62D44">
        <w:t>acknowledge</w:t>
      </w:r>
      <w:r>
        <w:t xml:space="preserve"> </w:t>
      </w:r>
      <w:r w:rsidRPr="00A62D44">
        <w:t>and,</w:t>
      </w:r>
      <w:r>
        <w:t xml:space="preserve"> </w:t>
      </w:r>
      <w:r w:rsidRPr="00A62D44">
        <w:t>where</w:t>
      </w:r>
      <w:r>
        <w:t xml:space="preserve"> </w:t>
      </w:r>
      <w:r w:rsidRPr="00A62D44">
        <w:t>possible,</w:t>
      </w:r>
      <w:r>
        <w:t xml:space="preserve"> </w:t>
      </w:r>
      <w:r w:rsidRPr="00A62D44">
        <w:t>address</w:t>
      </w:r>
      <w:r>
        <w:t xml:space="preserve"> </w:t>
      </w:r>
      <w:r w:rsidRPr="00A62D44">
        <w:t>the</w:t>
      </w:r>
      <w:r>
        <w:t xml:space="preserve"> </w:t>
      </w:r>
      <w:r w:rsidRPr="00A62D44">
        <w:t>limits,</w:t>
      </w:r>
      <w:r>
        <w:t xml:space="preserve"> </w:t>
      </w:r>
      <w:r w:rsidRPr="00A62D44">
        <w:t>tensions</w:t>
      </w:r>
      <w:r>
        <w:t xml:space="preserve"> </w:t>
      </w:r>
      <w:r w:rsidRPr="00A62D44">
        <w:t>and</w:t>
      </w:r>
      <w:r>
        <w:t xml:space="preserve"> </w:t>
      </w:r>
      <w:r w:rsidRPr="00A62D44">
        <w:t>partiality</w:t>
      </w:r>
      <w:r>
        <w:t xml:space="preserve"> </w:t>
      </w:r>
      <w:r w:rsidRPr="00A62D44">
        <w:t>of</w:t>
      </w:r>
      <w:r>
        <w:t xml:space="preserve"> </w:t>
      </w:r>
      <w:r w:rsidRPr="00A62D44">
        <w:t>indicator</w:t>
      </w:r>
      <w:r>
        <w:t xml:space="preserve"> </w:t>
      </w:r>
      <w:r w:rsidRPr="00A62D44">
        <w:t>projects</w:t>
      </w:r>
      <w:r>
        <w:t xml:space="preserve"> </w:t>
      </w:r>
      <w:r w:rsidRPr="00A62D44">
        <w:t>that</w:t>
      </w:r>
      <w:r>
        <w:t xml:space="preserve"> </w:t>
      </w:r>
      <w:r w:rsidRPr="00A62D44">
        <w:t>rely</w:t>
      </w:r>
      <w:r>
        <w:t xml:space="preserve"> </w:t>
      </w:r>
      <w:r w:rsidRPr="00A62D44">
        <w:t>only</w:t>
      </w:r>
      <w:r>
        <w:t xml:space="preserve"> </w:t>
      </w:r>
      <w:r w:rsidRPr="00A62D44">
        <w:t>on</w:t>
      </w:r>
      <w:r>
        <w:t xml:space="preserve"> </w:t>
      </w:r>
      <w:r w:rsidRPr="00A62D44">
        <w:t>quantitative</w:t>
      </w:r>
      <w:r>
        <w:t xml:space="preserve"> </w:t>
      </w:r>
      <w:r w:rsidRPr="00A62D44">
        <w:t>data.</w:t>
      </w:r>
    </w:p>
    <w:p w14:paraId="513AB1D9" w14:textId="18E6BAF4" w:rsidR="00437ED1" w:rsidRDefault="00437ED1" w:rsidP="00437ED1">
      <w:pPr>
        <w:pStyle w:val="BodyText"/>
      </w:pPr>
      <w:r w:rsidRPr="00A62D44">
        <w:t>Various</w:t>
      </w:r>
      <w:r>
        <w:t xml:space="preserve"> </w:t>
      </w:r>
      <w:r w:rsidRPr="00A62D44">
        <w:t>forms</w:t>
      </w:r>
      <w:r>
        <w:t xml:space="preserve"> </w:t>
      </w:r>
      <w:r w:rsidRPr="00A62D44">
        <w:t>of</w:t>
      </w:r>
      <w:r>
        <w:t xml:space="preserve"> </w:t>
      </w:r>
      <w:r w:rsidRPr="00A62D44">
        <w:t>knowledge</w:t>
      </w:r>
      <w:r>
        <w:t xml:space="preserve"> </w:t>
      </w:r>
      <w:r w:rsidRPr="00A62D44">
        <w:t>are</w:t>
      </w:r>
      <w:r>
        <w:t xml:space="preserve"> </w:t>
      </w:r>
      <w:r w:rsidRPr="00A62D44">
        <w:t>crucial</w:t>
      </w:r>
      <w:r>
        <w:t xml:space="preserve"> </w:t>
      </w:r>
      <w:r w:rsidRPr="00A62D44">
        <w:t>to</w:t>
      </w:r>
      <w:r>
        <w:t xml:space="preserve"> </w:t>
      </w:r>
      <w:r w:rsidRPr="00A62D44">
        <w:t>the</w:t>
      </w:r>
      <w:r>
        <w:t xml:space="preserve"> </w:t>
      </w:r>
      <w:r w:rsidRPr="00A62D44">
        <w:t>evidence-building</w:t>
      </w:r>
      <w:r>
        <w:t xml:space="preserve"> </w:t>
      </w:r>
      <w:r w:rsidRPr="00A62D44">
        <w:t>project</w:t>
      </w:r>
      <w:r>
        <w:t xml:space="preserve"> </w:t>
      </w:r>
      <w:r w:rsidRPr="00A62D44">
        <w:t>underpinning</w:t>
      </w:r>
      <w:r>
        <w:t xml:space="preserve"> the primary </w:t>
      </w:r>
      <w:r w:rsidRPr="00A62D44">
        <w:t>prevention</w:t>
      </w:r>
      <w:r>
        <w:t xml:space="preserve"> </w:t>
      </w:r>
      <w:r w:rsidRPr="00A62D44">
        <w:t>of</w:t>
      </w:r>
      <w:r>
        <w:t xml:space="preserve"> </w:t>
      </w:r>
      <w:r w:rsidRPr="00A62D44">
        <w:t>violence</w:t>
      </w:r>
      <w:r>
        <w:t xml:space="preserve"> </w:t>
      </w:r>
      <w:r w:rsidRPr="00A62D44">
        <w:t>against</w:t>
      </w:r>
      <w:r>
        <w:t xml:space="preserve"> </w:t>
      </w:r>
      <w:r w:rsidRPr="00A62D44">
        <w:t>women.</w:t>
      </w:r>
      <w:r>
        <w:t xml:space="preserve"> </w:t>
      </w:r>
      <w:r w:rsidRPr="00A62D44">
        <w:t>These</w:t>
      </w:r>
      <w:r>
        <w:t xml:space="preserve"> </w:t>
      </w:r>
      <w:r w:rsidRPr="00A62D44">
        <w:t>include</w:t>
      </w:r>
      <w:r>
        <w:t xml:space="preserve"> </w:t>
      </w:r>
      <w:r w:rsidRPr="00A62D44">
        <w:t>lived</w:t>
      </w:r>
      <w:r>
        <w:t xml:space="preserve"> </w:t>
      </w:r>
      <w:r w:rsidRPr="00A62D44">
        <w:t>experience,</w:t>
      </w:r>
      <w:r>
        <w:t xml:space="preserve"> </w:t>
      </w:r>
      <w:r w:rsidRPr="00A62D44">
        <w:t>practitioner</w:t>
      </w:r>
      <w:r>
        <w:t xml:space="preserve"> </w:t>
      </w:r>
      <w:r w:rsidRPr="00A62D44">
        <w:t>and</w:t>
      </w:r>
      <w:r>
        <w:t xml:space="preserve"> </w:t>
      </w:r>
      <w:r w:rsidRPr="00A62D44">
        <w:t>community</w:t>
      </w:r>
      <w:r>
        <w:t xml:space="preserve"> </w:t>
      </w:r>
      <w:r w:rsidRPr="00A62D44">
        <w:t>knowledge,</w:t>
      </w:r>
      <w:r>
        <w:t xml:space="preserve"> </w:t>
      </w:r>
      <w:r w:rsidRPr="00A62D44">
        <w:t>qualitative</w:t>
      </w:r>
      <w:r>
        <w:t xml:space="preserve"> </w:t>
      </w:r>
      <w:r w:rsidRPr="00A62D44">
        <w:t>and</w:t>
      </w:r>
      <w:r>
        <w:t xml:space="preserve"> </w:t>
      </w:r>
      <w:r w:rsidRPr="00A62D44">
        <w:t>narrative-based</w:t>
      </w:r>
      <w:r>
        <w:t xml:space="preserve"> </w:t>
      </w:r>
      <w:r w:rsidRPr="00A62D44">
        <w:t>deep</w:t>
      </w:r>
      <w:r>
        <w:t xml:space="preserve"> </w:t>
      </w:r>
      <w:r w:rsidRPr="00A62D44">
        <w:t>inquiry,</w:t>
      </w:r>
      <w:r>
        <w:t xml:space="preserve"> </w:t>
      </w:r>
      <w:r w:rsidRPr="00A62D44">
        <w:t>program</w:t>
      </w:r>
      <w:r>
        <w:t xml:space="preserve"> </w:t>
      </w:r>
      <w:r w:rsidRPr="00A62D44">
        <w:t>and</w:t>
      </w:r>
      <w:r>
        <w:t xml:space="preserve"> </w:t>
      </w:r>
      <w:r w:rsidRPr="00A62D44">
        <w:t>policy</w:t>
      </w:r>
      <w:r>
        <w:t xml:space="preserve"> </w:t>
      </w:r>
      <w:r w:rsidRPr="00A62D44">
        <w:t>evaluation,</w:t>
      </w:r>
      <w:r>
        <w:t xml:space="preserve"> </w:t>
      </w:r>
      <w:r w:rsidRPr="00A62D44">
        <w:t>theory,</w:t>
      </w:r>
      <w:r>
        <w:t xml:space="preserve"> </w:t>
      </w:r>
      <w:r w:rsidRPr="00A62D44">
        <w:t>and</w:t>
      </w:r>
      <w:r>
        <w:t xml:space="preserve"> </w:t>
      </w:r>
      <w:r w:rsidRPr="00A62D44">
        <w:t>quantitative</w:t>
      </w:r>
      <w:r>
        <w:t xml:space="preserve"> </w:t>
      </w:r>
      <w:r w:rsidRPr="00A62D44">
        <w:t>data.</w:t>
      </w:r>
      <w:r>
        <w:t xml:space="preserve"> </w:t>
      </w:r>
      <w:r w:rsidRPr="00A62D44">
        <w:t>We</w:t>
      </w:r>
      <w:r>
        <w:t xml:space="preserve"> </w:t>
      </w:r>
      <w:r w:rsidRPr="00A62D44">
        <w:t>have</w:t>
      </w:r>
      <w:r>
        <w:t xml:space="preserve"> </w:t>
      </w:r>
      <w:r w:rsidRPr="00A62D44">
        <w:t>purposefully</w:t>
      </w:r>
      <w:r>
        <w:t xml:space="preserve"> </w:t>
      </w:r>
      <w:r w:rsidRPr="00A62D44">
        <w:t>utilised</w:t>
      </w:r>
      <w:r>
        <w:t xml:space="preserve"> </w:t>
      </w:r>
      <w:r w:rsidRPr="00A62D44">
        <w:t>quantitative</w:t>
      </w:r>
      <w:r>
        <w:t xml:space="preserve"> </w:t>
      </w:r>
      <w:r w:rsidRPr="00A62D44">
        <w:t>data</w:t>
      </w:r>
      <w:r>
        <w:t xml:space="preserve"> </w:t>
      </w:r>
      <w:r w:rsidRPr="00A62D44">
        <w:t>in</w:t>
      </w:r>
      <w:r>
        <w:t xml:space="preserve"> </w:t>
      </w:r>
      <w:r w:rsidR="003F4F30">
        <w:t>S</w:t>
      </w:r>
      <w:r w:rsidRPr="00A62D44">
        <w:t>ection</w:t>
      </w:r>
      <w:r>
        <w:t xml:space="preserve"> </w:t>
      </w:r>
      <w:r w:rsidR="003F4F30">
        <w:t>2</w:t>
      </w:r>
      <w:r>
        <w:t xml:space="preserve"> </w:t>
      </w:r>
      <w:r w:rsidRPr="00A62D44">
        <w:t>of</w:t>
      </w:r>
      <w:r>
        <w:t xml:space="preserve"> </w:t>
      </w:r>
      <w:r w:rsidRPr="00A62D44">
        <w:t>this</w:t>
      </w:r>
      <w:r>
        <w:t xml:space="preserve"> </w:t>
      </w:r>
      <w:r w:rsidRPr="00A62D44">
        <w:t>monitoring</w:t>
      </w:r>
      <w:r>
        <w:t xml:space="preserve"> </w:t>
      </w:r>
      <w:r w:rsidRPr="00A62D44">
        <w:t>project</w:t>
      </w:r>
      <w:r>
        <w:t xml:space="preserve"> </w:t>
      </w:r>
      <w:r w:rsidRPr="00A62D44">
        <w:t>in</w:t>
      </w:r>
      <w:r>
        <w:t xml:space="preserve"> </w:t>
      </w:r>
      <w:r w:rsidRPr="00A62D44">
        <w:t>order</w:t>
      </w:r>
      <w:r>
        <w:t xml:space="preserve"> </w:t>
      </w:r>
      <w:r w:rsidRPr="00A62D44">
        <w:t>to</w:t>
      </w:r>
      <w:r>
        <w:t xml:space="preserve"> </w:t>
      </w:r>
      <w:r w:rsidRPr="00A62D44">
        <w:t>elucidate</w:t>
      </w:r>
      <w:r>
        <w:t xml:space="preserve"> </w:t>
      </w:r>
      <w:r w:rsidRPr="00A62D44">
        <w:t>population-level</w:t>
      </w:r>
      <w:r>
        <w:t xml:space="preserve"> </w:t>
      </w:r>
      <w:r w:rsidRPr="00A62D44">
        <w:t>patterns</w:t>
      </w:r>
      <w:r>
        <w:t xml:space="preserve"> </w:t>
      </w:r>
      <w:r w:rsidRPr="00A62D44">
        <w:t>and</w:t>
      </w:r>
      <w:r>
        <w:t xml:space="preserve"> </w:t>
      </w:r>
      <w:r w:rsidRPr="00A62D44">
        <w:t>change</w:t>
      </w:r>
      <w:r>
        <w:t xml:space="preserve"> </w:t>
      </w:r>
      <w:r w:rsidRPr="00A62D44">
        <w:t>over</w:t>
      </w:r>
      <w:r>
        <w:t xml:space="preserve"> </w:t>
      </w:r>
      <w:r w:rsidRPr="00A62D44">
        <w:t>time.</w:t>
      </w:r>
      <w:r>
        <w:t xml:space="preserve"> </w:t>
      </w:r>
      <w:r w:rsidRPr="00A62D44">
        <w:t>However,</w:t>
      </w:r>
      <w:r>
        <w:t xml:space="preserve"> </w:t>
      </w:r>
      <w:r w:rsidRPr="00A62D44">
        <w:t>we</w:t>
      </w:r>
      <w:r>
        <w:t xml:space="preserve"> </w:t>
      </w:r>
      <w:r w:rsidRPr="00A62D44">
        <w:t>recognise</w:t>
      </w:r>
      <w:r>
        <w:t xml:space="preserve"> </w:t>
      </w:r>
      <w:r w:rsidRPr="00A62D44">
        <w:t>that</w:t>
      </w:r>
      <w:r>
        <w:t xml:space="preserve"> </w:t>
      </w:r>
      <w:r w:rsidRPr="00A62D44">
        <w:t>this</w:t>
      </w:r>
      <w:r>
        <w:t xml:space="preserve"> </w:t>
      </w:r>
      <w:r w:rsidRPr="00A62D44">
        <w:t>is</w:t>
      </w:r>
      <w:r>
        <w:t xml:space="preserve"> </w:t>
      </w:r>
      <w:r w:rsidRPr="00A62D44">
        <w:t>but</w:t>
      </w:r>
      <w:r>
        <w:t xml:space="preserve"> </w:t>
      </w:r>
      <w:r w:rsidRPr="00A62D44">
        <w:t>one</w:t>
      </w:r>
      <w:r>
        <w:t xml:space="preserve"> </w:t>
      </w:r>
      <w:r w:rsidRPr="00A62D44">
        <w:t>way</w:t>
      </w:r>
      <w:r>
        <w:t xml:space="preserve"> </w:t>
      </w:r>
      <w:r w:rsidRPr="00A62D44">
        <w:t>to</w:t>
      </w:r>
      <w:r>
        <w:t xml:space="preserve"> </w:t>
      </w:r>
      <w:r w:rsidRPr="00A62D44">
        <w:t>further</w:t>
      </w:r>
      <w:r>
        <w:t xml:space="preserve"> </w:t>
      </w:r>
      <w:r w:rsidRPr="00A62D44">
        <w:t>our</w:t>
      </w:r>
      <w:r>
        <w:t xml:space="preserve"> </w:t>
      </w:r>
      <w:r w:rsidRPr="00A62D44">
        <w:t>understanding</w:t>
      </w:r>
      <w:r>
        <w:t xml:space="preserve"> </w:t>
      </w:r>
      <w:r w:rsidRPr="00A62D44">
        <w:t>of</w:t>
      </w:r>
      <w:r>
        <w:t xml:space="preserve"> </w:t>
      </w:r>
      <w:r w:rsidRPr="00A62D44">
        <w:t>prevention</w:t>
      </w:r>
      <w:r>
        <w:t xml:space="preserve"> </w:t>
      </w:r>
      <w:r w:rsidRPr="00A62D44">
        <w:t>of</w:t>
      </w:r>
      <w:r>
        <w:t xml:space="preserve"> </w:t>
      </w:r>
      <w:r w:rsidRPr="00A62D44">
        <w:t>violence</w:t>
      </w:r>
      <w:r>
        <w:t xml:space="preserve"> </w:t>
      </w:r>
      <w:r w:rsidRPr="00A62D44">
        <w:t>against</w:t>
      </w:r>
      <w:r>
        <w:t xml:space="preserve"> </w:t>
      </w:r>
      <w:r w:rsidRPr="00A62D44">
        <w:t>women,</w:t>
      </w:r>
      <w:r>
        <w:t xml:space="preserve"> </w:t>
      </w:r>
      <w:r w:rsidRPr="00A62D44">
        <w:t>and</w:t>
      </w:r>
      <w:r>
        <w:t xml:space="preserve"> </w:t>
      </w:r>
      <w:r w:rsidRPr="00A62D44">
        <w:t>there</w:t>
      </w:r>
      <w:r>
        <w:t xml:space="preserve"> </w:t>
      </w:r>
      <w:r w:rsidRPr="00A62D44">
        <w:t>is</w:t>
      </w:r>
      <w:r>
        <w:t xml:space="preserve"> </w:t>
      </w:r>
      <w:r w:rsidRPr="00A62D44">
        <w:t>a</w:t>
      </w:r>
      <w:r>
        <w:t xml:space="preserve"> </w:t>
      </w:r>
      <w:r w:rsidRPr="00A62D44">
        <w:t>critical</w:t>
      </w:r>
      <w:r>
        <w:t xml:space="preserve"> </w:t>
      </w:r>
      <w:r w:rsidRPr="00A62D44">
        <w:t>need</w:t>
      </w:r>
      <w:r>
        <w:t xml:space="preserve"> </w:t>
      </w:r>
      <w:r w:rsidRPr="00A62D44">
        <w:t>to</w:t>
      </w:r>
      <w:r>
        <w:t xml:space="preserve"> </w:t>
      </w:r>
      <w:r w:rsidRPr="00A62D44">
        <w:t>value</w:t>
      </w:r>
      <w:r w:rsidR="00154F63">
        <w:t> </w:t>
      </w:r>
      <w:r w:rsidRPr="00A62D44">
        <w:t>other</w:t>
      </w:r>
      <w:r>
        <w:t xml:space="preserve"> </w:t>
      </w:r>
      <w:r w:rsidRPr="00A62D44">
        <w:t>forms</w:t>
      </w:r>
      <w:r>
        <w:t xml:space="preserve"> </w:t>
      </w:r>
      <w:r w:rsidRPr="00A62D44">
        <w:t>of</w:t>
      </w:r>
      <w:r>
        <w:t xml:space="preserve"> </w:t>
      </w:r>
      <w:r w:rsidRPr="00A62D44">
        <w:t>knowledge</w:t>
      </w:r>
      <w:r>
        <w:t xml:space="preserve"> </w:t>
      </w:r>
      <w:r w:rsidRPr="00A62D44">
        <w:t>and</w:t>
      </w:r>
      <w:r>
        <w:t xml:space="preserve"> </w:t>
      </w:r>
      <w:r w:rsidRPr="00A62D44">
        <w:t>to</w:t>
      </w:r>
      <w:r>
        <w:t xml:space="preserve"> </w:t>
      </w:r>
      <w:r w:rsidRPr="00A62D44">
        <w:t>bring</w:t>
      </w:r>
      <w:r>
        <w:t xml:space="preserve"> </w:t>
      </w:r>
      <w:r w:rsidRPr="00A62D44">
        <w:t>‘the</w:t>
      </w:r>
      <w:r>
        <w:t xml:space="preserve"> </w:t>
      </w:r>
      <w:r w:rsidRPr="00A62D44">
        <w:t>numbers’</w:t>
      </w:r>
      <w:r>
        <w:t xml:space="preserve"> </w:t>
      </w:r>
      <w:r w:rsidRPr="00A62D44">
        <w:t>into</w:t>
      </w:r>
      <w:r>
        <w:t xml:space="preserve"> </w:t>
      </w:r>
      <w:r w:rsidRPr="00A62D44">
        <w:t>dialogue</w:t>
      </w:r>
      <w:r>
        <w:t xml:space="preserve"> </w:t>
      </w:r>
      <w:r w:rsidRPr="00A62D44">
        <w:t>with</w:t>
      </w:r>
      <w:r>
        <w:t xml:space="preserve"> </w:t>
      </w:r>
      <w:r w:rsidRPr="00A62D44">
        <w:t>these</w:t>
      </w:r>
      <w:r>
        <w:t xml:space="preserve"> </w:t>
      </w:r>
      <w:r w:rsidRPr="00A62D44">
        <w:t>other</w:t>
      </w:r>
      <w:r>
        <w:t xml:space="preserve"> </w:t>
      </w:r>
      <w:r w:rsidRPr="00A62D44">
        <w:t>forms</w:t>
      </w:r>
      <w:r>
        <w:t xml:space="preserve"> </w:t>
      </w:r>
      <w:r w:rsidRPr="00A62D44">
        <w:t>of</w:t>
      </w:r>
      <w:r>
        <w:t xml:space="preserve"> </w:t>
      </w:r>
      <w:r w:rsidRPr="00A62D44">
        <w:t>evidence.</w:t>
      </w:r>
      <w:r>
        <w:t xml:space="preserve"> </w:t>
      </w:r>
      <w:r w:rsidRPr="00A62D44">
        <w:t>For</w:t>
      </w:r>
      <w:r>
        <w:t xml:space="preserve"> </w:t>
      </w:r>
      <w:r w:rsidRPr="00A62D44">
        <w:t>this</w:t>
      </w:r>
      <w:r>
        <w:t xml:space="preserve"> </w:t>
      </w:r>
      <w:r w:rsidRPr="00A62D44">
        <w:t>reason,</w:t>
      </w:r>
      <w:r>
        <w:t xml:space="preserve"> </w:t>
      </w:r>
      <w:r w:rsidRPr="00A62D44">
        <w:t>we</w:t>
      </w:r>
      <w:r>
        <w:t xml:space="preserve"> </w:t>
      </w:r>
      <w:r w:rsidRPr="00A62D44">
        <w:t>have</w:t>
      </w:r>
      <w:r>
        <w:t xml:space="preserve"> </w:t>
      </w:r>
      <w:r w:rsidRPr="00A62D44">
        <w:t>undertaken</w:t>
      </w:r>
      <w:r>
        <w:t xml:space="preserve"> </w:t>
      </w:r>
      <w:r w:rsidRPr="00A62D44">
        <w:t>some</w:t>
      </w:r>
      <w:r>
        <w:t xml:space="preserve"> </w:t>
      </w:r>
      <w:r w:rsidRPr="00A62D44">
        <w:t>qualitative</w:t>
      </w:r>
      <w:r>
        <w:t xml:space="preserve"> </w:t>
      </w:r>
      <w:r w:rsidRPr="00A62D44">
        <w:t>analysis</w:t>
      </w:r>
      <w:r>
        <w:t xml:space="preserve"> </w:t>
      </w:r>
      <w:r w:rsidRPr="00A62D44">
        <w:t>of</w:t>
      </w:r>
      <w:r>
        <w:t xml:space="preserve"> </w:t>
      </w:r>
      <w:r w:rsidRPr="00A62D44">
        <w:t>the</w:t>
      </w:r>
      <w:r>
        <w:t xml:space="preserve"> </w:t>
      </w:r>
      <w:r w:rsidRPr="00A62D44">
        <w:t>quantitative</w:t>
      </w:r>
      <w:r>
        <w:t xml:space="preserve"> </w:t>
      </w:r>
      <w:r w:rsidRPr="00A62D44">
        <w:t>findings</w:t>
      </w:r>
      <w:r>
        <w:t xml:space="preserve"> </w:t>
      </w:r>
      <w:r w:rsidRPr="00A62D44">
        <w:t>across</w:t>
      </w:r>
      <w:r>
        <w:t xml:space="preserve"> </w:t>
      </w:r>
      <w:r w:rsidRPr="00A62D44">
        <w:t>the</w:t>
      </w:r>
      <w:r>
        <w:t xml:space="preserve"> </w:t>
      </w:r>
      <w:r w:rsidRPr="00A62D44">
        <w:t>suite</w:t>
      </w:r>
      <w:r>
        <w:t xml:space="preserve"> </w:t>
      </w:r>
      <w:r w:rsidRPr="00A62D44">
        <w:t>of</w:t>
      </w:r>
      <w:r>
        <w:t xml:space="preserve"> </w:t>
      </w:r>
      <w:r w:rsidRPr="00A62D44">
        <w:t>indicators</w:t>
      </w:r>
      <w:r>
        <w:t xml:space="preserve"> </w:t>
      </w:r>
      <w:r w:rsidRPr="00A62D44">
        <w:t>contained</w:t>
      </w:r>
      <w:r>
        <w:t xml:space="preserve"> </w:t>
      </w:r>
      <w:r w:rsidRPr="00A62D44">
        <w:t>within</w:t>
      </w:r>
      <w:r>
        <w:t xml:space="preserve"> </w:t>
      </w:r>
      <w:r w:rsidRPr="00A62D44">
        <w:t>an</w:t>
      </w:r>
      <w:r>
        <w:t xml:space="preserve"> </w:t>
      </w:r>
      <w:r w:rsidRPr="00A62D44">
        <w:t>outcome</w:t>
      </w:r>
      <w:r>
        <w:t xml:space="preserve"> </w:t>
      </w:r>
      <w:r w:rsidRPr="00A62D44">
        <w:t>monitoring</w:t>
      </w:r>
      <w:r>
        <w:t xml:space="preserve"> </w:t>
      </w:r>
      <w:r w:rsidRPr="00A62D44">
        <w:t>domain,</w:t>
      </w:r>
      <w:r>
        <w:t xml:space="preserve"> </w:t>
      </w:r>
      <w:r w:rsidRPr="00A62D44">
        <w:t>utilising</w:t>
      </w:r>
      <w:r>
        <w:t xml:space="preserve"> </w:t>
      </w:r>
      <w:r w:rsidRPr="00A62D44">
        <w:t>our</w:t>
      </w:r>
      <w:r>
        <w:t xml:space="preserve"> </w:t>
      </w:r>
      <w:r w:rsidRPr="00A62D44">
        <w:t>qualitatively</w:t>
      </w:r>
      <w:r>
        <w:t xml:space="preserve"> g</w:t>
      </w:r>
      <w:r w:rsidRPr="00A62D44">
        <w:t>enerated</w:t>
      </w:r>
      <w:r>
        <w:t xml:space="preserve"> </w:t>
      </w:r>
      <w:r w:rsidRPr="00A62D44">
        <w:t>evidence</w:t>
      </w:r>
      <w:r>
        <w:t xml:space="preserve"> </w:t>
      </w:r>
      <w:r w:rsidRPr="00A62D44">
        <w:t>base</w:t>
      </w:r>
      <w:r>
        <w:t xml:space="preserve"> </w:t>
      </w:r>
      <w:r w:rsidRPr="00A62D44">
        <w:t>on</w:t>
      </w:r>
      <w:r>
        <w:t xml:space="preserve"> the primary </w:t>
      </w:r>
      <w:r w:rsidRPr="00A62D44">
        <w:t>prevention</w:t>
      </w:r>
      <w:r>
        <w:t xml:space="preserve"> </w:t>
      </w:r>
      <w:r w:rsidRPr="00A62D44">
        <w:t>of</w:t>
      </w:r>
      <w:r>
        <w:t xml:space="preserve"> </w:t>
      </w:r>
      <w:r w:rsidRPr="00A62D44">
        <w:t>violence</w:t>
      </w:r>
      <w:r>
        <w:t xml:space="preserve"> </w:t>
      </w:r>
      <w:r w:rsidRPr="00A62D44">
        <w:t>against</w:t>
      </w:r>
      <w:r>
        <w:t xml:space="preserve"> </w:t>
      </w:r>
      <w:r w:rsidRPr="00A62D44">
        <w:t>women.</w:t>
      </w:r>
      <w:r>
        <w:t xml:space="preserve"> </w:t>
      </w:r>
      <w:r w:rsidRPr="00A62D44">
        <w:t>We</w:t>
      </w:r>
      <w:r>
        <w:t xml:space="preserve"> </w:t>
      </w:r>
      <w:r w:rsidRPr="00A62D44">
        <w:t>have</w:t>
      </w:r>
      <w:r>
        <w:t xml:space="preserve"> </w:t>
      </w:r>
      <w:r w:rsidRPr="00A62D44">
        <w:t>also</w:t>
      </w:r>
      <w:r>
        <w:t xml:space="preserve"> </w:t>
      </w:r>
      <w:r w:rsidRPr="00A62D44">
        <w:t>supplemented</w:t>
      </w:r>
      <w:r>
        <w:t xml:space="preserve"> </w:t>
      </w:r>
      <w:r w:rsidRPr="00A62D44">
        <w:t>large-scale</w:t>
      </w:r>
      <w:r>
        <w:t xml:space="preserve"> </w:t>
      </w:r>
      <w:r w:rsidRPr="00A62D44">
        <w:t>quantitative</w:t>
      </w:r>
      <w:r>
        <w:t xml:space="preserve"> </w:t>
      </w:r>
      <w:r w:rsidRPr="00A62D44">
        <w:t>studies</w:t>
      </w:r>
      <w:r>
        <w:t xml:space="preserve"> </w:t>
      </w:r>
      <w:r w:rsidRPr="00A62D44">
        <w:t>with</w:t>
      </w:r>
      <w:r>
        <w:t xml:space="preserve"> </w:t>
      </w:r>
      <w:r w:rsidRPr="00A62D44">
        <w:t>smaller,</w:t>
      </w:r>
      <w:r>
        <w:t xml:space="preserve"> </w:t>
      </w:r>
      <w:r w:rsidRPr="00A62D44">
        <w:t>more</w:t>
      </w:r>
      <w:r>
        <w:t xml:space="preserve"> </w:t>
      </w:r>
      <w:r w:rsidRPr="00A62D44">
        <w:t>focused</w:t>
      </w:r>
      <w:r>
        <w:t xml:space="preserve"> </w:t>
      </w:r>
      <w:r w:rsidRPr="00A62D44">
        <w:t>studies,</w:t>
      </w:r>
      <w:r>
        <w:t xml:space="preserve"> </w:t>
      </w:r>
      <w:r w:rsidRPr="00A62D44">
        <w:t>where</w:t>
      </w:r>
      <w:r>
        <w:t xml:space="preserve"> </w:t>
      </w:r>
      <w:r w:rsidRPr="00A62D44">
        <w:t>they</w:t>
      </w:r>
      <w:r>
        <w:t xml:space="preserve"> </w:t>
      </w:r>
      <w:r w:rsidRPr="00A62D44">
        <w:t>address</w:t>
      </w:r>
      <w:r>
        <w:t xml:space="preserve"> </w:t>
      </w:r>
      <w:r w:rsidRPr="00A62D44">
        <w:t>or</w:t>
      </w:r>
      <w:r>
        <w:t xml:space="preserve"> </w:t>
      </w:r>
      <w:r w:rsidRPr="00A62D44">
        <w:t>better</w:t>
      </w:r>
      <w:r>
        <w:t xml:space="preserve"> </w:t>
      </w:r>
      <w:r w:rsidRPr="00A62D44">
        <w:t>illustrate</w:t>
      </w:r>
      <w:r>
        <w:t xml:space="preserve"> </w:t>
      </w:r>
      <w:r w:rsidRPr="00A62D44">
        <w:t>a</w:t>
      </w:r>
      <w:r>
        <w:t xml:space="preserve"> </w:t>
      </w:r>
      <w:r w:rsidRPr="00A62D44">
        <w:t>particular</w:t>
      </w:r>
      <w:r>
        <w:t xml:space="preserve"> </w:t>
      </w:r>
      <w:r w:rsidRPr="00A62D44">
        <w:t>issue</w:t>
      </w:r>
      <w:r>
        <w:t xml:space="preserve"> </w:t>
      </w:r>
      <w:r w:rsidRPr="00A62D44">
        <w:t>or</w:t>
      </w:r>
      <w:r>
        <w:t xml:space="preserve"> </w:t>
      </w:r>
      <w:r w:rsidRPr="00A62D44">
        <w:t>dimension</w:t>
      </w:r>
      <w:r>
        <w:t xml:space="preserve"> </w:t>
      </w:r>
      <w:r w:rsidRPr="00A62D44">
        <w:t>of</w:t>
      </w:r>
      <w:r>
        <w:t xml:space="preserve"> </w:t>
      </w:r>
      <w:r w:rsidRPr="00A62D44">
        <w:t>the</w:t>
      </w:r>
      <w:r>
        <w:t xml:space="preserve"> </w:t>
      </w:r>
      <w:r w:rsidRPr="00A62D44">
        <w:t>problem.</w:t>
      </w:r>
    </w:p>
    <w:p w14:paraId="53C5C55F" w14:textId="60AA250B" w:rsidR="00437ED1" w:rsidRDefault="00437ED1" w:rsidP="00437ED1">
      <w:pPr>
        <w:pStyle w:val="BodyText"/>
      </w:pPr>
      <w:r w:rsidRPr="00A62D44">
        <w:t>A</w:t>
      </w:r>
      <w:r>
        <w:t xml:space="preserve"> </w:t>
      </w:r>
      <w:r w:rsidRPr="00A62D44">
        <w:t>certain</w:t>
      </w:r>
      <w:r>
        <w:t xml:space="preserve"> </w:t>
      </w:r>
      <w:r w:rsidRPr="00A62D44">
        <w:t>level</w:t>
      </w:r>
      <w:r>
        <w:t xml:space="preserve"> </w:t>
      </w:r>
      <w:r w:rsidRPr="00A62D44">
        <w:t>of</w:t>
      </w:r>
      <w:r>
        <w:t xml:space="preserve"> </w:t>
      </w:r>
      <w:r w:rsidRPr="00A62D44">
        <w:t>reductivity</w:t>
      </w:r>
      <w:r>
        <w:t xml:space="preserve"> </w:t>
      </w:r>
      <w:r w:rsidRPr="00A62D44">
        <w:t>is</w:t>
      </w:r>
      <w:r>
        <w:t xml:space="preserve"> </w:t>
      </w:r>
      <w:r w:rsidRPr="00A62D44">
        <w:t>inherent</w:t>
      </w:r>
      <w:r>
        <w:t xml:space="preserve"> </w:t>
      </w:r>
      <w:r w:rsidRPr="00A62D44">
        <w:t>in</w:t>
      </w:r>
      <w:r>
        <w:t xml:space="preserve"> </w:t>
      </w:r>
      <w:r w:rsidRPr="00A62D44">
        <w:t>the</w:t>
      </w:r>
      <w:r>
        <w:t xml:space="preserve"> </w:t>
      </w:r>
      <w:r w:rsidRPr="00A62D44">
        <w:t>quantification</w:t>
      </w:r>
      <w:r>
        <w:t xml:space="preserve"> </w:t>
      </w:r>
      <w:r w:rsidRPr="00A62D44">
        <w:t>of</w:t>
      </w:r>
      <w:r>
        <w:t xml:space="preserve"> </w:t>
      </w:r>
      <w:r w:rsidRPr="00A62D44">
        <w:t>complex</w:t>
      </w:r>
      <w:r>
        <w:t xml:space="preserve"> </w:t>
      </w:r>
      <w:r w:rsidRPr="00A62D44">
        <w:t>social</w:t>
      </w:r>
      <w:r>
        <w:t xml:space="preserve"> </w:t>
      </w:r>
      <w:r w:rsidRPr="00A62D44">
        <w:t>phenomena.</w:t>
      </w:r>
      <w:r>
        <w:t xml:space="preserve"> </w:t>
      </w:r>
      <w:r w:rsidRPr="00A62D44">
        <w:t>Numbers</w:t>
      </w:r>
      <w:r>
        <w:t xml:space="preserve"> </w:t>
      </w:r>
      <w:r w:rsidRPr="00A62D44">
        <w:t>can</w:t>
      </w:r>
      <w:r>
        <w:t xml:space="preserve"> </w:t>
      </w:r>
      <w:r w:rsidRPr="00A62D44">
        <w:t>cut</w:t>
      </w:r>
      <w:r>
        <w:t xml:space="preserve"> </w:t>
      </w:r>
      <w:r w:rsidRPr="00A62D44">
        <w:t>through</w:t>
      </w:r>
      <w:r>
        <w:t xml:space="preserve"> </w:t>
      </w:r>
      <w:r w:rsidRPr="00A62D44">
        <w:t>complexity</w:t>
      </w:r>
      <w:r>
        <w:t xml:space="preserve"> </w:t>
      </w:r>
      <w:r w:rsidRPr="00A62D44">
        <w:t>with</w:t>
      </w:r>
      <w:r>
        <w:t xml:space="preserve"> </w:t>
      </w:r>
      <w:r w:rsidRPr="00A62D44">
        <w:t>a</w:t>
      </w:r>
      <w:r>
        <w:t xml:space="preserve"> </w:t>
      </w:r>
      <w:r w:rsidRPr="00A62D44">
        <w:t>level</w:t>
      </w:r>
      <w:r>
        <w:t xml:space="preserve"> </w:t>
      </w:r>
      <w:r w:rsidRPr="00A62D44">
        <w:t>of</w:t>
      </w:r>
      <w:r>
        <w:t xml:space="preserve"> </w:t>
      </w:r>
      <w:r w:rsidRPr="00A62D44">
        <w:t>order,</w:t>
      </w:r>
      <w:r>
        <w:t xml:space="preserve"> </w:t>
      </w:r>
      <w:r w:rsidRPr="00A62D44">
        <w:t>elegance</w:t>
      </w:r>
      <w:r>
        <w:t xml:space="preserve"> </w:t>
      </w:r>
      <w:r w:rsidRPr="00A62D44">
        <w:t>and</w:t>
      </w:r>
      <w:r>
        <w:t xml:space="preserve"> </w:t>
      </w:r>
      <w:r w:rsidRPr="00A62D44">
        <w:t>simplicity</w:t>
      </w:r>
      <w:r>
        <w:t xml:space="preserve"> </w:t>
      </w:r>
      <w:r w:rsidRPr="00A62D44">
        <w:t>to</w:t>
      </w:r>
      <w:r>
        <w:t xml:space="preserve"> </w:t>
      </w:r>
      <w:r w:rsidRPr="00A62D44">
        <w:t>generate</w:t>
      </w:r>
      <w:r>
        <w:t xml:space="preserve"> </w:t>
      </w:r>
      <w:r w:rsidRPr="00A62D44">
        <w:t>accessible</w:t>
      </w:r>
      <w:r>
        <w:t xml:space="preserve"> </w:t>
      </w:r>
      <w:r w:rsidRPr="00A62D44">
        <w:t>and</w:t>
      </w:r>
      <w:r>
        <w:t xml:space="preserve"> </w:t>
      </w:r>
      <w:r w:rsidRPr="00A62D44">
        <w:t>important</w:t>
      </w:r>
      <w:r>
        <w:t xml:space="preserve"> </w:t>
      </w:r>
      <w:r w:rsidRPr="00A62D44">
        <w:t>insights.</w:t>
      </w:r>
      <w:r>
        <w:t xml:space="preserve"> </w:t>
      </w:r>
      <w:r w:rsidRPr="00A62D44">
        <w:t>However,</w:t>
      </w:r>
      <w:r>
        <w:t xml:space="preserve"> </w:t>
      </w:r>
      <w:r w:rsidRPr="00A62D44">
        <w:t>the</w:t>
      </w:r>
      <w:r>
        <w:t xml:space="preserve"> </w:t>
      </w:r>
      <w:r w:rsidRPr="00A62D44">
        <w:t>use</w:t>
      </w:r>
      <w:r>
        <w:t xml:space="preserve"> </w:t>
      </w:r>
      <w:r w:rsidRPr="00A62D44">
        <w:t>of</w:t>
      </w:r>
      <w:r>
        <w:t xml:space="preserve"> </w:t>
      </w:r>
      <w:r w:rsidRPr="00A62D44">
        <w:t>statistical</w:t>
      </w:r>
      <w:r>
        <w:t xml:space="preserve"> </w:t>
      </w:r>
      <w:r w:rsidRPr="00A62D44">
        <w:t>indicators</w:t>
      </w:r>
      <w:r>
        <w:t xml:space="preserve"> </w:t>
      </w:r>
      <w:r w:rsidRPr="00A62D44">
        <w:t>can</w:t>
      </w:r>
      <w:r>
        <w:t xml:space="preserve"> </w:t>
      </w:r>
      <w:r w:rsidRPr="00A62D44">
        <w:t>run</w:t>
      </w:r>
      <w:r w:rsidR="00154F63">
        <w:t> </w:t>
      </w:r>
      <w:r>
        <w:t xml:space="preserve">the </w:t>
      </w:r>
      <w:r w:rsidRPr="00E86049">
        <w:t>risk</w:t>
      </w:r>
      <w:r>
        <w:t xml:space="preserve"> </w:t>
      </w:r>
      <w:r w:rsidRPr="00E86049">
        <w:t>of</w:t>
      </w:r>
      <w:r>
        <w:t xml:space="preserve"> </w:t>
      </w:r>
      <w:r w:rsidRPr="00E86049">
        <w:t>oversimplification</w:t>
      </w:r>
      <w:r>
        <w:t xml:space="preserve"> </w:t>
      </w:r>
      <w:r w:rsidRPr="00E86049">
        <w:t>and</w:t>
      </w:r>
      <w:r>
        <w:t xml:space="preserve"> </w:t>
      </w:r>
      <w:r w:rsidRPr="00E86049">
        <w:t>inaccuracy.</w:t>
      </w:r>
      <w:r>
        <w:t xml:space="preserve"> </w:t>
      </w:r>
      <w:r w:rsidRPr="00E86049">
        <w:t>As</w:t>
      </w:r>
      <w:r>
        <w:t xml:space="preserve"> </w:t>
      </w:r>
      <w:r w:rsidRPr="00E86049">
        <w:t>anthropologist</w:t>
      </w:r>
      <w:r>
        <w:t xml:space="preserve"> </w:t>
      </w:r>
      <w:r w:rsidRPr="00E86049">
        <w:t>Sally</w:t>
      </w:r>
      <w:r>
        <w:t xml:space="preserve"> </w:t>
      </w:r>
      <w:r w:rsidRPr="00E86049">
        <w:t>Engle</w:t>
      </w:r>
      <w:r>
        <w:t xml:space="preserve"> </w:t>
      </w:r>
      <w:r w:rsidRPr="00E86049">
        <w:t>Merry</w:t>
      </w:r>
      <w:r>
        <w:t xml:space="preserve"> has said</w:t>
      </w:r>
      <w:r w:rsidRPr="00E86049">
        <w:t>,</w:t>
      </w:r>
      <w:r>
        <w:t xml:space="preserve"> </w:t>
      </w:r>
      <w:r w:rsidRPr="00E86049">
        <w:t>quantitative</w:t>
      </w:r>
      <w:r>
        <w:t xml:space="preserve"> </w:t>
      </w:r>
      <w:r w:rsidRPr="00E86049">
        <w:t>indicators</w:t>
      </w:r>
      <w:r>
        <w:t xml:space="preserve"> </w:t>
      </w:r>
      <w:r w:rsidRPr="00E86049">
        <w:t>can</w:t>
      </w:r>
      <w:r>
        <w:t xml:space="preserve"> ‘</w:t>
      </w:r>
      <w:r w:rsidRPr="00E86049">
        <w:t>appear</w:t>
      </w:r>
      <w:r>
        <w:t xml:space="preserve"> </w:t>
      </w:r>
      <w:r w:rsidRPr="00E86049">
        <w:t>more</w:t>
      </w:r>
      <w:r>
        <w:t xml:space="preserve"> </w:t>
      </w:r>
      <w:r w:rsidRPr="00E86049">
        <w:t>accurate</w:t>
      </w:r>
      <w:r>
        <w:t xml:space="preserve"> </w:t>
      </w:r>
      <w:r w:rsidRPr="00E86049">
        <w:t>and</w:t>
      </w:r>
      <w:r>
        <w:t xml:space="preserve"> </w:t>
      </w:r>
      <w:r w:rsidRPr="00E86049">
        <w:t>precise</w:t>
      </w:r>
      <w:r>
        <w:t xml:space="preserve"> </w:t>
      </w:r>
      <w:r w:rsidRPr="00E86049">
        <w:t>than</w:t>
      </w:r>
      <w:r>
        <w:t xml:space="preserve"> </w:t>
      </w:r>
      <w:r w:rsidRPr="00E86049">
        <w:t>they</w:t>
      </w:r>
      <w:r>
        <w:t xml:space="preserve"> </w:t>
      </w:r>
      <w:r w:rsidRPr="00E86049">
        <w:t>are</w:t>
      </w:r>
      <w:r>
        <w:t xml:space="preserve"> </w:t>
      </w:r>
      <w:r w:rsidRPr="00E86049">
        <w:t>…</w:t>
      </w:r>
      <w:r>
        <w:t xml:space="preserve"> </w:t>
      </w:r>
      <w:r w:rsidRPr="00E86049">
        <w:t>The</w:t>
      </w:r>
      <w:r w:rsidR="00154F63">
        <w:t> </w:t>
      </w:r>
      <w:r w:rsidRPr="00E86049">
        <w:t>ambiguities</w:t>
      </w:r>
      <w:r>
        <w:t xml:space="preserve"> </w:t>
      </w:r>
      <w:r w:rsidRPr="00E86049">
        <w:t>of</w:t>
      </w:r>
      <w:r>
        <w:t xml:space="preserve"> </w:t>
      </w:r>
      <w:r w:rsidRPr="00E86049">
        <w:t>the</w:t>
      </w:r>
      <w:r>
        <w:t xml:space="preserve"> </w:t>
      </w:r>
      <w:r w:rsidRPr="00E86049">
        <w:t>categories,</w:t>
      </w:r>
      <w:r>
        <w:t xml:space="preserve"> </w:t>
      </w:r>
      <w:r w:rsidRPr="00E86049">
        <w:t>errors</w:t>
      </w:r>
      <w:r>
        <w:t xml:space="preserve"> </w:t>
      </w:r>
      <w:r w:rsidRPr="00E86049">
        <w:t>in</w:t>
      </w:r>
      <w:r>
        <w:t xml:space="preserve"> </w:t>
      </w:r>
      <w:r w:rsidRPr="00E86049">
        <w:t>counting,</w:t>
      </w:r>
      <w:r>
        <w:t xml:space="preserve"> </w:t>
      </w:r>
      <w:r w:rsidRPr="00E86049">
        <w:t>missing</w:t>
      </w:r>
      <w:r>
        <w:t xml:space="preserve"> </w:t>
      </w:r>
      <w:r w:rsidRPr="00E86049">
        <w:t>data,</w:t>
      </w:r>
      <w:r>
        <w:t xml:space="preserve"> </w:t>
      </w:r>
      <w:r w:rsidRPr="00E86049">
        <w:t>and</w:t>
      </w:r>
      <w:r>
        <w:t xml:space="preserve"> </w:t>
      </w:r>
      <w:r w:rsidRPr="00E86049">
        <w:t>the</w:t>
      </w:r>
      <w:r>
        <w:t xml:space="preserve"> </w:t>
      </w:r>
      <w:r w:rsidRPr="00E86049">
        <w:t>lack</w:t>
      </w:r>
      <w:r>
        <w:t xml:space="preserve"> </w:t>
      </w:r>
      <w:r w:rsidRPr="00E86049">
        <w:t>of</w:t>
      </w:r>
      <w:r>
        <w:t xml:space="preserve"> </w:t>
      </w:r>
      <w:r w:rsidRPr="00E86049">
        <w:t>commensurability</w:t>
      </w:r>
      <w:r>
        <w:t xml:space="preserve"> </w:t>
      </w:r>
      <w:r w:rsidRPr="00E86049">
        <w:t>disappear</w:t>
      </w:r>
      <w:r>
        <w:t xml:space="preserve"> </w:t>
      </w:r>
      <w:r w:rsidRPr="00E86049">
        <w:t>in</w:t>
      </w:r>
      <w:r>
        <w:t xml:space="preserve"> </w:t>
      </w:r>
      <w:r w:rsidRPr="00E86049">
        <w:t>the</w:t>
      </w:r>
      <w:r>
        <w:t xml:space="preserve"> </w:t>
      </w:r>
      <w:r w:rsidRPr="00E86049">
        <w:t>final</w:t>
      </w:r>
      <w:r>
        <w:t xml:space="preserve"> </w:t>
      </w:r>
      <w:r w:rsidRPr="00E86049">
        <w:t>presentation</w:t>
      </w:r>
      <w:r>
        <w:t xml:space="preserve"> </w:t>
      </w:r>
      <w:r w:rsidRPr="00E86049">
        <w:t>of</w:t>
      </w:r>
      <w:r>
        <w:t xml:space="preserve"> </w:t>
      </w:r>
      <w:r w:rsidRPr="00E86049">
        <w:t>the</w:t>
      </w:r>
      <w:r>
        <w:t xml:space="preserve"> </w:t>
      </w:r>
      <w:r w:rsidRPr="00E86049">
        <w:t>indicator</w:t>
      </w:r>
      <w:r>
        <w:t xml:space="preserve"> </w:t>
      </w:r>
      <w:r w:rsidRPr="00E86049">
        <w:t>to</w:t>
      </w:r>
      <w:r>
        <w:t xml:space="preserve"> </w:t>
      </w:r>
      <w:r w:rsidRPr="00E86049">
        <w:t>the</w:t>
      </w:r>
      <w:r>
        <w:t xml:space="preserve"> </w:t>
      </w:r>
      <w:r w:rsidRPr="00E86049">
        <w:t>public.</w:t>
      </w:r>
      <w:r>
        <w:t xml:space="preserve">’ </w:t>
      </w:r>
      <w:r w:rsidRPr="00E86049">
        <w:t>Leung</w:t>
      </w:r>
      <w:r w:rsidR="00154F63">
        <w:t> </w:t>
      </w:r>
      <w:r w:rsidRPr="00E86049">
        <w:t>et</w:t>
      </w:r>
      <w:r w:rsidR="00154F63">
        <w:t> </w:t>
      </w:r>
      <w:r w:rsidRPr="00E86049">
        <w:t>al.</w:t>
      </w:r>
      <w:r>
        <w:t xml:space="preserve"> </w:t>
      </w:r>
      <w:r w:rsidRPr="00E86049">
        <w:t>note</w:t>
      </w:r>
      <w:r>
        <w:t xml:space="preserve"> </w:t>
      </w:r>
      <w:r w:rsidRPr="00E86049">
        <w:t>that</w:t>
      </w:r>
      <w:r>
        <w:t xml:space="preserve"> ‘</w:t>
      </w:r>
      <w:r w:rsidRPr="00E86049">
        <w:t>[g]iven</w:t>
      </w:r>
      <w:r>
        <w:t xml:space="preserve"> </w:t>
      </w:r>
      <w:r w:rsidRPr="00E86049">
        <w:t>the</w:t>
      </w:r>
      <w:r>
        <w:t xml:space="preserve"> </w:t>
      </w:r>
      <w:r w:rsidRPr="00E86049">
        <w:t>highly</w:t>
      </w:r>
      <w:r>
        <w:t xml:space="preserve"> </w:t>
      </w:r>
      <w:r w:rsidRPr="00E86049">
        <w:t>technical</w:t>
      </w:r>
      <w:r>
        <w:t xml:space="preserve"> </w:t>
      </w:r>
      <w:r w:rsidRPr="00E86049">
        <w:t>nature</w:t>
      </w:r>
      <w:r>
        <w:t xml:space="preserve"> </w:t>
      </w:r>
      <w:r w:rsidRPr="00E86049">
        <w:t>of</w:t>
      </w:r>
      <w:r>
        <w:t xml:space="preserve"> </w:t>
      </w:r>
      <w:r w:rsidRPr="00E86049">
        <w:t>quantitative</w:t>
      </w:r>
      <w:r>
        <w:t xml:space="preserve"> </w:t>
      </w:r>
      <w:r w:rsidRPr="00E86049">
        <w:t>research,</w:t>
      </w:r>
      <w:r>
        <w:t xml:space="preserve"> </w:t>
      </w:r>
      <w:r w:rsidRPr="00E86049">
        <w:t>when</w:t>
      </w:r>
      <w:r>
        <w:t xml:space="preserve"> </w:t>
      </w:r>
      <w:r w:rsidRPr="00E86049">
        <w:t>complexities</w:t>
      </w:r>
      <w:r>
        <w:t xml:space="preserve"> </w:t>
      </w:r>
      <w:r w:rsidRPr="00E86049">
        <w:t>and</w:t>
      </w:r>
      <w:r>
        <w:t xml:space="preserve"> </w:t>
      </w:r>
      <w:r w:rsidRPr="00E86049">
        <w:t>nuances</w:t>
      </w:r>
      <w:r>
        <w:t xml:space="preserve"> </w:t>
      </w:r>
      <w:r w:rsidRPr="00E86049">
        <w:t>are</w:t>
      </w:r>
      <w:r>
        <w:t xml:space="preserve"> </w:t>
      </w:r>
      <w:r w:rsidRPr="00E86049">
        <w:t>not</w:t>
      </w:r>
      <w:r>
        <w:t xml:space="preserve"> </w:t>
      </w:r>
      <w:r w:rsidRPr="00E86049">
        <w:t>effectively</w:t>
      </w:r>
      <w:r>
        <w:t xml:space="preserve"> </w:t>
      </w:r>
      <w:r w:rsidRPr="00E86049">
        <w:t>communicated,</w:t>
      </w:r>
      <w:r>
        <w:t xml:space="preserve"> </w:t>
      </w:r>
      <w:r w:rsidRPr="00E86049">
        <w:t>findings</w:t>
      </w:r>
      <w:r>
        <w:t xml:space="preserve"> </w:t>
      </w:r>
      <w:r w:rsidRPr="00E86049">
        <w:t>from</w:t>
      </w:r>
      <w:r>
        <w:t xml:space="preserve"> </w:t>
      </w:r>
      <w:r w:rsidRPr="00E86049">
        <w:t>quantitative</w:t>
      </w:r>
      <w:r>
        <w:t xml:space="preserve"> </w:t>
      </w:r>
      <w:r w:rsidRPr="00E86049">
        <w:t>VAWG</w:t>
      </w:r>
      <w:r>
        <w:t xml:space="preserve"> </w:t>
      </w:r>
      <w:r w:rsidRPr="00E86049">
        <w:t>[violence</w:t>
      </w:r>
      <w:r>
        <w:t xml:space="preserve"> </w:t>
      </w:r>
      <w:r w:rsidRPr="00E86049">
        <w:t>against</w:t>
      </w:r>
      <w:r>
        <w:t xml:space="preserve"> </w:t>
      </w:r>
      <w:r w:rsidRPr="00E86049">
        <w:t>women</w:t>
      </w:r>
      <w:r>
        <w:t xml:space="preserve"> </w:t>
      </w:r>
      <w:r w:rsidRPr="00E86049">
        <w:t>and</w:t>
      </w:r>
      <w:r>
        <w:t xml:space="preserve"> </w:t>
      </w:r>
      <w:r w:rsidRPr="00E86049">
        <w:t>girls]</w:t>
      </w:r>
      <w:r>
        <w:t xml:space="preserve"> </w:t>
      </w:r>
      <w:r w:rsidRPr="00E86049">
        <w:t>studies</w:t>
      </w:r>
      <w:r>
        <w:t xml:space="preserve"> </w:t>
      </w:r>
      <w:r w:rsidRPr="00E86049">
        <w:t>can</w:t>
      </w:r>
      <w:r>
        <w:t xml:space="preserve"> </w:t>
      </w:r>
      <w:r w:rsidRPr="00E86049">
        <w:t>be</w:t>
      </w:r>
      <w:r>
        <w:t xml:space="preserve"> </w:t>
      </w:r>
      <w:r w:rsidRPr="00E86049">
        <w:t>misinterpreted</w:t>
      </w:r>
      <w:r>
        <w:t xml:space="preserve"> </w:t>
      </w:r>
      <w:r w:rsidRPr="00E86049">
        <w:t>or</w:t>
      </w:r>
      <w:r>
        <w:t xml:space="preserve"> </w:t>
      </w:r>
      <w:r w:rsidRPr="00E86049">
        <w:t>misused.</w:t>
      </w:r>
      <w:r>
        <w:t>’</w:t>
      </w:r>
    </w:p>
    <w:p w14:paraId="6531C1CC" w14:textId="77777777" w:rsidR="00437ED1" w:rsidRDefault="00437ED1" w:rsidP="00437ED1">
      <w:pPr>
        <w:pStyle w:val="BodyText"/>
      </w:pPr>
      <w:r w:rsidRPr="00A62D44">
        <w:t>It</w:t>
      </w:r>
      <w:r>
        <w:t xml:space="preserve"> </w:t>
      </w:r>
      <w:r w:rsidRPr="00A62D44">
        <w:t>is</w:t>
      </w:r>
      <w:r>
        <w:t xml:space="preserve"> </w:t>
      </w:r>
      <w:r w:rsidRPr="00A62D44">
        <w:t>also</w:t>
      </w:r>
      <w:r>
        <w:t xml:space="preserve"> </w:t>
      </w:r>
      <w:r w:rsidRPr="00A62D44">
        <w:t>critical</w:t>
      </w:r>
      <w:r>
        <w:t xml:space="preserve"> </w:t>
      </w:r>
      <w:r w:rsidRPr="00A62D44">
        <w:t>to</w:t>
      </w:r>
      <w:r>
        <w:t xml:space="preserve"> </w:t>
      </w:r>
      <w:r w:rsidRPr="00A62D44">
        <w:t>recognise</w:t>
      </w:r>
      <w:r>
        <w:t xml:space="preserve"> </w:t>
      </w:r>
      <w:r w:rsidRPr="00A62D44">
        <w:t>that</w:t>
      </w:r>
      <w:r>
        <w:t xml:space="preserve"> </w:t>
      </w:r>
      <w:r w:rsidRPr="00A62D44">
        <w:t>indicators</w:t>
      </w:r>
      <w:r>
        <w:t xml:space="preserve"> </w:t>
      </w:r>
      <w:r w:rsidRPr="00A62D44">
        <w:t>are</w:t>
      </w:r>
      <w:r>
        <w:t xml:space="preserve"> </w:t>
      </w:r>
      <w:r w:rsidRPr="00A62D44">
        <w:t>often</w:t>
      </w:r>
      <w:r>
        <w:t xml:space="preserve"> </w:t>
      </w:r>
      <w:r w:rsidRPr="00A62D44">
        <w:t>proxy</w:t>
      </w:r>
      <w:r>
        <w:t xml:space="preserve"> </w:t>
      </w:r>
      <w:r w:rsidRPr="00A62D44">
        <w:t>measures</w:t>
      </w:r>
      <w:r>
        <w:t xml:space="preserve"> </w:t>
      </w:r>
      <w:r w:rsidRPr="00A62D44">
        <w:t>of</w:t>
      </w:r>
      <w:r>
        <w:t xml:space="preserve"> </w:t>
      </w:r>
      <w:r w:rsidRPr="00A62D44">
        <w:t>complex</w:t>
      </w:r>
      <w:r>
        <w:t xml:space="preserve"> </w:t>
      </w:r>
      <w:r w:rsidRPr="00A62D44">
        <w:t>social</w:t>
      </w:r>
      <w:r>
        <w:t xml:space="preserve"> </w:t>
      </w:r>
      <w:r w:rsidRPr="00A62D44">
        <w:t>phenomena.</w:t>
      </w:r>
      <w:r>
        <w:t xml:space="preserve"> </w:t>
      </w:r>
      <w:r w:rsidRPr="00A62D44">
        <w:t>An</w:t>
      </w:r>
      <w:r>
        <w:t xml:space="preserve"> </w:t>
      </w:r>
      <w:r w:rsidRPr="00A62D44">
        <w:t>indicator</w:t>
      </w:r>
      <w:r>
        <w:t xml:space="preserve"> </w:t>
      </w:r>
      <w:r w:rsidRPr="00A62D44">
        <w:t>is</w:t>
      </w:r>
      <w:r>
        <w:t xml:space="preserve"> </w:t>
      </w:r>
      <w:r w:rsidRPr="00A62D44">
        <w:t>selected</w:t>
      </w:r>
      <w:r>
        <w:t xml:space="preserve"> </w:t>
      </w:r>
      <w:r w:rsidRPr="00A62D44">
        <w:t>as</w:t>
      </w:r>
      <w:r>
        <w:t xml:space="preserve"> </w:t>
      </w:r>
      <w:r w:rsidRPr="00A62D44">
        <w:t>our</w:t>
      </w:r>
      <w:r>
        <w:t xml:space="preserve"> </w:t>
      </w:r>
      <w:r w:rsidRPr="00A62D44">
        <w:t>best</w:t>
      </w:r>
      <w:r>
        <w:t xml:space="preserve"> </w:t>
      </w:r>
      <w:r w:rsidRPr="00A62D44">
        <w:t>attempt</w:t>
      </w:r>
      <w:r>
        <w:t xml:space="preserve"> </w:t>
      </w:r>
      <w:r w:rsidRPr="00A62D44">
        <w:t>to</w:t>
      </w:r>
      <w:r>
        <w:t xml:space="preserve"> </w:t>
      </w:r>
      <w:r w:rsidRPr="00A62D44">
        <w:t>measure</w:t>
      </w:r>
      <w:r>
        <w:t xml:space="preserve"> </w:t>
      </w:r>
      <w:r w:rsidRPr="00A62D44">
        <w:t>an</w:t>
      </w:r>
      <w:r>
        <w:t xml:space="preserve"> </w:t>
      </w:r>
      <w:r w:rsidRPr="00A62D44">
        <w:t>outcomes</w:t>
      </w:r>
      <w:r>
        <w:t xml:space="preserve"> </w:t>
      </w:r>
      <w:r w:rsidRPr="00A62D44">
        <w:t>area,</w:t>
      </w:r>
      <w:r>
        <w:t xml:space="preserve"> </w:t>
      </w:r>
      <w:r w:rsidRPr="00A62D44">
        <w:t>and</w:t>
      </w:r>
      <w:r>
        <w:t xml:space="preserve"> </w:t>
      </w:r>
      <w:r w:rsidRPr="00A62D44">
        <w:t>a</w:t>
      </w:r>
      <w:r>
        <w:t xml:space="preserve"> </w:t>
      </w:r>
      <w:r w:rsidRPr="00A62D44">
        <w:t>dataset</w:t>
      </w:r>
      <w:r>
        <w:t xml:space="preserve"> </w:t>
      </w:r>
      <w:r w:rsidRPr="00A62D44">
        <w:t>is</w:t>
      </w:r>
      <w:r>
        <w:t xml:space="preserve"> </w:t>
      </w:r>
      <w:r w:rsidRPr="00A62D44">
        <w:t>chosen</w:t>
      </w:r>
      <w:r>
        <w:t xml:space="preserve"> </w:t>
      </w:r>
      <w:r w:rsidRPr="00A62D44">
        <w:t>because</w:t>
      </w:r>
      <w:r>
        <w:t xml:space="preserve"> </w:t>
      </w:r>
      <w:r w:rsidRPr="00A62D44">
        <w:t>it</w:t>
      </w:r>
      <w:r>
        <w:t xml:space="preserve"> </w:t>
      </w:r>
      <w:r w:rsidRPr="00A62D44">
        <w:t>is</w:t>
      </w:r>
      <w:r>
        <w:t xml:space="preserve"> </w:t>
      </w:r>
      <w:r w:rsidRPr="00A62D44">
        <w:t>the</w:t>
      </w:r>
      <w:r>
        <w:t xml:space="preserve"> </w:t>
      </w:r>
      <w:r w:rsidRPr="00A62D44">
        <w:t>best</w:t>
      </w:r>
      <w:r>
        <w:t xml:space="preserve"> </w:t>
      </w:r>
      <w:r w:rsidRPr="00A62D44">
        <w:t>we</w:t>
      </w:r>
      <w:r>
        <w:t xml:space="preserve"> </w:t>
      </w:r>
      <w:r w:rsidRPr="00A62D44">
        <w:t>have</w:t>
      </w:r>
      <w:r>
        <w:t xml:space="preserve"> </w:t>
      </w:r>
      <w:r w:rsidRPr="00A62D44">
        <w:t>to</w:t>
      </w:r>
      <w:r>
        <w:t xml:space="preserve"> </w:t>
      </w:r>
      <w:r w:rsidRPr="00A62D44">
        <w:t>measure</w:t>
      </w:r>
      <w:r>
        <w:t xml:space="preserve"> </w:t>
      </w:r>
      <w:r w:rsidRPr="00A62D44">
        <w:t>that</w:t>
      </w:r>
      <w:r>
        <w:t xml:space="preserve"> </w:t>
      </w:r>
      <w:r w:rsidRPr="00A62D44">
        <w:t>indicator.</w:t>
      </w:r>
      <w:r>
        <w:t xml:space="preserve"> </w:t>
      </w:r>
      <w:r w:rsidRPr="00A62D44">
        <w:t>In</w:t>
      </w:r>
      <w:r>
        <w:t xml:space="preserve"> </w:t>
      </w:r>
      <w:r w:rsidRPr="00A62D44">
        <w:t>either</w:t>
      </w:r>
      <w:r>
        <w:t xml:space="preserve"> </w:t>
      </w:r>
      <w:r w:rsidRPr="00A62D44">
        <w:t>case,</w:t>
      </w:r>
      <w:r>
        <w:t xml:space="preserve"> </w:t>
      </w:r>
      <w:r w:rsidRPr="00A62D44">
        <w:t>data</w:t>
      </w:r>
      <w:r>
        <w:t xml:space="preserve"> </w:t>
      </w:r>
      <w:r w:rsidRPr="00A62D44">
        <w:t>does</w:t>
      </w:r>
      <w:r>
        <w:t xml:space="preserve"> </w:t>
      </w:r>
      <w:r w:rsidRPr="00A62D44">
        <w:t>not</w:t>
      </w:r>
      <w:r>
        <w:t xml:space="preserve"> </w:t>
      </w:r>
      <w:r w:rsidRPr="00A62D44">
        <w:t>always</w:t>
      </w:r>
      <w:r>
        <w:t xml:space="preserve"> </w:t>
      </w:r>
      <w:r w:rsidRPr="00A62D44">
        <w:t>or</w:t>
      </w:r>
      <w:r>
        <w:t xml:space="preserve"> </w:t>
      </w:r>
      <w:r w:rsidRPr="00A62D44">
        <w:t>even</w:t>
      </w:r>
      <w:r>
        <w:t xml:space="preserve"> </w:t>
      </w:r>
      <w:r w:rsidRPr="00A62D44">
        <w:t>often</w:t>
      </w:r>
      <w:r>
        <w:t xml:space="preserve"> </w:t>
      </w:r>
      <w:r w:rsidRPr="00A62D44">
        <w:t>precisely</w:t>
      </w:r>
      <w:r>
        <w:t xml:space="preserve"> </w:t>
      </w:r>
      <w:r w:rsidRPr="00A62D44">
        <w:t>measure</w:t>
      </w:r>
      <w:r>
        <w:t xml:space="preserve"> </w:t>
      </w:r>
      <w:r w:rsidRPr="00A62D44">
        <w:t>the</w:t>
      </w:r>
      <w:r>
        <w:t xml:space="preserve"> </w:t>
      </w:r>
      <w:r w:rsidRPr="00A62D44">
        <w:t>actual</w:t>
      </w:r>
      <w:r>
        <w:t xml:space="preserve"> </w:t>
      </w:r>
      <w:r w:rsidRPr="00A62D44">
        <w:t>social</w:t>
      </w:r>
      <w:r>
        <w:t xml:space="preserve"> </w:t>
      </w:r>
      <w:r w:rsidRPr="00A62D44">
        <w:t>phenomenon.</w:t>
      </w:r>
      <w:r>
        <w:t xml:space="preserve"> </w:t>
      </w:r>
      <w:r w:rsidRPr="00A62D44">
        <w:t>There</w:t>
      </w:r>
      <w:r>
        <w:t xml:space="preserve"> </w:t>
      </w:r>
      <w:r w:rsidRPr="00A62D44">
        <w:t>is</w:t>
      </w:r>
      <w:r>
        <w:t xml:space="preserve"> </w:t>
      </w:r>
      <w:r w:rsidRPr="00A62D44">
        <w:t>a</w:t>
      </w:r>
      <w:r>
        <w:t xml:space="preserve"> </w:t>
      </w:r>
      <w:r w:rsidRPr="00A62D44">
        <w:t>danger</w:t>
      </w:r>
      <w:r>
        <w:t xml:space="preserve"> </w:t>
      </w:r>
      <w:r w:rsidRPr="00A62D44">
        <w:t>that</w:t>
      </w:r>
      <w:r>
        <w:t xml:space="preserve"> </w:t>
      </w:r>
      <w:r w:rsidRPr="00A62D44">
        <w:t>what</w:t>
      </w:r>
      <w:r>
        <w:t xml:space="preserve"> </w:t>
      </w:r>
      <w:r w:rsidRPr="00A62D44">
        <w:t>is</w:t>
      </w:r>
      <w:r>
        <w:t xml:space="preserve"> </w:t>
      </w:r>
      <w:r w:rsidRPr="00A62D44">
        <w:t>counted</w:t>
      </w:r>
      <w:r>
        <w:t xml:space="preserve"> </w:t>
      </w:r>
      <w:r w:rsidRPr="00A62D44">
        <w:t>ends</w:t>
      </w:r>
      <w:r>
        <w:t xml:space="preserve"> </w:t>
      </w:r>
      <w:r w:rsidRPr="00A62D44">
        <w:t>up</w:t>
      </w:r>
      <w:r>
        <w:t xml:space="preserve"> </w:t>
      </w:r>
      <w:r w:rsidRPr="00A62D44">
        <w:t>being</w:t>
      </w:r>
      <w:r>
        <w:t xml:space="preserve"> </w:t>
      </w:r>
      <w:r w:rsidRPr="00A62D44">
        <w:t>what</w:t>
      </w:r>
      <w:r>
        <w:t xml:space="preserve"> </w:t>
      </w:r>
      <w:r w:rsidRPr="00A62D44">
        <w:t>counts,</w:t>
      </w:r>
      <w:r>
        <w:t xml:space="preserve"> </w:t>
      </w:r>
      <w:r w:rsidRPr="00A62D44">
        <w:t>such</w:t>
      </w:r>
      <w:r>
        <w:t xml:space="preserve"> </w:t>
      </w:r>
      <w:r w:rsidRPr="00A62D44">
        <w:t>that</w:t>
      </w:r>
      <w:r>
        <w:t xml:space="preserve"> </w:t>
      </w:r>
      <w:r w:rsidRPr="00A62D44">
        <w:t>future</w:t>
      </w:r>
      <w:r>
        <w:t xml:space="preserve"> </w:t>
      </w:r>
      <w:r w:rsidRPr="00A62D44">
        <w:t>policy</w:t>
      </w:r>
      <w:r>
        <w:t xml:space="preserve"> </w:t>
      </w:r>
      <w:r w:rsidRPr="00A62D44">
        <w:t>efforts</w:t>
      </w:r>
      <w:r>
        <w:t xml:space="preserve"> </w:t>
      </w:r>
      <w:r w:rsidRPr="00A62D44">
        <w:t>are</w:t>
      </w:r>
      <w:r>
        <w:t xml:space="preserve"> </w:t>
      </w:r>
      <w:r w:rsidRPr="00A62D44">
        <w:t>directed</w:t>
      </w:r>
      <w:r>
        <w:t xml:space="preserve"> </w:t>
      </w:r>
      <w:r w:rsidRPr="00A62D44">
        <w:t>to</w:t>
      </w:r>
      <w:r>
        <w:t xml:space="preserve"> </w:t>
      </w:r>
      <w:r w:rsidRPr="00A62D44">
        <w:t>the</w:t>
      </w:r>
      <w:r>
        <w:t xml:space="preserve"> </w:t>
      </w:r>
      <w:r w:rsidRPr="00A62D44">
        <w:t>focus</w:t>
      </w:r>
      <w:r>
        <w:t xml:space="preserve"> </w:t>
      </w:r>
      <w:r w:rsidRPr="00A62D44">
        <w:t>of</w:t>
      </w:r>
      <w:r>
        <w:t xml:space="preserve"> </w:t>
      </w:r>
      <w:r w:rsidRPr="00A62D44">
        <w:t>the</w:t>
      </w:r>
      <w:r>
        <w:t xml:space="preserve"> </w:t>
      </w:r>
      <w:r w:rsidRPr="00A62D44">
        <w:t>data</w:t>
      </w:r>
      <w:r>
        <w:t xml:space="preserve"> </w:t>
      </w:r>
      <w:r w:rsidRPr="00A62D44">
        <w:t>or</w:t>
      </w:r>
      <w:r>
        <w:t xml:space="preserve"> </w:t>
      </w:r>
      <w:r w:rsidRPr="00A62D44">
        <w:t>the</w:t>
      </w:r>
      <w:r>
        <w:t xml:space="preserve"> </w:t>
      </w:r>
      <w:r w:rsidRPr="00A62D44">
        <w:t>indicator</w:t>
      </w:r>
      <w:r>
        <w:t xml:space="preserve"> </w:t>
      </w:r>
      <w:r w:rsidRPr="00A62D44">
        <w:t>rather</w:t>
      </w:r>
      <w:r>
        <w:t xml:space="preserve"> </w:t>
      </w:r>
      <w:r w:rsidRPr="00A62D44">
        <w:t>than</w:t>
      </w:r>
      <w:r>
        <w:t xml:space="preserve"> </w:t>
      </w:r>
      <w:r w:rsidRPr="00A62D44">
        <w:t>the</w:t>
      </w:r>
      <w:r>
        <w:t xml:space="preserve"> </w:t>
      </w:r>
      <w:r w:rsidRPr="00A62D44">
        <w:t>real</w:t>
      </w:r>
      <w:r>
        <w:t xml:space="preserve"> </w:t>
      </w:r>
      <w:r w:rsidRPr="00A62D44">
        <w:t>problem</w:t>
      </w:r>
      <w:r>
        <w:t xml:space="preserve"> </w:t>
      </w:r>
      <w:r w:rsidRPr="00A62D44">
        <w:t>itself.</w:t>
      </w:r>
    </w:p>
    <w:p w14:paraId="40E4ABB7" w14:textId="66EDDFCC" w:rsidR="00437ED1" w:rsidRDefault="00437ED1" w:rsidP="00437ED1">
      <w:pPr>
        <w:pStyle w:val="BodyText"/>
      </w:pPr>
      <w:r w:rsidRPr="00A62D44">
        <w:t>In</w:t>
      </w:r>
      <w:r>
        <w:t xml:space="preserve"> </w:t>
      </w:r>
      <w:r w:rsidRPr="00A62D44">
        <w:t>this</w:t>
      </w:r>
      <w:r>
        <w:t xml:space="preserve"> </w:t>
      </w:r>
      <w:r w:rsidRPr="00A62D44">
        <w:t>monitoring</w:t>
      </w:r>
      <w:r>
        <w:t xml:space="preserve"> </w:t>
      </w:r>
      <w:r w:rsidRPr="00A62D44">
        <w:t>project,</w:t>
      </w:r>
      <w:r>
        <w:t xml:space="preserve"> </w:t>
      </w:r>
      <w:r w:rsidRPr="00A62D44">
        <w:t>we</w:t>
      </w:r>
      <w:r>
        <w:t xml:space="preserve"> </w:t>
      </w:r>
      <w:r w:rsidRPr="00A62D44">
        <w:t>have</w:t>
      </w:r>
      <w:r>
        <w:t xml:space="preserve"> </w:t>
      </w:r>
      <w:r w:rsidRPr="00A62D44">
        <w:t>deliberately</w:t>
      </w:r>
      <w:r>
        <w:t xml:space="preserve"> </w:t>
      </w:r>
      <w:r w:rsidRPr="00A62D44">
        <w:t>chosen</w:t>
      </w:r>
      <w:r>
        <w:t xml:space="preserve"> </w:t>
      </w:r>
      <w:r w:rsidRPr="00A62D44">
        <w:t>to</w:t>
      </w:r>
      <w:r>
        <w:t xml:space="preserve"> </w:t>
      </w:r>
      <w:r w:rsidRPr="00A62D44">
        <w:t>present</w:t>
      </w:r>
      <w:r>
        <w:t xml:space="preserve"> </w:t>
      </w:r>
      <w:r w:rsidRPr="00A62D44">
        <w:t>more</w:t>
      </w:r>
      <w:r>
        <w:t xml:space="preserve"> </w:t>
      </w:r>
      <w:r w:rsidRPr="00A62D44">
        <w:t>detail</w:t>
      </w:r>
      <w:r>
        <w:t xml:space="preserve"> </w:t>
      </w:r>
      <w:r w:rsidRPr="00A62D44">
        <w:t>and</w:t>
      </w:r>
      <w:r>
        <w:t xml:space="preserve"> </w:t>
      </w:r>
      <w:r w:rsidRPr="00A62D44">
        <w:t>complexity.</w:t>
      </w:r>
      <w:r>
        <w:t xml:space="preserve"> </w:t>
      </w:r>
      <w:r w:rsidRPr="00A62D44">
        <w:t>There</w:t>
      </w:r>
      <w:r>
        <w:t xml:space="preserve"> </w:t>
      </w:r>
      <w:r w:rsidRPr="00A62D44">
        <w:t>is</w:t>
      </w:r>
      <w:r>
        <w:t xml:space="preserve"> </w:t>
      </w:r>
      <w:r w:rsidRPr="00A62D44">
        <w:t>typically</w:t>
      </w:r>
      <w:r>
        <w:t xml:space="preserve"> </w:t>
      </w:r>
      <w:r w:rsidRPr="00A62D44">
        <w:t>more</w:t>
      </w:r>
      <w:r>
        <w:t xml:space="preserve"> </w:t>
      </w:r>
      <w:r w:rsidRPr="00A62D44">
        <w:t>than</w:t>
      </w:r>
      <w:r>
        <w:t xml:space="preserve"> </w:t>
      </w:r>
      <w:r w:rsidRPr="00A62D44">
        <w:t>one</w:t>
      </w:r>
      <w:r>
        <w:t xml:space="preserve"> </w:t>
      </w:r>
      <w:r w:rsidRPr="00A62D44">
        <w:t>data</w:t>
      </w:r>
      <w:r w:rsidR="002701B3">
        <w:t xml:space="preserve"> </w:t>
      </w:r>
      <w:r w:rsidRPr="00A62D44">
        <w:t>point</w:t>
      </w:r>
      <w:r>
        <w:t xml:space="preserve"> </w:t>
      </w:r>
      <w:r w:rsidRPr="00A62D44">
        <w:t>per</w:t>
      </w:r>
      <w:r>
        <w:t xml:space="preserve"> </w:t>
      </w:r>
      <w:r w:rsidRPr="00A62D44">
        <w:t>indicator</w:t>
      </w:r>
      <w:r>
        <w:t xml:space="preserve"> </w:t>
      </w:r>
      <w:r w:rsidRPr="00A62D44">
        <w:t>discussed</w:t>
      </w:r>
      <w:r>
        <w:t xml:space="preserve"> </w:t>
      </w:r>
      <w:r w:rsidRPr="00A62D44">
        <w:t>(that</w:t>
      </w:r>
      <w:r>
        <w:t xml:space="preserve"> </w:t>
      </w:r>
      <w:r w:rsidRPr="00A62D44">
        <w:t>is,</w:t>
      </w:r>
      <w:r>
        <w:t xml:space="preserve"> </w:t>
      </w:r>
      <w:r w:rsidRPr="00A62D44">
        <w:t>each</w:t>
      </w:r>
      <w:r w:rsidR="00154F63">
        <w:t> </w:t>
      </w:r>
      <w:r w:rsidRPr="00A62D44">
        <w:t>indicator</w:t>
      </w:r>
      <w:r>
        <w:t xml:space="preserve"> </w:t>
      </w:r>
      <w:r w:rsidRPr="00A62D44">
        <w:t>comprises</w:t>
      </w:r>
      <w:r>
        <w:t xml:space="preserve"> </w:t>
      </w:r>
      <w:r w:rsidRPr="00A62D44">
        <w:t>far</w:t>
      </w:r>
      <w:r>
        <w:t xml:space="preserve"> </w:t>
      </w:r>
      <w:r w:rsidRPr="00A62D44">
        <w:t>more</w:t>
      </w:r>
      <w:r>
        <w:t xml:space="preserve"> </w:t>
      </w:r>
      <w:r w:rsidRPr="00A62D44">
        <w:t>than</w:t>
      </w:r>
      <w:r>
        <w:t xml:space="preserve"> </w:t>
      </w:r>
      <w:r w:rsidRPr="00A62D44">
        <w:t>a</w:t>
      </w:r>
      <w:r>
        <w:t xml:space="preserve"> </w:t>
      </w:r>
      <w:r w:rsidRPr="00A62D44">
        <w:t>single</w:t>
      </w:r>
      <w:r>
        <w:t xml:space="preserve"> </w:t>
      </w:r>
      <w:r w:rsidRPr="00A62D44">
        <w:t>or</w:t>
      </w:r>
      <w:r>
        <w:t xml:space="preserve"> </w:t>
      </w:r>
      <w:r w:rsidRPr="00A62D44">
        <w:t>comparable</w:t>
      </w:r>
      <w:r>
        <w:t xml:space="preserve"> </w:t>
      </w:r>
      <w:r w:rsidRPr="00A62D44">
        <w:t>statistic).</w:t>
      </w:r>
      <w:r>
        <w:t xml:space="preserve"> </w:t>
      </w:r>
      <w:r w:rsidRPr="00A62D44">
        <w:t>We</w:t>
      </w:r>
      <w:r>
        <w:t xml:space="preserve"> </w:t>
      </w:r>
      <w:r w:rsidRPr="00A62D44">
        <w:t>have</w:t>
      </w:r>
      <w:r>
        <w:t xml:space="preserve"> </w:t>
      </w:r>
      <w:r w:rsidRPr="00A62D44">
        <w:t>drawn</w:t>
      </w:r>
      <w:r>
        <w:t xml:space="preserve"> </w:t>
      </w:r>
      <w:r w:rsidRPr="00A62D44">
        <w:t>attention</w:t>
      </w:r>
      <w:r>
        <w:t xml:space="preserve"> </w:t>
      </w:r>
      <w:r w:rsidRPr="00A62D44">
        <w:t>to</w:t>
      </w:r>
      <w:r>
        <w:t xml:space="preserve"> </w:t>
      </w:r>
      <w:r w:rsidRPr="00A62D44">
        <w:t>the</w:t>
      </w:r>
      <w:r>
        <w:t xml:space="preserve"> </w:t>
      </w:r>
      <w:r w:rsidRPr="00A62D44">
        <w:t>limitations</w:t>
      </w:r>
      <w:r>
        <w:t xml:space="preserve"> </w:t>
      </w:r>
      <w:r w:rsidRPr="00A62D44">
        <w:t>of</w:t>
      </w:r>
      <w:r>
        <w:t xml:space="preserve"> </w:t>
      </w:r>
      <w:r w:rsidRPr="00A62D44">
        <w:t>the</w:t>
      </w:r>
      <w:r>
        <w:t xml:space="preserve"> </w:t>
      </w:r>
      <w:r w:rsidRPr="00A62D44">
        <w:t>data</w:t>
      </w:r>
      <w:r>
        <w:t xml:space="preserve"> </w:t>
      </w:r>
      <w:r w:rsidRPr="00A62D44">
        <w:t>we</w:t>
      </w:r>
      <w:r>
        <w:t xml:space="preserve"> </w:t>
      </w:r>
      <w:r w:rsidRPr="00A62D44">
        <w:t>are</w:t>
      </w:r>
      <w:r>
        <w:t xml:space="preserve"> </w:t>
      </w:r>
      <w:r w:rsidRPr="00A62D44">
        <w:t>drawing</w:t>
      </w:r>
      <w:r>
        <w:t xml:space="preserve"> </w:t>
      </w:r>
      <w:r w:rsidRPr="00A62D44">
        <w:t>on,</w:t>
      </w:r>
      <w:r>
        <w:t xml:space="preserve"> </w:t>
      </w:r>
      <w:r w:rsidRPr="00A62D44">
        <w:t>and</w:t>
      </w:r>
      <w:r>
        <w:t xml:space="preserve"> </w:t>
      </w:r>
      <w:r w:rsidRPr="00A62D44">
        <w:t>have</w:t>
      </w:r>
      <w:r>
        <w:t xml:space="preserve"> </w:t>
      </w:r>
      <w:r w:rsidRPr="00A62D44">
        <w:t>been</w:t>
      </w:r>
      <w:r>
        <w:t xml:space="preserve"> </w:t>
      </w:r>
      <w:r w:rsidRPr="00A62D44">
        <w:t>cautious</w:t>
      </w:r>
      <w:r>
        <w:t xml:space="preserve"> </w:t>
      </w:r>
      <w:r w:rsidRPr="00A62D44">
        <w:t>and</w:t>
      </w:r>
      <w:r>
        <w:t xml:space="preserve"> </w:t>
      </w:r>
      <w:r w:rsidRPr="00A62D44">
        <w:t>qualified</w:t>
      </w:r>
      <w:r>
        <w:t xml:space="preserve"> in </w:t>
      </w:r>
      <w:r w:rsidRPr="00A62D44">
        <w:t>our</w:t>
      </w:r>
      <w:r>
        <w:t xml:space="preserve"> </w:t>
      </w:r>
      <w:r w:rsidRPr="00A62D44">
        <w:t>interpretations.</w:t>
      </w:r>
      <w:r>
        <w:t xml:space="preserve"> </w:t>
      </w:r>
      <w:r w:rsidRPr="00A62D44">
        <w:t>Where</w:t>
      </w:r>
      <w:r>
        <w:t xml:space="preserve"> </w:t>
      </w:r>
      <w:r w:rsidRPr="00A62D44">
        <w:t>possible</w:t>
      </w:r>
      <w:r>
        <w:t xml:space="preserve">, </w:t>
      </w:r>
      <w:r w:rsidRPr="00A62D44">
        <w:t>we</w:t>
      </w:r>
      <w:r>
        <w:t xml:space="preserve"> </w:t>
      </w:r>
      <w:r w:rsidRPr="00A62D44">
        <w:t>have</w:t>
      </w:r>
      <w:r>
        <w:t xml:space="preserve"> </w:t>
      </w:r>
      <w:r w:rsidRPr="00A62D44">
        <w:t>drawn</w:t>
      </w:r>
      <w:r>
        <w:t xml:space="preserve"> </w:t>
      </w:r>
      <w:r w:rsidRPr="00A62D44">
        <w:t>upon</w:t>
      </w:r>
      <w:r>
        <w:t xml:space="preserve"> </w:t>
      </w:r>
      <w:r w:rsidRPr="00A62D44">
        <w:t>other</w:t>
      </w:r>
      <w:r>
        <w:t xml:space="preserve"> </w:t>
      </w:r>
      <w:r w:rsidRPr="00A62D44">
        <w:t>studies</w:t>
      </w:r>
      <w:r>
        <w:t xml:space="preserve"> </w:t>
      </w:r>
      <w:r w:rsidRPr="00A62D44">
        <w:t>to</w:t>
      </w:r>
      <w:r>
        <w:t xml:space="preserve"> </w:t>
      </w:r>
      <w:r w:rsidRPr="00A62D44">
        <w:t>supplement</w:t>
      </w:r>
      <w:r>
        <w:t xml:space="preserve"> </w:t>
      </w:r>
      <w:r w:rsidRPr="00A62D44">
        <w:t>the</w:t>
      </w:r>
      <w:r>
        <w:t xml:space="preserve"> </w:t>
      </w:r>
      <w:r w:rsidRPr="00A62D44">
        <w:t>limits</w:t>
      </w:r>
      <w:r>
        <w:t xml:space="preserve"> </w:t>
      </w:r>
      <w:r w:rsidRPr="00A62D44">
        <w:t>of</w:t>
      </w:r>
      <w:r>
        <w:t xml:space="preserve"> </w:t>
      </w:r>
      <w:r w:rsidRPr="00A62D44">
        <w:t>major</w:t>
      </w:r>
      <w:r>
        <w:t xml:space="preserve"> </w:t>
      </w:r>
      <w:r w:rsidRPr="00A62D44">
        <w:t>datasets.</w:t>
      </w:r>
    </w:p>
    <w:p w14:paraId="1F9C67F2" w14:textId="77777777" w:rsidR="00437ED1" w:rsidRDefault="00437ED1" w:rsidP="00437ED1">
      <w:pPr>
        <w:pStyle w:val="BodyText"/>
      </w:pPr>
      <w:r w:rsidRPr="00A62D44">
        <w:t>In</w:t>
      </w:r>
      <w:r>
        <w:t xml:space="preserve"> </w:t>
      </w:r>
      <w:r w:rsidRPr="00A62D44">
        <w:t>this</w:t>
      </w:r>
      <w:r>
        <w:t xml:space="preserve"> </w:t>
      </w:r>
      <w:r w:rsidRPr="00A62D44">
        <w:t>report</w:t>
      </w:r>
      <w:r>
        <w:t xml:space="preserve"> </w:t>
      </w:r>
      <w:r w:rsidRPr="00A62D44">
        <w:t>we</w:t>
      </w:r>
      <w:r>
        <w:t xml:space="preserve"> </w:t>
      </w:r>
      <w:r w:rsidRPr="00A62D44">
        <w:t>have</w:t>
      </w:r>
      <w:r>
        <w:t xml:space="preserve"> </w:t>
      </w:r>
      <w:r w:rsidRPr="00A62D44">
        <w:t>reported</w:t>
      </w:r>
      <w:r>
        <w:t xml:space="preserve"> </w:t>
      </w:r>
      <w:r w:rsidRPr="00A62D44">
        <w:t>on</w:t>
      </w:r>
      <w:r>
        <w:t xml:space="preserve"> </w:t>
      </w:r>
      <w:r w:rsidRPr="00A62D44">
        <w:t>disaggregation</w:t>
      </w:r>
      <w:r>
        <w:t xml:space="preserve"> </w:t>
      </w:r>
      <w:r w:rsidRPr="00A62D44">
        <w:t>by</w:t>
      </w:r>
      <w:r>
        <w:t xml:space="preserve"> </w:t>
      </w:r>
      <w:r w:rsidRPr="00A62D44">
        <w:t>demographic</w:t>
      </w:r>
      <w:r>
        <w:t xml:space="preserve"> </w:t>
      </w:r>
      <w:r w:rsidRPr="00A62D44">
        <w:t>categories</w:t>
      </w:r>
      <w:r>
        <w:t xml:space="preserve"> </w:t>
      </w:r>
      <w:r w:rsidRPr="00A62D44">
        <w:t>in</w:t>
      </w:r>
      <w:r>
        <w:t xml:space="preserve"> </w:t>
      </w:r>
      <w:r w:rsidRPr="00A62D44">
        <w:t>addition</w:t>
      </w:r>
      <w:r>
        <w:t xml:space="preserve"> </w:t>
      </w:r>
      <w:r w:rsidRPr="00A62D44">
        <w:t>to</w:t>
      </w:r>
      <w:r>
        <w:t xml:space="preserve"> </w:t>
      </w:r>
      <w:r w:rsidRPr="00A62D44">
        <w:t>gender</w:t>
      </w:r>
      <w:r>
        <w:t xml:space="preserve"> </w:t>
      </w:r>
      <w:r w:rsidRPr="00A62D44">
        <w:t>for</w:t>
      </w:r>
      <w:r>
        <w:t xml:space="preserve"> </w:t>
      </w:r>
      <w:r w:rsidRPr="00A62D44">
        <w:t>any</w:t>
      </w:r>
      <w:r>
        <w:t xml:space="preserve"> </w:t>
      </w:r>
      <w:r w:rsidRPr="00A62D44">
        <w:t>publicly</w:t>
      </w:r>
      <w:r>
        <w:t xml:space="preserve"> </w:t>
      </w:r>
      <w:r w:rsidRPr="00A62D44">
        <w:t>available</w:t>
      </w:r>
      <w:r>
        <w:t xml:space="preserve"> </w:t>
      </w:r>
      <w:r w:rsidRPr="00A62D44">
        <w:t>data</w:t>
      </w:r>
      <w:r>
        <w:t xml:space="preserve"> </w:t>
      </w:r>
      <w:r w:rsidRPr="00A62D44">
        <w:t>where</w:t>
      </w:r>
      <w:r>
        <w:t xml:space="preserve"> </w:t>
      </w:r>
      <w:r w:rsidRPr="00A62D44">
        <w:t>meaningful</w:t>
      </w:r>
      <w:r>
        <w:t xml:space="preserve"> </w:t>
      </w:r>
      <w:r w:rsidRPr="00A62D44">
        <w:t>to</w:t>
      </w:r>
      <w:r>
        <w:t xml:space="preserve"> </w:t>
      </w:r>
      <w:r w:rsidRPr="00A62D44">
        <w:t>the</w:t>
      </w:r>
      <w:r>
        <w:t xml:space="preserve"> </w:t>
      </w:r>
      <w:r w:rsidRPr="00A62D44">
        <w:t>indicator</w:t>
      </w:r>
      <w:r>
        <w:t xml:space="preserve"> </w:t>
      </w:r>
      <w:r w:rsidRPr="00A62D44">
        <w:t>findings.</w:t>
      </w:r>
      <w:r>
        <w:t xml:space="preserve"> </w:t>
      </w:r>
      <w:r w:rsidRPr="00A62D44">
        <w:t>However,</w:t>
      </w:r>
      <w:r>
        <w:t xml:space="preserve"> </w:t>
      </w:r>
      <w:r w:rsidRPr="00A62D44">
        <w:lastRenderedPageBreak/>
        <w:t>even</w:t>
      </w:r>
      <w:r>
        <w:t xml:space="preserve"> </w:t>
      </w:r>
      <w:r w:rsidRPr="00A62D44">
        <w:t>with</w:t>
      </w:r>
      <w:r>
        <w:t xml:space="preserve"> </w:t>
      </w:r>
      <w:r w:rsidRPr="00A62D44">
        <w:t>a</w:t>
      </w:r>
      <w:r>
        <w:t xml:space="preserve"> </w:t>
      </w:r>
      <w:r w:rsidRPr="00A62D44">
        <w:t>commitment</w:t>
      </w:r>
      <w:r>
        <w:t xml:space="preserve"> </w:t>
      </w:r>
      <w:r w:rsidRPr="00A62D44">
        <w:t>to</w:t>
      </w:r>
      <w:r>
        <w:t xml:space="preserve"> </w:t>
      </w:r>
      <w:r w:rsidRPr="00A62D44">
        <w:t>disaggregated</w:t>
      </w:r>
      <w:r>
        <w:t xml:space="preserve"> </w:t>
      </w:r>
      <w:r w:rsidRPr="00A62D44">
        <w:t>reporting,</w:t>
      </w:r>
      <w:r>
        <w:t xml:space="preserve"> </w:t>
      </w:r>
      <w:r w:rsidRPr="00A62D44">
        <w:t>and</w:t>
      </w:r>
      <w:r>
        <w:t xml:space="preserve"> </w:t>
      </w:r>
      <w:r w:rsidRPr="00A62D44">
        <w:t>even</w:t>
      </w:r>
      <w:r>
        <w:t xml:space="preserve"> </w:t>
      </w:r>
      <w:r w:rsidRPr="00A62D44">
        <w:t>where</w:t>
      </w:r>
      <w:r>
        <w:t xml:space="preserve"> </w:t>
      </w:r>
      <w:r w:rsidRPr="00A62D44">
        <w:t>datasets</w:t>
      </w:r>
      <w:r>
        <w:t xml:space="preserve"> </w:t>
      </w:r>
      <w:r w:rsidRPr="00A62D44">
        <w:t>have</w:t>
      </w:r>
      <w:r>
        <w:t xml:space="preserve"> </w:t>
      </w:r>
      <w:r w:rsidRPr="00A62D44">
        <w:t>a</w:t>
      </w:r>
      <w:r>
        <w:t xml:space="preserve"> </w:t>
      </w:r>
      <w:r w:rsidRPr="00A62D44">
        <w:t>sample</w:t>
      </w:r>
      <w:r>
        <w:t xml:space="preserve"> </w:t>
      </w:r>
      <w:r w:rsidRPr="00A62D44">
        <w:t>size</w:t>
      </w:r>
      <w:r>
        <w:t xml:space="preserve"> </w:t>
      </w:r>
      <w:r w:rsidRPr="00A62D44">
        <w:t>large</w:t>
      </w:r>
      <w:r>
        <w:t xml:space="preserve"> </w:t>
      </w:r>
      <w:r w:rsidRPr="00A62D44">
        <w:t>enough</w:t>
      </w:r>
      <w:r>
        <w:t xml:space="preserve"> </w:t>
      </w:r>
      <w:r w:rsidRPr="00A62D44">
        <w:t>to</w:t>
      </w:r>
      <w:r>
        <w:t xml:space="preserve"> </w:t>
      </w:r>
      <w:r w:rsidRPr="00A62D44">
        <w:t>provide</w:t>
      </w:r>
      <w:r>
        <w:t xml:space="preserve"> </w:t>
      </w:r>
      <w:r w:rsidRPr="00A62D44">
        <w:t>disaggregated</w:t>
      </w:r>
      <w:r>
        <w:t xml:space="preserve"> </w:t>
      </w:r>
      <w:r w:rsidRPr="00A62D44">
        <w:t>data</w:t>
      </w:r>
      <w:r>
        <w:t xml:space="preserve"> </w:t>
      </w:r>
      <w:r w:rsidRPr="00A62D44">
        <w:t>by</w:t>
      </w:r>
      <w:r>
        <w:t xml:space="preserve"> </w:t>
      </w:r>
      <w:r w:rsidRPr="00A62D44">
        <w:t>sex/gender</w:t>
      </w:r>
      <w:r>
        <w:t xml:space="preserve"> </w:t>
      </w:r>
      <w:r w:rsidRPr="00A62D44">
        <w:t>and</w:t>
      </w:r>
      <w:r>
        <w:t xml:space="preserve"> </w:t>
      </w:r>
      <w:r w:rsidRPr="00A62D44">
        <w:t>at</w:t>
      </w:r>
      <w:r>
        <w:t xml:space="preserve"> </w:t>
      </w:r>
      <w:r w:rsidRPr="00A62D44">
        <w:t>least</w:t>
      </w:r>
      <w:r>
        <w:t xml:space="preserve"> </w:t>
      </w:r>
      <w:r w:rsidRPr="00A62D44">
        <w:t>one</w:t>
      </w:r>
      <w:r>
        <w:t xml:space="preserve"> </w:t>
      </w:r>
      <w:r w:rsidRPr="00A62D44">
        <w:t>other</w:t>
      </w:r>
      <w:r>
        <w:t xml:space="preserve"> </w:t>
      </w:r>
      <w:r w:rsidRPr="00A62D44">
        <w:t>demographic</w:t>
      </w:r>
      <w:r>
        <w:t xml:space="preserve"> </w:t>
      </w:r>
      <w:r w:rsidRPr="00A62D44">
        <w:t>characteristic,</w:t>
      </w:r>
      <w:r>
        <w:t xml:space="preserve"> </w:t>
      </w:r>
      <w:r w:rsidRPr="00A62D44">
        <w:t>use</w:t>
      </w:r>
      <w:r>
        <w:t xml:space="preserve"> </w:t>
      </w:r>
      <w:r w:rsidRPr="00A62D44">
        <w:t>of</w:t>
      </w:r>
      <w:r>
        <w:t xml:space="preserve"> </w:t>
      </w:r>
      <w:r w:rsidRPr="00A62D44">
        <w:t>population</w:t>
      </w:r>
      <w:r>
        <w:t xml:space="preserve"> </w:t>
      </w:r>
      <w:r w:rsidRPr="00A62D44">
        <w:t>datasets</w:t>
      </w:r>
      <w:r>
        <w:t xml:space="preserve"> </w:t>
      </w:r>
      <w:r w:rsidRPr="00A62D44">
        <w:t>still</w:t>
      </w:r>
      <w:r>
        <w:t xml:space="preserve"> </w:t>
      </w:r>
      <w:r w:rsidRPr="00A62D44">
        <w:t>risks</w:t>
      </w:r>
      <w:r>
        <w:t xml:space="preserve"> </w:t>
      </w:r>
      <w:r w:rsidRPr="00A62D44">
        <w:t>reinforcing</w:t>
      </w:r>
      <w:r>
        <w:t xml:space="preserve"> </w:t>
      </w:r>
      <w:r w:rsidRPr="00A62D44">
        <w:t>structural</w:t>
      </w:r>
      <w:r>
        <w:t xml:space="preserve"> </w:t>
      </w:r>
      <w:r w:rsidRPr="00A62D44">
        <w:t>inequalities,</w:t>
      </w:r>
      <w:r>
        <w:t xml:space="preserve"> </w:t>
      </w:r>
      <w:r w:rsidRPr="00A62D44">
        <w:t>stereotypes</w:t>
      </w:r>
      <w:r>
        <w:t xml:space="preserve"> </w:t>
      </w:r>
      <w:r w:rsidRPr="00A62D44">
        <w:t>and</w:t>
      </w:r>
      <w:r>
        <w:t xml:space="preserve"> </w:t>
      </w:r>
      <w:r w:rsidRPr="00A62D44">
        <w:t>invisibilities.</w:t>
      </w:r>
    </w:p>
    <w:p w14:paraId="4E4C67EF" w14:textId="35CCFDAF" w:rsidR="00437ED1" w:rsidRDefault="00437ED1" w:rsidP="00437ED1">
      <w:pPr>
        <w:pStyle w:val="BodyText"/>
      </w:pPr>
      <w:r w:rsidRPr="00A62D44">
        <w:t>The</w:t>
      </w:r>
      <w:r>
        <w:t xml:space="preserve"> </w:t>
      </w:r>
      <w:r w:rsidRPr="00A62D44">
        <w:t>development</w:t>
      </w:r>
      <w:r>
        <w:t xml:space="preserve"> </w:t>
      </w:r>
      <w:r w:rsidRPr="00A62D44">
        <w:t>of</w:t>
      </w:r>
      <w:r>
        <w:t xml:space="preserve"> </w:t>
      </w:r>
      <w:r w:rsidRPr="00A62D44">
        <w:t>population</w:t>
      </w:r>
      <w:r>
        <w:t xml:space="preserve"> </w:t>
      </w:r>
      <w:r w:rsidRPr="00A62D44">
        <w:t>datasets</w:t>
      </w:r>
      <w:r>
        <w:t xml:space="preserve"> </w:t>
      </w:r>
      <w:r w:rsidRPr="00A62D44">
        <w:t>involves</w:t>
      </w:r>
      <w:r>
        <w:t xml:space="preserve"> </w:t>
      </w:r>
      <w:r w:rsidRPr="00A62D44">
        <w:t>the</w:t>
      </w:r>
      <w:r>
        <w:t xml:space="preserve"> </w:t>
      </w:r>
      <w:r w:rsidRPr="00A62D44">
        <w:t>social</w:t>
      </w:r>
      <w:r>
        <w:t xml:space="preserve"> </w:t>
      </w:r>
      <w:r w:rsidRPr="00A62D44">
        <w:t>construction</w:t>
      </w:r>
      <w:r>
        <w:t xml:space="preserve"> </w:t>
      </w:r>
      <w:r w:rsidRPr="00A62D44">
        <w:t>of</w:t>
      </w:r>
      <w:r>
        <w:t xml:space="preserve"> </w:t>
      </w:r>
      <w:r w:rsidRPr="00A62D44">
        <w:t>demographic</w:t>
      </w:r>
      <w:r>
        <w:t xml:space="preserve"> </w:t>
      </w:r>
      <w:r w:rsidRPr="00A62D44">
        <w:t>categories</w:t>
      </w:r>
      <w:r>
        <w:t xml:space="preserve"> </w:t>
      </w:r>
      <w:r w:rsidRPr="00A62D44">
        <w:t>within</w:t>
      </w:r>
      <w:r>
        <w:t xml:space="preserve"> </w:t>
      </w:r>
      <w:r w:rsidRPr="00A62D44">
        <w:t>which</w:t>
      </w:r>
      <w:r>
        <w:t xml:space="preserve"> </w:t>
      </w:r>
      <w:r w:rsidRPr="00A62D44">
        <w:t>to</w:t>
      </w:r>
      <w:r>
        <w:t xml:space="preserve"> </w:t>
      </w:r>
      <w:r w:rsidRPr="00A62D44">
        <w:t>group</w:t>
      </w:r>
      <w:r>
        <w:t xml:space="preserve"> </w:t>
      </w:r>
      <w:r w:rsidRPr="00A62D44">
        <w:t>people</w:t>
      </w:r>
      <w:r>
        <w:t xml:space="preserve"> </w:t>
      </w:r>
      <w:r w:rsidRPr="00A62D44">
        <w:t>as</w:t>
      </w:r>
      <w:r>
        <w:t xml:space="preserve"> </w:t>
      </w:r>
      <w:r w:rsidRPr="00A62D44">
        <w:t>well</w:t>
      </w:r>
      <w:r>
        <w:t xml:space="preserve"> </w:t>
      </w:r>
      <w:r w:rsidRPr="00A62D44">
        <w:t>as</w:t>
      </w:r>
      <w:r>
        <w:t xml:space="preserve"> </w:t>
      </w:r>
      <w:r w:rsidRPr="00A62D44">
        <w:t>choices</w:t>
      </w:r>
      <w:r>
        <w:t xml:space="preserve"> </w:t>
      </w:r>
      <w:r w:rsidRPr="00A62D44">
        <w:t>about</w:t>
      </w:r>
      <w:r>
        <w:t xml:space="preserve"> </w:t>
      </w:r>
      <w:r w:rsidRPr="00A62D44">
        <w:t>how</w:t>
      </w:r>
      <w:r>
        <w:t xml:space="preserve"> </w:t>
      </w:r>
      <w:r w:rsidRPr="00A62D44">
        <w:t>to</w:t>
      </w:r>
      <w:r>
        <w:t xml:space="preserve"> </w:t>
      </w:r>
      <w:r w:rsidRPr="00A62D44">
        <w:t>define</w:t>
      </w:r>
      <w:r>
        <w:t xml:space="preserve"> </w:t>
      </w:r>
      <w:r w:rsidRPr="00A62D44">
        <w:t>or</w:t>
      </w:r>
      <w:r>
        <w:t xml:space="preserve"> </w:t>
      </w:r>
      <w:r w:rsidRPr="00A62D44">
        <w:t>categorise</w:t>
      </w:r>
      <w:r>
        <w:t xml:space="preserve"> </w:t>
      </w:r>
      <w:r w:rsidRPr="00A62D44">
        <w:t>issues</w:t>
      </w:r>
      <w:r>
        <w:t xml:space="preserve"> </w:t>
      </w:r>
      <w:r w:rsidRPr="00A62D44">
        <w:t>of</w:t>
      </w:r>
      <w:r>
        <w:t xml:space="preserve"> </w:t>
      </w:r>
      <w:r w:rsidRPr="00A62D44">
        <w:t>interest.</w:t>
      </w:r>
      <w:r>
        <w:t xml:space="preserve"> </w:t>
      </w:r>
      <w:r w:rsidRPr="00A62D44">
        <w:t>The</w:t>
      </w:r>
      <w:r>
        <w:t xml:space="preserve"> </w:t>
      </w:r>
      <w:r w:rsidRPr="00A62D44">
        <w:t>methodological</w:t>
      </w:r>
      <w:r>
        <w:t xml:space="preserve">, </w:t>
      </w:r>
      <w:r w:rsidRPr="00A62D44">
        <w:t>administration</w:t>
      </w:r>
      <w:r>
        <w:t xml:space="preserve"> </w:t>
      </w:r>
      <w:r w:rsidRPr="00A62D44">
        <w:t>and</w:t>
      </w:r>
      <w:r>
        <w:t xml:space="preserve"> </w:t>
      </w:r>
      <w:r w:rsidRPr="00A62D44">
        <w:t>sampling</w:t>
      </w:r>
      <w:r>
        <w:t xml:space="preserve"> </w:t>
      </w:r>
      <w:r w:rsidRPr="00A62D44">
        <w:t>techniques</w:t>
      </w:r>
      <w:r>
        <w:t xml:space="preserve"> </w:t>
      </w:r>
      <w:r w:rsidRPr="00A62D44">
        <w:t>of</w:t>
      </w:r>
      <w:r>
        <w:t xml:space="preserve"> </w:t>
      </w:r>
      <w:r w:rsidRPr="00A62D44">
        <w:t>data</w:t>
      </w:r>
      <w:r>
        <w:t xml:space="preserve"> </w:t>
      </w:r>
      <w:r w:rsidRPr="00A62D44">
        <w:t>instruments</w:t>
      </w:r>
      <w:r>
        <w:t xml:space="preserve"> </w:t>
      </w:r>
      <w:r w:rsidRPr="00A62D44">
        <w:t>also</w:t>
      </w:r>
      <w:r>
        <w:t xml:space="preserve"> </w:t>
      </w:r>
      <w:r w:rsidRPr="00A62D44">
        <w:t>require</w:t>
      </w:r>
      <w:r>
        <w:t xml:space="preserve"> </w:t>
      </w:r>
      <w:r w:rsidRPr="00A62D44">
        <w:t>choices</w:t>
      </w:r>
      <w:r>
        <w:t xml:space="preserve"> </w:t>
      </w:r>
      <w:r w:rsidRPr="00A62D44">
        <w:t>about</w:t>
      </w:r>
      <w:r>
        <w:t xml:space="preserve"> </w:t>
      </w:r>
      <w:r w:rsidRPr="00A62D44">
        <w:t>who</w:t>
      </w:r>
      <w:r>
        <w:t xml:space="preserve"> </w:t>
      </w:r>
      <w:r w:rsidRPr="00A62D44">
        <w:t>to</w:t>
      </w:r>
      <w:r>
        <w:t xml:space="preserve"> </w:t>
      </w:r>
      <w:r w:rsidRPr="00A62D44">
        <w:t>include</w:t>
      </w:r>
      <w:r>
        <w:t xml:space="preserve"> </w:t>
      </w:r>
      <w:r w:rsidRPr="00A62D44">
        <w:t>and</w:t>
      </w:r>
      <w:r>
        <w:t xml:space="preserve"> </w:t>
      </w:r>
      <w:r w:rsidRPr="00A62D44">
        <w:t>how.</w:t>
      </w:r>
      <w:r>
        <w:t xml:space="preserve"> </w:t>
      </w:r>
      <w:r w:rsidRPr="00A62D44">
        <w:t>Moreover,</w:t>
      </w:r>
      <w:r>
        <w:t xml:space="preserve"> </w:t>
      </w:r>
      <w:r w:rsidRPr="00A62D44">
        <w:t>the</w:t>
      </w:r>
      <w:r>
        <w:t xml:space="preserve"> </w:t>
      </w:r>
      <w:r w:rsidRPr="00A62D44">
        <w:t>purpose</w:t>
      </w:r>
      <w:r>
        <w:t xml:space="preserve"> </w:t>
      </w:r>
      <w:r w:rsidRPr="00A62D44">
        <w:t>of</w:t>
      </w:r>
      <w:r>
        <w:t xml:space="preserve"> </w:t>
      </w:r>
      <w:r w:rsidRPr="00A62D44">
        <w:t>each</w:t>
      </w:r>
      <w:r>
        <w:t xml:space="preserve"> </w:t>
      </w:r>
      <w:r w:rsidRPr="00A62D44">
        <w:t>data</w:t>
      </w:r>
      <w:r>
        <w:t xml:space="preserve"> </w:t>
      </w:r>
      <w:r w:rsidRPr="00A62D44">
        <w:t>instrument,</w:t>
      </w:r>
      <w:r>
        <w:t xml:space="preserve"> </w:t>
      </w:r>
      <w:r w:rsidRPr="00A62D44">
        <w:t>the</w:t>
      </w:r>
      <w:r>
        <w:t xml:space="preserve"> </w:t>
      </w:r>
      <w:r w:rsidRPr="00A62D44">
        <w:t>power</w:t>
      </w:r>
      <w:r>
        <w:t xml:space="preserve"> </w:t>
      </w:r>
      <w:r w:rsidRPr="00A62D44">
        <w:t>relations</w:t>
      </w:r>
      <w:r>
        <w:t xml:space="preserve"> </w:t>
      </w:r>
      <w:r w:rsidRPr="00A62D44">
        <w:t>involved</w:t>
      </w:r>
      <w:r>
        <w:t xml:space="preserve"> </w:t>
      </w:r>
      <w:r w:rsidRPr="00A62D44">
        <w:t>in</w:t>
      </w:r>
      <w:r>
        <w:t xml:space="preserve"> </w:t>
      </w:r>
      <w:r w:rsidRPr="00A62D44">
        <w:t>the</w:t>
      </w:r>
      <w:r>
        <w:t xml:space="preserve"> </w:t>
      </w:r>
      <w:r w:rsidRPr="00A62D44">
        <w:t>organisations</w:t>
      </w:r>
      <w:r>
        <w:t xml:space="preserve"> </w:t>
      </w:r>
      <w:r w:rsidRPr="00A62D44">
        <w:t>developing</w:t>
      </w:r>
      <w:r>
        <w:t xml:space="preserve"> </w:t>
      </w:r>
      <w:r w:rsidRPr="00A62D44">
        <w:t>and</w:t>
      </w:r>
      <w:r>
        <w:t xml:space="preserve"> </w:t>
      </w:r>
      <w:r w:rsidRPr="00A62D44">
        <w:t>administering</w:t>
      </w:r>
      <w:r>
        <w:t xml:space="preserve"> </w:t>
      </w:r>
      <w:r w:rsidRPr="00A62D44">
        <w:t>it,</w:t>
      </w:r>
      <w:r>
        <w:t xml:space="preserve"> </w:t>
      </w:r>
      <w:r w:rsidRPr="00A62D44">
        <w:t>and</w:t>
      </w:r>
      <w:r>
        <w:t xml:space="preserve"> </w:t>
      </w:r>
      <w:r w:rsidRPr="00A62D44">
        <w:t>the</w:t>
      </w:r>
      <w:r>
        <w:t xml:space="preserve"> </w:t>
      </w:r>
      <w:r w:rsidRPr="00A62D44">
        <w:t>personnel</w:t>
      </w:r>
      <w:r>
        <w:t xml:space="preserve"> </w:t>
      </w:r>
      <w:r w:rsidRPr="00A62D44">
        <w:t>involved,</w:t>
      </w:r>
      <w:r>
        <w:t xml:space="preserve"> </w:t>
      </w:r>
      <w:r w:rsidRPr="00A62D44">
        <w:t>or</w:t>
      </w:r>
      <w:r>
        <w:t xml:space="preserve"> </w:t>
      </w:r>
      <w:r w:rsidRPr="00A62D44">
        <w:t>not</w:t>
      </w:r>
      <w:r>
        <w:t xml:space="preserve"> </w:t>
      </w:r>
      <w:r w:rsidRPr="00A62D44">
        <w:t>involved,</w:t>
      </w:r>
      <w:r>
        <w:t xml:space="preserve"> </w:t>
      </w:r>
      <w:r w:rsidRPr="00A62D44">
        <w:t>in</w:t>
      </w:r>
      <w:r>
        <w:t xml:space="preserve"> </w:t>
      </w:r>
      <w:r w:rsidRPr="00A62D44">
        <w:t>its</w:t>
      </w:r>
      <w:r>
        <w:t xml:space="preserve"> </w:t>
      </w:r>
      <w:r w:rsidRPr="00A62D44">
        <w:t>design</w:t>
      </w:r>
      <w:r>
        <w:t xml:space="preserve"> </w:t>
      </w:r>
      <w:r w:rsidRPr="00A62D44">
        <w:t>all</w:t>
      </w:r>
      <w:r>
        <w:t xml:space="preserve"> </w:t>
      </w:r>
      <w:r w:rsidRPr="00A62D44">
        <w:t>have</w:t>
      </w:r>
      <w:r>
        <w:t xml:space="preserve"> </w:t>
      </w:r>
      <w:r w:rsidRPr="00A62D44">
        <w:t>implications</w:t>
      </w:r>
      <w:r>
        <w:t xml:space="preserve"> </w:t>
      </w:r>
      <w:r w:rsidRPr="00A62D44">
        <w:t>for</w:t>
      </w:r>
      <w:r>
        <w:t xml:space="preserve"> </w:t>
      </w:r>
      <w:r w:rsidRPr="00A62D44">
        <w:t>‘who</w:t>
      </w:r>
      <w:r>
        <w:t xml:space="preserve"> </w:t>
      </w:r>
      <w:r w:rsidRPr="00A62D44">
        <w:t>and</w:t>
      </w:r>
      <w:r>
        <w:t xml:space="preserve"> </w:t>
      </w:r>
      <w:r w:rsidRPr="00A62D44">
        <w:t>what</w:t>
      </w:r>
      <w:r>
        <w:t xml:space="preserve"> </w:t>
      </w:r>
      <w:r w:rsidRPr="00A62D44">
        <w:t>counts’.</w:t>
      </w:r>
      <w:r>
        <w:t xml:space="preserve"> </w:t>
      </w:r>
      <w:r w:rsidRPr="00A62D44">
        <w:t>All</w:t>
      </w:r>
      <w:r>
        <w:t xml:space="preserve"> </w:t>
      </w:r>
      <w:r w:rsidRPr="00A62D44">
        <w:t>these</w:t>
      </w:r>
      <w:r>
        <w:t xml:space="preserve"> </w:t>
      </w:r>
      <w:r w:rsidRPr="00A62D44">
        <w:t>factors</w:t>
      </w:r>
      <w:r>
        <w:t xml:space="preserve"> </w:t>
      </w:r>
      <w:r w:rsidRPr="00A62D44">
        <w:t>associated</w:t>
      </w:r>
      <w:r>
        <w:t xml:space="preserve"> </w:t>
      </w:r>
      <w:r w:rsidRPr="00A62D44">
        <w:t>with</w:t>
      </w:r>
      <w:r>
        <w:t xml:space="preserve"> </w:t>
      </w:r>
      <w:r w:rsidRPr="00A62D44">
        <w:t>the</w:t>
      </w:r>
      <w:r>
        <w:t xml:space="preserve"> </w:t>
      </w:r>
      <w:r w:rsidRPr="00A62D44">
        <w:t>construction</w:t>
      </w:r>
      <w:r>
        <w:t xml:space="preserve"> </w:t>
      </w:r>
      <w:r w:rsidRPr="00A62D44">
        <w:t>and</w:t>
      </w:r>
      <w:r>
        <w:t xml:space="preserve"> </w:t>
      </w:r>
      <w:r w:rsidRPr="00A62D44">
        <w:t>administration</w:t>
      </w:r>
      <w:r>
        <w:t xml:space="preserve"> </w:t>
      </w:r>
      <w:r w:rsidRPr="00A62D44">
        <w:t>of</w:t>
      </w:r>
      <w:r>
        <w:t xml:space="preserve"> </w:t>
      </w:r>
      <w:r w:rsidRPr="00A62D44">
        <w:t>datasets</w:t>
      </w:r>
      <w:r>
        <w:t xml:space="preserve"> </w:t>
      </w:r>
      <w:r w:rsidRPr="00A62D44">
        <w:t>mean</w:t>
      </w:r>
      <w:r>
        <w:t xml:space="preserve"> </w:t>
      </w:r>
      <w:r w:rsidRPr="00A62D44">
        <w:t>they</w:t>
      </w:r>
      <w:r>
        <w:t xml:space="preserve"> </w:t>
      </w:r>
      <w:r w:rsidRPr="00A62D44">
        <w:t>can</w:t>
      </w:r>
      <w:r>
        <w:t xml:space="preserve"> </w:t>
      </w:r>
      <w:r w:rsidRPr="00A62D44">
        <w:t>have</w:t>
      </w:r>
      <w:r>
        <w:t xml:space="preserve"> </w:t>
      </w:r>
      <w:r w:rsidRPr="00A62D44">
        <w:t>the</w:t>
      </w:r>
      <w:r>
        <w:t xml:space="preserve"> </w:t>
      </w:r>
      <w:r w:rsidRPr="00A62D44">
        <w:t>effect</w:t>
      </w:r>
      <w:r>
        <w:t xml:space="preserve"> </w:t>
      </w:r>
      <w:r w:rsidRPr="00A62D44">
        <w:t>of</w:t>
      </w:r>
      <w:r>
        <w:t xml:space="preserve"> </w:t>
      </w:r>
      <w:r w:rsidRPr="00A62D44">
        <w:t>reinforcing</w:t>
      </w:r>
      <w:r>
        <w:t xml:space="preserve"> </w:t>
      </w:r>
      <w:r w:rsidRPr="00A62D44">
        <w:t>existing</w:t>
      </w:r>
      <w:r>
        <w:t xml:space="preserve"> </w:t>
      </w:r>
      <w:r w:rsidRPr="00A62D44">
        <w:t>patterns</w:t>
      </w:r>
      <w:r>
        <w:t xml:space="preserve"> </w:t>
      </w:r>
      <w:r w:rsidRPr="00A62D44">
        <w:t>of</w:t>
      </w:r>
      <w:r>
        <w:t xml:space="preserve"> </w:t>
      </w:r>
      <w:r w:rsidRPr="00A62D44">
        <w:t>power</w:t>
      </w:r>
      <w:r>
        <w:t xml:space="preserve"> </w:t>
      </w:r>
      <w:r w:rsidRPr="00A62D44">
        <w:t>and</w:t>
      </w:r>
      <w:r>
        <w:t xml:space="preserve"> </w:t>
      </w:r>
      <w:r w:rsidRPr="00A62D44">
        <w:t>privilege,</w:t>
      </w:r>
      <w:r>
        <w:t xml:space="preserve"> </w:t>
      </w:r>
      <w:r w:rsidRPr="00A62D44">
        <w:t>invisibility</w:t>
      </w:r>
      <w:r>
        <w:t xml:space="preserve"> </w:t>
      </w:r>
      <w:r w:rsidRPr="00A62D44">
        <w:t>and</w:t>
      </w:r>
      <w:r>
        <w:t xml:space="preserve"> </w:t>
      </w:r>
      <w:r w:rsidRPr="00A62D44">
        <w:t>marginalisation,</w:t>
      </w:r>
      <w:r>
        <w:t xml:space="preserve"> </w:t>
      </w:r>
      <w:r w:rsidRPr="00A62D44">
        <w:t>and</w:t>
      </w:r>
      <w:r>
        <w:t xml:space="preserve"> </w:t>
      </w:r>
      <w:r w:rsidRPr="00A62D44">
        <w:t>often</w:t>
      </w:r>
      <w:r>
        <w:t xml:space="preserve"> </w:t>
      </w:r>
      <w:r w:rsidRPr="00A62D44">
        <w:t>fail</w:t>
      </w:r>
      <w:r>
        <w:t xml:space="preserve"> </w:t>
      </w:r>
      <w:r w:rsidRPr="00A62D44">
        <w:t>to</w:t>
      </w:r>
      <w:r>
        <w:t xml:space="preserve"> </w:t>
      </w:r>
      <w:r w:rsidRPr="00A62D44">
        <w:t>adequately</w:t>
      </w:r>
      <w:r>
        <w:t xml:space="preserve"> </w:t>
      </w:r>
      <w:r w:rsidR="00235930" w:rsidRPr="00235930">
        <w:t>capture the effects of intersecting forms of discrimination and oppression.</w:t>
      </w:r>
    </w:p>
    <w:p w14:paraId="643C1E6E" w14:textId="2CA22C6F" w:rsidR="00437ED1" w:rsidRDefault="00437ED1" w:rsidP="00437ED1">
      <w:pPr>
        <w:pStyle w:val="BodyText"/>
      </w:pPr>
      <w:r w:rsidRPr="00A62D44">
        <w:t>The</w:t>
      </w:r>
      <w:r>
        <w:t xml:space="preserve"> </w:t>
      </w:r>
      <w:r w:rsidRPr="00A62D44">
        <w:t>presentation</w:t>
      </w:r>
      <w:r>
        <w:t xml:space="preserve"> </w:t>
      </w:r>
      <w:r w:rsidRPr="00A62D44">
        <w:t>and</w:t>
      </w:r>
      <w:r>
        <w:t xml:space="preserve"> </w:t>
      </w:r>
      <w:r w:rsidRPr="00A62D44">
        <w:t>interpretation</w:t>
      </w:r>
      <w:r>
        <w:t xml:space="preserve"> </w:t>
      </w:r>
      <w:r w:rsidRPr="00A62D44">
        <w:t>of</w:t>
      </w:r>
      <w:r>
        <w:t xml:space="preserve"> </w:t>
      </w:r>
      <w:r w:rsidRPr="00A62D44">
        <w:t>data,</w:t>
      </w:r>
      <w:r>
        <w:t xml:space="preserve"> </w:t>
      </w:r>
      <w:r w:rsidRPr="00A62D44">
        <w:t>if</w:t>
      </w:r>
      <w:r>
        <w:t xml:space="preserve"> </w:t>
      </w:r>
      <w:r w:rsidRPr="00A62D44">
        <w:t>not</w:t>
      </w:r>
      <w:r>
        <w:t xml:space="preserve"> </w:t>
      </w:r>
      <w:r w:rsidRPr="00A62D44">
        <w:t>carefully</w:t>
      </w:r>
      <w:r>
        <w:t xml:space="preserve"> </w:t>
      </w:r>
      <w:r w:rsidRPr="00A62D44">
        <w:t>considered,</w:t>
      </w:r>
      <w:r>
        <w:t xml:space="preserve"> </w:t>
      </w:r>
      <w:r w:rsidRPr="00A62D44">
        <w:t>can</w:t>
      </w:r>
      <w:r>
        <w:t xml:space="preserve"> </w:t>
      </w:r>
      <w:r w:rsidRPr="00A62D44">
        <w:t>also</w:t>
      </w:r>
      <w:r>
        <w:t xml:space="preserve"> </w:t>
      </w:r>
      <w:r w:rsidRPr="00A62D44">
        <w:t>present</w:t>
      </w:r>
      <w:r w:rsidR="00235930">
        <w:t> </w:t>
      </w:r>
      <w:r w:rsidRPr="00A62D44">
        <w:t>risks</w:t>
      </w:r>
      <w:r>
        <w:t xml:space="preserve"> </w:t>
      </w:r>
      <w:r w:rsidRPr="00A62D44">
        <w:t>of</w:t>
      </w:r>
      <w:r>
        <w:t xml:space="preserve"> </w:t>
      </w:r>
      <w:r w:rsidRPr="00A62D44">
        <w:t>decontextualizing</w:t>
      </w:r>
      <w:r>
        <w:t xml:space="preserve"> </w:t>
      </w:r>
      <w:r w:rsidRPr="00A62D44">
        <w:t>issues</w:t>
      </w:r>
      <w:r>
        <w:t xml:space="preserve"> </w:t>
      </w:r>
      <w:r w:rsidRPr="00A62D44">
        <w:t>in</w:t>
      </w:r>
      <w:r>
        <w:t xml:space="preserve"> </w:t>
      </w:r>
      <w:r w:rsidRPr="00A62D44">
        <w:t>a</w:t>
      </w:r>
      <w:r>
        <w:t xml:space="preserve"> </w:t>
      </w:r>
      <w:r w:rsidRPr="00A62D44">
        <w:t>way</w:t>
      </w:r>
      <w:r>
        <w:t xml:space="preserve"> </w:t>
      </w:r>
      <w:r w:rsidRPr="00A62D44">
        <w:t>that</w:t>
      </w:r>
      <w:r>
        <w:t xml:space="preserve"> </w:t>
      </w:r>
      <w:r w:rsidRPr="00A62D44">
        <w:t>has</w:t>
      </w:r>
      <w:r>
        <w:t xml:space="preserve"> </w:t>
      </w:r>
      <w:r w:rsidRPr="00A62D44">
        <w:t>limited</w:t>
      </w:r>
      <w:r>
        <w:t xml:space="preserve"> </w:t>
      </w:r>
      <w:r w:rsidRPr="00A62D44">
        <w:t>explanatory</w:t>
      </w:r>
      <w:r>
        <w:t xml:space="preserve"> </w:t>
      </w:r>
      <w:r w:rsidRPr="00A62D44">
        <w:t>power,</w:t>
      </w:r>
      <w:r>
        <w:t xml:space="preserve"> </w:t>
      </w:r>
      <w:r w:rsidRPr="00A62D44">
        <w:t>‘problematising’</w:t>
      </w:r>
      <w:r>
        <w:t xml:space="preserve"> </w:t>
      </w:r>
      <w:r w:rsidRPr="00A62D44">
        <w:t>certain</w:t>
      </w:r>
      <w:r>
        <w:t xml:space="preserve"> </w:t>
      </w:r>
      <w:r w:rsidRPr="00A62D44">
        <w:t>groups,</w:t>
      </w:r>
      <w:r>
        <w:t xml:space="preserve"> </w:t>
      </w:r>
      <w:r w:rsidRPr="00A62D44">
        <w:t>and</w:t>
      </w:r>
      <w:r>
        <w:t xml:space="preserve"> </w:t>
      </w:r>
      <w:r w:rsidRPr="00A62D44">
        <w:t>adopting</w:t>
      </w:r>
      <w:r>
        <w:t xml:space="preserve"> </w:t>
      </w:r>
      <w:r w:rsidRPr="00A62D44">
        <w:t>a</w:t>
      </w:r>
      <w:r>
        <w:t xml:space="preserve"> </w:t>
      </w:r>
      <w:r w:rsidRPr="00A62D44">
        <w:t>deficit</w:t>
      </w:r>
      <w:r>
        <w:t xml:space="preserve"> </w:t>
      </w:r>
      <w:r w:rsidRPr="00A62D44">
        <w:t>focus</w:t>
      </w:r>
      <w:r>
        <w:t xml:space="preserve"> </w:t>
      </w:r>
      <w:r w:rsidRPr="00A62D44">
        <w:t>that</w:t>
      </w:r>
      <w:r>
        <w:t xml:space="preserve"> </w:t>
      </w:r>
      <w:r w:rsidRPr="00A62D44">
        <w:t>can</w:t>
      </w:r>
      <w:r>
        <w:t xml:space="preserve"> </w:t>
      </w:r>
      <w:r w:rsidRPr="00A62D44">
        <w:t>reinforce</w:t>
      </w:r>
      <w:r>
        <w:t xml:space="preserve"> </w:t>
      </w:r>
      <w:r w:rsidRPr="00A62D44">
        <w:t>harmful</w:t>
      </w:r>
      <w:r>
        <w:t xml:space="preserve"> </w:t>
      </w:r>
      <w:r w:rsidRPr="00A62D44">
        <w:t>stereotypes.</w:t>
      </w:r>
    </w:p>
    <w:p w14:paraId="71683D4C" w14:textId="77777777" w:rsidR="00437ED1" w:rsidRDefault="00437ED1" w:rsidP="00437ED1">
      <w:pPr>
        <w:pStyle w:val="BodyText"/>
      </w:pPr>
      <w:r w:rsidRPr="00A62D44">
        <w:t>Movements</w:t>
      </w:r>
      <w:r>
        <w:t xml:space="preserve"> </w:t>
      </w:r>
      <w:r w:rsidRPr="00A62D44">
        <w:t>such</w:t>
      </w:r>
      <w:r>
        <w:t xml:space="preserve"> </w:t>
      </w:r>
      <w:r w:rsidRPr="00A62D44">
        <w:t>as</w:t>
      </w:r>
      <w:r>
        <w:t xml:space="preserve"> </w:t>
      </w:r>
      <w:r w:rsidRPr="00A62D44">
        <w:t>that</w:t>
      </w:r>
      <w:r>
        <w:t xml:space="preserve"> </w:t>
      </w:r>
      <w:r w:rsidRPr="00A62D44">
        <w:t>for</w:t>
      </w:r>
      <w:r>
        <w:t xml:space="preserve"> </w:t>
      </w:r>
      <w:r w:rsidRPr="00A62D44">
        <w:t>Indigenous</w:t>
      </w:r>
      <w:r>
        <w:t xml:space="preserve"> </w:t>
      </w:r>
      <w:r w:rsidRPr="00A62D44">
        <w:t>data</w:t>
      </w:r>
      <w:r>
        <w:t xml:space="preserve"> </w:t>
      </w:r>
      <w:r w:rsidRPr="00A62D44">
        <w:t>sovereignty</w:t>
      </w:r>
      <w:r>
        <w:t xml:space="preserve"> </w:t>
      </w:r>
      <w:r w:rsidRPr="00A62D44">
        <w:t>have</w:t>
      </w:r>
      <w:r>
        <w:t xml:space="preserve"> </w:t>
      </w:r>
      <w:r w:rsidRPr="00A62D44">
        <w:t>questioned</w:t>
      </w:r>
      <w:r>
        <w:t xml:space="preserve"> </w:t>
      </w:r>
      <w:r w:rsidRPr="00A62D44">
        <w:t>broader</w:t>
      </w:r>
      <w:r>
        <w:t xml:space="preserve"> </w:t>
      </w:r>
      <w:r w:rsidRPr="00A62D44">
        <w:t>data</w:t>
      </w:r>
      <w:r>
        <w:t xml:space="preserve"> </w:t>
      </w:r>
      <w:r w:rsidRPr="00A62D44">
        <w:t>politics</w:t>
      </w:r>
      <w:r>
        <w:t xml:space="preserve"> </w:t>
      </w:r>
      <w:r w:rsidRPr="00A62D44">
        <w:t>and</w:t>
      </w:r>
      <w:r>
        <w:t xml:space="preserve"> </w:t>
      </w:r>
      <w:r w:rsidRPr="00A62D44">
        <w:t>ethics,</w:t>
      </w:r>
      <w:r>
        <w:t xml:space="preserve"> </w:t>
      </w:r>
      <w:r w:rsidRPr="00A62D44">
        <w:t>such</w:t>
      </w:r>
      <w:r>
        <w:t xml:space="preserve"> </w:t>
      </w:r>
      <w:r w:rsidRPr="00A62D44">
        <w:t>as</w:t>
      </w:r>
      <w:r>
        <w:t xml:space="preserve"> </w:t>
      </w:r>
      <w:r w:rsidRPr="00A62D44">
        <w:t>the</w:t>
      </w:r>
      <w:r>
        <w:t xml:space="preserve"> </w:t>
      </w:r>
      <w:r w:rsidRPr="00A62D44">
        <w:t>purpose</w:t>
      </w:r>
      <w:r>
        <w:t xml:space="preserve"> </w:t>
      </w:r>
      <w:r w:rsidRPr="00A62D44">
        <w:t>behind</w:t>
      </w:r>
      <w:r>
        <w:t xml:space="preserve"> </w:t>
      </w:r>
      <w:r w:rsidRPr="00A62D44">
        <w:t>the</w:t>
      </w:r>
      <w:r>
        <w:t xml:space="preserve"> </w:t>
      </w:r>
      <w:r w:rsidRPr="00A62D44">
        <w:t>collection,</w:t>
      </w:r>
      <w:r>
        <w:t xml:space="preserve"> </w:t>
      </w:r>
      <w:r w:rsidRPr="00A62D44">
        <w:t>dissemination</w:t>
      </w:r>
      <w:r>
        <w:t xml:space="preserve"> </w:t>
      </w:r>
      <w:r w:rsidRPr="00A62D44">
        <w:t>and</w:t>
      </w:r>
      <w:r>
        <w:t xml:space="preserve"> </w:t>
      </w:r>
      <w:r w:rsidRPr="00A62D44">
        <w:t>use</w:t>
      </w:r>
      <w:r>
        <w:t xml:space="preserve"> </w:t>
      </w:r>
      <w:r w:rsidRPr="00A62D44">
        <w:t>of</w:t>
      </w:r>
      <w:r>
        <w:t xml:space="preserve"> </w:t>
      </w:r>
      <w:r w:rsidRPr="00A62D44">
        <w:t>data</w:t>
      </w:r>
      <w:r>
        <w:t xml:space="preserve"> </w:t>
      </w:r>
      <w:r w:rsidRPr="00A62D44">
        <w:t>about</w:t>
      </w:r>
      <w:r>
        <w:t xml:space="preserve"> </w:t>
      </w:r>
      <w:r w:rsidRPr="00A62D44">
        <w:t>people</w:t>
      </w:r>
      <w:r>
        <w:t xml:space="preserve"> </w:t>
      </w:r>
      <w:r w:rsidRPr="00A62D44">
        <w:t>who</w:t>
      </w:r>
      <w:r>
        <w:t xml:space="preserve"> </w:t>
      </w:r>
      <w:r w:rsidRPr="00A62D44">
        <w:t>have</w:t>
      </w:r>
      <w:r>
        <w:t xml:space="preserve"> </w:t>
      </w:r>
      <w:r w:rsidRPr="00A62D44">
        <w:t>been</w:t>
      </w:r>
      <w:r>
        <w:t xml:space="preserve"> </w:t>
      </w:r>
      <w:r w:rsidRPr="00A62D44">
        <w:t>systematically</w:t>
      </w:r>
      <w:r>
        <w:t xml:space="preserve"> </w:t>
      </w:r>
      <w:r w:rsidRPr="00A62D44">
        <w:t>oppressed.</w:t>
      </w:r>
      <w:r>
        <w:t xml:space="preserve"> </w:t>
      </w:r>
      <w:r w:rsidRPr="00A62D44">
        <w:t>This</w:t>
      </w:r>
      <w:r>
        <w:t xml:space="preserve"> </w:t>
      </w:r>
      <w:r w:rsidRPr="00A62D44">
        <w:t>perspective</w:t>
      </w:r>
      <w:r>
        <w:t xml:space="preserve"> </w:t>
      </w:r>
      <w:r w:rsidRPr="00A62D44">
        <w:t>encourages</w:t>
      </w:r>
      <w:r>
        <w:t xml:space="preserve"> </w:t>
      </w:r>
      <w:r w:rsidRPr="00A62D44">
        <w:t>critical</w:t>
      </w:r>
      <w:r>
        <w:t xml:space="preserve"> </w:t>
      </w:r>
      <w:r w:rsidRPr="00A62D44">
        <w:t>consideration</w:t>
      </w:r>
      <w:r>
        <w:t xml:space="preserve"> </w:t>
      </w:r>
      <w:r w:rsidRPr="00A62D44">
        <w:t>of</w:t>
      </w:r>
      <w:r>
        <w:t xml:space="preserve"> </w:t>
      </w:r>
      <w:r w:rsidRPr="00A62D44">
        <w:t>whether</w:t>
      </w:r>
      <w:r>
        <w:t xml:space="preserve"> </w:t>
      </w:r>
      <w:r w:rsidRPr="00A62D44">
        <w:t>and</w:t>
      </w:r>
      <w:r>
        <w:t xml:space="preserve"> </w:t>
      </w:r>
      <w:r w:rsidRPr="00A62D44">
        <w:t>how</w:t>
      </w:r>
      <w:r>
        <w:t xml:space="preserve"> </w:t>
      </w:r>
      <w:r w:rsidRPr="00A62D44">
        <w:t>people</w:t>
      </w:r>
      <w:r>
        <w:t xml:space="preserve"> </w:t>
      </w:r>
      <w:r w:rsidRPr="00A62D44">
        <w:t>subject</w:t>
      </w:r>
      <w:r>
        <w:t xml:space="preserve"> </w:t>
      </w:r>
      <w:r w:rsidRPr="00A62D44">
        <w:t>to</w:t>
      </w:r>
      <w:r>
        <w:t xml:space="preserve"> </w:t>
      </w:r>
      <w:r w:rsidRPr="00A62D44">
        <w:t>data</w:t>
      </w:r>
      <w:r>
        <w:t xml:space="preserve"> </w:t>
      </w:r>
      <w:r w:rsidRPr="00A62D44">
        <w:t>processes</w:t>
      </w:r>
      <w:r>
        <w:t xml:space="preserve"> </w:t>
      </w:r>
      <w:r w:rsidRPr="00A62D44">
        <w:t>are</w:t>
      </w:r>
      <w:r>
        <w:t xml:space="preserve"> </w:t>
      </w:r>
      <w:r w:rsidRPr="00A62D44">
        <w:t>involved</w:t>
      </w:r>
      <w:r>
        <w:t xml:space="preserve"> </w:t>
      </w:r>
      <w:r w:rsidRPr="00A62D44">
        <w:t>in</w:t>
      </w:r>
      <w:r>
        <w:t xml:space="preserve">, </w:t>
      </w:r>
      <w:r w:rsidRPr="00A62D44">
        <w:t>or</w:t>
      </w:r>
      <w:r>
        <w:t xml:space="preserve"> </w:t>
      </w:r>
      <w:r w:rsidRPr="00A62D44">
        <w:t>have</w:t>
      </w:r>
      <w:r>
        <w:t xml:space="preserve"> </w:t>
      </w:r>
      <w:r w:rsidRPr="00A62D44">
        <w:t>leadership</w:t>
      </w:r>
      <w:r>
        <w:t xml:space="preserve"> </w:t>
      </w:r>
      <w:r w:rsidRPr="00A62D44">
        <w:t>over</w:t>
      </w:r>
      <w:r>
        <w:t xml:space="preserve">, </w:t>
      </w:r>
      <w:r w:rsidRPr="00A62D44">
        <w:t>project</w:t>
      </w:r>
      <w:r>
        <w:t xml:space="preserve"> </w:t>
      </w:r>
      <w:r w:rsidRPr="00A62D44">
        <w:t>governance,</w:t>
      </w:r>
      <w:r>
        <w:t xml:space="preserve"> </w:t>
      </w:r>
      <w:r w:rsidRPr="00A62D44">
        <w:t>and</w:t>
      </w:r>
      <w:r>
        <w:t xml:space="preserve"> </w:t>
      </w:r>
      <w:r w:rsidRPr="00A62D44">
        <w:t>how</w:t>
      </w:r>
      <w:r>
        <w:t xml:space="preserve"> </w:t>
      </w:r>
      <w:r w:rsidRPr="00A62D44">
        <w:t>data</w:t>
      </w:r>
      <w:r>
        <w:t xml:space="preserve"> </w:t>
      </w:r>
      <w:r w:rsidRPr="00A62D44">
        <w:t>collection</w:t>
      </w:r>
      <w:r>
        <w:t xml:space="preserve"> </w:t>
      </w:r>
      <w:r w:rsidRPr="00A62D44">
        <w:t>instruments</w:t>
      </w:r>
      <w:r>
        <w:t xml:space="preserve"> </w:t>
      </w:r>
      <w:r w:rsidRPr="00A62D44">
        <w:t>can</w:t>
      </w:r>
      <w:r>
        <w:t xml:space="preserve"> </w:t>
      </w:r>
      <w:r w:rsidRPr="00A62D44">
        <w:t>be</w:t>
      </w:r>
      <w:r>
        <w:t xml:space="preserve"> </w:t>
      </w:r>
      <w:r w:rsidRPr="00A62D44">
        <w:t>designed</w:t>
      </w:r>
      <w:r>
        <w:t xml:space="preserve"> </w:t>
      </w:r>
      <w:r w:rsidRPr="00A62D44">
        <w:t>and</w:t>
      </w:r>
      <w:r>
        <w:t xml:space="preserve"> </w:t>
      </w:r>
      <w:r w:rsidRPr="00A62D44">
        <w:t>administered</w:t>
      </w:r>
      <w:r>
        <w:t xml:space="preserve"> </w:t>
      </w:r>
      <w:r w:rsidRPr="00A62D44">
        <w:t>in</w:t>
      </w:r>
      <w:r>
        <w:t xml:space="preserve"> </w:t>
      </w:r>
      <w:r w:rsidRPr="00A62D44">
        <w:t>more</w:t>
      </w:r>
      <w:r>
        <w:t xml:space="preserve"> </w:t>
      </w:r>
      <w:r w:rsidRPr="00A62D44">
        <w:t>participatory,</w:t>
      </w:r>
      <w:r>
        <w:t xml:space="preserve"> </w:t>
      </w:r>
      <w:r w:rsidRPr="00A62D44">
        <w:t>ethical</w:t>
      </w:r>
      <w:r>
        <w:t xml:space="preserve"> </w:t>
      </w:r>
      <w:r w:rsidRPr="00A62D44">
        <w:t>ways</w:t>
      </w:r>
      <w:r>
        <w:t xml:space="preserve"> </w:t>
      </w:r>
      <w:r w:rsidRPr="00A62D44">
        <w:t>to</w:t>
      </w:r>
      <w:r>
        <w:t xml:space="preserve"> </w:t>
      </w:r>
      <w:r w:rsidRPr="00A62D44">
        <w:t>ensure</w:t>
      </w:r>
      <w:r>
        <w:t xml:space="preserve"> </w:t>
      </w:r>
      <w:r w:rsidRPr="00A62D44">
        <w:t>not</w:t>
      </w:r>
      <w:r>
        <w:t xml:space="preserve"> </w:t>
      </w:r>
      <w:r w:rsidRPr="00A62D44">
        <w:t>only</w:t>
      </w:r>
      <w:r>
        <w:t xml:space="preserve"> </w:t>
      </w:r>
      <w:r w:rsidRPr="00A62D44">
        <w:t>relevance</w:t>
      </w:r>
      <w:r>
        <w:t xml:space="preserve"> </w:t>
      </w:r>
      <w:r w:rsidRPr="00A62D44">
        <w:t>to</w:t>
      </w:r>
      <w:r>
        <w:t xml:space="preserve"> </w:t>
      </w:r>
      <w:r w:rsidRPr="00A62D44">
        <w:t>people</w:t>
      </w:r>
      <w:r>
        <w:t xml:space="preserve"> </w:t>
      </w:r>
      <w:r w:rsidRPr="00A62D44">
        <w:t>who</w:t>
      </w:r>
      <w:r>
        <w:t xml:space="preserve"> </w:t>
      </w:r>
      <w:r w:rsidRPr="00A62D44">
        <w:t>experience</w:t>
      </w:r>
      <w:r>
        <w:t xml:space="preserve"> </w:t>
      </w:r>
      <w:r w:rsidRPr="00A62D44">
        <w:t>intersecting</w:t>
      </w:r>
      <w:r>
        <w:t xml:space="preserve"> </w:t>
      </w:r>
      <w:r w:rsidRPr="00A62D44">
        <w:t>forms</w:t>
      </w:r>
      <w:r>
        <w:t xml:space="preserve"> </w:t>
      </w:r>
      <w:r w:rsidRPr="00A62D44">
        <w:t>of</w:t>
      </w:r>
      <w:r>
        <w:t xml:space="preserve"> </w:t>
      </w:r>
      <w:r w:rsidRPr="00A62D44">
        <w:t>discrimination</w:t>
      </w:r>
      <w:r>
        <w:t xml:space="preserve"> </w:t>
      </w:r>
      <w:r w:rsidRPr="00A62D44">
        <w:t>and</w:t>
      </w:r>
      <w:r>
        <w:t xml:space="preserve"> </w:t>
      </w:r>
      <w:r w:rsidRPr="00A62D44">
        <w:t>oppression,</w:t>
      </w:r>
      <w:r>
        <w:t xml:space="preserve"> </w:t>
      </w:r>
      <w:r w:rsidRPr="00A62D44">
        <w:t>but</w:t>
      </w:r>
      <w:r>
        <w:t xml:space="preserve"> </w:t>
      </w:r>
      <w:r w:rsidRPr="00A62D44">
        <w:t>also</w:t>
      </w:r>
      <w:r>
        <w:t xml:space="preserve"> </w:t>
      </w:r>
      <w:r w:rsidRPr="00A62D44">
        <w:t>their</w:t>
      </w:r>
      <w:r>
        <w:t xml:space="preserve"> </w:t>
      </w:r>
      <w:r w:rsidRPr="00A62D44">
        <w:t>control</w:t>
      </w:r>
      <w:r>
        <w:t xml:space="preserve"> </w:t>
      </w:r>
      <w:r w:rsidRPr="00A62D44">
        <w:t>over</w:t>
      </w:r>
      <w:r>
        <w:t xml:space="preserve"> </w:t>
      </w:r>
      <w:r w:rsidRPr="00A62D44">
        <w:t>the</w:t>
      </w:r>
      <w:r>
        <w:t xml:space="preserve"> </w:t>
      </w:r>
      <w:r w:rsidRPr="00A62D44">
        <w:t>use</w:t>
      </w:r>
      <w:r>
        <w:t xml:space="preserve"> </w:t>
      </w:r>
      <w:r w:rsidRPr="00A62D44">
        <w:t>of</w:t>
      </w:r>
      <w:r>
        <w:t xml:space="preserve"> </w:t>
      </w:r>
      <w:r w:rsidRPr="00A62D44">
        <w:t>data.</w:t>
      </w:r>
    </w:p>
    <w:p w14:paraId="4704768F" w14:textId="42EB14A5" w:rsidR="00437ED1" w:rsidRDefault="00437ED1" w:rsidP="00437ED1">
      <w:pPr>
        <w:pStyle w:val="BodyText"/>
      </w:pPr>
      <w:r w:rsidRPr="00A62D44">
        <w:t>Pointing</w:t>
      </w:r>
      <w:r>
        <w:t xml:space="preserve"> </w:t>
      </w:r>
      <w:r w:rsidRPr="00A62D44">
        <w:t>to</w:t>
      </w:r>
      <w:r>
        <w:t xml:space="preserve"> </w:t>
      </w:r>
      <w:r w:rsidRPr="00A62D44">
        <w:t>the</w:t>
      </w:r>
      <w:r>
        <w:t xml:space="preserve"> </w:t>
      </w:r>
      <w:r w:rsidRPr="00A62D44">
        <w:t>challenges</w:t>
      </w:r>
      <w:r>
        <w:t xml:space="preserve"> </w:t>
      </w:r>
      <w:r w:rsidRPr="00A62D44">
        <w:t>and</w:t>
      </w:r>
      <w:r>
        <w:t xml:space="preserve"> </w:t>
      </w:r>
      <w:r w:rsidRPr="00A62D44">
        <w:t>risks</w:t>
      </w:r>
      <w:r>
        <w:t xml:space="preserve"> </w:t>
      </w:r>
      <w:r w:rsidRPr="00A62D44">
        <w:t>associated</w:t>
      </w:r>
      <w:r>
        <w:t xml:space="preserve"> </w:t>
      </w:r>
      <w:r w:rsidRPr="00A62D44">
        <w:t>with</w:t>
      </w:r>
      <w:r>
        <w:t xml:space="preserve"> </w:t>
      </w:r>
      <w:r w:rsidRPr="00A62D44">
        <w:t>population</w:t>
      </w:r>
      <w:r>
        <w:t xml:space="preserve"> </w:t>
      </w:r>
      <w:r w:rsidRPr="00A62D44">
        <w:t>data</w:t>
      </w:r>
      <w:r>
        <w:t xml:space="preserve"> </w:t>
      </w:r>
      <w:r w:rsidRPr="00A62D44">
        <w:t>that</w:t>
      </w:r>
      <w:r>
        <w:t xml:space="preserve"> </w:t>
      </w:r>
      <w:r w:rsidRPr="00A62D44">
        <w:t>are</w:t>
      </w:r>
      <w:r>
        <w:t xml:space="preserve"> </w:t>
      </w:r>
      <w:r w:rsidRPr="00A62D44">
        <w:t>discussed</w:t>
      </w:r>
      <w:r>
        <w:t xml:space="preserve"> </w:t>
      </w:r>
      <w:r w:rsidRPr="00A62D44">
        <w:t>above,</w:t>
      </w:r>
      <w:r>
        <w:t xml:space="preserve"> </w:t>
      </w:r>
      <w:r w:rsidRPr="00A62D44">
        <w:t>particularly</w:t>
      </w:r>
      <w:r>
        <w:t xml:space="preserve"> </w:t>
      </w:r>
      <w:r w:rsidRPr="00A62D44">
        <w:t>the</w:t>
      </w:r>
      <w:r>
        <w:t xml:space="preserve"> </w:t>
      </w:r>
      <w:r w:rsidRPr="00A62D44">
        <w:t>dearth</w:t>
      </w:r>
      <w:r>
        <w:t xml:space="preserve"> </w:t>
      </w:r>
      <w:r w:rsidRPr="00A62D44">
        <w:t>of</w:t>
      </w:r>
      <w:r>
        <w:t xml:space="preserve"> </w:t>
      </w:r>
      <w:r w:rsidRPr="00A62D44">
        <w:t>sufficiently</w:t>
      </w:r>
      <w:r>
        <w:t xml:space="preserve"> </w:t>
      </w:r>
      <w:r w:rsidRPr="00A62D44">
        <w:t>disaggregated</w:t>
      </w:r>
      <w:r>
        <w:t xml:space="preserve"> </w:t>
      </w:r>
      <w:r w:rsidRPr="00A62D44">
        <w:t>data,</w:t>
      </w:r>
      <w:r>
        <w:t xml:space="preserve"> </w:t>
      </w:r>
      <w:r w:rsidRPr="00ED4674">
        <w:rPr>
          <w:rStyle w:val="Emphasis"/>
        </w:rPr>
        <w:t>Counting on change</w:t>
      </w:r>
      <w:r>
        <w:t xml:space="preserve"> </w:t>
      </w:r>
      <w:r w:rsidRPr="00A62D44">
        <w:t>stresses</w:t>
      </w:r>
      <w:r>
        <w:t xml:space="preserve"> </w:t>
      </w:r>
      <w:r w:rsidRPr="00A62D44">
        <w:t>that</w:t>
      </w:r>
      <w:r>
        <w:t xml:space="preserve"> </w:t>
      </w:r>
      <w:r w:rsidRPr="00A62D44">
        <w:t>improving</w:t>
      </w:r>
      <w:r>
        <w:t xml:space="preserve"> </w:t>
      </w:r>
      <w:r w:rsidRPr="00A62D44">
        <w:t>disaggregated</w:t>
      </w:r>
      <w:r>
        <w:t xml:space="preserve"> </w:t>
      </w:r>
      <w:r w:rsidRPr="00A62D44">
        <w:t>data</w:t>
      </w:r>
      <w:r>
        <w:t xml:space="preserve"> </w:t>
      </w:r>
      <w:r w:rsidRPr="00A62D44">
        <w:t>collection</w:t>
      </w:r>
      <w:r>
        <w:t xml:space="preserve"> </w:t>
      </w:r>
      <w:r w:rsidRPr="00A62D44">
        <w:t>is</w:t>
      </w:r>
      <w:r>
        <w:t xml:space="preserve"> a </w:t>
      </w:r>
      <w:r w:rsidRPr="00A62D44">
        <w:t>key</w:t>
      </w:r>
      <w:r>
        <w:t xml:space="preserve"> </w:t>
      </w:r>
      <w:r w:rsidRPr="00A62D44">
        <w:t>step</w:t>
      </w:r>
      <w:r>
        <w:t xml:space="preserve"> </w:t>
      </w:r>
      <w:r w:rsidRPr="00A62D44">
        <w:t>towards</w:t>
      </w:r>
      <w:r>
        <w:t xml:space="preserve"> </w:t>
      </w:r>
      <w:r w:rsidRPr="00A62D44">
        <w:t>enabling</w:t>
      </w:r>
      <w:r>
        <w:t xml:space="preserve"> </w:t>
      </w:r>
      <w:r w:rsidRPr="00A62D44">
        <w:t>an</w:t>
      </w:r>
      <w:r>
        <w:t xml:space="preserve"> </w:t>
      </w:r>
      <w:r w:rsidRPr="00A62D44">
        <w:t>intersectional</w:t>
      </w:r>
      <w:r>
        <w:t xml:space="preserve"> </w:t>
      </w:r>
      <w:r w:rsidRPr="00A62D44">
        <w:t>approach</w:t>
      </w:r>
      <w:r>
        <w:t xml:space="preserve"> </w:t>
      </w:r>
      <w:r w:rsidRPr="00A62D44">
        <w:t>to</w:t>
      </w:r>
      <w:r>
        <w:t xml:space="preserve"> </w:t>
      </w:r>
      <w:r w:rsidRPr="00A62D44">
        <w:t>monitoring.</w:t>
      </w:r>
      <w:r>
        <w:t xml:space="preserve"> </w:t>
      </w:r>
      <w:r w:rsidRPr="00A62D44">
        <w:t>However,</w:t>
      </w:r>
      <w:r>
        <w:t xml:space="preserve"> </w:t>
      </w:r>
      <w:r w:rsidRPr="00A62D44">
        <w:t>it</w:t>
      </w:r>
      <w:r>
        <w:t xml:space="preserve"> </w:t>
      </w:r>
      <w:r w:rsidRPr="00A62D44">
        <w:t>cautions</w:t>
      </w:r>
      <w:r>
        <w:t xml:space="preserve"> </w:t>
      </w:r>
      <w:r w:rsidRPr="00A62D44">
        <w:t>that</w:t>
      </w:r>
      <w:r>
        <w:t xml:space="preserve"> </w:t>
      </w:r>
      <w:r w:rsidRPr="00A62D44">
        <w:t>while</w:t>
      </w:r>
      <w:r>
        <w:t xml:space="preserve"> </w:t>
      </w:r>
      <w:r w:rsidRPr="00A62D44">
        <w:t>resolving</w:t>
      </w:r>
      <w:r>
        <w:t xml:space="preserve"> </w:t>
      </w:r>
      <w:r w:rsidRPr="00A62D44">
        <w:t>these</w:t>
      </w:r>
      <w:r>
        <w:t xml:space="preserve"> </w:t>
      </w:r>
      <w:r w:rsidRPr="00A62D44">
        <w:t>issues</w:t>
      </w:r>
      <w:r w:rsidR="00154F63">
        <w:t> </w:t>
      </w:r>
      <w:r w:rsidRPr="00A62D44">
        <w:t>would</w:t>
      </w:r>
      <w:r>
        <w:t xml:space="preserve"> </w:t>
      </w:r>
      <w:r w:rsidRPr="00A62D44">
        <w:t>give</w:t>
      </w:r>
      <w:r>
        <w:t xml:space="preserve"> </w:t>
      </w:r>
      <w:r w:rsidRPr="00A62D44">
        <w:t>us</w:t>
      </w:r>
      <w:r>
        <w:t xml:space="preserve"> </w:t>
      </w:r>
      <w:r w:rsidRPr="00A62D44">
        <w:t>‘data</w:t>
      </w:r>
      <w:r>
        <w:t xml:space="preserve"> </w:t>
      </w:r>
      <w:r w:rsidRPr="00A62D44">
        <w:t>about</w:t>
      </w:r>
      <w:r>
        <w:t xml:space="preserve"> </w:t>
      </w:r>
      <w:r w:rsidRPr="00A62D44">
        <w:t>diversity’,</w:t>
      </w:r>
      <w:r>
        <w:t xml:space="preserve"> </w:t>
      </w:r>
      <w:r w:rsidRPr="00A62D44">
        <w:t>we</w:t>
      </w:r>
      <w:r>
        <w:t xml:space="preserve"> </w:t>
      </w:r>
      <w:r w:rsidRPr="00A62D44">
        <w:t>must</w:t>
      </w:r>
      <w:r>
        <w:t xml:space="preserve"> </w:t>
      </w:r>
      <w:r w:rsidRPr="00A62D44">
        <w:t>then</w:t>
      </w:r>
      <w:r>
        <w:t xml:space="preserve"> </w:t>
      </w:r>
      <w:r w:rsidRPr="00A62D44">
        <w:t>ensure</w:t>
      </w:r>
      <w:r>
        <w:t xml:space="preserve"> </w:t>
      </w:r>
      <w:r w:rsidRPr="00A62D44">
        <w:t>we</w:t>
      </w:r>
      <w:r>
        <w:t xml:space="preserve"> </w:t>
      </w:r>
      <w:r w:rsidRPr="00A62D44">
        <w:t>adopt</w:t>
      </w:r>
      <w:r>
        <w:t xml:space="preserve"> </w:t>
      </w:r>
      <w:r w:rsidRPr="00A62D44">
        <w:t>an</w:t>
      </w:r>
      <w:r>
        <w:t xml:space="preserve"> </w:t>
      </w:r>
      <w:r w:rsidRPr="00A62D44">
        <w:t>appropriate</w:t>
      </w:r>
      <w:r>
        <w:t xml:space="preserve"> </w:t>
      </w:r>
      <w:r w:rsidRPr="00A62D44">
        <w:t>intersectional</w:t>
      </w:r>
      <w:r>
        <w:t xml:space="preserve"> </w:t>
      </w:r>
      <w:r w:rsidRPr="00A62D44">
        <w:t>approach</w:t>
      </w:r>
      <w:r>
        <w:t xml:space="preserve"> </w:t>
      </w:r>
      <w:r w:rsidRPr="00A62D44">
        <w:t>to</w:t>
      </w:r>
      <w:r>
        <w:t xml:space="preserve"> </w:t>
      </w:r>
      <w:r w:rsidRPr="00A62D44">
        <w:t>analysing</w:t>
      </w:r>
      <w:r>
        <w:t xml:space="preserve"> </w:t>
      </w:r>
      <w:r w:rsidRPr="00A62D44">
        <w:t>such</w:t>
      </w:r>
      <w:r>
        <w:t xml:space="preserve"> </w:t>
      </w:r>
      <w:r w:rsidRPr="00A62D44">
        <w:t>data:</w:t>
      </w:r>
    </w:p>
    <w:p w14:paraId="11451FCC" w14:textId="77777777" w:rsidR="00437ED1" w:rsidRDefault="00437ED1" w:rsidP="00437ED1">
      <w:pPr>
        <w:pStyle w:val="Quote"/>
      </w:pPr>
      <w:r>
        <w:t>‘</w:t>
      </w:r>
      <w:r w:rsidRPr="00A62D44">
        <w:t>the</w:t>
      </w:r>
      <w:r>
        <w:t xml:space="preserve"> </w:t>
      </w:r>
      <w:r w:rsidRPr="00A62D44">
        <w:t>availability</w:t>
      </w:r>
      <w:r>
        <w:t xml:space="preserve"> </w:t>
      </w:r>
      <w:r w:rsidRPr="00A62D44">
        <w:t>of</w:t>
      </w:r>
      <w:r>
        <w:t xml:space="preserve"> </w:t>
      </w:r>
      <w:r w:rsidRPr="00A62D44">
        <w:t>such</w:t>
      </w:r>
      <w:r>
        <w:t xml:space="preserve"> </w:t>
      </w:r>
      <w:r w:rsidRPr="00A62D44">
        <w:t>[disaggregated]</w:t>
      </w:r>
      <w:r>
        <w:t xml:space="preserve"> </w:t>
      </w:r>
      <w:r w:rsidRPr="00A62D44">
        <w:t>data</w:t>
      </w:r>
      <w:r>
        <w:t xml:space="preserve"> </w:t>
      </w:r>
      <w:r w:rsidRPr="00A62D44">
        <w:t>is</w:t>
      </w:r>
      <w:r>
        <w:t xml:space="preserve"> </w:t>
      </w:r>
      <w:r w:rsidRPr="00A62D44">
        <w:t>simply</w:t>
      </w:r>
      <w:r>
        <w:t xml:space="preserve"> </w:t>
      </w:r>
      <w:r w:rsidRPr="00A62D44">
        <w:t>a</w:t>
      </w:r>
      <w:r>
        <w:t xml:space="preserve"> </w:t>
      </w:r>
      <w:r w:rsidRPr="00A62D44">
        <w:t>prerequisite</w:t>
      </w:r>
      <w:r>
        <w:t xml:space="preserve"> </w:t>
      </w:r>
      <w:r w:rsidRPr="00A62D44">
        <w:t>to</w:t>
      </w:r>
      <w:r>
        <w:t xml:space="preserve"> </w:t>
      </w:r>
      <w:r w:rsidRPr="00A62D44">
        <w:t>an</w:t>
      </w:r>
      <w:r>
        <w:t xml:space="preserve"> </w:t>
      </w:r>
      <w:r w:rsidRPr="00A62D44">
        <w:t>intersectional</w:t>
      </w:r>
      <w:r>
        <w:t xml:space="preserve"> </w:t>
      </w:r>
      <w:r w:rsidRPr="00A62D44">
        <w:t>approach</w:t>
      </w:r>
      <w:r>
        <w:t xml:space="preserve"> </w:t>
      </w:r>
      <w:r w:rsidRPr="00A62D44">
        <w:t>for</w:t>
      </w:r>
      <w:r>
        <w:t xml:space="preserve"> </w:t>
      </w:r>
      <w:r w:rsidRPr="00A62D44">
        <w:t>monitoring</w:t>
      </w:r>
      <w:r>
        <w:t xml:space="preserve"> </w:t>
      </w:r>
      <w:r w:rsidRPr="00A62D44">
        <w:t>whole</w:t>
      </w:r>
      <w:r>
        <w:t xml:space="preserve"> </w:t>
      </w:r>
      <w:r w:rsidRPr="00A62D44">
        <w:t>population</w:t>
      </w:r>
      <w:r>
        <w:t xml:space="preserve"> </w:t>
      </w:r>
      <w:r w:rsidRPr="00A62D44">
        <w:t>change.</w:t>
      </w:r>
      <w:r>
        <w:t xml:space="preserve"> </w:t>
      </w:r>
      <w:r w:rsidRPr="00A62D44">
        <w:t>That</w:t>
      </w:r>
      <w:r>
        <w:t xml:space="preserve"> </w:t>
      </w:r>
      <w:r w:rsidRPr="00A62D44">
        <w:t>is,</w:t>
      </w:r>
      <w:r>
        <w:t xml:space="preserve"> </w:t>
      </w:r>
      <w:r w:rsidRPr="00A62D44">
        <w:t>such</w:t>
      </w:r>
      <w:r>
        <w:t xml:space="preserve"> </w:t>
      </w:r>
      <w:r w:rsidRPr="00A62D44">
        <w:t>data</w:t>
      </w:r>
      <w:r>
        <w:t xml:space="preserve"> </w:t>
      </w:r>
      <w:r w:rsidRPr="00A62D44">
        <w:t>makes</w:t>
      </w:r>
      <w:r>
        <w:t xml:space="preserve"> </w:t>
      </w:r>
      <w:r w:rsidRPr="00A62D44">
        <w:t>an</w:t>
      </w:r>
      <w:r>
        <w:t xml:space="preserve"> </w:t>
      </w:r>
      <w:r w:rsidRPr="00A62D44">
        <w:t>intersectional</w:t>
      </w:r>
      <w:r>
        <w:t xml:space="preserve"> </w:t>
      </w:r>
      <w:r w:rsidRPr="00A62D44">
        <w:t>analysis</w:t>
      </w:r>
      <w:r>
        <w:t xml:space="preserve"> </w:t>
      </w:r>
      <w:r w:rsidRPr="00A62D44">
        <w:t>possible.</w:t>
      </w:r>
      <w:r>
        <w:t xml:space="preserve"> </w:t>
      </w:r>
      <w:r w:rsidRPr="00A62D44">
        <w:t>When</w:t>
      </w:r>
      <w:r>
        <w:t xml:space="preserve"> </w:t>
      </w:r>
      <w:r w:rsidRPr="00A62D44">
        <w:t>whole</w:t>
      </w:r>
      <w:r>
        <w:t xml:space="preserve"> </w:t>
      </w:r>
      <w:r w:rsidRPr="00A62D44">
        <w:t>population</w:t>
      </w:r>
      <w:r>
        <w:t xml:space="preserve"> </w:t>
      </w:r>
      <w:r w:rsidRPr="00A62D44">
        <w:t>datasets</w:t>
      </w:r>
      <w:r>
        <w:t xml:space="preserve"> </w:t>
      </w:r>
      <w:r w:rsidRPr="00A62D44">
        <w:t>are</w:t>
      </w:r>
      <w:r>
        <w:t xml:space="preserve"> </w:t>
      </w:r>
      <w:r w:rsidRPr="00A62D44">
        <w:t>of</w:t>
      </w:r>
      <w:r>
        <w:t xml:space="preserve"> </w:t>
      </w:r>
      <w:r w:rsidRPr="00A62D44">
        <w:t>sufficiently</w:t>
      </w:r>
      <w:r>
        <w:t xml:space="preserve"> </w:t>
      </w:r>
      <w:r w:rsidRPr="00A62D44">
        <w:t>large</w:t>
      </w:r>
      <w:r>
        <w:t xml:space="preserve"> </w:t>
      </w:r>
      <w:r w:rsidRPr="00A62D44">
        <w:t>size,</w:t>
      </w:r>
      <w:r>
        <w:t xml:space="preserve"> </w:t>
      </w:r>
      <w:r w:rsidRPr="00A62D44">
        <w:t>and</w:t>
      </w:r>
      <w:r>
        <w:t xml:space="preserve"> </w:t>
      </w:r>
      <w:r w:rsidRPr="00A62D44">
        <w:t>when</w:t>
      </w:r>
      <w:r>
        <w:t xml:space="preserve"> </w:t>
      </w:r>
      <w:r w:rsidRPr="00A62D44">
        <w:t>data</w:t>
      </w:r>
      <w:r>
        <w:t xml:space="preserve"> </w:t>
      </w:r>
      <w:r w:rsidRPr="00A62D44">
        <w:t>is</w:t>
      </w:r>
      <w:r>
        <w:t xml:space="preserve"> </w:t>
      </w:r>
      <w:r w:rsidRPr="00A62D44">
        <w:t>disaggregated</w:t>
      </w:r>
      <w:r>
        <w:t xml:space="preserve"> </w:t>
      </w:r>
      <w:r w:rsidRPr="00A62D44">
        <w:t>into</w:t>
      </w:r>
      <w:r>
        <w:t xml:space="preserve"> </w:t>
      </w:r>
      <w:r w:rsidRPr="00A62D44">
        <w:t>all</w:t>
      </w:r>
      <w:r>
        <w:t xml:space="preserve"> </w:t>
      </w:r>
      <w:r w:rsidRPr="00A62D44">
        <w:t>pertinent</w:t>
      </w:r>
      <w:r>
        <w:t xml:space="preserve"> </w:t>
      </w:r>
      <w:r w:rsidRPr="00A62D44">
        <w:t>demographic</w:t>
      </w:r>
      <w:r>
        <w:t xml:space="preserve"> </w:t>
      </w:r>
      <w:r w:rsidRPr="00A62D44">
        <w:t>characteristics,</w:t>
      </w:r>
      <w:r>
        <w:t xml:space="preserve"> </w:t>
      </w:r>
      <w:r w:rsidRPr="00A62D44">
        <w:t>we</w:t>
      </w:r>
      <w:r>
        <w:t xml:space="preserve"> </w:t>
      </w:r>
      <w:r w:rsidRPr="00A62D44">
        <w:t>can</w:t>
      </w:r>
      <w:r>
        <w:t xml:space="preserve"> </w:t>
      </w:r>
      <w:r w:rsidRPr="00A62D44">
        <w:t>begin</w:t>
      </w:r>
      <w:r>
        <w:t xml:space="preserve"> </w:t>
      </w:r>
      <w:r w:rsidRPr="00A62D44">
        <w:t>the</w:t>
      </w:r>
      <w:r>
        <w:t xml:space="preserve"> </w:t>
      </w:r>
      <w:r w:rsidRPr="00A62D44">
        <w:t>process</w:t>
      </w:r>
      <w:r>
        <w:t xml:space="preserve"> </w:t>
      </w:r>
      <w:r w:rsidRPr="00A62D44">
        <w:t>of</w:t>
      </w:r>
      <w:r>
        <w:t xml:space="preserve"> </w:t>
      </w:r>
      <w:r w:rsidRPr="00A62D44">
        <w:t>analysing</w:t>
      </w:r>
      <w:r>
        <w:t xml:space="preserve"> </w:t>
      </w:r>
      <w:r w:rsidRPr="00A62D44">
        <w:t>the</w:t>
      </w:r>
      <w:r>
        <w:t xml:space="preserve"> </w:t>
      </w:r>
      <w:r w:rsidRPr="00A62D44">
        <w:t>data</w:t>
      </w:r>
      <w:r>
        <w:t xml:space="preserve"> </w:t>
      </w:r>
      <w:r w:rsidRPr="00A62D44">
        <w:t>in</w:t>
      </w:r>
      <w:r>
        <w:t xml:space="preserve"> </w:t>
      </w:r>
      <w:r w:rsidRPr="00A62D44">
        <w:t>a</w:t>
      </w:r>
      <w:r>
        <w:t xml:space="preserve"> </w:t>
      </w:r>
      <w:r w:rsidRPr="00A62D44">
        <w:t>way</w:t>
      </w:r>
      <w:r>
        <w:t xml:space="preserve"> </w:t>
      </w:r>
      <w:r w:rsidRPr="00A62D44">
        <w:t>that</w:t>
      </w:r>
      <w:r>
        <w:t xml:space="preserve"> </w:t>
      </w:r>
      <w:r w:rsidRPr="00A62D44">
        <w:t>doesn’t</w:t>
      </w:r>
      <w:r>
        <w:t xml:space="preserve"> </w:t>
      </w:r>
      <w:r w:rsidRPr="00A62D44">
        <w:t>simply</w:t>
      </w:r>
      <w:r>
        <w:t xml:space="preserve"> “</w:t>
      </w:r>
      <w:r w:rsidRPr="00A62D44">
        <w:t>add</w:t>
      </w:r>
      <w:r>
        <w:t xml:space="preserve">” </w:t>
      </w:r>
      <w:r w:rsidRPr="00A62D44">
        <w:t>diversity</w:t>
      </w:r>
      <w:r>
        <w:t xml:space="preserve"> </w:t>
      </w:r>
      <w:r w:rsidRPr="00A62D44">
        <w:t>characteristics</w:t>
      </w:r>
      <w:r>
        <w:t xml:space="preserve"> </w:t>
      </w:r>
      <w:r w:rsidRPr="00A62D44">
        <w:t>together,</w:t>
      </w:r>
      <w:r>
        <w:t xml:space="preserve"> </w:t>
      </w:r>
      <w:r w:rsidRPr="00A62D44">
        <w:t>but</w:t>
      </w:r>
      <w:r>
        <w:t xml:space="preserve"> </w:t>
      </w:r>
      <w:r w:rsidRPr="00A62D44">
        <w:t>looks</w:t>
      </w:r>
      <w:r>
        <w:t xml:space="preserve"> </w:t>
      </w:r>
      <w:r w:rsidRPr="00A62D44">
        <w:t>at</w:t>
      </w:r>
      <w:r>
        <w:t xml:space="preserve"> </w:t>
      </w:r>
      <w:r w:rsidRPr="00A62D44">
        <w:t>how</w:t>
      </w:r>
      <w:r>
        <w:t xml:space="preserve"> </w:t>
      </w:r>
      <w:r w:rsidRPr="00A62D44">
        <w:t>they</w:t>
      </w:r>
      <w:r>
        <w:t xml:space="preserve"> </w:t>
      </w:r>
      <w:r w:rsidRPr="00A62D44">
        <w:t>might</w:t>
      </w:r>
      <w:r>
        <w:t xml:space="preserve"> </w:t>
      </w:r>
      <w:r w:rsidRPr="00A62D44">
        <w:t>intersect.</w:t>
      </w:r>
      <w:r>
        <w:t>’</w:t>
      </w:r>
    </w:p>
    <w:p w14:paraId="23E19267" w14:textId="47B510E2" w:rsidR="00437ED1" w:rsidRDefault="00437ED1" w:rsidP="00437ED1">
      <w:pPr>
        <w:pStyle w:val="BodyText"/>
      </w:pPr>
      <w:r w:rsidRPr="00A62D44">
        <w:t>With</w:t>
      </w:r>
      <w:r>
        <w:t xml:space="preserve"> </w:t>
      </w:r>
      <w:r w:rsidRPr="00A62D44">
        <w:t>this</w:t>
      </w:r>
      <w:r>
        <w:t xml:space="preserve"> </w:t>
      </w:r>
      <w:r w:rsidRPr="00A62D44">
        <w:t>in</w:t>
      </w:r>
      <w:r>
        <w:t xml:space="preserve"> </w:t>
      </w:r>
      <w:r w:rsidRPr="00A62D44">
        <w:t>mind,</w:t>
      </w:r>
      <w:r>
        <w:t xml:space="preserve"> </w:t>
      </w:r>
      <w:r w:rsidRPr="00A62D44">
        <w:t>we</w:t>
      </w:r>
      <w:r>
        <w:t xml:space="preserve"> </w:t>
      </w:r>
      <w:r w:rsidRPr="00A62D44">
        <w:t>included</w:t>
      </w:r>
      <w:r>
        <w:t xml:space="preserve"> </w:t>
      </w:r>
      <w:r w:rsidRPr="00A62D44">
        <w:t>in</w:t>
      </w:r>
      <w:r>
        <w:t xml:space="preserve"> </w:t>
      </w:r>
      <w:r w:rsidRPr="00A62D44">
        <w:t>the</w:t>
      </w:r>
      <w:r>
        <w:t xml:space="preserve"> </w:t>
      </w:r>
      <w:r w:rsidRPr="00A62D44">
        <w:t>report</w:t>
      </w:r>
      <w:r>
        <w:t xml:space="preserve"> </w:t>
      </w:r>
      <w:r w:rsidRPr="00A62D44">
        <w:t>smaller</w:t>
      </w:r>
      <w:r>
        <w:t xml:space="preserve"> </w:t>
      </w:r>
      <w:r w:rsidRPr="00A62D44">
        <w:t>or</w:t>
      </w:r>
      <w:r>
        <w:t xml:space="preserve"> </w:t>
      </w:r>
      <w:r w:rsidRPr="00A62D44">
        <w:t>one-off</w:t>
      </w:r>
      <w:r>
        <w:t xml:space="preserve"> </w:t>
      </w:r>
      <w:r w:rsidRPr="00A62D44">
        <w:t>studies</w:t>
      </w:r>
      <w:r>
        <w:t xml:space="preserve"> </w:t>
      </w:r>
      <w:r w:rsidRPr="00A62D44">
        <w:t>which</w:t>
      </w:r>
      <w:r>
        <w:t xml:space="preserve"> </w:t>
      </w:r>
      <w:r w:rsidRPr="00A62D44">
        <w:t>could</w:t>
      </w:r>
      <w:r>
        <w:t xml:space="preserve"> </w:t>
      </w:r>
      <w:r w:rsidRPr="00A62D44">
        <w:t>shed</w:t>
      </w:r>
      <w:r>
        <w:t xml:space="preserve"> </w:t>
      </w:r>
      <w:r w:rsidRPr="00A62D44">
        <w:t>light</w:t>
      </w:r>
      <w:r w:rsidR="00154F63">
        <w:t> </w:t>
      </w:r>
      <w:r w:rsidRPr="00A62D44">
        <w:t>on</w:t>
      </w:r>
      <w:r>
        <w:t xml:space="preserve"> </w:t>
      </w:r>
      <w:r w:rsidRPr="00A62D44">
        <w:t>lived</w:t>
      </w:r>
      <w:r>
        <w:t xml:space="preserve"> </w:t>
      </w:r>
      <w:r w:rsidRPr="00A62D44">
        <w:t>experiences</w:t>
      </w:r>
      <w:r>
        <w:t xml:space="preserve"> </w:t>
      </w:r>
      <w:r w:rsidRPr="00A62D44">
        <w:t>of</w:t>
      </w:r>
      <w:r>
        <w:t xml:space="preserve"> </w:t>
      </w:r>
      <w:r w:rsidRPr="00A62D44">
        <w:t>women</w:t>
      </w:r>
      <w:r>
        <w:t xml:space="preserve"> </w:t>
      </w:r>
      <w:r w:rsidRPr="00A62D44">
        <w:t>who</w:t>
      </w:r>
      <w:r>
        <w:t xml:space="preserve"> </w:t>
      </w:r>
      <w:r w:rsidRPr="00A62D44">
        <w:t>experience</w:t>
      </w:r>
      <w:r>
        <w:t xml:space="preserve"> </w:t>
      </w:r>
      <w:r w:rsidRPr="00A62D44">
        <w:t>intersecting</w:t>
      </w:r>
      <w:r>
        <w:t xml:space="preserve"> </w:t>
      </w:r>
      <w:r w:rsidRPr="00A62D44">
        <w:t>forms</w:t>
      </w:r>
      <w:r>
        <w:t xml:space="preserve"> </w:t>
      </w:r>
      <w:r w:rsidRPr="00A62D44">
        <w:t>of</w:t>
      </w:r>
      <w:r>
        <w:t xml:space="preserve"> </w:t>
      </w:r>
      <w:r w:rsidRPr="00A62D44">
        <w:t>inequality</w:t>
      </w:r>
      <w:r>
        <w:t xml:space="preserve"> </w:t>
      </w:r>
      <w:r w:rsidRPr="00A62D44">
        <w:t>and</w:t>
      </w:r>
      <w:r>
        <w:t xml:space="preserve"> </w:t>
      </w:r>
      <w:r w:rsidRPr="00A62D44">
        <w:t>discrimination,</w:t>
      </w:r>
      <w:r>
        <w:t xml:space="preserve"> </w:t>
      </w:r>
      <w:r w:rsidRPr="00A62D44">
        <w:t>or</w:t>
      </w:r>
      <w:r>
        <w:t xml:space="preserve"> </w:t>
      </w:r>
      <w:r w:rsidRPr="00A62D44">
        <w:t>on</w:t>
      </w:r>
      <w:r>
        <w:t xml:space="preserve"> </w:t>
      </w:r>
      <w:r w:rsidRPr="00A62D44">
        <w:t>the</w:t>
      </w:r>
      <w:r>
        <w:t xml:space="preserve"> </w:t>
      </w:r>
      <w:r w:rsidRPr="00A62D44">
        <w:t>structural</w:t>
      </w:r>
      <w:r>
        <w:t xml:space="preserve"> </w:t>
      </w:r>
      <w:r w:rsidRPr="00A62D44">
        <w:t>forms</w:t>
      </w:r>
      <w:r>
        <w:t xml:space="preserve"> </w:t>
      </w:r>
      <w:r w:rsidRPr="00A62D44">
        <w:t>of</w:t>
      </w:r>
      <w:r>
        <w:t xml:space="preserve"> </w:t>
      </w:r>
      <w:r w:rsidRPr="00A62D44">
        <w:t>inequality</w:t>
      </w:r>
      <w:r>
        <w:t xml:space="preserve"> </w:t>
      </w:r>
      <w:r w:rsidRPr="00A62D44">
        <w:t>and</w:t>
      </w:r>
      <w:r>
        <w:t xml:space="preserve"> </w:t>
      </w:r>
      <w:r w:rsidRPr="00A62D44">
        <w:t>discrimination</w:t>
      </w:r>
      <w:r>
        <w:t xml:space="preserve"> </w:t>
      </w:r>
      <w:r w:rsidRPr="00A62D44">
        <w:t>which</w:t>
      </w:r>
      <w:r>
        <w:t xml:space="preserve"> </w:t>
      </w:r>
      <w:r w:rsidRPr="00A62D44">
        <w:t>intersect</w:t>
      </w:r>
      <w:r>
        <w:t xml:space="preserve"> </w:t>
      </w:r>
      <w:r w:rsidRPr="00A62D44">
        <w:t>with</w:t>
      </w:r>
      <w:r>
        <w:t xml:space="preserve"> </w:t>
      </w:r>
      <w:r w:rsidRPr="00A62D44">
        <w:t>gender</w:t>
      </w:r>
      <w:r>
        <w:t xml:space="preserve"> </w:t>
      </w:r>
      <w:r w:rsidRPr="00A62D44">
        <w:t>inequalities</w:t>
      </w:r>
      <w:r>
        <w:t xml:space="preserve"> </w:t>
      </w:r>
      <w:r w:rsidRPr="00A62D44">
        <w:t>to</w:t>
      </w:r>
      <w:r>
        <w:t xml:space="preserve"> </w:t>
      </w:r>
      <w:r w:rsidRPr="00A62D44">
        <w:t>drive</w:t>
      </w:r>
      <w:r>
        <w:t xml:space="preserve"> </w:t>
      </w:r>
      <w:r w:rsidRPr="00A62D44">
        <w:t>violence.</w:t>
      </w:r>
      <w:r>
        <w:t xml:space="preserve"> </w:t>
      </w:r>
      <w:r w:rsidRPr="00A62D44">
        <w:t>We</w:t>
      </w:r>
      <w:r>
        <w:t xml:space="preserve"> </w:t>
      </w:r>
      <w:r w:rsidRPr="00A62D44">
        <w:t>also</w:t>
      </w:r>
      <w:r>
        <w:t xml:space="preserve"> </w:t>
      </w:r>
      <w:r w:rsidRPr="00A62D44">
        <w:t>continually</w:t>
      </w:r>
      <w:r>
        <w:t xml:space="preserve"> </w:t>
      </w:r>
      <w:r w:rsidRPr="00A62D44">
        <w:t>reviewed</w:t>
      </w:r>
      <w:r>
        <w:t xml:space="preserve"> </w:t>
      </w:r>
      <w:r w:rsidRPr="00A62D44">
        <w:t>the</w:t>
      </w:r>
      <w:r>
        <w:t xml:space="preserve"> </w:t>
      </w:r>
      <w:r w:rsidRPr="00A62D44">
        <w:t>monitoring</w:t>
      </w:r>
      <w:r>
        <w:t xml:space="preserve"> </w:t>
      </w:r>
      <w:r w:rsidRPr="00A62D44">
        <w:t>framework</w:t>
      </w:r>
      <w:r>
        <w:t xml:space="preserve"> </w:t>
      </w:r>
      <w:r w:rsidRPr="00A62D44">
        <w:t>and</w:t>
      </w:r>
      <w:r>
        <w:t xml:space="preserve"> </w:t>
      </w:r>
      <w:r w:rsidRPr="00A62D44">
        <w:t>our</w:t>
      </w:r>
      <w:r>
        <w:t xml:space="preserve"> </w:t>
      </w:r>
      <w:r w:rsidRPr="00A62D44">
        <w:t>analysis</w:t>
      </w:r>
      <w:r>
        <w:t xml:space="preserve"> </w:t>
      </w:r>
      <w:r w:rsidRPr="00A62D44">
        <w:t>of</w:t>
      </w:r>
      <w:r>
        <w:t xml:space="preserve"> </w:t>
      </w:r>
      <w:r w:rsidRPr="00A62D44">
        <w:t>findings</w:t>
      </w:r>
      <w:r>
        <w:t xml:space="preserve"> </w:t>
      </w:r>
      <w:r w:rsidRPr="00A62D44">
        <w:t>in</w:t>
      </w:r>
      <w:r>
        <w:t xml:space="preserve"> </w:t>
      </w:r>
      <w:r w:rsidRPr="00A62D44">
        <w:t>light</w:t>
      </w:r>
      <w:r>
        <w:t xml:space="preserve"> </w:t>
      </w:r>
      <w:r w:rsidRPr="00A62D44">
        <w:t>of</w:t>
      </w:r>
      <w:r>
        <w:t xml:space="preserve"> </w:t>
      </w:r>
      <w:r w:rsidRPr="00A62D44">
        <w:t>the</w:t>
      </w:r>
      <w:r>
        <w:t xml:space="preserve"> </w:t>
      </w:r>
      <w:r w:rsidRPr="00A62D44">
        <w:t>work</w:t>
      </w:r>
      <w:r>
        <w:t xml:space="preserve"> </w:t>
      </w:r>
      <w:r w:rsidRPr="00A62D44">
        <w:t>that</w:t>
      </w:r>
      <w:r>
        <w:t xml:space="preserve"> </w:t>
      </w:r>
      <w:r w:rsidRPr="00A62D44">
        <w:t>Our</w:t>
      </w:r>
      <w:r>
        <w:t xml:space="preserve"> </w:t>
      </w:r>
      <w:r w:rsidRPr="00A62D44">
        <w:t>Watch</w:t>
      </w:r>
      <w:r>
        <w:t xml:space="preserve"> </w:t>
      </w:r>
      <w:r w:rsidRPr="00A62D44">
        <w:t>has</w:t>
      </w:r>
      <w:r>
        <w:t xml:space="preserve"> </w:t>
      </w:r>
      <w:r w:rsidRPr="00A62D44">
        <w:t>undertaken</w:t>
      </w:r>
      <w:r>
        <w:t xml:space="preserve"> </w:t>
      </w:r>
      <w:r w:rsidRPr="00A62D44">
        <w:t>since</w:t>
      </w:r>
      <w:r>
        <w:t xml:space="preserve"> </w:t>
      </w:r>
      <w:r w:rsidRPr="00A62D44">
        <w:t>the</w:t>
      </w:r>
      <w:r>
        <w:t xml:space="preserve"> </w:t>
      </w:r>
      <w:r w:rsidRPr="00A62D44">
        <w:t>publication</w:t>
      </w:r>
      <w:r>
        <w:t xml:space="preserve"> </w:t>
      </w:r>
      <w:r w:rsidRPr="00A62D44">
        <w:t>of</w:t>
      </w:r>
      <w:r>
        <w:t xml:space="preserve"> </w:t>
      </w:r>
      <w:r w:rsidRPr="00ED4674">
        <w:rPr>
          <w:rStyle w:val="Emphasis"/>
        </w:rPr>
        <w:t>Change the story</w:t>
      </w:r>
      <w:r w:rsidRPr="00A62D44">
        <w:t>.</w:t>
      </w:r>
      <w:r>
        <w:t xml:space="preserve"> </w:t>
      </w:r>
      <w:r w:rsidRPr="00A62D44">
        <w:t>In</w:t>
      </w:r>
      <w:r>
        <w:t xml:space="preserve"> </w:t>
      </w:r>
      <w:r w:rsidRPr="00A62D44">
        <w:t>particular,</w:t>
      </w:r>
      <w:r>
        <w:t xml:space="preserve"> </w:t>
      </w:r>
      <w:r w:rsidRPr="00A62D44">
        <w:t>the</w:t>
      </w:r>
      <w:r>
        <w:t xml:space="preserve"> </w:t>
      </w:r>
      <w:r w:rsidRPr="00A62D44">
        <w:t>monitoring</w:t>
      </w:r>
      <w:r>
        <w:t xml:space="preserve"> </w:t>
      </w:r>
      <w:r w:rsidRPr="00A62D44">
        <w:t>domains</w:t>
      </w:r>
      <w:r>
        <w:t xml:space="preserve"> </w:t>
      </w:r>
      <w:r w:rsidRPr="00A62D44">
        <w:t>drew</w:t>
      </w:r>
      <w:r>
        <w:t xml:space="preserve"> </w:t>
      </w:r>
      <w:r w:rsidRPr="00A62D44">
        <w:t>on</w:t>
      </w:r>
      <w:r>
        <w:t xml:space="preserve"> </w:t>
      </w:r>
      <w:r w:rsidRPr="00A62D44">
        <w:t>publications</w:t>
      </w:r>
      <w:r>
        <w:t xml:space="preserve"> </w:t>
      </w:r>
      <w:r w:rsidRPr="00A62D44">
        <w:t>such</w:t>
      </w:r>
      <w:r>
        <w:t xml:space="preserve"> </w:t>
      </w:r>
      <w:r w:rsidRPr="00A62D44">
        <w:t>as</w:t>
      </w:r>
      <w:r>
        <w:t xml:space="preserve"> </w:t>
      </w:r>
      <w:r w:rsidRPr="00ED4674">
        <w:rPr>
          <w:rStyle w:val="Emphasis"/>
        </w:rPr>
        <w:t>Changing the picture</w:t>
      </w:r>
      <w:r>
        <w:t xml:space="preserve"> </w:t>
      </w:r>
      <w:r w:rsidRPr="00A62D44">
        <w:t>and</w:t>
      </w:r>
      <w:r>
        <w:t xml:space="preserve"> </w:t>
      </w:r>
      <w:r w:rsidRPr="00ED4674">
        <w:rPr>
          <w:rStyle w:val="Emphasis"/>
        </w:rPr>
        <w:t xml:space="preserve">Primary prevention of family violence against </w:t>
      </w:r>
      <w:r w:rsidRPr="00ED4674">
        <w:rPr>
          <w:rStyle w:val="Emphasis"/>
        </w:rPr>
        <w:lastRenderedPageBreak/>
        <w:t>people from LGBTI communities</w:t>
      </w:r>
      <w:r w:rsidRPr="00A62D44">
        <w:t>,</w:t>
      </w:r>
      <w:r>
        <w:t xml:space="preserve"> </w:t>
      </w:r>
      <w:r w:rsidRPr="00A62D44">
        <w:t>and</w:t>
      </w:r>
      <w:r>
        <w:t xml:space="preserve"> </w:t>
      </w:r>
      <w:r w:rsidRPr="00A62D44">
        <w:t>our</w:t>
      </w:r>
      <w:r>
        <w:t xml:space="preserve"> </w:t>
      </w:r>
      <w:r w:rsidRPr="00A62D44">
        <w:t>interpretation</w:t>
      </w:r>
      <w:r>
        <w:t xml:space="preserve"> </w:t>
      </w:r>
      <w:r w:rsidRPr="00A62D44">
        <w:t>of</w:t>
      </w:r>
      <w:r>
        <w:t xml:space="preserve"> </w:t>
      </w:r>
      <w:r w:rsidRPr="00A62D44">
        <w:t>findings</w:t>
      </w:r>
      <w:r>
        <w:t xml:space="preserve"> </w:t>
      </w:r>
      <w:r w:rsidRPr="00A62D44">
        <w:t>was</w:t>
      </w:r>
      <w:r>
        <w:t xml:space="preserve"> </w:t>
      </w:r>
      <w:r w:rsidRPr="00A62D44">
        <w:t>guided</w:t>
      </w:r>
      <w:r>
        <w:t xml:space="preserve"> </w:t>
      </w:r>
      <w:r w:rsidRPr="00A62D44">
        <w:t>by</w:t>
      </w:r>
      <w:r>
        <w:t xml:space="preserve"> </w:t>
      </w:r>
      <w:r w:rsidRPr="00A62D44">
        <w:t>these</w:t>
      </w:r>
      <w:r>
        <w:t xml:space="preserve"> </w:t>
      </w:r>
      <w:r w:rsidRPr="00A62D44">
        <w:t>more</w:t>
      </w:r>
      <w:r>
        <w:t xml:space="preserve"> </w:t>
      </w:r>
      <w:r w:rsidRPr="00A62D44">
        <w:t>recent</w:t>
      </w:r>
      <w:r>
        <w:t xml:space="preserve"> </w:t>
      </w:r>
      <w:r w:rsidRPr="00A62D44">
        <w:t>additions</w:t>
      </w:r>
      <w:r>
        <w:t xml:space="preserve"> </w:t>
      </w:r>
      <w:r w:rsidRPr="00A62D44">
        <w:t>to</w:t>
      </w:r>
      <w:r>
        <w:t xml:space="preserve"> </w:t>
      </w:r>
      <w:r w:rsidRPr="00A62D44">
        <w:t>the</w:t>
      </w:r>
      <w:r>
        <w:t xml:space="preserve"> </w:t>
      </w:r>
      <w:r w:rsidRPr="00A62D44">
        <w:t>Our</w:t>
      </w:r>
      <w:r>
        <w:t xml:space="preserve"> </w:t>
      </w:r>
      <w:r w:rsidRPr="00A62D44">
        <w:t>Watch</w:t>
      </w:r>
      <w:r>
        <w:t xml:space="preserve"> </w:t>
      </w:r>
      <w:r w:rsidRPr="00A62D44">
        <w:t>evidence</w:t>
      </w:r>
      <w:r>
        <w:t xml:space="preserve"> </w:t>
      </w:r>
      <w:r w:rsidRPr="00A62D44">
        <w:t>base.</w:t>
      </w:r>
    </w:p>
    <w:p w14:paraId="1FBA433A" w14:textId="6868C089" w:rsidR="00437ED1" w:rsidRDefault="00437ED1" w:rsidP="00437ED1">
      <w:pPr>
        <w:pStyle w:val="BodyText"/>
      </w:pPr>
      <w:r w:rsidRPr="00A62D44">
        <w:t>In</w:t>
      </w:r>
      <w:r>
        <w:t xml:space="preserve"> </w:t>
      </w:r>
      <w:r w:rsidRPr="00A62D44">
        <w:t>relation</w:t>
      </w:r>
      <w:r>
        <w:t xml:space="preserve"> </w:t>
      </w:r>
      <w:r w:rsidRPr="00A62D44">
        <w:t>to</w:t>
      </w:r>
      <w:r>
        <w:t xml:space="preserve"> </w:t>
      </w:r>
      <w:r w:rsidRPr="00A62D44">
        <w:t>the</w:t>
      </w:r>
      <w:r>
        <w:t xml:space="preserve"> </w:t>
      </w:r>
      <w:r w:rsidRPr="00A62D44">
        <w:t>principles</w:t>
      </w:r>
      <w:r>
        <w:t xml:space="preserve"> </w:t>
      </w:r>
      <w:r w:rsidRPr="00A62D44">
        <w:t>of</w:t>
      </w:r>
      <w:r>
        <w:t xml:space="preserve"> </w:t>
      </w:r>
      <w:r w:rsidRPr="00A62D44">
        <w:t>Indigenous</w:t>
      </w:r>
      <w:r>
        <w:t xml:space="preserve"> </w:t>
      </w:r>
      <w:r w:rsidRPr="00A62D44">
        <w:t>data</w:t>
      </w:r>
      <w:r>
        <w:t xml:space="preserve"> </w:t>
      </w:r>
      <w:r w:rsidRPr="00A62D44">
        <w:t>sovereignty</w:t>
      </w:r>
      <w:r>
        <w:t xml:space="preserve"> </w:t>
      </w:r>
      <w:r w:rsidRPr="00A62D44">
        <w:t>this</w:t>
      </w:r>
      <w:r>
        <w:t xml:space="preserve"> </w:t>
      </w:r>
      <w:r w:rsidRPr="00A62D44">
        <w:t>project</w:t>
      </w:r>
      <w:r>
        <w:t xml:space="preserve"> </w:t>
      </w:r>
      <w:r w:rsidRPr="00A62D44">
        <w:t>has</w:t>
      </w:r>
      <w:r>
        <w:t xml:space="preserve"> </w:t>
      </w:r>
      <w:r w:rsidRPr="00A62D44">
        <w:t>clear</w:t>
      </w:r>
      <w:r>
        <w:t xml:space="preserve"> </w:t>
      </w:r>
      <w:r w:rsidRPr="00A62D44">
        <w:t>limitations,</w:t>
      </w:r>
      <w:r>
        <w:t xml:space="preserve"> </w:t>
      </w:r>
      <w:r w:rsidRPr="00A62D44">
        <w:t>having</w:t>
      </w:r>
      <w:r>
        <w:t xml:space="preserve"> </w:t>
      </w:r>
      <w:r w:rsidRPr="00A62D44">
        <w:t>been</w:t>
      </w:r>
      <w:r>
        <w:t xml:space="preserve"> </w:t>
      </w:r>
      <w:r w:rsidRPr="00A62D44">
        <w:t>led</w:t>
      </w:r>
      <w:r>
        <w:t xml:space="preserve"> </w:t>
      </w:r>
      <w:r w:rsidRPr="00A62D44">
        <w:t>by</w:t>
      </w:r>
      <w:r>
        <w:t xml:space="preserve"> </w:t>
      </w:r>
      <w:r w:rsidRPr="00A62D44">
        <w:t>a</w:t>
      </w:r>
      <w:r>
        <w:t xml:space="preserve"> </w:t>
      </w:r>
      <w:r w:rsidRPr="00A62D44">
        <w:t>non-Indigenous</w:t>
      </w:r>
      <w:r>
        <w:t xml:space="preserve"> </w:t>
      </w:r>
      <w:r w:rsidRPr="00A62D44">
        <w:t>organisation.</w:t>
      </w:r>
      <w:r>
        <w:t xml:space="preserve"> </w:t>
      </w:r>
      <w:r w:rsidRPr="00A62D44">
        <w:t>We</w:t>
      </w:r>
      <w:r>
        <w:t xml:space="preserve"> </w:t>
      </w:r>
      <w:r w:rsidRPr="00A62D44">
        <w:t>have</w:t>
      </w:r>
      <w:r>
        <w:t xml:space="preserve"> </w:t>
      </w:r>
      <w:r w:rsidRPr="00A62D44">
        <w:t>profiled</w:t>
      </w:r>
      <w:r>
        <w:t xml:space="preserve"> </w:t>
      </w:r>
      <w:r w:rsidRPr="00A62D44">
        <w:t>important</w:t>
      </w:r>
      <w:r>
        <w:t xml:space="preserve"> </w:t>
      </w:r>
      <w:r w:rsidRPr="00A62D44">
        <w:t>studies</w:t>
      </w:r>
      <w:r>
        <w:t xml:space="preserve"> </w:t>
      </w:r>
      <w:r w:rsidRPr="00A62D44">
        <w:t>undertaken</w:t>
      </w:r>
      <w:r>
        <w:t xml:space="preserve"> </w:t>
      </w:r>
      <w:r w:rsidRPr="00A62D44">
        <w:t>by</w:t>
      </w:r>
      <w:r>
        <w:t xml:space="preserve"> </w:t>
      </w:r>
      <w:r w:rsidRPr="00A62D44">
        <w:t>Aboriginal</w:t>
      </w:r>
      <w:r>
        <w:t xml:space="preserve"> </w:t>
      </w:r>
      <w:r w:rsidR="00560FC9" w:rsidRPr="00560FC9">
        <w:t>and Torres Strait Islander</w:t>
      </w:r>
      <w:r w:rsidR="00560FC9">
        <w:t xml:space="preserve"> </w:t>
      </w:r>
      <w:r w:rsidRPr="00A62D44">
        <w:t>researchers</w:t>
      </w:r>
      <w:r>
        <w:t xml:space="preserve"> </w:t>
      </w:r>
      <w:r w:rsidRPr="00A62D44">
        <w:t>which</w:t>
      </w:r>
      <w:r>
        <w:t xml:space="preserve"> </w:t>
      </w:r>
      <w:r w:rsidRPr="00A62D44">
        <w:t>have</w:t>
      </w:r>
      <w:r>
        <w:t xml:space="preserve"> </w:t>
      </w:r>
      <w:r w:rsidRPr="00A62D44">
        <w:t>been</w:t>
      </w:r>
      <w:r>
        <w:t xml:space="preserve"> </w:t>
      </w:r>
      <w:r w:rsidRPr="00A62D44">
        <w:t>designed</w:t>
      </w:r>
      <w:r>
        <w:t xml:space="preserve"> </w:t>
      </w:r>
      <w:r w:rsidRPr="00A62D44">
        <w:t>to</w:t>
      </w:r>
      <w:r>
        <w:t xml:space="preserve"> </w:t>
      </w:r>
      <w:r w:rsidRPr="00A62D44">
        <w:t>respond</w:t>
      </w:r>
      <w:r>
        <w:t xml:space="preserve"> </w:t>
      </w:r>
      <w:r w:rsidRPr="00A62D44">
        <w:t>meaningfully</w:t>
      </w:r>
      <w:r>
        <w:t xml:space="preserve"> </w:t>
      </w:r>
      <w:r w:rsidRPr="00A62D44">
        <w:t>to</w:t>
      </w:r>
      <w:r>
        <w:t xml:space="preserve"> </w:t>
      </w:r>
      <w:r w:rsidRPr="00A62D44">
        <w:t>Indigenous</w:t>
      </w:r>
      <w:r>
        <w:t xml:space="preserve"> </w:t>
      </w:r>
      <w:r w:rsidRPr="00A62D44">
        <w:t>data</w:t>
      </w:r>
      <w:r>
        <w:t xml:space="preserve"> </w:t>
      </w:r>
      <w:r w:rsidRPr="00A62D44">
        <w:t>sovereignty</w:t>
      </w:r>
      <w:r>
        <w:t xml:space="preserve"> </w:t>
      </w:r>
      <w:r w:rsidRPr="00A62D44">
        <w:t>principles</w:t>
      </w:r>
      <w:r>
        <w:t xml:space="preserve"> </w:t>
      </w:r>
      <w:r w:rsidRPr="00A62D44">
        <w:t>–</w:t>
      </w:r>
      <w:r>
        <w:t xml:space="preserve"> </w:t>
      </w:r>
      <w:r w:rsidRPr="00A62D44">
        <w:t>that</w:t>
      </w:r>
      <w:r>
        <w:t xml:space="preserve"> </w:t>
      </w:r>
      <w:r w:rsidRPr="00A62D44">
        <w:t>is,</w:t>
      </w:r>
      <w:r>
        <w:t xml:space="preserve"> </w:t>
      </w:r>
      <w:r w:rsidRPr="00A62D44">
        <w:t>they</w:t>
      </w:r>
      <w:r>
        <w:t xml:space="preserve"> </w:t>
      </w:r>
      <w:r w:rsidRPr="00A62D44">
        <w:t>are</w:t>
      </w:r>
      <w:r>
        <w:t xml:space="preserve"> </w:t>
      </w:r>
      <w:r w:rsidRPr="00A62D44">
        <w:t>undertaken</w:t>
      </w:r>
      <w:r>
        <w:t xml:space="preserve"> </w:t>
      </w:r>
      <w:r w:rsidRPr="00A62D44">
        <w:t>by</w:t>
      </w:r>
      <w:r>
        <w:t xml:space="preserve"> </w:t>
      </w:r>
      <w:r w:rsidRPr="00A62D44">
        <w:t>Aboriginal</w:t>
      </w:r>
      <w:r>
        <w:t xml:space="preserve"> </w:t>
      </w:r>
      <w:r w:rsidR="00560FC9" w:rsidRPr="00560FC9">
        <w:t>and Torres Strait Islander</w:t>
      </w:r>
      <w:r w:rsidR="00560FC9">
        <w:t xml:space="preserve"> </w:t>
      </w:r>
      <w:r w:rsidRPr="00A62D44">
        <w:t>people,</w:t>
      </w:r>
      <w:r>
        <w:t xml:space="preserve"> </w:t>
      </w:r>
      <w:r w:rsidRPr="00A62D44">
        <w:t>for</w:t>
      </w:r>
      <w:r>
        <w:t xml:space="preserve"> </w:t>
      </w:r>
      <w:r w:rsidRPr="00A62D44">
        <w:t>Aboriginal</w:t>
      </w:r>
      <w:r>
        <w:t xml:space="preserve"> </w:t>
      </w:r>
      <w:r w:rsidR="00560FC9" w:rsidRPr="00560FC9">
        <w:t>and Torres Strait Islander</w:t>
      </w:r>
      <w:r w:rsidR="00560FC9">
        <w:t xml:space="preserve"> </w:t>
      </w:r>
      <w:r w:rsidRPr="00A62D44">
        <w:t>people,</w:t>
      </w:r>
      <w:r>
        <w:t xml:space="preserve"> </w:t>
      </w:r>
      <w:r w:rsidRPr="00A62D44">
        <w:t>with</w:t>
      </w:r>
      <w:r>
        <w:t xml:space="preserve"> </w:t>
      </w:r>
      <w:r w:rsidRPr="00A62D44">
        <w:t>deep</w:t>
      </w:r>
      <w:r>
        <w:t xml:space="preserve"> </w:t>
      </w:r>
      <w:r w:rsidRPr="00A62D44">
        <w:t>community</w:t>
      </w:r>
      <w:r>
        <w:t xml:space="preserve"> </w:t>
      </w:r>
      <w:r w:rsidRPr="00A62D44">
        <w:t>involvement</w:t>
      </w:r>
      <w:r>
        <w:t xml:space="preserve"> </w:t>
      </w:r>
      <w:r w:rsidRPr="00A62D44">
        <w:t>along</w:t>
      </w:r>
      <w:r>
        <w:t xml:space="preserve"> </w:t>
      </w:r>
      <w:r w:rsidRPr="00A62D44">
        <w:t>the</w:t>
      </w:r>
      <w:r>
        <w:t xml:space="preserve"> </w:t>
      </w:r>
      <w:r w:rsidRPr="00A62D44">
        <w:t>way.</w:t>
      </w:r>
      <w:r>
        <w:t xml:space="preserve"> </w:t>
      </w:r>
      <w:r w:rsidRPr="00A62D44">
        <w:t>Moreover,</w:t>
      </w:r>
      <w:r>
        <w:t xml:space="preserve"> </w:t>
      </w:r>
      <w:r w:rsidRPr="00A62D44">
        <w:t>engagement</w:t>
      </w:r>
      <w:r>
        <w:t xml:space="preserve"> </w:t>
      </w:r>
      <w:r w:rsidRPr="00A62D44">
        <w:t>with</w:t>
      </w:r>
      <w:r>
        <w:t xml:space="preserve"> </w:t>
      </w:r>
      <w:r w:rsidRPr="00A62D44">
        <w:t>Indigenous</w:t>
      </w:r>
      <w:r>
        <w:t xml:space="preserve"> </w:t>
      </w:r>
      <w:r w:rsidRPr="00A62D44">
        <w:t>data</w:t>
      </w:r>
      <w:r>
        <w:t xml:space="preserve"> </w:t>
      </w:r>
      <w:r w:rsidRPr="00A62D44">
        <w:t>sovereignty</w:t>
      </w:r>
      <w:r>
        <w:t xml:space="preserve"> </w:t>
      </w:r>
      <w:r w:rsidRPr="00A62D44">
        <w:t>leaders</w:t>
      </w:r>
      <w:r>
        <w:t xml:space="preserve"> </w:t>
      </w:r>
      <w:r w:rsidRPr="00A62D44">
        <w:t>in</w:t>
      </w:r>
      <w:r>
        <w:t xml:space="preserve"> </w:t>
      </w:r>
      <w:r w:rsidRPr="00A62D44">
        <w:t>Australia</w:t>
      </w:r>
      <w:r>
        <w:t xml:space="preserve"> </w:t>
      </w:r>
      <w:r w:rsidRPr="00A62D44">
        <w:t>led</w:t>
      </w:r>
      <w:r>
        <w:t xml:space="preserve"> </w:t>
      </w:r>
      <w:r w:rsidRPr="00A62D44">
        <w:t>us</w:t>
      </w:r>
      <w:r>
        <w:t xml:space="preserve"> </w:t>
      </w:r>
      <w:r w:rsidRPr="00A62D44">
        <w:t>to</w:t>
      </w:r>
      <w:r>
        <w:t xml:space="preserve"> </w:t>
      </w:r>
      <w:r w:rsidRPr="00A62D44">
        <w:t>suggest</w:t>
      </w:r>
      <w:r>
        <w:t xml:space="preserve"> </w:t>
      </w:r>
      <w:r w:rsidRPr="00A62D44">
        <w:t>future</w:t>
      </w:r>
      <w:r>
        <w:t xml:space="preserve"> </w:t>
      </w:r>
      <w:r w:rsidRPr="00A62D44">
        <w:t>monitoring</w:t>
      </w:r>
      <w:r>
        <w:t xml:space="preserve"> </w:t>
      </w:r>
      <w:r w:rsidRPr="00A62D44">
        <w:t>waves</w:t>
      </w:r>
      <w:r>
        <w:t xml:space="preserve"> </w:t>
      </w:r>
      <w:r w:rsidRPr="00A62D44">
        <w:t>include</w:t>
      </w:r>
      <w:r>
        <w:t xml:space="preserve"> </w:t>
      </w:r>
      <w:r w:rsidRPr="00A62D44">
        <w:t>forthcoming</w:t>
      </w:r>
      <w:r>
        <w:t xml:space="preserve"> </w:t>
      </w:r>
      <w:r w:rsidRPr="00A62D44">
        <w:t>new</w:t>
      </w:r>
      <w:r>
        <w:t xml:space="preserve"> </w:t>
      </w:r>
      <w:r w:rsidRPr="00A62D44">
        <w:t>data</w:t>
      </w:r>
      <w:r>
        <w:t xml:space="preserve"> </w:t>
      </w:r>
      <w:r w:rsidRPr="00A62D44">
        <w:t>which</w:t>
      </w:r>
      <w:r>
        <w:t xml:space="preserve"> </w:t>
      </w:r>
      <w:r w:rsidRPr="00A62D44">
        <w:t>moves</w:t>
      </w:r>
      <w:r>
        <w:t xml:space="preserve"> </w:t>
      </w:r>
      <w:r w:rsidRPr="00A62D44">
        <w:t>beyond</w:t>
      </w:r>
      <w:r>
        <w:t xml:space="preserve"> </w:t>
      </w:r>
      <w:r w:rsidRPr="00A62D44">
        <w:t>‘deficit’</w:t>
      </w:r>
      <w:r>
        <w:t xml:space="preserve"> </w:t>
      </w:r>
      <w:r w:rsidRPr="00A62D44">
        <w:t>counting</w:t>
      </w:r>
      <w:r>
        <w:t xml:space="preserve"> </w:t>
      </w:r>
      <w:r w:rsidRPr="00A62D44">
        <w:t>to</w:t>
      </w:r>
      <w:r>
        <w:t xml:space="preserve"> </w:t>
      </w:r>
      <w:r w:rsidRPr="00A62D44">
        <w:t>emphasise</w:t>
      </w:r>
      <w:r>
        <w:t xml:space="preserve"> </w:t>
      </w:r>
      <w:r w:rsidRPr="00A62D44">
        <w:t>cultural</w:t>
      </w:r>
      <w:r>
        <w:t xml:space="preserve"> </w:t>
      </w:r>
      <w:r w:rsidRPr="00A62D44">
        <w:t>determinants</w:t>
      </w:r>
      <w:r>
        <w:t xml:space="preserve"> </w:t>
      </w:r>
      <w:r w:rsidRPr="00A62D44">
        <w:t>and</w:t>
      </w:r>
      <w:r>
        <w:t xml:space="preserve"> </w:t>
      </w:r>
      <w:r w:rsidRPr="00A62D44">
        <w:t>strengths-focused</w:t>
      </w:r>
      <w:r>
        <w:t xml:space="preserve"> </w:t>
      </w:r>
      <w:r w:rsidRPr="00A62D44">
        <w:t>indicators.</w:t>
      </w:r>
      <w:r>
        <w:t xml:space="preserve"> </w:t>
      </w:r>
      <w:r w:rsidRPr="00A62D44">
        <w:t>Please</w:t>
      </w:r>
      <w:r>
        <w:t xml:space="preserve"> </w:t>
      </w:r>
      <w:r w:rsidRPr="00A62D44">
        <w:t>see</w:t>
      </w:r>
      <w:r>
        <w:t xml:space="preserve"> </w:t>
      </w:r>
      <w:r w:rsidRPr="00A62D44">
        <w:t>Monitoring</w:t>
      </w:r>
      <w:r>
        <w:t xml:space="preserve"> </w:t>
      </w:r>
      <w:r w:rsidRPr="00A62D44">
        <w:t>domain</w:t>
      </w:r>
      <w:r>
        <w:t xml:space="preserve"> </w:t>
      </w:r>
      <w:r w:rsidRPr="00A62D44">
        <w:t>6:</w:t>
      </w:r>
      <w:r>
        <w:t xml:space="preserve"> </w:t>
      </w:r>
      <w:r w:rsidRPr="00A62D44">
        <w:t>Intersecting</w:t>
      </w:r>
      <w:r>
        <w:t xml:space="preserve"> </w:t>
      </w:r>
      <w:r w:rsidRPr="00A62D44">
        <w:t>drivers</w:t>
      </w:r>
      <w:r>
        <w:t xml:space="preserve"> </w:t>
      </w:r>
      <w:r w:rsidRPr="00A62D44">
        <w:t>of</w:t>
      </w:r>
      <w:r>
        <w:t xml:space="preserve"> </w:t>
      </w:r>
      <w:r w:rsidR="00450049" w:rsidRPr="00450049">
        <w:t>violence (other forms of oppression and discrimination</w:t>
      </w:r>
      <w:r w:rsidR="00560FC9">
        <w:t>)</w:t>
      </w:r>
      <w:r w:rsidRPr="00A62D44">
        <w:t>.</w:t>
      </w:r>
    </w:p>
    <w:p w14:paraId="47B1B853" w14:textId="77777777" w:rsidR="00437ED1" w:rsidRPr="00790783" w:rsidRDefault="00437ED1" w:rsidP="00437ED1">
      <w:pPr>
        <w:pStyle w:val="Heading2"/>
        <w:rPr>
          <w:rStyle w:val="OWCharacterHibiscus"/>
        </w:rPr>
      </w:pPr>
      <w:bookmarkStart w:id="113" w:name="_Toc55053332"/>
      <w:r w:rsidRPr="00790783">
        <w:rPr>
          <w:rStyle w:val="OWCharacterHibiscus"/>
        </w:rPr>
        <w:lastRenderedPageBreak/>
        <w:t>Appendix B</w:t>
      </w:r>
      <w:r>
        <w:rPr>
          <w:rStyle w:val="OWCharacterHibiscus"/>
        </w:rPr>
        <w:t>:</w:t>
      </w:r>
      <w:r w:rsidRPr="00790783">
        <w:rPr>
          <w:rStyle w:val="OWCharacterHibiscus"/>
        </w:rPr>
        <w:t xml:space="preserve"> A selection of family violence related courses at Australian universities</w:t>
      </w:r>
      <w:bookmarkEnd w:id="113"/>
    </w:p>
    <w:p w14:paraId="1A20EC14" w14:textId="77777777" w:rsidR="00A672E1" w:rsidRPr="0071774C" w:rsidRDefault="00A672E1" w:rsidP="00A672E1">
      <w:pPr>
        <w:pStyle w:val="OWTablecaption"/>
      </w:pPr>
      <w:r w:rsidRPr="0071774C">
        <w:t>Family</w:t>
      </w:r>
      <w:r>
        <w:t xml:space="preserve"> v</w:t>
      </w:r>
      <w:r w:rsidRPr="0071774C">
        <w:t>iolence</w:t>
      </w:r>
      <w:r>
        <w:t xml:space="preserve"> </w:t>
      </w:r>
      <w:r w:rsidRPr="0071774C">
        <w:t>related</w:t>
      </w:r>
      <w:r>
        <w:t xml:space="preserve"> </w:t>
      </w:r>
      <w:r w:rsidRPr="0071774C">
        <w:t>courses</w:t>
      </w:r>
      <w:r>
        <w:t xml:space="preserve"> </w:t>
      </w:r>
      <w:r w:rsidRPr="0071774C">
        <w:t>offered</w:t>
      </w:r>
      <w:r>
        <w:t xml:space="preserve"> </w:t>
      </w:r>
      <w:r w:rsidRPr="0071774C">
        <w:t>at</w:t>
      </w:r>
      <w:r>
        <w:t xml:space="preserve"> </w:t>
      </w:r>
      <w:r w:rsidRPr="0071774C">
        <w:t>Australian</w:t>
      </w:r>
      <w:r>
        <w:t xml:space="preserve"> </w:t>
      </w:r>
      <w:r w:rsidRPr="0071774C">
        <w:t>universities</w:t>
      </w:r>
    </w:p>
    <w:tbl>
      <w:tblPr>
        <w:tblStyle w:val="Datatablehibsicus"/>
        <w:tblW w:w="9072" w:type="dxa"/>
        <w:tblLook w:val="06A0" w:firstRow="1" w:lastRow="0" w:firstColumn="1" w:lastColumn="0" w:noHBand="1" w:noVBand="1"/>
      </w:tblPr>
      <w:tblGrid>
        <w:gridCol w:w="1314"/>
        <w:gridCol w:w="2644"/>
        <w:gridCol w:w="1547"/>
        <w:gridCol w:w="3567"/>
      </w:tblGrid>
      <w:tr w:rsidR="00437ED1" w:rsidRPr="0071774C" w14:paraId="2E0F0867" w14:textId="77777777" w:rsidTr="00AD1342">
        <w:trPr>
          <w:cnfStyle w:val="100000000000" w:firstRow="1" w:lastRow="0" w:firstColumn="0" w:lastColumn="0" w:oddVBand="0" w:evenVBand="0" w:oddHBand="0" w:evenHBand="0" w:firstRowFirstColumn="0" w:firstRowLastColumn="0" w:lastRowFirstColumn="0" w:lastRowLastColumn="0"/>
          <w:cantSplit/>
          <w:tblHeader/>
        </w:trPr>
        <w:tc>
          <w:tcPr>
            <w:tcW w:w="1245" w:type="dxa"/>
          </w:tcPr>
          <w:p w14:paraId="2DBDCC9E" w14:textId="77777777" w:rsidR="00437ED1" w:rsidRPr="0071774C" w:rsidRDefault="00437ED1" w:rsidP="00A672E1">
            <w:pPr>
              <w:pStyle w:val="OWTablecolumnheadleft"/>
            </w:pPr>
            <w:r w:rsidRPr="0071774C">
              <w:t>University</w:t>
            </w:r>
          </w:p>
        </w:tc>
        <w:tc>
          <w:tcPr>
            <w:tcW w:w="2662" w:type="dxa"/>
          </w:tcPr>
          <w:p w14:paraId="655F9333" w14:textId="77777777" w:rsidR="00437ED1" w:rsidRPr="0071774C" w:rsidRDefault="00437ED1" w:rsidP="00A672E1">
            <w:pPr>
              <w:pStyle w:val="OWTablecolumnheadleft"/>
            </w:pPr>
            <w:r w:rsidRPr="0071774C">
              <w:t>Course</w:t>
            </w:r>
          </w:p>
        </w:tc>
        <w:tc>
          <w:tcPr>
            <w:tcW w:w="1552" w:type="dxa"/>
          </w:tcPr>
          <w:p w14:paraId="1E9F0883" w14:textId="77777777" w:rsidR="00437ED1" w:rsidRPr="0071774C" w:rsidRDefault="00437ED1" w:rsidP="00A672E1">
            <w:pPr>
              <w:pStyle w:val="OWTablecolumnheadleft"/>
            </w:pPr>
            <w:r w:rsidRPr="0071774C">
              <w:t>Length</w:t>
            </w:r>
          </w:p>
        </w:tc>
        <w:tc>
          <w:tcPr>
            <w:tcW w:w="3601" w:type="dxa"/>
          </w:tcPr>
          <w:p w14:paraId="56163C2A" w14:textId="77777777" w:rsidR="00437ED1" w:rsidRPr="0071774C" w:rsidRDefault="00437ED1" w:rsidP="00A672E1">
            <w:pPr>
              <w:pStyle w:val="OWTablecolumnheadleft"/>
            </w:pPr>
            <w:r w:rsidRPr="0071774C">
              <w:t>Study</w:t>
            </w:r>
            <w:r>
              <w:t xml:space="preserve"> </w:t>
            </w:r>
            <w:r w:rsidRPr="0071774C">
              <w:t>requirements</w:t>
            </w:r>
          </w:p>
        </w:tc>
      </w:tr>
      <w:tr w:rsidR="00A672E1" w:rsidRPr="0071774C" w14:paraId="2678CD0E" w14:textId="77777777" w:rsidTr="00A672E1">
        <w:trPr>
          <w:cantSplit/>
        </w:trPr>
        <w:tc>
          <w:tcPr>
            <w:tcW w:w="1245" w:type="dxa"/>
            <w:vMerge w:val="restart"/>
          </w:tcPr>
          <w:p w14:paraId="11C21589" w14:textId="77777777" w:rsidR="00A672E1" w:rsidRPr="0071774C" w:rsidRDefault="00A672E1" w:rsidP="00A672E1">
            <w:pPr>
              <w:pStyle w:val="OWTablebodyleft"/>
            </w:pPr>
            <w:r w:rsidRPr="0071774C">
              <w:t>Monash</w:t>
            </w:r>
          </w:p>
        </w:tc>
        <w:tc>
          <w:tcPr>
            <w:tcW w:w="2662" w:type="dxa"/>
          </w:tcPr>
          <w:p w14:paraId="5DC0F27F" w14:textId="73F70CE8" w:rsidR="00A672E1" w:rsidRPr="0071774C" w:rsidRDefault="00A672E1" w:rsidP="00A672E1">
            <w:pPr>
              <w:pStyle w:val="OWTablebodyleft"/>
            </w:pPr>
            <w:r w:rsidRPr="0071774C">
              <w:t>Professional</w:t>
            </w:r>
            <w:r>
              <w:t xml:space="preserve"> </w:t>
            </w:r>
            <w:r w:rsidRPr="0071774C">
              <w:t>development</w:t>
            </w:r>
            <w:r>
              <w:t xml:space="preserve"> </w:t>
            </w:r>
            <w:r w:rsidRPr="0071774C">
              <w:t>short</w:t>
            </w:r>
            <w:r>
              <w:t xml:space="preserve"> </w:t>
            </w:r>
            <w:r w:rsidRPr="0071774C">
              <w:t>course:</w:t>
            </w:r>
            <w:r>
              <w:t xml:space="preserve"> </w:t>
            </w:r>
            <w:hyperlink r:id="rId89" w:history="1">
              <w:r w:rsidRPr="0071774C">
                <w:rPr>
                  <w:rStyle w:val="Hyperlink"/>
                  <w:bCs/>
                </w:rPr>
                <w:t>Gender,</w:t>
              </w:r>
              <w:r>
                <w:rPr>
                  <w:rStyle w:val="Hyperlink"/>
                  <w:bCs/>
                </w:rPr>
                <w:t xml:space="preserve"> </w:t>
              </w:r>
              <w:r w:rsidRPr="0071774C">
                <w:rPr>
                  <w:rStyle w:val="Hyperlink"/>
                  <w:bCs/>
                </w:rPr>
                <w:t>violence</w:t>
              </w:r>
              <w:r>
                <w:rPr>
                  <w:rStyle w:val="Hyperlink"/>
                  <w:bCs/>
                </w:rPr>
                <w:t xml:space="preserve"> </w:t>
              </w:r>
              <w:r w:rsidRPr="0071774C">
                <w:rPr>
                  <w:rStyle w:val="Hyperlink"/>
                  <w:bCs/>
                </w:rPr>
                <w:t>and</w:t>
              </w:r>
              <w:r>
                <w:rPr>
                  <w:rStyle w:val="Hyperlink"/>
                  <w:bCs/>
                </w:rPr>
                <w:t xml:space="preserve"> </w:t>
              </w:r>
              <w:r w:rsidRPr="0071774C">
                <w:rPr>
                  <w:rStyle w:val="Hyperlink"/>
                  <w:bCs/>
                </w:rPr>
                <w:t>society:</w:t>
              </w:r>
              <w:r>
                <w:rPr>
                  <w:rStyle w:val="Hyperlink"/>
                  <w:bCs/>
                </w:rPr>
                <w:t xml:space="preserve"> </w:t>
              </w:r>
              <w:r w:rsidRPr="0071774C">
                <w:rPr>
                  <w:rStyle w:val="Hyperlink"/>
                  <w:bCs/>
                </w:rPr>
                <w:t>Understanding</w:t>
              </w:r>
              <w:r>
                <w:rPr>
                  <w:rStyle w:val="Hyperlink"/>
                  <w:bCs/>
                </w:rPr>
                <w:t xml:space="preserve"> </w:t>
              </w:r>
              <w:r w:rsidRPr="0071774C">
                <w:rPr>
                  <w:rStyle w:val="Hyperlink"/>
                  <w:bCs/>
                </w:rPr>
                <w:t>social</w:t>
              </w:r>
              <w:r>
                <w:rPr>
                  <w:rStyle w:val="Hyperlink"/>
                  <w:bCs/>
                </w:rPr>
                <w:t xml:space="preserve"> </w:t>
              </w:r>
              <w:r w:rsidRPr="0071774C">
                <w:rPr>
                  <w:rStyle w:val="Hyperlink"/>
                  <w:bCs/>
                </w:rPr>
                <w:t>patterns</w:t>
              </w:r>
            </w:hyperlink>
          </w:p>
        </w:tc>
        <w:tc>
          <w:tcPr>
            <w:tcW w:w="1552" w:type="dxa"/>
          </w:tcPr>
          <w:p w14:paraId="4E23E826" w14:textId="77777777" w:rsidR="00A672E1" w:rsidRPr="0071774C" w:rsidRDefault="00A672E1" w:rsidP="00A672E1">
            <w:pPr>
              <w:pStyle w:val="OWTablebodyleft"/>
            </w:pPr>
            <w:r w:rsidRPr="0071774C">
              <w:t>4</w:t>
            </w:r>
            <w:r>
              <w:t xml:space="preserve"> </w:t>
            </w:r>
            <w:r w:rsidRPr="0071774C">
              <w:t>weeks</w:t>
            </w:r>
          </w:p>
        </w:tc>
        <w:tc>
          <w:tcPr>
            <w:tcW w:w="3601" w:type="dxa"/>
          </w:tcPr>
          <w:p w14:paraId="528DD6DD" w14:textId="77777777" w:rsidR="00A672E1" w:rsidRPr="0071774C" w:rsidRDefault="00A672E1" w:rsidP="00A672E1">
            <w:pPr>
              <w:pStyle w:val="OWTablebodyleft"/>
            </w:pPr>
            <w:r w:rsidRPr="0071774C">
              <w:t>Professionals,</w:t>
            </w:r>
            <w:r>
              <w:t xml:space="preserve"> </w:t>
            </w:r>
            <w:r w:rsidRPr="0071774C">
              <w:t>graduate</w:t>
            </w:r>
            <w:r>
              <w:t xml:space="preserve"> </w:t>
            </w:r>
            <w:r w:rsidRPr="0071774C">
              <w:t>students</w:t>
            </w:r>
            <w:r>
              <w:t xml:space="preserve"> </w:t>
            </w:r>
            <w:r w:rsidRPr="0071774C">
              <w:t>or</w:t>
            </w:r>
            <w:r>
              <w:t xml:space="preserve"> </w:t>
            </w:r>
            <w:r w:rsidRPr="0071774C">
              <w:t>advanced</w:t>
            </w:r>
            <w:r>
              <w:t xml:space="preserve"> </w:t>
            </w:r>
            <w:r w:rsidRPr="0071774C">
              <w:t>undergraduate</w:t>
            </w:r>
            <w:r>
              <w:t xml:space="preserve"> </w:t>
            </w:r>
            <w:r w:rsidRPr="0071774C">
              <w:t>students</w:t>
            </w:r>
          </w:p>
        </w:tc>
      </w:tr>
      <w:tr w:rsidR="00A672E1" w:rsidRPr="0071774C" w14:paraId="14DDC9D2" w14:textId="77777777" w:rsidTr="00A672E1">
        <w:trPr>
          <w:cantSplit/>
        </w:trPr>
        <w:tc>
          <w:tcPr>
            <w:tcW w:w="1245" w:type="dxa"/>
            <w:vMerge/>
          </w:tcPr>
          <w:p w14:paraId="035F53BA" w14:textId="77777777" w:rsidR="00A672E1" w:rsidRPr="0071774C" w:rsidRDefault="00A672E1" w:rsidP="00A672E1">
            <w:pPr>
              <w:pStyle w:val="OWTablebodyleft"/>
            </w:pPr>
          </w:p>
        </w:tc>
        <w:tc>
          <w:tcPr>
            <w:tcW w:w="2662" w:type="dxa"/>
          </w:tcPr>
          <w:p w14:paraId="7B1BBE8A" w14:textId="67B722BB" w:rsidR="00A672E1" w:rsidRPr="0071774C" w:rsidRDefault="00A672E1" w:rsidP="00A672E1">
            <w:pPr>
              <w:pStyle w:val="OWTablebodyleft"/>
            </w:pPr>
            <w:r w:rsidRPr="0071774C">
              <w:t>Professional</w:t>
            </w:r>
            <w:r>
              <w:t xml:space="preserve"> d</w:t>
            </w:r>
            <w:r w:rsidRPr="0071774C">
              <w:t>evelopment</w:t>
            </w:r>
            <w:r>
              <w:t xml:space="preserve"> </w:t>
            </w:r>
            <w:r w:rsidRPr="0071774C">
              <w:t>short</w:t>
            </w:r>
            <w:r>
              <w:t xml:space="preserve"> </w:t>
            </w:r>
            <w:r w:rsidRPr="0071774C">
              <w:t>course:</w:t>
            </w:r>
            <w:r>
              <w:t xml:space="preserve"> </w:t>
            </w:r>
            <w:hyperlink r:id="rId90" w:history="1">
              <w:r w:rsidRPr="0071774C">
                <w:rPr>
                  <w:rStyle w:val="Hyperlink"/>
                  <w:bCs/>
                </w:rPr>
                <w:t>Gender,</w:t>
              </w:r>
              <w:r>
                <w:rPr>
                  <w:rStyle w:val="Hyperlink"/>
                  <w:bCs/>
                </w:rPr>
                <w:t xml:space="preserve"> </w:t>
              </w:r>
              <w:r w:rsidRPr="0071774C">
                <w:rPr>
                  <w:rStyle w:val="Hyperlink"/>
                  <w:bCs/>
                </w:rPr>
                <w:t>violence</w:t>
              </w:r>
              <w:r>
                <w:rPr>
                  <w:rStyle w:val="Hyperlink"/>
                  <w:bCs/>
                </w:rPr>
                <w:t xml:space="preserve"> </w:t>
              </w:r>
              <w:r w:rsidRPr="0071774C">
                <w:rPr>
                  <w:rStyle w:val="Hyperlink"/>
                  <w:bCs/>
                </w:rPr>
                <w:t>and</w:t>
              </w:r>
              <w:r>
                <w:rPr>
                  <w:rStyle w:val="Hyperlink"/>
                  <w:bCs/>
                </w:rPr>
                <w:t xml:space="preserve"> </w:t>
              </w:r>
              <w:r w:rsidRPr="0071774C">
                <w:rPr>
                  <w:rStyle w:val="Hyperlink"/>
                  <w:bCs/>
                </w:rPr>
                <w:t>society:</w:t>
              </w:r>
              <w:r>
                <w:rPr>
                  <w:rStyle w:val="Hyperlink"/>
                  <w:bCs/>
                </w:rPr>
                <w:t xml:space="preserve"> </w:t>
              </w:r>
              <w:r w:rsidRPr="0071774C">
                <w:rPr>
                  <w:rStyle w:val="Hyperlink"/>
                  <w:bCs/>
                </w:rPr>
                <w:t>Criminal</w:t>
              </w:r>
              <w:r>
                <w:rPr>
                  <w:rStyle w:val="Hyperlink"/>
                  <w:bCs/>
                </w:rPr>
                <w:t xml:space="preserve"> </w:t>
              </w:r>
              <w:r w:rsidRPr="0071774C">
                <w:rPr>
                  <w:rStyle w:val="Hyperlink"/>
                  <w:bCs/>
                </w:rPr>
                <w:t>justice</w:t>
              </w:r>
              <w:r>
                <w:rPr>
                  <w:rStyle w:val="Hyperlink"/>
                  <w:bCs/>
                </w:rPr>
                <w:t xml:space="preserve"> </w:t>
              </w:r>
              <w:r w:rsidRPr="0071774C">
                <w:rPr>
                  <w:rStyle w:val="Hyperlink"/>
                  <w:bCs/>
                </w:rPr>
                <w:t>responses</w:t>
              </w:r>
            </w:hyperlink>
          </w:p>
        </w:tc>
        <w:tc>
          <w:tcPr>
            <w:tcW w:w="1552" w:type="dxa"/>
          </w:tcPr>
          <w:p w14:paraId="7269A845" w14:textId="77777777" w:rsidR="00A672E1" w:rsidRPr="0071774C" w:rsidRDefault="00A672E1" w:rsidP="00A672E1">
            <w:pPr>
              <w:pStyle w:val="OWTablebodyleft"/>
            </w:pPr>
            <w:r w:rsidRPr="0071774C">
              <w:t>4</w:t>
            </w:r>
            <w:r>
              <w:t xml:space="preserve"> </w:t>
            </w:r>
            <w:r w:rsidRPr="0071774C">
              <w:t>weeks</w:t>
            </w:r>
          </w:p>
        </w:tc>
        <w:tc>
          <w:tcPr>
            <w:tcW w:w="3601" w:type="dxa"/>
          </w:tcPr>
          <w:p w14:paraId="5A694DE2" w14:textId="77777777" w:rsidR="00A672E1" w:rsidRPr="0071774C" w:rsidRDefault="00A672E1" w:rsidP="00A672E1">
            <w:pPr>
              <w:pStyle w:val="OWTablebodyleft"/>
            </w:pPr>
            <w:r w:rsidRPr="0071774C">
              <w:t>Professionals,</w:t>
            </w:r>
            <w:r>
              <w:t xml:space="preserve"> </w:t>
            </w:r>
            <w:r w:rsidRPr="0071774C">
              <w:t>graduate</w:t>
            </w:r>
            <w:r>
              <w:t xml:space="preserve"> </w:t>
            </w:r>
            <w:r w:rsidRPr="0071774C">
              <w:t>students</w:t>
            </w:r>
            <w:r>
              <w:t xml:space="preserve"> </w:t>
            </w:r>
            <w:r w:rsidRPr="0071774C">
              <w:t>or</w:t>
            </w:r>
            <w:r>
              <w:t xml:space="preserve"> </w:t>
            </w:r>
            <w:r w:rsidRPr="0071774C">
              <w:t>advanced</w:t>
            </w:r>
            <w:r>
              <w:t xml:space="preserve"> </w:t>
            </w:r>
            <w:r w:rsidRPr="0071774C">
              <w:t>undergraduate</w:t>
            </w:r>
            <w:r>
              <w:t xml:space="preserve"> </w:t>
            </w:r>
            <w:r w:rsidRPr="0071774C">
              <w:t>students</w:t>
            </w:r>
          </w:p>
        </w:tc>
      </w:tr>
      <w:tr w:rsidR="00A672E1" w:rsidRPr="0071774C" w14:paraId="55F6850E" w14:textId="77777777" w:rsidTr="00A672E1">
        <w:trPr>
          <w:cantSplit/>
        </w:trPr>
        <w:tc>
          <w:tcPr>
            <w:tcW w:w="1245" w:type="dxa"/>
            <w:vMerge/>
          </w:tcPr>
          <w:p w14:paraId="1B94344A" w14:textId="77777777" w:rsidR="00A672E1" w:rsidRPr="0071774C" w:rsidRDefault="00A672E1" w:rsidP="00A672E1">
            <w:pPr>
              <w:pStyle w:val="OWTablebodyleft"/>
            </w:pPr>
          </w:p>
        </w:tc>
        <w:tc>
          <w:tcPr>
            <w:tcW w:w="2662" w:type="dxa"/>
          </w:tcPr>
          <w:p w14:paraId="1FA6BACD" w14:textId="77BC42E9" w:rsidR="00A672E1" w:rsidRPr="0071774C" w:rsidRDefault="00A672E1" w:rsidP="00A672E1">
            <w:pPr>
              <w:pStyle w:val="OWTablebodyleft"/>
            </w:pPr>
            <w:r w:rsidRPr="0071774C">
              <w:t>Professional</w:t>
            </w:r>
            <w:r>
              <w:t xml:space="preserve"> d</w:t>
            </w:r>
            <w:r w:rsidRPr="0071774C">
              <w:t>evelopment</w:t>
            </w:r>
            <w:r>
              <w:t xml:space="preserve"> </w:t>
            </w:r>
            <w:r w:rsidRPr="0071774C">
              <w:t>short</w:t>
            </w:r>
            <w:r>
              <w:t xml:space="preserve"> </w:t>
            </w:r>
            <w:r w:rsidRPr="0071774C">
              <w:t>course:</w:t>
            </w:r>
            <w:r>
              <w:t xml:space="preserve"> </w:t>
            </w:r>
            <w:hyperlink r:id="rId91" w:history="1">
              <w:r w:rsidRPr="0071774C">
                <w:rPr>
                  <w:rStyle w:val="Hyperlink"/>
                  <w:bCs/>
                </w:rPr>
                <w:t>Using</w:t>
              </w:r>
              <w:r>
                <w:rPr>
                  <w:rStyle w:val="Hyperlink"/>
                  <w:bCs/>
                </w:rPr>
                <w:t xml:space="preserve"> </w:t>
              </w:r>
              <w:r w:rsidRPr="0071774C">
                <w:rPr>
                  <w:rStyle w:val="Hyperlink"/>
                  <w:bCs/>
                </w:rPr>
                <w:t>data</w:t>
              </w:r>
              <w:r>
                <w:rPr>
                  <w:rStyle w:val="Hyperlink"/>
                  <w:bCs/>
                </w:rPr>
                <w:t xml:space="preserve"> </w:t>
              </w:r>
              <w:r w:rsidRPr="0071774C">
                <w:rPr>
                  <w:rStyle w:val="Hyperlink"/>
                  <w:bCs/>
                </w:rPr>
                <w:t>to</w:t>
              </w:r>
              <w:r>
                <w:rPr>
                  <w:rStyle w:val="Hyperlink"/>
                  <w:bCs/>
                </w:rPr>
                <w:t xml:space="preserve"> </w:t>
              </w:r>
              <w:r w:rsidRPr="0071774C">
                <w:rPr>
                  <w:rStyle w:val="Hyperlink"/>
                  <w:bCs/>
                </w:rPr>
                <w:t>understand</w:t>
              </w:r>
              <w:r>
                <w:rPr>
                  <w:rStyle w:val="Hyperlink"/>
                  <w:bCs/>
                </w:rPr>
                <w:t xml:space="preserve"> </w:t>
              </w:r>
              <w:r w:rsidRPr="0071774C">
                <w:rPr>
                  <w:rStyle w:val="Hyperlink"/>
                  <w:bCs/>
                </w:rPr>
                <w:t>family</w:t>
              </w:r>
              <w:r>
                <w:rPr>
                  <w:rStyle w:val="Hyperlink"/>
                  <w:bCs/>
                </w:rPr>
                <w:t xml:space="preserve"> </w:t>
              </w:r>
              <w:r w:rsidRPr="0071774C">
                <w:rPr>
                  <w:rStyle w:val="Hyperlink"/>
                  <w:bCs/>
                </w:rPr>
                <w:t>violence</w:t>
              </w:r>
            </w:hyperlink>
          </w:p>
        </w:tc>
        <w:tc>
          <w:tcPr>
            <w:tcW w:w="1552" w:type="dxa"/>
          </w:tcPr>
          <w:p w14:paraId="5A58FBA0" w14:textId="77777777" w:rsidR="00A672E1" w:rsidRPr="0071774C" w:rsidRDefault="00A672E1" w:rsidP="00A672E1">
            <w:pPr>
              <w:pStyle w:val="OWTablebodyleft"/>
            </w:pPr>
            <w:r w:rsidRPr="0071774C">
              <w:t>4</w:t>
            </w:r>
            <w:r>
              <w:t xml:space="preserve"> </w:t>
            </w:r>
            <w:r w:rsidRPr="0071774C">
              <w:t>weeks</w:t>
            </w:r>
          </w:p>
        </w:tc>
        <w:tc>
          <w:tcPr>
            <w:tcW w:w="3601" w:type="dxa"/>
          </w:tcPr>
          <w:p w14:paraId="22BA08F6" w14:textId="77777777" w:rsidR="00A672E1" w:rsidRPr="0071774C" w:rsidRDefault="00A672E1" w:rsidP="00A672E1">
            <w:pPr>
              <w:pStyle w:val="OWTablebodyleft"/>
            </w:pPr>
            <w:r w:rsidRPr="0071774C">
              <w:t>Professionals,</w:t>
            </w:r>
            <w:r>
              <w:t xml:space="preserve"> </w:t>
            </w:r>
            <w:r w:rsidRPr="0071774C">
              <w:t>graduate</w:t>
            </w:r>
            <w:r>
              <w:t xml:space="preserve"> </w:t>
            </w:r>
            <w:r w:rsidRPr="0071774C">
              <w:t>students</w:t>
            </w:r>
            <w:r>
              <w:t xml:space="preserve"> </w:t>
            </w:r>
            <w:r w:rsidRPr="0071774C">
              <w:t>or</w:t>
            </w:r>
            <w:r>
              <w:t xml:space="preserve"> </w:t>
            </w:r>
            <w:r w:rsidRPr="0071774C">
              <w:t>advanced</w:t>
            </w:r>
            <w:r>
              <w:t xml:space="preserve"> </w:t>
            </w:r>
            <w:r w:rsidRPr="0071774C">
              <w:t>undergraduate</w:t>
            </w:r>
            <w:r>
              <w:t xml:space="preserve"> </w:t>
            </w:r>
            <w:r w:rsidRPr="0071774C">
              <w:t>students</w:t>
            </w:r>
          </w:p>
        </w:tc>
      </w:tr>
      <w:tr w:rsidR="00A672E1" w:rsidRPr="0071774C" w14:paraId="07350EBA" w14:textId="77777777" w:rsidTr="00A672E1">
        <w:trPr>
          <w:cantSplit/>
        </w:trPr>
        <w:tc>
          <w:tcPr>
            <w:tcW w:w="1245" w:type="dxa"/>
            <w:vMerge/>
          </w:tcPr>
          <w:p w14:paraId="6D5B530F" w14:textId="77777777" w:rsidR="00A672E1" w:rsidRPr="0071774C" w:rsidRDefault="00A672E1" w:rsidP="00A672E1">
            <w:pPr>
              <w:pStyle w:val="OWTablebodyleft"/>
            </w:pPr>
          </w:p>
        </w:tc>
        <w:tc>
          <w:tcPr>
            <w:tcW w:w="2662" w:type="dxa"/>
          </w:tcPr>
          <w:p w14:paraId="638E52A5" w14:textId="0C5FE2D4" w:rsidR="00A672E1" w:rsidRPr="0071774C" w:rsidRDefault="00A672E1" w:rsidP="00A672E1">
            <w:pPr>
              <w:pStyle w:val="OWTablebodyleft"/>
            </w:pPr>
            <w:r w:rsidRPr="0071774C">
              <w:t>Professional</w:t>
            </w:r>
            <w:r>
              <w:t xml:space="preserve"> d</w:t>
            </w:r>
            <w:r w:rsidRPr="0071774C">
              <w:t>evelopment</w:t>
            </w:r>
            <w:r>
              <w:t xml:space="preserve"> </w:t>
            </w:r>
            <w:r w:rsidRPr="0071774C">
              <w:t>short</w:t>
            </w:r>
            <w:r>
              <w:t xml:space="preserve"> </w:t>
            </w:r>
            <w:r w:rsidRPr="0071774C">
              <w:t>course:</w:t>
            </w:r>
            <w:r>
              <w:t xml:space="preserve"> </w:t>
            </w:r>
            <w:hyperlink r:id="rId92" w:history="1">
              <w:r w:rsidRPr="0071774C">
                <w:rPr>
                  <w:rStyle w:val="Hyperlink"/>
                  <w:bCs/>
                </w:rPr>
                <w:t>Health</w:t>
              </w:r>
              <w:r>
                <w:rPr>
                  <w:rStyle w:val="Hyperlink"/>
                  <w:bCs/>
                </w:rPr>
                <w:t xml:space="preserve"> </w:t>
              </w:r>
              <w:r w:rsidRPr="0071774C">
                <w:rPr>
                  <w:rStyle w:val="Hyperlink"/>
                  <w:bCs/>
                </w:rPr>
                <w:t>and</w:t>
              </w:r>
              <w:r>
                <w:rPr>
                  <w:rStyle w:val="Hyperlink"/>
                  <w:bCs/>
                </w:rPr>
                <w:t xml:space="preserve"> </w:t>
              </w:r>
              <w:r w:rsidRPr="0071774C">
                <w:rPr>
                  <w:rStyle w:val="Hyperlink"/>
                  <w:bCs/>
                </w:rPr>
                <w:t>family</w:t>
              </w:r>
              <w:r>
                <w:rPr>
                  <w:rStyle w:val="Hyperlink"/>
                  <w:bCs/>
                </w:rPr>
                <w:t xml:space="preserve"> </w:t>
              </w:r>
              <w:r w:rsidRPr="0071774C">
                <w:rPr>
                  <w:rStyle w:val="Hyperlink"/>
                  <w:bCs/>
                </w:rPr>
                <w:t>violence</w:t>
              </w:r>
            </w:hyperlink>
          </w:p>
        </w:tc>
        <w:tc>
          <w:tcPr>
            <w:tcW w:w="1552" w:type="dxa"/>
          </w:tcPr>
          <w:p w14:paraId="660568DE" w14:textId="77777777" w:rsidR="00A672E1" w:rsidRPr="0071774C" w:rsidRDefault="00A672E1" w:rsidP="00A672E1">
            <w:pPr>
              <w:pStyle w:val="OWTablebodyleft"/>
            </w:pPr>
            <w:r w:rsidRPr="0071774C">
              <w:t>4</w:t>
            </w:r>
            <w:r>
              <w:t xml:space="preserve"> </w:t>
            </w:r>
            <w:r w:rsidRPr="0071774C">
              <w:t>weeks</w:t>
            </w:r>
          </w:p>
        </w:tc>
        <w:tc>
          <w:tcPr>
            <w:tcW w:w="3601" w:type="dxa"/>
          </w:tcPr>
          <w:p w14:paraId="7895002F" w14:textId="77777777" w:rsidR="00A672E1" w:rsidRPr="0071774C" w:rsidRDefault="00A672E1" w:rsidP="00A672E1">
            <w:pPr>
              <w:pStyle w:val="OWTablebodyleft"/>
            </w:pPr>
            <w:r w:rsidRPr="0071774C">
              <w:t>Professionals,</w:t>
            </w:r>
            <w:r>
              <w:t xml:space="preserve"> </w:t>
            </w:r>
            <w:r w:rsidRPr="0071774C">
              <w:t>graduate</w:t>
            </w:r>
            <w:r>
              <w:t xml:space="preserve"> </w:t>
            </w:r>
            <w:r w:rsidRPr="0071774C">
              <w:t>students</w:t>
            </w:r>
            <w:r>
              <w:t xml:space="preserve"> </w:t>
            </w:r>
            <w:r w:rsidRPr="0071774C">
              <w:t>or</w:t>
            </w:r>
            <w:r>
              <w:t xml:space="preserve"> </w:t>
            </w:r>
            <w:r w:rsidRPr="0071774C">
              <w:t>advanced</w:t>
            </w:r>
            <w:r>
              <w:t xml:space="preserve"> </w:t>
            </w:r>
            <w:r w:rsidRPr="0071774C">
              <w:t>undergraduate</w:t>
            </w:r>
            <w:r>
              <w:t xml:space="preserve"> </w:t>
            </w:r>
            <w:r w:rsidRPr="0071774C">
              <w:t>student</w:t>
            </w:r>
            <w:r>
              <w:t>s</w:t>
            </w:r>
          </w:p>
        </w:tc>
      </w:tr>
      <w:tr w:rsidR="00A672E1" w:rsidRPr="0071774C" w14:paraId="380266CD" w14:textId="77777777" w:rsidTr="00A672E1">
        <w:trPr>
          <w:cantSplit/>
        </w:trPr>
        <w:tc>
          <w:tcPr>
            <w:tcW w:w="1245" w:type="dxa"/>
            <w:vMerge/>
          </w:tcPr>
          <w:p w14:paraId="1982AE98" w14:textId="77777777" w:rsidR="00A672E1" w:rsidRPr="0071774C" w:rsidRDefault="00A672E1" w:rsidP="00A672E1">
            <w:pPr>
              <w:pStyle w:val="OWTablebodyleft"/>
            </w:pPr>
          </w:p>
        </w:tc>
        <w:tc>
          <w:tcPr>
            <w:tcW w:w="2662" w:type="dxa"/>
          </w:tcPr>
          <w:p w14:paraId="4570B976" w14:textId="558D8DFF" w:rsidR="00A672E1" w:rsidRPr="0071774C" w:rsidRDefault="00360573" w:rsidP="00A672E1">
            <w:pPr>
              <w:pStyle w:val="OWTablebodyleft"/>
            </w:pPr>
            <w:hyperlink r:id="rId93" w:tgtFrame="_blank" w:history="1">
              <w:r w:rsidR="00A672E1" w:rsidRPr="0071774C">
                <w:rPr>
                  <w:rStyle w:val="Hyperlink"/>
                  <w:bCs/>
                </w:rPr>
                <w:t>Graduate</w:t>
              </w:r>
              <w:r w:rsidR="00A672E1">
                <w:rPr>
                  <w:rStyle w:val="Hyperlink"/>
                  <w:bCs/>
                </w:rPr>
                <w:t xml:space="preserve"> </w:t>
              </w:r>
              <w:r w:rsidR="00A672E1" w:rsidRPr="0071774C">
                <w:rPr>
                  <w:rStyle w:val="Hyperlink"/>
                  <w:bCs/>
                </w:rPr>
                <w:t>Certificate</w:t>
              </w:r>
              <w:r w:rsidR="00A672E1">
                <w:rPr>
                  <w:rStyle w:val="Hyperlink"/>
                  <w:bCs/>
                </w:rPr>
                <w:t xml:space="preserve"> </w:t>
              </w:r>
              <w:r w:rsidR="00A672E1" w:rsidRPr="0071774C">
                <w:rPr>
                  <w:rStyle w:val="Hyperlink"/>
                  <w:bCs/>
                </w:rPr>
                <w:t>of</w:t>
              </w:r>
              <w:r w:rsidR="00A672E1">
                <w:rPr>
                  <w:rStyle w:val="Hyperlink"/>
                  <w:bCs/>
                </w:rPr>
                <w:t xml:space="preserve"> </w:t>
              </w:r>
              <w:r w:rsidR="00A672E1" w:rsidRPr="0071774C">
                <w:rPr>
                  <w:rStyle w:val="Hyperlink"/>
                  <w:bCs/>
                </w:rPr>
                <w:t>Family</w:t>
              </w:r>
              <w:r w:rsidR="00A672E1">
                <w:rPr>
                  <w:rStyle w:val="Hyperlink"/>
                  <w:bCs/>
                </w:rPr>
                <w:t xml:space="preserve"> </w:t>
              </w:r>
              <w:r w:rsidR="00A672E1" w:rsidRPr="0071774C">
                <w:rPr>
                  <w:rStyle w:val="Hyperlink"/>
                  <w:bCs/>
                </w:rPr>
                <w:t>Violence</w:t>
              </w:r>
              <w:r w:rsidR="00A672E1">
                <w:rPr>
                  <w:rStyle w:val="Hyperlink"/>
                  <w:bCs/>
                </w:rPr>
                <w:t xml:space="preserve"> </w:t>
              </w:r>
              <w:r w:rsidR="00A672E1" w:rsidRPr="0071774C">
                <w:rPr>
                  <w:rStyle w:val="Hyperlink"/>
                  <w:bCs/>
                </w:rPr>
                <w:t>Prevention</w:t>
              </w:r>
            </w:hyperlink>
          </w:p>
        </w:tc>
        <w:tc>
          <w:tcPr>
            <w:tcW w:w="1552" w:type="dxa"/>
          </w:tcPr>
          <w:p w14:paraId="1087BF35" w14:textId="77777777" w:rsidR="00A672E1" w:rsidRPr="0071774C" w:rsidRDefault="00A672E1" w:rsidP="00A672E1">
            <w:pPr>
              <w:pStyle w:val="OWTablebodyleft"/>
            </w:pPr>
            <w:r w:rsidRPr="0071774C">
              <w:t>1</w:t>
            </w:r>
            <w:r>
              <w:t xml:space="preserve"> </w:t>
            </w:r>
            <w:r w:rsidRPr="0071774C">
              <w:t>year</w:t>
            </w:r>
            <w:r>
              <w:t xml:space="preserve"> </w:t>
            </w:r>
            <w:r w:rsidRPr="0071774C">
              <w:t>part</w:t>
            </w:r>
            <w:r>
              <w:t>-</w:t>
            </w:r>
            <w:r w:rsidRPr="0071774C">
              <w:t>time</w:t>
            </w:r>
          </w:p>
        </w:tc>
        <w:tc>
          <w:tcPr>
            <w:tcW w:w="3601" w:type="dxa"/>
          </w:tcPr>
          <w:p w14:paraId="42BF17D7" w14:textId="77777777" w:rsidR="00A672E1" w:rsidRPr="0071774C" w:rsidRDefault="00A672E1" w:rsidP="00A672E1">
            <w:pPr>
              <w:pStyle w:val="OWTablebodyleft"/>
            </w:pPr>
            <w:r w:rsidRPr="0071774C">
              <w:t>Postgraduate</w:t>
            </w:r>
          </w:p>
        </w:tc>
      </w:tr>
      <w:tr w:rsidR="00A672E1" w:rsidRPr="0071774C" w14:paraId="4D571AB7" w14:textId="77777777" w:rsidTr="00A672E1">
        <w:trPr>
          <w:cantSplit/>
        </w:trPr>
        <w:tc>
          <w:tcPr>
            <w:tcW w:w="1245" w:type="dxa"/>
            <w:vMerge/>
          </w:tcPr>
          <w:p w14:paraId="4F2E9C31" w14:textId="77777777" w:rsidR="00A672E1" w:rsidRPr="0071774C" w:rsidRDefault="00A672E1" w:rsidP="00A672E1">
            <w:pPr>
              <w:pStyle w:val="OWTablebodyleft"/>
            </w:pPr>
          </w:p>
        </w:tc>
        <w:tc>
          <w:tcPr>
            <w:tcW w:w="2662" w:type="dxa"/>
          </w:tcPr>
          <w:p w14:paraId="4A2AD5D9" w14:textId="328D4535" w:rsidR="00A672E1" w:rsidRPr="0071774C" w:rsidRDefault="00360573" w:rsidP="00A672E1">
            <w:pPr>
              <w:pStyle w:val="OWTablebodyleft"/>
            </w:pPr>
            <w:hyperlink r:id="rId94" w:tgtFrame="_blank" w:history="1">
              <w:r w:rsidR="00A672E1" w:rsidRPr="0071774C">
                <w:rPr>
                  <w:rStyle w:val="Hyperlink"/>
                  <w:bCs/>
                </w:rPr>
                <w:t>Graduate</w:t>
              </w:r>
              <w:r w:rsidR="00A672E1">
                <w:rPr>
                  <w:rStyle w:val="Hyperlink"/>
                  <w:bCs/>
                </w:rPr>
                <w:t xml:space="preserve"> </w:t>
              </w:r>
              <w:r w:rsidR="00A672E1" w:rsidRPr="0071774C">
                <w:rPr>
                  <w:rStyle w:val="Hyperlink"/>
                  <w:bCs/>
                </w:rPr>
                <w:t>Diploma</w:t>
              </w:r>
              <w:r w:rsidR="00A672E1">
                <w:rPr>
                  <w:rStyle w:val="Hyperlink"/>
                  <w:bCs/>
                </w:rPr>
                <w:t xml:space="preserve"> </w:t>
              </w:r>
              <w:r w:rsidR="00A672E1" w:rsidRPr="0071774C">
                <w:rPr>
                  <w:rStyle w:val="Hyperlink"/>
                  <w:bCs/>
                </w:rPr>
                <w:t>of</w:t>
              </w:r>
              <w:r w:rsidR="00A672E1">
                <w:rPr>
                  <w:rStyle w:val="Hyperlink"/>
                  <w:bCs/>
                </w:rPr>
                <w:t xml:space="preserve"> </w:t>
              </w:r>
              <w:r w:rsidR="00A672E1" w:rsidRPr="0071774C">
                <w:rPr>
                  <w:rStyle w:val="Hyperlink"/>
                  <w:bCs/>
                </w:rPr>
                <w:t>Family</w:t>
              </w:r>
              <w:r w:rsidR="00A672E1">
                <w:rPr>
                  <w:rStyle w:val="Hyperlink"/>
                  <w:bCs/>
                </w:rPr>
                <w:t xml:space="preserve"> </w:t>
              </w:r>
              <w:r w:rsidR="00A672E1" w:rsidRPr="0071774C">
                <w:rPr>
                  <w:rStyle w:val="Hyperlink"/>
                  <w:bCs/>
                </w:rPr>
                <w:t>Violence</w:t>
              </w:r>
              <w:r w:rsidR="00A672E1">
                <w:rPr>
                  <w:rStyle w:val="Hyperlink"/>
                  <w:bCs/>
                </w:rPr>
                <w:t xml:space="preserve"> </w:t>
              </w:r>
              <w:r w:rsidR="00A672E1" w:rsidRPr="0071774C">
                <w:rPr>
                  <w:rStyle w:val="Hyperlink"/>
                  <w:bCs/>
                </w:rPr>
                <w:t>Prevention</w:t>
              </w:r>
            </w:hyperlink>
          </w:p>
        </w:tc>
        <w:tc>
          <w:tcPr>
            <w:tcW w:w="1552" w:type="dxa"/>
          </w:tcPr>
          <w:p w14:paraId="685ABBB3" w14:textId="77777777" w:rsidR="00A672E1" w:rsidRPr="0071774C" w:rsidRDefault="00A672E1" w:rsidP="00A672E1">
            <w:pPr>
              <w:pStyle w:val="OWTablebodyleft"/>
            </w:pPr>
            <w:r w:rsidRPr="0071774C">
              <w:t>2</w:t>
            </w:r>
            <w:r>
              <w:t xml:space="preserve"> </w:t>
            </w:r>
            <w:r w:rsidRPr="0071774C">
              <w:t>years</w:t>
            </w:r>
            <w:r>
              <w:t xml:space="preserve"> p</w:t>
            </w:r>
            <w:r w:rsidRPr="0071774C">
              <w:t>art</w:t>
            </w:r>
            <w:r>
              <w:t>-t</w:t>
            </w:r>
            <w:r w:rsidRPr="0071774C">
              <w:t>ime</w:t>
            </w:r>
          </w:p>
        </w:tc>
        <w:tc>
          <w:tcPr>
            <w:tcW w:w="3601" w:type="dxa"/>
          </w:tcPr>
          <w:p w14:paraId="7BDFA202" w14:textId="77777777" w:rsidR="00A672E1" w:rsidRPr="0071774C" w:rsidRDefault="00A672E1" w:rsidP="00A672E1">
            <w:pPr>
              <w:pStyle w:val="OWTablebodyleft"/>
            </w:pPr>
            <w:r w:rsidRPr="0071774C">
              <w:t>Postgraduate</w:t>
            </w:r>
          </w:p>
        </w:tc>
      </w:tr>
      <w:tr w:rsidR="00A672E1" w:rsidRPr="0071774C" w14:paraId="42492D97" w14:textId="77777777" w:rsidTr="00A672E1">
        <w:trPr>
          <w:cantSplit/>
        </w:trPr>
        <w:tc>
          <w:tcPr>
            <w:tcW w:w="1245" w:type="dxa"/>
            <w:vMerge w:val="restart"/>
          </w:tcPr>
          <w:p w14:paraId="21A8BF37" w14:textId="77777777" w:rsidR="00A672E1" w:rsidRPr="0071774C" w:rsidRDefault="00A672E1" w:rsidP="00A672E1">
            <w:pPr>
              <w:pStyle w:val="OWTablebodyleft"/>
              <w:pageBreakBefore/>
            </w:pPr>
            <w:r w:rsidRPr="0071774C">
              <w:lastRenderedPageBreak/>
              <w:t>RMIT</w:t>
            </w:r>
          </w:p>
        </w:tc>
        <w:tc>
          <w:tcPr>
            <w:tcW w:w="2662" w:type="dxa"/>
          </w:tcPr>
          <w:p w14:paraId="61BC6790" w14:textId="70A4C65C" w:rsidR="00A672E1" w:rsidRPr="0071774C" w:rsidRDefault="00360573" w:rsidP="00A672E1">
            <w:pPr>
              <w:pStyle w:val="OWTablebodyleft"/>
            </w:pPr>
            <w:hyperlink r:id="rId95" w:anchor="Pathways" w:history="1">
              <w:r w:rsidR="00A672E1" w:rsidRPr="0071774C">
                <w:rPr>
                  <w:rStyle w:val="Hyperlink"/>
                </w:rPr>
                <w:t>Graduate</w:t>
              </w:r>
              <w:r w:rsidR="00A672E1">
                <w:rPr>
                  <w:rStyle w:val="Hyperlink"/>
                </w:rPr>
                <w:t xml:space="preserve"> </w:t>
              </w:r>
              <w:r w:rsidR="00A672E1" w:rsidRPr="0071774C">
                <w:rPr>
                  <w:rStyle w:val="Hyperlink"/>
                </w:rPr>
                <w:t>Certificate</w:t>
              </w:r>
              <w:r w:rsidR="00A672E1">
                <w:rPr>
                  <w:rStyle w:val="Hyperlink"/>
                </w:rPr>
                <w:t xml:space="preserve"> </w:t>
              </w:r>
              <w:r w:rsidR="00A672E1" w:rsidRPr="0071774C">
                <w:rPr>
                  <w:rStyle w:val="Hyperlink"/>
                </w:rPr>
                <w:t>in</w:t>
              </w:r>
              <w:r w:rsidR="00A672E1">
                <w:rPr>
                  <w:rStyle w:val="Hyperlink"/>
                </w:rPr>
                <w:t xml:space="preserve"> </w:t>
              </w:r>
              <w:r w:rsidR="00A672E1" w:rsidRPr="0071774C">
                <w:rPr>
                  <w:rStyle w:val="Hyperlink"/>
                </w:rPr>
                <w:t>Domestic</w:t>
              </w:r>
              <w:r w:rsidR="00A672E1">
                <w:rPr>
                  <w:rStyle w:val="Hyperlink"/>
                </w:rPr>
                <w:t xml:space="preserve"> </w:t>
              </w:r>
              <w:r w:rsidR="00A672E1" w:rsidRPr="0071774C">
                <w:rPr>
                  <w:rStyle w:val="Hyperlink"/>
                </w:rPr>
                <w:t>and</w:t>
              </w:r>
              <w:r w:rsidR="00A672E1">
                <w:rPr>
                  <w:rStyle w:val="Hyperlink"/>
                </w:rPr>
                <w:t xml:space="preserve"> </w:t>
              </w:r>
              <w:r w:rsidR="00A672E1" w:rsidRPr="0071774C">
                <w:rPr>
                  <w:rStyle w:val="Hyperlink"/>
                </w:rPr>
                <w:t>Family</w:t>
              </w:r>
              <w:r w:rsidR="00A672E1">
                <w:rPr>
                  <w:rStyle w:val="Hyperlink"/>
                </w:rPr>
                <w:t xml:space="preserve"> </w:t>
              </w:r>
              <w:r w:rsidR="00A672E1" w:rsidRPr="0071774C">
                <w:rPr>
                  <w:rStyle w:val="Hyperlink"/>
                </w:rPr>
                <w:t>Violence</w:t>
              </w:r>
            </w:hyperlink>
          </w:p>
        </w:tc>
        <w:tc>
          <w:tcPr>
            <w:tcW w:w="1552" w:type="dxa"/>
          </w:tcPr>
          <w:p w14:paraId="13DDDD33" w14:textId="77777777" w:rsidR="00A672E1" w:rsidRPr="0071774C" w:rsidRDefault="00A672E1" w:rsidP="00A672E1">
            <w:pPr>
              <w:pStyle w:val="OWTablebodyleft"/>
            </w:pPr>
            <w:r w:rsidRPr="0071774C">
              <w:t>0.5</w:t>
            </w:r>
            <w:r>
              <w:t xml:space="preserve"> </w:t>
            </w:r>
            <w:r w:rsidRPr="0071774C">
              <w:t>years</w:t>
            </w:r>
            <w:r>
              <w:t xml:space="preserve"> </w:t>
            </w:r>
            <w:r w:rsidRPr="0071774C">
              <w:t>full-time</w:t>
            </w:r>
            <w:r>
              <w:t xml:space="preserve"> </w:t>
            </w:r>
            <w:r w:rsidRPr="0071774C">
              <w:t>or</w:t>
            </w:r>
            <w:r>
              <w:t xml:space="preserve"> </w:t>
            </w:r>
            <w:r w:rsidRPr="0071774C">
              <w:t>part</w:t>
            </w:r>
            <w:r>
              <w:t>-</w:t>
            </w:r>
            <w:r w:rsidRPr="0071774C">
              <w:t>time</w:t>
            </w:r>
            <w:r>
              <w:t xml:space="preserve"> </w:t>
            </w:r>
            <w:r w:rsidRPr="0071774C">
              <w:t>equivalent</w:t>
            </w:r>
          </w:p>
        </w:tc>
        <w:tc>
          <w:tcPr>
            <w:tcW w:w="3601" w:type="dxa"/>
          </w:tcPr>
          <w:p w14:paraId="417BB7DB" w14:textId="77777777" w:rsidR="00A672E1" w:rsidRPr="0071774C" w:rsidRDefault="00A672E1" w:rsidP="00A672E1">
            <w:pPr>
              <w:pStyle w:val="OWTablebodyleft"/>
            </w:pPr>
            <w:r w:rsidRPr="0071774C">
              <w:t>Postgraduate</w:t>
            </w:r>
          </w:p>
        </w:tc>
      </w:tr>
      <w:tr w:rsidR="00A672E1" w:rsidRPr="0071774C" w14:paraId="18F48088" w14:textId="77777777" w:rsidTr="00A672E1">
        <w:trPr>
          <w:cantSplit/>
        </w:trPr>
        <w:tc>
          <w:tcPr>
            <w:tcW w:w="1245" w:type="dxa"/>
            <w:vMerge/>
          </w:tcPr>
          <w:p w14:paraId="0C66DC51" w14:textId="77777777" w:rsidR="00A672E1" w:rsidRPr="0071774C" w:rsidRDefault="00A672E1" w:rsidP="00A672E1">
            <w:pPr>
              <w:pStyle w:val="OWTablebodyleft"/>
            </w:pPr>
          </w:p>
        </w:tc>
        <w:tc>
          <w:tcPr>
            <w:tcW w:w="2662" w:type="dxa"/>
          </w:tcPr>
          <w:p w14:paraId="611EB676" w14:textId="7C5ABBE4" w:rsidR="00A672E1" w:rsidRPr="0071774C" w:rsidRDefault="00A672E1" w:rsidP="00A672E1">
            <w:pPr>
              <w:pStyle w:val="OWTablebodyleft"/>
            </w:pPr>
            <w:r w:rsidRPr="0071774C">
              <w:t>Short</w:t>
            </w:r>
            <w:r>
              <w:t xml:space="preserve"> c</w:t>
            </w:r>
            <w:r w:rsidRPr="0071774C">
              <w:t>ourse:</w:t>
            </w:r>
            <w:r>
              <w:t xml:space="preserve"> </w:t>
            </w:r>
            <w:hyperlink r:id="rId96" w:history="1">
              <w:r w:rsidRPr="0071774C">
                <w:rPr>
                  <w:rStyle w:val="Hyperlink"/>
                </w:rPr>
                <w:t>Gender</w:t>
              </w:r>
              <w:r>
                <w:rPr>
                  <w:rStyle w:val="Hyperlink"/>
                </w:rPr>
                <w:t xml:space="preserve"> </w:t>
              </w:r>
              <w:r w:rsidRPr="0071774C">
                <w:rPr>
                  <w:rStyle w:val="Hyperlink"/>
                </w:rPr>
                <w:t>Development</w:t>
              </w:r>
              <w:r>
                <w:rPr>
                  <w:rStyle w:val="Hyperlink"/>
                </w:rPr>
                <w:t xml:space="preserve"> </w:t>
              </w:r>
              <w:r w:rsidRPr="0071774C">
                <w:rPr>
                  <w:rStyle w:val="Hyperlink"/>
                </w:rPr>
                <w:t>and</w:t>
              </w:r>
              <w:r>
                <w:rPr>
                  <w:rStyle w:val="Hyperlink"/>
                </w:rPr>
                <w:t xml:space="preserve"> </w:t>
              </w:r>
              <w:r w:rsidRPr="0071774C">
                <w:rPr>
                  <w:rStyle w:val="Hyperlink"/>
                </w:rPr>
                <w:t>Globalisation</w:t>
              </w:r>
            </w:hyperlink>
          </w:p>
        </w:tc>
        <w:tc>
          <w:tcPr>
            <w:tcW w:w="1552" w:type="dxa"/>
          </w:tcPr>
          <w:p w14:paraId="724ABF0E" w14:textId="77777777" w:rsidR="00A672E1" w:rsidRPr="0071774C" w:rsidRDefault="00A672E1" w:rsidP="00A672E1">
            <w:pPr>
              <w:pStyle w:val="OWTablebodyleft"/>
            </w:pPr>
            <w:r>
              <w:t xml:space="preserve">1 </w:t>
            </w:r>
            <w:r w:rsidRPr="0071774C">
              <w:t>semester</w:t>
            </w:r>
          </w:p>
        </w:tc>
        <w:tc>
          <w:tcPr>
            <w:tcW w:w="3601" w:type="dxa"/>
          </w:tcPr>
          <w:p w14:paraId="38907565" w14:textId="77777777" w:rsidR="00A672E1" w:rsidRPr="0071774C" w:rsidRDefault="00A672E1" w:rsidP="00A672E1">
            <w:pPr>
              <w:pStyle w:val="OWTablebodyleft"/>
            </w:pPr>
            <w:r w:rsidRPr="0071774C">
              <w:t>Undergraduate</w:t>
            </w:r>
          </w:p>
        </w:tc>
      </w:tr>
      <w:tr w:rsidR="00A672E1" w:rsidRPr="0071774C" w14:paraId="1C97C9EF" w14:textId="77777777" w:rsidTr="00A672E1">
        <w:trPr>
          <w:cantSplit/>
        </w:trPr>
        <w:tc>
          <w:tcPr>
            <w:tcW w:w="1245" w:type="dxa"/>
            <w:vMerge/>
          </w:tcPr>
          <w:p w14:paraId="76F396E7" w14:textId="77777777" w:rsidR="00A672E1" w:rsidRPr="0071774C" w:rsidRDefault="00A672E1" w:rsidP="00A672E1">
            <w:pPr>
              <w:pStyle w:val="OWTablebodyleft"/>
            </w:pPr>
          </w:p>
        </w:tc>
        <w:tc>
          <w:tcPr>
            <w:tcW w:w="2662" w:type="dxa"/>
          </w:tcPr>
          <w:p w14:paraId="79F11047" w14:textId="3FE71F6D" w:rsidR="00A672E1" w:rsidRPr="0071774C" w:rsidRDefault="00A672E1" w:rsidP="00A672E1">
            <w:pPr>
              <w:pStyle w:val="OWTablebodyleft"/>
            </w:pPr>
            <w:r w:rsidRPr="0071774C">
              <w:t>Short</w:t>
            </w:r>
            <w:r>
              <w:t xml:space="preserve"> </w:t>
            </w:r>
            <w:r w:rsidRPr="0071774C">
              <w:t>course:</w:t>
            </w:r>
            <w:r>
              <w:t xml:space="preserve"> </w:t>
            </w:r>
            <w:hyperlink r:id="rId97" w:history="1">
              <w:r w:rsidRPr="0071774C">
                <w:rPr>
                  <w:rStyle w:val="Hyperlink"/>
                </w:rPr>
                <w:t>Gender</w:t>
              </w:r>
              <w:r>
                <w:rPr>
                  <w:rStyle w:val="Hyperlink"/>
                </w:rPr>
                <w:t xml:space="preserve"> </w:t>
              </w:r>
              <w:r w:rsidRPr="0071774C">
                <w:rPr>
                  <w:rStyle w:val="Hyperlink"/>
                </w:rPr>
                <w:t>in</w:t>
              </w:r>
              <w:r>
                <w:rPr>
                  <w:rStyle w:val="Hyperlink"/>
                </w:rPr>
                <w:t xml:space="preserve"> </w:t>
              </w:r>
              <w:r w:rsidRPr="0071774C">
                <w:rPr>
                  <w:rStyle w:val="Hyperlink"/>
                </w:rPr>
                <w:t>Development</w:t>
              </w:r>
            </w:hyperlink>
          </w:p>
        </w:tc>
        <w:tc>
          <w:tcPr>
            <w:tcW w:w="1552" w:type="dxa"/>
          </w:tcPr>
          <w:p w14:paraId="300A7771" w14:textId="77777777" w:rsidR="00A672E1" w:rsidRPr="0071774C" w:rsidRDefault="00A672E1" w:rsidP="00A672E1">
            <w:pPr>
              <w:pStyle w:val="OWTablebodyleft"/>
            </w:pPr>
            <w:r>
              <w:t xml:space="preserve">1 </w:t>
            </w:r>
            <w:r w:rsidRPr="0071774C">
              <w:t>semester</w:t>
            </w:r>
          </w:p>
        </w:tc>
        <w:tc>
          <w:tcPr>
            <w:tcW w:w="3601" w:type="dxa"/>
          </w:tcPr>
          <w:p w14:paraId="1C950970" w14:textId="77777777" w:rsidR="00A672E1" w:rsidRPr="0071774C" w:rsidRDefault="00A672E1" w:rsidP="00A672E1">
            <w:pPr>
              <w:pStyle w:val="OWTablebodyleft"/>
            </w:pPr>
            <w:r w:rsidRPr="0071774C">
              <w:t>Postgraduate</w:t>
            </w:r>
          </w:p>
        </w:tc>
      </w:tr>
      <w:tr w:rsidR="00A672E1" w:rsidRPr="0071774C" w14:paraId="52FD34F1" w14:textId="77777777" w:rsidTr="00A672E1">
        <w:trPr>
          <w:cantSplit/>
        </w:trPr>
        <w:tc>
          <w:tcPr>
            <w:tcW w:w="1245" w:type="dxa"/>
            <w:vMerge/>
          </w:tcPr>
          <w:p w14:paraId="062A8ACD" w14:textId="77777777" w:rsidR="00A672E1" w:rsidRPr="0071774C" w:rsidRDefault="00A672E1" w:rsidP="00A672E1">
            <w:pPr>
              <w:pStyle w:val="OWTablebodyleft"/>
            </w:pPr>
          </w:p>
        </w:tc>
        <w:tc>
          <w:tcPr>
            <w:tcW w:w="2662" w:type="dxa"/>
          </w:tcPr>
          <w:p w14:paraId="291B9E0F" w14:textId="20AD6D58" w:rsidR="00A672E1" w:rsidRPr="0071774C" w:rsidRDefault="00360573" w:rsidP="00A672E1">
            <w:pPr>
              <w:pStyle w:val="OWTablebodyleft"/>
            </w:pPr>
            <w:hyperlink r:id="rId98" w:anchor="Pathways" w:history="1">
              <w:r w:rsidR="00A672E1" w:rsidRPr="0071774C">
                <w:rPr>
                  <w:rStyle w:val="Hyperlink"/>
                </w:rPr>
                <w:t>Graduate</w:t>
              </w:r>
              <w:r w:rsidR="00A672E1">
                <w:rPr>
                  <w:rStyle w:val="Hyperlink"/>
                </w:rPr>
                <w:t xml:space="preserve"> </w:t>
              </w:r>
              <w:r w:rsidR="00A672E1" w:rsidRPr="0071774C">
                <w:rPr>
                  <w:rStyle w:val="Hyperlink"/>
                </w:rPr>
                <w:t>Certificate</w:t>
              </w:r>
              <w:r w:rsidR="00A672E1">
                <w:rPr>
                  <w:rStyle w:val="Hyperlink"/>
                </w:rPr>
                <w:t xml:space="preserve"> </w:t>
              </w:r>
              <w:r w:rsidR="00A672E1" w:rsidRPr="0071774C">
                <w:rPr>
                  <w:rStyle w:val="Hyperlink"/>
                </w:rPr>
                <w:t>in</w:t>
              </w:r>
              <w:r w:rsidR="00A672E1">
                <w:rPr>
                  <w:rStyle w:val="Hyperlink"/>
                </w:rPr>
                <w:t xml:space="preserve"> </w:t>
              </w:r>
              <w:r w:rsidR="00A672E1" w:rsidRPr="0071774C">
                <w:rPr>
                  <w:rStyle w:val="Hyperlink"/>
                </w:rPr>
                <w:t>Domestic</w:t>
              </w:r>
              <w:r w:rsidR="00A672E1">
                <w:rPr>
                  <w:rStyle w:val="Hyperlink"/>
                </w:rPr>
                <w:t xml:space="preserve"> </w:t>
              </w:r>
              <w:r w:rsidR="00A672E1" w:rsidRPr="0071774C">
                <w:rPr>
                  <w:rStyle w:val="Hyperlink"/>
                </w:rPr>
                <w:t>and</w:t>
              </w:r>
              <w:r w:rsidR="00A672E1">
                <w:rPr>
                  <w:rStyle w:val="Hyperlink"/>
                </w:rPr>
                <w:t xml:space="preserve"> </w:t>
              </w:r>
              <w:r w:rsidR="00A672E1" w:rsidRPr="0071774C">
                <w:rPr>
                  <w:rStyle w:val="Hyperlink"/>
                </w:rPr>
                <w:t>Family</w:t>
              </w:r>
              <w:r w:rsidR="00A672E1">
                <w:rPr>
                  <w:rStyle w:val="Hyperlink"/>
                </w:rPr>
                <w:t xml:space="preserve"> </w:t>
              </w:r>
              <w:r w:rsidR="00A672E1" w:rsidRPr="0071774C">
                <w:rPr>
                  <w:rStyle w:val="Hyperlink"/>
                </w:rPr>
                <w:t>Violence</w:t>
              </w:r>
            </w:hyperlink>
          </w:p>
        </w:tc>
        <w:tc>
          <w:tcPr>
            <w:tcW w:w="1552" w:type="dxa"/>
          </w:tcPr>
          <w:p w14:paraId="238B7925" w14:textId="77777777" w:rsidR="00A672E1" w:rsidRPr="0071774C" w:rsidRDefault="00A672E1" w:rsidP="00A672E1">
            <w:pPr>
              <w:pStyle w:val="OWTablebodyleft"/>
            </w:pPr>
            <w:r w:rsidRPr="0071774C">
              <w:t>0.5</w:t>
            </w:r>
            <w:r>
              <w:t xml:space="preserve"> </w:t>
            </w:r>
            <w:r w:rsidRPr="0071774C">
              <w:t>years</w:t>
            </w:r>
            <w:r>
              <w:t xml:space="preserve"> </w:t>
            </w:r>
            <w:r w:rsidRPr="0071774C">
              <w:t>full-time</w:t>
            </w:r>
            <w:r>
              <w:t xml:space="preserve"> </w:t>
            </w:r>
            <w:r w:rsidRPr="0071774C">
              <w:t>or</w:t>
            </w:r>
            <w:r>
              <w:t xml:space="preserve"> </w:t>
            </w:r>
            <w:r w:rsidRPr="0071774C">
              <w:t>part</w:t>
            </w:r>
            <w:r>
              <w:t>-</w:t>
            </w:r>
            <w:r w:rsidRPr="0071774C">
              <w:t>time</w:t>
            </w:r>
            <w:r>
              <w:t xml:space="preserve"> </w:t>
            </w:r>
            <w:r w:rsidRPr="0071774C">
              <w:t>equivalent</w:t>
            </w:r>
          </w:p>
        </w:tc>
        <w:tc>
          <w:tcPr>
            <w:tcW w:w="3601" w:type="dxa"/>
          </w:tcPr>
          <w:p w14:paraId="38B35629" w14:textId="77777777" w:rsidR="00A672E1" w:rsidRPr="0071774C" w:rsidRDefault="00A672E1" w:rsidP="00A672E1">
            <w:pPr>
              <w:pStyle w:val="OWTablebodyleft"/>
            </w:pPr>
            <w:r w:rsidRPr="0071774C">
              <w:t>Postgraduate</w:t>
            </w:r>
          </w:p>
        </w:tc>
      </w:tr>
      <w:tr w:rsidR="00A672E1" w:rsidRPr="0071774C" w14:paraId="44A410C8" w14:textId="77777777" w:rsidTr="00A672E1">
        <w:trPr>
          <w:cantSplit/>
        </w:trPr>
        <w:tc>
          <w:tcPr>
            <w:tcW w:w="1245" w:type="dxa"/>
            <w:vMerge/>
          </w:tcPr>
          <w:p w14:paraId="56E4D76B" w14:textId="77777777" w:rsidR="00A672E1" w:rsidRPr="0071774C" w:rsidRDefault="00A672E1" w:rsidP="00A672E1">
            <w:pPr>
              <w:pStyle w:val="OWTablebodyleft"/>
            </w:pPr>
          </w:p>
        </w:tc>
        <w:tc>
          <w:tcPr>
            <w:tcW w:w="2662" w:type="dxa"/>
          </w:tcPr>
          <w:p w14:paraId="242903DB" w14:textId="38488D27" w:rsidR="00A672E1" w:rsidRPr="0071774C" w:rsidRDefault="00A672E1" w:rsidP="00A672E1">
            <w:pPr>
              <w:pStyle w:val="OWTablebodyleft"/>
            </w:pPr>
            <w:r w:rsidRPr="0071774C">
              <w:t>Credential:</w:t>
            </w:r>
            <w:r>
              <w:t xml:space="preserve"> </w:t>
            </w:r>
            <w:hyperlink r:id="rId99" w:history="1">
              <w:r w:rsidRPr="0071774C">
                <w:rPr>
                  <w:rStyle w:val="Hyperlink"/>
                </w:rPr>
                <w:t>Gender</w:t>
              </w:r>
              <w:r>
                <w:rPr>
                  <w:rStyle w:val="Hyperlink"/>
                </w:rPr>
                <w:t xml:space="preserve"> </w:t>
              </w:r>
              <w:r w:rsidRPr="0071774C">
                <w:rPr>
                  <w:rStyle w:val="Hyperlink"/>
                </w:rPr>
                <w:t>Equity</w:t>
              </w:r>
              <w:r>
                <w:rPr>
                  <w:rStyle w:val="Hyperlink"/>
                </w:rPr>
                <w:t xml:space="preserve"> </w:t>
              </w:r>
              <w:r w:rsidRPr="0071774C">
                <w:rPr>
                  <w:rStyle w:val="Hyperlink"/>
                </w:rPr>
                <w:t>in</w:t>
              </w:r>
              <w:r>
                <w:rPr>
                  <w:rStyle w:val="Hyperlink"/>
                </w:rPr>
                <w:t xml:space="preserve"> </w:t>
              </w:r>
              <w:r w:rsidRPr="0071774C">
                <w:rPr>
                  <w:rStyle w:val="Hyperlink"/>
                </w:rPr>
                <w:t>Action</w:t>
              </w:r>
            </w:hyperlink>
          </w:p>
        </w:tc>
        <w:tc>
          <w:tcPr>
            <w:tcW w:w="1552" w:type="dxa"/>
          </w:tcPr>
          <w:p w14:paraId="5485B62F" w14:textId="77777777" w:rsidR="00A672E1" w:rsidRPr="0071774C" w:rsidRDefault="00A672E1" w:rsidP="00A672E1">
            <w:pPr>
              <w:pStyle w:val="OWTablebodyleft"/>
            </w:pPr>
            <w:r w:rsidRPr="0071774C">
              <w:t>3</w:t>
            </w:r>
            <w:r>
              <w:t xml:space="preserve"> h</w:t>
            </w:r>
            <w:r w:rsidRPr="0071774C">
              <w:t>ours</w:t>
            </w:r>
            <w:r>
              <w:t xml:space="preserve"> o</w:t>
            </w:r>
            <w:r w:rsidRPr="0071774C">
              <w:t>nline</w:t>
            </w:r>
          </w:p>
        </w:tc>
        <w:tc>
          <w:tcPr>
            <w:tcW w:w="3601" w:type="dxa"/>
          </w:tcPr>
          <w:p w14:paraId="28AB09CF" w14:textId="77777777" w:rsidR="00A672E1" w:rsidRPr="0071774C" w:rsidRDefault="00A672E1" w:rsidP="00A672E1">
            <w:pPr>
              <w:pStyle w:val="OWTablebodyleft"/>
            </w:pPr>
            <w:r w:rsidRPr="0071774C">
              <w:t>All</w:t>
            </w:r>
            <w:r>
              <w:t xml:space="preserve"> </w:t>
            </w:r>
            <w:r w:rsidRPr="0071774C">
              <w:t>students</w:t>
            </w:r>
          </w:p>
        </w:tc>
      </w:tr>
      <w:tr w:rsidR="00A672E1" w:rsidRPr="0071774C" w14:paraId="4DEB7F4F" w14:textId="77777777" w:rsidTr="00A672E1">
        <w:trPr>
          <w:cantSplit/>
        </w:trPr>
        <w:tc>
          <w:tcPr>
            <w:tcW w:w="1245" w:type="dxa"/>
            <w:vMerge/>
          </w:tcPr>
          <w:p w14:paraId="6524A68A" w14:textId="77777777" w:rsidR="00A672E1" w:rsidRPr="0071774C" w:rsidRDefault="00A672E1" w:rsidP="00A672E1">
            <w:pPr>
              <w:pStyle w:val="OWTablebodyleft"/>
            </w:pPr>
          </w:p>
        </w:tc>
        <w:tc>
          <w:tcPr>
            <w:tcW w:w="2662" w:type="dxa"/>
          </w:tcPr>
          <w:p w14:paraId="4A15ECD3" w14:textId="525BF63F" w:rsidR="00A672E1" w:rsidRPr="0071774C" w:rsidRDefault="00A672E1" w:rsidP="00A672E1">
            <w:pPr>
              <w:pStyle w:val="OWTablebodyleft"/>
            </w:pPr>
            <w:r w:rsidRPr="0071774C">
              <w:t>Credential:</w:t>
            </w:r>
            <w:r>
              <w:t xml:space="preserve"> </w:t>
            </w:r>
            <w:hyperlink r:id="rId100" w:history="1">
              <w:r w:rsidRPr="0071774C">
                <w:rPr>
                  <w:rStyle w:val="Hyperlink"/>
                </w:rPr>
                <w:t>Why</w:t>
              </w:r>
              <w:r>
                <w:rPr>
                  <w:rStyle w:val="Hyperlink"/>
                </w:rPr>
                <w:t xml:space="preserve"> </w:t>
              </w:r>
              <w:r w:rsidRPr="0071774C">
                <w:rPr>
                  <w:rStyle w:val="Hyperlink"/>
                </w:rPr>
                <w:t>Gender</w:t>
              </w:r>
              <w:r>
                <w:rPr>
                  <w:rStyle w:val="Hyperlink"/>
                </w:rPr>
                <w:t xml:space="preserve"> </w:t>
              </w:r>
              <w:r w:rsidRPr="0071774C">
                <w:rPr>
                  <w:rStyle w:val="Hyperlink"/>
                </w:rPr>
                <w:t>Matters</w:t>
              </w:r>
            </w:hyperlink>
          </w:p>
        </w:tc>
        <w:tc>
          <w:tcPr>
            <w:tcW w:w="1552" w:type="dxa"/>
          </w:tcPr>
          <w:p w14:paraId="462B3BAF" w14:textId="77777777" w:rsidR="00A672E1" w:rsidRPr="0071774C" w:rsidRDefault="00A672E1" w:rsidP="00A672E1">
            <w:pPr>
              <w:pStyle w:val="OWTablebodyleft"/>
            </w:pPr>
            <w:r w:rsidRPr="0071774C">
              <w:t>1</w:t>
            </w:r>
            <w:r>
              <w:t>–</w:t>
            </w:r>
            <w:r w:rsidRPr="0071774C">
              <w:t>2</w:t>
            </w:r>
            <w:r>
              <w:t xml:space="preserve"> </w:t>
            </w:r>
            <w:r w:rsidRPr="0071774C">
              <w:t>hours</w:t>
            </w:r>
            <w:r>
              <w:t xml:space="preserve"> </w:t>
            </w:r>
            <w:r w:rsidRPr="0071774C">
              <w:t>online</w:t>
            </w:r>
          </w:p>
        </w:tc>
        <w:tc>
          <w:tcPr>
            <w:tcW w:w="3601" w:type="dxa"/>
          </w:tcPr>
          <w:p w14:paraId="039D8B09" w14:textId="77777777" w:rsidR="00A672E1" w:rsidRPr="0071774C" w:rsidRDefault="00A672E1" w:rsidP="00A672E1">
            <w:pPr>
              <w:pStyle w:val="OWTablebodyleft"/>
            </w:pPr>
            <w:r w:rsidRPr="0071774C">
              <w:t>All</w:t>
            </w:r>
            <w:r>
              <w:t xml:space="preserve"> </w:t>
            </w:r>
            <w:r w:rsidRPr="0071774C">
              <w:t>Students</w:t>
            </w:r>
          </w:p>
        </w:tc>
      </w:tr>
      <w:tr w:rsidR="00437ED1" w:rsidRPr="0071774C" w14:paraId="038F365D" w14:textId="77777777" w:rsidTr="00A672E1">
        <w:trPr>
          <w:cantSplit/>
        </w:trPr>
        <w:tc>
          <w:tcPr>
            <w:tcW w:w="1245" w:type="dxa"/>
          </w:tcPr>
          <w:p w14:paraId="5E7FC586" w14:textId="77777777" w:rsidR="00437ED1" w:rsidRPr="0071774C" w:rsidRDefault="00437ED1" w:rsidP="00A672E1">
            <w:pPr>
              <w:pStyle w:val="OWTablebodyleft"/>
            </w:pPr>
            <w:r w:rsidRPr="0071774C">
              <w:t>Melbourne</w:t>
            </w:r>
            <w:r>
              <w:t xml:space="preserve"> </w:t>
            </w:r>
            <w:r w:rsidRPr="0071774C">
              <w:t>University</w:t>
            </w:r>
          </w:p>
        </w:tc>
        <w:tc>
          <w:tcPr>
            <w:tcW w:w="2662" w:type="dxa"/>
          </w:tcPr>
          <w:p w14:paraId="66C99EFD" w14:textId="2D02AA00" w:rsidR="00437ED1" w:rsidRPr="0071774C" w:rsidRDefault="00437ED1" w:rsidP="00A672E1">
            <w:pPr>
              <w:pStyle w:val="OWTablebodyleft"/>
            </w:pPr>
            <w:r w:rsidRPr="0071774C">
              <w:t>Graduate</w:t>
            </w:r>
            <w:r>
              <w:t xml:space="preserve"> c</w:t>
            </w:r>
            <w:r w:rsidRPr="0071774C">
              <w:t>oursework:</w:t>
            </w:r>
            <w:r>
              <w:t xml:space="preserve"> </w:t>
            </w:r>
            <w:hyperlink r:id="rId101" w:history="1">
              <w:r w:rsidRPr="0071774C">
                <w:rPr>
                  <w:rStyle w:val="Hyperlink"/>
                </w:rPr>
                <w:t>Domestic</w:t>
              </w:r>
              <w:r>
                <w:rPr>
                  <w:rStyle w:val="Hyperlink"/>
                </w:rPr>
                <w:t xml:space="preserve"> </w:t>
              </w:r>
              <w:r w:rsidRPr="0071774C">
                <w:rPr>
                  <w:rStyle w:val="Hyperlink"/>
                </w:rPr>
                <w:t>and</w:t>
              </w:r>
              <w:r>
                <w:rPr>
                  <w:rStyle w:val="Hyperlink"/>
                </w:rPr>
                <w:t xml:space="preserve"> </w:t>
              </w:r>
              <w:r w:rsidRPr="0071774C">
                <w:rPr>
                  <w:rStyle w:val="Hyperlink"/>
                </w:rPr>
                <w:t>Family</w:t>
              </w:r>
              <w:r>
                <w:rPr>
                  <w:rStyle w:val="Hyperlink"/>
                </w:rPr>
                <w:t xml:space="preserve"> </w:t>
              </w:r>
              <w:r w:rsidRPr="0071774C">
                <w:rPr>
                  <w:rStyle w:val="Hyperlink"/>
                </w:rPr>
                <w:t>Violence</w:t>
              </w:r>
              <w:r>
                <w:rPr>
                  <w:rStyle w:val="Hyperlink"/>
                </w:rPr>
                <w:t xml:space="preserve"> </w:t>
              </w:r>
              <w:r w:rsidRPr="0071774C">
                <w:rPr>
                  <w:rStyle w:val="Hyperlink"/>
                </w:rPr>
                <w:t>(HLTH90007)</w:t>
              </w:r>
            </w:hyperlink>
          </w:p>
        </w:tc>
        <w:tc>
          <w:tcPr>
            <w:tcW w:w="1552" w:type="dxa"/>
          </w:tcPr>
          <w:p w14:paraId="5FE52CAB" w14:textId="77777777" w:rsidR="00437ED1" w:rsidRPr="0071774C" w:rsidRDefault="00437ED1" w:rsidP="00A672E1">
            <w:pPr>
              <w:pStyle w:val="OWTablebodyleft"/>
            </w:pPr>
            <w:r w:rsidRPr="0071774C">
              <w:t>136</w:t>
            </w:r>
            <w:r>
              <w:t xml:space="preserve"> </w:t>
            </w:r>
            <w:r w:rsidRPr="0071774C">
              <w:t>hours</w:t>
            </w:r>
            <w:r>
              <w:t xml:space="preserve"> </w:t>
            </w:r>
            <w:r w:rsidRPr="0071774C">
              <w:t>online</w:t>
            </w:r>
          </w:p>
        </w:tc>
        <w:tc>
          <w:tcPr>
            <w:tcW w:w="3601" w:type="dxa"/>
          </w:tcPr>
          <w:p w14:paraId="75EF9760" w14:textId="77777777" w:rsidR="00437ED1" w:rsidRPr="0071774C" w:rsidRDefault="00437ED1" w:rsidP="00A672E1">
            <w:pPr>
              <w:pStyle w:val="OWTablebodyleft"/>
            </w:pPr>
            <w:r w:rsidRPr="0071774C">
              <w:t>N</w:t>
            </w:r>
            <w:r>
              <w:t>il</w:t>
            </w:r>
          </w:p>
        </w:tc>
      </w:tr>
      <w:tr w:rsidR="00437ED1" w:rsidRPr="0071774C" w14:paraId="7F023227" w14:textId="77777777" w:rsidTr="00A672E1">
        <w:trPr>
          <w:cantSplit/>
        </w:trPr>
        <w:tc>
          <w:tcPr>
            <w:tcW w:w="1245" w:type="dxa"/>
          </w:tcPr>
          <w:p w14:paraId="28254443" w14:textId="77777777" w:rsidR="00437ED1" w:rsidRPr="00EF619E" w:rsidRDefault="00437ED1" w:rsidP="00A672E1">
            <w:pPr>
              <w:pStyle w:val="OWTablebodyleft"/>
            </w:pPr>
            <w:r w:rsidRPr="0071774C">
              <w:t>CQ</w:t>
            </w:r>
            <w:r>
              <w:t xml:space="preserve"> </w:t>
            </w:r>
            <w:r w:rsidRPr="0071774C">
              <w:t>University</w:t>
            </w:r>
          </w:p>
        </w:tc>
        <w:tc>
          <w:tcPr>
            <w:tcW w:w="2662" w:type="dxa"/>
          </w:tcPr>
          <w:p w14:paraId="38B873D7" w14:textId="5A40970B" w:rsidR="00437ED1" w:rsidRPr="00EF619E" w:rsidRDefault="00360573" w:rsidP="00A672E1">
            <w:pPr>
              <w:pStyle w:val="OWTablebodyleft"/>
            </w:pPr>
            <w:hyperlink r:id="rId102" w:history="1">
              <w:r w:rsidR="00437ED1" w:rsidRPr="0071774C">
                <w:rPr>
                  <w:rStyle w:val="Hyperlink"/>
                  <w:bCs/>
                </w:rPr>
                <w:t>Graduate</w:t>
              </w:r>
              <w:r w:rsidR="00437ED1">
                <w:rPr>
                  <w:rStyle w:val="Hyperlink"/>
                  <w:bCs/>
                </w:rPr>
                <w:t xml:space="preserve"> </w:t>
              </w:r>
              <w:r w:rsidR="00437ED1" w:rsidRPr="0071774C">
                <w:rPr>
                  <w:rStyle w:val="Hyperlink"/>
                  <w:bCs/>
                </w:rPr>
                <w:t>Certificate</w:t>
              </w:r>
              <w:r w:rsidR="00437ED1">
                <w:rPr>
                  <w:rStyle w:val="Hyperlink"/>
                  <w:bCs/>
                </w:rPr>
                <w:t xml:space="preserve"> </w:t>
              </w:r>
              <w:r w:rsidR="00437ED1" w:rsidRPr="0071774C">
                <w:rPr>
                  <w:rStyle w:val="Hyperlink"/>
                  <w:bCs/>
                </w:rPr>
                <w:t>in</w:t>
              </w:r>
              <w:r w:rsidR="00437ED1">
                <w:rPr>
                  <w:rStyle w:val="Hyperlink"/>
                  <w:bCs/>
                </w:rPr>
                <w:t xml:space="preserve"> </w:t>
              </w:r>
              <w:r w:rsidR="00437ED1" w:rsidRPr="0071774C">
                <w:rPr>
                  <w:rStyle w:val="Hyperlink"/>
                  <w:bCs/>
                </w:rPr>
                <w:t>Domestic</w:t>
              </w:r>
              <w:r w:rsidR="00437ED1">
                <w:rPr>
                  <w:rStyle w:val="Hyperlink"/>
                  <w:bCs/>
                </w:rPr>
                <w:t xml:space="preserve"> </w:t>
              </w:r>
              <w:r w:rsidR="00437ED1" w:rsidRPr="0071774C">
                <w:rPr>
                  <w:rStyle w:val="Hyperlink"/>
                  <w:bCs/>
                </w:rPr>
                <w:t>and</w:t>
              </w:r>
            </w:hyperlink>
            <w:r w:rsidR="00437ED1">
              <w:t xml:space="preserve"> </w:t>
            </w:r>
            <w:r w:rsidR="00437ED1" w:rsidRPr="0071774C">
              <w:t>Family</w:t>
            </w:r>
            <w:r w:rsidR="00437ED1">
              <w:t xml:space="preserve"> </w:t>
            </w:r>
            <w:r w:rsidR="00437ED1" w:rsidRPr="0071774C">
              <w:t>Violence</w:t>
            </w:r>
            <w:r w:rsidR="00437ED1">
              <w:t xml:space="preserve"> </w:t>
            </w:r>
            <w:r w:rsidR="00437ED1" w:rsidRPr="0071774C">
              <w:t>Practice</w:t>
            </w:r>
            <w:r w:rsidR="00437ED1">
              <w:t xml:space="preserve"> </w:t>
            </w:r>
            <w:r w:rsidR="00437ED1" w:rsidRPr="0071774C">
              <w:t>–</w:t>
            </w:r>
            <w:r w:rsidR="00437ED1">
              <w:t xml:space="preserve"> </w:t>
            </w:r>
            <w:r w:rsidR="00437ED1" w:rsidRPr="0071774C">
              <w:t>CV74</w:t>
            </w:r>
          </w:p>
        </w:tc>
        <w:tc>
          <w:tcPr>
            <w:tcW w:w="1552" w:type="dxa"/>
          </w:tcPr>
          <w:p w14:paraId="1740CD1C" w14:textId="77777777" w:rsidR="00437ED1" w:rsidRPr="0071774C" w:rsidRDefault="00437ED1" w:rsidP="00A672E1">
            <w:pPr>
              <w:pStyle w:val="OWTablebodyleft"/>
            </w:pPr>
            <w:r w:rsidRPr="0071774C">
              <w:t>0.5</w:t>
            </w:r>
            <w:r>
              <w:t xml:space="preserve"> </w:t>
            </w:r>
            <w:r w:rsidRPr="0071774C">
              <w:t>years</w:t>
            </w:r>
            <w:r>
              <w:t xml:space="preserve"> </w:t>
            </w:r>
            <w:r w:rsidRPr="0071774C">
              <w:t>full-time,</w:t>
            </w:r>
            <w:r>
              <w:t xml:space="preserve"> </w:t>
            </w:r>
            <w:r w:rsidRPr="0071774C">
              <w:t>1</w:t>
            </w:r>
            <w:r>
              <w:t xml:space="preserve"> </w:t>
            </w:r>
            <w:r w:rsidRPr="0071774C">
              <w:t>years</w:t>
            </w:r>
            <w:r>
              <w:t xml:space="preserve"> </w:t>
            </w:r>
            <w:r w:rsidRPr="0071774C">
              <w:t>part-time,</w:t>
            </w:r>
            <w:r>
              <w:t xml:space="preserve"> </w:t>
            </w:r>
            <w:r w:rsidRPr="0071774C">
              <w:t>online</w:t>
            </w:r>
          </w:p>
        </w:tc>
        <w:tc>
          <w:tcPr>
            <w:tcW w:w="3601" w:type="dxa"/>
          </w:tcPr>
          <w:p w14:paraId="2C096205" w14:textId="77777777" w:rsidR="00437ED1" w:rsidRPr="0071774C" w:rsidRDefault="00437ED1" w:rsidP="00A672E1">
            <w:pPr>
              <w:pStyle w:val="OWTablebodyleft"/>
            </w:pPr>
            <w:r w:rsidRPr="0071774C">
              <w:t>Bachelor</w:t>
            </w:r>
            <w:r>
              <w:t xml:space="preserve"> </w:t>
            </w:r>
            <w:r w:rsidRPr="0071774C">
              <w:t>degree,</w:t>
            </w:r>
            <w:r>
              <w:t xml:space="preserve"> </w:t>
            </w:r>
            <w:r w:rsidRPr="0071774C">
              <w:t>graduate</w:t>
            </w:r>
            <w:r>
              <w:t xml:space="preserve"> </w:t>
            </w:r>
            <w:r w:rsidRPr="0071774C">
              <w:t>diploma</w:t>
            </w:r>
            <w:r>
              <w:t xml:space="preserve"> </w:t>
            </w:r>
            <w:r w:rsidRPr="0071774C">
              <w:t>plus</w:t>
            </w:r>
            <w:r>
              <w:t xml:space="preserve"> </w:t>
            </w:r>
            <w:r w:rsidRPr="0071774C">
              <w:t>work</w:t>
            </w:r>
            <w:r>
              <w:t>-</w:t>
            </w:r>
            <w:r w:rsidRPr="0071774C">
              <w:t>related</w:t>
            </w:r>
            <w:r>
              <w:t xml:space="preserve"> </w:t>
            </w:r>
            <w:r w:rsidRPr="0071774C">
              <w:t>experience</w:t>
            </w:r>
            <w:r>
              <w:t xml:space="preserve"> </w:t>
            </w:r>
            <w:r w:rsidRPr="0071774C">
              <w:t>or</w:t>
            </w:r>
            <w:r>
              <w:t xml:space="preserve"> five </w:t>
            </w:r>
            <w:r w:rsidRPr="0071774C">
              <w:t>years</w:t>
            </w:r>
            <w:r>
              <w:t xml:space="preserve"> </w:t>
            </w:r>
            <w:r w:rsidRPr="0071774C">
              <w:t>of</w:t>
            </w:r>
            <w:r>
              <w:t xml:space="preserve"> </w:t>
            </w:r>
            <w:r w:rsidRPr="0071774C">
              <w:t>relevant</w:t>
            </w:r>
            <w:r>
              <w:t xml:space="preserve"> </w:t>
            </w:r>
            <w:r w:rsidRPr="0071774C">
              <w:t>work</w:t>
            </w:r>
            <w:r>
              <w:t xml:space="preserve"> </w:t>
            </w:r>
            <w:r w:rsidRPr="0071774C">
              <w:t>experience</w:t>
            </w:r>
          </w:p>
        </w:tc>
      </w:tr>
      <w:tr w:rsidR="00437ED1" w:rsidRPr="0071774C" w14:paraId="33208DD0" w14:textId="77777777" w:rsidTr="00A672E1">
        <w:trPr>
          <w:cantSplit/>
        </w:trPr>
        <w:tc>
          <w:tcPr>
            <w:tcW w:w="1245" w:type="dxa"/>
          </w:tcPr>
          <w:p w14:paraId="124B084B" w14:textId="77777777" w:rsidR="00437ED1" w:rsidRPr="0071774C" w:rsidRDefault="00437ED1" w:rsidP="00A672E1">
            <w:pPr>
              <w:pStyle w:val="OWTablebodyleft"/>
            </w:pPr>
            <w:r w:rsidRPr="0071774C">
              <w:t>QUT</w:t>
            </w:r>
          </w:p>
        </w:tc>
        <w:tc>
          <w:tcPr>
            <w:tcW w:w="2662" w:type="dxa"/>
          </w:tcPr>
          <w:p w14:paraId="6389DE1D" w14:textId="7AEF610D" w:rsidR="00437ED1" w:rsidRPr="0071774C" w:rsidRDefault="00360573" w:rsidP="00A672E1">
            <w:pPr>
              <w:pStyle w:val="OWTablebodyleft"/>
            </w:pPr>
            <w:hyperlink r:id="rId103" w:history="1">
              <w:r w:rsidR="00437ED1" w:rsidRPr="0071774C">
                <w:rPr>
                  <w:rStyle w:val="Hyperlink"/>
                </w:rPr>
                <w:t>Graduate</w:t>
              </w:r>
              <w:r w:rsidR="00437ED1">
                <w:rPr>
                  <w:rStyle w:val="Hyperlink"/>
                </w:rPr>
                <w:t xml:space="preserve"> </w:t>
              </w:r>
              <w:r w:rsidR="00437ED1" w:rsidRPr="0071774C">
                <w:rPr>
                  <w:rStyle w:val="Hyperlink"/>
                </w:rPr>
                <w:t>Certificate</w:t>
              </w:r>
              <w:r w:rsidR="00437ED1">
                <w:rPr>
                  <w:rStyle w:val="Hyperlink"/>
                </w:rPr>
                <w:t xml:space="preserve"> </w:t>
              </w:r>
              <w:r w:rsidR="00437ED1" w:rsidRPr="0071774C">
                <w:rPr>
                  <w:rStyle w:val="Hyperlink"/>
                </w:rPr>
                <w:t>in</w:t>
              </w:r>
              <w:r w:rsidR="00437ED1">
                <w:rPr>
                  <w:rStyle w:val="Hyperlink"/>
                </w:rPr>
                <w:t xml:space="preserve"> </w:t>
              </w:r>
              <w:r w:rsidR="00437ED1" w:rsidRPr="0071774C">
                <w:rPr>
                  <w:rStyle w:val="Hyperlink"/>
                </w:rPr>
                <w:t>Domestic</w:t>
              </w:r>
              <w:r w:rsidR="00437ED1">
                <w:rPr>
                  <w:rStyle w:val="Hyperlink"/>
                </w:rPr>
                <w:t xml:space="preserve"> </w:t>
              </w:r>
              <w:r w:rsidR="00437ED1" w:rsidRPr="0071774C">
                <w:rPr>
                  <w:rStyle w:val="Hyperlink"/>
                </w:rPr>
                <w:t>Violence</w:t>
              </w:r>
            </w:hyperlink>
          </w:p>
        </w:tc>
        <w:tc>
          <w:tcPr>
            <w:tcW w:w="1552" w:type="dxa"/>
          </w:tcPr>
          <w:p w14:paraId="3B1AF991" w14:textId="77777777" w:rsidR="00437ED1" w:rsidRPr="0071774C" w:rsidRDefault="00437ED1" w:rsidP="00A672E1">
            <w:pPr>
              <w:pStyle w:val="OWTablebodyleft"/>
            </w:pPr>
            <w:r w:rsidRPr="0071774C">
              <w:t>6</w:t>
            </w:r>
            <w:r>
              <w:t xml:space="preserve"> </w:t>
            </w:r>
            <w:r w:rsidRPr="0071774C">
              <w:t>months</w:t>
            </w:r>
            <w:r>
              <w:t xml:space="preserve"> </w:t>
            </w:r>
            <w:r w:rsidRPr="0071774C">
              <w:t>full-time</w:t>
            </w:r>
            <w:r>
              <w:t xml:space="preserve"> </w:t>
            </w:r>
            <w:r w:rsidRPr="0071774C">
              <w:t>or</w:t>
            </w:r>
            <w:r>
              <w:t xml:space="preserve"> </w:t>
            </w:r>
            <w:r w:rsidRPr="0071774C">
              <w:t>part-time</w:t>
            </w:r>
            <w:r>
              <w:t xml:space="preserve"> </w:t>
            </w:r>
            <w:r w:rsidRPr="0071774C">
              <w:t>equivalent</w:t>
            </w:r>
          </w:p>
        </w:tc>
        <w:tc>
          <w:tcPr>
            <w:tcW w:w="3601" w:type="dxa"/>
          </w:tcPr>
          <w:p w14:paraId="14E51342" w14:textId="77777777" w:rsidR="00437ED1" w:rsidRPr="0071774C" w:rsidRDefault="00437ED1" w:rsidP="00A672E1">
            <w:pPr>
              <w:pStyle w:val="OWTablebodyleft"/>
            </w:pPr>
            <w:r w:rsidRPr="0071774C">
              <w:t>Postgraduate</w:t>
            </w:r>
          </w:p>
        </w:tc>
      </w:tr>
      <w:tr w:rsidR="00437ED1" w:rsidRPr="0071774C" w14:paraId="737C4282" w14:textId="77777777" w:rsidTr="00A672E1">
        <w:trPr>
          <w:cantSplit/>
        </w:trPr>
        <w:tc>
          <w:tcPr>
            <w:tcW w:w="1245" w:type="dxa"/>
          </w:tcPr>
          <w:p w14:paraId="02ED3F4E" w14:textId="77777777" w:rsidR="00437ED1" w:rsidRPr="0071774C" w:rsidRDefault="00437ED1" w:rsidP="00A672E1">
            <w:pPr>
              <w:pStyle w:val="OWTablebodyleft"/>
            </w:pPr>
            <w:r w:rsidRPr="0071774C">
              <w:t>University</w:t>
            </w:r>
            <w:r>
              <w:t xml:space="preserve"> </w:t>
            </w:r>
            <w:r w:rsidRPr="0071774C">
              <w:t>of</w:t>
            </w:r>
            <w:r>
              <w:t xml:space="preserve"> </w:t>
            </w:r>
            <w:r w:rsidRPr="0071774C">
              <w:t>Newcastle</w:t>
            </w:r>
          </w:p>
        </w:tc>
        <w:tc>
          <w:tcPr>
            <w:tcW w:w="2662" w:type="dxa"/>
          </w:tcPr>
          <w:p w14:paraId="62A24589" w14:textId="4C6B2AAE" w:rsidR="00437ED1" w:rsidRPr="0071774C" w:rsidRDefault="00360573" w:rsidP="00A672E1">
            <w:pPr>
              <w:pStyle w:val="OWTablebodyleft"/>
            </w:pPr>
            <w:hyperlink r:id="rId104" w:history="1">
              <w:r w:rsidR="00437ED1" w:rsidRPr="0071774C">
                <w:rPr>
                  <w:rStyle w:val="Hyperlink"/>
                </w:rPr>
                <w:t>Graduate</w:t>
              </w:r>
              <w:r w:rsidR="00437ED1">
                <w:rPr>
                  <w:rStyle w:val="Hyperlink"/>
                </w:rPr>
                <w:t xml:space="preserve"> </w:t>
              </w:r>
              <w:r w:rsidR="00437ED1" w:rsidRPr="0071774C">
                <w:rPr>
                  <w:rStyle w:val="Hyperlink"/>
                </w:rPr>
                <w:t>Certificate</w:t>
              </w:r>
              <w:r w:rsidR="00437ED1">
                <w:rPr>
                  <w:rStyle w:val="Hyperlink"/>
                </w:rPr>
                <w:t xml:space="preserve"> </w:t>
              </w:r>
              <w:r w:rsidR="00437ED1" w:rsidRPr="0071774C">
                <w:rPr>
                  <w:rStyle w:val="Hyperlink"/>
                </w:rPr>
                <w:t>in</w:t>
              </w:r>
              <w:r w:rsidR="00437ED1">
                <w:rPr>
                  <w:rStyle w:val="Hyperlink"/>
                </w:rPr>
                <w:t xml:space="preserve"> </w:t>
              </w:r>
              <w:r w:rsidR="00437ED1" w:rsidRPr="0071774C">
                <w:rPr>
                  <w:rStyle w:val="Hyperlink"/>
                </w:rPr>
                <w:t>Family</w:t>
              </w:r>
              <w:r w:rsidR="00437ED1">
                <w:rPr>
                  <w:rStyle w:val="Hyperlink"/>
                </w:rPr>
                <w:t xml:space="preserve"> </w:t>
              </w:r>
              <w:r w:rsidR="00437ED1" w:rsidRPr="0071774C">
                <w:rPr>
                  <w:rStyle w:val="Hyperlink"/>
                </w:rPr>
                <w:t>Studies</w:t>
              </w:r>
            </w:hyperlink>
          </w:p>
        </w:tc>
        <w:tc>
          <w:tcPr>
            <w:tcW w:w="1552" w:type="dxa"/>
          </w:tcPr>
          <w:p w14:paraId="06528D70" w14:textId="77777777" w:rsidR="00437ED1" w:rsidRPr="0071774C" w:rsidRDefault="00437ED1" w:rsidP="00A672E1">
            <w:pPr>
              <w:pStyle w:val="OWTablebodyleft"/>
            </w:pPr>
            <w:r w:rsidRPr="0071774C">
              <w:t>0.5</w:t>
            </w:r>
            <w:r>
              <w:t xml:space="preserve"> </w:t>
            </w:r>
            <w:r w:rsidRPr="0071774C">
              <w:t>years</w:t>
            </w:r>
            <w:r>
              <w:t xml:space="preserve"> </w:t>
            </w:r>
            <w:r w:rsidRPr="0071774C">
              <w:t>full-time</w:t>
            </w:r>
            <w:r>
              <w:t xml:space="preserve"> </w:t>
            </w:r>
            <w:r w:rsidRPr="0071774C">
              <w:t>or</w:t>
            </w:r>
            <w:r>
              <w:t xml:space="preserve"> </w:t>
            </w:r>
            <w:r w:rsidRPr="0071774C">
              <w:t>part-time</w:t>
            </w:r>
            <w:r>
              <w:t xml:space="preserve"> </w:t>
            </w:r>
            <w:r w:rsidRPr="0071774C">
              <w:t>equivalent</w:t>
            </w:r>
          </w:p>
        </w:tc>
        <w:tc>
          <w:tcPr>
            <w:tcW w:w="3601" w:type="dxa"/>
          </w:tcPr>
          <w:p w14:paraId="2808C50D" w14:textId="77777777" w:rsidR="00437ED1" w:rsidRPr="0071774C" w:rsidRDefault="00437ED1" w:rsidP="00A672E1">
            <w:pPr>
              <w:pStyle w:val="OWTablebodyleft"/>
            </w:pPr>
            <w:r w:rsidRPr="0071774C">
              <w:t>Postgraduate</w:t>
            </w:r>
          </w:p>
        </w:tc>
      </w:tr>
      <w:tr w:rsidR="00437ED1" w:rsidRPr="0071774C" w14:paraId="30E6F674" w14:textId="77777777" w:rsidTr="00A672E1">
        <w:trPr>
          <w:cantSplit/>
        </w:trPr>
        <w:tc>
          <w:tcPr>
            <w:tcW w:w="1245" w:type="dxa"/>
          </w:tcPr>
          <w:p w14:paraId="01107DAD" w14:textId="77777777" w:rsidR="00437ED1" w:rsidRPr="0071774C" w:rsidRDefault="00437ED1" w:rsidP="00A672E1">
            <w:pPr>
              <w:pStyle w:val="OWTablebodyleft"/>
            </w:pPr>
            <w:r w:rsidRPr="0071774C">
              <w:t>Flinders</w:t>
            </w:r>
            <w:r>
              <w:t xml:space="preserve"> </w:t>
            </w:r>
            <w:r w:rsidRPr="0071774C">
              <w:t>University</w:t>
            </w:r>
          </w:p>
        </w:tc>
        <w:tc>
          <w:tcPr>
            <w:tcW w:w="2662" w:type="dxa"/>
          </w:tcPr>
          <w:p w14:paraId="70B2007B" w14:textId="465131E6" w:rsidR="00437ED1" w:rsidRPr="0071774C" w:rsidRDefault="00360573" w:rsidP="00A672E1">
            <w:pPr>
              <w:pStyle w:val="OWTablebodyleft"/>
            </w:pPr>
            <w:hyperlink r:id="rId105" w:history="1">
              <w:r w:rsidR="00437ED1" w:rsidRPr="0071774C">
                <w:rPr>
                  <w:rStyle w:val="Hyperlink"/>
                </w:rPr>
                <w:t>Graduate</w:t>
              </w:r>
              <w:r w:rsidR="00437ED1">
                <w:rPr>
                  <w:rStyle w:val="Hyperlink"/>
                </w:rPr>
                <w:t xml:space="preserve"> </w:t>
              </w:r>
              <w:r w:rsidR="00437ED1" w:rsidRPr="0071774C">
                <w:rPr>
                  <w:rStyle w:val="Hyperlink"/>
                </w:rPr>
                <w:t>Diploma</w:t>
              </w:r>
              <w:r w:rsidR="00437ED1">
                <w:rPr>
                  <w:rStyle w:val="Hyperlink"/>
                </w:rPr>
                <w:t xml:space="preserve"> </w:t>
              </w:r>
              <w:r w:rsidR="00437ED1" w:rsidRPr="0071774C">
                <w:rPr>
                  <w:rStyle w:val="Hyperlink"/>
                </w:rPr>
                <w:t>in</w:t>
              </w:r>
              <w:r w:rsidR="00437ED1">
                <w:rPr>
                  <w:rStyle w:val="Hyperlink"/>
                </w:rPr>
                <w:t xml:space="preserve"> </w:t>
              </w:r>
              <w:r w:rsidR="00437ED1" w:rsidRPr="0071774C">
                <w:rPr>
                  <w:rStyle w:val="Hyperlink"/>
                </w:rPr>
                <w:t>Gender</w:t>
              </w:r>
              <w:r w:rsidR="00437ED1">
                <w:rPr>
                  <w:rStyle w:val="Hyperlink"/>
                </w:rPr>
                <w:t xml:space="preserve"> </w:t>
              </w:r>
              <w:r w:rsidR="00437ED1" w:rsidRPr="0071774C">
                <w:rPr>
                  <w:rStyle w:val="Hyperlink"/>
                </w:rPr>
                <w:t>and</w:t>
              </w:r>
              <w:r w:rsidR="00437ED1">
                <w:rPr>
                  <w:rStyle w:val="Hyperlink"/>
                </w:rPr>
                <w:t xml:space="preserve"> </w:t>
              </w:r>
              <w:r w:rsidR="00437ED1" w:rsidRPr="0071774C">
                <w:rPr>
                  <w:rStyle w:val="Hyperlink"/>
                </w:rPr>
                <w:t>Development</w:t>
              </w:r>
            </w:hyperlink>
          </w:p>
        </w:tc>
        <w:tc>
          <w:tcPr>
            <w:tcW w:w="1552" w:type="dxa"/>
          </w:tcPr>
          <w:p w14:paraId="77C95615" w14:textId="77777777" w:rsidR="00437ED1" w:rsidRPr="0071774C" w:rsidRDefault="00437ED1" w:rsidP="00A672E1">
            <w:pPr>
              <w:pStyle w:val="OWTablebodyleft"/>
            </w:pPr>
            <w:r w:rsidRPr="0071774C">
              <w:t>1</w:t>
            </w:r>
            <w:r>
              <w:t xml:space="preserve"> </w:t>
            </w:r>
            <w:r w:rsidRPr="0071774C">
              <w:t>year</w:t>
            </w:r>
            <w:r>
              <w:t xml:space="preserve"> </w:t>
            </w:r>
            <w:r w:rsidRPr="0071774C">
              <w:t>full-time</w:t>
            </w:r>
          </w:p>
        </w:tc>
        <w:tc>
          <w:tcPr>
            <w:tcW w:w="3601" w:type="dxa"/>
          </w:tcPr>
          <w:p w14:paraId="01F8627D" w14:textId="77777777" w:rsidR="00437ED1" w:rsidRPr="0071774C" w:rsidRDefault="00437ED1" w:rsidP="00A672E1">
            <w:pPr>
              <w:pStyle w:val="OWTablebodyleft"/>
            </w:pPr>
            <w:r w:rsidRPr="0071774C">
              <w:t>Postgraduate</w:t>
            </w:r>
          </w:p>
        </w:tc>
      </w:tr>
    </w:tbl>
    <w:p w14:paraId="27899DF4" w14:textId="77777777" w:rsidR="00437ED1" w:rsidRPr="00790783" w:rsidRDefault="00437ED1" w:rsidP="00437ED1">
      <w:pPr>
        <w:pStyle w:val="Heading2"/>
        <w:rPr>
          <w:rStyle w:val="OWCharacterHibiscus"/>
        </w:rPr>
      </w:pPr>
      <w:bookmarkStart w:id="114" w:name="_Toc55053333"/>
      <w:r w:rsidRPr="00790783">
        <w:rPr>
          <w:rStyle w:val="OWCharacterHibiscus"/>
        </w:rPr>
        <w:lastRenderedPageBreak/>
        <w:t>Appendix C</w:t>
      </w:r>
      <w:r>
        <w:rPr>
          <w:rStyle w:val="OWCharacterHibiscus"/>
        </w:rPr>
        <w:t>:</w:t>
      </w:r>
      <w:r w:rsidRPr="00790783">
        <w:rPr>
          <w:rStyle w:val="OWCharacterHibiscus"/>
        </w:rPr>
        <w:t xml:space="preserve"> Time-limited advisory groups linked to the National Plan</w:t>
      </w:r>
      <w:bookmarkEnd w:id="114"/>
    </w:p>
    <w:p w14:paraId="657D7401" w14:textId="0601CF9E" w:rsidR="00437ED1" w:rsidRDefault="00437ED1" w:rsidP="00437ED1">
      <w:pPr>
        <w:pStyle w:val="OWBullet1"/>
      </w:pPr>
      <w:r w:rsidRPr="0071774C">
        <w:t>National</w:t>
      </w:r>
      <w:r>
        <w:t xml:space="preserve"> </w:t>
      </w:r>
      <w:r w:rsidRPr="0071774C">
        <w:t>Council</w:t>
      </w:r>
      <w:r>
        <w:t xml:space="preserve"> </w:t>
      </w:r>
      <w:r w:rsidRPr="0071774C">
        <w:t>to</w:t>
      </w:r>
      <w:r>
        <w:t xml:space="preserve"> </w:t>
      </w:r>
      <w:r w:rsidRPr="0071774C">
        <w:t>Reduce</w:t>
      </w:r>
      <w:r>
        <w:t xml:space="preserve"> </w:t>
      </w:r>
      <w:r w:rsidRPr="0071774C">
        <w:t>Violence</w:t>
      </w:r>
      <w:r>
        <w:t xml:space="preserve"> </w:t>
      </w:r>
      <w:r w:rsidRPr="0071774C">
        <w:t>against</w:t>
      </w:r>
      <w:r>
        <w:t xml:space="preserve"> </w:t>
      </w:r>
      <w:r w:rsidRPr="0071774C">
        <w:t>Women</w:t>
      </w:r>
      <w:r>
        <w:t xml:space="preserve"> </w:t>
      </w:r>
      <w:r w:rsidRPr="0071774C">
        <w:t>and</w:t>
      </w:r>
      <w:r>
        <w:t xml:space="preserve"> </w:t>
      </w:r>
      <w:r w:rsidR="002701B3">
        <w:t>t</w:t>
      </w:r>
      <w:r w:rsidRPr="0071774C">
        <w:t>heir</w:t>
      </w:r>
      <w:r>
        <w:t xml:space="preserve"> </w:t>
      </w:r>
      <w:r w:rsidRPr="0071774C">
        <w:t>Children</w:t>
      </w:r>
      <w:r>
        <w:t xml:space="preserve"> </w:t>
      </w:r>
      <w:r w:rsidRPr="0071774C">
        <w:t>established</w:t>
      </w:r>
      <w:r>
        <w:t xml:space="preserve"> </w:t>
      </w:r>
      <w:r w:rsidRPr="0071774C">
        <w:t>in</w:t>
      </w:r>
      <w:r>
        <w:t xml:space="preserve"> </w:t>
      </w:r>
      <w:r w:rsidRPr="0071774C">
        <w:t>2008</w:t>
      </w:r>
      <w:r>
        <w:t xml:space="preserve"> </w:t>
      </w:r>
      <w:r w:rsidRPr="0071774C">
        <w:t>to</w:t>
      </w:r>
      <w:r>
        <w:t xml:space="preserve"> </w:t>
      </w:r>
      <w:r w:rsidRPr="0071774C">
        <w:t>provide</w:t>
      </w:r>
      <w:r>
        <w:t xml:space="preserve"> </w:t>
      </w:r>
      <w:r w:rsidRPr="0071774C">
        <w:t>expert</w:t>
      </w:r>
      <w:r>
        <w:t xml:space="preserve"> </w:t>
      </w:r>
      <w:r w:rsidRPr="0071774C">
        <w:t>advice</w:t>
      </w:r>
      <w:r>
        <w:t xml:space="preserve"> </w:t>
      </w:r>
      <w:r w:rsidRPr="0071774C">
        <w:t>towards</w:t>
      </w:r>
      <w:r>
        <w:t xml:space="preserve"> </w:t>
      </w:r>
      <w:r w:rsidRPr="0071774C">
        <w:t>development</w:t>
      </w:r>
      <w:r>
        <w:t xml:space="preserve"> </w:t>
      </w:r>
      <w:r w:rsidRPr="0071774C">
        <w:t>of</w:t>
      </w:r>
      <w:r>
        <w:t xml:space="preserve"> </w:t>
      </w:r>
      <w:r w:rsidRPr="0071774C">
        <w:t>the</w:t>
      </w:r>
      <w:r>
        <w:t xml:space="preserve"> </w:t>
      </w:r>
      <w:r w:rsidRPr="0071774C">
        <w:t>National</w:t>
      </w:r>
      <w:r>
        <w:t xml:space="preserve"> </w:t>
      </w:r>
      <w:r w:rsidRPr="0071774C">
        <w:t>Plan</w:t>
      </w:r>
      <w:r>
        <w:t>,</w:t>
      </w:r>
      <w:r w:rsidRPr="00187A71">
        <w:rPr>
          <w:rStyle w:val="EndnoteReference"/>
          <w:szCs w:val="22"/>
        </w:rPr>
        <w:endnoteReference w:id="533"/>
      </w:r>
      <w:r>
        <w:t xml:space="preserve"> </w:t>
      </w:r>
      <w:r w:rsidRPr="0071774C">
        <w:t>culminating</w:t>
      </w:r>
      <w:r>
        <w:t xml:space="preserve"> </w:t>
      </w:r>
      <w:r w:rsidRPr="0071774C">
        <w:t>in</w:t>
      </w:r>
      <w:r>
        <w:t xml:space="preserve"> </w:t>
      </w:r>
      <w:r w:rsidRPr="0071774C">
        <w:t>the</w:t>
      </w:r>
      <w:r>
        <w:t xml:space="preserve"> </w:t>
      </w:r>
      <w:r w:rsidRPr="0071774C">
        <w:t>Time</w:t>
      </w:r>
      <w:r>
        <w:t xml:space="preserve"> </w:t>
      </w:r>
      <w:r w:rsidRPr="0071774C">
        <w:t>for</w:t>
      </w:r>
      <w:r>
        <w:t xml:space="preserve"> </w:t>
      </w:r>
      <w:r w:rsidRPr="0071774C">
        <w:t>Action</w:t>
      </w:r>
      <w:r>
        <w:t xml:space="preserve"> </w:t>
      </w:r>
      <w:r w:rsidRPr="0071774C">
        <w:t>report</w:t>
      </w:r>
      <w:r w:rsidRPr="00187A71">
        <w:rPr>
          <w:rStyle w:val="EndnoteReference"/>
          <w:szCs w:val="22"/>
        </w:rPr>
        <w:endnoteReference w:id="534"/>
      </w:r>
      <w:r>
        <w:t xml:space="preserve"> </w:t>
      </w:r>
      <w:r w:rsidRPr="0071774C">
        <w:t>presented</w:t>
      </w:r>
      <w:r>
        <w:t xml:space="preserve"> </w:t>
      </w:r>
      <w:r w:rsidRPr="0071774C">
        <w:t>to</w:t>
      </w:r>
      <w:r>
        <w:t xml:space="preserve"> </w:t>
      </w:r>
      <w:r w:rsidRPr="0071774C">
        <w:t>the</w:t>
      </w:r>
      <w:r>
        <w:t xml:space="preserve"> </w:t>
      </w:r>
      <w:r w:rsidRPr="0071774C">
        <w:t>Commonwealth</w:t>
      </w:r>
      <w:r>
        <w:t xml:space="preserve"> </w:t>
      </w:r>
      <w:r w:rsidRPr="0071774C">
        <w:t>government</w:t>
      </w:r>
      <w:r>
        <w:t xml:space="preserve"> </w:t>
      </w:r>
      <w:r w:rsidRPr="0071774C">
        <w:t>in</w:t>
      </w:r>
      <w:r>
        <w:t xml:space="preserve"> </w:t>
      </w:r>
      <w:r w:rsidRPr="0071774C">
        <w:t>March</w:t>
      </w:r>
      <w:r>
        <w:t xml:space="preserve"> </w:t>
      </w:r>
      <w:r w:rsidRPr="0071774C">
        <w:t>2009.</w:t>
      </w:r>
      <w:r>
        <w:t xml:space="preserve"> </w:t>
      </w:r>
      <w:r w:rsidRPr="0071774C">
        <w:t>Members</w:t>
      </w:r>
      <w:r>
        <w:t xml:space="preserve"> </w:t>
      </w:r>
      <w:r w:rsidRPr="0071774C">
        <w:t>had</w:t>
      </w:r>
      <w:r>
        <w:t xml:space="preserve"> </w:t>
      </w:r>
      <w:r w:rsidRPr="0071774C">
        <w:t>expertise</w:t>
      </w:r>
      <w:r>
        <w:t xml:space="preserve"> </w:t>
      </w:r>
      <w:r w:rsidRPr="0071774C">
        <w:t>in</w:t>
      </w:r>
      <w:r>
        <w:t xml:space="preserve"> </w:t>
      </w:r>
      <w:r w:rsidRPr="0071774C">
        <w:t>domestic</w:t>
      </w:r>
      <w:r>
        <w:t xml:space="preserve"> </w:t>
      </w:r>
      <w:r w:rsidRPr="0071774C">
        <w:t>and</w:t>
      </w:r>
      <w:r>
        <w:t xml:space="preserve"> </w:t>
      </w:r>
      <w:r w:rsidRPr="0071774C">
        <w:t>family</w:t>
      </w:r>
      <w:r>
        <w:t xml:space="preserve"> </w:t>
      </w:r>
      <w:r w:rsidRPr="0071774C">
        <w:t>violence,</w:t>
      </w:r>
      <w:r>
        <w:t xml:space="preserve"> </w:t>
      </w:r>
      <w:r w:rsidRPr="0071774C">
        <w:t>sexual</w:t>
      </w:r>
      <w:r>
        <w:t xml:space="preserve"> </w:t>
      </w:r>
      <w:r w:rsidRPr="0071774C">
        <w:t>assault,</w:t>
      </w:r>
      <w:r>
        <w:t xml:space="preserve"> </w:t>
      </w:r>
      <w:r w:rsidRPr="0071774C">
        <w:t>and</w:t>
      </w:r>
      <w:r>
        <w:t xml:space="preserve"> </w:t>
      </w:r>
      <w:r w:rsidRPr="0071774C">
        <w:t>experiences</w:t>
      </w:r>
      <w:r>
        <w:t xml:space="preserve"> </w:t>
      </w:r>
      <w:r w:rsidRPr="0071774C">
        <w:t>of</w:t>
      </w:r>
      <w:r>
        <w:t xml:space="preserve"> </w:t>
      </w:r>
      <w:r w:rsidRPr="0071774C">
        <w:t>violence</w:t>
      </w:r>
      <w:r>
        <w:t xml:space="preserve"> </w:t>
      </w:r>
      <w:r w:rsidRPr="0071774C">
        <w:t>including</w:t>
      </w:r>
      <w:r>
        <w:t xml:space="preserve"> </w:t>
      </w:r>
      <w:r w:rsidRPr="0071774C">
        <w:t>Aboriginal</w:t>
      </w:r>
      <w:r>
        <w:t xml:space="preserve"> </w:t>
      </w:r>
      <w:r w:rsidRPr="0071774C">
        <w:t>and</w:t>
      </w:r>
      <w:r>
        <w:t xml:space="preserve"> </w:t>
      </w:r>
      <w:r w:rsidRPr="0071774C">
        <w:t>Torres</w:t>
      </w:r>
      <w:r>
        <w:t xml:space="preserve"> </w:t>
      </w:r>
      <w:r w:rsidRPr="0071774C">
        <w:t>Strait</w:t>
      </w:r>
      <w:r>
        <w:t xml:space="preserve"> </w:t>
      </w:r>
      <w:r w:rsidRPr="0071774C">
        <w:t>Islander</w:t>
      </w:r>
      <w:r>
        <w:t xml:space="preserve"> </w:t>
      </w:r>
      <w:r w:rsidRPr="0071774C">
        <w:t>communities</w:t>
      </w:r>
      <w:r>
        <w:t xml:space="preserve"> </w:t>
      </w:r>
      <w:r w:rsidRPr="0071774C">
        <w:t>and</w:t>
      </w:r>
      <w:r w:rsidR="00154F63">
        <w:t> </w:t>
      </w:r>
      <w:r w:rsidRPr="0071774C">
        <w:t>culturally</w:t>
      </w:r>
      <w:r>
        <w:t xml:space="preserve"> </w:t>
      </w:r>
      <w:r w:rsidRPr="0071774C">
        <w:t>and</w:t>
      </w:r>
      <w:r>
        <w:t xml:space="preserve"> </w:t>
      </w:r>
      <w:r w:rsidRPr="0071774C">
        <w:t>linguistically</w:t>
      </w:r>
      <w:r>
        <w:t xml:space="preserve"> </w:t>
      </w:r>
      <w:r w:rsidRPr="0071774C">
        <w:t>diverse</w:t>
      </w:r>
      <w:r>
        <w:t xml:space="preserve"> </w:t>
      </w:r>
      <w:r w:rsidRPr="0071774C">
        <w:t>communities.</w:t>
      </w:r>
    </w:p>
    <w:p w14:paraId="18D82674" w14:textId="77777777" w:rsidR="00437ED1" w:rsidRDefault="00437ED1" w:rsidP="00437ED1">
      <w:pPr>
        <w:pStyle w:val="OWBullet1"/>
      </w:pPr>
      <w:r w:rsidRPr="0071774C">
        <w:t>Violence</w:t>
      </w:r>
      <w:r>
        <w:t xml:space="preserve"> </w:t>
      </w:r>
      <w:r w:rsidRPr="0071774C">
        <w:t>Against</w:t>
      </w:r>
      <w:r>
        <w:t xml:space="preserve"> </w:t>
      </w:r>
      <w:r w:rsidRPr="0071774C">
        <w:t>Women</w:t>
      </w:r>
      <w:r>
        <w:t xml:space="preserve"> </w:t>
      </w:r>
      <w:r w:rsidRPr="0071774C">
        <w:t>Advisory</w:t>
      </w:r>
      <w:r>
        <w:t xml:space="preserve"> </w:t>
      </w:r>
      <w:r w:rsidRPr="0071774C">
        <w:t>Group</w:t>
      </w:r>
      <w:r>
        <w:t xml:space="preserve"> </w:t>
      </w:r>
      <w:r w:rsidRPr="0071774C">
        <w:t>(Sep</w:t>
      </w:r>
      <w:r>
        <w:t xml:space="preserve">tember </w:t>
      </w:r>
      <w:r w:rsidRPr="0071774C">
        <w:t>2009</w:t>
      </w:r>
      <w:r>
        <w:t xml:space="preserve"> – </w:t>
      </w:r>
      <w:r w:rsidRPr="0071774C">
        <w:t>Sep</w:t>
      </w:r>
      <w:r>
        <w:t xml:space="preserve">tember </w:t>
      </w:r>
      <w:r w:rsidRPr="0071774C">
        <w:t>2011),</w:t>
      </w:r>
      <w:r>
        <w:t xml:space="preserve"> </w:t>
      </w:r>
      <w:r w:rsidRPr="0071774C">
        <w:t>to</w:t>
      </w:r>
      <w:r>
        <w:t xml:space="preserve"> </w:t>
      </w:r>
      <w:r w:rsidRPr="0071774C">
        <w:t>provide</w:t>
      </w:r>
      <w:r>
        <w:t xml:space="preserve"> </w:t>
      </w:r>
      <w:r w:rsidRPr="0071774C">
        <w:t>expert</w:t>
      </w:r>
      <w:r>
        <w:t xml:space="preserve"> </w:t>
      </w:r>
      <w:r w:rsidRPr="0071774C">
        <w:t>advice</w:t>
      </w:r>
      <w:r>
        <w:t xml:space="preserve"> </w:t>
      </w:r>
      <w:r w:rsidRPr="0071774C">
        <w:t>on</w:t>
      </w:r>
      <w:r>
        <w:t xml:space="preserve"> </w:t>
      </w:r>
      <w:r w:rsidRPr="0071774C">
        <w:t>the</w:t>
      </w:r>
      <w:r>
        <w:t xml:space="preserve"> </w:t>
      </w:r>
      <w:r w:rsidRPr="0071774C">
        <w:t>implementation</w:t>
      </w:r>
      <w:r>
        <w:t xml:space="preserve"> </w:t>
      </w:r>
      <w:r w:rsidRPr="0071774C">
        <w:t>of</w:t>
      </w:r>
      <w:r>
        <w:t xml:space="preserve"> </w:t>
      </w:r>
      <w:r w:rsidRPr="0071774C">
        <w:t>the</w:t>
      </w:r>
      <w:r>
        <w:t xml:space="preserve"> </w:t>
      </w:r>
      <w:r w:rsidRPr="0071774C">
        <w:t>National</w:t>
      </w:r>
      <w:r>
        <w:t xml:space="preserve"> </w:t>
      </w:r>
      <w:r w:rsidRPr="0071774C">
        <w:t>Plan,</w:t>
      </w:r>
      <w:r>
        <w:t xml:space="preserve"> </w:t>
      </w:r>
      <w:r w:rsidRPr="0071774C">
        <w:t>including</w:t>
      </w:r>
      <w:r>
        <w:t xml:space="preserve"> </w:t>
      </w:r>
      <w:r w:rsidRPr="0071774C">
        <w:t>engaging</w:t>
      </w:r>
      <w:r>
        <w:t xml:space="preserve"> </w:t>
      </w:r>
      <w:r w:rsidRPr="0071774C">
        <w:t>the</w:t>
      </w:r>
      <w:r>
        <w:t xml:space="preserve"> </w:t>
      </w:r>
      <w:r w:rsidRPr="0071774C">
        <w:t>community</w:t>
      </w:r>
      <w:r>
        <w:t xml:space="preserve"> </w:t>
      </w:r>
      <w:r w:rsidRPr="0071774C">
        <w:t>and</w:t>
      </w:r>
      <w:r>
        <w:t xml:space="preserve"> </w:t>
      </w:r>
      <w:r w:rsidRPr="0071774C">
        <w:t>promoting</w:t>
      </w:r>
      <w:r>
        <w:t xml:space="preserve"> </w:t>
      </w:r>
      <w:r w:rsidRPr="0071774C">
        <w:t>the</w:t>
      </w:r>
      <w:r>
        <w:t xml:space="preserve"> </w:t>
      </w:r>
      <w:r w:rsidRPr="0071774C">
        <w:t>Plan.</w:t>
      </w:r>
      <w:r>
        <w:t xml:space="preserve"> </w:t>
      </w:r>
      <w:r w:rsidRPr="0071774C">
        <w:t>Members</w:t>
      </w:r>
      <w:r>
        <w:t xml:space="preserve"> </w:t>
      </w:r>
      <w:r w:rsidRPr="0071774C">
        <w:t>had</w:t>
      </w:r>
      <w:r>
        <w:t xml:space="preserve"> </w:t>
      </w:r>
      <w:r w:rsidRPr="0071774C">
        <w:t>expertise</w:t>
      </w:r>
      <w:r>
        <w:t xml:space="preserve"> </w:t>
      </w:r>
      <w:r w:rsidRPr="0071774C">
        <w:t>in</w:t>
      </w:r>
      <w:r>
        <w:t xml:space="preserve"> </w:t>
      </w:r>
      <w:r w:rsidRPr="0071774C">
        <w:t>domestic</w:t>
      </w:r>
      <w:r>
        <w:t xml:space="preserve"> </w:t>
      </w:r>
      <w:r w:rsidRPr="0071774C">
        <w:t>and</w:t>
      </w:r>
      <w:r>
        <w:t xml:space="preserve"> </w:t>
      </w:r>
      <w:r w:rsidRPr="0071774C">
        <w:t>family</w:t>
      </w:r>
      <w:r>
        <w:t xml:space="preserve"> </w:t>
      </w:r>
      <w:r w:rsidRPr="0071774C">
        <w:t>violence,</w:t>
      </w:r>
      <w:r>
        <w:t xml:space="preserve"> </w:t>
      </w:r>
      <w:r w:rsidRPr="0071774C">
        <w:t>sexual</w:t>
      </w:r>
      <w:r>
        <w:t xml:space="preserve"> </w:t>
      </w:r>
      <w:r w:rsidRPr="0071774C">
        <w:t>assault,</w:t>
      </w:r>
      <w:r>
        <w:t xml:space="preserve"> </w:t>
      </w:r>
      <w:r w:rsidRPr="0071774C">
        <w:t>family</w:t>
      </w:r>
      <w:r>
        <w:t xml:space="preserve"> </w:t>
      </w:r>
      <w:r w:rsidRPr="0071774C">
        <w:t>law</w:t>
      </w:r>
      <w:r>
        <w:t xml:space="preserve"> </w:t>
      </w:r>
      <w:r w:rsidRPr="0071774C">
        <w:t>and</w:t>
      </w:r>
      <w:r>
        <w:t xml:space="preserve"> </w:t>
      </w:r>
      <w:r w:rsidRPr="0071774C">
        <w:t>the</w:t>
      </w:r>
      <w:r>
        <w:t xml:space="preserve"> </w:t>
      </w:r>
      <w:r w:rsidRPr="0071774C">
        <w:t>legal</w:t>
      </w:r>
      <w:r>
        <w:t xml:space="preserve"> </w:t>
      </w:r>
      <w:r w:rsidRPr="0071774C">
        <w:t>system,</w:t>
      </w:r>
      <w:r>
        <w:t xml:space="preserve"> </w:t>
      </w:r>
      <w:r w:rsidRPr="0071774C">
        <w:t>and</w:t>
      </w:r>
      <w:r>
        <w:t xml:space="preserve"> </w:t>
      </w:r>
      <w:r w:rsidRPr="0071774C">
        <w:t>the</w:t>
      </w:r>
      <w:r>
        <w:t xml:space="preserve"> </w:t>
      </w:r>
      <w:r w:rsidRPr="0071774C">
        <w:t>experiences</w:t>
      </w:r>
      <w:r>
        <w:t xml:space="preserve"> </w:t>
      </w:r>
      <w:r w:rsidRPr="0071774C">
        <w:t>of</w:t>
      </w:r>
      <w:r>
        <w:t xml:space="preserve"> </w:t>
      </w:r>
      <w:r w:rsidRPr="0071774C">
        <w:t>violence</w:t>
      </w:r>
      <w:r>
        <w:t xml:space="preserve"> </w:t>
      </w:r>
      <w:r w:rsidRPr="0071774C">
        <w:t>by</w:t>
      </w:r>
      <w:r>
        <w:t xml:space="preserve"> </w:t>
      </w:r>
      <w:r w:rsidRPr="0071774C">
        <w:t>groups</w:t>
      </w:r>
      <w:r>
        <w:t xml:space="preserve"> </w:t>
      </w:r>
      <w:r w:rsidRPr="0071774C">
        <w:t>including</w:t>
      </w:r>
      <w:r>
        <w:t xml:space="preserve"> </w:t>
      </w:r>
      <w:r w:rsidRPr="0071774C">
        <w:t>Aboriginal</w:t>
      </w:r>
      <w:r>
        <w:t xml:space="preserve"> </w:t>
      </w:r>
      <w:r w:rsidRPr="0071774C">
        <w:t>and</w:t>
      </w:r>
      <w:r>
        <w:t xml:space="preserve"> </w:t>
      </w:r>
      <w:r w:rsidRPr="0071774C">
        <w:t>Torres</w:t>
      </w:r>
      <w:r>
        <w:t xml:space="preserve"> </w:t>
      </w:r>
      <w:r w:rsidRPr="0071774C">
        <w:t>Strait</w:t>
      </w:r>
      <w:r>
        <w:t xml:space="preserve"> </w:t>
      </w:r>
      <w:r w:rsidRPr="0071774C">
        <w:t>Islander</w:t>
      </w:r>
      <w:r>
        <w:t xml:space="preserve"> </w:t>
      </w:r>
      <w:r w:rsidRPr="0071774C">
        <w:t>communities,</w:t>
      </w:r>
      <w:r>
        <w:t xml:space="preserve"> </w:t>
      </w:r>
      <w:r w:rsidRPr="0071774C">
        <w:t>culturally</w:t>
      </w:r>
      <w:r>
        <w:t xml:space="preserve"> </w:t>
      </w:r>
      <w:r w:rsidRPr="0071774C">
        <w:t>and</w:t>
      </w:r>
      <w:r>
        <w:t xml:space="preserve"> </w:t>
      </w:r>
      <w:r w:rsidRPr="0071774C">
        <w:t>linguistically</w:t>
      </w:r>
      <w:r>
        <w:t xml:space="preserve"> </w:t>
      </w:r>
      <w:r w:rsidRPr="0071774C">
        <w:t>diverse</w:t>
      </w:r>
      <w:r>
        <w:t xml:space="preserve"> </w:t>
      </w:r>
      <w:r w:rsidRPr="0071774C">
        <w:t>communities</w:t>
      </w:r>
      <w:r>
        <w:t xml:space="preserve"> </w:t>
      </w:r>
      <w:r w:rsidRPr="0071774C">
        <w:t>and</w:t>
      </w:r>
      <w:r>
        <w:t xml:space="preserve"> </w:t>
      </w:r>
      <w:r w:rsidRPr="0071774C">
        <w:t>women</w:t>
      </w:r>
      <w:r>
        <w:t xml:space="preserve"> </w:t>
      </w:r>
      <w:r w:rsidRPr="0071774C">
        <w:t>with</w:t>
      </w:r>
      <w:r>
        <w:t xml:space="preserve"> </w:t>
      </w:r>
      <w:r w:rsidRPr="0071774C">
        <w:t>disabilit</w:t>
      </w:r>
      <w:r>
        <w:t>y</w:t>
      </w:r>
      <w:r w:rsidRPr="0071774C">
        <w:t>.</w:t>
      </w:r>
    </w:p>
    <w:p w14:paraId="3747ECAF" w14:textId="77777777" w:rsidR="00437ED1" w:rsidRPr="00187A71" w:rsidRDefault="00437ED1" w:rsidP="00437ED1">
      <w:pPr>
        <w:pStyle w:val="OWBullet1"/>
      </w:pPr>
      <w:r w:rsidRPr="0071774C">
        <w:t>Additional</w:t>
      </w:r>
      <w:r>
        <w:t xml:space="preserve"> a</w:t>
      </w:r>
      <w:r w:rsidRPr="0071774C">
        <w:t>dvisory</w:t>
      </w:r>
      <w:r>
        <w:t xml:space="preserve"> g</w:t>
      </w:r>
      <w:r w:rsidRPr="0071774C">
        <w:t>roups</w:t>
      </w:r>
      <w:r>
        <w:t xml:space="preserve"> </w:t>
      </w:r>
      <w:r w:rsidRPr="0071774C">
        <w:t>including</w:t>
      </w:r>
      <w:r>
        <w:t xml:space="preserve"> </w:t>
      </w:r>
      <w:r w:rsidRPr="0071774C">
        <w:t>a</w:t>
      </w:r>
      <w:r>
        <w:t xml:space="preserve"> </w:t>
      </w:r>
      <w:r w:rsidRPr="0071774C">
        <w:t>Primary</w:t>
      </w:r>
      <w:r>
        <w:t xml:space="preserve"> </w:t>
      </w:r>
      <w:r w:rsidRPr="0071774C">
        <w:t>Prevention</w:t>
      </w:r>
      <w:r>
        <w:t xml:space="preserve"> </w:t>
      </w:r>
      <w:r w:rsidRPr="0071774C">
        <w:t>Advisory</w:t>
      </w:r>
      <w:r>
        <w:t xml:space="preserve"> </w:t>
      </w:r>
      <w:r w:rsidRPr="0071774C">
        <w:t>Group</w:t>
      </w:r>
      <w:r>
        <w:t xml:space="preserve"> </w:t>
      </w:r>
      <w:r w:rsidRPr="0071774C">
        <w:t>established</w:t>
      </w:r>
      <w:r>
        <w:t xml:space="preserve"> </w:t>
      </w:r>
      <w:r w:rsidRPr="0071774C">
        <w:t>under</w:t>
      </w:r>
      <w:r>
        <w:t xml:space="preserve"> </w:t>
      </w:r>
      <w:r w:rsidRPr="0071774C">
        <w:t>the</w:t>
      </w:r>
      <w:r>
        <w:t xml:space="preserve"> </w:t>
      </w:r>
      <w:r w:rsidRPr="0071774C">
        <w:t>First</w:t>
      </w:r>
      <w:r>
        <w:t xml:space="preserve"> </w:t>
      </w:r>
      <w:r w:rsidRPr="0071774C">
        <w:t>Action</w:t>
      </w:r>
      <w:r>
        <w:t xml:space="preserve"> </w:t>
      </w:r>
      <w:r w:rsidRPr="0071774C">
        <w:t>Plan</w:t>
      </w:r>
      <w:r w:rsidRPr="00187A71">
        <w:rPr>
          <w:rStyle w:val="EndnoteReference"/>
          <w:szCs w:val="22"/>
        </w:rPr>
        <w:endnoteReference w:id="535"/>
      </w:r>
      <w:r>
        <w:t xml:space="preserve"> </w:t>
      </w:r>
      <w:r w:rsidRPr="0071774C">
        <w:t>to</w:t>
      </w:r>
      <w:r>
        <w:t xml:space="preserve"> </w:t>
      </w:r>
      <w:r w:rsidRPr="0071774C">
        <w:t>‘establish</w:t>
      </w:r>
      <w:r>
        <w:t xml:space="preserve"> </w:t>
      </w:r>
      <w:r w:rsidRPr="0071774C">
        <w:t>linkages,</w:t>
      </w:r>
      <w:r>
        <w:t xml:space="preserve"> </w:t>
      </w:r>
      <w:r w:rsidRPr="0071774C">
        <w:t>share</w:t>
      </w:r>
      <w:r>
        <w:t xml:space="preserve"> </w:t>
      </w:r>
      <w:r w:rsidRPr="0071774C">
        <w:t>ideas</w:t>
      </w:r>
      <w:r>
        <w:t xml:space="preserve"> </w:t>
      </w:r>
      <w:r w:rsidRPr="0071774C">
        <w:t>and</w:t>
      </w:r>
      <w:r>
        <w:t xml:space="preserve"> </w:t>
      </w:r>
      <w:r w:rsidRPr="0071774C">
        <w:t>exchange</w:t>
      </w:r>
      <w:r>
        <w:t xml:space="preserve"> </w:t>
      </w:r>
      <w:r w:rsidRPr="0071774C">
        <w:t>information</w:t>
      </w:r>
      <w:r>
        <w:t xml:space="preserve"> </w:t>
      </w:r>
      <w:r w:rsidRPr="0071774C">
        <w:t>on</w:t>
      </w:r>
      <w:r>
        <w:t xml:space="preserve"> </w:t>
      </w:r>
      <w:r w:rsidRPr="0071774C">
        <w:t>specific</w:t>
      </w:r>
      <w:r>
        <w:t xml:space="preserve"> </w:t>
      </w:r>
      <w:r w:rsidRPr="0071774C">
        <w:t>key</w:t>
      </w:r>
      <w:r>
        <w:t xml:space="preserve"> </w:t>
      </w:r>
      <w:r w:rsidRPr="0071774C">
        <w:t>priority</w:t>
      </w:r>
      <w:r>
        <w:t xml:space="preserve"> </w:t>
      </w:r>
      <w:r w:rsidRPr="0071774C">
        <w:t>areas</w:t>
      </w:r>
      <w:r>
        <w:t xml:space="preserve"> </w:t>
      </w:r>
      <w:r w:rsidRPr="0071774C">
        <w:t>of</w:t>
      </w:r>
      <w:r>
        <w:t xml:space="preserve"> </w:t>
      </w:r>
      <w:r w:rsidRPr="0071774C">
        <w:t>the</w:t>
      </w:r>
      <w:r>
        <w:t xml:space="preserve"> </w:t>
      </w:r>
      <w:r w:rsidRPr="0071774C">
        <w:t>National</w:t>
      </w:r>
      <w:r>
        <w:t xml:space="preserve"> </w:t>
      </w:r>
      <w:r w:rsidRPr="0071774C">
        <w:t>Plan’</w:t>
      </w:r>
      <w:r>
        <w:t>.</w:t>
      </w:r>
    </w:p>
    <w:p w14:paraId="5D4FC66C" w14:textId="510E1ADE" w:rsidR="00437ED1" w:rsidRDefault="00437ED1" w:rsidP="00437ED1">
      <w:pPr>
        <w:pStyle w:val="OWBullet1"/>
      </w:pPr>
      <w:r w:rsidRPr="0071774C">
        <w:t>Select</w:t>
      </w:r>
      <w:r>
        <w:t xml:space="preserve"> </w:t>
      </w:r>
      <w:r w:rsidRPr="0071774C">
        <w:t>Council</w:t>
      </w:r>
      <w:r>
        <w:t xml:space="preserve"> </w:t>
      </w:r>
      <w:r w:rsidRPr="0071774C">
        <w:t>on</w:t>
      </w:r>
      <w:r>
        <w:t xml:space="preserve"> </w:t>
      </w:r>
      <w:r w:rsidRPr="0071774C">
        <w:t>Women’s</w:t>
      </w:r>
      <w:r>
        <w:t xml:space="preserve"> </w:t>
      </w:r>
      <w:r w:rsidRPr="0071774C">
        <w:t>Issues</w:t>
      </w:r>
      <w:r>
        <w:t xml:space="preserve"> </w:t>
      </w:r>
      <w:r w:rsidRPr="0071774C">
        <w:t>established</w:t>
      </w:r>
      <w:r>
        <w:t xml:space="preserve"> </w:t>
      </w:r>
      <w:r w:rsidRPr="0071774C">
        <w:t>in</w:t>
      </w:r>
      <w:r>
        <w:t xml:space="preserve"> </w:t>
      </w:r>
      <w:r w:rsidRPr="0071774C">
        <w:t>2011</w:t>
      </w:r>
      <w:r>
        <w:t xml:space="preserve"> </w:t>
      </w:r>
      <w:r w:rsidRPr="0071774C">
        <w:t>consisting</w:t>
      </w:r>
      <w:r>
        <w:t xml:space="preserve"> </w:t>
      </w:r>
      <w:r w:rsidRPr="0071774C">
        <w:t>of</w:t>
      </w:r>
      <w:r>
        <w:t xml:space="preserve"> </w:t>
      </w:r>
      <w:r w:rsidR="345530E2" w:rsidRPr="0071774C">
        <w:t>Commonwealth</w:t>
      </w:r>
      <w:r>
        <w:t xml:space="preserve"> </w:t>
      </w:r>
      <w:r w:rsidRPr="0071774C">
        <w:t>and</w:t>
      </w:r>
      <w:r>
        <w:t xml:space="preserve"> s</w:t>
      </w:r>
      <w:r w:rsidRPr="0071774C">
        <w:t>tate/</w:t>
      </w:r>
      <w:r>
        <w:t>t</w:t>
      </w:r>
      <w:r w:rsidRPr="0071774C">
        <w:t>erritory</w:t>
      </w:r>
      <w:r>
        <w:t xml:space="preserve"> m</w:t>
      </w:r>
      <w:r w:rsidRPr="0071774C">
        <w:t>inisters</w:t>
      </w:r>
      <w:r>
        <w:t xml:space="preserve"> </w:t>
      </w:r>
      <w:r w:rsidRPr="0071774C">
        <w:t>with</w:t>
      </w:r>
      <w:r>
        <w:t xml:space="preserve"> </w:t>
      </w:r>
      <w:r w:rsidRPr="0071774C">
        <w:t>responsibility</w:t>
      </w:r>
      <w:r>
        <w:t xml:space="preserve"> </w:t>
      </w:r>
      <w:r w:rsidRPr="0071774C">
        <w:t>for</w:t>
      </w:r>
      <w:r>
        <w:t xml:space="preserve"> </w:t>
      </w:r>
      <w:r w:rsidRPr="0071774C">
        <w:t>the</w:t>
      </w:r>
      <w:r>
        <w:t xml:space="preserve"> </w:t>
      </w:r>
      <w:r w:rsidRPr="0071774C">
        <w:t>status</w:t>
      </w:r>
      <w:r>
        <w:t xml:space="preserve"> </w:t>
      </w:r>
      <w:r w:rsidRPr="0071774C">
        <w:t>of</w:t>
      </w:r>
      <w:r>
        <w:t xml:space="preserve"> </w:t>
      </w:r>
      <w:r w:rsidRPr="0071774C">
        <w:t>women,</w:t>
      </w:r>
      <w:r>
        <w:t xml:space="preserve"> </w:t>
      </w:r>
      <w:r w:rsidRPr="0071774C">
        <w:t>tasked</w:t>
      </w:r>
      <w:r>
        <w:t xml:space="preserve"> </w:t>
      </w:r>
      <w:r w:rsidRPr="0071774C">
        <w:t>with</w:t>
      </w:r>
      <w:r>
        <w:t xml:space="preserve"> </w:t>
      </w:r>
      <w:r w:rsidRPr="0071774C">
        <w:t>overall</w:t>
      </w:r>
      <w:r>
        <w:t xml:space="preserve"> </w:t>
      </w:r>
      <w:r w:rsidRPr="0071774C">
        <w:t>responsibility</w:t>
      </w:r>
      <w:r>
        <w:t xml:space="preserve"> </w:t>
      </w:r>
      <w:r w:rsidRPr="0071774C">
        <w:t>for</w:t>
      </w:r>
      <w:r>
        <w:t xml:space="preserve"> </w:t>
      </w:r>
      <w:r w:rsidRPr="0071774C">
        <w:t>implementation</w:t>
      </w:r>
      <w:r>
        <w:t xml:space="preserve"> </w:t>
      </w:r>
      <w:r w:rsidRPr="0071774C">
        <w:t>of</w:t>
      </w:r>
      <w:r>
        <w:t xml:space="preserve"> </w:t>
      </w:r>
      <w:r w:rsidRPr="0071774C">
        <w:t>the</w:t>
      </w:r>
      <w:r>
        <w:t xml:space="preserve"> </w:t>
      </w:r>
      <w:r w:rsidRPr="0071774C">
        <w:t>National</w:t>
      </w:r>
      <w:r>
        <w:t xml:space="preserve"> </w:t>
      </w:r>
      <w:r w:rsidRPr="0071774C">
        <w:t>Plan.</w:t>
      </w:r>
      <w:r>
        <w:t xml:space="preserve"> </w:t>
      </w:r>
      <w:r w:rsidRPr="0071774C">
        <w:t>The</w:t>
      </w:r>
      <w:r>
        <w:t xml:space="preserve"> </w:t>
      </w:r>
      <w:r w:rsidRPr="0071774C">
        <w:t>Select</w:t>
      </w:r>
      <w:r>
        <w:t xml:space="preserve"> </w:t>
      </w:r>
      <w:r w:rsidRPr="0071774C">
        <w:t>Council</w:t>
      </w:r>
      <w:r>
        <w:t xml:space="preserve"> </w:t>
      </w:r>
      <w:r w:rsidRPr="0071774C">
        <w:t>is</w:t>
      </w:r>
      <w:r>
        <w:t xml:space="preserve"> </w:t>
      </w:r>
      <w:r w:rsidRPr="0071774C">
        <w:t>mentioned</w:t>
      </w:r>
      <w:r>
        <w:t xml:space="preserve"> </w:t>
      </w:r>
      <w:r w:rsidRPr="0071774C">
        <w:t>in</w:t>
      </w:r>
      <w:r>
        <w:t xml:space="preserve"> </w:t>
      </w:r>
      <w:r w:rsidRPr="0071774C">
        <w:t>the</w:t>
      </w:r>
      <w:r>
        <w:t xml:space="preserve"> </w:t>
      </w:r>
      <w:r w:rsidRPr="0071774C">
        <w:t>First</w:t>
      </w:r>
      <w:r>
        <w:t xml:space="preserve"> </w:t>
      </w:r>
      <w:r w:rsidRPr="0071774C">
        <w:t>Action</w:t>
      </w:r>
      <w:r>
        <w:t xml:space="preserve"> </w:t>
      </w:r>
      <w:r w:rsidRPr="0071774C">
        <w:t>Plan</w:t>
      </w:r>
      <w:r w:rsidRPr="24ED14A9">
        <w:rPr>
          <w:rStyle w:val="EndnoteReference"/>
        </w:rPr>
        <w:endnoteReference w:id="536"/>
      </w:r>
      <w:r>
        <w:t xml:space="preserve"> and </w:t>
      </w:r>
      <w:r w:rsidRPr="0071774C">
        <w:t>alluded</w:t>
      </w:r>
      <w:r>
        <w:t xml:space="preserve"> </w:t>
      </w:r>
      <w:r w:rsidRPr="0071774C">
        <w:t>to</w:t>
      </w:r>
      <w:r>
        <w:t xml:space="preserve"> </w:t>
      </w:r>
      <w:r w:rsidRPr="0071774C">
        <w:t>in</w:t>
      </w:r>
      <w:r>
        <w:t xml:space="preserve"> </w:t>
      </w:r>
      <w:r w:rsidRPr="0071774C">
        <w:t>the</w:t>
      </w:r>
      <w:r>
        <w:t xml:space="preserve"> </w:t>
      </w:r>
      <w:r w:rsidRPr="0071774C">
        <w:t>Second</w:t>
      </w:r>
      <w:r>
        <w:t xml:space="preserve"> </w:t>
      </w:r>
      <w:r w:rsidRPr="0071774C">
        <w:t>Action</w:t>
      </w:r>
      <w:r>
        <w:t xml:space="preserve"> </w:t>
      </w:r>
      <w:r w:rsidRPr="0071774C">
        <w:t>Plan</w:t>
      </w:r>
      <w:r>
        <w:t>,</w:t>
      </w:r>
      <w:r w:rsidRPr="24ED14A9">
        <w:rPr>
          <w:rStyle w:val="EndnoteReference"/>
        </w:rPr>
        <w:endnoteReference w:id="537"/>
      </w:r>
      <w:r>
        <w:t xml:space="preserve"> </w:t>
      </w:r>
      <w:r w:rsidRPr="0071774C">
        <w:t>then</w:t>
      </w:r>
      <w:r>
        <w:t xml:space="preserve"> </w:t>
      </w:r>
      <w:r w:rsidRPr="0071774C">
        <w:t>not</w:t>
      </w:r>
      <w:r>
        <w:t xml:space="preserve"> </w:t>
      </w:r>
      <w:r w:rsidRPr="0071774C">
        <w:t>referenced</w:t>
      </w:r>
      <w:r>
        <w:t xml:space="preserve"> </w:t>
      </w:r>
      <w:r w:rsidRPr="0071774C">
        <w:t>in</w:t>
      </w:r>
      <w:r>
        <w:t xml:space="preserve"> </w:t>
      </w:r>
      <w:r w:rsidRPr="0071774C">
        <w:t>the</w:t>
      </w:r>
      <w:r>
        <w:t xml:space="preserve"> </w:t>
      </w:r>
      <w:r w:rsidRPr="0071774C">
        <w:t>next</w:t>
      </w:r>
      <w:r>
        <w:t xml:space="preserve"> </w:t>
      </w:r>
      <w:r w:rsidRPr="0071774C">
        <w:t>two</w:t>
      </w:r>
      <w:r>
        <w:t xml:space="preserve"> </w:t>
      </w:r>
      <w:r w:rsidRPr="0071774C">
        <w:t>Action</w:t>
      </w:r>
      <w:r>
        <w:t xml:space="preserve"> </w:t>
      </w:r>
      <w:r w:rsidRPr="0071774C">
        <w:t>Plans,</w:t>
      </w:r>
      <w:r>
        <w:t xml:space="preserve"> </w:t>
      </w:r>
      <w:r w:rsidRPr="0071774C">
        <w:t>where</w:t>
      </w:r>
      <w:r>
        <w:t xml:space="preserve"> </w:t>
      </w:r>
      <w:r w:rsidRPr="0071774C">
        <w:t>it</w:t>
      </w:r>
      <w:r>
        <w:t xml:space="preserve"> </w:t>
      </w:r>
      <w:r w:rsidRPr="0071774C">
        <w:t>is</w:t>
      </w:r>
      <w:r>
        <w:t xml:space="preserve"> </w:t>
      </w:r>
      <w:r w:rsidRPr="0071774C">
        <w:t>replaced</w:t>
      </w:r>
      <w:r>
        <w:t xml:space="preserve"> </w:t>
      </w:r>
      <w:r w:rsidRPr="0071774C">
        <w:t>with</w:t>
      </w:r>
      <w:r>
        <w:t xml:space="preserve"> </w:t>
      </w:r>
      <w:r w:rsidRPr="0071774C">
        <w:t>a</w:t>
      </w:r>
      <w:r>
        <w:t xml:space="preserve"> </w:t>
      </w:r>
      <w:r w:rsidRPr="0071774C">
        <w:t>reference</w:t>
      </w:r>
      <w:r>
        <w:t xml:space="preserve"> </w:t>
      </w:r>
      <w:r w:rsidRPr="0071774C">
        <w:t>to</w:t>
      </w:r>
      <w:r>
        <w:t xml:space="preserve"> </w:t>
      </w:r>
      <w:r w:rsidRPr="0071774C">
        <w:t>Women’s</w:t>
      </w:r>
      <w:r>
        <w:t xml:space="preserve"> </w:t>
      </w:r>
      <w:r w:rsidRPr="0071774C">
        <w:t>Safety</w:t>
      </w:r>
      <w:r>
        <w:t xml:space="preserve"> </w:t>
      </w:r>
      <w:r w:rsidRPr="0071774C">
        <w:t>Ministers.</w:t>
      </w:r>
    </w:p>
    <w:p w14:paraId="587BF6B3" w14:textId="7AD1ADA8" w:rsidR="00437ED1" w:rsidRDefault="00437ED1" w:rsidP="00437ED1">
      <w:pPr>
        <w:pStyle w:val="OWBullet1"/>
      </w:pPr>
      <w:r w:rsidRPr="0071774C">
        <w:t>COAG</w:t>
      </w:r>
      <w:r>
        <w:t xml:space="preserve"> </w:t>
      </w:r>
      <w:r w:rsidRPr="0071774C">
        <w:t>Advisory</w:t>
      </w:r>
      <w:r>
        <w:t xml:space="preserve"> </w:t>
      </w:r>
      <w:r w:rsidRPr="0071774C">
        <w:t>Panel</w:t>
      </w:r>
      <w:r>
        <w:t xml:space="preserve"> </w:t>
      </w:r>
      <w:r w:rsidRPr="0071774C">
        <w:t>on</w:t>
      </w:r>
      <w:r>
        <w:t xml:space="preserve"> </w:t>
      </w:r>
      <w:r w:rsidRPr="0071774C">
        <w:t>Reducing</w:t>
      </w:r>
      <w:r>
        <w:t xml:space="preserve"> </w:t>
      </w:r>
      <w:r w:rsidRPr="0071774C">
        <w:t>Violence</w:t>
      </w:r>
      <w:r>
        <w:t xml:space="preserve"> </w:t>
      </w:r>
      <w:r w:rsidRPr="0071774C">
        <w:t>against</w:t>
      </w:r>
      <w:r>
        <w:t xml:space="preserve"> </w:t>
      </w:r>
      <w:r w:rsidRPr="0071774C">
        <w:t>Women</w:t>
      </w:r>
      <w:r>
        <w:t xml:space="preserve"> </w:t>
      </w:r>
      <w:r w:rsidRPr="0071774C">
        <w:t>and</w:t>
      </w:r>
      <w:r>
        <w:t xml:space="preserve"> </w:t>
      </w:r>
      <w:r w:rsidR="00A0406D">
        <w:t>t</w:t>
      </w:r>
      <w:r w:rsidRPr="0071774C">
        <w:t>heir</w:t>
      </w:r>
      <w:r>
        <w:t xml:space="preserve"> </w:t>
      </w:r>
      <w:r w:rsidRPr="0071774C">
        <w:t>Children</w:t>
      </w:r>
      <w:r>
        <w:t xml:space="preserve"> </w:t>
      </w:r>
      <w:r w:rsidRPr="0071774C">
        <w:t>established</w:t>
      </w:r>
      <w:r>
        <w:t xml:space="preserve"> </w:t>
      </w:r>
      <w:r w:rsidRPr="0071774C">
        <w:t>in</w:t>
      </w:r>
      <w:r>
        <w:t xml:space="preserve"> </w:t>
      </w:r>
      <w:r w:rsidRPr="0071774C">
        <w:t>January</w:t>
      </w:r>
      <w:r>
        <w:t xml:space="preserve"> </w:t>
      </w:r>
      <w:r w:rsidRPr="0071774C">
        <w:t>2015</w:t>
      </w:r>
      <w:r>
        <w:t xml:space="preserve"> </w:t>
      </w:r>
      <w:r w:rsidRPr="0071774C">
        <w:t>and</w:t>
      </w:r>
      <w:r>
        <w:t xml:space="preserve"> </w:t>
      </w:r>
      <w:r w:rsidRPr="0071774C">
        <w:t>culminating</w:t>
      </w:r>
      <w:r>
        <w:t xml:space="preserve"> </w:t>
      </w:r>
      <w:r w:rsidRPr="0071774C">
        <w:t>in</w:t>
      </w:r>
      <w:r>
        <w:t xml:space="preserve"> </w:t>
      </w:r>
      <w:r w:rsidRPr="0071774C">
        <w:t>a</w:t>
      </w:r>
      <w:r>
        <w:t xml:space="preserve"> </w:t>
      </w:r>
      <w:r w:rsidRPr="0071774C">
        <w:t>final</w:t>
      </w:r>
      <w:r>
        <w:t xml:space="preserve"> </w:t>
      </w:r>
      <w:r w:rsidRPr="0071774C">
        <w:t>report</w:t>
      </w:r>
      <w:r>
        <w:t xml:space="preserve"> </w:t>
      </w:r>
      <w:r w:rsidRPr="0071774C">
        <w:t>identifying</w:t>
      </w:r>
      <w:r>
        <w:t xml:space="preserve"> </w:t>
      </w:r>
      <w:r w:rsidRPr="0071774C">
        <w:t>priority</w:t>
      </w:r>
      <w:r>
        <w:t xml:space="preserve"> </w:t>
      </w:r>
      <w:r w:rsidRPr="0071774C">
        <w:t>areas</w:t>
      </w:r>
      <w:r>
        <w:t xml:space="preserve"> </w:t>
      </w:r>
      <w:r w:rsidRPr="0071774C">
        <w:t>for</w:t>
      </w:r>
      <w:r w:rsidR="00154F63">
        <w:t> </w:t>
      </w:r>
      <w:r w:rsidRPr="0071774C">
        <w:t>action</w:t>
      </w:r>
      <w:r>
        <w:t xml:space="preserve">, </w:t>
      </w:r>
      <w:r w:rsidRPr="0071774C">
        <w:t>delivered</w:t>
      </w:r>
      <w:r>
        <w:t xml:space="preserve"> </w:t>
      </w:r>
      <w:r w:rsidRPr="0071774C">
        <w:t>in</w:t>
      </w:r>
      <w:r>
        <w:t xml:space="preserve"> </w:t>
      </w:r>
      <w:r w:rsidRPr="0071774C">
        <w:t>July</w:t>
      </w:r>
      <w:r>
        <w:t xml:space="preserve"> </w:t>
      </w:r>
      <w:r w:rsidRPr="0071774C">
        <w:t>2016.</w:t>
      </w:r>
      <w:r>
        <w:t xml:space="preserve"> </w:t>
      </w:r>
      <w:r w:rsidRPr="0071774C">
        <w:t>Members</w:t>
      </w:r>
      <w:r>
        <w:t xml:space="preserve"> </w:t>
      </w:r>
      <w:r w:rsidRPr="0071774C">
        <w:t>of</w:t>
      </w:r>
      <w:r>
        <w:t xml:space="preserve"> </w:t>
      </w:r>
      <w:r w:rsidRPr="0071774C">
        <w:t>the</w:t>
      </w:r>
      <w:r>
        <w:t xml:space="preserve"> </w:t>
      </w:r>
      <w:r w:rsidRPr="0071774C">
        <w:t>Advisory</w:t>
      </w:r>
      <w:r>
        <w:t xml:space="preserve"> </w:t>
      </w:r>
      <w:r w:rsidRPr="0071774C">
        <w:t>Panel</w:t>
      </w:r>
      <w:r>
        <w:t xml:space="preserve"> </w:t>
      </w:r>
      <w:r w:rsidRPr="0071774C">
        <w:t>were</w:t>
      </w:r>
      <w:r>
        <w:t xml:space="preserve"> </w:t>
      </w:r>
      <w:r w:rsidRPr="0071774C">
        <w:t>noted</w:t>
      </w:r>
      <w:r>
        <w:t xml:space="preserve"> </w:t>
      </w:r>
      <w:r w:rsidRPr="0071774C">
        <w:t>to</w:t>
      </w:r>
      <w:r>
        <w:t xml:space="preserve"> </w:t>
      </w:r>
      <w:r w:rsidRPr="0071774C">
        <w:t>have</w:t>
      </w:r>
      <w:r>
        <w:t xml:space="preserve"> </w:t>
      </w:r>
      <w:r w:rsidRPr="0071774C">
        <w:t>expertise</w:t>
      </w:r>
      <w:r>
        <w:t xml:space="preserve"> </w:t>
      </w:r>
      <w:r w:rsidRPr="0071774C">
        <w:t>in</w:t>
      </w:r>
      <w:r>
        <w:t xml:space="preserve"> </w:t>
      </w:r>
      <w:r w:rsidRPr="0071774C">
        <w:t>domestic</w:t>
      </w:r>
      <w:r>
        <w:t xml:space="preserve"> </w:t>
      </w:r>
      <w:r w:rsidRPr="0071774C">
        <w:t>and</w:t>
      </w:r>
      <w:r>
        <w:t xml:space="preserve"> </w:t>
      </w:r>
      <w:r w:rsidRPr="0071774C">
        <w:t>family</w:t>
      </w:r>
      <w:r>
        <w:t xml:space="preserve"> </w:t>
      </w:r>
      <w:r w:rsidRPr="0071774C">
        <w:t>violence,</w:t>
      </w:r>
      <w:r>
        <w:t xml:space="preserve"> </w:t>
      </w:r>
      <w:r w:rsidRPr="0071774C">
        <w:t>sexual</w:t>
      </w:r>
      <w:r>
        <w:t xml:space="preserve"> </w:t>
      </w:r>
      <w:r w:rsidRPr="0071774C">
        <w:t>assault,</w:t>
      </w:r>
      <w:r>
        <w:t xml:space="preserve"> </w:t>
      </w:r>
      <w:r w:rsidRPr="0071774C">
        <w:t>online</w:t>
      </w:r>
      <w:r>
        <w:t xml:space="preserve"> </w:t>
      </w:r>
      <w:r w:rsidRPr="0071774C">
        <w:t>safety</w:t>
      </w:r>
      <w:r>
        <w:t xml:space="preserve"> </w:t>
      </w:r>
      <w:r w:rsidRPr="0071774C">
        <w:t>and</w:t>
      </w:r>
      <w:r>
        <w:t xml:space="preserve"> </w:t>
      </w:r>
      <w:r w:rsidRPr="0071774C">
        <w:t>the</w:t>
      </w:r>
      <w:r>
        <w:t xml:space="preserve"> </w:t>
      </w:r>
      <w:r w:rsidRPr="0071774C">
        <w:t>experiences</w:t>
      </w:r>
      <w:r>
        <w:t xml:space="preserve"> </w:t>
      </w:r>
      <w:r w:rsidRPr="0071774C">
        <w:t>of</w:t>
      </w:r>
      <w:r>
        <w:t xml:space="preserve"> </w:t>
      </w:r>
      <w:r w:rsidRPr="0071774C">
        <w:t>violence</w:t>
      </w:r>
      <w:r>
        <w:t xml:space="preserve"> </w:t>
      </w:r>
      <w:r w:rsidRPr="0071774C">
        <w:t>by</w:t>
      </w:r>
      <w:r>
        <w:t xml:space="preserve"> </w:t>
      </w:r>
      <w:r w:rsidRPr="0071774C">
        <w:t>groups</w:t>
      </w:r>
      <w:r>
        <w:t xml:space="preserve"> </w:t>
      </w:r>
      <w:r w:rsidRPr="0071774C">
        <w:t>including</w:t>
      </w:r>
      <w:r>
        <w:t xml:space="preserve"> </w:t>
      </w:r>
      <w:r w:rsidRPr="0071774C">
        <w:t>Aboriginal</w:t>
      </w:r>
      <w:r>
        <w:t xml:space="preserve"> </w:t>
      </w:r>
      <w:r w:rsidRPr="0071774C">
        <w:t>and</w:t>
      </w:r>
      <w:r>
        <w:t xml:space="preserve"> </w:t>
      </w:r>
      <w:r w:rsidRPr="0071774C">
        <w:t>Torres</w:t>
      </w:r>
      <w:r>
        <w:t xml:space="preserve"> </w:t>
      </w:r>
      <w:r w:rsidRPr="0071774C">
        <w:t>Strait</w:t>
      </w:r>
      <w:r>
        <w:t xml:space="preserve"> </w:t>
      </w:r>
      <w:r w:rsidRPr="0071774C">
        <w:t>Islander</w:t>
      </w:r>
      <w:r>
        <w:t xml:space="preserve"> </w:t>
      </w:r>
      <w:r w:rsidRPr="0071774C">
        <w:t>communities,</w:t>
      </w:r>
      <w:r>
        <w:t xml:space="preserve"> </w:t>
      </w:r>
      <w:r w:rsidRPr="0071774C">
        <w:t>culturally</w:t>
      </w:r>
      <w:r>
        <w:t xml:space="preserve"> </w:t>
      </w:r>
      <w:r w:rsidRPr="0071774C">
        <w:t>and</w:t>
      </w:r>
      <w:r>
        <w:t xml:space="preserve"> </w:t>
      </w:r>
      <w:r w:rsidRPr="0071774C">
        <w:t>linguistically</w:t>
      </w:r>
      <w:r>
        <w:t xml:space="preserve"> </w:t>
      </w:r>
      <w:r w:rsidRPr="0071774C">
        <w:t>diverse</w:t>
      </w:r>
      <w:r>
        <w:t xml:space="preserve"> </w:t>
      </w:r>
      <w:r w:rsidRPr="0071774C">
        <w:t>communities,</w:t>
      </w:r>
      <w:r>
        <w:t xml:space="preserve"> </w:t>
      </w:r>
      <w:r w:rsidRPr="0071774C">
        <w:t>and</w:t>
      </w:r>
      <w:r>
        <w:t xml:space="preserve"> </w:t>
      </w:r>
      <w:r w:rsidRPr="0071774C">
        <w:t>people</w:t>
      </w:r>
      <w:r>
        <w:t xml:space="preserve"> </w:t>
      </w:r>
      <w:r w:rsidRPr="0071774C">
        <w:t>with</w:t>
      </w:r>
      <w:r>
        <w:t xml:space="preserve"> </w:t>
      </w:r>
      <w:r w:rsidRPr="0071774C">
        <w:t>disability.</w:t>
      </w:r>
    </w:p>
    <w:p w14:paraId="26B40639" w14:textId="77777777" w:rsidR="00437ED1" w:rsidRPr="0071774C" w:rsidRDefault="00437ED1" w:rsidP="00437ED1">
      <w:pPr>
        <w:pStyle w:val="OWBullet1"/>
      </w:pPr>
      <w:r w:rsidRPr="0071774C">
        <w:t>National</w:t>
      </w:r>
      <w:r>
        <w:t xml:space="preserve"> </w:t>
      </w:r>
      <w:r w:rsidRPr="0071774C">
        <w:t>Plan</w:t>
      </w:r>
      <w:r>
        <w:t xml:space="preserve"> </w:t>
      </w:r>
      <w:r w:rsidRPr="0071774C">
        <w:t>Implementation</w:t>
      </w:r>
      <w:r>
        <w:t xml:space="preserve"> </w:t>
      </w:r>
      <w:r w:rsidRPr="0071774C">
        <w:t>Panel</w:t>
      </w:r>
      <w:r>
        <w:t xml:space="preserve"> </w:t>
      </w:r>
      <w:r w:rsidRPr="0071774C">
        <w:t>(NPIP)</w:t>
      </w:r>
      <w:r>
        <w:t xml:space="preserve"> </w:t>
      </w:r>
      <w:r w:rsidRPr="0071774C">
        <w:t>developed</w:t>
      </w:r>
      <w:r>
        <w:t xml:space="preserve"> </w:t>
      </w:r>
      <w:r w:rsidRPr="0071774C">
        <w:t>to</w:t>
      </w:r>
      <w:r>
        <w:t xml:space="preserve"> </w:t>
      </w:r>
      <w:r w:rsidRPr="0071774C">
        <w:t>report</w:t>
      </w:r>
      <w:r>
        <w:t xml:space="preserve"> </w:t>
      </w:r>
      <w:r w:rsidRPr="0071774C">
        <w:t>to</w:t>
      </w:r>
      <w:r>
        <w:t xml:space="preserve"> m</w:t>
      </w:r>
      <w:r w:rsidRPr="0071774C">
        <w:t>inisters</w:t>
      </w:r>
      <w:r>
        <w:t xml:space="preserve"> </w:t>
      </w:r>
      <w:r w:rsidRPr="0071774C">
        <w:t>on</w:t>
      </w:r>
      <w:r>
        <w:t xml:space="preserve"> </w:t>
      </w:r>
      <w:r w:rsidRPr="0071774C">
        <w:t>implementation</w:t>
      </w:r>
      <w:r>
        <w:t xml:space="preserve"> </w:t>
      </w:r>
      <w:r w:rsidRPr="0071774C">
        <w:t>issues,</w:t>
      </w:r>
      <w:r>
        <w:t xml:space="preserve"> </w:t>
      </w:r>
      <w:r w:rsidRPr="0071774C">
        <w:t>with</w:t>
      </w:r>
      <w:r>
        <w:t xml:space="preserve"> </w:t>
      </w:r>
      <w:r w:rsidRPr="0071774C">
        <w:t>members</w:t>
      </w:r>
      <w:r>
        <w:t xml:space="preserve"> </w:t>
      </w:r>
      <w:r w:rsidRPr="0071774C">
        <w:t>including</w:t>
      </w:r>
      <w:r>
        <w:t xml:space="preserve"> </w:t>
      </w:r>
      <w:r w:rsidRPr="0071774C">
        <w:t>government</w:t>
      </w:r>
      <w:r>
        <w:t xml:space="preserve"> </w:t>
      </w:r>
      <w:r w:rsidRPr="0071774C">
        <w:t>and</w:t>
      </w:r>
      <w:r>
        <w:t xml:space="preserve"> </w:t>
      </w:r>
      <w:r w:rsidRPr="0071774C">
        <w:t>non-government</w:t>
      </w:r>
      <w:r>
        <w:t xml:space="preserve"> </w:t>
      </w:r>
      <w:r w:rsidRPr="0071774C">
        <w:t>representatives.</w:t>
      </w:r>
      <w:r>
        <w:t xml:space="preserve"> </w:t>
      </w:r>
      <w:r w:rsidRPr="0071774C">
        <w:t>A</w:t>
      </w:r>
      <w:r>
        <w:t xml:space="preserve"> </w:t>
      </w:r>
      <w:r w:rsidRPr="0071774C">
        <w:t>2015</w:t>
      </w:r>
      <w:r>
        <w:t xml:space="preserve"> </w:t>
      </w:r>
      <w:r w:rsidRPr="0071774C">
        <w:t>report</w:t>
      </w:r>
      <w:r w:rsidRPr="00187A71">
        <w:rPr>
          <w:rStyle w:val="EndnoteReference"/>
          <w:szCs w:val="22"/>
        </w:rPr>
        <w:endnoteReference w:id="538"/>
      </w:r>
      <w:r>
        <w:t xml:space="preserve"> </w:t>
      </w:r>
      <w:r w:rsidRPr="0071774C">
        <w:t>to</w:t>
      </w:r>
      <w:r>
        <w:t xml:space="preserve"> </w:t>
      </w:r>
      <w:r w:rsidRPr="0071774C">
        <w:t>parliament</w:t>
      </w:r>
      <w:r>
        <w:t xml:space="preserve"> </w:t>
      </w:r>
      <w:r w:rsidRPr="0071774C">
        <w:t>noted</w:t>
      </w:r>
      <w:r>
        <w:t xml:space="preserve"> </w:t>
      </w:r>
      <w:r w:rsidRPr="0071774C">
        <w:t>that</w:t>
      </w:r>
      <w:r>
        <w:t xml:space="preserve"> </w:t>
      </w:r>
      <w:r w:rsidRPr="0071774C">
        <w:t>this</w:t>
      </w:r>
      <w:r>
        <w:t xml:space="preserve"> </w:t>
      </w:r>
      <w:r w:rsidRPr="0071774C">
        <w:t>panel</w:t>
      </w:r>
      <w:r>
        <w:t xml:space="preserve"> </w:t>
      </w:r>
      <w:r w:rsidRPr="0071774C">
        <w:t>was</w:t>
      </w:r>
      <w:r>
        <w:t xml:space="preserve"> </w:t>
      </w:r>
      <w:r w:rsidRPr="0071774C">
        <w:t>discontinued,</w:t>
      </w:r>
      <w:r>
        <w:t xml:space="preserve"> </w:t>
      </w:r>
      <w:r w:rsidRPr="0071774C">
        <w:t>leading</w:t>
      </w:r>
      <w:r>
        <w:t xml:space="preserve"> </w:t>
      </w:r>
      <w:r w:rsidRPr="0071774C">
        <w:t>to</w:t>
      </w:r>
      <w:r>
        <w:t xml:space="preserve"> </w:t>
      </w:r>
      <w:r w:rsidRPr="0071774C">
        <w:t>‘confusion’</w:t>
      </w:r>
      <w:r>
        <w:t xml:space="preserve"> </w:t>
      </w:r>
      <w:r w:rsidRPr="0071774C">
        <w:t>from</w:t>
      </w:r>
      <w:r>
        <w:t xml:space="preserve"> </w:t>
      </w:r>
      <w:r w:rsidRPr="0071774C">
        <w:t>stakeholders</w:t>
      </w:r>
      <w:r>
        <w:t xml:space="preserve">, </w:t>
      </w:r>
      <w:r w:rsidRPr="0071774C">
        <w:t>and</w:t>
      </w:r>
      <w:r>
        <w:t xml:space="preserve"> </w:t>
      </w:r>
      <w:r w:rsidRPr="0071774C">
        <w:t>concern</w:t>
      </w:r>
      <w:r>
        <w:t xml:space="preserve"> </w:t>
      </w:r>
      <w:r w:rsidRPr="0071774C">
        <w:t>regarding</w:t>
      </w:r>
      <w:r>
        <w:t xml:space="preserve"> </w:t>
      </w:r>
      <w:r w:rsidRPr="0071774C">
        <w:t>the</w:t>
      </w:r>
      <w:r>
        <w:t xml:space="preserve"> </w:t>
      </w:r>
      <w:r w:rsidRPr="0071774C">
        <w:t>lack</w:t>
      </w:r>
      <w:r>
        <w:t xml:space="preserve"> </w:t>
      </w:r>
      <w:r w:rsidRPr="0071774C">
        <w:t>of</w:t>
      </w:r>
      <w:r>
        <w:t xml:space="preserve"> </w:t>
      </w:r>
      <w:r w:rsidRPr="0071774C">
        <w:t>effective</w:t>
      </w:r>
      <w:r>
        <w:t xml:space="preserve"> </w:t>
      </w:r>
      <w:r w:rsidRPr="0071774C">
        <w:t>mechanism</w:t>
      </w:r>
      <w:r>
        <w:t xml:space="preserve">s </w:t>
      </w:r>
      <w:r w:rsidRPr="0071774C">
        <w:t>for</w:t>
      </w:r>
      <w:r>
        <w:t xml:space="preserve"> ‘</w:t>
      </w:r>
      <w:r w:rsidRPr="0071774C">
        <w:t>ongoing</w:t>
      </w:r>
      <w:r>
        <w:rPr>
          <w:color w:val="222222"/>
        </w:rPr>
        <w:t xml:space="preserve"> </w:t>
      </w:r>
      <w:r w:rsidRPr="0071774C">
        <w:rPr>
          <w:color w:val="222222"/>
        </w:rPr>
        <w:t>consultation</w:t>
      </w:r>
      <w:r>
        <w:rPr>
          <w:color w:val="222222"/>
        </w:rPr>
        <w:t xml:space="preserve"> </w:t>
      </w:r>
      <w:r w:rsidRPr="0071774C">
        <w:rPr>
          <w:color w:val="222222"/>
        </w:rPr>
        <w:t>affecting</w:t>
      </w:r>
      <w:r>
        <w:rPr>
          <w:color w:val="222222"/>
        </w:rPr>
        <w:t xml:space="preserve"> </w:t>
      </w:r>
      <w:r w:rsidRPr="0071774C">
        <w:rPr>
          <w:color w:val="222222"/>
        </w:rPr>
        <w:t>implementation</w:t>
      </w:r>
      <w:r>
        <w:rPr>
          <w:color w:val="222222"/>
        </w:rPr>
        <w:t xml:space="preserve"> </w:t>
      </w:r>
      <w:r w:rsidRPr="0071774C">
        <w:rPr>
          <w:color w:val="222222"/>
        </w:rPr>
        <w:t>of</w:t>
      </w:r>
      <w:r>
        <w:rPr>
          <w:color w:val="222222"/>
        </w:rPr>
        <w:t xml:space="preserve"> </w:t>
      </w:r>
      <w:r w:rsidRPr="0071774C">
        <w:rPr>
          <w:color w:val="222222"/>
        </w:rPr>
        <w:t>Action</w:t>
      </w:r>
      <w:r>
        <w:rPr>
          <w:color w:val="222222"/>
        </w:rPr>
        <w:t xml:space="preserve"> </w:t>
      </w:r>
      <w:r w:rsidRPr="0071774C">
        <w:rPr>
          <w:color w:val="222222"/>
        </w:rPr>
        <w:t>Plans</w:t>
      </w:r>
      <w:r>
        <w:rPr>
          <w:color w:val="222222"/>
        </w:rPr>
        <w:t xml:space="preserve"> </w:t>
      </w:r>
      <w:r w:rsidRPr="0071774C">
        <w:rPr>
          <w:color w:val="222222"/>
        </w:rPr>
        <w:t>and</w:t>
      </w:r>
      <w:r>
        <w:rPr>
          <w:color w:val="222222"/>
        </w:rPr>
        <w:t xml:space="preserve"> </w:t>
      </w:r>
      <w:r w:rsidRPr="0071774C">
        <w:rPr>
          <w:color w:val="222222"/>
        </w:rPr>
        <w:t>the</w:t>
      </w:r>
      <w:r>
        <w:rPr>
          <w:color w:val="222222"/>
        </w:rPr>
        <w:t xml:space="preserve"> </w:t>
      </w:r>
      <w:r w:rsidRPr="0071774C">
        <w:rPr>
          <w:color w:val="222222"/>
        </w:rPr>
        <w:t>need</w:t>
      </w:r>
      <w:r>
        <w:rPr>
          <w:color w:val="222222"/>
        </w:rPr>
        <w:t xml:space="preserve"> </w:t>
      </w:r>
      <w:r w:rsidRPr="0071774C">
        <w:rPr>
          <w:color w:val="222222"/>
        </w:rPr>
        <w:t>for</w:t>
      </w:r>
      <w:r>
        <w:rPr>
          <w:color w:val="222222"/>
        </w:rPr>
        <w:t xml:space="preserve"> </w:t>
      </w:r>
      <w:r w:rsidRPr="0071774C">
        <w:rPr>
          <w:color w:val="222222"/>
        </w:rPr>
        <w:t>independent</w:t>
      </w:r>
      <w:r>
        <w:rPr>
          <w:color w:val="222222"/>
        </w:rPr>
        <w:t xml:space="preserve"> </w:t>
      </w:r>
      <w:r w:rsidRPr="0071774C">
        <w:rPr>
          <w:color w:val="222222"/>
        </w:rPr>
        <w:t>evaluation</w:t>
      </w:r>
      <w:r w:rsidRPr="005068F2">
        <w:t>’.</w:t>
      </w:r>
      <w:r w:rsidRPr="005068F2">
        <w:rPr>
          <w:rStyle w:val="EndnoteReference"/>
          <w:szCs w:val="22"/>
        </w:rPr>
        <w:endnoteReference w:id="539"/>
      </w:r>
    </w:p>
    <w:p w14:paraId="635F8056" w14:textId="3A771989" w:rsidR="00E9593D" w:rsidRDefault="00437ED1" w:rsidP="00437ED1">
      <w:pPr>
        <w:pStyle w:val="OWBullet1"/>
      </w:pPr>
      <w:r w:rsidRPr="00187A71">
        <w:t>National Plan Implementation Executive Group for the Third and Fourth Action Plans,</w:t>
      </w:r>
      <w:r w:rsidRPr="00187A71">
        <w:rPr>
          <w:rStyle w:val="EndnoteReference"/>
          <w:szCs w:val="22"/>
        </w:rPr>
        <w:endnoteReference w:id="540"/>
      </w:r>
      <w:r w:rsidRPr="00187A71">
        <w:t xml:space="preserve"> </w:t>
      </w:r>
      <w:r w:rsidRPr="00187A71">
        <w:rPr>
          <w:rStyle w:val="EndnoteReference"/>
          <w:szCs w:val="22"/>
        </w:rPr>
        <w:endnoteReference w:id="541"/>
      </w:r>
      <w:r w:rsidRPr="00187A71">
        <w:t xml:space="preserve"> </w:t>
      </w:r>
      <w:r w:rsidRPr="0071774C">
        <w:t>consisting</w:t>
      </w:r>
      <w:r>
        <w:t xml:space="preserve"> </w:t>
      </w:r>
      <w:r w:rsidRPr="0071774C">
        <w:t>of</w:t>
      </w:r>
      <w:r>
        <w:t xml:space="preserve"> </w:t>
      </w:r>
      <w:r w:rsidRPr="0071774C">
        <w:t>senior</w:t>
      </w:r>
      <w:r>
        <w:t xml:space="preserve"> </w:t>
      </w:r>
      <w:r w:rsidRPr="0071774C">
        <w:t>officials</w:t>
      </w:r>
      <w:r>
        <w:t xml:space="preserve"> </w:t>
      </w:r>
      <w:r w:rsidRPr="0071774C">
        <w:t>from</w:t>
      </w:r>
      <w:r>
        <w:t xml:space="preserve"> </w:t>
      </w:r>
      <w:r w:rsidRPr="0071774C">
        <w:t>Commonwealth,</w:t>
      </w:r>
      <w:r>
        <w:t xml:space="preserve"> </w:t>
      </w:r>
      <w:r w:rsidRPr="0071774C">
        <w:t>state</w:t>
      </w:r>
      <w:r>
        <w:t xml:space="preserve"> </w:t>
      </w:r>
      <w:r w:rsidRPr="0071774C">
        <w:t>and</w:t>
      </w:r>
      <w:r>
        <w:t xml:space="preserve"> </w:t>
      </w:r>
      <w:r w:rsidRPr="0071774C">
        <w:t>territory</w:t>
      </w:r>
      <w:r>
        <w:t xml:space="preserve"> </w:t>
      </w:r>
      <w:r w:rsidRPr="0071774C">
        <w:t>governments</w:t>
      </w:r>
      <w:r>
        <w:t xml:space="preserve"> </w:t>
      </w:r>
      <w:r w:rsidRPr="0071774C">
        <w:t>with</w:t>
      </w:r>
      <w:r>
        <w:t xml:space="preserve"> </w:t>
      </w:r>
      <w:r w:rsidRPr="0071774C">
        <w:t>responsibility</w:t>
      </w:r>
      <w:r>
        <w:t xml:space="preserve"> </w:t>
      </w:r>
      <w:r w:rsidRPr="0071774C">
        <w:t>for</w:t>
      </w:r>
      <w:r>
        <w:t xml:space="preserve"> </w:t>
      </w:r>
      <w:r w:rsidRPr="0071774C">
        <w:t>monitoring</w:t>
      </w:r>
      <w:r>
        <w:t xml:space="preserve"> </w:t>
      </w:r>
      <w:r w:rsidRPr="0071774C">
        <w:t>and</w:t>
      </w:r>
      <w:r>
        <w:t xml:space="preserve"> </w:t>
      </w:r>
      <w:r w:rsidRPr="0071774C">
        <w:t>reporting</w:t>
      </w:r>
      <w:r>
        <w:t xml:space="preserve"> </w:t>
      </w:r>
      <w:r w:rsidRPr="0071774C">
        <w:t>progress</w:t>
      </w:r>
      <w:r>
        <w:t xml:space="preserve"> </w:t>
      </w:r>
      <w:r w:rsidRPr="0071774C">
        <w:t>to</w:t>
      </w:r>
      <w:r>
        <w:t xml:space="preserve"> </w:t>
      </w:r>
      <w:r w:rsidRPr="0071774C">
        <w:t>the</w:t>
      </w:r>
      <w:r>
        <w:t xml:space="preserve"> </w:t>
      </w:r>
      <w:r w:rsidRPr="0071774C">
        <w:t>Women’s</w:t>
      </w:r>
      <w:r>
        <w:t xml:space="preserve"> </w:t>
      </w:r>
      <w:r w:rsidRPr="0071774C">
        <w:t>Safety</w:t>
      </w:r>
      <w:r>
        <w:t xml:space="preserve"> </w:t>
      </w:r>
      <w:r w:rsidRPr="0071774C">
        <w:t>Ministers</w:t>
      </w:r>
      <w:r>
        <w:t xml:space="preserve"> </w:t>
      </w:r>
      <w:r w:rsidRPr="0071774C">
        <w:t>on</w:t>
      </w:r>
      <w:r>
        <w:t xml:space="preserve"> </w:t>
      </w:r>
      <w:r w:rsidRPr="0071774C">
        <w:t>the</w:t>
      </w:r>
      <w:r>
        <w:t xml:space="preserve"> </w:t>
      </w:r>
      <w:r w:rsidRPr="0071774C">
        <w:t>implementation</w:t>
      </w:r>
      <w:r>
        <w:t xml:space="preserve"> </w:t>
      </w:r>
      <w:r w:rsidRPr="0071774C">
        <w:t>of</w:t>
      </w:r>
      <w:r>
        <w:t xml:space="preserve"> </w:t>
      </w:r>
      <w:r w:rsidRPr="0071774C">
        <w:t>the</w:t>
      </w:r>
      <w:r>
        <w:t xml:space="preserve"> </w:t>
      </w:r>
      <w:r w:rsidRPr="0071774C">
        <w:t>Action</w:t>
      </w:r>
      <w:r>
        <w:t xml:space="preserve"> </w:t>
      </w:r>
      <w:r w:rsidRPr="0071774C">
        <w:t>Plans.</w:t>
      </w:r>
    </w:p>
    <w:p w14:paraId="7B4C5573" w14:textId="77777777" w:rsidR="00437ED1" w:rsidRPr="00187A71" w:rsidRDefault="00437ED1" w:rsidP="00AD661E">
      <w:pPr>
        <w:pStyle w:val="OWBodytextafterlist"/>
      </w:pPr>
    </w:p>
    <w:p w14:paraId="24FBCA59" w14:textId="77777777" w:rsidR="00437ED1" w:rsidRDefault="00437ED1" w:rsidP="00437ED1">
      <w:pPr>
        <w:pStyle w:val="Heading2"/>
        <w:rPr>
          <w:rStyle w:val="OWCharacterHibiscus"/>
        </w:rPr>
        <w:sectPr w:rsidR="00437ED1" w:rsidSect="00093BCF">
          <w:footnotePr>
            <w:numFmt w:val="lowerRoman"/>
          </w:footnotePr>
          <w:endnotePr>
            <w:numFmt w:val="decimal"/>
          </w:endnotePr>
          <w:pgSz w:w="11906" w:h="16838" w:code="9"/>
          <w:pgMar w:top="1418" w:right="1418" w:bottom="1418" w:left="1418" w:header="454" w:footer="454" w:gutter="0"/>
          <w:cols w:space="720"/>
          <w:noEndnote/>
        </w:sectPr>
      </w:pPr>
    </w:p>
    <w:p w14:paraId="61CB55F5" w14:textId="1D1E0D95" w:rsidR="00437ED1" w:rsidRPr="00790783" w:rsidRDefault="00437ED1" w:rsidP="00437ED1">
      <w:pPr>
        <w:pStyle w:val="Heading2"/>
        <w:rPr>
          <w:rStyle w:val="OWCharacterHibiscus"/>
        </w:rPr>
      </w:pPr>
      <w:bookmarkStart w:id="115" w:name="_Toc55053334"/>
      <w:r w:rsidRPr="00790783">
        <w:rPr>
          <w:rStyle w:val="OWCharacterHibiscus"/>
        </w:rPr>
        <w:lastRenderedPageBreak/>
        <w:t>Appendix D</w:t>
      </w:r>
      <w:r>
        <w:rPr>
          <w:rStyle w:val="OWCharacterHibiscus"/>
        </w:rPr>
        <w:t>:</w:t>
      </w:r>
      <w:r w:rsidRPr="00790783">
        <w:rPr>
          <w:rStyle w:val="OWCharacterHibiscus"/>
        </w:rPr>
        <w:t xml:space="preserve"> Number of initiatives tagged under Fourth Action Plan primary prevention priority actions (National priority 1: Primary prevention is key)</w:t>
      </w:r>
      <w:bookmarkEnd w:id="115"/>
    </w:p>
    <w:tbl>
      <w:tblPr>
        <w:tblStyle w:val="Datatablehibsicus"/>
        <w:tblW w:w="9072" w:type="dxa"/>
        <w:tblLook w:val="06A0" w:firstRow="1" w:lastRow="0" w:firstColumn="1" w:lastColumn="0" w:noHBand="1" w:noVBand="1"/>
      </w:tblPr>
      <w:tblGrid>
        <w:gridCol w:w="6237"/>
        <w:gridCol w:w="2835"/>
      </w:tblGrid>
      <w:tr w:rsidR="00437ED1" w:rsidRPr="0071774C" w14:paraId="7A8BEE58" w14:textId="77777777" w:rsidTr="00AD1342">
        <w:trPr>
          <w:cnfStyle w:val="100000000000" w:firstRow="1" w:lastRow="0" w:firstColumn="0" w:lastColumn="0" w:oddVBand="0" w:evenVBand="0" w:oddHBand="0" w:evenHBand="0" w:firstRowFirstColumn="0" w:firstRowLastColumn="0" w:lastRowFirstColumn="0" w:lastRowLastColumn="0"/>
          <w:cantSplit/>
          <w:tblHeader/>
        </w:trPr>
        <w:tc>
          <w:tcPr>
            <w:tcW w:w="6237" w:type="dxa"/>
          </w:tcPr>
          <w:p w14:paraId="297C5710" w14:textId="005E9A2D" w:rsidR="00437ED1" w:rsidRPr="00090263" w:rsidRDefault="00437ED1" w:rsidP="00AD1342">
            <w:pPr>
              <w:pStyle w:val="OWTablecolumnheadleft"/>
            </w:pPr>
            <w:r w:rsidRPr="00090263">
              <w:t>National priority action</w:t>
            </w:r>
          </w:p>
        </w:tc>
        <w:tc>
          <w:tcPr>
            <w:tcW w:w="2835" w:type="dxa"/>
            <w:hideMark/>
          </w:tcPr>
          <w:p w14:paraId="2224D855" w14:textId="77777777" w:rsidR="00437ED1" w:rsidRPr="0071774C" w:rsidRDefault="00437ED1" w:rsidP="00AD1342">
            <w:pPr>
              <w:pStyle w:val="OWTablecolumnheadcentre"/>
            </w:pPr>
            <w:r w:rsidRPr="00090263">
              <w:t xml:space="preserve">Number of initiatives </w:t>
            </w:r>
            <w:r w:rsidRPr="0071774C">
              <w:t>tagging</w:t>
            </w:r>
            <w:r>
              <w:t xml:space="preserve"> </w:t>
            </w:r>
            <w:r w:rsidRPr="0071774C">
              <w:t>this</w:t>
            </w:r>
            <w:r>
              <w:t xml:space="preserve"> a</w:t>
            </w:r>
            <w:r w:rsidRPr="0071774C">
              <w:t>ction</w:t>
            </w:r>
          </w:p>
        </w:tc>
      </w:tr>
      <w:tr w:rsidR="00437ED1" w:rsidRPr="0071774C" w14:paraId="26B9BF72" w14:textId="77777777" w:rsidTr="00437ED1">
        <w:trPr>
          <w:cantSplit/>
        </w:trPr>
        <w:tc>
          <w:tcPr>
            <w:tcW w:w="6237" w:type="dxa"/>
            <w:hideMark/>
          </w:tcPr>
          <w:p w14:paraId="711F42B9" w14:textId="77777777" w:rsidR="00437ED1" w:rsidRPr="0071774C" w:rsidRDefault="00437ED1" w:rsidP="00437ED1">
            <w:pPr>
              <w:pStyle w:val="OWTablebodyleft"/>
            </w:pPr>
            <w:r w:rsidRPr="0071774C">
              <w:t>Advance</w:t>
            </w:r>
            <w:r>
              <w:t xml:space="preserve"> </w:t>
            </w:r>
            <w:r w:rsidRPr="0071774C">
              <w:t>gender</w:t>
            </w:r>
            <w:r>
              <w:t xml:space="preserve"> </w:t>
            </w:r>
            <w:r w:rsidRPr="0071774C">
              <w:t>equality</w:t>
            </w:r>
            <w:r>
              <w:t xml:space="preserve"> </w:t>
            </w:r>
            <w:r w:rsidRPr="0071774C">
              <w:t>and</w:t>
            </w:r>
            <w:r>
              <w:t xml:space="preserve"> </w:t>
            </w:r>
            <w:r w:rsidRPr="0071774C">
              <w:t>respect</w:t>
            </w:r>
            <w:r>
              <w:t xml:space="preserve"> </w:t>
            </w:r>
            <w:r w:rsidRPr="0071774C">
              <w:t>for</w:t>
            </w:r>
            <w:r>
              <w:t xml:space="preserve"> </w:t>
            </w:r>
            <w:r w:rsidRPr="0071774C">
              <w:t>women</w:t>
            </w:r>
            <w:r>
              <w:t xml:space="preserve"> </w:t>
            </w:r>
            <w:r w:rsidRPr="0071774C">
              <w:t>through</w:t>
            </w:r>
            <w:r>
              <w:t xml:space="preserve"> </w:t>
            </w:r>
            <w:r w:rsidRPr="0071774C">
              <w:t>effective</w:t>
            </w:r>
            <w:r>
              <w:t xml:space="preserve"> </w:t>
            </w:r>
            <w:r w:rsidRPr="0071774C">
              <w:t>primary</w:t>
            </w:r>
            <w:r>
              <w:t xml:space="preserve"> </w:t>
            </w:r>
            <w:r w:rsidRPr="0071774C">
              <w:t>prevention</w:t>
            </w:r>
            <w:r>
              <w:t xml:space="preserve"> </w:t>
            </w:r>
            <w:r w:rsidRPr="0071774C">
              <w:t>initiatives</w:t>
            </w:r>
          </w:p>
        </w:tc>
        <w:tc>
          <w:tcPr>
            <w:tcW w:w="2835" w:type="dxa"/>
            <w:hideMark/>
          </w:tcPr>
          <w:p w14:paraId="574FAD57" w14:textId="77777777" w:rsidR="00437ED1" w:rsidRPr="0071774C" w:rsidRDefault="00437ED1" w:rsidP="00437ED1">
            <w:pPr>
              <w:pStyle w:val="OWTablebodycentre"/>
            </w:pPr>
            <w:r w:rsidRPr="0071774C">
              <w:t>17</w:t>
            </w:r>
          </w:p>
        </w:tc>
      </w:tr>
      <w:tr w:rsidR="00437ED1" w:rsidRPr="0071774C" w14:paraId="792AAC86" w14:textId="77777777" w:rsidTr="00437ED1">
        <w:trPr>
          <w:cantSplit/>
        </w:trPr>
        <w:tc>
          <w:tcPr>
            <w:tcW w:w="6237" w:type="dxa"/>
            <w:hideMark/>
          </w:tcPr>
          <w:p w14:paraId="6BD83801" w14:textId="77777777" w:rsidR="00437ED1" w:rsidRPr="0071774C" w:rsidRDefault="00437ED1" w:rsidP="00437ED1">
            <w:pPr>
              <w:pStyle w:val="OWTablebodyleft"/>
            </w:pPr>
            <w:r w:rsidRPr="0071774C">
              <w:t>Improve</w:t>
            </w:r>
            <w:r>
              <w:t xml:space="preserve"> </w:t>
            </w:r>
            <w:r w:rsidRPr="0071774C">
              <w:t>coordination</w:t>
            </w:r>
            <w:r>
              <w:t xml:space="preserve"> </w:t>
            </w:r>
            <w:r w:rsidRPr="0071774C">
              <w:t>across</w:t>
            </w:r>
            <w:r>
              <w:t xml:space="preserve"> </w:t>
            </w:r>
            <w:r w:rsidRPr="0071774C">
              <w:t>primary</w:t>
            </w:r>
            <w:r>
              <w:t xml:space="preserve"> </w:t>
            </w:r>
            <w:r w:rsidRPr="0071774C">
              <w:t>prevention</w:t>
            </w:r>
            <w:r>
              <w:t xml:space="preserve"> </w:t>
            </w:r>
            <w:r w:rsidRPr="0071774C">
              <w:t>activities</w:t>
            </w:r>
            <w:r>
              <w:t xml:space="preserve"> </w:t>
            </w:r>
            <w:r w:rsidRPr="0071774C">
              <w:t>to</w:t>
            </w:r>
            <w:r>
              <w:t xml:space="preserve"> </w:t>
            </w:r>
            <w:r w:rsidRPr="0071774C">
              <w:t>maximise</w:t>
            </w:r>
            <w:r>
              <w:t xml:space="preserve"> </w:t>
            </w:r>
            <w:r w:rsidRPr="0071774C">
              <w:t>their</w:t>
            </w:r>
            <w:r>
              <w:t xml:space="preserve"> </w:t>
            </w:r>
            <w:r w:rsidRPr="0071774C">
              <w:t>impact</w:t>
            </w:r>
            <w:r>
              <w:t xml:space="preserve"> </w:t>
            </w:r>
            <w:r w:rsidRPr="0071774C">
              <w:t>on</w:t>
            </w:r>
            <w:r>
              <w:t xml:space="preserve"> </w:t>
            </w:r>
            <w:r w:rsidRPr="0071774C">
              <w:t>community</w:t>
            </w:r>
            <w:r>
              <w:t xml:space="preserve"> </w:t>
            </w:r>
            <w:r w:rsidRPr="0071774C">
              <w:t>attitudes</w:t>
            </w:r>
            <w:r>
              <w:t xml:space="preserve"> </w:t>
            </w:r>
            <w:r w:rsidRPr="0071774C">
              <w:t>and</w:t>
            </w:r>
            <w:r>
              <w:t xml:space="preserve"> </w:t>
            </w:r>
            <w:r w:rsidRPr="0071774C">
              <w:t>behaviours</w:t>
            </w:r>
            <w:r>
              <w:t xml:space="preserve"> </w:t>
            </w:r>
            <w:r w:rsidRPr="0071774C">
              <w:t>that</w:t>
            </w:r>
            <w:r>
              <w:t xml:space="preserve"> </w:t>
            </w:r>
            <w:r w:rsidRPr="0071774C">
              <w:t>lead</w:t>
            </w:r>
            <w:r>
              <w:t xml:space="preserve"> </w:t>
            </w:r>
            <w:r w:rsidRPr="0071774C">
              <w:t>to</w:t>
            </w:r>
            <w:r>
              <w:t xml:space="preserve"> </w:t>
            </w:r>
            <w:r w:rsidRPr="0071774C">
              <w:t>violence</w:t>
            </w:r>
          </w:p>
        </w:tc>
        <w:tc>
          <w:tcPr>
            <w:tcW w:w="2835" w:type="dxa"/>
            <w:hideMark/>
          </w:tcPr>
          <w:p w14:paraId="60E981F0" w14:textId="77777777" w:rsidR="00437ED1" w:rsidRPr="0071774C" w:rsidRDefault="00437ED1" w:rsidP="00437ED1">
            <w:pPr>
              <w:pStyle w:val="OWTablebodycentre"/>
            </w:pPr>
            <w:r w:rsidRPr="0071774C">
              <w:t>11</w:t>
            </w:r>
          </w:p>
        </w:tc>
      </w:tr>
      <w:tr w:rsidR="00437ED1" w:rsidRPr="0071774C" w14:paraId="7C9013AE" w14:textId="77777777" w:rsidTr="00437ED1">
        <w:trPr>
          <w:cantSplit/>
        </w:trPr>
        <w:tc>
          <w:tcPr>
            <w:tcW w:w="6237" w:type="dxa"/>
            <w:hideMark/>
          </w:tcPr>
          <w:p w14:paraId="578B15B5" w14:textId="77777777" w:rsidR="00437ED1" w:rsidRPr="0071774C" w:rsidRDefault="00437ED1" w:rsidP="00437ED1">
            <w:pPr>
              <w:pStyle w:val="OWTablebodyleft"/>
            </w:pPr>
            <w:r w:rsidRPr="0071774C">
              <w:t>Implement</w:t>
            </w:r>
            <w:r>
              <w:t xml:space="preserve"> </w:t>
            </w:r>
            <w:r w:rsidRPr="0071774C">
              <w:t>targeted</w:t>
            </w:r>
            <w:r>
              <w:t xml:space="preserve"> </w:t>
            </w:r>
            <w:r w:rsidRPr="0071774C">
              <w:t>primary</w:t>
            </w:r>
            <w:r>
              <w:t xml:space="preserve"> </w:t>
            </w:r>
            <w:r w:rsidRPr="0071774C">
              <w:t>prevention</w:t>
            </w:r>
            <w:r>
              <w:t xml:space="preserve"> </w:t>
            </w:r>
            <w:r w:rsidRPr="0071774C">
              <w:t>activities</w:t>
            </w:r>
            <w:r>
              <w:t xml:space="preserve"> </w:t>
            </w:r>
            <w:r w:rsidRPr="0071774C">
              <w:t>designed</w:t>
            </w:r>
            <w:r>
              <w:t xml:space="preserve"> </w:t>
            </w:r>
            <w:r w:rsidRPr="0071774C">
              <w:t>by,</w:t>
            </w:r>
            <w:r>
              <w:t xml:space="preserve"> </w:t>
            </w:r>
            <w:r w:rsidRPr="0071774C">
              <w:t>and</w:t>
            </w:r>
            <w:r>
              <w:t xml:space="preserve"> </w:t>
            </w:r>
            <w:r w:rsidRPr="0071774C">
              <w:t>tailored</w:t>
            </w:r>
            <w:r>
              <w:t xml:space="preserve"> </w:t>
            </w:r>
            <w:r w:rsidRPr="0071774C">
              <w:t>for,</w:t>
            </w:r>
            <w:r>
              <w:t xml:space="preserve"> </w:t>
            </w:r>
            <w:r w:rsidRPr="0071774C">
              <w:t>the</w:t>
            </w:r>
            <w:r>
              <w:t xml:space="preserve"> </w:t>
            </w:r>
            <w:r w:rsidRPr="0071774C">
              <w:t>specific</w:t>
            </w:r>
            <w:r>
              <w:t xml:space="preserve"> </w:t>
            </w:r>
            <w:r w:rsidRPr="0071774C">
              <w:t>communities</w:t>
            </w:r>
            <w:r>
              <w:t xml:space="preserve"> </w:t>
            </w:r>
            <w:r w:rsidRPr="0071774C">
              <w:t>they</w:t>
            </w:r>
            <w:r>
              <w:t xml:space="preserve"> </w:t>
            </w:r>
            <w:r w:rsidRPr="0071774C">
              <w:t>are</w:t>
            </w:r>
            <w:r>
              <w:t xml:space="preserve"> </w:t>
            </w:r>
            <w:r w:rsidRPr="0071774C">
              <w:t>intended</w:t>
            </w:r>
            <w:r>
              <w:t xml:space="preserve"> </w:t>
            </w:r>
            <w:r w:rsidRPr="0071774C">
              <w:t>to</w:t>
            </w:r>
            <w:r>
              <w:t xml:space="preserve"> </w:t>
            </w:r>
            <w:r w:rsidRPr="0071774C">
              <w:t>support</w:t>
            </w:r>
          </w:p>
        </w:tc>
        <w:tc>
          <w:tcPr>
            <w:tcW w:w="2835" w:type="dxa"/>
            <w:hideMark/>
          </w:tcPr>
          <w:p w14:paraId="0DCC9580" w14:textId="77777777" w:rsidR="00437ED1" w:rsidRPr="0071774C" w:rsidRDefault="00437ED1" w:rsidP="00437ED1">
            <w:pPr>
              <w:pStyle w:val="OWTablebodycentre"/>
            </w:pPr>
            <w:r w:rsidRPr="0071774C">
              <w:t>12</w:t>
            </w:r>
          </w:p>
        </w:tc>
      </w:tr>
      <w:tr w:rsidR="00437ED1" w:rsidRPr="0071774C" w14:paraId="43BB57FA" w14:textId="77777777" w:rsidTr="00437ED1">
        <w:trPr>
          <w:cantSplit/>
        </w:trPr>
        <w:tc>
          <w:tcPr>
            <w:tcW w:w="6237" w:type="dxa"/>
            <w:hideMark/>
          </w:tcPr>
          <w:p w14:paraId="1EF5B2DC" w14:textId="77777777" w:rsidR="00437ED1" w:rsidRPr="0071774C" w:rsidRDefault="00437ED1" w:rsidP="00437ED1">
            <w:pPr>
              <w:pStyle w:val="OWTablebodyleft"/>
            </w:pPr>
            <w:r w:rsidRPr="0071774C">
              <w:t>Address</w:t>
            </w:r>
            <w:r>
              <w:t xml:space="preserve"> </w:t>
            </w:r>
            <w:r w:rsidRPr="0071774C">
              <w:t>intergenerational</w:t>
            </w:r>
            <w:r>
              <w:t xml:space="preserve"> </w:t>
            </w:r>
            <w:r w:rsidRPr="0071774C">
              <w:t>trauma</w:t>
            </w:r>
            <w:r>
              <w:t xml:space="preserve"> </w:t>
            </w:r>
            <w:r w:rsidRPr="0071774C">
              <w:t>for</w:t>
            </w:r>
            <w:r>
              <w:t xml:space="preserve"> </w:t>
            </w:r>
            <w:r w:rsidRPr="0071774C">
              <w:t>Aboriginal</w:t>
            </w:r>
            <w:r>
              <w:t xml:space="preserve"> </w:t>
            </w:r>
            <w:r w:rsidRPr="0071774C">
              <w:t>and</w:t>
            </w:r>
            <w:r>
              <w:t xml:space="preserve"> </w:t>
            </w:r>
            <w:r w:rsidRPr="0071774C">
              <w:t>Torres</w:t>
            </w:r>
            <w:r>
              <w:t xml:space="preserve"> </w:t>
            </w:r>
            <w:r w:rsidRPr="0071774C">
              <w:t>Strait</w:t>
            </w:r>
            <w:r>
              <w:t xml:space="preserve"> </w:t>
            </w:r>
            <w:r w:rsidRPr="0071774C">
              <w:t>Islander</w:t>
            </w:r>
            <w:r>
              <w:t xml:space="preserve"> </w:t>
            </w:r>
            <w:r w:rsidRPr="0071774C">
              <w:t>peoples</w:t>
            </w:r>
            <w:r>
              <w:t xml:space="preserve"> </w:t>
            </w:r>
            <w:r w:rsidRPr="0071774C">
              <w:t>through</w:t>
            </w:r>
            <w:r>
              <w:t xml:space="preserve"> </w:t>
            </w:r>
            <w:r w:rsidRPr="0071774C">
              <w:t>primary</w:t>
            </w:r>
            <w:r>
              <w:t xml:space="preserve"> </w:t>
            </w:r>
            <w:r w:rsidRPr="0071774C">
              <w:t>prevention</w:t>
            </w:r>
            <w:r>
              <w:t xml:space="preserve"> </w:t>
            </w:r>
            <w:r w:rsidRPr="0071774C">
              <w:t>including</w:t>
            </w:r>
            <w:r>
              <w:t xml:space="preserve"> </w:t>
            </w:r>
            <w:r w:rsidRPr="0071774C">
              <w:t>holistic</w:t>
            </w:r>
            <w:r>
              <w:t xml:space="preserve"> </w:t>
            </w:r>
            <w:r w:rsidRPr="0071774C">
              <w:t>healing</w:t>
            </w:r>
            <w:r>
              <w:t xml:space="preserve"> </w:t>
            </w:r>
            <w:r w:rsidRPr="0071774C">
              <w:t>strategies,</w:t>
            </w:r>
            <w:r>
              <w:t xml:space="preserve"> </w:t>
            </w:r>
            <w:r w:rsidRPr="0071774C">
              <w:t>and</w:t>
            </w:r>
            <w:r>
              <w:t xml:space="preserve"> </w:t>
            </w:r>
            <w:r w:rsidRPr="0071774C">
              <w:t>by</w:t>
            </w:r>
            <w:r>
              <w:t xml:space="preserve"> </w:t>
            </w:r>
            <w:r w:rsidRPr="0071774C">
              <w:t>strengthening</w:t>
            </w:r>
            <w:r>
              <w:t xml:space="preserve"> </w:t>
            </w:r>
            <w:r w:rsidRPr="0071774C">
              <w:t>connections</w:t>
            </w:r>
            <w:r>
              <w:t xml:space="preserve"> </w:t>
            </w:r>
            <w:r w:rsidRPr="0071774C">
              <w:t>to</w:t>
            </w:r>
            <w:r>
              <w:t xml:space="preserve"> </w:t>
            </w:r>
            <w:r w:rsidRPr="0071774C">
              <w:t>culture,</w:t>
            </w:r>
            <w:r>
              <w:t xml:space="preserve"> </w:t>
            </w:r>
            <w:r w:rsidRPr="0071774C">
              <w:t>language,</w:t>
            </w:r>
            <w:r>
              <w:t xml:space="preserve"> </w:t>
            </w:r>
            <w:r w:rsidRPr="0071774C">
              <w:t>knowledge</w:t>
            </w:r>
            <w:r>
              <w:t xml:space="preserve"> </w:t>
            </w:r>
            <w:r w:rsidRPr="0071774C">
              <w:t>and</w:t>
            </w:r>
            <w:r>
              <w:t xml:space="preserve"> </w:t>
            </w:r>
            <w:r w:rsidRPr="0071774C">
              <w:t>identity</w:t>
            </w:r>
          </w:p>
        </w:tc>
        <w:tc>
          <w:tcPr>
            <w:tcW w:w="2835" w:type="dxa"/>
            <w:hideMark/>
          </w:tcPr>
          <w:p w14:paraId="52DB5792" w14:textId="77777777" w:rsidR="00437ED1" w:rsidRPr="0071774C" w:rsidRDefault="00437ED1" w:rsidP="00437ED1">
            <w:pPr>
              <w:pStyle w:val="OWTablebodycentre"/>
            </w:pPr>
            <w:r w:rsidRPr="0071774C">
              <w:t>4</w:t>
            </w:r>
          </w:p>
        </w:tc>
      </w:tr>
      <w:tr w:rsidR="00437ED1" w:rsidRPr="0071774C" w14:paraId="4A0A80B9" w14:textId="77777777" w:rsidTr="00437ED1">
        <w:trPr>
          <w:cantSplit/>
        </w:trPr>
        <w:tc>
          <w:tcPr>
            <w:tcW w:w="6237" w:type="dxa"/>
            <w:hideMark/>
          </w:tcPr>
          <w:p w14:paraId="59E4AC79" w14:textId="77777777" w:rsidR="00437ED1" w:rsidRPr="0071774C" w:rsidRDefault="00437ED1" w:rsidP="00437ED1">
            <w:pPr>
              <w:pStyle w:val="OWTablebodyleft"/>
            </w:pPr>
            <w:r w:rsidRPr="0071774C">
              <w:t>Promote</w:t>
            </w:r>
            <w:r>
              <w:t xml:space="preserve"> </w:t>
            </w:r>
            <w:r w:rsidRPr="0071774C">
              <w:t>healthy</w:t>
            </w:r>
            <w:r>
              <w:t xml:space="preserve"> </w:t>
            </w:r>
            <w:r w:rsidRPr="0071774C">
              <w:t>and</w:t>
            </w:r>
            <w:r>
              <w:t xml:space="preserve"> </w:t>
            </w:r>
            <w:r w:rsidRPr="0071774C">
              <w:t>safe</w:t>
            </w:r>
            <w:r>
              <w:t xml:space="preserve"> </w:t>
            </w:r>
            <w:r w:rsidRPr="0071774C">
              <w:t>relationships</w:t>
            </w:r>
            <w:r>
              <w:t xml:space="preserve"> </w:t>
            </w:r>
            <w:r w:rsidRPr="0071774C">
              <w:t>and</w:t>
            </w:r>
            <w:r>
              <w:t xml:space="preserve"> </w:t>
            </w:r>
            <w:r w:rsidRPr="0071774C">
              <w:t>build</w:t>
            </w:r>
            <w:r>
              <w:t xml:space="preserve"> </w:t>
            </w:r>
            <w:r w:rsidRPr="0071774C">
              <w:t>gender</w:t>
            </w:r>
            <w:r>
              <w:t>-</w:t>
            </w:r>
            <w:r w:rsidRPr="0071774C">
              <w:t>equitable</w:t>
            </w:r>
            <w:r>
              <w:t xml:space="preserve"> </w:t>
            </w:r>
            <w:r w:rsidRPr="0071774C">
              <w:t>values</w:t>
            </w:r>
            <w:r>
              <w:t xml:space="preserve"> </w:t>
            </w:r>
            <w:r w:rsidRPr="0071774C">
              <w:t>through</w:t>
            </w:r>
            <w:r>
              <w:t xml:space="preserve"> </w:t>
            </w:r>
            <w:r w:rsidRPr="0071774C">
              <w:t>initiatives</w:t>
            </w:r>
            <w:r>
              <w:t xml:space="preserve"> </w:t>
            </w:r>
            <w:r w:rsidRPr="0071774C">
              <w:t>for</w:t>
            </w:r>
            <w:r>
              <w:t xml:space="preserve"> </w:t>
            </w:r>
            <w:r w:rsidRPr="0071774C">
              <w:t>children</w:t>
            </w:r>
            <w:r>
              <w:t xml:space="preserve"> </w:t>
            </w:r>
            <w:r w:rsidRPr="0071774C">
              <w:t>and</w:t>
            </w:r>
            <w:r>
              <w:t xml:space="preserve"> </w:t>
            </w:r>
            <w:r w:rsidRPr="0071774C">
              <w:t>young</w:t>
            </w:r>
            <w:r>
              <w:t xml:space="preserve"> </w:t>
            </w:r>
            <w:r w:rsidRPr="0071774C">
              <w:t>people</w:t>
            </w:r>
          </w:p>
        </w:tc>
        <w:tc>
          <w:tcPr>
            <w:tcW w:w="2835" w:type="dxa"/>
            <w:hideMark/>
          </w:tcPr>
          <w:p w14:paraId="34B976AC" w14:textId="77777777" w:rsidR="00437ED1" w:rsidRPr="0071774C" w:rsidRDefault="00437ED1" w:rsidP="00437ED1">
            <w:pPr>
              <w:pStyle w:val="OWTablebodycentre"/>
            </w:pPr>
            <w:r w:rsidRPr="0071774C">
              <w:t>11</w:t>
            </w:r>
          </w:p>
        </w:tc>
      </w:tr>
    </w:tbl>
    <w:p w14:paraId="49285E91" w14:textId="33F4127B" w:rsidR="00A0406D" w:rsidRPr="00DE2D57" w:rsidRDefault="00A0406D" w:rsidP="00437ED1">
      <w:pPr>
        <w:pStyle w:val="OWTablefootnote"/>
      </w:pPr>
      <w:r w:rsidRPr="000D153B">
        <w:t>Source:</w:t>
      </w:r>
      <w:r>
        <w:t xml:space="preserve"> </w:t>
      </w:r>
      <w:r w:rsidRPr="000D153B">
        <w:t>Australian</w:t>
      </w:r>
      <w:r>
        <w:t xml:space="preserve"> </w:t>
      </w:r>
      <w:r w:rsidRPr="000D153B">
        <w:t>Governm</w:t>
      </w:r>
      <w:r w:rsidRPr="00F4007B">
        <w:t>ent (2020)</w:t>
      </w:r>
      <w:r>
        <w:t xml:space="preserve"> </w:t>
      </w:r>
      <w:hyperlink r:id="rId106" w:history="1">
        <w:r w:rsidRPr="00EC0FAB">
          <w:rPr>
            <w:rStyle w:val="Hyperlink"/>
            <w:i/>
          </w:rPr>
          <w:t>National Plan to Reduce Violence against Women and their Children</w:t>
        </w:r>
        <w:r w:rsidRPr="00EC0FAB">
          <w:rPr>
            <w:rStyle w:val="Hyperlink"/>
          </w:rPr>
          <w:t>, Implementation Plan, Initiatives</w:t>
        </w:r>
      </w:hyperlink>
      <w:r w:rsidRPr="00F4007B">
        <w:t>. Retrieved 6 May</w:t>
      </w:r>
      <w:r>
        <w:t xml:space="preserve"> 2020</w:t>
      </w:r>
    </w:p>
    <w:p w14:paraId="689E6F24" w14:textId="77777777" w:rsidR="00437ED1" w:rsidRPr="00F4007B" w:rsidRDefault="00437ED1" w:rsidP="00437ED1">
      <w:pPr>
        <w:pStyle w:val="BodyText"/>
      </w:pPr>
    </w:p>
    <w:p w14:paraId="55C80BFC" w14:textId="77777777" w:rsidR="00437ED1" w:rsidRDefault="00437ED1" w:rsidP="00D57483">
      <w:pPr>
        <w:pStyle w:val="Heading2"/>
        <w:rPr>
          <w:rStyle w:val="OWHibiscus"/>
        </w:rPr>
        <w:sectPr w:rsidR="00437ED1" w:rsidSect="00093BCF">
          <w:headerReference w:type="even" r:id="rId107"/>
          <w:footerReference w:type="default" r:id="rId108"/>
          <w:footnotePr>
            <w:numFmt w:val="lowerRoman"/>
          </w:footnotePr>
          <w:endnotePr>
            <w:numFmt w:val="decimal"/>
          </w:endnotePr>
          <w:pgSz w:w="11906" w:h="16838" w:code="9"/>
          <w:pgMar w:top="1418" w:right="1418" w:bottom="1418" w:left="1418" w:header="454" w:footer="454" w:gutter="0"/>
          <w:cols w:space="720"/>
          <w:noEndnote/>
        </w:sectPr>
      </w:pPr>
    </w:p>
    <w:p w14:paraId="7B101A5C" w14:textId="5B43DED2" w:rsidR="003E5731" w:rsidRDefault="003E5731" w:rsidP="00D57483">
      <w:pPr>
        <w:pStyle w:val="Heading2"/>
        <w:rPr>
          <w:rStyle w:val="OWHibiscus"/>
        </w:rPr>
      </w:pPr>
      <w:bookmarkStart w:id="116" w:name="_Toc55053335"/>
      <w:r>
        <w:rPr>
          <w:rStyle w:val="OWHibiscus"/>
        </w:rPr>
        <w:lastRenderedPageBreak/>
        <w:t>Appendix</w:t>
      </w:r>
      <w:r w:rsidR="00437ED1">
        <w:rPr>
          <w:rStyle w:val="OWHibiscus"/>
        </w:rPr>
        <w:t xml:space="preserve"> E</w:t>
      </w:r>
      <w:r>
        <w:rPr>
          <w:rStyle w:val="OWHibiscus"/>
        </w:rPr>
        <w:t>: Text-equivalent descriptions of selected figures</w:t>
      </w:r>
      <w:bookmarkEnd w:id="116"/>
    </w:p>
    <w:p w14:paraId="33D02F7D" w14:textId="2175813A" w:rsidR="003E5731" w:rsidRDefault="003E5731" w:rsidP="003E5731">
      <w:pPr>
        <w:pStyle w:val="BodyText"/>
      </w:pPr>
      <w:r>
        <w:t>All figures in this document have alternative text attached. For the</w:t>
      </w:r>
      <w:r w:rsidR="00CD3A16">
        <w:t xml:space="preserve"> </w:t>
      </w:r>
      <w:r>
        <w:t>more complex Figures</w:t>
      </w:r>
      <w:r w:rsidR="00AD366D">
        <w:t> </w:t>
      </w:r>
      <w:r w:rsidR="00B2619D">
        <w:t>1,</w:t>
      </w:r>
      <w:r w:rsidR="00D44009">
        <w:t> </w:t>
      </w:r>
      <w:r w:rsidR="00B2619D">
        <w:t xml:space="preserve">2, 3, </w:t>
      </w:r>
      <w:r w:rsidR="00D162DF">
        <w:t>12</w:t>
      </w:r>
      <w:r>
        <w:t xml:space="preserve">, </w:t>
      </w:r>
      <w:r w:rsidR="00D162DF">
        <w:t>26</w:t>
      </w:r>
      <w:r>
        <w:t xml:space="preserve"> and </w:t>
      </w:r>
      <w:r w:rsidR="00163151">
        <w:t>30</w:t>
      </w:r>
      <w:r>
        <w:t xml:space="preserve">, the text-equivalent descriptions </w:t>
      </w:r>
      <w:r w:rsidR="00AD366D">
        <w:t xml:space="preserve">are </w:t>
      </w:r>
      <w:r>
        <w:t>presented here.</w:t>
      </w:r>
    </w:p>
    <w:p w14:paraId="2D530D05" w14:textId="207E4E5A" w:rsidR="00B2619D" w:rsidRDefault="00B524B2" w:rsidP="00B2619D">
      <w:pPr>
        <w:pStyle w:val="Heading3appendix"/>
      </w:pPr>
      <w:bookmarkStart w:id="117" w:name="Figure01AltText"/>
      <w:r w:rsidRPr="0071774C">
        <w:t>Figure</w:t>
      </w:r>
      <w:r>
        <w:t xml:space="preserve"> 1</w:t>
      </w:r>
      <w:r w:rsidRPr="0071774C">
        <w:rPr>
          <w:noProof/>
        </w:rPr>
        <w:t>:</w:t>
      </w:r>
      <w:r>
        <w:t xml:space="preserve"> </w:t>
      </w:r>
      <w:r w:rsidRPr="0071774C">
        <w:t>Commonwealth</w:t>
      </w:r>
      <w:r>
        <w:t xml:space="preserve"> </w:t>
      </w:r>
      <w:r w:rsidRPr="0071774C">
        <w:t>Parliament</w:t>
      </w:r>
      <w:r>
        <w:t xml:space="preserve"> </w:t>
      </w:r>
      <w:r w:rsidRPr="0071774C">
        <w:t>Hansard</w:t>
      </w:r>
      <w:r>
        <w:t xml:space="preserve"> </w:t>
      </w:r>
      <w:r w:rsidRPr="0071774C">
        <w:t>mentions</w:t>
      </w:r>
      <w:r>
        <w:t xml:space="preserve"> </w:t>
      </w:r>
      <w:r w:rsidRPr="0071774C">
        <w:t>by</w:t>
      </w:r>
      <w:r>
        <w:t xml:space="preserve"> </w:t>
      </w:r>
      <w:r w:rsidRPr="0071774C">
        <w:t>year</w:t>
      </w:r>
      <w:r w:rsidR="00A80362">
        <w:br/>
      </w:r>
      <w:r w:rsidRPr="0071774C">
        <w:t>for</w:t>
      </w:r>
      <w:r>
        <w:t xml:space="preserve"> </w:t>
      </w:r>
      <w:r w:rsidRPr="0071774C">
        <w:t>select</w:t>
      </w:r>
      <w:r>
        <w:t xml:space="preserve"> </w:t>
      </w:r>
      <w:r w:rsidRPr="0071774C">
        <w:t>search</w:t>
      </w:r>
      <w:r>
        <w:t xml:space="preserve"> </w:t>
      </w:r>
      <w:r w:rsidRPr="0071774C">
        <w:t>terms</w:t>
      </w:r>
    </w:p>
    <w:bookmarkEnd w:id="117"/>
    <w:tbl>
      <w:tblPr>
        <w:tblStyle w:val="Datatablehibsicus"/>
        <w:tblW w:w="9072" w:type="dxa"/>
        <w:tblLayout w:type="fixed"/>
        <w:tblCellMar>
          <w:left w:w="28" w:type="dxa"/>
          <w:right w:w="28" w:type="dxa"/>
        </w:tblCellMar>
        <w:tblLook w:val="06A0" w:firstRow="1" w:lastRow="0" w:firstColumn="1" w:lastColumn="0" w:noHBand="1" w:noVBand="1"/>
      </w:tblPr>
      <w:tblGrid>
        <w:gridCol w:w="2734"/>
        <w:gridCol w:w="577"/>
        <w:gridCol w:w="577"/>
        <w:gridCol w:w="576"/>
        <w:gridCol w:w="576"/>
        <w:gridCol w:w="576"/>
        <w:gridCol w:w="576"/>
        <w:gridCol w:w="576"/>
        <w:gridCol w:w="576"/>
        <w:gridCol w:w="576"/>
        <w:gridCol w:w="576"/>
        <w:gridCol w:w="576"/>
      </w:tblGrid>
      <w:tr w:rsidR="00923346" w14:paraId="238AABE5" w14:textId="77777777" w:rsidTr="009135EE">
        <w:trPr>
          <w:cnfStyle w:val="100000000000" w:firstRow="1" w:lastRow="0" w:firstColumn="0" w:lastColumn="0" w:oddVBand="0" w:evenVBand="0" w:oddHBand="0" w:evenHBand="0" w:firstRowFirstColumn="0" w:firstRowLastColumn="0" w:lastRowFirstColumn="0" w:lastRowLastColumn="0"/>
          <w:cantSplit/>
          <w:trHeight w:val="851"/>
          <w:tblHeader/>
        </w:trPr>
        <w:tc>
          <w:tcPr>
            <w:tcW w:w="2734" w:type="dxa"/>
          </w:tcPr>
          <w:p w14:paraId="17745921" w14:textId="77777777" w:rsidR="00B2619D" w:rsidRDefault="00B2619D" w:rsidP="00B2619D">
            <w:pPr>
              <w:pStyle w:val="OWTablecolumnheadleft"/>
              <w:ind w:left="85"/>
            </w:pPr>
          </w:p>
        </w:tc>
        <w:tc>
          <w:tcPr>
            <w:tcW w:w="577" w:type="dxa"/>
            <w:textDirection w:val="btLr"/>
          </w:tcPr>
          <w:p w14:paraId="658C07E0" w14:textId="77777777" w:rsidR="00B2619D" w:rsidRDefault="00B2619D" w:rsidP="00630500">
            <w:pPr>
              <w:pStyle w:val="OWTablecolumnheadleft"/>
              <w:ind w:left="85"/>
            </w:pPr>
            <w:r>
              <w:t>2009</w:t>
            </w:r>
          </w:p>
        </w:tc>
        <w:tc>
          <w:tcPr>
            <w:tcW w:w="577" w:type="dxa"/>
            <w:textDirection w:val="btLr"/>
          </w:tcPr>
          <w:p w14:paraId="48170D41" w14:textId="77777777" w:rsidR="00B2619D" w:rsidRDefault="00B2619D" w:rsidP="00630500">
            <w:pPr>
              <w:pStyle w:val="OWTablecolumnheadleft"/>
              <w:ind w:left="85"/>
            </w:pPr>
            <w:r>
              <w:t>2010</w:t>
            </w:r>
          </w:p>
        </w:tc>
        <w:tc>
          <w:tcPr>
            <w:tcW w:w="576" w:type="dxa"/>
            <w:textDirection w:val="btLr"/>
          </w:tcPr>
          <w:p w14:paraId="376455EC" w14:textId="77777777" w:rsidR="00B2619D" w:rsidRDefault="00B2619D" w:rsidP="00630500">
            <w:pPr>
              <w:pStyle w:val="OWTablecolumnheadleft"/>
              <w:ind w:left="85"/>
            </w:pPr>
            <w:r>
              <w:t>2011</w:t>
            </w:r>
          </w:p>
        </w:tc>
        <w:tc>
          <w:tcPr>
            <w:tcW w:w="576" w:type="dxa"/>
            <w:textDirection w:val="btLr"/>
          </w:tcPr>
          <w:p w14:paraId="1F411A60" w14:textId="77777777" w:rsidR="00B2619D" w:rsidRDefault="00B2619D" w:rsidP="00630500">
            <w:pPr>
              <w:pStyle w:val="OWTablecolumnheadleft"/>
              <w:ind w:left="85"/>
            </w:pPr>
            <w:r>
              <w:t>2012</w:t>
            </w:r>
          </w:p>
        </w:tc>
        <w:tc>
          <w:tcPr>
            <w:tcW w:w="576" w:type="dxa"/>
            <w:textDirection w:val="btLr"/>
          </w:tcPr>
          <w:p w14:paraId="1F9D8DF9" w14:textId="77777777" w:rsidR="00B2619D" w:rsidRDefault="00B2619D" w:rsidP="00630500">
            <w:pPr>
              <w:pStyle w:val="OWTablecolumnheadleft"/>
              <w:ind w:left="85"/>
            </w:pPr>
            <w:r>
              <w:t>2013</w:t>
            </w:r>
          </w:p>
        </w:tc>
        <w:tc>
          <w:tcPr>
            <w:tcW w:w="576" w:type="dxa"/>
            <w:textDirection w:val="btLr"/>
          </w:tcPr>
          <w:p w14:paraId="7A5C4CAA" w14:textId="77777777" w:rsidR="00B2619D" w:rsidRDefault="00B2619D" w:rsidP="00630500">
            <w:pPr>
              <w:pStyle w:val="OWTablecolumnheadleft"/>
              <w:ind w:left="85"/>
            </w:pPr>
            <w:r>
              <w:t>2014</w:t>
            </w:r>
          </w:p>
        </w:tc>
        <w:tc>
          <w:tcPr>
            <w:tcW w:w="576" w:type="dxa"/>
            <w:textDirection w:val="btLr"/>
          </w:tcPr>
          <w:p w14:paraId="41F61356" w14:textId="77777777" w:rsidR="00B2619D" w:rsidRDefault="00B2619D" w:rsidP="00630500">
            <w:pPr>
              <w:pStyle w:val="OWTablecolumnheadleft"/>
              <w:ind w:left="85"/>
            </w:pPr>
            <w:r>
              <w:t>2015</w:t>
            </w:r>
          </w:p>
        </w:tc>
        <w:tc>
          <w:tcPr>
            <w:tcW w:w="576" w:type="dxa"/>
            <w:textDirection w:val="btLr"/>
          </w:tcPr>
          <w:p w14:paraId="1850B491" w14:textId="77777777" w:rsidR="00B2619D" w:rsidRDefault="00B2619D" w:rsidP="00630500">
            <w:pPr>
              <w:pStyle w:val="OWTablecolumnheadleft"/>
              <w:ind w:left="85"/>
            </w:pPr>
            <w:r>
              <w:t>2016</w:t>
            </w:r>
          </w:p>
        </w:tc>
        <w:tc>
          <w:tcPr>
            <w:tcW w:w="576" w:type="dxa"/>
            <w:textDirection w:val="btLr"/>
          </w:tcPr>
          <w:p w14:paraId="6B2BEED9" w14:textId="77777777" w:rsidR="00B2619D" w:rsidRDefault="00B2619D" w:rsidP="00630500">
            <w:pPr>
              <w:pStyle w:val="OWTablecolumnheadleft"/>
              <w:ind w:left="85"/>
            </w:pPr>
            <w:r>
              <w:t>2017</w:t>
            </w:r>
          </w:p>
        </w:tc>
        <w:tc>
          <w:tcPr>
            <w:tcW w:w="576" w:type="dxa"/>
            <w:textDirection w:val="btLr"/>
          </w:tcPr>
          <w:p w14:paraId="0F76E250" w14:textId="77777777" w:rsidR="00B2619D" w:rsidRDefault="00B2619D" w:rsidP="00630500">
            <w:pPr>
              <w:pStyle w:val="OWTablecolumnheadleft"/>
              <w:ind w:left="85"/>
            </w:pPr>
            <w:r>
              <w:t>2018</w:t>
            </w:r>
          </w:p>
        </w:tc>
        <w:tc>
          <w:tcPr>
            <w:tcW w:w="576" w:type="dxa"/>
            <w:textDirection w:val="btLr"/>
          </w:tcPr>
          <w:p w14:paraId="5ED4C4B1" w14:textId="77777777" w:rsidR="00B2619D" w:rsidRDefault="00B2619D" w:rsidP="00630500">
            <w:pPr>
              <w:pStyle w:val="OWTablecolumnheadleft"/>
              <w:ind w:left="85"/>
            </w:pPr>
            <w:r>
              <w:t>2019</w:t>
            </w:r>
          </w:p>
        </w:tc>
      </w:tr>
      <w:tr w:rsidR="00B2619D" w14:paraId="63673125" w14:textId="77777777" w:rsidTr="00B2619D">
        <w:trPr>
          <w:trHeight w:val="300"/>
        </w:trPr>
        <w:tc>
          <w:tcPr>
            <w:tcW w:w="2734" w:type="dxa"/>
          </w:tcPr>
          <w:p w14:paraId="19F131C2" w14:textId="77777777" w:rsidR="00B2619D" w:rsidRDefault="00B2619D" w:rsidP="00B2619D">
            <w:pPr>
              <w:pStyle w:val="OWTablebodyleft"/>
              <w:ind w:left="85"/>
            </w:pPr>
            <w:r>
              <w:t>Violence against women</w:t>
            </w:r>
          </w:p>
        </w:tc>
        <w:tc>
          <w:tcPr>
            <w:tcW w:w="577" w:type="dxa"/>
          </w:tcPr>
          <w:p w14:paraId="550E907B" w14:textId="77777777" w:rsidR="00B2619D" w:rsidRPr="00B2619D" w:rsidRDefault="00B2619D" w:rsidP="00B2619D">
            <w:pPr>
              <w:pStyle w:val="OWTablebodycentre"/>
            </w:pPr>
            <w:r w:rsidRPr="00B2619D">
              <w:t>69</w:t>
            </w:r>
          </w:p>
        </w:tc>
        <w:tc>
          <w:tcPr>
            <w:tcW w:w="577" w:type="dxa"/>
          </w:tcPr>
          <w:p w14:paraId="2AC99095" w14:textId="77777777" w:rsidR="00B2619D" w:rsidRPr="00B2619D" w:rsidRDefault="00B2619D" w:rsidP="00B2619D">
            <w:pPr>
              <w:pStyle w:val="OWTablebodycentre"/>
            </w:pPr>
            <w:r w:rsidRPr="00B2619D">
              <w:t>61</w:t>
            </w:r>
          </w:p>
        </w:tc>
        <w:tc>
          <w:tcPr>
            <w:tcW w:w="576" w:type="dxa"/>
          </w:tcPr>
          <w:p w14:paraId="11BC6C10" w14:textId="77777777" w:rsidR="00B2619D" w:rsidRPr="00B2619D" w:rsidRDefault="00B2619D" w:rsidP="00B2619D">
            <w:pPr>
              <w:pStyle w:val="OWTablebodycentre"/>
            </w:pPr>
            <w:r w:rsidRPr="00B2619D">
              <w:t>55</w:t>
            </w:r>
          </w:p>
        </w:tc>
        <w:tc>
          <w:tcPr>
            <w:tcW w:w="576" w:type="dxa"/>
          </w:tcPr>
          <w:p w14:paraId="048A63AE" w14:textId="77777777" w:rsidR="00B2619D" w:rsidRPr="00B2619D" w:rsidRDefault="00B2619D" w:rsidP="00B2619D">
            <w:pPr>
              <w:pStyle w:val="OWTablebodycentre"/>
            </w:pPr>
            <w:r w:rsidRPr="00B2619D">
              <w:t>82</w:t>
            </w:r>
          </w:p>
        </w:tc>
        <w:tc>
          <w:tcPr>
            <w:tcW w:w="576" w:type="dxa"/>
          </w:tcPr>
          <w:p w14:paraId="4C1EB0B9" w14:textId="77777777" w:rsidR="00B2619D" w:rsidRPr="00B2619D" w:rsidRDefault="00B2619D" w:rsidP="00B2619D">
            <w:pPr>
              <w:pStyle w:val="OWTablebodycentre"/>
            </w:pPr>
            <w:r w:rsidRPr="00B2619D">
              <w:t>87</w:t>
            </w:r>
          </w:p>
        </w:tc>
        <w:tc>
          <w:tcPr>
            <w:tcW w:w="576" w:type="dxa"/>
          </w:tcPr>
          <w:p w14:paraId="506E90FB" w14:textId="77777777" w:rsidR="00B2619D" w:rsidRPr="00B2619D" w:rsidRDefault="00B2619D" w:rsidP="00B2619D">
            <w:pPr>
              <w:pStyle w:val="OWTablebodycentre"/>
            </w:pPr>
            <w:r w:rsidRPr="00B2619D">
              <w:t>157</w:t>
            </w:r>
          </w:p>
        </w:tc>
        <w:tc>
          <w:tcPr>
            <w:tcW w:w="576" w:type="dxa"/>
          </w:tcPr>
          <w:p w14:paraId="3CBCDCFA" w14:textId="77777777" w:rsidR="00B2619D" w:rsidRPr="00B2619D" w:rsidRDefault="00B2619D" w:rsidP="00B2619D">
            <w:pPr>
              <w:pStyle w:val="OWTablebodycentre"/>
            </w:pPr>
            <w:r w:rsidRPr="00B2619D">
              <w:t>199</w:t>
            </w:r>
          </w:p>
        </w:tc>
        <w:tc>
          <w:tcPr>
            <w:tcW w:w="576" w:type="dxa"/>
          </w:tcPr>
          <w:p w14:paraId="34763CF6" w14:textId="77777777" w:rsidR="00B2619D" w:rsidRPr="00B2619D" w:rsidRDefault="00B2619D" w:rsidP="00B2619D">
            <w:pPr>
              <w:pStyle w:val="OWTablebodycentre"/>
            </w:pPr>
            <w:r w:rsidRPr="00B2619D">
              <w:t>136</w:t>
            </w:r>
          </w:p>
        </w:tc>
        <w:tc>
          <w:tcPr>
            <w:tcW w:w="576" w:type="dxa"/>
          </w:tcPr>
          <w:p w14:paraId="370D708D" w14:textId="77777777" w:rsidR="00B2619D" w:rsidRPr="00B2619D" w:rsidRDefault="00B2619D" w:rsidP="00B2619D">
            <w:pPr>
              <w:pStyle w:val="OWTablebodycentre"/>
            </w:pPr>
            <w:r w:rsidRPr="00B2619D">
              <w:t>150</w:t>
            </w:r>
          </w:p>
        </w:tc>
        <w:tc>
          <w:tcPr>
            <w:tcW w:w="576" w:type="dxa"/>
          </w:tcPr>
          <w:p w14:paraId="19A39A21" w14:textId="77777777" w:rsidR="00B2619D" w:rsidRPr="00B2619D" w:rsidRDefault="00B2619D" w:rsidP="00B2619D">
            <w:pPr>
              <w:pStyle w:val="OWTablebodycentre"/>
            </w:pPr>
            <w:r w:rsidRPr="00B2619D">
              <w:t>204</w:t>
            </w:r>
          </w:p>
        </w:tc>
        <w:tc>
          <w:tcPr>
            <w:tcW w:w="576" w:type="dxa"/>
          </w:tcPr>
          <w:p w14:paraId="345CB3B7" w14:textId="77777777" w:rsidR="00B2619D" w:rsidRPr="00B2619D" w:rsidRDefault="00B2619D" w:rsidP="00B2619D">
            <w:pPr>
              <w:pStyle w:val="OWTablebodycentre"/>
            </w:pPr>
            <w:r w:rsidRPr="00B2619D">
              <w:t>134</w:t>
            </w:r>
          </w:p>
        </w:tc>
      </w:tr>
      <w:tr w:rsidR="00B2619D" w14:paraId="0E3F09D7" w14:textId="77777777" w:rsidTr="00B2619D">
        <w:trPr>
          <w:trHeight w:val="300"/>
        </w:trPr>
        <w:tc>
          <w:tcPr>
            <w:tcW w:w="2734" w:type="dxa"/>
          </w:tcPr>
          <w:p w14:paraId="08D54517" w14:textId="77777777" w:rsidR="00B2619D" w:rsidRDefault="00B2619D" w:rsidP="00B2619D">
            <w:pPr>
              <w:pStyle w:val="OWTablebodyleft"/>
              <w:ind w:left="85"/>
            </w:pPr>
            <w:r>
              <w:t>Gender equality</w:t>
            </w:r>
          </w:p>
        </w:tc>
        <w:tc>
          <w:tcPr>
            <w:tcW w:w="577" w:type="dxa"/>
          </w:tcPr>
          <w:p w14:paraId="78C8455D" w14:textId="77777777" w:rsidR="00B2619D" w:rsidRPr="00B2619D" w:rsidRDefault="00B2619D" w:rsidP="00B2619D">
            <w:pPr>
              <w:pStyle w:val="OWTablebodycentre"/>
            </w:pPr>
            <w:r w:rsidRPr="00B2619D">
              <w:t>39</w:t>
            </w:r>
          </w:p>
        </w:tc>
        <w:tc>
          <w:tcPr>
            <w:tcW w:w="577" w:type="dxa"/>
          </w:tcPr>
          <w:p w14:paraId="361A01F6" w14:textId="77777777" w:rsidR="00B2619D" w:rsidRPr="00B2619D" w:rsidRDefault="00B2619D" w:rsidP="00B2619D">
            <w:pPr>
              <w:pStyle w:val="OWTablebodycentre"/>
            </w:pPr>
            <w:r w:rsidRPr="00B2619D">
              <w:t>30</w:t>
            </w:r>
          </w:p>
        </w:tc>
        <w:tc>
          <w:tcPr>
            <w:tcW w:w="576" w:type="dxa"/>
          </w:tcPr>
          <w:p w14:paraId="1ECA19E7" w14:textId="77777777" w:rsidR="00B2619D" w:rsidRPr="00B2619D" w:rsidRDefault="00B2619D" w:rsidP="00B2619D">
            <w:pPr>
              <w:pStyle w:val="OWTablebodycentre"/>
            </w:pPr>
            <w:r w:rsidRPr="00B2619D">
              <w:t>38</w:t>
            </w:r>
          </w:p>
        </w:tc>
        <w:tc>
          <w:tcPr>
            <w:tcW w:w="576" w:type="dxa"/>
          </w:tcPr>
          <w:p w14:paraId="4A507D19" w14:textId="77777777" w:rsidR="00B2619D" w:rsidRPr="00B2619D" w:rsidRDefault="00B2619D" w:rsidP="00B2619D">
            <w:pPr>
              <w:pStyle w:val="OWTablebodycentre"/>
            </w:pPr>
            <w:r w:rsidRPr="00B2619D">
              <w:t>98</w:t>
            </w:r>
          </w:p>
        </w:tc>
        <w:tc>
          <w:tcPr>
            <w:tcW w:w="576" w:type="dxa"/>
          </w:tcPr>
          <w:p w14:paraId="0CDBFB2E" w14:textId="77777777" w:rsidR="00B2619D" w:rsidRPr="00B2619D" w:rsidRDefault="00B2619D" w:rsidP="00B2619D">
            <w:pPr>
              <w:pStyle w:val="OWTablebodycentre"/>
            </w:pPr>
            <w:r w:rsidRPr="00B2619D">
              <w:t>54</w:t>
            </w:r>
          </w:p>
        </w:tc>
        <w:tc>
          <w:tcPr>
            <w:tcW w:w="576" w:type="dxa"/>
          </w:tcPr>
          <w:p w14:paraId="6E3FD80B" w14:textId="77777777" w:rsidR="00B2619D" w:rsidRPr="00B2619D" w:rsidRDefault="00B2619D" w:rsidP="00B2619D">
            <w:pPr>
              <w:pStyle w:val="OWTablebodycentre"/>
            </w:pPr>
            <w:r w:rsidRPr="00B2619D">
              <w:t>127</w:t>
            </w:r>
          </w:p>
        </w:tc>
        <w:tc>
          <w:tcPr>
            <w:tcW w:w="576" w:type="dxa"/>
          </w:tcPr>
          <w:p w14:paraId="22501103" w14:textId="77777777" w:rsidR="00B2619D" w:rsidRPr="00B2619D" w:rsidRDefault="00B2619D" w:rsidP="00B2619D">
            <w:pPr>
              <w:pStyle w:val="OWTablebodycentre"/>
            </w:pPr>
            <w:r w:rsidRPr="00B2619D">
              <w:t>176</w:t>
            </w:r>
          </w:p>
        </w:tc>
        <w:tc>
          <w:tcPr>
            <w:tcW w:w="576" w:type="dxa"/>
          </w:tcPr>
          <w:p w14:paraId="74A97308" w14:textId="77777777" w:rsidR="00B2619D" w:rsidRPr="00B2619D" w:rsidRDefault="00B2619D" w:rsidP="00B2619D">
            <w:pPr>
              <w:pStyle w:val="OWTablebodycentre"/>
            </w:pPr>
            <w:r w:rsidRPr="00B2619D">
              <w:t>101</w:t>
            </w:r>
          </w:p>
        </w:tc>
        <w:tc>
          <w:tcPr>
            <w:tcW w:w="576" w:type="dxa"/>
          </w:tcPr>
          <w:p w14:paraId="23AEFD08" w14:textId="77777777" w:rsidR="00B2619D" w:rsidRPr="00B2619D" w:rsidRDefault="00B2619D" w:rsidP="00B2619D">
            <w:pPr>
              <w:pStyle w:val="OWTablebodycentre"/>
            </w:pPr>
            <w:r w:rsidRPr="00B2619D">
              <w:t>133</w:t>
            </w:r>
          </w:p>
        </w:tc>
        <w:tc>
          <w:tcPr>
            <w:tcW w:w="576" w:type="dxa"/>
          </w:tcPr>
          <w:p w14:paraId="0B2DF0F4" w14:textId="77777777" w:rsidR="00B2619D" w:rsidRPr="00B2619D" w:rsidRDefault="00B2619D" w:rsidP="00B2619D">
            <w:pPr>
              <w:pStyle w:val="OWTablebodycentre"/>
            </w:pPr>
            <w:r w:rsidRPr="00B2619D">
              <w:t>171</w:t>
            </w:r>
          </w:p>
        </w:tc>
        <w:tc>
          <w:tcPr>
            <w:tcW w:w="576" w:type="dxa"/>
          </w:tcPr>
          <w:p w14:paraId="7C817A55" w14:textId="77777777" w:rsidR="00B2619D" w:rsidRPr="00B2619D" w:rsidRDefault="00B2619D" w:rsidP="00B2619D">
            <w:pPr>
              <w:pStyle w:val="OWTablebodycentre"/>
            </w:pPr>
            <w:r w:rsidRPr="00B2619D">
              <w:t>86</w:t>
            </w:r>
          </w:p>
        </w:tc>
      </w:tr>
      <w:tr w:rsidR="00B2619D" w14:paraId="2F79F1A8" w14:textId="77777777" w:rsidTr="00B2619D">
        <w:trPr>
          <w:trHeight w:val="300"/>
        </w:trPr>
        <w:tc>
          <w:tcPr>
            <w:tcW w:w="2734" w:type="dxa"/>
          </w:tcPr>
          <w:p w14:paraId="2369336E" w14:textId="77777777" w:rsidR="00B2619D" w:rsidRDefault="00B2619D" w:rsidP="00B2619D">
            <w:pPr>
              <w:pStyle w:val="OWTablebodyleft"/>
              <w:ind w:left="85"/>
            </w:pPr>
            <w:r>
              <w:t>Gender pay gap</w:t>
            </w:r>
          </w:p>
        </w:tc>
        <w:tc>
          <w:tcPr>
            <w:tcW w:w="577" w:type="dxa"/>
          </w:tcPr>
          <w:p w14:paraId="15E6D0E4" w14:textId="77777777" w:rsidR="00B2619D" w:rsidRPr="00B2619D" w:rsidRDefault="00B2619D" w:rsidP="00B2619D">
            <w:pPr>
              <w:pStyle w:val="OWTablebodycentre"/>
            </w:pPr>
            <w:r w:rsidRPr="00B2619D">
              <w:t>33</w:t>
            </w:r>
          </w:p>
        </w:tc>
        <w:tc>
          <w:tcPr>
            <w:tcW w:w="577" w:type="dxa"/>
          </w:tcPr>
          <w:p w14:paraId="52E86AB5" w14:textId="77777777" w:rsidR="00B2619D" w:rsidRPr="00B2619D" w:rsidRDefault="00B2619D" w:rsidP="00B2619D">
            <w:pPr>
              <w:pStyle w:val="OWTablebodycentre"/>
            </w:pPr>
            <w:r w:rsidRPr="00B2619D">
              <w:t>13</w:t>
            </w:r>
          </w:p>
        </w:tc>
        <w:tc>
          <w:tcPr>
            <w:tcW w:w="576" w:type="dxa"/>
          </w:tcPr>
          <w:p w14:paraId="39527E37" w14:textId="77777777" w:rsidR="00B2619D" w:rsidRPr="00B2619D" w:rsidRDefault="00B2619D" w:rsidP="00B2619D">
            <w:pPr>
              <w:pStyle w:val="OWTablebodycentre"/>
            </w:pPr>
            <w:r w:rsidRPr="00B2619D">
              <w:t>6</w:t>
            </w:r>
          </w:p>
        </w:tc>
        <w:tc>
          <w:tcPr>
            <w:tcW w:w="576" w:type="dxa"/>
          </w:tcPr>
          <w:p w14:paraId="2CC0E35E" w14:textId="77777777" w:rsidR="00B2619D" w:rsidRPr="00B2619D" w:rsidRDefault="00B2619D" w:rsidP="00B2619D">
            <w:pPr>
              <w:pStyle w:val="OWTablebodycentre"/>
            </w:pPr>
            <w:r w:rsidRPr="00B2619D">
              <w:t>29</w:t>
            </w:r>
          </w:p>
        </w:tc>
        <w:tc>
          <w:tcPr>
            <w:tcW w:w="576" w:type="dxa"/>
          </w:tcPr>
          <w:p w14:paraId="7EDF4963" w14:textId="77777777" w:rsidR="00B2619D" w:rsidRPr="00B2619D" w:rsidRDefault="00B2619D" w:rsidP="00B2619D">
            <w:pPr>
              <w:pStyle w:val="OWTablebodycentre"/>
            </w:pPr>
            <w:r w:rsidRPr="00B2619D">
              <w:t>7</w:t>
            </w:r>
          </w:p>
        </w:tc>
        <w:tc>
          <w:tcPr>
            <w:tcW w:w="576" w:type="dxa"/>
          </w:tcPr>
          <w:p w14:paraId="570F5CAA" w14:textId="77777777" w:rsidR="00B2619D" w:rsidRPr="00B2619D" w:rsidRDefault="00B2619D" w:rsidP="00B2619D">
            <w:pPr>
              <w:pStyle w:val="OWTablebodycentre"/>
            </w:pPr>
            <w:r w:rsidRPr="00B2619D">
              <w:t>41</w:t>
            </w:r>
          </w:p>
        </w:tc>
        <w:tc>
          <w:tcPr>
            <w:tcW w:w="576" w:type="dxa"/>
          </w:tcPr>
          <w:p w14:paraId="0362CFC9" w14:textId="77777777" w:rsidR="00B2619D" w:rsidRPr="00B2619D" w:rsidRDefault="00B2619D" w:rsidP="00B2619D">
            <w:pPr>
              <w:pStyle w:val="OWTablebodycentre"/>
            </w:pPr>
            <w:r w:rsidRPr="00B2619D">
              <w:t>55</w:t>
            </w:r>
          </w:p>
        </w:tc>
        <w:tc>
          <w:tcPr>
            <w:tcW w:w="576" w:type="dxa"/>
          </w:tcPr>
          <w:p w14:paraId="00CA0653" w14:textId="77777777" w:rsidR="00B2619D" w:rsidRPr="00B2619D" w:rsidRDefault="00B2619D" w:rsidP="00B2619D">
            <w:pPr>
              <w:pStyle w:val="OWTablebodycentre"/>
            </w:pPr>
            <w:r w:rsidRPr="00B2619D">
              <w:t>49</w:t>
            </w:r>
          </w:p>
        </w:tc>
        <w:tc>
          <w:tcPr>
            <w:tcW w:w="576" w:type="dxa"/>
          </w:tcPr>
          <w:p w14:paraId="61614962" w14:textId="77777777" w:rsidR="00B2619D" w:rsidRPr="00B2619D" w:rsidRDefault="00B2619D" w:rsidP="00B2619D">
            <w:pPr>
              <w:pStyle w:val="OWTablebodycentre"/>
            </w:pPr>
            <w:r w:rsidRPr="00B2619D">
              <w:t>97</w:t>
            </w:r>
          </w:p>
        </w:tc>
        <w:tc>
          <w:tcPr>
            <w:tcW w:w="576" w:type="dxa"/>
          </w:tcPr>
          <w:p w14:paraId="6C492D62" w14:textId="77777777" w:rsidR="00B2619D" w:rsidRPr="00B2619D" w:rsidRDefault="00B2619D" w:rsidP="00B2619D">
            <w:pPr>
              <w:pStyle w:val="OWTablebodycentre"/>
            </w:pPr>
            <w:r w:rsidRPr="00B2619D">
              <w:t>101</w:t>
            </w:r>
          </w:p>
        </w:tc>
        <w:tc>
          <w:tcPr>
            <w:tcW w:w="576" w:type="dxa"/>
          </w:tcPr>
          <w:p w14:paraId="4E5F0CC6" w14:textId="77777777" w:rsidR="00B2619D" w:rsidRPr="00B2619D" w:rsidRDefault="00B2619D" w:rsidP="00B2619D">
            <w:pPr>
              <w:pStyle w:val="OWTablebodycentre"/>
            </w:pPr>
            <w:r w:rsidRPr="00B2619D">
              <w:t>61</w:t>
            </w:r>
          </w:p>
        </w:tc>
      </w:tr>
      <w:tr w:rsidR="00B2619D" w14:paraId="0BC05B79" w14:textId="77777777" w:rsidTr="00B2619D">
        <w:trPr>
          <w:trHeight w:val="300"/>
        </w:trPr>
        <w:tc>
          <w:tcPr>
            <w:tcW w:w="2734" w:type="dxa"/>
          </w:tcPr>
          <w:p w14:paraId="743878D1" w14:textId="77777777" w:rsidR="00B2619D" w:rsidRDefault="00B2619D" w:rsidP="00B2619D">
            <w:pPr>
              <w:pStyle w:val="OWTablebodyleft"/>
              <w:ind w:left="85"/>
            </w:pPr>
            <w:r>
              <w:t>Domestic violence</w:t>
            </w:r>
          </w:p>
        </w:tc>
        <w:tc>
          <w:tcPr>
            <w:tcW w:w="577" w:type="dxa"/>
          </w:tcPr>
          <w:p w14:paraId="357FF25F" w14:textId="77777777" w:rsidR="00B2619D" w:rsidRPr="00B2619D" w:rsidRDefault="00B2619D" w:rsidP="00B2619D">
            <w:pPr>
              <w:pStyle w:val="OWTablebodycentre"/>
            </w:pPr>
            <w:r w:rsidRPr="00B2619D">
              <w:t>176</w:t>
            </w:r>
          </w:p>
        </w:tc>
        <w:tc>
          <w:tcPr>
            <w:tcW w:w="577" w:type="dxa"/>
          </w:tcPr>
          <w:p w14:paraId="0881F783" w14:textId="77777777" w:rsidR="00B2619D" w:rsidRPr="00B2619D" w:rsidRDefault="00B2619D" w:rsidP="00B2619D">
            <w:pPr>
              <w:pStyle w:val="OWTablebodycentre"/>
            </w:pPr>
            <w:r w:rsidRPr="00B2619D">
              <w:t>136</w:t>
            </w:r>
          </w:p>
        </w:tc>
        <w:tc>
          <w:tcPr>
            <w:tcW w:w="576" w:type="dxa"/>
          </w:tcPr>
          <w:p w14:paraId="7D011DA0" w14:textId="77777777" w:rsidR="00B2619D" w:rsidRPr="00B2619D" w:rsidRDefault="00B2619D" w:rsidP="00B2619D">
            <w:pPr>
              <w:pStyle w:val="OWTablebodycentre"/>
            </w:pPr>
            <w:r w:rsidRPr="00B2619D">
              <w:t>142</w:t>
            </w:r>
          </w:p>
        </w:tc>
        <w:tc>
          <w:tcPr>
            <w:tcW w:w="576" w:type="dxa"/>
          </w:tcPr>
          <w:p w14:paraId="2EDA7671" w14:textId="77777777" w:rsidR="00B2619D" w:rsidRPr="00B2619D" w:rsidRDefault="00B2619D" w:rsidP="00B2619D">
            <w:pPr>
              <w:pStyle w:val="OWTablebodycentre"/>
            </w:pPr>
            <w:r w:rsidRPr="00B2619D">
              <w:t>199</w:t>
            </w:r>
          </w:p>
        </w:tc>
        <w:tc>
          <w:tcPr>
            <w:tcW w:w="576" w:type="dxa"/>
          </w:tcPr>
          <w:p w14:paraId="0DFE9583" w14:textId="77777777" w:rsidR="00B2619D" w:rsidRPr="00B2619D" w:rsidRDefault="00B2619D" w:rsidP="00B2619D">
            <w:pPr>
              <w:pStyle w:val="OWTablebodycentre"/>
            </w:pPr>
            <w:r w:rsidRPr="00B2619D">
              <w:t>145</w:t>
            </w:r>
          </w:p>
        </w:tc>
        <w:tc>
          <w:tcPr>
            <w:tcW w:w="576" w:type="dxa"/>
          </w:tcPr>
          <w:p w14:paraId="7ABA6880" w14:textId="77777777" w:rsidR="00B2619D" w:rsidRPr="00B2619D" w:rsidRDefault="00B2619D" w:rsidP="00B2619D">
            <w:pPr>
              <w:pStyle w:val="OWTablebodycentre"/>
            </w:pPr>
            <w:r w:rsidRPr="00B2619D">
              <w:t>380</w:t>
            </w:r>
          </w:p>
        </w:tc>
        <w:tc>
          <w:tcPr>
            <w:tcW w:w="576" w:type="dxa"/>
          </w:tcPr>
          <w:p w14:paraId="5C47F341" w14:textId="77777777" w:rsidR="00B2619D" w:rsidRPr="00B2619D" w:rsidRDefault="00B2619D" w:rsidP="00B2619D">
            <w:pPr>
              <w:pStyle w:val="OWTablebodycentre"/>
            </w:pPr>
            <w:r w:rsidRPr="00B2619D">
              <w:t>511</w:t>
            </w:r>
          </w:p>
        </w:tc>
        <w:tc>
          <w:tcPr>
            <w:tcW w:w="576" w:type="dxa"/>
          </w:tcPr>
          <w:p w14:paraId="4F4BEF16" w14:textId="77777777" w:rsidR="00B2619D" w:rsidRPr="00B2619D" w:rsidRDefault="00B2619D" w:rsidP="00B2619D">
            <w:pPr>
              <w:pStyle w:val="OWTablebodycentre"/>
            </w:pPr>
            <w:r w:rsidRPr="00B2619D">
              <w:t>339</w:t>
            </w:r>
          </w:p>
        </w:tc>
        <w:tc>
          <w:tcPr>
            <w:tcW w:w="576" w:type="dxa"/>
          </w:tcPr>
          <w:p w14:paraId="2F1FFD1A" w14:textId="77777777" w:rsidR="00B2619D" w:rsidRPr="00B2619D" w:rsidRDefault="00B2619D" w:rsidP="00B2619D">
            <w:pPr>
              <w:pStyle w:val="OWTablebodycentre"/>
            </w:pPr>
            <w:r w:rsidRPr="00B2619D">
              <w:t>533</w:t>
            </w:r>
          </w:p>
        </w:tc>
        <w:tc>
          <w:tcPr>
            <w:tcW w:w="576" w:type="dxa"/>
          </w:tcPr>
          <w:p w14:paraId="793DADAD" w14:textId="77777777" w:rsidR="00B2619D" w:rsidRPr="00B2619D" w:rsidRDefault="00B2619D" w:rsidP="00B2619D">
            <w:pPr>
              <w:pStyle w:val="OWTablebodycentre"/>
            </w:pPr>
            <w:r w:rsidRPr="00B2619D">
              <w:t>617</w:t>
            </w:r>
          </w:p>
        </w:tc>
        <w:tc>
          <w:tcPr>
            <w:tcW w:w="576" w:type="dxa"/>
          </w:tcPr>
          <w:p w14:paraId="4E3CC0E1" w14:textId="77777777" w:rsidR="00B2619D" w:rsidRPr="00B2619D" w:rsidRDefault="00B2619D" w:rsidP="00B2619D">
            <w:pPr>
              <w:pStyle w:val="OWTablebodycentre"/>
            </w:pPr>
            <w:r w:rsidRPr="00B2619D">
              <w:t>362</w:t>
            </w:r>
          </w:p>
        </w:tc>
      </w:tr>
      <w:tr w:rsidR="00B2619D" w14:paraId="1A65BCB4" w14:textId="77777777" w:rsidTr="00B2619D">
        <w:trPr>
          <w:trHeight w:val="300"/>
        </w:trPr>
        <w:tc>
          <w:tcPr>
            <w:tcW w:w="2734" w:type="dxa"/>
          </w:tcPr>
          <w:p w14:paraId="6D81DB5D" w14:textId="0FCE283D" w:rsidR="00B2619D" w:rsidRDefault="00B2619D" w:rsidP="00B2619D">
            <w:pPr>
              <w:pStyle w:val="OWTablebodyleft"/>
              <w:ind w:left="85"/>
            </w:pPr>
            <w:r>
              <w:t>Family violence</w:t>
            </w:r>
          </w:p>
        </w:tc>
        <w:tc>
          <w:tcPr>
            <w:tcW w:w="577" w:type="dxa"/>
          </w:tcPr>
          <w:p w14:paraId="29C977A5" w14:textId="77777777" w:rsidR="00B2619D" w:rsidRPr="00B2619D" w:rsidRDefault="00B2619D" w:rsidP="00B2619D">
            <w:pPr>
              <w:pStyle w:val="OWTablebodycentre"/>
            </w:pPr>
            <w:r w:rsidRPr="00B2619D">
              <w:t>84</w:t>
            </w:r>
          </w:p>
        </w:tc>
        <w:tc>
          <w:tcPr>
            <w:tcW w:w="577" w:type="dxa"/>
          </w:tcPr>
          <w:p w14:paraId="30FFCE55" w14:textId="77777777" w:rsidR="00B2619D" w:rsidRPr="00B2619D" w:rsidRDefault="00B2619D" w:rsidP="00B2619D">
            <w:pPr>
              <w:pStyle w:val="OWTablebodycentre"/>
            </w:pPr>
            <w:r w:rsidRPr="00B2619D">
              <w:t>71</w:t>
            </w:r>
          </w:p>
        </w:tc>
        <w:tc>
          <w:tcPr>
            <w:tcW w:w="576" w:type="dxa"/>
          </w:tcPr>
          <w:p w14:paraId="609B611A" w14:textId="77777777" w:rsidR="00B2619D" w:rsidRPr="00B2619D" w:rsidRDefault="00B2619D" w:rsidP="00B2619D">
            <w:pPr>
              <w:pStyle w:val="OWTablebodycentre"/>
            </w:pPr>
            <w:r w:rsidRPr="00B2619D">
              <w:t>124</w:t>
            </w:r>
          </w:p>
        </w:tc>
        <w:tc>
          <w:tcPr>
            <w:tcW w:w="576" w:type="dxa"/>
          </w:tcPr>
          <w:p w14:paraId="43E91490" w14:textId="77777777" w:rsidR="00B2619D" w:rsidRPr="00B2619D" w:rsidRDefault="00B2619D" w:rsidP="00B2619D">
            <w:pPr>
              <w:pStyle w:val="OWTablebodycentre"/>
            </w:pPr>
            <w:r w:rsidRPr="00B2619D">
              <w:t>82</w:t>
            </w:r>
          </w:p>
        </w:tc>
        <w:tc>
          <w:tcPr>
            <w:tcW w:w="576" w:type="dxa"/>
          </w:tcPr>
          <w:p w14:paraId="5FC6A44A" w14:textId="77777777" w:rsidR="00B2619D" w:rsidRPr="00B2619D" w:rsidRDefault="00B2619D" w:rsidP="00B2619D">
            <w:pPr>
              <w:pStyle w:val="OWTablebodycentre"/>
            </w:pPr>
            <w:r w:rsidRPr="00B2619D">
              <w:t>62</w:t>
            </w:r>
          </w:p>
        </w:tc>
        <w:tc>
          <w:tcPr>
            <w:tcW w:w="576" w:type="dxa"/>
          </w:tcPr>
          <w:p w14:paraId="62998BC3" w14:textId="77777777" w:rsidR="00B2619D" w:rsidRPr="00B2619D" w:rsidRDefault="00B2619D" w:rsidP="00B2619D">
            <w:pPr>
              <w:pStyle w:val="OWTablebodycentre"/>
            </w:pPr>
            <w:r w:rsidRPr="00B2619D">
              <w:t>188</w:t>
            </w:r>
          </w:p>
        </w:tc>
        <w:tc>
          <w:tcPr>
            <w:tcW w:w="576" w:type="dxa"/>
          </w:tcPr>
          <w:p w14:paraId="3793B2B9" w14:textId="77777777" w:rsidR="00B2619D" w:rsidRPr="00B2619D" w:rsidRDefault="00B2619D" w:rsidP="00B2619D">
            <w:pPr>
              <w:pStyle w:val="OWTablebodycentre"/>
            </w:pPr>
            <w:r w:rsidRPr="00B2619D">
              <w:t>374</w:t>
            </w:r>
          </w:p>
        </w:tc>
        <w:tc>
          <w:tcPr>
            <w:tcW w:w="576" w:type="dxa"/>
          </w:tcPr>
          <w:p w14:paraId="383C38DA" w14:textId="77777777" w:rsidR="00B2619D" w:rsidRPr="00B2619D" w:rsidRDefault="00B2619D" w:rsidP="00B2619D">
            <w:pPr>
              <w:pStyle w:val="OWTablebodycentre"/>
            </w:pPr>
            <w:r w:rsidRPr="00B2619D">
              <w:t>234</w:t>
            </w:r>
          </w:p>
        </w:tc>
        <w:tc>
          <w:tcPr>
            <w:tcW w:w="576" w:type="dxa"/>
          </w:tcPr>
          <w:p w14:paraId="795DCE45" w14:textId="77777777" w:rsidR="00B2619D" w:rsidRPr="00B2619D" w:rsidRDefault="00B2619D" w:rsidP="00B2619D">
            <w:pPr>
              <w:pStyle w:val="OWTablebodycentre"/>
            </w:pPr>
            <w:r w:rsidRPr="00B2619D">
              <w:t>407</w:t>
            </w:r>
          </w:p>
        </w:tc>
        <w:tc>
          <w:tcPr>
            <w:tcW w:w="576" w:type="dxa"/>
          </w:tcPr>
          <w:p w14:paraId="1EBF2D6C" w14:textId="77777777" w:rsidR="00B2619D" w:rsidRPr="00B2619D" w:rsidRDefault="00B2619D" w:rsidP="00B2619D">
            <w:pPr>
              <w:pStyle w:val="OWTablebodycentre"/>
            </w:pPr>
            <w:r w:rsidRPr="00B2619D">
              <w:t>509</w:t>
            </w:r>
          </w:p>
        </w:tc>
        <w:tc>
          <w:tcPr>
            <w:tcW w:w="576" w:type="dxa"/>
          </w:tcPr>
          <w:p w14:paraId="273E418E" w14:textId="77777777" w:rsidR="00B2619D" w:rsidRPr="00B2619D" w:rsidRDefault="00B2619D" w:rsidP="00B2619D">
            <w:pPr>
              <w:pStyle w:val="OWTablebodycentre"/>
            </w:pPr>
            <w:r w:rsidRPr="00B2619D">
              <w:t>207</w:t>
            </w:r>
          </w:p>
        </w:tc>
      </w:tr>
    </w:tbl>
    <w:p w14:paraId="33C7F7EB" w14:textId="3575CEED" w:rsidR="001209C1" w:rsidRDefault="00360573" w:rsidP="00AD366D">
      <w:pPr>
        <w:pStyle w:val="OWBodytextlargespaceabove"/>
        <w:spacing w:before="140"/>
      </w:pPr>
      <w:hyperlink w:anchor="Figure01FollowOn" w:history="1">
        <w:r w:rsidR="001209C1" w:rsidRPr="00E83BB7">
          <w:rPr>
            <w:rStyle w:val="Hyperlink"/>
          </w:rPr>
          <w:t>Return to text following Figure</w:t>
        </w:r>
        <w:r w:rsidR="001209C1">
          <w:rPr>
            <w:rStyle w:val="Hyperlink"/>
          </w:rPr>
          <w:t xml:space="preserve"> 1</w:t>
        </w:r>
      </w:hyperlink>
    </w:p>
    <w:p w14:paraId="5A97FE73" w14:textId="7E933C8D" w:rsidR="00B2619D" w:rsidRDefault="00B524B2" w:rsidP="00B2619D">
      <w:pPr>
        <w:pStyle w:val="Heading3appendix"/>
      </w:pPr>
      <w:bookmarkStart w:id="118" w:name="Figure02AltText"/>
      <w:r w:rsidRPr="0071774C">
        <w:t>Figure</w:t>
      </w:r>
      <w:r>
        <w:t xml:space="preserve"> </w:t>
      </w:r>
      <w:r w:rsidRPr="0071774C">
        <w:t>2:</w:t>
      </w:r>
      <w:r>
        <w:t xml:space="preserve"> </w:t>
      </w:r>
      <w:r w:rsidRPr="0071774C">
        <w:t>Frequency</w:t>
      </w:r>
      <w:r>
        <w:t xml:space="preserve"> </w:t>
      </w:r>
      <w:r w:rsidRPr="0071774C">
        <w:t>of</w:t>
      </w:r>
      <w:r>
        <w:t xml:space="preserve"> </w:t>
      </w:r>
      <w:r w:rsidRPr="0071774C">
        <w:t>mentions</w:t>
      </w:r>
      <w:r>
        <w:t xml:space="preserve"> </w:t>
      </w:r>
      <w:r w:rsidRPr="0071774C">
        <w:t>by</w:t>
      </w:r>
      <w:r>
        <w:t xml:space="preserve"> </w:t>
      </w:r>
      <w:r w:rsidRPr="0071774C">
        <w:t>search</w:t>
      </w:r>
      <w:r>
        <w:t xml:space="preserve"> </w:t>
      </w:r>
      <w:r w:rsidRPr="0071774C">
        <w:t>terms</w:t>
      </w:r>
      <w:r>
        <w:t xml:space="preserve"> </w:t>
      </w:r>
      <w:r w:rsidRPr="0071774C">
        <w:t>in</w:t>
      </w:r>
      <w:r>
        <w:t xml:space="preserve"> </w:t>
      </w:r>
      <w:r w:rsidRPr="0071774C">
        <w:t>NSW</w:t>
      </w:r>
      <w:r>
        <w:t xml:space="preserve"> </w:t>
      </w:r>
      <w:r w:rsidRPr="0071774C">
        <w:t>Parliament</w:t>
      </w:r>
      <w:r>
        <w:t xml:space="preserve"> </w:t>
      </w:r>
      <w:r w:rsidRPr="0071774C">
        <w:t>Hansard</w:t>
      </w:r>
    </w:p>
    <w:bookmarkEnd w:id="118"/>
    <w:tbl>
      <w:tblPr>
        <w:tblStyle w:val="Datatablehibsicus"/>
        <w:tblW w:w="9072" w:type="dxa"/>
        <w:tblLayout w:type="fixed"/>
        <w:tblCellMar>
          <w:left w:w="28" w:type="dxa"/>
          <w:right w:w="28" w:type="dxa"/>
        </w:tblCellMar>
        <w:tblLook w:val="06A0" w:firstRow="1" w:lastRow="0" w:firstColumn="1" w:lastColumn="0" w:noHBand="1" w:noVBand="1"/>
      </w:tblPr>
      <w:tblGrid>
        <w:gridCol w:w="2734"/>
        <w:gridCol w:w="577"/>
        <w:gridCol w:w="577"/>
        <w:gridCol w:w="576"/>
        <w:gridCol w:w="576"/>
        <w:gridCol w:w="576"/>
        <w:gridCol w:w="576"/>
        <w:gridCol w:w="576"/>
        <w:gridCol w:w="576"/>
        <w:gridCol w:w="576"/>
        <w:gridCol w:w="576"/>
        <w:gridCol w:w="576"/>
      </w:tblGrid>
      <w:tr w:rsidR="00923346" w14:paraId="3568E200" w14:textId="77777777" w:rsidTr="009135EE">
        <w:trPr>
          <w:cnfStyle w:val="100000000000" w:firstRow="1" w:lastRow="0" w:firstColumn="0" w:lastColumn="0" w:oddVBand="0" w:evenVBand="0" w:oddHBand="0" w:evenHBand="0" w:firstRowFirstColumn="0" w:firstRowLastColumn="0" w:lastRowFirstColumn="0" w:lastRowLastColumn="0"/>
          <w:cantSplit/>
          <w:trHeight w:val="851"/>
          <w:tblHeader/>
        </w:trPr>
        <w:tc>
          <w:tcPr>
            <w:tcW w:w="2734" w:type="dxa"/>
          </w:tcPr>
          <w:p w14:paraId="1409551A" w14:textId="77777777" w:rsidR="00B2619D" w:rsidRDefault="00B2619D" w:rsidP="001209C1">
            <w:pPr>
              <w:pStyle w:val="OWTablecolumnheadleft"/>
              <w:ind w:left="85"/>
            </w:pPr>
          </w:p>
        </w:tc>
        <w:tc>
          <w:tcPr>
            <w:tcW w:w="577" w:type="dxa"/>
            <w:textDirection w:val="btLr"/>
          </w:tcPr>
          <w:p w14:paraId="45127952" w14:textId="77777777" w:rsidR="00B2619D" w:rsidRDefault="00B2619D" w:rsidP="00630500">
            <w:pPr>
              <w:pStyle w:val="OWTablecolumnheadleft"/>
              <w:ind w:left="85"/>
            </w:pPr>
            <w:r>
              <w:t>2009</w:t>
            </w:r>
          </w:p>
        </w:tc>
        <w:tc>
          <w:tcPr>
            <w:tcW w:w="577" w:type="dxa"/>
            <w:textDirection w:val="btLr"/>
          </w:tcPr>
          <w:p w14:paraId="70C52570" w14:textId="77777777" w:rsidR="00B2619D" w:rsidRDefault="00B2619D" w:rsidP="00630500">
            <w:pPr>
              <w:pStyle w:val="OWTablecolumnheadleft"/>
              <w:ind w:left="85"/>
            </w:pPr>
            <w:r>
              <w:t>2010</w:t>
            </w:r>
          </w:p>
        </w:tc>
        <w:tc>
          <w:tcPr>
            <w:tcW w:w="576" w:type="dxa"/>
            <w:textDirection w:val="btLr"/>
          </w:tcPr>
          <w:p w14:paraId="563A340B" w14:textId="77777777" w:rsidR="00B2619D" w:rsidRDefault="00B2619D" w:rsidP="00630500">
            <w:pPr>
              <w:pStyle w:val="OWTablecolumnheadleft"/>
              <w:ind w:left="85"/>
            </w:pPr>
            <w:r>
              <w:t>2011</w:t>
            </w:r>
          </w:p>
        </w:tc>
        <w:tc>
          <w:tcPr>
            <w:tcW w:w="576" w:type="dxa"/>
            <w:textDirection w:val="btLr"/>
          </w:tcPr>
          <w:p w14:paraId="11EB7BAA" w14:textId="77777777" w:rsidR="00B2619D" w:rsidRDefault="00B2619D" w:rsidP="00630500">
            <w:pPr>
              <w:pStyle w:val="OWTablecolumnheadleft"/>
              <w:ind w:left="85"/>
            </w:pPr>
            <w:r>
              <w:t>2012</w:t>
            </w:r>
          </w:p>
        </w:tc>
        <w:tc>
          <w:tcPr>
            <w:tcW w:w="576" w:type="dxa"/>
            <w:textDirection w:val="btLr"/>
          </w:tcPr>
          <w:p w14:paraId="11F3F14B" w14:textId="77777777" w:rsidR="00B2619D" w:rsidRDefault="00B2619D" w:rsidP="00630500">
            <w:pPr>
              <w:pStyle w:val="OWTablecolumnheadleft"/>
              <w:ind w:left="85"/>
            </w:pPr>
            <w:r>
              <w:t>2013</w:t>
            </w:r>
          </w:p>
        </w:tc>
        <w:tc>
          <w:tcPr>
            <w:tcW w:w="576" w:type="dxa"/>
            <w:textDirection w:val="btLr"/>
          </w:tcPr>
          <w:p w14:paraId="567C7721" w14:textId="77777777" w:rsidR="00B2619D" w:rsidRDefault="00B2619D" w:rsidP="00630500">
            <w:pPr>
              <w:pStyle w:val="OWTablecolumnheadleft"/>
              <w:ind w:left="85"/>
            </w:pPr>
            <w:r>
              <w:t>2014</w:t>
            </w:r>
          </w:p>
        </w:tc>
        <w:tc>
          <w:tcPr>
            <w:tcW w:w="576" w:type="dxa"/>
            <w:textDirection w:val="btLr"/>
          </w:tcPr>
          <w:p w14:paraId="7FF2FF42" w14:textId="77777777" w:rsidR="00B2619D" w:rsidRDefault="00B2619D" w:rsidP="00630500">
            <w:pPr>
              <w:pStyle w:val="OWTablecolumnheadleft"/>
              <w:ind w:left="85"/>
            </w:pPr>
            <w:r>
              <w:t>2015</w:t>
            </w:r>
          </w:p>
        </w:tc>
        <w:tc>
          <w:tcPr>
            <w:tcW w:w="576" w:type="dxa"/>
            <w:textDirection w:val="btLr"/>
          </w:tcPr>
          <w:p w14:paraId="283771C0" w14:textId="77777777" w:rsidR="00B2619D" w:rsidRDefault="00B2619D" w:rsidP="00630500">
            <w:pPr>
              <w:pStyle w:val="OWTablecolumnheadleft"/>
              <w:ind w:left="85"/>
            </w:pPr>
            <w:r>
              <w:t>2016</w:t>
            </w:r>
          </w:p>
        </w:tc>
        <w:tc>
          <w:tcPr>
            <w:tcW w:w="576" w:type="dxa"/>
            <w:textDirection w:val="btLr"/>
          </w:tcPr>
          <w:p w14:paraId="7213A671" w14:textId="77777777" w:rsidR="00B2619D" w:rsidRDefault="00B2619D" w:rsidP="00630500">
            <w:pPr>
              <w:pStyle w:val="OWTablecolumnheadleft"/>
              <w:ind w:left="85"/>
            </w:pPr>
            <w:r>
              <w:t>2017</w:t>
            </w:r>
          </w:p>
        </w:tc>
        <w:tc>
          <w:tcPr>
            <w:tcW w:w="576" w:type="dxa"/>
            <w:textDirection w:val="btLr"/>
          </w:tcPr>
          <w:p w14:paraId="76E53921" w14:textId="77777777" w:rsidR="00B2619D" w:rsidRDefault="00B2619D" w:rsidP="00630500">
            <w:pPr>
              <w:pStyle w:val="OWTablecolumnheadleft"/>
              <w:ind w:left="85"/>
            </w:pPr>
            <w:r>
              <w:t>2018</w:t>
            </w:r>
          </w:p>
        </w:tc>
        <w:tc>
          <w:tcPr>
            <w:tcW w:w="576" w:type="dxa"/>
            <w:textDirection w:val="btLr"/>
          </w:tcPr>
          <w:p w14:paraId="52CD9F66" w14:textId="77777777" w:rsidR="00B2619D" w:rsidRDefault="00B2619D" w:rsidP="00630500">
            <w:pPr>
              <w:pStyle w:val="OWTablecolumnheadleft"/>
              <w:ind w:left="85"/>
            </w:pPr>
            <w:r>
              <w:t>2019</w:t>
            </w:r>
          </w:p>
        </w:tc>
      </w:tr>
      <w:tr w:rsidR="007F3C0C" w14:paraId="57A8F748" w14:textId="77777777" w:rsidTr="007F3C0C">
        <w:trPr>
          <w:trHeight w:val="300"/>
        </w:trPr>
        <w:tc>
          <w:tcPr>
            <w:tcW w:w="2734" w:type="dxa"/>
          </w:tcPr>
          <w:p w14:paraId="13B2DA97" w14:textId="77777777" w:rsidR="007F3C0C" w:rsidRDefault="007F3C0C" w:rsidP="00AD366D">
            <w:pPr>
              <w:pStyle w:val="OWTablebodyleft"/>
              <w:spacing w:before="50" w:after="70"/>
              <w:ind w:left="85"/>
            </w:pPr>
            <w:r>
              <w:t>Violence against women</w:t>
            </w:r>
          </w:p>
        </w:tc>
        <w:tc>
          <w:tcPr>
            <w:tcW w:w="577" w:type="dxa"/>
          </w:tcPr>
          <w:p w14:paraId="4F789C5C" w14:textId="0863E578" w:rsidR="007F3C0C" w:rsidRPr="00B2619D" w:rsidRDefault="007F3C0C" w:rsidP="00AD366D">
            <w:pPr>
              <w:pStyle w:val="OWTablebodycentre"/>
              <w:spacing w:before="50" w:after="70"/>
            </w:pPr>
            <w:r w:rsidRPr="00B768E7">
              <w:t>11</w:t>
            </w:r>
          </w:p>
        </w:tc>
        <w:tc>
          <w:tcPr>
            <w:tcW w:w="577" w:type="dxa"/>
          </w:tcPr>
          <w:p w14:paraId="61135687" w14:textId="36FF0992" w:rsidR="007F3C0C" w:rsidRPr="00B2619D" w:rsidRDefault="007F3C0C" w:rsidP="00AD366D">
            <w:pPr>
              <w:pStyle w:val="OWTablebodycentre"/>
              <w:spacing w:before="50" w:after="70"/>
            </w:pPr>
            <w:r w:rsidRPr="00B768E7">
              <w:t>24</w:t>
            </w:r>
          </w:p>
        </w:tc>
        <w:tc>
          <w:tcPr>
            <w:tcW w:w="576" w:type="dxa"/>
          </w:tcPr>
          <w:p w14:paraId="3DEB6278" w14:textId="4C7C35B9" w:rsidR="007F3C0C" w:rsidRPr="00B2619D" w:rsidRDefault="007F3C0C" w:rsidP="00AD366D">
            <w:pPr>
              <w:pStyle w:val="OWTablebodycentre"/>
              <w:spacing w:before="50" w:after="70"/>
            </w:pPr>
            <w:r w:rsidRPr="00B768E7">
              <w:t>13</w:t>
            </w:r>
          </w:p>
        </w:tc>
        <w:tc>
          <w:tcPr>
            <w:tcW w:w="576" w:type="dxa"/>
          </w:tcPr>
          <w:p w14:paraId="0A2D5EE1" w14:textId="48B23423" w:rsidR="007F3C0C" w:rsidRPr="00B2619D" w:rsidRDefault="007F3C0C" w:rsidP="00AD366D">
            <w:pPr>
              <w:pStyle w:val="OWTablebodycentre"/>
              <w:spacing w:before="50" w:after="70"/>
            </w:pPr>
            <w:r w:rsidRPr="00B768E7">
              <w:t>23</w:t>
            </w:r>
          </w:p>
        </w:tc>
        <w:tc>
          <w:tcPr>
            <w:tcW w:w="576" w:type="dxa"/>
          </w:tcPr>
          <w:p w14:paraId="099D8395" w14:textId="10BBE373" w:rsidR="007F3C0C" w:rsidRPr="00B2619D" w:rsidRDefault="007F3C0C" w:rsidP="00AD366D">
            <w:pPr>
              <w:pStyle w:val="OWTablebodycentre"/>
              <w:spacing w:before="50" w:after="70"/>
            </w:pPr>
            <w:r w:rsidRPr="00B768E7">
              <w:t>21</w:t>
            </w:r>
          </w:p>
        </w:tc>
        <w:tc>
          <w:tcPr>
            <w:tcW w:w="576" w:type="dxa"/>
          </w:tcPr>
          <w:p w14:paraId="7ACD9430" w14:textId="20557D37" w:rsidR="007F3C0C" w:rsidRPr="00B2619D" w:rsidRDefault="007F3C0C" w:rsidP="00AD366D">
            <w:pPr>
              <w:pStyle w:val="OWTablebodycentre"/>
              <w:spacing w:before="50" w:after="70"/>
            </w:pPr>
            <w:r w:rsidRPr="00B768E7">
              <w:t>25</w:t>
            </w:r>
          </w:p>
        </w:tc>
        <w:tc>
          <w:tcPr>
            <w:tcW w:w="576" w:type="dxa"/>
          </w:tcPr>
          <w:p w14:paraId="3BBAE3F5" w14:textId="52E7B528" w:rsidR="007F3C0C" w:rsidRPr="00B2619D" w:rsidRDefault="007F3C0C" w:rsidP="00AD366D">
            <w:pPr>
              <w:pStyle w:val="OWTablebodycentre"/>
              <w:spacing w:before="50" w:after="70"/>
            </w:pPr>
            <w:r w:rsidRPr="00B768E7">
              <w:t>33</w:t>
            </w:r>
          </w:p>
        </w:tc>
        <w:tc>
          <w:tcPr>
            <w:tcW w:w="576" w:type="dxa"/>
          </w:tcPr>
          <w:p w14:paraId="0BC804D9" w14:textId="6FCE2BFA" w:rsidR="007F3C0C" w:rsidRPr="00B2619D" w:rsidRDefault="007F3C0C" w:rsidP="00AD366D">
            <w:pPr>
              <w:pStyle w:val="OWTablebodycentre"/>
              <w:spacing w:before="50" w:after="70"/>
            </w:pPr>
            <w:r w:rsidRPr="00B768E7">
              <w:t>24</w:t>
            </w:r>
          </w:p>
        </w:tc>
        <w:tc>
          <w:tcPr>
            <w:tcW w:w="576" w:type="dxa"/>
          </w:tcPr>
          <w:p w14:paraId="136EC051" w14:textId="099B24BF" w:rsidR="007F3C0C" w:rsidRPr="00B2619D" w:rsidRDefault="007F3C0C" w:rsidP="00AD366D">
            <w:pPr>
              <w:pStyle w:val="OWTablebodycentre"/>
              <w:spacing w:before="50" w:after="70"/>
            </w:pPr>
            <w:r w:rsidRPr="00B768E7">
              <w:t>24</w:t>
            </w:r>
          </w:p>
        </w:tc>
        <w:tc>
          <w:tcPr>
            <w:tcW w:w="576" w:type="dxa"/>
          </w:tcPr>
          <w:p w14:paraId="1AD4A1D8" w14:textId="0C135A36" w:rsidR="007F3C0C" w:rsidRPr="00B2619D" w:rsidRDefault="007F3C0C" w:rsidP="00AD366D">
            <w:pPr>
              <w:pStyle w:val="OWTablebodycentre"/>
              <w:spacing w:before="50" w:after="70"/>
            </w:pPr>
            <w:r w:rsidRPr="00B768E7">
              <w:t>21</w:t>
            </w:r>
          </w:p>
        </w:tc>
        <w:tc>
          <w:tcPr>
            <w:tcW w:w="576" w:type="dxa"/>
          </w:tcPr>
          <w:p w14:paraId="6A519AB5" w14:textId="71A8FBCB" w:rsidR="007F3C0C" w:rsidRPr="00B2619D" w:rsidRDefault="007F3C0C" w:rsidP="00AD366D">
            <w:pPr>
              <w:pStyle w:val="OWTablebodycentre"/>
              <w:spacing w:before="50" w:after="70"/>
            </w:pPr>
            <w:r w:rsidRPr="00B768E7">
              <w:t>19</w:t>
            </w:r>
          </w:p>
        </w:tc>
      </w:tr>
      <w:tr w:rsidR="007F3C0C" w14:paraId="1E549CAF" w14:textId="77777777" w:rsidTr="007F3C0C">
        <w:trPr>
          <w:trHeight w:val="300"/>
        </w:trPr>
        <w:tc>
          <w:tcPr>
            <w:tcW w:w="2734" w:type="dxa"/>
          </w:tcPr>
          <w:p w14:paraId="082363B8" w14:textId="77777777" w:rsidR="007F3C0C" w:rsidRDefault="007F3C0C" w:rsidP="00AD366D">
            <w:pPr>
              <w:pStyle w:val="OWTablebodyleft"/>
              <w:spacing w:before="50" w:after="70"/>
              <w:ind w:left="85"/>
            </w:pPr>
            <w:r>
              <w:t>Gender equality</w:t>
            </w:r>
          </w:p>
        </w:tc>
        <w:tc>
          <w:tcPr>
            <w:tcW w:w="577" w:type="dxa"/>
          </w:tcPr>
          <w:p w14:paraId="50B54629" w14:textId="2FAA0FE4" w:rsidR="007F3C0C" w:rsidRPr="00B2619D" w:rsidRDefault="007F3C0C" w:rsidP="00AD366D">
            <w:pPr>
              <w:pStyle w:val="OWTablebodycentre"/>
              <w:spacing w:before="50" w:after="70"/>
            </w:pPr>
            <w:r w:rsidRPr="00B768E7">
              <w:t>1</w:t>
            </w:r>
          </w:p>
        </w:tc>
        <w:tc>
          <w:tcPr>
            <w:tcW w:w="577" w:type="dxa"/>
          </w:tcPr>
          <w:p w14:paraId="55517533" w14:textId="1E21472E" w:rsidR="007F3C0C" w:rsidRPr="00B2619D" w:rsidRDefault="007F3C0C" w:rsidP="00AD366D">
            <w:pPr>
              <w:pStyle w:val="OWTablebodycentre"/>
              <w:spacing w:before="50" w:after="70"/>
            </w:pPr>
            <w:r w:rsidRPr="00B768E7">
              <w:t>8</w:t>
            </w:r>
          </w:p>
        </w:tc>
        <w:tc>
          <w:tcPr>
            <w:tcW w:w="576" w:type="dxa"/>
          </w:tcPr>
          <w:p w14:paraId="310A0B5B" w14:textId="0BBE4094" w:rsidR="007F3C0C" w:rsidRPr="00B2619D" w:rsidRDefault="007F3C0C" w:rsidP="00AD366D">
            <w:pPr>
              <w:pStyle w:val="OWTablebodycentre"/>
              <w:spacing w:before="50" w:after="70"/>
            </w:pPr>
            <w:r w:rsidRPr="00B768E7">
              <w:t>5</w:t>
            </w:r>
          </w:p>
        </w:tc>
        <w:tc>
          <w:tcPr>
            <w:tcW w:w="576" w:type="dxa"/>
          </w:tcPr>
          <w:p w14:paraId="69627620" w14:textId="13D90167" w:rsidR="007F3C0C" w:rsidRPr="00B2619D" w:rsidRDefault="007F3C0C" w:rsidP="00AD366D">
            <w:pPr>
              <w:pStyle w:val="OWTablebodycentre"/>
              <w:spacing w:before="50" w:after="70"/>
            </w:pPr>
            <w:r w:rsidRPr="00B768E7">
              <w:t>9</w:t>
            </w:r>
          </w:p>
        </w:tc>
        <w:tc>
          <w:tcPr>
            <w:tcW w:w="576" w:type="dxa"/>
          </w:tcPr>
          <w:p w14:paraId="015AA230" w14:textId="2CD9F71F" w:rsidR="007F3C0C" w:rsidRPr="00B2619D" w:rsidRDefault="007F3C0C" w:rsidP="00AD366D">
            <w:pPr>
              <w:pStyle w:val="OWTablebodycentre"/>
              <w:spacing w:before="50" w:after="70"/>
            </w:pPr>
            <w:r w:rsidRPr="00B768E7">
              <w:t>13</w:t>
            </w:r>
          </w:p>
        </w:tc>
        <w:tc>
          <w:tcPr>
            <w:tcW w:w="576" w:type="dxa"/>
          </w:tcPr>
          <w:p w14:paraId="0D0CC8E2" w14:textId="73485A2F" w:rsidR="007F3C0C" w:rsidRPr="00B2619D" w:rsidRDefault="007F3C0C" w:rsidP="00AD366D">
            <w:pPr>
              <w:pStyle w:val="OWTablebodycentre"/>
              <w:spacing w:before="50" w:after="70"/>
            </w:pPr>
            <w:r w:rsidRPr="00B768E7">
              <w:t>10</w:t>
            </w:r>
          </w:p>
        </w:tc>
        <w:tc>
          <w:tcPr>
            <w:tcW w:w="576" w:type="dxa"/>
          </w:tcPr>
          <w:p w14:paraId="3E83377B" w14:textId="0039536C" w:rsidR="007F3C0C" w:rsidRPr="00B2619D" w:rsidRDefault="007F3C0C" w:rsidP="00AD366D">
            <w:pPr>
              <w:pStyle w:val="OWTablebodycentre"/>
              <w:spacing w:before="50" w:after="70"/>
            </w:pPr>
            <w:r w:rsidRPr="00B768E7">
              <w:t>14</w:t>
            </w:r>
          </w:p>
        </w:tc>
        <w:tc>
          <w:tcPr>
            <w:tcW w:w="576" w:type="dxa"/>
          </w:tcPr>
          <w:p w14:paraId="4AF4438F" w14:textId="2A16C152" w:rsidR="007F3C0C" w:rsidRPr="00B2619D" w:rsidRDefault="007F3C0C" w:rsidP="00AD366D">
            <w:pPr>
              <w:pStyle w:val="OWTablebodycentre"/>
              <w:spacing w:before="50" w:after="70"/>
            </w:pPr>
            <w:r w:rsidRPr="00B768E7">
              <w:t>15</w:t>
            </w:r>
          </w:p>
        </w:tc>
        <w:tc>
          <w:tcPr>
            <w:tcW w:w="576" w:type="dxa"/>
          </w:tcPr>
          <w:p w14:paraId="17D0AD41" w14:textId="00C88C3B" w:rsidR="007F3C0C" w:rsidRPr="00B2619D" w:rsidRDefault="007F3C0C" w:rsidP="00AD366D">
            <w:pPr>
              <w:pStyle w:val="OWTablebodycentre"/>
              <w:spacing w:before="50" w:after="70"/>
            </w:pPr>
            <w:r w:rsidRPr="00B768E7">
              <w:t>17</w:t>
            </w:r>
          </w:p>
        </w:tc>
        <w:tc>
          <w:tcPr>
            <w:tcW w:w="576" w:type="dxa"/>
          </w:tcPr>
          <w:p w14:paraId="3B934418" w14:textId="46959BB4" w:rsidR="007F3C0C" w:rsidRPr="00B2619D" w:rsidRDefault="007F3C0C" w:rsidP="00AD366D">
            <w:pPr>
              <w:pStyle w:val="OWTablebodycentre"/>
              <w:spacing w:before="50" w:after="70"/>
            </w:pPr>
            <w:r w:rsidRPr="00B768E7">
              <w:t>18</w:t>
            </w:r>
          </w:p>
        </w:tc>
        <w:tc>
          <w:tcPr>
            <w:tcW w:w="576" w:type="dxa"/>
          </w:tcPr>
          <w:p w14:paraId="1BA83060" w14:textId="66A0E92C" w:rsidR="007F3C0C" w:rsidRPr="00B2619D" w:rsidRDefault="007F3C0C" w:rsidP="00AD366D">
            <w:pPr>
              <w:pStyle w:val="OWTablebodycentre"/>
              <w:spacing w:before="50" w:after="70"/>
            </w:pPr>
            <w:r w:rsidRPr="00B768E7">
              <w:t>11</w:t>
            </w:r>
          </w:p>
        </w:tc>
      </w:tr>
      <w:tr w:rsidR="007F3C0C" w14:paraId="2C290F5A" w14:textId="77777777" w:rsidTr="007F3C0C">
        <w:trPr>
          <w:trHeight w:val="300"/>
        </w:trPr>
        <w:tc>
          <w:tcPr>
            <w:tcW w:w="2734" w:type="dxa"/>
          </w:tcPr>
          <w:p w14:paraId="2F0B95D4" w14:textId="77777777" w:rsidR="007F3C0C" w:rsidRDefault="007F3C0C" w:rsidP="00AD366D">
            <w:pPr>
              <w:pStyle w:val="OWTablebodyleft"/>
              <w:spacing w:before="50" w:after="70"/>
              <w:ind w:left="85"/>
            </w:pPr>
            <w:r>
              <w:t>Gender pay gap</w:t>
            </w:r>
          </w:p>
        </w:tc>
        <w:tc>
          <w:tcPr>
            <w:tcW w:w="577" w:type="dxa"/>
          </w:tcPr>
          <w:p w14:paraId="6A7FBEF4" w14:textId="0F46C152" w:rsidR="007F3C0C" w:rsidRPr="00B2619D" w:rsidRDefault="007F3C0C" w:rsidP="00AD366D">
            <w:pPr>
              <w:pStyle w:val="OWTablebodycentre"/>
              <w:spacing w:before="50" w:after="70"/>
            </w:pPr>
            <w:r w:rsidRPr="00B768E7">
              <w:t>1</w:t>
            </w:r>
          </w:p>
        </w:tc>
        <w:tc>
          <w:tcPr>
            <w:tcW w:w="577" w:type="dxa"/>
          </w:tcPr>
          <w:p w14:paraId="41CD87C8" w14:textId="663E8C48" w:rsidR="007F3C0C" w:rsidRPr="00B2619D" w:rsidRDefault="007F3C0C" w:rsidP="00AD366D">
            <w:pPr>
              <w:pStyle w:val="OWTablebodycentre"/>
              <w:spacing w:before="50" w:after="70"/>
            </w:pPr>
            <w:r w:rsidRPr="00B768E7">
              <w:t>7</w:t>
            </w:r>
          </w:p>
        </w:tc>
        <w:tc>
          <w:tcPr>
            <w:tcW w:w="576" w:type="dxa"/>
          </w:tcPr>
          <w:p w14:paraId="04DEE824" w14:textId="6166FDC9" w:rsidR="007F3C0C" w:rsidRPr="00B2619D" w:rsidRDefault="007F3C0C" w:rsidP="00AD366D">
            <w:pPr>
              <w:pStyle w:val="OWTablebodycentre"/>
              <w:spacing w:before="50" w:after="70"/>
            </w:pPr>
            <w:r w:rsidRPr="00B768E7">
              <w:t>4</w:t>
            </w:r>
          </w:p>
        </w:tc>
        <w:tc>
          <w:tcPr>
            <w:tcW w:w="576" w:type="dxa"/>
          </w:tcPr>
          <w:p w14:paraId="767C5071" w14:textId="21423AF5" w:rsidR="007F3C0C" w:rsidRPr="00B2619D" w:rsidRDefault="007F3C0C" w:rsidP="00AD366D">
            <w:pPr>
              <w:pStyle w:val="OWTablebodycentre"/>
              <w:spacing w:before="50" w:after="70"/>
            </w:pPr>
            <w:r w:rsidRPr="00B768E7">
              <w:t>3</w:t>
            </w:r>
          </w:p>
        </w:tc>
        <w:tc>
          <w:tcPr>
            <w:tcW w:w="576" w:type="dxa"/>
          </w:tcPr>
          <w:p w14:paraId="1A26F511" w14:textId="1B77B726" w:rsidR="007F3C0C" w:rsidRPr="00B2619D" w:rsidRDefault="007F3C0C" w:rsidP="00AD366D">
            <w:pPr>
              <w:pStyle w:val="OWTablebodycentre"/>
              <w:spacing w:before="50" w:after="70"/>
            </w:pPr>
            <w:r w:rsidRPr="00B768E7">
              <w:t>0</w:t>
            </w:r>
          </w:p>
        </w:tc>
        <w:tc>
          <w:tcPr>
            <w:tcW w:w="576" w:type="dxa"/>
          </w:tcPr>
          <w:p w14:paraId="639443F2" w14:textId="2A002342" w:rsidR="007F3C0C" w:rsidRPr="00B2619D" w:rsidRDefault="007F3C0C" w:rsidP="00AD366D">
            <w:pPr>
              <w:pStyle w:val="OWTablebodycentre"/>
              <w:spacing w:before="50" w:after="70"/>
            </w:pPr>
            <w:r w:rsidRPr="00B768E7">
              <w:t>2</w:t>
            </w:r>
          </w:p>
        </w:tc>
        <w:tc>
          <w:tcPr>
            <w:tcW w:w="576" w:type="dxa"/>
          </w:tcPr>
          <w:p w14:paraId="49FF92A6" w14:textId="01026389" w:rsidR="007F3C0C" w:rsidRPr="00B2619D" w:rsidRDefault="007F3C0C" w:rsidP="00AD366D">
            <w:pPr>
              <w:pStyle w:val="OWTablebodycentre"/>
              <w:spacing w:before="50" w:after="70"/>
            </w:pPr>
            <w:r w:rsidRPr="00B768E7">
              <w:t>3</w:t>
            </w:r>
          </w:p>
        </w:tc>
        <w:tc>
          <w:tcPr>
            <w:tcW w:w="576" w:type="dxa"/>
          </w:tcPr>
          <w:p w14:paraId="6CA9CE2F" w14:textId="50FB1FE3" w:rsidR="007F3C0C" w:rsidRPr="00B2619D" w:rsidRDefault="007F3C0C" w:rsidP="00AD366D">
            <w:pPr>
              <w:pStyle w:val="OWTablebodycentre"/>
              <w:spacing w:before="50" w:after="70"/>
            </w:pPr>
            <w:r w:rsidRPr="00B768E7">
              <w:t>4</w:t>
            </w:r>
          </w:p>
        </w:tc>
        <w:tc>
          <w:tcPr>
            <w:tcW w:w="576" w:type="dxa"/>
          </w:tcPr>
          <w:p w14:paraId="4957BFC9" w14:textId="0ABFEEEB" w:rsidR="007F3C0C" w:rsidRPr="00B2619D" w:rsidRDefault="007F3C0C" w:rsidP="00AD366D">
            <w:pPr>
              <w:pStyle w:val="OWTablebodycentre"/>
              <w:spacing w:before="50" w:after="70"/>
            </w:pPr>
            <w:r w:rsidRPr="00B768E7">
              <w:t>13</w:t>
            </w:r>
          </w:p>
        </w:tc>
        <w:tc>
          <w:tcPr>
            <w:tcW w:w="576" w:type="dxa"/>
          </w:tcPr>
          <w:p w14:paraId="46654C46" w14:textId="4EE1492F" w:rsidR="007F3C0C" w:rsidRPr="00B2619D" w:rsidRDefault="007F3C0C" w:rsidP="00AD366D">
            <w:pPr>
              <w:pStyle w:val="OWTablebodycentre"/>
              <w:spacing w:before="50" w:after="70"/>
            </w:pPr>
            <w:r w:rsidRPr="00B768E7">
              <w:t>3</w:t>
            </w:r>
          </w:p>
        </w:tc>
        <w:tc>
          <w:tcPr>
            <w:tcW w:w="576" w:type="dxa"/>
          </w:tcPr>
          <w:p w14:paraId="372BF37F" w14:textId="1D98FB1D" w:rsidR="007F3C0C" w:rsidRPr="00B2619D" w:rsidRDefault="007F3C0C" w:rsidP="00AD366D">
            <w:pPr>
              <w:pStyle w:val="OWTablebodycentre"/>
              <w:spacing w:before="50" w:after="70"/>
            </w:pPr>
            <w:r w:rsidRPr="00B768E7">
              <w:t>4</w:t>
            </w:r>
          </w:p>
        </w:tc>
      </w:tr>
      <w:tr w:rsidR="007F3C0C" w14:paraId="7E00D99F" w14:textId="77777777" w:rsidTr="007F3C0C">
        <w:trPr>
          <w:trHeight w:val="300"/>
        </w:trPr>
        <w:tc>
          <w:tcPr>
            <w:tcW w:w="2734" w:type="dxa"/>
          </w:tcPr>
          <w:p w14:paraId="3E3EBCB9" w14:textId="77777777" w:rsidR="007F3C0C" w:rsidRDefault="007F3C0C" w:rsidP="00AD366D">
            <w:pPr>
              <w:pStyle w:val="OWTablebodyleft"/>
              <w:spacing w:before="50" w:after="70"/>
              <w:ind w:left="85"/>
            </w:pPr>
            <w:r>
              <w:t>Domestic violence</w:t>
            </w:r>
          </w:p>
        </w:tc>
        <w:tc>
          <w:tcPr>
            <w:tcW w:w="577" w:type="dxa"/>
          </w:tcPr>
          <w:p w14:paraId="07DAD48F" w14:textId="6BC05044" w:rsidR="007F3C0C" w:rsidRPr="00B2619D" w:rsidRDefault="007F3C0C" w:rsidP="00AD366D">
            <w:pPr>
              <w:pStyle w:val="OWTablebodycentre"/>
              <w:spacing w:before="50" w:after="70"/>
            </w:pPr>
            <w:r w:rsidRPr="00B768E7">
              <w:t>106</w:t>
            </w:r>
          </w:p>
        </w:tc>
        <w:tc>
          <w:tcPr>
            <w:tcW w:w="577" w:type="dxa"/>
          </w:tcPr>
          <w:p w14:paraId="71193322" w14:textId="294C3023" w:rsidR="007F3C0C" w:rsidRPr="00B2619D" w:rsidRDefault="007F3C0C" w:rsidP="00AD366D">
            <w:pPr>
              <w:pStyle w:val="OWTablebodycentre"/>
              <w:spacing w:before="50" w:after="70"/>
            </w:pPr>
            <w:r w:rsidRPr="00B768E7">
              <w:t>128</w:t>
            </w:r>
          </w:p>
        </w:tc>
        <w:tc>
          <w:tcPr>
            <w:tcW w:w="576" w:type="dxa"/>
          </w:tcPr>
          <w:p w14:paraId="6ECBA09A" w14:textId="17A9D942" w:rsidR="007F3C0C" w:rsidRPr="00B2619D" w:rsidRDefault="007F3C0C" w:rsidP="00AD366D">
            <w:pPr>
              <w:pStyle w:val="OWTablebodycentre"/>
              <w:spacing w:before="50" w:after="70"/>
            </w:pPr>
            <w:r w:rsidRPr="00B768E7">
              <w:t>67</w:t>
            </w:r>
          </w:p>
        </w:tc>
        <w:tc>
          <w:tcPr>
            <w:tcW w:w="576" w:type="dxa"/>
          </w:tcPr>
          <w:p w14:paraId="14DD1A86" w14:textId="30330E73" w:rsidR="007F3C0C" w:rsidRPr="00B2619D" w:rsidRDefault="007F3C0C" w:rsidP="00AD366D">
            <w:pPr>
              <w:pStyle w:val="OWTablebodycentre"/>
              <w:spacing w:before="50" w:after="70"/>
            </w:pPr>
            <w:r w:rsidRPr="00B768E7">
              <w:t>87</w:t>
            </w:r>
          </w:p>
        </w:tc>
        <w:tc>
          <w:tcPr>
            <w:tcW w:w="576" w:type="dxa"/>
          </w:tcPr>
          <w:p w14:paraId="014F53C9" w14:textId="636ECE2D" w:rsidR="007F3C0C" w:rsidRPr="00B2619D" w:rsidRDefault="007F3C0C" w:rsidP="00AD366D">
            <w:pPr>
              <w:pStyle w:val="OWTablebodycentre"/>
              <w:spacing w:before="50" w:after="70"/>
            </w:pPr>
            <w:r w:rsidRPr="00B768E7">
              <w:t>118</w:t>
            </w:r>
          </w:p>
        </w:tc>
        <w:tc>
          <w:tcPr>
            <w:tcW w:w="576" w:type="dxa"/>
          </w:tcPr>
          <w:p w14:paraId="5B4DF5F9" w14:textId="714CFA41" w:rsidR="007F3C0C" w:rsidRPr="00B2619D" w:rsidRDefault="007F3C0C" w:rsidP="00AD366D">
            <w:pPr>
              <w:pStyle w:val="OWTablebodycentre"/>
              <w:spacing w:before="50" w:after="70"/>
            </w:pPr>
            <w:r w:rsidRPr="00B768E7">
              <w:t>160</w:t>
            </w:r>
          </w:p>
        </w:tc>
        <w:tc>
          <w:tcPr>
            <w:tcW w:w="576" w:type="dxa"/>
          </w:tcPr>
          <w:p w14:paraId="58E234E3" w14:textId="213D2529" w:rsidR="007F3C0C" w:rsidRPr="00B2619D" w:rsidRDefault="007F3C0C" w:rsidP="00AD366D">
            <w:pPr>
              <w:pStyle w:val="OWTablebodycentre"/>
              <w:spacing w:before="50" w:after="70"/>
            </w:pPr>
            <w:r w:rsidRPr="00B768E7">
              <w:t>202</w:t>
            </w:r>
          </w:p>
        </w:tc>
        <w:tc>
          <w:tcPr>
            <w:tcW w:w="576" w:type="dxa"/>
          </w:tcPr>
          <w:p w14:paraId="7913CF30" w14:textId="167EA5DE" w:rsidR="007F3C0C" w:rsidRPr="00B2619D" w:rsidRDefault="007F3C0C" w:rsidP="00AD366D">
            <w:pPr>
              <w:pStyle w:val="OWTablebodycentre"/>
              <w:spacing w:before="50" w:after="70"/>
            </w:pPr>
            <w:r w:rsidRPr="00B768E7">
              <w:t>232</w:t>
            </w:r>
          </w:p>
        </w:tc>
        <w:tc>
          <w:tcPr>
            <w:tcW w:w="576" w:type="dxa"/>
          </w:tcPr>
          <w:p w14:paraId="080065C4" w14:textId="11652758" w:rsidR="007F3C0C" w:rsidRPr="00B2619D" w:rsidRDefault="007F3C0C" w:rsidP="00AD366D">
            <w:pPr>
              <w:pStyle w:val="OWTablebodycentre"/>
              <w:spacing w:before="50" w:after="70"/>
            </w:pPr>
            <w:r w:rsidRPr="00B768E7">
              <w:t>223</w:t>
            </w:r>
          </w:p>
        </w:tc>
        <w:tc>
          <w:tcPr>
            <w:tcW w:w="576" w:type="dxa"/>
          </w:tcPr>
          <w:p w14:paraId="124CD777" w14:textId="3B739151" w:rsidR="007F3C0C" w:rsidRPr="00B2619D" w:rsidRDefault="007F3C0C" w:rsidP="00AD366D">
            <w:pPr>
              <w:pStyle w:val="OWTablebodycentre"/>
              <w:spacing w:before="50" w:after="70"/>
            </w:pPr>
            <w:r w:rsidRPr="00B768E7">
              <w:t>231</w:t>
            </w:r>
          </w:p>
        </w:tc>
        <w:tc>
          <w:tcPr>
            <w:tcW w:w="576" w:type="dxa"/>
          </w:tcPr>
          <w:p w14:paraId="28F299BE" w14:textId="58BEF626" w:rsidR="007F3C0C" w:rsidRPr="00B2619D" w:rsidRDefault="007F3C0C" w:rsidP="00AD366D">
            <w:pPr>
              <w:pStyle w:val="OWTablebodycentre"/>
              <w:spacing w:before="50" w:after="70"/>
            </w:pPr>
            <w:r w:rsidRPr="00B768E7">
              <w:t>196</w:t>
            </w:r>
          </w:p>
        </w:tc>
      </w:tr>
      <w:tr w:rsidR="007F3C0C" w14:paraId="33C082A0" w14:textId="77777777" w:rsidTr="007F3C0C">
        <w:trPr>
          <w:trHeight w:val="300"/>
        </w:trPr>
        <w:tc>
          <w:tcPr>
            <w:tcW w:w="2734" w:type="dxa"/>
          </w:tcPr>
          <w:p w14:paraId="01A9B388" w14:textId="77777777" w:rsidR="007F3C0C" w:rsidRDefault="007F3C0C" w:rsidP="00AD366D">
            <w:pPr>
              <w:pStyle w:val="OWTablebodyleft"/>
              <w:spacing w:before="50" w:after="70"/>
              <w:ind w:left="85"/>
            </w:pPr>
            <w:r>
              <w:t>Family violence</w:t>
            </w:r>
          </w:p>
        </w:tc>
        <w:tc>
          <w:tcPr>
            <w:tcW w:w="577" w:type="dxa"/>
          </w:tcPr>
          <w:p w14:paraId="66592B2A" w14:textId="660E253B" w:rsidR="007F3C0C" w:rsidRPr="00B2619D" w:rsidRDefault="007F3C0C" w:rsidP="00AD366D">
            <w:pPr>
              <w:pStyle w:val="OWTablebodycentre"/>
              <w:spacing w:before="50" w:after="70"/>
            </w:pPr>
            <w:r w:rsidRPr="00B768E7">
              <w:t>11</w:t>
            </w:r>
          </w:p>
        </w:tc>
        <w:tc>
          <w:tcPr>
            <w:tcW w:w="577" w:type="dxa"/>
          </w:tcPr>
          <w:p w14:paraId="05D9E465" w14:textId="5ABE45AA" w:rsidR="007F3C0C" w:rsidRPr="00B2619D" w:rsidRDefault="007F3C0C" w:rsidP="00AD366D">
            <w:pPr>
              <w:pStyle w:val="OWTablebodycentre"/>
              <w:spacing w:before="50" w:after="70"/>
            </w:pPr>
            <w:r w:rsidRPr="00B768E7">
              <w:t>32</w:t>
            </w:r>
          </w:p>
        </w:tc>
        <w:tc>
          <w:tcPr>
            <w:tcW w:w="576" w:type="dxa"/>
          </w:tcPr>
          <w:p w14:paraId="131BB87B" w14:textId="5EE76E86" w:rsidR="007F3C0C" w:rsidRPr="00B2619D" w:rsidRDefault="007F3C0C" w:rsidP="00AD366D">
            <w:pPr>
              <w:pStyle w:val="OWTablebodycentre"/>
              <w:spacing w:before="50" w:after="70"/>
            </w:pPr>
            <w:r w:rsidRPr="00B768E7">
              <w:t>17</w:t>
            </w:r>
          </w:p>
        </w:tc>
        <w:tc>
          <w:tcPr>
            <w:tcW w:w="576" w:type="dxa"/>
          </w:tcPr>
          <w:p w14:paraId="29810C98" w14:textId="4E19B42C" w:rsidR="007F3C0C" w:rsidRPr="00B2619D" w:rsidRDefault="007F3C0C" w:rsidP="00AD366D">
            <w:pPr>
              <w:pStyle w:val="OWTablebodycentre"/>
              <w:spacing w:before="50" w:after="70"/>
            </w:pPr>
            <w:r w:rsidRPr="00B768E7">
              <w:t>16</w:t>
            </w:r>
          </w:p>
        </w:tc>
        <w:tc>
          <w:tcPr>
            <w:tcW w:w="576" w:type="dxa"/>
          </w:tcPr>
          <w:p w14:paraId="56CCE8C0" w14:textId="6F50AC13" w:rsidR="007F3C0C" w:rsidRPr="00B2619D" w:rsidRDefault="007F3C0C" w:rsidP="00AD366D">
            <w:pPr>
              <w:pStyle w:val="OWTablebodycentre"/>
              <w:spacing w:before="50" w:after="70"/>
            </w:pPr>
            <w:r w:rsidRPr="00B768E7">
              <w:t>26</w:t>
            </w:r>
          </w:p>
        </w:tc>
        <w:tc>
          <w:tcPr>
            <w:tcW w:w="576" w:type="dxa"/>
          </w:tcPr>
          <w:p w14:paraId="0E09FD2C" w14:textId="13A67B32" w:rsidR="007F3C0C" w:rsidRPr="00B2619D" w:rsidRDefault="007F3C0C" w:rsidP="00AD366D">
            <w:pPr>
              <w:pStyle w:val="OWTablebodycentre"/>
              <w:spacing w:before="50" w:after="70"/>
            </w:pPr>
            <w:r w:rsidRPr="00B768E7">
              <w:t>44</w:t>
            </w:r>
          </w:p>
        </w:tc>
        <w:tc>
          <w:tcPr>
            <w:tcW w:w="576" w:type="dxa"/>
          </w:tcPr>
          <w:p w14:paraId="30423848" w14:textId="0E718C4B" w:rsidR="007F3C0C" w:rsidRPr="00B2619D" w:rsidRDefault="007F3C0C" w:rsidP="00AD366D">
            <w:pPr>
              <w:pStyle w:val="OWTablebodycentre"/>
              <w:spacing w:before="50" w:after="70"/>
            </w:pPr>
            <w:r w:rsidRPr="00B768E7">
              <w:t>52</w:t>
            </w:r>
          </w:p>
        </w:tc>
        <w:tc>
          <w:tcPr>
            <w:tcW w:w="576" w:type="dxa"/>
          </w:tcPr>
          <w:p w14:paraId="7775FDF1" w14:textId="217915CF" w:rsidR="007F3C0C" w:rsidRPr="00B2619D" w:rsidRDefault="007F3C0C" w:rsidP="00AD366D">
            <w:pPr>
              <w:pStyle w:val="OWTablebodycentre"/>
              <w:spacing w:before="50" w:after="70"/>
            </w:pPr>
            <w:r w:rsidRPr="00B768E7">
              <w:t>45</w:t>
            </w:r>
          </w:p>
        </w:tc>
        <w:tc>
          <w:tcPr>
            <w:tcW w:w="576" w:type="dxa"/>
          </w:tcPr>
          <w:p w14:paraId="049BF3F3" w14:textId="53911DFA" w:rsidR="007F3C0C" w:rsidRPr="00B2619D" w:rsidRDefault="007F3C0C" w:rsidP="00AD366D">
            <w:pPr>
              <w:pStyle w:val="OWTablebodycentre"/>
              <w:spacing w:before="50" w:after="70"/>
            </w:pPr>
            <w:r w:rsidRPr="00B768E7">
              <w:t>60</w:t>
            </w:r>
          </w:p>
        </w:tc>
        <w:tc>
          <w:tcPr>
            <w:tcW w:w="576" w:type="dxa"/>
          </w:tcPr>
          <w:p w14:paraId="6DEA6C3E" w14:textId="599CD7EC" w:rsidR="007F3C0C" w:rsidRPr="00B2619D" w:rsidRDefault="007F3C0C" w:rsidP="00AD366D">
            <w:pPr>
              <w:pStyle w:val="OWTablebodycentre"/>
              <w:spacing w:before="50" w:after="70"/>
            </w:pPr>
            <w:r w:rsidRPr="00B768E7">
              <w:t>62</w:t>
            </w:r>
          </w:p>
        </w:tc>
        <w:tc>
          <w:tcPr>
            <w:tcW w:w="576" w:type="dxa"/>
          </w:tcPr>
          <w:p w14:paraId="554784DA" w14:textId="374E44E5" w:rsidR="007F3C0C" w:rsidRPr="00B2619D" w:rsidRDefault="007F3C0C" w:rsidP="00AD366D">
            <w:pPr>
              <w:pStyle w:val="OWTablebodycentre"/>
              <w:spacing w:before="50" w:after="70"/>
            </w:pPr>
            <w:r w:rsidRPr="00B768E7">
              <w:t>63</w:t>
            </w:r>
          </w:p>
        </w:tc>
      </w:tr>
    </w:tbl>
    <w:p w14:paraId="7BEE0B94" w14:textId="03903690" w:rsidR="001209C1" w:rsidRDefault="00360573" w:rsidP="00AD366D">
      <w:pPr>
        <w:pStyle w:val="OWBodytextlargespaceabove"/>
        <w:spacing w:before="140"/>
      </w:pPr>
      <w:hyperlink w:anchor="Figure02FollowOn" w:history="1">
        <w:r w:rsidR="001209C1" w:rsidRPr="00E83BB7">
          <w:rPr>
            <w:rStyle w:val="Hyperlink"/>
          </w:rPr>
          <w:t>Return to text following Figure</w:t>
        </w:r>
        <w:r w:rsidR="001209C1">
          <w:rPr>
            <w:rStyle w:val="Hyperlink"/>
          </w:rPr>
          <w:t xml:space="preserve"> 2</w:t>
        </w:r>
      </w:hyperlink>
    </w:p>
    <w:p w14:paraId="01035D9C" w14:textId="753961D9" w:rsidR="00B2619D" w:rsidRDefault="00B524B2" w:rsidP="00A80362">
      <w:pPr>
        <w:pStyle w:val="Heading3appendix"/>
        <w:pageBreakBefore/>
      </w:pPr>
      <w:bookmarkStart w:id="119" w:name="Figure03AltText"/>
      <w:r w:rsidRPr="0071774C">
        <w:lastRenderedPageBreak/>
        <w:t>Figure</w:t>
      </w:r>
      <w:r>
        <w:t xml:space="preserve"> </w:t>
      </w:r>
      <w:r w:rsidRPr="0071774C">
        <w:t>3:</w:t>
      </w:r>
      <w:r>
        <w:t xml:space="preserve"> </w:t>
      </w:r>
      <w:r w:rsidRPr="0071774C">
        <w:t>Frequency</w:t>
      </w:r>
      <w:r>
        <w:t xml:space="preserve"> </w:t>
      </w:r>
      <w:r w:rsidRPr="0071774C">
        <w:t>of</w:t>
      </w:r>
      <w:r>
        <w:t xml:space="preserve"> </w:t>
      </w:r>
      <w:r w:rsidRPr="0071774C">
        <w:t>mentions</w:t>
      </w:r>
      <w:r>
        <w:t xml:space="preserve"> </w:t>
      </w:r>
      <w:r w:rsidRPr="0071774C">
        <w:t>of</w:t>
      </w:r>
      <w:r>
        <w:t xml:space="preserve"> </w:t>
      </w:r>
      <w:r w:rsidRPr="0071774C">
        <w:t>key</w:t>
      </w:r>
      <w:r>
        <w:t xml:space="preserve"> </w:t>
      </w:r>
      <w:r w:rsidRPr="0071774C">
        <w:t>words</w:t>
      </w:r>
      <w:r>
        <w:t xml:space="preserve"> </w:t>
      </w:r>
      <w:r w:rsidRPr="0071774C">
        <w:t>in</w:t>
      </w:r>
      <w:r>
        <w:t xml:space="preserve"> </w:t>
      </w:r>
      <w:r w:rsidRPr="0071774C">
        <w:t>South</w:t>
      </w:r>
      <w:r>
        <w:t xml:space="preserve"> </w:t>
      </w:r>
      <w:r w:rsidRPr="0071774C">
        <w:t>Australian</w:t>
      </w:r>
      <w:r>
        <w:t xml:space="preserve"> </w:t>
      </w:r>
      <w:r w:rsidRPr="0071774C">
        <w:t>Parliament</w:t>
      </w:r>
      <w:r>
        <w:t> </w:t>
      </w:r>
      <w:r w:rsidRPr="0071774C">
        <w:t>Hansard</w:t>
      </w:r>
    </w:p>
    <w:bookmarkEnd w:id="119"/>
    <w:tbl>
      <w:tblPr>
        <w:tblStyle w:val="Datatablehibsicus"/>
        <w:tblW w:w="9072" w:type="dxa"/>
        <w:tblLayout w:type="fixed"/>
        <w:tblCellMar>
          <w:left w:w="28" w:type="dxa"/>
          <w:right w:w="28" w:type="dxa"/>
        </w:tblCellMar>
        <w:tblLook w:val="06A0" w:firstRow="1" w:lastRow="0" w:firstColumn="1" w:lastColumn="0" w:noHBand="1" w:noVBand="1"/>
      </w:tblPr>
      <w:tblGrid>
        <w:gridCol w:w="2734"/>
        <w:gridCol w:w="577"/>
        <w:gridCol w:w="577"/>
        <w:gridCol w:w="576"/>
        <w:gridCol w:w="576"/>
        <w:gridCol w:w="576"/>
        <w:gridCol w:w="576"/>
        <w:gridCol w:w="576"/>
        <w:gridCol w:w="576"/>
        <w:gridCol w:w="576"/>
        <w:gridCol w:w="576"/>
        <w:gridCol w:w="576"/>
      </w:tblGrid>
      <w:tr w:rsidR="00923346" w14:paraId="603906C8" w14:textId="77777777" w:rsidTr="009135EE">
        <w:trPr>
          <w:cnfStyle w:val="100000000000" w:firstRow="1" w:lastRow="0" w:firstColumn="0" w:lastColumn="0" w:oddVBand="0" w:evenVBand="0" w:oddHBand="0" w:evenHBand="0" w:firstRowFirstColumn="0" w:firstRowLastColumn="0" w:lastRowFirstColumn="0" w:lastRowLastColumn="0"/>
          <w:cantSplit/>
          <w:trHeight w:val="851"/>
          <w:tblHeader/>
        </w:trPr>
        <w:tc>
          <w:tcPr>
            <w:tcW w:w="2734" w:type="dxa"/>
          </w:tcPr>
          <w:p w14:paraId="792ACC10" w14:textId="77777777" w:rsidR="00B2619D" w:rsidRDefault="00B2619D" w:rsidP="001209C1">
            <w:pPr>
              <w:pStyle w:val="OWTablecolumnheadleft"/>
              <w:ind w:left="85"/>
            </w:pPr>
          </w:p>
        </w:tc>
        <w:tc>
          <w:tcPr>
            <w:tcW w:w="577" w:type="dxa"/>
            <w:textDirection w:val="btLr"/>
          </w:tcPr>
          <w:p w14:paraId="79E369F6" w14:textId="77777777" w:rsidR="00B2619D" w:rsidRDefault="00B2619D" w:rsidP="00630500">
            <w:pPr>
              <w:pStyle w:val="OWTablecolumnheadleft"/>
              <w:ind w:left="85"/>
            </w:pPr>
            <w:r>
              <w:t>2009</w:t>
            </w:r>
          </w:p>
        </w:tc>
        <w:tc>
          <w:tcPr>
            <w:tcW w:w="577" w:type="dxa"/>
            <w:textDirection w:val="btLr"/>
          </w:tcPr>
          <w:p w14:paraId="2464FA2E" w14:textId="77777777" w:rsidR="00B2619D" w:rsidRDefault="00B2619D" w:rsidP="00630500">
            <w:pPr>
              <w:pStyle w:val="OWTablecolumnheadleft"/>
              <w:ind w:left="85"/>
            </w:pPr>
            <w:r>
              <w:t>2010</w:t>
            </w:r>
          </w:p>
        </w:tc>
        <w:tc>
          <w:tcPr>
            <w:tcW w:w="576" w:type="dxa"/>
            <w:textDirection w:val="btLr"/>
          </w:tcPr>
          <w:p w14:paraId="50DE7B45" w14:textId="77777777" w:rsidR="00B2619D" w:rsidRDefault="00B2619D" w:rsidP="00630500">
            <w:pPr>
              <w:pStyle w:val="OWTablecolumnheadleft"/>
              <w:ind w:left="85"/>
            </w:pPr>
            <w:r>
              <w:t>2011</w:t>
            </w:r>
          </w:p>
        </w:tc>
        <w:tc>
          <w:tcPr>
            <w:tcW w:w="576" w:type="dxa"/>
            <w:textDirection w:val="btLr"/>
          </w:tcPr>
          <w:p w14:paraId="022BE7A1" w14:textId="77777777" w:rsidR="00B2619D" w:rsidRDefault="00B2619D" w:rsidP="00630500">
            <w:pPr>
              <w:pStyle w:val="OWTablecolumnheadleft"/>
              <w:ind w:left="85"/>
            </w:pPr>
            <w:r>
              <w:t>2012</w:t>
            </w:r>
          </w:p>
        </w:tc>
        <w:tc>
          <w:tcPr>
            <w:tcW w:w="576" w:type="dxa"/>
            <w:textDirection w:val="btLr"/>
          </w:tcPr>
          <w:p w14:paraId="6961ABA1" w14:textId="77777777" w:rsidR="00B2619D" w:rsidRDefault="00B2619D" w:rsidP="00630500">
            <w:pPr>
              <w:pStyle w:val="OWTablecolumnheadleft"/>
              <w:ind w:left="85"/>
            </w:pPr>
            <w:r>
              <w:t>2013</w:t>
            </w:r>
          </w:p>
        </w:tc>
        <w:tc>
          <w:tcPr>
            <w:tcW w:w="576" w:type="dxa"/>
            <w:textDirection w:val="btLr"/>
          </w:tcPr>
          <w:p w14:paraId="63023CC5" w14:textId="77777777" w:rsidR="00B2619D" w:rsidRDefault="00B2619D" w:rsidP="00630500">
            <w:pPr>
              <w:pStyle w:val="OWTablecolumnheadleft"/>
              <w:ind w:left="85"/>
            </w:pPr>
            <w:r>
              <w:t>2014</w:t>
            </w:r>
          </w:p>
        </w:tc>
        <w:tc>
          <w:tcPr>
            <w:tcW w:w="576" w:type="dxa"/>
            <w:textDirection w:val="btLr"/>
          </w:tcPr>
          <w:p w14:paraId="67E23704" w14:textId="77777777" w:rsidR="00B2619D" w:rsidRDefault="00B2619D" w:rsidP="00630500">
            <w:pPr>
              <w:pStyle w:val="OWTablecolumnheadleft"/>
              <w:ind w:left="85"/>
            </w:pPr>
            <w:r>
              <w:t>2015</w:t>
            </w:r>
          </w:p>
        </w:tc>
        <w:tc>
          <w:tcPr>
            <w:tcW w:w="576" w:type="dxa"/>
            <w:textDirection w:val="btLr"/>
          </w:tcPr>
          <w:p w14:paraId="6C659268" w14:textId="77777777" w:rsidR="00B2619D" w:rsidRDefault="00B2619D" w:rsidP="00630500">
            <w:pPr>
              <w:pStyle w:val="OWTablecolumnheadleft"/>
              <w:ind w:left="85"/>
            </w:pPr>
            <w:r>
              <w:t>2016</w:t>
            </w:r>
          </w:p>
        </w:tc>
        <w:tc>
          <w:tcPr>
            <w:tcW w:w="576" w:type="dxa"/>
            <w:textDirection w:val="btLr"/>
          </w:tcPr>
          <w:p w14:paraId="0FAE8696" w14:textId="77777777" w:rsidR="00B2619D" w:rsidRDefault="00B2619D" w:rsidP="00630500">
            <w:pPr>
              <w:pStyle w:val="OWTablecolumnheadleft"/>
              <w:ind w:left="85"/>
            </w:pPr>
            <w:r>
              <w:t>2017</w:t>
            </w:r>
          </w:p>
        </w:tc>
        <w:tc>
          <w:tcPr>
            <w:tcW w:w="576" w:type="dxa"/>
            <w:textDirection w:val="btLr"/>
          </w:tcPr>
          <w:p w14:paraId="356DE410" w14:textId="77777777" w:rsidR="00B2619D" w:rsidRDefault="00B2619D" w:rsidP="00630500">
            <w:pPr>
              <w:pStyle w:val="OWTablecolumnheadleft"/>
              <w:ind w:left="85"/>
            </w:pPr>
            <w:r>
              <w:t>2018</w:t>
            </w:r>
          </w:p>
        </w:tc>
        <w:tc>
          <w:tcPr>
            <w:tcW w:w="576" w:type="dxa"/>
            <w:textDirection w:val="btLr"/>
          </w:tcPr>
          <w:p w14:paraId="53D2FCCC" w14:textId="77777777" w:rsidR="00B2619D" w:rsidRDefault="00B2619D" w:rsidP="00630500">
            <w:pPr>
              <w:pStyle w:val="OWTablecolumnheadleft"/>
              <w:ind w:left="85"/>
            </w:pPr>
            <w:r>
              <w:t>2019</w:t>
            </w:r>
          </w:p>
        </w:tc>
      </w:tr>
      <w:tr w:rsidR="007F3C0C" w14:paraId="2069AA11" w14:textId="77777777" w:rsidTr="007F3C0C">
        <w:trPr>
          <w:trHeight w:val="300"/>
        </w:trPr>
        <w:tc>
          <w:tcPr>
            <w:tcW w:w="2734" w:type="dxa"/>
          </w:tcPr>
          <w:p w14:paraId="06C61D59" w14:textId="77777777" w:rsidR="007F3C0C" w:rsidRDefault="007F3C0C" w:rsidP="00AD366D">
            <w:pPr>
              <w:pStyle w:val="OWTablebodyleft"/>
              <w:spacing w:before="50" w:after="70"/>
              <w:ind w:left="85"/>
            </w:pPr>
            <w:r>
              <w:t>Violence against women</w:t>
            </w:r>
          </w:p>
        </w:tc>
        <w:tc>
          <w:tcPr>
            <w:tcW w:w="577" w:type="dxa"/>
          </w:tcPr>
          <w:p w14:paraId="79608804" w14:textId="5F813321" w:rsidR="007F3C0C" w:rsidRPr="00B2619D" w:rsidRDefault="007F3C0C" w:rsidP="00AD366D">
            <w:pPr>
              <w:pStyle w:val="OWTablebodycentre"/>
              <w:spacing w:before="50" w:after="70"/>
            </w:pPr>
            <w:r w:rsidRPr="006877AA">
              <w:t>17</w:t>
            </w:r>
          </w:p>
        </w:tc>
        <w:tc>
          <w:tcPr>
            <w:tcW w:w="577" w:type="dxa"/>
          </w:tcPr>
          <w:p w14:paraId="074EF37F" w14:textId="04C2D3D1" w:rsidR="007F3C0C" w:rsidRPr="00B2619D" w:rsidRDefault="007F3C0C" w:rsidP="00AD366D">
            <w:pPr>
              <w:pStyle w:val="OWTablebodycentre"/>
              <w:spacing w:before="50" w:after="70"/>
            </w:pPr>
            <w:r w:rsidRPr="006877AA">
              <w:t>14</w:t>
            </w:r>
          </w:p>
        </w:tc>
        <w:tc>
          <w:tcPr>
            <w:tcW w:w="576" w:type="dxa"/>
          </w:tcPr>
          <w:p w14:paraId="7AE0144B" w14:textId="00F30FFA" w:rsidR="007F3C0C" w:rsidRPr="00B2619D" w:rsidRDefault="007F3C0C" w:rsidP="00AD366D">
            <w:pPr>
              <w:pStyle w:val="OWTablebodycentre"/>
              <w:spacing w:before="50" w:after="70"/>
            </w:pPr>
            <w:r w:rsidRPr="006877AA">
              <w:t>22</w:t>
            </w:r>
          </w:p>
        </w:tc>
        <w:tc>
          <w:tcPr>
            <w:tcW w:w="576" w:type="dxa"/>
          </w:tcPr>
          <w:p w14:paraId="01777431" w14:textId="4E945402" w:rsidR="007F3C0C" w:rsidRPr="00B2619D" w:rsidRDefault="007F3C0C" w:rsidP="00AD366D">
            <w:pPr>
              <w:pStyle w:val="OWTablebodycentre"/>
              <w:spacing w:before="50" w:after="70"/>
            </w:pPr>
            <w:r w:rsidRPr="006877AA">
              <w:t>9</w:t>
            </w:r>
          </w:p>
        </w:tc>
        <w:tc>
          <w:tcPr>
            <w:tcW w:w="576" w:type="dxa"/>
          </w:tcPr>
          <w:p w14:paraId="5EB1217D" w14:textId="44F44835" w:rsidR="007F3C0C" w:rsidRPr="00B2619D" w:rsidRDefault="007F3C0C" w:rsidP="00AD366D">
            <w:pPr>
              <w:pStyle w:val="OWTablebodycentre"/>
              <w:spacing w:before="50" w:after="70"/>
            </w:pPr>
            <w:r w:rsidRPr="006877AA">
              <w:t>14</w:t>
            </w:r>
          </w:p>
        </w:tc>
        <w:tc>
          <w:tcPr>
            <w:tcW w:w="576" w:type="dxa"/>
          </w:tcPr>
          <w:p w14:paraId="4C5EA043" w14:textId="3ABAC827" w:rsidR="007F3C0C" w:rsidRPr="00B2619D" w:rsidRDefault="007F3C0C" w:rsidP="00AD366D">
            <w:pPr>
              <w:pStyle w:val="OWTablebodycentre"/>
              <w:spacing w:before="50" w:after="70"/>
            </w:pPr>
            <w:r w:rsidRPr="006877AA">
              <w:t>39</w:t>
            </w:r>
          </w:p>
        </w:tc>
        <w:tc>
          <w:tcPr>
            <w:tcW w:w="576" w:type="dxa"/>
          </w:tcPr>
          <w:p w14:paraId="65370633" w14:textId="70F79761" w:rsidR="007F3C0C" w:rsidRPr="00B2619D" w:rsidRDefault="007F3C0C" w:rsidP="00AD366D">
            <w:pPr>
              <w:pStyle w:val="OWTablebodycentre"/>
              <w:spacing w:before="50" w:after="70"/>
            </w:pPr>
            <w:r w:rsidRPr="006877AA">
              <w:t>27</w:t>
            </w:r>
          </w:p>
        </w:tc>
        <w:tc>
          <w:tcPr>
            <w:tcW w:w="576" w:type="dxa"/>
          </w:tcPr>
          <w:p w14:paraId="0AF5C6E5" w14:textId="2F1EA2C4" w:rsidR="007F3C0C" w:rsidRPr="00B2619D" w:rsidRDefault="007F3C0C" w:rsidP="00AD366D">
            <w:pPr>
              <w:pStyle w:val="OWTablebodycentre"/>
              <w:spacing w:before="50" w:after="70"/>
            </w:pPr>
            <w:r w:rsidRPr="006877AA">
              <w:t>30</w:t>
            </w:r>
          </w:p>
        </w:tc>
        <w:tc>
          <w:tcPr>
            <w:tcW w:w="576" w:type="dxa"/>
          </w:tcPr>
          <w:p w14:paraId="11DBF60B" w14:textId="37320DCD" w:rsidR="007F3C0C" w:rsidRPr="00B2619D" w:rsidRDefault="007F3C0C" w:rsidP="00AD366D">
            <w:pPr>
              <w:pStyle w:val="OWTablebodycentre"/>
              <w:spacing w:before="50" w:after="70"/>
            </w:pPr>
            <w:r w:rsidRPr="006877AA">
              <w:t>10</w:t>
            </w:r>
          </w:p>
        </w:tc>
        <w:tc>
          <w:tcPr>
            <w:tcW w:w="576" w:type="dxa"/>
          </w:tcPr>
          <w:p w14:paraId="3E7AB5F9" w14:textId="6BF18B17" w:rsidR="007F3C0C" w:rsidRPr="00B2619D" w:rsidRDefault="007F3C0C" w:rsidP="00AD366D">
            <w:pPr>
              <w:pStyle w:val="OWTablebodycentre"/>
              <w:spacing w:before="50" w:after="70"/>
            </w:pPr>
            <w:r w:rsidRPr="006877AA">
              <w:t>22</w:t>
            </w:r>
          </w:p>
        </w:tc>
        <w:tc>
          <w:tcPr>
            <w:tcW w:w="576" w:type="dxa"/>
          </w:tcPr>
          <w:p w14:paraId="04A3F138" w14:textId="26B21649" w:rsidR="007F3C0C" w:rsidRPr="00B2619D" w:rsidRDefault="007F3C0C" w:rsidP="00AD366D">
            <w:pPr>
              <w:pStyle w:val="OWTablebodycentre"/>
              <w:spacing w:before="50" w:after="70"/>
            </w:pPr>
            <w:r w:rsidRPr="006877AA">
              <w:t>19</w:t>
            </w:r>
          </w:p>
        </w:tc>
      </w:tr>
      <w:tr w:rsidR="007F3C0C" w14:paraId="59099745" w14:textId="77777777" w:rsidTr="007F3C0C">
        <w:trPr>
          <w:trHeight w:val="300"/>
        </w:trPr>
        <w:tc>
          <w:tcPr>
            <w:tcW w:w="2734" w:type="dxa"/>
          </w:tcPr>
          <w:p w14:paraId="10AE14E9" w14:textId="77777777" w:rsidR="007F3C0C" w:rsidRDefault="007F3C0C" w:rsidP="00AD366D">
            <w:pPr>
              <w:pStyle w:val="OWTablebodyleft"/>
              <w:spacing w:before="50" w:after="70"/>
              <w:ind w:left="85"/>
            </w:pPr>
            <w:r>
              <w:t>Gender equality</w:t>
            </w:r>
          </w:p>
        </w:tc>
        <w:tc>
          <w:tcPr>
            <w:tcW w:w="577" w:type="dxa"/>
          </w:tcPr>
          <w:p w14:paraId="0164F41B" w14:textId="3FD7EE16" w:rsidR="007F3C0C" w:rsidRPr="00B2619D" w:rsidRDefault="007F3C0C" w:rsidP="00AD366D">
            <w:pPr>
              <w:pStyle w:val="OWTablebodycentre"/>
              <w:spacing w:before="50" w:after="70"/>
            </w:pPr>
            <w:r w:rsidRPr="006877AA">
              <w:t>1</w:t>
            </w:r>
          </w:p>
        </w:tc>
        <w:tc>
          <w:tcPr>
            <w:tcW w:w="577" w:type="dxa"/>
          </w:tcPr>
          <w:p w14:paraId="18F571E6" w14:textId="73776429" w:rsidR="007F3C0C" w:rsidRPr="00B2619D" w:rsidRDefault="007F3C0C" w:rsidP="00AD366D">
            <w:pPr>
              <w:pStyle w:val="OWTablebodycentre"/>
              <w:spacing w:before="50" w:after="70"/>
            </w:pPr>
            <w:r w:rsidRPr="006877AA">
              <w:t>1</w:t>
            </w:r>
          </w:p>
        </w:tc>
        <w:tc>
          <w:tcPr>
            <w:tcW w:w="576" w:type="dxa"/>
          </w:tcPr>
          <w:p w14:paraId="1B1F3FFA" w14:textId="2ED5CB48" w:rsidR="007F3C0C" w:rsidRPr="00B2619D" w:rsidRDefault="007F3C0C" w:rsidP="00AD366D">
            <w:pPr>
              <w:pStyle w:val="OWTablebodycentre"/>
              <w:spacing w:before="50" w:after="70"/>
            </w:pPr>
            <w:r w:rsidRPr="006877AA">
              <w:t>3</w:t>
            </w:r>
          </w:p>
        </w:tc>
        <w:tc>
          <w:tcPr>
            <w:tcW w:w="576" w:type="dxa"/>
          </w:tcPr>
          <w:p w14:paraId="18E61A60" w14:textId="033E6A46" w:rsidR="007F3C0C" w:rsidRPr="00B2619D" w:rsidRDefault="007F3C0C" w:rsidP="00AD366D">
            <w:pPr>
              <w:pStyle w:val="OWTablebodycentre"/>
              <w:spacing w:before="50" w:after="70"/>
            </w:pPr>
            <w:r w:rsidRPr="006877AA">
              <w:t>1</w:t>
            </w:r>
          </w:p>
        </w:tc>
        <w:tc>
          <w:tcPr>
            <w:tcW w:w="576" w:type="dxa"/>
          </w:tcPr>
          <w:p w14:paraId="4E8E87B7" w14:textId="1B0A93EE" w:rsidR="007F3C0C" w:rsidRPr="00B2619D" w:rsidRDefault="007F3C0C" w:rsidP="00AD366D">
            <w:pPr>
              <w:pStyle w:val="OWTablebodycentre"/>
              <w:spacing w:before="50" w:after="70"/>
            </w:pPr>
            <w:r w:rsidRPr="006877AA">
              <w:t>5</w:t>
            </w:r>
          </w:p>
        </w:tc>
        <w:tc>
          <w:tcPr>
            <w:tcW w:w="576" w:type="dxa"/>
          </w:tcPr>
          <w:p w14:paraId="4CF94777" w14:textId="63D4394F" w:rsidR="007F3C0C" w:rsidRPr="00B2619D" w:rsidRDefault="007F3C0C" w:rsidP="00AD366D">
            <w:pPr>
              <w:pStyle w:val="OWTablebodycentre"/>
              <w:spacing w:before="50" w:after="70"/>
            </w:pPr>
            <w:r w:rsidRPr="006877AA">
              <w:t>6</w:t>
            </w:r>
          </w:p>
        </w:tc>
        <w:tc>
          <w:tcPr>
            <w:tcW w:w="576" w:type="dxa"/>
          </w:tcPr>
          <w:p w14:paraId="1237896F" w14:textId="37B5055A" w:rsidR="007F3C0C" w:rsidRPr="00B2619D" w:rsidRDefault="007F3C0C" w:rsidP="00AD366D">
            <w:pPr>
              <w:pStyle w:val="OWTablebodycentre"/>
              <w:spacing w:before="50" w:after="70"/>
            </w:pPr>
            <w:r w:rsidRPr="006877AA">
              <w:t>9</w:t>
            </w:r>
          </w:p>
        </w:tc>
        <w:tc>
          <w:tcPr>
            <w:tcW w:w="576" w:type="dxa"/>
          </w:tcPr>
          <w:p w14:paraId="77A01BB2" w14:textId="78AD4B6C" w:rsidR="007F3C0C" w:rsidRPr="00B2619D" w:rsidRDefault="007F3C0C" w:rsidP="00AD366D">
            <w:pPr>
              <w:pStyle w:val="OWTablebodycentre"/>
              <w:spacing w:before="50" w:after="70"/>
            </w:pPr>
            <w:r w:rsidRPr="006877AA">
              <w:t>14</w:t>
            </w:r>
          </w:p>
        </w:tc>
        <w:tc>
          <w:tcPr>
            <w:tcW w:w="576" w:type="dxa"/>
          </w:tcPr>
          <w:p w14:paraId="54537A97" w14:textId="6DEA1E66" w:rsidR="007F3C0C" w:rsidRPr="00B2619D" w:rsidRDefault="007F3C0C" w:rsidP="00AD366D">
            <w:pPr>
              <w:pStyle w:val="OWTablebodycentre"/>
              <w:spacing w:before="50" w:after="70"/>
            </w:pPr>
            <w:r w:rsidRPr="006877AA">
              <w:t>7</w:t>
            </w:r>
          </w:p>
        </w:tc>
        <w:tc>
          <w:tcPr>
            <w:tcW w:w="576" w:type="dxa"/>
          </w:tcPr>
          <w:p w14:paraId="2192E7AC" w14:textId="2CDA77EE" w:rsidR="007F3C0C" w:rsidRPr="00B2619D" w:rsidRDefault="007F3C0C" w:rsidP="00AD366D">
            <w:pPr>
              <w:pStyle w:val="OWTablebodycentre"/>
              <w:spacing w:before="50" w:after="70"/>
            </w:pPr>
            <w:r w:rsidRPr="006877AA">
              <w:t>21</w:t>
            </w:r>
          </w:p>
        </w:tc>
        <w:tc>
          <w:tcPr>
            <w:tcW w:w="576" w:type="dxa"/>
          </w:tcPr>
          <w:p w14:paraId="1BCE6BC8" w14:textId="793CE3F2" w:rsidR="007F3C0C" w:rsidRPr="00B2619D" w:rsidRDefault="007F3C0C" w:rsidP="00AD366D">
            <w:pPr>
              <w:pStyle w:val="OWTablebodycentre"/>
              <w:spacing w:before="50" w:after="70"/>
            </w:pPr>
            <w:r w:rsidRPr="006877AA">
              <w:t>26</w:t>
            </w:r>
          </w:p>
        </w:tc>
      </w:tr>
      <w:tr w:rsidR="007F3C0C" w14:paraId="59D55F8D" w14:textId="77777777" w:rsidTr="007F3C0C">
        <w:trPr>
          <w:trHeight w:val="300"/>
        </w:trPr>
        <w:tc>
          <w:tcPr>
            <w:tcW w:w="2734" w:type="dxa"/>
          </w:tcPr>
          <w:p w14:paraId="5FFD1412" w14:textId="77777777" w:rsidR="007F3C0C" w:rsidRDefault="007F3C0C" w:rsidP="00AD366D">
            <w:pPr>
              <w:pStyle w:val="OWTablebodyleft"/>
              <w:spacing w:before="50" w:after="70"/>
              <w:ind w:left="85"/>
            </w:pPr>
            <w:r>
              <w:t>Gender pay gap</w:t>
            </w:r>
          </w:p>
        </w:tc>
        <w:tc>
          <w:tcPr>
            <w:tcW w:w="577" w:type="dxa"/>
          </w:tcPr>
          <w:p w14:paraId="0AF7E6DC" w14:textId="49F647CA" w:rsidR="007F3C0C" w:rsidRPr="00B2619D" w:rsidRDefault="007F3C0C" w:rsidP="00AD366D">
            <w:pPr>
              <w:pStyle w:val="OWTablebodycentre"/>
              <w:spacing w:before="50" w:after="70"/>
            </w:pPr>
            <w:r w:rsidRPr="006877AA">
              <w:t>0</w:t>
            </w:r>
          </w:p>
        </w:tc>
        <w:tc>
          <w:tcPr>
            <w:tcW w:w="577" w:type="dxa"/>
          </w:tcPr>
          <w:p w14:paraId="6360441C" w14:textId="4069E420" w:rsidR="007F3C0C" w:rsidRPr="00B2619D" w:rsidRDefault="007F3C0C" w:rsidP="00AD366D">
            <w:pPr>
              <w:pStyle w:val="OWTablebodycentre"/>
              <w:spacing w:before="50" w:after="70"/>
            </w:pPr>
            <w:r w:rsidRPr="006877AA">
              <w:t>1</w:t>
            </w:r>
          </w:p>
        </w:tc>
        <w:tc>
          <w:tcPr>
            <w:tcW w:w="576" w:type="dxa"/>
          </w:tcPr>
          <w:p w14:paraId="7F21DD3B" w14:textId="6C88EFDF" w:rsidR="007F3C0C" w:rsidRPr="00B2619D" w:rsidRDefault="007F3C0C" w:rsidP="00AD366D">
            <w:pPr>
              <w:pStyle w:val="OWTablebodycentre"/>
              <w:spacing w:before="50" w:after="70"/>
            </w:pPr>
            <w:r w:rsidRPr="006877AA">
              <w:t>0</w:t>
            </w:r>
          </w:p>
        </w:tc>
        <w:tc>
          <w:tcPr>
            <w:tcW w:w="576" w:type="dxa"/>
          </w:tcPr>
          <w:p w14:paraId="51311253" w14:textId="7FC7B5EE" w:rsidR="007F3C0C" w:rsidRPr="00B2619D" w:rsidRDefault="007F3C0C" w:rsidP="00AD366D">
            <w:pPr>
              <w:pStyle w:val="OWTablebodycentre"/>
              <w:spacing w:before="50" w:after="70"/>
            </w:pPr>
            <w:r w:rsidRPr="006877AA">
              <w:t>0</w:t>
            </w:r>
          </w:p>
        </w:tc>
        <w:tc>
          <w:tcPr>
            <w:tcW w:w="576" w:type="dxa"/>
          </w:tcPr>
          <w:p w14:paraId="6298D796" w14:textId="0161EE68" w:rsidR="007F3C0C" w:rsidRPr="00B2619D" w:rsidRDefault="007F3C0C" w:rsidP="00AD366D">
            <w:pPr>
              <w:pStyle w:val="OWTablebodycentre"/>
              <w:spacing w:before="50" w:after="70"/>
            </w:pPr>
            <w:r w:rsidRPr="006877AA">
              <w:t>0</w:t>
            </w:r>
          </w:p>
        </w:tc>
        <w:tc>
          <w:tcPr>
            <w:tcW w:w="576" w:type="dxa"/>
          </w:tcPr>
          <w:p w14:paraId="1C9382BD" w14:textId="1C6B318A" w:rsidR="007F3C0C" w:rsidRPr="00B2619D" w:rsidRDefault="007F3C0C" w:rsidP="00AD366D">
            <w:pPr>
              <w:pStyle w:val="OWTablebodycentre"/>
              <w:spacing w:before="50" w:after="70"/>
            </w:pPr>
            <w:r w:rsidRPr="006877AA">
              <w:t>2</w:t>
            </w:r>
          </w:p>
        </w:tc>
        <w:tc>
          <w:tcPr>
            <w:tcW w:w="576" w:type="dxa"/>
          </w:tcPr>
          <w:p w14:paraId="620B600E" w14:textId="6F2FFF30" w:rsidR="007F3C0C" w:rsidRPr="00B2619D" w:rsidRDefault="007F3C0C" w:rsidP="00AD366D">
            <w:pPr>
              <w:pStyle w:val="OWTablebodycentre"/>
              <w:spacing w:before="50" w:after="70"/>
            </w:pPr>
            <w:r w:rsidRPr="006877AA">
              <w:t>7</w:t>
            </w:r>
          </w:p>
        </w:tc>
        <w:tc>
          <w:tcPr>
            <w:tcW w:w="576" w:type="dxa"/>
          </w:tcPr>
          <w:p w14:paraId="6970D94B" w14:textId="6B606405" w:rsidR="007F3C0C" w:rsidRPr="00B2619D" w:rsidRDefault="007F3C0C" w:rsidP="00AD366D">
            <w:pPr>
              <w:pStyle w:val="OWTablebodycentre"/>
              <w:spacing w:before="50" w:after="70"/>
            </w:pPr>
            <w:r w:rsidRPr="006877AA">
              <w:t>5</w:t>
            </w:r>
          </w:p>
        </w:tc>
        <w:tc>
          <w:tcPr>
            <w:tcW w:w="576" w:type="dxa"/>
          </w:tcPr>
          <w:p w14:paraId="294CF4C7" w14:textId="0999A8FC" w:rsidR="007F3C0C" w:rsidRPr="00B2619D" w:rsidRDefault="007F3C0C" w:rsidP="00AD366D">
            <w:pPr>
              <w:pStyle w:val="OWTablebodycentre"/>
              <w:spacing w:before="50" w:after="70"/>
            </w:pPr>
            <w:r w:rsidRPr="006877AA">
              <w:t>7</w:t>
            </w:r>
          </w:p>
        </w:tc>
        <w:tc>
          <w:tcPr>
            <w:tcW w:w="576" w:type="dxa"/>
          </w:tcPr>
          <w:p w14:paraId="08574AAA" w14:textId="4CB9DADA" w:rsidR="007F3C0C" w:rsidRPr="00B2619D" w:rsidRDefault="007F3C0C" w:rsidP="00AD366D">
            <w:pPr>
              <w:pStyle w:val="OWTablebodycentre"/>
              <w:spacing w:before="50" w:after="70"/>
            </w:pPr>
            <w:r w:rsidRPr="006877AA">
              <w:t>4</w:t>
            </w:r>
          </w:p>
        </w:tc>
        <w:tc>
          <w:tcPr>
            <w:tcW w:w="576" w:type="dxa"/>
          </w:tcPr>
          <w:p w14:paraId="17D82378" w14:textId="562266B7" w:rsidR="007F3C0C" w:rsidRPr="00B2619D" w:rsidRDefault="007F3C0C" w:rsidP="00AD366D">
            <w:pPr>
              <w:pStyle w:val="OWTablebodycentre"/>
              <w:spacing w:before="50" w:after="70"/>
            </w:pPr>
            <w:r w:rsidRPr="006877AA">
              <w:t>2</w:t>
            </w:r>
          </w:p>
        </w:tc>
      </w:tr>
      <w:tr w:rsidR="007F3C0C" w14:paraId="1975969C" w14:textId="77777777" w:rsidTr="007F3C0C">
        <w:trPr>
          <w:trHeight w:val="300"/>
        </w:trPr>
        <w:tc>
          <w:tcPr>
            <w:tcW w:w="2734" w:type="dxa"/>
          </w:tcPr>
          <w:p w14:paraId="69BF7D76" w14:textId="77777777" w:rsidR="007F3C0C" w:rsidRDefault="007F3C0C" w:rsidP="00AD366D">
            <w:pPr>
              <w:pStyle w:val="OWTablebodyleft"/>
              <w:spacing w:before="50" w:after="70"/>
              <w:ind w:left="85"/>
            </w:pPr>
            <w:r>
              <w:t>Domestic violence</w:t>
            </w:r>
          </w:p>
        </w:tc>
        <w:tc>
          <w:tcPr>
            <w:tcW w:w="577" w:type="dxa"/>
          </w:tcPr>
          <w:p w14:paraId="723CFE84" w14:textId="1711F590" w:rsidR="007F3C0C" w:rsidRPr="00B2619D" w:rsidRDefault="007F3C0C" w:rsidP="00AD366D">
            <w:pPr>
              <w:pStyle w:val="OWTablebodycentre"/>
              <w:spacing w:before="50" w:after="70"/>
            </w:pPr>
            <w:r w:rsidRPr="006877AA">
              <w:t>69</w:t>
            </w:r>
          </w:p>
        </w:tc>
        <w:tc>
          <w:tcPr>
            <w:tcW w:w="577" w:type="dxa"/>
          </w:tcPr>
          <w:p w14:paraId="28FD0850" w14:textId="38317E66" w:rsidR="007F3C0C" w:rsidRPr="00B2619D" w:rsidRDefault="007F3C0C" w:rsidP="00AD366D">
            <w:pPr>
              <w:pStyle w:val="OWTablebodycentre"/>
              <w:spacing w:before="50" w:after="70"/>
            </w:pPr>
            <w:r w:rsidRPr="006877AA">
              <w:t>31</w:t>
            </w:r>
          </w:p>
        </w:tc>
        <w:tc>
          <w:tcPr>
            <w:tcW w:w="576" w:type="dxa"/>
          </w:tcPr>
          <w:p w14:paraId="0E34B05E" w14:textId="4DE668DC" w:rsidR="007F3C0C" w:rsidRPr="00B2619D" w:rsidRDefault="007F3C0C" w:rsidP="00AD366D">
            <w:pPr>
              <w:pStyle w:val="OWTablebodycentre"/>
              <w:spacing w:before="50" w:after="70"/>
            </w:pPr>
            <w:r w:rsidRPr="006877AA">
              <w:t>54</w:t>
            </w:r>
          </w:p>
        </w:tc>
        <w:tc>
          <w:tcPr>
            <w:tcW w:w="576" w:type="dxa"/>
          </w:tcPr>
          <w:p w14:paraId="165ECEAF" w14:textId="250E994E" w:rsidR="007F3C0C" w:rsidRPr="00B2619D" w:rsidRDefault="007F3C0C" w:rsidP="00AD366D">
            <w:pPr>
              <w:pStyle w:val="OWTablebodycentre"/>
              <w:spacing w:before="50" w:after="70"/>
            </w:pPr>
            <w:r w:rsidRPr="006877AA">
              <w:t>40</w:t>
            </w:r>
          </w:p>
        </w:tc>
        <w:tc>
          <w:tcPr>
            <w:tcW w:w="576" w:type="dxa"/>
          </w:tcPr>
          <w:p w14:paraId="4E2BBC75" w14:textId="1CED9E25" w:rsidR="007F3C0C" w:rsidRPr="00B2619D" w:rsidRDefault="007F3C0C" w:rsidP="00AD366D">
            <w:pPr>
              <w:pStyle w:val="OWTablebodycentre"/>
              <w:spacing w:before="50" w:after="70"/>
            </w:pPr>
            <w:r w:rsidRPr="006877AA">
              <w:t>37</w:t>
            </w:r>
          </w:p>
        </w:tc>
        <w:tc>
          <w:tcPr>
            <w:tcW w:w="576" w:type="dxa"/>
          </w:tcPr>
          <w:p w14:paraId="7EE9A6C6" w14:textId="2D890E0B" w:rsidR="007F3C0C" w:rsidRPr="00B2619D" w:rsidRDefault="007F3C0C" w:rsidP="00AD366D">
            <w:pPr>
              <w:pStyle w:val="OWTablebodycentre"/>
              <w:spacing w:before="50" w:after="70"/>
            </w:pPr>
            <w:r w:rsidRPr="006877AA">
              <w:t>107</w:t>
            </w:r>
          </w:p>
        </w:tc>
        <w:tc>
          <w:tcPr>
            <w:tcW w:w="576" w:type="dxa"/>
          </w:tcPr>
          <w:p w14:paraId="64AFE4B3" w14:textId="758563B5" w:rsidR="007F3C0C" w:rsidRPr="00B2619D" w:rsidRDefault="007F3C0C" w:rsidP="00AD366D">
            <w:pPr>
              <w:pStyle w:val="OWTablebodycentre"/>
              <w:spacing w:before="50" w:after="70"/>
            </w:pPr>
            <w:r w:rsidRPr="006877AA">
              <w:t>109</w:t>
            </w:r>
          </w:p>
        </w:tc>
        <w:tc>
          <w:tcPr>
            <w:tcW w:w="576" w:type="dxa"/>
          </w:tcPr>
          <w:p w14:paraId="4AE5A116" w14:textId="0A1987CA" w:rsidR="007F3C0C" w:rsidRPr="00B2619D" w:rsidRDefault="007F3C0C" w:rsidP="00AD366D">
            <w:pPr>
              <w:pStyle w:val="OWTablebodycentre"/>
              <w:spacing w:before="50" w:after="70"/>
            </w:pPr>
            <w:r w:rsidRPr="006877AA">
              <w:t>118</w:t>
            </w:r>
          </w:p>
        </w:tc>
        <w:tc>
          <w:tcPr>
            <w:tcW w:w="576" w:type="dxa"/>
          </w:tcPr>
          <w:p w14:paraId="66619EB5" w14:textId="5A7AFEA7" w:rsidR="007F3C0C" w:rsidRPr="00B2619D" w:rsidRDefault="007F3C0C" w:rsidP="00AD366D">
            <w:pPr>
              <w:pStyle w:val="OWTablebodycentre"/>
              <w:spacing w:before="50" w:after="70"/>
            </w:pPr>
            <w:r w:rsidRPr="006877AA">
              <w:t>66</w:t>
            </w:r>
          </w:p>
        </w:tc>
        <w:tc>
          <w:tcPr>
            <w:tcW w:w="576" w:type="dxa"/>
          </w:tcPr>
          <w:p w14:paraId="4A127E2A" w14:textId="7364E1F0" w:rsidR="007F3C0C" w:rsidRPr="00B2619D" w:rsidRDefault="007F3C0C" w:rsidP="00AD366D">
            <w:pPr>
              <w:pStyle w:val="OWTablebodycentre"/>
              <w:spacing w:before="50" w:after="70"/>
            </w:pPr>
            <w:r w:rsidRPr="006877AA">
              <w:t>114</w:t>
            </w:r>
          </w:p>
        </w:tc>
        <w:tc>
          <w:tcPr>
            <w:tcW w:w="576" w:type="dxa"/>
          </w:tcPr>
          <w:p w14:paraId="427EE720" w14:textId="2F9A036D" w:rsidR="007F3C0C" w:rsidRPr="00B2619D" w:rsidRDefault="007F3C0C" w:rsidP="00AD366D">
            <w:pPr>
              <w:pStyle w:val="OWTablebodycentre"/>
              <w:spacing w:before="50" w:after="70"/>
            </w:pPr>
            <w:r w:rsidRPr="006877AA">
              <w:t>89</w:t>
            </w:r>
          </w:p>
        </w:tc>
      </w:tr>
      <w:tr w:rsidR="007F3C0C" w14:paraId="6D3022DD" w14:textId="77777777" w:rsidTr="007F3C0C">
        <w:trPr>
          <w:trHeight w:val="300"/>
        </w:trPr>
        <w:tc>
          <w:tcPr>
            <w:tcW w:w="2734" w:type="dxa"/>
          </w:tcPr>
          <w:p w14:paraId="4F1FAC4C" w14:textId="77777777" w:rsidR="007F3C0C" w:rsidRDefault="007F3C0C" w:rsidP="00AD366D">
            <w:pPr>
              <w:pStyle w:val="OWTablebodyleft"/>
              <w:spacing w:before="50" w:after="70"/>
              <w:ind w:left="85"/>
            </w:pPr>
            <w:r>
              <w:t>Family violence</w:t>
            </w:r>
          </w:p>
        </w:tc>
        <w:tc>
          <w:tcPr>
            <w:tcW w:w="577" w:type="dxa"/>
          </w:tcPr>
          <w:p w14:paraId="0D21C058" w14:textId="16B06678" w:rsidR="007F3C0C" w:rsidRPr="00B2619D" w:rsidRDefault="007F3C0C" w:rsidP="00AD366D">
            <w:pPr>
              <w:pStyle w:val="OWTablebodycentre"/>
              <w:spacing w:before="50" w:after="70"/>
            </w:pPr>
            <w:r w:rsidRPr="006877AA">
              <w:t>27</w:t>
            </w:r>
          </w:p>
        </w:tc>
        <w:tc>
          <w:tcPr>
            <w:tcW w:w="577" w:type="dxa"/>
          </w:tcPr>
          <w:p w14:paraId="62DCB68D" w14:textId="2BDFEBFA" w:rsidR="007F3C0C" w:rsidRPr="00B2619D" w:rsidRDefault="007F3C0C" w:rsidP="00AD366D">
            <w:pPr>
              <w:pStyle w:val="OWTablebodycentre"/>
              <w:spacing w:before="50" w:after="70"/>
            </w:pPr>
            <w:r w:rsidRPr="006877AA">
              <w:t>4</w:t>
            </w:r>
          </w:p>
        </w:tc>
        <w:tc>
          <w:tcPr>
            <w:tcW w:w="576" w:type="dxa"/>
          </w:tcPr>
          <w:p w14:paraId="48541D1C" w14:textId="090C8111" w:rsidR="007F3C0C" w:rsidRPr="00B2619D" w:rsidRDefault="007F3C0C" w:rsidP="00AD366D">
            <w:pPr>
              <w:pStyle w:val="OWTablebodycentre"/>
              <w:spacing w:before="50" w:after="70"/>
            </w:pPr>
            <w:r w:rsidRPr="006877AA">
              <w:t>15</w:t>
            </w:r>
          </w:p>
        </w:tc>
        <w:tc>
          <w:tcPr>
            <w:tcW w:w="576" w:type="dxa"/>
          </w:tcPr>
          <w:p w14:paraId="5DED8580" w14:textId="485461A0" w:rsidR="007F3C0C" w:rsidRPr="00B2619D" w:rsidRDefault="007F3C0C" w:rsidP="00AD366D">
            <w:pPr>
              <w:pStyle w:val="OWTablebodycentre"/>
              <w:spacing w:before="50" w:after="70"/>
            </w:pPr>
            <w:r w:rsidRPr="006877AA">
              <w:t>11</w:t>
            </w:r>
          </w:p>
        </w:tc>
        <w:tc>
          <w:tcPr>
            <w:tcW w:w="576" w:type="dxa"/>
          </w:tcPr>
          <w:p w14:paraId="7C276087" w14:textId="6237D71E" w:rsidR="007F3C0C" w:rsidRPr="00B2619D" w:rsidRDefault="007F3C0C" w:rsidP="00AD366D">
            <w:pPr>
              <w:pStyle w:val="OWTablebodycentre"/>
              <w:spacing w:before="50" w:after="70"/>
            </w:pPr>
            <w:r w:rsidRPr="006877AA">
              <w:t>3</w:t>
            </w:r>
          </w:p>
        </w:tc>
        <w:tc>
          <w:tcPr>
            <w:tcW w:w="576" w:type="dxa"/>
          </w:tcPr>
          <w:p w14:paraId="0DAF23DE" w14:textId="48269CA5" w:rsidR="007F3C0C" w:rsidRPr="00B2619D" w:rsidRDefault="007F3C0C" w:rsidP="00AD366D">
            <w:pPr>
              <w:pStyle w:val="OWTablebodycentre"/>
              <w:spacing w:before="50" w:after="70"/>
            </w:pPr>
            <w:r w:rsidRPr="006877AA">
              <w:t>33</w:t>
            </w:r>
          </w:p>
        </w:tc>
        <w:tc>
          <w:tcPr>
            <w:tcW w:w="576" w:type="dxa"/>
          </w:tcPr>
          <w:p w14:paraId="12FFA2D7" w14:textId="18533F7E" w:rsidR="007F3C0C" w:rsidRPr="00B2619D" w:rsidRDefault="007F3C0C" w:rsidP="00AD366D">
            <w:pPr>
              <w:pStyle w:val="OWTablebodycentre"/>
              <w:spacing w:before="50" w:after="70"/>
            </w:pPr>
            <w:r w:rsidRPr="006877AA">
              <w:t>31</w:t>
            </w:r>
          </w:p>
        </w:tc>
        <w:tc>
          <w:tcPr>
            <w:tcW w:w="576" w:type="dxa"/>
          </w:tcPr>
          <w:p w14:paraId="7416C581" w14:textId="38644034" w:rsidR="007F3C0C" w:rsidRPr="00B2619D" w:rsidRDefault="007F3C0C" w:rsidP="00AD366D">
            <w:pPr>
              <w:pStyle w:val="OWTablebodycentre"/>
              <w:spacing w:before="50" w:after="70"/>
            </w:pPr>
            <w:r w:rsidRPr="006877AA">
              <w:t>39</w:t>
            </w:r>
          </w:p>
        </w:tc>
        <w:tc>
          <w:tcPr>
            <w:tcW w:w="576" w:type="dxa"/>
          </w:tcPr>
          <w:p w14:paraId="28A3D6EF" w14:textId="0ADFD827" w:rsidR="007F3C0C" w:rsidRPr="00B2619D" w:rsidRDefault="007F3C0C" w:rsidP="00AD366D">
            <w:pPr>
              <w:pStyle w:val="OWTablebodycentre"/>
              <w:spacing w:before="50" w:after="70"/>
            </w:pPr>
            <w:r w:rsidRPr="006877AA">
              <w:t>25</w:t>
            </w:r>
          </w:p>
        </w:tc>
        <w:tc>
          <w:tcPr>
            <w:tcW w:w="576" w:type="dxa"/>
          </w:tcPr>
          <w:p w14:paraId="3079460C" w14:textId="28184775" w:rsidR="007F3C0C" w:rsidRPr="00B2619D" w:rsidRDefault="007F3C0C" w:rsidP="00AD366D">
            <w:pPr>
              <w:pStyle w:val="OWTablebodycentre"/>
              <w:spacing w:before="50" w:after="70"/>
            </w:pPr>
            <w:r w:rsidRPr="006877AA">
              <w:t>57</w:t>
            </w:r>
          </w:p>
        </w:tc>
        <w:tc>
          <w:tcPr>
            <w:tcW w:w="576" w:type="dxa"/>
          </w:tcPr>
          <w:p w14:paraId="37810F2E" w14:textId="54E30067" w:rsidR="007F3C0C" w:rsidRPr="00B2619D" w:rsidRDefault="007F3C0C" w:rsidP="00AD366D">
            <w:pPr>
              <w:pStyle w:val="OWTablebodycentre"/>
              <w:spacing w:before="50" w:after="70"/>
            </w:pPr>
            <w:r w:rsidRPr="006877AA">
              <w:t>48</w:t>
            </w:r>
          </w:p>
        </w:tc>
      </w:tr>
    </w:tbl>
    <w:p w14:paraId="4F185761" w14:textId="4E89EB55" w:rsidR="001209C1" w:rsidRDefault="00360573" w:rsidP="00AD366D">
      <w:pPr>
        <w:pStyle w:val="OWBodytextlargespaceabove"/>
        <w:spacing w:before="140"/>
      </w:pPr>
      <w:hyperlink w:anchor="Figure03FollowOn" w:history="1">
        <w:r w:rsidR="001209C1" w:rsidRPr="00E83BB7">
          <w:rPr>
            <w:rStyle w:val="Hyperlink"/>
          </w:rPr>
          <w:t>Return to text following Figure</w:t>
        </w:r>
        <w:r w:rsidR="001209C1">
          <w:rPr>
            <w:rStyle w:val="Hyperlink"/>
          </w:rPr>
          <w:t xml:space="preserve"> 3</w:t>
        </w:r>
      </w:hyperlink>
    </w:p>
    <w:p w14:paraId="54BA8FD2" w14:textId="43AA95FB" w:rsidR="003E5731" w:rsidRDefault="003E5731" w:rsidP="00AD366D">
      <w:pPr>
        <w:pStyle w:val="Heading3appendix"/>
        <w:spacing w:before="240"/>
      </w:pPr>
      <w:bookmarkStart w:id="120" w:name="Fig12AltText"/>
      <w:r>
        <w:t xml:space="preserve">Figure </w:t>
      </w:r>
      <w:r w:rsidR="00D162DF">
        <w:t>12</w:t>
      </w:r>
      <w:r>
        <w:t xml:space="preserve">: Proportion of women employees by industry, </w:t>
      </w:r>
      <w:r w:rsidR="001A2A69">
        <w:br/>
      </w:r>
      <w:r>
        <w:t xml:space="preserve">2013–14 </w:t>
      </w:r>
      <w:r w:rsidR="001A2A69">
        <w:t>and</w:t>
      </w:r>
      <w:r>
        <w:t xml:space="preserve"> 2018–19</w:t>
      </w:r>
    </w:p>
    <w:bookmarkEnd w:id="120"/>
    <w:p w14:paraId="142C5B16" w14:textId="77777777" w:rsidR="003E5731" w:rsidRDefault="003E5731" w:rsidP="003E5731">
      <w:pPr>
        <w:pStyle w:val="BodyText"/>
      </w:pPr>
      <w:r>
        <w:t>Bar graph of the following data (proportion).</w:t>
      </w:r>
    </w:p>
    <w:tbl>
      <w:tblPr>
        <w:tblStyle w:val="Datatablehibsicus"/>
        <w:tblW w:w="9072" w:type="dxa"/>
        <w:tblLayout w:type="fixed"/>
        <w:tblLook w:val="02A0" w:firstRow="1" w:lastRow="0" w:firstColumn="1" w:lastColumn="0" w:noHBand="1" w:noVBand="0"/>
      </w:tblPr>
      <w:tblGrid>
        <w:gridCol w:w="5670"/>
        <w:gridCol w:w="1701"/>
        <w:gridCol w:w="1701"/>
      </w:tblGrid>
      <w:tr w:rsidR="003E5731" w14:paraId="4AFF84C1" w14:textId="77777777" w:rsidTr="006347E1">
        <w:trPr>
          <w:cnfStyle w:val="100000000000" w:firstRow="1" w:lastRow="0" w:firstColumn="0" w:lastColumn="0" w:oddVBand="0" w:evenVBand="0" w:oddHBand="0" w:evenHBand="0" w:firstRowFirstColumn="0" w:firstRowLastColumn="0" w:lastRowFirstColumn="0" w:lastRowLastColumn="0"/>
          <w:trHeight w:val="60"/>
          <w:tblHeader/>
        </w:trPr>
        <w:tc>
          <w:tcPr>
            <w:tcW w:w="5669" w:type="dxa"/>
          </w:tcPr>
          <w:p w14:paraId="04AF0EC6" w14:textId="77777777" w:rsidR="003E5731" w:rsidRDefault="003E5731" w:rsidP="001577BA">
            <w:pPr>
              <w:pStyle w:val="OWTablecolumnheadleft"/>
            </w:pPr>
          </w:p>
        </w:tc>
        <w:tc>
          <w:tcPr>
            <w:tcW w:w="1701" w:type="dxa"/>
          </w:tcPr>
          <w:p w14:paraId="4AD662BF" w14:textId="77777777" w:rsidR="003E5731" w:rsidRDefault="003E5731" w:rsidP="003E5731">
            <w:pPr>
              <w:pStyle w:val="OWTablecolumnheadcentre"/>
              <w:spacing w:before="70" w:after="90"/>
            </w:pPr>
            <w:r>
              <w:t>2013–14</w:t>
            </w:r>
          </w:p>
        </w:tc>
        <w:tc>
          <w:tcPr>
            <w:tcW w:w="1701" w:type="dxa"/>
          </w:tcPr>
          <w:p w14:paraId="1D9728A8" w14:textId="77777777" w:rsidR="003E5731" w:rsidRDefault="003E5731" w:rsidP="003E5731">
            <w:pPr>
              <w:pStyle w:val="OWTablecolumnheadcentre"/>
              <w:spacing w:before="70" w:after="90"/>
            </w:pPr>
            <w:r>
              <w:t>2018–19</w:t>
            </w:r>
          </w:p>
        </w:tc>
      </w:tr>
      <w:tr w:rsidR="003E5731" w14:paraId="620218F1" w14:textId="77777777" w:rsidTr="00D8674A">
        <w:trPr>
          <w:trHeight w:val="60"/>
        </w:trPr>
        <w:tc>
          <w:tcPr>
            <w:tcW w:w="5669" w:type="dxa"/>
          </w:tcPr>
          <w:p w14:paraId="4794C424" w14:textId="77777777" w:rsidR="003E5731" w:rsidRDefault="003E5731" w:rsidP="00AD366D">
            <w:pPr>
              <w:pStyle w:val="OWTablebodyleft"/>
              <w:spacing w:before="30" w:after="50"/>
            </w:pPr>
            <w:r>
              <w:t>Accommodation and food services</w:t>
            </w:r>
          </w:p>
        </w:tc>
        <w:tc>
          <w:tcPr>
            <w:tcW w:w="1701" w:type="dxa"/>
          </w:tcPr>
          <w:p w14:paraId="313585BA" w14:textId="77777777" w:rsidR="003E5731" w:rsidRDefault="003E5731" w:rsidP="00AD366D">
            <w:pPr>
              <w:pStyle w:val="OWTablebodycentre"/>
              <w:spacing w:before="30" w:after="50"/>
            </w:pPr>
            <w:r>
              <w:t>51.2%</w:t>
            </w:r>
          </w:p>
        </w:tc>
        <w:tc>
          <w:tcPr>
            <w:tcW w:w="1701" w:type="dxa"/>
          </w:tcPr>
          <w:p w14:paraId="6D57F294" w14:textId="77777777" w:rsidR="003E5731" w:rsidRDefault="003E5731" w:rsidP="00AD366D">
            <w:pPr>
              <w:pStyle w:val="OWTablebodycentre"/>
              <w:spacing w:before="30" w:after="50"/>
            </w:pPr>
            <w:r>
              <w:t>52.9%</w:t>
            </w:r>
          </w:p>
        </w:tc>
      </w:tr>
      <w:tr w:rsidR="003E5731" w14:paraId="0CD997F8" w14:textId="77777777" w:rsidTr="00D8674A">
        <w:trPr>
          <w:trHeight w:val="60"/>
        </w:trPr>
        <w:tc>
          <w:tcPr>
            <w:tcW w:w="5669" w:type="dxa"/>
          </w:tcPr>
          <w:p w14:paraId="0583B517" w14:textId="77777777" w:rsidR="003E5731" w:rsidRDefault="003E5731" w:rsidP="00AD366D">
            <w:pPr>
              <w:pStyle w:val="OWTablebodyleft"/>
              <w:spacing w:before="30" w:after="50"/>
            </w:pPr>
            <w:r>
              <w:t>Administration and support services</w:t>
            </w:r>
          </w:p>
        </w:tc>
        <w:tc>
          <w:tcPr>
            <w:tcW w:w="1701" w:type="dxa"/>
          </w:tcPr>
          <w:p w14:paraId="28C6D72C" w14:textId="77777777" w:rsidR="003E5731" w:rsidRDefault="003E5731" w:rsidP="00AD366D">
            <w:pPr>
              <w:pStyle w:val="OWTablebodycentre"/>
              <w:spacing w:before="30" w:after="50"/>
            </w:pPr>
            <w:r>
              <w:t>47.3%</w:t>
            </w:r>
          </w:p>
        </w:tc>
        <w:tc>
          <w:tcPr>
            <w:tcW w:w="1701" w:type="dxa"/>
          </w:tcPr>
          <w:p w14:paraId="6F398614" w14:textId="77777777" w:rsidR="003E5731" w:rsidRDefault="003E5731" w:rsidP="00AD366D">
            <w:pPr>
              <w:pStyle w:val="OWTablebodycentre"/>
              <w:spacing w:before="30" w:after="50"/>
            </w:pPr>
            <w:r>
              <w:t>45.0%</w:t>
            </w:r>
          </w:p>
        </w:tc>
      </w:tr>
      <w:tr w:rsidR="003E5731" w14:paraId="6F84C2C3" w14:textId="77777777" w:rsidTr="00D8674A">
        <w:trPr>
          <w:trHeight w:val="60"/>
        </w:trPr>
        <w:tc>
          <w:tcPr>
            <w:tcW w:w="5669" w:type="dxa"/>
          </w:tcPr>
          <w:p w14:paraId="12A7AB63" w14:textId="77777777" w:rsidR="003E5731" w:rsidRDefault="003E5731" w:rsidP="00AD366D">
            <w:pPr>
              <w:pStyle w:val="OWTablebodyleft"/>
              <w:spacing w:before="30" w:after="50"/>
            </w:pPr>
            <w:r>
              <w:t>Agriculture, forestry and fishing</w:t>
            </w:r>
          </w:p>
        </w:tc>
        <w:tc>
          <w:tcPr>
            <w:tcW w:w="1701" w:type="dxa"/>
          </w:tcPr>
          <w:p w14:paraId="4566A179" w14:textId="77777777" w:rsidR="003E5731" w:rsidRDefault="003E5731" w:rsidP="00AD366D">
            <w:pPr>
              <w:pStyle w:val="OWTablebodycentre"/>
              <w:spacing w:before="30" w:after="50"/>
            </w:pPr>
            <w:r>
              <w:t>34.8%</w:t>
            </w:r>
          </w:p>
        </w:tc>
        <w:tc>
          <w:tcPr>
            <w:tcW w:w="1701" w:type="dxa"/>
          </w:tcPr>
          <w:p w14:paraId="0D4D74C1" w14:textId="77777777" w:rsidR="003E5731" w:rsidRDefault="003E5731" w:rsidP="00AD366D">
            <w:pPr>
              <w:pStyle w:val="OWTablebodycentre"/>
              <w:spacing w:before="30" w:after="50"/>
            </w:pPr>
            <w:r>
              <w:t>34.4%</w:t>
            </w:r>
          </w:p>
        </w:tc>
      </w:tr>
      <w:tr w:rsidR="003E5731" w14:paraId="2226E6CF" w14:textId="77777777" w:rsidTr="00D8674A">
        <w:trPr>
          <w:trHeight w:val="60"/>
        </w:trPr>
        <w:tc>
          <w:tcPr>
            <w:tcW w:w="5669" w:type="dxa"/>
          </w:tcPr>
          <w:p w14:paraId="5330AAF3" w14:textId="77777777" w:rsidR="003E5731" w:rsidRDefault="003E5731" w:rsidP="00AD366D">
            <w:pPr>
              <w:pStyle w:val="OWTablebodyleft"/>
              <w:spacing w:before="30" w:after="50"/>
            </w:pPr>
            <w:r>
              <w:t>Arts and recreation services</w:t>
            </w:r>
          </w:p>
        </w:tc>
        <w:tc>
          <w:tcPr>
            <w:tcW w:w="1701" w:type="dxa"/>
          </w:tcPr>
          <w:p w14:paraId="0D1B0CB7" w14:textId="77777777" w:rsidR="003E5731" w:rsidRDefault="003E5731" w:rsidP="00AD366D">
            <w:pPr>
              <w:pStyle w:val="OWTablebodycentre"/>
              <w:spacing w:before="30" w:after="50"/>
            </w:pPr>
            <w:r>
              <w:t>50.8%</w:t>
            </w:r>
          </w:p>
        </w:tc>
        <w:tc>
          <w:tcPr>
            <w:tcW w:w="1701" w:type="dxa"/>
          </w:tcPr>
          <w:p w14:paraId="61C37330" w14:textId="77777777" w:rsidR="003E5731" w:rsidRDefault="003E5731" w:rsidP="00AD366D">
            <w:pPr>
              <w:pStyle w:val="OWTablebodycentre"/>
              <w:spacing w:before="30" w:after="50"/>
            </w:pPr>
            <w:r>
              <w:t>50.6%</w:t>
            </w:r>
          </w:p>
        </w:tc>
      </w:tr>
      <w:tr w:rsidR="003E5731" w14:paraId="4D270EC4" w14:textId="77777777" w:rsidTr="00D8674A">
        <w:trPr>
          <w:trHeight w:val="60"/>
        </w:trPr>
        <w:tc>
          <w:tcPr>
            <w:tcW w:w="5669" w:type="dxa"/>
          </w:tcPr>
          <w:p w14:paraId="49715C07" w14:textId="77777777" w:rsidR="003E5731" w:rsidRDefault="003E5731" w:rsidP="00AD366D">
            <w:pPr>
              <w:pStyle w:val="OWTablebodyleft"/>
              <w:spacing w:before="30" w:after="50"/>
            </w:pPr>
            <w:r>
              <w:t>Construction</w:t>
            </w:r>
          </w:p>
        </w:tc>
        <w:tc>
          <w:tcPr>
            <w:tcW w:w="1701" w:type="dxa"/>
          </w:tcPr>
          <w:p w14:paraId="1CE467AA" w14:textId="77777777" w:rsidR="003E5731" w:rsidRDefault="003E5731" w:rsidP="00AD366D">
            <w:pPr>
              <w:pStyle w:val="OWTablebodycentre"/>
              <w:spacing w:before="30" w:after="50"/>
            </w:pPr>
            <w:r>
              <w:t>16.2%</w:t>
            </w:r>
          </w:p>
        </w:tc>
        <w:tc>
          <w:tcPr>
            <w:tcW w:w="1701" w:type="dxa"/>
          </w:tcPr>
          <w:p w14:paraId="0169A68D" w14:textId="77777777" w:rsidR="003E5731" w:rsidRDefault="003E5731" w:rsidP="00AD366D">
            <w:pPr>
              <w:pStyle w:val="OWTablebodycentre"/>
              <w:spacing w:before="30" w:after="50"/>
            </w:pPr>
            <w:r>
              <w:t>18.3%</w:t>
            </w:r>
          </w:p>
        </w:tc>
      </w:tr>
      <w:tr w:rsidR="003E5731" w14:paraId="591328F4" w14:textId="77777777" w:rsidTr="00D8674A">
        <w:trPr>
          <w:trHeight w:val="60"/>
        </w:trPr>
        <w:tc>
          <w:tcPr>
            <w:tcW w:w="5669" w:type="dxa"/>
          </w:tcPr>
          <w:p w14:paraId="6E6E6119" w14:textId="77777777" w:rsidR="003E5731" w:rsidRDefault="003E5731" w:rsidP="00AD366D">
            <w:pPr>
              <w:pStyle w:val="OWTablebodyleft"/>
              <w:spacing w:before="30" w:after="50"/>
            </w:pPr>
            <w:r>
              <w:t>Education and training</w:t>
            </w:r>
          </w:p>
        </w:tc>
        <w:tc>
          <w:tcPr>
            <w:tcW w:w="1701" w:type="dxa"/>
          </w:tcPr>
          <w:p w14:paraId="1B8FF6F8" w14:textId="77777777" w:rsidR="003E5731" w:rsidRDefault="003E5731" w:rsidP="00AD366D">
            <w:pPr>
              <w:pStyle w:val="OWTablebodycentre"/>
              <w:spacing w:before="30" w:after="50"/>
            </w:pPr>
            <w:r>
              <w:t>62.5%</w:t>
            </w:r>
          </w:p>
        </w:tc>
        <w:tc>
          <w:tcPr>
            <w:tcW w:w="1701" w:type="dxa"/>
          </w:tcPr>
          <w:p w14:paraId="7D02375F" w14:textId="77777777" w:rsidR="003E5731" w:rsidRDefault="003E5731" w:rsidP="00AD366D">
            <w:pPr>
              <w:pStyle w:val="OWTablebodycentre"/>
              <w:spacing w:before="30" w:after="50"/>
            </w:pPr>
            <w:r>
              <w:t>63.4%</w:t>
            </w:r>
          </w:p>
        </w:tc>
      </w:tr>
      <w:tr w:rsidR="003E5731" w14:paraId="7BA250CF" w14:textId="77777777" w:rsidTr="00D8674A">
        <w:trPr>
          <w:trHeight w:val="60"/>
        </w:trPr>
        <w:tc>
          <w:tcPr>
            <w:tcW w:w="5669" w:type="dxa"/>
          </w:tcPr>
          <w:p w14:paraId="4F16F2C7" w14:textId="77777777" w:rsidR="003E5731" w:rsidRDefault="003E5731" w:rsidP="00AD366D">
            <w:pPr>
              <w:pStyle w:val="OWTablebodyleft"/>
              <w:spacing w:before="30" w:after="50"/>
            </w:pPr>
            <w:r>
              <w:t>Electricity, gas, water and waste services</w:t>
            </w:r>
          </w:p>
        </w:tc>
        <w:tc>
          <w:tcPr>
            <w:tcW w:w="1701" w:type="dxa"/>
          </w:tcPr>
          <w:p w14:paraId="3E6CA9D7" w14:textId="77777777" w:rsidR="003E5731" w:rsidRDefault="003E5731" w:rsidP="00AD366D">
            <w:pPr>
              <w:pStyle w:val="OWTablebodycentre"/>
              <w:spacing w:before="30" w:after="50"/>
            </w:pPr>
            <w:r>
              <w:t>24.6%</w:t>
            </w:r>
          </w:p>
        </w:tc>
        <w:tc>
          <w:tcPr>
            <w:tcW w:w="1701" w:type="dxa"/>
          </w:tcPr>
          <w:p w14:paraId="69BC6602" w14:textId="77777777" w:rsidR="003E5731" w:rsidRDefault="003E5731" w:rsidP="00AD366D">
            <w:pPr>
              <w:pStyle w:val="OWTablebodycentre"/>
              <w:spacing w:before="30" w:after="50"/>
            </w:pPr>
            <w:r>
              <w:t>24.6%</w:t>
            </w:r>
          </w:p>
        </w:tc>
      </w:tr>
      <w:tr w:rsidR="003E5731" w14:paraId="76AB2413" w14:textId="77777777" w:rsidTr="00D8674A">
        <w:trPr>
          <w:trHeight w:val="60"/>
        </w:trPr>
        <w:tc>
          <w:tcPr>
            <w:tcW w:w="5669" w:type="dxa"/>
          </w:tcPr>
          <w:p w14:paraId="1D031F98" w14:textId="77777777" w:rsidR="003E5731" w:rsidRDefault="003E5731" w:rsidP="00AD366D">
            <w:pPr>
              <w:pStyle w:val="OWTablebodyleft"/>
              <w:spacing w:before="30" w:after="50"/>
            </w:pPr>
            <w:r>
              <w:t>Financial and insurance services</w:t>
            </w:r>
          </w:p>
        </w:tc>
        <w:tc>
          <w:tcPr>
            <w:tcW w:w="1701" w:type="dxa"/>
          </w:tcPr>
          <w:p w14:paraId="1BDFD094" w14:textId="77777777" w:rsidR="003E5731" w:rsidRDefault="003E5731" w:rsidP="00AD366D">
            <w:pPr>
              <w:pStyle w:val="OWTablebodycentre"/>
              <w:spacing w:before="30" w:after="50"/>
            </w:pPr>
            <w:r>
              <w:t>56.1%</w:t>
            </w:r>
          </w:p>
        </w:tc>
        <w:tc>
          <w:tcPr>
            <w:tcW w:w="1701" w:type="dxa"/>
          </w:tcPr>
          <w:p w14:paraId="745186BE" w14:textId="77777777" w:rsidR="003E5731" w:rsidRDefault="003E5731" w:rsidP="00AD366D">
            <w:pPr>
              <w:pStyle w:val="OWTablebodycentre"/>
              <w:spacing w:before="30" w:after="50"/>
            </w:pPr>
            <w:r>
              <w:t>54.7%</w:t>
            </w:r>
          </w:p>
        </w:tc>
      </w:tr>
      <w:tr w:rsidR="003E5731" w14:paraId="2E470FA5" w14:textId="77777777" w:rsidTr="00D8674A">
        <w:trPr>
          <w:trHeight w:val="60"/>
        </w:trPr>
        <w:tc>
          <w:tcPr>
            <w:tcW w:w="5669" w:type="dxa"/>
          </w:tcPr>
          <w:p w14:paraId="1E93F340" w14:textId="77777777" w:rsidR="003E5731" w:rsidRDefault="003E5731" w:rsidP="00AD366D">
            <w:pPr>
              <w:pStyle w:val="OWTablebodyleft"/>
              <w:spacing w:before="30" w:after="50"/>
            </w:pPr>
            <w:r>
              <w:t>Health care and social assistance</w:t>
            </w:r>
          </w:p>
        </w:tc>
        <w:tc>
          <w:tcPr>
            <w:tcW w:w="1701" w:type="dxa"/>
          </w:tcPr>
          <w:p w14:paraId="2CE7ABF4" w14:textId="77777777" w:rsidR="003E5731" w:rsidRDefault="003E5731" w:rsidP="00AD366D">
            <w:pPr>
              <w:pStyle w:val="OWTablebodycentre"/>
              <w:spacing w:before="30" w:after="50"/>
            </w:pPr>
            <w:r>
              <w:t>80.6%</w:t>
            </w:r>
          </w:p>
        </w:tc>
        <w:tc>
          <w:tcPr>
            <w:tcW w:w="1701" w:type="dxa"/>
          </w:tcPr>
          <w:p w14:paraId="4EBC70FA" w14:textId="77777777" w:rsidR="003E5731" w:rsidRDefault="003E5731" w:rsidP="00AD366D">
            <w:pPr>
              <w:pStyle w:val="OWTablebodycentre"/>
              <w:spacing w:before="30" w:after="50"/>
            </w:pPr>
            <w:r>
              <w:t>79.9%</w:t>
            </w:r>
          </w:p>
        </w:tc>
      </w:tr>
      <w:tr w:rsidR="003E5731" w14:paraId="68DAF957" w14:textId="77777777" w:rsidTr="00D8674A">
        <w:trPr>
          <w:trHeight w:val="60"/>
        </w:trPr>
        <w:tc>
          <w:tcPr>
            <w:tcW w:w="5669" w:type="dxa"/>
          </w:tcPr>
          <w:p w14:paraId="77300B33" w14:textId="77777777" w:rsidR="003E5731" w:rsidRDefault="003E5731" w:rsidP="00AD366D">
            <w:pPr>
              <w:pStyle w:val="OWTablebodyleft"/>
              <w:spacing w:before="30" w:after="50"/>
            </w:pPr>
            <w:r>
              <w:t>Information media and telecommunications</w:t>
            </w:r>
          </w:p>
        </w:tc>
        <w:tc>
          <w:tcPr>
            <w:tcW w:w="1701" w:type="dxa"/>
          </w:tcPr>
          <w:p w14:paraId="092A90B4" w14:textId="77777777" w:rsidR="003E5731" w:rsidRDefault="003E5731" w:rsidP="00AD366D">
            <w:pPr>
              <w:pStyle w:val="OWTablebodycentre"/>
              <w:spacing w:before="30" w:after="50"/>
            </w:pPr>
            <w:r>
              <w:t>40.0%</w:t>
            </w:r>
          </w:p>
        </w:tc>
        <w:tc>
          <w:tcPr>
            <w:tcW w:w="1701" w:type="dxa"/>
          </w:tcPr>
          <w:p w14:paraId="40FDEF88" w14:textId="77777777" w:rsidR="003E5731" w:rsidRDefault="003E5731" w:rsidP="00AD366D">
            <w:pPr>
              <w:pStyle w:val="OWTablebodycentre"/>
              <w:spacing w:before="30" w:after="50"/>
            </w:pPr>
            <w:r>
              <w:t>39.2%</w:t>
            </w:r>
          </w:p>
        </w:tc>
      </w:tr>
      <w:tr w:rsidR="003E5731" w14:paraId="73FB912E" w14:textId="77777777" w:rsidTr="00D8674A">
        <w:trPr>
          <w:trHeight w:val="60"/>
        </w:trPr>
        <w:tc>
          <w:tcPr>
            <w:tcW w:w="5669" w:type="dxa"/>
          </w:tcPr>
          <w:p w14:paraId="339C5CA4" w14:textId="77777777" w:rsidR="003E5731" w:rsidRDefault="003E5731" w:rsidP="00AD366D">
            <w:pPr>
              <w:pStyle w:val="OWTablebodyleft"/>
              <w:spacing w:before="30" w:after="50"/>
            </w:pPr>
            <w:r>
              <w:t>Manufacturing</w:t>
            </w:r>
          </w:p>
        </w:tc>
        <w:tc>
          <w:tcPr>
            <w:tcW w:w="1701" w:type="dxa"/>
          </w:tcPr>
          <w:p w14:paraId="109AD7D9" w14:textId="77777777" w:rsidR="003E5731" w:rsidRDefault="003E5731" w:rsidP="00AD366D">
            <w:pPr>
              <w:pStyle w:val="OWTablebodycentre"/>
              <w:spacing w:before="30" w:after="50"/>
            </w:pPr>
            <w:r>
              <w:t>26.6%</w:t>
            </w:r>
          </w:p>
        </w:tc>
        <w:tc>
          <w:tcPr>
            <w:tcW w:w="1701" w:type="dxa"/>
          </w:tcPr>
          <w:p w14:paraId="1F575243" w14:textId="77777777" w:rsidR="003E5731" w:rsidRDefault="003E5731" w:rsidP="00AD366D">
            <w:pPr>
              <w:pStyle w:val="OWTablebodycentre"/>
              <w:spacing w:before="30" w:after="50"/>
            </w:pPr>
            <w:r>
              <w:t>27.3%</w:t>
            </w:r>
          </w:p>
        </w:tc>
      </w:tr>
      <w:tr w:rsidR="003E5731" w14:paraId="29C2DA58" w14:textId="77777777" w:rsidTr="00D8674A">
        <w:trPr>
          <w:trHeight w:val="60"/>
        </w:trPr>
        <w:tc>
          <w:tcPr>
            <w:tcW w:w="5669" w:type="dxa"/>
          </w:tcPr>
          <w:p w14:paraId="14FD7E6F" w14:textId="77777777" w:rsidR="003E5731" w:rsidRDefault="003E5731" w:rsidP="00AD366D">
            <w:pPr>
              <w:pStyle w:val="OWTablebodyleft"/>
              <w:spacing w:before="30" w:after="50"/>
            </w:pPr>
            <w:r>
              <w:t>Mining</w:t>
            </w:r>
          </w:p>
        </w:tc>
        <w:tc>
          <w:tcPr>
            <w:tcW w:w="1701" w:type="dxa"/>
          </w:tcPr>
          <w:p w14:paraId="5BE83161" w14:textId="77777777" w:rsidR="003E5731" w:rsidRDefault="003E5731" w:rsidP="00AD366D">
            <w:pPr>
              <w:pStyle w:val="OWTablebodycentre"/>
              <w:spacing w:before="30" w:after="50"/>
            </w:pPr>
            <w:r>
              <w:t>15.7%</w:t>
            </w:r>
          </w:p>
        </w:tc>
        <w:tc>
          <w:tcPr>
            <w:tcW w:w="1701" w:type="dxa"/>
          </w:tcPr>
          <w:p w14:paraId="75BB33E5" w14:textId="77777777" w:rsidR="003E5731" w:rsidRDefault="003E5731" w:rsidP="00AD366D">
            <w:pPr>
              <w:pStyle w:val="OWTablebodycentre"/>
              <w:spacing w:before="30" w:after="50"/>
            </w:pPr>
            <w:r>
              <w:t>17.0%</w:t>
            </w:r>
          </w:p>
        </w:tc>
      </w:tr>
      <w:tr w:rsidR="003E5731" w14:paraId="0439CBF5" w14:textId="77777777" w:rsidTr="00D8674A">
        <w:trPr>
          <w:trHeight w:val="60"/>
        </w:trPr>
        <w:tc>
          <w:tcPr>
            <w:tcW w:w="5669" w:type="dxa"/>
          </w:tcPr>
          <w:p w14:paraId="333F2914" w14:textId="77777777" w:rsidR="003E5731" w:rsidRDefault="003E5731" w:rsidP="00AD366D">
            <w:pPr>
              <w:pStyle w:val="OWTablebodyleft"/>
              <w:spacing w:before="30" w:after="50"/>
            </w:pPr>
            <w:r>
              <w:t>Other services</w:t>
            </w:r>
          </w:p>
        </w:tc>
        <w:tc>
          <w:tcPr>
            <w:tcW w:w="1701" w:type="dxa"/>
          </w:tcPr>
          <w:p w14:paraId="1917A635" w14:textId="77777777" w:rsidR="003E5731" w:rsidRDefault="003E5731" w:rsidP="00AD366D">
            <w:pPr>
              <w:pStyle w:val="OWTablebodycentre"/>
              <w:spacing w:before="30" w:after="50"/>
            </w:pPr>
            <w:r>
              <w:t>49.4%</w:t>
            </w:r>
          </w:p>
        </w:tc>
        <w:tc>
          <w:tcPr>
            <w:tcW w:w="1701" w:type="dxa"/>
          </w:tcPr>
          <w:p w14:paraId="3B4FECBC" w14:textId="77777777" w:rsidR="003E5731" w:rsidRDefault="003E5731" w:rsidP="00AD366D">
            <w:pPr>
              <w:pStyle w:val="OWTablebodycentre"/>
              <w:spacing w:before="30" w:after="50"/>
            </w:pPr>
            <w:r>
              <w:t>45.0%</w:t>
            </w:r>
          </w:p>
        </w:tc>
      </w:tr>
      <w:tr w:rsidR="003E5731" w14:paraId="52C6179C" w14:textId="77777777" w:rsidTr="00D8674A">
        <w:trPr>
          <w:trHeight w:val="60"/>
        </w:trPr>
        <w:tc>
          <w:tcPr>
            <w:tcW w:w="5669" w:type="dxa"/>
          </w:tcPr>
          <w:p w14:paraId="38521972" w14:textId="77777777" w:rsidR="003E5731" w:rsidRDefault="003E5731" w:rsidP="00AD366D">
            <w:pPr>
              <w:pStyle w:val="OWTablebodyleft"/>
              <w:spacing w:before="30" w:after="50"/>
            </w:pPr>
            <w:r>
              <w:t>Professional scientific and technical services</w:t>
            </w:r>
          </w:p>
        </w:tc>
        <w:tc>
          <w:tcPr>
            <w:tcW w:w="1701" w:type="dxa"/>
          </w:tcPr>
          <w:p w14:paraId="40A70108" w14:textId="77777777" w:rsidR="003E5731" w:rsidRDefault="003E5731" w:rsidP="00AD366D">
            <w:pPr>
              <w:pStyle w:val="OWTablebodycentre"/>
              <w:spacing w:before="30" w:after="50"/>
            </w:pPr>
            <w:r>
              <w:t>39.3%</w:t>
            </w:r>
          </w:p>
        </w:tc>
        <w:tc>
          <w:tcPr>
            <w:tcW w:w="1701" w:type="dxa"/>
          </w:tcPr>
          <w:p w14:paraId="61DF68D8" w14:textId="77777777" w:rsidR="003E5731" w:rsidRDefault="003E5731" w:rsidP="00AD366D">
            <w:pPr>
              <w:pStyle w:val="OWTablebodycentre"/>
              <w:spacing w:before="30" w:after="50"/>
            </w:pPr>
            <w:r>
              <w:t>41.7%</w:t>
            </w:r>
          </w:p>
        </w:tc>
      </w:tr>
      <w:tr w:rsidR="003E5731" w14:paraId="04DFFBF5" w14:textId="77777777" w:rsidTr="00D8674A">
        <w:trPr>
          <w:trHeight w:val="60"/>
        </w:trPr>
        <w:tc>
          <w:tcPr>
            <w:tcW w:w="5669" w:type="dxa"/>
          </w:tcPr>
          <w:p w14:paraId="1484A027" w14:textId="77777777" w:rsidR="003E5731" w:rsidRDefault="003E5731" w:rsidP="00AD366D">
            <w:pPr>
              <w:pStyle w:val="OWTablebodyleft"/>
              <w:spacing w:before="30" w:after="50"/>
            </w:pPr>
            <w:r>
              <w:t>Public administration and safety</w:t>
            </w:r>
          </w:p>
        </w:tc>
        <w:tc>
          <w:tcPr>
            <w:tcW w:w="1701" w:type="dxa"/>
          </w:tcPr>
          <w:p w14:paraId="3F00C1E6" w14:textId="77777777" w:rsidR="003E5731" w:rsidRDefault="003E5731" w:rsidP="00AD366D">
            <w:pPr>
              <w:pStyle w:val="OWTablebodycentre"/>
              <w:spacing w:before="30" w:after="50"/>
            </w:pPr>
            <w:r>
              <w:t>21.5%</w:t>
            </w:r>
          </w:p>
        </w:tc>
        <w:tc>
          <w:tcPr>
            <w:tcW w:w="1701" w:type="dxa"/>
          </w:tcPr>
          <w:p w14:paraId="1B1B6435" w14:textId="77777777" w:rsidR="003E5731" w:rsidRDefault="003E5731" w:rsidP="00AD366D">
            <w:pPr>
              <w:pStyle w:val="OWTablebodycentre"/>
              <w:spacing w:before="30" w:after="50"/>
            </w:pPr>
            <w:r>
              <w:t>20.6%</w:t>
            </w:r>
          </w:p>
        </w:tc>
      </w:tr>
      <w:tr w:rsidR="003E5731" w14:paraId="5225C93B" w14:textId="77777777" w:rsidTr="00D8674A">
        <w:trPr>
          <w:trHeight w:val="60"/>
        </w:trPr>
        <w:tc>
          <w:tcPr>
            <w:tcW w:w="5669" w:type="dxa"/>
          </w:tcPr>
          <w:p w14:paraId="1FD18A0C" w14:textId="77777777" w:rsidR="003E5731" w:rsidRDefault="003E5731" w:rsidP="00AD366D">
            <w:pPr>
              <w:pStyle w:val="OWTablebodyleft"/>
              <w:spacing w:before="30" w:after="50"/>
            </w:pPr>
            <w:r>
              <w:t>Rental hiring and real estate services</w:t>
            </w:r>
          </w:p>
        </w:tc>
        <w:tc>
          <w:tcPr>
            <w:tcW w:w="1701" w:type="dxa"/>
          </w:tcPr>
          <w:p w14:paraId="44A9AFFF" w14:textId="77777777" w:rsidR="003E5731" w:rsidRDefault="003E5731" w:rsidP="00AD366D">
            <w:pPr>
              <w:pStyle w:val="OWTablebodycentre"/>
              <w:spacing w:before="30" w:after="50"/>
            </w:pPr>
            <w:r>
              <w:t>43.8%</w:t>
            </w:r>
          </w:p>
        </w:tc>
        <w:tc>
          <w:tcPr>
            <w:tcW w:w="1701" w:type="dxa"/>
          </w:tcPr>
          <w:p w14:paraId="3CD1A7F9" w14:textId="77777777" w:rsidR="003E5731" w:rsidRDefault="003E5731" w:rsidP="00AD366D">
            <w:pPr>
              <w:pStyle w:val="OWTablebodycentre"/>
              <w:spacing w:before="30" w:after="50"/>
            </w:pPr>
            <w:r>
              <w:t>41.4%</w:t>
            </w:r>
          </w:p>
        </w:tc>
      </w:tr>
      <w:tr w:rsidR="003E5731" w14:paraId="2E619356" w14:textId="77777777" w:rsidTr="00D8674A">
        <w:trPr>
          <w:trHeight w:val="60"/>
        </w:trPr>
        <w:tc>
          <w:tcPr>
            <w:tcW w:w="5669" w:type="dxa"/>
          </w:tcPr>
          <w:p w14:paraId="0EA5CB1B" w14:textId="77777777" w:rsidR="003E5731" w:rsidRDefault="003E5731" w:rsidP="00AD366D">
            <w:pPr>
              <w:pStyle w:val="OWTablebodyleft"/>
              <w:spacing w:before="30" w:after="50"/>
            </w:pPr>
            <w:r>
              <w:t>Retail trade</w:t>
            </w:r>
          </w:p>
        </w:tc>
        <w:tc>
          <w:tcPr>
            <w:tcW w:w="1701" w:type="dxa"/>
          </w:tcPr>
          <w:p w14:paraId="096D8927" w14:textId="77777777" w:rsidR="003E5731" w:rsidRDefault="003E5731" w:rsidP="00AD366D">
            <w:pPr>
              <w:pStyle w:val="OWTablebodycentre"/>
              <w:spacing w:before="30" w:after="50"/>
            </w:pPr>
            <w:r>
              <w:t>59.1%</w:t>
            </w:r>
          </w:p>
        </w:tc>
        <w:tc>
          <w:tcPr>
            <w:tcW w:w="1701" w:type="dxa"/>
          </w:tcPr>
          <w:p w14:paraId="4A335570" w14:textId="77777777" w:rsidR="003E5731" w:rsidRDefault="003E5731" w:rsidP="00AD366D">
            <w:pPr>
              <w:pStyle w:val="OWTablebodycentre"/>
              <w:spacing w:before="30" w:after="50"/>
            </w:pPr>
            <w:r>
              <w:t>57.7%</w:t>
            </w:r>
          </w:p>
        </w:tc>
      </w:tr>
      <w:tr w:rsidR="003E5731" w14:paraId="0CCD83C6" w14:textId="77777777" w:rsidTr="00D8674A">
        <w:trPr>
          <w:trHeight w:val="60"/>
        </w:trPr>
        <w:tc>
          <w:tcPr>
            <w:tcW w:w="5669" w:type="dxa"/>
          </w:tcPr>
          <w:p w14:paraId="705E286D" w14:textId="77777777" w:rsidR="003E5731" w:rsidRDefault="003E5731" w:rsidP="00AD366D">
            <w:pPr>
              <w:pStyle w:val="OWTablebodyleft"/>
              <w:spacing w:before="30" w:after="50"/>
            </w:pPr>
            <w:r>
              <w:t>Transport postal and warehousing</w:t>
            </w:r>
          </w:p>
        </w:tc>
        <w:tc>
          <w:tcPr>
            <w:tcW w:w="1701" w:type="dxa"/>
          </w:tcPr>
          <w:p w14:paraId="6741C3CC" w14:textId="77777777" w:rsidR="003E5731" w:rsidRDefault="003E5731" w:rsidP="00AD366D">
            <w:pPr>
              <w:pStyle w:val="OWTablebodycentre"/>
              <w:spacing w:before="30" w:after="50"/>
            </w:pPr>
            <w:r>
              <w:t>25.9%</w:t>
            </w:r>
          </w:p>
        </w:tc>
        <w:tc>
          <w:tcPr>
            <w:tcW w:w="1701" w:type="dxa"/>
          </w:tcPr>
          <w:p w14:paraId="61016005" w14:textId="77777777" w:rsidR="003E5731" w:rsidRDefault="003E5731" w:rsidP="00AD366D">
            <w:pPr>
              <w:pStyle w:val="OWTablebodycentre"/>
              <w:spacing w:before="30" w:after="50"/>
            </w:pPr>
            <w:r>
              <w:t>27.2%</w:t>
            </w:r>
          </w:p>
        </w:tc>
      </w:tr>
      <w:tr w:rsidR="003E5731" w14:paraId="07D8CBAC" w14:textId="77777777" w:rsidTr="00D8674A">
        <w:trPr>
          <w:trHeight w:val="60"/>
        </w:trPr>
        <w:tc>
          <w:tcPr>
            <w:tcW w:w="5669" w:type="dxa"/>
          </w:tcPr>
          <w:p w14:paraId="4345023F" w14:textId="77777777" w:rsidR="003E5731" w:rsidRDefault="003E5731" w:rsidP="00AD366D">
            <w:pPr>
              <w:pStyle w:val="OWTablebodyleft"/>
              <w:spacing w:before="30" w:after="50"/>
            </w:pPr>
            <w:r>
              <w:t>Wholesale trade</w:t>
            </w:r>
          </w:p>
        </w:tc>
        <w:tc>
          <w:tcPr>
            <w:tcW w:w="1701" w:type="dxa"/>
          </w:tcPr>
          <w:p w14:paraId="4973F105" w14:textId="77777777" w:rsidR="003E5731" w:rsidRDefault="003E5731" w:rsidP="00AD366D">
            <w:pPr>
              <w:pStyle w:val="OWTablebodycentre"/>
              <w:spacing w:before="30" w:after="50"/>
            </w:pPr>
            <w:r>
              <w:t>35.6%</w:t>
            </w:r>
          </w:p>
        </w:tc>
        <w:tc>
          <w:tcPr>
            <w:tcW w:w="1701" w:type="dxa"/>
          </w:tcPr>
          <w:p w14:paraId="7FF22740" w14:textId="77777777" w:rsidR="003E5731" w:rsidRDefault="003E5731" w:rsidP="00AD366D">
            <w:pPr>
              <w:pStyle w:val="OWTablebodycentre"/>
              <w:spacing w:before="30" w:after="50"/>
            </w:pPr>
            <w:r>
              <w:t>36.6%</w:t>
            </w:r>
          </w:p>
        </w:tc>
      </w:tr>
    </w:tbl>
    <w:p w14:paraId="5AFB7E3E" w14:textId="1C15FE7D" w:rsidR="003E5731" w:rsidRDefault="00360573" w:rsidP="00AD366D">
      <w:pPr>
        <w:pStyle w:val="OWBodytextlargespaceabove"/>
        <w:spacing w:before="140"/>
      </w:pPr>
      <w:hyperlink w:anchor="Fig12FollowOn" w:history="1">
        <w:r w:rsidR="003E5731" w:rsidRPr="00E83BB7">
          <w:rPr>
            <w:rStyle w:val="Hyperlink"/>
          </w:rPr>
          <w:t>Return to text following Figure</w:t>
        </w:r>
        <w:r w:rsidR="00D162DF">
          <w:rPr>
            <w:rStyle w:val="Hyperlink"/>
          </w:rPr>
          <w:t xml:space="preserve"> 12</w:t>
        </w:r>
      </w:hyperlink>
    </w:p>
    <w:p w14:paraId="7D270495" w14:textId="3722F46C" w:rsidR="003E5731" w:rsidRDefault="003E5731" w:rsidP="003E5731">
      <w:pPr>
        <w:pStyle w:val="Heading3appendix"/>
      </w:pPr>
      <w:bookmarkStart w:id="121" w:name="Fig26AltText"/>
      <w:r>
        <w:lastRenderedPageBreak/>
        <w:t xml:space="preserve">Figure </w:t>
      </w:r>
      <w:r w:rsidR="00D162DF">
        <w:t>26</w:t>
      </w:r>
      <w:r>
        <w:t>: Most common reasons cited for retiring by retired women and men, 2007</w:t>
      </w:r>
    </w:p>
    <w:bookmarkEnd w:id="121"/>
    <w:p w14:paraId="5CE7D631" w14:textId="1986FB97" w:rsidR="003E5731" w:rsidRDefault="003E5731" w:rsidP="003E5731">
      <w:pPr>
        <w:pStyle w:val="BodyText"/>
        <w:keepNext/>
      </w:pPr>
      <w:r>
        <w:t>Infographic.</w:t>
      </w:r>
    </w:p>
    <w:p w14:paraId="4510FEA0" w14:textId="77777777" w:rsidR="003E5731" w:rsidRDefault="003E5731" w:rsidP="003E5731">
      <w:pPr>
        <w:pStyle w:val="BodyText"/>
      </w:pPr>
      <w:r>
        <w:t>The most common reasons cited by women were:</w:t>
      </w:r>
    </w:p>
    <w:p w14:paraId="38051E63" w14:textId="77777777" w:rsidR="003E5731" w:rsidRPr="003E5731" w:rsidRDefault="003E5731" w:rsidP="002C2EC7">
      <w:pPr>
        <w:pStyle w:val="OWNumberdigit"/>
        <w:numPr>
          <w:ilvl w:val="0"/>
          <w:numId w:val="43"/>
        </w:numPr>
      </w:pPr>
      <w:r>
        <w:t>25% – Persona</w:t>
      </w:r>
      <w:r w:rsidRPr="003E5731">
        <w:t>l health or physical abilities.</w:t>
      </w:r>
    </w:p>
    <w:p w14:paraId="376B82C6" w14:textId="77777777" w:rsidR="003E5731" w:rsidRPr="003E5731" w:rsidRDefault="003E5731" w:rsidP="00646AC6">
      <w:pPr>
        <w:pStyle w:val="OWNumberdigit"/>
      </w:pPr>
      <w:r w:rsidRPr="003E5731">
        <w:t>15% – Caring responsibilities.</w:t>
      </w:r>
    </w:p>
    <w:p w14:paraId="3284B25C" w14:textId="77777777" w:rsidR="003E5731" w:rsidRDefault="003E5731" w:rsidP="00646AC6">
      <w:pPr>
        <w:pStyle w:val="OWNumberdigit"/>
      </w:pPr>
      <w:r w:rsidRPr="003E5731">
        <w:t>13% – To spend m</w:t>
      </w:r>
      <w:r>
        <w:t>ore time with partner or family.</w:t>
      </w:r>
    </w:p>
    <w:p w14:paraId="27BB3164" w14:textId="77777777" w:rsidR="003E5731" w:rsidRDefault="003E5731" w:rsidP="00740CE6">
      <w:pPr>
        <w:pStyle w:val="BodyText"/>
      </w:pPr>
      <w:r>
        <w:t>The most common reasons cited by men were:</w:t>
      </w:r>
    </w:p>
    <w:p w14:paraId="5362851F" w14:textId="77777777" w:rsidR="003E5731" w:rsidRDefault="003E5731" w:rsidP="002C2EC7">
      <w:pPr>
        <w:pStyle w:val="OWNumberdigit"/>
        <w:numPr>
          <w:ilvl w:val="0"/>
          <w:numId w:val="44"/>
        </w:numPr>
      </w:pPr>
      <w:r>
        <w:t>38% – Personal health or physical abilities.</w:t>
      </w:r>
    </w:p>
    <w:p w14:paraId="0599CE28" w14:textId="77777777" w:rsidR="003E5731" w:rsidRDefault="003E5731" w:rsidP="00646AC6">
      <w:pPr>
        <w:pStyle w:val="OWNumberdigit"/>
      </w:pPr>
      <w:r>
        <w:t>10% – Retrenched or made redundant.</w:t>
      </w:r>
    </w:p>
    <w:p w14:paraId="78868A7A" w14:textId="77777777" w:rsidR="003E5731" w:rsidRDefault="003E5731" w:rsidP="00646AC6">
      <w:pPr>
        <w:pStyle w:val="OWNumberdigit"/>
      </w:pPr>
      <w:r>
        <w:t>8% – Reaching eligibility age or service for pension.</w:t>
      </w:r>
    </w:p>
    <w:p w14:paraId="5C7B6221" w14:textId="12D0B663" w:rsidR="003E5731" w:rsidRDefault="00360573" w:rsidP="00646AC6">
      <w:pPr>
        <w:pStyle w:val="OWBodytextafterlist"/>
      </w:pPr>
      <w:hyperlink w:anchor="Fig26FollowOn" w:history="1">
        <w:r w:rsidR="003E5731" w:rsidRPr="00E83BB7">
          <w:rPr>
            <w:rStyle w:val="Hyperlink"/>
          </w:rPr>
          <w:t>Return to text following Figure 2</w:t>
        </w:r>
        <w:r w:rsidR="00D162DF">
          <w:rPr>
            <w:rStyle w:val="Hyperlink"/>
          </w:rPr>
          <w:t>6</w:t>
        </w:r>
      </w:hyperlink>
    </w:p>
    <w:p w14:paraId="047076EA" w14:textId="3E2D3795" w:rsidR="003E5731" w:rsidRDefault="003E5731" w:rsidP="003E5731">
      <w:pPr>
        <w:pStyle w:val="Heading3appendix"/>
      </w:pPr>
      <w:bookmarkStart w:id="122" w:name="Fig30AltText"/>
      <w:r>
        <w:t xml:space="preserve">Figure </w:t>
      </w:r>
      <w:r w:rsidR="00531647">
        <w:t>30</w:t>
      </w:r>
      <w:r>
        <w:t>: The intersecting drivers of violence against Aboriginal and Torres Strait Islander women</w:t>
      </w:r>
    </w:p>
    <w:bookmarkEnd w:id="122"/>
    <w:p w14:paraId="05584F81" w14:textId="04030B3D" w:rsidR="00A01DFE" w:rsidRDefault="00A01DFE" w:rsidP="00A01DFE">
      <w:pPr>
        <w:pStyle w:val="BodyText"/>
      </w:pPr>
      <w:r>
        <w:t>An explanatory model of the drivers of violence against Aboriginal and Torres Strait Islander women.</w:t>
      </w:r>
    </w:p>
    <w:p w14:paraId="0B879670" w14:textId="0BAB89ED" w:rsidR="00A01DFE" w:rsidRDefault="00A01DFE" w:rsidP="00A01DFE">
      <w:pPr>
        <w:pStyle w:val="BodyText"/>
      </w:pPr>
      <w:r>
        <w:t>This figure shows three main drivers, which intersect and result in violence against Aboriginal and Torres Strait Islander women.</w:t>
      </w:r>
    </w:p>
    <w:p w14:paraId="6BA2FD75" w14:textId="27A49096" w:rsidR="00A01DFE" w:rsidRDefault="00A01DFE" w:rsidP="00A01DFE">
      <w:pPr>
        <w:pStyle w:val="BodyText"/>
      </w:pPr>
      <w:r>
        <w:t>The figure represents violence as the outcome of the interactions between these three main drivers.</w:t>
      </w:r>
    </w:p>
    <w:p w14:paraId="7D8E7715" w14:textId="03D2D3CB" w:rsidR="00A01DFE" w:rsidRDefault="00A01DFE" w:rsidP="00A01DFE">
      <w:pPr>
        <w:pStyle w:val="BodyText"/>
      </w:pPr>
      <w:r>
        <w:t>The first main driver on the left says: Ongoing impacts of colonisation for Aboriginal and Torres Strait Islander people, families and communities. Under this main driver, there are further dot points which say:</w:t>
      </w:r>
    </w:p>
    <w:p w14:paraId="5D7B4901" w14:textId="77777777" w:rsidR="00A01DFE" w:rsidRDefault="00A01DFE" w:rsidP="00A01DFE">
      <w:pPr>
        <w:pStyle w:val="OWBullet1"/>
      </w:pPr>
      <w:r>
        <w:t>Intergenerational and collective trauma</w:t>
      </w:r>
    </w:p>
    <w:p w14:paraId="5DAC8640" w14:textId="77777777" w:rsidR="00A01DFE" w:rsidRDefault="00A01DFE" w:rsidP="00A01DFE">
      <w:pPr>
        <w:pStyle w:val="OWBullet1"/>
      </w:pPr>
      <w:r>
        <w:t>Systemic oppression, disempowerment, racism</w:t>
      </w:r>
    </w:p>
    <w:p w14:paraId="3EA72BC1" w14:textId="4A13C1CD" w:rsidR="00A01DFE" w:rsidRDefault="00A01DFE" w:rsidP="00A01DFE">
      <w:pPr>
        <w:pStyle w:val="OWBullet1"/>
      </w:pPr>
      <w:r>
        <w:t>Destruction/disruption of traditional cultures, family and community relationships</w:t>
      </w:r>
    </w:p>
    <w:p w14:paraId="2E46512C" w14:textId="77777777" w:rsidR="00A01DFE" w:rsidRDefault="00A01DFE" w:rsidP="00A01DFE">
      <w:pPr>
        <w:pStyle w:val="OWBullet1"/>
      </w:pPr>
      <w:r>
        <w:t>and community norms about violence</w:t>
      </w:r>
    </w:p>
    <w:p w14:paraId="5AA4D874" w14:textId="77777777" w:rsidR="00A01DFE" w:rsidRDefault="00A01DFE" w:rsidP="00A01DFE">
      <w:pPr>
        <w:pStyle w:val="OWBullet1"/>
      </w:pPr>
      <w:r>
        <w:t>Personal experience of/exposure to violence</w:t>
      </w:r>
    </w:p>
    <w:p w14:paraId="0110C152" w14:textId="05D126E7" w:rsidR="00A01DFE" w:rsidRDefault="00A01DFE" w:rsidP="00A01DFE">
      <w:pPr>
        <w:pStyle w:val="OWBullet1"/>
      </w:pPr>
      <w:r>
        <w:t>Condoning of violence within Aboriginal and Torres Strait Islander communities.</w:t>
      </w:r>
    </w:p>
    <w:p w14:paraId="5D0CCC7C" w14:textId="209F40EA" w:rsidR="00A01DFE" w:rsidRDefault="00A01DFE" w:rsidP="00A01DFE">
      <w:pPr>
        <w:pStyle w:val="OWBodytextafterlist"/>
      </w:pPr>
      <w:r>
        <w:t>The second main driver on the right says: Ongoing impacts of colonisation for non-Indigenous people and society. Under this main driver, there are further dot points which say:</w:t>
      </w:r>
    </w:p>
    <w:p w14:paraId="4F0DA735" w14:textId="77777777" w:rsidR="00A01DFE" w:rsidRDefault="00A01DFE" w:rsidP="00A01DFE">
      <w:pPr>
        <w:pStyle w:val="OWBullet1"/>
      </w:pPr>
      <w:r>
        <w:t>Racialised structural inequalities of power</w:t>
      </w:r>
    </w:p>
    <w:p w14:paraId="59D48740" w14:textId="77777777" w:rsidR="00A01DFE" w:rsidRDefault="00A01DFE" w:rsidP="00A01DFE">
      <w:pPr>
        <w:pStyle w:val="OWBullet1"/>
      </w:pPr>
      <w:r>
        <w:t>Entrenched racism in social norms, attitudes and practices</w:t>
      </w:r>
    </w:p>
    <w:p w14:paraId="49558AC6" w14:textId="77777777" w:rsidR="00A01DFE" w:rsidRDefault="00A01DFE" w:rsidP="00A01DFE">
      <w:pPr>
        <w:pStyle w:val="OWBullet1"/>
      </w:pPr>
      <w:r>
        <w:t>Perpetration of racist violence</w:t>
      </w:r>
    </w:p>
    <w:p w14:paraId="71B9B6AD" w14:textId="2FFFDD14" w:rsidR="00A01DFE" w:rsidRDefault="00A01DFE" w:rsidP="00A01DFE">
      <w:pPr>
        <w:pStyle w:val="OWBullet1"/>
      </w:pPr>
      <w:r>
        <w:t>Condoning of, and insufficient accountability for, violence against Aboriginal and Torres Strait Islander people.</w:t>
      </w:r>
    </w:p>
    <w:p w14:paraId="6F2D07DD" w14:textId="2581064A" w:rsidR="00A01DFE" w:rsidRDefault="00A01DFE" w:rsidP="00A01DFE">
      <w:pPr>
        <w:pStyle w:val="OWBodytextafterlist"/>
      </w:pPr>
      <w:r>
        <w:lastRenderedPageBreak/>
        <w:t>The third main driver sits at the base and says: Gendered factors. Under this main driver, there are further dot points which say:</w:t>
      </w:r>
    </w:p>
    <w:p w14:paraId="2D93A2BF" w14:textId="77777777" w:rsidR="00A01DFE" w:rsidRDefault="00A01DFE" w:rsidP="00A01DFE">
      <w:pPr>
        <w:pStyle w:val="OWBullet1"/>
      </w:pPr>
      <w:r>
        <w:t xml:space="preserve">Gendered drivers of violence against women in Australia (identified in </w:t>
      </w:r>
      <w:r w:rsidRPr="00C8153F">
        <w:rPr>
          <w:rStyle w:val="Emphasis"/>
        </w:rPr>
        <w:t>Change the story</w:t>
      </w:r>
      <w:r>
        <w:t>)</w:t>
      </w:r>
    </w:p>
    <w:p w14:paraId="13D73DCD" w14:textId="77777777" w:rsidR="00A01DFE" w:rsidRDefault="00A01DFE" w:rsidP="00A01DFE">
      <w:pPr>
        <w:pStyle w:val="OWBullet2"/>
      </w:pPr>
      <w:r>
        <w:t>Condoning of violence against women</w:t>
      </w:r>
    </w:p>
    <w:p w14:paraId="436A8EBB" w14:textId="77777777" w:rsidR="00A01DFE" w:rsidRDefault="00A01DFE" w:rsidP="00A01DFE">
      <w:pPr>
        <w:pStyle w:val="OWBullet2"/>
      </w:pPr>
      <w:r>
        <w:t>Men’s control of decision making and limits to women’s independence</w:t>
      </w:r>
    </w:p>
    <w:p w14:paraId="69F26AAE" w14:textId="77777777" w:rsidR="00A01DFE" w:rsidRDefault="00A01DFE" w:rsidP="00A01DFE">
      <w:pPr>
        <w:pStyle w:val="OWBullet2"/>
      </w:pPr>
      <w:r>
        <w:t>Stereotyped constructions of masculinity and femininity</w:t>
      </w:r>
    </w:p>
    <w:p w14:paraId="13F391BF" w14:textId="77777777" w:rsidR="00A01DFE" w:rsidRDefault="00A01DFE" w:rsidP="00A01DFE">
      <w:pPr>
        <w:pStyle w:val="OWBullet2"/>
      </w:pPr>
      <w:r>
        <w:t>Disrespect towards women and male peer relations that emphasise aggression</w:t>
      </w:r>
    </w:p>
    <w:p w14:paraId="022AFB85" w14:textId="77777777" w:rsidR="00A01DFE" w:rsidRDefault="00A01DFE" w:rsidP="00A01DFE">
      <w:pPr>
        <w:pStyle w:val="OWBullet1"/>
      </w:pPr>
      <w:r>
        <w:t>Additional gendered drivers of violence against Aboriginal and Torres Strait Islander women</w:t>
      </w:r>
    </w:p>
    <w:p w14:paraId="45FFDA75" w14:textId="77777777" w:rsidR="00A01DFE" w:rsidRDefault="00A01DFE" w:rsidP="00A01DFE">
      <w:pPr>
        <w:pStyle w:val="OWBullet2"/>
      </w:pPr>
      <w:r>
        <w:t>Intersection of racism and sexism</w:t>
      </w:r>
    </w:p>
    <w:p w14:paraId="036C9CBE" w14:textId="72FEB202" w:rsidR="00A01DFE" w:rsidRDefault="00A01DFE" w:rsidP="00A01DFE">
      <w:pPr>
        <w:pStyle w:val="OWBullet2"/>
      </w:pPr>
      <w:r>
        <w:t>Impacts of colonial patriarchy on Aboriginal and Torres Strait Islander cultures, gender roles, men, women and relationships.</w:t>
      </w:r>
    </w:p>
    <w:p w14:paraId="4CA512AB" w14:textId="78C5CE28" w:rsidR="00A01DFE" w:rsidRDefault="00A01DFE" w:rsidP="00A01DFE">
      <w:pPr>
        <w:pStyle w:val="OWBodytextafterlist"/>
      </w:pPr>
      <w:r>
        <w:t>These three drivers all point towards a circle in the middle that says: The intersection between these multiple drivers results in Aboriginal and Torres Strait Islander women experiencing disproportionate levels of violence, with particularly severe and complex impacts. A line above the circle says: Colonisation sets the underlying context</w:t>
      </w:r>
    </w:p>
    <w:p w14:paraId="2F6D4AB1" w14:textId="6BF1B78C" w:rsidR="003E5731" w:rsidRPr="00E83BB7" w:rsidRDefault="00360573" w:rsidP="003E5731">
      <w:pPr>
        <w:pStyle w:val="BodyText"/>
      </w:pPr>
      <w:hyperlink w:anchor="Fig30FollowOn" w:history="1">
        <w:r w:rsidR="003E5731" w:rsidRPr="00E83BB7">
          <w:rPr>
            <w:rStyle w:val="Hyperlink"/>
          </w:rPr>
          <w:t xml:space="preserve">Return to text following Figure </w:t>
        </w:r>
        <w:r w:rsidR="00531647">
          <w:rPr>
            <w:rStyle w:val="Hyperlink"/>
          </w:rPr>
          <w:t>30</w:t>
        </w:r>
      </w:hyperlink>
    </w:p>
    <w:p w14:paraId="2FAA7F19" w14:textId="1F6DEA25" w:rsidR="003E5731" w:rsidRDefault="009A3397" w:rsidP="00D57483">
      <w:pPr>
        <w:pStyle w:val="Heading2"/>
        <w:rPr>
          <w:rStyle w:val="OWHibiscus"/>
        </w:rPr>
      </w:pPr>
      <w:bookmarkStart w:id="123" w:name="_Toc55053336"/>
      <w:r>
        <w:rPr>
          <w:rStyle w:val="OWHibiscus"/>
        </w:rPr>
        <w:lastRenderedPageBreak/>
        <w:t>General</w:t>
      </w:r>
      <w:r w:rsidR="003E5731">
        <w:rPr>
          <w:rStyle w:val="OWHibiscus"/>
        </w:rPr>
        <w:t xml:space="preserve"> references</w:t>
      </w:r>
      <w:bookmarkEnd w:id="123"/>
    </w:p>
    <w:p w14:paraId="3ADAA990" w14:textId="4EC6ADF0" w:rsidR="003E5731" w:rsidRPr="001D5F8A" w:rsidRDefault="00487BBD" w:rsidP="00C23DEC">
      <w:pPr>
        <w:pStyle w:val="BodyText"/>
        <w:spacing w:after="200"/>
        <w:rPr>
          <w:rStyle w:val="Emphasis"/>
        </w:rPr>
      </w:pPr>
      <w:r>
        <w:rPr>
          <w:rStyle w:val="Emphasis"/>
        </w:rPr>
        <w:t>A</w:t>
      </w:r>
      <w:r w:rsidR="00C23DEC" w:rsidRPr="001D5F8A">
        <w:rPr>
          <w:rStyle w:val="Emphasis"/>
        </w:rPr>
        <w:t>ll sources quoted in case studies, tables and figures</w:t>
      </w:r>
      <w:r>
        <w:rPr>
          <w:rStyle w:val="Emphasis"/>
        </w:rPr>
        <w:t xml:space="preserve"> are listed here in alphabetical order</w:t>
      </w:r>
      <w:r w:rsidR="00C23DEC" w:rsidRPr="001D5F8A">
        <w:rPr>
          <w:rStyle w:val="Emphasis"/>
        </w:rPr>
        <w:t>. Sources quoted in general text are provided at each occurrence via an endnote.</w:t>
      </w:r>
    </w:p>
    <w:p w14:paraId="0CBDFCD1" w14:textId="331B6FEB" w:rsidR="00B4582E" w:rsidRDefault="00B4582E" w:rsidP="00B4582E">
      <w:pPr>
        <w:pStyle w:val="OWEndnotetextnonumber"/>
      </w:pPr>
      <w:r>
        <w:t xml:space="preserve">Aboriginal Health Council of South Australia Ltd. (2019). </w:t>
      </w:r>
      <w:hyperlink r:id="rId109" w:history="1">
        <w:r w:rsidRPr="00480AF8">
          <w:rPr>
            <w:rStyle w:val="HyperlinkItalic"/>
          </w:rPr>
          <w:t>The Aboriginal gender study</w:t>
        </w:r>
      </w:hyperlink>
      <w:r>
        <w:t xml:space="preserve"> (Final report). Adelaide: AHCSA.</w:t>
      </w:r>
    </w:p>
    <w:p w14:paraId="6F98A03C" w14:textId="3EA1602A" w:rsidR="00B4582E" w:rsidRDefault="00B4582E" w:rsidP="00B4582E">
      <w:pPr>
        <w:pStyle w:val="OWEndnotetextnonumber"/>
      </w:pPr>
      <w:r>
        <w:t xml:space="preserve">Allas, T., Bui, M., Carlson, B., Kasat, P., McGlade, H., Perera, S., Pugliese, J., Qwaider, A. and Singh, C. (2018). </w:t>
      </w:r>
      <w:hyperlink r:id="rId110" w:history="1">
        <w:r>
          <w:rPr>
            <w:rStyle w:val="HyperlinkItalic"/>
          </w:rPr>
          <w:t>Indigenous femicide and the killing state</w:t>
        </w:r>
      </w:hyperlink>
      <w:r>
        <w:t>. Deathscapes: Mapping Race and Violence in Settler States.</w:t>
      </w:r>
    </w:p>
    <w:p w14:paraId="3CDD0CDC" w14:textId="4FF30446" w:rsidR="00B908DF" w:rsidRDefault="00B908DF" w:rsidP="00B908DF">
      <w:pPr>
        <w:pStyle w:val="OWEndnotetextnonumber"/>
      </w:pPr>
      <w:r>
        <w:t xml:space="preserve">Australian Bureau of Statistics. (2017). </w:t>
      </w:r>
      <w:hyperlink r:id="rId111" w:history="1">
        <w:r>
          <w:rPr>
            <w:rStyle w:val="HyperlinkItalic"/>
          </w:rPr>
          <w:t>Characteristics of recent migrants, Australia, November 2016</w:t>
        </w:r>
      </w:hyperlink>
      <w:r>
        <w:rPr>
          <w:rStyle w:val="Emphasis"/>
        </w:rPr>
        <w:t xml:space="preserve"> </w:t>
      </w:r>
      <w:r>
        <w:t>(cat. no. 6250.0).</w:t>
      </w:r>
    </w:p>
    <w:p w14:paraId="07432539" w14:textId="38F7C32D" w:rsidR="00B908DF" w:rsidRDefault="00B908DF" w:rsidP="00B908DF">
      <w:pPr>
        <w:pStyle w:val="OWEndnotetextnonumber"/>
      </w:pPr>
      <w:r>
        <w:t xml:space="preserve">Australian Bureau of Statistics. (2019). </w:t>
      </w:r>
      <w:hyperlink r:id="rId112" w:history="1">
        <w:r>
          <w:rPr>
            <w:rStyle w:val="HyperlinkItalic"/>
          </w:rPr>
          <w:t>Disability, ageing and carers, Australia: Summary of findings, 2018</w:t>
        </w:r>
      </w:hyperlink>
      <w:r>
        <w:rPr>
          <w:rStyle w:val="Emphasis"/>
        </w:rPr>
        <w:t> </w:t>
      </w:r>
      <w:r>
        <w:t>(cat. no. 4430.0).</w:t>
      </w:r>
    </w:p>
    <w:p w14:paraId="6EAB92C2" w14:textId="140775B5" w:rsidR="00B4582E" w:rsidRDefault="00B4582E" w:rsidP="00B4582E">
      <w:pPr>
        <w:pStyle w:val="OWEndnotetextnonumber"/>
      </w:pPr>
      <w:r>
        <w:t xml:space="preserve">Australian Bureau of Statistics. (2009). </w:t>
      </w:r>
      <w:hyperlink r:id="rId113" w:history="1">
        <w:r>
          <w:rPr>
            <w:rStyle w:val="HyperlinkItalic"/>
          </w:rPr>
          <w:t>Employment arrangements, retirement and superannuation, Australia, April to July 2007, Reissue</w:t>
        </w:r>
      </w:hyperlink>
      <w:r>
        <w:t xml:space="preserve"> (cat. no. 6361.0).</w:t>
      </w:r>
    </w:p>
    <w:p w14:paraId="472A07D9" w14:textId="7D3B6ADB" w:rsidR="00B4582E" w:rsidRDefault="00B4582E" w:rsidP="00B4582E">
      <w:pPr>
        <w:pStyle w:val="OWEndnotetextnonumber"/>
      </w:pPr>
      <w:r>
        <w:t xml:space="preserve">Australian Bureau of Statistics. (2012). </w:t>
      </w:r>
      <w:hyperlink r:id="rId114" w:history="1">
        <w:r>
          <w:rPr>
            <w:rStyle w:val="HyperlinkItalic"/>
          </w:rPr>
          <w:t>Labour force characteristics of Aboriginal and Torres Strait Islander Australians, Estimates from the Labour Force Survey, 2011</w:t>
        </w:r>
      </w:hyperlink>
      <w:r>
        <w:rPr>
          <w:rStyle w:val="Emphasis"/>
        </w:rPr>
        <w:t xml:space="preserve"> </w:t>
      </w:r>
      <w:r>
        <w:t>(cat. no. 6287.0).</w:t>
      </w:r>
    </w:p>
    <w:p w14:paraId="327BF4E9" w14:textId="6B7F460C" w:rsidR="00B4582E" w:rsidRDefault="00B4582E" w:rsidP="00B4582E">
      <w:pPr>
        <w:pStyle w:val="OWEndnotetextnonumber"/>
      </w:pPr>
      <w:r>
        <w:t xml:space="preserve">Australian Bureau of Statistics. (2017). </w:t>
      </w:r>
      <w:hyperlink r:id="rId115" w:history="1">
        <w:r>
          <w:rPr>
            <w:rStyle w:val="HyperlinkItalic"/>
          </w:rPr>
          <w:t>Personal safety survey, Australia: User guide, 2016</w:t>
        </w:r>
      </w:hyperlink>
      <w:r>
        <w:rPr>
          <w:rStyle w:val="Emphasis"/>
        </w:rPr>
        <w:t xml:space="preserve"> </w:t>
      </w:r>
      <w:r>
        <w:t>(cat. no. 4906.0.55.003).</w:t>
      </w:r>
    </w:p>
    <w:p w14:paraId="586F69C2" w14:textId="77777777" w:rsidR="00B4582E" w:rsidRDefault="00B4582E" w:rsidP="00B4582E">
      <w:pPr>
        <w:pStyle w:val="OWEndnotetextnonumber"/>
      </w:pPr>
      <w:r>
        <w:t xml:space="preserve">Australian Government Department of Health. (2018). </w:t>
      </w:r>
      <w:r>
        <w:rPr>
          <w:rStyle w:val="Emphasis"/>
        </w:rPr>
        <w:t>National women’s health strategy 2020–2030</w:t>
      </w:r>
      <w:r>
        <w:t>.</w:t>
      </w:r>
    </w:p>
    <w:p w14:paraId="45390C85" w14:textId="0CAF292F" w:rsidR="00B4582E" w:rsidRDefault="00B4582E" w:rsidP="00B4582E">
      <w:pPr>
        <w:pStyle w:val="OWEndnotetextnonumber"/>
      </w:pPr>
      <w:r>
        <w:t xml:space="preserve">Australian Human Rights Commission. (2018). </w:t>
      </w:r>
      <w:hyperlink r:id="rId116" w:history="1">
        <w:r>
          <w:rPr>
            <w:rStyle w:val="HyperlinkItalic"/>
          </w:rPr>
          <w:t>Leading for change: A blueprint for cultural diversity and inclusive leadership revisited</w:t>
        </w:r>
      </w:hyperlink>
      <w:r>
        <w:t>.</w:t>
      </w:r>
    </w:p>
    <w:p w14:paraId="38A22A60" w14:textId="36CB9610" w:rsidR="00B4582E" w:rsidRDefault="00B4582E" w:rsidP="00B4582E">
      <w:pPr>
        <w:pStyle w:val="OWEndnotetextnonumber"/>
      </w:pPr>
      <w:r>
        <w:t xml:space="preserve">Australian Public Service Commission. (2019). </w:t>
      </w:r>
      <w:hyperlink r:id="rId117" w:history="1">
        <w:r>
          <w:rPr>
            <w:rStyle w:val="Hyperlink"/>
          </w:rPr>
          <w:t>APS employment data 30 June 2019 release</w:t>
        </w:r>
      </w:hyperlink>
      <w:r>
        <w:t>.</w:t>
      </w:r>
    </w:p>
    <w:p w14:paraId="40407978" w14:textId="77777777" w:rsidR="00B4582E" w:rsidRDefault="00B4582E" w:rsidP="00B4582E">
      <w:pPr>
        <w:pStyle w:val="OWEndnotetextnonumber"/>
      </w:pPr>
      <w:r>
        <w:t xml:space="preserve">Bhuyan, R. (2012). Negotiating citizenship on the frontlines: How the devolution of Canadian immigration policy shapes service delivery to women fleeing abuse. </w:t>
      </w:r>
      <w:r>
        <w:rPr>
          <w:rStyle w:val="Emphasis"/>
        </w:rPr>
        <w:t>Law and Policy</w:t>
      </w:r>
      <w:r>
        <w:t xml:space="preserve">, </w:t>
      </w:r>
      <w:r>
        <w:rPr>
          <w:rStyle w:val="Emphasis"/>
        </w:rPr>
        <w:t>34</w:t>
      </w:r>
      <w:r>
        <w:t>(2), 211–236.</w:t>
      </w:r>
    </w:p>
    <w:p w14:paraId="0480CD36" w14:textId="3B48C12C" w:rsidR="00B4582E" w:rsidRDefault="00B4582E" w:rsidP="00B4582E">
      <w:pPr>
        <w:pStyle w:val="OWEndnotetextnonumber"/>
      </w:pPr>
      <w:r>
        <w:t xml:space="preserve">Brook, E. (The Gender Centre Inc.). (2019). </w:t>
      </w:r>
      <w:hyperlink r:id="rId118" w:history="1">
        <w:r>
          <w:rPr>
            <w:rStyle w:val="HyperlinkItalic"/>
          </w:rPr>
          <w:t>Counting the dead</w:t>
        </w:r>
      </w:hyperlink>
      <w:r>
        <w:rPr>
          <w:i/>
          <w:iCs/>
        </w:rPr>
        <w:t xml:space="preserve"> </w:t>
      </w:r>
      <w:r>
        <w:t>[audio podcast].</w:t>
      </w:r>
    </w:p>
    <w:p w14:paraId="5C4D3136" w14:textId="71279B42" w:rsidR="00B4582E" w:rsidRDefault="00B4582E" w:rsidP="00B4582E">
      <w:pPr>
        <w:pStyle w:val="OWEndnotetextnonumber"/>
      </w:pPr>
      <w:r>
        <w:t xml:space="preserve">Commonwealth, </w:t>
      </w:r>
      <w:r>
        <w:rPr>
          <w:rStyle w:val="Emphasis"/>
        </w:rPr>
        <w:t>Parliamentary Debates</w:t>
      </w:r>
      <w:r>
        <w:t xml:space="preserve">, House of Representatives, records from January 1st 2009 to December 31st 2019, retrieved from </w:t>
      </w:r>
      <w:hyperlink r:id="rId119" w:history="1">
        <w:r>
          <w:rPr>
            <w:rStyle w:val="Hyperlink"/>
          </w:rPr>
          <w:t>ParlInfo Search</w:t>
        </w:r>
      </w:hyperlink>
      <w:r>
        <w:rPr>
          <w:rStyle w:val="Hyperlink"/>
        </w:rPr>
        <w:t>.</w:t>
      </w:r>
    </w:p>
    <w:p w14:paraId="1865BEFC" w14:textId="177C30DC" w:rsidR="00B4582E" w:rsidRDefault="00B4582E" w:rsidP="00B4582E">
      <w:pPr>
        <w:pStyle w:val="OWEndnotetextnonumber"/>
      </w:pPr>
      <w:r>
        <w:t xml:space="preserve">Commonwealth, </w:t>
      </w:r>
      <w:r>
        <w:rPr>
          <w:rStyle w:val="Emphasis"/>
        </w:rPr>
        <w:t>Parliamentary Debates</w:t>
      </w:r>
      <w:r>
        <w:t xml:space="preserve">, Senate, records from January 1st 2009 to December 31st 2019, retrieved from </w:t>
      </w:r>
      <w:hyperlink r:id="rId120" w:history="1">
        <w:r>
          <w:rPr>
            <w:rStyle w:val="Hyperlink"/>
          </w:rPr>
          <w:t>ParlInfo Search</w:t>
        </w:r>
      </w:hyperlink>
      <w:r>
        <w:rPr>
          <w:rStyle w:val="Hyperlink"/>
        </w:rPr>
        <w:t>.</w:t>
      </w:r>
    </w:p>
    <w:p w14:paraId="125C7F46" w14:textId="126B2165" w:rsidR="00B4582E" w:rsidRDefault="00B4582E" w:rsidP="00B4582E">
      <w:pPr>
        <w:pStyle w:val="OWEndnotetextnonumber"/>
      </w:pPr>
      <w:r>
        <w:t xml:space="preserve">Commonwealth, </w:t>
      </w:r>
      <w:r>
        <w:rPr>
          <w:rStyle w:val="Emphasis"/>
        </w:rPr>
        <w:t>Parliamentary Inquiries</w:t>
      </w:r>
      <w:r>
        <w:t xml:space="preserve">, records from January 1st 2009 to December 31st 2009, retrieved from </w:t>
      </w:r>
      <w:hyperlink r:id="rId121" w:history="1">
        <w:r>
          <w:rPr>
            <w:rStyle w:val="Hyperlink"/>
          </w:rPr>
          <w:t>ParlInfo Search</w:t>
        </w:r>
      </w:hyperlink>
      <w:r>
        <w:t>.</w:t>
      </w:r>
    </w:p>
    <w:p w14:paraId="018B5CFA" w14:textId="77777777" w:rsidR="00B4582E" w:rsidRDefault="00B4582E" w:rsidP="00B4582E">
      <w:pPr>
        <w:pStyle w:val="OWEndnotetextnonumber"/>
      </w:pPr>
      <w:r>
        <w:t xml:space="preserve">Corbin, B. (2019). Reproductive coercion and safety planning: Sexual and reproductive healthcare within contexts of coercive control. </w:t>
      </w:r>
      <w:r>
        <w:rPr>
          <w:rStyle w:val="Emphasis"/>
        </w:rPr>
        <w:t>Australian Society for HIV Medicine 2019 Australasian Sexual Health Conference</w:t>
      </w:r>
      <w:r>
        <w:t>, Perth, Australia.</w:t>
      </w:r>
    </w:p>
    <w:p w14:paraId="5A7A8D4E" w14:textId="32ECDF62" w:rsidR="00B4582E" w:rsidRDefault="00B4582E" w:rsidP="00B4582E">
      <w:pPr>
        <w:pStyle w:val="OWEndnotetextnonumber"/>
      </w:pPr>
      <w:r>
        <w:t xml:space="preserve">Cortis, N. and Bullen, J. (2015). </w:t>
      </w:r>
      <w:hyperlink r:id="rId122" w:history="1">
        <w:r w:rsidRPr="00480AF8">
          <w:rPr>
            <w:rStyle w:val="HyperlinkItalic"/>
          </w:rPr>
          <w:t>Building effective policies and services to promote women’s economic security following domestic violence</w:t>
        </w:r>
      </w:hyperlink>
      <w:r>
        <w:t xml:space="preserve"> (ANROWS Landscapes, 07/2015). Sydney, Australia: ANROWS.</w:t>
      </w:r>
    </w:p>
    <w:p w14:paraId="2A8BC2CE" w14:textId="44427536" w:rsidR="00B4582E" w:rsidRDefault="00B4582E" w:rsidP="00B4582E">
      <w:pPr>
        <w:pStyle w:val="OWEndnotetextnonumber"/>
      </w:pPr>
      <w:r>
        <w:t xml:space="preserve">Disney, G. (2019). </w:t>
      </w:r>
      <w:hyperlink r:id="rId123" w:history="1">
        <w:r>
          <w:rPr>
            <w:rStyle w:val="Hyperlink"/>
            <w:i/>
            <w:iCs/>
          </w:rPr>
          <w:t>Disability, employment and inequity – it’s time to do more than the bare minimum</w:t>
        </w:r>
        <w:r>
          <w:rPr>
            <w:rStyle w:val="Hyperlink"/>
          </w:rPr>
          <w:t>.</w:t>
        </w:r>
      </w:hyperlink>
      <w:r>
        <w:t xml:space="preserve"> Retrieved 6 May 2020.</w:t>
      </w:r>
    </w:p>
    <w:p w14:paraId="4EBD1321" w14:textId="449784D0" w:rsidR="00B4582E" w:rsidRDefault="00B4582E" w:rsidP="00B4582E">
      <w:pPr>
        <w:pStyle w:val="OWEndnotetextnonumber"/>
      </w:pPr>
      <w:r>
        <w:t xml:space="preserve">El-Murr, A. (2019). </w:t>
      </w:r>
      <w:hyperlink r:id="rId124" w:history="1">
        <w:r>
          <w:rPr>
            <w:rStyle w:val="HyperlinkItalic"/>
          </w:rPr>
          <w:t>Intimate partner violence in Australian refugee communities</w:t>
        </w:r>
      </w:hyperlink>
      <w:r>
        <w:t>. Australian Institute of Family Studies.</w:t>
      </w:r>
    </w:p>
    <w:p w14:paraId="4693BEF7" w14:textId="77777777" w:rsidR="00B4582E" w:rsidRDefault="00B4582E" w:rsidP="00B4582E">
      <w:pPr>
        <w:pStyle w:val="OWEndnotetextnonumber"/>
      </w:pPr>
      <w:r>
        <w:lastRenderedPageBreak/>
        <w:t xml:space="preserve">Ghafournia, N. (2011). Battered at home, played down in policy: Migrant women and domestic violence in Australia, </w:t>
      </w:r>
      <w:r>
        <w:rPr>
          <w:rStyle w:val="Emphasis"/>
        </w:rPr>
        <w:t>Aggression and Violent Behaviour</w:t>
      </w:r>
      <w:r>
        <w:t xml:space="preserve">, </w:t>
      </w:r>
      <w:r>
        <w:rPr>
          <w:rStyle w:val="Emphasis"/>
        </w:rPr>
        <w:t>16</w:t>
      </w:r>
      <w:r>
        <w:t>(3), 207–213.</w:t>
      </w:r>
    </w:p>
    <w:p w14:paraId="2D11EBBD" w14:textId="03CF047F" w:rsidR="00B4582E" w:rsidRDefault="00B4582E" w:rsidP="00B4582E">
      <w:pPr>
        <w:pStyle w:val="OWEndnotetextnonumber"/>
      </w:pPr>
      <w:r>
        <w:t xml:space="preserve">Government of South Australia. </w:t>
      </w:r>
      <w:r>
        <w:rPr>
          <w:rStyle w:val="Emphasis"/>
        </w:rPr>
        <w:t>Parliamentary Debates</w:t>
      </w:r>
      <w:r>
        <w:t xml:space="preserve">. Legislative Council, records from </w:t>
      </w:r>
      <w:r>
        <w:br/>
        <w:t xml:space="preserve">January 1st 2019 to December 31st 2019, retrieved from </w:t>
      </w:r>
      <w:hyperlink r:id="rId125" w:anchor="/search/0" w:history="1">
        <w:r>
          <w:rPr>
            <w:rStyle w:val="Hyperlink"/>
          </w:rPr>
          <w:t>Parliament of South Australia Search</w:t>
        </w:r>
      </w:hyperlink>
      <w:r>
        <w:rPr>
          <w:rStyle w:val="Hyperlink"/>
        </w:rPr>
        <w:t>.</w:t>
      </w:r>
    </w:p>
    <w:p w14:paraId="238D7B9E" w14:textId="37EC22F3" w:rsidR="00B4582E" w:rsidRDefault="00B4582E" w:rsidP="00B4582E">
      <w:pPr>
        <w:pStyle w:val="OWEndnotetextnonumber"/>
      </w:pPr>
      <w:r>
        <w:t xml:space="preserve">Government of South Australia. </w:t>
      </w:r>
      <w:r>
        <w:rPr>
          <w:rStyle w:val="Emphasis"/>
        </w:rPr>
        <w:t>Parliamentary Debates</w:t>
      </w:r>
      <w:r>
        <w:t xml:space="preserve">. House of Assembly, records from </w:t>
      </w:r>
      <w:r>
        <w:br/>
        <w:t xml:space="preserve">January 1st 2019 to December 31st 2019, retrieved from </w:t>
      </w:r>
      <w:hyperlink r:id="rId126" w:anchor="/search/0" w:history="1">
        <w:r>
          <w:rPr>
            <w:rStyle w:val="Hyperlink"/>
          </w:rPr>
          <w:t>Parliament of South Australia Search</w:t>
        </w:r>
      </w:hyperlink>
      <w:r>
        <w:rPr>
          <w:rStyle w:val="Hyperlink"/>
        </w:rPr>
        <w:t>.</w:t>
      </w:r>
    </w:p>
    <w:p w14:paraId="05CC1A98" w14:textId="77777777" w:rsidR="00B4582E" w:rsidRDefault="00B4582E" w:rsidP="00B4582E">
      <w:pPr>
        <w:pStyle w:val="OWEndnotetextnonumber"/>
      </w:pPr>
      <w:r>
        <w:t xml:space="preserve">Griffiths, E. et al. (2019). Pregnancy intentions in a group of remote-dwelling Australian Aboriginal women: A qualitative exploration of formation, expression and implications for clinical practice, </w:t>
      </w:r>
      <w:r>
        <w:rPr>
          <w:rStyle w:val="Emphasis"/>
        </w:rPr>
        <w:t>BMC Public Health</w:t>
      </w:r>
      <w:r>
        <w:t xml:space="preserve">, </w:t>
      </w:r>
      <w:r>
        <w:rPr>
          <w:rStyle w:val="Emphasis"/>
        </w:rPr>
        <w:t>19</w:t>
      </w:r>
      <w:r>
        <w:t>, 568.</w:t>
      </w:r>
    </w:p>
    <w:p w14:paraId="0224E38F" w14:textId="7905A18F" w:rsidR="00B4582E" w:rsidRDefault="00B4582E" w:rsidP="00B4582E">
      <w:pPr>
        <w:pStyle w:val="OWEndnotetextnonumber"/>
      </w:pPr>
      <w:r>
        <w:rPr>
          <w:rFonts w:asciiTheme="minorHAnsi" w:hAnsiTheme="minorHAnsi" w:cstheme="minorHAnsi"/>
        </w:rPr>
        <w:t xml:space="preserve">Hirini, R. (2020) </w:t>
      </w:r>
      <w:hyperlink r:id="rId127" w:history="1">
        <w:r w:rsidRPr="007A3E39">
          <w:rPr>
            <w:rStyle w:val="Hyperlink"/>
          </w:rPr>
          <w:t>‘Why isn’t this a national crisis’: Report calls for action on Indigenous women’s deaths</w:t>
        </w:r>
      </w:hyperlink>
      <w:r w:rsidR="007A3E39">
        <w:rPr>
          <w:rFonts w:asciiTheme="minorHAnsi" w:hAnsiTheme="minorHAnsi" w:cstheme="minorHAnsi"/>
        </w:rPr>
        <w:t xml:space="preserve">. </w:t>
      </w:r>
      <w:r w:rsidR="007A3E39" w:rsidRPr="007A3E39">
        <w:rPr>
          <w:rStyle w:val="Emphasis"/>
        </w:rPr>
        <w:t>NITV News</w:t>
      </w:r>
      <w:r w:rsidR="007A3E39">
        <w:rPr>
          <w:rFonts w:asciiTheme="minorHAnsi" w:hAnsiTheme="minorHAnsi" w:cstheme="minorHAnsi"/>
        </w:rPr>
        <w:t xml:space="preserve">, </w:t>
      </w:r>
      <w:r>
        <w:rPr>
          <w:rFonts w:asciiTheme="minorHAnsi" w:hAnsiTheme="minorHAnsi" w:cstheme="minorHAnsi"/>
        </w:rPr>
        <w:t>5 February 2020.</w:t>
      </w:r>
    </w:p>
    <w:p w14:paraId="5C3A8A1D" w14:textId="6813F09F" w:rsidR="00B4582E" w:rsidRDefault="00B4582E" w:rsidP="00B4582E">
      <w:pPr>
        <w:pStyle w:val="OWEndnotetextnonumber"/>
      </w:pPr>
      <w:r>
        <w:t xml:space="preserve">Lavoipierre, A. (2019). </w:t>
      </w:r>
      <w:hyperlink r:id="rId128" w:history="1">
        <w:r w:rsidRPr="007A3E39">
          <w:rPr>
            <w:rStyle w:val="Hyperlink"/>
          </w:rPr>
          <w:t>Why is it so hard to work out how many transgender people have been murdered in Australia?</w:t>
        </w:r>
      </w:hyperlink>
      <w:r>
        <w:t xml:space="preserve"> </w:t>
      </w:r>
      <w:r>
        <w:rPr>
          <w:rStyle w:val="Emphasis"/>
        </w:rPr>
        <w:t>ABC News</w:t>
      </w:r>
      <w:r>
        <w:t>, 20 November 2019.</w:t>
      </w:r>
    </w:p>
    <w:p w14:paraId="4CD157F9" w14:textId="6002DF66" w:rsidR="00B4582E" w:rsidRDefault="00B4582E" w:rsidP="00B4582E">
      <w:pPr>
        <w:pStyle w:val="OWEndnotetextnonumber"/>
      </w:pPr>
      <w:r>
        <w:t xml:space="preserve">Leung, L., Miedama, S., Warner, X., Homan, S., &amp; Fulu, E. (2019). </w:t>
      </w:r>
      <w:hyperlink r:id="rId129" w:history="1">
        <w:r w:rsidRPr="00480AF8">
          <w:rPr>
            <w:rStyle w:val="HyperlinkItalic"/>
          </w:rPr>
          <w:t>Making feminism count: integrating feminist research principles in large-scale quantitative research on violence against women and girls.</w:t>
        </w:r>
      </w:hyperlink>
      <w:r>
        <w:t xml:space="preserve"> </w:t>
      </w:r>
      <w:r>
        <w:rPr>
          <w:rStyle w:val="Emphasis"/>
        </w:rPr>
        <w:t>Gender and Development</w:t>
      </w:r>
      <w:r>
        <w:t xml:space="preserve">, </w:t>
      </w:r>
      <w:r>
        <w:rPr>
          <w:rStyle w:val="Emphasis"/>
        </w:rPr>
        <w:t>27</w:t>
      </w:r>
      <w:r>
        <w:t>(3), doi: 10.1080/13552074.2019.1668142, 442–447.</w:t>
      </w:r>
    </w:p>
    <w:p w14:paraId="1628C958" w14:textId="69412B83" w:rsidR="00B4582E" w:rsidRDefault="00B4582E" w:rsidP="00B4582E">
      <w:pPr>
        <w:pStyle w:val="OWEndnotetextnonumber"/>
      </w:pPr>
      <w:r>
        <w:t xml:space="preserve">Lyneham, S. &amp; Bricknell, S. (2018). </w:t>
      </w:r>
      <w:hyperlink r:id="rId130" w:history="1">
        <w:r w:rsidRPr="00480AF8">
          <w:rPr>
            <w:rStyle w:val="HyperlinkItalic"/>
          </w:rPr>
          <w:t>When saying no is not an option: Forced marriage in Australia and New Zealand</w:t>
        </w:r>
      </w:hyperlink>
      <w:r>
        <w:t xml:space="preserve"> (Research report 11). Canberra, Australia: Australian Institute of Criminology.</w:t>
      </w:r>
    </w:p>
    <w:p w14:paraId="35C0FF4C" w14:textId="042F2A2B" w:rsidR="00B4582E" w:rsidRDefault="00B4582E" w:rsidP="00B4582E">
      <w:pPr>
        <w:pStyle w:val="OWEndnotetextnonumber"/>
      </w:pPr>
      <w:bookmarkStart w:id="124" w:name="McGregor2009"/>
      <w:r>
        <w:t>McGregor, K. (2009)</w:t>
      </w:r>
      <w:bookmarkEnd w:id="124"/>
      <w:r>
        <w:t xml:space="preserve">. </w:t>
      </w:r>
      <w:hyperlink r:id="rId131" w:history="1">
        <w:r>
          <w:rPr>
            <w:rStyle w:val="HyperlinkItalic"/>
          </w:rPr>
          <w:t>2009 National Community Attitudes towards Violence against Women Survey: A full technical report</w:t>
        </w:r>
      </w:hyperlink>
      <w:r>
        <w:t>. Canberra, Australia: Australian Institute of Criminology.</w:t>
      </w:r>
    </w:p>
    <w:p w14:paraId="480EE7A4" w14:textId="2071647A" w:rsidR="00B4582E" w:rsidRDefault="00B4582E" w:rsidP="00B4582E">
      <w:pPr>
        <w:pStyle w:val="OWEndnotetextnonumber"/>
      </w:pPr>
      <w:r>
        <w:t xml:space="preserve">Maiam nayri Wingara Indigenous Data Sovereignty Collective. (2018). </w:t>
      </w:r>
      <w:hyperlink r:id="rId132" w:history="1">
        <w:r>
          <w:rPr>
            <w:rStyle w:val="Hyperlink"/>
          </w:rPr>
          <w:t>Key principles</w:t>
        </w:r>
      </w:hyperlink>
      <w:r>
        <w:t>.</w:t>
      </w:r>
      <w:r w:rsidR="00084DD1">
        <w:t xml:space="preserve"> Retrieved </w:t>
      </w:r>
      <w:r w:rsidR="0006004C">
        <w:t>January 2020.</w:t>
      </w:r>
    </w:p>
    <w:p w14:paraId="7ED96108" w14:textId="39286048" w:rsidR="00B4582E" w:rsidRDefault="00B4582E" w:rsidP="00B4582E">
      <w:pPr>
        <w:pStyle w:val="OWEndnotetextnonumber"/>
      </w:pPr>
      <w:r>
        <w:t>Markham, F. &amp; Biddle, N. (2018</w:t>
      </w:r>
      <w:hyperlink r:id="rId133" w:history="1">
        <w:r w:rsidRPr="00480AF8">
          <w:t>).</w:t>
        </w:r>
        <w:r w:rsidRPr="00480AF8">
          <w:rPr>
            <w:rStyle w:val="HyperlinkItalic"/>
          </w:rPr>
          <w:t xml:space="preserve"> Income, poverty and inequality: CAEPR 2016 census paper 2</w:t>
        </w:r>
      </w:hyperlink>
      <w:r>
        <w:t>. Canberra, Australia: Centre for Aboriginal Economic Policy Research, ANU.</w:t>
      </w:r>
    </w:p>
    <w:p w14:paraId="746C63AB" w14:textId="5D027A54" w:rsidR="00B4582E" w:rsidRDefault="00B4582E" w:rsidP="00B4582E">
      <w:pPr>
        <w:pStyle w:val="OWEndnotetextnonumber"/>
      </w:pPr>
      <w:r>
        <w:t xml:space="preserve">Mayi Kuwayu. (2020). </w:t>
      </w:r>
      <w:hyperlink r:id="rId134" w:history="1">
        <w:r>
          <w:rPr>
            <w:rStyle w:val="Hyperlink"/>
          </w:rPr>
          <w:t>Mayi Kuwayu: The national study of Aboriginal and Torres Strait Islander wellbeing</w:t>
        </w:r>
      </w:hyperlink>
      <w:r>
        <w:t>.</w:t>
      </w:r>
    </w:p>
    <w:p w14:paraId="7D388962" w14:textId="431BCFFE" w:rsidR="00B4582E" w:rsidRDefault="00B4582E" w:rsidP="00B4582E">
      <w:pPr>
        <w:pStyle w:val="OWEndnotetextnonumber"/>
      </w:pPr>
      <w:r>
        <w:t xml:space="preserve">Mayi Kuwayu study team. (2018). </w:t>
      </w:r>
      <w:hyperlink r:id="rId135" w:history="1">
        <w:r>
          <w:rPr>
            <w:rStyle w:val="HyperlinkItalic"/>
          </w:rPr>
          <w:t>Community engagement: Good engagement practices for Aboriginal and Torres Strait Islander research</w:t>
        </w:r>
      </w:hyperlink>
      <w:r>
        <w:t>. Canberra, Australia: Mayi Kuwayu and the Lowitja Institute.</w:t>
      </w:r>
    </w:p>
    <w:p w14:paraId="7CFB74F3" w14:textId="1D071732" w:rsidR="00B4582E" w:rsidRDefault="00B4582E" w:rsidP="00B4582E">
      <w:pPr>
        <w:pStyle w:val="OWEndnotetextnonumber"/>
      </w:pPr>
      <w:r>
        <w:t xml:space="preserve">Mengesha, Z. B. et al. (2017). </w:t>
      </w:r>
      <w:hyperlink r:id="rId136" w:history="1">
        <w:r w:rsidRPr="00480AF8">
          <w:rPr>
            <w:rStyle w:val="HyperlinkItalic"/>
          </w:rPr>
          <w:t>Refugee and migrant women’s engagement with sexual and reproductive health care in Australia: A socio-ecological analysis of health care professional perspectives</w:t>
        </w:r>
      </w:hyperlink>
      <w:r>
        <w:t xml:space="preserve">. </w:t>
      </w:r>
      <w:r>
        <w:rPr>
          <w:rStyle w:val="Emphasis"/>
        </w:rPr>
        <w:t>PLoS ONE</w:t>
      </w:r>
      <w:r>
        <w:t>,</w:t>
      </w:r>
      <w:r>
        <w:rPr>
          <w:rStyle w:val="Emphasis"/>
        </w:rPr>
        <w:t xml:space="preserve"> 12</w:t>
      </w:r>
      <w:r>
        <w:t>(7).</w:t>
      </w:r>
    </w:p>
    <w:p w14:paraId="55C29453" w14:textId="77777777" w:rsidR="00B4582E" w:rsidRDefault="00B4582E" w:rsidP="00B4582E">
      <w:pPr>
        <w:pStyle w:val="OWEndnotetextnonumber"/>
      </w:pPr>
      <w:r>
        <w:t xml:space="preserve">Metusula, C. et al. (2017). ‘In my culture, we don’t know anything about that’: Sexual and reproductive health of migrant and refugee women. </w:t>
      </w:r>
      <w:r>
        <w:rPr>
          <w:rStyle w:val="Emphasis"/>
        </w:rPr>
        <w:t>International Journal of Behavioural Medicine</w:t>
      </w:r>
      <w:r>
        <w:t xml:space="preserve">, </w:t>
      </w:r>
      <w:r>
        <w:rPr>
          <w:rStyle w:val="Emphasis"/>
        </w:rPr>
        <w:t>24</w:t>
      </w:r>
      <w:r>
        <w:t>, 836–845.</w:t>
      </w:r>
    </w:p>
    <w:p w14:paraId="24C10C58" w14:textId="34119D6D" w:rsidR="00B4582E" w:rsidRDefault="00B4582E" w:rsidP="00B4582E">
      <w:pPr>
        <w:pStyle w:val="OWEndnotetextnonumber"/>
      </w:pPr>
      <w:r>
        <w:t xml:space="preserve">NCAS (National Community Attitudes Survey) 2009 – see </w:t>
      </w:r>
      <w:hyperlink w:anchor="McGregor2009" w:history="1">
        <w:r>
          <w:rPr>
            <w:rStyle w:val="Hyperlink"/>
          </w:rPr>
          <w:t>McGregor 2009</w:t>
        </w:r>
      </w:hyperlink>
      <w:r>
        <w:t>.</w:t>
      </w:r>
    </w:p>
    <w:p w14:paraId="1D035DCB" w14:textId="22D12448" w:rsidR="00B4582E" w:rsidRDefault="00B4582E" w:rsidP="00B4582E">
      <w:pPr>
        <w:pStyle w:val="OWEndnotetextnonumber"/>
      </w:pPr>
      <w:r>
        <w:t xml:space="preserve">NCAS (National Community Attitudes Survey) 2013 – see </w:t>
      </w:r>
      <w:hyperlink w:anchor="VicHealth2014" w:history="1">
        <w:r>
          <w:rPr>
            <w:rStyle w:val="Hyperlink"/>
          </w:rPr>
          <w:t>VicHealth 2014</w:t>
        </w:r>
      </w:hyperlink>
      <w:r>
        <w:t>.</w:t>
      </w:r>
    </w:p>
    <w:p w14:paraId="2531F5B6" w14:textId="4C69B526" w:rsidR="00B4582E" w:rsidRDefault="00B4582E" w:rsidP="00B4582E">
      <w:pPr>
        <w:pStyle w:val="OWEndnotetextnonumber"/>
      </w:pPr>
      <w:r>
        <w:t xml:space="preserve">NCAS (National Community Attitudes Survey) 2017 – see </w:t>
      </w:r>
      <w:hyperlink w:anchor="Webster2018" w:history="1">
        <w:r>
          <w:rPr>
            <w:rStyle w:val="Hyperlink"/>
          </w:rPr>
          <w:t>Webster et al. 2018</w:t>
        </w:r>
      </w:hyperlink>
      <w:r>
        <w:t>.</w:t>
      </w:r>
    </w:p>
    <w:p w14:paraId="08AC0D1B" w14:textId="0E57483A" w:rsidR="00B4582E" w:rsidRDefault="00B4582E" w:rsidP="00B4582E">
      <w:pPr>
        <w:pStyle w:val="OWEndnotetextnonumber"/>
      </w:pPr>
      <w:r>
        <w:t xml:space="preserve">New South Wales Government. </w:t>
      </w:r>
      <w:r>
        <w:rPr>
          <w:rStyle w:val="Emphasis"/>
        </w:rPr>
        <w:t>Parliamentary Debates</w:t>
      </w:r>
      <w:r>
        <w:t xml:space="preserve">. Legislative Assembly, records from January 1st 2019 to December 31st 2019, retrieved from </w:t>
      </w:r>
      <w:hyperlink r:id="rId137" w:anchor="/search" w:history="1">
        <w:r>
          <w:rPr>
            <w:rStyle w:val="Hyperlink"/>
          </w:rPr>
          <w:t>Parliament of New South Wales Search</w:t>
        </w:r>
      </w:hyperlink>
      <w:r>
        <w:rPr>
          <w:rStyle w:val="Hyperlink"/>
        </w:rPr>
        <w:t>.</w:t>
      </w:r>
    </w:p>
    <w:p w14:paraId="4B7F6AF2" w14:textId="457A8F3E" w:rsidR="00B4582E" w:rsidRDefault="00B4582E" w:rsidP="00B4582E">
      <w:pPr>
        <w:pStyle w:val="OWEndnotetextnonumber"/>
      </w:pPr>
      <w:r>
        <w:t xml:space="preserve">New South Wales Government. </w:t>
      </w:r>
      <w:r>
        <w:rPr>
          <w:rStyle w:val="Emphasis"/>
        </w:rPr>
        <w:t>Parliamentary Debates</w:t>
      </w:r>
      <w:r>
        <w:t xml:space="preserve">. Legislative Council, records from January 1st 2019 to December 31st 2019, retrieved from </w:t>
      </w:r>
      <w:hyperlink r:id="rId138" w:anchor="/search" w:history="1">
        <w:r>
          <w:rPr>
            <w:rStyle w:val="Hyperlink"/>
          </w:rPr>
          <w:t>Parliament of New South Wales Search</w:t>
        </w:r>
      </w:hyperlink>
      <w:r>
        <w:rPr>
          <w:rStyle w:val="Hyperlink"/>
        </w:rPr>
        <w:t>.</w:t>
      </w:r>
    </w:p>
    <w:p w14:paraId="7236B135" w14:textId="09D623E1" w:rsidR="00B4582E" w:rsidRDefault="00B4582E" w:rsidP="00B4582E">
      <w:pPr>
        <w:pStyle w:val="OWEndnotetextnonumber"/>
      </w:pPr>
      <w:r>
        <w:t xml:space="preserve">Our Watch. (2018). </w:t>
      </w:r>
      <w:hyperlink r:id="rId139" w:history="1">
        <w:r w:rsidRPr="00480AF8">
          <w:rPr>
            <w:rStyle w:val="HyperlinkItalic"/>
          </w:rPr>
          <w:t>Changing the picture: A national resource to support the prevention of violence against Aboriginal and Torres Strait Islander women and their children</w:t>
        </w:r>
      </w:hyperlink>
      <w:r>
        <w:t>. Melbourne, Australia: Our Watch.</w:t>
      </w:r>
    </w:p>
    <w:p w14:paraId="373942A7" w14:textId="772B26DB" w:rsidR="00B4582E" w:rsidRDefault="00B4582E" w:rsidP="00B4582E">
      <w:pPr>
        <w:pStyle w:val="OWEndnotetextnonumber"/>
      </w:pPr>
      <w:r>
        <w:t xml:space="preserve">PwC. (2017). </w:t>
      </w:r>
      <w:hyperlink r:id="rId140" w:history="1">
        <w:r>
          <w:rPr>
            <w:rStyle w:val="HyperlinkItalic"/>
          </w:rPr>
          <w:t>Understanding the Unpaid Economy</w:t>
        </w:r>
      </w:hyperlink>
      <w:r>
        <w:t>.</w:t>
      </w:r>
    </w:p>
    <w:p w14:paraId="2ABED903" w14:textId="77777777" w:rsidR="00B4582E" w:rsidRDefault="00B4582E" w:rsidP="00B4582E">
      <w:pPr>
        <w:pStyle w:val="OWEndnotetextnonumber"/>
      </w:pPr>
      <w:r>
        <w:t xml:space="preserve">Ragusa, A. T. (2017). Rurality’s influence on women’s intimate partner violence experiences and support needed for escape and healing in Australia. </w:t>
      </w:r>
      <w:r>
        <w:rPr>
          <w:rStyle w:val="Emphasis"/>
        </w:rPr>
        <w:t>Journal of Social Service Research</w:t>
      </w:r>
      <w:r>
        <w:t xml:space="preserve">, </w:t>
      </w:r>
      <w:r>
        <w:rPr>
          <w:rStyle w:val="Emphasis"/>
        </w:rPr>
        <w:t>43</w:t>
      </w:r>
      <w:r>
        <w:t>(2), 270–295.</w:t>
      </w:r>
    </w:p>
    <w:p w14:paraId="7698017B" w14:textId="4D7EA1A2" w:rsidR="00B4582E" w:rsidRDefault="00B4582E" w:rsidP="00B4582E">
      <w:pPr>
        <w:pStyle w:val="OWEndnotetextnonumber"/>
      </w:pPr>
      <w:r>
        <w:lastRenderedPageBreak/>
        <w:t xml:space="preserve">Riach, K. et al. (2018). </w:t>
      </w:r>
      <w:hyperlink r:id="rId141" w:history="1">
        <w:r w:rsidRPr="00480AF8">
          <w:rPr>
            <w:rStyle w:val="HyperlinkItalic"/>
          </w:rPr>
          <w:t>The future face of poverty is female: Stories behind Australia’s women’s superannuation poverty in retirement</w:t>
        </w:r>
      </w:hyperlink>
      <w:r>
        <w:t>. Melbourne: Monash University and Australian Super.</w:t>
      </w:r>
    </w:p>
    <w:p w14:paraId="407DD122" w14:textId="0E0BAA48" w:rsidR="00B4582E" w:rsidRDefault="00B4582E" w:rsidP="00B4582E">
      <w:pPr>
        <w:pStyle w:val="OWEndnotetextnonumber"/>
      </w:pPr>
      <w:r>
        <w:t xml:space="preserve">Salmon, M., Doery, K., Dance, P., Chapman, J., Gilbert, R., Williams, R. &amp; Lovett, R. (2019). </w:t>
      </w:r>
      <w:hyperlink r:id="rId142" w:history="1">
        <w:r w:rsidRPr="00480AF8">
          <w:rPr>
            <w:rStyle w:val="HyperlinkItalic"/>
          </w:rPr>
          <w:t>Defining the indefinable: Descriptors of Aboriginal and Torres Strait Islander peoples’ culture, and their links to health and wellbeing: A literature review</w:t>
        </w:r>
      </w:hyperlink>
      <w:r>
        <w:t>. Canberra, Australia: Mayi Kuwayu and the Lowitja Institute.</w:t>
      </w:r>
    </w:p>
    <w:p w14:paraId="35CCCC29" w14:textId="70904B3E" w:rsidR="00B4582E" w:rsidRDefault="00B4582E" w:rsidP="00B4582E">
      <w:pPr>
        <w:pStyle w:val="OWEndnotetextnonumber"/>
      </w:pPr>
      <w:r>
        <w:t xml:space="preserve">Segrave, M. (2017). </w:t>
      </w:r>
      <w:hyperlink r:id="rId143" w:history="1">
        <w:r w:rsidRPr="00480AF8">
          <w:rPr>
            <w:rStyle w:val="HyperlinkItalic"/>
          </w:rPr>
          <w:t>Temporary migration and family violence: An analysis of victimisation, vulnerability and support.</w:t>
        </w:r>
      </w:hyperlink>
      <w:r>
        <w:t xml:space="preserve"> Melbourne, Australia: Monash University.</w:t>
      </w:r>
    </w:p>
    <w:p w14:paraId="0CC10D53" w14:textId="77777777" w:rsidR="00B4582E" w:rsidRDefault="00B4582E" w:rsidP="00B4582E">
      <w:pPr>
        <w:pStyle w:val="OWEndnotetextnonumber"/>
      </w:pPr>
      <w:r>
        <w:t xml:space="preserve">Shabbar, F. (2012). Protecting our non-citizens: Iraqi women on Australian temporary spouse visas. </w:t>
      </w:r>
      <w:r>
        <w:rPr>
          <w:rStyle w:val="Emphasis"/>
        </w:rPr>
        <w:t>Sociological Review</w:t>
      </w:r>
      <w:r>
        <w:t xml:space="preserve">, </w:t>
      </w:r>
      <w:r>
        <w:rPr>
          <w:rStyle w:val="Emphasis"/>
        </w:rPr>
        <w:t>60</w:t>
      </w:r>
      <w:r>
        <w:t>(1), 149–168.</w:t>
      </w:r>
    </w:p>
    <w:p w14:paraId="6528E71E" w14:textId="77777777" w:rsidR="00B4582E" w:rsidRDefault="00B4582E" w:rsidP="00B4582E">
      <w:pPr>
        <w:pStyle w:val="OWEndnotetextnonumber"/>
      </w:pPr>
      <w:r>
        <w:t xml:space="preserve">Taft, A., Powell, R., Watson, L., Lucke, J., Mazza, D., &amp; McNamee, K. (2019). Factors associated with induced abortion over time: Secondary data analysis of five waves of the Australian Longitudinal Study on Women’s Health. </w:t>
      </w:r>
      <w:r>
        <w:rPr>
          <w:rStyle w:val="Emphasis"/>
        </w:rPr>
        <w:t>Australian and New Zealand Journal of Public Health</w:t>
      </w:r>
      <w:r>
        <w:t xml:space="preserve">, </w:t>
      </w:r>
      <w:r>
        <w:rPr>
          <w:rStyle w:val="Emphasis"/>
        </w:rPr>
        <w:t>43</w:t>
      </w:r>
      <w:r>
        <w:t>, 137–142.</w:t>
      </w:r>
    </w:p>
    <w:p w14:paraId="6D374C0D" w14:textId="77777777" w:rsidR="00B4582E" w:rsidRDefault="00B4582E" w:rsidP="00B4582E">
      <w:pPr>
        <w:pStyle w:val="OWEndnotetextnonumber"/>
      </w:pPr>
      <w:r>
        <w:t xml:space="preserve">Thronson, V. T. (2012). Domestic violence and immigrants in family court. </w:t>
      </w:r>
      <w:r>
        <w:rPr>
          <w:rStyle w:val="Emphasis"/>
        </w:rPr>
        <w:t>Immigration Issues in the Juvenile and Family Courts</w:t>
      </w:r>
      <w:r>
        <w:t xml:space="preserve">. </w:t>
      </w:r>
      <w:r>
        <w:rPr>
          <w:rStyle w:val="Emphasis"/>
        </w:rPr>
        <w:t>63</w:t>
      </w:r>
      <w:r>
        <w:t>(1), 63–76.</w:t>
      </w:r>
    </w:p>
    <w:p w14:paraId="7D6D8CF9" w14:textId="186588DB" w:rsidR="00B4582E" w:rsidRDefault="00146E31" w:rsidP="00B4582E">
      <w:pPr>
        <w:pStyle w:val="OWEndnotetextnonumber"/>
      </w:pPr>
      <w:r w:rsidRPr="00146E31">
        <w:t xml:space="preserve">Ting, </w:t>
      </w:r>
      <w:r w:rsidR="009A21F6">
        <w:t>S</w:t>
      </w:r>
      <w:r w:rsidRPr="00146E31">
        <w:t xml:space="preserve">., Perales, F., &amp; Baxter, J. (2016). Gender, ethnicity and the division of household labour within heterosexual couples in Australia. </w:t>
      </w:r>
      <w:r w:rsidRPr="00146E31">
        <w:rPr>
          <w:rStyle w:val="Emphasis"/>
        </w:rPr>
        <w:t>Journal of Sociology</w:t>
      </w:r>
      <w:r w:rsidRPr="00146E31">
        <w:t>, 52(4), 693–710.</w:t>
      </w:r>
    </w:p>
    <w:p w14:paraId="6EC62F34" w14:textId="6AA3877A" w:rsidR="00B4582E" w:rsidRDefault="00B4582E" w:rsidP="00B4582E">
      <w:pPr>
        <w:pStyle w:val="OWEndnotetextnonumber"/>
      </w:pPr>
      <w:r>
        <w:t xml:space="preserve">Trans Respect versus Transphobia. (2019). </w:t>
      </w:r>
      <w:hyperlink r:id="rId144" w:history="1">
        <w:r>
          <w:rPr>
            <w:rStyle w:val="Hyperlink"/>
          </w:rPr>
          <w:t>Trans murder monitoring</w:t>
        </w:r>
      </w:hyperlink>
      <w:r>
        <w:t>.</w:t>
      </w:r>
    </w:p>
    <w:p w14:paraId="440DDCBF" w14:textId="1E913A33" w:rsidR="00B4582E" w:rsidRDefault="00B4582E" w:rsidP="00B4582E">
      <w:pPr>
        <w:pStyle w:val="OWEndnotetextnonumber"/>
      </w:pPr>
      <w:r>
        <w:t xml:space="preserve">Vaughan, C. et al. (2016). </w:t>
      </w:r>
      <w:hyperlink r:id="rId145" w:history="1">
        <w:r w:rsidRPr="00480AF8">
          <w:rPr>
            <w:rStyle w:val="HyperlinkItalic"/>
          </w:rPr>
          <w:t>Promoting community-led responses to violence against immigrant and refugee women in metropolitan and regional Australia: The ASPIRE project</w:t>
        </w:r>
      </w:hyperlink>
      <w:r>
        <w:rPr>
          <w:rStyle w:val="Emphasis"/>
        </w:rPr>
        <w:t xml:space="preserve"> </w:t>
      </w:r>
      <w:r>
        <w:t>(Research report) (ANROWS Horizons 07/2016). Sydney, Australia: ANROWS.</w:t>
      </w:r>
    </w:p>
    <w:p w14:paraId="62DA52CB" w14:textId="44727910" w:rsidR="00B4582E" w:rsidRDefault="00B4582E" w:rsidP="00B4582E">
      <w:pPr>
        <w:pStyle w:val="OWEndnotetextnonumber"/>
      </w:pPr>
      <w:r>
        <w:t xml:space="preserve">Venn, D., &amp; Biddle, N. (2018). </w:t>
      </w:r>
      <w:hyperlink r:id="rId146" w:history="1">
        <w:r w:rsidRPr="00480AF8">
          <w:rPr>
            <w:rStyle w:val="HyperlinkItalic"/>
          </w:rPr>
          <w:t>Employment Outcomes</w:t>
        </w:r>
      </w:hyperlink>
      <w:r>
        <w:t xml:space="preserve"> (CAEPR 2016 Census Paper No. 5). Canberra, Australia: Centre for Aboriginal Economic Policy Research, ANU.</w:t>
      </w:r>
    </w:p>
    <w:p w14:paraId="6CA7138E" w14:textId="769B400A" w:rsidR="00B4582E" w:rsidRDefault="00B4582E" w:rsidP="00B4582E">
      <w:pPr>
        <w:pStyle w:val="OWEndnotetextnonumber"/>
      </w:pPr>
      <w:bookmarkStart w:id="125" w:name="VicHealth2014"/>
      <w:r>
        <w:t>VicHealth. (2014)</w:t>
      </w:r>
      <w:bookmarkEnd w:id="125"/>
      <w:r>
        <w:t xml:space="preserve">. </w:t>
      </w:r>
      <w:hyperlink r:id="rId147" w:history="1">
        <w:r>
          <w:rPr>
            <w:rStyle w:val="HyperlinkItalic"/>
          </w:rPr>
          <w:t>Australians’ attitudes to violence against women: Findings from the 2013 National Community Attitudes Survey (NCAS)</w:t>
        </w:r>
      </w:hyperlink>
      <w:r>
        <w:t>. Melbourne, Australia: VicHealth Promotion Foundation.</w:t>
      </w:r>
    </w:p>
    <w:p w14:paraId="60A6184F" w14:textId="3CF4A8AF" w:rsidR="00B4582E" w:rsidRDefault="00B4582E" w:rsidP="00B4582E">
      <w:pPr>
        <w:pStyle w:val="OWEndnotetextnonumber"/>
      </w:pPr>
      <w:r>
        <w:t xml:space="preserve">Walter, M. (2016). Data politics and Indigenous representation in Australian statistics. In T. Kukutai &amp; J. Taylor (Eds.), </w:t>
      </w:r>
      <w:hyperlink r:id="rId148" w:history="1">
        <w:r w:rsidRPr="00480AF8">
          <w:rPr>
            <w:rStyle w:val="HyperlinkItalic"/>
          </w:rPr>
          <w:t>Indigenous data sovereignty: Toward an agenda.</w:t>
        </w:r>
      </w:hyperlink>
      <w:r>
        <w:rPr>
          <w:rStyle w:val="Emphasis"/>
        </w:rPr>
        <w:t xml:space="preserve"> </w:t>
      </w:r>
      <w:r>
        <w:t>Canberra, Australia: Centre for Aboriginal Economic Policy Research, ANU.</w:t>
      </w:r>
    </w:p>
    <w:p w14:paraId="63C6AD49" w14:textId="10F80E87" w:rsidR="00E9593D" w:rsidRDefault="00B4582E" w:rsidP="00B4582E">
      <w:pPr>
        <w:pStyle w:val="OWEndnotetextnonumber"/>
      </w:pPr>
      <w:bookmarkStart w:id="126" w:name="Webster2018"/>
      <w:r>
        <w:t>Webster, K.</w:t>
      </w:r>
      <w:bookmarkEnd w:id="126"/>
      <w:r>
        <w:t xml:space="preserve">, Diemer, K., Honey, N., Mannix, S., Mickle, J., Morgan, J., Parkes, A., Politoff, V., Powell, A., Stubbs, J., &amp; Ward, A. (2018). </w:t>
      </w:r>
      <w:hyperlink r:id="rId149" w:history="1">
        <w:r w:rsidR="00B908DF">
          <w:rPr>
            <w:rStyle w:val="HyperlinkItalic"/>
            <w:rFonts w:cstheme="minorHAnsi"/>
          </w:rPr>
          <w:t>Australians’ attitudes to violence against women and gender equality. Findings from the 2017 National Community Attitudes towards Violence Against Women Survey (NCAS)</w:t>
        </w:r>
      </w:hyperlink>
      <w:r w:rsidR="00B908DF">
        <w:rPr>
          <w:rFonts w:cstheme="minorHAnsi"/>
        </w:rPr>
        <w:t xml:space="preserve">. </w:t>
      </w:r>
      <w:r>
        <w:t>(Research report, 03/2018). Sydney, NSW: ANROWS.</w:t>
      </w:r>
    </w:p>
    <w:p w14:paraId="6D995A10" w14:textId="46FFF0D3" w:rsidR="00E9593D" w:rsidRDefault="00E9593D" w:rsidP="00B4582E">
      <w:pPr>
        <w:pStyle w:val="OWEndnotetextnonumber"/>
        <w:sectPr w:rsidR="00E9593D" w:rsidSect="00093BCF">
          <w:footerReference w:type="default" r:id="rId150"/>
          <w:footnotePr>
            <w:numFmt w:val="lowerRoman"/>
          </w:footnotePr>
          <w:endnotePr>
            <w:numFmt w:val="decimal"/>
          </w:endnotePr>
          <w:pgSz w:w="11906" w:h="16838" w:code="9"/>
          <w:pgMar w:top="1418" w:right="1418" w:bottom="1418" w:left="1418" w:header="454" w:footer="454" w:gutter="0"/>
          <w:cols w:space="720"/>
          <w:noEndnote/>
        </w:sectPr>
      </w:pPr>
    </w:p>
    <w:p w14:paraId="1296A7C5" w14:textId="10DF7CDB" w:rsidR="00C82A54" w:rsidRPr="00C82A54" w:rsidRDefault="00C82A54" w:rsidP="00A80362">
      <w:pPr>
        <w:pStyle w:val="Heading2"/>
        <w:spacing w:after="440"/>
        <w:rPr>
          <w:rStyle w:val="OWHibiscus"/>
        </w:rPr>
      </w:pPr>
      <w:bookmarkStart w:id="127" w:name="_Toc55053337"/>
      <w:r w:rsidRPr="00C82A54">
        <w:rPr>
          <w:rStyle w:val="OWHibiscus"/>
        </w:rPr>
        <w:lastRenderedPageBreak/>
        <w:t>Endnotes</w:t>
      </w:r>
      <w:bookmarkEnd w:id="127"/>
    </w:p>
    <w:sectPr w:rsidR="00C82A54" w:rsidRPr="00C82A54" w:rsidSect="00093BCF">
      <w:footerReference w:type="default" r:id="rId151"/>
      <w:footnotePr>
        <w:numFmt w:val="lowerRoman"/>
      </w:footnotePr>
      <w:endnotePr>
        <w:numFmt w:val="decimal"/>
      </w:endnotePr>
      <w:pgSz w:w="11906" w:h="16838" w:code="9"/>
      <w:pgMar w:top="1418" w:right="1418" w:bottom="1418" w:left="1418" w:header="454" w:footer="45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523CD3" w14:textId="77777777" w:rsidR="00F53B39" w:rsidRPr="00F66D57" w:rsidRDefault="00F53B39">
      <w:pPr>
        <w:spacing w:after="0" w:line="240" w:lineRule="auto"/>
        <w:rPr>
          <w:color w:val="FFFFFF"/>
          <w:sz w:val="8"/>
          <w:szCs w:val="8"/>
        </w:rPr>
      </w:pPr>
      <w:r w:rsidRPr="00F66D57">
        <w:rPr>
          <w:color w:val="FFFFFF"/>
          <w:sz w:val="8"/>
          <w:szCs w:val="8"/>
        </w:rPr>
        <w:separator/>
      </w:r>
    </w:p>
  </w:endnote>
  <w:endnote w:type="continuationSeparator" w:id="0">
    <w:p w14:paraId="45F92220" w14:textId="77777777" w:rsidR="00F53B39" w:rsidRPr="00F66D57" w:rsidRDefault="00F53B39">
      <w:pPr>
        <w:spacing w:after="0" w:line="240" w:lineRule="auto"/>
        <w:rPr>
          <w:color w:val="FFFFFF"/>
          <w:sz w:val="8"/>
          <w:szCs w:val="8"/>
        </w:rPr>
      </w:pPr>
      <w:r w:rsidRPr="00F66D57">
        <w:rPr>
          <w:color w:val="FFFFFF"/>
          <w:sz w:val="8"/>
          <w:szCs w:val="8"/>
        </w:rPr>
        <w:continuationSeparator/>
      </w:r>
    </w:p>
  </w:endnote>
  <w:endnote w:type="continuationNotice" w:id="1">
    <w:p w14:paraId="4E16EEBE" w14:textId="77777777" w:rsidR="00F53B39" w:rsidRDefault="00F53B39">
      <w:pPr>
        <w:spacing w:after="0" w:line="240" w:lineRule="auto"/>
      </w:pPr>
    </w:p>
  </w:endnote>
  <w:endnote w:id="2">
    <w:p w14:paraId="51C201D5" w14:textId="2E863A3B" w:rsidR="00F53B39" w:rsidRPr="007A26A6" w:rsidRDefault="00F53B39" w:rsidP="00790783">
      <w:pPr>
        <w:pStyle w:val="EndnoteText"/>
        <w:rPr>
          <w:rFonts w:cstheme="minorHAnsi"/>
          <w:szCs w:val="21"/>
        </w:rPr>
      </w:pPr>
      <w:r w:rsidRPr="009A21F6">
        <w:rPr>
          <w:szCs w:val="21"/>
        </w:rPr>
        <w:endnoteRef/>
      </w:r>
      <w:r w:rsidRPr="009A21F6">
        <w:rPr>
          <w:szCs w:val="21"/>
        </w:rPr>
        <w:tab/>
      </w:r>
      <w:r w:rsidRPr="007A26A6">
        <w:rPr>
          <w:rFonts w:cstheme="minorHAnsi"/>
          <w:szCs w:val="21"/>
        </w:rPr>
        <w:t xml:space="preserve">Our Watch, Australia’s National Research Organisation for Women’s Safety (ANROWS) &amp; VicHealth. (2015). </w:t>
      </w:r>
      <w:hyperlink r:id="rId1" w:history="1">
        <w:r w:rsidRPr="007A26A6">
          <w:rPr>
            <w:rStyle w:val="HyperlinkItalic"/>
            <w:rFonts w:cstheme="minorHAnsi"/>
            <w:szCs w:val="21"/>
          </w:rPr>
          <w:t>Change the story: A shared framework for the primary prevention of violence against women and their children in Australia</w:t>
        </w:r>
      </w:hyperlink>
      <w:r w:rsidRPr="007A26A6">
        <w:rPr>
          <w:rStyle w:val="HyperlinkItalic"/>
          <w:rFonts w:cstheme="minorHAnsi"/>
          <w:szCs w:val="21"/>
        </w:rPr>
        <w:t>.</w:t>
      </w:r>
      <w:r w:rsidRPr="007A26A6">
        <w:rPr>
          <w:rFonts w:cstheme="minorHAnsi"/>
          <w:szCs w:val="21"/>
        </w:rPr>
        <w:t xml:space="preserve"> </w:t>
      </w:r>
      <w:r w:rsidRPr="007A26A6">
        <w:rPr>
          <w:rFonts w:cstheme="minorHAnsi"/>
          <w:iCs/>
          <w:szCs w:val="21"/>
        </w:rPr>
        <w:t>Me</w:t>
      </w:r>
      <w:r w:rsidRPr="007A26A6">
        <w:rPr>
          <w:rFonts w:cstheme="minorHAnsi"/>
          <w:szCs w:val="21"/>
        </w:rPr>
        <w:t>lbourne, Australia: Our Watch.</w:t>
      </w:r>
    </w:p>
  </w:endnote>
  <w:endnote w:id="3">
    <w:p w14:paraId="1ACD29DD" w14:textId="6E74BB2E"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Our Watch. (2017</w:t>
      </w:r>
      <w:hyperlink r:id="rId2" w:history="1">
        <w:r w:rsidRPr="007A26A6">
          <w:rPr>
            <w:rStyle w:val="Hyperlink"/>
            <w:rFonts w:cstheme="minorHAnsi"/>
            <w:szCs w:val="21"/>
          </w:rPr>
          <w:t xml:space="preserve">). </w:t>
        </w:r>
        <w:r w:rsidRPr="007A26A6">
          <w:rPr>
            <w:rStyle w:val="HyperlinkItalic"/>
            <w:rFonts w:cstheme="minorHAnsi"/>
            <w:szCs w:val="21"/>
          </w:rPr>
          <w:t>Counting on change: A guide to prevention monitoring</w:t>
        </w:r>
      </w:hyperlink>
      <w:r w:rsidRPr="007A26A6">
        <w:rPr>
          <w:rFonts w:cstheme="minorHAnsi"/>
          <w:szCs w:val="21"/>
        </w:rPr>
        <w:t>. Melbourne, Australia: Our Watch.</w:t>
      </w:r>
    </w:p>
  </w:endnote>
  <w:endnote w:id="4">
    <w:p w14:paraId="4BCBC2D3" w14:textId="0F3DB412"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Ou</w:t>
      </w:r>
      <w:r w:rsidRPr="007A26A6">
        <w:rPr>
          <w:rFonts w:cstheme="minorHAnsi"/>
          <w:szCs w:val="21"/>
          <w:lang w:eastAsia="en-GB"/>
        </w:rPr>
        <w:t xml:space="preserve">r Watch, ANROWS, &amp; VicHealth. (2015). </w:t>
      </w:r>
      <w:hyperlink r:id="rId3" w:history="1">
        <w:r w:rsidRPr="007A26A6">
          <w:rPr>
            <w:rStyle w:val="HyperlinkItalic"/>
            <w:rFonts w:cstheme="minorHAnsi"/>
            <w:szCs w:val="21"/>
          </w:rPr>
          <w:t>Change the story: A shared framework for the primary prevention of violence against women and their children in Australia</w:t>
        </w:r>
      </w:hyperlink>
      <w:r w:rsidRPr="007A26A6">
        <w:rPr>
          <w:rFonts w:cstheme="minorHAnsi"/>
          <w:szCs w:val="21"/>
          <w:lang w:eastAsia="en-GB"/>
        </w:rPr>
        <w:t>.</w:t>
      </w:r>
    </w:p>
  </w:endnote>
  <w:endnote w:id="5">
    <w:p w14:paraId="62FDF3B0" w14:textId="649AE9C3"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Our Watch. (2017). </w:t>
      </w:r>
      <w:r w:rsidRPr="007A26A6">
        <w:rPr>
          <w:rStyle w:val="Emphasis"/>
          <w:rFonts w:cstheme="minorHAnsi"/>
          <w:szCs w:val="21"/>
        </w:rPr>
        <w:t>Counting on change: A guide to prevention monitoring</w:t>
      </w:r>
      <w:r w:rsidRPr="007A26A6">
        <w:rPr>
          <w:rFonts w:cstheme="minorHAnsi"/>
          <w:szCs w:val="21"/>
        </w:rPr>
        <w:t>.</w:t>
      </w:r>
    </w:p>
  </w:endnote>
  <w:endnote w:id="6">
    <w:p w14:paraId="437A9B60" w14:textId="6E3F57A9"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Our Watch. (2017). </w:t>
      </w:r>
      <w:r w:rsidRPr="007A26A6">
        <w:rPr>
          <w:rStyle w:val="Emphasis"/>
          <w:rFonts w:cstheme="minorHAnsi"/>
          <w:szCs w:val="21"/>
        </w:rPr>
        <w:t>Counting on change: A guide to prevention monitoring</w:t>
      </w:r>
      <w:r w:rsidRPr="007A26A6">
        <w:rPr>
          <w:rFonts w:cstheme="minorHAnsi"/>
          <w:szCs w:val="21"/>
        </w:rPr>
        <w:t>.</w:t>
      </w:r>
    </w:p>
  </w:endnote>
  <w:endnote w:id="7">
    <w:p w14:paraId="7CFE088C" w14:textId="4D31E0CB" w:rsidR="00F53B39" w:rsidRPr="007A26A6" w:rsidRDefault="00F53B39" w:rsidP="00965887">
      <w:pPr>
        <w:pStyle w:val="EndnoteText"/>
        <w:rPr>
          <w:rFonts w:cstheme="minorHAnsi"/>
          <w:szCs w:val="21"/>
        </w:rPr>
      </w:pPr>
      <w:r w:rsidRPr="00965887">
        <w:endnoteRef/>
      </w:r>
      <w:r>
        <w:rPr>
          <w:lang w:val="en-US"/>
        </w:rPr>
        <w:tab/>
      </w:r>
      <w:r w:rsidRPr="007A26A6">
        <w:rPr>
          <w:rFonts w:cstheme="minorHAnsi"/>
          <w:szCs w:val="21"/>
        </w:rPr>
        <w:t xml:space="preserve">Peterman, A. et al. (April 2020). </w:t>
      </w:r>
      <w:hyperlink r:id="rId4" w:history="1">
        <w:r w:rsidRPr="007A26A6">
          <w:rPr>
            <w:rStyle w:val="HyperlinkItalic"/>
            <w:rFonts w:cstheme="minorHAnsi"/>
            <w:szCs w:val="21"/>
          </w:rPr>
          <w:t>Working Paper 528: Pandemics and Violence against Women and Children</w:t>
        </w:r>
      </w:hyperlink>
      <w:r w:rsidRPr="007A26A6">
        <w:rPr>
          <w:rFonts w:cstheme="minorHAnsi"/>
          <w:szCs w:val="21"/>
        </w:rPr>
        <w:t>. Centre for Global Development.</w:t>
      </w:r>
    </w:p>
    <w:p w14:paraId="389AEE3A" w14:textId="0D89A5D0" w:rsidR="00F53B39" w:rsidRPr="007A26A6" w:rsidRDefault="00F53B39" w:rsidP="00965887">
      <w:pPr>
        <w:pStyle w:val="OWEndnotetextindent"/>
        <w:rPr>
          <w:rFonts w:cstheme="minorHAnsi"/>
        </w:rPr>
      </w:pPr>
      <w:r w:rsidRPr="007A26A6">
        <w:rPr>
          <w:rFonts w:cstheme="minorHAnsi"/>
        </w:rPr>
        <w:t xml:space="preserve">International Federation of Red Cross and Red Crescent Societies. (2015). </w:t>
      </w:r>
      <w:hyperlink r:id="rId5" w:history="1">
        <w:r w:rsidRPr="007A26A6">
          <w:rPr>
            <w:rStyle w:val="HyperlinkItalic"/>
            <w:rFonts w:cstheme="minorHAnsi"/>
          </w:rPr>
          <w:t>Unseen, unheard: Gender-based violence in disasters</w:t>
        </w:r>
        <w:r w:rsidRPr="007A26A6">
          <w:rPr>
            <w:rStyle w:val="Hyperlink"/>
            <w:rFonts w:cstheme="minorHAnsi"/>
          </w:rPr>
          <w:t>.</w:t>
        </w:r>
      </w:hyperlink>
      <w:r w:rsidRPr="007A26A6">
        <w:rPr>
          <w:rFonts w:cstheme="minorHAnsi"/>
        </w:rPr>
        <w:t xml:space="preserve"> Global study.</w:t>
      </w:r>
    </w:p>
    <w:p w14:paraId="0557A24C" w14:textId="74AADCC6" w:rsidR="00F53B39" w:rsidRPr="00965887" w:rsidRDefault="00360573" w:rsidP="00965887">
      <w:pPr>
        <w:pStyle w:val="OWEndnotetextindent"/>
        <w:rPr>
          <w:rFonts w:cstheme="minorHAnsi"/>
        </w:rPr>
      </w:pPr>
      <w:hyperlink r:id="rId6" w:history="1">
        <w:r w:rsidR="00F53B39" w:rsidRPr="007A26A6">
          <w:rPr>
            <w:rStyle w:val="Hyperlink"/>
            <w:rFonts w:cstheme="minorHAnsi"/>
          </w:rPr>
          <w:t>Gender and Disaster Pod</w:t>
        </w:r>
      </w:hyperlink>
      <w:r w:rsidR="00F53B39" w:rsidRPr="007A26A6">
        <w:rPr>
          <w:rFonts w:cstheme="minorHAnsi"/>
        </w:rPr>
        <w:t>, an initiative of Women’s Health Goulburn North East and Women’s Health in the North.</w:t>
      </w:r>
    </w:p>
  </w:endnote>
  <w:endnote w:id="8">
    <w:p w14:paraId="438F8F79" w14:textId="59E48B51" w:rsidR="00F53B39" w:rsidRPr="00965887" w:rsidRDefault="00F53B39">
      <w:pPr>
        <w:pStyle w:val="EndnoteText"/>
        <w:rPr>
          <w:lang w:val="en-US"/>
        </w:rPr>
      </w:pPr>
      <w:r w:rsidRPr="00965887">
        <w:endnoteRef/>
      </w:r>
      <w:r>
        <w:rPr>
          <w:lang w:val="en-US"/>
        </w:rPr>
        <w:tab/>
      </w:r>
      <w:r w:rsidRPr="007A26A6">
        <w:rPr>
          <w:rFonts w:cstheme="minorHAnsi"/>
          <w:szCs w:val="21"/>
        </w:rPr>
        <w:t xml:space="preserve">UN Women (2020) </w:t>
      </w:r>
      <w:hyperlink r:id="rId7" w:history="1">
        <w:r w:rsidRPr="007A26A6">
          <w:rPr>
            <w:rStyle w:val="HyperlinkItalic"/>
            <w:rFonts w:cstheme="minorHAnsi"/>
            <w:szCs w:val="21"/>
          </w:rPr>
          <w:t>COVID-19 and ending violence against women and girls</w:t>
        </w:r>
      </w:hyperlink>
      <w:r w:rsidRPr="007A26A6">
        <w:rPr>
          <w:rFonts w:cstheme="minorHAnsi"/>
          <w:szCs w:val="21"/>
        </w:rPr>
        <w:t>. Retrieved 18 August 2020.</w:t>
      </w:r>
    </w:p>
  </w:endnote>
  <w:endnote w:id="9">
    <w:p w14:paraId="51A7960E" w14:textId="2FC19824"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Ou</w:t>
      </w:r>
      <w:r w:rsidRPr="007A26A6">
        <w:rPr>
          <w:rFonts w:cstheme="minorHAnsi"/>
          <w:szCs w:val="21"/>
          <w:lang w:eastAsia="en-GB"/>
        </w:rPr>
        <w:t xml:space="preserve">r Watch, ANROWS, &amp; VicHealth. (2015). </w:t>
      </w:r>
      <w:hyperlink r:id="rId8" w:history="1">
        <w:r w:rsidRPr="007A26A6">
          <w:rPr>
            <w:rStyle w:val="HyperlinkItalic"/>
            <w:rFonts w:cstheme="minorHAnsi"/>
            <w:szCs w:val="21"/>
          </w:rPr>
          <w:t>Change the story: A shared framework for the primary prevention of violence against women and their children in Australia</w:t>
        </w:r>
      </w:hyperlink>
      <w:r w:rsidRPr="007A26A6">
        <w:rPr>
          <w:rFonts w:cstheme="minorHAnsi"/>
          <w:szCs w:val="21"/>
          <w:lang w:eastAsia="en-GB"/>
        </w:rPr>
        <w:t>.</w:t>
      </w:r>
    </w:p>
  </w:endnote>
  <w:endnote w:id="10">
    <w:p w14:paraId="25346B4F" w14:textId="30F65E44"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Ou</w:t>
      </w:r>
      <w:r w:rsidRPr="007A26A6">
        <w:rPr>
          <w:rFonts w:cstheme="minorHAnsi"/>
          <w:szCs w:val="21"/>
          <w:lang w:eastAsia="en-GB"/>
        </w:rPr>
        <w:t xml:space="preserve">r Watch, ANROWS, &amp; VicHealth. (2015). </w:t>
      </w:r>
      <w:hyperlink r:id="rId9" w:history="1">
        <w:r w:rsidRPr="007A26A6">
          <w:rPr>
            <w:rStyle w:val="HyperlinkItalic"/>
            <w:rFonts w:cstheme="minorHAnsi"/>
            <w:szCs w:val="21"/>
          </w:rPr>
          <w:t>Change the story: A shared framework for the primary prevention of violence against women and their children in Australia</w:t>
        </w:r>
      </w:hyperlink>
      <w:r w:rsidRPr="007A26A6">
        <w:rPr>
          <w:rFonts w:cstheme="minorHAnsi"/>
          <w:szCs w:val="21"/>
          <w:lang w:eastAsia="en-GB"/>
        </w:rPr>
        <w:t>.</w:t>
      </w:r>
    </w:p>
  </w:endnote>
  <w:endnote w:id="11">
    <w:p w14:paraId="67056F78" w14:textId="768B3197"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Ou</w:t>
      </w:r>
      <w:r w:rsidRPr="007A26A6">
        <w:rPr>
          <w:rFonts w:cstheme="minorHAnsi"/>
          <w:szCs w:val="21"/>
          <w:lang w:eastAsia="en-GB"/>
        </w:rPr>
        <w:t xml:space="preserve">r Watch, ANROWS, &amp; VicHealth. (2015). </w:t>
      </w:r>
      <w:hyperlink r:id="rId10" w:history="1">
        <w:r w:rsidRPr="007A26A6">
          <w:rPr>
            <w:rStyle w:val="HyperlinkItalic"/>
            <w:rFonts w:cstheme="minorHAnsi"/>
            <w:szCs w:val="21"/>
          </w:rPr>
          <w:t>Change the story: A shared framework for the primary prevention of violence against women and their children in Australia</w:t>
        </w:r>
      </w:hyperlink>
      <w:r w:rsidRPr="007A26A6">
        <w:rPr>
          <w:rFonts w:cstheme="minorHAnsi"/>
          <w:szCs w:val="21"/>
          <w:lang w:eastAsia="en-GB"/>
        </w:rPr>
        <w:t>.</w:t>
      </w:r>
    </w:p>
  </w:endnote>
  <w:endnote w:id="12">
    <w:p w14:paraId="40681906" w14:textId="54FA545B" w:rsidR="00F53B39" w:rsidRPr="007A26A6" w:rsidRDefault="00F53B39" w:rsidP="00790783">
      <w:pPr>
        <w:pStyle w:val="EndnoteText"/>
        <w:rPr>
          <w:rFonts w:cstheme="minorHAnsi"/>
          <w:szCs w:val="21"/>
          <w:highlight w:val="yellow"/>
        </w:rPr>
      </w:pPr>
      <w:r w:rsidRPr="007A26A6">
        <w:rPr>
          <w:rFonts w:cstheme="minorHAnsi"/>
          <w:szCs w:val="21"/>
        </w:rPr>
        <w:endnoteRef/>
      </w:r>
      <w:r w:rsidRPr="007A26A6">
        <w:rPr>
          <w:rFonts w:cstheme="minorHAnsi"/>
          <w:szCs w:val="21"/>
        </w:rPr>
        <w:tab/>
        <w:t>Ou</w:t>
      </w:r>
      <w:r w:rsidRPr="007A26A6">
        <w:rPr>
          <w:rFonts w:cstheme="minorHAnsi"/>
          <w:szCs w:val="21"/>
          <w:lang w:eastAsia="en-GB"/>
        </w:rPr>
        <w:t xml:space="preserve">r Watch, ANROWS, &amp; VicHealth. (2015). </w:t>
      </w:r>
      <w:hyperlink r:id="rId11" w:history="1">
        <w:r w:rsidRPr="007A26A6">
          <w:rPr>
            <w:rStyle w:val="HyperlinkItalic"/>
            <w:rFonts w:cstheme="minorHAnsi"/>
            <w:szCs w:val="21"/>
          </w:rPr>
          <w:t>Change the story: A shared framework for the primary prevention of violence against women and their children in Australia</w:t>
        </w:r>
      </w:hyperlink>
      <w:r w:rsidRPr="007A26A6">
        <w:rPr>
          <w:rFonts w:cstheme="minorHAnsi"/>
          <w:szCs w:val="21"/>
          <w:lang w:eastAsia="en-GB"/>
        </w:rPr>
        <w:t>.</w:t>
      </w:r>
    </w:p>
  </w:endnote>
  <w:endnote w:id="13">
    <w:p w14:paraId="7494C282" w14:textId="2283137B"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Our Watch &amp; Rainbow Health (formerly GLHV). (2017). </w:t>
      </w:r>
      <w:hyperlink r:id="rId12" w:history="1">
        <w:r w:rsidRPr="007A26A6">
          <w:rPr>
            <w:rStyle w:val="HyperlinkItalic"/>
            <w:rFonts w:cstheme="minorHAnsi"/>
            <w:szCs w:val="21"/>
          </w:rPr>
          <w:t>Primary prevention of family violence against people from LGBTI communities – An analysis of existing research</w:t>
        </w:r>
      </w:hyperlink>
      <w:r w:rsidRPr="007A26A6">
        <w:rPr>
          <w:rFonts w:cstheme="minorHAnsi"/>
          <w:szCs w:val="21"/>
        </w:rPr>
        <w:t>. Melbourne, Australia: Our Watch.</w:t>
      </w:r>
    </w:p>
  </w:endnote>
  <w:endnote w:id="14">
    <w:p w14:paraId="09F6F26F" w14:textId="56549E95"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Our Watch. (2018). </w:t>
      </w:r>
      <w:r w:rsidRPr="007A26A6">
        <w:rPr>
          <w:rStyle w:val="Emphasis"/>
          <w:rFonts w:cstheme="minorHAnsi"/>
          <w:szCs w:val="21"/>
        </w:rPr>
        <w:t>Changing the picture: A national resource to support the prevention of violence against Aboriginal and Torres Strait Islander women and their children</w:t>
      </w:r>
      <w:r w:rsidRPr="007A26A6">
        <w:rPr>
          <w:rFonts w:cstheme="minorHAnsi"/>
          <w:szCs w:val="21"/>
        </w:rPr>
        <w:t>. Melbourne, Australia: Our Watch.</w:t>
      </w:r>
    </w:p>
  </w:endnote>
  <w:endnote w:id="15">
    <w:p w14:paraId="61BF53E1" w14:textId="0300748D" w:rsidR="00F53B39" w:rsidRPr="007A26A6" w:rsidRDefault="00F53B39" w:rsidP="00790783">
      <w:pPr>
        <w:pStyle w:val="EndnoteText"/>
        <w:rPr>
          <w:rFonts w:cstheme="minorHAnsi"/>
          <w:szCs w:val="21"/>
          <w:highlight w:val="yellow"/>
        </w:rPr>
      </w:pPr>
      <w:r w:rsidRPr="007A26A6">
        <w:rPr>
          <w:rFonts w:cstheme="minorHAnsi"/>
          <w:szCs w:val="21"/>
        </w:rPr>
        <w:endnoteRef/>
      </w:r>
      <w:r w:rsidRPr="007A26A6">
        <w:rPr>
          <w:rFonts w:cstheme="minorHAnsi"/>
          <w:szCs w:val="21"/>
        </w:rPr>
        <w:tab/>
        <w:t xml:space="preserve">Our Watch. (2019). </w:t>
      </w:r>
      <w:r w:rsidRPr="007A26A6">
        <w:rPr>
          <w:rFonts w:cstheme="minorHAnsi"/>
          <w:i/>
          <w:iCs/>
          <w:szCs w:val="21"/>
        </w:rPr>
        <w:t xml:space="preserve">Men in focus: </w:t>
      </w:r>
      <w:r w:rsidRPr="007A26A6">
        <w:rPr>
          <w:rStyle w:val="Emphasis"/>
          <w:rFonts w:cstheme="minorHAnsi"/>
          <w:szCs w:val="21"/>
        </w:rPr>
        <w:t>Unpacking masculinities and engaging men in the prevention of violence against women</w:t>
      </w:r>
      <w:r w:rsidRPr="007A26A6">
        <w:rPr>
          <w:rFonts w:cstheme="minorHAnsi"/>
          <w:szCs w:val="21"/>
        </w:rPr>
        <w:t>. Melbourne, Australia: Our Watch.</w:t>
      </w:r>
    </w:p>
  </w:endnote>
  <w:endnote w:id="16">
    <w:p w14:paraId="0401CA7D" w14:textId="5F5DE81D"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Our Watch. (2019). </w:t>
      </w:r>
      <w:r w:rsidRPr="007A26A6">
        <w:rPr>
          <w:rStyle w:val="Emphasis"/>
          <w:rFonts w:cstheme="minorHAnsi"/>
          <w:szCs w:val="21"/>
        </w:rPr>
        <w:t>Change the story three years on: Reflections on uptake and impact, lessons learned and Our Watch’s ongoing work to embed and expand the evidence on prevention</w:t>
      </w:r>
      <w:r w:rsidRPr="007A26A6">
        <w:rPr>
          <w:rFonts w:cstheme="minorHAnsi"/>
          <w:szCs w:val="21"/>
        </w:rPr>
        <w:t>. Melbourne, Australia: Our Watch.</w:t>
      </w:r>
    </w:p>
  </w:endnote>
  <w:endnote w:id="17">
    <w:p w14:paraId="4E9C98F2" w14:textId="198F2928"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Ou</w:t>
      </w:r>
      <w:r w:rsidRPr="007A26A6">
        <w:rPr>
          <w:rFonts w:cstheme="minorHAnsi"/>
          <w:szCs w:val="21"/>
          <w:lang w:eastAsia="en-GB"/>
        </w:rPr>
        <w:t xml:space="preserve">r Watch, ANROWS, &amp; VicHealth. (2015). </w:t>
      </w:r>
      <w:hyperlink r:id="rId13" w:history="1">
        <w:r w:rsidRPr="007A26A6">
          <w:rPr>
            <w:rStyle w:val="HyperlinkItalic"/>
            <w:rFonts w:cstheme="minorHAnsi"/>
            <w:szCs w:val="21"/>
          </w:rPr>
          <w:t>Change the story: A shared framework for the primary prevention of violence against women and their children in Australia</w:t>
        </w:r>
      </w:hyperlink>
      <w:r w:rsidRPr="007A26A6">
        <w:rPr>
          <w:rFonts w:cstheme="minorHAnsi"/>
          <w:szCs w:val="21"/>
          <w:lang w:eastAsia="en-GB"/>
        </w:rPr>
        <w:t>.</w:t>
      </w:r>
    </w:p>
  </w:endnote>
  <w:endnote w:id="18">
    <w:p w14:paraId="68A456F3" w14:textId="23F50A31"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Barliwala, S. (2011). </w:t>
      </w:r>
      <w:r w:rsidRPr="007A26A6">
        <w:rPr>
          <w:rStyle w:val="Emphasis"/>
          <w:rFonts w:cstheme="minorHAnsi"/>
          <w:szCs w:val="21"/>
        </w:rPr>
        <w:t>Feminist leadership for social transformation: Clearing the conceptual cloud</w:t>
      </w:r>
      <w:r w:rsidRPr="007A26A6">
        <w:rPr>
          <w:rFonts w:cstheme="minorHAnsi"/>
          <w:szCs w:val="21"/>
        </w:rPr>
        <w:t>. CREA: India. p. 13.</w:t>
      </w:r>
    </w:p>
  </w:endnote>
  <w:endnote w:id="19">
    <w:p w14:paraId="03A89CB8" w14:textId="415A3A10"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Weldon, S., &amp; Htun, M. (2013). Feminist mobilisation and progressive policy change: Why governments take action to combat violence against women.</w:t>
      </w:r>
      <w:r w:rsidRPr="007A26A6">
        <w:rPr>
          <w:rStyle w:val="Emphasis"/>
          <w:rFonts w:cstheme="minorHAnsi"/>
          <w:szCs w:val="21"/>
        </w:rPr>
        <w:t xml:space="preserve"> Gender and Development</w:t>
      </w:r>
      <w:r w:rsidRPr="007A26A6">
        <w:rPr>
          <w:rFonts w:cstheme="minorHAnsi"/>
          <w:szCs w:val="21"/>
        </w:rPr>
        <w:t xml:space="preserve">, </w:t>
      </w:r>
      <w:r w:rsidRPr="007A26A6">
        <w:rPr>
          <w:rStyle w:val="Emphasis"/>
          <w:rFonts w:cstheme="minorHAnsi"/>
          <w:szCs w:val="21"/>
        </w:rPr>
        <w:t>21</w:t>
      </w:r>
      <w:r w:rsidRPr="007A26A6">
        <w:rPr>
          <w:rFonts w:cstheme="minorHAnsi"/>
          <w:szCs w:val="21"/>
        </w:rPr>
        <w:t xml:space="preserve">(2), </w:t>
      </w:r>
      <w:r w:rsidRPr="007A26A6">
        <w:rPr>
          <w:rFonts w:cstheme="minorHAnsi"/>
          <w:szCs w:val="21"/>
        </w:rPr>
        <w:br/>
        <w:t>231–247.</w:t>
      </w:r>
    </w:p>
  </w:endnote>
  <w:endnote w:id="20">
    <w:p w14:paraId="6121C08B" w14:textId="242AA459" w:rsidR="00F53B39" w:rsidRPr="007A26A6" w:rsidRDefault="00F53B39" w:rsidP="00F33728">
      <w:pPr>
        <w:pStyle w:val="EndnoteText"/>
        <w:rPr>
          <w:rFonts w:cstheme="minorHAnsi"/>
          <w:szCs w:val="21"/>
        </w:rPr>
      </w:pPr>
      <w:r w:rsidRPr="007A26A6">
        <w:rPr>
          <w:rFonts w:cstheme="minorHAnsi"/>
          <w:szCs w:val="21"/>
        </w:rPr>
        <w:endnoteRef/>
      </w:r>
      <w:r w:rsidRPr="007A26A6">
        <w:rPr>
          <w:rFonts w:cstheme="minorHAnsi"/>
          <w:szCs w:val="21"/>
        </w:rPr>
        <w:tab/>
        <w:t xml:space="preserve">Commonwealth. </w:t>
      </w:r>
      <w:r w:rsidRPr="007A26A6">
        <w:rPr>
          <w:rStyle w:val="Emphasis"/>
          <w:rFonts w:cstheme="minorHAnsi"/>
          <w:szCs w:val="21"/>
        </w:rPr>
        <w:t>Parliamentary Debates</w:t>
      </w:r>
      <w:r w:rsidRPr="007A26A6">
        <w:rPr>
          <w:rFonts w:cstheme="minorHAnsi"/>
          <w:szCs w:val="21"/>
        </w:rPr>
        <w:t xml:space="preserve">. House of Representatives, records from January 1st 2009 to December 31st 2019, retrieved from </w:t>
      </w:r>
      <w:hyperlink r:id="rId14" w:history="1">
        <w:r w:rsidRPr="007A26A6">
          <w:rPr>
            <w:rStyle w:val="Hyperlink"/>
            <w:rFonts w:cstheme="minorHAnsi"/>
            <w:szCs w:val="21"/>
          </w:rPr>
          <w:t>ParlInfo Search</w:t>
        </w:r>
      </w:hyperlink>
      <w:r w:rsidRPr="007A26A6">
        <w:rPr>
          <w:rFonts w:cstheme="minorHAnsi"/>
          <w:szCs w:val="21"/>
        </w:rPr>
        <w:t>.</w:t>
      </w:r>
    </w:p>
    <w:p w14:paraId="66E4912D" w14:textId="12EFA262" w:rsidR="00F53B39" w:rsidRPr="007A26A6" w:rsidRDefault="00F53B39" w:rsidP="00F33728">
      <w:pPr>
        <w:pStyle w:val="OWEndnotetextindent"/>
        <w:rPr>
          <w:rFonts w:cstheme="minorHAnsi"/>
        </w:rPr>
      </w:pPr>
      <w:r w:rsidRPr="007A26A6">
        <w:rPr>
          <w:rFonts w:cstheme="minorHAnsi"/>
        </w:rPr>
        <w:t xml:space="preserve">Commonwealth. </w:t>
      </w:r>
      <w:r w:rsidRPr="007A26A6">
        <w:rPr>
          <w:rStyle w:val="Emphasis"/>
          <w:rFonts w:cstheme="minorHAnsi"/>
        </w:rPr>
        <w:t>Parliamentary Debates</w:t>
      </w:r>
      <w:r w:rsidRPr="007A26A6">
        <w:rPr>
          <w:rFonts w:cstheme="minorHAnsi"/>
        </w:rPr>
        <w:t xml:space="preserve">. Senate, records from January 1st 2009 to December 31st 2019, retrieved from </w:t>
      </w:r>
      <w:hyperlink r:id="rId15" w:history="1">
        <w:r w:rsidRPr="007A26A6">
          <w:rPr>
            <w:rStyle w:val="Hyperlink"/>
            <w:rFonts w:cstheme="minorHAnsi"/>
          </w:rPr>
          <w:t>ParlInfo Search</w:t>
        </w:r>
      </w:hyperlink>
      <w:r w:rsidRPr="007A26A6">
        <w:rPr>
          <w:rFonts w:cstheme="minorHAnsi"/>
        </w:rPr>
        <w:t>.</w:t>
      </w:r>
    </w:p>
    <w:p w14:paraId="47AC6E2B" w14:textId="0E3537FC" w:rsidR="00F53B39" w:rsidRPr="007A26A6" w:rsidRDefault="00F53B39" w:rsidP="00F33728">
      <w:pPr>
        <w:pStyle w:val="OWEndnotetextindent"/>
        <w:rPr>
          <w:rFonts w:cstheme="minorHAnsi"/>
        </w:rPr>
      </w:pPr>
      <w:r w:rsidRPr="007A26A6">
        <w:rPr>
          <w:rFonts w:cstheme="minorHAnsi"/>
        </w:rPr>
        <w:t xml:space="preserve">Commonwealth. </w:t>
      </w:r>
      <w:r w:rsidRPr="007A26A6">
        <w:rPr>
          <w:rStyle w:val="Emphasis"/>
          <w:rFonts w:cstheme="minorHAnsi"/>
        </w:rPr>
        <w:t>Parliamentary Inquiries</w:t>
      </w:r>
      <w:r w:rsidRPr="007A26A6">
        <w:rPr>
          <w:rFonts w:cstheme="minorHAnsi"/>
        </w:rPr>
        <w:t xml:space="preserve">. Records from January 1st 2009 to December 31st 2009, retrieved from </w:t>
      </w:r>
      <w:hyperlink r:id="rId16" w:history="1">
        <w:r w:rsidRPr="007A26A6">
          <w:rPr>
            <w:rStyle w:val="Hyperlink"/>
            <w:rFonts w:cstheme="minorHAnsi"/>
          </w:rPr>
          <w:t>ParlInfo Search</w:t>
        </w:r>
      </w:hyperlink>
      <w:r w:rsidRPr="007A26A6">
        <w:rPr>
          <w:rFonts w:cstheme="minorHAnsi"/>
        </w:rPr>
        <w:t>.</w:t>
      </w:r>
    </w:p>
  </w:endnote>
  <w:endnote w:id="21">
    <w:p w14:paraId="11C45E83" w14:textId="2AB182BC" w:rsidR="00F53B39" w:rsidRPr="007A26A6" w:rsidRDefault="00F53B39" w:rsidP="00F33728">
      <w:pPr>
        <w:pStyle w:val="EndnoteText"/>
        <w:rPr>
          <w:rFonts w:cstheme="minorHAnsi"/>
          <w:szCs w:val="21"/>
        </w:rPr>
      </w:pPr>
      <w:r w:rsidRPr="007A26A6">
        <w:rPr>
          <w:rFonts w:cstheme="minorHAnsi"/>
          <w:szCs w:val="21"/>
        </w:rPr>
        <w:endnoteRef/>
      </w:r>
      <w:r w:rsidRPr="007A26A6">
        <w:rPr>
          <w:rFonts w:cstheme="minorHAnsi"/>
          <w:szCs w:val="21"/>
        </w:rPr>
        <w:tab/>
        <w:t xml:space="preserve">Commonwealth. </w:t>
      </w:r>
      <w:r w:rsidRPr="007A26A6">
        <w:rPr>
          <w:rStyle w:val="Emphasis"/>
          <w:rFonts w:cstheme="minorHAnsi"/>
          <w:szCs w:val="21"/>
        </w:rPr>
        <w:t>Parliamentary Debates</w:t>
      </w:r>
      <w:r w:rsidRPr="007A26A6">
        <w:rPr>
          <w:rFonts w:cstheme="minorHAnsi"/>
          <w:szCs w:val="21"/>
        </w:rPr>
        <w:t xml:space="preserve">. House of Representatives, records from January 1st 2009 to December 31st 2019, retrieved from </w:t>
      </w:r>
      <w:hyperlink r:id="rId17" w:history="1">
        <w:r w:rsidRPr="007A26A6">
          <w:rPr>
            <w:rStyle w:val="Hyperlink"/>
            <w:rFonts w:cstheme="minorHAnsi"/>
            <w:szCs w:val="21"/>
          </w:rPr>
          <w:t>ParlInfo Search</w:t>
        </w:r>
      </w:hyperlink>
      <w:r w:rsidRPr="007A26A6">
        <w:rPr>
          <w:rFonts w:cstheme="minorHAnsi"/>
          <w:szCs w:val="21"/>
        </w:rPr>
        <w:t>.</w:t>
      </w:r>
    </w:p>
    <w:p w14:paraId="356A822F" w14:textId="76F12502" w:rsidR="00F53B39" w:rsidRPr="007A26A6" w:rsidRDefault="00F53B39" w:rsidP="00F33728">
      <w:pPr>
        <w:pStyle w:val="OWEndnotetextindent"/>
        <w:rPr>
          <w:rFonts w:cstheme="minorHAnsi"/>
        </w:rPr>
      </w:pPr>
      <w:r w:rsidRPr="007A26A6">
        <w:rPr>
          <w:rFonts w:cstheme="minorHAnsi"/>
        </w:rPr>
        <w:t xml:space="preserve">Commonwealth. </w:t>
      </w:r>
      <w:r w:rsidRPr="007A26A6">
        <w:rPr>
          <w:rStyle w:val="Emphasis"/>
          <w:rFonts w:cstheme="minorHAnsi"/>
        </w:rPr>
        <w:t>Parliamentary Debates</w:t>
      </w:r>
      <w:r w:rsidRPr="007A26A6">
        <w:rPr>
          <w:rFonts w:cstheme="minorHAnsi"/>
        </w:rPr>
        <w:t xml:space="preserve">. Senate, records from January 1st 2009 to December 31st 2019, retrieved from </w:t>
      </w:r>
      <w:hyperlink r:id="rId18" w:history="1">
        <w:r w:rsidRPr="007A26A6">
          <w:rPr>
            <w:rStyle w:val="Hyperlink"/>
            <w:rFonts w:cstheme="minorHAnsi"/>
          </w:rPr>
          <w:t>ParlInfo Search</w:t>
        </w:r>
      </w:hyperlink>
      <w:r w:rsidRPr="007A26A6">
        <w:rPr>
          <w:rFonts w:cstheme="minorHAnsi"/>
        </w:rPr>
        <w:t>.</w:t>
      </w:r>
    </w:p>
    <w:p w14:paraId="205C9403" w14:textId="1C25BF35" w:rsidR="00F53B39" w:rsidRPr="007A26A6" w:rsidRDefault="00F53B39" w:rsidP="00F33728">
      <w:pPr>
        <w:pStyle w:val="OWEndnotetextindent"/>
        <w:rPr>
          <w:rFonts w:cstheme="minorHAnsi"/>
        </w:rPr>
      </w:pPr>
      <w:r w:rsidRPr="007A26A6">
        <w:rPr>
          <w:rFonts w:cstheme="minorHAnsi"/>
        </w:rPr>
        <w:t xml:space="preserve">Commonwealth. </w:t>
      </w:r>
      <w:r w:rsidRPr="007A26A6">
        <w:rPr>
          <w:rStyle w:val="Emphasis"/>
          <w:rFonts w:cstheme="minorHAnsi"/>
        </w:rPr>
        <w:t>Parliamentary Inquiries</w:t>
      </w:r>
      <w:r w:rsidRPr="007A26A6">
        <w:rPr>
          <w:rFonts w:cstheme="minorHAnsi"/>
        </w:rPr>
        <w:t xml:space="preserve">. Records from January 1st 2009 to December 31st 2009, retrieved from </w:t>
      </w:r>
      <w:hyperlink r:id="rId19" w:history="1">
        <w:r w:rsidRPr="007A26A6">
          <w:rPr>
            <w:rStyle w:val="Hyperlink"/>
            <w:rFonts w:cstheme="minorHAnsi"/>
          </w:rPr>
          <w:t>ParlInfo Search</w:t>
        </w:r>
      </w:hyperlink>
      <w:r w:rsidRPr="007A26A6">
        <w:rPr>
          <w:rFonts w:cstheme="minorHAnsi"/>
        </w:rPr>
        <w:t>.</w:t>
      </w:r>
    </w:p>
  </w:endnote>
  <w:endnote w:id="22">
    <w:p w14:paraId="72768F65" w14:textId="6F2502EF" w:rsidR="00F53B39" w:rsidRPr="007A26A6" w:rsidRDefault="00F53B39" w:rsidP="00F33728">
      <w:pPr>
        <w:pStyle w:val="EndnoteText"/>
        <w:rPr>
          <w:rFonts w:cstheme="minorHAnsi"/>
          <w:szCs w:val="21"/>
        </w:rPr>
      </w:pPr>
      <w:r w:rsidRPr="007A26A6">
        <w:rPr>
          <w:rFonts w:cstheme="minorHAnsi"/>
          <w:szCs w:val="21"/>
        </w:rPr>
        <w:endnoteRef/>
      </w:r>
      <w:r w:rsidRPr="007A26A6">
        <w:rPr>
          <w:rFonts w:cstheme="minorHAnsi"/>
          <w:szCs w:val="21"/>
        </w:rPr>
        <w:tab/>
        <w:t xml:space="preserve">New South Wales Government. </w:t>
      </w:r>
      <w:r w:rsidRPr="007A26A6">
        <w:rPr>
          <w:rStyle w:val="Emphasis"/>
          <w:rFonts w:cstheme="minorHAnsi"/>
          <w:szCs w:val="21"/>
        </w:rPr>
        <w:t>Parliamentary Debates</w:t>
      </w:r>
      <w:r w:rsidRPr="007A26A6">
        <w:rPr>
          <w:rFonts w:cstheme="minorHAnsi"/>
          <w:szCs w:val="21"/>
        </w:rPr>
        <w:t xml:space="preserve">. Legislative Assembly, records from January 1st 2019 to December 31st 2019, retrieved from </w:t>
      </w:r>
      <w:hyperlink r:id="rId20" w:anchor="/search" w:history="1">
        <w:r w:rsidRPr="007A26A6">
          <w:rPr>
            <w:rStyle w:val="Hyperlink"/>
            <w:rFonts w:cstheme="minorHAnsi"/>
            <w:szCs w:val="21"/>
          </w:rPr>
          <w:t>Parliament of New South Wales Search</w:t>
        </w:r>
      </w:hyperlink>
      <w:r w:rsidRPr="007A26A6">
        <w:rPr>
          <w:rFonts w:cstheme="minorHAnsi"/>
          <w:szCs w:val="21"/>
        </w:rPr>
        <w:t>.</w:t>
      </w:r>
    </w:p>
    <w:p w14:paraId="100E9386" w14:textId="79EE6AE1" w:rsidR="00F53B39" w:rsidRPr="007A26A6" w:rsidRDefault="00F53B39" w:rsidP="00F33728">
      <w:pPr>
        <w:pStyle w:val="OWEndnotetextindent"/>
        <w:rPr>
          <w:rFonts w:cstheme="minorHAnsi"/>
        </w:rPr>
      </w:pPr>
      <w:r w:rsidRPr="007A26A6">
        <w:rPr>
          <w:rFonts w:cstheme="minorHAnsi"/>
        </w:rPr>
        <w:t xml:space="preserve">New South Wales Government. </w:t>
      </w:r>
      <w:r w:rsidRPr="007A26A6">
        <w:rPr>
          <w:rStyle w:val="Emphasis"/>
          <w:rFonts w:cstheme="minorHAnsi"/>
        </w:rPr>
        <w:t>Parliamentary Debates</w:t>
      </w:r>
      <w:r w:rsidRPr="007A26A6">
        <w:rPr>
          <w:rFonts w:cstheme="minorHAnsi"/>
        </w:rPr>
        <w:t xml:space="preserve">. Legislative Council, records from January 1st 2019 to December 31st 2019, retrieved from </w:t>
      </w:r>
      <w:hyperlink r:id="rId21" w:anchor="/search" w:history="1">
        <w:r w:rsidRPr="007A26A6">
          <w:rPr>
            <w:rStyle w:val="Hyperlink"/>
            <w:rFonts w:cstheme="minorHAnsi"/>
          </w:rPr>
          <w:t>Parliament of New South Wales Search</w:t>
        </w:r>
      </w:hyperlink>
      <w:r w:rsidRPr="007A26A6">
        <w:rPr>
          <w:rFonts w:cstheme="minorHAnsi"/>
        </w:rPr>
        <w:t>.</w:t>
      </w:r>
    </w:p>
  </w:endnote>
  <w:endnote w:id="23">
    <w:p w14:paraId="628AC62E" w14:textId="4A8734D8" w:rsidR="00F53B39" w:rsidRPr="007A26A6" w:rsidRDefault="00F53B39" w:rsidP="00F33728">
      <w:pPr>
        <w:pStyle w:val="EndnoteText"/>
        <w:rPr>
          <w:rFonts w:cstheme="minorHAnsi"/>
          <w:szCs w:val="21"/>
        </w:rPr>
      </w:pPr>
      <w:r w:rsidRPr="007A26A6">
        <w:rPr>
          <w:rFonts w:cstheme="minorHAnsi"/>
          <w:szCs w:val="21"/>
        </w:rPr>
        <w:endnoteRef/>
      </w:r>
      <w:r w:rsidRPr="007A26A6">
        <w:rPr>
          <w:rFonts w:cstheme="minorHAnsi"/>
          <w:szCs w:val="21"/>
        </w:rPr>
        <w:tab/>
        <w:t xml:space="preserve">Government of South Australia. </w:t>
      </w:r>
      <w:r w:rsidRPr="007A26A6">
        <w:rPr>
          <w:rStyle w:val="Emphasis"/>
          <w:rFonts w:cstheme="minorHAnsi"/>
          <w:szCs w:val="21"/>
        </w:rPr>
        <w:t>Parliamentary Debates</w:t>
      </w:r>
      <w:r w:rsidRPr="007A26A6">
        <w:rPr>
          <w:rFonts w:cstheme="minorHAnsi"/>
          <w:szCs w:val="21"/>
        </w:rPr>
        <w:t xml:space="preserve">. Legislative Council, records from January 1st 2019 to December 31st 2019, retrieved from </w:t>
      </w:r>
      <w:hyperlink r:id="rId22" w:anchor="/search/0" w:history="1">
        <w:r w:rsidRPr="007A26A6">
          <w:rPr>
            <w:rStyle w:val="Hyperlink"/>
            <w:rFonts w:cstheme="minorHAnsi"/>
            <w:szCs w:val="21"/>
          </w:rPr>
          <w:t>Parliament of South Australia Search</w:t>
        </w:r>
      </w:hyperlink>
      <w:r w:rsidRPr="007A26A6">
        <w:rPr>
          <w:rFonts w:cstheme="minorHAnsi"/>
          <w:szCs w:val="21"/>
        </w:rPr>
        <w:t>.</w:t>
      </w:r>
    </w:p>
    <w:p w14:paraId="60479052" w14:textId="40032D18" w:rsidR="00F53B39" w:rsidRPr="007A26A6" w:rsidRDefault="00F53B39" w:rsidP="00F33728">
      <w:pPr>
        <w:pStyle w:val="OWEndnotetextindent"/>
        <w:rPr>
          <w:rFonts w:cstheme="minorHAnsi"/>
        </w:rPr>
      </w:pPr>
      <w:r w:rsidRPr="007A26A6">
        <w:rPr>
          <w:rFonts w:cstheme="minorHAnsi"/>
        </w:rPr>
        <w:t xml:space="preserve">Government of South Australia. </w:t>
      </w:r>
      <w:r w:rsidRPr="007A26A6">
        <w:rPr>
          <w:rStyle w:val="Emphasis"/>
          <w:rFonts w:cstheme="minorHAnsi"/>
        </w:rPr>
        <w:t>Parliamentary Debates</w:t>
      </w:r>
      <w:r w:rsidRPr="007A26A6">
        <w:rPr>
          <w:rFonts w:cstheme="minorHAnsi"/>
        </w:rPr>
        <w:t xml:space="preserve">. House of Assembly, records from January 1st 2019 to December 31st 2019, retrieved from </w:t>
      </w:r>
      <w:hyperlink r:id="rId23" w:anchor="/search/0" w:history="1">
        <w:r w:rsidRPr="007A26A6">
          <w:rPr>
            <w:rStyle w:val="Hyperlink"/>
            <w:rFonts w:cstheme="minorHAnsi"/>
          </w:rPr>
          <w:t>Parliament of South Australia Search</w:t>
        </w:r>
      </w:hyperlink>
      <w:r w:rsidRPr="007A26A6">
        <w:rPr>
          <w:rFonts w:cstheme="minorHAnsi"/>
        </w:rPr>
        <w:t>.</w:t>
      </w:r>
    </w:p>
  </w:endnote>
  <w:endnote w:id="24">
    <w:p w14:paraId="34787F51" w14:textId="54E5B767"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Our Watch. (n.d.). </w:t>
      </w:r>
      <w:hyperlink r:id="rId24" w:history="1">
        <w:r w:rsidRPr="007A26A6">
          <w:rPr>
            <w:rStyle w:val="HyperlinkItalic"/>
            <w:rFonts w:cstheme="minorHAnsi"/>
            <w:szCs w:val="21"/>
          </w:rPr>
          <w:t>Ambassadors</w:t>
        </w:r>
      </w:hyperlink>
      <w:r w:rsidRPr="007A26A6">
        <w:rPr>
          <w:rFonts w:cstheme="minorHAnsi"/>
          <w:i/>
          <w:iCs/>
          <w:szCs w:val="21"/>
        </w:rPr>
        <w:t>.</w:t>
      </w:r>
      <w:r w:rsidRPr="007A26A6">
        <w:rPr>
          <w:rFonts w:cstheme="minorHAnsi"/>
          <w:szCs w:val="21"/>
        </w:rPr>
        <w:t xml:space="preserve"> Retrieved 6 May 2020.</w:t>
      </w:r>
    </w:p>
  </w:endnote>
  <w:endnote w:id="25">
    <w:p w14:paraId="0DB924FD" w14:textId="0BB9C16A"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White Ribbon Australia. (2019). </w:t>
      </w:r>
      <w:r w:rsidRPr="007A26A6">
        <w:rPr>
          <w:rStyle w:val="Emphasis"/>
          <w:rFonts w:cstheme="minorHAnsi"/>
          <w:szCs w:val="21"/>
        </w:rPr>
        <w:t>White Ribbon Ambassador Role Description</w:t>
      </w:r>
      <w:r w:rsidRPr="007A26A6">
        <w:rPr>
          <w:rFonts w:cstheme="minorHAnsi"/>
          <w:i/>
          <w:iCs/>
          <w:szCs w:val="21"/>
        </w:rPr>
        <w:t>.</w:t>
      </w:r>
      <w:r w:rsidRPr="007A26A6">
        <w:rPr>
          <w:rFonts w:cstheme="minorHAnsi"/>
          <w:szCs w:val="21"/>
        </w:rPr>
        <w:t xml:space="preserve"> Retrieved 6 May 2020 from the </w:t>
      </w:r>
      <w:hyperlink r:id="rId25" w:history="1">
        <w:r w:rsidRPr="007A26A6">
          <w:rPr>
            <w:rStyle w:val="Hyperlink"/>
            <w:rFonts w:cstheme="minorHAnsi"/>
            <w:szCs w:val="21"/>
          </w:rPr>
          <w:t>White Ribbon Australia website</w:t>
        </w:r>
      </w:hyperlink>
      <w:r w:rsidRPr="007A26A6">
        <w:rPr>
          <w:rFonts w:cstheme="minorHAnsi"/>
          <w:szCs w:val="21"/>
        </w:rPr>
        <w:t>.</w:t>
      </w:r>
    </w:p>
  </w:endnote>
  <w:endnote w:id="26">
    <w:p w14:paraId="12CCBA3B" w14:textId="703DAE8F"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White Ribbon Australia. (2014). </w:t>
      </w:r>
      <w:r w:rsidRPr="007A26A6">
        <w:rPr>
          <w:rStyle w:val="Emphasis"/>
          <w:rFonts w:cstheme="minorHAnsi"/>
          <w:szCs w:val="21"/>
        </w:rPr>
        <w:t>Rachael Taylor talks about domestic violence as a White Ribbon Australia Champion</w:t>
      </w:r>
      <w:r w:rsidRPr="007A26A6">
        <w:rPr>
          <w:rFonts w:cstheme="minorHAnsi"/>
          <w:i/>
          <w:iCs/>
          <w:szCs w:val="21"/>
        </w:rPr>
        <w:t>.</w:t>
      </w:r>
      <w:r w:rsidRPr="007A26A6">
        <w:rPr>
          <w:rFonts w:cstheme="minorHAnsi"/>
          <w:szCs w:val="21"/>
        </w:rPr>
        <w:t xml:space="preserve"> Retrieved 6 May 2020 from the </w:t>
      </w:r>
      <w:hyperlink r:id="rId26" w:history="1">
        <w:r w:rsidRPr="007A26A6">
          <w:rPr>
            <w:rStyle w:val="Hyperlink"/>
            <w:rFonts w:cstheme="minorHAnsi"/>
            <w:szCs w:val="21"/>
          </w:rPr>
          <w:t>White Ribbon Australia website</w:t>
        </w:r>
      </w:hyperlink>
      <w:r w:rsidRPr="007A26A6">
        <w:rPr>
          <w:rFonts w:cstheme="minorHAnsi"/>
          <w:szCs w:val="21"/>
        </w:rPr>
        <w:t>.</w:t>
      </w:r>
    </w:p>
  </w:endnote>
  <w:endnote w:id="27">
    <w:p w14:paraId="53112560" w14:textId="095EA6DA"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Male Champions of Change. (n.d.). </w:t>
      </w:r>
      <w:hyperlink r:id="rId27" w:history="1">
        <w:r w:rsidRPr="007A26A6">
          <w:rPr>
            <w:rStyle w:val="HyperlinkItalic"/>
            <w:rFonts w:cstheme="minorHAnsi"/>
            <w:szCs w:val="21"/>
          </w:rPr>
          <w:t>Male champions of change</w:t>
        </w:r>
      </w:hyperlink>
      <w:r w:rsidRPr="007A26A6">
        <w:rPr>
          <w:rFonts w:eastAsiaTheme="minorHAnsi" w:cstheme="minorHAnsi"/>
          <w:szCs w:val="21"/>
          <w:lang w:val="en-GB"/>
        </w:rPr>
        <w:t>. Retrieved 6 May 2020</w:t>
      </w:r>
      <w:r w:rsidRPr="007A26A6">
        <w:rPr>
          <w:rFonts w:cstheme="minorHAnsi"/>
          <w:szCs w:val="21"/>
        </w:rPr>
        <w:t>.</w:t>
      </w:r>
    </w:p>
  </w:endnote>
  <w:endnote w:id="28">
    <w:p w14:paraId="53D3B9B4" w14:textId="0F33B943"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Science in Australia Gender Equity. (2020). </w:t>
      </w:r>
      <w:hyperlink r:id="rId28" w:history="1">
        <w:r w:rsidRPr="007A26A6">
          <w:rPr>
            <w:rStyle w:val="HyperlinkItalic"/>
            <w:rFonts w:cstheme="minorHAnsi"/>
            <w:szCs w:val="21"/>
          </w:rPr>
          <w:t>The Athena SWAN accreditation framework</w:t>
        </w:r>
      </w:hyperlink>
      <w:r w:rsidRPr="007A26A6">
        <w:rPr>
          <w:rFonts w:eastAsiaTheme="minorHAnsi" w:cstheme="minorHAnsi"/>
          <w:szCs w:val="21"/>
          <w:lang w:val="en-GB"/>
        </w:rPr>
        <w:t>. Retrieved 6 May 2020</w:t>
      </w:r>
      <w:r w:rsidRPr="007A26A6">
        <w:rPr>
          <w:rFonts w:cstheme="minorHAnsi"/>
          <w:szCs w:val="21"/>
        </w:rPr>
        <w:t>.</w:t>
      </w:r>
    </w:p>
  </w:endnote>
  <w:endnote w:id="29">
    <w:p w14:paraId="7C880275" w14:textId="4E56FE6E"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Rainbow Health Victoria. (n.d.). </w:t>
      </w:r>
      <w:hyperlink r:id="rId29" w:history="1">
        <w:r w:rsidRPr="007A26A6">
          <w:rPr>
            <w:rStyle w:val="HyperlinkItalic"/>
            <w:rFonts w:cstheme="minorHAnsi"/>
            <w:szCs w:val="21"/>
          </w:rPr>
          <w:t>Rainbow tick</w:t>
        </w:r>
      </w:hyperlink>
      <w:r w:rsidRPr="007A26A6">
        <w:rPr>
          <w:rFonts w:eastAsiaTheme="minorHAnsi" w:cstheme="minorHAnsi"/>
          <w:szCs w:val="21"/>
          <w:lang w:val="en-GB"/>
        </w:rPr>
        <w:t>. Retrieved 6 May 2020</w:t>
      </w:r>
      <w:r w:rsidRPr="007A26A6">
        <w:rPr>
          <w:rFonts w:cstheme="minorHAnsi"/>
          <w:szCs w:val="21"/>
        </w:rPr>
        <w:t>.</w:t>
      </w:r>
    </w:p>
  </w:endnote>
  <w:endnote w:id="30">
    <w:p w14:paraId="08D33B11" w14:textId="7A6B998D"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White Ribbon Australia. (2020). </w:t>
      </w:r>
      <w:hyperlink r:id="rId30" w:history="1">
        <w:r w:rsidRPr="007A26A6">
          <w:rPr>
            <w:rStyle w:val="HyperlinkItalic"/>
            <w:rFonts w:cstheme="minorHAnsi"/>
            <w:szCs w:val="21"/>
          </w:rPr>
          <w:t>Workplace accreditation program</w:t>
        </w:r>
      </w:hyperlink>
      <w:r w:rsidRPr="007A26A6">
        <w:rPr>
          <w:rFonts w:cstheme="minorHAnsi"/>
          <w:i/>
          <w:iCs/>
          <w:szCs w:val="21"/>
        </w:rPr>
        <w:t>.</w:t>
      </w:r>
      <w:r w:rsidRPr="007A26A6">
        <w:rPr>
          <w:rFonts w:cstheme="minorHAnsi"/>
          <w:szCs w:val="21"/>
        </w:rPr>
        <w:t xml:space="preserve"> Retrieved 6 May 2020.</w:t>
      </w:r>
    </w:p>
  </w:endnote>
  <w:endnote w:id="31">
    <w:p w14:paraId="2A8DB8B2" w14:textId="0CEE9D07"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5050 Vision – Councils for Gender Equity. (2013). </w:t>
      </w:r>
      <w:hyperlink r:id="rId31" w:history="1">
        <w:r w:rsidRPr="007A26A6">
          <w:rPr>
            <w:rStyle w:val="HyperlinkItalic"/>
            <w:rFonts w:cstheme="minorHAnsi"/>
            <w:szCs w:val="21"/>
          </w:rPr>
          <w:t>National awards and accreditation for local government</w:t>
        </w:r>
      </w:hyperlink>
      <w:r w:rsidRPr="007A26A6">
        <w:rPr>
          <w:rFonts w:cstheme="minorHAnsi"/>
          <w:szCs w:val="21"/>
        </w:rPr>
        <w:t>. Retrieved 6 May 2020.</w:t>
      </w:r>
    </w:p>
  </w:endnote>
  <w:endnote w:id="32">
    <w:p w14:paraId="19F33D03" w14:textId="390AD11D"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Workplace Gender Equality Agency. (2020). </w:t>
      </w:r>
      <w:hyperlink r:id="rId32" w:history="1">
        <w:r w:rsidRPr="007A26A6">
          <w:rPr>
            <w:rStyle w:val="HyperlinkItalic"/>
            <w:rFonts w:cstheme="minorHAnsi"/>
            <w:szCs w:val="21"/>
          </w:rPr>
          <w:t>WGEA Data explorer</w:t>
        </w:r>
      </w:hyperlink>
      <w:r w:rsidRPr="007A26A6">
        <w:rPr>
          <w:rFonts w:cstheme="minorHAnsi"/>
          <w:szCs w:val="21"/>
        </w:rPr>
        <w:t>.</w:t>
      </w:r>
      <w:r w:rsidRPr="007A26A6">
        <w:rPr>
          <w:rFonts w:eastAsiaTheme="minorHAnsi" w:cstheme="minorHAnsi"/>
          <w:szCs w:val="21"/>
          <w:lang w:val="en-GB"/>
        </w:rPr>
        <w:t xml:space="preserve"> Retrieved 6 May 2020</w:t>
      </w:r>
      <w:r w:rsidRPr="007A26A6">
        <w:rPr>
          <w:rFonts w:cstheme="minorHAnsi"/>
          <w:szCs w:val="21"/>
        </w:rPr>
        <w:t>.</w:t>
      </w:r>
    </w:p>
  </w:endnote>
  <w:endnote w:id="33">
    <w:p w14:paraId="23786659" w14:textId="6F050885"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r>
      <w:hyperlink r:id="rId33" w:history="1">
        <w:r w:rsidRPr="007A26A6">
          <w:rPr>
            <w:rStyle w:val="HyperlinkItalic"/>
            <w:rFonts w:cstheme="minorHAnsi"/>
            <w:szCs w:val="21"/>
          </w:rPr>
          <w:t>Workplace Gender Equality Act 2012</w:t>
        </w:r>
        <w:r w:rsidRPr="007A26A6">
          <w:rPr>
            <w:rStyle w:val="Hyperlink"/>
            <w:rFonts w:cstheme="minorHAnsi"/>
            <w:szCs w:val="21"/>
          </w:rPr>
          <w:t xml:space="preserve"> (Cth)</w:t>
        </w:r>
      </w:hyperlink>
      <w:r w:rsidRPr="007A26A6">
        <w:rPr>
          <w:rFonts w:eastAsiaTheme="minorHAnsi" w:cstheme="minorHAnsi"/>
          <w:szCs w:val="21"/>
          <w:lang w:val="en-GB"/>
        </w:rPr>
        <w:t>. Retrieved 6 May 2020</w:t>
      </w:r>
      <w:r w:rsidRPr="007A26A6">
        <w:rPr>
          <w:rFonts w:cstheme="minorHAnsi"/>
          <w:szCs w:val="21"/>
        </w:rPr>
        <w:t>.</w:t>
      </w:r>
    </w:p>
  </w:endnote>
  <w:endnote w:id="34">
    <w:p w14:paraId="5CFB1808" w14:textId="2F24BEFE"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Workplace Gender Equality Agency. (2020). </w:t>
      </w:r>
      <w:hyperlink r:id="rId34" w:history="1">
        <w:r w:rsidRPr="007A26A6">
          <w:rPr>
            <w:rStyle w:val="HyperlinkItalic"/>
            <w:rFonts w:cstheme="minorHAnsi"/>
            <w:szCs w:val="21"/>
          </w:rPr>
          <w:t>WGEA Data explorer</w:t>
        </w:r>
      </w:hyperlink>
      <w:r w:rsidRPr="007A26A6">
        <w:rPr>
          <w:rFonts w:cstheme="minorHAnsi"/>
          <w:szCs w:val="21"/>
        </w:rPr>
        <w:t>.</w:t>
      </w:r>
    </w:p>
  </w:endnote>
  <w:endnote w:id="35">
    <w:p w14:paraId="27D5D17C" w14:textId="2FBFE6AC"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Workplace Gender Equality Agency. (2020). </w:t>
      </w:r>
      <w:hyperlink r:id="rId35" w:history="1">
        <w:r w:rsidRPr="007A26A6">
          <w:rPr>
            <w:rStyle w:val="HyperlinkItalic"/>
            <w:rFonts w:cstheme="minorHAnsi"/>
            <w:szCs w:val="21"/>
          </w:rPr>
          <w:t>WGEA Data explorer</w:t>
        </w:r>
      </w:hyperlink>
      <w:r w:rsidRPr="007A26A6">
        <w:rPr>
          <w:rFonts w:cstheme="minorHAnsi"/>
          <w:szCs w:val="21"/>
        </w:rPr>
        <w:t>.</w:t>
      </w:r>
    </w:p>
  </w:endnote>
  <w:endnote w:id="36">
    <w:p w14:paraId="50D24F13" w14:textId="70012A80"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Workplace Gender Equality Agency. (2020). </w:t>
      </w:r>
      <w:hyperlink r:id="rId36" w:history="1">
        <w:r w:rsidRPr="007A26A6">
          <w:rPr>
            <w:rStyle w:val="HyperlinkItalic"/>
            <w:rFonts w:cstheme="minorHAnsi"/>
            <w:szCs w:val="21"/>
          </w:rPr>
          <w:t>WGEA Data explorer</w:t>
        </w:r>
      </w:hyperlink>
      <w:r w:rsidRPr="007A26A6">
        <w:rPr>
          <w:rFonts w:cstheme="minorHAnsi"/>
          <w:szCs w:val="21"/>
        </w:rPr>
        <w:t>.</w:t>
      </w:r>
    </w:p>
  </w:endnote>
  <w:endnote w:id="37">
    <w:p w14:paraId="2F305B41" w14:textId="77C85E6B"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Workplace Gender Equality Agency. (2020). </w:t>
      </w:r>
      <w:hyperlink r:id="rId37" w:history="1">
        <w:r w:rsidRPr="007A26A6">
          <w:rPr>
            <w:rStyle w:val="HyperlinkItalic"/>
            <w:rFonts w:cstheme="minorHAnsi"/>
            <w:szCs w:val="21"/>
          </w:rPr>
          <w:t>WGEA Data explorer</w:t>
        </w:r>
      </w:hyperlink>
      <w:r w:rsidRPr="007A26A6">
        <w:rPr>
          <w:rFonts w:cstheme="minorHAnsi"/>
          <w:szCs w:val="21"/>
        </w:rPr>
        <w:t>.</w:t>
      </w:r>
    </w:p>
  </w:endnote>
  <w:endnote w:id="38">
    <w:p w14:paraId="5A815480" w14:textId="5CDB1AB1" w:rsidR="00F53B39" w:rsidRPr="007A26A6" w:rsidRDefault="00F53B39" w:rsidP="00AE151C">
      <w:pPr>
        <w:pStyle w:val="EndnoteText"/>
        <w:rPr>
          <w:rFonts w:cstheme="minorHAnsi"/>
          <w:szCs w:val="21"/>
        </w:rPr>
      </w:pPr>
      <w:r w:rsidRPr="007A26A6">
        <w:rPr>
          <w:rFonts w:cstheme="minorHAnsi"/>
          <w:szCs w:val="21"/>
        </w:rPr>
        <w:endnoteRef/>
      </w:r>
      <w:r w:rsidRPr="007A26A6">
        <w:rPr>
          <w:rFonts w:cstheme="minorHAnsi"/>
          <w:szCs w:val="21"/>
        </w:rPr>
        <w:tab/>
        <w:t xml:space="preserve">Queensland Government. (2020). </w:t>
      </w:r>
      <w:hyperlink r:id="rId38" w:history="1">
        <w:r w:rsidRPr="007A26A6">
          <w:rPr>
            <w:rStyle w:val="HyperlinkItalic"/>
            <w:rFonts w:cstheme="minorHAnsi"/>
            <w:szCs w:val="21"/>
          </w:rPr>
          <w:t>Support for employees affected by domestic and family violence</w:t>
        </w:r>
      </w:hyperlink>
      <w:r w:rsidRPr="007A26A6">
        <w:rPr>
          <w:rFonts w:cstheme="minorHAnsi"/>
          <w:szCs w:val="21"/>
        </w:rPr>
        <w:t>.</w:t>
      </w:r>
    </w:p>
    <w:p w14:paraId="6E31CC5C" w14:textId="5C9BE0D3" w:rsidR="00F53B39" w:rsidRPr="007A26A6" w:rsidRDefault="00F53B39" w:rsidP="00AE151C">
      <w:pPr>
        <w:pStyle w:val="OWEndnotetextindent"/>
        <w:rPr>
          <w:rFonts w:cstheme="minorHAnsi"/>
        </w:rPr>
      </w:pPr>
      <w:r w:rsidRPr="007A26A6">
        <w:rPr>
          <w:rFonts w:cstheme="minorHAnsi"/>
        </w:rPr>
        <w:t xml:space="preserve">Fair Work Ombudsman. (2019). </w:t>
      </w:r>
      <w:hyperlink r:id="rId39" w:anchor="P1053_86962" w:history="1">
        <w:r w:rsidRPr="007A26A6">
          <w:rPr>
            <w:rStyle w:val="HyperlinkItalic"/>
            <w:rFonts w:cstheme="minorHAnsi"/>
          </w:rPr>
          <w:t>Australian Public Service Enterprise Award 2015</w:t>
        </w:r>
      </w:hyperlink>
      <w:r w:rsidRPr="007A26A6">
        <w:rPr>
          <w:rFonts w:cstheme="minorHAnsi"/>
        </w:rPr>
        <w:t>.</w:t>
      </w:r>
    </w:p>
    <w:p w14:paraId="4FB7DCD9" w14:textId="630CE766" w:rsidR="00F53B39" w:rsidRPr="007A26A6" w:rsidRDefault="00F53B39" w:rsidP="00F05796">
      <w:pPr>
        <w:pStyle w:val="OWEndnotetextindent"/>
        <w:rPr>
          <w:rFonts w:cstheme="minorHAnsi"/>
        </w:rPr>
      </w:pPr>
      <w:r w:rsidRPr="007A26A6">
        <w:rPr>
          <w:rFonts w:cstheme="minorHAnsi"/>
        </w:rPr>
        <w:t xml:space="preserve">New South Wales Government, Health. (2019). </w:t>
      </w:r>
      <w:hyperlink r:id="rId40" w:history="1">
        <w:r w:rsidRPr="007A26A6">
          <w:rPr>
            <w:rStyle w:val="HyperlinkItalic"/>
            <w:rFonts w:cstheme="minorHAnsi"/>
          </w:rPr>
          <w:t>Domestic and family violence leave</w:t>
        </w:r>
      </w:hyperlink>
      <w:r w:rsidRPr="007A26A6">
        <w:rPr>
          <w:rFonts w:cstheme="minorHAnsi"/>
        </w:rPr>
        <w:t>.</w:t>
      </w:r>
    </w:p>
    <w:p w14:paraId="5BA04354" w14:textId="011631B7" w:rsidR="00F53B39" w:rsidRPr="007A26A6" w:rsidRDefault="00F53B39" w:rsidP="00F05796">
      <w:pPr>
        <w:pStyle w:val="OWEndnotetextindent"/>
        <w:rPr>
          <w:rFonts w:cstheme="minorHAnsi"/>
        </w:rPr>
      </w:pPr>
      <w:r w:rsidRPr="007A26A6">
        <w:rPr>
          <w:rFonts w:cstheme="minorHAnsi"/>
        </w:rPr>
        <w:t xml:space="preserve">Australian Capital Territory Government. (2019). </w:t>
      </w:r>
      <w:hyperlink r:id="rId41" w:history="1">
        <w:r w:rsidRPr="007A26A6">
          <w:rPr>
            <w:rStyle w:val="HyperlinkItalic"/>
            <w:rFonts w:cstheme="minorHAnsi"/>
          </w:rPr>
          <w:t>Leave for domestic and family violence purposes advice in the ACT public sector</w:t>
        </w:r>
      </w:hyperlink>
      <w:r w:rsidRPr="007A26A6">
        <w:rPr>
          <w:rFonts w:cstheme="minorHAnsi"/>
        </w:rPr>
        <w:t>.</w:t>
      </w:r>
    </w:p>
    <w:p w14:paraId="2E43C6D5" w14:textId="4B7DDE0C" w:rsidR="00F53B39" w:rsidRPr="007A26A6" w:rsidRDefault="00F53B39" w:rsidP="00F05796">
      <w:pPr>
        <w:pStyle w:val="OWEndnotetextindent"/>
        <w:rPr>
          <w:rFonts w:cstheme="minorHAnsi"/>
        </w:rPr>
      </w:pPr>
      <w:r w:rsidRPr="007A26A6">
        <w:rPr>
          <w:rFonts w:cstheme="minorHAnsi"/>
        </w:rPr>
        <w:t xml:space="preserve">Northern Territory Government. (2017). </w:t>
      </w:r>
      <w:hyperlink r:id="rId42" w:history="1">
        <w:r w:rsidRPr="007A26A6">
          <w:rPr>
            <w:rStyle w:val="HyperlinkItalic"/>
            <w:rFonts w:cstheme="minorHAnsi"/>
          </w:rPr>
          <w:t>Commissioner’s information sheet – Support for NTPS employees affected by domestic and family violence (D&amp;FV)</w:t>
        </w:r>
      </w:hyperlink>
      <w:r w:rsidRPr="007A26A6">
        <w:rPr>
          <w:rFonts w:cstheme="minorHAnsi"/>
        </w:rPr>
        <w:t>.</w:t>
      </w:r>
    </w:p>
    <w:p w14:paraId="792FA0A2" w14:textId="36BC3E6A" w:rsidR="00F53B39" w:rsidRPr="007A26A6" w:rsidRDefault="00F53B39" w:rsidP="00F05796">
      <w:pPr>
        <w:pStyle w:val="OWEndnotetextindent"/>
        <w:rPr>
          <w:rFonts w:cstheme="minorHAnsi"/>
        </w:rPr>
      </w:pPr>
      <w:r w:rsidRPr="007A26A6">
        <w:rPr>
          <w:rFonts w:cstheme="minorHAnsi"/>
        </w:rPr>
        <w:t xml:space="preserve">Tasmanian Industrial Commission. (2020). </w:t>
      </w:r>
      <w:hyperlink r:id="rId43" w:history="1">
        <w:r w:rsidRPr="007A26A6">
          <w:rPr>
            <w:rStyle w:val="HyperlinkItalic"/>
            <w:rFonts w:cstheme="minorHAnsi"/>
          </w:rPr>
          <w:t>Tasmanian State Service Award, No. 1 of 2020 (Consolidated)</w:t>
        </w:r>
      </w:hyperlink>
      <w:r w:rsidRPr="007A26A6">
        <w:rPr>
          <w:rFonts w:cstheme="minorHAnsi"/>
        </w:rPr>
        <w:t>.</w:t>
      </w:r>
    </w:p>
    <w:p w14:paraId="33325D17" w14:textId="6EB33575" w:rsidR="00F53B39" w:rsidRPr="007A26A6" w:rsidRDefault="00F53B39" w:rsidP="00F05796">
      <w:pPr>
        <w:pStyle w:val="OWEndnotetextindent"/>
        <w:rPr>
          <w:rFonts w:cstheme="minorHAnsi"/>
        </w:rPr>
      </w:pPr>
      <w:r w:rsidRPr="007A26A6">
        <w:rPr>
          <w:rFonts w:cstheme="minorHAnsi"/>
        </w:rPr>
        <w:t xml:space="preserve">Government of South Australia, Office for the Public Sector. (2017). </w:t>
      </w:r>
      <w:hyperlink r:id="rId44" w:history="1">
        <w:r w:rsidRPr="007A26A6">
          <w:rPr>
            <w:rStyle w:val="HyperlinkItalic"/>
            <w:rFonts w:cstheme="minorHAnsi"/>
          </w:rPr>
          <w:t>Determination 3.1: Employment conditions – Hours of work, overtime and leave</w:t>
        </w:r>
      </w:hyperlink>
      <w:r w:rsidRPr="007A26A6">
        <w:rPr>
          <w:rFonts w:cstheme="minorHAnsi"/>
        </w:rPr>
        <w:t>.</w:t>
      </w:r>
    </w:p>
    <w:p w14:paraId="2E2A071C" w14:textId="6C16B83F" w:rsidR="00F53B39" w:rsidRPr="007A26A6" w:rsidRDefault="00F53B39" w:rsidP="00F05796">
      <w:pPr>
        <w:pStyle w:val="OWEndnotetextindent"/>
        <w:rPr>
          <w:rFonts w:cstheme="minorHAnsi"/>
        </w:rPr>
      </w:pPr>
      <w:r w:rsidRPr="007A26A6">
        <w:rPr>
          <w:rFonts w:cstheme="minorHAnsi"/>
        </w:rPr>
        <w:t xml:space="preserve">Government of Western Australia, Premier’s Circular. (2017). </w:t>
      </w:r>
      <w:hyperlink r:id="rId45" w:history="1">
        <w:r w:rsidRPr="007A26A6">
          <w:rPr>
            <w:rStyle w:val="HyperlinkItalic"/>
            <w:rFonts w:cstheme="minorHAnsi"/>
          </w:rPr>
          <w:t>Family and domestic violence – Paid leave and workplace support</w:t>
        </w:r>
      </w:hyperlink>
      <w:r w:rsidRPr="007A26A6">
        <w:rPr>
          <w:rFonts w:cstheme="minorHAnsi"/>
        </w:rPr>
        <w:t>.</w:t>
      </w:r>
    </w:p>
    <w:p w14:paraId="181A116B" w14:textId="3EA734B5" w:rsidR="00F53B39" w:rsidRPr="007A26A6" w:rsidRDefault="00F53B39" w:rsidP="00F05796">
      <w:pPr>
        <w:pStyle w:val="OWEndnotetextindent"/>
        <w:rPr>
          <w:rFonts w:cstheme="minorHAnsi"/>
        </w:rPr>
      </w:pPr>
      <w:r w:rsidRPr="007A26A6">
        <w:rPr>
          <w:rFonts w:cstheme="minorHAnsi"/>
        </w:rPr>
        <w:t xml:space="preserve">Fair Work Ombudsman. (2016). </w:t>
      </w:r>
      <w:hyperlink r:id="rId46" w:anchor="P1541_63653" w:history="1">
        <w:r w:rsidRPr="007A26A6">
          <w:rPr>
            <w:rStyle w:val="HyperlinkItalic"/>
            <w:rFonts w:cstheme="minorHAnsi"/>
          </w:rPr>
          <w:t>Victorian Public Service Award 2016</w:t>
        </w:r>
      </w:hyperlink>
      <w:r w:rsidRPr="007A26A6">
        <w:rPr>
          <w:rFonts w:cstheme="minorHAnsi"/>
        </w:rPr>
        <w:t>.</w:t>
      </w:r>
    </w:p>
  </w:endnote>
  <w:endnote w:id="39">
    <w:p w14:paraId="3B1AE706" w14:textId="2F9DEC48"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Workplace Gender Equality Agency. (2020). </w:t>
      </w:r>
      <w:hyperlink r:id="rId47" w:history="1">
        <w:r w:rsidRPr="007A26A6">
          <w:rPr>
            <w:rStyle w:val="HyperlinkItalic"/>
            <w:rFonts w:cstheme="minorHAnsi"/>
            <w:szCs w:val="21"/>
          </w:rPr>
          <w:t>WGEA Data explorer</w:t>
        </w:r>
      </w:hyperlink>
      <w:r w:rsidRPr="007A26A6">
        <w:rPr>
          <w:rFonts w:cstheme="minorHAnsi"/>
          <w:szCs w:val="21"/>
        </w:rPr>
        <w:t>.</w:t>
      </w:r>
    </w:p>
  </w:endnote>
  <w:endnote w:id="40">
    <w:p w14:paraId="121DB104" w14:textId="587E488B"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Workplace Gender Equality Agency. (2020). </w:t>
      </w:r>
      <w:hyperlink r:id="rId48" w:history="1">
        <w:r w:rsidRPr="007A26A6">
          <w:rPr>
            <w:rStyle w:val="HyperlinkItalic"/>
            <w:rFonts w:cstheme="minorHAnsi"/>
            <w:szCs w:val="21"/>
          </w:rPr>
          <w:t>WGEA Data explorer</w:t>
        </w:r>
      </w:hyperlink>
      <w:r w:rsidRPr="007A26A6">
        <w:rPr>
          <w:rFonts w:cstheme="minorHAnsi"/>
          <w:szCs w:val="21"/>
        </w:rPr>
        <w:t>.</w:t>
      </w:r>
    </w:p>
  </w:endnote>
  <w:endnote w:id="41">
    <w:p w14:paraId="0224D922" w14:textId="7FB1D3C9" w:rsidR="00F53B39" w:rsidRPr="007A26A6" w:rsidRDefault="00F53B39" w:rsidP="00F05796">
      <w:pPr>
        <w:pStyle w:val="EndnoteText"/>
        <w:rPr>
          <w:rFonts w:cstheme="minorHAnsi"/>
          <w:szCs w:val="21"/>
        </w:rPr>
      </w:pPr>
      <w:r w:rsidRPr="007A26A6">
        <w:rPr>
          <w:rFonts w:cstheme="minorHAnsi"/>
          <w:szCs w:val="21"/>
        </w:rPr>
        <w:endnoteRef/>
      </w:r>
      <w:r w:rsidRPr="007A26A6">
        <w:rPr>
          <w:rFonts w:cstheme="minorHAnsi"/>
          <w:szCs w:val="21"/>
        </w:rPr>
        <w:tab/>
        <w:t xml:space="preserve">Tasmanian Industrial Commission. (2020). </w:t>
      </w:r>
      <w:hyperlink r:id="rId49" w:history="1">
        <w:r w:rsidRPr="007A26A6">
          <w:rPr>
            <w:rStyle w:val="HyperlinkItalic"/>
            <w:rFonts w:cstheme="minorHAnsi"/>
            <w:szCs w:val="21"/>
          </w:rPr>
          <w:t>Tasmanian State Service Award, No. 1 of 2020 (Consolidated)</w:t>
        </w:r>
      </w:hyperlink>
      <w:r w:rsidRPr="007A26A6">
        <w:rPr>
          <w:rFonts w:cstheme="minorHAnsi"/>
          <w:szCs w:val="21"/>
        </w:rPr>
        <w:t>.</w:t>
      </w:r>
    </w:p>
    <w:p w14:paraId="5AAA9D61" w14:textId="6416B74F" w:rsidR="00F53B39" w:rsidRPr="007A26A6" w:rsidRDefault="00F53B39" w:rsidP="00F05796">
      <w:pPr>
        <w:pStyle w:val="OWEndnotetextindent"/>
        <w:rPr>
          <w:rFonts w:cstheme="minorHAnsi"/>
        </w:rPr>
      </w:pPr>
      <w:r w:rsidRPr="007A26A6">
        <w:rPr>
          <w:rFonts w:cstheme="minorHAnsi"/>
        </w:rPr>
        <w:t xml:space="preserve">Government of South Australia, Office for the Public Sector. (2017). </w:t>
      </w:r>
      <w:hyperlink r:id="rId50" w:history="1">
        <w:r w:rsidRPr="007A26A6">
          <w:rPr>
            <w:rStyle w:val="HyperlinkItalic"/>
            <w:rFonts w:cstheme="minorHAnsi"/>
          </w:rPr>
          <w:t>Determination 3.1: Employment conditions – Hours of work, overtime and leave</w:t>
        </w:r>
      </w:hyperlink>
      <w:r w:rsidRPr="007A26A6">
        <w:rPr>
          <w:rFonts w:cstheme="minorHAnsi"/>
        </w:rPr>
        <w:t>.</w:t>
      </w:r>
    </w:p>
    <w:p w14:paraId="5E647CA3" w14:textId="5683441D" w:rsidR="00F53B39" w:rsidRPr="007A26A6" w:rsidRDefault="00F53B39" w:rsidP="00F05796">
      <w:pPr>
        <w:pStyle w:val="OWEndnotetextindent"/>
        <w:rPr>
          <w:rFonts w:cstheme="minorHAnsi"/>
        </w:rPr>
      </w:pPr>
      <w:r w:rsidRPr="007A26A6">
        <w:rPr>
          <w:rFonts w:cstheme="minorHAnsi"/>
        </w:rPr>
        <w:t xml:space="preserve">Fair Work Ombudsman. (2019). </w:t>
      </w:r>
      <w:hyperlink r:id="rId51" w:anchor="P1053_86962" w:history="1">
        <w:r w:rsidRPr="007A26A6">
          <w:rPr>
            <w:rStyle w:val="HyperlinkItalic"/>
            <w:rFonts w:cstheme="minorHAnsi"/>
          </w:rPr>
          <w:t>Australian Public Service Enterprise Award 2015</w:t>
        </w:r>
      </w:hyperlink>
      <w:r w:rsidRPr="007A26A6">
        <w:rPr>
          <w:rFonts w:cstheme="minorHAnsi"/>
        </w:rPr>
        <w:t>.</w:t>
      </w:r>
    </w:p>
    <w:p w14:paraId="500E675C" w14:textId="04D8F464" w:rsidR="00F53B39" w:rsidRPr="007A26A6" w:rsidRDefault="00F53B39" w:rsidP="00F05796">
      <w:pPr>
        <w:pStyle w:val="OWEndnotetextindent"/>
        <w:rPr>
          <w:rFonts w:cstheme="minorHAnsi"/>
        </w:rPr>
      </w:pPr>
      <w:r w:rsidRPr="007A26A6">
        <w:rPr>
          <w:rFonts w:cstheme="minorHAnsi"/>
        </w:rPr>
        <w:t xml:space="preserve">Queensland Government, Office of Industrial Relations, Public Sector Industrial Relations. (2018). </w:t>
      </w:r>
      <w:hyperlink r:id="rId52" w:history="1">
        <w:r w:rsidRPr="007A26A6">
          <w:rPr>
            <w:rStyle w:val="HyperlinkItalic"/>
            <w:rFonts w:cstheme="minorHAnsi"/>
          </w:rPr>
          <w:t>Paid Parental Leave</w:t>
        </w:r>
      </w:hyperlink>
      <w:r w:rsidRPr="007A26A6">
        <w:rPr>
          <w:rFonts w:cstheme="minorHAnsi"/>
        </w:rPr>
        <w:t>.</w:t>
      </w:r>
    </w:p>
    <w:p w14:paraId="53A00EB6" w14:textId="12244A5E" w:rsidR="00F53B39" w:rsidRPr="007A26A6" w:rsidRDefault="00F53B39" w:rsidP="00F05796">
      <w:pPr>
        <w:pStyle w:val="OWEndnotetextindent"/>
        <w:rPr>
          <w:rFonts w:cstheme="minorHAnsi"/>
        </w:rPr>
      </w:pPr>
      <w:r w:rsidRPr="007A26A6">
        <w:rPr>
          <w:rFonts w:cstheme="minorHAnsi"/>
        </w:rPr>
        <w:t xml:space="preserve">Industrial Relations Commission of New South Wales. (2016). </w:t>
      </w:r>
      <w:hyperlink r:id="rId53" w:history="1">
        <w:r w:rsidRPr="007A26A6">
          <w:rPr>
            <w:rStyle w:val="HyperlinkItalic"/>
            <w:rFonts w:cstheme="minorHAnsi"/>
          </w:rPr>
          <w:t>Crown Employees (public service conditions of employment) reviewed award 2009</w:t>
        </w:r>
      </w:hyperlink>
      <w:r w:rsidRPr="007A26A6">
        <w:rPr>
          <w:rFonts w:cstheme="minorHAnsi"/>
        </w:rPr>
        <w:t>.</w:t>
      </w:r>
    </w:p>
    <w:p w14:paraId="3E61313C" w14:textId="1545A7CE" w:rsidR="00F53B39" w:rsidRPr="007A26A6" w:rsidRDefault="00F53B39" w:rsidP="00F05796">
      <w:pPr>
        <w:pStyle w:val="OWEndnotetextindent"/>
        <w:rPr>
          <w:rFonts w:cstheme="minorHAnsi"/>
        </w:rPr>
      </w:pPr>
      <w:r w:rsidRPr="007A26A6">
        <w:rPr>
          <w:rFonts w:cstheme="minorHAnsi"/>
        </w:rPr>
        <w:t xml:space="preserve">Fair Work Ombudsman. (2019). </w:t>
      </w:r>
      <w:hyperlink r:id="rId54" w:anchor="P1209_123881" w:history="1">
        <w:r w:rsidRPr="007A26A6">
          <w:rPr>
            <w:rStyle w:val="HyperlinkItalic"/>
            <w:rFonts w:cstheme="minorHAnsi"/>
          </w:rPr>
          <w:t>Australian Capital Territory Public Sector Enterprise Award 2016</w:t>
        </w:r>
      </w:hyperlink>
      <w:r w:rsidRPr="007A26A6">
        <w:rPr>
          <w:rFonts w:cstheme="minorHAnsi"/>
        </w:rPr>
        <w:t>.</w:t>
      </w:r>
    </w:p>
    <w:p w14:paraId="31AAB1D3" w14:textId="2C435165" w:rsidR="00F53B39" w:rsidRPr="007A26A6" w:rsidRDefault="00F53B39" w:rsidP="00F05796">
      <w:pPr>
        <w:pStyle w:val="OWEndnotetextindent"/>
        <w:rPr>
          <w:rFonts w:cstheme="minorHAnsi"/>
        </w:rPr>
      </w:pPr>
      <w:r w:rsidRPr="007A26A6">
        <w:rPr>
          <w:rFonts w:cstheme="minorHAnsi"/>
        </w:rPr>
        <w:t xml:space="preserve">Fair Work Ombudsman. (2016). </w:t>
      </w:r>
      <w:hyperlink r:id="rId55" w:anchor="P1541_63653" w:history="1">
        <w:r w:rsidRPr="007A26A6">
          <w:rPr>
            <w:rStyle w:val="HyperlinkItalic"/>
            <w:rFonts w:cstheme="minorHAnsi"/>
          </w:rPr>
          <w:t>Victorian Public Service Award 2016</w:t>
        </w:r>
      </w:hyperlink>
      <w:r w:rsidRPr="007A26A6">
        <w:rPr>
          <w:rFonts w:cstheme="minorHAnsi"/>
        </w:rPr>
        <w:t>.</w:t>
      </w:r>
    </w:p>
    <w:p w14:paraId="7C74BC1F" w14:textId="2D965514" w:rsidR="00F53B39" w:rsidRPr="007A26A6" w:rsidRDefault="00F53B39" w:rsidP="00F05796">
      <w:pPr>
        <w:pStyle w:val="OWEndnotetextindent"/>
        <w:rPr>
          <w:rFonts w:cstheme="minorHAnsi"/>
        </w:rPr>
      </w:pPr>
      <w:r w:rsidRPr="007A26A6">
        <w:rPr>
          <w:rFonts w:cstheme="minorHAnsi"/>
        </w:rPr>
        <w:t xml:space="preserve">Western Australia Industrial Relations Commission. (2020). </w:t>
      </w:r>
      <w:hyperlink r:id="rId56" w:history="1">
        <w:r w:rsidRPr="007A26A6">
          <w:rPr>
            <w:rStyle w:val="HyperlinkItalic"/>
            <w:rFonts w:cstheme="minorHAnsi"/>
          </w:rPr>
          <w:t>Public Service Award</w:t>
        </w:r>
      </w:hyperlink>
      <w:r w:rsidRPr="007A26A6">
        <w:rPr>
          <w:rFonts w:cstheme="minorHAnsi"/>
        </w:rPr>
        <w:t>.</w:t>
      </w:r>
    </w:p>
    <w:p w14:paraId="12CCB427" w14:textId="7B4A9B61" w:rsidR="00F53B39" w:rsidRPr="007A26A6" w:rsidRDefault="00F53B39" w:rsidP="00F05796">
      <w:pPr>
        <w:pStyle w:val="OWEndnotetextindent"/>
        <w:rPr>
          <w:rFonts w:cstheme="minorHAnsi"/>
        </w:rPr>
      </w:pPr>
      <w:r w:rsidRPr="007A26A6">
        <w:rPr>
          <w:rFonts w:cstheme="minorHAnsi"/>
        </w:rPr>
        <w:t>Northern Territory Government Office of the Commissioner for Public Employment. (2020).</w:t>
      </w:r>
      <w:r w:rsidRPr="007A26A6">
        <w:rPr>
          <w:rFonts w:cstheme="minorHAnsi"/>
          <w:bCs/>
          <w:kern w:val="36"/>
        </w:rPr>
        <w:t xml:space="preserve"> </w:t>
      </w:r>
      <w:hyperlink r:id="rId57" w:history="1">
        <w:r w:rsidRPr="007A26A6">
          <w:rPr>
            <w:rStyle w:val="HyperlinkItalic"/>
            <w:rFonts w:cstheme="minorHAnsi"/>
          </w:rPr>
          <w:t>Leave</w:t>
        </w:r>
      </w:hyperlink>
      <w:r w:rsidRPr="007A26A6">
        <w:rPr>
          <w:rFonts w:cstheme="minorHAnsi"/>
        </w:rPr>
        <w:t>.</w:t>
      </w:r>
    </w:p>
  </w:endnote>
  <w:endnote w:id="42">
    <w:p w14:paraId="5227FF61" w14:textId="7837E480"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Fair Work Ombudsman. (2020). </w:t>
      </w:r>
      <w:hyperlink r:id="rId58" w:anchor=":~:text=Australian%20Government%20Paid%20Parental%20Leave,pays%20them%20to%20the%20employee" w:history="1">
        <w:r w:rsidRPr="007A26A6">
          <w:rPr>
            <w:rStyle w:val="Hyperlink"/>
            <w:rFonts w:cstheme="minorHAnsi"/>
            <w:szCs w:val="21"/>
          </w:rPr>
          <w:t>Paid parental leave</w:t>
        </w:r>
      </w:hyperlink>
      <w:r w:rsidRPr="007A26A6">
        <w:rPr>
          <w:rFonts w:cstheme="minorHAnsi"/>
          <w:szCs w:val="21"/>
        </w:rPr>
        <w:t>.</w:t>
      </w:r>
    </w:p>
  </w:endnote>
  <w:endnote w:id="43">
    <w:p w14:paraId="637D0374" w14:textId="134603E7"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Workplace Gender Equality Agency. (2020). </w:t>
      </w:r>
      <w:hyperlink r:id="rId59" w:history="1">
        <w:r w:rsidRPr="007A26A6">
          <w:rPr>
            <w:rStyle w:val="HyperlinkItalic"/>
            <w:rFonts w:cstheme="minorHAnsi"/>
            <w:szCs w:val="21"/>
          </w:rPr>
          <w:t>Gender equitable parental leave</w:t>
        </w:r>
      </w:hyperlink>
      <w:r w:rsidRPr="007A26A6">
        <w:rPr>
          <w:rFonts w:cstheme="minorHAnsi"/>
          <w:szCs w:val="21"/>
        </w:rPr>
        <w:t xml:space="preserve">. </w:t>
      </w:r>
      <w:r w:rsidRPr="007A26A6">
        <w:rPr>
          <w:rFonts w:cstheme="minorHAnsi"/>
          <w:szCs w:val="21"/>
          <w:lang w:val="en-GB"/>
        </w:rPr>
        <w:t>Retrieved 6 May 2020</w:t>
      </w:r>
      <w:r w:rsidRPr="007A26A6">
        <w:rPr>
          <w:rFonts w:cstheme="minorHAnsi"/>
          <w:szCs w:val="21"/>
        </w:rPr>
        <w:t>.</w:t>
      </w:r>
    </w:p>
  </w:endnote>
  <w:endnote w:id="44">
    <w:p w14:paraId="6D130834" w14:textId="00108313" w:rsidR="00F53B39" w:rsidRDefault="00F53B39" w:rsidP="00301876">
      <w:pPr>
        <w:pStyle w:val="EndnoteText"/>
      </w:pPr>
      <w:r w:rsidRPr="00301876">
        <w:endnoteRef/>
      </w:r>
      <w:r w:rsidRPr="00301876">
        <w:tab/>
      </w:r>
      <w:hyperlink r:id="rId60" w:history="1">
        <w:r w:rsidRPr="00301876">
          <w:rPr>
            <w:rStyle w:val="Hyperlink"/>
          </w:rPr>
          <w:t>OECD Family Database</w:t>
        </w:r>
      </w:hyperlink>
      <w:r>
        <w:t xml:space="preserve"> (paper PF2.1. Parental leave systems).</w:t>
      </w:r>
    </w:p>
    <w:p w14:paraId="03549231" w14:textId="14810E54" w:rsidR="00F53B39" w:rsidRPr="00301876" w:rsidRDefault="00F53B39" w:rsidP="00301876">
      <w:pPr>
        <w:pStyle w:val="OWEndnotetextindent"/>
        <w:rPr>
          <w:lang w:val="en-US"/>
        </w:rPr>
      </w:pPr>
      <w:r>
        <w:t xml:space="preserve">RMIT ABC Fact Check. (2019). </w:t>
      </w:r>
      <w:hyperlink r:id="rId61" w:history="1">
        <w:r w:rsidRPr="00301876">
          <w:rPr>
            <w:rStyle w:val="Hyperlink"/>
          </w:rPr>
          <w:t>Does Australia have one of the least generous paid parental leave schemes in the OECD?</w:t>
        </w:r>
      </w:hyperlink>
    </w:p>
  </w:endnote>
  <w:endnote w:id="45">
    <w:p w14:paraId="4DFA6377" w14:textId="360F5641"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r>
      <w:hyperlink r:id="rId62" w:history="1">
        <w:r w:rsidRPr="007A26A6">
          <w:rPr>
            <w:rStyle w:val="HyperlinkItalic"/>
            <w:rFonts w:cstheme="minorHAnsi"/>
            <w:szCs w:val="21"/>
          </w:rPr>
          <w:t>Maternity Leave (Commonwealth Employees) Act 1973</w:t>
        </w:r>
        <w:r w:rsidRPr="007A26A6">
          <w:rPr>
            <w:rStyle w:val="Hyperlink"/>
            <w:rFonts w:cstheme="minorHAnsi"/>
            <w:szCs w:val="21"/>
          </w:rPr>
          <w:t xml:space="preserve"> (Cth)</w:t>
        </w:r>
      </w:hyperlink>
      <w:r w:rsidRPr="007A26A6">
        <w:rPr>
          <w:rFonts w:cstheme="minorHAnsi"/>
          <w:szCs w:val="21"/>
        </w:rPr>
        <w:t>.</w:t>
      </w:r>
    </w:p>
  </w:endnote>
  <w:endnote w:id="46">
    <w:p w14:paraId="19C69C68" w14:textId="056CC36B"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Workplace Gender Equality Agency. (2020). </w:t>
      </w:r>
      <w:hyperlink r:id="rId63" w:history="1">
        <w:r w:rsidRPr="007A26A6">
          <w:rPr>
            <w:rStyle w:val="HyperlinkItalic"/>
            <w:rFonts w:cstheme="minorHAnsi"/>
            <w:szCs w:val="21"/>
          </w:rPr>
          <w:t>WGEA Data explorer</w:t>
        </w:r>
      </w:hyperlink>
      <w:r w:rsidRPr="007A26A6">
        <w:rPr>
          <w:rFonts w:cstheme="minorHAnsi"/>
          <w:szCs w:val="21"/>
        </w:rPr>
        <w:t>.</w:t>
      </w:r>
    </w:p>
  </w:endnote>
  <w:endnote w:id="47">
    <w:p w14:paraId="736B02E4" w14:textId="38918BEE"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Centre for Women’s Global Leadership. (2019). </w:t>
      </w:r>
      <w:hyperlink r:id="rId64" w:history="1">
        <w:r w:rsidRPr="007A26A6">
          <w:rPr>
            <w:rStyle w:val="HyperlinkItalic"/>
            <w:rFonts w:cstheme="minorHAnsi"/>
            <w:szCs w:val="21"/>
          </w:rPr>
          <w:t>16 Days</w:t>
        </w:r>
      </w:hyperlink>
      <w:r w:rsidRPr="007A26A6">
        <w:rPr>
          <w:rFonts w:cstheme="minorHAnsi"/>
          <w:szCs w:val="21"/>
        </w:rPr>
        <w:t xml:space="preserve">. </w:t>
      </w:r>
      <w:r w:rsidRPr="007A26A6">
        <w:rPr>
          <w:rFonts w:eastAsiaTheme="minorHAnsi" w:cstheme="minorHAnsi"/>
          <w:szCs w:val="21"/>
          <w:lang w:val="en-GB"/>
        </w:rPr>
        <w:t>Retrieved 5 May 2020</w:t>
      </w:r>
      <w:r w:rsidRPr="007A26A6">
        <w:rPr>
          <w:rFonts w:cstheme="minorHAnsi"/>
          <w:szCs w:val="21"/>
        </w:rPr>
        <w:t>.</w:t>
      </w:r>
    </w:p>
  </w:endnote>
  <w:endnote w:id="48">
    <w:p w14:paraId="6B5ADF1C" w14:textId="42B1FBCF"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Parliament of Australia. (2018). </w:t>
      </w:r>
      <w:hyperlink r:id="rId65" w:history="1">
        <w:r w:rsidRPr="007A26A6">
          <w:rPr>
            <w:rStyle w:val="HyperlinkItalic"/>
            <w:rFonts w:cstheme="minorHAnsi"/>
            <w:szCs w:val="21"/>
          </w:rPr>
          <w:t>Removing GST on feminine hygiene products</w:t>
        </w:r>
      </w:hyperlink>
      <w:r w:rsidRPr="007A26A6">
        <w:rPr>
          <w:rFonts w:cstheme="minorHAnsi"/>
          <w:szCs w:val="21"/>
        </w:rPr>
        <w:t>.</w:t>
      </w:r>
    </w:p>
  </w:endnote>
  <w:endnote w:id="49">
    <w:p w14:paraId="182E1FCC" w14:textId="4115FF94"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Australian Women Against Violence Alliance. (2020). </w:t>
      </w:r>
      <w:hyperlink r:id="rId66" w:history="1">
        <w:r w:rsidRPr="007A26A6">
          <w:rPr>
            <w:rStyle w:val="HyperlinkItalic"/>
            <w:rFonts w:cstheme="minorHAnsi"/>
            <w:szCs w:val="21"/>
          </w:rPr>
          <w:t>Women on temporary visas experiencing DFV</w:t>
        </w:r>
      </w:hyperlink>
      <w:r w:rsidRPr="007A26A6">
        <w:rPr>
          <w:rFonts w:cstheme="minorHAnsi"/>
          <w:szCs w:val="21"/>
        </w:rPr>
        <w:t>. AWAVA: Canberra. Retrieved 6 May 2020.</w:t>
      </w:r>
    </w:p>
  </w:endnote>
  <w:endnote w:id="50">
    <w:p w14:paraId="3C869ADE" w14:textId="03FAA045"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Victorian Women’s Trust. (2020). </w:t>
      </w:r>
      <w:hyperlink r:id="rId67" w:history="1">
        <w:r w:rsidRPr="007A26A6">
          <w:rPr>
            <w:rStyle w:val="HyperlinkItalic"/>
            <w:rFonts w:cstheme="minorHAnsi"/>
            <w:szCs w:val="21"/>
          </w:rPr>
          <w:t>#Power2Prevent: Urgent actions needed to stop sexual harassment at work</w:t>
        </w:r>
      </w:hyperlink>
      <w:r w:rsidRPr="007A26A6">
        <w:rPr>
          <w:rFonts w:cstheme="minorHAnsi"/>
          <w:szCs w:val="21"/>
        </w:rPr>
        <w:t>. 5 March 2020. Retrieved 6 May 2020.</w:t>
      </w:r>
    </w:p>
  </w:endnote>
  <w:endnote w:id="51">
    <w:p w14:paraId="12F0149D" w14:textId="40E31FD4"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Ou</w:t>
      </w:r>
      <w:r w:rsidRPr="007A26A6">
        <w:rPr>
          <w:rFonts w:cstheme="minorHAnsi"/>
          <w:szCs w:val="21"/>
          <w:lang w:eastAsia="en-GB"/>
        </w:rPr>
        <w:t xml:space="preserve">r Watch, ANROWS, &amp; VicHealth. (2015). </w:t>
      </w:r>
      <w:bookmarkStart w:id="34" w:name="_Hlk48664196"/>
      <w:r w:rsidRPr="007A26A6">
        <w:rPr>
          <w:rStyle w:val="HyperlinkItalic"/>
          <w:rFonts w:cstheme="minorHAnsi"/>
          <w:szCs w:val="21"/>
        </w:rPr>
        <w:fldChar w:fldCharType="begin"/>
      </w:r>
      <w:r w:rsidRPr="007A26A6">
        <w:rPr>
          <w:rStyle w:val="HyperlinkItalic"/>
          <w:rFonts w:cstheme="minorHAnsi"/>
          <w:szCs w:val="21"/>
        </w:rPr>
        <w:instrText xml:space="preserve"> HYPERLINK "https://www.ourwatch.org.au/change-the-story/" </w:instrText>
      </w:r>
      <w:r w:rsidRPr="007A26A6">
        <w:rPr>
          <w:rStyle w:val="HyperlinkItalic"/>
          <w:rFonts w:cstheme="minorHAnsi"/>
          <w:szCs w:val="21"/>
        </w:rPr>
        <w:fldChar w:fldCharType="separate"/>
      </w:r>
      <w:r w:rsidRPr="007A26A6">
        <w:rPr>
          <w:rStyle w:val="HyperlinkItalic"/>
          <w:rFonts w:cstheme="minorHAnsi"/>
          <w:szCs w:val="21"/>
        </w:rPr>
        <w:t>Change the story: A shared framework for the primary prevention of violence against women and their children in Australia</w:t>
      </w:r>
      <w:r w:rsidRPr="007A26A6">
        <w:rPr>
          <w:rStyle w:val="HyperlinkItalic"/>
          <w:rFonts w:cstheme="minorHAnsi"/>
          <w:szCs w:val="21"/>
        </w:rPr>
        <w:fldChar w:fldCharType="end"/>
      </w:r>
      <w:bookmarkEnd w:id="34"/>
      <w:r w:rsidRPr="007A26A6">
        <w:rPr>
          <w:rFonts w:cstheme="minorHAnsi"/>
          <w:szCs w:val="21"/>
          <w:lang w:eastAsia="en-GB"/>
        </w:rPr>
        <w:t xml:space="preserve">. </w:t>
      </w:r>
      <w:r w:rsidRPr="007A26A6">
        <w:rPr>
          <w:rFonts w:cstheme="minorHAnsi"/>
          <w:szCs w:val="21"/>
        </w:rPr>
        <w:t>p. 49.</w:t>
      </w:r>
    </w:p>
  </w:endnote>
  <w:endnote w:id="52">
    <w:p w14:paraId="1F5375F9" w14:textId="6448DAA9"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Ou</w:t>
      </w:r>
      <w:r w:rsidRPr="007A26A6">
        <w:rPr>
          <w:rFonts w:cstheme="minorHAnsi"/>
          <w:szCs w:val="21"/>
          <w:lang w:eastAsia="en-GB"/>
        </w:rPr>
        <w:t xml:space="preserve">r Watch, ANROWS, &amp; VicHealth. (2015). </w:t>
      </w:r>
      <w:hyperlink r:id="rId68" w:history="1">
        <w:r w:rsidRPr="007A26A6">
          <w:rPr>
            <w:rStyle w:val="HyperlinkItalic"/>
            <w:rFonts w:cstheme="minorHAnsi"/>
            <w:szCs w:val="21"/>
          </w:rPr>
          <w:t>Change the story: A shared framework for the primary prevention of violence against women and their children in Australia</w:t>
        </w:r>
      </w:hyperlink>
      <w:r w:rsidRPr="007A26A6">
        <w:rPr>
          <w:rFonts w:cstheme="minorHAnsi"/>
          <w:szCs w:val="21"/>
          <w:lang w:eastAsia="en-GB"/>
        </w:rPr>
        <w:t>.</w:t>
      </w:r>
    </w:p>
  </w:endnote>
  <w:endnote w:id="53">
    <w:p w14:paraId="5FE18801" w14:textId="59F96CA5" w:rsidR="00F53B39" w:rsidRPr="007A26A6" w:rsidRDefault="00F53B39" w:rsidP="09798773">
      <w:pPr>
        <w:pStyle w:val="EndnoteText"/>
      </w:pPr>
      <w:r w:rsidRPr="09798773">
        <w:endnoteRef/>
      </w:r>
      <w:r w:rsidRPr="007A26A6">
        <w:rPr>
          <w:rFonts w:cstheme="minorHAnsi"/>
          <w:szCs w:val="21"/>
        </w:rPr>
        <w:tab/>
      </w:r>
      <w:r w:rsidRPr="09798773">
        <w:rPr>
          <w:lang w:val="en-GB"/>
        </w:rPr>
        <w:t xml:space="preserve">Council of Australian Governments. (2011). </w:t>
      </w:r>
      <w:hyperlink r:id="rId69" w:history="1">
        <w:r w:rsidRPr="09798773">
          <w:rPr>
            <w:rStyle w:val="HyperlinkItalic"/>
            <w:lang w:val="en-GB"/>
          </w:rPr>
          <w:t>National Plan to reduce violence against women and their children 2010–2022</w:t>
        </w:r>
      </w:hyperlink>
      <w:r w:rsidRPr="09798773">
        <w:rPr>
          <w:lang w:val="en-GB"/>
        </w:rPr>
        <w:t>. Retrieved 5 May 2020</w:t>
      </w:r>
      <w:r w:rsidRPr="09798773">
        <w:t>.</w:t>
      </w:r>
    </w:p>
  </w:endnote>
  <w:endnote w:id="54">
    <w:p w14:paraId="6A2B7131" w14:textId="50C9DB52" w:rsidR="00F53B39" w:rsidRPr="007A26A6" w:rsidRDefault="00F53B39" w:rsidP="09798773">
      <w:pPr>
        <w:pStyle w:val="EndnoteText"/>
      </w:pPr>
      <w:r w:rsidRPr="09798773">
        <w:endnoteRef/>
      </w:r>
      <w:r w:rsidRPr="007A26A6">
        <w:rPr>
          <w:rFonts w:cstheme="minorHAnsi"/>
          <w:szCs w:val="21"/>
        </w:rPr>
        <w:tab/>
      </w:r>
      <w:r w:rsidRPr="09798773">
        <w:t>Ou</w:t>
      </w:r>
      <w:r w:rsidRPr="09798773">
        <w:rPr>
          <w:lang w:eastAsia="en-GB"/>
        </w:rPr>
        <w:t xml:space="preserve">r Watch, ANROWS, &amp; VicHealth. (2015). </w:t>
      </w:r>
      <w:hyperlink r:id="rId70" w:history="1">
        <w:r w:rsidRPr="09798773">
          <w:rPr>
            <w:rStyle w:val="HyperlinkItalic"/>
          </w:rPr>
          <w:t>Change the story: A shared framework for the primary prevention of violence against women and their children in Australia</w:t>
        </w:r>
      </w:hyperlink>
      <w:r w:rsidRPr="09798773">
        <w:rPr>
          <w:lang w:eastAsia="en-GB"/>
        </w:rPr>
        <w:t>.</w:t>
      </w:r>
    </w:p>
  </w:endnote>
  <w:endnote w:id="55">
    <w:p w14:paraId="1FA2550C" w14:textId="6AEFA969"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Ou</w:t>
      </w:r>
      <w:r w:rsidRPr="007A26A6">
        <w:rPr>
          <w:rFonts w:cstheme="minorHAnsi"/>
          <w:szCs w:val="21"/>
          <w:lang w:eastAsia="en-GB"/>
        </w:rPr>
        <w:t xml:space="preserve">r Watch, ANROWS, &amp; VicHealth. (2015). </w:t>
      </w:r>
      <w:hyperlink r:id="rId71" w:history="1">
        <w:r w:rsidRPr="007A26A6">
          <w:rPr>
            <w:rStyle w:val="HyperlinkItalic"/>
            <w:rFonts w:cstheme="minorHAnsi"/>
            <w:szCs w:val="21"/>
          </w:rPr>
          <w:t>Change the story: A shared framework for the primary prevention of violence against women and their children in Australia</w:t>
        </w:r>
      </w:hyperlink>
      <w:r w:rsidRPr="007A26A6">
        <w:rPr>
          <w:rFonts w:cstheme="minorHAnsi"/>
          <w:szCs w:val="21"/>
          <w:lang w:eastAsia="en-GB"/>
        </w:rPr>
        <w:t xml:space="preserve">. </w:t>
      </w:r>
      <w:r w:rsidRPr="007A26A6">
        <w:rPr>
          <w:rFonts w:eastAsiaTheme="minorHAnsi" w:cstheme="minorHAnsi"/>
          <w:szCs w:val="21"/>
          <w:lang w:val="en-GB"/>
        </w:rPr>
        <w:t>p. 53</w:t>
      </w:r>
      <w:r w:rsidRPr="007A26A6">
        <w:rPr>
          <w:rFonts w:cstheme="minorHAnsi"/>
          <w:szCs w:val="21"/>
        </w:rPr>
        <w:t>.</w:t>
      </w:r>
    </w:p>
  </w:endnote>
  <w:endnote w:id="56">
    <w:p w14:paraId="31A56495" w14:textId="07430C12"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Ou</w:t>
      </w:r>
      <w:r w:rsidRPr="007A26A6">
        <w:rPr>
          <w:rFonts w:cstheme="minorHAnsi"/>
          <w:szCs w:val="21"/>
          <w:lang w:eastAsia="en-GB"/>
        </w:rPr>
        <w:t xml:space="preserve">r Watch, ANROWS, &amp; VicHealth. (2015). </w:t>
      </w:r>
      <w:hyperlink r:id="rId72" w:history="1">
        <w:r w:rsidRPr="007A26A6">
          <w:rPr>
            <w:rStyle w:val="HyperlinkItalic"/>
            <w:rFonts w:cstheme="minorHAnsi"/>
            <w:szCs w:val="21"/>
          </w:rPr>
          <w:t>Change the story: A shared framework for the primary prevention of violence against women and their children in Australia</w:t>
        </w:r>
      </w:hyperlink>
      <w:r w:rsidRPr="007A26A6">
        <w:rPr>
          <w:rFonts w:cstheme="minorHAnsi"/>
          <w:szCs w:val="21"/>
          <w:lang w:eastAsia="en-GB"/>
        </w:rPr>
        <w:t>.</w:t>
      </w:r>
    </w:p>
  </w:endnote>
  <w:endnote w:id="57">
    <w:p w14:paraId="31107CF3" w14:textId="3232C9CF"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Australian Women Against Violence Alliance. (2019). </w:t>
      </w:r>
      <w:hyperlink r:id="rId73" w:history="1">
        <w:r w:rsidRPr="007A26A6">
          <w:rPr>
            <w:rStyle w:val="HyperlinkItalic"/>
            <w:rFonts w:cstheme="minorHAnsi"/>
            <w:szCs w:val="21"/>
          </w:rPr>
          <w:t>Primary prevention of violence against women: A survey of activities in Australia</w:t>
        </w:r>
      </w:hyperlink>
      <w:r w:rsidRPr="007A26A6">
        <w:rPr>
          <w:rFonts w:cstheme="minorHAnsi"/>
          <w:i/>
          <w:iCs/>
          <w:szCs w:val="21"/>
        </w:rPr>
        <w:t>.</w:t>
      </w:r>
      <w:r w:rsidRPr="007A26A6">
        <w:rPr>
          <w:rFonts w:cstheme="minorHAnsi"/>
          <w:szCs w:val="21"/>
        </w:rPr>
        <w:t xml:space="preserve"> AWAVA: Canberra. Retrieved 6 May 2020.</w:t>
      </w:r>
    </w:p>
  </w:endnote>
  <w:endnote w:id="58">
    <w:p w14:paraId="6096416E" w14:textId="6174D7AC"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Quadara, A., El-Murr, A., Douglas, W., &amp; Muir, S. (2019). </w:t>
      </w:r>
      <w:hyperlink r:id="rId74" w:history="1">
        <w:r w:rsidRPr="007A26A6">
          <w:rPr>
            <w:rStyle w:val="HyperlinkItalic"/>
            <w:rFonts w:cstheme="minorHAnsi"/>
            <w:szCs w:val="21"/>
          </w:rPr>
          <w:t>Process evaluation of the Third Action Plan 2016–19. Final Report</w:t>
        </w:r>
      </w:hyperlink>
      <w:r w:rsidRPr="007A26A6">
        <w:rPr>
          <w:rFonts w:cstheme="minorHAnsi"/>
          <w:szCs w:val="21"/>
        </w:rPr>
        <w:t>. Australian Institute of Family Studies. Retrieved 5 May 2020.</w:t>
      </w:r>
    </w:p>
  </w:endnote>
  <w:endnote w:id="59">
    <w:p w14:paraId="7F58F9EA" w14:textId="5F802F94"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Quadara, A. et al. (2019). </w:t>
      </w:r>
      <w:r w:rsidRPr="007A26A6">
        <w:rPr>
          <w:rStyle w:val="Emphasis"/>
          <w:rFonts w:cstheme="minorHAnsi"/>
          <w:szCs w:val="21"/>
        </w:rPr>
        <w:t>Process evaluation of the Third Action Plan 2016–19. Final Report</w:t>
      </w:r>
      <w:r w:rsidRPr="007A26A6">
        <w:rPr>
          <w:rFonts w:cstheme="minorHAnsi"/>
          <w:szCs w:val="21"/>
        </w:rPr>
        <w:t>. p. 49.</w:t>
      </w:r>
    </w:p>
  </w:endnote>
  <w:endnote w:id="60">
    <w:p w14:paraId="137887DD" w14:textId="5A82DAA4"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r>
      <w:r w:rsidRPr="007A26A6">
        <w:rPr>
          <w:rFonts w:eastAsiaTheme="minorHAnsi" w:cstheme="minorHAnsi"/>
          <w:szCs w:val="21"/>
          <w:lang w:val="en-GB"/>
        </w:rPr>
        <w:t xml:space="preserve">Council of Australian Governments. (2011). </w:t>
      </w:r>
      <w:hyperlink r:id="rId75" w:history="1">
        <w:r w:rsidRPr="007A26A6">
          <w:rPr>
            <w:rStyle w:val="HyperlinkItalic"/>
            <w:rFonts w:cstheme="minorHAnsi"/>
            <w:szCs w:val="21"/>
            <w:lang w:val="en-GB"/>
          </w:rPr>
          <w:t>National Plan to reduce violence against women and their children 2010–2022</w:t>
        </w:r>
      </w:hyperlink>
      <w:r w:rsidRPr="007A26A6">
        <w:rPr>
          <w:rFonts w:eastAsiaTheme="minorHAnsi" w:cstheme="minorHAnsi"/>
          <w:szCs w:val="21"/>
          <w:lang w:val="en-GB"/>
        </w:rPr>
        <w:t>.</w:t>
      </w:r>
    </w:p>
  </w:endnote>
  <w:endnote w:id="61">
    <w:p w14:paraId="1200D486" w14:textId="690ABAC4"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r>
      <w:r w:rsidRPr="007A26A6">
        <w:rPr>
          <w:rFonts w:eastAsiaTheme="minorHAnsi" w:cstheme="minorHAnsi"/>
          <w:szCs w:val="21"/>
          <w:lang w:val="en-GB"/>
        </w:rPr>
        <w:t>Council of Australian Governments</w:t>
      </w:r>
      <w:r w:rsidRPr="007A26A6">
        <w:rPr>
          <w:rFonts w:cstheme="minorHAnsi"/>
          <w:szCs w:val="21"/>
        </w:rPr>
        <w:t>.</w:t>
      </w:r>
      <w:r w:rsidRPr="007A26A6">
        <w:rPr>
          <w:rFonts w:eastAsiaTheme="minorHAnsi" w:cstheme="minorHAnsi"/>
          <w:szCs w:val="21"/>
          <w:lang w:val="en-GB"/>
        </w:rPr>
        <w:t xml:space="preserve"> (2019). </w:t>
      </w:r>
      <w:hyperlink r:id="rId76" w:history="1">
        <w:r w:rsidRPr="007A26A6">
          <w:rPr>
            <w:rStyle w:val="HyperlinkItalic"/>
            <w:rFonts w:cstheme="minorHAnsi"/>
            <w:szCs w:val="21"/>
          </w:rPr>
          <w:t>Fourth Action Plan: National Plan to reduce violence against women and their children 2010–2022</w:t>
        </w:r>
      </w:hyperlink>
      <w:r w:rsidRPr="007A26A6">
        <w:rPr>
          <w:rFonts w:eastAsiaTheme="minorHAnsi" w:cstheme="minorHAnsi"/>
          <w:i/>
          <w:iCs/>
          <w:szCs w:val="21"/>
          <w:lang w:val="en-GB"/>
        </w:rPr>
        <w:t>.</w:t>
      </w:r>
      <w:r w:rsidRPr="007A26A6">
        <w:rPr>
          <w:rFonts w:eastAsiaTheme="minorHAnsi" w:cstheme="minorHAnsi"/>
          <w:szCs w:val="21"/>
          <w:lang w:val="en-GB"/>
        </w:rPr>
        <w:t xml:space="preserve"> Retrieved 5 May 2020</w:t>
      </w:r>
      <w:r w:rsidRPr="007A26A6">
        <w:rPr>
          <w:rFonts w:cstheme="minorHAnsi"/>
          <w:szCs w:val="21"/>
        </w:rPr>
        <w:t>.</w:t>
      </w:r>
    </w:p>
  </w:endnote>
  <w:endnote w:id="62">
    <w:p w14:paraId="44E5C4BD" w14:textId="5B0D17D2"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The United Nations. (1989). </w:t>
      </w:r>
      <w:r w:rsidRPr="007A26A6">
        <w:rPr>
          <w:rStyle w:val="Emphasis"/>
          <w:rFonts w:cstheme="minorHAnsi"/>
          <w:szCs w:val="21"/>
        </w:rPr>
        <w:t>Convention on the rights of the child</w:t>
      </w:r>
      <w:r w:rsidRPr="007A26A6">
        <w:rPr>
          <w:rFonts w:cstheme="minorHAnsi"/>
          <w:i/>
          <w:iCs/>
          <w:szCs w:val="21"/>
        </w:rPr>
        <w:t>.</w:t>
      </w:r>
      <w:r w:rsidRPr="007A26A6">
        <w:rPr>
          <w:rFonts w:cstheme="minorHAnsi"/>
          <w:szCs w:val="21"/>
        </w:rPr>
        <w:t xml:space="preserve"> Treaty Series, 1577, 3.</w:t>
      </w:r>
    </w:p>
  </w:endnote>
  <w:endnote w:id="63">
    <w:p w14:paraId="3DB95902" w14:textId="5BABCE56"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UN High Commissioner for Refugees. (2017). </w:t>
      </w:r>
      <w:hyperlink r:id="rId77" w:history="1">
        <w:r w:rsidRPr="007A26A6">
          <w:rPr>
            <w:rStyle w:val="HyperlinkItalic"/>
            <w:rFonts w:cstheme="minorHAnsi"/>
            <w:szCs w:val="21"/>
          </w:rPr>
          <w:t>The sustainable development goals and addressing statelessness</w:t>
        </w:r>
      </w:hyperlink>
      <w:r w:rsidRPr="007A26A6">
        <w:rPr>
          <w:rFonts w:cstheme="minorHAnsi"/>
          <w:szCs w:val="21"/>
        </w:rPr>
        <w:t>, March 2017. Retrieved 6 May 2020.</w:t>
      </w:r>
    </w:p>
  </w:endnote>
  <w:endnote w:id="64">
    <w:p w14:paraId="0A986D1C" w14:textId="6917B0FA" w:rsidR="00F53B39" w:rsidRPr="007A26A6" w:rsidRDefault="00F53B39" w:rsidP="00790783">
      <w:pPr>
        <w:pStyle w:val="EndnoteText"/>
        <w:rPr>
          <w:rFonts w:cstheme="minorHAnsi"/>
          <w:szCs w:val="21"/>
          <w:highlight w:val="yellow"/>
        </w:rPr>
      </w:pPr>
      <w:r w:rsidRPr="007A26A6">
        <w:rPr>
          <w:rFonts w:cstheme="minorHAnsi"/>
          <w:szCs w:val="21"/>
        </w:rPr>
        <w:endnoteRef/>
      </w:r>
      <w:r w:rsidRPr="007A26A6">
        <w:rPr>
          <w:rFonts w:cstheme="minorHAnsi"/>
          <w:szCs w:val="21"/>
        </w:rPr>
        <w:tab/>
        <w:t>Australian Government. (2012).</w:t>
      </w:r>
      <w:r w:rsidRPr="007A26A6">
        <w:rPr>
          <w:rStyle w:val="Emphasis"/>
          <w:rFonts w:cstheme="minorHAnsi"/>
          <w:szCs w:val="21"/>
        </w:rPr>
        <w:t xml:space="preserve"> </w:t>
      </w:r>
      <w:hyperlink r:id="rId78" w:history="1">
        <w:r w:rsidRPr="007A26A6">
          <w:rPr>
            <w:rStyle w:val="HyperlinkItalic"/>
            <w:rFonts w:cstheme="minorHAnsi"/>
            <w:szCs w:val="21"/>
          </w:rPr>
          <w:t>Australian National Action Plan on Women, Peace and Security 2012–2018</w:t>
        </w:r>
      </w:hyperlink>
      <w:r w:rsidRPr="007A26A6">
        <w:rPr>
          <w:rFonts w:cstheme="minorHAnsi"/>
          <w:szCs w:val="21"/>
        </w:rPr>
        <w:t>. Retrieved 6 May 2020.</w:t>
      </w:r>
    </w:p>
  </w:endnote>
  <w:endnote w:id="65">
    <w:p w14:paraId="149E744F" w14:textId="4CED4AB3" w:rsidR="00F53B39" w:rsidRPr="007A26A6" w:rsidRDefault="00F53B39" w:rsidP="00790783">
      <w:pPr>
        <w:pStyle w:val="EndnoteText"/>
        <w:rPr>
          <w:rFonts w:cstheme="minorHAnsi"/>
          <w:szCs w:val="21"/>
          <w:highlight w:val="yellow"/>
        </w:rPr>
      </w:pPr>
      <w:r w:rsidRPr="007A26A6">
        <w:rPr>
          <w:rFonts w:cstheme="minorHAnsi"/>
          <w:szCs w:val="21"/>
        </w:rPr>
        <w:endnoteRef/>
      </w:r>
      <w:r w:rsidRPr="007A26A6">
        <w:rPr>
          <w:rFonts w:cstheme="minorHAnsi"/>
          <w:szCs w:val="21"/>
        </w:rPr>
        <w:tab/>
        <w:t xml:space="preserve">United Nations. (2018). </w:t>
      </w:r>
      <w:hyperlink r:id="rId79" w:anchor="record-files-collapse-header" w:history="1">
        <w:r w:rsidRPr="007A26A6">
          <w:rPr>
            <w:rStyle w:val="HyperlinkItalic"/>
            <w:rFonts w:cstheme="minorHAnsi"/>
            <w:szCs w:val="21"/>
          </w:rPr>
          <w:t>Report of the special rapporteur on violence against women, its causes and consequences on her mission to Australia</w:t>
        </w:r>
      </w:hyperlink>
      <w:r w:rsidRPr="007A26A6">
        <w:rPr>
          <w:rFonts w:cstheme="minorHAnsi"/>
          <w:i/>
          <w:szCs w:val="21"/>
        </w:rPr>
        <w:t>.</w:t>
      </w:r>
      <w:r w:rsidRPr="007A26A6">
        <w:rPr>
          <w:rFonts w:cstheme="minorHAnsi"/>
          <w:szCs w:val="21"/>
        </w:rPr>
        <w:t xml:space="preserve"> Retrieved 6 May.</w:t>
      </w:r>
    </w:p>
  </w:endnote>
  <w:endnote w:id="66">
    <w:p w14:paraId="1DE0C9D3" w14:textId="465793BD"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r>
      <w:r w:rsidRPr="007A26A6">
        <w:rPr>
          <w:rFonts w:eastAsiaTheme="minorHAnsi" w:cstheme="minorHAnsi"/>
          <w:szCs w:val="21"/>
          <w:lang w:val="en-GB"/>
        </w:rPr>
        <w:t>SAI GLOBAL</w:t>
      </w:r>
      <w:r w:rsidRPr="007A26A6">
        <w:rPr>
          <w:rFonts w:cstheme="minorHAnsi"/>
          <w:szCs w:val="21"/>
        </w:rPr>
        <w:t>.</w:t>
      </w:r>
      <w:r w:rsidRPr="007A26A6">
        <w:rPr>
          <w:rFonts w:eastAsiaTheme="minorHAnsi" w:cstheme="minorHAnsi"/>
          <w:szCs w:val="21"/>
          <w:lang w:val="en-GB"/>
        </w:rPr>
        <w:t xml:space="preserve"> (2020)</w:t>
      </w:r>
      <w:r w:rsidRPr="007A26A6">
        <w:rPr>
          <w:rFonts w:cstheme="minorHAnsi"/>
          <w:szCs w:val="21"/>
        </w:rPr>
        <w:t>.</w:t>
      </w:r>
      <w:r w:rsidRPr="007A26A6">
        <w:rPr>
          <w:rFonts w:eastAsiaTheme="minorHAnsi" w:cstheme="minorHAnsi"/>
          <w:i/>
          <w:iCs/>
          <w:szCs w:val="21"/>
          <w:lang w:val="en-GB"/>
        </w:rPr>
        <w:t xml:space="preserve"> </w:t>
      </w:r>
      <w:hyperlink r:id="rId80" w:history="1">
        <w:r w:rsidRPr="007A26A6">
          <w:rPr>
            <w:rStyle w:val="HyperlinkItalic"/>
            <w:rFonts w:cstheme="minorHAnsi"/>
            <w:szCs w:val="21"/>
          </w:rPr>
          <w:t>Lawlex: Legislation alerts and research</w:t>
        </w:r>
      </w:hyperlink>
      <w:r w:rsidRPr="007A26A6">
        <w:rPr>
          <w:rFonts w:eastAsiaTheme="minorHAnsi" w:cstheme="minorHAnsi"/>
          <w:i/>
          <w:iCs/>
          <w:szCs w:val="21"/>
          <w:lang w:val="en-GB"/>
        </w:rPr>
        <w:t>.</w:t>
      </w:r>
      <w:r w:rsidRPr="007A26A6">
        <w:rPr>
          <w:rFonts w:eastAsiaTheme="minorHAnsi" w:cstheme="minorHAnsi"/>
          <w:szCs w:val="21"/>
          <w:lang w:val="en-GB"/>
        </w:rPr>
        <w:t xml:space="preserve"> Retrieved 6 May 2020</w:t>
      </w:r>
      <w:r w:rsidRPr="007A26A6">
        <w:rPr>
          <w:rFonts w:cstheme="minorHAnsi"/>
          <w:szCs w:val="21"/>
        </w:rPr>
        <w:t>.</w:t>
      </w:r>
    </w:p>
  </w:endnote>
  <w:endnote w:id="67">
    <w:p w14:paraId="53AB764C" w14:textId="28CB83EA"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Our Watch. (2019). </w:t>
      </w:r>
      <w:hyperlink r:id="rId81" w:history="1">
        <w:r w:rsidRPr="007A26A6">
          <w:rPr>
            <w:rStyle w:val="HyperlinkItalic"/>
            <w:rFonts w:cstheme="minorHAnsi"/>
            <w:szCs w:val="21"/>
          </w:rPr>
          <w:t>Men in focus: Unpacking masculinities and engaging men in the prevention of violence against women</w:t>
        </w:r>
      </w:hyperlink>
      <w:r w:rsidRPr="007A26A6">
        <w:rPr>
          <w:rStyle w:val="HyperlinkItalic"/>
          <w:rFonts w:cstheme="minorHAnsi"/>
          <w:szCs w:val="21"/>
        </w:rPr>
        <w:t>.</w:t>
      </w:r>
    </w:p>
  </w:endnote>
  <w:endnote w:id="68">
    <w:p w14:paraId="73E628DC" w14:textId="22908213"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r>
      <w:hyperlink r:id="rId82" w:history="1">
        <w:r w:rsidRPr="007A26A6">
          <w:rPr>
            <w:rStyle w:val="HyperlinkItalic"/>
            <w:rFonts w:cstheme="minorHAnsi"/>
            <w:szCs w:val="21"/>
          </w:rPr>
          <w:t>Workplace Gender Equality Act 2012</w:t>
        </w:r>
        <w:r w:rsidRPr="007A26A6">
          <w:rPr>
            <w:rStyle w:val="Hyperlink"/>
            <w:rFonts w:cstheme="minorHAnsi"/>
            <w:szCs w:val="21"/>
          </w:rPr>
          <w:t xml:space="preserve"> (Cth)</w:t>
        </w:r>
      </w:hyperlink>
      <w:r w:rsidRPr="007A26A6">
        <w:rPr>
          <w:rFonts w:cstheme="minorHAnsi"/>
          <w:szCs w:val="21"/>
        </w:rPr>
        <w:t>. Retrieved May 6 2020.</w:t>
      </w:r>
    </w:p>
  </w:endnote>
  <w:endnote w:id="69">
    <w:p w14:paraId="5FBA654C" w14:textId="1CDAD31E"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r>
      <w:hyperlink r:id="rId83" w:history="1">
        <w:r w:rsidRPr="007A26A6">
          <w:rPr>
            <w:rStyle w:val="HyperlinkItalic"/>
            <w:rFonts w:cstheme="minorHAnsi"/>
            <w:szCs w:val="21"/>
          </w:rPr>
          <w:t>Prevention of Family Violence Act 2018</w:t>
        </w:r>
        <w:r w:rsidRPr="007A26A6">
          <w:rPr>
            <w:rStyle w:val="Hyperlink"/>
            <w:rFonts w:cstheme="minorHAnsi"/>
            <w:szCs w:val="21"/>
          </w:rPr>
          <w:t xml:space="preserve"> (Vic)</w:t>
        </w:r>
      </w:hyperlink>
      <w:r w:rsidRPr="007A26A6">
        <w:rPr>
          <w:rFonts w:cstheme="minorHAnsi"/>
          <w:szCs w:val="21"/>
        </w:rPr>
        <w:t>. Retrieved 6 May 2020.</w:t>
      </w:r>
    </w:p>
  </w:endnote>
  <w:endnote w:id="70">
    <w:p w14:paraId="0CCD0BAD" w14:textId="11E1F2EE"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r>
      <w:hyperlink r:id="rId84" w:history="1">
        <w:r w:rsidRPr="007A26A6">
          <w:rPr>
            <w:rStyle w:val="HyperlinkItalic"/>
            <w:rFonts w:cstheme="minorHAnsi"/>
            <w:szCs w:val="21"/>
          </w:rPr>
          <w:t>Criminal Code Act 1995</w:t>
        </w:r>
        <w:r w:rsidRPr="007A26A6">
          <w:rPr>
            <w:rStyle w:val="Hyperlink"/>
            <w:rFonts w:cstheme="minorHAnsi"/>
            <w:szCs w:val="21"/>
          </w:rPr>
          <w:t xml:space="preserve"> (Cth)</w:t>
        </w:r>
      </w:hyperlink>
      <w:r w:rsidRPr="007A26A6">
        <w:rPr>
          <w:rFonts w:cstheme="minorHAnsi"/>
          <w:szCs w:val="21"/>
        </w:rPr>
        <w:t>. Retrieved 6 May 2020.</w:t>
      </w:r>
    </w:p>
  </w:endnote>
  <w:endnote w:id="71">
    <w:p w14:paraId="31459103" w14:textId="24313D73"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r>
      <w:hyperlink r:id="rId85" w:history="1">
        <w:r w:rsidRPr="007A26A6">
          <w:rPr>
            <w:rStyle w:val="HyperlinkItalic"/>
            <w:rFonts w:cstheme="minorHAnsi"/>
            <w:szCs w:val="21"/>
          </w:rPr>
          <w:t>Modern Slavery Act 2018</w:t>
        </w:r>
        <w:r w:rsidRPr="007A26A6">
          <w:rPr>
            <w:rStyle w:val="Hyperlink"/>
            <w:rFonts w:cstheme="minorHAnsi"/>
            <w:szCs w:val="21"/>
          </w:rPr>
          <w:t xml:space="preserve"> (Cth)</w:t>
        </w:r>
      </w:hyperlink>
      <w:r w:rsidRPr="007A26A6">
        <w:rPr>
          <w:rFonts w:cstheme="minorHAnsi"/>
          <w:szCs w:val="21"/>
        </w:rPr>
        <w:t>. Retrieved 6 May 2020.</w:t>
      </w:r>
    </w:p>
  </w:endnote>
  <w:endnote w:id="72">
    <w:p w14:paraId="54D8FD86" w14:textId="100F25F8"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r>
      <w:hyperlink r:id="rId86" w:history="1">
        <w:r w:rsidRPr="007A26A6">
          <w:rPr>
            <w:rStyle w:val="HyperlinkItalic"/>
            <w:rFonts w:cstheme="minorHAnsi"/>
            <w:szCs w:val="21"/>
          </w:rPr>
          <w:t>Fair Work Amendment Act 2013</w:t>
        </w:r>
        <w:r w:rsidRPr="007A26A6">
          <w:rPr>
            <w:rStyle w:val="Hyperlink"/>
            <w:rFonts w:cstheme="minorHAnsi"/>
            <w:szCs w:val="21"/>
          </w:rPr>
          <w:t xml:space="preserve"> (Cth)</w:t>
        </w:r>
      </w:hyperlink>
      <w:r w:rsidRPr="007A26A6">
        <w:rPr>
          <w:rFonts w:cstheme="minorHAnsi"/>
          <w:szCs w:val="21"/>
        </w:rPr>
        <w:t>. Retrieved 6 May 2020.</w:t>
      </w:r>
    </w:p>
  </w:endnote>
  <w:endnote w:id="73">
    <w:p w14:paraId="2382EAED" w14:textId="30304F9F"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Ou</w:t>
      </w:r>
      <w:r w:rsidRPr="007A26A6">
        <w:rPr>
          <w:rFonts w:cstheme="minorHAnsi"/>
          <w:szCs w:val="21"/>
          <w:lang w:eastAsia="en-GB"/>
        </w:rPr>
        <w:t xml:space="preserve">r Watch, ANROWS, &amp; VicHealth. (2015). </w:t>
      </w:r>
      <w:hyperlink r:id="rId87" w:history="1">
        <w:r w:rsidRPr="007A26A6">
          <w:rPr>
            <w:rStyle w:val="HyperlinkItalic"/>
            <w:rFonts w:cstheme="minorHAnsi"/>
            <w:szCs w:val="21"/>
          </w:rPr>
          <w:t>Change the story: A shared framework for the primary prevention of violence against women and their children in Australia</w:t>
        </w:r>
      </w:hyperlink>
      <w:r w:rsidRPr="007A26A6">
        <w:rPr>
          <w:rFonts w:cstheme="minorHAnsi"/>
          <w:szCs w:val="21"/>
          <w:lang w:eastAsia="en-GB"/>
        </w:rPr>
        <w:t>.</w:t>
      </w:r>
    </w:p>
  </w:endnote>
  <w:endnote w:id="74">
    <w:p w14:paraId="707B597D" w14:textId="486B46E6"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r>
      <w:hyperlink r:id="rId88" w:history="1">
        <w:r w:rsidRPr="007A26A6">
          <w:rPr>
            <w:rStyle w:val="HyperlinkItalic"/>
            <w:rFonts w:cstheme="minorHAnsi"/>
            <w:szCs w:val="21"/>
          </w:rPr>
          <w:t>Marriage Amendment (Definition and Religious Freedoms) Act 2017</w:t>
        </w:r>
        <w:r w:rsidRPr="007A26A6">
          <w:rPr>
            <w:rStyle w:val="Hyperlink"/>
            <w:rFonts w:cstheme="minorHAnsi"/>
            <w:i/>
            <w:iCs/>
            <w:szCs w:val="21"/>
          </w:rPr>
          <w:t xml:space="preserve"> </w:t>
        </w:r>
        <w:r w:rsidRPr="007A26A6">
          <w:rPr>
            <w:rStyle w:val="Hyperlink"/>
            <w:rFonts w:cstheme="minorHAnsi"/>
            <w:szCs w:val="21"/>
          </w:rPr>
          <w:t>(Cth)</w:t>
        </w:r>
      </w:hyperlink>
      <w:r w:rsidRPr="007A26A6">
        <w:rPr>
          <w:rFonts w:cstheme="minorHAnsi"/>
          <w:szCs w:val="21"/>
        </w:rPr>
        <w:t>. Retrieved 6 May 2020.</w:t>
      </w:r>
    </w:p>
  </w:endnote>
  <w:endnote w:id="75">
    <w:p w14:paraId="472516FB" w14:textId="568BD1FA"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r>
      <w:bookmarkStart w:id="38" w:name="_Hlk47959723"/>
      <w:r w:rsidRPr="007A26A6">
        <w:rPr>
          <w:rFonts w:cstheme="minorHAnsi"/>
          <w:szCs w:val="21"/>
        </w:rPr>
        <w:t xml:space="preserve">State of Victoria, Department of Justice. (2011). </w:t>
      </w:r>
      <w:hyperlink r:id="rId89" w:history="1">
        <w:r w:rsidRPr="007A26A6">
          <w:rPr>
            <w:rStyle w:val="HyperlinkItalic"/>
            <w:rFonts w:cstheme="minorHAnsi"/>
            <w:szCs w:val="21"/>
          </w:rPr>
          <w:t>Guide to the Equal Opportunity Act</w:t>
        </w:r>
      </w:hyperlink>
      <w:r w:rsidRPr="007A26A6">
        <w:rPr>
          <w:rFonts w:cstheme="minorHAnsi"/>
          <w:i/>
          <w:szCs w:val="21"/>
        </w:rPr>
        <w:t xml:space="preserve">. </w:t>
      </w:r>
      <w:r w:rsidRPr="007A26A6">
        <w:rPr>
          <w:rFonts w:cstheme="minorHAnsi"/>
          <w:szCs w:val="21"/>
        </w:rPr>
        <w:t>Retrieved 6 May 2020.</w:t>
      </w:r>
      <w:bookmarkEnd w:id="38"/>
    </w:p>
  </w:endnote>
  <w:endnote w:id="76">
    <w:p w14:paraId="74EF7DB6" w14:textId="4D03374A"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r>
      <w:hyperlink r:id="rId90" w:history="1">
        <w:r w:rsidRPr="007A26A6">
          <w:rPr>
            <w:rStyle w:val="HyperlinkItalic"/>
            <w:rFonts w:cstheme="minorHAnsi"/>
            <w:szCs w:val="21"/>
          </w:rPr>
          <w:t>Age Discrimination Act 2004</w:t>
        </w:r>
        <w:r w:rsidRPr="007A26A6">
          <w:rPr>
            <w:rStyle w:val="Hyperlink"/>
            <w:rFonts w:cstheme="minorHAnsi"/>
            <w:szCs w:val="21"/>
          </w:rPr>
          <w:t xml:space="preserve"> (Cth)</w:t>
        </w:r>
      </w:hyperlink>
      <w:r w:rsidRPr="007A26A6">
        <w:rPr>
          <w:rFonts w:cstheme="minorHAnsi"/>
          <w:szCs w:val="21"/>
        </w:rPr>
        <w:t>. Retrieved 6 May 2020.</w:t>
      </w:r>
    </w:p>
  </w:endnote>
  <w:endnote w:id="77">
    <w:p w14:paraId="22B6A9DA" w14:textId="0F6CF910"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Apps, P. (2017). </w:t>
      </w:r>
      <w:hyperlink r:id="rId91" w:history="1">
        <w:r w:rsidRPr="007A26A6">
          <w:rPr>
            <w:rStyle w:val="Hyperlink"/>
            <w:rFonts w:cstheme="minorHAnsi"/>
            <w:szCs w:val="21"/>
          </w:rPr>
          <w:t>Gender equity in the tax and transfer system for fiscal sustainability</w:t>
        </w:r>
      </w:hyperlink>
      <w:r w:rsidRPr="007A26A6">
        <w:rPr>
          <w:rFonts w:cstheme="minorHAnsi"/>
          <w:szCs w:val="21"/>
        </w:rPr>
        <w:t xml:space="preserve">. In </w:t>
      </w:r>
      <w:r w:rsidRPr="007A26A6">
        <w:rPr>
          <w:rStyle w:val="Emphasis"/>
          <w:rFonts w:cstheme="minorHAnsi"/>
          <w:szCs w:val="21"/>
        </w:rPr>
        <w:t>Tax, Social Policy and Gender</w:t>
      </w:r>
      <w:r w:rsidRPr="007A26A6">
        <w:rPr>
          <w:rFonts w:cstheme="minorHAnsi"/>
          <w:i/>
          <w:szCs w:val="21"/>
        </w:rPr>
        <w:t xml:space="preserve">. </w:t>
      </w:r>
      <w:r w:rsidRPr="007A26A6">
        <w:rPr>
          <w:rFonts w:cstheme="minorHAnsi"/>
          <w:szCs w:val="21"/>
        </w:rPr>
        <w:t>Retrieved 15 January 2020.</w:t>
      </w:r>
    </w:p>
  </w:endnote>
  <w:endnote w:id="78">
    <w:p w14:paraId="549ED80D" w14:textId="629B92DB"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National Aboriginal and Torres Strait Islander Legal Service and Human Rights Law Centre. (2019). </w:t>
      </w:r>
      <w:hyperlink r:id="rId92" w:history="1">
        <w:r w:rsidRPr="007A26A6">
          <w:rPr>
            <w:rStyle w:val="HyperlinkItalic"/>
            <w:rFonts w:cstheme="minorHAnsi"/>
            <w:szCs w:val="21"/>
          </w:rPr>
          <w:t>Submission to the inquiry into the Social Security (Administration) Amendment (Income Management Cashless Welfare) Bill 2019</w:t>
        </w:r>
      </w:hyperlink>
      <w:r w:rsidRPr="007A26A6">
        <w:rPr>
          <w:rFonts w:cstheme="minorHAnsi"/>
          <w:i/>
          <w:szCs w:val="21"/>
        </w:rPr>
        <w:t xml:space="preserve">. </w:t>
      </w:r>
      <w:r w:rsidRPr="007A26A6">
        <w:rPr>
          <w:rFonts w:cstheme="minorHAnsi"/>
          <w:szCs w:val="21"/>
        </w:rPr>
        <w:t>Retrieved 6 January 2020.</w:t>
      </w:r>
    </w:p>
  </w:endnote>
  <w:endnote w:id="79">
    <w:p w14:paraId="6CD34BFA" w14:textId="055DD6AB"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National Advocacy Group on Women on Temporary Visas Experiencing Violence. (2018). </w:t>
      </w:r>
      <w:hyperlink r:id="rId93" w:history="1">
        <w:r w:rsidRPr="007A26A6">
          <w:rPr>
            <w:rStyle w:val="HyperlinkItalic"/>
            <w:rFonts w:cstheme="minorHAnsi"/>
            <w:szCs w:val="21"/>
          </w:rPr>
          <w:t>Path to nowhere: Women on temporary visas experiencing violence and their children</w:t>
        </w:r>
      </w:hyperlink>
      <w:r w:rsidRPr="007A26A6">
        <w:rPr>
          <w:rFonts w:cstheme="minorHAnsi"/>
          <w:szCs w:val="21"/>
        </w:rPr>
        <w:t>. Retrieved 20 January 2020.</w:t>
      </w:r>
    </w:p>
  </w:endnote>
  <w:endnote w:id="80">
    <w:p w14:paraId="0116AD2F" w14:textId="13774101"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National Foundation for Australian Women. (2015). </w:t>
      </w:r>
      <w:r w:rsidRPr="007A26A6">
        <w:rPr>
          <w:rStyle w:val="Emphasis"/>
          <w:rFonts w:cstheme="minorHAnsi"/>
          <w:szCs w:val="21"/>
        </w:rPr>
        <w:t>Budget 2014–15 – A gender lens</w:t>
      </w:r>
      <w:r w:rsidRPr="007A26A6">
        <w:rPr>
          <w:rFonts w:cstheme="minorHAnsi"/>
          <w:szCs w:val="21"/>
        </w:rPr>
        <w:t>. Retrieved November 2019.</w:t>
      </w:r>
    </w:p>
  </w:endnote>
  <w:endnote w:id="81">
    <w:p w14:paraId="20192600" w14:textId="7C01224D" w:rsidR="00F53B39" w:rsidRPr="007A26A6" w:rsidRDefault="00F53B39" w:rsidP="00BE17F1">
      <w:pPr>
        <w:pStyle w:val="EndnoteText"/>
        <w:rPr>
          <w:rFonts w:cstheme="minorHAnsi"/>
          <w:szCs w:val="21"/>
        </w:rPr>
      </w:pPr>
      <w:r w:rsidRPr="007A26A6">
        <w:rPr>
          <w:rFonts w:cstheme="minorHAnsi"/>
          <w:szCs w:val="21"/>
        </w:rPr>
        <w:endnoteRef/>
      </w:r>
      <w:r w:rsidRPr="007A26A6">
        <w:rPr>
          <w:rFonts w:cstheme="minorHAnsi"/>
          <w:szCs w:val="21"/>
        </w:rPr>
        <w:tab/>
        <w:t xml:space="preserve">WWDA. </w:t>
      </w:r>
      <w:hyperlink r:id="rId94" w:history="1">
        <w:r w:rsidRPr="007A26A6">
          <w:rPr>
            <w:rStyle w:val="HyperlinkItalic"/>
            <w:rFonts w:cstheme="minorHAnsi"/>
            <w:szCs w:val="21"/>
          </w:rPr>
          <w:t>Position statement 4: Sexual and reproductive rights</w:t>
        </w:r>
      </w:hyperlink>
      <w:r w:rsidRPr="007A26A6">
        <w:rPr>
          <w:rFonts w:cstheme="minorHAnsi"/>
          <w:szCs w:val="21"/>
        </w:rPr>
        <w:t>. Retrieved 7 June 2020.</w:t>
      </w:r>
    </w:p>
    <w:p w14:paraId="0D13F65D" w14:textId="528DEF6A" w:rsidR="00F53B39" w:rsidRPr="007A26A6" w:rsidRDefault="00F53B39" w:rsidP="00BE17F1">
      <w:pPr>
        <w:pStyle w:val="OWEndnotetextindent"/>
        <w:rPr>
          <w:rFonts w:cstheme="minorHAnsi"/>
        </w:rPr>
      </w:pPr>
      <w:r w:rsidRPr="007A26A6">
        <w:rPr>
          <w:rFonts w:cstheme="minorHAnsi"/>
        </w:rPr>
        <w:t xml:space="preserve">Hargrave, J., &amp; Kennedy, M. (2020). </w:t>
      </w:r>
      <w:hyperlink r:id="rId95" w:history="1">
        <w:r w:rsidRPr="007A26A6">
          <w:rPr>
            <w:rStyle w:val="HyperlinkItalic"/>
            <w:rFonts w:cstheme="minorHAnsi"/>
          </w:rPr>
          <w:t>What does the NDIS mean for women and girls? Considering the implications of our market-based system for gender equality</w:t>
        </w:r>
      </w:hyperlink>
      <w:r w:rsidRPr="007A26A6">
        <w:rPr>
          <w:rFonts w:cstheme="minorHAnsi"/>
          <w:i/>
        </w:rPr>
        <w:t>.</w:t>
      </w:r>
      <w:r w:rsidRPr="007A26A6">
        <w:rPr>
          <w:rFonts w:cstheme="minorHAnsi"/>
        </w:rPr>
        <w:t xml:space="preserve"> Retrieved 15 March 2020.</w:t>
      </w:r>
    </w:p>
  </w:endnote>
  <w:endnote w:id="82">
    <w:p w14:paraId="51DEF725" w14:textId="2A2690B2" w:rsidR="00F53B39" w:rsidRPr="007A26A6" w:rsidRDefault="00F53B39">
      <w:pPr>
        <w:pStyle w:val="EndnoteText"/>
        <w:rPr>
          <w:rFonts w:cstheme="minorHAnsi"/>
          <w:szCs w:val="21"/>
        </w:rPr>
      </w:pPr>
      <w:r w:rsidRPr="007A26A6">
        <w:rPr>
          <w:rFonts w:cstheme="minorHAnsi"/>
          <w:szCs w:val="21"/>
        </w:rPr>
        <w:endnoteRef/>
      </w:r>
      <w:r w:rsidRPr="007A26A6">
        <w:rPr>
          <w:rFonts w:cstheme="minorHAnsi"/>
          <w:szCs w:val="21"/>
        </w:rPr>
        <w:tab/>
        <w:t xml:space="preserve">Royal Commission into Aboriginal Deaths in Custody (RCIADIC). (1991). </w:t>
      </w:r>
      <w:hyperlink r:id="rId96" w:history="1">
        <w:r w:rsidRPr="007A26A6">
          <w:rPr>
            <w:rStyle w:val="HyperlinkItalic"/>
            <w:rFonts w:cstheme="minorHAnsi"/>
            <w:szCs w:val="21"/>
          </w:rPr>
          <w:t>National report (various volumes)</w:t>
        </w:r>
      </w:hyperlink>
      <w:r w:rsidRPr="007A26A6">
        <w:rPr>
          <w:rFonts w:cstheme="minorHAnsi"/>
          <w:i/>
          <w:szCs w:val="21"/>
        </w:rPr>
        <w:t xml:space="preserve">. </w:t>
      </w:r>
      <w:r w:rsidRPr="007A26A6">
        <w:rPr>
          <w:rFonts w:cstheme="minorHAnsi"/>
          <w:szCs w:val="21"/>
        </w:rPr>
        <w:t>Canberra: Australian Government Publishing Service.</w:t>
      </w:r>
    </w:p>
  </w:endnote>
  <w:endnote w:id="83">
    <w:p w14:paraId="71BC2A78" w14:textId="2489D8AE"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Human Rights Law Centre &amp; Change the Record. (2017). </w:t>
      </w:r>
      <w:hyperlink r:id="rId97" w:history="1">
        <w:r w:rsidRPr="007A26A6">
          <w:rPr>
            <w:rStyle w:val="HyperlinkItalic"/>
            <w:rFonts w:cstheme="minorHAnsi"/>
            <w:szCs w:val="21"/>
          </w:rPr>
          <w:t>Overrepresented and overlooked: Aboriginal and Torres Strait Islander women’s growing over-imprisonment</w:t>
        </w:r>
      </w:hyperlink>
      <w:r w:rsidRPr="007A26A6">
        <w:rPr>
          <w:rFonts w:cstheme="minorHAnsi"/>
          <w:i/>
          <w:szCs w:val="21"/>
        </w:rPr>
        <w:t>.</w:t>
      </w:r>
      <w:r w:rsidRPr="007A26A6">
        <w:rPr>
          <w:rFonts w:cstheme="minorHAnsi"/>
          <w:szCs w:val="21"/>
        </w:rPr>
        <w:t xml:space="preserve"> Retrieved 14 February 2020.</w:t>
      </w:r>
    </w:p>
  </w:endnote>
  <w:endnote w:id="84">
    <w:p w14:paraId="5AB62A3D" w14:textId="574A40C9"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Australia’s National Research Organisation for Women’s Safety. (2019). </w:t>
      </w:r>
      <w:hyperlink r:id="rId98" w:history="1">
        <w:r w:rsidRPr="007A26A6">
          <w:rPr>
            <w:rStyle w:val="HyperlinkItalic"/>
            <w:rFonts w:cstheme="minorHAnsi"/>
            <w:szCs w:val="21"/>
          </w:rPr>
          <w:t>Domestic and family violence, housing insecurity and homelessness: Research synthesis</w:t>
        </w:r>
      </w:hyperlink>
      <w:r w:rsidRPr="007A26A6">
        <w:rPr>
          <w:rStyle w:val="HyperlinkItalic"/>
          <w:rFonts w:cstheme="minorHAnsi"/>
          <w:szCs w:val="21"/>
        </w:rPr>
        <w:t xml:space="preserve"> </w:t>
      </w:r>
      <w:r w:rsidRPr="007A26A6">
        <w:rPr>
          <w:rFonts w:cstheme="minorHAnsi"/>
          <w:szCs w:val="21"/>
        </w:rPr>
        <w:t>(2nd edn, ANROWS Insights, July 2019). Sydney, Australia: ANROWS.</w:t>
      </w:r>
    </w:p>
  </w:endnote>
  <w:endnote w:id="85">
    <w:p w14:paraId="197F4EB0" w14:textId="56A433FD" w:rsidR="00F53B39" w:rsidRPr="007A26A6" w:rsidRDefault="00F53B39" w:rsidP="225E513A">
      <w:pPr>
        <w:pStyle w:val="EndnoteText"/>
      </w:pPr>
      <w:r w:rsidRPr="225E513A">
        <w:endnoteRef/>
      </w:r>
      <w:r w:rsidRPr="007A26A6">
        <w:rPr>
          <w:rFonts w:cstheme="minorHAnsi"/>
          <w:szCs w:val="21"/>
        </w:rPr>
        <w:tab/>
      </w:r>
      <w:r w:rsidRPr="225E513A">
        <w:t xml:space="preserve">Allam, L., Wahlquist, C., &amp; Evershed, N. (2020). </w:t>
      </w:r>
      <w:hyperlink r:id="rId99" w:history="1">
        <w:r w:rsidRPr="225E513A">
          <w:rPr>
            <w:rStyle w:val="HyperlinkItalic"/>
          </w:rPr>
          <w:t>Aboriginal deaths in custody: 434 have died since 1991, new data shows</w:t>
        </w:r>
      </w:hyperlink>
      <w:r w:rsidRPr="225E513A">
        <w:rPr>
          <w:rStyle w:val="Emphasis"/>
        </w:rPr>
        <w:t>. Guardian</w:t>
      </w:r>
      <w:r w:rsidRPr="225E513A">
        <w:rPr>
          <w:i/>
          <w:iCs/>
        </w:rPr>
        <w:t xml:space="preserve">. </w:t>
      </w:r>
      <w:r w:rsidRPr="225E513A">
        <w:t>Retrieved</w:t>
      </w:r>
      <w:r w:rsidRPr="225E513A">
        <w:rPr>
          <w:b/>
          <w:bCs/>
          <w:i/>
          <w:iCs/>
        </w:rPr>
        <w:t xml:space="preserve"> </w:t>
      </w:r>
      <w:r w:rsidRPr="225E513A">
        <w:t>6 June 2020.</w:t>
      </w:r>
    </w:p>
  </w:endnote>
  <w:endnote w:id="86">
    <w:p w14:paraId="0E1A6557" w14:textId="746B49FF" w:rsidR="00F53B39" w:rsidRPr="007A26A6" w:rsidRDefault="00F53B39" w:rsidP="225E513A">
      <w:pPr>
        <w:pStyle w:val="EndnoteText"/>
      </w:pPr>
      <w:r w:rsidRPr="225E513A">
        <w:endnoteRef/>
      </w:r>
      <w:r w:rsidRPr="007A26A6">
        <w:rPr>
          <w:rFonts w:cstheme="minorHAnsi"/>
          <w:szCs w:val="21"/>
        </w:rPr>
        <w:tab/>
      </w:r>
      <w:r w:rsidRPr="225E513A">
        <w:t xml:space="preserve">National Advocacy Group on Women on Temporary Visas Experiencing Violence. (2018). </w:t>
      </w:r>
      <w:hyperlink r:id="rId100" w:history="1">
        <w:r w:rsidRPr="225E513A">
          <w:rPr>
            <w:rStyle w:val="HyperlinkItalic"/>
          </w:rPr>
          <w:t>Path to nowhere: Women on temporary visas experiencing violence and their children</w:t>
        </w:r>
      </w:hyperlink>
      <w:r w:rsidRPr="225E513A">
        <w:t>.</w:t>
      </w:r>
    </w:p>
    <w:p w14:paraId="4D24E29A" w14:textId="5302BAB7" w:rsidR="00F53B39" w:rsidRPr="007A26A6" w:rsidRDefault="00F53B39" w:rsidP="00BE17F1">
      <w:pPr>
        <w:pStyle w:val="OWEndnotetextindent"/>
        <w:rPr>
          <w:rFonts w:cstheme="minorHAnsi"/>
        </w:rPr>
      </w:pPr>
      <w:r w:rsidRPr="007A26A6">
        <w:rPr>
          <w:rFonts w:cstheme="minorHAnsi"/>
        </w:rPr>
        <w:t xml:space="preserve">Segrave, M. (2019, November 11). </w:t>
      </w:r>
      <w:hyperlink r:id="rId101" w:history="1">
        <w:r w:rsidRPr="007A26A6">
          <w:rPr>
            <w:rStyle w:val="Hyperlink"/>
            <w:rFonts w:cstheme="minorHAnsi"/>
          </w:rPr>
          <w:t>How Australia’s migration system is failing victims of gendered violence</w:t>
        </w:r>
      </w:hyperlink>
      <w:r w:rsidRPr="007A26A6">
        <w:rPr>
          <w:rFonts w:cstheme="minorHAnsi"/>
        </w:rPr>
        <w:t>. Retrieved 6 May 2020.</w:t>
      </w:r>
    </w:p>
    <w:p w14:paraId="1B160B3C" w14:textId="2AC1DAB8" w:rsidR="00F53B39" w:rsidRPr="007A26A6" w:rsidRDefault="00F53B39" w:rsidP="00BE17F1">
      <w:pPr>
        <w:pStyle w:val="OWEndnotetextindent"/>
        <w:rPr>
          <w:rFonts w:cstheme="minorHAnsi"/>
        </w:rPr>
      </w:pPr>
      <w:r w:rsidRPr="007A26A6">
        <w:rPr>
          <w:rFonts w:cstheme="minorHAnsi"/>
        </w:rPr>
        <w:t xml:space="preserve">Treeby, E. (2017, October). </w:t>
      </w:r>
      <w:hyperlink r:id="rId102" w:history="1">
        <w:r w:rsidRPr="007A26A6">
          <w:rPr>
            <w:rStyle w:val="Hyperlink"/>
            <w:rFonts w:cstheme="minorHAnsi"/>
          </w:rPr>
          <w:t>The forgotten women on Nauru</w:t>
        </w:r>
      </w:hyperlink>
      <w:r w:rsidRPr="007A26A6">
        <w:rPr>
          <w:rFonts w:cstheme="minorHAnsi"/>
        </w:rPr>
        <w:t>. Retrieved 6 May 2020.</w:t>
      </w:r>
    </w:p>
    <w:p w14:paraId="43FA7853" w14:textId="69F08F52" w:rsidR="00F53B39" w:rsidRPr="007A26A6" w:rsidRDefault="00F53B39" w:rsidP="00BE17F1">
      <w:pPr>
        <w:pStyle w:val="OWEndnotetextindent"/>
        <w:rPr>
          <w:rFonts w:eastAsiaTheme="minorHAnsi" w:cstheme="minorHAnsi"/>
          <w:lang w:val="en-GB"/>
        </w:rPr>
      </w:pPr>
      <w:r w:rsidRPr="007A26A6">
        <w:rPr>
          <w:rFonts w:cstheme="minorHAnsi"/>
        </w:rPr>
        <w:t xml:space="preserve">Dastayari, A. (2017, October 26). </w:t>
      </w:r>
      <w:hyperlink r:id="rId103" w:history="1">
        <w:r w:rsidRPr="007A26A6">
          <w:rPr>
            <w:rStyle w:val="Hyperlink"/>
            <w:rFonts w:cstheme="minorHAnsi"/>
          </w:rPr>
          <w:t>Refugee women on Nauru: The gendered effects of Australia’s asylum seeker detention policies</w:t>
        </w:r>
      </w:hyperlink>
      <w:r w:rsidRPr="007A26A6">
        <w:rPr>
          <w:rFonts w:cstheme="minorHAnsi"/>
        </w:rPr>
        <w:t>. Retrieved 6 May 2020.</w:t>
      </w:r>
    </w:p>
  </w:endnote>
  <w:endnote w:id="87">
    <w:p w14:paraId="7AE6DF71" w14:textId="4CB72BC2" w:rsidR="00F53B39" w:rsidRPr="007A26A6" w:rsidRDefault="00F53B39" w:rsidP="225E513A">
      <w:pPr>
        <w:pStyle w:val="EndnoteText"/>
      </w:pPr>
      <w:r w:rsidRPr="225E513A">
        <w:endnoteRef/>
      </w:r>
      <w:r w:rsidRPr="007A26A6">
        <w:rPr>
          <w:rFonts w:cstheme="minorHAnsi"/>
          <w:szCs w:val="21"/>
        </w:rPr>
        <w:tab/>
      </w:r>
      <w:r w:rsidRPr="225E513A">
        <w:t xml:space="preserve">Commission for Children and Young People. (2019). </w:t>
      </w:r>
      <w:hyperlink r:id="rId104" w:history="1">
        <w:r w:rsidRPr="225E513A">
          <w:rPr>
            <w:rStyle w:val="HyperlinkItalic"/>
          </w:rPr>
          <w:t>In our own words: Systemic inquiry into the lived experience of children and young people in the Victorian out-of-home care system</w:t>
        </w:r>
      </w:hyperlink>
      <w:r w:rsidRPr="225E513A">
        <w:t>. Retrieved 6 May 2020.</w:t>
      </w:r>
    </w:p>
  </w:endnote>
  <w:endnote w:id="88">
    <w:p w14:paraId="665571D7" w14:textId="2A168BB1" w:rsidR="00F53B39" w:rsidRPr="007A26A6" w:rsidRDefault="00F53B39" w:rsidP="004A3A0A">
      <w:pPr>
        <w:pStyle w:val="EndnoteText"/>
        <w:keepNext/>
        <w:rPr>
          <w:rFonts w:eastAsiaTheme="minorHAnsi" w:cstheme="minorHAnsi"/>
          <w:szCs w:val="21"/>
          <w:lang w:val="en-GB"/>
        </w:rPr>
      </w:pPr>
      <w:r w:rsidRPr="007A26A6">
        <w:rPr>
          <w:rFonts w:cstheme="minorHAnsi"/>
          <w:szCs w:val="21"/>
        </w:rPr>
        <w:endnoteRef/>
      </w:r>
      <w:r w:rsidRPr="007A26A6">
        <w:rPr>
          <w:rFonts w:cstheme="minorHAnsi"/>
          <w:szCs w:val="21"/>
        </w:rPr>
        <w:tab/>
      </w:r>
      <w:bookmarkStart w:id="42" w:name="_Hlk47960038"/>
      <w:r w:rsidRPr="007A26A6">
        <w:rPr>
          <w:rFonts w:cstheme="minorHAnsi"/>
          <w:szCs w:val="21"/>
        </w:rPr>
        <w:t>Ou</w:t>
      </w:r>
      <w:r w:rsidRPr="007A26A6">
        <w:rPr>
          <w:rFonts w:cstheme="minorHAnsi"/>
          <w:szCs w:val="21"/>
          <w:lang w:eastAsia="en-GB"/>
        </w:rPr>
        <w:t xml:space="preserve">r Watch, ANROWS, &amp; VicHealth. (2015). </w:t>
      </w:r>
      <w:hyperlink r:id="rId105" w:history="1">
        <w:r w:rsidRPr="007A26A6">
          <w:rPr>
            <w:rStyle w:val="HyperlinkItalic"/>
            <w:rFonts w:cstheme="minorHAnsi"/>
            <w:szCs w:val="21"/>
          </w:rPr>
          <w:t>Change the story: A shared framework for the primary prevention of violence against women and their children in Australia</w:t>
        </w:r>
      </w:hyperlink>
      <w:r w:rsidRPr="007A26A6">
        <w:rPr>
          <w:rFonts w:cstheme="minorHAnsi"/>
          <w:szCs w:val="21"/>
          <w:lang w:eastAsia="en-GB"/>
        </w:rPr>
        <w:t>.</w:t>
      </w:r>
    </w:p>
    <w:p w14:paraId="0616E359" w14:textId="3DF9D374" w:rsidR="00F53B39" w:rsidRPr="007A26A6" w:rsidRDefault="00F53B39" w:rsidP="00BE17F1">
      <w:pPr>
        <w:pStyle w:val="OWEndnotetextindent"/>
        <w:rPr>
          <w:rStyle w:val="HyperlinkItalic"/>
          <w:rFonts w:cstheme="minorHAnsi"/>
        </w:rPr>
      </w:pPr>
      <w:r w:rsidRPr="007A26A6">
        <w:rPr>
          <w:rFonts w:eastAsiaTheme="minorHAnsi" w:cstheme="minorHAnsi"/>
          <w:lang w:val="en-GB"/>
        </w:rPr>
        <w:t xml:space="preserve">Australian Women’s Health Network. (2014). </w:t>
      </w:r>
      <w:hyperlink r:id="rId106" w:history="1">
        <w:r w:rsidRPr="007A26A6">
          <w:rPr>
            <w:rStyle w:val="HyperlinkItalic"/>
            <w:rFonts w:cstheme="minorHAnsi"/>
          </w:rPr>
          <w:t>Health and the Primary Prevention of Violence Against Women: Position Paper</w:t>
        </w:r>
      </w:hyperlink>
      <w:r w:rsidRPr="007A26A6">
        <w:rPr>
          <w:rStyle w:val="HyperlinkItalic"/>
          <w:rFonts w:cstheme="minorHAnsi"/>
        </w:rPr>
        <w:t>.</w:t>
      </w:r>
      <w:bookmarkEnd w:id="42"/>
    </w:p>
  </w:endnote>
  <w:endnote w:id="89">
    <w:p w14:paraId="371C7306" w14:textId="3431CDED"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Ou</w:t>
      </w:r>
      <w:r w:rsidRPr="007A26A6">
        <w:rPr>
          <w:rFonts w:cstheme="minorHAnsi"/>
          <w:szCs w:val="21"/>
          <w:lang w:eastAsia="en-GB"/>
        </w:rPr>
        <w:t xml:space="preserve">r Watch, ANROWS, &amp; VicHealth. (2015). </w:t>
      </w:r>
      <w:hyperlink r:id="rId107" w:history="1">
        <w:r w:rsidRPr="007A26A6">
          <w:rPr>
            <w:rStyle w:val="HyperlinkItalic"/>
            <w:rFonts w:cstheme="minorHAnsi"/>
            <w:szCs w:val="21"/>
          </w:rPr>
          <w:t>Change the story: A shared framework for the primary prevention of violence against women and their children in Australia</w:t>
        </w:r>
      </w:hyperlink>
      <w:r w:rsidRPr="007A26A6">
        <w:rPr>
          <w:rFonts w:cstheme="minorHAnsi"/>
          <w:szCs w:val="21"/>
          <w:lang w:eastAsia="en-GB"/>
        </w:rPr>
        <w:t>.</w:t>
      </w:r>
    </w:p>
  </w:endnote>
  <w:endnote w:id="90">
    <w:p w14:paraId="59756EAA" w14:textId="52321D26"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Our Watch. (2018). </w:t>
      </w:r>
      <w:r w:rsidRPr="007A26A6">
        <w:rPr>
          <w:rStyle w:val="Emphasis"/>
          <w:rFonts w:cstheme="minorHAnsi"/>
          <w:szCs w:val="21"/>
        </w:rPr>
        <w:t>Changing the picture: A national resource to support the prevention of violence against Aboriginal and Torres Strait Islander women and their children</w:t>
      </w:r>
      <w:r w:rsidRPr="007A26A6">
        <w:rPr>
          <w:rFonts w:cstheme="minorHAnsi"/>
          <w:szCs w:val="21"/>
        </w:rPr>
        <w:t>.</w:t>
      </w:r>
    </w:p>
  </w:endnote>
  <w:endnote w:id="91">
    <w:p w14:paraId="09236686" w14:textId="052CC802"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Our Watch. (2017). </w:t>
      </w:r>
      <w:r w:rsidRPr="007A26A6">
        <w:rPr>
          <w:rStyle w:val="Emphasis"/>
          <w:rFonts w:cstheme="minorHAnsi"/>
          <w:szCs w:val="21"/>
        </w:rPr>
        <w:t>Counting on change: A guide to prevention monitoring</w:t>
      </w:r>
      <w:r w:rsidRPr="007A26A6">
        <w:rPr>
          <w:rFonts w:cstheme="minorHAnsi"/>
          <w:szCs w:val="21"/>
        </w:rPr>
        <w:t>.</w:t>
      </w:r>
    </w:p>
  </w:endnote>
  <w:endnote w:id="92">
    <w:p w14:paraId="2E20D256" w14:textId="75B5CD31" w:rsidR="00F53B39" w:rsidRPr="007A26A6" w:rsidRDefault="00F53B39">
      <w:pPr>
        <w:pStyle w:val="EndnoteText"/>
        <w:rPr>
          <w:rFonts w:eastAsiaTheme="minorHAnsi" w:cstheme="minorHAnsi"/>
          <w:szCs w:val="21"/>
          <w:lang w:val="en-GB"/>
        </w:rPr>
      </w:pPr>
      <w:r w:rsidRPr="007A26A6">
        <w:rPr>
          <w:rFonts w:cstheme="minorHAnsi"/>
          <w:szCs w:val="21"/>
        </w:rPr>
        <w:endnoteRef/>
      </w:r>
      <w:r w:rsidRPr="007A26A6">
        <w:rPr>
          <w:rFonts w:cstheme="minorHAnsi"/>
          <w:szCs w:val="21"/>
        </w:rPr>
        <w:tab/>
        <w:t xml:space="preserve">Our Watch. (2018). </w:t>
      </w:r>
      <w:hyperlink r:id="rId108" w:history="1">
        <w:r w:rsidRPr="007A26A6">
          <w:rPr>
            <w:rStyle w:val="HyperlinkItalic"/>
            <w:rFonts w:cstheme="minorHAnsi"/>
            <w:szCs w:val="21"/>
          </w:rPr>
          <w:t>Changing the picture: A national resource to support the prevention of violence against Aboriginal and Torres Strait Islander women and their children</w:t>
        </w:r>
      </w:hyperlink>
      <w:r w:rsidRPr="007A26A6">
        <w:rPr>
          <w:rFonts w:cstheme="minorHAnsi"/>
          <w:szCs w:val="21"/>
        </w:rPr>
        <w:t>.</w:t>
      </w:r>
    </w:p>
  </w:endnote>
  <w:endnote w:id="93">
    <w:p w14:paraId="3C31F4CD" w14:textId="5A8DD7AC" w:rsidR="00F53B39" w:rsidRPr="007A26A6" w:rsidRDefault="00F53B39">
      <w:pPr>
        <w:pStyle w:val="EndnoteText"/>
        <w:rPr>
          <w:rFonts w:eastAsiaTheme="minorHAnsi" w:cstheme="minorHAnsi"/>
          <w:szCs w:val="21"/>
          <w:lang w:val="en-GB"/>
        </w:rPr>
      </w:pPr>
      <w:r w:rsidRPr="007A26A6">
        <w:rPr>
          <w:rFonts w:cstheme="minorHAnsi"/>
          <w:szCs w:val="21"/>
        </w:rPr>
        <w:endnoteRef/>
      </w:r>
      <w:r w:rsidRPr="007A26A6">
        <w:rPr>
          <w:rFonts w:cstheme="minorHAnsi"/>
          <w:szCs w:val="21"/>
        </w:rPr>
        <w:tab/>
        <w:t xml:space="preserve">Our Watch. (2018). </w:t>
      </w:r>
      <w:hyperlink r:id="rId109" w:history="1">
        <w:r w:rsidRPr="007A26A6">
          <w:rPr>
            <w:rStyle w:val="HyperlinkItalic"/>
            <w:rFonts w:cstheme="minorHAnsi"/>
            <w:szCs w:val="21"/>
          </w:rPr>
          <w:t>Changing the picture: A national resource to support the prevention of violence against Aboriginal and Torres Strait Islander women and their children</w:t>
        </w:r>
      </w:hyperlink>
      <w:r w:rsidRPr="007A26A6">
        <w:rPr>
          <w:rFonts w:cstheme="minorHAnsi"/>
          <w:szCs w:val="21"/>
        </w:rPr>
        <w:t>.</w:t>
      </w:r>
    </w:p>
  </w:endnote>
  <w:endnote w:id="94">
    <w:p w14:paraId="638921DB" w14:textId="0E97B987"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Australian Human Rights Commission. </w:t>
      </w:r>
      <w:hyperlink r:id="rId110" w:history="1">
        <w:r w:rsidRPr="007A26A6">
          <w:rPr>
            <w:rStyle w:val="HyperlinkItalic"/>
            <w:rFonts w:cstheme="minorHAnsi"/>
            <w:szCs w:val="21"/>
          </w:rPr>
          <w:t>Wiyi Yani U Thangani</w:t>
        </w:r>
      </w:hyperlink>
      <w:r w:rsidRPr="007A26A6">
        <w:rPr>
          <w:rStyle w:val="Emphasis"/>
          <w:rFonts w:cstheme="minorHAnsi"/>
          <w:szCs w:val="21"/>
        </w:rPr>
        <w:t xml:space="preserve"> (Women’s voices)</w:t>
      </w:r>
      <w:r w:rsidRPr="007A26A6">
        <w:rPr>
          <w:rFonts w:cstheme="minorHAnsi"/>
          <w:szCs w:val="21"/>
        </w:rPr>
        <w:t>.</w:t>
      </w:r>
    </w:p>
  </w:endnote>
  <w:endnote w:id="95">
    <w:p w14:paraId="1EE4B00B" w14:textId="6DB533ED"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National Family Violence Prevention Legal Services. (2019). </w:t>
      </w:r>
      <w:hyperlink r:id="rId111" w:history="1">
        <w:r w:rsidRPr="007A26A6">
          <w:rPr>
            <w:rStyle w:val="HyperlinkItalic"/>
            <w:rFonts w:cstheme="minorHAnsi"/>
            <w:szCs w:val="21"/>
          </w:rPr>
          <w:t>Funding cuts silence Aboriginal and Torres Strait Islander women</w:t>
        </w:r>
      </w:hyperlink>
      <w:r w:rsidRPr="007A26A6">
        <w:rPr>
          <w:rFonts w:cstheme="minorHAnsi"/>
          <w:i/>
          <w:szCs w:val="21"/>
        </w:rPr>
        <w:t xml:space="preserve">. </w:t>
      </w:r>
      <w:r w:rsidRPr="007A26A6">
        <w:rPr>
          <w:rFonts w:cstheme="minorHAnsi"/>
          <w:szCs w:val="21"/>
        </w:rPr>
        <w:t>Retrieved 6 May 2020.</w:t>
      </w:r>
    </w:p>
  </w:endnote>
  <w:endnote w:id="96">
    <w:p w14:paraId="46425589" w14:textId="5B95FAAA"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Ou</w:t>
      </w:r>
      <w:r w:rsidRPr="007A26A6">
        <w:rPr>
          <w:rFonts w:cstheme="minorHAnsi"/>
          <w:szCs w:val="21"/>
          <w:lang w:eastAsia="en-GB"/>
        </w:rPr>
        <w:t xml:space="preserve">r Watch, ANROWS, &amp; VicHealth. (2015). </w:t>
      </w:r>
      <w:hyperlink r:id="rId112" w:history="1">
        <w:r w:rsidRPr="007A26A6">
          <w:rPr>
            <w:rStyle w:val="HyperlinkItalic"/>
            <w:rFonts w:cstheme="minorHAnsi"/>
            <w:szCs w:val="21"/>
          </w:rPr>
          <w:t>Change the story: A shared framework for the primary prevention of violence against women and their children in Australia</w:t>
        </w:r>
      </w:hyperlink>
      <w:r w:rsidRPr="007A26A6">
        <w:rPr>
          <w:rFonts w:cstheme="minorHAnsi"/>
          <w:szCs w:val="21"/>
          <w:lang w:eastAsia="en-GB"/>
        </w:rPr>
        <w:t>.</w:t>
      </w:r>
    </w:p>
  </w:endnote>
  <w:endnote w:id="97">
    <w:p w14:paraId="79D843CE" w14:textId="23BE376F"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Ou</w:t>
      </w:r>
      <w:r w:rsidRPr="007A26A6">
        <w:rPr>
          <w:rFonts w:cstheme="minorHAnsi"/>
          <w:szCs w:val="21"/>
          <w:lang w:eastAsia="en-GB"/>
        </w:rPr>
        <w:t xml:space="preserve">r Watch, ANROWS, &amp; VicHealth. (2015). </w:t>
      </w:r>
      <w:hyperlink r:id="rId113" w:history="1">
        <w:r w:rsidRPr="007A26A6">
          <w:rPr>
            <w:rStyle w:val="HyperlinkItalic"/>
            <w:rFonts w:cstheme="minorHAnsi"/>
            <w:szCs w:val="21"/>
          </w:rPr>
          <w:t>Change the story: A shared framework for the primary prevention of violence against women and their children in Australia</w:t>
        </w:r>
      </w:hyperlink>
      <w:r w:rsidRPr="007A26A6">
        <w:rPr>
          <w:rFonts w:cstheme="minorHAnsi"/>
          <w:szCs w:val="21"/>
          <w:lang w:eastAsia="en-GB"/>
        </w:rPr>
        <w:t>.</w:t>
      </w:r>
    </w:p>
  </w:endnote>
  <w:endnote w:id="98">
    <w:p w14:paraId="78AE2A45" w14:textId="53615179" w:rsidR="00F53B39" w:rsidRPr="007A26A6" w:rsidRDefault="00F53B39" w:rsidP="00790783">
      <w:pPr>
        <w:pStyle w:val="EndnoteText"/>
        <w:rPr>
          <w:rFonts w:eastAsiaTheme="minorHAnsi" w:cstheme="minorHAnsi"/>
          <w:szCs w:val="21"/>
          <w:lang w:val="en-GB"/>
        </w:rPr>
      </w:pPr>
      <w:r w:rsidRPr="007A26A6">
        <w:rPr>
          <w:rFonts w:cstheme="minorHAnsi"/>
          <w:szCs w:val="21"/>
        </w:rPr>
        <w:endnoteRef/>
      </w:r>
      <w:r w:rsidRPr="007A26A6">
        <w:rPr>
          <w:rFonts w:cstheme="minorHAnsi"/>
          <w:szCs w:val="21"/>
        </w:rPr>
        <w:tab/>
      </w:r>
      <w:r w:rsidRPr="007A26A6">
        <w:rPr>
          <w:rFonts w:eastAsiaTheme="minorHAnsi" w:cstheme="minorHAnsi"/>
          <w:szCs w:val="21"/>
          <w:lang w:val="en-GB"/>
        </w:rPr>
        <w:t xml:space="preserve">Council of Australian Governments. (2011). </w:t>
      </w:r>
      <w:hyperlink r:id="rId114" w:history="1">
        <w:r w:rsidRPr="007A26A6">
          <w:rPr>
            <w:rStyle w:val="HyperlinkItalic"/>
            <w:rFonts w:cstheme="minorHAnsi"/>
            <w:szCs w:val="21"/>
            <w:lang w:val="en-GB"/>
          </w:rPr>
          <w:t>National Plan to reduce violence against women and their children 2010–2022</w:t>
        </w:r>
      </w:hyperlink>
      <w:r w:rsidRPr="007A26A6">
        <w:rPr>
          <w:rFonts w:eastAsiaTheme="minorHAnsi" w:cstheme="minorHAnsi"/>
          <w:szCs w:val="21"/>
          <w:lang w:val="en-GB"/>
        </w:rPr>
        <w:t>.</w:t>
      </w:r>
    </w:p>
  </w:endnote>
  <w:endnote w:id="99">
    <w:p w14:paraId="4C98A3C2" w14:textId="577F78FB"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Ou</w:t>
      </w:r>
      <w:r w:rsidRPr="007A26A6">
        <w:rPr>
          <w:rFonts w:cstheme="minorHAnsi"/>
          <w:szCs w:val="21"/>
          <w:lang w:eastAsia="en-GB"/>
        </w:rPr>
        <w:t xml:space="preserve">r Watch, ANROWS, &amp; VicHealth. (2015). </w:t>
      </w:r>
      <w:hyperlink r:id="rId115" w:history="1">
        <w:r w:rsidRPr="007A26A6">
          <w:rPr>
            <w:rStyle w:val="HyperlinkItalic"/>
            <w:rFonts w:cstheme="minorHAnsi"/>
            <w:szCs w:val="21"/>
          </w:rPr>
          <w:t>Change the story: A shared framework for the primary prevention of violence against women and their children in Australia</w:t>
        </w:r>
      </w:hyperlink>
      <w:r w:rsidRPr="007A26A6">
        <w:rPr>
          <w:rFonts w:cstheme="minorHAnsi"/>
          <w:szCs w:val="21"/>
          <w:lang w:eastAsia="en-GB"/>
        </w:rPr>
        <w:t>.</w:t>
      </w:r>
    </w:p>
  </w:endnote>
  <w:endnote w:id="100">
    <w:p w14:paraId="16CF2BB6" w14:textId="50510FD9"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Australian Government. (2020). </w:t>
      </w:r>
      <w:hyperlink r:id="rId116" w:history="1">
        <w:r w:rsidRPr="007A26A6">
          <w:rPr>
            <w:rStyle w:val="HyperlinkItalic"/>
            <w:rFonts w:cstheme="minorHAnsi"/>
            <w:szCs w:val="21"/>
          </w:rPr>
          <w:t>National Women’s Alliances</w:t>
        </w:r>
      </w:hyperlink>
      <w:r w:rsidRPr="007A26A6">
        <w:rPr>
          <w:rFonts w:cstheme="minorHAnsi"/>
          <w:i/>
          <w:szCs w:val="21"/>
        </w:rPr>
        <w:t>.</w:t>
      </w:r>
      <w:r w:rsidRPr="007A26A6">
        <w:rPr>
          <w:rFonts w:cstheme="minorHAnsi"/>
          <w:szCs w:val="21"/>
        </w:rPr>
        <w:t xml:space="preserve"> Retrieved 6 May 2020.</w:t>
      </w:r>
    </w:p>
  </w:endnote>
  <w:endnote w:id="101">
    <w:p w14:paraId="24CC9D9D" w14:textId="50D9C96E"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Commonwealth of Australia. (2015). </w:t>
      </w:r>
      <w:hyperlink r:id="rId117" w:history="1">
        <w:r w:rsidRPr="007A26A6">
          <w:rPr>
            <w:rStyle w:val="HyperlinkItalic"/>
            <w:rFonts w:cstheme="minorHAnsi"/>
            <w:szCs w:val="21"/>
          </w:rPr>
          <w:t>Finance and Public Administration References Committee: Domestic violence in Australia</w:t>
        </w:r>
      </w:hyperlink>
      <w:r w:rsidRPr="007A26A6">
        <w:rPr>
          <w:rFonts w:cstheme="minorHAnsi"/>
          <w:szCs w:val="21"/>
        </w:rPr>
        <w:t>. Recommendation 3.62. August 2015. Senate: Canberra. Retrieved 6 May 2020.</w:t>
      </w:r>
    </w:p>
  </w:endnote>
  <w:endnote w:id="102">
    <w:p w14:paraId="58C76839" w14:textId="4E115362"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Commonwealth of Australia. (2015). </w:t>
      </w:r>
      <w:hyperlink r:id="rId118" w:history="1">
        <w:r w:rsidRPr="007A26A6">
          <w:rPr>
            <w:rStyle w:val="HyperlinkItalic"/>
            <w:rFonts w:cstheme="minorHAnsi"/>
            <w:szCs w:val="21"/>
          </w:rPr>
          <w:t>Finance and Public Administration References Committee: Domestic violence in Australia</w:t>
        </w:r>
        <w:r w:rsidRPr="007A26A6">
          <w:rPr>
            <w:rStyle w:val="Hyperlink"/>
            <w:rFonts w:cstheme="minorHAnsi"/>
            <w:szCs w:val="21"/>
          </w:rPr>
          <w:t>.</w:t>
        </w:r>
      </w:hyperlink>
      <w:r w:rsidRPr="007A26A6">
        <w:rPr>
          <w:rFonts w:cstheme="minorHAnsi"/>
          <w:szCs w:val="21"/>
        </w:rPr>
        <w:t xml:space="preserve"> Recommendation 6.68.</w:t>
      </w:r>
    </w:p>
  </w:endnote>
  <w:endnote w:id="103">
    <w:p w14:paraId="74F64AE4" w14:textId="09B8A8F4"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Victorian Government. (2017). </w:t>
      </w:r>
      <w:hyperlink r:id="rId119" w:history="1">
        <w:r w:rsidRPr="007A26A6">
          <w:rPr>
            <w:rStyle w:val="HyperlinkItalic"/>
            <w:rFonts w:cstheme="minorHAnsi"/>
            <w:szCs w:val="21"/>
          </w:rPr>
          <w:t>First report to Parliament (as at 1 November 2017) – Tabled 10 May 2018</w:t>
        </w:r>
      </w:hyperlink>
      <w:r w:rsidRPr="007A26A6">
        <w:rPr>
          <w:rFonts w:cstheme="minorHAnsi"/>
          <w:i/>
          <w:iCs/>
          <w:szCs w:val="21"/>
        </w:rPr>
        <w:t>.</w:t>
      </w:r>
      <w:r w:rsidRPr="007A26A6">
        <w:rPr>
          <w:rFonts w:cstheme="minorHAnsi"/>
          <w:szCs w:val="21"/>
        </w:rPr>
        <w:t xml:space="preserve"> Retrieved 6 May 2020.</w:t>
      </w:r>
    </w:p>
  </w:endnote>
  <w:endnote w:id="104">
    <w:p w14:paraId="27A3F428" w14:textId="0C363DA9"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Victorian Government. (2018). </w:t>
      </w:r>
      <w:hyperlink r:id="rId120" w:history="1">
        <w:r w:rsidRPr="007A26A6">
          <w:rPr>
            <w:rStyle w:val="HyperlinkItalic"/>
            <w:rFonts w:cstheme="minorHAnsi"/>
            <w:szCs w:val="21"/>
          </w:rPr>
          <w:t>Second report to Parliament (as at 1 November 2018) – Tabled 21 March 2019</w:t>
        </w:r>
      </w:hyperlink>
      <w:r w:rsidRPr="007A26A6">
        <w:rPr>
          <w:rFonts w:cstheme="minorHAnsi"/>
          <w:szCs w:val="21"/>
        </w:rPr>
        <w:t>. Retrieved 6 May 2020.</w:t>
      </w:r>
    </w:p>
  </w:endnote>
  <w:endnote w:id="105">
    <w:p w14:paraId="57DA6897" w14:textId="17E82588"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Australian National Audit Office. (2019). </w:t>
      </w:r>
      <w:hyperlink r:id="rId121" w:history="1">
        <w:r w:rsidRPr="007A26A6">
          <w:rPr>
            <w:rStyle w:val="HyperlinkItalic"/>
            <w:rFonts w:cstheme="minorHAnsi"/>
            <w:szCs w:val="21"/>
          </w:rPr>
          <w:t>Coordination and targeting of domestic violence funding and actions</w:t>
        </w:r>
      </w:hyperlink>
      <w:r w:rsidRPr="007A26A6">
        <w:rPr>
          <w:rFonts w:cstheme="minorHAnsi"/>
          <w:szCs w:val="21"/>
        </w:rPr>
        <w:t>. p. 8. Retrieved 6 May 2020.</w:t>
      </w:r>
    </w:p>
  </w:endnote>
  <w:endnote w:id="106">
    <w:p w14:paraId="70EB3C53" w14:textId="3FF4A188"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Ou</w:t>
      </w:r>
      <w:r w:rsidRPr="007A26A6">
        <w:rPr>
          <w:rFonts w:cstheme="minorHAnsi"/>
          <w:szCs w:val="21"/>
          <w:lang w:eastAsia="en-GB"/>
        </w:rPr>
        <w:t xml:space="preserve">r Watch, ANROWS, &amp; VicHealth. (2015). </w:t>
      </w:r>
      <w:hyperlink r:id="rId122" w:history="1">
        <w:r w:rsidRPr="007A26A6">
          <w:rPr>
            <w:rStyle w:val="HyperlinkItalic"/>
            <w:rFonts w:cstheme="minorHAnsi"/>
            <w:szCs w:val="21"/>
          </w:rPr>
          <w:t>Change the story: A shared framework for the primary prevention of violence against women and their children in Australia</w:t>
        </w:r>
      </w:hyperlink>
      <w:r w:rsidRPr="007A26A6">
        <w:rPr>
          <w:rFonts w:cstheme="minorHAnsi"/>
          <w:szCs w:val="21"/>
          <w:lang w:eastAsia="en-GB"/>
        </w:rPr>
        <w:t>.</w:t>
      </w:r>
    </w:p>
  </w:endnote>
  <w:endnote w:id="107">
    <w:p w14:paraId="0B762355" w14:textId="26E5B10E"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Our Watch. (2018). </w:t>
      </w:r>
      <w:hyperlink r:id="rId123" w:history="1">
        <w:r w:rsidRPr="007A26A6">
          <w:rPr>
            <w:rStyle w:val="HyperlinkItalic"/>
            <w:rFonts w:cstheme="minorHAnsi"/>
            <w:szCs w:val="21"/>
          </w:rPr>
          <w:t>Changing the picture: A national resource to support the prevention of violence against Aboriginal and Torres Strait Islander women and their children</w:t>
        </w:r>
      </w:hyperlink>
      <w:r w:rsidRPr="007A26A6">
        <w:rPr>
          <w:rFonts w:cstheme="minorHAnsi"/>
          <w:szCs w:val="21"/>
        </w:rPr>
        <w:t>.</w:t>
      </w:r>
    </w:p>
  </w:endnote>
  <w:endnote w:id="108">
    <w:p w14:paraId="4E362C00" w14:textId="54C626F9"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Australian Government. (2019). </w:t>
      </w:r>
      <w:hyperlink r:id="rId124" w:history="1">
        <w:r w:rsidRPr="007A26A6">
          <w:rPr>
            <w:rStyle w:val="HyperlinkItalic"/>
            <w:rFonts w:cstheme="minorHAnsi"/>
            <w:szCs w:val="21"/>
          </w:rPr>
          <w:t>National plan to reduce violence against women and their children</w:t>
        </w:r>
      </w:hyperlink>
      <w:r w:rsidRPr="007A26A6">
        <w:rPr>
          <w:rFonts w:cstheme="minorHAnsi"/>
          <w:szCs w:val="21"/>
        </w:rPr>
        <w:t>. Retrieved 6 May 2020.</w:t>
      </w:r>
    </w:p>
  </w:endnote>
  <w:endnote w:id="109">
    <w:p w14:paraId="0F42D7B7" w14:textId="50D203D6"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National Family Violence Prevention Legal Services Forum. (2012). </w:t>
      </w:r>
      <w:hyperlink r:id="rId125" w:history="1">
        <w:r w:rsidRPr="007A26A6">
          <w:rPr>
            <w:rStyle w:val="HyperlinkItalic"/>
            <w:rFonts w:cstheme="minorHAnsi"/>
            <w:szCs w:val="21"/>
          </w:rPr>
          <w:t>Working to achieve improved justice outcomes for Aboriginal and Torres Strait Islander victims/survivors of family violence and sexual assault</w:t>
        </w:r>
      </w:hyperlink>
      <w:r w:rsidRPr="007A26A6">
        <w:rPr>
          <w:rFonts w:cstheme="minorHAnsi"/>
          <w:szCs w:val="21"/>
        </w:rPr>
        <w:t>. Retrieved 6 May 2020.</w:t>
      </w:r>
    </w:p>
  </w:endnote>
  <w:endnote w:id="110">
    <w:p w14:paraId="125A478C" w14:textId="23E9F95E"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GEN VIC. (2017). </w:t>
      </w:r>
      <w:hyperlink r:id="rId126" w:history="1">
        <w:r w:rsidRPr="007A26A6">
          <w:rPr>
            <w:rStyle w:val="HyperlinkItalic"/>
            <w:rFonts w:cstheme="minorHAnsi"/>
            <w:szCs w:val="21"/>
          </w:rPr>
          <w:t>Preventing violence before it occurs: Resources, professional development and coordinated statewide action</w:t>
        </w:r>
      </w:hyperlink>
      <w:r w:rsidRPr="007A26A6">
        <w:rPr>
          <w:rFonts w:cstheme="minorHAnsi"/>
          <w:szCs w:val="21"/>
        </w:rPr>
        <w:t>.</w:t>
      </w:r>
    </w:p>
  </w:endnote>
  <w:endnote w:id="111">
    <w:p w14:paraId="2C7784F3" w14:textId="62104FB5"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Women’s Health Victoria. (2020). </w:t>
      </w:r>
      <w:hyperlink r:id="rId127" w:history="1">
        <w:r w:rsidRPr="007A26A6">
          <w:rPr>
            <w:rStyle w:val="HyperlinkItalic"/>
            <w:rFonts w:cstheme="minorHAnsi"/>
            <w:szCs w:val="21"/>
          </w:rPr>
          <w:t>WHV Library</w:t>
        </w:r>
      </w:hyperlink>
      <w:r w:rsidRPr="007A26A6">
        <w:rPr>
          <w:rFonts w:cstheme="minorHAnsi"/>
          <w:szCs w:val="21"/>
        </w:rPr>
        <w:t>. Retrieved 5 May 2020.</w:t>
      </w:r>
    </w:p>
  </w:endnote>
  <w:endnote w:id="112">
    <w:p w14:paraId="37986225" w14:textId="26CEB450" w:rsidR="00F53B39" w:rsidRPr="007A26A6" w:rsidRDefault="00F53B39" w:rsidP="000F43ED">
      <w:pPr>
        <w:pStyle w:val="EndnoteText"/>
        <w:rPr>
          <w:rFonts w:cstheme="minorHAnsi"/>
          <w:szCs w:val="21"/>
        </w:rPr>
      </w:pPr>
      <w:r w:rsidRPr="007A26A6">
        <w:rPr>
          <w:rFonts w:cstheme="minorHAnsi"/>
          <w:szCs w:val="21"/>
        </w:rPr>
        <w:endnoteRef/>
      </w:r>
      <w:r w:rsidRPr="007A26A6">
        <w:rPr>
          <w:rFonts w:cstheme="minorHAnsi"/>
          <w:szCs w:val="21"/>
        </w:rPr>
        <w:tab/>
        <w:t xml:space="preserve">EDVOS. (2019). </w:t>
      </w:r>
      <w:hyperlink r:id="rId128" w:history="1">
        <w:r w:rsidRPr="007A26A6">
          <w:rPr>
            <w:rStyle w:val="Hyperlink"/>
            <w:rFonts w:cstheme="minorHAnsi"/>
            <w:szCs w:val="21"/>
          </w:rPr>
          <w:t>Level Playground</w:t>
        </w:r>
      </w:hyperlink>
      <w:r w:rsidRPr="007A26A6">
        <w:rPr>
          <w:rFonts w:cstheme="minorHAnsi"/>
          <w:szCs w:val="21"/>
        </w:rPr>
        <w:t>. Retrieved 2 March 2020.</w:t>
      </w:r>
    </w:p>
  </w:endnote>
  <w:endnote w:id="113">
    <w:p w14:paraId="003435DF" w14:textId="62E82791"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Our Watch. (2020). </w:t>
      </w:r>
      <w:hyperlink r:id="rId129" w:history="1">
        <w:r w:rsidRPr="007A26A6">
          <w:rPr>
            <w:rStyle w:val="HyperlinkItalic"/>
            <w:rFonts w:cstheme="minorHAnsi"/>
            <w:szCs w:val="21"/>
          </w:rPr>
          <w:t>Workplace equality and respect</w:t>
        </w:r>
      </w:hyperlink>
      <w:r w:rsidRPr="007A26A6">
        <w:rPr>
          <w:rFonts w:cstheme="minorHAnsi"/>
          <w:i/>
          <w:iCs/>
          <w:szCs w:val="21"/>
        </w:rPr>
        <w:t>.</w:t>
      </w:r>
      <w:r w:rsidRPr="007A26A6">
        <w:rPr>
          <w:rFonts w:cstheme="minorHAnsi"/>
          <w:szCs w:val="21"/>
        </w:rPr>
        <w:t xml:space="preserve"> Retrieved 6 May 2020.</w:t>
      </w:r>
    </w:p>
  </w:endnote>
  <w:endnote w:id="114">
    <w:p w14:paraId="6E036C73" w14:textId="7F42E2F4"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Our Watch. (2020). </w:t>
      </w:r>
      <w:hyperlink r:id="rId130" w:history="1">
        <w:r w:rsidRPr="007A26A6">
          <w:rPr>
            <w:rStyle w:val="HyperlinkItalic"/>
            <w:rFonts w:cstheme="minorHAnsi"/>
            <w:szCs w:val="21"/>
          </w:rPr>
          <w:t>Respectful relationships education</w:t>
        </w:r>
      </w:hyperlink>
      <w:r w:rsidRPr="007A26A6">
        <w:rPr>
          <w:rFonts w:cstheme="minorHAnsi"/>
          <w:i/>
          <w:iCs/>
          <w:szCs w:val="21"/>
        </w:rPr>
        <w:t xml:space="preserve">. </w:t>
      </w:r>
      <w:r w:rsidRPr="007A26A6">
        <w:rPr>
          <w:rFonts w:cstheme="minorHAnsi"/>
          <w:szCs w:val="21"/>
        </w:rPr>
        <w:t>Retrieved 6 May 2020.</w:t>
      </w:r>
    </w:p>
  </w:endnote>
  <w:endnote w:id="115">
    <w:p w14:paraId="7BA035A0" w14:textId="44099F74" w:rsidR="00F53B39" w:rsidRPr="007A26A6" w:rsidRDefault="00F53B39" w:rsidP="005F17E6">
      <w:pPr>
        <w:pStyle w:val="EndnoteText"/>
        <w:rPr>
          <w:rFonts w:cstheme="minorHAnsi"/>
          <w:szCs w:val="21"/>
        </w:rPr>
      </w:pPr>
      <w:r w:rsidRPr="007A26A6">
        <w:rPr>
          <w:rFonts w:cstheme="minorHAnsi"/>
          <w:szCs w:val="21"/>
        </w:rPr>
        <w:endnoteRef/>
      </w:r>
      <w:r w:rsidRPr="007A26A6">
        <w:rPr>
          <w:rFonts w:cstheme="minorHAnsi"/>
          <w:szCs w:val="21"/>
        </w:rPr>
        <w:tab/>
        <w:t xml:space="preserve">Municipal Association of Victoria. (2020). </w:t>
      </w:r>
      <w:hyperlink r:id="rId131" w:history="1">
        <w:r w:rsidRPr="007A26A6">
          <w:rPr>
            <w:rStyle w:val="Hyperlink"/>
            <w:rFonts w:cstheme="minorHAnsi"/>
            <w:i/>
            <w:iCs/>
            <w:szCs w:val="21"/>
          </w:rPr>
          <w:t>Promising Practice Portal</w:t>
        </w:r>
      </w:hyperlink>
      <w:r w:rsidRPr="007A26A6">
        <w:rPr>
          <w:rFonts w:cstheme="minorHAnsi"/>
          <w:szCs w:val="21"/>
        </w:rPr>
        <w:t>. Retrieved 6 February 2020.</w:t>
      </w:r>
    </w:p>
  </w:endnote>
  <w:endnote w:id="116">
    <w:p w14:paraId="146459B7" w14:textId="403705E0"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Our Watch. (2020). </w:t>
      </w:r>
      <w:hyperlink r:id="rId132" w:history="1">
        <w:r w:rsidRPr="007A26A6">
          <w:rPr>
            <w:rStyle w:val="HyperlinkItalic"/>
            <w:rFonts w:cstheme="minorHAnsi"/>
            <w:szCs w:val="21"/>
          </w:rPr>
          <w:t>Media making change</w:t>
        </w:r>
      </w:hyperlink>
      <w:r w:rsidRPr="007A26A6">
        <w:rPr>
          <w:rFonts w:cstheme="minorHAnsi"/>
          <w:i/>
          <w:iCs/>
          <w:szCs w:val="21"/>
        </w:rPr>
        <w:t>.</w:t>
      </w:r>
      <w:r w:rsidRPr="007A26A6">
        <w:rPr>
          <w:rFonts w:cstheme="minorHAnsi"/>
          <w:szCs w:val="21"/>
        </w:rPr>
        <w:t xml:space="preserve"> Retrieved 6 May 2020.</w:t>
      </w:r>
    </w:p>
  </w:endnote>
  <w:endnote w:id="117">
    <w:p w14:paraId="68D26C90" w14:textId="19E928F6"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Ou</w:t>
      </w:r>
      <w:r w:rsidRPr="007A26A6">
        <w:rPr>
          <w:rFonts w:cstheme="minorHAnsi"/>
          <w:szCs w:val="21"/>
          <w:lang w:eastAsia="en-GB"/>
        </w:rPr>
        <w:t xml:space="preserve">r Watch, ANROWS, &amp; VicHealth. (2015). </w:t>
      </w:r>
      <w:hyperlink r:id="rId133" w:history="1">
        <w:r w:rsidRPr="007A26A6">
          <w:rPr>
            <w:rStyle w:val="HyperlinkItalic"/>
            <w:rFonts w:cstheme="minorHAnsi"/>
            <w:szCs w:val="21"/>
          </w:rPr>
          <w:t>Change the story: A shared framework for the primary prevention of violence against women and their children in Australia</w:t>
        </w:r>
      </w:hyperlink>
      <w:r w:rsidRPr="007A26A6">
        <w:rPr>
          <w:rFonts w:cstheme="minorHAnsi"/>
          <w:szCs w:val="21"/>
          <w:lang w:eastAsia="en-GB"/>
        </w:rPr>
        <w:t>.</w:t>
      </w:r>
    </w:p>
  </w:endnote>
  <w:endnote w:id="118">
    <w:p w14:paraId="6B9BBB28" w14:textId="20D51CE4"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Ou</w:t>
      </w:r>
      <w:r w:rsidRPr="007A26A6">
        <w:rPr>
          <w:rFonts w:cstheme="minorHAnsi"/>
          <w:szCs w:val="21"/>
          <w:lang w:eastAsia="en-GB"/>
        </w:rPr>
        <w:t xml:space="preserve">r Watch, ANROWS, &amp; VicHealth. (2015). </w:t>
      </w:r>
      <w:hyperlink r:id="rId134" w:history="1">
        <w:r w:rsidRPr="007A26A6">
          <w:rPr>
            <w:rStyle w:val="HyperlinkItalic"/>
            <w:rFonts w:cstheme="minorHAnsi"/>
            <w:szCs w:val="21"/>
          </w:rPr>
          <w:t>Change the story: A shared framework for the primary prevention of violence against women and their children in Australia</w:t>
        </w:r>
      </w:hyperlink>
      <w:r w:rsidRPr="007A26A6">
        <w:rPr>
          <w:rFonts w:cstheme="minorHAnsi"/>
          <w:szCs w:val="21"/>
          <w:lang w:eastAsia="en-GB"/>
        </w:rPr>
        <w:t xml:space="preserve">. </w:t>
      </w:r>
      <w:r w:rsidRPr="007A26A6">
        <w:rPr>
          <w:rFonts w:cstheme="minorHAnsi"/>
          <w:szCs w:val="21"/>
        </w:rPr>
        <w:t>p. 49.</w:t>
      </w:r>
    </w:p>
  </w:endnote>
  <w:endnote w:id="119">
    <w:p w14:paraId="5067EE7B" w14:textId="2AC22129"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r>
      <w:r w:rsidRPr="007A26A6">
        <w:rPr>
          <w:rFonts w:eastAsiaTheme="minorHAnsi" w:cstheme="minorHAnsi"/>
          <w:szCs w:val="21"/>
          <w:lang w:val="en-GB"/>
        </w:rPr>
        <w:t xml:space="preserve">Council of Australian Governments. (2011). </w:t>
      </w:r>
      <w:hyperlink r:id="rId135" w:history="1">
        <w:r w:rsidRPr="007A26A6">
          <w:rPr>
            <w:rStyle w:val="HyperlinkItalic"/>
            <w:rFonts w:cstheme="minorHAnsi"/>
            <w:szCs w:val="21"/>
            <w:lang w:val="en-GB"/>
          </w:rPr>
          <w:t>National Plan to reduce violence against women and their children 2010–2022</w:t>
        </w:r>
      </w:hyperlink>
      <w:r w:rsidRPr="007A26A6">
        <w:rPr>
          <w:rFonts w:eastAsiaTheme="minorHAnsi" w:cstheme="minorHAnsi"/>
          <w:szCs w:val="21"/>
          <w:lang w:val="en-GB"/>
        </w:rPr>
        <w:t>.</w:t>
      </w:r>
    </w:p>
  </w:endnote>
  <w:endnote w:id="120">
    <w:p w14:paraId="3E34D5C0" w14:textId="747EDC8F"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r>
      <w:r w:rsidRPr="007A26A6">
        <w:rPr>
          <w:rFonts w:eastAsiaTheme="minorHAnsi" w:cstheme="minorHAnsi"/>
          <w:szCs w:val="21"/>
          <w:lang w:val="en-GB"/>
        </w:rPr>
        <w:t xml:space="preserve">Council of Australian Governments. (2011). </w:t>
      </w:r>
      <w:hyperlink r:id="rId136" w:history="1">
        <w:r w:rsidRPr="007A26A6">
          <w:rPr>
            <w:rStyle w:val="HyperlinkItalic"/>
            <w:rFonts w:cstheme="minorHAnsi"/>
            <w:szCs w:val="21"/>
            <w:lang w:val="en-GB"/>
          </w:rPr>
          <w:t>National Plan to reduce violence against women and their children 2010–2022</w:t>
        </w:r>
      </w:hyperlink>
      <w:r w:rsidRPr="007A26A6">
        <w:rPr>
          <w:rFonts w:eastAsiaTheme="minorHAnsi" w:cstheme="minorHAnsi"/>
          <w:szCs w:val="21"/>
          <w:lang w:val="en-GB"/>
        </w:rPr>
        <w:t>. p. 33.</w:t>
      </w:r>
    </w:p>
  </w:endnote>
  <w:endnote w:id="121">
    <w:p w14:paraId="0BF90444" w14:textId="41E062C5"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r>
      <w:r w:rsidRPr="007A26A6">
        <w:rPr>
          <w:rFonts w:eastAsiaTheme="minorHAnsi" w:cstheme="minorHAnsi"/>
          <w:szCs w:val="21"/>
          <w:lang w:val="en-GB"/>
        </w:rPr>
        <w:t xml:space="preserve">Batiwala, S., &amp; Pittman, A. (2010). </w:t>
      </w:r>
      <w:hyperlink r:id="rId137" w:history="1">
        <w:r w:rsidRPr="007A26A6">
          <w:rPr>
            <w:rStyle w:val="HyperlinkItalic"/>
            <w:rFonts w:cstheme="minorHAnsi"/>
            <w:szCs w:val="21"/>
          </w:rPr>
          <w:t>Capturing change in women’s realities: A critical overview of current monitoring and evaluation frameworks and approaches</w:t>
        </w:r>
      </w:hyperlink>
      <w:r w:rsidRPr="007A26A6">
        <w:rPr>
          <w:rFonts w:eastAsiaTheme="minorHAnsi" w:cstheme="minorHAnsi"/>
          <w:szCs w:val="21"/>
          <w:lang w:val="en-GB"/>
        </w:rPr>
        <w:t>. Association for Women’s Rights in Development: Canada; Mexico; South Africa. p. 10. Retrieved 6 May 2020</w:t>
      </w:r>
      <w:r w:rsidRPr="007A26A6">
        <w:rPr>
          <w:rFonts w:cstheme="minorHAnsi"/>
          <w:szCs w:val="21"/>
        </w:rPr>
        <w:t>.</w:t>
      </w:r>
    </w:p>
  </w:endnote>
  <w:endnote w:id="122">
    <w:p w14:paraId="6B254C30" w14:textId="5839ED1E" w:rsidR="00F53B39" w:rsidRPr="007A26A6" w:rsidRDefault="00F53B39" w:rsidP="00790783">
      <w:pPr>
        <w:pStyle w:val="EndnoteText"/>
        <w:rPr>
          <w:rFonts w:cstheme="minorHAnsi"/>
          <w:szCs w:val="21"/>
          <w:highlight w:val="yellow"/>
        </w:rPr>
      </w:pPr>
      <w:r w:rsidRPr="007A26A6">
        <w:rPr>
          <w:rFonts w:cstheme="minorHAnsi"/>
          <w:szCs w:val="21"/>
        </w:rPr>
        <w:endnoteRef/>
      </w:r>
      <w:r w:rsidRPr="007A26A6">
        <w:rPr>
          <w:rFonts w:cstheme="minorHAnsi"/>
          <w:szCs w:val="21"/>
        </w:rPr>
        <w:tab/>
      </w:r>
      <w:r w:rsidRPr="007A26A6">
        <w:rPr>
          <w:rFonts w:cstheme="minorHAnsi"/>
          <w:szCs w:val="21"/>
          <w:lang w:val="en-US"/>
        </w:rPr>
        <w:t xml:space="preserve">Women’s Health In the North &amp; the Gender, Leadership and Social Sustainability Research Unit, Monash University. (2013). </w:t>
      </w:r>
      <w:hyperlink r:id="rId138" w:history="1">
        <w:r w:rsidRPr="007A26A6">
          <w:rPr>
            <w:rStyle w:val="HyperlinkItalic"/>
            <w:rFonts w:cstheme="minorHAnsi"/>
            <w:szCs w:val="21"/>
          </w:rPr>
          <w:t>Evaluation of the Northern Region Prevention of Violence against Women Strategy: Evaluation framework</w:t>
        </w:r>
      </w:hyperlink>
      <w:r w:rsidRPr="007A26A6">
        <w:rPr>
          <w:rStyle w:val="HyperlinkItalic"/>
          <w:rFonts w:cstheme="minorHAnsi"/>
          <w:szCs w:val="21"/>
        </w:rPr>
        <w:t>.</w:t>
      </w:r>
      <w:r w:rsidRPr="007A26A6">
        <w:rPr>
          <w:rFonts w:cstheme="minorHAnsi"/>
          <w:szCs w:val="21"/>
          <w:lang w:val="en-US"/>
        </w:rPr>
        <w:t xml:space="preserve"> Thornbury: Women’s Health In the North.</w:t>
      </w:r>
    </w:p>
  </w:endnote>
  <w:endnote w:id="123">
    <w:p w14:paraId="10E8C314" w14:textId="414A71AA" w:rsidR="00F53B39" w:rsidRPr="007A26A6" w:rsidRDefault="00F53B39" w:rsidP="00790783">
      <w:pPr>
        <w:pStyle w:val="EndnoteText"/>
        <w:rPr>
          <w:rFonts w:cstheme="minorHAnsi"/>
          <w:szCs w:val="21"/>
          <w:lang w:eastAsia="en-GB"/>
        </w:rPr>
      </w:pPr>
      <w:r w:rsidRPr="007A26A6">
        <w:rPr>
          <w:rFonts w:cstheme="minorHAnsi"/>
          <w:szCs w:val="21"/>
        </w:rPr>
        <w:endnoteRef/>
      </w:r>
      <w:r w:rsidRPr="007A26A6">
        <w:rPr>
          <w:rFonts w:cstheme="minorHAnsi"/>
          <w:szCs w:val="21"/>
        </w:rPr>
        <w:tab/>
        <w:t xml:space="preserve">Women’s Health East. (2016). </w:t>
      </w:r>
      <w:hyperlink r:id="rId139" w:history="1">
        <w:r w:rsidRPr="007A26A6">
          <w:rPr>
            <w:rStyle w:val="HyperlinkItalic"/>
            <w:rFonts w:cstheme="minorHAnsi"/>
            <w:szCs w:val="21"/>
          </w:rPr>
          <w:t>Together For Equality &amp; Respect (TFER) Evaluation Framework</w:t>
        </w:r>
      </w:hyperlink>
      <w:r w:rsidRPr="007A26A6">
        <w:rPr>
          <w:rFonts w:cstheme="minorHAnsi"/>
          <w:szCs w:val="21"/>
        </w:rPr>
        <w:t>. Retrieved 6 May 2020.</w:t>
      </w:r>
    </w:p>
  </w:endnote>
  <w:endnote w:id="124">
    <w:p w14:paraId="4C9090A2" w14:textId="5FF75176"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Haynes, M., McKay, R., Clague, D., Lam, J., Chainey, C., Povey, J., &amp; Western, M. (2017). </w:t>
      </w:r>
      <w:hyperlink r:id="rId140" w:history="1">
        <w:r w:rsidRPr="007A26A6">
          <w:rPr>
            <w:rStyle w:val="HyperlinkItalic"/>
            <w:rFonts w:cstheme="minorHAnsi"/>
            <w:szCs w:val="21"/>
          </w:rPr>
          <w:t>Evaluation framework for the domestic and family violence prevention strategy (2016–2026): Final report</w:t>
        </w:r>
      </w:hyperlink>
      <w:r w:rsidRPr="007A26A6">
        <w:rPr>
          <w:rFonts w:cstheme="minorHAnsi"/>
          <w:szCs w:val="21"/>
        </w:rPr>
        <w:t>. Prepared for the Department of Premier and Cabinet (Qld) by the Institute of Social Science Research, The University of Queensland. Retrieved 6 May 2020.</w:t>
      </w:r>
    </w:p>
  </w:endnote>
  <w:endnote w:id="125">
    <w:p w14:paraId="610983CC" w14:textId="2DFCF961"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Inner North West Primary Care Partnership and Melbourne School of Global and Population Health, The University of Melbourne. (2016). </w:t>
      </w:r>
      <w:hyperlink r:id="rId141" w:history="1">
        <w:r w:rsidRPr="007A26A6">
          <w:rPr>
            <w:rStyle w:val="HyperlinkItalic"/>
            <w:rFonts w:cstheme="minorHAnsi"/>
            <w:szCs w:val="21"/>
          </w:rPr>
          <w:t>INCEPT Inner North West Collaborative Evaluation Project: INCEPT evaluation guide</w:t>
        </w:r>
      </w:hyperlink>
      <w:r w:rsidRPr="007A26A6">
        <w:rPr>
          <w:rFonts w:cstheme="minorHAnsi"/>
          <w:szCs w:val="21"/>
        </w:rPr>
        <w:t>. March 2016. Retrieved 6 May 2020.</w:t>
      </w:r>
    </w:p>
  </w:endnote>
  <w:endnote w:id="126">
    <w:p w14:paraId="451206FF" w14:textId="5CF7CC16" w:rsidR="00F53B39" w:rsidRPr="007A26A6" w:rsidRDefault="00F53B39" w:rsidP="000F43ED">
      <w:pPr>
        <w:pStyle w:val="EndnoteText"/>
        <w:rPr>
          <w:rFonts w:cstheme="minorHAnsi"/>
          <w:szCs w:val="21"/>
        </w:rPr>
      </w:pPr>
      <w:r w:rsidRPr="007A26A6">
        <w:rPr>
          <w:rFonts w:cstheme="minorHAnsi"/>
          <w:szCs w:val="21"/>
        </w:rPr>
        <w:endnoteRef/>
      </w:r>
      <w:r w:rsidRPr="007A26A6">
        <w:rPr>
          <w:rFonts w:cstheme="minorHAnsi"/>
          <w:szCs w:val="21"/>
        </w:rPr>
        <w:tab/>
        <w:t xml:space="preserve">Women’s Health In the North &amp; the Gender, Leadership and Social Sustainability Research Unit, Monash University. (2013). </w:t>
      </w:r>
      <w:hyperlink r:id="rId142" w:history="1">
        <w:r w:rsidRPr="007A26A6">
          <w:rPr>
            <w:rStyle w:val="HyperlinkItalic"/>
            <w:rFonts w:cstheme="minorHAnsi"/>
            <w:szCs w:val="21"/>
          </w:rPr>
          <w:t>Evaluation of the Northern Region Prevention of Violence against Women Strategy: Evaluation framework</w:t>
        </w:r>
      </w:hyperlink>
      <w:r w:rsidRPr="007A26A6">
        <w:rPr>
          <w:rFonts w:cstheme="minorHAnsi"/>
          <w:szCs w:val="21"/>
        </w:rPr>
        <w:t>.</w:t>
      </w:r>
    </w:p>
  </w:endnote>
  <w:endnote w:id="127">
    <w:p w14:paraId="124D9AC4" w14:textId="295D5DA2"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The University of Melbourne. (2020). </w:t>
      </w:r>
      <w:hyperlink r:id="rId143" w:history="1">
        <w:r w:rsidRPr="007A26A6">
          <w:rPr>
            <w:rStyle w:val="HyperlinkItalic"/>
            <w:rFonts w:cstheme="minorHAnsi"/>
            <w:szCs w:val="21"/>
          </w:rPr>
          <w:t>Violence against people with disabilities: Using existing data to inform submissions to the Disability Royal Commission</w:t>
        </w:r>
      </w:hyperlink>
      <w:r w:rsidRPr="007A26A6">
        <w:rPr>
          <w:rFonts w:cstheme="minorHAnsi"/>
          <w:szCs w:val="21"/>
        </w:rPr>
        <w:t>. Retrieved 5 May 2020.</w:t>
      </w:r>
    </w:p>
  </w:endnote>
  <w:endnote w:id="128">
    <w:p w14:paraId="46370D4C" w14:textId="7DDDCA11"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r>
      <w:r w:rsidRPr="007A26A6">
        <w:rPr>
          <w:rFonts w:cstheme="minorHAnsi"/>
          <w:iCs/>
          <w:szCs w:val="21"/>
        </w:rPr>
        <w:t xml:space="preserve">Health Outcomes International. (2014). </w:t>
      </w:r>
      <w:hyperlink r:id="rId144" w:history="1">
        <w:r w:rsidRPr="007A26A6">
          <w:rPr>
            <w:rStyle w:val="HyperlinkItalic"/>
            <w:rFonts w:cstheme="minorHAnsi"/>
            <w:szCs w:val="21"/>
          </w:rPr>
          <w:t>National Plan to reduce violence against women and their children 2010–2022: Evaluation plan</w:t>
        </w:r>
      </w:hyperlink>
      <w:r w:rsidRPr="007A26A6">
        <w:rPr>
          <w:rFonts w:eastAsiaTheme="minorHAnsi" w:cstheme="minorHAnsi"/>
          <w:i/>
          <w:szCs w:val="21"/>
          <w:lang w:val="en-GB"/>
        </w:rPr>
        <w:t xml:space="preserve">. </w:t>
      </w:r>
      <w:r w:rsidRPr="007A26A6">
        <w:rPr>
          <w:rFonts w:eastAsiaTheme="minorHAnsi" w:cstheme="minorHAnsi"/>
          <w:szCs w:val="21"/>
          <w:lang w:val="en-GB"/>
        </w:rPr>
        <w:t>Retrieved 5 May 2020</w:t>
      </w:r>
      <w:r w:rsidRPr="007A26A6">
        <w:rPr>
          <w:rFonts w:cstheme="minorHAnsi"/>
          <w:szCs w:val="21"/>
        </w:rPr>
        <w:t>.</w:t>
      </w:r>
    </w:p>
  </w:endnote>
  <w:endnote w:id="129">
    <w:p w14:paraId="4905EA03" w14:textId="409DF38C"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r>
      <w:r w:rsidRPr="007A26A6">
        <w:rPr>
          <w:rFonts w:cstheme="minorHAnsi"/>
          <w:iCs/>
          <w:szCs w:val="21"/>
        </w:rPr>
        <w:t xml:space="preserve">Health Outcomes International. (2014). </w:t>
      </w:r>
      <w:hyperlink r:id="rId145" w:history="1">
        <w:r w:rsidRPr="007A26A6">
          <w:rPr>
            <w:rStyle w:val="HyperlinkItalic"/>
            <w:rFonts w:cstheme="minorHAnsi"/>
            <w:szCs w:val="21"/>
          </w:rPr>
          <w:t>National Plan to reduce violence against women and their children 2010–2022: Evaluation plan</w:t>
        </w:r>
      </w:hyperlink>
      <w:r w:rsidRPr="007A26A6">
        <w:rPr>
          <w:rFonts w:eastAsiaTheme="minorHAnsi" w:cstheme="minorHAnsi"/>
          <w:iCs/>
          <w:szCs w:val="21"/>
          <w:lang w:val="en-GB"/>
        </w:rPr>
        <w:t xml:space="preserve">. p. </w:t>
      </w:r>
      <w:r w:rsidRPr="007A26A6">
        <w:rPr>
          <w:rFonts w:cstheme="minorHAnsi"/>
          <w:szCs w:val="21"/>
        </w:rPr>
        <w:t>2.</w:t>
      </w:r>
    </w:p>
  </w:endnote>
  <w:endnote w:id="130">
    <w:p w14:paraId="02EF40EC" w14:textId="069527FE"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r>
      <w:r w:rsidRPr="007A26A6">
        <w:rPr>
          <w:rFonts w:cstheme="minorHAnsi"/>
          <w:iCs/>
          <w:szCs w:val="21"/>
        </w:rPr>
        <w:t xml:space="preserve">Productivity Commission. (n.d.). </w:t>
      </w:r>
      <w:hyperlink r:id="rId146" w:anchor="draft" w:history="1">
        <w:r w:rsidRPr="007A26A6">
          <w:rPr>
            <w:rStyle w:val="HyperlinkItalic"/>
            <w:rFonts w:cstheme="minorHAnsi"/>
            <w:szCs w:val="21"/>
          </w:rPr>
          <w:t>Indigenous evaluation strategy</w:t>
        </w:r>
      </w:hyperlink>
      <w:r w:rsidRPr="007A26A6">
        <w:rPr>
          <w:rFonts w:cstheme="minorHAnsi"/>
          <w:i/>
          <w:szCs w:val="21"/>
        </w:rPr>
        <w:t>.</w:t>
      </w:r>
      <w:r w:rsidRPr="007A26A6">
        <w:rPr>
          <w:rFonts w:cstheme="minorHAnsi"/>
          <w:iCs/>
          <w:szCs w:val="21"/>
        </w:rPr>
        <w:t xml:space="preserve"> Retrieved 6 May 2020</w:t>
      </w:r>
      <w:r w:rsidRPr="007A26A6">
        <w:rPr>
          <w:rFonts w:cstheme="minorHAnsi"/>
          <w:szCs w:val="21"/>
        </w:rPr>
        <w:t>.</w:t>
      </w:r>
    </w:p>
  </w:endnote>
  <w:endnote w:id="131">
    <w:p w14:paraId="2F9A4A51" w14:textId="232BDE7E"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Victorian Government. (2017). </w:t>
      </w:r>
      <w:hyperlink r:id="rId147" w:history="1">
        <w:r w:rsidRPr="007A26A6">
          <w:rPr>
            <w:rStyle w:val="HyperlinkItalic"/>
            <w:rFonts w:cstheme="minorHAnsi"/>
            <w:szCs w:val="21"/>
          </w:rPr>
          <w:t>Free from violence: Victoria’s strategy to prevent family violence and all forms of violence against women</w:t>
        </w:r>
        <w:r w:rsidRPr="007A26A6">
          <w:rPr>
            <w:rStyle w:val="Hyperlink"/>
            <w:rFonts w:cstheme="minorHAnsi"/>
            <w:i/>
            <w:iCs/>
            <w:szCs w:val="21"/>
          </w:rPr>
          <w:t>.</w:t>
        </w:r>
      </w:hyperlink>
      <w:r w:rsidRPr="007A26A6">
        <w:rPr>
          <w:rFonts w:cstheme="minorHAnsi"/>
          <w:szCs w:val="21"/>
        </w:rPr>
        <w:t xml:space="preserve"> Melbourne: Australia.</w:t>
      </w:r>
    </w:p>
  </w:endnote>
  <w:endnote w:id="132">
    <w:p w14:paraId="4D21E230" w14:textId="6503497C"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Haynes, M. et al. (2017). </w:t>
      </w:r>
      <w:hyperlink r:id="rId148" w:history="1">
        <w:r w:rsidRPr="007A26A6">
          <w:rPr>
            <w:rStyle w:val="HyperlinkItalic"/>
            <w:rFonts w:cstheme="minorHAnsi"/>
            <w:szCs w:val="21"/>
          </w:rPr>
          <w:t>Evaluation framework for the domestic and family violence prevention strategy (2016–2026): Final report</w:t>
        </w:r>
      </w:hyperlink>
      <w:r w:rsidRPr="007A26A6">
        <w:rPr>
          <w:rFonts w:cstheme="minorHAnsi"/>
          <w:szCs w:val="21"/>
        </w:rPr>
        <w:t>.</w:t>
      </w:r>
    </w:p>
  </w:endnote>
  <w:endnote w:id="133">
    <w:p w14:paraId="27EF3756" w14:textId="4A26FF5A"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Women’s Health East. (2016). </w:t>
      </w:r>
      <w:hyperlink r:id="rId149" w:history="1">
        <w:r w:rsidRPr="007A26A6">
          <w:rPr>
            <w:rStyle w:val="HyperlinkItalic"/>
            <w:rFonts w:cstheme="minorHAnsi"/>
            <w:szCs w:val="21"/>
          </w:rPr>
          <w:t>Together For Equality &amp; Respect (TFER) Evaluation Framework</w:t>
        </w:r>
        <w:r w:rsidRPr="007A26A6">
          <w:rPr>
            <w:rStyle w:val="Hyperlink"/>
            <w:rFonts w:cstheme="minorHAnsi"/>
            <w:szCs w:val="21"/>
          </w:rPr>
          <w:t>.</w:t>
        </w:r>
      </w:hyperlink>
    </w:p>
  </w:endnote>
  <w:endnote w:id="134">
    <w:p w14:paraId="167F6787" w14:textId="551EE959" w:rsidR="00F53B39" w:rsidRPr="007A26A6" w:rsidRDefault="00F53B39" w:rsidP="00790783">
      <w:pPr>
        <w:pStyle w:val="EndnoteText"/>
        <w:rPr>
          <w:rFonts w:cstheme="minorHAnsi"/>
          <w:szCs w:val="21"/>
          <w:lang w:val="en-US"/>
        </w:rPr>
      </w:pPr>
      <w:r w:rsidRPr="007A26A6">
        <w:rPr>
          <w:rFonts w:cstheme="minorHAnsi"/>
          <w:szCs w:val="21"/>
        </w:rPr>
        <w:endnoteRef/>
      </w:r>
      <w:r w:rsidRPr="007A26A6">
        <w:rPr>
          <w:rFonts w:cstheme="minorHAnsi"/>
          <w:szCs w:val="21"/>
        </w:rPr>
        <w:tab/>
      </w:r>
      <w:r w:rsidRPr="007A26A6">
        <w:rPr>
          <w:rFonts w:cstheme="minorHAnsi"/>
          <w:szCs w:val="21"/>
          <w:lang w:val="en-US"/>
        </w:rPr>
        <w:t xml:space="preserve">Women’s Health In the North &amp; the Gender, Leadership and Social Sustainability Research Unit, Monash University. (2013). </w:t>
      </w:r>
      <w:hyperlink r:id="rId150" w:history="1">
        <w:r w:rsidRPr="007A26A6">
          <w:rPr>
            <w:rStyle w:val="HyperlinkItalic"/>
            <w:rFonts w:cstheme="minorHAnsi"/>
            <w:szCs w:val="21"/>
          </w:rPr>
          <w:t>Evaluation of the Northern Region Prevention of Violence against Women Strategy: Evaluation framework</w:t>
        </w:r>
      </w:hyperlink>
      <w:r w:rsidRPr="007A26A6">
        <w:rPr>
          <w:rFonts w:cstheme="minorHAnsi"/>
          <w:szCs w:val="21"/>
          <w:lang w:val="en-US"/>
        </w:rPr>
        <w:t>.</w:t>
      </w:r>
    </w:p>
  </w:endnote>
  <w:endnote w:id="135">
    <w:p w14:paraId="22BF6FAC" w14:textId="1DEAEA61" w:rsidR="00F53B39" w:rsidRPr="007A26A6" w:rsidRDefault="00F53B39" w:rsidP="00AA0D32">
      <w:pPr>
        <w:pStyle w:val="EndnoteText"/>
        <w:rPr>
          <w:rFonts w:cstheme="minorHAnsi"/>
          <w:szCs w:val="21"/>
        </w:rPr>
      </w:pPr>
      <w:r w:rsidRPr="007A26A6">
        <w:rPr>
          <w:rFonts w:cstheme="minorHAnsi"/>
          <w:szCs w:val="21"/>
        </w:rPr>
        <w:endnoteRef/>
      </w:r>
      <w:r w:rsidRPr="007A26A6">
        <w:rPr>
          <w:rFonts w:cstheme="minorHAnsi"/>
          <w:szCs w:val="21"/>
        </w:rPr>
        <w:tab/>
        <w:t xml:space="preserve">GEN VIC (2019). </w:t>
      </w:r>
      <w:hyperlink r:id="rId151" w:history="1">
        <w:r w:rsidRPr="007A26A6">
          <w:rPr>
            <w:rStyle w:val="Hyperlink"/>
            <w:rFonts w:eastAsia="Times New Roman" w:cstheme="minorHAnsi"/>
            <w:i/>
            <w:szCs w:val="21"/>
          </w:rPr>
          <w:t>Evaluating projects to prevent the violence against women fact sheet</w:t>
        </w:r>
      </w:hyperlink>
      <w:r w:rsidRPr="007A26A6">
        <w:rPr>
          <w:rFonts w:eastAsia="Times New Roman" w:cstheme="minorHAnsi"/>
          <w:szCs w:val="21"/>
        </w:rPr>
        <w:t xml:space="preserve">. </w:t>
      </w:r>
      <w:r w:rsidRPr="007A26A6">
        <w:rPr>
          <w:rFonts w:eastAsia="Times New Roman" w:cstheme="minorHAnsi"/>
          <w:iCs/>
          <w:szCs w:val="21"/>
        </w:rPr>
        <w:t>Retrieved 6 </w:t>
      </w:r>
      <w:r w:rsidRPr="007A26A6">
        <w:rPr>
          <w:rFonts w:cstheme="minorHAnsi"/>
          <w:szCs w:val="21"/>
        </w:rPr>
        <w:t>May 2020.</w:t>
      </w:r>
    </w:p>
    <w:p w14:paraId="252BF14D" w14:textId="582E460E" w:rsidR="00F53B39" w:rsidRPr="007A26A6" w:rsidRDefault="00F53B39" w:rsidP="00AA0D32">
      <w:pPr>
        <w:pStyle w:val="OWEndnotetextindent"/>
        <w:rPr>
          <w:rFonts w:cstheme="minorHAnsi"/>
        </w:rPr>
      </w:pPr>
      <w:r w:rsidRPr="007A26A6">
        <w:rPr>
          <w:rFonts w:cstheme="minorHAnsi"/>
        </w:rPr>
        <w:t xml:space="preserve">VicHealth. (2015). </w:t>
      </w:r>
      <w:hyperlink r:id="rId152" w:history="1">
        <w:r w:rsidRPr="007A26A6">
          <w:rPr>
            <w:rStyle w:val="HyperlinkItalic"/>
            <w:rFonts w:cstheme="minorHAnsi"/>
          </w:rPr>
          <w:t>Evaluating Victorian projects for the primary prevention of violence against women: A concise guide</w:t>
        </w:r>
        <w:r w:rsidRPr="007A26A6">
          <w:rPr>
            <w:rStyle w:val="Hyperlink"/>
            <w:rFonts w:cstheme="minorHAnsi"/>
          </w:rPr>
          <w:t>.</w:t>
        </w:r>
      </w:hyperlink>
      <w:r w:rsidRPr="007A26A6">
        <w:rPr>
          <w:rFonts w:cstheme="minorHAnsi"/>
        </w:rPr>
        <w:t xml:space="preserve"> Victorian Health Promotion Foundation, Melbourne, Australia.</w:t>
      </w:r>
    </w:p>
    <w:p w14:paraId="4260EC45" w14:textId="0242777C" w:rsidR="00F53B39" w:rsidRPr="007A26A6" w:rsidRDefault="00F53B39" w:rsidP="00AA0D32">
      <w:pPr>
        <w:pStyle w:val="OWEndnotetextindent"/>
        <w:rPr>
          <w:rFonts w:cstheme="minorHAnsi"/>
        </w:rPr>
      </w:pPr>
      <w:r w:rsidRPr="007A26A6">
        <w:rPr>
          <w:rFonts w:cstheme="minorHAnsi"/>
        </w:rPr>
        <w:t xml:space="preserve">Batliwalak, S., &amp; Pittman, A. (2010). </w:t>
      </w:r>
      <w:hyperlink r:id="rId153" w:history="1">
        <w:r w:rsidRPr="007A26A6">
          <w:rPr>
            <w:rStyle w:val="Hyperlink"/>
            <w:rFonts w:cstheme="minorHAnsi"/>
            <w:i/>
          </w:rPr>
          <w:t>Capturing change in women’s realities: A critical overview of current monitoring and evaluation frameworks</w:t>
        </w:r>
      </w:hyperlink>
      <w:r w:rsidRPr="007A26A6">
        <w:rPr>
          <w:rFonts w:cstheme="minorHAnsi"/>
        </w:rPr>
        <w:t xml:space="preserve"> and approaches, Retrieved 6 May 2020.</w:t>
      </w:r>
    </w:p>
  </w:endnote>
  <w:endnote w:id="136">
    <w:p w14:paraId="1B54EEDB" w14:textId="4AEE6ED8"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Flood, M. (2008). </w:t>
      </w:r>
      <w:hyperlink r:id="rId154" w:history="1">
        <w:r w:rsidRPr="007A26A6">
          <w:rPr>
            <w:rStyle w:val="HyperlinkItalic"/>
            <w:rFonts w:cstheme="minorHAnsi"/>
            <w:szCs w:val="21"/>
          </w:rPr>
          <w:t>Measures for the assessment of dimensions of violence against women: A compendium</w:t>
        </w:r>
      </w:hyperlink>
      <w:r w:rsidRPr="007A26A6">
        <w:rPr>
          <w:rFonts w:cstheme="minorHAnsi"/>
          <w:szCs w:val="21"/>
        </w:rPr>
        <w:t>. Unpublished. Melbourne: Australian Research Centre in Sex, Health and Society, La Trobe University. Retrieved 6 May 2020.</w:t>
      </w:r>
    </w:p>
  </w:endnote>
  <w:endnote w:id="137">
    <w:p w14:paraId="245C0E98" w14:textId="409E2C0E"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VicHealth. (2015). </w:t>
      </w:r>
      <w:r w:rsidRPr="007A26A6">
        <w:rPr>
          <w:rStyle w:val="Emphasis"/>
          <w:rFonts w:cstheme="minorHAnsi"/>
          <w:szCs w:val="21"/>
        </w:rPr>
        <w:t>Evaluating Victorian projects for the primary prevention of violence against women</w:t>
      </w:r>
      <w:r w:rsidRPr="007A26A6">
        <w:rPr>
          <w:rFonts w:cstheme="minorHAnsi"/>
          <w:szCs w:val="21"/>
        </w:rPr>
        <w:t>.</w:t>
      </w:r>
    </w:p>
  </w:endnote>
  <w:endnote w:id="138">
    <w:p w14:paraId="7AA8982F" w14:textId="381F210C"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Department of Foreign Affairs and Trade. (2015). </w:t>
      </w:r>
      <w:hyperlink r:id="rId155" w:history="1">
        <w:r w:rsidRPr="007A26A6">
          <w:rPr>
            <w:rStyle w:val="HyperlinkItalic"/>
            <w:rFonts w:cstheme="minorHAnsi"/>
            <w:szCs w:val="21"/>
          </w:rPr>
          <w:t>Gender equality in monitoring and evaluation: Good practice note</w:t>
        </w:r>
      </w:hyperlink>
      <w:r w:rsidRPr="007A26A6">
        <w:rPr>
          <w:rFonts w:cstheme="minorHAnsi"/>
          <w:szCs w:val="21"/>
        </w:rPr>
        <w:t>. Department of Foreign Affairs and Trade, Australian Government. Retrieved 6 May 2020.</w:t>
      </w:r>
    </w:p>
  </w:endnote>
  <w:endnote w:id="139">
    <w:p w14:paraId="30E34168" w14:textId="1D43AC44"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McEwen, C. (2018). </w:t>
      </w:r>
      <w:hyperlink r:id="rId156" w:history="1">
        <w:r w:rsidRPr="007A26A6">
          <w:rPr>
            <w:rStyle w:val="HyperlinkItalic"/>
            <w:rFonts w:cstheme="minorHAnsi"/>
            <w:szCs w:val="21"/>
          </w:rPr>
          <w:t>A guide to evaluating interventions related to violence against women</w:t>
        </w:r>
      </w:hyperlink>
      <w:r w:rsidRPr="007A26A6">
        <w:rPr>
          <w:rFonts w:cstheme="minorHAnsi"/>
          <w:szCs w:val="21"/>
        </w:rPr>
        <w:t xml:space="preserve"> (ANROWS Insights, no. 3, 2018). Sydney, Australia: ANROWS.</w:t>
      </w:r>
    </w:p>
  </w:endnote>
  <w:endnote w:id="140">
    <w:p w14:paraId="1950EFDA" w14:textId="48347D8D"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GEN VIC. (2019). </w:t>
      </w:r>
      <w:hyperlink r:id="rId157" w:history="1">
        <w:r w:rsidRPr="007A26A6">
          <w:rPr>
            <w:rStyle w:val="HyperlinkItalic"/>
            <w:rFonts w:cstheme="minorHAnsi"/>
            <w:szCs w:val="21"/>
          </w:rPr>
          <w:t>A practitioner’s fact sheet for evaluating projects working to prevent violence against women</w:t>
        </w:r>
      </w:hyperlink>
      <w:r w:rsidRPr="007A26A6">
        <w:rPr>
          <w:rFonts w:cstheme="minorHAnsi"/>
          <w:szCs w:val="21"/>
        </w:rPr>
        <w:t>. Retrieved 6 May 2020.</w:t>
      </w:r>
    </w:p>
  </w:endnote>
  <w:endnote w:id="141">
    <w:p w14:paraId="510E3318" w14:textId="20C163B0"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Maiam nayri Wingara. (2020). </w:t>
      </w:r>
      <w:hyperlink r:id="rId158" w:history="1">
        <w:r w:rsidRPr="007A26A6">
          <w:rPr>
            <w:rStyle w:val="HyperlinkItalic"/>
            <w:rFonts w:cstheme="minorHAnsi"/>
            <w:szCs w:val="21"/>
          </w:rPr>
          <w:t>It’s time for indigenous data sovereignty and governance in Australia</w:t>
        </w:r>
      </w:hyperlink>
      <w:r w:rsidRPr="007A26A6">
        <w:rPr>
          <w:rFonts w:cstheme="minorHAnsi"/>
          <w:szCs w:val="21"/>
        </w:rPr>
        <w:t>. Retrieved 5 May 2020.</w:t>
      </w:r>
    </w:p>
  </w:endnote>
  <w:endnote w:id="142">
    <w:p w14:paraId="28CB02B3" w14:textId="361A2C22"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r>
      <w:r w:rsidRPr="007A26A6">
        <w:rPr>
          <w:rFonts w:eastAsiaTheme="minorHAnsi" w:cstheme="minorHAnsi"/>
          <w:szCs w:val="21"/>
          <w:lang w:val="en-GB"/>
        </w:rPr>
        <w:t xml:space="preserve">UN Women. (2015). </w:t>
      </w:r>
      <w:hyperlink r:id="rId159" w:history="1">
        <w:r w:rsidRPr="007A26A6">
          <w:rPr>
            <w:rStyle w:val="HyperlinkItalic"/>
            <w:rFonts w:cstheme="minorHAnsi"/>
            <w:szCs w:val="21"/>
          </w:rPr>
          <w:t>How to design projects to end violence against women and girls: A step-by-step guide to taking action</w:t>
        </w:r>
      </w:hyperlink>
      <w:r w:rsidRPr="007A26A6">
        <w:rPr>
          <w:rFonts w:cstheme="minorHAnsi"/>
          <w:szCs w:val="21"/>
        </w:rPr>
        <w:t>.</w:t>
      </w:r>
      <w:r w:rsidRPr="007A26A6">
        <w:rPr>
          <w:rFonts w:eastAsiaTheme="minorHAnsi" w:cstheme="minorHAnsi"/>
          <w:szCs w:val="21"/>
          <w:lang w:val="en-GB"/>
        </w:rPr>
        <w:t xml:space="preserve"> Suva, Fiji: UN Women Pacific Multi-Country Office. Retrieved 6 May 2020</w:t>
      </w:r>
      <w:r w:rsidRPr="007A26A6">
        <w:rPr>
          <w:rFonts w:cstheme="minorHAnsi"/>
          <w:szCs w:val="21"/>
        </w:rPr>
        <w:t>.</w:t>
      </w:r>
    </w:p>
  </w:endnote>
  <w:endnote w:id="143">
    <w:p w14:paraId="0F3364D9" w14:textId="251BDBFC"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Australian Bureau of Statistics. (2019). </w:t>
      </w:r>
      <w:hyperlink r:id="rId160" w:history="1">
        <w:r w:rsidRPr="007A26A6">
          <w:rPr>
            <w:rStyle w:val="HyperlinkItalic"/>
            <w:rFonts w:cstheme="minorHAnsi"/>
            <w:szCs w:val="21"/>
          </w:rPr>
          <w:t>Gender Indicators, Australia</w:t>
        </w:r>
      </w:hyperlink>
      <w:r w:rsidRPr="007A26A6">
        <w:rPr>
          <w:rFonts w:cstheme="minorHAnsi"/>
          <w:szCs w:val="21"/>
        </w:rPr>
        <w:t xml:space="preserve"> (4125.0). Retrieved 5 May 2020.</w:t>
      </w:r>
    </w:p>
  </w:endnote>
  <w:endnote w:id="144">
    <w:p w14:paraId="41B087D0" w14:textId="38D31EE6"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Australian Bureau of Statistics. (2018). </w:t>
      </w:r>
      <w:hyperlink r:id="rId161" w:history="1">
        <w:r w:rsidRPr="007A26A6">
          <w:rPr>
            <w:rStyle w:val="HyperlinkItalic"/>
            <w:rFonts w:cstheme="minorHAnsi"/>
            <w:szCs w:val="21"/>
          </w:rPr>
          <w:t>Directory of family, domestic, and sexual violence statistics</w:t>
        </w:r>
      </w:hyperlink>
      <w:r w:rsidRPr="007A26A6">
        <w:rPr>
          <w:rFonts w:cstheme="minorHAnsi"/>
          <w:szCs w:val="21"/>
        </w:rPr>
        <w:t xml:space="preserve"> (4533.0). Retrieved 5 May 2020.</w:t>
      </w:r>
    </w:p>
  </w:endnote>
  <w:endnote w:id="145">
    <w:p w14:paraId="2C570C22" w14:textId="16553AEB"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Women’s Health Victoria. (2020). </w:t>
      </w:r>
      <w:hyperlink r:id="rId162" w:anchor="!/" w:history="1">
        <w:r w:rsidRPr="007A26A6">
          <w:rPr>
            <w:rStyle w:val="HyperlinkItalic"/>
            <w:rFonts w:cstheme="minorHAnsi"/>
            <w:szCs w:val="21"/>
          </w:rPr>
          <w:t>Women’s health atlas</w:t>
        </w:r>
      </w:hyperlink>
      <w:r w:rsidRPr="007A26A6">
        <w:rPr>
          <w:rFonts w:cstheme="minorHAnsi"/>
          <w:szCs w:val="21"/>
        </w:rPr>
        <w:t xml:space="preserve">. </w:t>
      </w:r>
      <w:r w:rsidRPr="007A26A6">
        <w:rPr>
          <w:rFonts w:eastAsiaTheme="minorHAnsi" w:cstheme="minorHAnsi"/>
          <w:szCs w:val="21"/>
          <w:lang w:val="en-GB"/>
        </w:rPr>
        <w:t>Retrieved 5 May 2020</w:t>
      </w:r>
      <w:r w:rsidRPr="007A26A6">
        <w:rPr>
          <w:rFonts w:cstheme="minorHAnsi"/>
          <w:szCs w:val="21"/>
        </w:rPr>
        <w:t>.</w:t>
      </w:r>
    </w:p>
  </w:endnote>
  <w:endnote w:id="146">
    <w:p w14:paraId="22793877" w14:textId="5EC20949"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Australian Bureau of Statistics. (2017). </w:t>
      </w:r>
      <w:hyperlink r:id="rId163" w:history="1">
        <w:r w:rsidRPr="007A26A6">
          <w:rPr>
            <w:rStyle w:val="HyperlinkItalic"/>
            <w:rFonts w:cstheme="minorHAnsi"/>
            <w:szCs w:val="21"/>
          </w:rPr>
          <w:t>Personal Safety Survey, Australia</w:t>
        </w:r>
      </w:hyperlink>
      <w:r w:rsidRPr="007A26A6">
        <w:rPr>
          <w:rFonts w:cstheme="minorHAnsi"/>
          <w:szCs w:val="21"/>
        </w:rPr>
        <w:t xml:space="preserve"> (4906.0). Retrieved 5 May 2020.</w:t>
      </w:r>
    </w:p>
  </w:endnote>
  <w:endnote w:id="147">
    <w:p w14:paraId="1F77E4FB" w14:textId="54EB0D09" w:rsidR="00F53B39" w:rsidRPr="007A26A6" w:rsidRDefault="00F53B39" w:rsidP="00790783">
      <w:pPr>
        <w:pStyle w:val="EndnoteText"/>
        <w:rPr>
          <w:rFonts w:cstheme="minorHAnsi"/>
          <w:szCs w:val="21"/>
          <w:lang w:val="en-GB"/>
        </w:rPr>
      </w:pPr>
      <w:r w:rsidRPr="007A26A6">
        <w:rPr>
          <w:rFonts w:cstheme="minorHAnsi"/>
          <w:szCs w:val="21"/>
        </w:rPr>
        <w:endnoteRef/>
      </w:r>
      <w:r w:rsidRPr="007A26A6">
        <w:rPr>
          <w:rFonts w:cstheme="minorHAnsi"/>
          <w:szCs w:val="21"/>
        </w:rPr>
        <w:tab/>
      </w:r>
      <w:r w:rsidRPr="007A26A6">
        <w:rPr>
          <w:rFonts w:eastAsiaTheme="minorHAnsi" w:cstheme="minorHAnsi"/>
          <w:szCs w:val="21"/>
          <w:lang w:val="en-GB"/>
        </w:rPr>
        <w:t>Council of Australian Governments</w:t>
      </w:r>
      <w:r w:rsidRPr="007A26A6">
        <w:rPr>
          <w:rFonts w:cstheme="minorHAnsi"/>
          <w:szCs w:val="21"/>
        </w:rPr>
        <w:t>.</w:t>
      </w:r>
      <w:r w:rsidRPr="007A26A6">
        <w:rPr>
          <w:rFonts w:eastAsiaTheme="minorHAnsi" w:cstheme="minorHAnsi"/>
          <w:szCs w:val="21"/>
          <w:lang w:val="en-GB"/>
        </w:rPr>
        <w:t xml:space="preserve"> (2019). </w:t>
      </w:r>
      <w:hyperlink r:id="rId164" w:history="1">
        <w:r w:rsidRPr="007A26A6">
          <w:rPr>
            <w:rStyle w:val="HyperlinkItalic"/>
            <w:rFonts w:cstheme="minorHAnsi"/>
            <w:szCs w:val="21"/>
          </w:rPr>
          <w:t>Fourth Action Plan: National Plan to reduce violence against women and their children 2010–2022</w:t>
        </w:r>
      </w:hyperlink>
      <w:r w:rsidRPr="007A26A6">
        <w:rPr>
          <w:rFonts w:eastAsiaTheme="minorHAnsi" w:cstheme="minorHAnsi"/>
          <w:i/>
          <w:iCs/>
          <w:szCs w:val="21"/>
          <w:lang w:val="en-GB"/>
        </w:rPr>
        <w:t>.</w:t>
      </w:r>
    </w:p>
  </w:endnote>
  <w:endnote w:id="148">
    <w:p w14:paraId="55982A0E" w14:textId="585FF21A"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Ou</w:t>
      </w:r>
      <w:r w:rsidRPr="007A26A6">
        <w:rPr>
          <w:rFonts w:cstheme="minorHAnsi"/>
          <w:szCs w:val="21"/>
          <w:lang w:eastAsia="en-GB"/>
        </w:rPr>
        <w:t xml:space="preserve">r Watch, ANROWS, &amp; VicHealth. (2015). </w:t>
      </w:r>
      <w:hyperlink r:id="rId165" w:history="1">
        <w:r w:rsidRPr="007A26A6">
          <w:rPr>
            <w:rStyle w:val="HyperlinkItalic"/>
            <w:rFonts w:cstheme="minorHAnsi"/>
            <w:szCs w:val="21"/>
          </w:rPr>
          <w:t>Change the story: A shared framework for the primary prevention of violence against women and their children in Australia</w:t>
        </w:r>
      </w:hyperlink>
      <w:r w:rsidRPr="007A26A6">
        <w:rPr>
          <w:rFonts w:cstheme="minorHAnsi"/>
          <w:szCs w:val="21"/>
          <w:lang w:eastAsia="en-GB"/>
        </w:rPr>
        <w:t>.</w:t>
      </w:r>
    </w:p>
  </w:endnote>
  <w:endnote w:id="149">
    <w:p w14:paraId="26FEA9E3" w14:textId="73D7B57F"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Our Watch. (2018). </w:t>
      </w:r>
      <w:hyperlink r:id="rId166" w:history="1">
        <w:r w:rsidRPr="007A26A6">
          <w:rPr>
            <w:rStyle w:val="HyperlinkItalic"/>
            <w:rFonts w:cstheme="minorHAnsi"/>
            <w:szCs w:val="21"/>
          </w:rPr>
          <w:t>Changing the picture: A national resource to support the prevention of violence against Aboriginal and Torres Strait Islander women and their children</w:t>
        </w:r>
      </w:hyperlink>
      <w:r w:rsidRPr="007A26A6">
        <w:rPr>
          <w:rStyle w:val="HyperlinkItalic"/>
          <w:rFonts w:cstheme="minorHAnsi"/>
          <w:szCs w:val="21"/>
        </w:rPr>
        <w:t>.</w:t>
      </w:r>
    </w:p>
    <w:p w14:paraId="51816B2F" w14:textId="355AB21D" w:rsidR="00F53B39" w:rsidRPr="007A26A6" w:rsidRDefault="00F53B39" w:rsidP="00270F96">
      <w:pPr>
        <w:pStyle w:val="OWEndnotetextindent"/>
        <w:rPr>
          <w:rFonts w:cstheme="minorHAnsi"/>
        </w:rPr>
      </w:pPr>
      <w:r w:rsidRPr="007A26A6">
        <w:rPr>
          <w:rFonts w:cstheme="minorHAnsi"/>
        </w:rPr>
        <w:t xml:space="preserve">Chen, J. (2017). </w:t>
      </w:r>
      <w:hyperlink r:id="rId167" w:history="1">
        <w:r w:rsidRPr="007A26A6">
          <w:rPr>
            <w:rStyle w:val="HyperlinkItalic"/>
            <w:rFonts w:cstheme="minorHAnsi"/>
          </w:rPr>
          <w:t>Intersectionality matters: A guide to engaging immigrant and refugee communities in Australia</w:t>
        </w:r>
      </w:hyperlink>
      <w:r w:rsidRPr="007A26A6">
        <w:rPr>
          <w:rFonts w:cstheme="minorHAnsi"/>
        </w:rPr>
        <w:t>. Melbourne: Multicultural Centre for Women’s Health.</w:t>
      </w:r>
    </w:p>
    <w:p w14:paraId="49922FC1" w14:textId="736FC871" w:rsidR="00F53B39" w:rsidRPr="007A26A6" w:rsidRDefault="00F53B39" w:rsidP="009E36F1">
      <w:pPr>
        <w:pStyle w:val="OWEndnotetextindent"/>
        <w:rPr>
          <w:rFonts w:cstheme="minorHAnsi"/>
        </w:rPr>
      </w:pPr>
      <w:r w:rsidRPr="007A26A6">
        <w:rPr>
          <w:rFonts w:cstheme="minorHAnsi"/>
        </w:rPr>
        <w:t xml:space="preserve">Koleth, M., Serova, N., &amp; Trojanowska, B. K. (2020). </w:t>
      </w:r>
      <w:hyperlink r:id="rId168" w:history="1">
        <w:r w:rsidRPr="007A26A6">
          <w:rPr>
            <w:rStyle w:val="HyperlinkItalic"/>
            <w:rFonts w:cstheme="minorHAnsi"/>
          </w:rPr>
          <w:t>Prevention and safer pathways to services for migrant and refugee communities: Ten research insights from the Culturally and Linguistically Diverse Projects with Action Research</w:t>
        </w:r>
      </w:hyperlink>
      <w:r w:rsidRPr="007A26A6">
        <w:rPr>
          <w:rStyle w:val="Emphasis"/>
          <w:rFonts w:cstheme="minorHAnsi"/>
        </w:rPr>
        <w:t xml:space="preserve"> (CALD PAR) initiative</w:t>
      </w:r>
      <w:r w:rsidRPr="007A26A6">
        <w:rPr>
          <w:rFonts w:cstheme="minorHAnsi"/>
        </w:rPr>
        <w:t xml:space="preserve"> (ANROWS Insights, January 2020). Sydney, Australia: ANROWS.</w:t>
      </w:r>
    </w:p>
  </w:endnote>
  <w:endnote w:id="150">
    <w:p w14:paraId="083EE2B2" w14:textId="226982F3"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Our Watch. (2019). </w:t>
      </w:r>
      <w:hyperlink r:id="rId169" w:history="1">
        <w:r w:rsidRPr="007A26A6">
          <w:rPr>
            <w:rStyle w:val="HyperlinkItalic"/>
            <w:rFonts w:cstheme="minorHAnsi"/>
            <w:szCs w:val="21"/>
          </w:rPr>
          <w:t>Change the story three years on: Reflections on uptake and impact, lessons learned and Our Watch’s ongoing work to embed and expand the evidence on prevention</w:t>
        </w:r>
      </w:hyperlink>
      <w:r w:rsidRPr="007A26A6">
        <w:rPr>
          <w:rFonts w:cstheme="minorHAnsi"/>
          <w:szCs w:val="21"/>
        </w:rPr>
        <w:t>. p. 36.</w:t>
      </w:r>
    </w:p>
  </w:endnote>
  <w:endnote w:id="151">
    <w:p w14:paraId="6F8B897F" w14:textId="44D16D55" w:rsidR="00F53B39" w:rsidRPr="007A26A6" w:rsidRDefault="00F53B39">
      <w:pPr>
        <w:pStyle w:val="EndnoteText"/>
        <w:rPr>
          <w:rFonts w:cstheme="minorHAnsi"/>
          <w:szCs w:val="21"/>
        </w:rPr>
      </w:pPr>
      <w:r w:rsidRPr="007A26A6">
        <w:rPr>
          <w:rFonts w:cstheme="minorHAnsi"/>
          <w:szCs w:val="21"/>
        </w:rPr>
        <w:endnoteRef/>
      </w:r>
      <w:r w:rsidRPr="007A26A6">
        <w:rPr>
          <w:rFonts w:cstheme="minorHAnsi"/>
          <w:szCs w:val="21"/>
        </w:rPr>
        <w:tab/>
        <w:t xml:space="preserve">Women’s Health in the North &amp; Inner North West Partnership. (2019). </w:t>
      </w:r>
      <w:hyperlink r:id="rId170" w:history="1">
        <w:r w:rsidRPr="007A26A6">
          <w:rPr>
            <w:rStyle w:val="HyperlinkItalic"/>
            <w:rFonts w:cstheme="minorHAnsi"/>
            <w:szCs w:val="21"/>
          </w:rPr>
          <w:t>Building a Respectful Community Evaluation Report 2017–19</w:t>
        </w:r>
      </w:hyperlink>
      <w:r w:rsidRPr="007A26A6">
        <w:rPr>
          <w:rFonts w:cstheme="minorHAnsi"/>
          <w:szCs w:val="21"/>
        </w:rPr>
        <w:t>. Thornbury: Women’s Health in the North.</w:t>
      </w:r>
    </w:p>
  </w:endnote>
  <w:endnote w:id="152">
    <w:p w14:paraId="5726CE3D" w14:textId="315C338A"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Australian Women Against Violence Alliance. (2019). </w:t>
      </w:r>
      <w:hyperlink r:id="rId171" w:history="1">
        <w:r w:rsidRPr="007A26A6">
          <w:rPr>
            <w:rStyle w:val="HyperlinkItalic"/>
            <w:rFonts w:cstheme="minorHAnsi"/>
            <w:szCs w:val="21"/>
          </w:rPr>
          <w:t>Primary prevention of violence against women: A survey of activities in Australia</w:t>
        </w:r>
      </w:hyperlink>
      <w:r w:rsidRPr="007A26A6">
        <w:rPr>
          <w:rFonts w:cstheme="minorHAnsi"/>
          <w:i/>
          <w:iCs/>
          <w:szCs w:val="21"/>
        </w:rPr>
        <w:t>.</w:t>
      </w:r>
      <w:r w:rsidRPr="007A26A6">
        <w:rPr>
          <w:rFonts w:cstheme="minorHAnsi"/>
          <w:szCs w:val="21"/>
        </w:rPr>
        <w:t xml:space="preserve"> Canberra: AWAVA. Retrieved 6 May 2020.</w:t>
      </w:r>
    </w:p>
  </w:endnote>
  <w:endnote w:id="153">
    <w:p w14:paraId="06C2D2CE" w14:textId="393210EC"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Our Watch. (2018). </w:t>
      </w:r>
      <w:hyperlink r:id="rId172" w:history="1">
        <w:r w:rsidRPr="007A26A6">
          <w:rPr>
            <w:rStyle w:val="HyperlinkItalic"/>
            <w:rFonts w:cstheme="minorHAnsi"/>
            <w:szCs w:val="21"/>
          </w:rPr>
          <w:t>Changing the picture: A national resource to support the prevention of violence against Aboriginal and Torres Strait Islander women and their children</w:t>
        </w:r>
      </w:hyperlink>
      <w:r w:rsidRPr="007A26A6">
        <w:rPr>
          <w:rFonts w:cstheme="minorHAnsi"/>
          <w:szCs w:val="21"/>
        </w:rPr>
        <w:t>.</w:t>
      </w:r>
    </w:p>
  </w:endnote>
  <w:endnote w:id="154">
    <w:p w14:paraId="7B1DD7BD" w14:textId="50BFF4C4"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Australian Women Against Violence Alliance. (2019). </w:t>
      </w:r>
      <w:hyperlink r:id="rId173" w:history="1">
        <w:r w:rsidRPr="007A26A6">
          <w:rPr>
            <w:rStyle w:val="HyperlinkItalic"/>
            <w:rFonts w:cstheme="minorHAnsi"/>
            <w:szCs w:val="21"/>
          </w:rPr>
          <w:t>Primary prevention of violence against women: A survey of activities in Australia</w:t>
        </w:r>
      </w:hyperlink>
      <w:r w:rsidRPr="007A26A6">
        <w:rPr>
          <w:rFonts w:cstheme="minorHAnsi"/>
          <w:i/>
          <w:iCs/>
          <w:szCs w:val="21"/>
        </w:rPr>
        <w:t>.</w:t>
      </w:r>
    </w:p>
  </w:endnote>
  <w:endnote w:id="155">
    <w:p w14:paraId="11CFE7ED" w14:textId="6F1DE488" w:rsidR="00F53B39" w:rsidRPr="007A26A6" w:rsidRDefault="00F53B39" w:rsidP="009E36F1">
      <w:pPr>
        <w:pStyle w:val="EndnoteText"/>
        <w:rPr>
          <w:rFonts w:cstheme="minorHAnsi"/>
          <w:szCs w:val="21"/>
        </w:rPr>
      </w:pPr>
      <w:r w:rsidRPr="007A26A6">
        <w:rPr>
          <w:rFonts w:cstheme="minorHAnsi"/>
          <w:szCs w:val="21"/>
        </w:rPr>
        <w:endnoteRef/>
      </w:r>
      <w:r w:rsidRPr="007A26A6">
        <w:rPr>
          <w:rFonts w:cstheme="minorHAnsi"/>
          <w:szCs w:val="21"/>
        </w:rPr>
        <w:tab/>
        <w:t xml:space="preserve">Municipal Association of Victoria. </w:t>
      </w:r>
      <w:hyperlink r:id="rId174" w:history="1">
        <w:r w:rsidRPr="007A26A6">
          <w:rPr>
            <w:rStyle w:val="Hyperlink"/>
            <w:rFonts w:cstheme="minorHAnsi"/>
            <w:i/>
            <w:szCs w:val="21"/>
          </w:rPr>
          <w:t>Promising practice portal</w:t>
        </w:r>
      </w:hyperlink>
      <w:r w:rsidRPr="007A26A6">
        <w:rPr>
          <w:rFonts w:cstheme="minorHAnsi"/>
          <w:szCs w:val="21"/>
        </w:rPr>
        <w:t>. Retrieved 6 May 2020.</w:t>
      </w:r>
    </w:p>
    <w:p w14:paraId="42EA62A0" w14:textId="68D533BC" w:rsidR="00F53B39" w:rsidRPr="007A26A6" w:rsidRDefault="00F53B39" w:rsidP="009E36F1">
      <w:pPr>
        <w:pStyle w:val="OWEndnotetextindent"/>
        <w:rPr>
          <w:rFonts w:cstheme="minorHAnsi"/>
        </w:rPr>
      </w:pPr>
      <w:r w:rsidRPr="007A26A6">
        <w:rPr>
          <w:rFonts w:cstheme="minorHAnsi"/>
        </w:rPr>
        <w:t xml:space="preserve">Council of Australian Governments. (2019). </w:t>
      </w:r>
      <w:hyperlink r:id="rId175" w:history="1">
        <w:r w:rsidRPr="007A26A6">
          <w:rPr>
            <w:rStyle w:val="Hyperlink"/>
            <w:rFonts w:cstheme="minorHAnsi"/>
            <w:i/>
          </w:rPr>
          <w:t>Implementation plan</w:t>
        </w:r>
      </w:hyperlink>
      <w:r w:rsidRPr="007A26A6">
        <w:rPr>
          <w:rFonts w:cstheme="minorHAnsi"/>
          <w:i/>
        </w:rPr>
        <w:t xml:space="preserve">. </w:t>
      </w:r>
      <w:r w:rsidRPr="007A26A6">
        <w:rPr>
          <w:rFonts w:cstheme="minorHAnsi"/>
        </w:rPr>
        <w:t>National Plan to Reduce Violence against Women and Their Children. Retrieved 6 May 2020.</w:t>
      </w:r>
    </w:p>
  </w:endnote>
  <w:endnote w:id="156">
    <w:p w14:paraId="34D65C6F" w14:textId="562E96BA"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GEN VIC. (2017). </w:t>
      </w:r>
      <w:hyperlink r:id="rId176" w:history="1">
        <w:r w:rsidRPr="007A26A6">
          <w:rPr>
            <w:rStyle w:val="HyperlinkItalic"/>
            <w:rFonts w:cstheme="minorHAnsi"/>
            <w:szCs w:val="21"/>
          </w:rPr>
          <w:t>Preventing violence before it occurs: Resources, professional development and coordinated statewide action</w:t>
        </w:r>
      </w:hyperlink>
      <w:r w:rsidRPr="007A26A6">
        <w:rPr>
          <w:rFonts w:cstheme="minorHAnsi"/>
          <w:szCs w:val="21"/>
        </w:rPr>
        <w:t>.</w:t>
      </w:r>
    </w:p>
  </w:endnote>
  <w:endnote w:id="157">
    <w:p w14:paraId="1EA4CCAB" w14:textId="545938D5"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GEN VIC. (2017). </w:t>
      </w:r>
      <w:hyperlink r:id="rId177" w:history="1">
        <w:r w:rsidRPr="007A26A6">
          <w:rPr>
            <w:rStyle w:val="HyperlinkItalic"/>
            <w:rFonts w:cstheme="minorHAnsi"/>
            <w:szCs w:val="21"/>
          </w:rPr>
          <w:t>Preventing violence before it occurs: Resources, professional development and coordinated statewide action</w:t>
        </w:r>
      </w:hyperlink>
      <w:r w:rsidRPr="007A26A6">
        <w:rPr>
          <w:rFonts w:cstheme="minorHAnsi"/>
          <w:szCs w:val="21"/>
        </w:rPr>
        <w:t>.</w:t>
      </w:r>
    </w:p>
  </w:endnote>
  <w:endnote w:id="158">
    <w:p w14:paraId="334C7465" w14:textId="7DE6265B"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r>
      <w:r w:rsidRPr="007A26A6">
        <w:rPr>
          <w:rFonts w:eastAsiaTheme="minorHAnsi" w:cstheme="minorHAnsi"/>
          <w:szCs w:val="21"/>
          <w:lang w:val="en-GB"/>
        </w:rPr>
        <w:t xml:space="preserve">Council of Australian Governments. (2011). </w:t>
      </w:r>
      <w:hyperlink r:id="rId178" w:history="1">
        <w:r w:rsidRPr="007A26A6">
          <w:rPr>
            <w:rStyle w:val="HyperlinkItalic"/>
            <w:rFonts w:cstheme="minorHAnsi"/>
            <w:szCs w:val="21"/>
            <w:lang w:val="en-GB"/>
          </w:rPr>
          <w:t>National Plan to reduce violence against women and their children 2010–2022</w:t>
        </w:r>
      </w:hyperlink>
      <w:r w:rsidRPr="007A26A6">
        <w:rPr>
          <w:rFonts w:eastAsiaTheme="minorHAnsi" w:cstheme="minorHAnsi"/>
          <w:szCs w:val="21"/>
          <w:lang w:val="en-GB"/>
        </w:rPr>
        <w:t>.</w:t>
      </w:r>
    </w:p>
  </w:endnote>
  <w:endnote w:id="159">
    <w:p w14:paraId="171A09FB" w14:textId="015A6F3E"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Ou</w:t>
      </w:r>
      <w:r w:rsidRPr="007A26A6">
        <w:rPr>
          <w:rFonts w:cstheme="minorHAnsi"/>
          <w:szCs w:val="21"/>
          <w:lang w:eastAsia="en-GB"/>
        </w:rPr>
        <w:t xml:space="preserve">r Watch, ANROWS, &amp; VicHealth. (2015). </w:t>
      </w:r>
      <w:hyperlink r:id="rId179" w:history="1">
        <w:r w:rsidRPr="007A26A6">
          <w:rPr>
            <w:rStyle w:val="HyperlinkItalic"/>
            <w:rFonts w:cstheme="minorHAnsi"/>
            <w:szCs w:val="21"/>
          </w:rPr>
          <w:t>Change the story: A shared framework for the primary prevention of violence against women and their children in Australia</w:t>
        </w:r>
      </w:hyperlink>
      <w:r w:rsidRPr="007A26A6">
        <w:rPr>
          <w:rFonts w:cstheme="minorHAnsi"/>
          <w:szCs w:val="21"/>
          <w:lang w:eastAsia="en-GB"/>
        </w:rPr>
        <w:t>.</w:t>
      </w:r>
    </w:p>
  </w:endnote>
  <w:endnote w:id="160">
    <w:p w14:paraId="5CFD9A01" w14:textId="056A4C82"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r>
      <w:r w:rsidRPr="007A26A6">
        <w:rPr>
          <w:rFonts w:eastAsiaTheme="minorHAnsi" w:cstheme="minorHAnsi"/>
          <w:szCs w:val="21"/>
          <w:lang w:val="en-GB"/>
        </w:rPr>
        <w:t xml:space="preserve">Council of Australian Governments. (2010). </w:t>
      </w:r>
      <w:hyperlink r:id="rId180" w:history="1">
        <w:r w:rsidRPr="007A26A6">
          <w:rPr>
            <w:rStyle w:val="HyperlinkItalic"/>
            <w:rFonts w:cstheme="minorHAnsi"/>
            <w:szCs w:val="21"/>
          </w:rPr>
          <w:t>First Action Plan 2010–2013 (Building a strong foundation): National Plan to reduce violence against women and their children 2010–2022</w:t>
        </w:r>
      </w:hyperlink>
      <w:r w:rsidRPr="007A26A6">
        <w:rPr>
          <w:rFonts w:cstheme="minorHAnsi"/>
          <w:szCs w:val="21"/>
        </w:rPr>
        <w:t>.w</w:t>
      </w:r>
    </w:p>
  </w:endnote>
  <w:endnote w:id="161">
    <w:p w14:paraId="0809FE92" w14:textId="5A05C66E"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VicHealth. (2007). </w:t>
      </w:r>
      <w:hyperlink r:id="rId181" w:history="1">
        <w:r w:rsidRPr="007A26A6">
          <w:rPr>
            <w:rStyle w:val="HyperlinkItalic"/>
            <w:rFonts w:cstheme="minorHAnsi"/>
            <w:szCs w:val="21"/>
          </w:rPr>
          <w:t>Preventing violence before it occurs: A framework and background paper to guide the primary prevention of violence against women in Victoria</w:t>
        </w:r>
      </w:hyperlink>
      <w:r w:rsidRPr="007A26A6">
        <w:rPr>
          <w:rFonts w:cstheme="minorHAnsi"/>
          <w:szCs w:val="21"/>
        </w:rPr>
        <w:t>. Melbourne: Victorian Health Promotion Foundation. Retrieved 6 May 2020.</w:t>
      </w:r>
    </w:p>
  </w:endnote>
  <w:endnote w:id="162">
    <w:p w14:paraId="0277D13A" w14:textId="2A9A5FEF"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Ou</w:t>
      </w:r>
      <w:r w:rsidRPr="007A26A6">
        <w:rPr>
          <w:rFonts w:cstheme="minorHAnsi"/>
          <w:szCs w:val="21"/>
          <w:lang w:eastAsia="en-GB"/>
        </w:rPr>
        <w:t xml:space="preserve">r Watch, ANROWS, &amp; VicHealth. (2015). </w:t>
      </w:r>
      <w:hyperlink r:id="rId182" w:history="1">
        <w:r w:rsidRPr="007A26A6">
          <w:rPr>
            <w:rStyle w:val="HyperlinkItalic"/>
            <w:rFonts w:cstheme="minorHAnsi"/>
            <w:szCs w:val="21"/>
          </w:rPr>
          <w:t>Change the story: A shared framework for the primary prevention of violence against women and their children in Australia</w:t>
        </w:r>
      </w:hyperlink>
      <w:r w:rsidRPr="007A26A6">
        <w:rPr>
          <w:rFonts w:cstheme="minorHAnsi"/>
          <w:szCs w:val="21"/>
          <w:lang w:eastAsia="en-GB"/>
        </w:rPr>
        <w:t>.</w:t>
      </w:r>
    </w:p>
  </w:endnote>
  <w:endnote w:id="163">
    <w:p w14:paraId="49A25BA9" w14:textId="7F5F129C"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r>
      <w:r w:rsidRPr="007A26A6">
        <w:rPr>
          <w:rFonts w:eastAsiaTheme="minorHAnsi" w:cstheme="minorHAnsi"/>
          <w:szCs w:val="21"/>
          <w:lang w:val="en-GB"/>
        </w:rPr>
        <w:t xml:space="preserve">Council of Australian Governments. (2013). </w:t>
      </w:r>
      <w:hyperlink r:id="rId183" w:history="1">
        <w:r w:rsidRPr="007A26A6">
          <w:rPr>
            <w:rStyle w:val="HyperlinkItalic"/>
            <w:rFonts w:cstheme="minorHAnsi"/>
            <w:szCs w:val="21"/>
          </w:rPr>
          <w:t>Second Action Plan 2013–2016 (Moving ahead): National Plan to reduce violence against women and their children 2010–2022</w:t>
        </w:r>
      </w:hyperlink>
      <w:r w:rsidRPr="007A26A6">
        <w:rPr>
          <w:rFonts w:eastAsiaTheme="minorHAnsi" w:cstheme="minorHAnsi"/>
          <w:i/>
          <w:iCs/>
          <w:szCs w:val="21"/>
          <w:lang w:val="en-GB"/>
        </w:rPr>
        <w:t>.</w:t>
      </w:r>
      <w:r w:rsidRPr="007A26A6">
        <w:rPr>
          <w:rFonts w:eastAsiaTheme="minorHAnsi" w:cstheme="minorHAnsi"/>
          <w:szCs w:val="21"/>
          <w:lang w:val="en-GB"/>
        </w:rPr>
        <w:t xml:space="preserve"> Retrieved 5 May 2020</w:t>
      </w:r>
      <w:r w:rsidRPr="007A26A6">
        <w:rPr>
          <w:rFonts w:cstheme="minorHAnsi"/>
          <w:szCs w:val="21"/>
        </w:rPr>
        <w:t>.</w:t>
      </w:r>
    </w:p>
  </w:endnote>
  <w:endnote w:id="164">
    <w:p w14:paraId="74A34812" w14:textId="7D59F31D"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Fulu, E., Kerr-Wilson, A., &amp; Lang, J. (2014). </w:t>
      </w:r>
      <w:hyperlink r:id="rId184" w:history="1">
        <w:r w:rsidRPr="007A26A6">
          <w:rPr>
            <w:rStyle w:val="HyperlinkItalic"/>
            <w:rFonts w:cstheme="minorHAnsi"/>
            <w:szCs w:val="21"/>
          </w:rPr>
          <w:t>Effectiveness of interventions to prevent violence against women and girls: A summary of the evidence</w:t>
        </w:r>
      </w:hyperlink>
      <w:r w:rsidRPr="007A26A6">
        <w:rPr>
          <w:rStyle w:val="Emphasis"/>
          <w:rFonts w:cstheme="minorHAnsi"/>
          <w:szCs w:val="21"/>
        </w:rPr>
        <w:t>. What works to prevent violence</w:t>
      </w:r>
      <w:r w:rsidRPr="007A26A6">
        <w:rPr>
          <w:rFonts w:cstheme="minorHAnsi"/>
          <w:szCs w:val="21"/>
        </w:rPr>
        <w:t>. Retrieved 6 May 2020.</w:t>
      </w:r>
    </w:p>
  </w:endnote>
  <w:endnote w:id="165">
    <w:p w14:paraId="24A230A6" w14:textId="7ED096E4"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r>
      <w:r w:rsidRPr="007A26A6">
        <w:rPr>
          <w:rFonts w:cstheme="minorHAnsi"/>
          <w:szCs w:val="21"/>
          <w:lang w:eastAsia="en-GB"/>
        </w:rPr>
        <w:t xml:space="preserve">Webster, K., &amp; Flood, M. (2015). </w:t>
      </w:r>
      <w:hyperlink r:id="rId185" w:history="1">
        <w:r w:rsidRPr="007A26A6">
          <w:rPr>
            <w:rStyle w:val="HyperlinkItalic"/>
            <w:rFonts w:cstheme="minorHAnsi"/>
            <w:szCs w:val="21"/>
          </w:rPr>
          <w:t>Framework foundations 1: A review of the evidence on correlates of violence against women and what works to prevent it</w:t>
        </w:r>
      </w:hyperlink>
      <w:r w:rsidRPr="007A26A6">
        <w:rPr>
          <w:rFonts w:cstheme="minorHAnsi"/>
          <w:i/>
          <w:iCs/>
          <w:szCs w:val="21"/>
          <w:lang w:eastAsia="en-GB"/>
        </w:rPr>
        <w:t>.</w:t>
      </w:r>
      <w:r w:rsidRPr="007A26A6">
        <w:rPr>
          <w:rFonts w:cstheme="minorHAnsi"/>
          <w:szCs w:val="21"/>
          <w:lang w:eastAsia="en-GB"/>
        </w:rPr>
        <w:t xml:space="preserve"> Companion document to Our Watch, ANROWS, &amp; VicHealth, </w:t>
      </w:r>
      <w:r w:rsidRPr="007A26A6">
        <w:rPr>
          <w:rStyle w:val="Emphasis"/>
          <w:rFonts w:cstheme="minorHAnsi"/>
          <w:szCs w:val="21"/>
        </w:rPr>
        <w:t>Change the story: A shared framework for the primary prevention of violence against women and their children in Australia</w:t>
      </w:r>
      <w:r w:rsidRPr="007A26A6">
        <w:rPr>
          <w:rFonts w:cstheme="minorHAnsi"/>
          <w:szCs w:val="21"/>
          <w:lang w:eastAsia="en-GB"/>
        </w:rPr>
        <w:t>. Retrieved 6 May 2020</w:t>
      </w:r>
      <w:r w:rsidRPr="007A26A6">
        <w:rPr>
          <w:rFonts w:cstheme="minorHAnsi"/>
          <w:szCs w:val="21"/>
        </w:rPr>
        <w:t>.</w:t>
      </w:r>
    </w:p>
  </w:endnote>
  <w:endnote w:id="166">
    <w:p w14:paraId="1D22F715" w14:textId="2339B6AB"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Australian Women’s Health Network. (2014). </w:t>
      </w:r>
      <w:hyperlink r:id="rId186" w:history="1">
        <w:r w:rsidRPr="007A26A6">
          <w:rPr>
            <w:rStyle w:val="HyperlinkItalic"/>
            <w:rFonts w:cstheme="minorHAnsi"/>
            <w:szCs w:val="21"/>
          </w:rPr>
          <w:t>Health and the primary prevention of violence against women: Position paper</w:t>
        </w:r>
      </w:hyperlink>
      <w:r w:rsidRPr="007A26A6">
        <w:rPr>
          <w:rFonts w:cstheme="minorHAnsi"/>
          <w:i/>
          <w:iCs/>
          <w:szCs w:val="21"/>
        </w:rPr>
        <w:t xml:space="preserve">. </w:t>
      </w:r>
      <w:r w:rsidRPr="007A26A6">
        <w:rPr>
          <w:rFonts w:cstheme="minorHAnsi"/>
          <w:szCs w:val="21"/>
        </w:rPr>
        <w:t>Retrieved 6 May 2020.</w:t>
      </w:r>
    </w:p>
  </w:endnote>
  <w:endnote w:id="167">
    <w:p w14:paraId="616DA51D" w14:textId="7821921D"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Walden, I., &amp;, Wall, L. (2014). </w:t>
      </w:r>
      <w:hyperlink r:id="rId187" w:history="1">
        <w:r w:rsidRPr="007A26A6">
          <w:rPr>
            <w:rStyle w:val="HyperlinkItalic"/>
            <w:rFonts w:cstheme="minorHAnsi"/>
            <w:szCs w:val="21"/>
          </w:rPr>
          <w:t>Reflecting on primary prevention of violence against women: A public health approach</w:t>
        </w:r>
      </w:hyperlink>
      <w:r w:rsidRPr="007A26A6">
        <w:rPr>
          <w:rFonts w:cstheme="minorHAnsi"/>
          <w:i/>
          <w:iCs/>
          <w:szCs w:val="21"/>
        </w:rPr>
        <w:t xml:space="preserve">. </w:t>
      </w:r>
      <w:r w:rsidRPr="007A26A6">
        <w:rPr>
          <w:rFonts w:cstheme="minorHAnsi"/>
          <w:szCs w:val="21"/>
        </w:rPr>
        <w:t>Australian Centre for the Study of Sexual Assault and Domestic Violence Clearing House: Australia. Retrieved 6 May 2020.</w:t>
      </w:r>
    </w:p>
  </w:endnote>
  <w:endnote w:id="168">
    <w:p w14:paraId="46642420" w14:textId="3AEF5421" w:rsidR="00F53B39" w:rsidRPr="007A26A6" w:rsidRDefault="00F53B39" w:rsidP="00790783">
      <w:pPr>
        <w:pStyle w:val="EndnoteText"/>
        <w:rPr>
          <w:rFonts w:cstheme="minorHAnsi"/>
          <w:szCs w:val="21"/>
          <w:lang w:eastAsia="en-GB"/>
        </w:rPr>
      </w:pPr>
      <w:r w:rsidRPr="007A26A6">
        <w:rPr>
          <w:rFonts w:cstheme="minorHAnsi"/>
          <w:szCs w:val="21"/>
        </w:rPr>
        <w:endnoteRef/>
      </w:r>
      <w:r w:rsidRPr="007A26A6">
        <w:rPr>
          <w:rFonts w:cstheme="minorHAnsi"/>
          <w:szCs w:val="21"/>
        </w:rPr>
        <w:tab/>
      </w:r>
      <w:r w:rsidRPr="007A26A6">
        <w:rPr>
          <w:rFonts w:cstheme="minorHAnsi"/>
          <w:szCs w:val="21"/>
          <w:lang w:eastAsia="en-GB"/>
        </w:rPr>
        <w:t xml:space="preserve">Webster, K., &amp; Flood, M. (2015). </w:t>
      </w:r>
      <w:hyperlink r:id="rId188" w:history="1">
        <w:r w:rsidRPr="007A26A6">
          <w:rPr>
            <w:rStyle w:val="HyperlinkItalic"/>
            <w:rFonts w:cstheme="minorHAnsi"/>
            <w:szCs w:val="21"/>
          </w:rPr>
          <w:t>Framework foundations 1: A review of the evidence on correlates of violence against women and what works to prevent it</w:t>
        </w:r>
      </w:hyperlink>
      <w:r w:rsidRPr="007A26A6">
        <w:rPr>
          <w:rFonts w:cstheme="minorHAnsi"/>
          <w:i/>
          <w:iCs/>
          <w:szCs w:val="21"/>
          <w:lang w:eastAsia="en-GB"/>
        </w:rPr>
        <w:t>.</w:t>
      </w:r>
    </w:p>
  </w:endnote>
  <w:endnote w:id="169">
    <w:p w14:paraId="0ACAAA42" w14:textId="0A7B378E"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r>
      <w:r w:rsidRPr="007A26A6">
        <w:rPr>
          <w:rFonts w:cstheme="minorHAnsi"/>
          <w:szCs w:val="21"/>
          <w:lang w:eastAsia="en-GB"/>
        </w:rPr>
        <w:t xml:space="preserve">Poljski, C. (2011). </w:t>
      </w:r>
      <w:hyperlink r:id="rId189" w:history="1">
        <w:r w:rsidRPr="007A26A6">
          <w:rPr>
            <w:rStyle w:val="HyperlinkItalic"/>
            <w:rFonts w:cstheme="minorHAnsi"/>
            <w:szCs w:val="21"/>
            <w:lang w:eastAsia="en-GB"/>
          </w:rPr>
          <w:t>On her way:</w:t>
        </w:r>
        <w:r w:rsidRPr="007A26A6">
          <w:rPr>
            <w:rStyle w:val="HyperlinkItalic"/>
            <w:rFonts w:cstheme="minorHAnsi"/>
            <w:szCs w:val="21"/>
          </w:rPr>
          <w:t xml:space="preserve"> Primary prevention of violence against immigrant and refugee women in Australia</w:t>
        </w:r>
      </w:hyperlink>
      <w:r w:rsidRPr="007A26A6">
        <w:rPr>
          <w:rFonts w:cstheme="minorHAnsi"/>
          <w:i/>
          <w:iCs/>
          <w:szCs w:val="21"/>
          <w:lang w:eastAsia="en-GB"/>
        </w:rPr>
        <w:t>.</w:t>
      </w:r>
      <w:r w:rsidRPr="007A26A6">
        <w:rPr>
          <w:rFonts w:cstheme="minorHAnsi"/>
          <w:szCs w:val="21"/>
          <w:lang w:eastAsia="en-GB"/>
        </w:rPr>
        <w:t xml:space="preserve"> Melbourne: </w:t>
      </w:r>
      <w:r w:rsidRPr="007A26A6">
        <w:rPr>
          <w:rFonts w:cstheme="minorHAnsi"/>
          <w:szCs w:val="21"/>
        </w:rPr>
        <w:t>Multicultural Centre for Women’s Health</w:t>
      </w:r>
      <w:r w:rsidRPr="007A26A6">
        <w:rPr>
          <w:rFonts w:cstheme="minorHAnsi"/>
          <w:szCs w:val="21"/>
          <w:lang w:eastAsia="en-GB"/>
        </w:rPr>
        <w:t>.</w:t>
      </w:r>
    </w:p>
  </w:endnote>
  <w:endnote w:id="170">
    <w:p w14:paraId="1BF25628" w14:textId="5139B20A"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r>
      <w:r w:rsidRPr="007A26A6">
        <w:rPr>
          <w:rFonts w:cstheme="minorHAnsi"/>
          <w:szCs w:val="21"/>
          <w:lang w:eastAsia="en-GB"/>
        </w:rPr>
        <w:t xml:space="preserve">Poljski, C. (2011). </w:t>
      </w:r>
      <w:r w:rsidRPr="007A26A6">
        <w:rPr>
          <w:rStyle w:val="Emphasis"/>
          <w:rFonts w:cstheme="minorHAnsi"/>
          <w:szCs w:val="21"/>
        </w:rPr>
        <w:t>On her way</w:t>
      </w:r>
      <w:r w:rsidRPr="007A26A6">
        <w:rPr>
          <w:rFonts w:cstheme="minorHAnsi"/>
          <w:szCs w:val="21"/>
          <w:lang w:eastAsia="en-GB"/>
        </w:rPr>
        <w:t>. p. 11.</w:t>
      </w:r>
    </w:p>
  </w:endnote>
  <w:endnote w:id="171">
    <w:p w14:paraId="3AE00E81" w14:textId="340EF397"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r>
      <w:r w:rsidRPr="007A26A6">
        <w:rPr>
          <w:rFonts w:eastAsiaTheme="minorHAnsi" w:cstheme="minorHAnsi"/>
          <w:szCs w:val="21"/>
          <w:lang w:val="en-GB"/>
        </w:rPr>
        <w:t xml:space="preserve">Council of Australian Governments. (2016). </w:t>
      </w:r>
      <w:hyperlink r:id="rId190" w:history="1">
        <w:r w:rsidRPr="007A26A6">
          <w:rPr>
            <w:rStyle w:val="HyperlinkItalic"/>
            <w:rFonts w:cstheme="minorHAnsi"/>
            <w:szCs w:val="21"/>
          </w:rPr>
          <w:t>Third Action Plan 2016–2019: National Plan to reduce violence against women and their children 2010–2022</w:t>
        </w:r>
      </w:hyperlink>
      <w:r w:rsidRPr="007A26A6">
        <w:rPr>
          <w:rFonts w:eastAsiaTheme="minorHAnsi" w:cstheme="minorHAnsi"/>
          <w:i/>
          <w:iCs/>
          <w:szCs w:val="21"/>
          <w:lang w:val="en-GB"/>
        </w:rPr>
        <w:t>.</w:t>
      </w:r>
      <w:r w:rsidRPr="007A26A6">
        <w:rPr>
          <w:rFonts w:eastAsiaTheme="minorHAnsi" w:cstheme="minorHAnsi"/>
          <w:szCs w:val="21"/>
          <w:lang w:val="en-GB"/>
        </w:rPr>
        <w:t xml:space="preserve"> Retrieved 5 May 2020</w:t>
      </w:r>
      <w:r w:rsidRPr="007A26A6">
        <w:rPr>
          <w:rFonts w:cstheme="minorHAnsi"/>
          <w:szCs w:val="21"/>
        </w:rPr>
        <w:t>.</w:t>
      </w:r>
    </w:p>
  </w:endnote>
  <w:endnote w:id="172">
    <w:p w14:paraId="409939C3" w14:textId="3CA3B9C1"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r>
      <w:r w:rsidRPr="007A26A6">
        <w:rPr>
          <w:rFonts w:eastAsiaTheme="minorHAnsi" w:cstheme="minorHAnsi"/>
          <w:szCs w:val="21"/>
          <w:lang w:val="en-GB"/>
        </w:rPr>
        <w:t xml:space="preserve">Commonwealth of Australia. (2019). </w:t>
      </w:r>
      <w:hyperlink r:id="rId191" w:history="1">
        <w:r w:rsidRPr="007A26A6">
          <w:rPr>
            <w:rStyle w:val="HyperlinkItalic"/>
            <w:rFonts w:cstheme="minorHAnsi"/>
            <w:szCs w:val="21"/>
          </w:rPr>
          <w:t>2017–18 Annual progress report: Third Action Plan 2016–19 under the National Plan to reduce violence against women and their children 2010–2022</w:t>
        </w:r>
      </w:hyperlink>
      <w:r w:rsidRPr="007A26A6">
        <w:rPr>
          <w:rFonts w:eastAsiaTheme="minorHAnsi" w:cstheme="minorHAnsi"/>
          <w:i/>
          <w:iCs/>
          <w:szCs w:val="21"/>
          <w:lang w:val="en-GB"/>
        </w:rPr>
        <w:t xml:space="preserve">. </w:t>
      </w:r>
      <w:r w:rsidRPr="007A26A6">
        <w:rPr>
          <w:rFonts w:eastAsiaTheme="minorHAnsi" w:cstheme="minorHAnsi"/>
          <w:szCs w:val="21"/>
          <w:lang w:val="en-GB"/>
        </w:rPr>
        <w:t>Retrieved 6 May 2020</w:t>
      </w:r>
      <w:r w:rsidRPr="007A26A6">
        <w:rPr>
          <w:rFonts w:cstheme="minorHAnsi"/>
          <w:szCs w:val="21"/>
        </w:rPr>
        <w:t>.</w:t>
      </w:r>
    </w:p>
  </w:endnote>
  <w:endnote w:id="173">
    <w:p w14:paraId="5149D1F1" w14:textId="7019E90B"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Women with Disabilities Victoria. (2017). </w:t>
      </w:r>
      <w:hyperlink r:id="rId192" w:history="1">
        <w:r w:rsidRPr="007A26A6">
          <w:rPr>
            <w:rStyle w:val="HyperlinkItalic"/>
            <w:rFonts w:cstheme="minorHAnsi"/>
            <w:szCs w:val="21"/>
          </w:rPr>
          <w:t>Inclusive planning guidelines for the prevention of violence against women with disabilities</w:t>
        </w:r>
      </w:hyperlink>
      <w:r w:rsidRPr="007A26A6">
        <w:rPr>
          <w:rFonts w:cstheme="minorHAnsi"/>
          <w:i/>
          <w:iCs/>
          <w:szCs w:val="21"/>
        </w:rPr>
        <w:t xml:space="preserve">. </w:t>
      </w:r>
      <w:r w:rsidRPr="007A26A6">
        <w:rPr>
          <w:rFonts w:cstheme="minorHAnsi"/>
          <w:szCs w:val="21"/>
        </w:rPr>
        <w:t>Melbourne, Australia: Women with Disabilities Victoria. Retrieved 6 May 2020.</w:t>
      </w:r>
    </w:p>
  </w:endnote>
  <w:endnote w:id="174">
    <w:p w14:paraId="1807FE2B" w14:textId="2D0E3339"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Women with Disabilities Victoria. (2017). </w:t>
      </w:r>
      <w:hyperlink r:id="rId193" w:history="1">
        <w:r w:rsidRPr="007A26A6">
          <w:rPr>
            <w:rStyle w:val="HyperlinkItalic"/>
            <w:rFonts w:cstheme="minorHAnsi"/>
            <w:szCs w:val="21"/>
          </w:rPr>
          <w:t>Inclusive planning guidelines for the prevention of violence against women with disabilities</w:t>
        </w:r>
      </w:hyperlink>
      <w:r w:rsidRPr="007A26A6">
        <w:rPr>
          <w:rStyle w:val="HyperlinkItalic"/>
          <w:rFonts w:cstheme="minorHAnsi"/>
          <w:szCs w:val="21"/>
        </w:rPr>
        <w:t>.</w:t>
      </w:r>
      <w:r w:rsidRPr="007A26A6">
        <w:rPr>
          <w:rFonts w:cstheme="minorHAnsi"/>
          <w:szCs w:val="21"/>
        </w:rPr>
        <w:t xml:space="preserve"> p. 6.</w:t>
      </w:r>
    </w:p>
  </w:endnote>
  <w:endnote w:id="175">
    <w:p w14:paraId="05AE7584" w14:textId="14CFDEA9"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Chen, J. (2017). </w:t>
      </w:r>
      <w:hyperlink r:id="rId194" w:history="1">
        <w:r w:rsidRPr="007A26A6">
          <w:rPr>
            <w:rStyle w:val="HyperlinkItalic"/>
            <w:rFonts w:cstheme="minorHAnsi"/>
            <w:szCs w:val="21"/>
          </w:rPr>
          <w:t>Intersectionality matters: A guide to engaging immigrant and refugee communities in Australia</w:t>
        </w:r>
      </w:hyperlink>
      <w:r w:rsidRPr="007A26A6">
        <w:rPr>
          <w:rFonts w:cstheme="minorHAnsi"/>
          <w:szCs w:val="21"/>
        </w:rPr>
        <w:t>.</w:t>
      </w:r>
    </w:p>
  </w:endnote>
  <w:endnote w:id="176">
    <w:p w14:paraId="10DEFDC8" w14:textId="059DC1C7"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Brown, C. (2019). </w:t>
      </w:r>
      <w:hyperlink r:id="rId195" w:history="1">
        <w:r w:rsidRPr="007A26A6">
          <w:rPr>
            <w:rStyle w:val="HyperlinkItalic"/>
            <w:rFonts w:cstheme="minorHAnsi"/>
            <w:szCs w:val="21"/>
          </w:rPr>
          <w:t>Hopeful, together, strong: Inspiring optimism for future generations – Principles of good practice to prevent violence against women in the Northern Territory</w:t>
        </w:r>
      </w:hyperlink>
      <w:r w:rsidRPr="007A26A6">
        <w:rPr>
          <w:rFonts w:cstheme="minorHAnsi"/>
          <w:szCs w:val="21"/>
        </w:rPr>
        <w:t>. Retrieved 6 May 2020.</w:t>
      </w:r>
    </w:p>
  </w:endnote>
  <w:endnote w:id="177">
    <w:p w14:paraId="55BA974E" w14:textId="101FB49B"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r>
      <w:r w:rsidRPr="007A26A6">
        <w:rPr>
          <w:rFonts w:eastAsiaTheme="minorHAnsi" w:cstheme="minorHAnsi"/>
          <w:szCs w:val="21"/>
          <w:lang w:val="en-GB"/>
        </w:rPr>
        <w:t xml:space="preserve">Council of Australian Governments. (2019). </w:t>
      </w:r>
      <w:hyperlink r:id="rId196" w:history="1">
        <w:r w:rsidRPr="007A26A6">
          <w:rPr>
            <w:rStyle w:val="HyperlinkItalic"/>
            <w:rFonts w:cstheme="minorHAnsi"/>
            <w:szCs w:val="21"/>
          </w:rPr>
          <w:t>Fourth Action Plan: National Plan to reduce violence against women and their children 2010–2022</w:t>
        </w:r>
      </w:hyperlink>
      <w:r w:rsidRPr="007A26A6">
        <w:rPr>
          <w:rFonts w:eastAsiaTheme="minorHAnsi" w:cstheme="minorHAnsi"/>
          <w:i/>
          <w:iCs/>
          <w:szCs w:val="21"/>
          <w:lang w:val="en-GB"/>
        </w:rPr>
        <w:t>.</w:t>
      </w:r>
    </w:p>
  </w:endnote>
  <w:endnote w:id="178">
    <w:p w14:paraId="724B6745" w14:textId="2B605276"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r>
      <w:r w:rsidRPr="007A26A6">
        <w:rPr>
          <w:rFonts w:cstheme="minorHAnsi"/>
          <w:iCs/>
          <w:szCs w:val="21"/>
        </w:rPr>
        <w:t xml:space="preserve">Council of Australian Governments. (2019). </w:t>
      </w:r>
      <w:hyperlink r:id="rId197" w:history="1">
        <w:r w:rsidRPr="007A26A6">
          <w:rPr>
            <w:rStyle w:val="HyperlinkItalic"/>
            <w:rFonts w:cstheme="minorHAnsi"/>
            <w:szCs w:val="21"/>
          </w:rPr>
          <w:t>Implementation plan</w:t>
        </w:r>
        <w:r w:rsidRPr="007A26A6">
          <w:rPr>
            <w:rStyle w:val="Hyperlink"/>
            <w:rFonts w:cstheme="minorHAnsi"/>
            <w:szCs w:val="21"/>
          </w:rPr>
          <w:t>. National Plan to Reduce Violence against Women and Their Children</w:t>
        </w:r>
      </w:hyperlink>
      <w:r w:rsidRPr="007A26A6">
        <w:rPr>
          <w:rFonts w:cstheme="minorHAnsi"/>
          <w:iCs/>
          <w:szCs w:val="21"/>
        </w:rPr>
        <w:t>.</w:t>
      </w:r>
    </w:p>
  </w:endnote>
  <w:endnote w:id="179">
    <w:p w14:paraId="51C5BD66" w14:textId="29483C87"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t xml:space="preserve">Australian National Audit Office. (2019). </w:t>
      </w:r>
      <w:hyperlink r:id="rId198" w:history="1">
        <w:r w:rsidRPr="007A26A6">
          <w:rPr>
            <w:rStyle w:val="HyperlinkItalic"/>
            <w:rFonts w:cstheme="minorHAnsi"/>
            <w:szCs w:val="21"/>
          </w:rPr>
          <w:t>Coordination and targeting of domestic violence funding and actions</w:t>
        </w:r>
      </w:hyperlink>
      <w:r w:rsidRPr="007A26A6">
        <w:rPr>
          <w:rFonts w:cstheme="minorHAnsi"/>
          <w:szCs w:val="21"/>
        </w:rPr>
        <w:t>. Retrieved 6 May 2020.</w:t>
      </w:r>
    </w:p>
  </w:endnote>
  <w:endnote w:id="180">
    <w:p w14:paraId="29FFCB4C" w14:textId="5346E1B5" w:rsidR="00F53B39" w:rsidRPr="007A26A6" w:rsidRDefault="00F53B39" w:rsidP="00790783">
      <w:pPr>
        <w:pStyle w:val="EndnoteText"/>
        <w:rPr>
          <w:rFonts w:cstheme="minorHAnsi"/>
          <w:szCs w:val="21"/>
        </w:rPr>
      </w:pPr>
      <w:r w:rsidRPr="007A26A6">
        <w:rPr>
          <w:rFonts w:cstheme="minorHAnsi"/>
          <w:szCs w:val="21"/>
        </w:rPr>
        <w:endnoteRef/>
      </w:r>
      <w:r w:rsidRPr="007A26A6">
        <w:rPr>
          <w:rFonts w:cstheme="minorHAnsi"/>
          <w:szCs w:val="21"/>
        </w:rPr>
        <w:tab/>
      </w:r>
      <w:r w:rsidRPr="007A26A6">
        <w:rPr>
          <w:rFonts w:cstheme="minorHAnsi"/>
          <w:iCs/>
          <w:szCs w:val="21"/>
        </w:rPr>
        <w:t xml:space="preserve">Council of Australian Governments. (2019). </w:t>
      </w:r>
      <w:hyperlink r:id="rId199" w:history="1">
        <w:r w:rsidRPr="007A26A6">
          <w:rPr>
            <w:rStyle w:val="HyperlinkItalic"/>
            <w:rFonts w:cstheme="minorHAnsi"/>
            <w:szCs w:val="21"/>
          </w:rPr>
          <w:t>Initiatives</w:t>
        </w:r>
        <w:r w:rsidRPr="007A26A6">
          <w:rPr>
            <w:rStyle w:val="Hyperlink"/>
            <w:rFonts w:cstheme="minorHAnsi"/>
            <w:i/>
            <w:szCs w:val="21"/>
          </w:rPr>
          <w:t xml:space="preserve">. </w:t>
        </w:r>
        <w:r w:rsidRPr="007A26A6">
          <w:rPr>
            <w:rStyle w:val="Hyperlink"/>
            <w:rFonts w:cstheme="minorHAnsi"/>
            <w:iCs/>
            <w:szCs w:val="21"/>
          </w:rPr>
          <w:t>National Plan to Reduce Violence against Women and their Children</w:t>
        </w:r>
      </w:hyperlink>
      <w:r w:rsidRPr="007A26A6">
        <w:rPr>
          <w:rFonts w:cstheme="minorHAnsi"/>
          <w:iCs/>
          <w:szCs w:val="21"/>
        </w:rPr>
        <w:t>. Retrieved 5 May 2020</w:t>
      </w:r>
      <w:r w:rsidRPr="007A26A6">
        <w:rPr>
          <w:rFonts w:cstheme="minorHAnsi"/>
          <w:szCs w:val="21"/>
        </w:rPr>
        <w:t>.</w:t>
      </w:r>
    </w:p>
  </w:endnote>
  <w:endnote w:id="181">
    <w:p w14:paraId="4C44E03F" w14:textId="614DAE59" w:rsidR="00F53B39" w:rsidRPr="007A26A6" w:rsidRDefault="00F53B39" w:rsidP="00C82A54">
      <w:pPr>
        <w:pStyle w:val="EndnoteText"/>
        <w:rPr>
          <w:rFonts w:cstheme="minorHAnsi"/>
          <w:szCs w:val="21"/>
          <w:lang w:val="en-US"/>
        </w:rPr>
      </w:pPr>
      <w:r w:rsidRPr="007A26A6">
        <w:rPr>
          <w:rFonts w:cstheme="minorHAnsi"/>
          <w:szCs w:val="21"/>
        </w:rPr>
        <w:endnoteRef/>
      </w:r>
      <w:r w:rsidRPr="007A26A6">
        <w:rPr>
          <w:rFonts w:cstheme="minorHAnsi"/>
          <w:szCs w:val="21"/>
        </w:rPr>
        <w:tab/>
        <w:t xml:space="preserve">European Commission. (2010). </w:t>
      </w:r>
      <w:hyperlink r:id="rId200" w:history="1">
        <w:r w:rsidRPr="007A26A6">
          <w:rPr>
            <w:rStyle w:val="HyperlinkItalic"/>
            <w:rFonts w:cstheme="minorHAnsi"/>
            <w:szCs w:val="21"/>
          </w:rPr>
          <w:t>Factors at play in the perpetration of violence against women, violence against children and sexual orientation violence: A multi-level interactive model</w:t>
        </w:r>
      </w:hyperlink>
      <w:r w:rsidRPr="007A26A6">
        <w:rPr>
          <w:rFonts w:cstheme="minorHAnsi"/>
          <w:szCs w:val="21"/>
        </w:rPr>
        <w:t>.</w:t>
      </w:r>
    </w:p>
  </w:endnote>
  <w:endnote w:id="182">
    <w:p w14:paraId="5E98DEF4" w14:textId="7C26851D"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Heise, L. (2011). </w:t>
      </w:r>
      <w:hyperlink r:id="rId201" w:history="1">
        <w:r w:rsidRPr="007A26A6">
          <w:rPr>
            <w:rStyle w:val="HyperlinkItalic"/>
            <w:rFonts w:cstheme="minorHAnsi"/>
            <w:szCs w:val="21"/>
          </w:rPr>
          <w:t>What works to prevent partner violence – An evidence overview</w:t>
        </w:r>
      </w:hyperlink>
      <w:r w:rsidRPr="007A26A6">
        <w:rPr>
          <w:rFonts w:cstheme="minorHAnsi"/>
          <w:szCs w:val="21"/>
        </w:rPr>
        <w:t>.</w:t>
      </w:r>
    </w:p>
  </w:endnote>
  <w:endnote w:id="183">
    <w:p w14:paraId="06C9FE33" w14:textId="6CCDA23E"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Ou</w:t>
      </w:r>
      <w:r w:rsidRPr="007A26A6">
        <w:rPr>
          <w:rFonts w:cstheme="minorHAnsi"/>
          <w:szCs w:val="21"/>
          <w:lang w:eastAsia="en-GB"/>
        </w:rPr>
        <w:t xml:space="preserve">r Watch, ANROWS, &amp; VicHealth. (2015). </w:t>
      </w:r>
      <w:hyperlink r:id="rId202" w:history="1">
        <w:r w:rsidRPr="007A26A6">
          <w:rPr>
            <w:rStyle w:val="HyperlinkItalic"/>
            <w:rFonts w:cstheme="minorHAnsi"/>
            <w:szCs w:val="21"/>
          </w:rPr>
          <w:t>Change the story: A shared framework for the primary prevention of violence against women and their children in Australia</w:t>
        </w:r>
      </w:hyperlink>
      <w:r w:rsidRPr="007A26A6">
        <w:rPr>
          <w:rFonts w:cstheme="minorHAnsi"/>
          <w:szCs w:val="21"/>
          <w:lang w:eastAsia="en-GB"/>
        </w:rPr>
        <w:t>.</w:t>
      </w:r>
    </w:p>
  </w:endnote>
  <w:endnote w:id="184">
    <w:p w14:paraId="363DE28D" w14:textId="27D61657" w:rsidR="00F53B39" w:rsidRPr="007A26A6" w:rsidRDefault="00F53B39" w:rsidP="00EE7984">
      <w:pPr>
        <w:pStyle w:val="EndnoteText"/>
        <w:rPr>
          <w:rFonts w:cstheme="minorHAnsi"/>
          <w:szCs w:val="21"/>
        </w:rPr>
      </w:pPr>
      <w:r w:rsidRPr="007A26A6">
        <w:rPr>
          <w:rFonts w:cstheme="minorHAnsi"/>
          <w:szCs w:val="21"/>
        </w:rPr>
        <w:endnoteRef/>
      </w:r>
      <w:r w:rsidRPr="007A26A6">
        <w:rPr>
          <w:rFonts w:cstheme="minorHAnsi"/>
          <w:szCs w:val="21"/>
        </w:rPr>
        <w:tab/>
        <w:t xml:space="preserve">Our Watch. (2018). </w:t>
      </w:r>
      <w:hyperlink r:id="rId203" w:history="1">
        <w:r w:rsidRPr="007A26A6">
          <w:rPr>
            <w:rStyle w:val="HyperlinkItalic"/>
            <w:rFonts w:cstheme="minorHAnsi"/>
            <w:szCs w:val="21"/>
          </w:rPr>
          <w:t>Changing the picture: A national resource to support the prevention of violence against Aboriginal and Torres Strait Islander women and their children</w:t>
        </w:r>
      </w:hyperlink>
      <w:r w:rsidRPr="007A26A6">
        <w:rPr>
          <w:rFonts w:cstheme="minorHAnsi"/>
          <w:szCs w:val="21"/>
        </w:rPr>
        <w:t>.</w:t>
      </w:r>
    </w:p>
    <w:p w14:paraId="3855226A" w14:textId="5B23DE25" w:rsidR="00F53B39" w:rsidRPr="007A26A6" w:rsidRDefault="00F53B39" w:rsidP="00C90476">
      <w:pPr>
        <w:pStyle w:val="OWEndnotetextindent"/>
        <w:rPr>
          <w:rFonts w:cstheme="minorHAnsi"/>
        </w:rPr>
      </w:pPr>
      <w:r w:rsidRPr="007A26A6">
        <w:rPr>
          <w:rFonts w:cstheme="minorHAnsi"/>
        </w:rPr>
        <w:t xml:space="preserve">Our Watch &amp; Rainbow Health (formerly GLHV). (2017). </w:t>
      </w:r>
      <w:hyperlink r:id="rId204">
        <w:r w:rsidRPr="007A26A6">
          <w:rPr>
            <w:rStyle w:val="HyperlinkItalic"/>
            <w:rFonts w:cstheme="minorHAnsi"/>
          </w:rPr>
          <w:t>Primary prevention of family violence against people from LGBTI communities – An analysis of existing research</w:t>
        </w:r>
      </w:hyperlink>
      <w:r w:rsidRPr="007A26A6">
        <w:rPr>
          <w:rFonts w:cstheme="minorHAnsi"/>
        </w:rPr>
        <w:t>.</w:t>
      </w:r>
    </w:p>
    <w:p w14:paraId="6757DAB6" w14:textId="0A0E29C8" w:rsidR="00F53B39" w:rsidRPr="007A26A6" w:rsidRDefault="00F53B39" w:rsidP="00C90476">
      <w:pPr>
        <w:pStyle w:val="OWEndnotetextindent"/>
        <w:rPr>
          <w:rFonts w:cstheme="minorHAnsi"/>
          <w:lang w:val="en-US"/>
        </w:rPr>
      </w:pPr>
      <w:r w:rsidRPr="007A26A6">
        <w:rPr>
          <w:rFonts w:cstheme="minorHAnsi"/>
        </w:rPr>
        <w:t xml:space="preserve">Our Watch. (2019). </w:t>
      </w:r>
      <w:hyperlink r:id="rId205" w:history="1">
        <w:r w:rsidRPr="007A26A6">
          <w:rPr>
            <w:rStyle w:val="HyperlinkItalic"/>
            <w:rFonts w:cstheme="minorHAnsi"/>
          </w:rPr>
          <w:t>Change the story three years on: Reflections on uptake and impact, lessons learned and Our Watch’s ongoing work to embed and expand the evidence on prevention</w:t>
        </w:r>
      </w:hyperlink>
      <w:r w:rsidRPr="007A26A6">
        <w:rPr>
          <w:rFonts w:cstheme="minorHAnsi"/>
        </w:rPr>
        <w:t>.</w:t>
      </w:r>
    </w:p>
  </w:endnote>
  <w:endnote w:id="185">
    <w:p w14:paraId="19365FC1" w14:textId="5C658631" w:rsidR="00F53B39" w:rsidRPr="007A26A6" w:rsidRDefault="00F53B39" w:rsidP="00C90476">
      <w:pPr>
        <w:pStyle w:val="EndnoteText"/>
        <w:rPr>
          <w:rFonts w:cstheme="minorHAnsi"/>
          <w:szCs w:val="21"/>
        </w:rPr>
      </w:pPr>
      <w:r w:rsidRPr="007A26A6">
        <w:rPr>
          <w:rFonts w:cstheme="minorHAnsi"/>
          <w:szCs w:val="21"/>
        </w:rPr>
        <w:endnoteRef/>
      </w:r>
      <w:r w:rsidRPr="007A26A6">
        <w:rPr>
          <w:rFonts w:cstheme="minorHAnsi"/>
          <w:szCs w:val="21"/>
        </w:rPr>
        <w:tab/>
        <w:t xml:space="preserve">Braybrook, A. (2017, June 14). </w:t>
      </w:r>
      <w:hyperlink r:id="rId206" w:history="1">
        <w:r w:rsidRPr="007A26A6">
          <w:rPr>
            <w:rStyle w:val="Hyperlink"/>
            <w:rFonts w:cstheme="minorHAnsi"/>
            <w:szCs w:val="21"/>
          </w:rPr>
          <w:t>Aboriginal women’s lives really do matter</w:t>
        </w:r>
      </w:hyperlink>
      <w:r w:rsidRPr="007A26A6">
        <w:rPr>
          <w:rFonts w:cstheme="minorHAnsi"/>
          <w:szCs w:val="21"/>
        </w:rPr>
        <w:t xml:space="preserve">. </w:t>
      </w:r>
      <w:r w:rsidRPr="007A26A6">
        <w:rPr>
          <w:rStyle w:val="Emphasis"/>
          <w:rFonts w:cstheme="minorHAnsi"/>
          <w:szCs w:val="21"/>
        </w:rPr>
        <w:t>ABC News</w:t>
      </w:r>
      <w:r w:rsidRPr="007A26A6">
        <w:rPr>
          <w:rFonts w:cstheme="minorHAnsi"/>
          <w:szCs w:val="21"/>
        </w:rPr>
        <w:t>.</w:t>
      </w:r>
    </w:p>
    <w:p w14:paraId="5CDAFC58" w14:textId="3DD9E9E8" w:rsidR="00F53B39" w:rsidRPr="007A26A6" w:rsidRDefault="00F53B39" w:rsidP="00C90476">
      <w:pPr>
        <w:pStyle w:val="OWEndnotetextindent"/>
        <w:rPr>
          <w:rFonts w:cstheme="minorHAnsi"/>
          <w:lang w:val="en-US"/>
        </w:rPr>
      </w:pPr>
      <w:r w:rsidRPr="007A26A6">
        <w:rPr>
          <w:rFonts w:cstheme="minorHAnsi"/>
        </w:rPr>
        <w:t xml:space="preserve">Bond, C. (2017, February 20). </w:t>
      </w:r>
      <w:hyperlink r:id="rId207" w:history="1">
        <w:r w:rsidRPr="007A26A6">
          <w:rPr>
            <w:rStyle w:val="Hyperlink"/>
            <w:rFonts w:cstheme="minorHAnsi"/>
          </w:rPr>
          <w:t>We just Black matter: Australia’s indifference to Aboriginal lives and land</w:t>
        </w:r>
      </w:hyperlink>
      <w:r w:rsidRPr="007A26A6">
        <w:rPr>
          <w:rFonts w:cstheme="minorHAnsi"/>
        </w:rPr>
        <w:t xml:space="preserve">. </w:t>
      </w:r>
      <w:r w:rsidRPr="007A26A6">
        <w:rPr>
          <w:rStyle w:val="Emphasis"/>
          <w:rFonts w:cstheme="minorHAnsi"/>
        </w:rPr>
        <w:t>The Conversation</w:t>
      </w:r>
      <w:r w:rsidRPr="007A26A6">
        <w:rPr>
          <w:rFonts w:cstheme="minorHAnsi"/>
        </w:rPr>
        <w:t>.</w:t>
      </w:r>
    </w:p>
  </w:endnote>
  <w:endnote w:id="186">
    <w:p w14:paraId="71F923EE" w14:textId="6BEF3688"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Ireland, J. (2020, February 19). </w:t>
      </w:r>
      <w:hyperlink r:id="rId208" w:history="1">
        <w:r w:rsidRPr="007A26A6">
          <w:rPr>
            <w:rStyle w:val="Hyperlink"/>
            <w:rFonts w:cstheme="minorHAnsi"/>
            <w:szCs w:val="21"/>
          </w:rPr>
          <w:t>Urgent response needed to help complex callers to 1800RESPECT</w:t>
        </w:r>
      </w:hyperlink>
      <w:r w:rsidRPr="007A26A6">
        <w:rPr>
          <w:rFonts w:cstheme="minorHAnsi"/>
          <w:szCs w:val="21"/>
        </w:rPr>
        <w:t xml:space="preserve">. </w:t>
      </w:r>
      <w:r w:rsidRPr="007A26A6">
        <w:rPr>
          <w:rStyle w:val="Emphasis"/>
          <w:rFonts w:cstheme="minorHAnsi"/>
          <w:szCs w:val="21"/>
        </w:rPr>
        <w:t>Sydney Morning Herald</w:t>
      </w:r>
      <w:r w:rsidRPr="007A26A6">
        <w:rPr>
          <w:rFonts w:cstheme="minorHAnsi"/>
          <w:szCs w:val="21"/>
        </w:rPr>
        <w:t>.</w:t>
      </w:r>
    </w:p>
  </w:endnote>
  <w:endnote w:id="187">
    <w:p w14:paraId="7EA0A2E6" w14:textId="530BE3A9"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Bogen, K. W., Bleiweiss, K. K., Leach, N. R., &amp; Orchowski, L. M. (2019). #MeToo: disclosure and response to sexual victimization on Twitter. </w:t>
      </w:r>
      <w:r w:rsidRPr="007A26A6">
        <w:rPr>
          <w:rStyle w:val="Emphasis"/>
          <w:rFonts w:cstheme="minorHAnsi"/>
          <w:szCs w:val="21"/>
        </w:rPr>
        <w:t>Journal of Interpersonal Violence</w:t>
      </w:r>
      <w:r w:rsidRPr="007A26A6">
        <w:rPr>
          <w:rFonts w:cstheme="minorHAnsi"/>
          <w:szCs w:val="21"/>
        </w:rPr>
        <w:t xml:space="preserve">, </w:t>
      </w:r>
      <w:hyperlink r:id="rId209" w:tgtFrame="_blank" w:history="1">
        <w:r w:rsidRPr="007A26A6">
          <w:rPr>
            <w:rStyle w:val="Hyperlink"/>
            <w:rFonts w:cstheme="minorHAnsi"/>
            <w:szCs w:val="21"/>
          </w:rPr>
          <w:t>https://doi.org/10.1177/0886260519851211</w:t>
        </w:r>
      </w:hyperlink>
    </w:p>
  </w:endnote>
  <w:endnote w:id="188">
    <w:p w14:paraId="457601F2" w14:textId="0A29A5BC" w:rsidR="00F53B39" w:rsidRPr="007A26A6" w:rsidRDefault="00F53B39" w:rsidP="00C90476">
      <w:pPr>
        <w:pStyle w:val="EndnoteText"/>
        <w:rPr>
          <w:rFonts w:cstheme="minorHAnsi"/>
          <w:szCs w:val="21"/>
        </w:rPr>
      </w:pPr>
      <w:r w:rsidRPr="007A26A6">
        <w:rPr>
          <w:rFonts w:cstheme="minorHAnsi"/>
          <w:szCs w:val="21"/>
        </w:rPr>
        <w:endnoteRef/>
      </w:r>
      <w:r w:rsidRPr="007A26A6">
        <w:rPr>
          <w:rFonts w:cstheme="minorHAnsi"/>
          <w:szCs w:val="21"/>
        </w:rPr>
        <w:tab/>
        <w:t xml:space="preserve">McGregor, K. (2009). </w:t>
      </w:r>
      <w:hyperlink r:id="rId210" w:history="1">
        <w:r w:rsidRPr="007A26A6">
          <w:rPr>
            <w:rStyle w:val="HyperlinkItalic"/>
            <w:rFonts w:cstheme="minorHAnsi"/>
            <w:szCs w:val="21"/>
          </w:rPr>
          <w:t>2009 National Community Attitudes towards Violence against Women Survey: A full technical report</w:t>
        </w:r>
      </w:hyperlink>
      <w:r w:rsidRPr="007A26A6">
        <w:rPr>
          <w:rFonts w:cstheme="minorHAnsi"/>
          <w:szCs w:val="21"/>
        </w:rPr>
        <w:t>. Canberra, Australia: Australian Institute of Criminology.</w:t>
      </w:r>
    </w:p>
    <w:p w14:paraId="5B358DA2" w14:textId="7AC7E0E1" w:rsidR="00F53B39" w:rsidRPr="007A26A6" w:rsidRDefault="00F53B39" w:rsidP="00C90476">
      <w:pPr>
        <w:pStyle w:val="OWEndnotetextindent"/>
        <w:rPr>
          <w:rFonts w:cstheme="minorHAnsi"/>
        </w:rPr>
      </w:pPr>
      <w:r w:rsidRPr="007A26A6">
        <w:rPr>
          <w:rFonts w:cstheme="minorHAnsi"/>
        </w:rPr>
        <w:t xml:space="preserve">VicHealth. (2014). </w:t>
      </w:r>
      <w:hyperlink r:id="rId211" w:history="1">
        <w:r w:rsidRPr="007A26A6">
          <w:rPr>
            <w:rStyle w:val="HyperlinkItalic"/>
            <w:rFonts w:cstheme="minorHAnsi"/>
          </w:rPr>
          <w:t>Australians’ attitudes to violence against women: Findings from the 2013 National Community Attitudes Survey (NCAS)</w:t>
        </w:r>
      </w:hyperlink>
      <w:r w:rsidRPr="007A26A6">
        <w:rPr>
          <w:rFonts w:cstheme="minorHAnsi"/>
        </w:rPr>
        <w:t>. Melbourne, Australia: VicHealth Promotion Foundation.</w:t>
      </w:r>
    </w:p>
    <w:p w14:paraId="21165718" w14:textId="610B11CB" w:rsidR="00F53B39" w:rsidRPr="007A26A6" w:rsidRDefault="00F53B39" w:rsidP="00C90476">
      <w:pPr>
        <w:pStyle w:val="OWEndnotetextindent"/>
        <w:rPr>
          <w:rFonts w:cstheme="minorHAnsi"/>
        </w:rPr>
      </w:pPr>
      <w:r w:rsidRPr="007A26A6">
        <w:rPr>
          <w:rFonts w:cstheme="minorHAnsi"/>
        </w:rPr>
        <w:t xml:space="preserve">Webster, K., Diemer, K., Honey, N., Mannix, S., Mickle, J., Morgan, J., Parkes, A., Politoff, V., Powell, A., Stubbs, J., &amp; Ward, A. (2018). </w:t>
      </w:r>
      <w:hyperlink r:id="rId212" w:history="1">
        <w:r w:rsidRPr="007A26A6">
          <w:rPr>
            <w:rStyle w:val="HyperlinkItalic"/>
            <w:rFonts w:cstheme="minorHAnsi"/>
          </w:rPr>
          <w:t>Australians’ attitudes to violence against women and gender equality. Findings from the 2017 National Community Attitudes towards Violence Against Women Survey (NCAS)</w:t>
        </w:r>
      </w:hyperlink>
      <w:r w:rsidRPr="007A26A6">
        <w:rPr>
          <w:rFonts w:cstheme="minorHAnsi"/>
        </w:rPr>
        <w:t>. Sydney, Australia: ANROWS.</w:t>
      </w:r>
    </w:p>
  </w:endnote>
  <w:endnote w:id="189">
    <w:p w14:paraId="02299F0B" w14:textId="00B694E8"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213"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pp. 42–44.</w:t>
      </w:r>
    </w:p>
  </w:endnote>
  <w:endnote w:id="190">
    <w:p w14:paraId="36321F74" w14:textId="777B3AEE"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214"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44.</w:t>
      </w:r>
    </w:p>
  </w:endnote>
  <w:endnote w:id="191">
    <w:p w14:paraId="02E70FF5" w14:textId="4D90B492"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215"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pp. 41–46.</w:t>
      </w:r>
    </w:p>
  </w:endnote>
  <w:endnote w:id="192">
    <w:p w14:paraId="3BBD5776" w14:textId="436C3103"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216"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43.</w:t>
      </w:r>
    </w:p>
  </w:endnote>
  <w:endnote w:id="193">
    <w:p w14:paraId="54D924A9" w14:textId="28A1101D"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217"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pp. 52–53.</w:t>
      </w:r>
    </w:p>
  </w:endnote>
  <w:endnote w:id="194">
    <w:p w14:paraId="2976856A" w14:textId="45F40213"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218"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pp. 52–57.</w:t>
      </w:r>
    </w:p>
  </w:endnote>
  <w:endnote w:id="195">
    <w:p w14:paraId="73E8773F" w14:textId="3D006F11"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219"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93.</w:t>
      </w:r>
    </w:p>
  </w:endnote>
  <w:endnote w:id="196">
    <w:p w14:paraId="7E692E8D" w14:textId="54B1A2AF"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220"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pp. 94–98.</w:t>
      </w:r>
    </w:p>
  </w:endnote>
  <w:endnote w:id="197">
    <w:p w14:paraId="0E420C13" w14:textId="3DBB06AA" w:rsidR="00F53B39" w:rsidRPr="00901058" w:rsidRDefault="00F53B39">
      <w:pPr>
        <w:pStyle w:val="EndnoteText"/>
      </w:pPr>
      <w:r w:rsidRPr="007A26A6">
        <w:rPr>
          <w:rFonts w:cstheme="minorHAnsi"/>
          <w:szCs w:val="21"/>
        </w:rPr>
        <w:endnoteRef/>
      </w:r>
      <w:r w:rsidRPr="007A26A6">
        <w:rPr>
          <w:rFonts w:cstheme="minorHAnsi"/>
          <w:szCs w:val="21"/>
        </w:rPr>
        <w:tab/>
        <w:t xml:space="preserve">Australian Human Rights Commission. (2018). </w:t>
      </w:r>
      <w:hyperlink r:id="rId221" w:history="1">
        <w:r w:rsidRPr="007A26A6">
          <w:rPr>
            <w:rStyle w:val="HyperlinkItalic"/>
            <w:rFonts w:cstheme="minorHAnsi"/>
            <w:szCs w:val="21"/>
          </w:rPr>
          <w:t xml:space="preserve">Everyone’s business: Fourth national survey </w:t>
        </w:r>
        <w:r w:rsidRPr="007A26A6">
          <w:rPr>
            <w:rStyle w:val="HyperlinkItalic"/>
            <w:rFonts w:cstheme="minorHAnsi"/>
            <w:szCs w:val="21"/>
          </w:rPr>
          <w:br/>
          <w:t>on sexual harassment in Australian Workplaces 2018</w:t>
        </w:r>
      </w:hyperlink>
      <w:r w:rsidRPr="007A26A6">
        <w:rPr>
          <w:rFonts w:cstheme="minorHAnsi"/>
          <w:szCs w:val="21"/>
        </w:rPr>
        <w:t>. Sydney, Australia: Australian Human Rights Commission.</w:t>
      </w:r>
    </w:p>
  </w:endnote>
  <w:endnote w:id="198">
    <w:p w14:paraId="0143A101" w14:textId="4AFB8199"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Human Rights Commission. (2012). </w:t>
      </w:r>
      <w:hyperlink r:id="rId222" w:history="1">
        <w:r w:rsidRPr="007A26A6">
          <w:rPr>
            <w:rStyle w:val="HyperlinkItalic"/>
            <w:rFonts w:cstheme="minorHAnsi"/>
            <w:szCs w:val="21"/>
          </w:rPr>
          <w:t>Working without fear: Results of the Sexual Harassment National Telephone Survey 2012</w:t>
        </w:r>
      </w:hyperlink>
      <w:r w:rsidRPr="007A26A6">
        <w:rPr>
          <w:rFonts w:cstheme="minorHAnsi"/>
          <w:szCs w:val="21"/>
        </w:rPr>
        <w:t>. Sydney, Australia: Australian Human Rights Commission.</w:t>
      </w:r>
    </w:p>
  </w:endnote>
  <w:endnote w:id="199">
    <w:p w14:paraId="7455CA28" w14:textId="2DA79C41"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223"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119.</w:t>
      </w:r>
    </w:p>
  </w:endnote>
  <w:endnote w:id="200">
    <w:p w14:paraId="519CBE82" w14:textId="12224301"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224"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119.</w:t>
      </w:r>
    </w:p>
  </w:endnote>
  <w:endnote w:id="201">
    <w:p w14:paraId="015CA55C" w14:textId="47714B97"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225"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119.</w:t>
      </w:r>
    </w:p>
  </w:endnote>
  <w:endnote w:id="202">
    <w:p w14:paraId="0E918207" w14:textId="606DAB9B"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226"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122.</w:t>
      </w:r>
    </w:p>
  </w:endnote>
  <w:endnote w:id="203">
    <w:p w14:paraId="4B37087B" w14:textId="6A5D4BA6"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Human Rights Commission. (2018). </w:t>
      </w:r>
      <w:hyperlink r:id="rId227" w:history="1">
        <w:r w:rsidRPr="007A26A6">
          <w:rPr>
            <w:rStyle w:val="HyperlinkItalic"/>
            <w:rFonts w:cstheme="minorHAnsi"/>
            <w:szCs w:val="21"/>
          </w:rPr>
          <w:t xml:space="preserve">Everyone’s business: Fourth national survey </w:t>
        </w:r>
        <w:r w:rsidRPr="007A26A6">
          <w:rPr>
            <w:rStyle w:val="HyperlinkItalic"/>
            <w:rFonts w:cstheme="minorHAnsi"/>
            <w:szCs w:val="21"/>
          </w:rPr>
          <w:br/>
          <w:t>on sexual harassment in Australian Workplaces 2018</w:t>
        </w:r>
      </w:hyperlink>
      <w:r w:rsidRPr="007A26A6">
        <w:rPr>
          <w:rFonts w:cstheme="minorHAnsi"/>
          <w:szCs w:val="21"/>
        </w:rPr>
        <w:t>. pp. 94–95 and 102.</w:t>
      </w:r>
    </w:p>
  </w:endnote>
  <w:endnote w:id="204">
    <w:p w14:paraId="7263F9BA" w14:textId="182C0031"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Human Rights Commission. (2018). </w:t>
      </w:r>
      <w:hyperlink r:id="rId228" w:history="1">
        <w:r w:rsidRPr="007A26A6">
          <w:rPr>
            <w:rStyle w:val="HyperlinkItalic"/>
            <w:rFonts w:cstheme="minorHAnsi"/>
            <w:szCs w:val="21"/>
          </w:rPr>
          <w:t xml:space="preserve">Everyone’s business: Fourth national survey </w:t>
        </w:r>
        <w:r w:rsidRPr="007A26A6">
          <w:rPr>
            <w:rStyle w:val="HyperlinkItalic"/>
            <w:rFonts w:cstheme="minorHAnsi"/>
            <w:szCs w:val="21"/>
          </w:rPr>
          <w:br/>
          <w:t>on sexual harassment in Australian Workplaces 2018</w:t>
        </w:r>
      </w:hyperlink>
      <w:r w:rsidRPr="007A26A6">
        <w:rPr>
          <w:rFonts w:cstheme="minorHAnsi"/>
          <w:szCs w:val="21"/>
        </w:rPr>
        <w:t>. p. 96.</w:t>
      </w:r>
    </w:p>
  </w:endnote>
  <w:endnote w:id="205">
    <w:p w14:paraId="2C97E1EA" w14:textId="6B1005F4"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Human Rights Commission. (2018). </w:t>
      </w:r>
      <w:hyperlink r:id="rId229" w:history="1">
        <w:r w:rsidRPr="007A26A6">
          <w:rPr>
            <w:rStyle w:val="HyperlinkItalic"/>
            <w:rFonts w:cstheme="minorHAnsi"/>
            <w:szCs w:val="21"/>
          </w:rPr>
          <w:t xml:space="preserve">Everyone’s business: Fourth national survey </w:t>
        </w:r>
        <w:r w:rsidRPr="007A26A6">
          <w:rPr>
            <w:rStyle w:val="HyperlinkItalic"/>
            <w:rFonts w:cstheme="minorHAnsi"/>
            <w:szCs w:val="21"/>
          </w:rPr>
          <w:br/>
          <w:t>on sexual harassment in Australian Workplaces 2018</w:t>
        </w:r>
      </w:hyperlink>
      <w:r w:rsidRPr="007A26A6">
        <w:rPr>
          <w:rFonts w:cstheme="minorHAnsi"/>
          <w:szCs w:val="21"/>
        </w:rPr>
        <w:t>. p. 98.</w:t>
      </w:r>
    </w:p>
  </w:endnote>
  <w:endnote w:id="206">
    <w:p w14:paraId="74B5AE28" w14:textId="60C15DA5" w:rsidR="00F53B39" w:rsidRPr="007A26A6" w:rsidRDefault="00F53B39" w:rsidP="00A23E9D">
      <w:pPr>
        <w:pStyle w:val="EndnoteText"/>
        <w:rPr>
          <w:rFonts w:cstheme="minorHAnsi"/>
          <w:szCs w:val="21"/>
        </w:rPr>
      </w:pPr>
      <w:r w:rsidRPr="007A26A6">
        <w:rPr>
          <w:rFonts w:cstheme="minorHAnsi"/>
          <w:szCs w:val="21"/>
        </w:rPr>
        <w:endnoteRef/>
      </w:r>
      <w:r w:rsidRPr="007A26A6">
        <w:rPr>
          <w:rFonts w:cstheme="minorHAnsi"/>
          <w:szCs w:val="21"/>
        </w:rPr>
        <w:tab/>
        <w:t xml:space="preserve">Australian Bureau of Statistics. (2013). </w:t>
      </w:r>
      <w:hyperlink r:id="rId230" w:history="1">
        <w:r w:rsidRPr="007A26A6">
          <w:rPr>
            <w:rStyle w:val="HyperlinkItalic"/>
            <w:rFonts w:cstheme="minorHAnsi"/>
            <w:szCs w:val="21"/>
          </w:rPr>
          <w:t>Personal Safety, Australia, 2012</w:t>
        </w:r>
      </w:hyperlink>
      <w:r w:rsidRPr="007A26A6">
        <w:rPr>
          <w:rStyle w:val="Emphasis"/>
          <w:rFonts w:cstheme="minorHAnsi"/>
          <w:szCs w:val="21"/>
        </w:rPr>
        <w:t xml:space="preserve"> </w:t>
      </w:r>
      <w:r w:rsidRPr="007A26A6">
        <w:rPr>
          <w:rFonts w:cstheme="minorHAnsi"/>
          <w:szCs w:val="21"/>
        </w:rPr>
        <w:t>(cat. no. 4906.0).</w:t>
      </w:r>
    </w:p>
    <w:p w14:paraId="5795BE7A" w14:textId="75327474" w:rsidR="00F53B39" w:rsidRPr="007A26A6" w:rsidRDefault="00F53B39" w:rsidP="00A23E9D">
      <w:pPr>
        <w:pStyle w:val="OWEndnotetextindent"/>
        <w:rPr>
          <w:rFonts w:cstheme="minorHAnsi"/>
          <w:lang w:val="en-US"/>
        </w:rPr>
      </w:pPr>
      <w:r w:rsidRPr="007A26A6">
        <w:rPr>
          <w:rFonts w:cstheme="minorHAnsi"/>
        </w:rPr>
        <w:t xml:space="preserve">Australian Bureau of Statistics. (2017). </w:t>
      </w:r>
      <w:hyperlink r:id="rId231" w:history="1">
        <w:r w:rsidRPr="007A26A6">
          <w:rPr>
            <w:rStyle w:val="HyperlinkItalic"/>
            <w:rFonts w:cstheme="minorHAnsi"/>
          </w:rPr>
          <w:t>Personal Safety, Australia, 2016</w:t>
        </w:r>
      </w:hyperlink>
      <w:r w:rsidRPr="007A26A6">
        <w:rPr>
          <w:rStyle w:val="Emphasis"/>
          <w:rFonts w:cstheme="minorHAnsi"/>
        </w:rPr>
        <w:t xml:space="preserve"> </w:t>
      </w:r>
      <w:r w:rsidRPr="007A26A6">
        <w:rPr>
          <w:rFonts w:cstheme="minorHAnsi"/>
        </w:rPr>
        <w:t>(cat. no. 4906.0).</w:t>
      </w:r>
    </w:p>
  </w:endnote>
  <w:endnote w:id="207">
    <w:p w14:paraId="268DFB3E" w14:textId="2BAA8D76"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(2017). </w:t>
      </w:r>
      <w:hyperlink r:id="rId232" w:history="1">
        <w:r w:rsidRPr="007A26A6">
          <w:rPr>
            <w:rStyle w:val="HyperlinkItalic"/>
            <w:rFonts w:cstheme="minorHAnsi"/>
            <w:szCs w:val="21"/>
          </w:rPr>
          <w:t>Personal Safety, Australia, 2016</w:t>
        </w:r>
      </w:hyperlink>
      <w:r w:rsidRPr="007A26A6">
        <w:rPr>
          <w:rFonts w:cstheme="minorHAnsi"/>
          <w:szCs w:val="21"/>
        </w:rPr>
        <w:t>.</w:t>
      </w:r>
    </w:p>
  </w:endnote>
  <w:endnote w:id="208">
    <w:p w14:paraId="25E786C0" w14:textId="4901C381"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(2017). </w:t>
      </w:r>
      <w:hyperlink r:id="rId233" w:history="1">
        <w:r w:rsidRPr="007A26A6">
          <w:rPr>
            <w:rStyle w:val="HyperlinkItalic"/>
            <w:rFonts w:cstheme="minorHAnsi"/>
            <w:szCs w:val="21"/>
          </w:rPr>
          <w:t>Personal Safety, Australia, 2016</w:t>
        </w:r>
      </w:hyperlink>
      <w:r w:rsidRPr="007A26A6">
        <w:rPr>
          <w:rFonts w:cstheme="minorHAnsi"/>
          <w:szCs w:val="21"/>
        </w:rPr>
        <w:t>.</w:t>
      </w:r>
    </w:p>
  </w:endnote>
  <w:endnote w:id="209">
    <w:p w14:paraId="17BFB373" w14:textId="63B60B52"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(2017). </w:t>
      </w:r>
      <w:hyperlink r:id="rId234" w:history="1">
        <w:r w:rsidRPr="007A26A6">
          <w:rPr>
            <w:rStyle w:val="HyperlinkItalic"/>
            <w:rFonts w:cstheme="minorHAnsi"/>
            <w:szCs w:val="21"/>
          </w:rPr>
          <w:t>Personal Safety, Australia, 2016</w:t>
        </w:r>
      </w:hyperlink>
      <w:r w:rsidRPr="007A26A6">
        <w:rPr>
          <w:rStyle w:val="Emphasis"/>
          <w:rFonts w:cstheme="minorHAnsi"/>
          <w:szCs w:val="21"/>
        </w:rPr>
        <w:t>.</w:t>
      </w:r>
    </w:p>
  </w:endnote>
  <w:endnote w:id="210">
    <w:p w14:paraId="6797658E" w14:textId="59DD325D"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Ireland, J. (2020, February 19). </w:t>
      </w:r>
      <w:hyperlink r:id="rId235" w:history="1">
        <w:r w:rsidRPr="007A26A6">
          <w:rPr>
            <w:rStyle w:val="Hyperlink"/>
            <w:rFonts w:cstheme="minorHAnsi"/>
            <w:szCs w:val="21"/>
          </w:rPr>
          <w:t>Urgent response needed to help complex callers to 1800RESPECT</w:t>
        </w:r>
      </w:hyperlink>
      <w:r w:rsidRPr="007A26A6">
        <w:rPr>
          <w:rFonts w:cstheme="minorHAnsi"/>
          <w:szCs w:val="21"/>
        </w:rPr>
        <w:t xml:space="preserve">. </w:t>
      </w:r>
      <w:r w:rsidRPr="007A26A6">
        <w:rPr>
          <w:rStyle w:val="Emphasis"/>
          <w:rFonts w:cstheme="minorHAnsi"/>
          <w:szCs w:val="21"/>
        </w:rPr>
        <w:t>Sydney Morning Herald</w:t>
      </w:r>
      <w:r w:rsidRPr="007A26A6">
        <w:rPr>
          <w:rFonts w:cstheme="minorHAnsi"/>
          <w:szCs w:val="21"/>
        </w:rPr>
        <w:t>.</w:t>
      </w:r>
    </w:p>
  </w:endnote>
  <w:endnote w:id="211">
    <w:p w14:paraId="5221835C" w14:textId="15E1F101"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Ministers for the Department of Social Services. (2018, 27 November). </w:t>
      </w:r>
      <w:hyperlink r:id="rId236" w:history="1">
        <w:r w:rsidRPr="007A26A6">
          <w:rPr>
            <w:rStyle w:val="Hyperlink"/>
            <w:rFonts w:cstheme="minorHAnsi"/>
            <w:szCs w:val="21"/>
          </w:rPr>
          <w:t>Continuing critical work of 1800RESPECT</w:t>
        </w:r>
      </w:hyperlink>
      <w:r w:rsidRPr="007A26A6">
        <w:rPr>
          <w:rFonts w:cstheme="minorHAnsi"/>
          <w:szCs w:val="21"/>
        </w:rPr>
        <w:t xml:space="preserve"> [Media release].</w:t>
      </w:r>
    </w:p>
  </w:endnote>
  <w:endnote w:id="212">
    <w:p w14:paraId="5A219552" w14:textId="05146BF2"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Department of Social Services. (2019). </w:t>
      </w:r>
      <w:r w:rsidRPr="007A26A6">
        <w:rPr>
          <w:rStyle w:val="Emphasis"/>
          <w:rFonts w:cstheme="minorHAnsi"/>
          <w:szCs w:val="21"/>
        </w:rPr>
        <w:t>Fourth Action Plan – National Plan to reduce violence against women and their children 2010–2022</w:t>
      </w:r>
      <w:r w:rsidRPr="007A26A6">
        <w:rPr>
          <w:rFonts w:cstheme="minorHAnsi"/>
          <w:szCs w:val="21"/>
        </w:rPr>
        <w:t>. Canberra, Australia: Commonwealth of Australia. p. 14.</w:t>
      </w:r>
    </w:p>
  </w:endnote>
  <w:endnote w:id="213">
    <w:p w14:paraId="44093140" w14:textId="17E77753"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Cox, P. (2016, 2nd edn). </w:t>
      </w:r>
      <w:hyperlink r:id="rId237" w:history="1">
        <w:r w:rsidRPr="007A26A6">
          <w:rPr>
            <w:rStyle w:val="HyperlinkItalic"/>
            <w:rFonts w:cstheme="minorHAnsi"/>
            <w:szCs w:val="21"/>
          </w:rPr>
          <w:t>Violence against women: Additional analysis of the Australian Bureau of Statistics’ Personal Safety Survey, 2012</w:t>
        </w:r>
      </w:hyperlink>
      <w:r w:rsidRPr="007A26A6">
        <w:rPr>
          <w:rFonts w:cstheme="minorHAnsi"/>
          <w:szCs w:val="21"/>
        </w:rPr>
        <w:t>. Sydney, Australia: ANROWS.</w:t>
      </w:r>
    </w:p>
  </w:endnote>
  <w:endnote w:id="214">
    <w:p w14:paraId="58B280FB" w14:textId="25D97B54"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(2017). </w:t>
      </w:r>
      <w:hyperlink r:id="rId238" w:history="1">
        <w:r w:rsidRPr="007A26A6">
          <w:rPr>
            <w:rStyle w:val="HyperlinkItalic"/>
            <w:rFonts w:cstheme="minorHAnsi"/>
            <w:szCs w:val="21"/>
          </w:rPr>
          <w:t>Personal Safety, Australia, 2016</w:t>
        </w:r>
      </w:hyperlink>
      <w:r w:rsidRPr="007A26A6">
        <w:rPr>
          <w:rStyle w:val="Emphasis"/>
          <w:rFonts w:cstheme="minorHAnsi"/>
          <w:szCs w:val="21"/>
        </w:rPr>
        <w:t>.</w:t>
      </w:r>
    </w:p>
  </w:endnote>
  <w:endnote w:id="215">
    <w:p w14:paraId="3056E0EE" w14:textId="235D06A1" w:rsidR="00F53B39" w:rsidRPr="007A26A6" w:rsidRDefault="00F53B39" w:rsidP="004A3A0A">
      <w:pPr>
        <w:pStyle w:val="EndnoteText"/>
        <w:keepNext/>
        <w:rPr>
          <w:rFonts w:cstheme="minorHAnsi"/>
          <w:szCs w:val="21"/>
        </w:rPr>
      </w:pPr>
      <w:r w:rsidRPr="007A26A6">
        <w:rPr>
          <w:rFonts w:cstheme="minorHAnsi"/>
          <w:szCs w:val="21"/>
        </w:rPr>
        <w:endnoteRef/>
      </w:r>
      <w:r w:rsidRPr="007A26A6">
        <w:rPr>
          <w:rFonts w:cstheme="minorHAnsi"/>
          <w:szCs w:val="21"/>
        </w:rPr>
        <w:tab/>
        <w:t xml:space="preserve">Australian Bureau of Statistics. (2009). </w:t>
      </w:r>
      <w:hyperlink r:id="rId239" w:history="1">
        <w:r w:rsidRPr="007A26A6">
          <w:rPr>
            <w:rStyle w:val="HyperlinkItalic"/>
            <w:rFonts w:cstheme="minorHAnsi"/>
            <w:szCs w:val="21"/>
          </w:rPr>
          <w:t>National Aboriginal and Torres Strait Islander Social Survey, 2008</w:t>
        </w:r>
      </w:hyperlink>
      <w:r w:rsidRPr="007A26A6">
        <w:rPr>
          <w:rStyle w:val="Emphasis"/>
          <w:rFonts w:cstheme="minorHAnsi"/>
          <w:szCs w:val="21"/>
        </w:rPr>
        <w:t xml:space="preserve"> </w:t>
      </w:r>
      <w:r w:rsidRPr="007A26A6">
        <w:rPr>
          <w:rFonts w:cstheme="minorHAnsi"/>
          <w:szCs w:val="21"/>
        </w:rPr>
        <w:t>(cat. no. 4714.0).</w:t>
      </w:r>
    </w:p>
    <w:p w14:paraId="64AB7FC7" w14:textId="42D42268" w:rsidR="00F53B39" w:rsidRPr="007A26A6" w:rsidRDefault="00F53B39" w:rsidP="00BF74A2">
      <w:pPr>
        <w:pStyle w:val="OWEndnotetextindent"/>
        <w:rPr>
          <w:rFonts w:cstheme="minorHAnsi"/>
        </w:rPr>
      </w:pPr>
      <w:r w:rsidRPr="007A26A6">
        <w:rPr>
          <w:rFonts w:cstheme="minorHAnsi"/>
        </w:rPr>
        <w:t xml:space="preserve">Australian Bureau of Statistics. (2016). </w:t>
      </w:r>
      <w:hyperlink r:id="rId240" w:history="1">
        <w:r w:rsidRPr="007A26A6">
          <w:rPr>
            <w:rStyle w:val="HyperlinkItalic"/>
            <w:rFonts w:cstheme="minorHAnsi"/>
          </w:rPr>
          <w:t>National Aboriginal and Torres Strait Islander Social Survey, 2014–15</w:t>
        </w:r>
      </w:hyperlink>
      <w:r w:rsidRPr="007A26A6">
        <w:rPr>
          <w:rStyle w:val="Emphasis"/>
          <w:rFonts w:cstheme="minorHAnsi"/>
        </w:rPr>
        <w:t xml:space="preserve"> </w:t>
      </w:r>
      <w:r w:rsidRPr="007A26A6">
        <w:rPr>
          <w:rFonts w:cstheme="minorHAnsi"/>
        </w:rPr>
        <w:t>(cat. no. 4714.0).</w:t>
      </w:r>
    </w:p>
  </w:endnote>
  <w:endnote w:id="216">
    <w:p w14:paraId="4720A7A0" w14:textId="5F38DA67"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(2017). </w:t>
      </w:r>
      <w:hyperlink r:id="rId241" w:history="1">
        <w:r w:rsidRPr="007A26A6">
          <w:rPr>
            <w:rStyle w:val="HyperlinkItalic"/>
            <w:rFonts w:cstheme="minorHAnsi"/>
            <w:szCs w:val="21"/>
          </w:rPr>
          <w:t>Personal Safety, Australia, 2016</w:t>
        </w:r>
      </w:hyperlink>
      <w:r w:rsidRPr="007A26A6">
        <w:rPr>
          <w:rFonts w:cstheme="minorHAnsi"/>
          <w:szCs w:val="21"/>
        </w:rPr>
        <w:t>.</w:t>
      </w:r>
    </w:p>
  </w:endnote>
  <w:endnote w:id="217">
    <w:p w14:paraId="7FB84682" w14:textId="231F8D77" w:rsidR="00F53B39" w:rsidRPr="007A26A6" w:rsidRDefault="00F53B39" w:rsidP="004D27F3">
      <w:pPr>
        <w:pStyle w:val="EndnoteText"/>
        <w:rPr>
          <w:rFonts w:cstheme="minorHAnsi"/>
          <w:szCs w:val="21"/>
        </w:rPr>
      </w:pPr>
      <w:r w:rsidRPr="007A26A6">
        <w:rPr>
          <w:rFonts w:cstheme="minorHAnsi"/>
          <w:szCs w:val="21"/>
        </w:rPr>
        <w:endnoteRef/>
      </w:r>
      <w:r w:rsidRPr="007A26A6">
        <w:rPr>
          <w:rFonts w:cstheme="minorHAnsi"/>
          <w:szCs w:val="21"/>
        </w:rPr>
        <w:tab/>
        <w:t xml:space="preserve">Australian Bureau of Statistics. (2009). </w:t>
      </w:r>
      <w:hyperlink r:id="rId242" w:history="1">
        <w:r w:rsidRPr="007A26A6">
          <w:rPr>
            <w:rStyle w:val="HyperlinkItalic"/>
            <w:rFonts w:cstheme="minorHAnsi"/>
            <w:szCs w:val="21"/>
          </w:rPr>
          <w:t>National Aboriginal and Torres Strait Islander Social Survey, 2008</w:t>
        </w:r>
      </w:hyperlink>
      <w:r w:rsidRPr="007A26A6">
        <w:rPr>
          <w:rStyle w:val="Emphasis"/>
          <w:rFonts w:cstheme="minorHAnsi"/>
          <w:szCs w:val="21"/>
        </w:rPr>
        <w:t xml:space="preserve"> </w:t>
      </w:r>
      <w:r w:rsidRPr="007A26A6">
        <w:rPr>
          <w:rFonts w:cstheme="minorHAnsi"/>
          <w:szCs w:val="21"/>
        </w:rPr>
        <w:t>(cat. no. 4714.0).</w:t>
      </w:r>
    </w:p>
    <w:p w14:paraId="20869C22" w14:textId="0C82E53A" w:rsidR="00F53B39" w:rsidRPr="007A26A6" w:rsidRDefault="00F53B39" w:rsidP="004D27F3">
      <w:pPr>
        <w:pStyle w:val="OWEndnotetextindent"/>
        <w:rPr>
          <w:rFonts w:cstheme="minorHAnsi"/>
        </w:rPr>
      </w:pPr>
      <w:r w:rsidRPr="007A26A6">
        <w:rPr>
          <w:rFonts w:cstheme="minorHAnsi"/>
        </w:rPr>
        <w:t xml:space="preserve">Australian Bureau of Statistics. (2016). </w:t>
      </w:r>
      <w:hyperlink r:id="rId243" w:history="1">
        <w:r w:rsidRPr="007A26A6">
          <w:rPr>
            <w:rStyle w:val="HyperlinkItalic"/>
            <w:rFonts w:cstheme="minorHAnsi"/>
          </w:rPr>
          <w:t>National Aboriginal and Torres Strait Islander Social Survey, 2014–15</w:t>
        </w:r>
      </w:hyperlink>
      <w:r w:rsidRPr="007A26A6">
        <w:rPr>
          <w:rStyle w:val="Emphasis"/>
          <w:rFonts w:cstheme="minorHAnsi"/>
        </w:rPr>
        <w:t xml:space="preserve"> </w:t>
      </w:r>
      <w:r w:rsidRPr="007A26A6">
        <w:rPr>
          <w:rFonts w:cstheme="minorHAnsi"/>
        </w:rPr>
        <w:t>(cat. no. 4714.0).</w:t>
      </w:r>
    </w:p>
  </w:endnote>
  <w:endnote w:id="218">
    <w:p w14:paraId="1769223F" w14:textId="14A09121"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Olsen, A., &amp; Lovett, R. (2016). </w:t>
      </w:r>
      <w:hyperlink r:id="rId244" w:history="1">
        <w:r w:rsidRPr="007A26A6">
          <w:rPr>
            <w:rStyle w:val="HyperlinkItalic"/>
            <w:rFonts w:cstheme="minorHAnsi"/>
            <w:szCs w:val="21"/>
          </w:rPr>
          <w:t>Existing knowledge, practice and responses to violence against women in Australian Indigenous communities: State of knowledge paper</w:t>
        </w:r>
        <w:r w:rsidRPr="007A26A6">
          <w:rPr>
            <w:rStyle w:val="Hyperlink"/>
            <w:rFonts w:cstheme="minorHAnsi"/>
            <w:szCs w:val="21"/>
          </w:rPr>
          <w:t>.</w:t>
        </w:r>
      </w:hyperlink>
      <w:r w:rsidRPr="007A26A6">
        <w:rPr>
          <w:rStyle w:val="Emphasis"/>
          <w:rFonts w:cstheme="minorHAnsi"/>
          <w:szCs w:val="21"/>
        </w:rPr>
        <w:t xml:space="preserve"> </w:t>
      </w:r>
      <w:r w:rsidRPr="007A26A6">
        <w:rPr>
          <w:rFonts w:cstheme="minorHAnsi"/>
          <w:szCs w:val="21"/>
        </w:rPr>
        <w:t>Sydney, Australia: ANROWS.</w:t>
      </w:r>
    </w:p>
  </w:endnote>
  <w:endnote w:id="219">
    <w:p w14:paraId="7F129064" w14:textId="6EEC5529" w:rsidR="00F53B39" w:rsidRPr="007A26A6" w:rsidRDefault="00F53B39" w:rsidP="00BF74A2">
      <w:pPr>
        <w:pStyle w:val="EndnoteText"/>
        <w:rPr>
          <w:rFonts w:cstheme="minorHAnsi"/>
          <w:szCs w:val="21"/>
        </w:rPr>
      </w:pPr>
      <w:r w:rsidRPr="007A26A6">
        <w:rPr>
          <w:rFonts w:cstheme="minorHAnsi"/>
          <w:szCs w:val="21"/>
        </w:rPr>
        <w:endnoteRef/>
      </w:r>
      <w:r w:rsidRPr="007A26A6">
        <w:rPr>
          <w:rFonts w:cstheme="minorHAnsi"/>
          <w:szCs w:val="21"/>
        </w:rPr>
        <w:tab/>
        <w:t xml:space="preserve">Flood, M., &amp; Pease, B. (2006). </w:t>
      </w:r>
      <w:hyperlink r:id="rId245" w:history="1">
        <w:r w:rsidRPr="007A26A6">
          <w:rPr>
            <w:rStyle w:val="HyperlinkItalic"/>
            <w:rFonts w:cstheme="minorHAnsi"/>
            <w:szCs w:val="21"/>
          </w:rPr>
          <w:t>The factors influencing community attitudes in relation to violence against women: A critical review of the literature</w:t>
        </w:r>
      </w:hyperlink>
      <w:r w:rsidRPr="007A26A6">
        <w:rPr>
          <w:rFonts w:cstheme="minorHAnsi"/>
          <w:szCs w:val="21"/>
        </w:rPr>
        <w:t>. Melbourne, Australia: Victorian Health Promotion Foundation.</w:t>
      </w:r>
    </w:p>
    <w:p w14:paraId="6550D474" w14:textId="063A4D22" w:rsidR="00F53B39" w:rsidRPr="007A26A6" w:rsidRDefault="00F53B39" w:rsidP="00BF74A2">
      <w:pPr>
        <w:pStyle w:val="OWEndnotetextindent"/>
        <w:rPr>
          <w:rFonts w:cstheme="minorHAnsi"/>
          <w:lang w:val="en-US"/>
        </w:rPr>
      </w:pPr>
      <w:r w:rsidRPr="007A26A6">
        <w:rPr>
          <w:rFonts w:cstheme="minorHAnsi"/>
        </w:rPr>
        <w:t xml:space="preserve">Sanday, P. R. (1981). The socio-cultural context of rape: a cross-cultural study. </w:t>
      </w:r>
      <w:r w:rsidRPr="007A26A6">
        <w:rPr>
          <w:rStyle w:val="Emphasis"/>
          <w:rFonts w:cstheme="minorHAnsi"/>
        </w:rPr>
        <w:t>Journal of Social Issues</w:t>
      </w:r>
      <w:r w:rsidRPr="007A26A6">
        <w:rPr>
          <w:rFonts w:cstheme="minorHAnsi"/>
        </w:rPr>
        <w:t xml:space="preserve">, </w:t>
      </w:r>
      <w:r w:rsidRPr="007A26A6">
        <w:rPr>
          <w:rStyle w:val="Emphasis"/>
          <w:rFonts w:cstheme="minorHAnsi"/>
        </w:rPr>
        <w:t>37</w:t>
      </w:r>
      <w:r w:rsidRPr="007A26A6">
        <w:rPr>
          <w:rFonts w:cstheme="minorHAnsi"/>
        </w:rPr>
        <w:t>(4), 5–27.</w:t>
      </w:r>
    </w:p>
  </w:endnote>
  <w:endnote w:id="220">
    <w:p w14:paraId="3B984580" w14:textId="77777777" w:rsidR="00F53B39" w:rsidRPr="007A26A6" w:rsidRDefault="00F53B39" w:rsidP="00BF74A2">
      <w:pPr>
        <w:pStyle w:val="EndnoteText"/>
        <w:rPr>
          <w:rFonts w:cstheme="minorHAnsi"/>
          <w:szCs w:val="21"/>
        </w:rPr>
      </w:pPr>
      <w:r w:rsidRPr="007A26A6">
        <w:rPr>
          <w:rFonts w:cstheme="minorHAnsi"/>
          <w:szCs w:val="21"/>
        </w:rPr>
        <w:endnoteRef/>
      </w:r>
      <w:r w:rsidRPr="007A26A6">
        <w:rPr>
          <w:rFonts w:cstheme="minorHAnsi"/>
          <w:szCs w:val="21"/>
        </w:rPr>
        <w:tab/>
        <w:t xml:space="preserve">Atkinson, M.P., Greenstein, T. N., &amp; Lang, M. M. (2005). For women breadwinning can be dangerous: Gendered resource theory and wife abuse. </w:t>
      </w:r>
      <w:r w:rsidRPr="007A26A6">
        <w:rPr>
          <w:rStyle w:val="Emphasis"/>
          <w:rFonts w:cstheme="minorHAnsi"/>
          <w:szCs w:val="21"/>
        </w:rPr>
        <w:t>Journal of Marriage and Family</w:t>
      </w:r>
      <w:r w:rsidRPr="007A26A6">
        <w:rPr>
          <w:rFonts w:cstheme="minorHAnsi"/>
          <w:szCs w:val="21"/>
        </w:rPr>
        <w:t xml:space="preserve">, </w:t>
      </w:r>
      <w:r w:rsidRPr="007A26A6">
        <w:rPr>
          <w:rStyle w:val="Emphasis"/>
          <w:rFonts w:cstheme="minorHAnsi"/>
          <w:szCs w:val="21"/>
        </w:rPr>
        <w:t>67</w:t>
      </w:r>
      <w:r w:rsidRPr="007A26A6">
        <w:rPr>
          <w:rFonts w:cstheme="minorHAnsi"/>
          <w:szCs w:val="21"/>
        </w:rPr>
        <w:t>(5), 1137.</w:t>
      </w:r>
    </w:p>
    <w:p w14:paraId="19939323" w14:textId="7B8BEC3E" w:rsidR="00F53B39" w:rsidRPr="007A26A6" w:rsidRDefault="00F53B39" w:rsidP="00BF74A2">
      <w:pPr>
        <w:pStyle w:val="OWEndnotetextindent"/>
        <w:rPr>
          <w:rFonts w:cstheme="minorHAnsi"/>
        </w:rPr>
      </w:pPr>
      <w:r w:rsidRPr="007A26A6">
        <w:rPr>
          <w:rFonts w:cstheme="minorHAnsi"/>
        </w:rPr>
        <w:t xml:space="preserve">European Commission. (2010). </w:t>
      </w:r>
      <w:hyperlink r:id="rId246" w:history="1">
        <w:r w:rsidRPr="007A26A6">
          <w:rPr>
            <w:rStyle w:val="HyperlinkItalic"/>
            <w:rFonts w:cstheme="minorHAnsi"/>
          </w:rPr>
          <w:t>Factors at play in the perpetration of violence against women, violence against children and sexual orientation violence: A multi-level interactive model</w:t>
        </w:r>
      </w:hyperlink>
      <w:r w:rsidRPr="007A26A6">
        <w:rPr>
          <w:rFonts w:cstheme="minorHAnsi"/>
        </w:rPr>
        <w:t>.</w:t>
      </w:r>
    </w:p>
  </w:endnote>
  <w:endnote w:id="221">
    <w:p w14:paraId="6468E719" w14:textId="77777777" w:rsidR="00F53B39" w:rsidRPr="007A26A6" w:rsidRDefault="00F53B39" w:rsidP="00BF74A2">
      <w:pPr>
        <w:pStyle w:val="EndnoteText"/>
        <w:rPr>
          <w:rFonts w:cstheme="minorHAnsi"/>
          <w:szCs w:val="21"/>
        </w:rPr>
      </w:pPr>
      <w:r w:rsidRPr="007A26A6">
        <w:rPr>
          <w:rFonts w:cstheme="minorHAnsi"/>
          <w:szCs w:val="21"/>
        </w:rPr>
        <w:endnoteRef/>
      </w:r>
      <w:r w:rsidRPr="007A26A6">
        <w:rPr>
          <w:rFonts w:cstheme="minorHAnsi"/>
          <w:szCs w:val="21"/>
        </w:rPr>
        <w:tab/>
        <w:t xml:space="preserve">Foran, H. M., &amp; O’Leary, K. D. (2008). Problem drinking, jealousy, and anger control: Variables predicting physical aggression against a partner. </w:t>
      </w:r>
      <w:r w:rsidRPr="007A26A6">
        <w:rPr>
          <w:rStyle w:val="Emphasis"/>
          <w:rFonts w:cstheme="minorHAnsi"/>
          <w:szCs w:val="21"/>
        </w:rPr>
        <w:t>Journal of Family Violence</w:t>
      </w:r>
      <w:r w:rsidRPr="007A26A6">
        <w:rPr>
          <w:rFonts w:cstheme="minorHAnsi"/>
          <w:szCs w:val="21"/>
        </w:rPr>
        <w:t xml:space="preserve">, </w:t>
      </w:r>
      <w:r w:rsidRPr="007A26A6">
        <w:rPr>
          <w:rStyle w:val="Emphasis"/>
          <w:rFonts w:cstheme="minorHAnsi"/>
          <w:szCs w:val="21"/>
        </w:rPr>
        <w:t>23</w:t>
      </w:r>
      <w:r w:rsidRPr="007A26A6">
        <w:rPr>
          <w:rFonts w:cstheme="minorHAnsi"/>
          <w:szCs w:val="21"/>
        </w:rPr>
        <w:t xml:space="preserve">(93), </w:t>
      </w:r>
      <w:r w:rsidRPr="007A26A6">
        <w:rPr>
          <w:rFonts w:cstheme="minorHAnsi"/>
          <w:szCs w:val="21"/>
        </w:rPr>
        <w:br/>
        <w:t>141–148.</w:t>
      </w:r>
    </w:p>
    <w:p w14:paraId="2776A950" w14:textId="77777777" w:rsidR="00F53B39" w:rsidRPr="007A26A6" w:rsidRDefault="00F53B39" w:rsidP="00BF74A2">
      <w:pPr>
        <w:pStyle w:val="OWEndnotetextindent"/>
        <w:rPr>
          <w:rFonts w:cstheme="minorHAnsi"/>
        </w:rPr>
      </w:pPr>
      <w:r w:rsidRPr="007A26A6">
        <w:rPr>
          <w:rFonts w:cstheme="minorHAnsi"/>
        </w:rPr>
        <w:t xml:space="preserve">Gage, A. J. (2005). Women’s experience of intimate partner violence in Haiti. </w:t>
      </w:r>
      <w:r w:rsidRPr="007A26A6">
        <w:rPr>
          <w:rStyle w:val="Emphasis"/>
          <w:rFonts w:cstheme="minorHAnsi"/>
        </w:rPr>
        <w:t>Social science and Medicine</w:t>
      </w:r>
      <w:r w:rsidRPr="007A26A6">
        <w:rPr>
          <w:rFonts w:cstheme="minorHAnsi"/>
        </w:rPr>
        <w:t xml:space="preserve">, </w:t>
      </w:r>
      <w:r w:rsidRPr="007A26A6">
        <w:rPr>
          <w:rStyle w:val="Emphasis"/>
          <w:rFonts w:cstheme="minorHAnsi"/>
        </w:rPr>
        <w:t>61</w:t>
      </w:r>
      <w:r w:rsidRPr="007A26A6">
        <w:rPr>
          <w:rFonts w:cstheme="minorHAnsi"/>
        </w:rPr>
        <w:t>(2), 343–64.</w:t>
      </w:r>
    </w:p>
    <w:p w14:paraId="26E8D253" w14:textId="0E4A25E0" w:rsidR="00F53B39" w:rsidRPr="007A26A6" w:rsidRDefault="00F53B39" w:rsidP="00BF74A2">
      <w:pPr>
        <w:pStyle w:val="OWEndnotetextindent"/>
        <w:rPr>
          <w:rFonts w:cstheme="minorHAnsi"/>
        </w:rPr>
      </w:pPr>
      <w:r w:rsidRPr="007A26A6">
        <w:rPr>
          <w:rFonts w:cstheme="minorHAnsi"/>
        </w:rPr>
        <w:t xml:space="preserve">Garcia-Moreno, C., Jansen, H., Ellsberg, M., Heise, L, Watts C. H.; Multi-Country Study on Women’s Health and Domestic Violence against Women Study Team. (2006). Prevalence of intimate partner violence: Findings from WHO multi-country study on women’s health and domestic violence. </w:t>
      </w:r>
      <w:r w:rsidRPr="007A26A6">
        <w:rPr>
          <w:rStyle w:val="Emphasis"/>
          <w:rFonts w:cstheme="minorHAnsi"/>
        </w:rPr>
        <w:t>Lancet</w:t>
      </w:r>
      <w:r w:rsidRPr="007A26A6">
        <w:rPr>
          <w:rFonts w:cstheme="minorHAnsi"/>
        </w:rPr>
        <w:t xml:space="preserve">, </w:t>
      </w:r>
      <w:r w:rsidRPr="007A26A6">
        <w:rPr>
          <w:rStyle w:val="Emphasis"/>
          <w:rFonts w:cstheme="minorHAnsi"/>
        </w:rPr>
        <w:t>368</w:t>
      </w:r>
      <w:r w:rsidRPr="007A26A6">
        <w:rPr>
          <w:rFonts w:cstheme="minorHAnsi"/>
        </w:rPr>
        <w:t>(9543), 1260–1269.</w:t>
      </w:r>
    </w:p>
  </w:endnote>
  <w:endnote w:id="222">
    <w:p w14:paraId="1E56CAED" w14:textId="77777777" w:rsidR="00F53B39" w:rsidRPr="007A26A6" w:rsidRDefault="00F53B39" w:rsidP="00BF74A2">
      <w:pPr>
        <w:pStyle w:val="EndnoteText"/>
        <w:rPr>
          <w:rFonts w:cstheme="minorHAnsi"/>
          <w:szCs w:val="21"/>
        </w:rPr>
      </w:pPr>
      <w:r w:rsidRPr="007A26A6">
        <w:rPr>
          <w:rFonts w:cstheme="minorHAnsi"/>
          <w:szCs w:val="21"/>
        </w:rPr>
        <w:endnoteRef/>
      </w:r>
      <w:r w:rsidRPr="007A26A6">
        <w:rPr>
          <w:rFonts w:cstheme="minorHAnsi"/>
          <w:szCs w:val="21"/>
        </w:rPr>
        <w:tab/>
        <w:t xml:space="preserve">Gilgun, J. F., &amp; McLeod, L. (1999). Gendering violence. </w:t>
      </w:r>
      <w:r w:rsidRPr="007A26A6">
        <w:rPr>
          <w:rStyle w:val="Emphasis"/>
          <w:rFonts w:cstheme="minorHAnsi"/>
          <w:szCs w:val="21"/>
        </w:rPr>
        <w:t>Studies in symbolic interactionism</w:t>
      </w:r>
      <w:r w:rsidRPr="007A26A6">
        <w:rPr>
          <w:rFonts w:cstheme="minorHAnsi"/>
          <w:szCs w:val="21"/>
        </w:rPr>
        <w:t xml:space="preserve">, </w:t>
      </w:r>
      <w:r w:rsidRPr="007A26A6">
        <w:rPr>
          <w:rFonts w:cstheme="minorHAnsi"/>
          <w:szCs w:val="21"/>
        </w:rPr>
        <w:br/>
      </w:r>
      <w:r w:rsidRPr="007A26A6">
        <w:rPr>
          <w:rStyle w:val="Emphasis"/>
          <w:rFonts w:cstheme="minorHAnsi"/>
          <w:szCs w:val="21"/>
        </w:rPr>
        <w:t>22</w:t>
      </w:r>
      <w:r w:rsidRPr="007A26A6">
        <w:rPr>
          <w:rFonts w:cstheme="minorHAnsi"/>
          <w:szCs w:val="21"/>
        </w:rPr>
        <w:t>, 167–193.</w:t>
      </w:r>
    </w:p>
    <w:p w14:paraId="4C34BC5F" w14:textId="02B3B36D" w:rsidR="00F53B39" w:rsidRPr="007A26A6" w:rsidRDefault="00F53B39" w:rsidP="00BF74A2">
      <w:pPr>
        <w:pStyle w:val="OWEndnotetextindent"/>
        <w:rPr>
          <w:rFonts w:cstheme="minorHAnsi"/>
        </w:rPr>
      </w:pPr>
      <w:r w:rsidRPr="007A26A6">
        <w:rPr>
          <w:rFonts w:cstheme="minorHAnsi"/>
        </w:rPr>
        <w:t>Hill, M. S., &amp; Fischer, A. R. (2001). Does entitlement mediate the link between masculinity and rape</w:t>
      </w:r>
      <w:r w:rsidRPr="007A26A6">
        <w:rPr>
          <w:rFonts w:cstheme="minorHAnsi"/>
        </w:rPr>
        <w:noBreakHyphen/>
        <w:t xml:space="preserve">related variables? </w:t>
      </w:r>
      <w:r w:rsidRPr="007A26A6">
        <w:rPr>
          <w:rStyle w:val="Emphasis"/>
          <w:rFonts w:cstheme="minorHAnsi"/>
        </w:rPr>
        <w:t>Journal of Counseling and Psychology</w:t>
      </w:r>
      <w:r w:rsidRPr="007A26A6">
        <w:rPr>
          <w:rFonts w:cstheme="minorHAnsi"/>
        </w:rPr>
        <w:t xml:space="preserve">, </w:t>
      </w:r>
      <w:r w:rsidRPr="007A26A6">
        <w:rPr>
          <w:rStyle w:val="Emphasis"/>
          <w:rFonts w:cstheme="minorHAnsi"/>
        </w:rPr>
        <w:t>48</w:t>
      </w:r>
      <w:r w:rsidRPr="007A26A6">
        <w:rPr>
          <w:rFonts w:cstheme="minorHAnsi"/>
        </w:rPr>
        <w:t>(1), 39–50.</w:t>
      </w:r>
    </w:p>
  </w:endnote>
  <w:endnote w:id="223">
    <w:p w14:paraId="30A77107" w14:textId="41F30B85" w:rsidR="00F53B39" w:rsidRPr="007A26A6" w:rsidRDefault="00F53B39" w:rsidP="00BF74A2">
      <w:pPr>
        <w:pStyle w:val="EndnoteText"/>
        <w:rPr>
          <w:rFonts w:cstheme="minorHAnsi"/>
          <w:szCs w:val="21"/>
        </w:rPr>
      </w:pPr>
      <w:r w:rsidRPr="007A26A6">
        <w:rPr>
          <w:rFonts w:cstheme="minorHAnsi"/>
          <w:szCs w:val="21"/>
        </w:rPr>
        <w:endnoteRef/>
      </w:r>
      <w:r w:rsidRPr="007A26A6">
        <w:rPr>
          <w:rFonts w:cstheme="minorHAnsi"/>
          <w:szCs w:val="21"/>
        </w:rPr>
        <w:tab/>
        <w:t xml:space="preserve">World Health Organization, &amp; London School of Hygiene and Tropical Medicine. (2010). </w:t>
      </w:r>
      <w:hyperlink r:id="rId247" w:history="1">
        <w:r w:rsidRPr="007A26A6">
          <w:rPr>
            <w:rStyle w:val="HyperlinkItalic"/>
            <w:rFonts w:cstheme="minorHAnsi"/>
            <w:szCs w:val="21"/>
          </w:rPr>
          <w:t>Preventing intimate partner and sexual violence against women: Taking action and generating evidence</w:t>
        </w:r>
      </w:hyperlink>
      <w:r w:rsidRPr="007A26A6">
        <w:rPr>
          <w:rFonts w:cstheme="minorHAnsi"/>
          <w:szCs w:val="21"/>
        </w:rPr>
        <w:t>. Geneva, Switzerland: World Health Organization.</w:t>
      </w:r>
    </w:p>
    <w:p w14:paraId="22A7DB08" w14:textId="240DD70B" w:rsidR="00F53B39" w:rsidRPr="007A26A6" w:rsidRDefault="00F53B39" w:rsidP="00BF74A2">
      <w:pPr>
        <w:pStyle w:val="OWEndnotetextindent"/>
        <w:rPr>
          <w:rFonts w:cstheme="minorHAnsi"/>
        </w:rPr>
      </w:pPr>
      <w:r w:rsidRPr="007A26A6">
        <w:rPr>
          <w:rFonts w:cstheme="minorHAnsi"/>
        </w:rPr>
        <w:t xml:space="preserve">European Commission. (2010). </w:t>
      </w:r>
      <w:hyperlink r:id="rId248" w:history="1">
        <w:r w:rsidRPr="007A26A6">
          <w:rPr>
            <w:rStyle w:val="HyperlinkItalic"/>
            <w:rFonts w:cstheme="minorHAnsi"/>
          </w:rPr>
          <w:t>Factors at play in the perpetration of violence against women, violence against children and sexual orientation violence: A multi-level interactive model</w:t>
        </w:r>
      </w:hyperlink>
      <w:r w:rsidRPr="007A26A6">
        <w:rPr>
          <w:rFonts w:cstheme="minorHAnsi"/>
        </w:rPr>
        <w:t>.</w:t>
      </w:r>
    </w:p>
    <w:p w14:paraId="48C03125" w14:textId="41FF7FC9" w:rsidR="00F53B39" w:rsidRPr="007A26A6" w:rsidRDefault="00F53B39" w:rsidP="00BF74A2">
      <w:pPr>
        <w:pStyle w:val="OWEndnotetextindent"/>
        <w:rPr>
          <w:rFonts w:cstheme="minorHAnsi"/>
          <w:lang w:val="en-US"/>
        </w:rPr>
      </w:pPr>
      <w:r w:rsidRPr="007A26A6">
        <w:rPr>
          <w:rFonts w:cstheme="minorHAnsi"/>
        </w:rPr>
        <w:t xml:space="preserve">VicHealth. (2014). </w:t>
      </w:r>
      <w:hyperlink r:id="rId249" w:history="1">
        <w:r w:rsidRPr="007A26A6">
          <w:rPr>
            <w:rStyle w:val="HyperlinkItalic"/>
            <w:rFonts w:cstheme="minorHAnsi"/>
          </w:rPr>
          <w:t>Australians’ attitudes to violence against women: Findings from the 2013 National Community Attitudes Survey (NCAS)</w:t>
        </w:r>
      </w:hyperlink>
      <w:r w:rsidRPr="007A26A6">
        <w:rPr>
          <w:rFonts w:cstheme="minorHAnsi"/>
        </w:rPr>
        <w:t>. Melbourne, Australia: VicHealth Promotion Foundation.</w:t>
      </w:r>
    </w:p>
  </w:endnote>
  <w:endnote w:id="224">
    <w:p w14:paraId="60E3CF36" w14:textId="77777777" w:rsidR="00F53B39" w:rsidRPr="007A26A6" w:rsidRDefault="00F53B39" w:rsidP="004A3A0A">
      <w:pPr>
        <w:pStyle w:val="EndnoteText"/>
        <w:keepNext/>
        <w:rPr>
          <w:rFonts w:cstheme="minorHAnsi"/>
          <w:szCs w:val="21"/>
        </w:rPr>
      </w:pPr>
      <w:r w:rsidRPr="007A26A6">
        <w:rPr>
          <w:rFonts w:cstheme="minorHAnsi"/>
          <w:szCs w:val="21"/>
        </w:rPr>
        <w:endnoteRef/>
      </w:r>
      <w:r w:rsidRPr="007A26A6">
        <w:rPr>
          <w:rFonts w:cstheme="minorHAnsi"/>
          <w:szCs w:val="21"/>
        </w:rPr>
        <w:tab/>
        <w:t xml:space="preserve">Stockl, H., Heise, L., &amp; Watts, C. (2011). Factors associated with violence by a current partner in a nationally representative sample of German women. </w:t>
      </w:r>
      <w:r w:rsidRPr="007A26A6">
        <w:rPr>
          <w:rStyle w:val="Emphasis"/>
          <w:rFonts w:cstheme="minorHAnsi"/>
          <w:szCs w:val="21"/>
        </w:rPr>
        <w:t>Sociology of Health and Illness</w:t>
      </w:r>
      <w:r w:rsidRPr="007A26A6">
        <w:rPr>
          <w:rFonts w:cstheme="minorHAnsi"/>
          <w:szCs w:val="21"/>
        </w:rPr>
        <w:t xml:space="preserve">, </w:t>
      </w:r>
      <w:r w:rsidRPr="007A26A6">
        <w:rPr>
          <w:rStyle w:val="Emphasis"/>
          <w:rFonts w:cstheme="minorHAnsi"/>
          <w:szCs w:val="21"/>
        </w:rPr>
        <w:t>33</w:t>
      </w:r>
      <w:r w:rsidRPr="007A26A6">
        <w:rPr>
          <w:rFonts w:cstheme="minorHAnsi"/>
          <w:szCs w:val="21"/>
        </w:rPr>
        <w:t>, 694–709.</w:t>
      </w:r>
    </w:p>
    <w:p w14:paraId="457850BA" w14:textId="1E9122A9" w:rsidR="00F53B39" w:rsidRPr="007A26A6" w:rsidRDefault="00F53B39" w:rsidP="00BF74A2">
      <w:pPr>
        <w:pStyle w:val="OWEndnotetextindent"/>
        <w:rPr>
          <w:rFonts w:cstheme="minorHAnsi"/>
        </w:rPr>
      </w:pPr>
      <w:r w:rsidRPr="007A26A6">
        <w:rPr>
          <w:rFonts w:cstheme="minorHAnsi"/>
        </w:rPr>
        <w:t xml:space="preserve">Jeyaseelan, L., Kumar, S., Neelakantan, N., Peedicayil, A., Pillai, R., &amp; Duvvury, N. (2007). Physical spousal violence against women in India: Some risk factors. </w:t>
      </w:r>
      <w:r w:rsidRPr="007A26A6">
        <w:rPr>
          <w:rStyle w:val="Emphasis"/>
          <w:rFonts w:cstheme="minorHAnsi"/>
        </w:rPr>
        <w:t>Journal of Biosocial Science</w:t>
      </w:r>
      <w:r w:rsidRPr="007A26A6">
        <w:rPr>
          <w:rFonts w:cstheme="minorHAnsi"/>
        </w:rPr>
        <w:t xml:space="preserve">, </w:t>
      </w:r>
      <w:r w:rsidRPr="007A26A6">
        <w:rPr>
          <w:rStyle w:val="Emphasis"/>
          <w:rFonts w:cstheme="minorHAnsi"/>
        </w:rPr>
        <w:t>39</w:t>
      </w:r>
      <w:r w:rsidRPr="007A26A6">
        <w:rPr>
          <w:rFonts w:cstheme="minorHAnsi"/>
        </w:rPr>
        <w:t xml:space="preserve">(5), </w:t>
      </w:r>
      <w:r w:rsidRPr="007A26A6">
        <w:rPr>
          <w:rFonts w:cstheme="minorHAnsi"/>
        </w:rPr>
        <w:br/>
        <w:t>657–670.</w:t>
      </w:r>
    </w:p>
  </w:endnote>
  <w:endnote w:id="225">
    <w:p w14:paraId="3D5F9640" w14:textId="01D6241B"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250"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w:t>
      </w:r>
    </w:p>
  </w:endnote>
  <w:endnote w:id="226">
    <w:p w14:paraId="19CEC55F" w14:textId="3DA1E05D"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Whatley, M. (2005). The effect of participant sex, victim dress, and traditional attitudes on causal judgments for marital rape victims. </w:t>
      </w:r>
      <w:r w:rsidRPr="007A26A6">
        <w:rPr>
          <w:rStyle w:val="Emphasis"/>
          <w:rFonts w:cstheme="minorHAnsi"/>
          <w:szCs w:val="21"/>
        </w:rPr>
        <w:t>Journal of Family Violence</w:t>
      </w:r>
      <w:r w:rsidRPr="007A26A6">
        <w:rPr>
          <w:rFonts w:cstheme="minorHAnsi"/>
          <w:szCs w:val="21"/>
        </w:rPr>
        <w:t xml:space="preserve">, </w:t>
      </w:r>
      <w:r w:rsidRPr="007A26A6">
        <w:rPr>
          <w:rStyle w:val="Emphasis"/>
          <w:rFonts w:cstheme="minorHAnsi"/>
          <w:szCs w:val="21"/>
        </w:rPr>
        <w:t>20</w:t>
      </w:r>
      <w:r w:rsidRPr="007A26A6">
        <w:rPr>
          <w:rFonts w:cstheme="minorHAnsi"/>
          <w:szCs w:val="21"/>
        </w:rPr>
        <w:t>(3), 191–200.</w:t>
      </w:r>
    </w:p>
  </w:endnote>
  <w:endnote w:id="227">
    <w:p w14:paraId="03806327" w14:textId="0620B861" w:rsidR="00F53B39" w:rsidRPr="007A26A6" w:rsidRDefault="00F53B39" w:rsidP="00AB5D7C">
      <w:pPr>
        <w:pStyle w:val="EndnoteText"/>
        <w:rPr>
          <w:rFonts w:cstheme="minorHAnsi"/>
          <w:szCs w:val="21"/>
        </w:rPr>
      </w:pPr>
      <w:r w:rsidRPr="007A26A6">
        <w:rPr>
          <w:rFonts w:cstheme="minorHAnsi"/>
          <w:szCs w:val="21"/>
        </w:rPr>
        <w:endnoteRef/>
      </w:r>
      <w:r w:rsidRPr="007A26A6">
        <w:rPr>
          <w:rFonts w:cstheme="minorHAnsi"/>
          <w:szCs w:val="21"/>
        </w:rPr>
        <w:tab/>
        <w:t xml:space="preserve">Flood, M. (2007). </w:t>
      </w:r>
      <w:r w:rsidRPr="007A26A6">
        <w:rPr>
          <w:rStyle w:val="Emphasis"/>
          <w:rFonts w:cstheme="minorHAnsi"/>
          <w:szCs w:val="21"/>
        </w:rPr>
        <w:t>Background document for Preventing violence before it occurs: A framework and background paper to guide the primary prevention of violence against women in Australia</w:t>
      </w:r>
      <w:r w:rsidRPr="007A26A6">
        <w:rPr>
          <w:rFonts w:cstheme="minorHAnsi"/>
          <w:szCs w:val="21"/>
        </w:rPr>
        <w:t>. Unpublished paper.</w:t>
      </w:r>
    </w:p>
  </w:endnote>
  <w:endnote w:id="228">
    <w:p w14:paraId="13DB7243" w14:textId="27261E53"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Hlavka, H. R. (2014). Normalizing sexual violence: Young women account for harassment and abuse. </w:t>
      </w:r>
      <w:r w:rsidRPr="007A26A6">
        <w:rPr>
          <w:rStyle w:val="Emphasis"/>
          <w:rFonts w:cstheme="minorHAnsi"/>
          <w:szCs w:val="21"/>
        </w:rPr>
        <w:t>Gender and society</w:t>
      </w:r>
      <w:r w:rsidRPr="007A26A6">
        <w:rPr>
          <w:rFonts w:cstheme="minorHAnsi"/>
          <w:szCs w:val="21"/>
        </w:rPr>
        <w:t xml:space="preserve">, </w:t>
      </w:r>
      <w:r w:rsidRPr="007A26A6">
        <w:rPr>
          <w:rStyle w:val="Emphasis"/>
          <w:rFonts w:cstheme="minorHAnsi"/>
          <w:szCs w:val="21"/>
        </w:rPr>
        <w:t>28</w:t>
      </w:r>
      <w:r w:rsidRPr="007A26A6">
        <w:rPr>
          <w:rFonts w:cstheme="minorHAnsi"/>
          <w:szCs w:val="21"/>
        </w:rPr>
        <w:t>(3), 337–358.</w:t>
      </w:r>
    </w:p>
  </w:endnote>
  <w:endnote w:id="229">
    <w:p w14:paraId="6484C35D" w14:textId="0F33CA5F"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Our Watch. (2019). </w:t>
      </w:r>
      <w:hyperlink r:id="rId251" w:history="1">
        <w:r w:rsidRPr="007A26A6">
          <w:rPr>
            <w:rStyle w:val="HyperlinkItalic"/>
            <w:rFonts w:cstheme="minorHAnsi"/>
            <w:szCs w:val="21"/>
          </w:rPr>
          <w:t>Men in focus: Unpacking masculinities and engaging men in the prevention of violence against women</w:t>
        </w:r>
      </w:hyperlink>
      <w:r w:rsidRPr="007A26A6">
        <w:rPr>
          <w:rFonts w:cstheme="minorHAnsi"/>
          <w:szCs w:val="21"/>
        </w:rPr>
        <w:t>.</w:t>
      </w:r>
    </w:p>
  </w:endnote>
  <w:endnote w:id="230">
    <w:p w14:paraId="1F65F59A" w14:textId="50E75895"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American Psychological Association. (2010). </w:t>
      </w:r>
      <w:hyperlink r:id="rId252" w:history="1">
        <w:r w:rsidRPr="007A26A6">
          <w:rPr>
            <w:rStyle w:val="HyperlinkItalic"/>
            <w:rFonts w:cstheme="minorHAnsi"/>
            <w:szCs w:val="21"/>
          </w:rPr>
          <w:t>Report of the APA Task Force on the sexualization of girls</w:t>
        </w:r>
      </w:hyperlink>
      <w:r w:rsidRPr="007A26A6">
        <w:rPr>
          <w:rFonts w:cstheme="minorHAnsi"/>
          <w:szCs w:val="21"/>
        </w:rPr>
        <w:t>.</w:t>
      </w:r>
    </w:p>
  </w:endnote>
  <w:endnote w:id="231">
    <w:p w14:paraId="260677C6" w14:textId="563E3434"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European Commission. (2010). </w:t>
      </w:r>
      <w:hyperlink r:id="rId253" w:history="1">
        <w:r w:rsidRPr="007A26A6">
          <w:rPr>
            <w:rStyle w:val="HyperlinkItalic"/>
            <w:rFonts w:cstheme="minorHAnsi"/>
            <w:szCs w:val="21"/>
          </w:rPr>
          <w:t>Factors at play in the perpetration of violence against women, violence against children and sexual orientation violence: A multi-level interactive model</w:t>
        </w:r>
      </w:hyperlink>
      <w:r w:rsidRPr="007A26A6">
        <w:rPr>
          <w:rFonts w:cstheme="minorHAnsi"/>
          <w:szCs w:val="21"/>
        </w:rPr>
        <w:t>.</w:t>
      </w:r>
    </w:p>
  </w:endnote>
  <w:endnote w:id="232">
    <w:p w14:paraId="44F44E7C" w14:textId="2B659432"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Olsen, A., &amp; Ray Lovett, R. (2016). </w:t>
      </w:r>
      <w:hyperlink r:id="rId254" w:history="1">
        <w:r w:rsidRPr="007A26A6">
          <w:rPr>
            <w:rStyle w:val="HyperlinkItalic"/>
            <w:rFonts w:cstheme="minorHAnsi"/>
            <w:szCs w:val="21"/>
          </w:rPr>
          <w:t>Existing knowledge, practice and responses to violence against women in Australian Indigenous communities: State of knowledge paper</w:t>
        </w:r>
        <w:r w:rsidRPr="007A26A6">
          <w:rPr>
            <w:rStyle w:val="Hyperlink"/>
            <w:rFonts w:cstheme="minorHAnsi"/>
            <w:szCs w:val="21"/>
          </w:rPr>
          <w:t>.</w:t>
        </w:r>
      </w:hyperlink>
      <w:r w:rsidRPr="007A26A6">
        <w:rPr>
          <w:rFonts w:cstheme="minorHAnsi"/>
          <w:szCs w:val="21"/>
        </w:rPr>
        <w:t>, Sydney: Australia’s National Research Organisation for Women’s Safety. p. 14.</w:t>
      </w:r>
    </w:p>
  </w:endnote>
  <w:endnote w:id="233">
    <w:p w14:paraId="4A51FBAA" w14:textId="77777777" w:rsidR="00F53B39" w:rsidRPr="007A26A6" w:rsidRDefault="00F53B39" w:rsidP="00A32431">
      <w:pPr>
        <w:pStyle w:val="EndnoteText"/>
        <w:rPr>
          <w:rFonts w:cstheme="minorHAnsi"/>
          <w:szCs w:val="21"/>
        </w:rPr>
      </w:pPr>
      <w:r w:rsidRPr="007A26A6">
        <w:rPr>
          <w:rFonts w:cstheme="minorHAnsi"/>
          <w:szCs w:val="21"/>
        </w:rPr>
        <w:endnoteRef/>
      </w:r>
      <w:r w:rsidRPr="007A26A6">
        <w:rPr>
          <w:rFonts w:cstheme="minorHAnsi"/>
          <w:szCs w:val="21"/>
        </w:rPr>
        <w:tab/>
        <w:t xml:space="preserve">Baldry, E., &amp; Cunneen, C. (2014). Imprisoned Indigenous women and the shadow of colonial patriarchy. </w:t>
      </w:r>
      <w:r w:rsidRPr="007A26A6">
        <w:rPr>
          <w:rStyle w:val="Emphasis"/>
          <w:rFonts w:cstheme="minorHAnsi"/>
          <w:szCs w:val="21"/>
        </w:rPr>
        <w:t>Australian &amp; New Zealand Journal of Criminology</w:t>
      </w:r>
      <w:r w:rsidRPr="007A26A6">
        <w:rPr>
          <w:rFonts w:cstheme="minorHAnsi"/>
          <w:szCs w:val="21"/>
        </w:rPr>
        <w:t xml:space="preserve">, </w:t>
      </w:r>
      <w:r w:rsidRPr="007A26A6">
        <w:rPr>
          <w:rStyle w:val="Emphasis"/>
          <w:rFonts w:cstheme="minorHAnsi"/>
          <w:szCs w:val="21"/>
        </w:rPr>
        <w:t>47</w:t>
      </w:r>
      <w:r w:rsidRPr="007A26A6">
        <w:rPr>
          <w:rFonts w:cstheme="minorHAnsi"/>
          <w:szCs w:val="21"/>
        </w:rPr>
        <w:t>, 276–298.</w:t>
      </w:r>
    </w:p>
    <w:p w14:paraId="7D315A0E" w14:textId="4630751C" w:rsidR="00F53B39" w:rsidRPr="007A26A6" w:rsidRDefault="00F53B39" w:rsidP="00A32431">
      <w:pPr>
        <w:pStyle w:val="OWEndnotetextindent"/>
        <w:rPr>
          <w:rFonts w:cstheme="minorHAnsi"/>
        </w:rPr>
      </w:pPr>
      <w:r w:rsidRPr="007A26A6">
        <w:rPr>
          <w:rFonts w:cstheme="minorHAnsi"/>
        </w:rPr>
        <w:t xml:space="preserve">Fredericks, B. L. (2010). Re-empowering ourselves: Australian Aboriginal women. </w:t>
      </w:r>
      <w:r w:rsidRPr="007A26A6">
        <w:rPr>
          <w:rStyle w:val="Emphasis"/>
          <w:rFonts w:cstheme="minorHAnsi"/>
        </w:rPr>
        <w:t>Signs: Journal of Women in Culture and Society</w:t>
      </w:r>
      <w:r w:rsidRPr="007A26A6">
        <w:rPr>
          <w:rFonts w:cstheme="minorHAnsi"/>
        </w:rPr>
        <w:t xml:space="preserve">, </w:t>
      </w:r>
      <w:r w:rsidRPr="007A26A6">
        <w:rPr>
          <w:rStyle w:val="Emphasis"/>
          <w:rFonts w:cstheme="minorHAnsi"/>
        </w:rPr>
        <w:t>35</w:t>
      </w:r>
      <w:r w:rsidRPr="007A26A6">
        <w:rPr>
          <w:rFonts w:cstheme="minorHAnsi"/>
        </w:rPr>
        <w:t>(3), 546–550.</w:t>
      </w:r>
    </w:p>
  </w:endnote>
  <w:endnote w:id="234">
    <w:p w14:paraId="3013DEFC" w14:textId="72F30BD1"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Healing Foundation. (2016). </w:t>
      </w:r>
      <w:hyperlink r:id="rId255" w:history="1">
        <w:r w:rsidRPr="007A26A6">
          <w:rPr>
            <w:rStyle w:val="HyperlinkItalic"/>
            <w:rFonts w:cstheme="minorHAnsi"/>
            <w:szCs w:val="21"/>
          </w:rPr>
          <w:t>Strong men, strong communities: Darwin town communities developmental evaluation</w:t>
        </w:r>
      </w:hyperlink>
      <w:r w:rsidRPr="007A26A6">
        <w:rPr>
          <w:rFonts w:cstheme="minorHAnsi"/>
          <w:szCs w:val="21"/>
        </w:rPr>
        <w:t>. p. 5.</w:t>
      </w:r>
    </w:p>
  </w:endnote>
  <w:endnote w:id="235">
    <w:p w14:paraId="7ABCF84B" w14:textId="71193FF8"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Liddle, C. (2017, September 16). </w:t>
      </w:r>
      <w:hyperlink r:id="rId256" w:history="1">
        <w:r w:rsidRPr="007A26A6">
          <w:rPr>
            <w:rStyle w:val="Hyperlink"/>
            <w:rFonts w:cstheme="minorHAnsi"/>
            <w:szCs w:val="21"/>
          </w:rPr>
          <w:t>The fight for justice for Aboriginal women</w:t>
        </w:r>
      </w:hyperlink>
      <w:r w:rsidRPr="007A26A6">
        <w:rPr>
          <w:rFonts w:cstheme="minorHAnsi"/>
          <w:szCs w:val="21"/>
        </w:rPr>
        <w:t xml:space="preserve">. </w:t>
      </w:r>
      <w:r w:rsidRPr="007A26A6">
        <w:rPr>
          <w:rStyle w:val="Emphasis"/>
          <w:rFonts w:cstheme="minorHAnsi"/>
          <w:szCs w:val="21"/>
        </w:rPr>
        <w:t>Green Left Weekly</w:t>
      </w:r>
      <w:r w:rsidRPr="007A26A6">
        <w:rPr>
          <w:rFonts w:cstheme="minorHAnsi"/>
          <w:szCs w:val="21"/>
        </w:rPr>
        <w:t>.</w:t>
      </w:r>
    </w:p>
  </w:endnote>
  <w:endnote w:id="236">
    <w:p w14:paraId="23C59974" w14:textId="6D903200"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Our Watch. (2019). </w:t>
      </w:r>
      <w:r w:rsidRPr="007A26A6">
        <w:rPr>
          <w:rFonts w:cstheme="minorHAnsi"/>
          <w:i/>
          <w:iCs/>
          <w:szCs w:val="21"/>
        </w:rPr>
        <w:t xml:space="preserve">Men in focus: </w:t>
      </w:r>
      <w:r w:rsidRPr="007A26A6">
        <w:rPr>
          <w:rStyle w:val="Emphasis"/>
          <w:rFonts w:cstheme="minorHAnsi"/>
          <w:szCs w:val="21"/>
        </w:rPr>
        <w:t>Unpacking masculinities and engaging men in the prevention of violence against women</w:t>
      </w:r>
      <w:r w:rsidRPr="007A26A6">
        <w:rPr>
          <w:rFonts w:cstheme="minorHAnsi"/>
          <w:szCs w:val="21"/>
        </w:rPr>
        <w:t>.</w:t>
      </w:r>
    </w:p>
  </w:endnote>
  <w:endnote w:id="237">
    <w:p w14:paraId="77FC8482" w14:textId="70B7EE6C"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Workplace Gender Equality Agency. (2019). </w:t>
      </w:r>
      <w:hyperlink r:id="rId257" w:history="1">
        <w:r w:rsidRPr="007A26A6">
          <w:rPr>
            <w:rStyle w:val="HyperlinkItalic"/>
            <w:rFonts w:cstheme="minorHAnsi"/>
            <w:szCs w:val="21"/>
          </w:rPr>
          <w:t>Australia’s gender equality scorecard: Key findings from the Workplace Gender Equality Agency’s 2018–19 reporting data</w:t>
        </w:r>
      </w:hyperlink>
      <w:r w:rsidRPr="007A26A6">
        <w:rPr>
          <w:rFonts w:cstheme="minorHAnsi"/>
          <w:szCs w:val="21"/>
        </w:rPr>
        <w:t>. Melbourne, Australia: WGEA. p. 16.</w:t>
      </w:r>
    </w:p>
  </w:endnote>
  <w:endnote w:id="238">
    <w:p w14:paraId="5649E241" w14:textId="5B42A3A3"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Dalley-Fisher, H. (2018, November 30). </w:t>
      </w:r>
      <w:hyperlink r:id="rId258" w:history="1">
        <w:r w:rsidRPr="007A26A6">
          <w:rPr>
            <w:rStyle w:val="Hyperlink"/>
            <w:rFonts w:cstheme="minorHAnsi"/>
            <w:szCs w:val="21"/>
          </w:rPr>
          <w:t>It’s about time: Time Use Survey returns to make unpaid work visible</w:t>
        </w:r>
      </w:hyperlink>
      <w:r w:rsidRPr="007A26A6">
        <w:rPr>
          <w:rFonts w:cstheme="minorHAnsi"/>
          <w:szCs w:val="21"/>
        </w:rPr>
        <w:t xml:space="preserve">. </w:t>
      </w:r>
      <w:r w:rsidRPr="007A26A6">
        <w:rPr>
          <w:rStyle w:val="Emphasis"/>
          <w:rFonts w:cstheme="minorHAnsi"/>
          <w:szCs w:val="21"/>
        </w:rPr>
        <w:t>Broad Agenda</w:t>
      </w:r>
      <w:r w:rsidRPr="007A26A6">
        <w:rPr>
          <w:rFonts w:cstheme="minorHAnsi"/>
          <w:szCs w:val="21"/>
        </w:rPr>
        <w:t>.</w:t>
      </w:r>
    </w:p>
  </w:endnote>
  <w:endnote w:id="239">
    <w:p w14:paraId="2447CB2A" w14:textId="268C8E8A"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(2019, October). </w:t>
      </w:r>
      <w:hyperlink r:id="rId259" w:history="1">
        <w:r w:rsidRPr="007A26A6">
          <w:rPr>
            <w:rStyle w:val="HyperlinkItalic"/>
            <w:rFonts w:cstheme="minorHAnsi"/>
            <w:szCs w:val="21"/>
          </w:rPr>
          <w:t>Australia’s Time Use Survey: Frequently asked questions</w:t>
        </w:r>
      </w:hyperlink>
      <w:r w:rsidRPr="007A26A6">
        <w:rPr>
          <w:rFonts w:cstheme="minorHAnsi"/>
          <w:szCs w:val="21"/>
        </w:rPr>
        <w:t>. Canberra: ABS.</w:t>
      </w:r>
    </w:p>
  </w:endnote>
  <w:endnote w:id="240">
    <w:p w14:paraId="7B76A983" w14:textId="7945144E"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Wilkins, R., &amp; Lass, I. (2018). </w:t>
      </w:r>
      <w:hyperlink r:id="rId260" w:history="1">
        <w:r w:rsidRPr="007A26A6">
          <w:rPr>
            <w:rStyle w:val="HyperlinkItalic"/>
            <w:rFonts w:cstheme="minorHAnsi"/>
            <w:szCs w:val="21"/>
          </w:rPr>
          <w:t>The Household, Income and Labour Dynamics in Australia Survey: Selected findings from waves 1 to 16</w:t>
        </w:r>
      </w:hyperlink>
      <w:r w:rsidRPr="007A26A6">
        <w:rPr>
          <w:rFonts w:cstheme="minorHAnsi"/>
          <w:szCs w:val="21"/>
        </w:rPr>
        <w:t>. Melbourne, Australia: Melbourne Institute: Applied Economics and Social Research, University of Melbourne.</w:t>
      </w:r>
    </w:p>
  </w:endnote>
  <w:endnote w:id="241">
    <w:p w14:paraId="40B1A5F9" w14:textId="6A28DBCF"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261"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63.</w:t>
      </w:r>
    </w:p>
  </w:endnote>
  <w:endnote w:id="242">
    <w:p w14:paraId="0CBDBF9A" w14:textId="3C858E8F"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262"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116.</w:t>
      </w:r>
    </w:p>
  </w:endnote>
  <w:endnote w:id="243">
    <w:p w14:paraId="0CE9083C" w14:textId="6ABACF2D"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lang w:val="en-US"/>
        </w:rPr>
        <w:tab/>
      </w:r>
      <w:r w:rsidRPr="007A26A6">
        <w:rPr>
          <w:rFonts w:cstheme="minorHAnsi"/>
          <w:szCs w:val="21"/>
        </w:rPr>
        <w:t xml:space="preserve">Webster et al. (2018). </w:t>
      </w:r>
      <w:hyperlink r:id="rId263"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64.</w:t>
      </w:r>
    </w:p>
  </w:endnote>
  <w:endnote w:id="244">
    <w:p w14:paraId="4DAE96AA" w14:textId="1BAAD947"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264"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64.</w:t>
      </w:r>
    </w:p>
  </w:endnote>
  <w:endnote w:id="245">
    <w:p w14:paraId="449EAC2F" w14:textId="045E29CD" w:rsidR="00F53B39" w:rsidRPr="007A26A6" w:rsidRDefault="00F53B39">
      <w:pPr>
        <w:pStyle w:val="EndnoteText"/>
        <w:rPr>
          <w:rFonts w:cstheme="minorHAnsi"/>
          <w:szCs w:val="21"/>
        </w:rPr>
      </w:pPr>
      <w:r w:rsidRPr="007A26A6">
        <w:rPr>
          <w:rFonts w:cstheme="minorHAnsi"/>
          <w:szCs w:val="21"/>
        </w:rPr>
        <w:endnoteRef/>
      </w:r>
      <w:r w:rsidRPr="007A26A6">
        <w:rPr>
          <w:rFonts w:cstheme="minorHAnsi"/>
          <w:szCs w:val="21"/>
        </w:rPr>
        <w:tab/>
        <w:t xml:space="preserve">Wilkins, R., &amp; Lass, I. (2018). </w:t>
      </w:r>
      <w:hyperlink r:id="rId265" w:history="1">
        <w:r w:rsidRPr="007A26A6">
          <w:rPr>
            <w:rStyle w:val="HyperlinkItalic"/>
            <w:rFonts w:cstheme="minorHAnsi"/>
            <w:szCs w:val="21"/>
          </w:rPr>
          <w:t>The Household, Income and Labour Dynamics in Australia Survey: Selected findings from waves 1 to 16</w:t>
        </w:r>
      </w:hyperlink>
      <w:r w:rsidRPr="007A26A6">
        <w:rPr>
          <w:rFonts w:cstheme="minorHAnsi"/>
          <w:szCs w:val="21"/>
        </w:rPr>
        <w:t>. p. 19.</w:t>
      </w:r>
    </w:p>
  </w:endnote>
  <w:endnote w:id="246">
    <w:p w14:paraId="3FDA648D" w14:textId="2B764902"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Wilkins, R. (2015). </w:t>
      </w:r>
      <w:hyperlink r:id="rId266" w:history="1">
        <w:r w:rsidRPr="007A26A6">
          <w:rPr>
            <w:rStyle w:val="HyperlinkItalic"/>
            <w:rFonts w:cstheme="minorHAnsi"/>
            <w:szCs w:val="21"/>
          </w:rPr>
          <w:t>The Household, Income and Labour Dynamics in Australia Survey: Selected Findings from waves 1 to 12</w:t>
        </w:r>
      </w:hyperlink>
      <w:r w:rsidRPr="007A26A6">
        <w:rPr>
          <w:rFonts w:cstheme="minorHAnsi"/>
          <w:szCs w:val="21"/>
        </w:rPr>
        <w:t>. Melbourne, Australia: Melbourne Institute: Applied Economics and Social Research, University of Melbourne. p. 11.</w:t>
      </w:r>
    </w:p>
  </w:endnote>
  <w:endnote w:id="247">
    <w:p w14:paraId="3ED969CC" w14:textId="73DB99A8" w:rsidR="00F53B39" w:rsidRPr="007A26A6" w:rsidRDefault="00F53B39" w:rsidP="00FA79DB">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Wilkins, R., &amp; Lass, I. (2018). </w:t>
      </w:r>
      <w:hyperlink r:id="rId267" w:history="1">
        <w:r w:rsidRPr="007A26A6">
          <w:rPr>
            <w:rStyle w:val="HyperlinkItalic"/>
            <w:rFonts w:cstheme="minorHAnsi"/>
            <w:szCs w:val="21"/>
          </w:rPr>
          <w:t>The Household, Income and Labour Dynamics in Australia Survey: Selected findings from waves 1 to 16</w:t>
        </w:r>
      </w:hyperlink>
      <w:r w:rsidRPr="007A26A6">
        <w:rPr>
          <w:rFonts w:cstheme="minorHAnsi"/>
          <w:szCs w:val="21"/>
        </w:rPr>
        <w:t>.</w:t>
      </w:r>
    </w:p>
  </w:endnote>
  <w:endnote w:id="248">
    <w:p w14:paraId="5201E4BE" w14:textId="4AA2AA42"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Wilkins, R., &amp; Lass, I. (2018). </w:t>
      </w:r>
      <w:hyperlink r:id="rId268" w:history="1">
        <w:r w:rsidRPr="007A26A6">
          <w:rPr>
            <w:rStyle w:val="HyperlinkItalic"/>
            <w:rFonts w:cstheme="minorHAnsi"/>
            <w:szCs w:val="21"/>
          </w:rPr>
          <w:t>The Household, Income and Labour Dynamics in Australia Survey: Selected findings from waves 1 to 16</w:t>
        </w:r>
      </w:hyperlink>
      <w:r w:rsidRPr="007A26A6">
        <w:rPr>
          <w:rFonts w:cstheme="minorHAnsi"/>
          <w:szCs w:val="21"/>
        </w:rPr>
        <w:t>. p. 80.</w:t>
      </w:r>
    </w:p>
  </w:endnote>
  <w:endnote w:id="249">
    <w:p w14:paraId="39ECDF70" w14:textId="5D6A72ED"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Wilkins, R. (2015). </w:t>
      </w:r>
      <w:hyperlink r:id="rId269" w:history="1">
        <w:r w:rsidRPr="007A26A6">
          <w:rPr>
            <w:rStyle w:val="HyperlinkItalic"/>
            <w:rFonts w:cstheme="minorHAnsi"/>
            <w:szCs w:val="21"/>
          </w:rPr>
          <w:t>The Household, Income and Labour Dynamics in Australia Survey: Selected Findings from waves 1 to 12</w:t>
        </w:r>
      </w:hyperlink>
      <w:r w:rsidRPr="007A26A6">
        <w:rPr>
          <w:rFonts w:cstheme="minorHAnsi"/>
          <w:szCs w:val="21"/>
        </w:rPr>
        <w:t>. Melbourne, Australia: Melbourne Institute: Applied Economics and Social Research, University of Melbourne. p. 11.</w:t>
      </w:r>
    </w:p>
  </w:endnote>
  <w:endnote w:id="250">
    <w:p w14:paraId="2AA14515" w14:textId="57C7DCD7" w:rsidR="00F53B39" w:rsidRPr="007A26A6" w:rsidRDefault="00F53B39" w:rsidP="00FF7000">
      <w:pPr>
        <w:pStyle w:val="EndnoteText"/>
        <w:rPr>
          <w:rFonts w:cstheme="minorHAnsi"/>
          <w:szCs w:val="21"/>
        </w:rPr>
      </w:pPr>
      <w:r w:rsidRPr="007A26A6">
        <w:rPr>
          <w:rFonts w:cstheme="minorHAnsi"/>
          <w:szCs w:val="21"/>
        </w:rPr>
        <w:endnoteRef/>
      </w:r>
      <w:r w:rsidRPr="007A26A6">
        <w:rPr>
          <w:rFonts w:cstheme="minorHAnsi"/>
          <w:szCs w:val="21"/>
        </w:rPr>
        <w:tab/>
        <w:t xml:space="preserve">Australian Bureau of Statistics. (2018). </w:t>
      </w:r>
      <w:hyperlink r:id="rId270" w:history="1">
        <w:r w:rsidRPr="007A26A6">
          <w:rPr>
            <w:rStyle w:val="HyperlinkItalic"/>
            <w:rFonts w:cstheme="minorHAnsi"/>
            <w:szCs w:val="21"/>
          </w:rPr>
          <w:t>Pregnancy and Employment Transitions, Australia, Nov 2017</w:t>
        </w:r>
      </w:hyperlink>
      <w:r w:rsidRPr="007A26A6">
        <w:rPr>
          <w:rStyle w:val="Emphasis"/>
          <w:rFonts w:cstheme="minorHAnsi"/>
          <w:szCs w:val="21"/>
        </w:rPr>
        <w:t xml:space="preserve"> </w:t>
      </w:r>
      <w:r w:rsidRPr="007A26A6">
        <w:rPr>
          <w:rFonts w:cstheme="minorHAnsi"/>
          <w:szCs w:val="21"/>
        </w:rPr>
        <w:t>(cat. no. 4913.0).</w:t>
      </w:r>
    </w:p>
    <w:p w14:paraId="4F45C123" w14:textId="29700FC7" w:rsidR="00F53B39" w:rsidRPr="007A26A6" w:rsidRDefault="00F53B39" w:rsidP="00FF7000">
      <w:pPr>
        <w:pStyle w:val="OWEndnotetextindent"/>
        <w:rPr>
          <w:rFonts w:cstheme="minorHAnsi"/>
        </w:rPr>
      </w:pPr>
      <w:r w:rsidRPr="007A26A6">
        <w:rPr>
          <w:rFonts w:cstheme="minorHAnsi"/>
        </w:rPr>
        <w:t xml:space="preserve">Australian Bureau of Statistics. (2012). </w:t>
      </w:r>
      <w:hyperlink r:id="rId271" w:history="1">
        <w:r w:rsidRPr="007A26A6">
          <w:rPr>
            <w:rStyle w:val="HyperlinkItalic"/>
            <w:rFonts w:cstheme="minorHAnsi"/>
          </w:rPr>
          <w:t>Pregnancy and Employment Transitions, Australia, Nov 2011</w:t>
        </w:r>
      </w:hyperlink>
      <w:r w:rsidRPr="007A26A6">
        <w:rPr>
          <w:rStyle w:val="Emphasis"/>
          <w:rFonts w:cstheme="minorHAnsi"/>
        </w:rPr>
        <w:t xml:space="preserve"> </w:t>
      </w:r>
      <w:r w:rsidRPr="007A26A6">
        <w:rPr>
          <w:rFonts w:cstheme="minorHAnsi"/>
        </w:rPr>
        <w:t>(cat. no. 4913.0).</w:t>
      </w:r>
    </w:p>
  </w:endnote>
  <w:endnote w:id="251">
    <w:p w14:paraId="0D052992" w14:textId="4B1A1FCE" w:rsidR="00F53B39" w:rsidRPr="007A26A6" w:rsidRDefault="00F53B39" w:rsidP="00FF7000">
      <w:pPr>
        <w:pStyle w:val="EndnoteText"/>
        <w:rPr>
          <w:rFonts w:cstheme="minorHAnsi"/>
          <w:szCs w:val="21"/>
        </w:rPr>
      </w:pPr>
      <w:r w:rsidRPr="007A26A6">
        <w:rPr>
          <w:rFonts w:cstheme="minorHAnsi"/>
          <w:szCs w:val="21"/>
        </w:rPr>
        <w:endnoteRef/>
      </w:r>
      <w:r w:rsidRPr="007A26A6">
        <w:rPr>
          <w:rFonts w:cstheme="minorHAnsi"/>
          <w:szCs w:val="21"/>
        </w:rPr>
        <w:tab/>
        <w:t xml:space="preserve">Workplace Gender Equality Agency. (2017). </w:t>
      </w:r>
      <w:hyperlink r:id="rId272" w:history="1">
        <w:r w:rsidRPr="007A26A6">
          <w:rPr>
            <w:rStyle w:val="HyperlinkItalic"/>
            <w:rFonts w:cstheme="minorHAnsi"/>
            <w:szCs w:val="21"/>
          </w:rPr>
          <w:t>Australia’s Gender Equality Scorecard: Key findings from the Workplace Gender Equality Agency’s 2016–17 reporting data</w:t>
        </w:r>
      </w:hyperlink>
      <w:r w:rsidRPr="007A26A6">
        <w:rPr>
          <w:rFonts w:cstheme="minorHAnsi"/>
          <w:szCs w:val="21"/>
        </w:rPr>
        <w:t>. Melbourne, Australia: WGEA.</w:t>
      </w:r>
    </w:p>
    <w:p w14:paraId="70E054D6" w14:textId="44430BDC" w:rsidR="00F53B39" w:rsidRPr="007A26A6" w:rsidRDefault="00F53B39" w:rsidP="00FF7000">
      <w:pPr>
        <w:pStyle w:val="OWEndnotetextindent"/>
        <w:rPr>
          <w:rFonts w:cstheme="minorHAnsi"/>
        </w:rPr>
      </w:pPr>
      <w:r w:rsidRPr="007A26A6">
        <w:rPr>
          <w:rFonts w:cstheme="minorHAnsi"/>
        </w:rPr>
        <w:t xml:space="preserve">Workplace Gender Equality Agency. (2019). </w:t>
      </w:r>
      <w:hyperlink r:id="rId273" w:history="1">
        <w:r w:rsidRPr="007A26A6">
          <w:rPr>
            <w:rStyle w:val="HyperlinkItalic"/>
            <w:rFonts w:cstheme="minorHAnsi"/>
          </w:rPr>
          <w:t>Australia’s Gender Equality Scorecard: Key findings from the Workplace Gender Equality Agency’s 2018–19 reporting data</w:t>
        </w:r>
      </w:hyperlink>
      <w:r w:rsidRPr="007A26A6">
        <w:rPr>
          <w:rFonts w:cstheme="minorHAnsi"/>
        </w:rPr>
        <w:t>.</w:t>
      </w:r>
    </w:p>
  </w:endnote>
  <w:endnote w:id="252">
    <w:p w14:paraId="08CE873F" w14:textId="5B2AD195" w:rsidR="00F53B39" w:rsidRPr="007A26A6" w:rsidRDefault="00F53B39" w:rsidP="00B11A93">
      <w:pPr>
        <w:pStyle w:val="EndnoteText"/>
        <w:rPr>
          <w:rFonts w:cstheme="minorHAnsi"/>
          <w:szCs w:val="21"/>
        </w:rPr>
      </w:pPr>
      <w:r w:rsidRPr="007A26A6">
        <w:rPr>
          <w:rFonts w:cstheme="minorHAnsi"/>
          <w:szCs w:val="21"/>
        </w:rPr>
        <w:endnoteRef/>
      </w:r>
      <w:r w:rsidRPr="007A26A6">
        <w:rPr>
          <w:rFonts w:cstheme="minorHAnsi"/>
          <w:szCs w:val="21"/>
        </w:rPr>
        <w:tab/>
        <w:t xml:space="preserve">Workplace Gender Equality Agency. (2017). </w:t>
      </w:r>
      <w:hyperlink r:id="rId274" w:history="1">
        <w:r w:rsidRPr="007A26A6">
          <w:rPr>
            <w:rStyle w:val="HyperlinkItalic"/>
            <w:rFonts w:cstheme="minorHAnsi"/>
            <w:szCs w:val="21"/>
          </w:rPr>
          <w:t>Australia’s Gender Equality Scorecard: Key findings from the Workplace Gender Equality Agency’s 2016–17 reporting data</w:t>
        </w:r>
      </w:hyperlink>
      <w:r w:rsidRPr="007A26A6">
        <w:rPr>
          <w:rFonts w:cstheme="minorHAnsi"/>
          <w:szCs w:val="21"/>
        </w:rPr>
        <w:t>.</w:t>
      </w:r>
    </w:p>
    <w:p w14:paraId="43B528FD" w14:textId="14B73918" w:rsidR="00F53B39" w:rsidRPr="007A26A6" w:rsidRDefault="00F53B39" w:rsidP="00B11A93">
      <w:pPr>
        <w:pStyle w:val="OWEndnotetextindent"/>
        <w:rPr>
          <w:rFonts w:cstheme="minorHAnsi"/>
        </w:rPr>
      </w:pPr>
      <w:r w:rsidRPr="007A26A6">
        <w:rPr>
          <w:rFonts w:cstheme="minorHAnsi"/>
        </w:rPr>
        <w:t xml:space="preserve">Workplace Gender Equality Agency. (2019). </w:t>
      </w:r>
      <w:hyperlink r:id="rId275" w:history="1">
        <w:r w:rsidRPr="007A26A6">
          <w:rPr>
            <w:rStyle w:val="HyperlinkItalic"/>
            <w:rFonts w:cstheme="minorHAnsi"/>
          </w:rPr>
          <w:t>Australia’s Gender Equality Scorecard: Key findings from the Workplace Gender Equality Agency’s 2018–19 reporting data</w:t>
        </w:r>
      </w:hyperlink>
      <w:r w:rsidRPr="007A26A6">
        <w:rPr>
          <w:rFonts w:cstheme="minorHAnsi"/>
        </w:rPr>
        <w:t>.</w:t>
      </w:r>
    </w:p>
  </w:endnote>
  <w:endnote w:id="253">
    <w:p w14:paraId="4F1D40E5" w14:textId="5415F9C7"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(2016). </w:t>
      </w:r>
      <w:hyperlink r:id="rId276" w:history="1">
        <w:r w:rsidRPr="007A26A6">
          <w:rPr>
            <w:rStyle w:val="HyperlinkItalic"/>
            <w:rFonts w:cstheme="minorHAnsi"/>
            <w:szCs w:val="21"/>
          </w:rPr>
          <w:t>Labour Force, Australia, Detailed, Quarterly, May 2016</w:t>
        </w:r>
      </w:hyperlink>
      <w:r w:rsidRPr="007A26A6">
        <w:rPr>
          <w:rStyle w:val="Emphasis"/>
          <w:rFonts w:cstheme="minorHAnsi"/>
          <w:szCs w:val="21"/>
        </w:rPr>
        <w:t xml:space="preserve"> </w:t>
      </w:r>
      <w:r w:rsidRPr="007A26A6">
        <w:rPr>
          <w:rFonts w:cstheme="minorHAnsi"/>
          <w:szCs w:val="21"/>
        </w:rPr>
        <w:t>(cat. no. 6291.0.55.003). Reported in WGEA. (2016). Gender segregation in Australia’s workforce.</w:t>
      </w:r>
    </w:p>
  </w:endnote>
  <w:endnote w:id="254">
    <w:p w14:paraId="4B448436" w14:textId="6A1C19A3"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r>
      <w:hyperlink r:id="rId277" w:history="1">
        <w:r w:rsidRPr="007A26A6">
          <w:rPr>
            <w:rStyle w:val="Hyperlink"/>
            <w:rFonts w:cstheme="minorHAnsi"/>
            <w:szCs w:val="21"/>
          </w:rPr>
          <w:t>WGEA Data explorer</w:t>
        </w:r>
      </w:hyperlink>
      <w:r w:rsidRPr="007A26A6">
        <w:rPr>
          <w:rFonts w:cstheme="minorHAnsi"/>
          <w:szCs w:val="21"/>
        </w:rPr>
        <w:t>. (2020). Retrieved 14 February 2020.</w:t>
      </w:r>
    </w:p>
  </w:endnote>
  <w:endnote w:id="255">
    <w:p w14:paraId="31766A23" w14:textId="531073F5"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Workplace Gender Equality Agency. (2019). </w:t>
      </w:r>
      <w:hyperlink r:id="rId278" w:history="1">
        <w:r w:rsidRPr="007A26A6">
          <w:rPr>
            <w:rStyle w:val="HyperlinkItalic"/>
            <w:rFonts w:cstheme="minorHAnsi"/>
            <w:szCs w:val="21"/>
          </w:rPr>
          <w:t>Australia’s Gender Equality Scorecard: Key findings from the Workplace Gender Equality Agency’s 2018–19 reporting data</w:t>
        </w:r>
      </w:hyperlink>
      <w:r w:rsidRPr="007A26A6">
        <w:rPr>
          <w:rStyle w:val="Emphasis"/>
          <w:rFonts w:cstheme="minorHAnsi"/>
          <w:szCs w:val="21"/>
        </w:rPr>
        <w:t>.</w:t>
      </w:r>
      <w:r w:rsidRPr="007A26A6">
        <w:rPr>
          <w:rFonts w:cstheme="minorHAnsi"/>
          <w:szCs w:val="21"/>
        </w:rPr>
        <w:t xml:space="preserve"> p. 17.</w:t>
      </w:r>
    </w:p>
  </w:endnote>
  <w:endnote w:id="256">
    <w:p w14:paraId="60771195" w14:textId="393D4D81"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Workplace Gender Equality Agency. (201</w:t>
      </w:r>
      <w:r>
        <w:rPr>
          <w:rFonts w:cstheme="minorHAnsi"/>
          <w:szCs w:val="21"/>
        </w:rPr>
        <w:t xml:space="preserve">9). </w:t>
      </w:r>
      <w:hyperlink r:id="rId279" w:history="1">
        <w:r w:rsidRPr="007A26A6">
          <w:rPr>
            <w:rStyle w:val="HyperlinkItalic"/>
            <w:rFonts w:cstheme="minorHAnsi"/>
            <w:szCs w:val="21"/>
          </w:rPr>
          <w:t>Australia’s Gender Equality Scorecard: Key findings from the Workplace Gender Equality Agency’s 2018–19 reporting data</w:t>
        </w:r>
      </w:hyperlink>
      <w:r w:rsidRPr="007A26A6">
        <w:rPr>
          <w:rFonts w:cstheme="minorHAnsi"/>
          <w:szCs w:val="21"/>
        </w:rPr>
        <w:t>. p. 1</w:t>
      </w:r>
      <w:r>
        <w:rPr>
          <w:rFonts w:cstheme="minorHAnsi"/>
          <w:szCs w:val="21"/>
        </w:rPr>
        <w:t>7</w:t>
      </w:r>
      <w:r w:rsidRPr="007A26A6">
        <w:rPr>
          <w:rFonts w:cstheme="minorHAnsi"/>
          <w:szCs w:val="21"/>
        </w:rPr>
        <w:t>.</w:t>
      </w:r>
    </w:p>
  </w:endnote>
  <w:endnote w:id="257">
    <w:p w14:paraId="753C4DF5" w14:textId="7FD31CFC" w:rsidR="00F53B39" w:rsidRPr="007A26A6" w:rsidRDefault="00F53B39" w:rsidP="00652988">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Workplace Gender Equality Agency. (2019). </w:t>
      </w:r>
      <w:hyperlink r:id="rId280" w:history="1">
        <w:r w:rsidRPr="007A26A6">
          <w:rPr>
            <w:rStyle w:val="HyperlinkItalic"/>
            <w:rFonts w:cstheme="minorHAnsi"/>
            <w:szCs w:val="21"/>
          </w:rPr>
          <w:t>Australia’s Gender Equality Scorecard: Key findings from the Workplace Gender Equality Agency’s 2018–19 reporting data</w:t>
        </w:r>
      </w:hyperlink>
      <w:r w:rsidRPr="007A26A6">
        <w:rPr>
          <w:rFonts w:cstheme="minorHAnsi"/>
          <w:szCs w:val="21"/>
        </w:rPr>
        <w:t>. p. 16.</w:t>
      </w:r>
    </w:p>
  </w:endnote>
  <w:endnote w:id="258">
    <w:p w14:paraId="3F6C240C" w14:textId="610BE88E"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Wilkins, R., &amp; Lass, I. (2018). </w:t>
      </w:r>
      <w:hyperlink r:id="rId281" w:history="1">
        <w:r w:rsidRPr="007A26A6">
          <w:rPr>
            <w:rStyle w:val="HyperlinkItalic"/>
            <w:rFonts w:cstheme="minorHAnsi"/>
            <w:szCs w:val="21"/>
          </w:rPr>
          <w:t>The Household, Income and Labour Dynamics in Australia Survey: Selected findings from waves 1 to 16</w:t>
        </w:r>
      </w:hyperlink>
      <w:r w:rsidRPr="007A26A6">
        <w:rPr>
          <w:rFonts w:cstheme="minorHAnsi"/>
          <w:szCs w:val="21"/>
        </w:rPr>
        <w:t>. p. 79.</w:t>
      </w:r>
    </w:p>
  </w:endnote>
  <w:endnote w:id="259">
    <w:p w14:paraId="2328C9FD" w14:textId="20E576EA" w:rsidR="00F53B39" w:rsidRPr="007A26A6" w:rsidRDefault="00F53B39" w:rsidP="0008357D">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Wilkins, R., &amp; Lass, I. (2018). </w:t>
      </w:r>
      <w:hyperlink r:id="rId282" w:history="1">
        <w:r w:rsidRPr="007A26A6">
          <w:rPr>
            <w:rStyle w:val="HyperlinkItalic"/>
            <w:rFonts w:cstheme="minorHAnsi"/>
            <w:szCs w:val="21"/>
          </w:rPr>
          <w:t>The Household, Income and Labour Dynamics in Australia Survey: Selected findings from waves 1 to 16</w:t>
        </w:r>
      </w:hyperlink>
      <w:r w:rsidRPr="007A26A6">
        <w:rPr>
          <w:rFonts w:cstheme="minorHAnsi"/>
          <w:szCs w:val="21"/>
        </w:rPr>
        <w:t>.</w:t>
      </w:r>
    </w:p>
  </w:endnote>
  <w:endnote w:id="260">
    <w:p w14:paraId="4D8F525A" w14:textId="1E0FB4FE" w:rsidR="00F53B39" w:rsidRPr="007A26A6" w:rsidRDefault="00F53B39" w:rsidP="00B11A93">
      <w:pPr>
        <w:pStyle w:val="EndnoteText"/>
        <w:rPr>
          <w:rFonts w:cstheme="minorHAnsi"/>
          <w:szCs w:val="21"/>
        </w:rPr>
      </w:pPr>
      <w:r w:rsidRPr="007A26A6">
        <w:rPr>
          <w:rFonts w:cstheme="minorHAnsi"/>
          <w:szCs w:val="21"/>
        </w:rPr>
        <w:endnoteRef/>
      </w:r>
      <w:r w:rsidRPr="007A26A6">
        <w:rPr>
          <w:rFonts w:cstheme="minorHAnsi"/>
          <w:szCs w:val="21"/>
        </w:rPr>
        <w:tab/>
        <w:t xml:space="preserve">Australian Bureau of Statistics. (2019). </w:t>
      </w:r>
      <w:hyperlink r:id="rId283" w:history="1">
        <w:r w:rsidRPr="007A26A6">
          <w:rPr>
            <w:rStyle w:val="HyperlinkItalic"/>
            <w:rFonts w:cstheme="minorHAnsi"/>
            <w:szCs w:val="21"/>
          </w:rPr>
          <w:t>Disability, Ageing and Carers, Australia: Summary of findings, 2018</w:t>
        </w:r>
      </w:hyperlink>
      <w:r w:rsidRPr="007A26A6">
        <w:rPr>
          <w:rStyle w:val="Emphasis"/>
          <w:rFonts w:cstheme="minorHAnsi"/>
          <w:szCs w:val="21"/>
        </w:rPr>
        <w:t xml:space="preserve"> </w:t>
      </w:r>
      <w:r w:rsidRPr="007A26A6">
        <w:rPr>
          <w:rFonts w:cstheme="minorHAnsi"/>
          <w:szCs w:val="21"/>
        </w:rPr>
        <w:t>(cat. no. 4430.0).</w:t>
      </w:r>
    </w:p>
    <w:p w14:paraId="0E573272" w14:textId="5B9F40C6" w:rsidR="00F53B39" w:rsidRPr="007A26A6" w:rsidRDefault="00F53B39" w:rsidP="00B11A93">
      <w:pPr>
        <w:pStyle w:val="OWEndnotetextindent"/>
        <w:rPr>
          <w:rFonts w:cstheme="minorHAnsi"/>
        </w:rPr>
      </w:pPr>
      <w:r w:rsidRPr="007A26A6">
        <w:rPr>
          <w:rFonts w:cstheme="minorHAnsi"/>
        </w:rPr>
        <w:t xml:space="preserve">Australian Bureau of Statistics. (2013). </w:t>
      </w:r>
      <w:hyperlink r:id="rId284" w:history="1">
        <w:r w:rsidRPr="007A26A6">
          <w:rPr>
            <w:rStyle w:val="HyperlinkItalic"/>
            <w:rFonts w:cstheme="minorHAnsi"/>
          </w:rPr>
          <w:t>Disability, Ageing and Carers, Australia: Summary of findings, 2012</w:t>
        </w:r>
      </w:hyperlink>
      <w:r w:rsidRPr="007A26A6">
        <w:rPr>
          <w:rStyle w:val="Emphasis"/>
          <w:rFonts w:cstheme="minorHAnsi"/>
        </w:rPr>
        <w:t xml:space="preserve"> </w:t>
      </w:r>
      <w:r w:rsidRPr="007A26A6">
        <w:rPr>
          <w:rFonts w:cstheme="minorHAnsi"/>
        </w:rPr>
        <w:t>(cat. no. 4430.0).</w:t>
      </w:r>
    </w:p>
    <w:p w14:paraId="4236FA88" w14:textId="0784D73B" w:rsidR="00F53B39" w:rsidRPr="007A26A6" w:rsidRDefault="00F53B39" w:rsidP="00B11A93">
      <w:pPr>
        <w:pStyle w:val="OWEndnotetextindent"/>
        <w:rPr>
          <w:rFonts w:cstheme="minorHAnsi"/>
        </w:rPr>
      </w:pPr>
      <w:r w:rsidRPr="007A26A6">
        <w:rPr>
          <w:rFonts w:cstheme="minorHAnsi"/>
        </w:rPr>
        <w:t xml:space="preserve">Australian Bureau of Statistics. (2010). </w:t>
      </w:r>
      <w:hyperlink r:id="rId285" w:history="1">
        <w:r w:rsidRPr="007A26A6">
          <w:rPr>
            <w:rStyle w:val="HyperlinkItalic"/>
            <w:rFonts w:cstheme="minorHAnsi"/>
          </w:rPr>
          <w:t>Disability, Ageing and Carers, Australia: Summary of findings, 2009</w:t>
        </w:r>
      </w:hyperlink>
      <w:r w:rsidRPr="007A26A6">
        <w:rPr>
          <w:rStyle w:val="Emphasis"/>
          <w:rFonts w:cstheme="minorHAnsi"/>
        </w:rPr>
        <w:t xml:space="preserve"> </w:t>
      </w:r>
      <w:r w:rsidRPr="007A26A6">
        <w:rPr>
          <w:rFonts w:cstheme="minorHAnsi"/>
        </w:rPr>
        <w:t>(cat. no. 4430.0).</w:t>
      </w:r>
    </w:p>
    <w:p w14:paraId="41CCBF0A" w14:textId="0E41AA1C" w:rsidR="00F53B39" w:rsidRPr="007A26A6" w:rsidRDefault="00F53B39" w:rsidP="00B11A93">
      <w:pPr>
        <w:pStyle w:val="OWEndnotetextindent"/>
        <w:rPr>
          <w:rFonts w:cstheme="minorHAnsi"/>
          <w:lang w:val="en-US"/>
        </w:rPr>
      </w:pPr>
      <w:r w:rsidRPr="007A26A6">
        <w:rPr>
          <w:rFonts w:cstheme="minorHAnsi"/>
        </w:rPr>
        <w:t xml:space="preserve">Australian Bureau of Statistics. (2018). </w:t>
      </w:r>
      <w:hyperlink r:id="rId286" w:history="1">
        <w:r w:rsidRPr="007A26A6">
          <w:rPr>
            <w:rStyle w:val="HyperlinkItalic"/>
            <w:rFonts w:cstheme="minorHAnsi"/>
          </w:rPr>
          <w:t>Gender Indicators, Australia, Sep 2018</w:t>
        </w:r>
      </w:hyperlink>
      <w:r w:rsidRPr="007A26A6">
        <w:rPr>
          <w:rStyle w:val="Emphasis"/>
          <w:rFonts w:cstheme="minorHAnsi"/>
        </w:rPr>
        <w:t xml:space="preserve"> </w:t>
      </w:r>
      <w:r w:rsidRPr="007A26A6">
        <w:rPr>
          <w:rFonts w:cstheme="minorHAnsi"/>
        </w:rPr>
        <w:t>(cat. no. 4125.0).</w:t>
      </w:r>
    </w:p>
  </w:endnote>
  <w:endnote w:id="261">
    <w:p w14:paraId="3D487235" w14:textId="0827A614"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(2018). </w:t>
      </w:r>
      <w:hyperlink r:id="rId287" w:history="1">
        <w:r w:rsidRPr="007A26A6">
          <w:rPr>
            <w:rStyle w:val="Hyperlink"/>
            <w:rFonts w:cstheme="minorHAnsi"/>
            <w:i/>
            <w:szCs w:val="21"/>
          </w:rPr>
          <w:t>Census of Population and Housing: Reflecting Australia – Stories from the census, 2016</w:t>
        </w:r>
      </w:hyperlink>
      <w:r w:rsidRPr="007A26A6">
        <w:rPr>
          <w:rFonts w:cstheme="minorHAnsi"/>
          <w:szCs w:val="21"/>
        </w:rPr>
        <w:t xml:space="preserve"> (cat. no. 2071.0).</w:t>
      </w:r>
    </w:p>
  </w:endnote>
  <w:endnote w:id="262">
    <w:p w14:paraId="5D13F730" w14:textId="741AFFB1"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Dalley-Fisher, H. (2018, November 30). </w:t>
      </w:r>
      <w:hyperlink r:id="rId288" w:history="1">
        <w:r w:rsidRPr="007A26A6">
          <w:rPr>
            <w:rStyle w:val="Hyperlink"/>
            <w:rFonts w:cstheme="minorHAnsi"/>
            <w:szCs w:val="21"/>
          </w:rPr>
          <w:t>It’s about time: Time Use Survey returns to make unpaid work visible</w:t>
        </w:r>
      </w:hyperlink>
      <w:r w:rsidRPr="007A26A6">
        <w:rPr>
          <w:rFonts w:cstheme="minorHAnsi"/>
          <w:szCs w:val="21"/>
        </w:rPr>
        <w:t>.</w:t>
      </w:r>
    </w:p>
  </w:endnote>
  <w:endnote w:id="263">
    <w:p w14:paraId="3CA1E460" w14:textId="4AD00C81"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Wilkins, R., &amp; Lass, I. (2018). </w:t>
      </w:r>
      <w:hyperlink r:id="rId289" w:history="1">
        <w:r w:rsidRPr="007A26A6">
          <w:rPr>
            <w:rStyle w:val="HyperlinkItalic"/>
            <w:rFonts w:cstheme="minorHAnsi"/>
            <w:szCs w:val="21"/>
          </w:rPr>
          <w:t>The Household, Income and Labour Dynamics in Australia Survey: Selected findings from waves 1 to 16</w:t>
        </w:r>
      </w:hyperlink>
      <w:r w:rsidRPr="007A26A6">
        <w:rPr>
          <w:rFonts w:cstheme="minorHAnsi"/>
          <w:szCs w:val="21"/>
        </w:rPr>
        <w:t>. p. 79.</w:t>
      </w:r>
    </w:p>
  </w:endnote>
  <w:endnote w:id="264">
    <w:p w14:paraId="2E28CAAD" w14:textId="2A7C9D96"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Wilkins, R., &amp; Lass, I. (2018). </w:t>
      </w:r>
      <w:hyperlink r:id="rId290" w:history="1">
        <w:r w:rsidRPr="007A26A6">
          <w:rPr>
            <w:rStyle w:val="HyperlinkItalic"/>
            <w:rFonts w:cstheme="minorHAnsi"/>
            <w:szCs w:val="21"/>
          </w:rPr>
          <w:t>The Household, Income and Labour Dynamics in Australia Survey: Selected findings from waves 1 to 16</w:t>
        </w:r>
      </w:hyperlink>
      <w:r w:rsidRPr="007A26A6">
        <w:rPr>
          <w:rFonts w:cstheme="minorHAnsi"/>
          <w:szCs w:val="21"/>
        </w:rPr>
        <w:t>. pp. 80–82.</w:t>
      </w:r>
    </w:p>
  </w:endnote>
  <w:endnote w:id="265">
    <w:p w14:paraId="41B2DC9D" w14:textId="09B64C7A"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Wilkins, R., &amp; Lass, I. (2018). </w:t>
      </w:r>
      <w:hyperlink r:id="rId291" w:history="1">
        <w:r w:rsidRPr="007A26A6">
          <w:rPr>
            <w:rStyle w:val="HyperlinkItalic"/>
            <w:rFonts w:cstheme="minorHAnsi"/>
            <w:szCs w:val="21"/>
          </w:rPr>
          <w:t>The Household, Income and Labour Dynamics in Australia Survey: Selected findings from waves 1 to 16</w:t>
        </w:r>
      </w:hyperlink>
      <w:r w:rsidRPr="007A26A6">
        <w:rPr>
          <w:rFonts w:cstheme="minorHAnsi"/>
          <w:szCs w:val="21"/>
        </w:rPr>
        <w:t>. pp. 85–86.</w:t>
      </w:r>
    </w:p>
  </w:endnote>
  <w:endnote w:id="266">
    <w:p w14:paraId="45264304" w14:textId="31A094A6"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Wilkins, R., &amp; Lass, I. (2018). </w:t>
      </w:r>
      <w:hyperlink r:id="rId292" w:history="1">
        <w:r w:rsidRPr="007A26A6">
          <w:rPr>
            <w:rStyle w:val="HyperlinkItalic"/>
            <w:rFonts w:cstheme="minorHAnsi"/>
            <w:szCs w:val="21"/>
          </w:rPr>
          <w:t>The Household, Income and Labour Dynamics in Australia Survey: Selected findings from waves 1 to 16</w:t>
        </w:r>
      </w:hyperlink>
      <w:r w:rsidRPr="007A26A6">
        <w:rPr>
          <w:rFonts w:cstheme="minorHAnsi"/>
          <w:szCs w:val="21"/>
        </w:rPr>
        <w:t>. pp. 85–86.</w:t>
      </w:r>
    </w:p>
  </w:endnote>
  <w:endnote w:id="267">
    <w:p w14:paraId="71930095" w14:textId="78738436"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Wilkins, R., &amp; Lass, I. (2018). </w:t>
      </w:r>
      <w:hyperlink r:id="rId293" w:history="1">
        <w:r w:rsidRPr="007A26A6">
          <w:rPr>
            <w:rStyle w:val="HyperlinkItalic"/>
            <w:rFonts w:cstheme="minorHAnsi"/>
            <w:szCs w:val="21"/>
          </w:rPr>
          <w:t>The Household, Income and Labour Dynamics in Australia Survey: Selected findings from waves 1 to 16</w:t>
        </w:r>
      </w:hyperlink>
      <w:r w:rsidRPr="007A26A6">
        <w:rPr>
          <w:rFonts w:cstheme="minorHAnsi"/>
          <w:szCs w:val="21"/>
        </w:rPr>
        <w:t>. p. 87.</w:t>
      </w:r>
    </w:p>
  </w:endnote>
  <w:endnote w:id="268">
    <w:p w14:paraId="22430E81" w14:textId="02A3F8A4"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(2018). </w:t>
      </w:r>
      <w:hyperlink r:id="rId294" w:history="1">
        <w:r w:rsidRPr="007A26A6">
          <w:rPr>
            <w:rStyle w:val="HyperlinkItalic"/>
            <w:rFonts w:cstheme="minorHAnsi"/>
            <w:szCs w:val="21"/>
          </w:rPr>
          <w:t>Census of Population and Housing: Reflecting Australia – Stories from the Census, 2016</w:t>
        </w:r>
      </w:hyperlink>
      <w:r w:rsidRPr="007A26A6">
        <w:rPr>
          <w:rFonts w:cstheme="minorHAnsi"/>
          <w:szCs w:val="21"/>
        </w:rPr>
        <w:t>.</w:t>
      </w:r>
    </w:p>
  </w:endnote>
  <w:endnote w:id="269">
    <w:p w14:paraId="6CBFBB13" w14:textId="67866A24"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(2016). </w:t>
      </w:r>
      <w:hyperlink r:id="rId295" w:history="1">
        <w:r w:rsidRPr="007A26A6">
          <w:rPr>
            <w:rStyle w:val="HyperlinkItalic"/>
            <w:rFonts w:cstheme="minorHAnsi"/>
            <w:szCs w:val="21"/>
          </w:rPr>
          <w:t>Disability, Ageing and Carers, Australia: Summary of findings, 2015</w:t>
        </w:r>
      </w:hyperlink>
      <w:r w:rsidRPr="007A26A6">
        <w:rPr>
          <w:rStyle w:val="Emphasis"/>
          <w:rFonts w:cstheme="minorHAnsi"/>
          <w:szCs w:val="21"/>
        </w:rPr>
        <w:t xml:space="preserve"> </w:t>
      </w:r>
      <w:r w:rsidRPr="007A26A6">
        <w:rPr>
          <w:rFonts w:cstheme="minorHAnsi"/>
          <w:szCs w:val="21"/>
        </w:rPr>
        <w:t>(cat. no. 4430.0).</w:t>
      </w:r>
    </w:p>
  </w:endnote>
  <w:endnote w:id="270">
    <w:p w14:paraId="0918610E" w14:textId="2AA2DA9F" w:rsidR="00F53B39" w:rsidRPr="007A26A6" w:rsidRDefault="00F53B39" w:rsidP="005A77C6">
      <w:pPr>
        <w:pStyle w:val="EndnoteText"/>
        <w:rPr>
          <w:rFonts w:cstheme="minorHAnsi"/>
          <w:szCs w:val="21"/>
        </w:rPr>
      </w:pPr>
      <w:r w:rsidRPr="007A26A6">
        <w:rPr>
          <w:rFonts w:cstheme="minorHAnsi"/>
          <w:szCs w:val="21"/>
        </w:rPr>
        <w:endnoteRef/>
      </w:r>
      <w:r w:rsidRPr="007A26A6">
        <w:rPr>
          <w:rFonts w:cstheme="minorHAnsi"/>
          <w:szCs w:val="21"/>
        </w:rPr>
        <w:tab/>
        <w:t xml:space="preserve">Australian Bureau of Statistics. (2019). </w:t>
      </w:r>
      <w:hyperlink r:id="rId296" w:history="1">
        <w:r w:rsidRPr="007A26A6">
          <w:rPr>
            <w:rStyle w:val="HyperlinkItalic"/>
            <w:rFonts w:cstheme="minorHAnsi"/>
            <w:szCs w:val="21"/>
          </w:rPr>
          <w:t>Disability, Ageing and Carers, Australia: Summary of Findings, 2018</w:t>
        </w:r>
      </w:hyperlink>
      <w:r w:rsidRPr="007A26A6">
        <w:rPr>
          <w:rStyle w:val="Emphasis"/>
          <w:rFonts w:cstheme="minorHAnsi"/>
          <w:szCs w:val="21"/>
        </w:rPr>
        <w:t xml:space="preserve"> </w:t>
      </w:r>
      <w:r w:rsidRPr="007A26A6">
        <w:rPr>
          <w:rFonts w:cstheme="minorHAnsi"/>
          <w:szCs w:val="21"/>
        </w:rPr>
        <w:t>(cat. no. 4430.0).</w:t>
      </w:r>
    </w:p>
    <w:p w14:paraId="4DA70A86" w14:textId="44A9D3B0" w:rsidR="00F53B39" w:rsidRPr="007A26A6" w:rsidRDefault="00F53B39" w:rsidP="005A77C6">
      <w:pPr>
        <w:pStyle w:val="OWEndnotetextindent"/>
        <w:rPr>
          <w:rFonts w:cstheme="minorHAnsi"/>
        </w:rPr>
      </w:pPr>
      <w:r w:rsidRPr="007A26A6">
        <w:rPr>
          <w:rFonts w:cstheme="minorHAnsi"/>
        </w:rPr>
        <w:t xml:space="preserve">Australian Bureau of Statistics. (2010). </w:t>
      </w:r>
      <w:hyperlink r:id="rId297" w:history="1">
        <w:r w:rsidRPr="007A26A6">
          <w:rPr>
            <w:rStyle w:val="HyperlinkItalic"/>
            <w:rFonts w:cstheme="minorHAnsi"/>
          </w:rPr>
          <w:t>Disability, Ageing and Carers, Australia: Summary of Findings, 2009</w:t>
        </w:r>
      </w:hyperlink>
      <w:r w:rsidRPr="007A26A6">
        <w:rPr>
          <w:rStyle w:val="Emphasis"/>
          <w:rFonts w:cstheme="minorHAnsi"/>
        </w:rPr>
        <w:t xml:space="preserve"> </w:t>
      </w:r>
      <w:r w:rsidRPr="007A26A6">
        <w:rPr>
          <w:rFonts w:cstheme="minorHAnsi"/>
        </w:rPr>
        <w:t>(cat. no. 4430.0).</w:t>
      </w:r>
    </w:p>
  </w:endnote>
  <w:endnote w:id="271">
    <w:p w14:paraId="5AB749A4" w14:textId="422ADD2E"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(2019). </w:t>
      </w:r>
      <w:hyperlink r:id="rId298" w:history="1">
        <w:r w:rsidRPr="007A26A6">
          <w:rPr>
            <w:rStyle w:val="HyperlinkItalic"/>
            <w:rFonts w:cstheme="minorHAnsi"/>
            <w:szCs w:val="21"/>
          </w:rPr>
          <w:t>Disability, Ageing and Carers, Australia: Summary of Findings, 2018</w:t>
        </w:r>
      </w:hyperlink>
      <w:r w:rsidRPr="007A26A6">
        <w:rPr>
          <w:rFonts w:cstheme="minorHAnsi"/>
          <w:szCs w:val="21"/>
        </w:rPr>
        <w:t>.</w:t>
      </w:r>
    </w:p>
  </w:endnote>
  <w:endnote w:id="272">
    <w:p w14:paraId="63EC9C8F" w14:textId="01740A2D"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(2018). </w:t>
      </w:r>
      <w:hyperlink r:id="rId299" w:history="1">
        <w:r w:rsidRPr="00A856D3">
          <w:rPr>
            <w:rStyle w:val="HyperlinkItalic"/>
          </w:rPr>
          <w:t>Gender Indicators, Australia, Sep 2018</w:t>
        </w:r>
      </w:hyperlink>
      <w:r w:rsidRPr="007A26A6">
        <w:rPr>
          <w:rStyle w:val="Emphasis"/>
          <w:rFonts w:cstheme="minorHAnsi"/>
          <w:szCs w:val="21"/>
        </w:rPr>
        <w:t xml:space="preserve"> </w:t>
      </w:r>
      <w:r w:rsidRPr="007A26A6">
        <w:rPr>
          <w:rFonts w:cstheme="minorHAnsi"/>
          <w:szCs w:val="21"/>
        </w:rPr>
        <w:t>(cat. no. 4125.0).</w:t>
      </w:r>
    </w:p>
  </w:endnote>
  <w:endnote w:id="273">
    <w:p w14:paraId="277C0871" w14:textId="5BB7195E"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The Stella Prize. </w:t>
      </w:r>
      <w:hyperlink r:id="rId300" w:history="1">
        <w:r w:rsidRPr="007A26A6">
          <w:rPr>
            <w:rStyle w:val="Hyperlink"/>
            <w:rFonts w:cstheme="minorHAnsi"/>
            <w:szCs w:val="21"/>
          </w:rPr>
          <w:t>2018 Stella Count</w:t>
        </w:r>
      </w:hyperlink>
      <w:r w:rsidRPr="007A26A6">
        <w:rPr>
          <w:rFonts w:cstheme="minorHAnsi"/>
          <w:szCs w:val="21"/>
        </w:rPr>
        <w:t>. Retrieved 25 February 2020.</w:t>
      </w:r>
    </w:p>
  </w:endnote>
  <w:endnote w:id="274">
    <w:p w14:paraId="2DEB4B08" w14:textId="1A550DC2"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Kon-yu, N. (2018). </w:t>
      </w:r>
      <w:hyperlink r:id="rId301" w:history="1">
        <w:r w:rsidRPr="007A26A6">
          <w:rPr>
            <w:rStyle w:val="Hyperlink"/>
            <w:rFonts w:cstheme="minorHAnsi"/>
            <w:szCs w:val="21"/>
          </w:rPr>
          <w:t>In the skin of the Other: Diversity and the Australian publishing industry</w:t>
        </w:r>
      </w:hyperlink>
      <w:r w:rsidRPr="007A26A6">
        <w:rPr>
          <w:rFonts w:cstheme="minorHAnsi"/>
          <w:szCs w:val="21"/>
        </w:rPr>
        <w:t xml:space="preserve">. </w:t>
      </w:r>
      <w:r w:rsidRPr="007A26A6">
        <w:rPr>
          <w:rStyle w:val="Emphasis"/>
          <w:rFonts w:cstheme="minorHAnsi"/>
          <w:szCs w:val="21"/>
        </w:rPr>
        <w:t>TEXT</w:t>
      </w:r>
      <w:r w:rsidRPr="007A26A6">
        <w:rPr>
          <w:rFonts w:cstheme="minorHAnsi"/>
          <w:szCs w:val="21"/>
        </w:rPr>
        <w:t>, Special Issue 53, Identity, Politics and Writing.</w:t>
      </w:r>
    </w:p>
  </w:endnote>
  <w:endnote w:id="275">
    <w:p w14:paraId="7FB2ADDF" w14:textId="4BFD8BEA"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The Stella Prize. (2020). </w:t>
      </w:r>
      <w:hyperlink r:id="rId302" w:history="1">
        <w:r w:rsidRPr="007A26A6">
          <w:rPr>
            <w:rStyle w:val="Hyperlink"/>
            <w:rFonts w:cstheme="minorHAnsi"/>
            <w:szCs w:val="21"/>
          </w:rPr>
          <w:t>About the Prize</w:t>
        </w:r>
      </w:hyperlink>
      <w:r w:rsidRPr="007A26A6">
        <w:rPr>
          <w:rFonts w:cstheme="minorHAnsi"/>
          <w:szCs w:val="21"/>
        </w:rPr>
        <w:t>. Retrieved 25 February 2020.</w:t>
      </w:r>
    </w:p>
  </w:endnote>
  <w:endnote w:id="276">
    <w:p w14:paraId="53DCE52B" w14:textId="58ED71F0"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The Stella Prize. </w:t>
      </w:r>
      <w:hyperlink r:id="rId303" w:history="1">
        <w:r w:rsidRPr="007A26A6">
          <w:rPr>
            <w:rStyle w:val="Hyperlink"/>
            <w:rFonts w:cstheme="minorHAnsi"/>
            <w:szCs w:val="21"/>
          </w:rPr>
          <w:t>2017 Stella Count</w:t>
        </w:r>
      </w:hyperlink>
      <w:r w:rsidRPr="007A26A6">
        <w:rPr>
          <w:rFonts w:cstheme="minorHAnsi"/>
          <w:szCs w:val="21"/>
        </w:rPr>
        <w:t>. Retrieved 25 February 2020.</w:t>
      </w:r>
    </w:p>
  </w:endnote>
  <w:endnote w:id="277">
    <w:p w14:paraId="556E23E8" w14:textId="2838ED8A"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The Stella Prize. </w:t>
      </w:r>
      <w:hyperlink r:id="rId304" w:history="1">
        <w:r w:rsidRPr="007A26A6">
          <w:rPr>
            <w:rStyle w:val="Hyperlink"/>
            <w:rFonts w:cstheme="minorHAnsi"/>
            <w:szCs w:val="21"/>
          </w:rPr>
          <w:t>2018 Stella Count</w:t>
        </w:r>
      </w:hyperlink>
      <w:r w:rsidRPr="007A26A6">
        <w:rPr>
          <w:rFonts w:cstheme="minorHAnsi"/>
          <w:szCs w:val="21"/>
        </w:rPr>
        <w:t>. Retrieved 25 February 2020.</w:t>
      </w:r>
    </w:p>
  </w:endnote>
  <w:endnote w:id="278">
    <w:p w14:paraId="1FD4C15C" w14:textId="2AFD8972"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The Stella Prize. </w:t>
      </w:r>
      <w:hyperlink r:id="rId305" w:history="1">
        <w:r w:rsidRPr="007A26A6">
          <w:rPr>
            <w:rStyle w:val="Hyperlink"/>
            <w:rFonts w:cstheme="minorHAnsi"/>
            <w:szCs w:val="21"/>
          </w:rPr>
          <w:t>2018 Stella Count</w:t>
        </w:r>
      </w:hyperlink>
      <w:r w:rsidRPr="007A26A6">
        <w:rPr>
          <w:rFonts w:cstheme="minorHAnsi"/>
          <w:szCs w:val="21"/>
        </w:rPr>
        <w:t>.</w:t>
      </w:r>
    </w:p>
  </w:endnote>
  <w:endnote w:id="279">
    <w:p w14:paraId="03CB1856" w14:textId="5B8EAABC"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The Stella Prize. </w:t>
      </w:r>
      <w:hyperlink r:id="rId306" w:history="1">
        <w:r w:rsidRPr="007A26A6">
          <w:rPr>
            <w:rStyle w:val="Hyperlink"/>
            <w:rFonts w:cstheme="minorHAnsi"/>
            <w:szCs w:val="21"/>
          </w:rPr>
          <w:t>The Stella Count Survey</w:t>
        </w:r>
      </w:hyperlink>
      <w:r w:rsidRPr="007A26A6">
        <w:rPr>
          <w:rFonts w:cstheme="minorHAnsi"/>
          <w:szCs w:val="21"/>
        </w:rPr>
        <w:t>. Retrieved 25 February 2020.</w:t>
      </w:r>
    </w:p>
  </w:endnote>
  <w:endnote w:id="280">
    <w:p w14:paraId="057DC15B" w14:textId="0B38E3B7"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The Stella Prize. </w:t>
      </w:r>
      <w:hyperlink r:id="rId307" w:history="1">
        <w:r w:rsidRPr="007A26A6">
          <w:rPr>
            <w:rStyle w:val="Hyperlink"/>
            <w:rFonts w:cstheme="minorHAnsi"/>
            <w:szCs w:val="21"/>
          </w:rPr>
          <w:t>2018 Stella Count</w:t>
        </w:r>
      </w:hyperlink>
      <w:r w:rsidRPr="007A26A6">
        <w:rPr>
          <w:rFonts w:cstheme="minorHAnsi"/>
          <w:szCs w:val="21"/>
        </w:rPr>
        <w:t>.</w:t>
      </w:r>
    </w:p>
  </w:endnote>
  <w:endnote w:id="281">
    <w:p w14:paraId="43EA773B" w14:textId="208488CC"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The Men’s Project, &amp; Flood, M. (2018). </w:t>
      </w:r>
      <w:hyperlink r:id="rId308" w:history="1">
        <w:r w:rsidRPr="007A26A6">
          <w:rPr>
            <w:rStyle w:val="HyperlinkItalic"/>
            <w:rFonts w:cstheme="minorHAnsi"/>
            <w:szCs w:val="21"/>
          </w:rPr>
          <w:t>The man box: A study on being a young man in Australia</w:t>
        </w:r>
      </w:hyperlink>
      <w:r w:rsidRPr="007A26A6">
        <w:rPr>
          <w:rFonts w:cstheme="minorHAnsi"/>
          <w:szCs w:val="21"/>
        </w:rPr>
        <w:t>. Melbourne, Australia: Jesuit Social Services.</w:t>
      </w:r>
    </w:p>
  </w:endnote>
  <w:endnote w:id="282">
    <w:p w14:paraId="0744CB8A" w14:textId="1780BF1F"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309"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64.</w:t>
      </w:r>
    </w:p>
  </w:endnote>
  <w:endnote w:id="283">
    <w:p w14:paraId="06F154E0" w14:textId="4130C6E7"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310"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64.</w:t>
      </w:r>
    </w:p>
  </w:endnote>
  <w:endnote w:id="284">
    <w:p w14:paraId="73DAEAA8" w14:textId="074B6011"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Politoff, V., Crabbe, M., Honey, N., Mannix, S., Mickle, J., Morgan, J., Parkes, A., Stubbs, J., Ward, A., &amp; Webster, K. (2019). </w:t>
      </w:r>
      <w:bookmarkStart w:id="77" w:name="_Hlk48722239"/>
      <w:r w:rsidRPr="0024354D">
        <w:rPr>
          <w:rStyle w:val="HyperlinkItalic"/>
        </w:rPr>
        <w:fldChar w:fldCharType="begin"/>
      </w:r>
      <w:r w:rsidRPr="0024354D">
        <w:rPr>
          <w:rStyle w:val="HyperlinkItalic"/>
        </w:rPr>
        <w:instrText xml:space="preserve"> HYPERLINK "https://ncas.anrows.org.au/wp-content/uploads/2019/05/2017NCAS-Youth-SubReport.pdf" </w:instrText>
      </w:r>
      <w:r w:rsidRPr="0024354D">
        <w:rPr>
          <w:rStyle w:val="HyperlinkItalic"/>
        </w:rPr>
        <w:fldChar w:fldCharType="separate"/>
      </w:r>
      <w:r w:rsidRPr="0024354D">
        <w:rPr>
          <w:rStyle w:val="HyperlinkItalic"/>
        </w:rPr>
        <w:t>Young Australians’ attitudes to violence against women and gender equality: Findings from the 2017 National Community Attitudes Survey (NCAS)</w:t>
      </w:r>
      <w:bookmarkEnd w:id="77"/>
      <w:r w:rsidRPr="0024354D">
        <w:rPr>
          <w:rStyle w:val="HyperlinkItalic"/>
        </w:rPr>
        <w:fldChar w:fldCharType="end"/>
      </w:r>
      <w:r w:rsidRPr="007A26A6">
        <w:rPr>
          <w:rFonts w:cstheme="minorHAnsi"/>
          <w:szCs w:val="21"/>
        </w:rPr>
        <w:t xml:space="preserve"> </w:t>
      </w:r>
      <w:r w:rsidRPr="00256C4F">
        <w:rPr>
          <w:rFonts w:cstheme="minorHAnsi"/>
          <w:szCs w:val="21"/>
        </w:rPr>
        <w:t>(ANROWS Insights, Issue 01/2019)</w:t>
      </w:r>
      <w:r>
        <w:rPr>
          <w:rFonts w:cstheme="minorHAnsi"/>
          <w:szCs w:val="21"/>
        </w:rPr>
        <w:t xml:space="preserve">. </w:t>
      </w:r>
      <w:r w:rsidRPr="007A26A6">
        <w:rPr>
          <w:rFonts w:cstheme="minorHAnsi"/>
          <w:szCs w:val="21"/>
        </w:rPr>
        <w:t>Sydney, Australia: ANROWS. p. 22.</w:t>
      </w:r>
    </w:p>
  </w:endnote>
  <w:endnote w:id="285">
    <w:p w14:paraId="742E02B0" w14:textId="71B11EF9"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Cripps, K., Diemer, K., Honey, N., Mickle, J., Morgan, J., Parkes, A., Politoff, V., Powell, A., Stubbs, J., Ward, A., &amp; Webster, K. (2019)</w:t>
      </w:r>
      <w:r>
        <w:rPr>
          <w:rFonts w:cstheme="minorHAnsi"/>
          <w:szCs w:val="21"/>
        </w:rPr>
        <w:t>.</w:t>
      </w:r>
      <w:r w:rsidRPr="007A26A6">
        <w:rPr>
          <w:rFonts w:cstheme="minorHAnsi"/>
          <w:szCs w:val="21"/>
        </w:rPr>
        <w:t xml:space="preserve"> </w:t>
      </w:r>
      <w:hyperlink r:id="rId311" w:history="1">
        <w:r w:rsidRPr="007A26A6">
          <w:rPr>
            <w:rStyle w:val="HyperlinkItalic"/>
            <w:rFonts w:cstheme="minorHAnsi"/>
            <w:szCs w:val="21"/>
          </w:rPr>
          <w:t>Attitudes towards violence against women and gender equality among Aboriginal people and Torres Strait Islanders: Findings from the 2017 National Community Attitudes Survey (NCAS)</w:t>
        </w:r>
      </w:hyperlink>
      <w:r w:rsidRPr="007A26A6">
        <w:rPr>
          <w:rStyle w:val="Emphasis"/>
          <w:rFonts w:cstheme="minorHAnsi"/>
          <w:szCs w:val="21"/>
        </w:rPr>
        <w:t xml:space="preserve"> </w:t>
      </w:r>
      <w:r w:rsidRPr="007A26A6">
        <w:rPr>
          <w:rFonts w:cstheme="minorHAnsi"/>
          <w:szCs w:val="21"/>
        </w:rPr>
        <w:t>(ANROWS Insights, Issue 03/2019). Sydney, Australia: ANROWS.</w:t>
      </w:r>
    </w:p>
  </w:endnote>
  <w:endnote w:id="286">
    <w:p w14:paraId="51F543D6" w14:textId="32FE3C81"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Our Watch. (2019). </w:t>
      </w:r>
      <w:hyperlink r:id="rId312" w:history="1">
        <w:r w:rsidRPr="007A26A6">
          <w:rPr>
            <w:rStyle w:val="HyperlinkItalic"/>
            <w:rFonts w:cstheme="minorHAnsi"/>
            <w:szCs w:val="21"/>
          </w:rPr>
          <w:t>Men in focus: Unpacking masculinities and engaging men in the prevention of violence against women</w:t>
        </w:r>
      </w:hyperlink>
      <w:r w:rsidRPr="007A26A6">
        <w:rPr>
          <w:rFonts w:cstheme="minorHAnsi"/>
          <w:szCs w:val="21"/>
        </w:rPr>
        <w:t>.</w:t>
      </w:r>
    </w:p>
  </w:endnote>
  <w:endnote w:id="287">
    <w:p w14:paraId="6ACFFB3A" w14:textId="4BB77BDB"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Our Watch. (2018). </w:t>
      </w:r>
      <w:r w:rsidRPr="007A26A6">
        <w:rPr>
          <w:rStyle w:val="Emphasis"/>
          <w:rFonts w:cstheme="minorHAnsi"/>
          <w:szCs w:val="21"/>
        </w:rPr>
        <w:t>Doing Nothing Does Harm baseline tracking research</w:t>
      </w:r>
      <w:r w:rsidRPr="007A26A6">
        <w:rPr>
          <w:rFonts w:cstheme="minorHAnsi"/>
          <w:szCs w:val="21"/>
        </w:rPr>
        <w:t>. Unpublished paper.</w:t>
      </w:r>
    </w:p>
  </w:endnote>
  <w:endnote w:id="288">
    <w:p w14:paraId="07A36402" w14:textId="77BDCF97"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Our Watch. (2018). </w:t>
      </w:r>
      <w:r w:rsidRPr="007A26A6">
        <w:rPr>
          <w:rStyle w:val="Emphasis"/>
          <w:rFonts w:cstheme="minorHAnsi"/>
          <w:szCs w:val="21"/>
        </w:rPr>
        <w:t>Doing Nothing Does Harm baseline tracking research</w:t>
      </w:r>
      <w:r w:rsidRPr="007A26A6">
        <w:rPr>
          <w:rFonts w:cstheme="minorHAnsi"/>
          <w:szCs w:val="21"/>
        </w:rPr>
        <w:t>. Unpublished paper.</w:t>
      </w:r>
    </w:p>
  </w:endnote>
  <w:endnote w:id="289">
    <w:p w14:paraId="3655F6DA" w14:textId="5E63F90D"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313"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64.</w:t>
      </w:r>
    </w:p>
  </w:endnote>
  <w:endnote w:id="290">
    <w:p w14:paraId="737457BC" w14:textId="3C565FE8"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Politoff et al. (2019). </w:t>
      </w:r>
      <w:hyperlink r:id="rId314" w:history="1">
        <w:r w:rsidRPr="007A26A6">
          <w:rPr>
            <w:rStyle w:val="HyperlinkItalic"/>
            <w:rFonts w:cstheme="minorHAnsi"/>
            <w:szCs w:val="21"/>
          </w:rPr>
          <w:t>Young Australians’ attitudes to violence against women and gender equality: Findings from the 2017 National Community Attitudes Survey (NCAS</w:t>
        </w:r>
      </w:hyperlink>
      <w:r w:rsidRPr="007A26A6">
        <w:rPr>
          <w:rStyle w:val="HyperlinkItalic"/>
          <w:rFonts w:cstheme="minorHAnsi"/>
          <w:szCs w:val="21"/>
        </w:rPr>
        <w:t>)</w:t>
      </w:r>
      <w:r w:rsidRPr="007A26A6">
        <w:rPr>
          <w:rStyle w:val="Emphasis"/>
          <w:rFonts w:cstheme="minorHAnsi"/>
          <w:szCs w:val="21"/>
        </w:rPr>
        <w:t xml:space="preserve">. </w:t>
      </w:r>
      <w:r w:rsidRPr="007A26A6">
        <w:rPr>
          <w:rFonts w:cstheme="minorHAnsi"/>
          <w:szCs w:val="21"/>
        </w:rPr>
        <w:t>p. 22.</w:t>
      </w:r>
    </w:p>
  </w:endnote>
  <w:endnote w:id="291">
    <w:p w14:paraId="5CE5B444" w14:textId="58AA2E9B"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Cripps et al. (2019). </w:t>
      </w:r>
      <w:hyperlink r:id="rId315" w:history="1">
        <w:r w:rsidRPr="007A26A6">
          <w:rPr>
            <w:rStyle w:val="HyperlinkItalic"/>
            <w:rFonts w:cstheme="minorHAnsi"/>
            <w:szCs w:val="21"/>
          </w:rPr>
          <w:t>Attitudes towards violence against women and gender equality among Aboriginal people and Torres Strait Islanders: Findings from the 2017 National Community Attitudes Survey (NCAS)</w:t>
        </w:r>
      </w:hyperlink>
      <w:r w:rsidRPr="007A26A6">
        <w:rPr>
          <w:rStyle w:val="Emphasis"/>
          <w:rFonts w:cstheme="minorHAnsi"/>
          <w:szCs w:val="21"/>
        </w:rPr>
        <w:t xml:space="preserve">. </w:t>
      </w:r>
      <w:r w:rsidRPr="007A26A6">
        <w:rPr>
          <w:rFonts w:cstheme="minorHAnsi"/>
          <w:szCs w:val="21"/>
        </w:rPr>
        <w:t>p. 24.</w:t>
      </w:r>
    </w:p>
  </w:endnote>
  <w:endnote w:id="292">
    <w:p w14:paraId="33267393" w14:textId="13CADCA8"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Mouzos, J., &amp; Makkait, T. (2004). </w:t>
      </w:r>
      <w:hyperlink r:id="rId316" w:history="1">
        <w:r w:rsidRPr="007A26A6">
          <w:rPr>
            <w:rStyle w:val="Hyperlink"/>
            <w:rFonts w:cstheme="minorHAnsi"/>
            <w:szCs w:val="21"/>
          </w:rPr>
          <w:t>Women’s experiences of male violence: Findings from the Australian component of the International Violence against Women Survey (IVAWS)</w:t>
        </w:r>
      </w:hyperlink>
      <w:r w:rsidRPr="007A26A6">
        <w:rPr>
          <w:rFonts w:cstheme="minorHAnsi"/>
          <w:szCs w:val="21"/>
        </w:rPr>
        <w:t>. Research and Public Policy Series no. 56. Canberra, Australia: Australian Institute of Criminology</w:t>
      </w:r>
      <w:r w:rsidRPr="007A26A6">
        <w:rPr>
          <w:rStyle w:val="Emphasis"/>
          <w:rFonts w:cstheme="minorHAnsi"/>
          <w:szCs w:val="21"/>
        </w:rPr>
        <w:t>.</w:t>
      </w:r>
    </w:p>
  </w:endnote>
  <w:endnote w:id="293">
    <w:p w14:paraId="32CB56E3" w14:textId="687FE588" w:rsidR="00F53B39" w:rsidRPr="007A26A6" w:rsidRDefault="00F53B39" w:rsidP="00DE3220">
      <w:pPr>
        <w:pStyle w:val="EndnoteText"/>
        <w:rPr>
          <w:rFonts w:cstheme="minorHAnsi"/>
          <w:szCs w:val="21"/>
          <w:lang w:val="en-US"/>
        </w:rPr>
      </w:pPr>
      <w:r w:rsidRPr="007A26A6">
        <w:rPr>
          <w:rFonts w:cstheme="minorHAnsi"/>
          <w:szCs w:val="21"/>
        </w:rPr>
        <w:endnoteRef/>
      </w:r>
      <w:r w:rsidRPr="007A26A6">
        <w:rPr>
          <w:rFonts w:cstheme="minorHAnsi"/>
          <w:szCs w:val="21"/>
        </w:rPr>
        <w:tab/>
        <w:t xml:space="preserve">Fulu, E., Warner, X., Miedema, S., Jewkes, R., Roselli, T., &amp; Lang, J. (2013). </w:t>
      </w:r>
      <w:hyperlink r:id="rId317" w:history="1">
        <w:r w:rsidRPr="007A26A6">
          <w:rPr>
            <w:rStyle w:val="Hyperlink"/>
            <w:rFonts w:cstheme="minorHAnsi"/>
            <w:szCs w:val="21"/>
          </w:rPr>
          <w:t>Why do some men use violence against women and how can we prevent it? Quantitative findings from the UN multi-country study on men and violence in Asia and the Pacific</w:t>
        </w:r>
      </w:hyperlink>
      <w:r w:rsidRPr="007A26A6">
        <w:rPr>
          <w:rFonts w:cstheme="minorHAnsi"/>
          <w:szCs w:val="21"/>
        </w:rPr>
        <w:t>. Bangkok: UNDP, UNFPA, UN Women and UNV.</w:t>
      </w:r>
    </w:p>
  </w:endnote>
  <w:endnote w:id="294">
    <w:p w14:paraId="129EDBA6" w14:textId="2ABE66FC"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Flood, M. (2007). </w:t>
      </w:r>
      <w:r w:rsidRPr="007A26A6">
        <w:rPr>
          <w:rStyle w:val="Emphasis"/>
          <w:rFonts w:cstheme="minorHAnsi"/>
          <w:szCs w:val="21"/>
        </w:rPr>
        <w:t>Background document for Preventing violence before it occurs: A framework and background paper to guide the primary prevention of violence against women in Australia</w:t>
      </w:r>
      <w:r w:rsidRPr="007A26A6">
        <w:rPr>
          <w:rFonts w:cstheme="minorHAnsi"/>
          <w:szCs w:val="21"/>
        </w:rPr>
        <w:t>.</w:t>
      </w:r>
    </w:p>
  </w:endnote>
  <w:endnote w:id="295">
    <w:p w14:paraId="56D010B6" w14:textId="0D957DB5"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318"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66.</w:t>
      </w:r>
    </w:p>
  </w:endnote>
  <w:endnote w:id="296">
    <w:p w14:paraId="24ECBCBE" w14:textId="3B04406D"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Workplace Gender Equality Agency (WGEA). </w:t>
      </w:r>
      <w:hyperlink r:id="rId319" w:history="1">
        <w:r w:rsidRPr="007A26A6">
          <w:rPr>
            <w:rStyle w:val="HyperlinkItalic"/>
            <w:rFonts w:cstheme="minorHAnsi"/>
            <w:szCs w:val="21"/>
          </w:rPr>
          <w:t>About the agency</w:t>
        </w:r>
      </w:hyperlink>
      <w:r w:rsidRPr="007A26A6">
        <w:rPr>
          <w:rFonts w:cstheme="minorHAnsi"/>
          <w:szCs w:val="21"/>
        </w:rPr>
        <w:t>. Retrieved 25 February 2020.</w:t>
      </w:r>
    </w:p>
  </w:endnote>
  <w:endnote w:id="297">
    <w:p w14:paraId="3A19C543" w14:textId="77777777" w:rsidR="00F53B39" w:rsidRPr="007A26A6" w:rsidRDefault="00F53B39" w:rsidP="00D04739">
      <w:pPr>
        <w:pStyle w:val="EndnoteText"/>
        <w:rPr>
          <w:rFonts w:cstheme="minorHAnsi"/>
          <w:szCs w:val="21"/>
        </w:rPr>
      </w:pPr>
      <w:r w:rsidRPr="007A26A6">
        <w:rPr>
          <w:rFonts w:cstheme="minorHAnsi"/>
          <w:szCs w:val="21"/>
        </w:rPr>
        <w:endnoteRef/>
      </w:r>
      <w:r w:rsidRPr="007A26A6">
        <w:rPr>
          <w:rFonts w:cstheme="minorHAnsi"/>
          <w:szCs w:val="21"/>
        </w:rPr>
        <w:tab/>
        <w:t xml:space="preserve">True, J. (2012). </w:t>
      </w:r>
      <w:r w:rsidRPr="007A26A6">
        <w:rPr>
          <w:rStyle w:val="Emphasis"/>
          <w:rFonts w:cstheme="minorHAnsi"/>
          <w:szCs w:val="21"/>
        </w:rPr>
        <w:t>The political economy of violence against women</w:t>
      </w:r>
      <w:r w:rsidRPr="007A26A6">
        <w:rPr>
          <w:rFonts w:cstheme="minorHAnsi"/>
          <w:szCs w:val="21"/>
        </w:rPr>
        <w:t>. New York, USA: Oxford University Press.</w:t>
      </w:r>
    </w:p>
    <w:p w14:paraId="09B15F9A" w14:textId="77777777" w:rsidR="00F53B39" w:rsidRPr="007A26A6" w:rsidRDefault="00F53B39" w:rsidP="00D04739">
      <w:pPr>
        <w:pStyle w:val="OWEndnotetextindent"/>
        <w:rPr>
          <w:rFonts w:cstheme="minorHAnsi"/>
        </w:rPr>
      </w:pPr>
      <w:r w:rsidRPr="007A26A6">
        <w:rPr>
          <w:rFonts w:cstheme="minorHAnsi"/>
        </w:rPr>
        <w:t xml:space="preserve">Yodanis, C. (2004). Gender inequality, violence against women, and fear: A cross-national test of the feminist theory of violence against women. </w:t>
      </w:r>
      <w:r w:rsidRPr="007A26A6">
        <w:rPr>
          <w:rStyle w:val="Emphasis"/>
          <w:rFonts w:cstheme="minorHAnsi"/>
        </w:rPr>
        <w:t>Journal of Interpersonal Violence</w:t>
      </w:r>
      <w:r w:rsidRPr="007A26A6">
        <w:rPr>
          <w:rFonts w:cstheme="minorHAnsi"/>
        </w:rPr>
        <w:t xml:space="preserve">, </w:t>
      </w:r>
      <w:r w:rsidRPr="007A26A6">
        <w:rPr>
          <w:rStyle w:val="Emphasis"/>
          <w:rFonts w:cstheme="minorHAnsi"/>
        </w:rPr>
        <w:t>19</w:t>
      </w:r>
      <w:r w:rsidRPr="007A26A6">
        <w:rPr>
          <w:rFonts w:cstheme="minorHAnsi"/>
        </w:rPr>
        <w:t>, 655–675.</w:t>
      </w:r>
    </w:p>
    <w:p w14:paraId="6015C6BE" w14:textId="74AD5CA0" w:rsidR="00F53B39" w:rsidRPr="007A26A6" w:rsidRDefault="00F53B39" w:rsidP="00D04739">
      <w:pPr>
        <w:pStyle w:val="OWEndnotetextindent"/>
        <w:rPr>
          <w:rFonts w:cstheme="minorHAnsi"/>
        </w:rPr>
      </w:pPr>
      <w:r w:rsidRPr="007A26A6">
        <w:rPr>
          <w:rFonts w:cstheme="minorHAnsi"/>
        </w:rPr>
        <w:t xml:space="preserve">Kiss, L., Schraiber, L.B., Heise, L., Zimmerman, C., Gouveia, N., &amp; Watts, C. (2012). Gender-based violence and socioeconomic inequalities: Does living in more deprived neighbourhoods increase women’s risk of intimate partner violence? </w:t>
      </w:r>
      <w:r w:rsidRPr="007A26A6">
        <w:rPr>
          <w:rStyle w:val="Emphasis"/>
          <w:rFonts w:cstheme="minorHAnsi"/>
        </w:rPr>
        <w:t>Social Science &amp; Medicine</w:t>
      </w:r>
      <w:r w:rsidRPr="007A26A6">
        <w:rPr>
          <w:rFonts w:cstheme="minorHAnsi"/>
        </w:rPr>
        <w:t xml:space="preserve">, </w:t>
      </w:r>
      <w:r w:rsidRPr="007A26A6">
        <w:rPr>
          <w:rStyle w:val="Emphasis"/>
          <w:rFonts w:cstheme="minorHAnsi"/>
        </w:rPr>
        <w:t>74</w:t>
      </w:r>
      <w:r w:rsidRPr="007A26A6">
        <w:rPr>
          <w:rFonts w:cstheme="minorHAnsi"/>
        </w:rPr>
        <w:t>(8), 1172–1179.</w:t>
      </w:r>
    </w:p>
  </w:endnote>
  <w:endnote w:id="298">
    <w:p w14:paraId="25286C77" w14:textId="2D286DDD"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Human Rights Commission. (2018). </w:t>
      </w:r>
      <w:hyperlink r:id="rId320" w:history="1">
        <w:r w:rsidRPr="007A26A6">
          <w:rPr>
            <w:rStyle w:val="HyperlinkItalic"/>
            <w:rFonts w:cstheme="minorHAnsi"/>
            <w:szCs w:val="21"/>
          </w:rPr>
          <w:t>Leading for Change, a blueprint for cultural diversity and inclusive leadership revisited</w:t>
        </w:r>
      </w:hyperlink>
      <w:r w:rsidRPr="007A26A6">
        <w:rPr>
          <w:rFonts w:cstheme="minorHAnsi"/>
          <w:szCs w:val="21"/>
        </w:rPr>
        <w:t>. Retrieved 25 February 2020.</w:t>
      </w:r>
    </w:p>
  </w:endnote>
  <w:endnote w:id="299">
    <w:p w14:paraId="707BAEBA" w14:textId="030B9014"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Dawson, E. (2019).</w:t>
      </w:r>
      <w:r w:rsidRPr="007A26A6">
        <w:rPr>
          <w:rStyle w:val="Emphasis"/>
          <w:rFonts w:cstheme="minorHAnsi"/>
          <w:szCs w:val="21"/>
        </w:rPr>
        <w:t xml:space="preserve"> </w:t>
      </w:r>
      <w:hyperlink r:id="rId321" w:history="1">
        <w:r w:rsidRPr="007A26A6">
          <w:rPr>
            <w:rStyle w:val="Hyperlink"/>
            <w:rFonts w:cstheme="minorHAnsi"/>
            <w:szCs w:val="21"/>
          </w:rPr>
          <w:t>Frydenberg claimed the gender pay gap has closed. Job done! Except for the facts</w:t>
        </w:r>
      </w:hyperlink>
      <w:r w:rsidRPr="007A26A6">
        <w:rPr>
          <w:rFonts w:cstheme="minorHAnsi"/>
          <w:szCs w:val="21"/>
        </w:rPr>
        <w:t>. Retrieved 25 February 2020.</w:t>
      </w:r>
    </w:p>
  </w:endnote>
  <w:endnote w:id="300">
    <w:p w14:paraId="0FECBF40" w14:textId="6DA30C1B"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(2009). </w:t>
      </w:r>
      <w:hyperlink r:id="rId322" w:history="1">
        <w:r w:rsidRPr="007A26A6">
          <w:rPr>
            <w:rStyle w:val="HyperlinkItalic"/>
            <w:rFonts w:cstheme="minorHAnsi"/>
            <w:szCs w:val="21"/>
          </w:rPr>
          <w:t>Employment Arrangements, Retirement and Superannuation, Australia, April to July 2007, Reissue</w:t>
        </w:r>
      </w:hyperlink>
      <w:r w:rsidRPr="007A26A6">
        <w:rPr>
          <w:rFonts w:cstheme="minorHAnsi"/>
          <w:szCs w:val="21"/>
        </w:rPr>
        <w:t xml:space="preserve"> (cat. no. 6361.0).</w:t>
      </w:r>
    </w:p>
  </w:endnote>
  <w:endnote w:id="301">
    <w:p w14:paraId="76CA1C20" w14:textId="23145489" w:rsidR="00F53B39" w:rsidRPr="007A26A6" w:rsidRDefault="00F53B39" w:rsidP="00D04739">
      <w:pPr>
        <w:pStyle w:val="EndnoteText"/>
        <w:rPr>
          <w:rFonts w:cstheme="minorHAnsi"/>
          <w:szCs w:val="21"/>
        </w:rPr>
      </w:pPr>
      <w:r w:rsidRPr="007A26A6">
        <w:rPr>
          <w:rFonts w:cstheme="minorHAnsi"/>
          <w:szCs w:val="21"/>
        </w:rPr>
        <w:endnoteRef/>
      </w:r>
      <w:r w:rsidRPr="007A26A6">
        <w:rPr>
          <w:rFonts w:cstheme="minorHAnsi"/>
          <w:szCs w:val="21"/>
        </w:rPr>
        <w:tab/>
        <w:t xml:space="preserve">Industry Super Australia. (2015). </w:t>
      </w:r>
      <w:hyperlink r:id="rId323" w:history="1">
        <w:r w:rsidRPr="007A26A6">
          <w:rPr>
            <w:rStyle w:val="HyperlinkItalic"/>
            <w:rFonts w:cstheme="minorHAnsi"/>
            <w:szCs w:val="21"/>
          </w:rPr>
          <w:t>Submission: Inquiry into economic security for women in Australia</w:t>
        </w:r>
      </w:hyperlink>
      <w:r w:rsidRPr="007A26A6">
        <w:rPr>
          <w:rFonts w:cstheme="minorHAnsi"/>
          <w:szCs w:val="21"/>
        </w:rPr>
        <w:t>, Industry Super Fund.</w:t>
      </w:r>
    </w:p>
    <w:p w14:paraId="42A5F967" w14:textId="5DFBC563" w:rsidR="00F53B39" w:rsidRPr="007A26A6" w:rsidRDefault="00F53B39" w:rsidP="00D04739">
      <w:pPr>
        <w:pStyle w:val="OWEndnotetextindent"/>
        <w:rPr>
          <w:rFonts w:cstheme="minorHAnsi"/>
        </w:rPr>
      </w:pPr>
      <w:r w:rsidRPr="007A26A6">
        <w:rPr>
          <w:rFonts w:cstheme="minorHAnsi"/>
        </w:rPr>
        <w:t xml:space="preserve">Homelessness Australia and Equality Rights Alliance. (2015). </w:t>
      </w:r>
      <w:hyperlink r:id="rId324" w:history="1">
        <w:r w:rsidRPr="007A26A6">
          <w:rPr>
            <w:rStyle w:val="HyperlinkItalic"/>
            <w:rFonts w:cstheme="minorHAnsi"/>
          </w:rPr>
          <w:t>Ending and preventing older women’s experiences of homeless in Australia, joint submission</w:t>
        </w:r>
      </w:hyperlink>
      <w:r w:rsidRPr="007A26A6">
        <w:rPr>
          <w:rFonts w:cstheme="minorHAnsi"/>
        </w:rPr>
        <w:t>.</w:t>
      </w:r>
    </w:p>
    <w:p w14:paraId="745DAEF8" w14:textId="1ED05AF5" w:rsidR="00F53B39" w:rsidRPr="007A26A6" w:rsidRDefault="00F53B39" w:rsidP="00D04739">
      <w:pPr>
        <w:pStyle w:val="OWEndnotetextindent"/>
        <w:rPr>
          <w:rFonts w:cstheme="minorHAnsi"/>
        </w:rPr>
      </w:pPr>
      <w:r w:rsidRPr="007A26A6">
        <w:rPr>
          <w:rFonts w:cstheme="minorHAnsi"/>
        </w:rPr>
        <w:t xml:space="preserve">The Senate – Economic References Committee. (2016, April). </w:t>
      </w:r>
      <w:hyperlink r:id="rId325" w:history="1">
        <w:r w:rsidRPr="007A26A6">
          <w:rPr>
            <w:rStyle w:val="HyperlinkItalic"/>
            <w:rFonts w:cstheme="minorHAnsi"/>
          </w:rPr>
          <w:t>‘A husband is not a retirement plan’: Achieving economic security for women in retirement</w:t>
        </w:r>
      </w:hyperlink>
      <w:r w:rsidRPr="007A26A6">
        <w:rPr>
          <w:rFonts w:cstheme="minorHAnsi"/>
        </w:rPr>
        <w:t>. Report from the Senate Inquiry into Economic Security for Women in Retirement, 2015. Commonwealth of Australia.</w:t>
      </w:r>
    </w:p>
    <w:p w14:paraId="4D22288E" w14:textId="3A3E2360" w:rsidR="00F53B39" w:rsidRPr="007A26A6" w:rsidRDefault="00F53B39" w:rsidP="00D04739">
      <w:pPr>
        <w:pStyle w:val="OWEndnotetextindent"/>
        <w:rPr>
          <w:rFonts w:cstheme="minorHAnsi"/>
          <w:lang w:val="en-US"/>
        </w:rPr>
      </w:pPr>
      <w:r w:rsidRPr="007A26A6">
        <w:rPr>
          <w:rFonts w:cstheme="minorHAnsi"/>
        </w:rPr>
        <w:t xml:space="preserve">Workplace Gender Equality Agency. (2015). </w:t>
      </w:r>
      <w:hyperlink r:id="rId326" w:history="1">
        <w:r w:rsidRPr="007A26A6">
          <w:rPr>
            <w:rStyle w:val="HyperlinkItalic"/>
            <w:rFonts w:cstheme="minorHAnsi"/>
          </w:rPr>
          <w:t>Submission – Senate Inquiry into Economic Security for Women in Retirement</w:t>
        </w:r>
      </w:hyperlink>
      <w:r w:rsidRPr="007A26A6">
        <w:rPr>
          <w:rFonts w:cstheme="minorHAnsi"/>
        </w:rPr>
        <w:t>.</w:t>
      </w:r>
    </w:p>
  </w:endnote>
  <w:endnote w:id="302">
    <w:p w14:paraId="759AE8B4" w14:textId="7CDFE074"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(2019). </w:t>
      </w:r>
      <w:hyperlink r:id="rId327" w:history="1">
        <w:r w:rsidRPr="007A26A6">
          <w:rPr>
            <w:rStyle w:val="HyperlinkItalic"/>
            <w:rFonts w:cstheme="minorHAnsi"/>
            <w:szCs w:val="21"/>
          </w:rPr>
          <w:t>Gender Indicators, Australia, Nov 2019</w:t>
        </w:r>
      </w:hyperlink>
      <w:r w:rsidRPr="007A26A6">
        <w:rPr>
          <w:rStyle w:val="Emphasis"/>
          <w:rFonts w:cstheme="minorHAnsi"/>
          <w:szCs w:val="21"/>
        </w:rPr>
        <w:t xml:space="preserve"> </w:t>
      </w:r>
      <w:r w:rsidRPr="007A26A6">
        <w:rPr>
          <w:rFonts w:cstheme="minorHAnsi"/>
          <w:szCs w:val="21"/>
        </w:rPr>
        <w:t>(cat. no. 4125.0).</w:t>
      </w:r>
    </w:p>
  </w:endnote>
  <w:endnote w:id="303">
    <w:p w14:paraId="702EF0EC" w14:textId="33B2C664"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Workplace Gender Equality Agency. (2020).</w:t>
      </w:r>
      <w:r w:rsidRPr="007A26A6">
        <w:rPr>
          <w:rStyle w:val="Emphasis"/>
          <w:rFonts w:cstheme="minorHAnsi"/>
          <w:szCs w:val="21"/>
        </w:rPr>
        <w:t xml:space="preserve"> </w:t>
      </w:r>
      <w:hyperlink r:id="rId328" w:history="1">
        <w:r w:rsidRPr="007A26A6">
          <w:rPr>
            <w:rStyle w:val="HyperlinkItalic"/>
            <w:rFonts w:cstheme="minorHAnsi"/>
            <w:szCs w:val="21"/>
          </w:rPr>
          <w:t>WGEA Data Explorer</w:t>
        </w:r>
      </w:hyperlink>
      <w:r w:rsidRPr="007A26A6">
        <w:rPr>
          <w:rFonts w:cstheme="minorHAnsi"/>
          <w:szCs w:val="21"/>
        </w:rPr>
        <w:t>. Retrieved 5 December 2019.</w:t>
      </w:r>
    </w:p>
  </w:endnote>
  <w:endnote w:id="304">
    <w:p w14:paraId="1774EAE6" w14:textId="6C71B4BB"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Workplace Gender Equality Agency. (2020).</w:t>
      </w:r>
      <w:r w:rsidRPr="007A26A6">
        <w:rPr>
          <w:rStyle w:val="Emphasis"/>
          <w:rFonts w:cstheme="minorHAnsi"/>
          <w:szCs w:val="21"/>
        </w:rPr>
        <w:t xml:space="preserve"> </w:t>
      </w:r>
      <w:hyperlink r:id="rId329" w:history="1">
        <w:r w:rsidRPr="007A26A6">
          <w:rPr>
            <w:rStyle w:val="HyperlinkItalic"/>
            <w:rFonts w:cstheme="minorHAnsi"/>
            <w:szCs w:val="21"/>
          </w:rPr>
          <w:t>WGEA Data Explorer</w:t>
        </w:r>
      </w:hyperlink>
      <w:r w:rsidRPr="007A26A6">
        <w:rPr>
          <w:rFonts w:cstheme="minorHAnsi"/>
          <w:szCs w:val="21"/>
        </w:rPr>
        <w:t>.</w:t>
      </w:r>
    </w:p>
  </w:endnote>
  <w:endnote w:id="305">
    <w:p w14:paraId="3752B59D" w14:textId="612F51EF"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(2019). </w:t>
      </w:r>
      <w:hyperlink r:id="rId330" w:history="1">
        <w:r w:rsidRPr="007A26A6">
          <w:rPr>
            <w:rStyle w:val="HyperlinkItalic"/>
            <w:rFonts w:cstheme="minorHAnsi"/>
            <w:szCs w:val="21"/>
          </w:rPr>
          <w:t>Gender Indicators, Australia, Nov 2019</w:t>
        </w:r>
      </w:hyperlink>
      <w:r w:rsidRPr="007A26A6">
        <w:rPr>
          <w:rStyle w:val="Emphasis"/>
          <w:rFonts w:cstheme="minorHAnsi"/>
          <w:szCs w:val="21"/>
        </w:rPr>
        <w:t xml:space="preserve"> </w:t>
      </w:r>
      <w:r w:rsidRPr="007A26A6">
        <w:rPr>
          <w:rFonts w:cstheme="minorHAnsi"/>
          <w:szCs w:val="21"/>
        </w:rPr>
        <w:t>(cat. no. 4125.0).</w:t>
      </w:r>
    </w:p>
  </w:endnote>
  <w:endnote w:id="306">
    <w:p w14:paraId="4FEE0EFA" w14:textId="6F671C28"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(2019). </w:t>
      </w:r>
      <w:hyperlink r:id="rId331" w:history="1">
        <w:r w:rsidRPr="007A26A6">
          <w:rPr>
            <w:rStyle w:val="HyperlinkItalic"/>
            <w:rFonts w:cstheme="minorHAnsi"/>
            <w:szCs w:val="21"/>
          </w:rPr>
          <w:t>Gender Indicators, Australia, Nov 2019</w:t>
        </w:r>
      </w:hyperlink>
      <w:r w:rsidRPr="007A26A6">
        <w:rPr>
          <w:rFonts w:cstheme="minorHAnsi"/>
          <w:szCs w:val="21"/>
        </w:rPr>
        <w:t>.</w:t>
      </w:r>
    </w:p>
  </w:endnote>
  <w:endnote w:id="307">
    <w:p w14:paraId="284974DB" w14:textId="61B01EAB"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Human Rights Commission. (2018). </w:t>
      </w:r>
      <w:hyperlink r:id="rId332" w:history="1">
        <w:r w:rsidRPr="007A26A6">
          <w:rPr>
            <w:rStyle w:val="HyperlinkItalic"/>
            <w:rFonts w:cstheme="minorHAnsi"/>
            <w:szCs w:val="21"/>
          </w:rPr>
          <w:t>Everyone’s business: Fourth national survey on sexual harassment in Australian workplaces</w:t>
        </w:r>
      </w:hyperlink>
      <w:r w:rsidRPr="007A26A6">
        <w:rPr>
          <w:rFonts w:cstheme="minorHAnsi"/>
          <w:szCs w:val="21"/>
        </w:rPr>
        <w:t>. Australian Human Rights Commission. p. 25.</w:t>
      </w:r>
    </w:p>
  </w:endnote>
  <w:endnote w:id="308">
    <w:p w14:paraId="603FF87A" w14:textId="3C9574F1"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Human Rights Commission. (2018). </w:t>
      </w:r>
      <w:hyperlink r:id="rId333" w:history="1">
        <w:r w:rsidRPr="007A26A6">
          <w:rPr>
            <w:rStyle w:val="HyperlinkItalic"/>
            <w:rFonts w:cstheme="minorHAnsi"/>
            <w:szCs w:val="21"/>
          </w:rPr>
          <w:t>Everyone’s business: Fourth national survey on sexual harassment in Australian workplaces</w:t>
        </w:r>
      </w:hyperlink>
      <w:r w:rsidRPr="007A26A6">
        <w:rPr>
          <w:rFonts w:cstheme="minorHAnsi"/>
          <w:szCs w:val="21"/>
        </w:rPr>
        <w:t>. p. 27.</w:t>
      </w:r>
    </w:p>
  </w:endnote>
  <w:endnote w:id="309">
    <w:p w14:paraId="55CD7411" w14:textId="4CB40DD4" w:rsidR="00F53B39" w:rsidRPr="007A26A6" w:rsidRDefault="00F53B39" w:rsidP="002471EC">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Human Rights Commission. (2018). </w:t>
      </w:r>
      <w:hyperlink r:id="rId334" w:history="1">
        <w:r w:rsidRPr="007A26A6">
          <w:rPr>
            <w:rStyle w:val="HyperlinkItalic"/>
            <w:rFonts w:cstheme="minorHAnsi"/>
            <w:szCs w:val="21"/>
          </w:rPr>
          <w:t>Everyone’s business: Fourth national survey on sexual harassment in Australian workplaces</w:t>
        </w:r>
      </w:hyperlink>
      <w:r w:rsidRPr="007A26A6">
        <w:rPr>
          <w:rFonts w:cstheme="minorHAnsi"/>
          <w:szCs w:val="21"/>
        </w:rPr>
        <w:t>. p. 27.</w:t>
      </w:r>
    </w:p>
  </w:endnote>
  <w:endnote w:id="310">
    <w:p w14:paraId="784948FA" w14:textId="32835469"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Human Rights Commission. (2018). </w:t>
      </w:r>
      <w:hyperlink r:id="rId335" w:history="1">
        <w:r w:rsidRPr="007A26A6">
          <w:rPr>
            <w:rStyle w:val="HyperlinkItalic"/>
            <w:rFonts w:cstheme="minorHAnsi"/>
            <w:szCs w:val="21"/>
          </w:rPr>
          <w:t>Everyone’s business: Fourth national survey on sexual harassment in Australian workplaces</w:t>
        </w:r>
      </w:hyperlink>
      <w:r w:rsidRPr="007A26A6">
        <w:rPr>
          <w:rFonts w:cstheme="minorHAnsi"/>
          <w:szCs w:val="21"/>
        </w:rPr>
        <w:t>. p. 26.</w:t>
      </w:r>
    </w:p>
  </w:endnote>
  <w:endnote w:id="311">
    <w:p w14:paraId="439496A4" w14:textId="734A042D"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Human Rights Commission. (2018). </w:t>
      </w:r>
      <w:hyperlink r:id="rId336" w:history="1">
        <w:r w:rsidRPr="007A26A6">
          <w:rPr>
            <w:rStyle w:val="HyperlinkItalic"/>
            <w:rFonts w:cstheme="minorHAnsi"/>
            <w:szCs w:val="21"/>
          </w:rPr>
          <w:t>Everyone’s business: Fourth national survey on sexual harassment in Australian workplaces</w:t>
        </w:r>
      </w:hyperlink>
      <w:r w:rsidRPr="007A26A6">
        <w:rPr>
          <w:rFonts w:cstheme="minorHAnsi"/>
          <w:szCs w:val="21"/>
        </w:rPr>
        <w:t>. p. 28.</w:t>
      </w:r>
    </w:p>
  </w:endnote>
  <w:endnote w:id="312">
    <w:p w14:paraId="4197C9D5" w14:textId="798F2FD9"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Human Rights Commission. (2018). </w:t>
      </w:r>
      <w:hyperlink r:id="rId337" w:history="1">
        <w:r w:rsidRPr="007A26A6">
          <w:rPr>
            <w:rStyle w:val="HyperlinkItalic"/>
            <w:rFonts w:cstheme="minorHAnsi"/>
            <w:szCs w:val="21"/>
          </w:rPr>
          <w:t>Everyone’s business: Fourth national survey on sexual harassment in Australian workplaces</w:t>
        </w:r>
      </w:hyperlink>
      <w:r w:rsidRPr="007A26A6">
        <w:rPr>
          <w:rFonts w:cstheme="minorHAnsi"/>
          <w:szCs w:val="21"/>
        </w:rPr>
        <w:t>. p. 28.</w:t>
      </w:r>
    </w:p>
  </w:endnote>
  <w:endnote w:id="313">
    <w:p w14:paraId="4F9C46F0" w14:textId="052BA1A1"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Human Rights Commission. (2018). </w:t>
      </w:r>
      <w:hyperlink r:id="rId338" w:history="1">
        <w:r w:rsidRPr="007A26A6">
          <w:rPr>
            <w:rStyle w:val="HyperlinkItalic"/>
            <w:rFonts w:cstheme="minorHAnsi"/>
            <w:szCs w:val="21"/>
          </w:rPr>
          <w:t>Everyone’s business: Fourth national survey on sexual harassment in Australian workplaces</w:t>
        </w:r>
      </w:hyperlink>
      <w:r w:rsidRPr="007A26A6">
        <w:rPr>
          <w:rFonts w:cstheme="minorHAnsi"/>
          <w:szCs w:val="21"/>
        </w:rPr>
        <w:t>. p. 28.</w:t>
      </w:r>
    </w:p>
  </w:endnote>
  <w:endnote w:id="314">
    <w:p w14:paraId="4E054444" w14:textId="75E45276"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Human Rights Commission. (2018). </w:t>
      </w:r>
      <w:hyperlink r:id="rId339" w:history="1">
        <w:r w:rsidRPr="007A26A6">
          <w:rPr>
            <w:rStyle w:val="HyperlinkItalic"/>
            <w:rFonts w:cstheme="minorHAnsi"/>
            <w:szCs w:val="21"/>
          </w:rPr>
          <w:t>Everyone’s business: Fourth national survey on sexual harassment in Australian workplaces</w:t>
        </w:r>
      </w:hyperlink>
      <w:r w:rsidRPr="007A26A6">
        <w:rPr>
          <w:rFonts w:cstheme="minorHAnsi"/>
          <w:szCs w:val="21"/>
        </w:rPr>
        <w:t>. p. 27.</w:t>
      </w:r>
    </w:p>
  </w:endnote>
  <w:endnote w:id="315">
    <w:p w14:paraId="3F132915" w14:textId="533C62D1" w:rsidR="00F53B39" w:rsidRPr="007A26A6" w:rsidRDefault="00F53B39" w:rsidP="00176A69">
      <w:pPr>
        <w:pStyle w:val="EndnoteText"/>
        <w:rPr>
          <w:rFonts w:cstheme="minorHAnsi"/>
          <w:szCs w:val="21"/>
        </w:rPr>
      </w:pPr>
      <w:r w:rsidRPr="007A26A6">
        <w:rPr>
          <w:rFonts w:cstheme="minorHAnsi"/>
          <w:szCs w:val="21"/>
        </w:rPr>
        <w:endnoteRef/>
      </w:r>
      <w:r w:rsidRPr="007A26A6">
        <w:rPr>
          <w:rFonts w:cstheme="minorHAnsi"/>
          <w:szCs w:val="21"/>
        </w:rPr>
        <w:tab/>
        <w:t xml:space="preserve">WGEA. (2018). </w:t>
      </w:r>
      <w:hyperlink r:id="rId340" w:history="1">
        <w:r w:rsidRPr="007A26A6">
          <w:rPr>
            <w:rStyle w:val="HyperlinkItalic"/>
            <w:rFonts w:cstheme="minorHAnsi"/>
            <w:szCs w:val="21"/>
          </w:rPr>
          <w:t>Australia’s gender pay gap statistics</w:t>
        </w:r>
      </w:hyperlink>
      <w:r w:rsidRPr="007A26A6">
        <w:rPr>
          <w:rFonts w:cstheme="minorHAnsi"/>
          <w:szCs w:val="21"/>
        </w:rPr>
        <w:t xml:space="preserve"> (Factsheet series</w:t>
      </w:r>
      <w:r>
        <w:rPr>
          <w:rFonts w:cstheme="minorHAnsi"/>
          <w:szCs w:val="21"/>
        </w:rPr>
        <w:t>, August 2018</w:t>
      </w:r>
      <w:r w:rsidRPr="007A26A6">
        <w:rPr>
          <w:rFonts w:cstheme="minorHAnsi"/>
          <w:szCs w:val="21"/>
        </w:rPr>
        <w:t>).</w:t>
      </w:r>
      <w:r>
        <w:rPr>
          <w:rFonts w:cstheme="minorHAnsi"/>
          <w:szCs w:val="21"/>
        </w:rPr>
        <w:t xml:space="preserve"> </w:t>
      </w:r>
      <w:r w:rsidRPr="00176A69">
        <w:rPr>
          <w:rFonts w:cstheme="minorHAnsi"/>
          <w:szCs w:val="21"/>
        </w:rPr>
        <w:t xml:space="preserve">Retrieved </w:t>
      </w:r>
      <w:r>
        <w:rPr>
          <w:rFonts w:cstheme="minorHAnsi"/>
          <w:szCs w:val="21"/>
        </w:rPr>
        <w:t>October</w:t>
      </w:r>
      <w:r w:rsidRPr="00176A69">
        <w:rPr>
          <w:rFonts w:cstheme="minorHAnsi"/>
          <w:szCs w:val="21"/>
        </w:rPr>
        <w:t xml:space="preserve"> 2018</w:t>
      </w:r>
      <w:r>
        <w:rPr>
          <w:rFonts w:cstheme="minorHAnsi"/>
          <w:szCs w:val="21"/>
        </w:rPr>
        <w:t>.</w:t>
      </w:r>
    </w:p>
    <w:p w14:paraId="1CEF1B5D" w14:textId="4EA7BFC5" w:rsidR="00F53B39" w:rsidRPr="007A26A6" w:rsidRDefault="00F53B39" w:rsidP="006236F4">
      <w:pPr>
        <w:pStyle w:val="OWEndnotetextindent"/>
        <w:rPr>
          <w:rFonts w:cstheme="minorHAnsi"/>
          <w:lang w:val="en-US"/>
        </w:rPr>
      </w:pPr>
      <w:r w:rsidRPr="007A26A6">
        <w:rPr>
          <w:rFonts w:cstheme="minorHAnsi"/>
        </w:rPr>
        <w:t xml:space="preserve">Industry Super Australia, </w:t>
      </w:r>
      <w:hyperlink r:id="rId341" w:history="1">
        <w:r w:rsidRPr="007A26A6">
          <w:rPr>
            <w:rStyle w:val="Hyperlink"/>
            <w:rFonts w:cstheme="minorHAnsi"/>
          </w:rPr>
          <w:t>Inquiry into economic security for women in Australia</w:t>
        </w:r>
      </w:hyperlink>
      <w:r w:rsidRPr="007A26A6">
        <w:rPr>
          <w:rFonts w:cstheme="minorHAnsi"/>
        </w:rPr>
        <w:t xml:space="preserve"> (ISA Submission, November 2015). p. 13. </w:t>
      </w:r>
      <w:r>
        <w:rPr>
          <w:rFonts w:cstheme="minorHAnsi"/>
        </w:rPr>
        <w:t>Retrieved</w:t>
      </w:r>
      <w:r w:rsidRPr="007A26A6">
        <w:rPr>
          <w:rFonts w:cstheme="minorHAnsi"/>
        </w:rPr>
        <w:t xml:space="preserve"> 4 May 2020.</w:t>
      </w:r>
    </w:p>
  </w:endnote>
  <w:endnote w:id="316">
    <w:p w14:paraId="41349B37" w14:textId="1474CC39" w:rsidR="00F53B39" w:rsidRPr="006F701A" w:rsidRDefault="00F53B39" w:rsidP="006F701A">
      <w:pPr>
        <w:pStyle w:val="EndnoteText"/>
        <w:keepNext/>
        <w:rPr>
          <w:rFonts w:cstheme="minorHAnsi"/>
          <w:szCs w:val="21"/>
        </w:rPr>
      </w:pPr>
      <w:r w:rsidRPr="007A26A6">
        <w:rPr>
          <w:rFonts w:cstheme="minorHAnsi"/>
          <w:szCs w:val="21"/>
        </w:rPr>
        <w:endnoteRef/>
      </w:r>
      <w:r w:rsidRPr="007A26A6">
        <w:rPr>
          <w:rFonts w:cstheme="minorHAnsi"/>
          <w:szCs w:val="21"/>
        </w:rPr>
        <w:tab/>
        <w:t xml:space="preserve">WGEA. (2018). </w:t>
      </w:r>
      <w:hyperlink r:id="rId342" w:history="1">
        <w:r w:rsidRPr="007A26A6">
          <w:rPr>
            <w:rStyle w:val="HyperlinkItalic"/>
            <w:rFonts w:cstheme="minorHAnsi"/>
            <w:szCs w:val="21"/>
          </w:rPr>
          <w:t>Australia’s gender pay gap statistics</w:t>
        </w:r>
      </w:hyperlink>
      <w:r w:rsidRPr="00A054E2">
        <w:rPr>
          <w:rFonts w:cstheme="minorHAnsi"/>
          <w:szCs w:val="21"/>
        </w:rPr>
        <w:t xml:space="preserve"> </w:t>
      </w:r>
      <w:r w:rsidRPr="007A26A6">
        <w:rPr>
          <w:rFonts w:cstheme="minorHAnsi"/>
          <w:szCs w:val="21"/>
        </w:rPr>
        <w:t>(Factsheet series</w:t>
      </w:r>
      <w:r>
        <w:rPr>
          <w:rFonts w:cstheme="minorHAnsi"/>
          <w:szCs w:val="21"/>
        </w:rPr>
        <w:t>, August 2018</w:t>
      </w:r>
      <w:r w:rsidRPr="007A26A6">
        <w:rPr>
          <w:rFonts w:cstheme="minorHAnsi"/>
          <w:szCs w:val="21"/>
        </w:rPr>
        <w:t>)</w:t>
      </w:r>
      <w:r>
        <w:rPr>
          <w:rFonts w:cstheme="minorHAnsi"/>
          <w:szCs w:val="21"/>
        </w:rPr>
        <w:t>.</w:t>
      </w:r>
    </w:p>
  </w:endnote>
  <w:endnote w:id="317">
    <w:p w14:paraId="55209574" w14:textId="5FCB7083"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WGEA. (201</w:t>
      </w:r>
      <w:r>
        <w:rPr>
          <w:rFonts w:cstheme="minorHAnsi"/>
          <w:szCs w:val="21"/>
        </w:rPr>
        <w:t>9</w:t>
      </w:r>
      <w:r w:rsidRPr="007A26A6">
        <w:rPr>
          <w:rFonts w:cstheme="minorHAnsi"/>
          <w:szCs w:val="21"/>
        </w:rPr>
        <w:t xml:space="preserve">). </w:t>
      </w:r>
      <w:hyperlink r:id="rId343" w:history="1">
        <w:r w:rsidRPr="007A26A6">
          <w:rPr>
            <w:rStyle w:val="HyperlinkItalic"/>
            <w:rFonts w:cstheme="minorHAnsi"/>
            <w:szCs w:val="21"/>
          </w:rPr>
          <w:t>Australia’s gender pay gap statistics</w:t>
        </w:r>
      </w:hyperlink>
      <w:r>
        <w:rPr>
          <w:rFonts w:cstheme="minorHAnsi"/>
          <w:szCs w:val="21"/>
        </w:rPr>
        <w:t xml:space="preserve"> (Factsheet series, August 2019). Retrieved 14 February 2020.</w:t>
      </w:r>
    </w:p>
  </w:endnote>
  <w:endnote w:id="318">
    <w:p w14:paraId="5BEE25EE" w14:textId="1AA82836" w:rsidR="00F53B39" w:rsidRPr="007A26A6" w:rsidRDefault="00F53B39" w:rsidP="006F701A">
      <w:pPr>
        <w:pStyle w:val="EndnoteText"/>
        <w:rPr>
          <w:rFonts w:cstheme="minorHAnsi"/>
          <w:lang w:val="en-US"/>
        </w:rPr>
      </w:pPr>
      <w:r w:rsidRPr="007A26A6">
        <w:rPr>
          <w:rFonts w:cstheme="minorHAnsi"/>
          <w:szCs w:val="21"/>
        </w:rPr>
        <w:endnoteRef/>
      </w:r>
      <w:r w:rsidRPr="007A26A6">
        <w:rPr>
          <w:rFonts w:cstheme="minorHAnsi"/>
          <w:szCs w:val="21"/>
        </w:rPr>
        <w:tab/>
      </w:r>
      <w:r w:rsidRPr="007A26A6">
        <w:rPr>
          <w:rFonts w:cstheme="minorHAnsi"/>
        </w:rPr>
        <w:t>WGEA</w:t>
      </w:r>
      <w:r>
        <w:rPr>
          <w:rFonts w:cstheme="minorHAnsi"/>
        </w:rPr>
        <w:t>.</w:t>
      </w:r>
      <w:r w:rsidRPr="007A26A6">
        <w:rPr>
          <w:rFonts w:cstheme="minorHAnsi"/>
        </w:rPr>
        <w:t xml:space="preserve"> (201</w:t>
      </w:r>
      <w:r>
        <w:rPr>
          <w:rFonts w:cstheme="minorHAnsi"/>
        </w:rPr>
        <w:t>8</w:t>
      </w:r>
      <w:r w:rsidRPr="007A26A6">
        <w:rPr>
          <w:rFonts w:cstheme="minorHAnsi"/>
        </w:rPr>
        <w:t xml:space="preserve">). </w:t>
      </w:r>
      <w:hyperlink r:id="rId344" w:history="1">
        <w:r w:rsidRPr="007A26A6">
          <w:rPr>
            <w:rStyle w:val="Hyperlink"/>
            <w:rFonts w:cstheme="minorHAnsi"/>
          </w:rPr>
          <w:t>The gender pay gap</w:t>
        </w:r>
      </w:hyperlink>
      <w:r w:rsidRPr="007A26A6">
        <w:rPr>
          <w:rFonts w:cstheme="minorHAnsi"/>
        </w:rPr>
        <w:t xml:space="preserve">. </w:t>
      </w:r>
      <w:r>
        <w:rPr>
          <w:rFonts w:cstheme="minorHAnsi"/>
        </w:rPr>
        <w:t xml:space="preserve">Retrieved </w:t>
      </w:r>
      <w:r w:rsidRPr="007A26A6">
        <w:rPr>
          <w:rFonts w:cstheme="minorHAnsi"/>
        </w:rPr>
        <w:t>29 October 2018.</w:t>
      </w:r>
    </w:p>
  </w:endnote>
  <w:endnote w:id="319">
    <w:p w14:paraId="2B992AF0" w14:textId="401B5232"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WGEA</w:t>
      </w:r>
      <w:r>
        <w:rPr>
          <w:rFonts w:cstheme="minorHAnsi"/>
          <w:szCs w:val="21"/>
        </w:rPr>
        <w:t>. (2018).</w:t>
      </w:r>
      <w:r w:rsidRPr="007A26A6">
        <w:rPr>
          <w:rFonts w:cstheme="minorHAnsi"/>
          <w:szCs w:val="21"/>
        </w:rPr>
        <w:t xml:space="preserve"> </w:t>
      </w:r>
      <w:hyperlink r:id="rId345" w:history="1">
        <w:r w:rsidRPr="007A26A6">
          <w:rPr>
            <w:rStyle w:val="Hyperlink"/>
            <w:rFonts w:cstheme="minorHAnsi"/>
            <w:szCs w:val="21"/>
          </w:rPr>
          <w:t>The gender pay gap</w:t>
        </w:r>
      </w:hyperlink>
      <w:r w:rsidRPr="007A26A6">
        <w:rPr>
          <w:rFonts w:cstheme="minorHAnsi"/>
          <w:szCs w:val="21"/>
        </w:rPr>
        <w:t>.</w:t>
      </w:r>
    </w:p>
  </w:endnote>
  <w:endnote w:id="320">
    <w:p w14:paraId="69CE0BF6" w14:textId="732D12F1"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WGEA. (2018). </w:t>
      </w:r>
      <w:hyperlink r:id="rId346" w:history="1">
        <w:r w:rsidRPr="007A26A6">
          <w:rPr>
            <w:rStyle w:val="HyperlinkItalic"/>
            <w:rFonts w:cstheme="minorHAnsi"/>
            <w:szCs w:val="21"/>
          </w:rPr>
          <w:t>Australia’s gender pay gap statistics</w:t>
        </w:r>
      </w:hyperlink>
      <w:r>
        <w:rPr>
          <w:rFonts w:cstheme="minorHAnsi"/>
          <w:szCs w:val="21"/>
        </w:rPr>
        <w:t xml:space="preserve"> (Factsheet series, August 2019).</w:t>
      </w:r>
    </w:p>
  </w:endnote>
  <w:endnote w:id="321">
    <w:p w14:paraId="5C32EA92" w14:textId="233C8C08"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KPMG. (2019). </w:t>
      </w:r>
      <w:hyperlink r:id="rId347" w:history="1">
        <w:r w:rsidRPr="007A26A6">
          <w:rPr>
            <w:rStyle w:val="HyperlinkItalic"/>
            <w:rFonts w:cstheme="minorHAnsi"/>
            <w:szCs w:val="21"/>
          </w:rPr>
          <w:t>She’s Price(d)less: The economics of the gender pay gap</w:t>
        </w:r>
      </w:hyperlink>
      <w:r w:rsidRPr="007A26A6">
        <w:rPr>
          <w:rFonts w:cstheme="minorHAnsi"/>
          <w:szCs w:val="21"/>
        </w:rPr>
        <w:t>. KPMG with the Diversity Council of Australia and the Workplace Gender Equality Agency.</w:t>
      </w:r>
    </w:p>
  </w:endnote>
  <w:endnote w:id="322">
    <w:p w14:paraId="3A4163BF" w14:textId="64D4D8B5"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r>
      <w:bookmarkStart w:id="79" w:name="_Hlk47969475"/>
      <w:r w:rsidRPr="007A26A6">
        <w:rPr>
          <w:rFonts w:cstheme="minorHAnsi"/>
          <w:szCs w:val="21"/>
        </w:rPr>
        <w:t xml:space="preserve">KPMG. (2019). </w:t>
      </w:r>
      <w:hyperlink r:id="rId348" w:history="1">
        <w:r w:rsidRPr="007A26A6">
          <w:rPr>
            <w:rStyle w:val="HyperlinkItalic"/>
            <w:rFonts w:cstheme="minorHAnsi"/>
            <w:szCs w:val="21"/>
          </w:rPr>
          <w:t>She’s Price(d)less: The economics of the gender pay gap</w:t>
        </w:r>
      </w:hyperlink>
      <w:r w:rsidRPr="007A26A6">
        <w:rPr>
          <w:rFonts w:cstheme="minorHAnsi"/>
          <w:szCs w:val="21"/>
        </w:rPr>
        <w:t>. p. 25.</w:t>
      </w:r>
      <w:bookmarkEnd w:id="79"/>
    </w:p>
  </w:endnote>
  <w:endnote w:id="323">
    <w:p w14:paraId="209A8C0E" w14:textId="548A94BC"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KPMG. (2019). </w:t>
      </w:r>
      <w:hyperlink r:id="rId349" w:history="1">
        <w:r w:rsidRPr="007A26A6">
          <w:rPr>
            <w:rStyle w:val="HyperlinkItalic"/>
            <w:rFonts w:cstheme="minorHAnsi"/>
            <w:szCs w:val="21"/>
          </w:rPr>
          <w:t>She’s Price(d)less: The economics of the gender pay gap</w:t>
        </w:r>
      </w:hyperlink>
      <w:r w:rsidRPr="007A26A6">
        <w:rPr>
          <w:rFonts w:cstheme="minorHAnsi"/>
          <w:szCs w:val="21"/>
        </w:rPr>
        <w:t>. p. 24.</w:t>
      </w:r>
    </w:p>
  </w:endnote>
  <w:endnote w:id="324">
    <w:p w14:paraId="403F4E70" w14:textId="6378C93C"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KPMG. (2019). </w:t>
      </w:r>
      <w:hyperlink r:id="rId350" w:history="1">
        <w:r w:rsidRPr="007A26A6">
          <w:rPr>
            <w:rStyle w:val="HyperlinkItalic"/>
            <w:rFonts w:cstheme="minorHAnsi"/>
            <w:szCs w:val="21"/>
          </w:rPr>
          <w:t>She’s Price(d)less: The economics of the gender pay gap</w:t>
        </w:r>
      </w:hyperlink>
      <w:r w:rsidRPr="007A26A6">
        <w:rPr>
          <w:rFonts w:cstheme="minorHAnsi"/>
          <w:szCs w:val="21"/>
        </w:rPr>
        <w:t>. p. 24.</w:t>
      </w:r>
    </w:p>
  </w:endnote>
  <w:endnote w:id="325">
    <w:p w14:paraId="1A3DB070" w14:textId="2BCCF3F1"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(2009). </w:t>
      </w:r>
      <w:hyperlink r:id="rId351" w:history="1">
        <w:r w:rsidRPr="007A26A6">
          <w:rPr>
            <w:rStyle w:val="HyperlinkItalic"/>
            <w:rFonts w:cstheme="minorHAnsi"/>
            <w:szCs w:val="21"/>
          </w:rPr>
          <w:t>Employment Arrangements, Retirement and Superannuation, Australia, April to July 2007, Reissue</w:t>
        </w:r>
      </w:hyperlink>
      <w:r w:rsidRPr="007A26A6">
        <w:rPr>
          <w:rFonts w:cstheme="minorHAnsi"/>
          <w:szCs w:val="21"/>
        </w:rPr>
        <w:t xml:space="preserve"> (cat. no. 6361.0).</w:t>
      </w:r>
    </w:p>
  </w:endnote>
  <w:endnote w:id="326">
    <w:p w14:paraId="053D13DC" w14:textId="70B722AA"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Industry Super Australia. (2016). </w:t>
      </w:r>
      <w:hyperlink r:id="rId352" w:history="1">
        <w:r w:rsidRPr="007A26A6">
          <w:rPr>
            <w:rStyle w:val="HyperlinkItalic"/>
            <w:rFonts w:cstheme="minorHAnsi"/>
            <w:szCs w:val="21"/>
          </w:rPr>
          <w:t>Missing the mark: An analysis of ATO taxation statistics superannuation data 2013–14</w:t>
        </w:r>
      </w:hyperlink>
      <w:r w:rsidRPr="007A26A6">
        <w:rPr>
          <w:rFonts w:cstheme="minorHAnsi"/>
          <w:szCs w:val="21"/>
        </w:rPr>
        <w:t xml:space="preserve"> (Research note).</w:t>
      </w:r>
      <w:r>
        <w:rPr>
          <w:rFonts w:cstheme="minorHAnsi"/>
          <w:szCs w:val="21"/>
        </w:rPr>
        <w:t xml:space="preserve"> </w:t>
      </w:r>
      <w:r w:rsidRPr="00705026">
        <w:rPr>
          <w:rFonts w:cstheme="minorHAnsi"/>
          <w:szCs w:val="21"/>
        </w:rPr>
        <w:t>Retrieved October 201</w:t>
      </w:r>
      <w:r>
        <w:rPr>
          <w:rFonts w:cstheme="minorHAnsi"/>
          <w:szCs w:val="21"/>
        </w:rPr>
        <w:t>9.</w:t>
      </w:r>
    </w:p>
  </w:endnote>
  <w:endnote w:id="327">
    <w:p w14:paraId="50D8C946" w14:textId="3CB9C3DA"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(2009). </w:t>
      </w:r>
      <w:hyperlink r:id="rId353" w:history="1">
        <w:r w:rsidRPr="007A26A6">
          <w:rPr>
            <w:rStyle w:val="HyperlinkItalic"/>
            <w:rFonts w:cstheme="minorHAnsi"/>
            <w:szCs w:val="21"/>
          </w:rPr>
          <w:t>Employment Arrangements, Retirement and Superannuation, Australia, April to July 2007, Reissue</w:t>
        </w:r>
      </w:hyperlink>
      <w:r w:rsidRPr="007A26A6">
        <w:rPr>
          <w:rFonts w:cstheme="minorHAnsi"/>
          <w:szCs w:val="21"/>
        </w:rPr>
        <w:t>.</w:t>
      </w:r>
    </w:p>
  </w:endnote>
  <w:endnote w:id="328">
    <w:p w14:paraId="6A5BC979" w14:textId="17405790"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Clare, R. (2017). </w:t>
      </w:r>
      <w:r w:rsidRPr="007A26A6">
        <w:rPr>
          <w:rStyle w:val="Emphasis"/>
          <w:rFonts w:cstheme="minorHAnsi"/>
          <w:szCs w:val="21"/>
        </w:rPr>
        <w:t>Superannuation account balances by age and gender</w:t>
      </w:r>
      <w:r w:rsidRPr="007A26A6">
        <w:rPr>
          <w:rFonts w:cstheme="minorHAnsi"/>
          <w:szCs w:val="21"/>
        </w:rPr>
        <w:t>. Sydney, Australia: Association of Super Funds Australia Research and Resource Centre. p. 6.</w:t>
      </w:r>
    </w:p>
  </w:endnote>
  <w:endnote w:id="329">
    <w:p w14:paraId="25D7174E" w14:textId="3D9B51D8"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Industry Super Australia. (2015). </w:t>
      </w:r>
      <w:hyperlink r:id="rId354" w:history="1">
        <w:r w:rsidRPr="007A26A6">
          <w:rPr>
            <w:rStyle w:val="HyperlinkItalic"/>
            <w:rFonts w:cstheme="minorHAnsi"/>
            <w:szCs w:val="21"/>
          </w:rPr>
          <w:t>Submission: Inquiry into economic security for women in Australia</w:t>
        </w:r>
      </w:hyperlink>
      <w:r w:rsidRPr="007A26A6">
        <w:rPr>
          <w:rFonts w:cstheme="minorHAnsi"/>
          <w:szCs w:val="21"/>
        </w:rPr>
        <w:t>, Industry Super Fund. p. 4.</w:t>
      </w:r>
    </w:p>
  </w:endnote>
  <w:endnote w:id="330">
    <w:p w14:paraId="2FB9E3CF" w14:textId="0A9FA889"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(2018). </w:t>
      </w:r>
      <w:r w:rsidRPr="007A26A6">
        <w:rPr>
          <w:rStyle w:val="Emphasis"/>
          <w:rFonts w:cstheme="minorHAnsi"/>
          <w:szCs w:val="21"/>
        </w:rPr>
        <w:t>Household Income and Wealth 2017–18</w:t>
      </w:r>
      <w:r w:rsidRPr="007A26A6">
        <w:rPr>
          <w:rFonts w:cstheme="minorHAnsi"/>
          <w:szCs w:val="21"/>
        </w:rPr>
        <w:t xml:space="preserve"> (cat. no. 6523.0). Presented in the Australian Bureau of Statistics. (2019). </w:t>
      </w:r>
      <w:hyperlink r:id="rId355" w:history="1">
        <w:r w:rsidRPr="007A26A6">
          <w:rPr>
            <w:rStyle w:val="HyperlinkItalic"/>
            <w:rFonts w:cstheme="minorHAnsi"/>
            <w:szCs w:val="21"/>
          </w:rPr>
          <w:t>Gender Indicators, Australia, Nov 2019</w:t>
        </w:r>
      </w:hyperlink>
      <w:r w:rsidRPr="007A26A6">
        <w:rPr>
          <w:rStyle w:val="Emphasis"/>
          <w:rFonts w:cstheme="minorHAnsi"/>
          <w:szCs w:val="21"/>
        </w:rPr>
        <w:t xml:space="preserve"> </w:t>
      </w:r>
      <w:r w:rsidRPr="007A26A6">
        <w:rPr>
          <w:rFonts w:cstheme="minorHAnsi"/>
          <w:szCs w:val="21"/>
        </w:rPr>
        <w:t>(cat. no. 4125.0).</w:t>
      </w:r>
    </w:p>
  </w:endnote>
  <w:endnote w:id="331">
    <w:p w14:paraId="2B07AC17" w14:textId="2A1133D0" w:rsidR="00F53B39" w:rsidRPr="007A26A6" w:rsidRDefault="00F53B39">
      <w:pPr>
        <w:pStyle w:val="EndnoteText"/>
        <w:rPr>
          <w:rFonts w:cstheme="minorHAnsi"/>
          <w:szCs w:val="21"/>
        </w:rPr>
      </w:pPr>
      <w:r w:rsidRPr="007A26A6">
        <w:rPr>
          <w:rFonts w:cstheme="minorHAnsi"/>
          <w:szCs w:val="21"/>
        </w:rPr>
        <w:endnoteRef/>
      </w:r>
      <w:r w:rsidRPr="007A26A6">
        <w:rPr>
          <w:rFonts w:cstheme="minorHAnsi"/>
          <w:szCs w:val="21"/>
        </w:rPr>
        <w:tab/>
        <w:t xml:space="preserve">Industry Super Australia. (2016). </w:t>
      </w:r>
      <w:hyperlink r:id="rId356" w:history="1">
        <w:r w:rsidRPr="007A26A6">
          <w:rPr>
            <w:rStyle w:val="HyperlinkItalic"/>
            <w:rFonts w:cstheme="minorHAnsi"/>
            <w:szCs w:val="21"/>
          </w:rPr>
          <w:t>Missing the mark: An analysis of ATO taxation statistics superannuation data 2013–14</w:t>
        </w:r>
      </w:hyperlink>
      <w:r w:rsidRPr="007A26A6">
        <w:rPr>
          <w:rFonts w:cstheme="minorHAnsi"/>
          <w:szCs w:val="21"/>
        </w:rPr>
        <w:t>.</w:t>
      </w:r>
    </w:p>
  </w:endnote>
  <w:endnote w:id="332">
    <w:p w14:paraId="4796A8E4" w14:textId="70FD7432"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Industry Super Australia. (2015). </w:t>
      </w:r>
      <w:hyperlink r:id="rId357" w:history="1">
        <w:r w:rsidRPr="007A26A6">
          <w:rPr>
            <w:rStyle w:val="HyperlinkItalic"/>
            <w:rFonts w:cstheme="minorHAnsi"/>
            <w:szCs w:val="21"/>
          </w:rPr>
          <w:t>Submission: Inquiry into economic security for women in Australia</w:t>
        </w:r>
      </w:hyperlink>
      <w:r w:rsidRPr="007A26A6">
        <w:rPr>
          <w:rFonts w:cstheme="minorHAnsi"/>
          <w:szCs w:val="21"/>
        </w:rPr>
        <w:t>. p. 5.</w:t>
      </w:r>
    </w:p>
  </w:endnote>
  <w:endnote w:id="333">
    <w:p w14:paraId="68E3AF46" w14:textId="465FA6DD"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Industry Super Australia. (2018). </w:t>
      </w:r>
      <w:hyperlink r:id="rId358" w:history="1">
        <w:r w:rsidRPr="007A26A6">
          <w:rPr>
            <w:rStyle w:val="HyperlinkItalic"/>
            <w:rFonts w:cstheme="minorHAnsi"/>
            <w:szCs w:val="21"/>
          </w:rPr>
          <w:t>Closing the superannuation gender gap</w:t>
        </w:r>
      </w:hyperlink>
      <w:r w:rsidRPr="007A26A6">
        <w:rPr>
          <w:rFonts w:cstheme="minorHAnsi"/>
          <w:szCs w:val="21"/>
        </w:rPr>
        <w:t>.</w:t>
      </w:r>
    </w:p>
  </w:endnote>
  <w:endnote w:id="334">
    <w:p w14:paraId="504CE1D9" w14:textId="5E913A22"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(2018). </w:t>
      </w:r>
      <w:hyperlink r:id="rId359" w:history="1">
        <w:r w:rsidRPr="007A26A6">
          <w:rPr>
            <w:rStyle w:val="HyperlinkItalic"/>
            <w:rFonts w:cstheme="minorHAnsi"/>
            <w:szCs w:val="21"/>
          </w:rPr>
          <w:t>Household Income and Wealth 2017–18</w:t>
        </w:r>
      </w:hyperlink>
      <w:r w:rsidRPr="007A26A6">
        <w:rPr>
          <w:rFonts w:cstheme="minorHAnsi"/>
          <w:szCs w:val="21"/>
        </w:rPr>
        <w:t>.</w:t>
      </w:r>
    </w:p>
  </w:endnote>
  <w:endnote w:id="335">
    <w:p w14:paraId="4BD09387" w14:textId="04701FFE"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(2018). </w:t>
      </w:r>
      <w:hyperlink r:id="rId360" w:history="1">
        <w:r w:rsidRPr="007A26A6">
          <w:rPr>
            <w:rStyle w:val="HyperlinkItalic"/>
            <w:rFonts w:cstheme="minorHAnsi"/>
            <w:szCs w:val="21"/>
          </w:rPr>
          <w:t>Household Income and Wealth 2017–18</w:t>
        </w:r>
      </w:hyperlink>
      <w:r w:rsidRPr="007A26A6">
        <w:rPr>
          <w:rFonts w:cstheme="minorHAnsi"/>
          <w:szCs w:val="21"/>
        </w:rPr>
        <w:t>.</w:t>
      </w:r>
    </w:p>
  </w:endnote>
  <w:endnote w:id="336">
    <w:p w14:paraId="35BAD104" w14:textId="5C880D7E"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Organisation for Economic Cooperation and Development. (2017). </w:t>
      </w:r>
      <w:hyperlink r:id="rId361" w:history="1">
        <w:r w:rsidRPr="007A26A6">
          <w:rPr>
            <w:rStyle w:val="Hyperlink"/>
            <w:rFonts w:cstheme="minorHAnsi"/>
            <w:szCs w:val="21"/>
          </w:rPr>
          <w:t>Safety</w:t>
        </w:r>
      </w:hyperlink>
      <w:r w:rsidRPr="007A26A6">
        <w:rPr>
          <w:rFonts w:cstheme="minorHAnsi"/>
          <w:szCs w:val="21"/>
        </w:rPr>
        <w:t>. Better Life Development Index.</w:t>
      </w:r>
    </w:p>
  </w:endnote>
  <w:endnote w:id="337">
    <w:p w14:paraId="582E57D0" w14:textId="6A7A79C8"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Plan International and Monash University. (2018). </w:t>
      </w:r>
      <w:hyperlink r:id="rId362" w:history="1">
        <w:r w:rsidRPr="007A26A6">
          <w:rPr>
            <w:rStyle w:val="HyperlinkItalic"/>
            <w:rFonts w:cstheme="minorHAnsi"/>
            <w:szCs w:val="21"/>
          </w:rPr>
          <w:t>Free to be</w:t>
        </w:r>
      </w:hyperlink>
      <w:r w:rsidRPr="007A26A6">
        <w:rPr>
          <w:rFonts w:cstheme="minorHAnsi"/>
          <w:szCs w:val="21"/>
        </w:rPr>
        <w:t>.</w:t>
      </w:r>
    </w:p>
  </w:endnote>
  <w:endnote w:id="338">
    <w:p w14:paraId="6E5025AF" w14:textId="779ED3C8"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Organisation for Economic Cooperation and Development. (2017). </w:t>
      </w:r>
      <w:hyperlink r:id="rId363" w:history="1">
        <w:r w:rsidRPr="007A26A6">
          <w:rPr>
            <w:rStyle w:val="Hyperlink"/>
            <w:rFonts w:cstheme="minorHAnsi"/>
            <w:szCs w:val="21"/>
          </w:rPr>
          <w:t>Safety</w:t>
        </w:r>
      </w:hyperlink>
      <w:r w:rsidRPr="007A26A6">
        <w:rPr>
          <w:rFonts w:cstheme="minorHAnsi"/>
          <w:szCs w:val="21"/>
        </w:rPr>
        <w:t>.</w:t>
      </w:r>
    </w:p>
  </w:endnote>
  <w:endnote w:id="339">
    <w:p w14:paraId="6472CC7E" w14:textId="232F8F9A"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Community Council for Australia. (2019). </w:t>
      </w:r>
      <w:hyperlink r:id="rId364" w:history="1">
        <w:r w:rsidRPr="007A26A6">
          <w:rPr>
            <w:rStyle w:val="HyperlinkItalic"/>
            <w:rFonts w:cstheme="minorHAnsi"/>
            <w:szCs w:val="21"/>
          </w:rPr>
          <w:t>The Australia we want: Second report</w:t>
        </w:r>
      </w:hyperlink>
      <w:r w:rsidRPr="007A26A6">
        <w:rPr>
          <w:rFonts w:cstheme="minorHAnsi"/>
          <w:szCs w:val="21"/>
          <w:lang w:val="en-US"/>
        </w:rPr>
        <w:t>.</w:t>
      </w:r>
    </w:p>
  </w:endnote>
  <w:endnote w:id="340">
    <w:p w14:paraId="187FD08D" w14:textId="72A4C8CE"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Community Council for Australia. (2019). </w:t>
      </w:r>
      <w:hyperlink r:id="rId365" w:history="1">
        <w:r w:rsidRPr="007A26A6">
          <w:rPr>
            <w:rStyle w:val="HyperlinkItalic"/>
            <w:rFonts w:cstheme="minorHAnsi"/>
            <w:szCs w:val="21"/>
          </w:rPr>
          <w:t>The Australia we want: Second report</w:t>
        </w:r>
      </w:hyperlink>
      <w:r w:rsidRPr="007A26A6">
        <w:rPr>
          <w:rFonts w:cstheme="minorHAnsi"/>
          <w:szCs w:val="21"/>
        </w:rPr>
        <w:t>.</w:t>
      </w:r>
    </w:p>
  </w:endnote>
  <w:endnote w:id="341">
    <w:p w14:paraId="3D7BA698" w14:textId="36B87A14"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Plan International and Monash University. (2018). </w:t>
      </w:r>
      <w:hyperlink r:id="rId366" w:history="1">
        <w:r w:rsidRPr="007A26A6">
          <w:rPr>
            <w:rStyle w:val="HyperlinkItalic"/>
            <w:rFonts w:cstheme="minorHAnsi"/>
            <w:szCs w:val="21"/>
          </w:rPr>
          <w:t>Free to be</w:t>
        </w:r>
      </w:hyperlink>
      <w:r w:rsidRPr="007A26A6">
        <w:rPr>
          <w:rFonts w:cstheme="minorHAnsi"/>
          <w:szCs w:val="21"/>
        </w:rPr>
        <w:t>.</w:t>
      </w:r>
    </w:p>
  </w:endnote>
  <w:endnote w:id="342">
    <w:p w14:paraId="3FD7A718" w14:textId="5E3012D4"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Plan International and Monash University. (2018). </w:t>
      </w:r>
      <w:hyperlink r:id="rId367" w:history="1">
        <w:r w:rsidRPr="007A26A6">
          <w:rPr>
            <w:rStyle w:val="HyperlinkItalic"/>
            <w:rFonts w:cstheme="minorHAnsi"/>
            <w:szCs w:val="21"/>
          </w:rPr>
          <w:t>Free to be</w:t>
        </w:r>
      </w:hyperlink>
      <w:r w:rsidRPr="007A26A6">
        <w:rPr>
          <w:rFonts w:cstheme="minorHAnsi"/>
          <w:szCs w:val="21"/>
        </w:rPr>
        <w:t>.</w:t>
      </w:r>
    </w:p>
  </w:endnote>
  <w:endnote w:id="343">
    <w:p w14:paraId="6F4CBAA2" w14:textId="754F2661"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Plan International and Monash University. (2018). </w:t>
      </w:r>
      <w:hyperlink r:id="rId368" w:history="1">
        <w:r w:rsidRPr="007A26A6">
          <w:rPr>
            <w:rStyle w:val="HyperlinkItalic"/>
            <w:rFonts w:cstheme="minorHAnsi"/>
            <w:szCs w:val="21"/>
          </w:rPr>
          <w:t>Free to be</w:t>
        </w:r>
      </w:hyperlink>
      <w:r w:rsidRPr="007A26A6">
        <w:rPr>
          <w:rFonts w:cstheme="minorHAnsi"/>
          <w:szCs w:val="21"/>
        </w:rPr>
        <w:t>.</w:t>
      </w:r>
    </w:p>
  </w:endnote>
  <w:endnote w:id="344">
    <w:p w14:paraId="35021F5C" w14:textId="78804F7F"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369"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73.</w:t>
      </w:r>
    </w:p>
  </w:endnote>
  <w:endnote w:id="345">
    <w:p w14:paraId="44532B87" w14:textId="6D76A981"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370"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66.</w:t>
      </w:r>
    </w:p>
  </w:endnote>
  <w:endnote w:id="346">
    <w:p w14:paraId="7ABD7625" w14:textId="7C51A921"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371"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66.</w:t>
      </w:r>
    </w:p>
  </w:endnote>
  <w:endnote w:id="347">
    <w:p w14:paraId="63E60DD3" w14:textId="63D24D26"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372"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66.</w:t>
      </w:r>
    </w:p>
  </w:endnote>
  <w:endnote w:id="348">
    <w:p w14:paraId="6772D80A" w14:textId="15E695E1"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373"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66.</w:t>
      </w:r>
    </w:p>
  </w:endnote>
  <w:endnote w:id="349">
    <w:p w14:paraId="064310CE" w14:textId="4A10A1DE"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Flood, M. (2007). </w:t>
      </w:r>
      <w:hyperlink r:id="rId374" w:history="1">
        <w:r w:rsidRPr="007A26A6">
          <w:rPr>
            <w:rStyle w:val="HyperlinkItalic"/>
            <w:rFonts w:cstheme="minorHAnsi"/>
            <w:szCs w:val="21"/>
          </w:rPr>
          <w:t>Background document for Preventing violence before it occurs: A framework and background paper to guide the primary prevention of violence against women in Australia</w:t>
        </w:r>
      </w:hyperlink>
      <w:r w:rsidRPr="007A26A6">
        <w:rPr>
          <w:rFonts w:cstheme="minorHAnsi"/>
          <w:szCs w:val="21"/>
        </w:rPr>
        <w:t>.</w:t>
      </w:r>
    </w:p>
  </w:endnote>
  <w:endnote w:id="350">
    <w:p w14:paraId="34399423" w14:textId="7B1EA646"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Our Watch. (2019). </w:t>
      </w:r>
      <w:hyperlink r:id="rId375" w:history="1">
        <w:r w:rsidRPr="007A26A6">
          <w:rPr>
            <w:rStyle w:val="HyperlinkItalic"/>
            <w:rFonts w:cstheme="minorHAnsi"/>
            <w:szCs w:val="21"/>
          </w:rPr>
          <w:t>Men in focus: Unpacking masculinities and engaging men in the prevention of violence against women</w:t>
        </w:r>
      </w:hyperlink>
      <w:r w:rsidRPr="007A26A6">
        <w:rPr>
          <w:rFonts w:cstheme="minorHAnsi"/>
          <w:szCs w:val="21"/>
        </w:rPr>
        <w:t>.</w:t>
      </w:r>
    </w:p>
  </w:endnote>
  <w:endnote w:id="351">
    <w:p w14:paraId="6F2899F4" w14:textId="77777777" w:rsidR="00F53B39" w:rsidRPr="007A26A6" w:rsidRDefault="00F53B39" w:rsidP="00B73C43">
      <w:pPr>
        <w:pStyle w:val="EndnoteText"/>
        <w:rPr>
          <w:rFonts w:cstheme="minorHAnsi"/>
          <w:szCs w:val="21"/>
        </w:rPr>
      </w:pPr>
      <w:r w:rsidRPr="007A26A6">
        <w:rPr>
          <w:rFonts w:cstheme="minorHAnsi"/>
          <w:szCs w:val="21"/>
        </w:rPr>
        <w:endnoteRef/>
      </w:r>
      <w:r w:rsidRPr="007A26A6">
        <w:rPr>
          <w:rFonts w:cstheme="minorHAnsi"/>
          <w:szCs w:val="21"/>
        </w:rPr>
        <w:tab/>
        <w:t xml:space="preserve">Amin, A., Kagesten, A., Adebayo, E., &amp; Chandra-Mouli, V. (2018). Addressing gender socialization and masculinity norms among adolescent boys: Policy and programmatic implications. </w:t>
      </w:r>
      <w:r w:rsidRPr="007A26A6">
        <w:rPr>
          <w:rStyle w:val="Emphasis"/>
          <w:rFonts w:cstheme="minorHAnsi"/>
          <w:szCs w:val="21"/>
        </w:rPr>
        <w:t>Journal of Adolescent Health</w:t>
      </w:r>
      <w:r w:rsidRPr="007A26A6">
        <w:rPr>
          <w:rFonts w:cstheme="minorHAnsi"/>
          <w:szCs w:val="21"/>
        </w:rPr>
        <w:t xml:space="preserve">, </w:t>
      </w:r>
      <w:r w:rsidRPr="007A26A6">
        <w:rPr>
          <w:rStyle w:val="Emphasis"/>
          <w:rFonts w:cstheme="minorHAnsi"/>
          <w:szCs w:val="21"/>
        </w:rPr>
        <w:t>62</w:t>
      </w:r>
      <w:r w:rsidRPr="007A26A6">
        <w:rPr>
          <w:rFonts w:cstheme="minorHAnsi"/>
          <w:szCs w:val="21"/>
        </w:rPr>
        <w:t>, 3–5.</w:t>
      </w:r>
    </w:p>
    <w:p w14:paraId="542087FE" w14:textId="03A71510" w:rsidR="00F53B39" w:rsidRPr="007A26A6" w:rsidRDefault="00F53B39" w:rsidP="00B73C43">
      <w:pPr>
        <w:pStyle w:val="OWEndnotetextindent"/>
        <w:rPr>
          <w:rFonts w:cstheme="minorHAnsi"/>
        </w:rPr>
      </w:pPr>
      <w:r w:rsidRPr="007A26A6">
        <w:rPr>
          <w:rFonts w:cstheme="minorHAnsi"/>
        </w:rPr>
        <w:t xml:space="preserve">Dahl, J., Vescio, T., &amp; Weaver, K. (2015). How threats to masculinity sequentially cause public discomfort, anger, and ideological dominance over women. </w:t>
      </w:r>
      <w:r w:rsidRPr="007A26A6">
        <w:rPr>
          <w:rStyle w:val="Emphasis"/>
          <w:rFonts w:cstheme="minorHAnsi"/>
        </w:rPr>
        <w:t>Social Psychology</w:t>
      </w:r>
      <w:r w:rsidRPr="007A26A6">
        <w:rPr>
          <w:rFonts w:cstheme="minorHAnsi"/>
        </w:rPr>
        <w:t xml:space="preserve">, </w:t>
      </w:r>
      <w:r w:rsidRPr="007A26A6">
        <w:rPr>
          <w:rStyle w:val="Emphasis"/>
          <w:rFonts w:cstheme="minorHAnsi"/>
        </w:rPr>
        <w:t>46</w:t>
      </w:r>
      <w:r w:rsidRPr="007A26A6">
        <w:rPr>
          <w:rFonts w:cstheme="minorHAnsi"/>
        </w:rPr>
        <w:t>(4), 243.</w:t>
      </w:r>
    </w:p>
  </w:endnote>
  <w:endnote w:id="352">
    <w:p w14:paraId="215D5B29" w14:textId="6BEE4BBB"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Morton, C.R., &amp; Elias, T. (2018). Next steps in campaign strategies to reduce teen dating violence: Examining media campaigns through the lens of ‘Boy Culture’. </w:t>
      </w:r>
      <w:r w:rsidRPr="007A26A6">
        <w:rPr>
          <w:rStyle w:val="Emphasis"/>
          <w:rFonts w:cstheme="minorHAnsi"/>
          <w:szCs w:val="21"/>
        </w:rPr>
        <w:t>Cogent Social Sciences</w:t>
      </w:r>
      <w:r w:rsidRPr="007A26A6">
        <w:rPr>
          <w:rFonts w:cstheme="minorHAnsi"/>
          <w:szCs w:val="21"/>
        </w:rPr>
        <w:t>.</w:t>
      </w:r>
    </w:p>
  </w:endnote>
  <w:endnote w:id="353">
    <w:p w14:paraId="246E9C08" w14:textId="19D1833F" w:rsidR="00F53B39" w:rsidRPr="007A26A6" w:rsidRDefault="00F53B39" w:rsidP="00B73C43">
      <w:pPr>
        <w:pStyle w:val="EndnoteText"/>
        <w:rPr>
          <w:rFonts w:cstheme="minorHAnsi"/>
          <w:szCs w:val="21"/>
        </w:rPr>
      </w:pPr>
      <w:r w:rsidRPr="007A26A6">
        <w:rPr>
          <w:rFonts w:cstheme="minorHAnsi"/>
          <w:szCs w:val="21"/>
        </w:rPr>
        <w:endnoteRef/>
      </w:r>
      <w:r w:rsidRPr="007A26A6">
        <w:rPr>
          <w:rFonts w:cstheme="minorHAnsi"/>
          <w:szCs w:val="21"/>
        </w:rPr>
        <w:tab/>
        <w:t>Dahl, J. et al. (2015). How threats to masculinity sequentially cause public discomfort, anger, and ideological dominance over women. p. 243.</w:t>
      </w:r>
    </w:p>
    <w:p w14:paraId="2423AB61" w14:textId="61DDC975" w:rsidR="00F53B39" w:rsidRPr="007A26A6" w:rsidRDefault="00F53B39" w:rsidP="00B73C43">
      <w:pPr>
        <w:pStyle w:val="OWEndnotetextindent"/>
        <w:rPr>
          <w:rFonts w:cstheme="minorHAnsi"/>
        </w:rPr>
      </w:pPr>
      <w:r w:rsidRPr="007A26A6">
        <w:rPr>
          <w:rFonts w:cstheme="minorHAnsi"/>
        </w:rPr>
        <w:t xml:space="preserve">Our Watch. (2019). </w:t>
      </w:r>
      <w:hyperlink r:id="rId376" w:history="1">
        <w:r w:rsidRPr="007A26A6">
          <w:rPr>
            <w:rStyle w:val="HyperlinkItalic"/>
            <w:rFonts w:cstheme="minorHAnsi"/>
          </w:rPr>
          <w:t>Men in focus: Unpacking masculinities and engaging men in the prevention of violence against women</w:t>
        </w:r>
      </w:hyperlink>
      <w:r w:rsidRPr="007A26A6">
        <w:rPr>
          <w:rFonts w:cstheme="minorHAnsi"/>
        </w:rPr>
        <w:t>.</w:t>
      </w:r>
    </w:p>
  </w:endnote>
  <w:endnote w:id="354">
    <w:p w14:paraId="39C1AE4A" w14:textId="3A9E80A7"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Vyas, S., &amp; Watts, C. (2009). How does economic empowerment affect women’s risk of intimate partner violence in low and middle income countries? A </w:t>
      </w:r>
      <w:r>
        <w:rPr>
          <w:rFonts w:cstheme="minorHAnsi"/>
          <w:szCs w:val="21"/>
        </w:rPr>
        <w:t xml:space="preserve">existing </w:t>
      </w:r>
      <w:r w:rsidRPr="007A26A6">
        <w:rPr>
          <w:rFonts w:cstheme="minorHAnsi"/>
          <w:szCs w:val="21"/>
        </w:rPr>
        <w:t xml:space="preserve">of published evidence. </w:t>
      </w:r>
      <w:r w:rsidRPr="007A26A6">
        <w:rPr>
          <w:rStyle w:val="Emphasis"/>
          <w:rFonts w:cstheme="minorHAnsi"/>
          <w:szCs w:val="21"/>
        </w:rPr>
        <w:t>Journal of International Development</w:t>
      </w:r>
      <w:r w:rsidRPr="007A26A6">
        <w:rPr>
          <w:rFonts w:cstheme="minorHAnsi"/>
          <w:szCs w:val="21"/>
        </w:rPr>
        <w:t xml:space="preserve">, </w:t>
      </w:r>
      <w:r w:rsidRPr="007A26A6">
        <w:rPr>
          <w:rStyle w:val="Emphasis"/>
          <w:rFonts w:cstheme="minorHAnsi"/>
          <w:szCs w:val="21"/>
        </w:rPr>
        <w:t>21</w:t>
      </w:r>
      <w:r w:rsidRPr="007A26A6">
        <w:rPr>
          <w:rFonts w:cstheme="minorHAnsi"/>
          <w:szCs w:val="21"/>
        </w:rPr>
        <w:t>(5), 577–602.</w:t>
      </w:r>
    </w:p>
  </w:endnote>
  <w:endnote w:id="355">
    <w:p w14:paraId="427EE4E3" w14:textId="14867B6D"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Mouzos, J., &amp; Makkait, T. (2004). </w:t>
      </w:r>
      <w:hyperlink r:id="rId377" w:history="1">
        <w:r w:rsidRPr="007A26A6">
          <w:rPr>
            <w:rStyle w:val="Hyperlink"/>
            <w:rFonts w:cstheme="minorHAnsi"/>
            <w:szCs w:val="21"/>
          </w:rPr>
          <w:t>Women’s experiences of male violence: Findings from the Australian component of the International Violence against Women Survey (IVAWS)</w:t>
        </w:r>
      </w:hyperlink>
      <w:r w:rsidRPr="007A26A6">
        <w:rPr>
          <w:rFonts w:cstheme="minorHAnsi"/>
          <w:szCs w:val="21"/>
        </w:rPr>
        <w:t>.</w:t>
      </w:r>
    </w:p>
  </w:endnote>
  <w:endnote w:id="356">
    <w:p w14:paraId="3CF947FC" w14:textId="371302E3"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McCarthy, K. J., Mehta, R., Haberland, N. A. (2018). Gender, power, and violence: A systematic review of measures and their association with male perpetration of IPV. </w:t>
      </w:r>
      <w:r w:rsidRPr="007A26A6">
        <w:rPr>
          <w:rStyle w:val="Emphasis"/>
          <w:rFonts w:cstheme="minorHAnsi"/>
          <w:szCs w:val="21"/>
        </w:rPr>
        <w:t>PLoS ONE</w:t>
      </w:r>
      <w:r w:rsidRPr="007A26A6">
        <w:rPr>
          <w:rFonts w:cstheme="minorHAnsi"/>
          <w:szCs w:val="21"/>
        </w:rPr>
        <w:t xml:space="preserve">, </w:t>
      </w:r>
      <w:r w:rsidRPr="007A26A6">
        <w:rPr>
          <w:rStyle w:val="Emphasis"/>
          <w:rFonts w:cstheme="minorHAnsi"/>
          <w:szCs w:val="21"/>
        </w:rPr>
        <w:t>13</w:t>
      </w:r>
      <w:r w:rsidRPr="007A26A6">
        <w:rPr>
          <w:rFonts w:cstheme="minorHAnsi"/>
          <w:szCs w:val="21"/>
        </w:rPr>
        <w:t xml:space="preserve">(11), </w:t>
      </w:r>
      <w:r w:rsidRPr="007A26A6">
        <w:rPr>
          <w:rFonts w:cstheme="minorHAnsi"/>
          <w:szCs w:val="21"/>
        </w:rPr>
        <w:br/>
        <w:t>20–22.</w:t>
      </w:r>
    </w:p>
  </w:endnote>
  <w:endnote w:id="357">
    <w:p w14:paraId="0F78004B" w14:textId="77777777" w:rsidR="00F53B39" w:rsidRPr="007A26A6" w:rsidRDefault="00F53B39" w:rsidP="007A3E39">
      <w:pPr>
        <w:pStyle w:val="EndnoteText"/>
        <w:keepNext/>
        <w:rPr>
          <w:rFonts w:cstheme="minorHAnsi"/>
          <w:szCs w:val="21"/>
        </w:rPr>
      </w:pPr>
      <w:r w:rsidRPr="007A26A6">
        <w:rPr>
          <w:rFonts w:cstheme="minorHAnsi"/>
          <w:szCs w:val="21"/>
        </w:rPr>
        <w:endnoteRef/>
      </w:r>
      <w:r w:rsidRPr="007A26A6">
        <w:rPr>
          <w:rFonts w:cstheme="minorHAnsi"/>
          <w:szCs w:val="21"/>
        </w:rPr>
        <w:tab/>
        <w:t xml:space="preserve">Loveland, J. E., &amp; Raghavan, C. (2017). Coercive control, physical violence, and masculinity. </w:t>
      </w:r>
      <w:r w:rsidRPr="007A26A6">
        <w:rPr>
          <w:rStyle w:val="Emphasis"/>
          <w:rFonts w:cstheme="minorHAnsi"/>
          <w:szCs w:val="21"/>
        </w:rPr>
        <w:t>Violence and Gender</w:t>
      </w:r>
      <w:r w:rsidRPr="007A26A6">
        <w:rPr>
          <w:rFonts w:cstheme="minorHAnsi"/>
          <w:szCs w:val="21"/>
        </w:rPr>
        <w:t xml:space="preserve">, </w:t>
      </w:r>
      <w:r w:rsidRPr="007A26A6">
        <w:rPr>
          <w:rStyle w:val="Emphasis"/>
          <w:rFonts w:cstheme="minorHAnsi"/>
          <w:szCs w:val="21"/>
        </w:rPr>
        <w:t>4</w:t>
      </w:r>
      <w:r w:rsidRPr="007A26A6">
        <w:rPr>
          <w:rFonts w:cstheme="minorHAnsi"/>
          <w:szCs w:val="21"/>
        </w:rPr>
        <w:t>(1).</w:t>
      </w:r>
    </w:p>
    <w:p w14:paraId="3FC92325" w14:textId="0639C9FC" w:rsidR="00F53B39" w:rsidRPr="007A26A6" w:rsidRDefault="00F53B39" w:rsidP="00B73C43">
      <w:pPr>
        <w:pStyle w:val="OWEndnotetextindent"/>
        <w:rPr>
          <w:rFonts w:cstheme="minorHAnsi"/>
        </w:rPr>
      </w:pPr>
      <w:r w:rsidRPr="007A26A6">
        <w:rPr>
          <w:rFonts w:cstheme="minorHAnsi"/>
        </w:rPr>
        <w:t xml:space="preserve">Our Watch. (2019). </w:t>
      </w:r>
      <w:hyperlink r:id="rId378" w:history="1">
        <w:r w:rsidRPr="007A26A6">
          <w:rPr>
            <w:rStyle w:val="HyperlinkItalic"/>
            <w:rFonts w:cstheme="minorHAnsi"/>
          </w:rPr>
          <w:t>Men in focus: Unpacking masculinities and engaging men in the prevention of violence against women</w:t>
        </w:r>
      </w:hyperlink>
      <w:r w:rsidRPr="007A26A6">
        <w:rPr>
          <w:rFonts w:cstheme="minorHAnsi"/>
        </w:rPr>
        <w:t>.</w:t>
      </w:r>
    </w:p>
  </w:endnote>
  <w:endnote w:id="358">
    <w:p w14:paraId="2884F7D1" w14:textId="443A92CD"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Meyer, S. (2012). Why women stay: A theoretical examination of rational choice and moral reasoning in the context of intimate partner violence. </w:t>
      </w:r>
      <w:r w:rsidRPr="007A26A6">
        <w:rPr>
          <w:rStyle w:val="Emphasis"/>
          <w:rFonts w:cstheme="minorHAnsi"/>
          <w:szCs w:val="21"/>
        </w:rPr>
        <w:t>Australian and New Zealand Journal of Criminology</w:t>
      </w:r>
      <w:r w:rsidRPr="007A26A6">
        <w:rPr>
          <w:rFonts w:cstheme="minorHAnsi"/>
          <w:szCs w:val="21"/>
        </w:rPr>
        <w:t xml:space="preserve">, </w:t>
      </w:r>
      <w:r w:rsidRPr="007A26A6">
        <w:rPr>
          <w:rStyle w:val="Emphasis"/>
          <w:rFonts w:cstheme="minorHAnsi"/>
          <w:szCs w:val="21"/>
        </w:rPr>
        <w:t>45</w:t>
      </w:r>
      <w:r w:rsidRPr="007A26A6">
        <w:rPr>
          <w:rFonts w:cstheme="minorHAnsi"/>
          <w:szCs w:val="21"/>
        </w:rPr>
        <w:t>(179), 179–193.</w:t>
      </w:r>
    </w:p>
  </w:endnote>
  <w:endnote w:id="359">
    <w:p w14:paraId="1CC7E1D7" w14:textId="720683AA"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El-Murr, A. (2019). </w:t>
      </w:r>
      <w:hyperlink r:id="rId379" w:history="1">
        <w:r w:rsidRPr="007A26A6">
          <w:rPr>
            <w:rStyle w:val="HyperlinkItalic"/>
            <w:rFonts w:cstheme="minorHAnsi"/>
            <w:szCs w:val="21"/>
          </w:rPr>
          <w:t>Intimate partner violence in Australian refugee communities: Scoping review of issues and service responses</w:t>
        </w:r>
      </w:hyperlink>
      <w:r w:rsidRPr="007A26A6">
        <w:rPr>
          <w:rStyle w:val="Emphasis"/>
          <w:rFonts w:cstheme="minorHAnsi"/>
          <w:szCs w:val="21"/>
        </w:rPr>
        <w:t xml:space="preserve"> </w:t>
      </w:r>
      <w:r w:rsidRPr="007A26A6">
        <w:rPr>
          <w:rFonts w:cstheme="minorHAnsi"/>
          <w:szCs w:val="21"/>
        </w:rPr>
        <w:t>(CFCA paper no. 50). Child Family Community Australia information exchange. Melbourne, Australia: Australian Institute of Family Studies.</w:t>
      </w:r>
    </w:p>
  </w:endnote>
  <w:endnote w:id="360">
    <w:p w14:paraId="5941AFD2" w14:textId="77777777" w:rsidR="00F53B39" w:rsidRPr="007A26A6" w:rsidRDefault="00F53B39" w:rsidP="00B73C43">
      <w:pPr>
        <w:pStyle w:val="EndnoteText"/>
        <w:rPr>
          <w:rFonts w:cstheme="minorHAnsi"/>
          <w:szCs w:val="21"/>
        </w:rPr>
      </w:pPr>
      <w:r w:rsidRPr="007A26A6">
        <w:rPr>
          <w:rFonts w:cstheme="minorHAnsi"/>
          <w:szCs w:val="21"/>
        </w:rPr>
        <w:endnoteRef/>
      </w:r>
      <w:r w:rsidRPr="007A26A6">
        <w:rPr>
          <w:rFonts w:cstheme="minorHAnsi"/>
          <w:szCs w:val="21"/>
        </w:rPr>
        <w:tab/>
        <w:t xml:space="preserve">Smith, E. (2008). African American men and intimate partner violence. </w:t>
      </w:r>
      <w:r w:rsidRPr="007A26A6">
        <w:rPr>
          <w:rStyle w:val="Emphasis"/>
          <w:rFonts w:cstheme="minorHAnsi"/>
          <w:szCs w:val="21"/>
        </w:rPr>
        <w:t>Journal of African American Studies</w:t>
      </w:r>
      <w:r w:rsidRPr="007A26A6">
        <w:rPr>
          <w:rFonts w:cstheme="minorHAnsi"/>
          <w:szCs w:val="21"/>
        </w:rPr>
        <w:t xml:space="preserve">, </w:t>
      </w:r>
      <w:r w:rsidRPr="007A26A6">
        <w:rPr>
          <w:rStyle w:val="Emphasis"/>
          <w:rFonts w:cstheme="minorHAnsi"/>
          <w:szCs w:val="21"/>
        </w:rPr>
        <w:t>12</w:t>
      </w:r>
      <w:r w:rsidRPr="007A26A6">
        <w:rPr>
          <w:rFonts w:cstheme="minorHAnsi"/>
          <w:szCs w:val="21"/>
        </w:rPr>
        <w:t>, 156–179.</w:t>
      </w:r>
    </w:p>
    <w:p w14:paraId="30220628" w14:textId="7EF5F6A8" w:rsidR="00F53B39" w:rsidRPr="007A26A6" w:rsidRDefault="00F53B39" w:rsidP="00B73C43">
      <w:pPr>
        <w:pStyle w:val="OWEndnotetextindent"/>
        <w:rPr>
          <w:rFonts w:cstheme="minorHAnsi"/>
        </w:rPr>
      </w:pPr>
      <w:r w:rsidRPr="007A26A6">
        <w:rPr>
          <w:rFonts w:cstheme="minorHAnsi"/>
        </w:rPr>
        <w:t xml:space="preserve">Our Watch. (2019). </w:t>
      </w:r>
      <w:hyperlink r:id="rId380" w:history="1">
        <w:r w:rsidRPr="007A26A6">
          <w:rPr>
            <w:rStyle w:val="HyperlinkItalic"/>
            <w:rFonts w:cstheme="minorHAnsi"/>
          </w:rPr>
          <w:t>Men in focus: Unpacking masculinities and engaging men in the prevention of violence against women</w:t>
        </w:r>
      </w:hyperlink>
      <w:r w:rsidRPr="007A26A6">
        <w:rPr>
          <w:rFonts w:cstheme="minorHAnsi"/>
        </w:rPr>
        <w:t>.</w:t>
      </w:r>
    </w:p>
  </w:endnote>
  <w:endnote w:id="361">
    <w:p w14:paraId="1312F169" w14:textId="3D048C6F" w:rsidR="00F53B39" w:rsidRPr="007A26A6" w:rsidRDefault="00F53B39" w:rsidP="00B73C43">
      <w:pPr>
        <w:pStyle w:val="EndnoteText"/>
        <w:rPr>
          <w:rFonts w:cstheme="minorHAnsi"/>
          <w:szCs w:val="21"/>
        </w:rPr>
      </w:pPr>
      <w:r w:rsidRPr="007A26A6">
        <w:rPr>
          <w:rFonts w:cstheme="minorHAnsi"/>
          <w:szCs w:val="21"/>
        </w:rPr>
        <w:endnoteRef/>
      </w:r>
      <w:r w:rsidRPr="007A26A6">
        <w:rPr>
          <w:rFonts w:cstheme="minorHAnsi"/>
          <w:szCs w:val="21"/>
        </w:rPr>
        <w:tab/>
        <w:t xml:space="preserve">Hulme, S. </w:t>
      </w:r>
      <w:hyperlink r:id="rId381" w:history="1">
        <w:r w:rsidRPr="007A26A6">
          <w:rPr>
            <w:rStyle w:val="HyperlinkItalic"/>
            <w:rFonts w:cstheme="minorHAnsi"/>
            <w:szCs w:val="21"/>
          </w:rPr>
          <w:t>Domestic violence offenders, prior offending and reoffending in Australia</w:t>
        </w:r>
      </w:hyperlink>
      <w:r w:rsidRPr="007A26A6">
        <w:rPr>
          <w:rFonts w:cstheme="minorHAnsi"/>
          <w:szCs w:val="21"/>
        </w:rPr>
        <w:t>. Trends &amp; issues in crime and criminal justice. Canberra, Australia: Australian Institute of Criminology.</w:t>
      </w:r>
    </w:p>
    <w:p w14:paraId="720036A6" w14:textId="728C4C79" w:rsidR="00F53B39" w:rsidRPr="007A26A6" w:rsidRDefault="00F53B39" w:rsidP="00B73C43">
      <w:pPr>
        <w:pStyle w:val="OWEndnotetextindent"/>
        <w:rPr>
          <w:rFonts w:cstheme="minorHAnsi"/>
        </w:rPr>
      </w:pPr>
      <w:r w:rsidRPr="007A26A6">
        <w:rPr>
          <w:rFonts w:cstheme="minorHAnsi"/>
        </w:rPr>
        <w:t xml:space="preserve">Mayshak, R. et al. (2016). </w:t>
      </w:r>
      <w:hyperlink r:id="rId382" w:history="1">
        <w:r w:rsidRPr="007A26A6">
          <w:rPr>
            <w:rStyle w:val="HyperlinkItalic"/>
            <w:rFonts w:cstheme="minorHAnsi"/>
          </w:rPr>
          <w:t>Alcohol/drug-involved family violence in Australia (ADIVA): Final report</w:t>
        </w:r>
      </w:hyperlink>
      <w:r w:rsidRPr="007A26A6">
        <w:rPr>
          <w:rStyle w:val="HyperlinkItalic"/>
          <w:rFonts w:cstheme="minorHAnsi"/>
        </w:rPr>
        <w:t>.</w:t>
      </w:r>
      <w:r w:rsidRPr="007A26A6">
        <w:rPr>
          <w:rFonts w:cstheme="minorHAnsi"/>
        </w:rPr>
        <w:t xml:space="preserve"> Canberra, Australia: National Drug Law Enforcement Fund.</w:t>
      </w:r>
    </w:p>
  </w:endnote>
  <w:endnote w:id="362">
    <w:p w14:paraId="6C16479F" w14:textId="0B5EA91C" w:rsidR="00F53B39" w:rsidRPr="007A26A6" w:rsidRDefault="00F53B39" w:rsidP="0071337A">
      <w:pPr>
        <w:pStyle w:val="EndnoteText"/>
        <w:rPr>
          <w:rFonts w:cstheme="minorHAnsi"/>
          <w:szCs w:val="21"/>
        </w:rPr>
      </w:pPr>
      <w:r w:rsidRPr="007A26A6">
        <w:rPr>
          <w:rFonts w:cstheme="minorHAnsi"/>
          <w:szCs w:val="21"/>
        </w:rPr>
        <w:endnoteRef/>
      </w:r>
      <w:r w:rsidRPr="007A26A6">
        <w:rPr>
          <w:rFonts w:cstheme="minorHAnsi"/>
          <w:szCs w:val="21"/>
        </w:rPr>
        <w:tab/>
        <w:t xml:space="preserve">Australian Domestic and Family Violence Death Review Network. (2018). </w:t>
      </w:r>
      <w:hyperlink r:id="rId383" w:history="1">
        <w:r w:rsidRPr="007A26A6">
          <w:rPr>
            <w:rStyle w:val="HyperlinkItalic"/>
            <w:rFonts w:cstheme="minorHAnsi"/>
            <w:szCs w:val="21"/>
          </w:rPr>
          <w:t>Australian Domestic and Family Violence Death Review Network data report 2018</w:t>
        </w:r>
      </w:hyperlink>
      <w:r w:rsidRPr="007A26A6">
        <w:rPr>
          <w:rStyle w:val="HyperlinkItalic"/>
          <w:rFonts w:cstheme="minorHAnsi"/>
          <w:szCs w:val="21"/>
        </w:rPr>
        <w:t>.</w:t>
      </w:r>
      <w:r w:rsidRPr="007A26A6">
        <w:rPr>
          <w:rFonts w:cstheme="minorHAnsi"/>
          <w:szCs w:val="21"/>
        </w:rPr>
        <w:t xml:space="preserve"> Sydney, Australia: Australian Domestic and Family Violence Death Review Network.</w:t>
      </w:r>
    </w:p>
    <w:p w14:paraId="6A431F1E" w14:textId="498A410E" w:rsidR="00F53B39" w:rsidRPr="007A26A6" w:rsidRDefault="00F53B39" w:rsidP="0071337A">
      <w:pPr>
        <w:pStyle w:val="OWEndnotetextindent"/>
        <w:rPr>
          <w:rFonts w:cstheme="minorHAnsi"/>
        </w:rPr>
      </w:pPr>
      <w:r w:rsidRPr="007A26A6">
        <w:rPr>
          <w:rFonts w:cstheme="minorHAnsi"/>
        </w:rPr>
        <w:t xml:space="preserve">Australian Institute of Health and Welfare. (2019). </w:t>
      </w:r>
      <w:hyperlink r:id="rId384" w:history="1">
        <w:r w:rsidRPr="007A26A6">
          <w:rPr>
            <w:rStyle w:val="HyperlinkItalic"/>
            <w:rFonts w:cstheme="minorHAnsi"/>
          </w:rPr>
          <w:t>Family, Domestic and Sexual Violence in Australia: Continuing the national story</w:t>
        </w:r>
      </w:hyperlink>
      <w:r w:rsidRPr="007A26A6">
        <w:rPr>
          <w:rStyle w:val="Emphasis"/>
          <w:rFonts w:cstheme="minorHAnsi"/>
        </w:rPr>
        <w:t xml:space="preserve"> </w:t>
      </w:r>
      <w:r w:rsidRPr="007A26A6">
        <w:rPr>
          <w:rFonts w:cstheme="minorHAnsi"/>
        </w:rPr>
        <w:t>(cat. no. FDV 3). Canberra, Australia: AIHW.</w:t>
      </w:r>
    </w:p>
  </w:endnote>
  <w:endnote w:id="363">
    <w:p w14:paraId="3B9DAD12" w14:textId="57EEA487"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Fulu, E., Warner, X., Miedema, S., Jewkes, R., Roselli, T., &amp; Lang, J. (2013). </w:t>
      </w:r>
      <w:hyperlink r:id="rId385" w:history="1">
        <w:r w:rsidRPr="007A26A6">
          <w:rPr>
            <w:rStyle w:val="HyperlinkItalic"/>
            <w:rFonts w:cstheme="minorHAnsi"/>
            <w:szCs w:val="21"/>
          </w:rPr>
          <w:t>Why do some men use violence against women and how can we prevent it? Quantitative findings from the UN multi-country study on men and violence in Asia and the Pacific</w:t>
        </w:r>
      </w:hyperlink>
      <w:r w:rsidRPr="007A26A6">
        <w:rPr>
          <w:rFonts w:cstheme="minorHAnsi"/>
          <w:szCs w:val="21"/>
        </w:rPr>
        <w:t>, Bangkok, Thailand: UNDP, UNFPA, UN Women and UNV.</w:t>
      </w:r>
    </w:p>
  </w:endnote>
  <w:endnote w:id="364">
    <w:p w14:paraId="26868916" w14:textId="792AC534" w:rsidR="00F53B39" w:rsidRPr="007A26A6" w:rsidRDefault="00F53B39" w:rsidP="00B73C43">
      <w:pPr>
        <w:pStyle w:val="EndnoteText"/>
        <w:rPr>
          <w:rFonts w:cstheme="minorHAnsi"/>
          <w:szCs w:val="21"/>
        </w:rPr>
      </w:pPr>
      <w:r w:rsidRPr="007A26A6">
        <w:rPr>
          <w:rFonts w:cstheme="minorHAnsi"/>
          <w:szCs w:val="21"/>
        </w:rPr>
        <w:endnoteRef/>
      </w:r>
      <w:r w:rsidRPr="007A26A6">
        <w:rPr>
          <w:rFonts w:cstheme="minorHAnsi"/>
          <w:szCs w:val="21"/>
        </w:rPr>
        <w:tab/>
        <w:t xml:space="preserve">Fisher, C. M. et al. (2019). </w:t>
      </w:r>
      <w:hyperlink r:id="rId386" w:history="1">
        <w:r w:rsidRPr="007A26A6">
          <w:rPr>
            <w:rStyle w:val="HyperlinkItalic"/>
            <w:rFonts w:cstheme="minorHAnsi"/>
            <w:szCs w:val="21"/>
          </w:rPr>
          <w:t>National Survey of Secondary Students and Sexual Health 2018: Results of the 6th National Survey of Australian Secondary Students and Sexual Health</w:t>
        </w:r>
      </w:hyperlink>
      <w:r w:rsidRPr="007A26A6">
        <w:rPr>
          <w:rFonts w:cstheme="minorHAnsi"/>
          <w:szCs w:val="21"/>
        </w:rPr>
        <w:t xml:space="preserve"> (ARCSHS Monograph Series no. 113). Melbourne, Australia: Australian Research Centre in Sex, Health &amp; Society, La Trobe University. p. 39.</w:t>
      </w:r>
    </w:p>
    <w:p w14:paraId="4A33902C" w14:textId="78DC46E3" w:rsidR="00F53B39" w:rsidRPr="007A26A6" w:rsidRDefault="00F53B39" w:rsidP="00B73C43">
      <w:pPr>
        <w:pStyle w:val="OWEndnotetextindent"/>
        <w:rPr>
          <w:rFonts w:cstheme="minorHAnsi"/>
        </w:rPr>
      </w:pPr>
      <w:r w:rsidRPr="007A26A6">
        <w:rPr>
          <w:rFonts w:cstheme="minorHAnsi"/>
        </w:rPr>
        <w:t xml:space="preserve">Smith, A. et al. (2009). </w:t>
      </w:r>
      <w:hyperlink r:id="rId387" w:history="1">
        <w:r w:rsidRPr="007A26A6">
          <w:rPr>
            <w:rStyle w:val="HyperlinkItalic"/>
            <w:rFonts w:cstheme="minorHAnsi"/>
          </w:rPr>
          <w:t>Secondary students and sexual health: Results of the 4th national survey of Australian secondary students</w:t>
        </w:r>
      </w:hyperlink>
      <w:r w:rsidRPr="007A26A6">
        <w:rPr>
          <w:rFonts w:cstheme="minorHAnsi"/>
        </w:rPr>
        <w:t xml:space="preserve"> (Monograph series no. 70). Melbourne: Australian Research Centre in Sex, Health &amp; Society, La Trobe University. p. 31.</w:t>
      </w:r>
    </w:p>
  </w:endnote>
  <w:endnote w:id="365">
    <w:p w14:paraId="5282ECCE" w14:textId="27DFC86D"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de Visser, R. O. et al. (2014). Experiences of sexual coercion in a representative sample of adults: The Second Australian Study of Health and Relationships. </w:t>
      </w:r>
      <w:r w:rsidRPr="007A26A6">
        <w:rPr>
          <w:rStyle w:val="Emphasis"/>
          <w:rFonts w:cstheme="minorHAnsi"/>
          <w:szCs w:val="21"/>
        </w:rPr>
        <w:t>Sexual Health</w:t>
      </w:r>
      <w:r w:rsidRPr="007A26A6">
        <w:rPr>
          <w:rFonts w:cstheme="minorHAnsi"/>
          <w:szCs w:val="21"/>
        </w:rPr>
        <w:t xml:space="preserve">, </w:t>
      </w:r>
      <w:r w:rsidRPr="007A26A6">
        <w:rPr>
          <w:rStyle w:val="Emphasis"/>
          <w:rFonts w:cstheme="minorHAnsi"/>
          <w:szCs w:val="21"/>
        </w:rPr>
        <w:t>11</w:t>
      </w:r>
      <w:r w:rsidRPr="007A26A6">
        <w:rPr>
          <w:rFonts w:cstheme="minorHAnsi"/>
          <w:szCs w:val="21"/>
        </w:rPr>
        <w:t>, 472–480.</w:t>
      </w:r>
    </w:p>
  </w:endnote>
  <w:endnote w:id="366">
    <w:p w14:paraId="46BBF6EA" w14:textId="35985AFE"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Maries Stopes Australia. (2018). </w:t>
      </w:r>
      <w:hyperlink r:id="rId388" w:history="1">
        <w:r w:rsidRPr="007A26A6">
          <w:rPr>
            <w:rStyle w:val="HyperlinkItalic"/>
            <w:rFonts w:cstheme="minorHAnsi"/>
            <w:szCs w:val="21"/>
          </w:rPr>
          <w:t>Hidden forces: Shining a light on reproductive coercion – White paper</w:t>
        </w:r>
      </w:hyperlink>
      <w:r w:rsidRPr="007A26A6">
        <w:rPr>
          <w:rFonts w:cstheme="minorHAnsi"/>
          <w:szCs w:val="21"/>
        </w:rPr>
        <w:t>. Melbourne, Australia: Marie Stopes. pp. 9 and 20.</w:t>
      </w:r>
    </w:p>
  </w:endnote>
  <w:endnote w:id="367">
    <w:p w14:paraId="66FD1FE3" w14:textId="761C225A"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de Visser, R.O. et, al. (2014). Experiences of sexual coercion in a representative sample of adults: The Second Australian Study of Health and Relationships. pp. 472–480.</w:t>
      </w:r>
    </w:p>
  </w:endnote>
  <w:endnote w:id="368">
    <w:p w14:paraId="05ADF0CC" w14:textId="2E52FBCB"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de Visser, R.O. et, al. (2014). Experiences of sexual coercion in a representative sample of adults: The Second Australian Study of Health and Relationships. p. 477.</w:t>
      </w:r>
    </w:p>
  </w:endnote>
  <w:endnote w:id="369">
    <w:p w14:paraId="0B5B0C41" w14:textId="30E784BC" w:rsidR="00F53B39" w:rsidRPr="007A26A6" w:rsidRDefault="00F53B39" w:rsidP="007A3E39">
      <w:pPr>
        <w:pStyle w:val="EndnoteText"/>
        <w:keepNext/>
        <w:rPr>
          <w:rFonts w:cstheme="minorHAnsi"/>
          <w:szCs w:val="21"/>
        </w:rPr>
      </w:pPr>
      <w:r w:rsidRPr="007A26A6">
        <w:rPr>
          <w:rFonts w:cstheme="minorHAnsi"/>
          <w:szCs w:val="21"/>
        </w:rPr>
        <w:endnoteRef/>
      </w:r>
      <w:r w:rsidRPr="007A26A6">
        <w:rPr>
          <w:rFonts w:cstheme="minorHAnsi"/>
          <w:szCs w:val="21"/>
          <w:lang w:val="en-US"/>
        </w:rPr>
        <w:tab/>
      </w:r>
      <w:r w:rsidRPr="007A26A6">
        <w:rPr>
          <w:rFonts w:cstheme="minorHAnsi"/>
          <w:szCs w:val="21"/>
        </w:rPr>
        <w:t xml:space="preserve">Fisher, C. M. et al. (2019). </w:t>
      </w:r>
      <w:hyperlink r:id="rId389" w:history="1">
        <w:r w:rsidRPr="007A26A6">
          <w:rPr>
            <w:rStyle w:val="HyperlinkItalic"/>
            <w:rFonts w:cstheme="minorHAnsi"/>
            <w:szCs w:val="21"/>
          </w:rPr>
          <w:t>National Survey of Secondary Students and Sexual Health 2018: Results of the 6th National Survey of Australian Secondary Students and Sexual Health</w:t>
        </w:r>
      </w:hyperlink>
      <w:r w:rsidRPr="007A26A6">
        <w:rPr>
          <w:rFonts w:cstheme="minorHAnsi"/>
          <w:szCs w:val="21"/>
        </w:rPr>
        <w:t>. p. 39.</w:t>
      </w:r>
    </w:p>
    <w:p w14:paraId="5D20717C" w14:textId="3CDBFE8F" w:rsidR="00F53B39" w:rsidRPr="007A26A6" w:rsidRDefault="00F53B39" w:rsidP="00E114E5">
      <w:pPr>
        <w:pStyle w:val="OWEndnotetextindent"/>
        <w:rPr>
          <w:rFonts w:cstheme="minorHAnsi"/>
        </w:rPr>
      </w:pPr>
      <w:r w:rsidRPr="007A26A6">
        <w:rPr>
          <w:rFonts w:cstheme="minorHAnsi"/>
        </w:rPr>
        <w:t xml:space="preserve">Smith, A. et al. (2009). </w:t>
      </w:r>
      <w:hyperlink r:id="rId390" w:history="1">
        <w:r w:rsidRPr="007A26A6">
          <w:rPr>
            <w:rStyle w:val="HyperlinkItalic"/>
            <w:rFonts w:cstheme="minorHAnsi"/>
          </w:rPr>
          <w:t>Secondary students and sexual health: Results of the 4th national survey of Australian secondary students</w:t>
        </w:r>
      </w:hyperlink>
      <w:r w:rsidRPr="007A26A6">
        <w:rPr>
          <w:rStyle w:val="EndnoteTextChar"/>
          <w:rFonts w:cstheme="minorHAnsi"/>
          <w:i/>
          <w:iCs/>
          <w:szCs w:val="21"/>
        </w:rPr>
        <w:t xml:space="preserve">. </w:t>
      </w:r>
      <w:r w:rsidRPr="007A26A6">
        <w:rPr>
          <w:rFonts w:cstheme="minorHAnsi"/>
        </w:rPr>
        <w:t>p. 31.</w:t>
      </w:r>
    </w:p>
  </w:endnote>
  <w:endnote w:id="370">
    <w:p w14:paraId="35D4C751" w14:textId="5EC17AC1"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Fisher, C. M. et al. (2019). </w:t>
      </w:r>
      <w:hyperlink r:id="rId391" w:history="1">
        <w:r w:rsidRPr="007A26A6">
          <w:rPr>
            <w:rStyle w:val="HyperlinkItalic"/>
            <w:rFonts w:cstheme="minorHAnsi"/>
            <w:szCs w:val="21"/>
          </w:rPr>
          <w:t>National Survey of Secondary Students and Sexual Health 2018: Results of the 6th National Survey of Australian Secondary Students and Sexual Health</w:t>
        </w:r>
      </w:hyperlink>
      <w:r w:rsidRPr="007A26A6">
        <w:rPr>
          <w:rFonts w:cstheme="minorHAnsi"/>
          <w:szCs w:val="21"/>
        </w:rPr>
        <w:t>. p. 39.</w:t>
      </w:r>
    </w:p>
  </w:endnote>
  <w:endnote w:id="371">
    <w:p w14:paraId="75599DF0" w14:textId="3F8F30E7"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Fisher, C. M. et al. (2019). </w:t>
      </w:r>
      <w:hyperlink r:id="rId392" w:history="1">
        <w:r w:rsidRPr="007A26A6">
          <w:rPr>
            <w:rStyle w:val="HyperlinkItalic"/>
            <w:rFonts w:cstheme="minorHAnsi"/>
            <w:szCs w:val="21"/>
          </w:rPr>
          <w:t>National Survey of Secondary Students and Sexual Health 2018: Results of the 6th National Survey of Australian Secondary Students and Sexual Health</w:t>
        </w:r>
      </w:hyperlink>
      <w:r w:rsidRPr="007A26A6">
        <w:rPr>
          <w:rFonts w:cstheme="minorHAnsi"/>
          <w:szCs w:val="21"/>
        </w:rPr>
        <w:t>. p. 41.</w:t>
      </w:r>
    </w:p>
  </w:endnote>
  <w:endnote w:id="372">
    <w:p w14:paraId="7AF305F2" w14:textId="7353F23F"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Fisher, C. M. et al. (2019). </w:t>
      </w:r>
      <w:hyperlink r:id="rId393" w:history="1">
        <w:r w:rsidRPr="007A26A6">
          <w:rPr>
            <w:rStyle w:val="HyperlinkItalic"/>
            <w:rFonts w:cstheme="minorHAnsi"/>
            <w:szCs w:val="21"/>
          </w:rPr>
          <w:t>National Survey of Secondary Students and Sexual Health 2018: Results of the 6th National Survey of Australian Secondary Students and Sexual Health</w:t>
        </w:r>
      </w:hyperlink>
      <w:r w:rsidRPr="007A26A6">
        <w:rPr>
          <w:rFonts w:cstheme="minorHAnsi"/>
          <w:szCs w:val="21"/>
        </w:rPr>
        <w:t>. p. 55.</w:t>
      </w:r>
    </w:p>
  </w:endnote>
  <w:endnote w:id="373">
    <w:p w14:paraId="603A731D" w14:textId="76813D0A"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394"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68.</w:t>
      </w:r>
    </w:p>
  </w:endnote>
  <w:endnote w:id="374">
    <w:p w14:paraId="3089061A" w14:textId="570FA709"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395"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w:t>
      </w:r>
    </w:p>
  </w:endnote>
  <w:endnote w:id="375">
    <w:p w14:paraId="27B66F68" w14:textId="0E87EE99"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396"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68.</w:t>
      </w:r>
    </w:p>
  </w:endnote>
  <w:endnote w:id="376">
    <w:p w14:paraId="21DD6987" w14:textId="0FD90D65"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Politoff et al. (2019). </w:t>
      </w:r>
      <w:hyperlink r:id="rId397"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w:t>
      </w:r>
      <w:r w:rsidRPr="007A26A6">
        <w:rPr>
          <w:rStyle w:val="Emphasis"/>
          <w:rFonts w:cstheme="minorHAnsi"/>
          <w:szCs w:val="21"/>
        </w:rPr>
        <w:t xml:space="preserve"> </w:t>
      </w:r>
      <w:r w:rsidRPr="007A26A6">
        <w:rPr>
          <w:rFonts w:cstheme="minorHAnsi"/>
          <w:szCs w:val="21"/>
        </w:rPr>
        <w:t>p. 22.</w:t>
      </w:r>
    </w:p>
  </w:endnote>
  <w:endnote w:id="377">
    <w:p w14:paraId="24148468" w14:textId="14E39CCF"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Politoff et al. (2019). </w:t>
      </w:r>
      <w:hyperlink r:id="rId398" w:history="1">
        <w:r w:rsidRPr="007A26A6">
          <w:rPr>
            <w:rStyle w:val="HyperlinkItalic"/>
            <w:rFonts w:cstheme="minorHAnsi"/>
            <w:szCs w:val="21"/>
          </w:rPr>
          <w:t>Young Australians’ attitudes to violence against women and gender equality: Findings from the 2017 National Community Attitudes Survey</w:t>
        </w:r>
      </w:hyperlink>
      <w:r w:rsidRPr="007A26A6">
        <w:rPr>
          <w:rStyle w:val="Emphasis"/>
          <w:rFonts w:cstheme="minorHAnsi"/>
          <w:szCs w:val="21"/>
        </w:rPr>
        <w:t xml:space="preserve"> (NCAS)</w:t>
      </w:r>
      <w:r w:rsidRPr="007A26A6">
        <w:rPr>
          <w:rFonts w:cstheme="minorHAnsi"/>
          <w:szCs w:val="21"/>
        </w:rPr>
        <w:t>.</w:t>
      </w:r>
      <w:r w:rsidRPr="007A26A6">
        <w:rPr>
          <w:rStyle w:val="Emphasis"/>
          <w:rFonts w:cstheme="minorHAnsi"/>
          <w:szCs w:val="21"/>
        </w:rPr>
        <w:t xml:space="preserve"> </w:t>
      </w:r>
      <w:r w:rsidRPr="007A26A6">
        <w:rPr>
          <w:rFonts w:cstheme="minorHAnsi"/>
          <w:szCs w:val="21"/>
        </w:rPr>
        <w:t>p. 22.</w:t>
      </w:r>
    </w:p>
  </w:endnote>
  <w:endnote w:id="378">
    <w:p w14:paraId="7C122EF4" w14:textId="7B035EC1"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Cripps et al. (2019). </w:t>
      </w:r>
      <w:hyperlink r:id="rId399" w:history="1">
        <w:r w:rsidRPr="007A26A6">
          <w:rPr>
            <w:rStyle w:val="HyperlinkItalic"/>
            <w:rFonts w:cstheme="minorHAnsi"/>
            <w:szCs w:val="21"/>
          </w:rPr>
          <w:t>Attitudes towards violence against women and gender equality among Aboriginal people and Torres Strait Islanders: Findings from the 2017 National Community Attitudes Survey (NCAS)</w:t>
        </w:r>
      </w:hyperlink>
      <w:r w:rsidRPr="007A26A6">
        <w:rPr>
          <w:rStyle w:val="Emphasis"/>
          <w:rFonts w:cstheme="minorHAnsi"/>
          <w:szCs w:val="21"/>
        </w:rPr>
        <w:t xml:space="preserve">. </w:t>
      </w:r>
      <w:r w:rsidRPr="007A26A6">
        <w:rPr>
          <w:rFonts w:cstheme="minorHAnsi"/>
          <w:szCs w:val="21"/>
        </w:rPr>
        <w:t>p. 24.</w:t>
      </w:r>
    </w:p>
  </w:endnote>
  <w:endnote w:id="379">
    <w:p w14:paraId="1F32E160" w14:textId="4B56FCBC"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K. et al. (2019). </w:t>
      </w:r>
      <w:hyperlink r:id="rId400" w:history="1">
        <w:r w:rsidRPr="007A26A6">
          <w:rPr>
            <w:rStyle w:val="HyperlinkItalic"/>
            <w:rFonts w:cstheme="minorHAnsi"/>
            <w:szCs w:val="21"/>
          </w:rPr>
          <w:t>Attitudes towards violence against women and gender equality among people from non-English speaking countries: Findings from the 2017 NCAS</w:t>
        </w:r>
      </w:hyperlink>
      <w:r w:rsidRPr="007A26A6">
        <w:rPr>
          <w:rStyle w:val="Emphasis"/>
          <w:rFonts w:cstheme="minorHAnsi"/>
          <w:szCs w:val="21"/>
        </w:rPr>
        <w:t xml:space="preserve"> </w:t>
      </w:r>
      <w:r w:rsidRPr="007A26A6">
        <w:rPr>
          <w:rFonts w:cstheme="minorHAnsi"/>
          <w:szCs w:val="21"/>
        </w:rPr>
        <w:t>(ANROWS Insights, Issue 02/2019). Sydney, Australia: ANROWS. p. 22.</w:t>
      </w:r>
    </w:p>
  </w:endnote>
  <w:endnote w:id="380">
    <w:p w14:paraId="27647A3A" w14:textId="632AA46B"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The Men’s Project, &amp; Flood, M. (2018). </w:t>
      </w:r>
      <w:hyperlink r:id="rId401" w:history="1">
        <w:r w:rsidRPr="007A26A6">
          <w:rPr>
            <w:rStyle w:val="HyperlinkItalic"/>
            <w:rFonts w:cstheme="minorHAnsi"/>
            <w:szCs w:val="21"/>
          </w:rPr>
          <w:t>The man box: a study on being a young man in Australia</w:t>
        </w:r>
      </w:hyperlink>
      <w:r w:rsidRPr="007A26A6">
        <w:rPr>
          <w:rStyle w:val="Emphasis"/>
          <w:rFonts w:cstheme="minorHAnsi"/>
          <w:szCs w:val="21"/>
        </w:rPr>
        <w:t xml:space="preserve">. </w:t>
      </w:r>
      <w:r w:rsidRPr="007A26A6">
        <w:rPr>
          <w:rFonts w:cstheme="minorHAnsi"/>
          <w:szCs w:val="21"/>
        </w:rPr>
        <w:t>p. 7.</w:t>
      </w:r>
    </w:p>
  </w:endnote>
  <w:endnote w:id="381">
    <w:p w14:paraId="60110BDA" w14:textId="75F27AD4"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Our Watch. (2019). </w:t>
      </w:r>
      <w:hyperlink r:id="rId402" w:history="1">
        <w:r w:rsidRPr="007A26A6">
          <w:rPr>
            <w:rStyle w:val="HyperlinkItalic"/>
            <w:rFonts w:cstheme="minorHAnsi"/>
            <w:szCs w:val="21"/>
          </w:rPr>
          <w:t>Men in focus: Unpacking masculinities and engaging men in the prevention of violence against women</w:t>
        </w:r>
      </w:hyperlink>
      <w:r w:rsidRPr="007A26A6">
        <w:rPr>
          <w:rStyle w:val="HyperlinkItalic"/>
          <w:rFonts w:cstheme="minorHAnsi"/>
          <w:szCs w:val="21"/>
        </w:rPr>
        <w:t>.</w:t>
      </w:r>
    </w:p>
  </w:endnote>
  <w:endnote w:id="382">
    <w:p w14:paraId="24558216" w14:textId="36DDA6F6"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Hearn, J., &amp; Whitehead, A. (2006). Collateral damage: Men’s domestic violence to women seen through men’s relations with other men. </w:t>
      </w:r>
      <w:r w:rsidRPr="007A26A6">
        <w:rPr>
          <w:rStyle w:val="Emphasis"/>
          <w:rFonts w:cstheme="minorHAnsi"/>
          <w:szCs w:val="21"/>
        </w:rPr>
        <w:t>Journal of Community and Criminal Justice</w:t>
      </w:r>
      <w:r w:rsidRPr="007A26A6">
        <w:rPr>
          <w:rFonts w:cstheme="minorHAnsi"/>
          <w:szCs w:val="21"/>
        </w:rPr>
        <w:t xml:space="preserve">, </w:t>
      </w:r>
      <w:r w:rsidRPr="007A26A6">
        <w:rPr>
          <w:rStyle w:val="Emphasis"/>
          <w:rFonts w:cstheme="minorHAnsi"/>
          <w:szCs w:val="21"/>
        </w:rPr>
        <w:t>53</w:t>
      </w:r>
      <w:r w:rsidRPr="007A26A6">
        <w:rPr>
          <w:rFonts w:cstheme="minorHAnsi"/>
          <w:szCs w:val="21"/>
        </w:rPr>
        <w:t>(1), 38–56.</w:t>
      </w:r>
    </w:p>
  </w:endnote>
  <w:endnote w:id="383">
    <w:p w14:paraId="4304C99D" w14:textId="2423B4AE"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Flood, M., &amp; Pease, B. (2009). Factors influencing attitudes to violence against women. </w:t>
      </w:r>
      <w:r w:rsidRPr="007A26A6">
        <w:rPr>
          <w:rStyle w:val="Emphasis"/>
          <w:rFonts w:cstheme="minorHAnsi"/>
          <w:szCs w:val="21"/>
        </w:rPr>
        <w:t>Trauma, Violence and Abuse</w:t>
      </w:r>
      <w:r w:rsidRPr="007A26A6">
        <w:rPr>
          <w:rFonts w:cstheme="minorHAnsi"/>
          <w:szCs w:val="21"/>
        </w:rPr>
        <w:t xml:space="preserve">, </w:t>
      </w:r>
      <w:r w:rsidRPr="007A26A6">
        <w:rPr>
          <w:rStyle w:val="Emphasis"/>
          <w:rFonts w:cstheme="minorHAnsi"/>
          <w:szCs w:val="21"/>
        </w:rPr>
        <w:t>10</w:t>
      </w:r>
      <w:r w:rsidRPr="007A26A6">
        <w:rPr>
          <w:rFonts w:cstheme="minorHAnsi"/>
          <w:szCs w:val="21"/>
        </w:rPr>
        <w:t>(2), 125–142.</w:t>
      </w:r>
    </w:p>
  </w:endnote>
  <w:endnote w:id="384">
    <w:p w14:paraId="58FE90BA" w14:textId="725F0EAC" w:rsidR="00F53B39" w:rsidRPr="007A26A6" w:rsidRDefault="00F53B39" w:rsidP="00517772">
      <w:pPr>
        <w:pStyle w:val="EndnoteText"/>
        <w:keepNext/>
        <w:rPr>
          <w:rFonts w:cstheme="minorHAnsi"/>
          <w:szCs w:val="21"/>
        </w:rPr>
      </w:pPr>
      <w:r w:rsidRPr="007A26A6">
        <w:rPr>
          <w:rFonts w:cstheme="minorHAnsi"/>
          <w:szCs w:val="21"/>
        </w:rPr>
        <w:endnoteRef/>
      </w:r>
      <w:r w:rsidRPr="007A26A6">
        <w:rPr>
          <w:rFonts w:cstheme="minorHAnsi"/>
          <w:szCs w:val="21"/>
        </w:rPr>
        <w:tab/>
        <w:t xml:space="preserve">Powell, A. (2011). </w:t>
      </w:r>
      <w:hyperlink r:id="rId403" w:history="1">
        <w:r w:rsidRPr="007A26A6">
          <w:rPr>
            <w:rStyle w:val="HyperlinkItalic"/>
            <w:rFonts w:cstheme="minorHAnsi"/>
            <w:szCs w:val="21"/>
          </w:rPr>
          <w:t>Review of bystander attitudes in support of preventing violence against women</w:t>
        </w:r>
      </w:hyperlink>
      <w:r w:rsidRPr="007A26A6">
        <w:rPr>
          <w:rFonts w:cstheme="minorHAnsi"/>
          <w:szCs w:val="21"/>
        </w:rPr>
        <w:t>. Melbourne, Australia: Victorian Health Promotion Foundation.</w:t>
      </w:r>
    </w:p>
    <w:p w14:paraId="324FE664" w14:textId="43C2DFD5" w:rsidR="00F53B39" w:rsidRPr="007A26A6" w:rsidRDefault="00F53B39" w:rsidP="00E114E5">
      <w:pPr>
        <w:pStyle w:val="OWEndnotetextindent"/>
        <w:rPr>
          <w:rFonts w:cstheme="minorHAnsi"/>
        </w:rPr>
      </w:pPr>
      <w:r w:rsidRPr="007A26A6">
        <w:rPr>
          <w:rFonts w:cstheme="minorHAnsi"/>
        </w:rPr>
        <w:t xml:space="preserve">European Commission. (2010). </w:t>
      </w:r>
      <w:hyperlink r:id="rId404" w:history="1">
        <w:r w:rsidRPr="007A26A6">
          <w:rPr>
            <w:rStyle w:val="HyperlinkItalic"/>
            <w:rFonts w:cstheme="minorHAnsi"/>
          </w:rPr>
          <w:t>Factors at play in the perpetration of violence against women, violence against children and sexual orientation violence: A multi-level interactive model</w:t>
        </w:r>
      </w:hyperlink>
      <w:r w:rsidRPr="007A26A6">
        <w:rPr>
          <w:rFonts w:cstheme="minorHAnsi"/>
        </w:rPr>
        <w:t>.</w:t>
      </w:r>
    </w:p>
  </w:endnote>
  <w:endnote w:id="385">
    <w:p w14:paraId="3B3E264C" w14:textId="2611D841" w:rsidR="00F53B39" w:rsidRPr="007A26A6" w:rsidRDefault="00F53B39" w:rsidP="007A3E39">
      <w:pPr>
        <w:pStyle w:val="EndnoteText"/>
        <w:keepNext/>
        <w:rPr>
          <w:rFonts w:cstheme="minorHAnsi"/>
          <w:szCs w:val="21"/>
        </w:rPr>
      </w:pPr>
      <w:r w:rsidRPr="007A26A6">
        <w:rPr>
          <w:rFonts w:cstheme="minorHAnsi"/>
          <w:szCs w:val="21"/>
        </w:rPr>
        <w:endnoteRef/>
      </w:r>
      <w:r w:rsidRPr="007A26A6">
        <w:rPr>
          <w:rFonts w:cstheme="minorHAnsi"/>
          <w:szCs w:val="21"/>
        </w:rPr>
        <w:tab/>
        <w:t xml:space="preserve">Our Watch. (2019). </w:t>
      </w:r>
      <w:hyperlink r:id="rId405" w:history="1">
        <w:r w:rsidRPr="007A26A6">
          <w:rPr>
            <w:rStyle w:val="HyperlinkItalic"/>
            <w:rFonts w:cstheme="minorHAnsi"/>
            <w:szCs w:val="21"/>
          </w:rPr>
          <w:t>Men in focus: Unpacking masculinities and engaging men in the prevention of violence against women</w:t>
        </w:r>
      </w:hyperlink>
      <w:r w:rsidRPr="007A26A6">
        <w:rPr>
          <w:rFonts w:cstheme="minorHAnsi"/>
          <w:szCs w:val="21"/>
        </w:rPr>
        <w:t>. p. 54.</w:t>
      </w:r>
    </w:p>
    <w:p w14:paraId="5A5005E7" w14:textId="77777777" w:rsidR="00F53B39" w:rsidRPr="007A26A6" w:rsidRDefault="00F53B39" w:rsidP="00E114E5">
      <w:pPr>
        <w:pStyle w:val="OWEndnotetextindent"/>
        <w:rPr>
          <w:rFonts w:cstheme="minorHAnsi"/>
        </w:rPr>
      </w:pPr>
      <w:r w:rsidRPr="007A26A6">
        <w:rPr>
          <w:rFonts w:cstheme="minorHAnsi"/>
        </w:rPr>
        <w:t xml:space="preserve">Jones, C., Trott, V., &amp; Wright, S. (2019). Sluts and soyboys: MGTOW and the production of misogynistic online harassment, </w:t>
      </w:r>
      <w:r w:rsidRPr="007A26A6">
        <w:rPr>
          <w:rStyle w:val="Emphasis"/>
          <w:rFonts w:cstheme="minorHAnsi"/>
        </w:rPr>
        <w:t>new media &amp; society</w:t>
      </w:r>
      <w:r w:rsidRPr="007A26A6">
        <w:rPr>
          <w:rFonts w:cstheme="minorHAnsi"/>
        </w:rPr>
        <w:t>, 1–19.</w:t>
      </w:r>
    </w:p>
    <w:p w14:paraId="4AFF5605" w14:textId="77777777" w:rsidR="00F53B39" w:rsidRPr="007A26A6" w:rsidRDefault="00F53B39" w:rsidP="00E114E5">
      <w:pPr>
        <w:pStyle w:val="OWEndnotetextindent"/>
        <w:rPr>
          <w:rFonts w:cstheme="minorHAnsi"/>
        </w:rPr>
      </w:pPr>
      <w:r w:rsidRPr="007A26A6">
        <w:rPr>
          <w:rFonts w:cstheme="minorHAnsi"/>
        </w:rPr>
        <w:t xml:space="preserve">Schmitz, R. M, &amp; Kazyak, E. (2016). Masculinities in cyberspace: An analysis of portrayals of manhood in men’s rights activist websites. </w:t>
      </w:r>
      <w:r w:rsidRPr="007A26A6">
        <w:rPr>
          <w:rStyle w:val="Emphasis"/>
          <w:rFonts w:cstheme="minorHAnsi"/>
        </w:rPr>
        <w:t>Soc. Sci.</w:t>
      </w:r>
      <w:r w:rsidRPr="007A26A6">
        <w:rPr>
          <w:rFonts w:cstheme="minorHAnsi"/>
        </w:rPr>
        <w:t xml:space="preserve"> 2016, </w:t>
      </w:r>
      <w:r w:rsidRPr="007A26A6">
        <w:rPr>
          <w:rStyle w:val="Emphasis"/>
          <w:rFonts w:cstheme="minorHAnsi"/>
        </w:rPr>
        <w:t>5</w:t>
      </w:r>
      <w:r w:rsidRPr="007A26A6">
        <w:rPr>
          <w:rFonts w:cstheme="minorHAnsi"/>
        </w:rPr>
        <w:t>, 18, doi:10.3390/socsci5020018.</w:t>
      </w:r>
    </w:p>
    <w:p w14:paraId="68D10337" w14:textId="15A20258" w:rsidR="00F53B39" w:rsidRPr="007A26A6" w:rsidRDefault="00F53B39" w:rsidP="00E114E5">
      <w:pPr>
        <w:pStyle w:val="OWEndnotetextindent"/>
        <w:rPr>
          <w:rFonts w:cstheme="minorHAnsi"/>
          <w:lang w:val="en-US"/>
        </w:rPr>
      </w:pPr>
      <w:r w:rsidRPr="007A26A6">
        <w:rPr>
          <w:rFonts w:cstheme="minorHAnsi"/>
        </w:rPr>
        <w:t>Schmitz, R. M. (2016</w:t>
      </w:r>
      <w:r>
        <w:rPr>
          <w:rFonts w:cstheme="minorHAnsi"/>
        </w:rPr>
        <w:t xml:space="preserve">). </w:t>
      </w:r>
      <w:hyperlink r:id="rId406" w:history="1">
        <w:r>
          <w:rPr>
            <w:rStyle w:val="Hyperlink"/>
            <w:rFonts w:cstheme="minorHAnsi"/>
          </w:rPr>
          <w:t>Intersections of hate: Exploring the transecting dimensions of race, religion, gender, and family in Ku Klux Klan Web sites</w:t>
        </w:r>
      </w:hyperlink>
      <w:r w:rsidRPr="007A26A6">
        <w:rPr>
          <w:rFonts w:cstheme="minorHAnsi"/>
        </w:rPr>
        <w:t xml:space="preserve">. </w:t>
      </w:r>
      <w:r w:rsidRPr="007A26A6">
        <w:rPr>
          <w:rStyle w:val="Emphasis"/>
          <w:rFonts w:cstheme="minorHAnsi"/>
        </w:rPr>
        <w:t>Sociological focus</w:t>
      </w:r>
      <w:r w:rsidRPr="007A26A6">
        <w:rPr>
          <w:rFonts w:cstheme="minorHAnsi"/>
        </w:rPr>
        <w:t xml:space="preserve">, </w:t>
      </w:r>
      <w:r w:rsidRPr="007A26A6">
        <w:rPr>
          <w:rStyle w:val="Emphasis"/>
          <w:rFonts w:cstheme="minorHAnsi"/>
        </w:rPr>
        <w:t>49</w:t>
      </w:r>
      <w:r w:rsidRPr="007A26A6">
        <w:rPr>
          <w:rFonts w:cstheme="minorHAnsi"/>
        </w:rPr>
        <w:t>(3), 200–214.</w:t>
      </w:r>
    </w:p>
  </w:endnote>
  <w:endnote w:id="386">
    <w:p w14:paraId="59939F34" w14:textId="03409D73"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Ou</w:t>
      </w:r>
      <w:r w:rsidRPr="007A26A6">
        <w:rPr>
          <w:rFonts w:cstheme="minorHAnsi"/>
          <w:szCs w:val="21"/>
          <w:lang w:eastAsia="en-GB"/>
        </w:rPr>
        <w:t xml:space="preserve">r Watch, ANROWS, &amp; VicHealth. (2015). </w:t>
      </w:r>
      <w:hyperlink r:id="rId407" w:history="1">
        <w:r w:rsidRPr="007A26A6">
          <w:rPr>
            <w:rStyle w:val="HyperlinkItalic"/>
            <w:rFonts w:cstheme="minorHAnsi"/>
            <w:szCs w:val="21"/>
          </w:rPr>
          <w:t>Change the story: A shared framework for the primary prevention of violence against women and their children in Australia</w:t>
        </w:r>
      </w:hyperlink>
      <w:r w:rsidRPr="007A26A6">
        <w:rPr>
          <w:rFonts w:cstheme="minorHAnsi"/>
          <w:szCs w:val="21"/>
          <w:lang w:eastAsia="en-GB"/>
        </w:rPr>
        <w:t xml:space="preserve">. </w:t>
      </w:r>
      <w:r w:rsidRPr="007A26A6">
        <w:rPr>
          <w:rFonts w:cstheme="minorHAnsi"/>
          <w:szCs w:val="21"/>
        </w:rPr>
        <w:t>p. 26.</w:t>
      </w:r>
    </w:p>
  </w:endnote>
  <w:endnote w:id="387">
    <w:p w14:paraId="1DB4719A" w14:textId="60E4F016"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Our Watch. (2019). </w:t>
      </w:r>
      <w:hyperlink r:id="rId408" w:history="1">
        <w:r w:rsidRPr="007A26A6">
          <w:rPr>
            <w:rStyle w:val="HyperlinkItalic"/>
            <w:rFonts w:cstheme="minorHAnsi"/>
            <w:szCs w:val="21"/>
          </w:rPr>
          <w:t>Men in focus: Unpacking masculinities and engaging men in the prevention of violence against women</w:t>
        </w:r>
      </w:hyperlink>
      <w:r w:rsidRPr="007A26A6">
        <w:rPr>
          <w:rFonts w:cstheme="minorHAnsi"/>
          <w:szCs w:val="21"/>
        </w:rPr>
        <w:t>.</w:t>
      </w:r>
    </w:p>
  </w:endnote>
  <w:endnote w:id="388">
    <w:p w14:paraId="612A510B" w14:textId="4581D71E"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Sheeran, P., &amp; Webb, T. (2016). The intention-behaviour gap, </w:t>
      </w:r>
      <w:r w:rsidRPr="007A26A6">
        <w:rPr>
          <w:rStyle w:val="Emphasis"/>
          <w:rFonts w:cstheme="minorHAnsi"/>
          <w:szCs w:val="21"/>
        </w:rPr>
        <w:t>Social and Personality Psychology Compass</w:t>
      </w:r>
      <w:r w:rsidRPr="007A26A6">
        <w:rPr>
          <w:rFonts w:cstheme="minorHAnsi"/>
          <w:szCs w:val="21"/>
        </w:rPr>
        <w:t xml:space="preserve">, </w:t>
      </w:r>
      <w:r w:rsidRPr="007A26A6">
        <w:rPr>
          <w:rStyle w:val="Emphasis"/>
          <w:rFonts w:cstheme="minorHAnsi"/>
          <w:szCs w:val="21"/>
        </w:rPr>
        <w:t>10</w:t>
      </w:r>
      <w:r w:rsidRPr="007A26A6">
        <w:rPr>
          <w:rFonts w:cstheme="minorHAnsi"/>
          <w:szCs w:val="21"/>
        </w:rPr>
        <w:t>(9), 503–518.</w:t>
      </w:r>
    </w:p>
  </w:endnote>
  <w:endnote w:id="389">
    <w:p w14:paraId="61567E7D" w14:textId="21AF6455"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Unpublished Our Watch paper on the prevention of violence against women with disability.</w:t>
      </w:r>
    </w:p>
  </w:endnote>
  <w:endnote w:id="390">
    <w:p w14:paraId="383E5A76" w14:textId="49DB5562"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Our Watch. (2019). </w:t>
      </w:r>
      <w:hyperlink r:id="rId409" w:history="1">
        <w:r w:rsidRPr="007A26A6">
          <w:rPr>
            <w:rStyle w:val="HyperlinkItalic"/>
            <w:rFonts w:cstheme="minorHAnsi"/>
            <w:szCs w:val="21"/>
          </w:rPr>
          <w:t>Change the story three years on: Reflections on uptake and impact, lessons learned and Our Watch’s ongoing work to embed and expand the evidence on prevention</w:t>
        </w:r>
      </w:hyperlink>
      <w:r w:rsidRPr="007A26A6">
        <w:rPr>
          <w:rFonts w:cstheme="minorHAnsi"/>
          <w:szCs w:val="21"/>
        </w:rPr>
        <w:t>. p. 26.</w:t>
      </w:r>
    </w:p>
  </w:endnote>
  <w:endnote w:id="391">
    <w:p w14:paraId="60935549" w14:textId="7E6775D4"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Our Watch. (2018). </w:t>
      </w:r>
      <w:hyperlink r:id="rId410" w:history="1">
        <w:r w:rsidRPr="007A26A6">
          <w:rPr>
            <w:rStyle w:val="HyperlinkItalic"/>
            <w:rFonts w:cstheme="minorHAnsi"/>
            <w:szCs w:val="21"/>
          </w:rPr>
          <w:t>Changing the picture: A national resource to support the prevention of violence against Aboriginal and Torres Strait Islander women and their children</w:t>
        </w:r>
      </w:hyperlink>
      <w:r w:rsidRPr="007A26A6">
        <w:rPr>
          <w:rFonts w:cstheme="minorHAnsi"/>
          <w:szCs w:val="21"/>
        </w:rPr>
        <w:t>. pp. 68–69.</w:t>
      </w:r>
    </w:p>
  </w:endnote>
  <w:endnote w:id="392">
    <w:p w14:paraId="1F4D4138" w14:textId="62202F10"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Our Watch &amp; Rainbow Health (formerly GLHV). (2017). </w:t>
      </w:r>
      <w:hyperlink r:id="rId411" w:history="1">
        <w:r w:rsidRPr="007A26A6">
          <w:rPr>
            <w:rStyle w:val="HyperlinkItalic"/>
            <w:rFonts w:cstheme="minorHAnsi"/>
            <w:szCs w:val="21"/>
          </w:rPr>
          <w:t>Primary prevention of family violence against people from LGBTI communities – An analysis of existing research</w:t>
        </w:r>
      </w:hyperlink>
      <w:r w:rsidRPr="007A26A6">
        <w:rPr>
          <w:rFonts w:cstheme="minorHAnsi"/>
          <w:szCs w:val="21"/>
        </w:rPr>
        <w:t>.</w:t>
      </w:r>
    </w:p>
  </w:endnote>
  <w:endnote w:id="393">
    <w:p w14:paraId="7A7059E3" w14:textId="07BA6C22"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Stubbs, D., &amp; Tawake, S. (2009). </w:t>
      </w:r>
      <w:hyperlink r:id="rId412" w:history="1">
        <w:r w:rsidRPr="007A26A6">
          <w:rPr>
            <w:rStyle w:val="HyperlinkItalic"/>
            <w:rFonts w:cstheme="minorHAnsi"/>
            <w:szCs w:val="21"/>
          </w:rPr>
          <w:t>Pacific sisters with disabilities: At the intersection of discrimination</w:t>
        </w:r>
      </w:hyperlink>
      <w:r w:rsidRPr="007A26A6">
        <w:rPr>
          <w:rFonts w:cstheme="minorHAnsi"/>
          <w:szCs w:val="21"/>
        </w:rPr>
        <w:t>. Suva, Fiji Islands: UNDP Pacific Centre.</w:t>
      </w:r>
    </w:p>
  </w:endnote>
  <w:endnote w:id="394">
    <w:p w14:paraId="65D262C3" w14:textId="15D2F65F" w:rsidR="00F53B39" w:rsidRPr="007A26A6" w:rsidRDefault="00F53B39" w:rsidP="00BD791F">
      <w:pPr>
        <w:pStyle w:val="EndnoteText"/>
        <w:rPr>
          <w:rFonts w:cstheme="minorHAnsi"/>
          <w:szCs w:val="21"/>
        </w:rPr>
      </w:pPr>
      <w:r w:rsidRPr="007A26A6">
        <w:rPr>
          <w:rFonts w:cstheme="minorHAnsi"/>
          <w:szCs w:val="21"/>
        </w:rPr>
        <w:endnoteRef/>
      </w:r>
      <w:r w:rsidRPr="007A26A6">
        <w:rPr>
          <w:rFonts w:cstheme="minorHAnsi"/>
          <w:szCs w:val="21"/>
        </w:rPr>
        <w:tab/>
        <w:t xml:space="preserve">Australian Bureau of Statistics. (2018). </w:t>
      </w:r>
      <w:hyperlink r:id="rId413" w:history="1">
        <w:r w:rsidRPr="007A26A6">
          <w:rPr>
            <w:rStyle w:val="HyperlinkItalic"/>
            <w:rFonts w:cstheme="minorHAnsi"/>
            <w:szCs w:val="21"/>
          </w:rPr>
          <w:t>Experiences of Violence and Personal Safety of People with Disability</w:t>
        </w:r>
      </w:hyperlink>
      <w:r w:rsidRPr="007A26A6">
        <w:rPr>
          <w:rFonts w:cstheme="minorHAnsi"/>
          <w:szCs w:val="21"/>
        </w:rPr>
        <w:t>. Additional analysis of the Personal Safety Survey 2016 (cat. no. 4431.0.5.003). First issue. Canberra, Australia: ABS.</w:t>
      </w:r>
    </w:p>
    <w:p w14:paraId="5323D24B" w14:textId="59425FD2" w:rsidR="00F53B39" w:rsidRPr="007A26A6" w:rsidRDefault="00F53B39" w:rsidP="00BD791F">
      <w:pPr>
        <w:pStyle w:val="OWEndnotetextindent"/>
        <w:rPr>
          <w:rFonts w:cstheme="minorHAnsi"/>
        </w:rPr>
      </w:pPr>
      <w:r w:rsidRPr="007A26A6">
        <w:rPr>
          <w:rFonts w:cstheme="minorHAnsi"/>
        </w:rPr>
        <w:t xml:space="preserve">Australian Institute of Health and Welfare. (2019). </w:t>
      </w:r>
      <w:hyperlink r:id="rId414" w:history="1">
        <w:r w:rsidRPr="007A26A6">
          <w:rPr>
            <w:rStyle w:val="HyperlinkItalic"/>
            <w:rFonts w:cstheme="minorHAnsi"/>
          </w:rPr>
          <w:t>People with disability in Australia</w:t>
        </w:r>
      </w:hyperlink>
      <w:r w:rsidRPr="007A26A6">
        <w:rPr>
          <w:rFonts w:cstheme="minorHAnsi"/>
        </w:rPr>
        <w:t xml:space="preserve"> (cat. no. DIS 72).</w:t>
      </w:r>
    </w:p>
    <w:p w14:paraId="282AF15E" w14:textId="6262D5CD" w:rsidR="00F53B39" w:rsidRPr="007A26A6" w:rsidRDefault="00F53B39" w:rsidP="00BD791F">
      <w:pPr>
        <w:pStyle w:val="OWEndnotetextindent"/>
        <w:rPr>
          <w:rFonts w:cstheme="minorHAnsi"/>
        </w:rPr>
      </w:pPr>
      <w:r w:rsidRPr="007A26A6">
        <w:rPr>
          <w:rFonts w:cstheme="minorHAnsi"/>
        </w:rPr>
        <w:t xml:space="preserve">Australian Institute of Health and Welfare. (2019). </w:t>
      </w:r>
      <w:hyperlink r:id="rId415" w:history="1">
        <w:r w:rsidRPr="007A26A6">
          <w:rPr>
            <w:rStyle w:val="HyperlinkItalic"/>
            <w:rFonts w:cstheme="minorHAnsi"/>
          </w:rPr>
          <w:t>Family, Domestic and Sexual Violence in Australia: Continuing the national story</w:t>
        </w:r>
      </w:hyperlink>
      <w:r w:rsidRPr="007A26A6">
        <w:rPr>
          <w:rFonts w:cstheme="minorHAnsi"/>
        </w:rPr>
        <w:t xml:space="preserve"> (cat. no. FDV 3). Canberra, Australia: AIHW.</w:t>
      </w:r>
    </w:p>
  </w:endnote>
  <w:endnote w:id="395">
    <w:p w14:paraId="3AEE88A4" w14:textId="04B10380"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Murdolo, A., &amp; Quiazon, R. (2015). </w:t>
      </w:r>
      <w:hyperlink r:id="rId416" w:history="1">
        <w:r w:rsidRPr="007A26A6">
          <w:rPr>
            <w:rStyle w:val="Hyperlink"/>
            <w:rFonts w:cstheme="minorHAnsi"/>
            <w:szCs w:val="21"/>
          </w:rPr>
          <w:t>Bringing the margins to the centre</w:t>
        </w:r>
      </w:hyperlink>
      <w:r w:rsidRPr="007A26A6">
        <w:rPr>
          <w:rFonts w:cstheme="minorHAnsi"/>
          <w:szCs w:val="21"/>
        </w:rPr>
        <w:t>. Our Watch Change the Story think pieces.</w:t>
      </w:r>
    </w:p>
  </w:endnote>
  <w:endnote w:id="396">
    <w:p w14:paraId="1A8F7DF7" w14:textId="15DFF9CE"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Murdolo, A., &amp; Quiazon, R. (2015). </w:t>
      </w:r>
      <w:hyperlink r:id="rId417" w:history="1">
        <w:r w:rsidRPr="007A26A6">
          <w:rPr>
            <w:rStyle w:val="Hyperlink"/>
            <w:rFonts w:cstheme="minorHAnsi"/>
            <w:szCs w:val="21"/>
          </w:rPr>
          <w:t>Bringing the margins to the centre</w:t>
        </w:r>
      </w:hyperlink>
      <w:r w:rsidRPr="007A26A6">
        <w:rPr>
          <w:rFonts w:cstheme="minorHAnsi"/>
          <w:szCs w:val="21"/>
        </w:rPr>
        <w:t>. Our Watch Change the Story think pieces.</w:t>
      </w:r>
    </w:p>
  </w:endnote>
  <w:endnote w:id="397">
    <w:p w14:paraId="12363ACB" w14:textId="4C7EFF12"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Chen, J. (2017). </w:t>
      </w:r>
      <w:hyperlink r:id="rId418" w:history="1">
        <w:r w:rsidRPr="007A26A6">
          <w:rPr>
            <w:rStyle w:val="HyperlinkItalic"/>
            <w:rFonts w:cstheme="minorHAnsi"/>
            <w:szCs w:val="21"/>
          </w:rPr>
          <w:t>Intersectionality matters: A guide to engaging immigrant and refugee communities in Australia</w:t>
        </w:r>
      </w:hyperlink>
      <w:r w:rsidRPr="007A26A6">
        <w:rPr>
          <w:rFonts w:cstheme="minorHAnsi"/>
          <w:szCs w:val="21"/>
        </w:rPr>
        <w:t>.</w:t>
      </w:r>
    </w:p>
  </w:endnote>
  <w:endnote w:id="398">
    <w:p w14:paraId="631DBF8B" w14:textId="3F0C27F6"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Human Rights Commission. (2015). </w:t>
      </w:r>
      <w:hyperlink r:id="rId419" w:history="1">
        <w:r w:rsidRPr="007A26A6">
          <w:rPr>
            <w:rStyle w:val="HyperlinkItalic"/>
            <w:rFonts w:cstheme="minorHAnsi"/>
            <w:szCs w:val="21"/>
          </w:rPr>
          <w:t>National prevalence survey of age discrimination in the workplace</w:t>
        </w:r>
      </w:hyperlink>
      <w:r w:rsidRPr="007A26A6">
        <w:rPr>
          <w:rFonts w:cstheme="minorHAnsi"/>
          <w:szCs w:val="21"/>
        </w:rPr>
        <w:t>.</w:t>
      </w:r>
    </w:p>
  </w:endnote>
  <w:endnote w:id="399">
    <w:p w14:paraId="7F146A6E" w14:textId="5065DAB6"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Joosten, M., Vrantsidis, F., &amp; Dow, B. (2017). </w:t>
      </w:r>
      <w:hyperlink r:id="rId420" w:history="1">
        <w:r w:rsidRPr="007A26A6">
          <w:rPr>
            <w:rStyle w:val="HyperlinkItalic"/>
            <w:rFonts w:cstheme="minorHAnsi"/>
            <w:szCs w:val="21"/>
          </w:rPr>
          <w:t>Understanding elder abuse: A scoping study</w:t>
        </w:r>
      </w:hyperlink>
      <w:r w:rsidRPr="007A26A6">
        <w:rPr>
          <w:rFonts w:cstheme="minorHAnsi"/>
          <w:szCs w:val="21"/>
        </w:rPr>
        <w:t>. Melbourne, Australia: University of Melbourne and the National Ageing Research Institute.</w:t>
      </w:r>
    </w:p>
  </w:endnote>
  <w:endnote w:id="400">
    <w:p w14:paraId="46A3BEDA" w14:textId="6E8469DB" w:rsidR="00F53B39" w:rsidRPr="007A26A6" w:rsidRDefault="00F53B39" w:rsidP="007A3E39">
      <w:pPr>
        <w:pStyle w:val="EndnoteText"/>
        <w:keepNext/>
        <w:rPr>
          <w:rFonts w:cstheme="minorHAnsi"/>
          <w:szCs w:val="21"/>
        </w:rPr>
      </w:pPr>
      <w:r w:rsidRPr="007A26A6">
        <w:rPr>
          <w:rFonts w:cstheme="minorHAnsi"/>
          <w:szCs w:val="21"/>
        </w:rPr>
        <w:endnoteRef/>
      </w:r>
      <w:r w:rsidRPr="007A26A6">
        <w:rPr>
          <w:rFonts w:cstheme="minorHAnsi"/>
          <w:szCs w:val="21"/>
        </w:rPr>
        <w:tab/>
        <w:t xml:space="preserve">Maiam nayri Wingara Indigenous Data Sovereignty Collective. </w:t>
      </w:r>
      <w:hyperlink r:id="rId421" w:history="1">
        <w:r w:rsidRPr="007A26A6">
          <w:rPr>
            <w:rStyle w:val="HyperlinkItalic"/>
            <w:rFonts w:cstheme="minorHAnsi"/>
            <w:szCs w:val="21"/>
          </w:rPr>
          <w:t>Maiam nayri Wingara</w:t>
        </w:r>
      </w:hyperlink>
      <w:r w:rsidRPr="007A26A6">
        <w:rPr>
          <w:rFonts w:cstheme="minorHAnsi"/>
          <w:szCs w:val="21"/>
        </w:rPr>
        <w:t>. Retrieved November 2019.</w:t>
      </w:r>
    </w:p>
    <w:p w14:paraId="4E8D8363" w14:textId="68DDEC6B" w:rsidR="00F53B39" w:rsidRPr="007A26A6" w:rsidRDefault="00F53B39" w:rsidP="008621BE">
      <w:pPr>
        <w:pStyle w:val="OWEndnotetextindent"/>
        <w:rPr>
          <w:rFonts w:cstheme="minorHAnsi"/>
        </w:rPr>
      </w:pPr>
      <w:r w:rsidRPr="007A26A6">
        <w:rPr>
          <w:rFonts w:cstheme="minorHAnsi"/>
        </w:rPr>
        <w:t xml:space="preserve">Kukutai, T., &amp; Taylor, J. (Eds.). (2016). </w:t>
      </w:r>
      <w:hyperlink r:id="rId422" w:history="1">
        <w:r w:rsidRPr="007A26A6">
          <w:rPr>
            <w:rStyle w:val="HyperlinkItalic"/>
            <w:rFonts w:cstheme="minorHAnsi"/>
          </w:rPr>
          <w:t>Indigenous data sovereignty: Toward an agenda</w:t>
        </w:r>
      </w:hyperlink>
      <w:r w:rsidRPr="007A26A6">
        <w:rPr>
          <w:rFonts w:cstheme="minorHAnsi"/>
        </w:rPr>
        <w:t>. (Research monograph no. 38). Canberra: ANU Press.</w:t>
      </w:r>
    </w:p>
  </w:endnote>
  <w:endnote w:id="401">
    <w:p w14:paraId="0933EAFF" w14:textId="24C3BA70"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Holland, C. (2018). </w:t>
      </w:r>
      <w:hyperlink r:id="rId423" w:history="1">
        <w:r w:rsidRPr="007A26A6">
          <w:rPr>
            <w:rStyle w:val="HyperlinkItalic"/>
            <w:rFonts w:cstheme="minorHAnsi"/>
            <w:szCs w:val="21"/>
          </w:rPr>
          <w:t>Close the gap – A ten-year review: the Closing the Gap Strategy and recommendations for reset</w:t>
        </w:r>
      </w:hyperlink>
      <w:r w:rsidRPr="007A26A6">
        <w:rPr>
          <w:rFonts w:cstheme="minorHAnsi"/>
          <w:szCs w:val="21"/>
        </w:rPr>
        <w:t>. Close the Gap Steering Committee for Indigenous Health Equality.</w:t>
      </w:r>
    </w:p>
  </w:endnote>
  <w:endnote w:id="402">
    <w:p w14:paraId="599CA102" w14:textId="03D40DF1"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Lewis, N., &amp; Weston, R. (2019). </w:t>
      </w:r>
      <w:hyperlink r:id="rId424" w:history="1">
        <w:r w:rsidRPr="007A26A6">
          <w:rPr>
            <w:rStyle w:val="HyperlinkItalic"/>
            <w:rFonts w:cstheme="minorHAnsi"/>
            <w:szCs w:val="21"/>
          </w:rPr>
          <w:t>The Family Matters Report 2019: Measuring trends to turn the tide on the over-representation of Aboriginal and Torres Strait Islander children in out-of-home care in Australia</w:t>
        </w:r>
      </w:hyperlink>
      <w:r w:rsidRPr="007A26A6">
        <w:rPr>
          <w:rFonts w:cstheme="minorHAnsi"/>
          <w:szCs w:val="21"/>
        </w:rPr>
        <w:t>. Melbourne, Australia: Family Matters – strong communities, strong culture, stronger children, SNAICC – National Voice for our Children. p. 6.</w:t>
      </w:r>
    </w:p>
  </w:endnote>
  <w:endnote w:id="403">
    <w:p w14:paraId="00A07723" w14:textId="79279351"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425"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w:t>
      </w:r>
    </w:p>
  </w:endnote>
  <w:endnote w:id="404">
    <w:p w14:paraId="2EDDFB7A" w14:textId="7E4B702D"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Markus, A. (2018). </w:t>
      </w:r>
      <w:hyperlink r:id="rId426" w:history="1">
        <w:r w:rsidRPr="007A26A6">
          <w:rPr>
            <w:rStyle w:val="HyperlinkItalic"/>
            <w:rFonts w:cstheme="minorHAnsi"/>
            <w:szCs w:val="21"/>
          </w:rPr>
          <w:t>Mapping social cohesion: The Scanlon Foundation Surveys 2018</w:t>
        </w:r>
      </w:hyperlink>
      <w:r w:rsidRPr="007A26A6">
        <w:rPr>
          <w:rFonts w:cstheme="minorHAnsi"/>
          <w:szCs w:val="21"/>
        </w:rPr>
        <w:t>. Scanlon Foundation, Melbourne, Australia: Monash University. p. 67.</w:t>
      </w:r>
    </w:p>
  </w:endnote>
  <w:endnote w:id="405">
    <w:p w14:paraId="6E5FCA52" w14:textId="2F1B61F7"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Shepherd, C., Li, J., Cooper, M., Hopkins, K., &amp; Farrant, B. (2017). </w:t>
      </w:r>
      <w:hyperlink r:id="rId427" w:history="1">
        <w:r w:rsidRPr="007A26A6">
          <w:rPr>
            <w:rStyle w:val="Hyperlink"/>
            <w:rFonts w:cstheme="minorHAnsi"/>
            <w:szCs w:val="21"/>
          </w:rPr>
          <w:t>The impact of racial discrimination on the health of Australian Indigenous children aged 5–10 years: Analysis of national longitudinal data</w:t>
        </w:r>
      </w:hyperlink>
      <w:r w:rsidRPr="007A26A6">
        <w:rPr>
          <w:rFonts w:cstheme="minorHAnsi"/>
          <w:szCs w:val="21"/>
        </w:rPr>
        <w:t xml:space="preserve">. </w:t>
      </w:r>
      <w:r w:rsidRPr="007A26A6">
        <w:rPr>
          <w:rStyle w:val="Emphasis"/>
          <w:rFonts w:cstheme="minorHAnsi"/>
          <w:szCs w:val="21"/>
        </w:rPr>
        <w:t>International Journal for Equity in Health</w:t>
      </w:r>
      <w:r w:rsidRPr="007A26A6">
        <w:rPr>
          <w:rFonts w:cstheme="minorHAnsi"/>
          <w:szCs w:val="21"/>
        </w:rPr>
        <w:t xml:space="preserve">, </w:t>
      </w:r>
      <w:r w:rsidRPr="007A26A6">
        <w:rPr>
          <w:rStyle w:val="Emphasis"/>
          <w:rFonts w:cstheme="minorHAnsi"/>
          <w:szCs w:val="21"/>
        </w:rPr>
        <w:t>16</w:t>
      </w:r>
      <w:r w:rsidRPr="007A26A6">
        <w:rPr>
          <w:rFonts w:cstheme="minorHAnsi"/>
          <w:szCs w:val="21"/>
        </w:rPr>
        <w:t>(116).</w:t>
      </w:r>
    </w:p>
  </w:endnote>
  <w:endnote w:id="406">
    <w:p w14:paraId="454CDDDF" w14:textId="4889FEB2"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Shepherd et al. (2017). </w:t>
      </w:r>
      <w:hyperlink r:id="rId428" w:history="1">
        <w:r w:rsidRPr="007A26A6">
          <w:rPr>
            <w:rStyle w:val="Hyperlink"/>
            <w:rFonts w:cstheme="minorHAnsi"/>
            <w:szCs w:val="21"/>
          </w:rPr>
          <w:t>The impact of racial discrimination on the health of Australian Indigenous children aged 5–10 years: Analysis of national longitudinal data</w:t>
        </w:r>
      </w:hyperlink>
      <w:r w:rsidRPr="007A26A6">
        <w:rPr>
          <w:rFonts w:cstheme="minorHAnsi"/>
          <w:szCs w:val="21"/>
        </w:rPr>
        <w:t>.</w:t>
      </w:r>
    </w:p>
  </w:endnote>
  <w:endnote w:id="407">
    <w:p w14:paraId="12EE6B20" w14:textId="70FCD4D1"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(2016). </w:t>
      </w:r>
      <w:hyperlink r:id="rId429" w:history="1">
        <w:r w:rsidRPr="007A26A6">
          <w:rPr>
            <w:rStyle w:val="HyperlinkItalic"/>
            <w:rFonts w:cstheme="minorHAnsi"/>
            <w:szCs w:val="21"/>
          </w:rPr>
          <w:t>Disability, Ageing and Carers, Australia: Summary of findings, 2015</w:t>
        </w:r>
      </w:hyperlink>
      <w:r w:rsidRPr="007A26A6">
        <w:rPr>
          <w:rFonts w:cstheme="minorHAnsi"/>
          <w:szCs w:val="21"/>
        </w:rPr>
        <w:t>.</w:t>
      </w:r>
    </w:p>
  </w:endnote>
  <w:endnote w:id="408">
    <w:p w14:paraId="01B67E0F" w14:textId="2E7D542E" w:rsidR="00F53B39" w:rsidRPr="007A26A6" w:rsidRDefault="00F53B39" w:rsidP="008621BE">
      <w:pPr>
        <w:pStyle w:val="EndnoteText"/>
        <w:rPr>
          <w:rFonts w:cstheme="minorHAnsi"/>
          <w:szCs w:val="21"/>
        </w:rPr>
      </w:pPr>
      <w:r w:rsidRPr="007A26A6">
        <w:rPr>
          <w:rFonts w:cstheme="minorHAnsi"/>
          <w:szCs w:val="21"/>
        </w:rPr>
        <w:endnoteRef/>
      </w:r>
      <w:r w:rsidRPr="007A26A6">
        <w:rPr>
          <w:rFonts w:cstheme="minorHAnsi"/>
          <w:szCs w:val="21"/>
        </w:rPr>
        <w:tab/>
        <w:t xml:space="preserve">Lewis, N., &amp; Weston, R. (2019). </w:t>
      </w:r>
      <w:hyperlink r:id="rId430" w:history="1">
        <w:r w:rsidRPr="007A26A6">
          <w:rPr>
            <w:rStyle w:val="HyperlinkItalic"/>
            <w:rFonts w:cstheme="minorHAnsi"/>
            <w:szCs w:val="21"/>
          </w:rPr>
          <w:t>The Family Matters Report 2019: Measuring trends to turn the tide on the over-representation of Aboriginal and Torres Strait Islander children in out-of-home care in Australia</w:t>
        </w:r>
      </w:hyperlink>
      <w:r w:rsidRPr="007A26A6">
        <w:rPr>
          <w:rFonts w:cstheme="minorHAnsi"/>
          <w:szCs w:val="21"/>
        </w:rPr>
        <w:t>.</w:t>
      </w:r>
    </w:p>
    <w:p w14:paraId="510EA4C5" w14:textId="1913451A" w:rsidR="00F53B39" w:rsidRPr="007A26A6" w:rsidRDefault="00F53B39" w:rsidP="008621BE">
      <w:pPr>
        <w:pStyle w:val="OWEndnotetextindent"/>
        <w:rPr>
          <w:rFonts w:cstheme="minorHAnsi"/>
        </w:rPr>
      </w:pPr>
      <w:r w:rsidRPr="007A26A6">
        <w:rPr>
          <w:rFonts w:cstheme="minorHAnsi"/>
        </w:rPr>
        <w:t xml:space="preserve">SCRGSP (Steering Committee for the Review of Government Service Provision). (2016). </w:t>
      </w:r>
      <w:hyperlink r:id="rId431" w:history="1">
        <w:r w:rsidRPr="007A26A6">
          <w:rPr>
            <w:rStyle w:val="HyperlinkItalic"/>
            <w:rFonts w:cstheme="minorHAnsi"/>
          </w:rPr>
          <w:t>Overcoming Indigenous disadvantage: Key Indicators 2016</w:t>
        </w:r>
      </w:hyperlink>
      <w:r w:rsidRPr="007A26A6">
        <w:rPr>
          <w:rFonts w:cstheme="minorHAnsi"/>
        </w:rPr>
        <w:t>.</w:t>
      </w:r>
    </w:p>
    <w:p w14:paraId="21D3BD7D" w14:textId="134EA880" w:rsidR="00F53B39" w:rsidRPr="007A26A6" w:rsidRDefault="00F53B39" w:rsidP="008621BE">
      <w:pPr>
        <w:pStyle w:val="OWEndnotetextindent"/>
        <w:rPr>
          <w:rFonts w:cstheme="minorHAnsi"/>
          <w:lang w:val="en-US"/>
        </w:rPr>
      </w:pPr>
      <w:r w:rsidRPr="007A26A6">
        <w:rPr>
          <w:rFonts w:cstheme="minorHAnsi"/>
        </w:rPr>
        <w:t xml:space="preserve">Wright, P., &amp; Lewis, P. (2017). </w:t>
      </w:r>
      <w:hyperlink r:id="rId432" w:history="1">
        <w:r w:rsidRPr="007A26A6">
          <w:rPr>
            <w:rStyle w:val="HyperlinkItalic"/>
            <w:rFonts w:cstheme="minorHAnsi"/>
          </w:rPr>
          <w:t>Close the gap – Progress and priorities report 2017</w:t>
        </w:r>
      </w:hyperlink>
      <w:r w:rsidRPr="007A26A6">
        <w:rPr>
          <w:rFonts w:cstheme="minorHAnsi"/>
        </w:rPr>
        <w:t>. Close the Gap Campaign Steering Committee.</w:t>
      </w:r>
    </w:p>
  </w:endnote>
  <w:endnote w:id="409">
    <w:p w14:paraId="69874515" w14:textId="4BA2F6DD"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Ou</w:t>
      </w:r>
      <w:r w:rsidRPr="007A26A6">
        <w:rPr>
          <w:rFonts w:cstheme="minorHAnsi"/>
          <w:szCs w:val="21"/>
          <w:lang w:eastAsia="en-GB"/>
        </w:rPr>
        <w:t xml:space="preserve">r Watch, ANROWS, &amp; VicHealth. (2015). </w:t>
      </w:r>
      <w:hyperlink r:id="rId433" w:history="1">
        <w:r w:rsidRPr="007A26A6">
          <w:rPr>
            <w:rStyle w:val="HyperlinkItalic"/>
            <w:rFonts w:cstheme="minorHAnsi"/>
            <w:szCs w:val="21"/>
          </w:rPr>
          <w:t>Change the story: A shared framework for the primary prevention of violence against women and their children in Australia</w:t>
        </w:r>
      </w:hyperlink>
      <w:r w:rsidRPr="007A26A6">
        <w:rPr>
          <w:rFonts w:cstheme="minorHAnsi"/>
          <w:szCs w:val="21"/>
          <w:lang w:eastAsia="en-GB"/>
        </w:rPr>
        <w:t>.</w:t>
      </w:r>
    </w:p>
  </w:endnote>
  <w:endnote w:id="410">
    <w:p w14:paraId="1A0CB1E9" w14:textId="45E55740"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Our Watch. (2019). </w:t>
      </w:r>
      <w:hyperlink r:id="rId434" w:history="1">
        <w:r w:rsidRPr="007A26A6">
          <w:rPr>
            <w:rStyle w:val="HyperlinkItalic"/>
            <w:rFonts w:cstheme="minorHAnsi"/>
            <w:szCs w:val="21"/>
          </w:rPr>
          <w:t>Change the story three years on: Reflections on uptake and impact, lessons learned and Our Watch’s ongoing work to embed and expand the evidence on prevention</w:t>
        </w:r>
      </w:hyperlink>
      <w:r w:rsidRPr="007A26A6">
        <w:rPr>
          <w:rFonts w:cstheme="minorHAnsi"/>
          <w:szCs w:val="21"/>
        </w:rPr>
        <w:t>.</w:t>
      </w:r>
    </w:p>
  </w:endnote>
  <w:endnote w:id="411">
    <w:p w14:paraId="14D464CB" w14:textId="0A50F95C"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435"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109.</w:t>
      </w:r>
    </w:p>
  </w:endnote>
  <w:endnote w:id="412">
    <w:p w14:paraId="4807E614" w14:textId="5F7B005B"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Mayi Kuwayu. (2020). </w:t>
      </w:r>
      <w:hyperlink r:id="rId436" w:history="1">
        <w:r w:rsidRPr="007A26A6">
          <w:rPr>
            <w:rStyle w:val="Hyperlink"/>
            <w:rFonts w:cstheme="minorHAnsi"/>
            <w:szCs w:val="21"/>
          </w:rPr>
          <w:t>Mayi Kuwayu: The national study of Aboriginal and Torres Strait Islander wellbeing</w:t>
        </w:r>
      </w:hyperlink>
      <w:r w:rsidRPr="007A26A6">
        <w:rPr>
          <w:rFonts w:cstheme="minorHAnsi"/>
          <w:szCs w:val="21"/>
        </w:rPr>
        <w:t>.</w:t>
      </w:r>
    </w:p>
  </w:endnote>
  <w:endnote w:id="413">
    <w:p w14:paraId="47A5EE01" w14:textId="0CC99D45"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SCRGSP (Steering Committee for the Review of Government Service Provision). (2016). </w:t>
      </w:r>
      <w:hyperlink r:id="rId437" w:history="1">
        <w:r w:rsidRPr="007A26A6">
          <w:rPr>
            <w:rStyle w:val="HyperlinkItalic"/>
            <w:rFonts w:cstheme="minorHAnsi"/>
            <w:szCs w:val="21"/>
          </w:rPr>
          <w:t>Overcoming Indigenous disadvantage: Key Indicators 2016</w:t>
        </w:r>
      </w:hyperlink>
      <w:r w:rsidRPr="007A26A6">
        <w:rPr>
          <w:rFonts w:cstheme="minorHAnsi"/>
          <w:szCs w:val="21"/>
        </w:rPr>
        <w:t>.</w:t>
      </w:r>
    </w:p>
  </w:endnote>
  <w:endnote w:id="414">
    <w:p w14:paraId="17CFF494" w14:textId="2DA31D5C"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Wright &amp; Lewis. (2017). </w:t>
      </w:r>
      <w:hyperlink r:id="rId438" w:history="1">
        <w:r w:rsidRPr="007A26A6">
          <w:rPr>
            <w:rStyle w:val="HyperlinkItalic"/>
            <w:rFonts w:cstheme="minorHAnsi"/>
            <w:szCs w:val="21"/>
          </w:rPr>
          <w:t>Close the Gap – progress and priorities report 2017</w:t>
        </w:r>
      </w:hyperlink>
      <w:r w:rsidRPr="007A26A6">
        <w:rPr>
          <w:rFonts w:cstheme="minorHAnsi"/>
          <w:szCs w:val="21"/>
        </w:rPr>
        <w:t>.</w:t>
      </w:r>
    </w:p>
  </w:endnote>
  <w:endnote w:id="415">
    <w:p w14:paraId="789D9656" w14:textId="65AA1C39"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Lewis, N., &amp; Weston, R. (2019). </w:t>
      </w:r>
      <w:hyperlink r:id="rId439" w:history="1">
        <w:r w:rsidRPr="007A26A6">
          <w:rPr>
            <w:rStyle w:val="HyperlinkItalic"/>
            <w:rFonts w:cstheme="minorHAnsi"/>
            <w:szCs w:val="21"/>
          </w:rPr>
          <w:t>The Family Matters Report 2019: Measuring trends to turn the tide on the over-representation of Aboriginal and Torres Strait Islander children in out-of-home care in Australia</w:t>
        </w:r>
      </w:hyperlink>
      <w:r w:rsidRPr="007A26A6">
        <w:rPr>
          <w:rFonts w:cstheme="minorHAnsi"/>
          <w:szCs w:val="21"/>
        </w:rPr>
        <w:t>.</w:t>
      </w:r>
    </w:p>
  </w:endnote>
  <w:endnote w:id="416">
    <w:p w14:paraId="7029586E" w14:textId="4A09B3B0" w:rsidR="00F53B39" w:rsidRPr="007A26A6" w:rsidRDefault="00F53B39" w:rsidP="00354644">
      <w:pPr>
        <w:pStyle w:val="EndnoteText"/>
        <w:rPr>
          <w:rFonts w:cstheme="minorHAnsi"/>
          <w:szCs w:val="21"/>
          <w:lang w:val="en-US"/>
        </w:rPr>
      </w:pPr>
      <w:r w:rsidRPr="007A26A6">
        <w:rPr>
          <w:rFonts w:cstheme="minorHAnsi"/>
          <w:szCs w:val="21"/>
        </w:rPr>
        <w:endnoteRef/>
      </w:r>
      <w:r w:rsidRPr="007A26A6">
        <w:rPr>
          <w:rFonts w:cstheme="minorHAnsi"/>
          <w:szCs w:val="21"/>
        </w:rPr>
        <w:tab/>
        <w:t xml:space="preserve">Shepherd et al. (2017). </w:t>
      </w:r>
      <w:hyperlink r:id="rId440" w:history="1">
        <w:r w:rsidRPr="007A26A6">
          <w:rPr>
            <w:rStyle w:val="Hyperlink"/>
            <w:rFonts w:cstheme="minorHAnsi"/>
            <w:szCs w:val="21"/>
          </w:rPr>
          <w:t>The impact of racial discrimination on the health of Australian Indigenous children aged 5–10 years: Analysis of national longitudinal data</w:t>
        </w:r>
      </w:hyperlink>
      <w:r w:rsidRPr="007A26A6">
        <w:rPr>
          <w:rFonts w:cstheme="minorHAnsi"/>
          <w:szCs w:val="21"/>
        </w:rPr>
        <w:t>.</w:t>
      </w:r>
    </w:p>
  </w:endnote>
  <w:endnote w:id="417">
    <w:p w14:paraId="542690F9" w14:textId="713F3FE0" w:rsidR="00F53B39" w:rsidRPr="007A26A6" w:rsidRDefault="00F53B39" w:rsidP="008621BE">
      <w:pPr>
        <w:pStyle w:val="EndnoteText"/>
        <w:rPr>
          <w:rFonts w:cstheme="minorHAnsi"/>
          <w:szCs w:val="21"/>
        </w:rPr>
      </w:pPr>
      <w:r w:rsidRPr="007A26A6">
        <w:rPr>
          <w:rFonts w:cstheme="minorHAnsi"/>
          <w:szCs w:val="21"/>
        </w:rPr>
        <w:endnoteRef/>
      </w:r>
      <w:r w:rsidRPr="007A26A6">
        <w:rPr>
          <w:rFonts w:cstheme="minorHAnsi"/>
          <w:szCs w:val="21"/>
        </w:rPr>
        <w:tab/>
        <w:t xml:space="preserve">Maiam nayri Wingara Indigenous Data Sovereignty Collective. </w:t>
      </w:r>
      <w:hyperlink r:id="rId441" w:history="1">
        <w:r w:rsidRPr="007A26A6">
          <w:rPr>
            <w:rStyle w:val="HyperlinkItalic"/>
            <w:rFonts w:cstheme="minorHAnsi"/>
            <w:szCs w:val="21"/>
          </w:rPr>
          <w:t>Maiam nayri Wingara</w:t>
        </w:r>
      </w:hyperlink>
      <w:r w:rsidRPr="007A26A6">
        <w:rPr>
          <w:rFonts w:cstheme="minorHAnsi"/>
          <w:szCs w:val="21"/>
        </w:rPr>
        <w:t>.</w:t>
      </w:r>
    </w:p>
    <w:p w14:paraId="070C9F2D" w14:textId="1ED65A2C" w:rsidR="00F53B39" w:rsidRPr="007A26A6" w:rsidRDefault="00F53B39" w:rsidP="008621BE">
      <w:pPr>
        <w:pStyle w:val="OWEndnotetextindent"/>
        <w:rPr>
          <w:rFonts w:cstheme="minorHAnsi"/>
          <w:lang w:val="en-US"/>
        </w:rPr>
      </w:pPr>
      <w:r w:rsidRPr="007A26A6">
        <w:rPr>
          <w:rFonts w:cstheme="minorHAnsi"/>
        </w:rPr>
        <w:t xml:space="preserve">Kukutai, T., &amp; Taylor, J. (Eds.). (2016). </w:t>
      </w:r>
      <w:r w:rsidRPr="007A26A6">
        <w:rPr>
          <w:rStyle w:val="Emphasis"/>
          <w:rFonts w:cstheme="minorHAnsi"/>
        </w:rPr>
        <w:t>Indigenous data sovereignty</w:t>
      </w:r>
      <w:r w:rsidRPr="007A26A6">
        <w:rPr>
          <w:rFonts w:cstheme="minorHAnsi"/>
        </w:rPr>
        <w:t>.</w:t>
      </w:r>
    </w:p>
  </w:endnote>
  <w:endnote w:id="418">
    <w:p w14:paraId="1924B6BB" w14:textId="22826585"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Wright &amp; Lewis. (2017). </w:t>
      </w:r>
      <w:hyperlink r:id="rId442" w:history="1">
        <w:r w:rsidRPr="007A26A6">
          <w:rPr>
            <w:rStyle w:val="HyperlinkItalic"/>
            <w:rFonts w:cstheme="minorHAnsi"/>
            <w:szCs w:val="21"/>
          </w:rPr>
          <w:t>Close the Gap – progress and priorities report 2017</w:t>
        </w:r>
      </w:hyperlink>
      <w:r w:rsidRPr="007A26A6">
        <w:rPr>
          <w:rFonts w:cstheme="minorHAnsi"/>
          <w:szCs w:val="21"/>
        </w:rPr>
        <w:t>.</w:t>
      </w:r>
      <w:r w:rsidRPr="007A26A6">
        <w:rPr>
          <w:rFonts w:cstheme="minorHAnsi"/>
          <w:szCs w:val="21"/>
          <w:lang w:val="en-US"/>
        </w:rPr>
        <w:t xml:space="preserve"> </w:t>
      </w:r>
      <w:r w:rsidRPr="007A26A6">
        <w:rPr>
          <w:rFonts w:cstheme="minorHAnsi"/>
          <w:szCs w:val="21"/>
        </w:rPr>
        <w:t>pp. 9–10.</w:t>
      </w:r>
    </w:p>
  </w:endnote>
  <w:endnote w:id="419">
    <w:p w14:paraId="578DEA13" w14:textId="7F7D5D94"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Wright &amp; Lewis. (2017). </w:t>
      </w:r>
      <w:hyperlink r:id="rId443" w:history="1">
        <w:r w:rsidRPr="007A26A6">
          <w:rPr>
            <w:rStyle w:val="HyperlinkItalic"/>
            <w:rFonts w:cstheme="minorHAnsi"/>
            <w:szCs w:val="21"/>
          </w:rPr>
          <w:t>Close the Gap – progress and priorities report 2017</w:t>
        </w:r>
      </w:hyperlink>
      <w:r w:rsidRPr="007A26A6">
        <w:rPr>
          <w:rFonts w:cstheme="minorHAnsi"/>
          <w:szCs w:val="21"/>
        </w:rPr>
        <w:t>.</w:t>
      </w:r>
      <w:r w:rsidRPr="007A26A6">
        <w:rPr>
          <w:rFonts w:cstheme="minorHAnsi"/>
          <w:szCs w:val="21"/>
          <w:lang w:val="en-US"/>
        </w:rPr>
        <w:t xml:space="preserve"> </w:t>
      </w:r>
      <w:r w:rsidRPr="007A26A6">
        <w:rPr>
          <w:rFonts w:cstheme="minorHAnsi"/>
          <w:szCs w:val="21"/>
        </w:rPr>
        <w:t>p. 12.</w:t>
      </w:r>
    </w:p>
  </w:endnote>
  <w:endnote w:id="420">
    <w:p w14:paraId="7C06AD4F" w14:textId="077BF4CC"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Holland, C. (2018). </w:t>
      </w:r>
      <w:hyperlink r:id="rId444" w:history="1">
        <w:r w:rsidRPr="007A26A6">
          <w:rPr>
            <w:rStyle w:val="HyperlinkItalic"/>
            <w:rFonts w:cstheme="minorHAnsi"/>
            <w:szCs w:val="21"/>
          </w:rPr>
          <w:t>Close the gap – A ten-year review: the Closing the Gap Strategy and recommendations for reset</w:t>
        </w:r>
      </w:hyperlink>
      <w:r w:rsidRPr="007A26A6">
        <w:rPr>
          <w:rStyle w:val="Emphasis"/>
          <w:rFonts w:cstheme="minorHAnsi"/>
          <w:szCs w:val="21"/>
        </w:rPr>
        <w:t xml:space="preserve">. </w:t>
      </w:r>
      <w:r w:rsidRPr="007A26A6">
        <w:rPr>
          <w:rFonts w:cstheme="minorHAnsi"/>
          <w:szCs w:val="21"/>
        </w:rPr>
        <w:t>p. 8.</w:t>
      </w:r>
    </w:p>
  </w:endnote>
  <w:endnote w:id="421">
    <w:p w14:paraId="0BD9A6DE" w14:textId="396AFDAB"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SCRGSP (Steering Committee for the Review of Government Service Provision). (2016). </w:t>
      </w:r>
      <w:hyperlink r:id="rId445" w:history="1">
        <w:r w:rsidRPr="007A26A6">
          <w:rPr>
            <w:rStyle w:val="HyperlinkItalic"/>
            <w:rFonts w:cstheme="minorHAnsi"/>
            <w:szCs w:val="21"/>
          </w:rPr>
          <w:t>Overcoming Indigenous disadvantage: Key Indicators 2016</w:t>
        </w:r>
      </w:hyperlink>
      <w:r w:rsidRPr="007A26A6">
        <w:rPr>
          <w:rFonts w:cstheme="minorHAnsi"/>
          <w:szCs w:val="21"/>
        </w:rPr>
        <w:t>.</w:t>
      </w:r>
    </w:p>
  </w:endnote>
  <w:endnote w:id="422">
    <w:p w14:paraId="61AB4D11" w14:textId="58924E81"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(2016). </w:t>
      </w:r>
      <w:hyperlink r:id="rId446" w:history="1">
        <w:r w:rsidRPr="007A26A6">
          <w:rPr>
            <w:rStyle w:val="HyperlinkItalic"/>
            <w:rFonts w:cstheme="minorHAnsi"/>
            <w:szCs w:val="21"/>
          </w:rPr>
          <w:t>National Aboriginal and Torres Strait Islander Social Survey, 2014–15</w:t>
        </w:r>
      </w:hyperlink>
      <w:r w:rsidRPr="007A26A6">
        <w:rPr>
          <w:rFonts w:cstheme="minorHAnsi"/>
          <w:szCs w:val="21"/>
        </w:rPr>
        <w:t xml:space="preserve"> (cat. no. 4714.0).</w:t>
      </w:r>
    </w:p>
  </w:endnote>
  <w:endnote w:id="423">
    <w:p w14:paraId="3F53C631" w14:textId="7FDA8C57"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(2016). </w:t>
      </w:r>
      <w:hyperlink r:id="rId447" w:history="1">
        <w:r w:rsidRPr="007A26A6">
          <w:rPr>
            <w:rStyle w:val="HyperlinkItalic"/>
            <w:rFonts w:cstheme="minorHAnsi"/>
            <w:szCs w:val="21"/>
          </w:rPr>
          <w:t>National Aboriginal and Torres Strait Islander Social Survey, 2014–15</w:t>
        </w:r>
      </w:hyperlink>
      <w:r w:rsidRPr="007A26A6">
        <w:rPr>
          <w:rFonts w:cstheme="minorHAnsi"/>
          <w:szCs w:val="21"/>
        </w:rPr>
        <w:t xml:space="preserve"> (cat. no. 4714.0).</w:t>
      </w:r>
    </w:p>
  </w:endnote>
  <w:endnote w:id="424">
    <w:p w14:paraId="37F1DF47" w14:textId="7E46F1DE"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Law Reform Commission (2017). </w:t>
      </w:r>
      <w:hyperlink r:id="rId448" w:history="1">
        <w:r w:rsidRPr="007A26A6">
          <w:rPr>
            <w:rStyle w:val="HyperlinkItalic"/>
            <w:rFonts w:cstheme="minorHAnsi"/>
            <w:szCs w:val="21"/>
          </w:rPr>
          <w:t>Pathways to justice – Inquiry into the incarceration rate of Aboriginal and Torres Strait Islander peoples</w:t>
        </w:r>
      </w:hyperlink>
      <w:r w:rsidRPr="007A26A6">
        <w:rPr>
          <w:rFonts w:cstheme="minorHAnsi"/>
          <w:szCs w:val="21"/>
        </w:rPr>
        <w:t xml:space="preserve"> (Final report, no. 133).</w:t>
      </w:r>
    </w:p>
  </w:endnote>
  <w:endnote w:id="425">
    <w:p w14:paraId="74176FD1" w14:textId="02B9D30E"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(2016). </w:t>
      </w:r>
      <w:hyperlink r:id="rId449" w:history="1">
        <w:r w:rsidRPr="007A26A6">
          <w:rPr>
            <w:rStyle w:val="HyperlinkItalic"/>
            <w:rFonts w:cstheme="minorHAnsi"/>
            <w:szCs w:val="21"/>
          </w:rPr>
          <w:t>Disability, Ageing and Carers, Australia: Summary of findings, 2015</w:t>
        </w:r>
      </w:hyperlink>
      <w:r w:rsidRPr="007A26A6">
        <w:rPr>
          <w:rFonts w:cstheme="minorHAnsi"/>
          <w:szCs w:val="21"/>
        </w:rPr>
        <w:t>.</w:t>
      </w:r>
    </w:p>
  </w:endnote>
  <w:endnote w:id="426">
    <w:p w14:paraId="64C477BE" w14:textId="2DE267E0"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Department of Social Services. </w:t>
      </w:r>
      <w:hyperlink r:id="rId450" w:history="1">
        <w:r w:rsidRPr="007A26A6">
          <w:rPr>
            <w:rStyle w:val="Hyperlink"/>
            <w:rFonts w:cstheme="minorHAnsi"/>
            <w:szCs w:val="21"/>
          </w:rPr>
          <w:t>Footprints in time – the Longitudinal Study of Indigenous Children (LSIC)</w:t>
        </w:r>
      </w:hyperlink>
      <w:r w:rsidRPr="007A26A6">
        <w:rPr>
          <w:rFonts w:cstheme="minorHAnsi"/>
          <w:szCs w:val="21"/>
        </w:rPr>
        <w:t>.</w:t>
      </w:r>
    </w:p>
  </w:endnote>
  <w:endnote w:id="427">
    <w:p w14:paraId="71DD791F" w14:textId="61B7C129"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Shepherd et al. (2017). </w:t>
      </w:r>
      <w:hyperlink r:id="rId451" w:history="1">
        <w:r w:rsidRPr="007A26A6">
          <w:rPr>
            <w:rStyle w:val="Hyperlink"/>
            <w:rFonts w:cstheme="minorHAnsi"/>
            <w:szCs w:val="21"/>
          </w:rPr>
          <w:t>The impact of racial discrimination on the health of Australian Indigenous children aged 5–10 years: Analysis of national longitudinal data</w:t>
        </w:r>
      </w:hyperlink>
      <w:r w:rsidRPr="007A26A6">
        <w:rPr>
          <w:rFonts w:cstheme="minorHAnsi"/>
          <w:szCs w:val="21"/>
        </w:rPr>
        <w:t>.</w:t>
      </w:r>
    </w:p>
  </w:endnote>
  <w:endnote w:id="428">
    <w:p w14:paraId="2D00FEBF" w14:textId="617A28FF"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Shepherd et al. (2017). </w:t>
      </w:r>
      <w:hyperlink r:id="rId452" w:history="1">
        <w:r w:rsidRPr="007A26A6">
          <w:rPr>
            <w:rStyle w:val="Hyperlink"/>
            <w:rFonts w:cstheme="minorHAnsi"/>
            <w:szCs w:val="21"/>
          </w:rPr>
          <w:t>The impact of racial discrimination on the health of Australian Indigenous children aged 5–10 years: Analysis of national longitudinal data</w:t>
        </w:r>
      </w:hyperlink>
      <w:r w:rsidRPr="007A26A6">
        <w:rPr>
          <w:rFonts w:cstheme="minorHAnsi"/>
          <w:szCs w:val="21"/>
        </w:rPr>
        <w:t>.</w:t>
      </w:r>
    </w:p>
  </w:endnote>
  <w:endnote w:id="429">
    <w:p w14:paraId="60FEFE4D" w14:textId="26839614"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Ferdinand, A., Paradies, Y., &amp; Kelaher, M. (2013). </w:t>
      </w:r>
      <w:hyperlink r:id="rId453" w:history="1">
        <w:r w:rsidRPr="007A26A6">
          <w:rPr>
            <w:rStyle w:val="HyperlinkItalic"/>
            <w:rFonts w:cstheme="minorHAnsi"/>
            <w:szCs w:val="21"/>
          </w:rPr>
          <w:t>Mental health impacts of racial discrimination in Victorian Aboriginal communities: The Localities Embracing and Accepting Diversity (LEAD) Experiences of Racism Survey</w:t>
        </w:r>
      </w:hyperlink>
      <w:r w:rsidRPr="007A26A6">
        <w:rPr>
          <w:rFonts w:cstheme="minorHAnsi"/>
          <w:szCs w:val="21"/>
        </w:rPr>
        <w:t>. Melbourne, Australia: The Lowitja Institute.</w:t>
      </w:r>
    </w:p>
  </w:endnote>
  <w:endnote w:id="430">
    <w:p w14:paraId="0121C5ED" w14:textId="21215622"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Ferdinand et al. (2013). </w:t>
      </w:r>
      <w:hyperlink r:id="rId454" w:history="1">
        <w:r w:rsidRPr="007A26A6">
          <w:rPr>
            <w:rStyle w:val="HyperlinkItalic"/>
            <w:rFonts w:cstheme="minorHAnsi"/>
            <w:szCs w:val="21"/>
          </w:rPr>
          <w:t>Mental health impacts of racial discrimination in Victorian Aboriginal communities: The Localities Embracing and Accepting Diversity (LEAD) Experiences of Racism Survey</w:t>
        </w:r>
      </w:hyperlink>
      <w:r w:rsidRPr="007A26A6">
        <w:rPr>
          <w:rFonts w:cstheme="minorHAnsi"/>
          <w:szCs w:val="21"/>
        </w:rPr>
        <w:t>.</w:t>
      </w:r>
    </w:p>
  </w:endnote>
  <w:endnote w:id="431">
    <w:p w14:paraId="3F3806BD" w14:textId="16F21A2A"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Markus. (2018). </w:t>
      </w:r>
      <w:hyperlink r:id="rId455" w:history="1">
        <w:r w:rsidRPr="007A26A6">
          <w:rPr>
            <w:rStyle w:val="HyperlinkItalic"/>
            <w:rFonts w:cstheme="minorHAnsi"/>
            <w:szCs w:val="21"/>
          </w:rPr>
          <w:t>Mapping social cohesion: The Scanlon Foundation Surveys 2018</w:t>
        </w:r>
      </w:hyperlink>
      <w:r w:rsidRPr="007A26A6">
        <w:rPr>
          <w:rFonts w:cstheme="minorHAnsi"/>
          <w:szCs w:val="21"/>
        </w:rPr>
        <w:t>.</w:t>
      </w:r>
    </w:p>
  </w:endnote>
  <w:endnote w:id="432">
    <w:p w14:paraId="79459A56" w14:textId="60E27F7E"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(2015). </w:t>
      </w:r>
      <w:hyperlink r:id="rId456" w:history="1">
        <w:r w:rsidRPr="007A26A6">
          <w:rPr>
            <w:rStyle w:val="HyperlinkItalic"/>
            <w:rFonts w:cstheme="minorHAnsi"/>
            <w:szCs w:val="21"/>
          </w:rPr>
          <w:t>General Social Survey: Summary Results, Australia, 2014</w:t>
        </w:r>
      </w:hyperlink>
      <w:r w:rsidRPr="007A26A6">
        <w:rPr>
          <w:rStyle w:val="Emphasis"/>
          <w:rFonts w:cstheme="minorHAnsi"/>
          <w:szCs w:val="21"/>
        </w:rPr>
        <w:t xml:space="preserve"> </w:t>
      </w:r>
      <w:r w:rsidRPr="007A26A6">
        <w:rPr>
          <w:rFonts w:cstheme="minorHAnsi"/>
          <w:szCs w:val="21"/>
        </w:rPr>
        <w:t>(cat. no. 4159.0).</w:t>
      </w:r>
    </w:p>
  </w:endnote>
  <w:endnote w:id="433">
    <w:p w14:paraId="3624B91D" w14:textId="6C41F47D"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Priest, N. et al. (2019). </w:t>
      </w:r>
      <w:hyperlink r:id="rId457" w:history="1">
        <w:r w:rsidRPr="007A26A6">
          <w:rPr>
            <w:rStyle w:val="HyperlinkItalic"/>
            <w:rFonts w:cstheme="minorHAnsi"/>
            <w:szCs w:val="21"/>
          </w:rPr>
          <w:t>Findings from the 2017 Speak Out Against Racism (SOAR) student and staff surveys</w:t>
        </w:r>
      </w:hyperlink>
      <w:r w:rsidRPr="007A26A6">
        <w:rPr>
          <w:rFonts w:cstheme="minorHAnsi"/>
          <w:szCs w:val="21"/>
        </w:rPr>
        <w:t>.</w:t>
      </w:r>
    </w:p>
  </w:endnote>
  <w:endnote w:id="434">
    <w:p w14:paraId="4F362D0D" w14:textId="394D58F2" w:rsidR="00F53B39" w:rsidRPr="007A26A6" w:rsidRDefault="00F53B39">
      <w:pPr>
        <w:pStyle w:val="EndnoteText"/>
        <w:rPr>
          <w:rFonts w:cstheme="minorHAnsi"/>
          <w:szCs w:val="21"/>
        </w:rPr>
      </w:pPr>
      <w:r w:rsidRPr="007A26A6">
        <w:rPr>
          <w:rFonts w:cstheme="minorHAnsi"/>
          <w:szCs w:val="21"/>
        </w:rPr>
        <w:endnoteRef/>
      </w:r>
      <w:r w:rsidRPr="007A26A6">
        <w:rPr>
          <w:rFonts w:cstheme="minorHAnsi"/>
          <w:szCs w:val="21"/>
        </w:rPr>
        <w:tab/>
        <w:t xml:space="preserve">Markus. (2018). </w:t>
      </w:r>
      <w:hyperlink r:id="rId458" w:history="1">
        <w:r w:rsidRPr="007A26A6">
          <w:rPr>
            <w:rStyle w:val="HyperlinkItalic"/>
            <w:rFonts w:cstheme="minorHAnsi"/>
            <w:szCs w:val="21"/>
          </w:rPr>
          <w:t>Mapping social cohesion: The Scanlon Foundation Surveys 2018</w:t>
        </w:r>
      </w:hyperlink>
      <w:r w:rsidRPr="007A26A6">
        <w:rPr>
          <w:rFonts w:cstheme="minorHAnsi"/>
          <w:szCs w:val="21"/>
        </w:rPr>
        <w:t>. p. 67.</w:t>
      </w:r>
    </w:p>
  </w:endnote>
  <w:endnote w:id="435">
    <w:p w14:paraId="34E24A0E" w14:textId="675A075D"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Markus. (2018). </w:t>
      </w:r>
      <w:hyperlink r:id="rId459" w:history="1">
        <w:r w:rsidRPr="007A26A6">
          <w:rPr>
            <w:rStyle w:val="HyperlinkItalic"/>
            <w:rFonts w:cstheme="minorHAnsi"/>
            <w:szCs w:val="21"/>
          </w:rPr>
          <w:t>Mapping social cohesion: The Scanlon Foundation Surveys 2018</w:t>
        </w:r>
      </w:hyperlink>
      <w:r w:rsidRPr="007A26A6">
        <w:rPr>
          <w:rFonts w:cstheme="minorHAnsi"/>
          <w:szCs w:val="21"/>
        </w:rPr>
        <w:t>. p. 69.</w:t>
      </w:r>
    </w:p>
  </w:endnote>
  <w:endnote w:id="436">
    <w:p w14:paraId="2D908AD9" w14:textId="03D9779F"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Markus. (2018). </w:t>
      </w:r>
      <w:hyperlink r:id="rId460" w:history="1">
        <w:r w:rsidRPr="007A26A6">
          <w:rPr>
            <w:rStyle w:val="HyperlinkItalic"/>
            <w:rFonts w:cstheme="minorHAnsi"/>
            <w:szCs w:val="21"/>
          </w:rPr>
          <w:t>Mapping social cohesion: The Scanlon Foundation Surveys 2018</w:t>
        </w:r>
      </w:hyperlink>
      <w:r w:rsidRPr="007A26A6">
        <w:rPr>
          <w:rFonts w:cstheme="minorHAnsi"/>
          <w:szCs w:val="21"/>
        </w:rPr>
        <w:t>.</w:t>
      </w:r>
    </w:p>
  </w:endnote>
  <w:endnote w:id="437">
    <w:p w14:paraId="47FCA53E" w14:textId="48CEB367"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Markus. (2018). </w:t>
      </w:r>
      <w:hyperlink r:id="rId461" w:history="1">
        <w:r w:rsidRPr="007A26A6">
          <w:rPr>
            <w:rStyle w:val="HyperlinkItalic"/>
            <w:rFonts w:cstheme="minorHAnsi"/>
            <w:szCs w:val="21"/>
          </w:rPr>
          <w:t>Mapping social cohesion: The Scanlon Foundation Surveys 2018</w:t>
        </w:r>
      </w:hyperlink>
      <w:r w:rsidRPr="007A26A6">
        <w:rPr>
          <w:rFonts w:cstheme="minorHAnsi"/>
          <w:szCs w:val="21"/>
        </w:rPr>
        <w:t>. p. 69.</w:t>
      </w:r>
    </w:p>
  </w:endnote>
  <w:endnote w:id="438">
    <w:p w14:paraId="6360621C" w14:textId="3CC54970"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Markus. (2018). </w:t>
      </w:r>
      <w:hyperlink r:id="rId462" w:history="1">
        <w:r w:rsidRPr="007A26A6">
          <w:rPr>
            <w:rStyle w:val="HyperlinkItalic"/>
            <w:rFonts w:cstheme="minorHAnsi"/>
            <w:szCs w:val="21"/>
          </w:rPr>
          <w:t>Mapping social cohesion: The Scanlon Foundation Surveys 2018</w:t>
        </w:r>
      </w:hyperlink>
      <w:r w:rsidRPr="007A26A6">
        <w:rPr>
          <w:rFonts w:cstheme="minorHAnsi"/>
          <w:szCs w:val="21"/>
        </w:rPr>
        <w:t>. p. 69.</w:t>
      </w:r>
    </w:p>
  </w:endnote>
  <w:endnote w:id="439">
    <w:p w14:paraId="4088F9A7" w14:textId="779F316A"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Priest, N. et al. (2019). </w:t>
      </w:r>
      <w:hyperlink r:id="rId463" w:history="1">
        <w:r w:rsidRPr="007A26A6">
          <w:rPr>
            <w:rStyle w:val="HyperlinkItalic"/>
            <w:rFonts w:cstheme="minorHAnsi"/>
            <w:szCs w:val="21"/>
          </w:rPr>
          <w:t>Findings from the 2017 Speak Out Against Racism (SOAR) student and staff surveys</w:t>
        </w:r>
      </w:hyperlink>
      <w:r w:rsidRPr="007A26A6">
        <w:rPr>
          <w:rFonts w:cstheme="minorHAnsi"/>
          <w:szCs w:val="21"/>
        </w:rPr>
        <w:t>.</w:t>
      </w:r>
    </w:p>
  </w:endnote>
  <w:endnote w:id="440">
    <w:p w14:paraId="554898AC" w14:textId="3137A6A5"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Priest, N. et al. (2019). </w:t>
      </w:r>
      <w:hyperlink r:id="rId464" w:history="1">
        <w:r w:rsidRPr="007A26A6">
          <w:rPr>
            <w:rStyle w:val="HyperlinkItalic"/>
            <w:rFonts w:cstheme="minorHAnsi"/>
            <w:szCs w:val="21"/>
          </w:rPr>
          <w:t>Findings from the 2017 Speak Out Against Racism (SOAR) student and staff surveys</w:t>
        </w:r>
      </w:hyperlink>
      <w:r w:rsidRPr="007A26A6">
        <w:rPr>
          <w:rFonts w:cstheme="minorHAnsi"/>
          <w:szCs w:val="21"/>
        </w:rPr>
        <w:t>. p. 24.</w:t>
      </w:r>
    </w:p>
  </w:endnote>
  <w:endnote w:id="441">
    <w:p w14:paraId="0E4BF487" w14:textId="3F00DA96"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Priest, N. et al. (2019). </w:t>
      </w:r>
      <w:hyperlink r:id="rId465" w:history="1">
        <w:r w:rsidRPr="007A26A6">
          <w:rPr>
            <w:rStyle w:val="HyperlinkItalic"/>
            <w:rFonts w:cstheme="minorHAnsi"/>
            <w:szCs w:val="21"/>
          </w:rPr>
          <w:t>Findings from the 2017 Speak Out Against Racism (SOAR) student and staff surveys</w:t>
        </w:r>
      </w:hyperlink>
      <w:r w:rsidRPr="007A26A6">
        <w:rPr>
          <w:rFonts w:cstheme="minorHAnsi"/>
          <w:szCs w:val="21"/>
        </w:rPr>
        <w:t>. p. 30.</w:t>
      </w:r>
    </w:p>
  </w:endnote>
  <w:endnote w:id="442">
    <w:p w14:paraId="25C67A1A" w14:textId="1ECE93BF" w:rsidR="00F53B39" w:rsidRPr="007A26A6" w:rsidRDefault="00F53B39" w:rsidP="00EC56FE">
      <w:pPr>
        <w:pStyle w:val="EndnoteText"/>
        <w:rPr>
          <w:rFonts w:cstheme="minorHAnsi"/>
          <w:color w:val="333333"/>
          <w:szCs w:val="21"/>
          <w:bdr w:val="none" w:sz="0" w:space="0" w:color="auto" w:frame="1"/>
        </w:rPr>
      </w:pPr>
      <w:r w:rsidRPr="007A26A6">
        <w:rPr>
          <w:rFonts w:cstheme="minorHAnsi"/>
          <w:szCs w:val="21"/>
        </w:rPr>
        <w:endnoteRef/>
      </w:r>
      <w:r w:rsidRPr="007A26A6">
        <w:rPr>
          <w:rFonts w:cstheme="minorHAnsi"/>
          <w:szCs w:val="21"/>
        </w:rPr>
        <w:tab/>
        <w:t xml:space="preserve">Wilkins, R., &amp; Lass, I. (2018). </w:t>
      </w:r>
      <w:hyperlink r:id="rId466" w:history="1">
        <w:r w:rsidRPr="007A26A6">
          <w:rPr>
            <w:rStyle w:val="HyperlinkItalic"/>
            <w:rFonts w:cstheme="minorHAnsi"/>
            <w:szCs w:val="21"/>
          </w:rPr>
          <w:t>The Household, Income and Labour Dynamics in Australia Survey: Selected findings from waves 1 to 16</w:t>
        </w:r>
      </w:hyperlink>
      <w:r w:rsidRPr="007A26A6">
        <w:rPr>
          <w:rFonts w:cstheme="minorHAnsi"/>
          <w:szCs w:val="21"/>
        </w:rPr>
        <w:t>.</w:t>
      </w:r>
    </w:p>
    <w:p w14:paraId="18DD98C1" w14:textId="7606C566" w:rsidR="00F53B39" w:rsidRPr="007A26A6" w:rsidRDefault="00F53B39" w:rsidP="00EC56FE">
      <w:pPr>
        <w:pStyle w:val="OWEndnotetextindent"/>
        <w:rPr>
          <w:rFonts w:cstheme="minorHAnsi"/>
          <w:lang w:val="en-US"/>
        </w:rPr>
      </w:pPr>
      <w:r w:rsidRPr="007A26A6">
        <w:rPr>
          <w:rFonts w:cstheme="minorHAnsi"/>
        </w:rPr>
        <w:t xml:space="preserve">Australian Bureau of Statistics. (2015). </w:t>
      </w:r>
      <w:hyperlink r:id="rId467" w:history="1">
        <w:r w:rsidRPr="007A26A6">
          <w:rPr>
            <w:rStyle w:val="HyperlinkItalic"/>
            <w:rFonts w:cstheme="minorHAnsi"/>
          </w:rPr>
          <w:t>General Social Survey: Summary Results, Australia, 2014</w:t>
        </w:r>
      </w:hyperlink>
      <w:r w:rsidRPr="007A26A6">
        <w:rPr>
          <w:rFonts w:cstheme="minorHAnsi"/>
        </w:rPr>
        <w:t>.</w:t>
      </w:r>
    </w:p>
  </w:endnote>
  <w:endnote w:id="443">
    <w:p w14:paraId="1EE5A5B3" w14:textId="7CCFD10A"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468"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115.</w:t>
      </w:r>
    </w:p>
  </w:endnote>
  <w:endnote w:id="444">
    <w:p w14:paraId="79AB4BC7" w14:textId="4B93578E"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Ou</w:t>
      </w:r>
      <w:r w:rsidRPr="007A26A6">
        <w:rPr>
          <w:rFonts w:cstheme="minorHAnsi"/>
          <w:szCs w:val="21"/>
          <w:lang w:eastAsia="en-GB"/>
        </w:rPr>
        <w:t xml:space="preserve">r Watch, ANROWS, &amp; VicHealth. (2015). </w:t>
      </w:r>
      <w:hyperlink r:id="rId469" w:history="1">
        <w:r w:rsidRPr="007A26A6">
          <w:rPr>
            <w:rStyle w:val="HyperlinkItalic"/>
            <w:rFonts w:cstheme="minorHAnsi"/>
            <w:szCs w:val="21"/>
          </w:rPr>
          <w:t>Change the story: A shared framework for the primary prevention of violence against women and their children in Australia</w:t>
        </w:r>
      </w:hyperlink>
      <w:r w:rsidRPr="007A26A6">
        <w:rPr>
          <w:rFonts w:cstheme="minorHAnsi"/>
          <w:szCs w:val="21"/>
          <w:lang w:eastAsia="en-GB"/>
        </w:rPr>
        <w:t xml:space="preserve">. </w:t>
      </w:r>
      <w:r w:rsidRPr="007A26A6">
        <w:rPr>
          <w:rFonts w:cstheme="minorHAnsi"/>
          <w:szCs w:val="21"/>
        </w:rPr>
        <w:t>p. 26.</w:t>
      </w:r>
    </w:p>
  </w:endnote>
  <w:endnote w:id="445">
    <w:p w14:paraId="6ED7AD6C" w14:textId="6E92C437" w:rsidR="00F53B39" w:rsidRPr="007A26A6" w:rsidRDefault="00F53B39" w:rsidP="00EC56FE">
      <w:pPr>
        <w:pStyle w:val="EndnoteText"/>
        <w:rPr>
          <w:rFonts w:cstheme="minorHAnsi"/>
          <w:szCs w:val="21"/>
        </w:rPr>
      </w:pPr>
      <w:r w:rsidRPr="007A26A6">
        <w:rPr>
          <w:rFonts w:cstheme="minorHAnsi"/>
          <w:szCs w:val="21"/>
        </w:rPr>
        <w:endnoteRef/>
      </w:r>
      <w:r w:rsidRPr="007A26A6">
        <w:rPr>
          <w:rFonts w:cstheme="minorHAnsi"/>
          <w:szCs w:val="21"/>
        </w:rPr>
        <w:tab/>
        <w:t xml:space="preserve">Australian Bureau of Statistics. (2013). </w:t>
      </w:r>
      <w:hyperlink r:id="rId470" w:history="1">
        <w:r w:rsidRPr="007A26A6">
          <w:rPr>
            <w:rStyle w:val="HyperlinkItalic"/>
            <w:rFonts w:cstheme="minorHAnsi"/>
            <w:szCs w:val="21"/>
          </w:rPr>
          <w:t>Personal Safety, Australia 2012</w:t>
        </w:r>
      </w:hyperlink>
      <w:r w:rsidRPr="007A26A6">
        <w:rPr>
          <w:rFonts w:cstheme="minorHAnsi"/>
          <w:szCs w:val="21"/>
        </w:rPr>
        <w:t>.</w:t>
      </w:r>
    </w:p>
    <w:p w14:paraId="6324FE52" w14:textId="77777777" w:rsidR="00F53B39" w:rsidRPr="007A26A6" w:rsidRDefault="00F53B39" w:rsidP="00EC56FE">
      <w:pPr>
        <w:pStyle w:val="OWEndnotetextindent"/>
        <w:rPr>
          <w:rFonts w:cstheme="minorHAnsi"/>
        </w:rPr>
      </w:pPr>
      <w:r w:rsidRPr="007A26A6">
        <w:rPr>
          <w:rFonts w:cstheme="minorHAnsi"/>
        </w:rPr>
        <w:t xml:space="preserve">Anderson, C.A., Shibuya, A., Ihori, N., Swing, E. L., Bushman, B. J., Sakamoto, A., Rothstein, H. R., &amp; Saleem, M. (2010). Violent video game effects on aggression, empathy, and prosocial behavior in eastern and western countries: A meta-analytic review. </w:t>
      </w:r>
      <w:r w:rsidRPr="007A26A6">
        <w:rPr>
          <w:rStyle w:val="Emphasis"/>
          <w:rFonts w:cstheme="minorHAnsi"/>
        </w:rPr>
        <w:t>Psychological Bulletin</w:t>
      </w:r>
      <w:r w:rsidRPr="007A26A6">
        <w:rPr>
          <w:rFonts w:cstheme="minorHAnsi"/>
        </w:rPr>
        <w:t xml:space="preserve">, </w:t>
      </w:r>
      <w:r w:rsidRPr="007A26A6">
        <w:rPr>
          <w:rStyle w:val="Emphasis"/>
          <w:rFonts w:cstheme="minorHAnsi"/>
        </w:rPr>
        <w:t>136</w:t>
      </w:r>
      <w:r w:rsidRPr="007A26A6">
        <w:rPr>
          <w:rFonts w:cstheme="minorHAnsi"/>
        </w:rPr>
        <w:t>(2), 151–173.</w:t>
      </w:r>
    </w:p>
    <w:p w14:paraId="0CC704AC" w14:textId="1D3D73D2" w:rsidR="00F53B39" w:rsidRPr="007A26A6" w:rsidRDefault="00F53B39" w:rsidP="00EC56FE">
      <w:pPr>
        <w:pStyle w:val="OWEndnotetextindent"/>
        <w:rPr>
          <w:rFonts w:cstheme="minorHAnsi"/>
        </w:rPr>
      </w:pPr>
      <w:r w:rsidRPr="007A26A6">
        <w:rPr>
          <w:rFonts w:cstheme="minorHAnsi"/>
        </w:rPr>
        <w:t xml:space="preserve">Orue, I., Bushman, B. J., Calvete, E., Thomases, S., deCastro, B. O., &amp; Hutterman, R. (2011). Monkey see, monkey do, monkey hurt: Longitudinal effects of exposure to violence on children’s aggressive behaviour. </w:t>
      </w:r>
      <w:r w:rsidRPr="007A26A6">
        <w:rPr>
          <w:rStyle w:val="Emphasis"/>
          <w:rFonts w:cstheme="minorHAnsi"/>
        </w:rPr>
        <w:t>Social Psychological and Personality Science</w:t>
      </w:r>
      <w:r w:rsidRPr="007A26A6">
        <w:rPr>
          <w:rFonts w:cstheme="minorHAnsi"/>
        </w:rPr>
        <w:t xml:space="preserve">, </w:t>
      </w:r>
      <w:r w:rsidRPr="007A26A6">
        <w:rPr>
          <w:rStyle w:val="Emphasis"/>
          <w:rFonts w:cstheme="minorHAnsi"/>
        </w:rPr>
        <w:t>2</w:t>
      </w:r>
      <w:r w:rsidRPr="007A26A6">
        <w:rPr>
          <w:rFonts w:cstheme="minorHAnsi"/>
        </w:rPr>
        <w:t>, 423–437.</w:t>
      </w:r>
    </w:p>
  </w:endnote>
  <w:endnote w:id="446">
    <w:p w14:paraId="4AA1B67B" w14:textId="77777777" w:rsidR="00F53B39" w:rsidRPr="007A26A6" w:rsidRDefault="00F53B39" w:rsidP="00EC56FE">
      <w:pPr>
        <w:pStyle w:val="EndnoteText"/>
        <w:rPr>
          <w:rFonts w:cstheme="minorHAnsi"/>
          <w:szCs w:val="21"/>
        </w:rPr>
      </w:pPr>
      <w:r w:rsidRPr="007A26A6">
        <w:rPr>
          <w:rFonts w:cstheme="minorHAnsi"/>
          <w:szCs w:val="21"/>
        </w:rPr>
        <w:endnoteRef/>
      </w:r>
      <w:r w:rsidRPr="007A26A6">
        <w:rPr>
          <w:rFonts w:cstheme="minorHAnsi"/>
          <w:szCs w:val="21"/>
        </w:rPr>
        <w:tab/>
        <w:t xml:space="preserve">Brennan, P. K., &amp; Vandenberg, A. L. (2009). Depictions of female offenders in front-page newspaper stories: The importance of race/ethnicity. </w:t>
      </w:r>
      <w:r w:rsidRPr="007A26A6">
        <w:rPr>
          <w:rStyle w:val="Emphasis"/>
          <w:rFonts w:cstheme="minorHAnsi"/>
          <w:szCs w:val="21"/>
        </w:rPr>
        <w:t>International Journal of Social Inquiry</w:t>
      </w:r>
      <w:r w:rsidRPr="007A26A6">
        <w:rPr>
          <w:rFonts w:cstheme="minorHAnsi"/>
          <w:szCs w:val="21"/>
        </w:rPr>
        <w:t xml:space="preserve">, </w:t>
      </w:r>
      <w:r w:rsidRPr="007A26A6">
        <w:rPr>
          <w:rStyle w:val="Emphasis"/>
          <w:rFonts w:cstheme="minorHAnsi"/>
          <w:szCs w:val="21"/>
        </w:rPr>
        <w:t>2</w:t>
      </w:r>
      <w:r w:rsidRPr="007A26A6">
        <w:rPr>
          <w:rFonts w:cstheme="minorHAnsi"/>
          <w:szCs w:val="21"/>
        </w:rPr>
        <w:t>(2), 141–175.</w:t>
      </w:r>
    </w:p>
    <w:p w14:paraId="680860EF" w14:textId="38E257EA" w:rsidR="00F53B39" w:rsidRPr="007A26A6" w:rsidRDefault="00F53B39" w:rsidP="00EC56FE">
      <w:pPr>
        <w:pStyle w:val="OWEndnotetextindent"/>
        <w:rPr>
          <w:rFonts w:cstheme="minorHAnsi"/>
        </w:rPr>
      </w:pPr>
      <w:r w:rsidRPr="007A26A6">
        <w:rPr>
          <w:rFonts w:cstheme="minorHAnsi"/>
        </w:rPr>
        <w:t xml:space="preserve">Collins, R. E. (2014). Beauty and bullets: A content analysis of female offenders and victims in four Canadian newspapers. </w:t>
      </w:r>
      <w:r w:rsidRPr="007A26A6">
        <w:rPr>
          <w:rStyle w:val="Emphasis"/>
          <w:rFonts w:cstheme="minorHAnsi"/>
        </w:rPr>
        <w:t>Journal of Sociology</w:t>
      </w:r>
      <w:r w:rsidRPr="007A26A6">
        <w:rPr>
          <w:rFonts w:cstheme="minorHAnsi"/>
        </w:rPr>
        <w:t>, 10 April 2014.</w:t>
      </w:r>
    </w:p>
  </w:endnote>
  <w:endnote w:id="447">
    <w:p w14:paraId="264EFB3C" w14:textId="0F7E65D3"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See discussion in Our Watch, Australia’s National Research Organisation for Women’s Safety (ANROWS), &amp; VicHealth (2015). </w:t>
      </w:r>
      <w:r w:rsidRPr="007A26A6">
        <w:rPr>
          <w:rStyle w:val="Emphasis"/>
          <w:rFonts w:cstheme="minorHAnsi"/>
          <w:szCs w:val="21"/>
        </w:rPr>
        <w:t>Change the story: Framework foundations 1: A review of the evidence on correlates of violence against women and what works to prevent it</w:t>
      </w:r>
      <w:r w:rsidRPr="007A26A6">
        <w:rPr>
          <w:rFonts w:cstheme="minorHAnsi"/>
          <w:szCs w:val="21"/>
        </w:rPr>
        <w:t xml:space="preserve">, referencing Mouzos, J., &amp; Makkait, T. (2004). </w:t>
      </w:r>
      <w:hyperlink r:id="rId471" w:history="1">
        <w:r w:rsidRPr="007A26A6">
          <w:rPr>
            <w:rStyle w:val="Hyperlink"/>
            <w:rFonts w:cstheme="minorHAnsi"/>
            <w:szCs w:val="21"/>
          </w:rPr>
          <w:t>Women’s experiences of male violence: Findings from the Australian component of the International Violence against Women Survey (IVAWS)</w:t>
        </w:r>
      </w:hyperlink>
      <w:r w:rsidRPr="007A26A6">
        <w:rPr>
          <w:rFonts w:cstheme="minorHAnsi"/>
          <w:szCs w:val="21"/>
        </w:rPr>
        <w:t>.</w:t>
      </w:r>
    </w:p>
  </w:endnote>
  <w:endnote w:id="448">
    <w:p w14:paraId="3EF14B42" w14:textId="7F14FC3B"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472"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pp. 110–111.</w:t>
      </w:r>
    </w:p>
  </w:endnote>
  <w:endnote w:id="449">
    <w:p w14:paraId="24FBE7CC" w14:textId="631D668E"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473"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110.</w:t>
      </w:r>
    </w:p>
  </w:endnote>
  <w:endnote w:id="450">
    <w:p w14:paraId="297643CC" w14:textId="79F450FD"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474"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pp. 35 and 185.</w:t>
      </w:r>
    </w:p>
  </w:endnote>
  <w:endnote w:id="451">
    <w:p w14:paraId="1FCE6B01" w14:textId="2CD40055"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475"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185.</w:t>
      </w:r>
    </w:p>
  </w:endnote>
  <w:endnote w:id="452">
    <w:p w14:paraId="5AD64313" w14:textId="5C1D919F"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476"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pp. 110–111.</w:t>
      </w:r>
    </w:p>
  </w:endnote>
  <w:endnote w:id="453">
    <w:p w14:paraId="1EB49F85" w14:textId="75686B4F"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477"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110.</w:t>
      </w:r>
    </w:p>
  </w:endnote>
  <w:endnote w:id="454">
    <w:p w14:paraId="679BDC12" w14:textId="41E99AC7"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478"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pp. 112–115.</w:t>
      </w:r>
    </w:p>
  </w:endnote>
  <w:endnote w:id="455">
    <w:p w14:paraId="5CAA28D9" w14:textId="39E39F7B"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479"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113.</w:t>
      </w:r>
    </w:p>
  </w:endnote>
  <w:endnote w:id="456">
    <w:p w14:paraId="66410973" w14:textId="6C6A0DB1"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480"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113.</w:t>
      </w:r>
    </w:p>
  </w:endnote>
  <w:endnote w:id="457">
    <w:p w14:paraId="3CD5CEC7" w14:textId="3B9C419A"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481"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pp. 114–115.</w:t>
      </w:r>
    </w:p>
  </w:endnote>
  <w:endnote w:id="458">
    <w:p w14:paraId="3776D1BB" w14:textId="748D85FC"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482"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115.</w:t>
      </w:r>
    </w:p>
  </w:endnote>
  <w:endnote w:id="459">
    <w:p w14:paraId="016C5D5D" w14:textId="77777777" w:rsidR="00F53B39" w:rsidRPr="007A26A6" w:rsidRDefault="00F53B39" w:rsidP="008F337F">
      <w:pPr>
        <w:pStyle w:val="EndnoteText"/>
        <w:rPr>
          <w:rFonts w:cstheme="minorHAnsi"/>
          <w:szCs w:val="21"/>
        </w:rPr>
      </w:pPr>
      <w:r w:rsidRPr="007A26A6">
        <w:rPr>
          <w:rFonts w:cstheme="minorHAnsi"/>
          <w:szCs w:val="21"/>
        </w:rPr>
        <w:endnoteRef/>
      </w:r>
      <w:r w:rsidRPr="007A26A6">
        <w:rPr>
          <w:rFonts w:cstheme="minorHAnsi"/>
          <w:szCs w:val="21"/>
        </w:rPr>
        <w:tab/>
        <w:t xml:space="preserve">Hemphill, S. A., Toumbourou, J. W., Catalano, R. F., &amp; Mathers, M. (2004). Levels and family correlates of positive youth development: A cross-national comparison. </w:t>
      </w:r>
      <w:r w:rsidRPr="007A26A6">
        <w:rPr>
          <w:rStyle w:val="Emphasis"/>
          <w:rFonts w:cstheme="minorHAnsi"/>
          <w:szCs w:val="21"/>
        </w:rPr>
        <w:t>Family Matters</w:t>
      </w:r>
      <w:r w:rsidRPr="007A26A6">
        <w:rPr>
          <w:rFonts w:cstheme="minorHAnsi"/>
          <w:szCs w:val="21"/>
        </w:rPr>
        <w:t xml:space="preserve">, </w:t>
      </w:r>
      <w:r w:rsidRPr="007A26A6">
        <w:rPr>
          <w:rStyle w:val="Emphasis"/>
          <w:rFonts w:cstheme="minorHAnsi"/>
          <w:szCs w:val="21"/>
        </w:rPr>
        <w:t>68</w:t>
      </w:r>
      <w:r w:rsidRPr="007A26A6">
        <w:rPr>
          <w:rFonts w:cstheme="minorHAnsi"/>
          <w:szCs w:val="21"/>
        </w:rPr>
        <w:t>, 28–35.</w:t>
      </w:r>
    </w:p>
    <w:p w14:paraId="35467960" w14:textId="77777777" w:rsidR="00F53B39" w:rsidRPr="007A26A6" w:rsidRDefault="00F53B39" w:rsidP="008F337F">
      <w:pPr>
        <w:pStyle w:val="OWEndnotetextindent"/>
        <w:rPr>
          <w:rFonts w:cstheme="minorHAnsi"/>
        </w:rPr>
      </w:pPr>
      <w:r w:rsidRPr="007A26A6">
        <w:rPr>
          <w:rFonts w:cstheme="minorHAnsi"/>
        </w:rPr>
        <w:t xml:space="preserve">Henry, K. L., Ireland, T. O., Smith, C. A., &amp; Thornberry, T. P. (2010). The causal impact of childhood-limited maltreatment and adolescent maltreatment on early adult adjustment. </w:t>
      </w:r>
      <w:r w:rsidRPr="007A26A6">
        <w:rPr>
          <w:rStyle w:val="Emphasis"/>
          <w:rFonts w:cstheme="minorHAnsi"/>
        </w:rPr>
        <w:t>Journal of Adolescent Health</w:t>
      </w:r>
      <w:r w:rsidRPr="007A26A6">
        <w:rPr>
          <w:rFonts w:cstheme="minorHAnsi"/>
        </w:rPr>
        <w:t xml:space="preserve">, </w:t>
      </w:r>
      <w:r w:rsidRPr="007A26A6">
        <w:rPr>
          <w:rStyle w:val="Emphasis"/>
          <w:rFonts w:cstheme="minorHAnsi"/>
        </w:rPr>
        <w:t>46</w:t>
      </w:r>
      <w:r w:rsidRPr="007A26A6">
        <w:rPr>
          <w:rFonts w:cstheme="minorHAnsi"/>
        </w:rPr>
        <w:t>(4), 359–365.</w:t>
      </w:r>
    </w:p>
    <w:p w14:paraId="75C7D762" w14:textId="6BAB2161" w:rsidR="00F53B39" w:rsidRPr="007A26A6" w:rsidRDefault="00F53B39" w:rsidP="008F337F">
      <w:pPr>
        <w:pStyle w:val="OWEndnotetextindent"/>
        <w:rPr>
          <w:rFonts w:cstheme="minorHAnsi"/>
          <w:lang w:val="en-US"/>
        </w:rPr>
      </w:pPr>
      <w:r w:rsidRPr="007A26A6">
        <w:rPr>
          <w:rFonts w:cstheme="minorHAnsi"/>
        </w:rPr>
        <w:t xml:space="preserve">Pears, K. C., &amp; Capaldi, D. M. (2003). Intergenerational transmission of abuse: A two-generation, prospective study of an at-risk sample. </w:t>
      </w:r>
      <w:r w:rsidRPr="007A26A6">
        <w:rPr>
          <w:rStyle w:val="Emphasis"/>
          <w:rFonts w:cstheme="minorHAnsi"/>
        </w:rPr>
        <w:t>Childhood Abuse and Neglect: The International Journal</w:t>
      </w:r>
      <w:r w:rsidRPr="007A26A6">
        <w:rPr>
          <w:rFonts w:cstheme="minorHAnsi"/>
        </w:rPr>
        <w:t xml:space="preserve">, </w:t>
      </w:r>
      <w:r w:rsidRPr="007A26A6">
        <w:rPr>
          <w:rStyle w:val="Emphasis"/>
          <w:rFonts w:cstheme="minorHAnsi"/>
        </w:rPr>
        <w:t>25</w:t>
      </w:r>
      <w:r w:rsidRPr="007A26A6">
        <w:rPr>
          <w:rFonts w:cstheme="minorHAnsi"/>
        </w:rPr>
        <w:t>, 1439–1461.</w:t>
      </w:r>
    </w:p>
  </w:endnote>
  <w:endnote w:id="460">
    <w:p w14:paraId="6400F8B2" w14:textId="7DDA9C5E"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National Crime Prevention. (2001). </w:t>
      </w:r>
      <w:r w:rsidRPr="007A26A6">
        <w:rPr>
          <w:rStyle w:val="Emphasis"/>
          <w:rFonts w:cstheme="minorHAnsi"/>
          <w:szCs w:val="21"/>
        </w:rPr>
        <w:t>Young people and domestic violence: National research on young people’s attitudes and experiences of domestic violence</w:t>
      </w:r>
      <w:r w:rsidRPr="007A26A6">
        <w:rPr>
          <w:rFonts w:cstheme="minorHAnsi"/>
          <w:szCs w:val="21"/>
        </w:rPr>
        <w:t>. Canberra: Crime Prevention Branch, Commonwealth Attorney-General’s Department. p. 2.</w:t>
      </w:r>
    </w:p>
  </w:endnote>
  <w:endnote w:id="461">
    <w:p w14:paraId="74C37E5A" w14:textId="745A1AF7" w:rsidR="00F53B39" w:rsidRPr="007A26A6" w:rsidRDefault="00F53B39" w:rsidP="008F337F">
      <w:pPr>
        <w:pStyle w:val="EndnoteText"/>
        <w:rPr>
          <w:rFonts w:cstheme="minorHAnsi"/>
          <w:szCs w:val="21"/>
        </w:rPr>
      </w:pPr>
      <w:r w:rsidRPr="007A26A6">
        <w:rPr>
          <w:rFonts w:cstheme="minorHAnsi"/>
          <w:szCs w:val="21"/>
        </w:rPr>
        <w:endnoteRef/>
      </w:r>
      <w:r w:rsidRPr="007A26A6">
        <w:rPr>
          <w:rFonts w:cstheme="minorHAnsi"/>
          <w:szCs w:val="21"/>
        </w:rPr>
        <w:tab/>
        <w:t xml:space="preserve">European Commission. (2010). </w:t>
      </w:r>
      <w:hyperlink r:id="rId483" w:history="1">
        <w:r w:rsidRPr="007A26A6">
          <w:rPr>
            <w:rStyle w:val="HyperlinkItalic"/>
            <w:rFonts w:cstheme="minorHAnsi"/>
            <w:szCs w:val="21"/>
          </w:rPr>
          <w:t>Factors at play in the perpetration of violence against women, violence against children and sexual orientation violence: A multi-level interactive model</w:t>
        </w:r>
      </w:hyperlink>
      <w:r w:rsidRPr="007A26A6">
        <w:rPr>
          <w:rFonts w:cstheme="minorHAnsi"/>
          <w:szCs w:val="21"/>
        </w:rPr>
        <w:t>.</w:t>
      </w:r>
    </w:p>
    <w:p w14:paraId="661CC760" w14:textId="4C0A9F50" w:rsidR="00F53B39" w:rsidRPr="007A26A6" w:rsidRDefault="00F53B39" w:rsidP="008F337F">
      <w:pPr>
        <w:pStyle w:val="OWEndnotetextindent"/>
        <w:rPr>
          <w:rFonts w:cstheme="minorHAnsi"/>
          <w:lang w:val="en-US"/>
        </w:rPr>
      </w:pPr>
      <w:r w:rsidRPr="007A26A6">
        <w:rPr>
          <w:rFonts w:cstheme="minorHAnsi"/>
        </w:rPr>
        <w:t xml:space="preserve">World Health Organization, &amp; London School of Hygiene and Tropical Medicine. (2010). </w:t>
      </w:r>
      <w:r w:rsidRPr="007A26A6">
        <w:rPr>
          <w:rStyle w:val="Emphasis"/>
          <w:rFonts w:cstheme="minorHAnsi"/>
        </w:rPr>
        <w:t>Preventing intimate partner and sexual violence against women: Taking action and generating evidence</w:t>
      </w:r>
      <w:r w:rsidRPr="007A26A6">
        <w:rPr>
          <w:rFonts w:cstheme="minorHAnsi"/>
        </w:rPr>
        <w:t>.</w:t>
      </w:r>
    </w:p>
  </w:endnote>
  <w:endnote w:id="462">
    <w:p w14:paraId="64EAF981" w14:textId="3FC970D7"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(2019). </w:t>
      </w:r>
      <w:hyperlink r:id="rId484" w:history="1">
        <w:r w:rsidRPr="007A26A6">
          <w:rPr>
            <w:rStyle w:val="HyperlinkItalic"/>
            <w:rFonts w:cstheme="minorHAnsi"/>
            <w:szCs w:val="21"/>
          </w:rPr>
          <w:t>Personal Safety, Australia, Characteristics and outcomes of childhood abuse: Feature article</w:t>
        </w:r>
      </w:hyperlink>
      <w:r w:rsidRPr="007A26A6">
        <w:rPr>
          <w:rFonts w:cstheme="minorHAnsi"/>
          <w:szCs w:val="21"/>
        </w:rPr>
        <w:t xml:space="preserve"> (cat. no. 4906.0).</w:t>
      </w:r>
    </w:p>
  </w:endnote>
  <w:endnote w:id="463">
    <w:p w14:paraId="5D1D3F7C" w14:textId="2DFAAC5E"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(2019). </w:t>
      </w:r>
      <w:hyperlink r:id="rId485" w:history="1">
        <w:r w:rsidRPr="007A26A6">
          <w:rPr>
            <w:rStyle w:val="HyperlinkItalic"/>
            <w:rFonts w:cstheme="minorHAnsi"/>
            <w:szCs w:val="21"/>
          </w:rPr>
          <w:t>Personal Safety, Australia, Characteristics and outcomes of childhood abuse: Feature article</w:t>
        </w:r>
      </w:hyperlink>
      <w:r w:rsidRPr="007A26A6">
        <w:rPr>
          <w:rFonts w:cstheme="minorHAnsi"/>
          <w:szCs w:val="21"/>
        </w:rPr>
        <w:t>.</w:t>
      </w:r>
    </w:p>
  </w:endnote>
  <w:endnote w:id="464">
    <w:p w14:paraId="7EB726CC" w14:textId="04B357D6"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(2019). </w:t>
      </w:r>
      <w:hyperlink r:id="rId486" w:history="1">
        <w:r w:rsidRPr="007A26A6">
          <w:rPr>
            <w:rStyle w:val="HyperlinkItalic"/>
            <w:rFonts w:cstheme="minorHAnsi"/>
            <w:szCs w:val="21"/>
          </w:rPr>
          <w:t>Personal Safety, Australia, Characteristics and outcomes of childhood abuse: Feature article</w:t>
        </w:r>
      </w:hyperlink>
      <w:r w:rsidRPr="007A26A6">
        <w:rPr>
          <w:rFonts w:cstheme="minorHAnsi"/>
          <w:szCs w:val="21"/>
        </w:rPr>
        <w:t>.</w:t>
      </w:r>
    </w:p>
  </w:endnote>
  <w:endnote w:id="465">
    <w:p w14:paraId="689C6236" w14:textId="6F3D5D5E"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Institute of Health and Welfare. (2019). </w:t>
      </w:r>
      <w:hyperlink r:id="rId487" w:history="1">
        <w:r w:rsidRPr="007A26A6">
          <w:rPr>
            <w:rStyle w:val="HyperlinkItalic"/>
            <w:rFonts w:cstheme="minorHAnsi"/>
            <w:szCs w:val="21"/>
          </w:rPr>
          <w:t>Child protection Australia: 2017–18</w:t>
        </w:r>
      </w:hyperlink>
      <w:r w:rsidRPr="007A26A6">
        <w:rPr>
          <w:rFonts w:cstheme="minorHAnsi"/>
          <w:szCs w:val="21"/>
        </w:rPr>
        <w:t xml:space="preserve"> (Child welfare series no. 70, cat. no. CWS 65).</w:t>
      </w:r>
    </w:p>
  </w:endnote>
  <w:endnote w:id="466">
    <w:p w14:paraId="05AD68C5" w14:textId="49CC44A3"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Mathews, B., Walsh, K., Dunne, M., Katz, I., Arney, F., Higgins, D., Octoman, O., Parkinson, S., &amp; Bates, S. (2016). </w:t>
      </w:r>
      <w:r w:rsidRPr="007A26A6">
        <w:rPr>
          <w:rStyle w:val="Emphasis"/>
          <w:rFonts w:cstheme="minorHAnsi"/>
          <w:szCs w:val="21"/>
        </w:rPr>
        <w:t>Scoping study for research into the prevalence of child abuse in Australia: Report to the Royal Commission into Institutional Responses to Child Sexual Abuse</w:t>
      </w:r>
      <w:r w:rsidRPr="007A26A6">
        <w:rPr>
          <w:rFonts w:cstheme="minorHAnsi"/>
          <w:szCs w:val="21"/>
        </w:rPr>
        <w:t>. Sydney: Social Policy Research Centre (SPRC Report 13/16), UNSW Australia in partnership with Australian Institute of Family Studies, Queensland University of Technology and the Australian Centre for Child Protection.</w:t>
      </w:r>
    </w:p>
  </w:endnote>
  <w:endnote w:id="467">
    <w:p w14:paraId="4490BDEA" w14:textId="2033DAEF"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Institute of Health and Welfare. (2019). </w:t>
      </w:r>
      <w:hyperlink r:id="rId488" w:history="1">
        <w:r w:rsidRPr="007A26A6">
          <w:rPr>
            <w:rStyle w:val="HyperlinkItalic"/>
            <w:rFonts w:cstheme="minorHAnsi"/>
            <w:szCs w:val="21"/>
          </w:rPr>
          <w:t>Child protection Australia: 2017–18</w:t>
        </w:r>
      </w:hyperlink>
      <w:r w:rsidRPr="007A26A6">
        <w:rPr>
          <w:rFonts w:cstheme="minorHAnsi"/>
          <w:szCs w:val="21"/>
        </w:rPr>
        <w:t>. p. 32.</w:t>
      </w:r>
    </w:p>
  </w:endnote>
  <w:endnote w:id="468">
    <w:p w14:paraId="01567116" w14:textId="0062B900"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Institute of Health and Welfare. (2019). </w:t>
      </w:r>
      <w:hyperlink r:id="rId489" w:history="1">
        <w:r w:rsidRPr="007A26A6">
          <w:rPr>
            <w:rStyle w:val="HyperlinkItalic"/>
            <w:rFonts w:cstheme="minorHAnsi"/>
            <w:szCs w:val="21"/>
          </w:rPr>
          <w:t>Child protection Australia: 2017–18</w:t>
        </w:r>
      </w:hyperlink>
      <w:r w:rsidRPr="007A26A6">
        <w:rPr>
          <w:rFonts w:cstheme="minorHAnsi"/>
          <w:szCs w:val="21"/>
        </w:rPr>
        <w:t>. p. 32.</w:t>
      </w:r>
    </w:p>
  </w:endnote>
  <w:endnote w:id="469">
    <w:p w14:paraId="27ADFFA0" w14:textId="665FF4FD"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Institute of Health and Welfare. (2019). </w:t>
      </w:r>
      <w:hyperlink r:id="rId490" w:history="1">
        <w:r w:rsidRPr="007A26A6">
          <w:rPr>
            <w:rStyle w:val="HyperlinkItalic"/>
            <w:rFonts w:cstheme="minorHAnsi"/>
            <w:szCs w:val="21"/>
          </w:rPr>
          <w:t>Child protection Australia: 2017–18</w:t>
        </w:r>
      </w:hyperlink>
      <w:r w:rsidRPr="007A26A6">
        <w:rPr>
          <w:rStyle w:val="HyperlinkItalic"/>
          <w:rFonts w:cstheme="minorHAnsi"/>
          <w:szCs w:val="21"/>
        </w:rPr>
        <w:t>.</w:t>
      </w:r>
      <w:r w:rsidRPr="007A26A6">
        <w:rPr>
          <w:rFonts w:cstheme="minorHAnsi"/>
          <w:szCs w:val="21"/>
        </w:rPr>
        <w:t xml:space="preserve"> p. 32.</w:t>
      </w:r>
    </w:p>
  </w:endnote>
  <w:endnote w:id="470">
    <w:p w14:paraId="4D2BA976" w14:textId="0A466C66"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Institute of Health and Welfare. (2019). </w:t>
      </w:r>
      <w:hyperlink r:id="rId491" w:history="1">
        <w:r w:rsidRPr="007A26A6">
          <w:rPr>
            <w:rStyle w:val="HyperlinkItalic"/>
            <w:rFonts w:cstheme="minorHAnsi"/>
            <w:szCs w:val="21"/>
          </w:rPr>
          <w:t>Child protection Australia: 2017–18</w:t>
        </w:r>
      </w:hyperlink>
      <w:r w:rsidRPr="007A26A6">
        <w:rPr>
          <w:rFonts w:cstheme="minorHAnsi"/>
          <w:szCs w:val="21"/>
        </w:rPr>
        <w:t>. p. 33.</w:t>
      </w:r>
    </w:p>
  </w:endnote>
  <w:endnote w:id="471">
    <w:p w14:paraId="5FE8DFEE" w14:textId="4AB948CA"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Institute of Health and Welfare. (2019). </w:t>
      </w:r>
      <w:hyperlink r:id="rId492" w:history="1">
        <w:r w:rsidRPr="007A26A6">
          <w:rPr>
            <w:rStyle w:val="HyperlinkItalic"/>
            <w:rFonts w:cstheme="minorHAnsi"/>
            <w:szCs w:val="21"/>
          </w:rPr>
          <w:t>Child protection Australia: 2017–18</w:t>
        </w:r>
      </w:hyperlink>
      <w:r w:rsidRPr="007A26A6">
        <w:rPr>
          <w:rFonts w:cstheme="minorHAnsi"/>
          <w:szCs w:val="21"/>
        </w:rPr>
        <w:t>. p. 33.</w:t>
      </w:r>
    </w:p>
  </w:endnote>
  <w:endnote w:id="472">
    <w:p w14:paraId="2171C9EC" w14:textId="412A4F04" w:rsidR="00F53B39" w:rsidRPr="007A26A6" w:rsidRDefault="00F53B39" w:rsidP="008F337F">
      <w:pPr>
        <w:pStyle w:val="EndnoteText"/>
        <w:rPr>
          <w:rFonts w:cstheme="minorHAnsi"/>
          <w:szCs w:val="21"/>
        </w:rPr>
      </w:pPr>
      <w:r w:rsidRPr="007A26A6">
        <w:rPr>
          <w:rFonts w:cstheme="minorHAnsi"/>
          <w:szCs w:val="21"/>
        </w:rPr>
        <w:endnoteRef/>
      </w:r>
      <w:r w:rsidRPr="007A26A6">
        <w:rPr>
          <w:rFonts w:cstheme="minorHAnsi"/>
          <w:szCs w:val="21"/>
        </w:rPr>
        <w:tab/>
        <w:t xml:space="preserve">Bryant, W., &amp; Bricknell, S. (2017). </w:t>
      </w:r>
      <w:hyperlink r:id="rId493" w:history="1">
        <w:r w:rsidRPr="007A26A6">
          <w:rPr>
            <w:rStyle w:val="HyperlinkItalic"/>
            <w:rFonts w:cstheme="minorHAnsi"/>
            <w:szCs w:val="21"/>
          </w:rPr>
          <w:t>Homicide in Australia 2012–13 to 2013–14: National Homicide Monitoring Program report</w:t>
        </w:r>
      </w:hyperlink>
      <w:r w:rsidRPr="007A26A6">
        <w:rPr>
          <w:rFonts w:cstheme="minorHAnsi"/>
          <w:szCs w:val="21"/>
        </w:rPr>
        <w:t xml:space="preserve"> (AIC Statistical report 02). Canberra, Australia: Australian Institute of Criminology.</w:t>
      </w:r>
    </w:p>
    <w:p w14:paraId="2025DAC4" w14:textId="0F2619EF" w:rsidR="00F53B39" w:rsidRPr="007A26A6" w:rsidRDefault="00F53B39" w:rsidP="008F337F">
      <w:pPr>
        <w:pStyle w:val="OWEndnotetextindent"/>
        <w:rPr>
          <w:rFonts w:cstheme="minorHAnsi"/>
          <w:lang w:val="en-US"/>
        </w:rPr>
      </w:pPr>
      <w:r w:rsidRPr="007A26A6">
        <w:rPr>
          <w:rFonts w:cstheme="minorHAnsi"/>
        </w:rPr>
        <w:t xml:space="preserve">Bricknell, S. (2019). </w:t>
      </w:r>
      <w:hyperlink r:id="rId494" w:history="1">
        <w:r w:rsidRPr="007A26A6">
          <w:rPr>
            <w:rStyle w:val="HyperlinkItalic"/>
            <w:rFonts w:cstheme="minorHAnsi"/>
          </w:rPr>
          <w:t>Homicide in Australia 2015–16</w:t>
        </w:r>
      </w:hyperlink>
      <w:r w:rsidRPr="007A26A6">
        <w:rPr>
          <w:rFonts w:cstheme="minorHAnsi"/>
        </w:rPr>
        <w:t xml:space="preserve"> (AIC Statistical Report 17). Canberra, Australia: Australian Institute of Criminology.</w:t>
      </w:r>
    </w:p>
  </w:endnote>
  <w:endnote w:id="473">
    <w:p w14:paraId="66344DB3" w14:textId="43BD9242"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Our Watch. (2018). </w:t>
      </w:r>
      <w:hyperlink r:id="rId495" w:history="1">
        <w:r w:rsidRPr="007A26A6">
          <w:rPr>
            <w:rStyle w:val="HyperlinkItalic"/>
            <w:rFonts w:cstheme="minorHAnsi"/>
            <w:szCs w:val="21"/>
          </w:rPr>
          <w:t>Changing the picture: A national resource to support the prevention of violence against Aboriginal and Torres Strait Islander women and their children</w:t>
        </w:r>
      </w:hyperlink>
      <w:r w:rsidRPr="007A26A6">
        <w:rPr>
          <w:rFonts w:cstheme="minorHAnsi"/>
          <w:szCs w:val="21"/>
        </w:rPr>
        <w:t>. See note on p. 20.</w:t>
      </w:r>
    </w:p>
  </w:endnote>
  <w:endnote w:id="474">
    <w:p w14:paraId="04A6FF2E" w14:textId="5AA0BCCD"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Bricknell, S. (2019). </w:t>
      </w:r>
      <w:hyperlink r:id="rId496" w:history="1">
        <w:r w:rsidRPr="007A26A6">
          <w:rPr>
            <w:rStyle w:val="HyperlinkItalic"/>
            <w:rFonts w:cstheme="minorHAnsi"/>
            <w:szCs w:val="21"/>
          </w:rPr>
          <w:t>Homicide in Australia 2015–16</w:t>
        </w:r>
      </w:hyperlink>
      <w:r w:rsidRPr="007A26A6">
        <w:rPr>
          <w:rFonts w:cstheme="minorHAnsi"/>
          <w:szCs w:val="21"/>
        </w:rPr>
        <w:t>. p. 27.</w:t>
      </w:r>
    </w:p>
  </w:endnote>
  <w:endnote w:id="475">
    <w:p w14:paraId="59381ECB" w14:textId="6377E19B"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Bryant, W., &amp; Bricknell, S. (2017). </w:t>
      </w:r>
      <w:hyperlink r:id="rId497" w:history="1">
        <w:r w:rsidRPr="007A26A6">
          <w:rPr>
            <w:rStyle w:val="HyperlinkItalic"/>
            <w:rFonts w:cstheme="minorHAnsi"/>
            <w:szCs w:val="21"/>
          </w:rPr>
          <w:t>Homicide in Australia 2012–13 to 2013–14: National Homicide Monitoring Program report</w:t>
        </w:r>
      </w:hyperlink>
      <w:r w:rsidRPr="007A26A6">
        <w:rPr>
          <w:rFonts w:cstheme="minorHAnsi"/>
          <w:szCs w:val="21"/>
        </w:rPr>
        <w:t>. p. 31.</w:t>
      </w:r>
    </w:p>
  </w:endnote>
  <w:endnote w:id="476">
    <w:p w14:paraId="4A49085A" w14:textId="0916EF0C"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Bryant, W., &amp; Bricknell, S. (2017). </w:t>
      </w:r>
      <w:hyperlink r:id="rId498" w:history="1">
        <w:r w:rsidRPr="007A26A6">
          <w:rPr>
            <w:rStyle w:val="HyperlinkItalic"/>
            <w:rFonts w:cstheme="minorHAnsi"/>
            <w:szCs w:val="21"/>
          </w:rPr>
          <w:t>Homicide in Australia 2012–13 to 2013–14: National Homicide Monitoring Program report</w:t>
        </w:r>
      </w:hyperlink>
      <w:r w:rsidRPr="007A26A6">
        <w:rPr>
          <w:rFonts w:cstheme="minorHAnsi"/>
          <w:szCs w:val="21"/>
        </w:rPr>
        <w:t>. p. 20.</w:t>
      </w:r>
    </w:p>
  </w:endnote>
  <w:endnote w:id="477">
    <w:p w14:paraId="1CA6CA76" w14:textId="4FDD5CE0"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Bryant, W., &amp; Bricknell, S. (2017). </w:t>
      </w:r>
      <w:hyperlink r:id="rId499" w:history="1">
        <w:r w:rsidRPr="007A26A6">
          <w:rPr>
            <w:rStyle w:val="HyperlinkItalic"/>
            <w:rFonts w:cstheme="minorHAnsi"/>
            <w:szCs w:val="21"/>
          </w:rPr>
          <w:t>Homicide in Australia 2012–13 to 2013–14: National Homicide Monitoring Program report</w:t>
        </w:r>
      </w:hyperlink>
      <w:r w:rsidRPr="007A26A6">
        <w:rPr>
          <w:rFonts w:cstheme="minorHAnsi"/>
          <w:szCs w:val="21"/>
        </w:rPr>
        <w:t>. p. 25.</w:t>
      </w:r>
    </w:p>
  </w:endnote>
  <w:endnote w:id="478">
    <w:p w14:paraId="07FF3C9A" w14:textId="7A40DC15"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Laslett, A. M., Mugavin, J., Jiang, H., Manton, E., Callinan, S., MacLean, S., &amp; Room, R. (2015). The hidden harm: Alcohol’s impact on children and families. Canberra, Australia: Foundation for Alcohol Research and Education. Citing Cussen, T., &amp; Bryant, W. (2015). </w:t>
      </w:r>
      <w:hyperlink r:id="rId500" w:history="1">
        <w:r w:rsidRPr="007A26A6">
          <w:rPr>
            <w:rStyle w:val="Hyperlink"/>
            <w:rFonts w:cstheme="minorHAnsi"/>
            <w:szCs w:val="21"/>
          </w:rPr>
          <w:t>Research in Practice No: 38: Domestic/family violence homicide in Australia</w:t>
        </w:r>
      </w:hyperlink>
      <w:r w:rsidRPr="007A26A6">
        <w:rPr>
          <w:rFonts w:cstheme="minorHAnsi"/>
          <w:szCs w:val="21"/>
        </w:rPr>
        <w:t>. Australian Institute of Criminology. Retrieved from the above source and state/territory police data.</w:t>
      </w:r>
    </w:p>
  </w:endnote>
  <w:endnote w:id="479">
    <w:p w14:paraId="2A21FF09" w14:textId="25480240" w:rsidR="00F53B39" w:rsidRPr="007A26A6" w:rsidRDefault="00F53B39" w:rsidP="00FC2B23">
      <w:pPr>
        <w:pStyle w:val="EndnoteText"/>
        <w:rPr>
          <w:rFonts w:cstheme="minorHAnsi"/>
          <w:szCs w:val="21"/>
        </w:rPr>
      </w:pPr>
      <w:r w:rsidRPr="007A26A6">
        <w:rPr>
          <w:rFonts w:cstheme="minorHAnsi"/>
          <w:szCs w:val="21"/>
        </w:rPr>
        <w:endnoteRef/>
      </w:r>
      <w:r w:rsidRPr="007A26A6">
        <w:rPr>
          <w:rFonts w:cstheme="minorHAnsi"/>
          <w:szCs w:val="21"/>
        </w:rPr>
        <w:tab/>
        <w:t xml:space="preserve">Graham, K., Bernards, S., Wilsnack, S. C., &amp; Gmel, G. (2011). </w:t>
      </w:r>
      <w:hyperlink r:id="rId501" w:history="1">
        <w:r w:rsidRPr="007A26A6">
          <w:rPr>
            <w:rStyle w:val="Hyperlink"/>
            <w:rFonts w:cstheme="minorHAnsi"/>
            <w:szCs w:val="21"/>
          </w:rPr>
          <w:t>Alcohol may not cause partner violence but it seems to make it worse: A cross-national comparison of the relationship between alcohol and the severity of partner violence</w:t>
        </w:r>
      </w:hyperlink>
      <w:r w:rsidRPr="007A26A6">
        <w:rPr>
          <w:rFonts w:cstheme="minorHAnsi"/>
          <w:szCs w:val="21"/>
        </w:rPr>
        <w:t xml:space="preserve">. </w:t>
      </w:r>
      <w:r w:rsidRPr="007A26A6">
        <w:rPr>
          <w:rStyle w:val="Emphasis"/>
          <w:rFonts w:cstheme="minorHAnsi"/>
          <w:szCs w:val="21"/>
        </w:rPr>
        <w:t>Journal of Interpersonal Violence</w:t>
      </w:r>
      <w:r w:rsidRPr="007A26A6">
        <w:rPr>
          <w:rFonts w:cstheme="minorHAnsi"/>
          <w:szCs w:val="21"/>
        </w:rPr>
        <w:t xml:space="preserve">, </w:t>
      </w:r>
      <w:r w:rsidRPr="007A26A6">
        <w:rPr>
          <w:rStyle w:val="Emphasis"/>
          <w:rFonts w:cstheme="minorHAnsi"/>
          <w:szCs w:val="21"/>
        </w:rPr>
        <w:t>26</w:t>
      </w:r>
      <w:r w:rsidRPr="007A26A6">
        <w:rPr>
          <w:rFonts w:cstheme="minorHAnsi"/>
          <w:szCs w:val="21"/>
        </w:rPr>
        <w:t>(8), 1503–1523.</w:t>
      </w:r>
    </w:p>
    <w:p w14:paraId="7541D0C9" w14:textId="568B0506" w:rsidR="00F53B39" w:rsidRPr="007A26A6" w:rsidRDefault="00F53B39" w:rsidP="00FC2B23">
      <w:pPr>
        <w:pStyle w:val="OWEndnotetextindent"/>
        <w:rPr>
          <w:rFonts w:cstheme="minorHAnsi"/>
        </w:rPr>
      </w:pPr>
      <w:r w:rsidRPr="007A26A6">
        <w:rPr>
          <w:rFonts w:cstheme="minorHAnsi"/>
        </w:rPr>
        <w:t xml:space="preserve">Heise, L. (2011). </w:t>
      </w:r>
      <w:hyperlink r:id="rId502" w:history="1">
        <w:r w:rsidRPr="007A26A6">
          <w:rPr>
            <w:rStyle w:val="HyperlinkItalic"/>
            <w:rFonts w:cstheme="minorHAnsi"/>
          </w:rPr>
          <w:t>What works to prevent partner violence – An evidence overview</w:t>
        </w:r>
      </w:hyperlink>
      <w:r w:rsidRPr="007A26A6">
        <w:rPr>
          <w:rFonts w:cstheme="minorHAnsi"/>
        </w:rPr>
        <w:t>. STRIVE Research Consortium.</w:t>
      </w:r>
    </w:p>
    <w:p w14:paraId="77E5D755" w14:textId="78F3AB06" w:rsidR="00F53B39" w:rsidRPr="007A26A6" w:rsidRDefault="00F53B39" w:rsidP="00FC2B23">
      <w:pPr>
        <w:pStyle w:val="OWEndnotetextindent"/>
        <w:rPr>
          <w:rFonts w:cstheme="minorHAnsi"/>
        </w:rPr>
      </w:pPr>
      <w:r w:rsidRPr="007A26A6">
        <w:rPr>
          <w:rFonts w:cstheme="minorHAnsi"/>
        </w:rPr>
        <w:t xml:space="preserve">Bennet, L., &amp; Bland, P. (2008). </w:t>
      </w:r>
      <w:r w:rsidRPr="007A26A6">
        <w:rPr>
          <w:rStyle w:val="Emphasis"/>
          <w:rFonts w:cstheme="minorHAnsi"/>
        </w:rPr>
        <w:t>Substance abuse and intimate partner violence</w:t>
      </w:r>
      <w:r w:rsidRPr="007A26A6">
        <w:rPr>
          <w:rFonts w:cstheme="minorHAnsi"/>
        </w:rPr>
        <w:t>. Harriburg, PA: National Resource Centre on Domestic Violence.</w:t>
      </w:r>
    </w:p>
  </w:endnote>
  <w:endnote w:id="480">
    <w:p w14:paraId="52120F2B" w14:textId="71AE36E7"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Dowling, C., &amp; Morgan, A. (2018, December). Is methamphetamine use associated with domestic violence? </w:t>
      </w:r>
      <w:r w:rsidRPr="007A26A6">
        <w:rPr>
          <w:rStyle w:val="Emphasis"/>
          <w:rFonts w:cstheme="minorHAnsi"/>
          <w:szCs w:val="21"/>
        </w:rPr>
        <w:t>Trends &amp; Issues in Crime and Criminal Justice</w:t>
      </w:r>
      <w:r w:rsidRPr="007A26A6">
        <w:rPr>
          <w:rFonts w:cstheme="minorHAnsi"/>
          <w:szCs w:val="21"/>
        </w:rPr>
        <w:t>,</w:t>
      </w:r>
      <w:r w:rsidRPr="007A26A6">
        <w:rPr>
          <w:rStyle w:val="Emphasis"/>
          <w:rFonts w:cstheme="minorHAnsi"/>
          <w:szCs w:val="21"/>
        </w:rPr>
        <w:t xml:space="preserve"> 563</w:t>
      </w:r>
      <w:r w:rsidRPr="007A26A6">
        <w:rPr>
          <w:rFonts w:cstheme="minorHAnsi"/>
          <w:szCs w:val="21"/>
        </w:rPr>
        <w:t>. Canberra, Australia: Australian Institute of Criminology.</w:t>
      </w:r>
    </w:p>
  </w:endnote>
  <w:endnote w:id="481">
    <w:p w14:paraId="6A42D5F4" w14:textId="2E4CA4BA"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Foundation for Alcohol Research and Education. (2018). </w:t>
      </w:r>
      <w:hyperlink r:id="rId503" w:history="1">
        <w:r w:rsidRPr="007A26A6">
          <w:rPr>
            <w:rStyle w:val="HyperlinkItalic"/>
            <w:rFonts w:cstheme="minorHAnsi"/>
            <w:szCs w:val="21"/>
          </w:rPr>
          <w:t>Annual alcohol poll 2018: Attitudes and behaviours</w:t>
        </w:r>
      </w:hyperlink>
      <w:r w:rsidRPr="007A26A6">
        <w:rPr>
          <w:rFonts w:cstheme="minorHAnsi"/>
          <w:szCs w:val="21"/>
        </w:rPr>
        <w:t>. Deakin West, ACT: FARE.</w:t>
      </w:r>
    </w:p>
  </w:endnote>
  <w:endnote w:id="482">
    <w:p w14:paraId="31040B55" w14:textId="4D583C7A"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504"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pp. 42–44.</w:t>
      </w:r>
    </w:p>
  </w:endnote>
  <w:endnote w:id="483">
    <w:p w14:paraId="1A9B4EBD" w14:textId="4D14E40B"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Our Watch. (2018). </w:t>
      </w:r>
      <w:hyperlink r:id="rId505" w:history="1">
        <w:r w:rsidRPr="007A26A6">
          <w:rPr>
            <w:rStyle w:val="HyperlinkItalic"/>
            <w:rFonts w:cstheme="minorHAnsi"/>
            <w:szCs w:val="21"/>
          </w:rPr>
          <w:t>Changing the picture: A national resource to support the prevention of violence against Aboriginal and Torres Strait Islander women and their children</w:t>
        </w:r>
      </w:hyperlink>
      <w:r w:rsidRPr="007A26A6">
        <w:rPr>
          <w:rFonts w:cstheme="minorHAnsi"/>
          <w:szCs w:val="21"/>
        </w:rPr>
        <w:t>.</w:t>
      </w:r>
    </w:p>
  </w:endnote>
  <w:endnote w:id="484">
    <w:p w14:paraId="0E287C8C" w14:textId="357D5E07"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Foundation for Alcohol Research and Education. (2018). </w:t>
      </w:r>
      <w:hyperlink r:id="rId506" w:history="1">
        <w:r w:rsidRPr="007A26A6">
          <w:rPr>
            <w:rStyle w:val="HyperlinkItalic"/>
            <w:rFonts w:cstheme="minorHAnsi"/>
            <w:szCs w:val="21"/>
          </w:rPr>
          <w:t>Annual alcohol poll 2018: Attitudes and behaviours</w:t>
        </w:r>
      </w:hyperlink>
      <w:r w:rsidRPr="007A26A6">
        <w:rPr>
          <w:rFonts w:cstheme="minorHAnsi"/>
          <w:szCs w:val="21"/>
        </w:rPr>
        <w:t>.</w:t>
      </w:r>
    </w:p>
  </w:endnote>
  <w:endnote w:id="485">
    <w:p w14:paraId="6BDC44F0" w14:textId="258CF8D4"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Foundation for Alcohol Research and Education. (2018). </w:t>
      </w:r>
      <w:hyperlink r:id="rId507" w:history="1">
        <w:r w:rsidRPr="007A26A6">
          <w:rPr>
            <w:rStyle w:val="HyperlinkItalic"/>
            <w:rFonts w:cstheme="minorHAnsi"/>
            <w:szCs w:val="21"/>
          </w:rPr>
          <w:t>Annual alcohol poll 2018: Attitudes and behaviours</w:t>
        </w:r>
      </w:hyperlink>
      <w:r w:rsidRPr="007A26A6">
        <w:rPr>
          <w:rFonts w:cstheme="minorHAnsi"/>
          <w:szCs w:val="21"/>
        </w:rPr>
        <w:t>.</w:t>
      </w:r>
    </w:p>
  </w:endnote>
  <w:endnote w:id="486">
    <w:p w14:paraId="1C402BD1" w14:textId="2C329F07"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Foundation for Alcohol Research and Education. (2016). </w:t>
      </w:r>
      <w:hyperlink r:id="rId508" w:history="1">
        <w:r w:rsidRPr="007A26A6">
          <w:rPr>
            <w:rStyle w:val="HyperlinkItalic"/>
            <w:rFonts w:cstheme="minorHAnsi"/>
            <w:szCs w:val="21"/>
          </w:rPr>
          <w:t>Annual alcohol poll 2016: Attitudes and behaviours</w:t>
        </w:r>
      </w:hyperlink>
      <w:r w:rsidRPr="007A26A6">
        <w:rPr>
          <w:rFonts w:cstheme="minorHAnsi"/>
          <w:szCs w:val="21"/>
        </w:rPr>
        <w:t>.</w:t>
      </w:r>
    </w:p>
  </w:endnote>
  <w:endnote w:id="487">
    <w:p w14:paraId="190214BF" w14:textId="2D0BAA5C"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509"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80.</w:t>
      </w:r>
    </w:p>
  </w:endnote>
  <w:endnote w:id="488">
    <w:p w14:paraId="7A404F89" w14:textId="33934498"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510"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pp. 79–80.</w:t>
      </w:r>
    </w:p>
  </w:endnote>
  <w:endnote w:id="489">
    <w:p w14:paraId="6CD39101" w14:textId="33BB4566"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511"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79.</w:t>
      </w:r>
    </w:p>
  </w:endnote>
  <w:endnote w:id="490">
    <w:p w14:paraId="2CF4229C" w14:textId="32622D27"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512"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79.</w:t>
      </w:r>
    </w:p>
  </w:endnote>
  <w:endnote w:id="491">
    <w:p w14:paraId="70FD4F1F" w14:textId="7D37E3D8"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Chon, D. S. (2013). Tests of impacts of gender equality and economic development on sexual violence. </w:t>
      </w:r>
      <w:r w:rsidRPr="007A26A6">
        <w:rPr>
          <w:rStyle w:val="Emphasis"/>
          <w:rFonts w:cstheme="minorHAnsi"/>
          <w:szCs w:val="21"/>
        </w:rPr>
        <w:t>Journal of Family Violence</w:t>
      </w:r>
      <w:r w:rsidRPr="007A26A6">
        <w:rPr>
          <w:rFonts w:cstheme="minorHAnsi"/>
          <w:szCs w:val="21"/>
        </w:rPr>
        <w:t xml:space="preserve">, </w:t>
      </w:r>
      <w:r w:rsidRPr="007A26A6">
        <w:rPr>
          <w:rStyle w:val="Emphasis"/>
          <w:rFonts w:cstheme="minorHAnsi"/>
          <w:szCs w:val="21"/>
        </w:rPr>
        <w:t>28</w:t>
      </w:r>
      <w:r w:rsidRPr="007A26A6">
        <w:rPr>
          <w:rFonts w:cstheme="minorHAnsi"/>
          <w:szCs w:val="21"/>
        </w:rPr>
        <w:t>(6), 603–610.</w:t>
      </w:r>
    </w:p>
  </w:endnote>
  <w:endnote w:id="492">
    <w:p w14:paraId="2EAFD6B9" w14:textId="77777777" w:rsidR="00F53B39" w:rsidRPr="007A26A6" w:rsidRDefault="00F53B39" w:rsidP="00FC2B23">
      <w:pPr>
        <w:pStyle w:val="EndnoteText"/>
        <w:rPr>
          <w:rFonts w:cstheme="minorHAnsi"/>
          <w:szCs w:val="21"/>
        </w:rPr>
      </w:pPr>
      <w:r w:rsidRPr="007A26A6">
        <w:rPr>
          <w:rFonts w:cstheme="minorHAnsi"/>
          <w:szCs w:val="21"/>
        </w:rPr>
        <w:endnoteRef/>
      </w:r>
      <w:r w:rsidRPr="007A26A6">
        <w:rPr>
          <w:rFonts w:cstheme="minorHAnsi"/>
          <w:szCs w:val="21"/>
        </w:rPr>
        <w:tab/>
        <w:t xml:space="preserve">True, J. (2012). </w:t>
      </w:r>
      <w:r w:rsidRPr="007A26A6">
        <w:rPr>
          <w:rStyle w:val="Emphasis"/>
          <w:rFonts w:cstheme="minorHAnsi"/>
          <w:szCs w:val="21"/>
        </w:rPr>
        <w:t>The political economy of violence against women</w:t>
      </w:r>
      <w:r w:rsidRPr="007A26A6">
        <w:rPr>
          <w:rFonts w:cstheme="minorHAnsi"/>
          <w:szCs w:val="21"/>
        </w:rPr>
        <w:t>. New York: Oxford University Press.</w:t>
      </w:r>
    </w:p>
    <w:p w14:paraId="2ACD3F84" w14:textId="77777777" w:rsidR="00F53B39" w:rsidRPr="007A26A6" w:rsidRDefault="00F53B39" w:rsidP="00FC2B23">
      <w:pPr>
        <w:pStyle w:val="OWEndnotetextindent"/>
        <w:rPr>
          <w:rFonts w:cstheme="minorHAnsi"/>
        </w:rPr>
      </w:pPr>
      <w:r w:rsidRPr="007A26A6">
        <w:rPr>
          <w:rFonts w:cstheme="minorHAnsi"/>
        </w:rPr>
        <w:t xml:space="preserve">Weissman, D. M. (2007). The personal is political – and economic: Rethinking domestic violence. </w:t>
      </w:r>
      <w:r w:rsidRPr="007A26A6">
        <w:rPr>
          <w:rStyle w:val="Emphasis"/>
          <w:rFonts w:cstheme="minorHAnsi"/>
        </w:rPr>
        <w:t>Brigham Young University Law Review</w:t>
      </w:r>
      <w:r w:rsidRPr="007A26A6">
        <w:rPr>
          <w:rFonts w:cstheme="minorHAnsi"/>
        </w:rPr>
        <w:t xml:space="preserve">, </w:t>
      </w:r>
      <w:r w:rsidRPr="007A26A6">
        <w:rPr>
          <w:rStyle w:val="Emphasis"/>
          <w:rFonts w:cstheme="minorHAnsi"/>
        </w:rPr>
        <w:t>2007</w:t>
      </w:r>
      <w:r w:rsidRPr="007A26A6">
        <w:rPr>
          <w:rFonts w:cstheme="minorHAnsi"/>
        </w:rPr>
        <w:t>(2), 387–450.</w:t>
      </w:r>
    </w:p>
    <w:p w14:paraId="35DEA8EC" w14:textId="1F0A694C" w:rsidR="00F53B39" w:rsidRPr="007A26A6" w:rsidRDefault="00F53B39" w:rsidP="00FC2B23">
      <w:pPr>
        <w:pStyle w:val="OWEndnotetextindent"/>
        <w:rPr>
          <w:rFonts w:cstheme="minorHAnsi"/>
        </w:rPr>
      </w:pPr>
      <w:r w:rsidRPr="007A26A6">
        <w:rPr>
          <w:rFonts w:cstheme="minorHAnsi"/>
        </w:rPr>
        <w:t xml:space="preserve">Atkinson, P., Greenstein, N., &amp; Lang, M. (2005). For women, breadwinning can be dangerous: Gendered resource theory and wife abuse. </w:t>
      </w:r>
      <w:r w:rsidRPr="007A26A6">
        <w:rPr>
          <w:rStyle w:val="Emphasis"/>
          <w:rFonts w:cstheme="minorHAnsi"/>
        </w:rPr>
        <w:t>Journal of Marriage and Family</w:t>
      </w:r>
      <w:r w:rsidRPr="007A26A6">
        <w:rPr>
          <w:rFonts w:cstheme="minorHAnsi"/>
        </w:rPr>
        <w:t xml:space="preserve">, </w:t>
      </w:r>
      <w:r w:rsidRPr="007A26A6">
        <w:rPr>
          <w:rStyle w:val="Emphasis"/>
          <w:rFonts w:cstheme="minorHAnsi"/>
        </w:rPr>
        <w:t>67</w:t>
      </w:r>
      <w:r w:rsidRPr="007A26A6">
        <w:rPr>
          <w:rFonts w:cstheme="minorHAnsi"/>
        </w:rPr>
        <w:t>(5), 1137–1148.</w:t>
      </w:r>
    </w:p>
  </w:endnote>
  <w:endnote w:id="493">
    <w:p w14:paraId="19B4CD97" w14:textId="402EA802"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Atkinson, P. et al. (2005). For women breadwinning can be dangerous: Gendered resource theory and wife abuse.</w:t>
      </w:r>
    </w:p>
  </w:endnote>
  <w:endnote w:id="494">
    <w:p w14:paraId="3200A841" w14:textId="0F4ADDEF"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Faludi, S. (1991). </w:t>
      </w:r>
      <w:r w:rsidRPr="007A26A6">
        <w:rPr>
          <w:rStyle w:val="Emphasis"/>
          <w:rFonts w:cstheme="minorHAnsi"/>
          <w:szCs w:val="21"/>
        </w:rPr>
        <w:t>Backlash: The undeclared war against American women</w:t>
      </w:r>
      <w:r w:rsidRPr="007A26A6">
        <w:rPr>
          <w:rFonts w:cstheme="minorHAnsi"/>
          <w:szCs w:val="21"/>
        </w:rPr>
        <w:t>. USA: Crown Publishing Group.</w:t>
      </w:r>
    </w:p>
  </w:endnote>
  <w:endnote w:id="495">
    <w:p w14:paraId="04B42A54" w14:textId="77777777" w:rsidR="00F53B39" w:rsidRPr="007A26A6" w:rsidRDefault="00F53B39" w:rsidP="00FC2B23">
      <w:pPr>
        <w:pStyle w:val="EndnoteText"/>
        <w:rPr>
          <w:rFonts w:cstheme="minorHAnsi"/>
          <w:szCs w:val="21"/>
        </w:rPr>
      </w:pPr>
      <w:r w:rsidRPr="007A26A6">
        <w:rPr>
          <w:rFonts w:cstheme="minorHAnsi"/>
          <w:szCs w:val="21"/>
        </w:rPr>
        <w:endnoteRef/>
      </w:r>
      <w:r w:rsidRPr="007A26A6">
        <w:rPr>
          <w:rFonts w:cstheme="minorHAnsi"/>
          <w:szCs w:val="21"/>
        </w:rPr>
        <w:tab/>
        <w:t xml:space="preserve">Dragiewicz, M. (2011). </w:t>
      </w:r>
      <w:r w:rsidRPr="007A26A6">
        <w:rPr>
          <w:rStyle w:val="Emphasis"/>
          <w:rFonts w:cstheme="minorHAnsi"/>
          <w:szCs w:val="21"/>
        </w:rPr>
        <w:t>Equality with a vengeance: Men’s rights groups, battered women, and antifeminist backlash</w:t>
      </w:r>
      <w:r w:rsidRPr="007A26A6">
        <w:rPr>
          <w:rFonts w:cstheme="minorHAnsi"/>
          <w:szCs w:val="21"/>
        </w:rPr>
        <w:t>. Boston, USA: Northeastern University Press.</w:t>
      </w:r>
    </w:p>
    <w:p w14:paraId="0C163182" w14:textId="0EC87CC9" w:rsidR="00F53B39" w:rsidRPr="007A26A6" w:rsidRDefault="00F53B39" w:rsidP="00FC2B23">
      <w:pPr>
        <w:pStyle w:val="OWEndnotetextindent"/>
        <w:rPr>
          <w:rFonts w:cstheme="minorHAnsi"/>
          <w:lang w:val="en-US"/>
        </w:rPr>
      </w:pPr>
      <w:r w:rsidRPr="007A26A6">
        <w:rPr>
          <w:rFonts w:cstheme="minorHAnsi"/>
        </w:rPr>
        <w:t xml:space="preserve">Flood, M. (2004). ‘Backlash: Angry men’s movements’. In Rossi, S. E. (Ed.). </w:t>
      </w:r>
      <w:r w:rsidRPr="007A26A6">
        <w:rPr>
          <w:rStyle w:val="Emphasis"/>
          <w:rFonts w:cstheme="minorHAnsi"/>
        </w:rPr>
        <w:t>The battle and backlash rage on: Why feminism cannot be obsolete</w:t>
      </w:r>
      <w:r w:rsidRPr="007A26A6">
        <w:rPr>
          <w:rFonts w:cstheme="minorHAnsi"/>
        </w:rPr>
        <w:t>. Philadelphia, USA: Xlibris Press.</w:t>
      </w:r>
    </w:p>
  </w:endnote>
  <w:endnote w:id="496">
    <w:p w14:paraId="552A4958" w14:textId="77777777" w:rsidR="00F53B39" w:rsidRPr="007A26A6" w:rsidRDefault="00F53B39" w:rsidP="00FC2B23">
      <w:pPr>
        <w:pStyle w:val="EndnoteText"/>
        <w:rPr>
          <w:rFonts w:cstheme="minorHAnsi"/>
          <w:szCs w:val="21"/>
        </w:rPr>
      </w:pPr>
      <w:r w:rsidRPr="007A26A6">
        <w:rPr>
          <w:rFonts w:cstheme="minorHAnsi"/>
          <w:szCs w:val="21"/>
        </w:rPr>
        <w:endnoteRef/>
      </w:r>
      <w:r w:rsidRPr="007A26A6">
        <w:rPr>
          <w:rFonts w:cstheme="minorHAnsi"/>
          <w:szCs w:val="21"/>
        </w:rPr>
        <w:tab/>
        <w:t xml:space="preserve">Flood, M. (2010). ‘Father’s rights’ and the defense of paternal authority in Australia. </w:t>
      </w:r>
      <w:r w:rsidRPr="007A26A6">
        <w:rPr>
          <w:rStyle w:val="Emphasis"/>
          <w:rFonts w:cstheme="minorHAnsi"/>
          <w:szCs w:val="21"/>
        </w:rPr>
        <w:t>Violence Against Women</w:t>
      </w:r>
      <w:r w:rsidRPr="007A26A6">
        <w:rPr>
          <w:rFonts w:cstheme="minorHAnsi"/>
          <w:szCs w:val="21"/>
        </w:rPr>
        <w:t xml:space="preserve">, </w:t>
      </w:r>
      <w:r w:rsidRPr="007A26A6">
        <w:rPr>
          <w:rStyle w:val="Emphasis"/>
          <w:rFonts w:cstheme="minorHAnsi"/>
          <w:szCs w:val="21"/>
        </w:rPr>
        <w:t>16</w:t>
      </w:r>
      <w:r w:rsidRPr="007A26A6">
        <w:rPr>
          <w:rFonts w:cstheme="minorHAnsi"/>
          <w:szCs w:val="21"/>
        </w:rPr>
        <w:t>(3), 328–347.</w:t>
      </w:r>
    </w:p>
    <w:p w14:paraId="2A6D3030" w14:textId="524CA6EF" w:rsidR="00F53B39" w:rsidRPr="007A26A6" w:rsidRDefault="00F53B39" w:rsidP="00FC2B23">
      <w:pPr>
        <w:pStyle w:val="OWEndnotetextindent"/>
        <w:rPr>
          <w:rFonts w:cstheme="minorHAnsi"/>
        </w:rPr>
      </w:pPr>
      <w:r w:rsidRPr="007A26A6">
        <w:rPr>
          <w:rFonts w:cstheme="minorHAnsi"/>
        </w:rPr>
        <w:t xml:space="preserve">Salter, M. (2016). Men’s rights or men’s needs? Anti-feminism in Australian men’s health promotion. </w:t>
      </w:r>
      <w:r w:rsidRPr="007A26A6">
        <w:rPr>
          <w:rStyle w:val="Emphasis"/>
          <w:rFonts w:cstheme="minorHAnsi"/>
        </w:rPr>
        <w:t>Canadian Journal of Women and the Law</w:t>
      </w:r>
      <w:r w:rsidRPr="007A26A6">
        <w:rPr>
          <w:rFonts w:cstheme="minorHAnsi"/>
        </w:rPr>
        <w:t xml:space="preserve">, </w:t>
      </w:r>
      <w:r w:rsidRPr="007A26A6">
        <w:rPr>
          <w:rStyle w:val="Emphasis"/>
          <w:rFonts w:cstheme="minorHAnsi"/>
        </w:rPr>
        <w:t>28</w:t>
      </w:r>
      <w:r w:rsidRPr="007A26A6">
        <w:rPr>
          <w:rFonts w:cstheme="minorHAnsi"/>
        </w:rPr>
        <w:t>(1), 69–90.</w:t>
      </w:r>
    </w:p>
  </w:endnote>
  <w:endnote w:id="497">
    <w:p w14:paraId="67D66A9A" w14:textId="7B6AF580" w:rsidR="00F53B39" w:rsidRPr="007A26A6" w:rsidRDefault="00F53B39" w:rsidP="001234AB">
      <w:pPr>
        <w:pStyle w:val="EndnoteText"/>
        <w:rPr>
          <w:rFonts w:cstheme="minorHAnsi"/>
          <w:szCs w:val="21"/>
        </w:rPr>
      </w:pPr>
      <w:r w:rsidRPr="007A26A6">
        <w:rPr>
          <w:rFonts w:cstheme="minorHAnsi"/>
          <w:szCs w:val="21"/>
        </w:rPr>
        <w:endnoteRef/>
      </w:r>
      <w:r w:rsidRPr="007A26A6">
        <w:rPr>
          <w:rFonts w:cstheme="minorHAnsi"/>
          <w:szCs w:val="21"/>
        </w:rPr>
        <w:tab/>
        <w:t xml:space="preserve">Gorman, G. (2019, February 2). </w:t>
      </w:r>
      <w:hyperlink r:id="rId513" w:history="1">
        <w:r w:rsidRPr="007A26A6">
          <w:rPr>
            <w:rStyle w:val="Hyperlink"/>
            <w:rFonts w:cstheme="minorHAnsi"/>
            <w:szCs w:val="21"/>
          </w:rPr>
          <w:t>Internet trolls aren’t who I thought – they’re even scarier</w:t>
        </w:r>
      </w:hyperlink>
      <w:r w:rsidRPr="007A26A6">
        <w:rPr>
          <w:rFonts w:cstheme="minorHAnsi"/>
          <w:i/>
          <w:iCs/>
          <w:szCs w:val="21"/>
        </w:rPr>
        <w:t>. Australian</w:t>
      </w:r>
      <w:r w:rsidRPr="007A26A6">
        <w:rPr>
          <w:rFonts w:cstheme="minorHAnsi"/>
          <w:szCs w:val="21"/>
        </w:rPr>
        <w:t xml:space="preserve"> Broadcasting Corporation.</w:t>
      </w:r>
    </w:p>
  </w:endnote>
  <w:endnote w:id="498">
    <w:p w14:paraId="6F07FBA3" w14:textId="51592284" w:rsidR="00F53B39" w:rsidRPr="007A26A6" w:rsidRDefault="00F53B39" w:rsidP="00FC2B23">
      <w:pPr>
        <w:pStyle w:val="EndnoteText"/>
        <w:rPr>
          <w:rFonts w:cstheme="minorHAnsi"/>
          <w:szCs w:val="21"/>
        </w:rPr>
      </w:pPr>
      <w:r w:rsidRPr="007A26A6">
        <w:rPr>
          <w:rFonts w:cstheme="minorHAnsi"/>
          <w:szCs w:val="21"/>
        </w:rPr>
        <w:endnoteRef/>
      </w:r>
      <w:r w:rsidRPr="007A26A6">
        <w:rPr>
          <w:rFonts w:cstheme="minorHAnsi"/>
          <w:szCs w:val="21"/>
        </w:rPr>
        <w:tab/>
        <w:t xml:space="preserve">Donegan, M. (2019, September 6). </w:t>
      </w:r>
      <w:hyperlink r:id="rId514" w:history="1">
        <w:r w:rsidRPr="007A26A6">
          <w:rPr>
            <w:rStyle w:val="Hyperlink"/>
            <w:rFonts w:cstheme="minorHAnsi"/>
            <w:szCs w:val="21"/>
          </w:rPr>
          <w:t>The war on #MeToo will fail: Women cannot be un-radicalised</w:t>
        </w:r>
      </w:hyperlink>
      <w:r w:rsidRPr="007A26A6">
        <w:rPr>
          <w:rFonts w:cstheme="minorHAnsi"/>
          <w:i/>
          <w:iCs/>
          <w:szCs w:val="21"/>
        </w:rPr>
        <w:t>.</w:t>
      </w:r>
      <w:r w:rsidRPr="007A26A6">
        <w:rPr>
          <w:rFonts w:cstheme="minorHAnsi"/>
          <w:szCs w:val="21"/>
        </w:rPr>
        <w:t xml:space="preserve"> </w:t>
      </w:r>
      <w:r w:rsidRPr="007A26A6">
        <w:rPr>
          <w:rStyle w:val="Emphasis"/>
          <w:rFonts w:cstheme="minorHAnsi"/>
          <w:szCs w:val="21"/>
        </w:rPr>
        <w:t>Guardian</w:t>
      </w:r>
      <w:r w:rsidRPr="007A26A6">
        <w:rPr>
          <w:rFonts w:cstheme="minorHAnsi"/>
          <w:szCs w:val="21"/>
        </w:rPr>
        <w:t>.</w:t>
      </w:r>
    </w:p>
    <w:p w14:paraId="204D9B38" w14:textId="638DF4E6" w:rsidR="00F53B39" w:rsidRPr="007A26A6" w:rsidRDefault="00F53B39" w:rsidP="00FC2B23">
      <w:pPr>
        <w:pStyle w:val="OWEndnotetextindent"/>
        <w:rPr>
          <w:rFonts w:cstheme="minorHAnsi"/>
        </w:rPr>
      </w:pPr>
      <w:r w:rsidRPr="007A26A6">
        <w:rPr>
          <w:rFonts w:cstheme="minorHAnsi"/>
        </w:rPr>
        <w:t xml:space="preserve">McGregor. (2019, May 17). </w:t>
      </w:r>
      <w:hyperlink r:id="rId515" w:history="1">
        <w:r w:rsidRPr="007A26A6">
          <w:rPr>
            <w:rStyle w:val="Hyperlink"/>
            <w:rFonts w:cstheme="minorHAnsi"/>
          </w:rPr>
          <w:t>#MeToo backlash: More male managers avoid mentoring women or meeting along with them</w:t>
        </w:r>
      </w:hyperlink>
      <w:r w:rsidRPr="007A26A6">
        <w:rPr>
          <w:rFonts w:cstheme="minorHAnsi"/>
          <w:i/>
          <w:iCs/>
        </w:rPr>
        <w:t xml:space="preserve">. </w:t>
      </w:r>
      <w:r w:rsidRPr="007A26A6">
        <w:rPr>
          <w:rStyle w:val="Emphasis"/>
          <w:rFonts w:cstheme="minorHAnsi"/>
        </w:rPr>
        <w:t>Washington Post</w:t>
      </w:r>
      <w:r w:rsidRPr="007A26A6">
        <w:rPr>
          <w:rFonts w:cstheme="minorHAnsi"/>
        </w:rPr>
        <w:t>.</w:t>
      </w:r>
    </w:p>
    <w:p w14:paraId="0F709390" w14:textId="57F8F851" w:rsidR="00F53B39" w:rsidRPr="007A26A6" w:rsidRDefault="00F53B39" w:rsidP="00FC2B23">
      <w:pPr>
        <w:pStyle w:val="OWEndnotetextindent"/>
        <w:rPr>
          <w:rFonts w:cstheme="minorHAnsi"/>
        </w:rPr>
      </w:pPr>
      <w:r w:rsidRPr="007A26A6">
        <w:rPr>
          <w:rFonts w:cstheme="minorHAnsi"/>
        </w:rPr>
        <w:t xml:space="preserve">Gander, K. (2019, July 17). </w:t>
      </w:r>
      <w:hyperlink r:id="rId516" w:history="1">
        <w:r w:rsidRPr="007A26A6">
          <w:rPr>
            <w:rStyle w:val="Hyperlink"/>
            <w:rFonts w:cstheme="minorHAnsi"/>
          </w:rPr>
          <w:t>#MeToo movement triggered gender backlash as men try to ‘maintain existing hierarchies of power</w:t>
        </w:r>
      </w:hyperlink>
      <w:r w:rsidRPr="007A26A6">
        <w:rPr>
          <w:rStyle w:val="Hyperlink"/>
          <w:rFonts w:cstheme="minorHAnsi"/>
        </w:rPr>
        <w:t>’</w:t>
      </w:r>
      <w:r w:rsidRPr="007A26A6">
        <w:rPr>
          <w:rFonts w:cstheme="minorHAnsi"/>
        </w:rPr>
        <w:t xml:space="preserve">. </w:t>
      </w:r>
      <w:r w:rsidRPr="007A26A6">
        <w:rPr>
          <w:rStyle w:val="Emphasis"/>
          <w:rFonts w:cstheme="minorHAnsi"/>
        </w:rPr>
        <w:t>Newsweek</w:t>
      </w:r>
      <w:r w:rsidRPr="007A26A6">
        <w:rPr>
          <w:rFonts w:cstheme="minorHAnsi"/>
        </w:rPr>
        <w:t>.</w:t>
      </w:r>
    </w:p>
  </w:endnote>
  <w:endnote w:id="499">
    <w:p w14:paraId="2FF38FED" w14:textId="055B1053"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KPMG. (2019). </w:t>
      </w:r>
      <w:hyperlink r:id="rId517" w:history="1">
        <w:r w:rsidRPr="007A26A6">
          <w:rPr>
            <w:rStyle w:val="HyperlinkItalic"/>
            <w:rFonts w:cstheme="minorHAnsi"/>
            <w:szCs w:val="21"/>
          </w:rPr>
          <w:t>She’s Price(d)less: The economics of the gender pay gap</w:t>
        </w:r>
      </w:hyperlink>
      <w:r w:rsidRPr="007A26A6">
        <w:rPr>
          <w:rFonts w:cstheme="minorHAnsi"/>
          <w:szCs w:val="21"/>
        </w:rPr>
        <w:t>.</w:t>
      </w:r>
    </w:p>
  </w:endnote>
  <w:endnote w:id="500">
    <w:p w14:paraId="22FCE96F" w14:textId="118DEBEA"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Flood, M., Dragiewicz, M., &amp; Pease, B. (2018). </w:t>
      </w:r>
      <w:hyperlink r:id="rId518" w:history="1">
        <w:r w:rsidRPr="007A26A6">
          <w:rPr>
            <w:rStyle w:val="HyperlinkItalic"/>
            <w:rFonts w:cstheme="minorHAnsi"/>
            <w:szCs w:val="21"/>
          </w:rPr>
          <w:t>Resistance and backlash to gender equality: An evidence review</w:t>
        </w:r>
      </w:hyperlink>
      <w:r w:rsidRPr="007A26A6">
        <w:rPr>
          <w:rFonts w:cstheme="minorHAnsi"/>
          <w:szCs w:val="21"/>
        </w:rPr>
        <w:t>. Brisbane, Australia: Crime and Justice Research Centre, Queensland University of Technology (QUT).</w:t>
      </w:r>
    </w:p>
  </w:endnote>
  <w:endnote w:id="501">
    <w:p w14:paraId="5B726C75" w14:textId="0CA0267C"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Webster et al. (2018). </w:t>
      </w:r>
      <w:hyperlink r:id="rId519" w:history="1">
        <w:r w:rsidRPr="007A26A6">
          <w:rPr>
            <w:rStyle w:val="HyperlinkItalic"/>
            <w:rFonts w:cstheme="minorHAnsi"/>
            <w:szCs w:val="21"/>
          </w:rPr>
          <w:t>Australians’ attitudes to violence against women and gender equality: Findings from the 2017 National Community Attitudes towards Violence Against Women Survey (NCAS)</w:t>
        </w:r>
      </w:hyperlink>
      <w:r w:rsidRPr="007A26A6">
        <w:rPr>
          <w:rFonts w:cstheme="minorHAnsi"/>
          <w:szCs w:val="21"/>
        </w:rPr>
        <w:t>. p. 71.</w:t>
      </w:r>
    </w:p>
  </w:endnote>
  <w:endnote w:id="502">
    <w:p w14:paraId="3D9EED0C" w14:textId="76F1188B"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r>
      <w:r w:rsidRPr="007A26A6">
        <w:rPr>
          <w:rFonts w:eastAsiaTheme="minorHAnsi" w:cstheme="minorHAnsi"/>
          <w:szCs w:val="21"/>
          <w:lang w:val="en-GB"/>
        </w:rPr>
        <w:t xml:space="preserve">Council of Australian Governments. (2011). </w:t>
      </w:r>
      <w:hyperlink r:id="rId520" w:history="1">
        <w:r w:rsidRPr="007A26A6">
          <w:rPr>
            <w:rStyle w:val="HyperlinkItalic"/>
            <w:rFonts w:cstheme="minorHAnsi"/>
            <w:szCs w:val="21"/>
            <w:lang w:val="en-GB"/>
          </w:rPr>
          <w:t>National Plan to reduce violence against women and their children 2010–2022</w:t>
        </w:r>
      </w:hyperlink>
      <w:r w:rsidRPr="007A26A6">
        <w:rPr>
          <w:rFonts w:eastAsiaTheme="minorHAnsi" w:cstheme="minorHAnsi"/>
          <w:szCs w:val="21"/>
          <w:lang w:val="en-GB"/>
        </w:rPr>
        <w:t>.</w:t>
      </w:r>
    </w:p>
  </w:endnote>
  <w:endnote w:id="503">
    <w:p w14:paraId="531E15E0" w14:textId="65320909"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Cox, P. (2016). </w:t>
      </w:r>
      <w:r w:rsidRPr="007A26A6">
        <w:rPr>
          <w:rStyle w:val="Emphasis"/>
          <w:rFonts w:cstheme="minorHAnsi"/>
          <w:szCs w:val="21"/>
        </w:rPr>
        <w:t xml:space="preserve">Violence against women: Additional analysis of the Australian Bureau of Statistics’ Personal Safety Survey, 2012 </w:t>
      </w:r>
      <w:r w:rsidRPr="007A26A6">
        <w:rPr>
          <w:rFonts w:cstheme="minorHAnsi"/>
          <w:szCs w:val="21"/>
        </w:rPr>
        <w:t>(ANROWS Horizons 01.01/2016, rev. edn.). Sydney, Australia: ANROWS. p. 51.</w:t>
      </w:r>
    </w:p>
  </w:endnote>
  <w:endnote w:id="504">
    <w:p w14:paraId="50534AA6" w14:textId="24F1F891"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Cox, P. (2016). </w:t>
      </w:r>
      <w:r w:rsidRPr="007A26A6">
        <w:rPr>
          <w:rStyle w:val="Emphasis"/>
          <w:rFonts w:cstheme="minorHAnsi"/>
          <w:szCs w:val="21"/>
        </w:rPr>
        <w:t>Violence against women: Additional analysis of the Australian Bureau of Statistics’ Personal Safety Survey, 2012</w:t>
      </w:r>
      <w:r w:rsidRPr="007A26A6">
        <w:rPr>
          <w:rFonts w:cstheme="minorHAnsi"/>
          <w:szCs w:val="21"/>
        </w:rPr>
        <w:t>. p. 51.</w:t>
      </w:r>
    </w:p>
  </w:endnote>
  <w:endnote w:id="505">
    <w:p w14:paraId="65BB5579" w14:textId="242652CB"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Cox, P. (2016). </w:t>
      </w:r>
      <w:r w:rsidRPr="007A26A6">
        <w:rPr>
          <w:rStyle w:val="Emphasis"/>
          <w:rFonts w:cstheme="minorHAnsi"/>
          <w:szCs w:val="21"/>
        </w:rPr>
        <w:t>Violence against women: Additional analysis of the Australian Bureau of Statistics’ Personal Safety Survey, 2012</w:t>
      </w:r>
      <w:r w:rsidRPr="007A26A6">
        <w:rPr>
          <w:rFonts w:cstheme="minorHAnsi"/>
          <w:szCs w:val="21"/>
        </w:rPr>
        <w:t>. p. 53.</w:t>
      </w:r>
    </w:p>
  </w:endnote>
  <w:endnote w:id="506">
    <w:p w14:paraId="66228564" w14:textId="1A4780DD"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(2018). </w:t>
      </w:r>
      <w:hyperlink r:id="rId521" w:history="1">
        <w:r w:rsidRPr="007A26A6">
          <w:rPr>
            <w:rStyle w:val="HyperlinkItalic"/>
            <w:rFonts w:cstheme="minorHAnsi"/>
            <w:szCs w:val="21"/>
          </w:rPr>
          <w:t>Experiences of Violence and Personal Safety of People with Disability</w:t>
        </w:r>
      </w:hyperlink>
      <w:r w:rsidRPr="007A26A6">
        <w:rPr>
          <w:rFonts w:cstheme="minorHAnsi"/>
          <w:szCs w:val="21"/>
        </w:rPr>
        <w:t>. Additional analysis of the Personal Safety Survey 2016 (cat. no. 4431.0.5.003). First issue. Canberra, Australia: ABS. See Glossary.</w:t>
      </w:r>
    </w:p>
  </w:endnote>
  <w:endnote w:id="507">
    <w:p w14:paraId="3A450460" w14:textId="44275535" w:rsidR="00F53B39" w:rsidRPr="007A26A6" w:rsidRDefault="00F53B39" w:rsidP="00993C83">
      <w:pPr>
        <w:pStyle w:val="EndnoteText"/>
        <w:rPr>
          <w:rFonts w:cstheme="minorHAnsi"/>
          <w:szCs w:val="21"/>
        </w:rPr>
      </w:pPr>
      <w:r w:rsidRPr="007A26A6">
        <w:rPr>
          <w:rFonts w:cstheme="minorHAnsi"/>
          <w:szCs w:val="21"/>
        </w:rPr>
        <w:endnoteRef/>
      </w:r>
      <w:r w:rsidRPr="007A26A6">
        <w:rPr>
          <w:rFonts w:cstheme="minorHAnsi"/>
          <w:szCs w:val="21"/>
        </w:rPr>
        <w:tab/>
        <w:t xml:space="preserve">Cox, P. (2016). </w:t>
      </w:r>
      <w:hyperlink r:id="rId522" w:history="1">
        <w:r w:rsidRPr="007A26A6">
          <w:rPr>
            <w:rStyle w:val="HyperlinkItalic"/>
            <w:rFonts w:cstheme="minorHAnsi"/>
            <w:szCs w:val="21"/>
          </w:rPr>
          <w:t>Violence against women: Additional analysis of the Australian Bureau of Statistics’ Personal Safety Survey, 2012</w:t>
        </w:r>
      </w:hyperlink>
      <w:r w:rsidRPr="007A26A6">
        <w:rPr>
          <w:rFonts w:cstheme="minorHAnsi"/>
          <w:szCs w:val="21"/>
        </w:rPr>
        <w:t>. p. 51.</w:t>
      </w:r>
    </w:p>
    <w:p w14:paraId="69CF7A90" w14:textId="33FCB190" w:rsidR="00F53B39" w:rsidRPr="007A26A6" w:rsidRDefault="00F53B39" w:rsidP="00993C83">
      <w:pPr>
        <w:pStyle w:val="OWEndnotetextindent"/>
        <w:rPr>
          <w:rFonts w:cstheme="minorHAnsi"/>
        </w:rPr>
      </w:pPr>
      <w:r w:rsidRPr="007A26A6">
        <w:rPr>
          <w:rFonts w:cstheme="minorHAnsi"/>
        </w:rPr>
        <w:t xml:space="preserve">Our Watch. (2018). </w:t>
      </w:r>
      <w:hyperlink r:id="rId523" w:history="1">
        <w:r w:rsidRPr="007A26A6">
          <w:rPr>
            <w:rStyle w:val="HyperlinkItalic"/>
            <w:rFonts w:cstheme="minorHAnsi"/>
          </w:rPr>
          <w:t>Changing the picture: A national resource to support the prevention of violence against Aboriginal and Torres Strait Islander women and their children</w:t>
        </w:r>
      </w:hyperlink>
      <w:r w:rsidRPr="007A26A6">
        <w:rPr>
          <w:rFonts w:cstheme="minorHAnsi"/>
        </w:rPr>
        <w:t>.</w:t>
      </w:r>
    </w:p>
  </w:endnote>
  <w:endnote w:id="508">
    <w:p w14:paraId="6D970425" w14:textId="0034BCF4"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(2019). </w:t>
      </w:r>
      <w:hyperlink r:id="rId524" w:history="1">
        <w:r w:rsidRPr="007A26A6">
          <w:rPr>
            <w:rStyle w:val="HyperlinkItalic"/>
            <w:rFonts w:cstheme="minorHAnsi"/>
            <w:szCs w:val="21"/>
          </w:rPr>
          <w:t>National Aboriginal and Torres Strait Islander Health Survey, 2018–19</w:t>
        </w:r>
      </w:hyperlink>
      <w:r w:rsidRPr="007A26A6">
        <w:rPr>
          <w:rStyle w:val="Emphasis"/>
          <w:rFonts w:cstheme="minorHAnsi"/>
          <w:szCs w:val="21"/>
        </w:rPr>
        <w:t xml:space="preserve"> </w:t>
      </w:r>
      <w:r w:rsidRPr="007A26A6">
        <w:rPr>
          <w:rFonts w:cstheme="minorHAnsi"/>
          <w:szCs w:val="21"/>
        </w:rPr>
        <w:t>(cat. no. 4715.0).</w:t>
      </w:r>
    </w:p>
  </w:endnote>
  <w:endnote w:id="509">
    <w:p w14:paraId="7E4A60B7" w14:textId="024195BD"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(2020). </w:t>
      </w:r>
      <w:hyperlink r:id="rId525" w:history="1">
        <w:r w:rsidRPr="007A26A6">
          <w:rPr>
            <w:rStyle w:val="HyperlinkItalic"/>
            <w:rFonts w:cstheme="minorHAnsi"/>
            <w:szCs w:val="21"/>
          </w:rPr>
          <w:t>In focus: Crime and Justice Statistics, Partner Violence – January 2020</w:t>
        </w:r>
      </w:hyperlink>
      <w:r w:rsidRPr="007A26A6">
        <w:rPr>
          <w:rFonts w:cstheme="minorHAnsi"/>
          <w:szCs w:val="21"/>
        </w:rPr>
        <w:t>. Additional analysis of the Personal Safety Survey 2016 (cat. no. 4524.0). Canberra, Australia: ABS.</w:t>
      </w:r>
    </w:p>
  </w:endnote>
  <w:endnote w:id="510">
    <w:p w14:paraId="19DFCC2C" w14:textId="291A36E0"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(2020). </w:t>
      </w:r>
      <w:hyperlink r:id="rId526" w:history="1">
        <w:r w:rsidRPr="007A26A6">
          <w:rPr>
            <w:rStyle w:val="HyperlinkItalic"/>
            <w:rFonts w:cstheme="minorHAnsi"/>
            <w:szCs w:val="21"/>
          </w:rPr>
          <w:t>In focus: Crime and Justice Statistics, Partner Violence – January 2020</w:t>
        </w:r>
      </w:hyperlink>
      <w:r w:rsidRPr="007A26A6">
        <w:rPr>
          <w:rFonts w:cstheme="minorHAnsi"/>
          <w:szCs w:val="21"/>
        </w:rPr>
        <w:t>.</w:t>
      </w:r>
    </w:p>
  </w:endnote>
  <w:endnote w:id="511">
    <w:p w14:paraId="0C61395A" w14:textId="6DB7EE9A"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(2020). </w:t>
      </w:r>
      <w:hyperlink r:id="rId527" w:history="1">
        <w:r w:rsidRPr="007A26A6">
          <w:rPr>
            <w:rStyle w:val="HyperlinkItalic"/>
            <w:rFonts w:cstheme="minorHAnsi"/>
            <w:szCs w:val="21"/>
          </w:rPr>
          <w:t>In focus: Crime and Justice Statistics, Partner Violence – January 2020</w:t>
        </w:r>
      </w:hyperlink>
      <w:r w:rsidRPr="007A26A6">
        <w:rPr>
          <w:rFonts w:cstheme="minorHAnsi"/>
          <w:szCs w:val="21"/>
        </w:rPr>
        <w:t>.</w:t>
      </w:r>
    </w:p>
  </w:endnote>
  <w:endnote w:id="512">
    <w:p w14:paraId="2B46136E" w14:textId="44496F96"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(2020). </w:t>
      </w:r>
      <w:hyperlink r:id="rId528" w:history="1">
        <w:r w:rsidRPr="007A26A6">
          <w:rPr>
            <w:rStyle w:val="HyperlinkItalic"/>
            <w:rFonts w:cstheme="minorHAnsi"/>
            <w:szCs w:val="21"/>
          </w:rPr>
          <w:t>In focus: Crime and Justice Statistics, Partner Violence – January 2020</w:t>
        </w:r>
      </w:hyperlink>
      <w:r w:rsidRPr="007A26A6">
        <w:rPr>
          <w:rFonts w:cstheme="minorHAnsi"/>
          <w:szCs w:val="21"/>
        </w:rPr>
        <w:t>.</w:t>
      </w:r>
    </w:p>
  </w:endnote>
  <w:endnote w:id="513">
    <w:p w14:paraId="7D3F1B00" w14:textId="504AA36F"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(2020). </w:t>
      </w:r>
      <w:hyperlink r:id="rId529" w:history="1">
        <w:r w:rsidRPr="007A26A6">
          <w:rPr>
            <w:rStyle w:val="HyperlinkItalic"/>
            <w:rFonts w:cstheme="minorHAnsi"/>
            <w:szCs w:val="21"/>
          </w:rPr>
          <w:t>In focus: Crime and Justice Statistics, Partner Violence – January 2020</w:t>
        </w:r>
      </w:hyperlink>
      <w:r w:rsidRPr="007A26A6">
        <w:rPr>
          <w:rFonts w:cstheme="minorHAnsi"/>
          <w:szCs w:val="21"/>
        </w:rPr>
        <w:t>.</w:t>
      </w:r>
    </w:p>
  </w:endnote>
  <w:endnote w:id="514">
    <w:p w14:paraId="017F8950" w14:textId="5A6CC046"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Australian Bureau of Statistics. (2018),</w:t>
      </w:r>
      <w:hyperlink r:id="rId530" w:history="1">
        <w:r w:rsidRPr="007A26A6">
          <w:rPr>
            <w:rStyle w:val="Hyperlink"/>
            <w:rFonts w:cstheme="minorHAnsi"/>
            <w:szCs w:val="21"/>
          </w:rPr>
          <w:t xml:space="preserve"> </w:t>
        </w:r>
        <w:r w:rsidRPr="007A26A6">
          <w:rPr>
            <w:rStyle w:val="HyperlinkItalic"/>
            <w:rFonts w:cstheme="minorHAnsi"/>
            <w:szCs w:val="21"/>
          </w:rPr>
          <w:t>Experiences of Violence and Personal Safety of People with Disability</w:t>
        </w:r>
      </w:hyperlink>
      <w:r w:rsidRPr="007A26A6">
        <w:rPr>
          <w:rFonts w:cstheme="minorHAnsi"/>
          <w:szCs w:val="21"/>
        </w:rPr>
        <w:t>. Additional analysis of the Personal Safety Survey 2016 (cat. no. 4431.0.5.003). First issue. Canberra, Australia: ABS.</w:t>
      </w:r>
    </w:p>
  </w:endnote>
  <w:endnote w:id="515">
    <w:p w14:paraId="33466BC3" w14:textId="19192D4D"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(2017). </w:t>
      </w:r>
      <w:hyperlink r:id="rId531" w:history="1">
        <w:r w:rsidRPr="007A26A6">
          <w:rPr>
            <w:rStyle w:val="HyperlinkItalic"/>
            <w:rFonts w:cstheme="minorHAnsi"/>
            <w:szCs w:val="21"/>
          </w:rPr>
          <w:t>Personal Safety, Australia, 2016</w:t>
        </w:r>
      </w:hyperlink>
      <w:r w:rsidRPr="007A26A6">
        <w:rPr>
          <w:rFonts w:cstheme="minorHAnsi"/>
          <w:szCs w:val="21"/>
        </w:rPr>
        <w:t>.</w:t>
      </w:r>
    </w:p>
  </w:endnote>
  <w:endnote w:id="516">
    <w:p w14:paraId="0901289D" w14:textId="75EB9DB7"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Bryant, W., &amp; Bricknell, S. (2017). </w:t>
      </w:r>
      <w:hyperlink r:id="rId532" w:history="1">
        <w:r w:rsidRPr="007A26A6">
          <w:rPr>
            <w:rStyle w:val="HyperlinkItalic"/>
            <w:rFonts w:cstheme="minorHAnsi"/>
            <w:szCs w:val="21"/>
          </w:rPr>
          <w:t>Homicide in Australia 2012–13 to 2013–14: National Homicide Monitoring Program report</w:t>
        </w:r>
      </w:hyperlink>
      <w:r w:rsidRPr="007A26A6">
        <w:rPr>
          <w:rFonts w:cstheme="minorHAnsi"/>
          <w:szCs w:val="21"/>
        </w:rPr>
        <w:t>. p. v.</w:t>
      </w:r>
    </w:p>
  </w:endnote>
  <w:endnote w:id="517">
    <w:p w14:paraId="30372565" w14:textId="6B0E5EE7" w:rsidR="00F53B39" w:rsidRPr="007A26A6" w:rsidRDefault="00F53B39" w:rsidP="00993C83">
      <w:pPr>
        <w:pStyle w:val="EndnoteText"/>
        <w:rPr>
          <w:rFonts w:cstheme="minorHAnsi"/>
          <w:szCs w:val="21"/>
        </w:rPr>
      </w:pPr>
      <w:r w:rsidRPr="007A26A6">
        <w:rPr>
          <w:rFonts w:cstheme="minorHAnsi"/>
          <w:szCs w:val="21"/>
        </w:rPr>
        <w:endnoteRef/>
      </w:r>
      <w:r w:rsidRPr="007A26A6">
        <w:rPr>
          <w:rFonts w:cstheme="minorHAnsi"/>
          <w:szCs w:val="21"/>
        </w:rPr>
        <w:tab/>
        <w:t xml:space="preserve">Bricknell, S. (2019). </w:t>
      </w:r>
      <w:hyperlink r:id="rId533" w:history="1">
        <w:r w:rsidRPr="007A26A6">
          <w:rPr>
            <w:rStyle w:val="HyperlinkItalic"/>
            <w:rFonts w:cstheme="minorHAnsi"/>
            <w:szCs w:val="21"/>
          </w:rPr>
          <w:t>Homicide in Australia 2015–16</w:t>
        </w:r>
      </w:hyperlink>
      <w:r w:rsidRPr="007A26A6">
        <w:rPr>
          <w:rFonts w:cstheme="minorHAnsi"/>
          <w:szCs w:val="21"/>
        </w:rPr>
        <w:t>. pp. 28–29.</w:t>
      </w:r>
    </w:p>
    <w:p w14:paraId="03512C62" w14:textId="215BB3A3" w:rsidR="00F53B39" w:rsidRPr="007A26A6" w:rsidRDefault="00F53B39" w:rsidP="00993C83">
      <w:pPr>
        <w:pStyle w:val="OWEndnotetextindent"/>
        <w:rPr>
          <w:rFonts w:cstheme="minorHAnsi"/>
          <w:lang w:val="en-US"/>
        </w:rPr>
      </w:pPr>
      <w:r w:rsidRPr="007A26A6">
        <w:rPr>
          <w:rFonts w:cstheme="minorHAnsi"/>
        </w:rPr>
        <w:t xml:space="preserve">Bryant, W., &amp; Bricknell, S. (2017). </w:t>
      </w:r>
      <w:hyperlink r:id="rId534" w:history="1">
        <w:r w:rsidRPr="007A26A6">
          <w:rPr>
            <w:rStyle w:val="HyperlinkItalic"/>
            <w:rFonts w:cstheme="minorHAnsi"/>
          </w:rPr>
          <w:t>Homicide in Australia 2012–13 to 2013–14: National Homicide Monitoring Program report</w:t>
        </w:r>
      </w:hyperlink>
      <w:r w:rsidRPr="007A26A6">
        <w:rPr>
          <w:rFonts w:cstheme="minorHAnsi"/>
        </w:rPr>
        <w:t>. p. 7.</w:t>
      </w:r>
    </w:p>
  </w:endnote>
  <w:endnote w:id="518">
    <w:p w14:paraId="2107628B" w14:textId="56074776"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Bricknell, S. (2019). </w:t>
      </w:r>
      <w:hyperlink r:id="rId535" w:history="1">
        <w:r w:rsidRPr="007A26A6">
          <w:rPr>
            <w:rStyle w:val="HyperlinkItalic"/>
            <w:rFonts w:cstheme="minorHAnsi"/>
            <w:szCs w:val="21"/>
          </w:rPr>
          <w:t>Homicide in Australia 2015–16</w:t>
        </w:r>
      </w:hyperlink>
      <w:r w:rsidRPr="007A26A6">
        <w:rPr>
          <w:rFonts w:cstheme="minorHAnsi"/>
          <w:szCs w:val="21"/>
        </w:rPr>
        <w:t>. p. 60.</w:t>
      </w:r>
    </w:p>
  </w:endnote>
  <w:endnote w:id="519">
    <w:p w14:paraId="0B563AE3" w14:textId="704D4C23" w:rsidR="00F53B39" w:rsidRPr="007A26A6" w:rsidRDefault="00F53B39" w:rsidP="005246D1">
      <w:pPr>
        <w:pStyle w:val="EndnoteText"/>
        <w:rPr>
          <w:rFonts w:cstheme="minorHAnsi"/>
          <w:szCs w:val="21"/>
        </w:rPr>
      </w:pPr>
      <w:r w:rsidRPr="007A26A6">
        <w:rPr>
          <w:rFonts w:cstheme="minorHAnsi"/>
          <w:szCs w:val="21"/>
        </w:rPr>
        <w:endnoteRef/>
      </w:r>
      <w:r w:rsidRPr="007A26A6">
        <w:rPr>
          <w:rFonts w:cstheme="minorHAnsi"/>
          <w:szCs w:val="21"/>
        </w:rPr>
        <w:tab/>
        <w:t xml:space="preserve">Bryant, W., &amp; Bricknell, S. (2017). </w:t>
      </w:r>
      <w:hyperlink r:id="rId536" w:history="1">
        <w:r w:rsidRPr="007A26A6">
          <w:rPr>
            <w:rStyle w:val="HyperlinkItalic"/>
            <w:rFonts w:cstheme="minorHAnsi"/>
            <w:szCs w:val="21"/>
          </w:rPr>
          <w:t>Homicide in Australia 2012–13 to 2013–14: National Homicide Monitoring Program report</w:t>
        </w:r>
      </w:hyperlink>
      <w:r w:rsidRPr="007A26A6">
        <w:rPr>
          <w:rFonts w:cstheme="minorHAnsi"/>
          <w:szCs w:val="21"/>
        </w:rPr>
        <w:t>. p. 19.</w:t>
      </w:r>
    </w:p>
    <w:p w14:paraId="5F073BA8" w14:textId="606EC57C" w:rsidR="00F53B39" w:rsidRPr="007A26A6" w:rsidRDefault="00F53B39" w:rsidP="005246D1">
      <w:pPr>
        <w:pStyle w:val="OWEndnotetextindent"/>
        <w:rPr>
          <w:rFonts w:cstheme="minorHAnsi"/>
        </w:rPr>
      </w:pPr>
      <w:r w:rsidRPr="007A26A6">
        <w:rPr>
          <w:rFonts w:cstheme="minorHAnsi"/>
        </w:rPr>
        <w:t xml:space="preserve">Bricknell, S. (2019). </w:t>
      </w:r>
      <w:hyperlink r:id="rId537" w:history="1">
        <w:r w:rsidRPr="007A26A6">
          <w:rPr>
            <w:rStyle w:val="HyperlinkItalic"/>
            <w:rFonts w:cstheme="minorHAnsi"/>
          </w:rPr>
          <w:t>Homicide in Australia 2015–16</w:t>
        </w:r>
      </w:hyperlink>
      <w:r w:rsidRPr="007A26A6">
        <w:rPr>
          <w:rFonts w:cstheme="minorHAnsi"/>
        </w:rPr>
        <w:t>. p. 7.</w:t>
      </w:r>
    </w:p>
  </w:endnote>
  <w:endnote w:id="520">
    <w:p w14:paraId="3C2DD4D1" w14:textId="149B201C"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Bryant, W., &amp; Bricknell, S. (2017). </w:t>
      </w:r>
      <w:hyperlink r:id="rId538" w:history="1">
        <w:r w:rsidRPr="007A26A6">
          <w:rPr>
            <w:rStyle w:val="HyperlinkItalic"/>
            <w:rFonts w:cstheme="minorHAnsi"/>
            <w:szCs w:val="21"/>
          </w:rPr>
          <w:t>Homicide in Australia 2012–13 to 2013–14: National Homicide Monitoring Program report</w:t>
        </w:r>
      </w:hyperlink>
      <w:r w:rsidRPr="007A26A6">
        <w:rPr>
          <w:rFonts w:cstheme="minorHAnsi"/>
          <w:szCs w:val="21"/>
        </w:rPr>
        <w:t>. p. 19.</w:t>
      </w:r>
    </w:p>
  </w:endnote>
  <w:endnote w:id="521">
    <w:p w14:paraId="6130D3BE" w14:textId="1E2B8187"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Domestic and Family Violence Death Review Network. (2018). </w:t>
      </w:r>
      <w:hyperlink r:id="rId539" w:history="1">
        <w:r w:rsidRPr="007A26A6">
          <w:rPr>
            <w:rStyle w:val="HyperlinkItalic"/>
            <w:rFonts w:cstheme="minorHAnsi"/>
            <w:szCs w:val="21"/>
          </w:rPr>
          <w:t>Australian Domestic and Family Violence Death Review Network data report 2018</w:t>
        </w:r>
      </w:hyperlink>
      <w:r w:rsidRPr="007A26A6">
        <w:rPr>
          <w:rFonts w:cstheme="minorHAnsi"/>
          <w:szCs w:val="21"/>
        </w:rPr>
        <w:t>. p. 6.</w:t>
      </w:r>
    </w:p>
  </w:endnote>
  <w:endnote w:id="522">
    <w:p w14:paraId="792DF066" w14:textId="0614EA18"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Domestic and Family Violence Death Review Network. (2018). </w:t>
      </w:r>
      <w:hyperlink r:id="rId540" w:history="1">
        <w:r w:rsidRPr="007A26A6">
          <w:rPr>
            <w:rStyle w:val="HyperlinkItalic"/>
            <w:rFonts w:cstheme="minorHAnsi"/>
            <w:szCs w:val="21"/>
          </w:rPr>
          <w:t>Australian Domestic and Family Violence Death Review Network data report 2018</w:t>
        </w:r>
      </w:hyperlink>
      <w:r w:rsidRPr="007A26A6">
        <w:rPr>
          <w:rFonts w:cstheme="minorHAnsi"/>
          <w:szCs w:val="21"/>
        </w:rPr>
        <w:t>. pp. 9–10.</w:t>
      </w:r>
    </w:p>
  </w:endnote>
  <w:endnote w:id="523">
    <w:p w14:paraId="1162630D" w14:textId="6B654A39"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Domestic and Family Violence Death Review Network. (2018). </w:t>
      </w:r>
      <w:hyperlink r:id="rId541" w:history="1">
        <w:r w:rsidRPr="007A26A6">
          <w:rPr>
            <w:rStyle w:val="HyperlinkItalic"/>
            <w:rFonts w:cstheme="minorHAnsi"/>
            <w:szCs w:val="21"/>
          </w:rPr>
          <w:t>Australian Domestic and Family Violence Death Review Network data report 2018</w:t>
        </w:r>
      </w:hyperlink>
      <w:r w:rsidRPr="007A26A6">
        <w:rPr>
          <w:rFonts w:cstheme="minorHAnsi"/>
          <w:szCs w:val="21"/>
        </w:rPr>
        <w:t>. p. 10.</w:t>
      </w:r>
    </w:p>
  </w:endnote>
  <w:endnote w:id="524">
    <w:p w14:paraId="3C8B045E" w14:textId="27DD4CB1"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Domestic and Family Violence Death Review Network. (2018). </w:t>
      </w:r>
      <w:hyperlink r:id="rId542" w:history="1">
        <w:r w:rsidRPr="007A26A6">
          <w:rPr>
            <w:rStyle w:val="HyperlinkItalic"/>
            <w:rFonts w:cstheme="minorHAnsi"/>
            <w:szCs w:val="21"/>
          </w:rPr>
          <w:t>Australian Domestic and Family Violence Death Review Network data report 2018</w:t>
        </w:r>
      </w:hyperlink>
      <w:r w:rsidRPr="007A26A6">
        <w:rPr>
          <w:rFonts w:cstheme="minorHAnsi"/>
          <w:szCs w:val="21"/>
        </w:rPr>
        <w:t>. p. 12.</w:t>
      </w:r>
    </w:p>
  </w:endnote>
  <w:endnote w:id="525">
    <w:p w14:paraId="351F92A6" w14:textId="6FD3F000"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Domestic and Family Violence Death Review Network. (2018). </w:t>
      </w:r>
      <w:hyperlink r:id="rId543" w:history="1">
        <w:r w:rsidRPr="007A26A6">
          <w:rPr>
            <w:rStyle w:val="HyperlinkItalic"/>
            <w:rFonts w:cstheme="minorHAnsi"/>
            <w:szCs w:val="21"/>
          </w:rPr>
          <w:t>Australian Domestic and Family Violence Death Review Network data report 2018</w:t>
        </w:r>
      </w:hyperlink>
      <w:r w:rsidRPr="007A26A6">
        <w:rPr>
          <w:rFonts w:cstheme="minorHAnsi"/>
          <w:szCs w:val="21"/>
        </w:rPr>
        <w:t>. p. 12.</w:t>
      </w:r>
    </w:p>
  </w:endnote>
  <w:endnote w:id="526">
    <w:p w14:paraId="457BB80D" w14:textId="30AB17B4"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Domestic and Family Violence Death Review Network. (2018) </w:t>
      </w:r>
      <w:hyperlink r:id="rId544" w:history="1">
        <w:r w:rsidRPr="007A26A6">
          <w:rPr>
            <w:rStyle w:val="HyperlinkItalic"/>
            <w:rFonts w:cstheme="minorHAnsi"/>
            <w:szCs w:val="21"/>
          </w:rPr>
          <w:t>Australian Domestic and Family Violence Death Review Network data report 2018</w:t>
        </w:r>
      </w:hyperlink>
      <w:r w:rsidRPr="007A26A6">
        <w:rPr>
          <w:rFonts w:cstheme="minorHAnsi"/>
          <w:szCs w:val="21"/>
        </w:rPr>
        <w:t>. pp. 17–18.</w:t>
      </w:r>
    </w:p>
  </w:endnote>
  <w:endnote w:id="527">
    <w:p w14:paraId="5244A567" w14:textId="2EB916DA"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(2019). </w:t>
      </w:r>
      <w:hyperlink r:id="rId545" w:history="1">
        <w:r w:rsidRPr="007A26A6">
          <w:rPr>
            <w:rStyle w:val="HyperlinkItalic"/>
            <w:rFonts w:cstheme="minorHAnsi"/>
            <w:szCs w:val="21"/>
          </w:rPr>
          <w:t>Recorded Crime – Victims, Australia, 2018</w:t>
        </w:r>
      </w:hyperlink>
      <w:r w:rsidRPr="007A26A6">
        <w:rPr>
          <w:rStyle w:val="Emphasis"/>
          <w:rFonts w:cstheme="minorHAnsi"/>
          <w:szCs w:val="21"/>
        </w:rPr>
        <w:t xml:space="preserve"> </w:t>
      </w:r>
      <w:r w:rsidRPr="007A26A6">
        <w:rPr>
          <w:rFonts w:cstheme="minorHAnsi"/>
          <w:szCs w:val="21"/>
        </w:rPr>
        <w:t>(cat. no. 4510.0). Canberra, Australia: ABS.</w:t>
      </w:r>
    </w:p>
  </w:endnote>
  <w:endnote w:id="528">
    <w:p w14:paraId="5B8973A8" w14:textId="0DAE8775" w:rsidR="00F53B39" w:rsidRPr="007A26A6" w:rsidRDefault="00F53B39">
      <w:pPr>
        <w:pStyle w:val="EndnoteText"/>
        <w:rPr>
          <w:rFonts w:cstheme="minorHAnsi"/>
          <w:szCs w:val="21"/>
          <w:lang w:val="en-US"/>
        </w:rPr>
      </w:pPr>
      <w:r w:rsidRPr="007A26A6">
        <w:rPr>
          <w:rFonts w:cstheme="minorHAnsi"/>
          <w:szCs w:val="21"/>
        </w:rPr>
        <w:endnoteRef/>
      </w:r>
      <w:r w:rsidRPr="007A26A6">
        <w:rPr>
          <w:rFonts w:cstheme="minorHAnsi"/>
          <w:szCs w:val="21"/>
        </w:rPr>
        <w:tab/>
        <w:t xml:space="preserve">Australian Bureau of Statistics. (2019). </w:t>
      </w:r>
      <w:hyperlink r:id="rId546" w:history="1">
        <w:r w:rsidRPr="007A26A6">
          <w:rPr>
            <w:rStyle w:val="HyperlinkItalic"/>
            <w:rFonts w:cstheme="minorHAnsi"/>
            <w:szCs w:val="21"/>
          </w:rPr>
          <w:t>Recorded Crime – Victims, Australia, 2018</w:t>
        </w:r>
      </w:hyperlink>
      <w:r w:rsidRPr="007A26A6">
        <w:rPr>
          <w:rStyle w:val="HyperlinkItalic"/>
          <w:rFonts w:cstheme="minorHAnsi"/>
          <w:szCs w:val="21"/>
        </w:rPr>
        <w:t>.</w:t>
      </w:r>
    </w:p>
  </w:endnote>
  <w:endnote w:id="529">
    <w:p w14:paraId="76DC2D11" w14:textId="7B8F5A4F" w:rsidR="00F53B39" w:rsidRPr="007A26A6" w:rsidRDefault="00F53B39" w:rsidP="005246D1">
      <w:pPr>
        <w:pStyle w:val="EndnoteText"/>
        <w:rPr>
          <w:rFonts w:cstheme="minorHAnsi"/>
          <w:szCs w:val="21"/>
        </w:rPr>
      </w:pPr>
      <w:r w:rsidRPr="007A26A6">
        <w:rPr>
          <w:rFonts w:cstheme="minorHAnsi"/>
          <w:szCs w:val="21"/>
        </w:rPr>
        <w:endnoteRef/>
      </w:r>
      <w:r w:rsidRPr="007A26A6">
        <w:rPr>
          <w:rFonts w:cstheme="minorHAnsi"/>
          <w:szCs w:val="21"/>
        </w:rPr>
        <w:tab/>
        <w:t xml:space="preserve">Campo, M. (2015). </w:t>
      </w:r>
      <w:hyperlink r:id="rId547" w:history="1">
        <w:r w:rsidRPr="007A26A6">
          <w:rPr>
            <w:rStyle w:val="HyperlinkItalic"/>
            <w:rFonts w:cstheme="minorHAnsi"/>
            <w:szCs w:val="21"/>
          </w:rPr>
          <w:t>Domestic and family violence in pregnancy and early parenthood: Overview and emerging interventions – Practitioner resource</w:t>
        </w:r>
      </w:hyperlink>
      <w:r w:rsidRPr="007A26A6">
        <w:rPr>
          <w:rFonts w:cstheme="minorHAnsi"/>
          <w:szCs w:val="21"/>
        </w:rPr>
        <w:t>. Child Family Community Australia.</w:t>
      </w:r>
    </w:p>
    <w:p w14:paraId="77B9E2AD" w14:textId="77777777" w:rsidR="00F53B39" w:rsidRPr="007A26A6" w:rsidRDefault="00F53B39" w:rsidP="005246D1">
      <w:pPr>
        <w:pStyle w:val="OWEndnotetextindent"/>
        <w:rPr>
          <w:rFonts w:cstheme="minorHAnsi"/>
        </w:rPr>
      </w:pPr>
      <w:r w:rsidRPr="007A26A6">
        <w:rPr>
          <w:rFonts w:cstheme="minorHAnsi"/>
        </w:rPr>
        <w:t xml:space="preserve">Gartland, D., Woolhouse, H., Mensah, F. K., Hegarty, K., Hisock, H., &amp; Small, S. J. (2014). The case for early intervention to reduce the impact of intimate partner abuse on child outcomes: Results from an Australian cohort of first-time mothers. </w:t>
      </w:r>
      <w:r w:rsidRPr="007A26A6">
        <w:rPr>
          <w:rStyle w:val="Emphasis"/>
          <w:rFonts w:cstheme="minorHAnsi"/>
        </w:rPr>
        <w:t>Birth</w:t>
      </w:r>
      <w:r w:rsidRPr="007A26A6">
        <w:rPr>
          <w:rFonts w:cstheme="minorHAnsi"/>
        </w:rPr>
        <w:t xml:space="preserve">, </w:t>
      </w:r>
      <w:r w:rsidRPr="007A26A6">
        <w:rPr>
          <w:rStyle w:val="Emphasis"/>
          <w:rFonts w:cstheme="minorHAnsi"/>
        </w:rPr>
        <w:t>41</w:t>
      </w:r>
      <w:r w:rsidRPr="007A26A6">
        <w:rPr>
          <w:rFonts w:cstheme="minorHAnsi"/>
        </w:rPr>
        <w:t>(4), 374–383.</w:t>
      </w:r>
    </w:p>
    <w:p w14:paraId="6380B999" w14:textId="313A10A4" w:rsidR="00F53B39" w:rsidRPr="007A26A6" w:rsidRDefault="00F53B39" w:rsidP="005246D1">
      <w:pPr>
        <w:pStyle w:val="OWEndnotetextindent"/>
        <w:rPr>
          <w:rFonts w:cstheme="minorHAnsi"/>
        </w:rPr>
      </w:pPr>
      <w:r w:rsidRPr="007A26A6">
        <w:rPr>
          <w:rFonts w:cstheme="minorHAnsi"/>
        </w:rPr>
        <w:t xml:space="preserve">James, L. Brody, D., &amp; Hamilton, Z. (2013). Risk factors for domestic violence during pregnancy: A meta-analytic review. </w:t>
      </w:r>
      <w:r w:rsidRPr="007A26A6">
        <w:rPr>
          <w:rStyle w:val="Emphasis"/>
          <w:rFonts w:cstheme="minorHAnsi"/>
        </w:rPr>
        <w:t>Violence Victims</w:t>
      </w:r>
      <w:r w:rsidRPr="007A26A6">
        <w:rPr>
          <w:rFonts w:cstheme="minorHAnsi"/>
        </w:rPr>
        <w:t xml:space="preserve">, </w:t>
      </w:r>
      <w:r w:rsidRPr="007A26A6">
        <w:rPr>
          <w:rStyle w:val="Emphasis"/>
          <w:rFonts w:cstheme="minorHAnsi"/>
        </w:rPr>
        <w:t>28</w:t>
      </w:r>
      <w:r w:rsidRPr="007A26A6">
        <w:rPr>
          <w:rFonts w:cstheme="minorHAnsi"/>
        </w:rPr>
        <w:t>(3), 359–380.</w:t>
      </w:r>
    </w:p>
  </w:endnote>
  <w:endnote w:id="530">
    <w:p w14:paraId="18536462" w14:textId="45887B7D" w:rsidR="00F53B39" w:rsidRPr="007A26A6" w:rsidRDefault="00F53B39" w:rsidP="005246D1">
      <w:pPr>
        <w:pStyle w:val="EndnoteText"/>
        <w:rPr>
          <w:rFonts w:cstheme="minorHAnsi"/>
          <w:szCs w:val="21"/>
        </w:rPr>
      </w:pPr>
      <w:r w:rsidRPr="007A26A6">
        <w:rPr>
          <w:rFonts w:cstheme="minorHAnsi"/>
          <w:szCs w:val="21"/>
        </w:rPr>
        <w:endnoteRef/>
      </w:r>
      <w:r w:rsidRPr="007A26A6">
        <w:rPr>
          <w:rFonts w:cstheme="minorHAnsi"/>
          <w:szCs w:val="21"/>
        </w:rPr>
        <w:tab/>
        <w:t xml:space="preserve">Cox, P. (2016). </w:t>
      </w:r>
      <w:hyperlink r:id="rId548" w:history="1">
        <w:r w:rsidRPr="007A26A6">
          <w:rPr>
            <w:rStyle w:val="HyperlinkItalic"/>
            <w:rFonts w:cstheme="minorHAnsi"/>
            <w:szCs w:val="21"/>
          </w:rPr>
          <w:t>Violence against women: Additional analysis of the Australian Bureau of Statistics’ Personal Safety Survey, 2012</w:t>
        </w:r>
      </w:hyperlink>
      <w:r w:rsidRPr="007A26A6">
        <w:rPr>
          <w:rFonts w:cstheme="minorHAnsi"/>
          <w:szCs w:val="21"/>
        </w:rPr>
        <w:t>.</w:t>
      </w:r>
    </w:p>
    <w:p w14:paraId="5B000DD7" w14:textId="1FF64EBE" w:rsidR="00F53B39" w:rsidRPr="007A26A6" w:rsidRDefault="00F53B39" w:rsidP="005246D1">
      <w:pPr>
        <w:pStyle w:val="OWEndnotetextindent"/>
        <w:rPr>
          <w:rFonts w:cstheme="minorHAnsi"/>
        </w:rPr>
      </w:pPr>
      <w:r w:rsidRPr="007A26A6">
        <w:rPr>
          <w:rFonts w:cstheme="minorHAnsi"/>
        </w:rPr>
        <w:t xml:space="preserve">Australian Bureau of Statistics. (2017). </w:t>
      </w:r>
      <w:hyperlink r:id="rId549" w:history="1">
        <w:r w:rsidRPr="007A26A6">
          <w:rPr>
            <w:rStyle w:val="HyperlinkItalic"/>
            <w:rFonts w:cstheme="minorHAnsi"/>
          </w:rPr>
          <w:t>Personal Safety, Australia, 2016</w:t>
        </w:r>
      </w:hyperlink>
      <w:r w:rsidRPr="007A26A6">
        <w:rPr>
          <w:rFonts w:cstheme="minorHAnsi"/>
        </w:rPr>
        <w:t>.</w:t>
      </w:r>
    </w:p>
  </w:endnote>
  <w:endnote w:id="531">
    <w:p w14:paraId="3E1171D4" w14:textId="47378AD1" w:rsidR="00F53B39" w:rsidRPr="007A26A6" w:rsidRDefault="00F53B39" w:rsidP="00437ED1">
      <w:pPr>
        <w:pStyle w:val="EndnoteText"/>
        <w:rPr>
          <w:rFonts w:cstheme="minorHAnsi"/>
          <w:szCs w:val="21"/>
        </w:rPr>
      </w:pPr>
      <w:r w:rsidRPr="007A26A6">
        <w:rPr>
          <w:rFonts w:cstheme="minorHAnsi"/>
          <w:szCs w:val="21"/>
        </w:rPr>
        <w:endnoteRef/>
      </w:r>
      <w:r w:rsidRPr="007A26A6">
        <w:rPr>
          <w:rFonts w:cstheme="minorHAnsi"/>
          <w:szCs w:val="21"/>
        </w:rPr>
        <w:tab/>
        <w:t xml:space="preserve">Commonwealth of Australia. (2019). </w:t>
      </w:r>
      <w:hyperlink r:id="rId550" w:history="1">
        <w:r w:rsidRPr="007A26A6">
          <w:rPr>
            <w:rStyle w:val="HyperlinkItalic"/>
            <w:rFonts w:cstheme="minorHAnsi"/>
            <w:szCs w:val="21"/>
          </w:rPr>
          <w:t>2017–18 Annual progress report: Third Action Plan 2016–19 under the National Plan to reduce Violence Against Women and their Children 2010–2022</w:t>
        </w:r>
      </w:hyperlink>
      <w:r w:rsidRPr="007A26A6">
        <w:rPr>
          <w:rFonts w:cstheme="minorHAnsi"/>
          <w:szCs w:val="21"/>
        </w:rPr>
        <w:t>.</w:t>
      </w:r>
    </w:p>
  </w:endnote>
  <w:endnote w:id="532">
    <w:p w14:paraId="5BB3C144" w14:textId="38D54BD1" w:rsidR="00F53B39" w:rsidRPr="007A26A6" w:rsidRDefault="00F53B39" w:rsidP="00437ED1">
      <w:pPr>
        <w:pStyle w:val="EndnoteText"/>
        <w:rPr>
          <w:rFonts w:cstheme="minorHAnsi"/>
          <w:szCs w:val="21"/>
        </w:rPr>
      </w:pPr>
      <w:r w:rsidRPr="007A26A6">
        <w:rPr>
          <w:rFonts w:cstheme="minorHAnsi"/>
          <w:szCs w:val="21"/>
        </w:rPr>
        <w:endnoteRef/>
      </w:r>
      <w:r w:rsidRPr="007A26A6">
        <w:rPr>
          <w:rFonts w:cstheme="minorHAnsi"/>
          <w:szCs w:val="21"/>
        </w:rPr>
        <w:tab/>
        <w:t xml:space="preserve">Our Watch. (2018). </w:t>
      </w:r>
      <w:hyperlink r:id="rId551" w:history="1">
        <w:r w:rsidRPr="007A26A6">
          <w:rPr>
            <w:rStyle w:val="HyperlinkItalic"/>
            <w:rFonts w:cstheme="minorHAnsi"/>
            <w:szCs w:val="21"/>
          </w:rPr>
          <w:t>Changing the picture: A national resource to support the prevention of violence against Aboriginal and Torres Strait Islander women and their children</w:t>
        </w:r>
      </w:hyperlink>
      <w:r w:rsidRPr="007A26A6">
        <w:rPr>
          <w:rFonts w:cstheme="minorHAnsi"/>
          <w:szCs w:val="21"/>
        </w:rPr>
        <w:t>.</w:t>
      </w:r>
    </w:p>
  </w:endnote>
  <w:endnote w:id="533">
    <w:p w14:paraId="1A0A38DA" w14:textId="69CA6D3C" w:rsidR="00F53B39" w:rsidRPr="007A26A6" w:rsidRDefault="00F53B39" w:rsidP="00437ED1">
      <w:pPr>
        <w:pStyle w:val="EndnoteText"/>
        <w:rPr>
          <w:rFonts w:cstheme="minorHAnsi"/>
          <w:szCs w:val="21"/>
        </w:rPr>
      </w:pPr>
      <w:r w:rsidRPr="007A26A6">
        <w:rPr>
          <w:rFonts w:cstheme="minorHAnsi"/>
          <w:szCs w:val="21"/>
        </w:rPr>
        <w:endnoteRef/>
      </w:r>
      <w:r w:rsidRPr="007A26A6">
        <w:rPr>
          <w:rFonts w:cstheme="minorHAnsi"/>
          <w:szCs w:val="21"/>
        </w:rPr>
        <w:tab/>
      </w:r>
      <w:r w:rsidRPr="007A26A6">
        <w:rPr>
          <w:rFonts w:eastAsiaTheme="minorHAnsi" w:cstheme="minorHAnsi"/>
          <w:szCs w:val="21"/>
          <w:lang w:val="en-GB"/>
        </w:rPr>
        <w:t xml:space="preserve">Council of Australian Governments. (2011). </w:t>
      </w:r>
      <w:hyperlink r:id="rId552" w:history="1">
        <w:r w:rsidRPr="007A26A6">
          <w:rPr>
            <w:rStyle w:val="HyperlinkItalic"/>
            <w:rFonts w:cstheme="minorHAnsi"/>
            <w:szCs w:val="21"/>
            <w:lang w:val="en-GB"/>
          </w:rPr>
          <w:t>National Plan to reduce violence against women and their children 2010–2022</w:t>
        </w:r>
      </w:hyperlink>
      <w:r w:rsidRPr="007A26A6">
        <w:rPr>
          <w:rFonts w:eastAsiaTheme="minorHAnsi" w:cstheme="minorHAnsi"/>
          <w:szCs w:val="21"/>
          <w:lang w:val="en-GB"/>
        </w:rPr>
        <w:t>.</w:t>
      </w:r>
    </w:p>
  </w:endnote>
  <w:endnote w:id="534">
    <w:p w14:paraId="1533D34C" w14:textId="15CD8E9C" w:rsidR="00F53B39" w:rsidRPr="007A26A6" w:rsidRDefault="00F53B39" w:rsidP="00437ED1">
      <w:pPr>
        <w:pStyle w:val="EndnoteText"/>
        <w:rPr>
          <w:rFonts w:cstheme="minorHAnsi"/>
          <w:szCs w:val="21"/>
        </w:rPr>
      </w:pPr>
      <w:r w:rsidRPr="007A26A6">
        <w:rPr>
          <w:rFonts w:cstheme="minorHAnsi"/>
          <w:szCs w:val="21"/>
        </w:rPr>
        <w:endnoteRef/>
      </w:r>
      <w:r w:rsidRPr="007A26A6">
        <w:rPr>
          <w:rFonts w:cstheme="minorHAnsi"/>
          <w:szCs w:val="21"/>
        </w:rPr>
        <w:tab/>
        <w:t xml:space="preserve">Council of Australian Governments. (2009). </w:t>
      </w:r>
      <w:hyperlink r:id="rId553" w:history="1">
        <w:r w:rsidRPr="007A26A6">
          <w:rPr>
            <w:rStyle w:val="HyperlinkItalic"/>
            <w:rFonts w:cstheme="minorHAnsi"/>
            <w:szCs w:val="21"/>
          </w:rPr>
          <w:t>Time for action: The National Council’s plan for Australia to reduce violence against women and their children 2009–2021 – A snapshot</w:t>
        </w:r>
      </w:hyperlink>
      <w:r w:rsidRPr="007A26A6">
        <w:rPr>
          <w:rFonts w:cstheme="minorHAnsi"/>
          <w:szCs w:val="21"/>
        </w:rPr>
        <w:t>. Retrieved 6 May 2020.</w:t>
      </w:r>
    </w:p>
  </w:endnote>
  <w:endnote w:id="535">
    <w:p w14:paraId="003DC4C2" w14:textId="09E4BB29" w:rsidR="00F53B39" w:rsidRPr="007A26A6" w:rsidRDefault="00F53B39" w:rsidP="00437ED1">
      <w:pPr>
        <w:pStyle w:val="EndnoteText"/>
        <w:rPr>
          <w:rFonts w:eastAsiaTheme="minorHAnsi" w:cstheme="minorHAnsi"/>
          <w:szCs w:val="21"/>
          <w:lang w:val="en-GB"/>
        </w:rPr>
      </w:pPr>
      <w:r w:rsidRPr="007A26A6">
        <w:rPr>
          <w:rFonts w:cstheme="minorHAnsi"/>
          <w:szCs w:val="21"/>
        </w:rPr>
        <w:endnoteRef/>
      </w:r>
      <w:r w:rsidRPr="007A26A6">
        <w:rPr>
          <w:rFonts w:cstheme="minorHAnsi"/>
          <w:szCs w:val="21"/>
        </w:rPr>
        <w:tab/>
      </w:r>
      <w:r w:rsidRPr="007A26A6">
        <w:rPr>
          <w:rFonts w:eastAsiaTheme="minorHAnsi" w:cstheme="minorHAnsi"/>
          <w:szCs w:val="21"/>
          <w:lang w:val="en-GB"/>
        </w:rPr>
        <w:t xml:space="preserve">Council of Australian Governments. (2010). </w:t>
      </w:r>
      <w:hyperlink r:id="rId554" w:history="1">
        <w:r w:rsidRPr="007A26A6">
          <w:rPr>
            <w:rStyle w:val="HyperlinkItalic"/>
            <w:rFonts w:cstheme="minorHAnsi"/>
            <w:szCs w:val="21"/>
          </w:rPr>
          <w:t>First Action Plan 2010–2013.</w:t>
        </w:r>
      </w:hyperlink>
    </w:p>
  </w:endnote>
  <w:endnote w:id="536">
    <w:p w14:paraId="5CB1F827" w14:textId="26ECC81F" w:rsidR="00F53B39" w:rsidRPr="007A26A6" w:rsidRDefault="00F53B39" w:rsidP="00437ED1">
      <w:pPr>
        <w:pStyle w:val="EndnoteText"/>
        <w:rPr>
          <w:rFonts w:eastAsiaTheme="minorHAnsi" w:cstheme="minorHAnsi"/>
          <w:szCs w:val="21"/>
          <w:lang w:val="en-GB"/>
        </w:rPr>
      </w:pPr>
      <w:r w:rsidRPr="007A26A6">
        <w:rPr>
          <w:rFonts w:cstheme="minorHAnsi"/>
          <w:szCs w:val="21"/>
        </w:rPr>
        <w:endnoteRef/>
      </w:r>
      <w:r w:rsidRPr="007A26A6">
        <w:rPr>
          <w:rFonts w:cstheme="minorHAnsi"/>
          <w:szCs w:val="21"/>
        </w:rPr>
        <w:tab/>
      </w:r>
      <w:r w:rsidRPr="007A26A6">
        <w:rPr>
          <w:rFonts w:eastAsiaTheme="minorHAnsi" w:cstheme="minorHAnsi"/>
          <w:szCs w:val="21"/>
          <w:lang w:val="en-GB"/>
        </w:rPr>
        <w:t xml:space="preserve">Council of Australian Governments. (2010). </w:t>
      </w:r>
      <w:hyperlink r:id="rId555" w:history="1">
        <w:r w:rsidRPr="007A26A6">
          <w:rPr>
            <w:rStyle w:val="HyperlinkItalic"/>
            <w:rFonts w:cstheme="minorHAnsi"/>
            <w:szCs w:val="21"/>
          </w:rPr>
          <w:t>First Action Plan 2010–2013</w:t>
        </w:r>
      </w:hyperlink>
      <w:r w:rsidRPr="007A26A6">
        <w:rPr>
          <w:rFonts w:eastAsiaTheme="minorHAnsi" w:cstheme="minorHAnsi"/>
          <w:i/>
          <w:iCs/>
          <w:szCs w:val="21"/>
          <w:lang w:val="en-GB"/>
        </w:rPr>
        <w:t>.</w:t>
      </w:r>
    </w:p>
  </w:endnote>
  <w:endnote w:id="537">
    <w:p w14:paraId="3289DA6B" w14:textId="64C617E3" w:rsidR="00F53B39" w:rsidRPr="007A26A6" w:rsidRDefault="00F53B39" w:rsidP="00437ED1">
      <w:pPr>
        <w:pStyle w:val="EndnoteText"/>
        <w:rPr>
          <w:rFonts w:cstheme="minorHAnsi"/>
          <w:szCs w:val="21"/>
        </w:rPr>
      </w:pPr>
      <w:r w:rsidRPr="007A26A6">
        <w:rPr>
          <w:rFonts w:cstheme="minorHAnsi"/>
          <w:szCs w:val="21"/>
        </w:rPr>
        <w:endnoteRef/>
      </w:r>
      <w:r w:rsidRPr="007A26A6">
        <w:rPr>
          <w:rFonts w:cstheme="minorHAnsi"/>
          <w:szCs w:val="21"/>
        </w:rPr>
        <w:tab/>
      </w:r>
      <w:r w:rsidRPr="007A26A6">
        <w:rPr>
          <w:rFonts w:eastAsiaTheme="minorHAnsi" w:cstheme="minorHAnsi"/>
          <w:szCs w:val="21"/>
          <w:lang w:val="en-GB"/>
        </w:rPr>
        <w:t xml:space="preserve">Council of Australian Governments. (2013). </w:t>
      </w:r>
      <w:hyperlink r:id="rId556" w:history="1">
        <w:r w:rsidRPr="007A26A6">
          <w:rPr>
            <w:rStyle w:val="HyperlinkItalic"/>
            <w:rFonts w:cstheme="minorHAnsi"/>
            <w:szCs w:val="21"/>
          </w:rPr>
          <w:t>Second Action Plan 2013–2016</w:t>
        </w:r>
      </w:hyperlink>
      <w:r w:rsidRPr="007A26A6">
        <w:rPr>
          <w:rFonts w:eastAsiaTheme="minorHAnsi" w:cstheme="minorHAnsi"/>
          <w:i/>
          <w:iCs/>
          <w:szCs w:val="21"/>
          <w:lang w:val="en-GB"/>
        </w:rPr>
        <w:t>.</w:t>
      </w:r>
    </w:p>
  </w:endnote>
  <w:endnote w:id="538">
    <w:p w14:paraId="6D8D1276" w14:textId="1E8F5C5F" w:rsidR="00F53B39" w:rsidRPr="007A26A6" w:rsidRDefault="00F53B39" w:rsidP="00437ED1">
      <w:pPr>
        <w:pStyle w:val="EndnoteText"/>
        <w:rPr>
          <w:rFonts w:cstheme="minorHAnsi"/>
          <w:szCs w:val="21"/>
        </w:rPr>
      </w:pPr>
      <w:r w:rsidRPr="007A26A6">
        <w:rPr>
          <w:rFonts w:cstheme="minorHAnsi"/>
          <w:szCs w:val="21"/>
        </w:rPr>
        <w:endnoteRef/>
      </w:r>
      <w:r w:rsidRPr="007A26A6">
        <w:rPr>
          <w:rFonts w:cstheme="minorHAnsi"/>
          <w:szCs w:val="21"/>
        </w:rPr>
        <w:tab/>
        <w:t xml:space="preserve">Commonwealth of Australia. (2015). </w:t>
      </w:r>
      <w:hyperlink r:id="rId557" w:history="1">
        <w:r w:rsidRPr="007A26A6">
          <w:rPr>
            <w:rStyle w:val="HyperlinkItalic"/>
            <w:rFonts w:cstheme="minorHAnsi"/>
            <w:szCs w:val="21"/>
          </w:rPr>
          <w:t>Finance and Public Administration References Committee: Domestic violence in Australia</w:t>
        </w:r>
      </w:hyperlink>
      <w:r w:rsidRPr="007A26A6">
        <w:rPr>
          <w:rFonts w:cstheme="minorHAnsi"/>
          <w:szCs w:val="21"/>
        </w:rPr>
        <w:t>. Senate: Canberra. Retrieved 6 May 2020.</w:t>
      </w:r>
    </w:p>
  </w:endnote>
  <w:endnote w:id="539">
    <w:p w14:paraId="580A1FAB" w14:textId="7CD77A7B" w:rsidR="00F53B39" w:rsidRPr="007A26A6" w:rsidRDefault="00F53B39" w:rsidP="00437ED1">
      <w:pPr>
        <w:pStyle w:val="EndnoteText"/>
        <w:rPr>
          <w:rFonts w:cstheme="minorHAnsi"/>
          <w:szCs w:val="21"/>
        </w:rPr>
      </w:pPr>
      <w:r w:rsidRPr="007A26A6">
        <w:rPr>
          <w:rFonts w:cstheme="minorHAnsi"/>
          <w:szCs w:val="21"/>
        </w:rPr>
        <w:endnoteRef/>
      </w:r>
      <w:r w:rsidRPr="007A26A6">
        <w:rPr>
          <w:rFonts w:cstheme="minorHAnsi"/>
          <w:szCs w:val="21"/>
        </w:rPr>
        <w:tab/>
        <w:t>Commonwealth of Australia. (201</w:t>
      </w:r>
      <w:r>
        <w:rPr>
          <w:rFonts w:cstheme="minorHAnsi"/>
          <w:szCs w:val="21"/>
        </w:rPr>
        <w:t xml:space="preserve">5). </w:t>
      </w:r>
      <w:hyperlink r:id="rId558" w:history="1">
        <w:r w:rsidRPr="007A26A6">
          <w:rPr>
            <w:rStyle w:val="HyperlinkItalic"/>
            <w:rFonts w:cstheme="minorHAnsi"/>
            <w:szCs w:val="21"/>
          </w:rPr>
          <w:t>Finance and Public Administration References Committee: Domestic violence in Australia</w:t>
        </w:r>
      </w:hyperlink>
      <w:r w:rsidRPr="007A26A6">
        <w:rPr>
          <w:rFonts w:cstheme="minorHAnsi"/>
          <w:szCs w:val="21"/>
        </w:rPr>
        <w:t>. Recommendation 3.40.</w:t>
      </w:r>
    </w:p>
  </w:endnote>
  <w:endnote w:id="540">
    <w:p w14:paraId="176DC50E" w14:textId="7182B5F2" w:rsidR="00F53B39" w:rsidRPr="007A26A6" w:rsidRDefault="00F53B39" w:rsidP="00437ED1">
      <w:pPr>
        <w:pStyle w:val="EndnoteText"/>
        <w:rPr>
          <w:rFonts w:cstheme="minorHAnsi"/>
          <w:szCs w:val="21"/>
        </w:rPr>
      </w:pPr>
      <w:r w:rsidRPr="007A26A6">
        <w:rPr>
          <w:rFonts w:cstheme="minorHAnsi"/>
          <w:szCs w:val="21"/>
        </w:rPr>
        <w:endnoteRef/>
      </w:r>
      <w:r w:rsidRPr="007A26A6">
        <w:rPr>
          <w:rFonts w:cstheme="minorHAnsi"/>
          <w:szCs w:val="21"/>
        </w:rPr>
        <w:tab/>
      </w:r>
      <w:r w:rsidRPr="007A26A6">
        <w:rPr>
          <w:rFonts w:eastAsiaTheme="minorHAnsi" w:cstheme="minorHAnsi"/>
          <w:szCs w:val="21"/>
          <w:lang w:val="en-GB"/>
        </w:rPr>
        <w:t xml:space="preserve">Council of Australian Governments. (2016). </w:t>
      </w:r>
      <w:hyperlink r:id="rId559" w:history="1">
        <w:r w:rsidRPr="007A26A6">
          <w:rPr>
            <w:rStyle w:val="HyperlinkItalic"/>
            <w:rFonts w:cstheme="minorHAnsi"/>
            <w:szCs w:val="21"/>
          </w:rPr>
          <w:t>Third Action Plan 2016–2019</w:t>
        </w:r>
      </w:hyperlink>
      <w:r w:rsidRPr="007A26A6">
        <w:rPr>
          <w:rFonts w:eastAsiaTheme="minorHAnsi" w:cstheme="minorHAnsi"/>
          <w:szCs w:val="21"/>
          <w:lang w:val="en-GB"/>
        </w:rPr>
        <w:t>.</w:t>
      </w:r>
    </w:p>
  </w:endnote>
  <w:endnote w:id="541">
    <w:p w14:paraId="692D6D12" w14:textId="3E8AE918" w:rsidR="00F53B39" w:rsidRPr="007A26A6" w:rsidRDefault="00F53B39" w:rsidP="00437ED1">
      <w:pPr>
        <w:pStyle w:val="EndnoteText"/>
        <w:rPr>
          <w:rFonts w:cstheme="minorHAnsi"/>
          <w:szCs w:val="21"/>
        </w:rPr>
      </w:pPr>
      <w:r w:rsidRPr="007A26A6">
        <w:rPr>
          <w:rFonts w:cstheme="minorHAnsi"/>
          <w:szCs w:val="21"/>
        </w:rPr>
        <w:endnoteRef/>
      </w:r>
      <w:r w:rsidRPr="007A26A6">
        <w:rPr>
          <w:rFonts w:cstheme="minorHAnsi"/>
          <w:szCs w:val="21"/>
        </w:rPr>
        <w:tab/>
      </w:r>
      <w:r w:rsidRPr="007A26A6">
        <w:rPr>
          <w:rFonts w:eastAsiaTheme="minorHAnsi" w:cstheme="minorHAnsi"/>
          <w:szCs w:val="21"/>
          <w:lang w:val="en-GB"/>
        </w:rPr>
        <w:t xml:space="preserve">Council of Australian Governments. (2019). </w:t>
      </w:r>
      <w:hyperlink r:id="rId560" w:history="1">
        <w:r w:rsidRPr="007A26A6">
          <w:rPr>
            <w:rStyle w:val="HyperlinkItalic"/>
            <w:rFonts w:cstheme="minorHAnsi"/>
            <w:szCs w:val="21"/>
          </w:rPr>
          <w:t>Fourth Action Plan: National Plan to reduce violence against women and their children 2010–2022</w:t>
        </w:r>
      </w:hyperlink>
      <w:r w:rsidRPr="007A26A6">
        <w:rPr>
          <w:rFonts w:eastAsiaTheme="minorHAnsi" w:cstheme="minorHAnsi"/>
          <w:i/>
          <w:iCs/>
          <w:szCs w:val="21"/>
          <w:lang w:val="en-GB"/>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iryo">
    <w:altName w:val="メイリオ"/>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Bold">
    <w:altName w:val="Calibri"/>
    <w:charset w:val="00"/>
    <w:family w:val="auto"/>
    <w:pitch w:val="variable"/>
    <w:sig w:usb0="E00002FF" w:usb1="4000ACFF" w:usb2="00000001" w:usb3="00000000" w:csb0="0000019F" w:csb1="00000000"/>
  </w:font>
  <w:font w:name="Calibri-Italic">
    <w:altName w:val="Calibri"/>
    <w:charset w:val="00"/>
    <w:family w:val="auto"/>
    <w:pitch w:val="variable"/>
    <w:sig w:usb0="E00002FF" w:usb1="4000ACFF" w:usb2="00000001"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EF5AE" w14:textId="6B3E566B" w:rsidR="00F53B39" w:rsidRDefault="00F53B39" w:rsidP="004A271C">
    <w:pPr>
      <w:pStyle w:val="OWFooterleft"/>
    </w:pPr>
    <w:r w:rsidRPr="00807E68">
      <w:rPr>
        <w:rStyle w:val="OWPagenumber"/>
      </w:rPr>
      <w:fldChar w:fldCharType="begin"/>
    </w:r>
    <w:r w:rsidRPr="00807E68">
      <w:rPr>
        <w:rStyle w:val="OWPagenumber"/>
      </w:rPr>
      <w:instrText xml:space="preserve"> PAGE   \* MERGEFORMAT </w:instrText>
    </w:r>
    <w:r w:rsidRPr="00807E68">
      <w:rPr>
        <w:rStyle w:val="OWPagenumber"/>
      </w:rPr>
      <w:fldChar w:fldCharType="separate"/>
    </w:r>
    <w:r>
      <w:rPr>
        <w:rStyle w:val="OWPagenumber"/>
        <w:noProof/>
      </w:rPr>
      <w:t>56</w:t>
    </w:r>
    <w:r w:rsidRPr="00807E68">
      <w:rPr>
        <w:rStyle w:val="OWPagenumber"/>
      </w:rPr>
      <w:fldChar w:fldCharType="end"/>
    </w:r>
    <w:r>
      <w:tab/>
      <w:t>Tracking progress in prevention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6D004" w14:textId="5FCC93B3" w:rsidR="00F53B39" w:rsidRDefault="00F53B39" w:rsidP="00807E68">
    <w:pPr>
      <w:pStyle w:val="OWFooterright"/>
    </w:pPr>
    <w:r>
      <w:tab/>
    </w:r>
    <w:r w:rsidRPr="00437ED1">
      <w:t>Appendix D: Number of initiatives tagged under Fourth Action Plan</w:t>
    </w:r>
    <w:r>
      <w:tab/>
    </w:r>
    <w:r>
      <w:rPr>
        <w:noProof/>
      </w:rPr>
      <w:drawing>
        <wp:inline distT="0" distB="0" distL="0" distR="0" wp14:anchorId="464B2566" wp14:editId="4BE69F0F">
          <wp:extent cx="417195" cy="208280"/>
          <wp:effectExtent l="0" t="0" r="1905" b="1270"/>
          <wp:docPr id="20" name="Picture 20" descr="Our Watch"/>
          <wp:cNvGraphicFramePr/>
          <a:graphic xmlns:a="http://schemas.openxmlformats.org/drawingml/2006/main">
            <a:graphicData uri="http://schemas.openxmlformats.org/drawingml/2006/picture">
              <pic:pic xmlns:pic="http://schemas.openxmlformats.org/drawingml/2006/picture">
                <pic:nvPicPr>
                  <pic:cNvPr id="1" name="Picture 1" descr="Our Watch"/>
                  <pic:cNvPicPr/>
                </pic:nvPicPr>
                <pic:blipFill>
                  <a:blip r:embed="rId1">
                    <a:extLst>
                      <a:ext uri="{28A0092B-C50C-407E-A947-70E740481C1C}">
                        <a14:useLocalDpi xmlns:a14="http://schemas.microsoft.com/office/drawing/2010/main" val="0"/>
                      </a:ext>
                    </a:extLst>
                  </a:blip>
                  <a:stretch>
                    <a:fillRect/>
                  </a:stretch>
                </pic:blipFill>
                <pic:spPr>
                  <a:xfrm>
                    <a:off x="0" y="0"/>
                    <a:ext cx="417195" cy="208280"/>
                  </a:xfrm>
                  <a:prstGeom prst="rect">
                    <a:avLst/>
                  </a:prstGeom>
                </pic:spPr>
              </pic:pic>
            </a:graphicData>
          </a:graphic>
        </wp:inline>
      </w:drawing>
    </w:r>
    <w:r>
      <w:tab/>
    </w:r>
    <w:r w:rsidRPr="00807E68">
      <w:rPr>
        <w:rStyle w:val="OWPagenumber"/>
      </w:rPr>
      <w:fldChar w:fldCharType="begin"/>
    </w:r>
    <w:r w:rsidRPr="00807E68">
      <w:rPr>
        <w:rStyle w:val="OWPagenumber"/>
      </w:rPr>
      <w:instrText xml:space="preserve"> PAGE   \* MERGEFORMAT </w:instrText>
    </w:r>
    <w:r w:rsidRPr="00807E68">
      <w:rPr>
        <w:rStyle w:val="OWPagenumber"/>
      </w:rPr>
      <w:fldChar w:fldCharType="separate"/>
    </w:r>
    <w:r>
      <w:rPr>
        <w:rStyle w:val="OWPagenumber"/>
        <w:noProof/>
      </w:rPr>
      <w:t>305</w:t>
    </w:r>
    <w:r w:rsidRPr="00807E68">
      <w:rPr>
        <w:rStyle w:val="OW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BE90B" w14:textId="3411F941" w:rsidR="00F53B39" w:rsidRDefault="00F53B39" w:rsidP="00807E68">
    <w:pPr>
      <w:pStyle w:val="OWFooterright"/>
    </w:pPr>
    <w:r>
      <w:tab/>
    </w:r>
    <w:fldSimple w:instr="STYLEREF  &quot;Heading 2&quot;  \* MERGEFORMAT">
      <w:r w:rsidR="00360573">
        <w:rPr>
          <w:noProof/>
        </w:rPr>
        <w:t>General references</w:t>
      </w:r>
    </w:fldSimple>
    <w:r>
      <w:tab/>
    </w:r>
    <w:r>
      <w:rPr>
        <w:noProof/>
      </w:rPr>
      <w:drawing>
        <wp:inline distT="0" distB="0" distL="0" distR="0" wp14:anchorId="3AF2DE66" wp14:editId="124AC167">
          <wp:extent cx="417195" cy="208280"/>
          <wp:effectExtent l="0" t="0" r="1905" b="1270"/>
          <wp:docPr id="18" name="Picture 18" descr="Our Watch"/>
          <wp:cNvGraphicFramePr/>
          <a:graphic xmlns:a="http://schemas.openxmlformats.org/drawingml/2006/main">
            <a:graphicData uri="http://schemas.openxmlformats.org/drawingml/2006/picture">
              <pic:pic xmlns:pic="http://schemas.openxmlformats.org/drawingml/2006/picture">
                <pic:nvPicPr>
                  <pic:cNvPr id="1" name="Picture 1" descr="Our Watch"/>
                  <pic:cNvPicPr/>
                </pic:nvPicPr>
                <pic:blipFill>
                  <a:blip r:embed="rId1">
                    <a:extLst>
                      <a:ext uri="{28A0092B-C50C-407E-A947-70E740481C1C}">
                        <a14:useLocalDpi xmlns:a14="http://schemas.microsoft.com/office/drawing/2010/main" val="0"/>
                      </a:ext>
                    </a:extLst>
                  </a:blip>
                  <a:stretch>
                    <a:fillRect/>
                  </a:stretch>
                </pic:blipFill>
                <pic:spPr>
                  <a:xfrm>
                    <a:off x="0" y="0"/>
                    <a:ext cx="417195" cy="208280"/>
                  </a:xfrm>
                  <a:prstGeom prst="rect">
                    <a:avLst/>
                  </a:prstGeom>
                </pic:spPr>
              </pic:pic>
            </a:graphicData>
          </a:graphic>
        </wp:inline>
      </w:drawing>
    </w:r>
    <w:r>
      <w:tab/>
    </w:r>
    <w:r w:rsidRPr="00807E68">
      <w:rPr>
        <w:rStyle w:val="OWPagenumber"/>
      </w:rPr>
      <w:fldChar w:fldCharType="begin"/>
    </w:r>
    <w:r w:rsidRPr="00807E68">
      <w:rPr>
        <w:rStyle w:val="OWPagenumber"/>
      </w:rPr>
      <w:instrText xml:space="preserve"> PAGE   \* MERGEFORMAT </w:instrText>
    </w:r>
    <w:r w:rsidRPr="00807E68">
      <w:rPr>
        <w:rStyle w:val="OWPagenumber"/>
      </w:rPr>
      <w:fldChar w:fldCharType="separate"/>
    </w:r>
    <w:r>
      <w:rPr>
        <w:rStyle w:val="OWPagenumber"/>
        <w:noProof/>
      </w:rPr>
      <w:t>345</w:t>
    </w:r>
    <w:r w:rsidRPr="00807E68">
      <w:rPr>
        <w:rStyle w:val="OW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9C1A1" w14:textId="0B086BE3" w:rsidR="00F53B39" w:rsidRDefault="00F53B39" w:rsidP="00807E68">
    <w:pPr>
      <w:pStyle w:val="OWFooterright"/>
    </w:pPr>
    <w:r>
      <w:tab/>
      <w:t>Endnotes</w:t>
    </w:r>
    <w:r>
      <w:tab/>
    </w:r>
    <w:r>
      <w:rPr>
        <w:noProof/>
      </w:rPr>
      <w:drawing>
        <wp:inline distT="0" distB="0" distL="0" distR="0" wp14:anchorId="5D1FA9AC" wp14:editId="22BD0CE5">
          <wp:extent cx="417195" cy="208280"/>
          <wp:effectExtent l="0" t="0" r="1905" b="1270"/>
          <wp:docPr id="19" name="Picture 19" descr="Our Watch"/>
          <wp:cNvGraphicFramePr/>
          <a:graphic xmlns:a="http://schemas.openxmlformats.org/drawingml/2006/main">
            <a:graphicData uri="http://schemas.openxmlformats.org/drawingml/2006/picture">
              <pic:pic xmlns:pic="http://schemas.openxmlformats.org/drawingml/2006/picture">
                <pic:nvPicPr>
                  <pic:cNvPr id="1" name="Picture 1" descr="Our Watch"/>
                  <pic:cNvPicPr/>
                </pic:nvPicPr>
                <pic:blipFill>
                  <a:blip r:embed="rId1">
                    <a:extLst>
                      <a:ext uri="{28A0092B-C50C-407E-A947-70E740481C1C}">
                        <a14:useLocalDpi xmlns:a14="http://schemas.microsoft.com/office/drawing/2010/main" val="0"/>
                      </a:ext>
                    </a:extLst>
                  </a:blip>
                  <a:stretch>
                    <a:fillRect/>
                  </a:stretch>
                </pic:blipFill>
                <pic:spPr>
                  <a:xfrm>
                    <a:off x="0" y="0"/>
                    <a:ext cx="417195" cy="208280"/>
                  </a:xfrm>
                  <a:prstGeom prst="rect">
                    <a:avLst/>
                  </a:prstGeom>
                </pic:spPr>
              </pic:pic>
            </a:graphicData>
          </a:graphic>
        </wp:inline>
      </w:drawing>
    </w:r>
    <w:r>
      <w:tab/>
    </w:r>
    <w:r w:rsidRPr="00807E68">
      <w:rPr>
        <w:rStyle w:val="OWPagenumber"/>
      </w:rPr>
      <w:fldChar w:fldCharType="begin"/>
    </w:r>
    <w:r w:rsidRPr="00807E68">
      <w:rPr>
        <w:rStyle w:val="OWPagenumber"/>
      </w:rPr>
      <w:instrText xml:space="preserve"> PAGE   \* MERGEFORMAT </w:instrText>
    </w:r>
    <w:r w:rsidRPr="00807E68">
      <w:rPr>
        <w:rStyle w:val="OWPagenumber"/>
      </w:rPr>
      <w:fldChar w:fldCharType="separate"/>
    </w:r>
    <w:r>
      <w:rPr>
        <w:rStyle w:val="OWPagenumber"/>
        <w:noProof/>
      </w:rPr>
      <w:t>345</w:t>
    </w:r>
    <w:r w:rsidRPr="00807E68">
      <w:rPr>
        <w:rStyle w:val="OW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207E4" w14:textId="027D5D5B" w:rsidR="00F53B39" w:rsidRDefault="00F53B39" w:rsidP="00807E68">
    <w:pPr>
      <w:pStyle w:val="OWFooterright"/>
    </w:pPr>
    <w:r>
      <w:tab/>
    </w:r>
    <w:r>
      <w:tab/>
    </w:r>
    <w:r>
      <w:rPr>
        <w:noProof/>
      </w:rPr>
      <w:drawing>
        <wp:inline distT="0" distB="0" distL="0" distR="0" wp14:anchorId="1E7324DB" wp14:editId="4259B343">
          <wp:extent cx="417195" cy="208280"/>
          <wp:effectExtent l="0" t="0" r="1905" b="1270"/>
          <wp:docPr id="1" name="Picture 1" descr="Our Watch"/>
          <wp:cNvGraphicFramePr/>
          <a:graphic xmlns:a="http://schemas.openxmlformats.org/drawingml/2006/main">
            <a:graphicData uri="http://schemas.openxmlformats.org/drawingml/2006/picture">
              <pic:pic xmlns:pic="http://schemas.openxmlformats.org/drawingml/2006/picture">
                <pic:nvPicPr>
                  <pic:cNvPr id="1" name="Picture 1" descr="Our Watch"/>
                  <pic:cNvPicPr/>
                </pic:nvPicPr>
                <pic:blipFill>
                  <a:blip r:embed="rId1">
                    <a:extLst>
                      <a:ext uri="{28A0092B-C50C-407E-A947-70E740481C1C}">
                        <a14:useLocalDpi xmlns:a14="http://schemas.microsoft.com/office/drawing/2010/main" val="0"/>
                      </a:ext>
                    </a:extLst>
                  </a:blip>
                  <a:stretch>
                    <a:fillRect/>
                  </a:stretch>
                </pic:blipFill>
                <pic:spPr>
                  <a:xfrm>
                    <a:off x="0" y="0"/>
                    <a:ext cx="417195" cy="208280"/>
                  </a:xfrm>
                  <a:prstGeom prst="rect">
                    <a:avLst/>
                  </a:prstGeom>
                </pic:spPr>
              </pic:pic>
            </a:graphicData>
          </a:graphic>
        </wp:inline>
      </w:drawing>
    </w:r>
    <w:r>
      <w:tab/>
    </w:r>
    <w:r w:rsidRPr="00807E68">
      <w:rPr>
        <w:rStyle w:val="OWPagenumber"/>
      </w:rPr>
      <w:fldChar w:fldCharType="begin"/>
    </w:r>
    <w:r w:rsidRPr="00807E68">
      <w:rPr>
        <w:rStyle w:val="OWPagenumber"/>
      </w:rPr>
      <w:instrText xml:space="preserve"> PAGE   \* MERGEFORMAT </w:instrText>
    </w:r>
    <w:r w:rsidRPr="00807E68">
      <w:rPr>
        <w:rStyle w:val="OWPagenumber"/>
      </w:rPr>
      <w:fldChar w:fldCharType="separate"/>
    </w:r>
    <w:r>
      <w:rPr>
        <w:rStyle w:val="OWPagenumber"/>
        <w:noProof/>
      </w:rPr>
      <w:t>iii</w:t>
    </w:r>
    <w:r w:rsidRPr="00807E68">
      <w:rPr>
        <w:rStyle w:val="OW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E3686" w14:textId="25295AA3" w:rsidR="00F53B39" w:rsidRDefault="00F53B39" w:rsidP="00807E68">
    <w:pPr>
      <w:pStyle w:val="OWFooterright"/>
    </w:pPr>
    <w:r>
      <w:tab/>
    </w:r>
    <w:fldSimple w:instr="STYLEREF  &quot;Heading 2&quot;  \* MERGEFORMAT">
      <w:r w:rsidR="00360573">
        <w:rPr>
          <w:noProof/>
        </w:rPr>
        <w:t>Section 1: Quality primary prevention infrastructure: the foundations of change</w:t>
      </w:r>
    </w:fldSimple>
    <w:r>
      <w:tab/>
    </w:r>
    <w:r>
      <w:rPr>
        <w:noProof/>
      </w:rPr>
      <w:drawing>
        <wp:inline distT="0" distB="0" distL="0" distR="0" wp14:anchorId="3B086F85" wp14:editId="4DAB0CC5">
          <wp:extent cx="417195" cy="208280"/>
          <wp:effectExtent l="0" t="0" r="1905" b="1270"/>
          <wp:docPr id="3" name="Picture 3" descr="Our Watch"/>
          <wp:cNvGraphicFramePr/>
          <a:graphic xmlns:a="http://schemas.openxmlformats.org/drawingml/2006/main">
            <a:graphicData uri="http://schemas.openxmlformats.org/drawingml/2006/picture">
              <pic:pic xmlns:pic="http://schemas.openxmlformats.org/drawingml/2006/picture">
                <pic:nvPicPr>
                  <pic:cNvPr id="1" name="Picture 1" descr="Our Watch"/>
                  <pic:cNvPicPr/>
                </pic:nvPicPr>
                <pic:blipFill>
                  <a:blip r:embed="rId1">
                    <a:extLst>
                      <a:ext uri="{28A0092B-C50C-407E-A947-70E740481C1C}">
                        <a14:useLocalDpi xmlns:a14="http://schemas.microsoft.com/office/drawing/2010/main" val="0"/>
                      </a:ext>
                    </a:extLst>
                  </a:blip>
                  <a:stretch>
                    <a:fillRect/>
                  </a:stretch>
                </pic:blipFill>
                <pic:spPr>
                  <a:xfrm>
                    <a:off x="0" y="0"/>
                    <a:ext cx="417195" cy="208280"/>
                  </a:xfrm>
                  <a:prstGeom prst="rect">
                    <a:avLst/>
                  </a:prstGeom>
                </pic:spPr>
              </pic:pic>
            </a:graphicData>
          </a:graphic>
        </wp:inline>
      </w:drawing>
    </w:r>
    <w:r>
      <w:tab/>
    </w:r>
    <w:r w:rsidRPr="00807E68">
      <w:rPr>
        <w:rStyle w:val="OWPagenumber"/>
      </w:rPr>
      <w:fldChar w:fldCharType="begin"/>
    </w:r>
    <w:r w:rsidRPr="00807E68">
      <w:rPr>
        <w:rStyle w:val="OWPagenumber"/>
      </w:rPr>
      <w:instrText xml:space="preserve"> PAGE   \* MERGEFORMAT </w:instrText>
    </w:r>
    <w:r w:rsidRPr="00807E68">
      <w:rPr>
        <w:rStyle w:val="OWPagenumber"/>
      </w:rPr>
      <w:fldChar w:fldCharType="separate"/>
    </w:r>
    <w:r>
      <w:rPr>
        <w:rStyle w:val="OWPagenumber"/>
        <w:noProof/>
      </w:rPr>
      <w:t>55</w:t>
    </w:r>
    <w:r w:rsidRPr="00807E68">
      <w:rPr>
        <w:rStyle w:val="OW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C0F5C" w14:textId="1831E824" w:rsidR="00F53B39" w:rsidRDefault="00F53B39" w:rsidP="00807E68">
    <w:pPr>
      <w:pStyle w:val="OWFooterright"/>
    </w:pPr>
    <w:r>
      <w:tab/>
      <w:t>Section 2 Part A: Medium- to long-term outcomes</w:t>
    </w:r>
    <w:r>
      <w:tab/>
    </w:r>
    <w:r>
      <w:rPr>
        <w:noProof/>
      </w:rPr>
      <w:drawing>
        <wp:inline distT="0" distB="0" distL="0" distR="0" wp14:anchorId="4DA37143" wp14:editId="123CFC6C">
          <wp:extent cx="417195" cy="208280"/>
          <wp:effectExtent l="0" t="0" r="1905" b="1270"/>
          <wp:docPr id="4" name="Picture 4" descr="Our Watch"/>
          <wp:cNvGraphicFramePr/>
          <a:graphic xmlns:a="http://schemas.openxmlformats.org/drawingml/2006/main">
            <a:graphicData uri="http://schemas.openxmlformats.org/drawingml/2006/picture">
              <pic:pic xmlns:pic="http://schemas.openxmlformats.org/drawingml/2006/picture">
                <pic:nvPicPr>
                  <pic:cNvPr id="1" name="Picture 1" descr="Our Watch"/>
                  <pic:cNvPicPr/>
                </pic:nvPicPr>
                <pic:blipFill>
                  <a:blip r:embed="rId1">
                    <a:extLst>
                      <a:ext uri="{28A0092B-C50C-407E-A947-70E740481C1C}">
                        <a14:useLocalDpi xmlns:a14="http://schemas.microsoft.com/office/drawing/2010/main" val="0"/>
                      </a:ext>
                    </a:extLst>
                  </a:blip>
                  <a:stretch>
                    <a:fillRect/>
                  </a:stretch>
                </pic:blipFill>
                <pic:spPr>
                  <a:xfrm>
                    <a:off x="0" y="0"/>
                    <a:ext cx="417195" cy="208280"/>
                  </a:xfrm>
                  <a:prstGeom prst="rect">
                    <a:avLst/>
                  </a:prstGeom>
                </pic:spPr>
              </pic:pic>
            </a:graphicData>
          </a:graphic>
        </wp:inline>
      </w:drawing>
    </w:r>
    <w:r>
      <w:tab/>
    </w:r>
    <w:r w:rsidRPr="00807E68">
      <w:rPr>
        <w:rStyle w:val="OWPagenumber"/>
      </w:rPr>
      <w:fldChar w:fldCharType="begin"/>
    </w:r>
    <w:r w:rsidRPr="00807E68">
      <w:rPr>
        <w:rStyle w:val="OWPagenumber"/>
      </w:rPr>
      <w:instrText xml:space="preserve"> PAGE   \* MERGEFORMAT </w:instrText>
    </w:r>
    <w:r w:rsidRPr="00807E68">
      <w:rPr>
        <w:rStyle w:val="OWPagenumber"/>
      </w:rPr>
      <w:fldChar w:fldCharType="separate"/>
    </w:r>
    <w:r>
      <w:rPr>
        <w:rStyle w:val="OWPagenumber"/>
        <w:noProof/>
      </w:rPr>
      <w:t>67</w:t>
    </w:r>
    <w:r w:rsidRPr="00807E68">
      <w:rPr>
        <w:rStyle w:val="OW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E37ED" w14:textId="7FAA107F" w:rsidR="00F53B39" w:rsidRDefault="00F53B39" w:rsidP="00386F57">
    <w:pPr>
      <w:pStyle w:val="OWFooterlandscape"/>
    </w:pPr>
    <w:r>
      <w:t>Tracking progress in prevention</w:t>
    </w:r>
    <w:r>
      <w:tab/>
      <w:t>Secstion 2 Part A: Medium- to long-term outcomes</w:t>
    </w:r>
    <w:r>
      <w:tab/>
    </w:r>
    <w:r>
      <w:rPr>
        <w:noProof/>
      </w:rPr>
      <w:drawing>
        <wp:inline distT="0" distB="0" distL="0" distR="0" wp14:anchorId="3A47C83B" wp14:editId="6ED94F14">
          <wp:extent cx="417195" cy="208280"/>
          <wp:effectExtent l="0" t="0" r="1905" b="1270"/>
          <wp:docPr id="6" name="Picture 6" descr="Our Watch"/>
          <wp:cNvGraphicFramePr/>
          <a:graphic xmlns:a="http://schemas.openxmlformats.org/drawingml/2006/main">
            <a:graphicData uri="http://schemas.openxmlformats.org/drawingml/2006/picture">
              <pic:pic xmlns:pic="http://schemas.openxmlformats.org/drawingml/2006/picture">
                <pic:nvPicPr>
                  <pic:cNvPr id="1" name="Picture 1" descr="Our Watch"/>
                  <pic:cNvPicPr/>
                </pic:nvPicPr>
                <pic:blipFill>
                  <a:blip r:embed="rId1">
                    <a:extLst>
                      <a:ext uri="{28A0092B-C50C-407E-A947-70E740481C1C}">
                        <a14:useLocalDpi xmlns:a14="http://schemas.microsoft.com/office/drawing/2010/main" val="0"/>
                      </a:ext>
                    </a:extLst>
                  </a:blip>
                  <a:stretch>
                    <a:fillRect/>
                  </a:stretch>
                </pic:blipFill>
                <pic:spPr>
                  <a:xfrm>
                    <a:off x="0" y="0"/>
                    <a:ext cx="417195" cy="208280"/>
                  </a:xfrm>
                  <a:prstGeom prst="rect">
                    <a:avLst/>
                  </a:prstGeom>
                </pic:spPr>
              </pic:pic>
            </a:graphicData>
          </a:graphic>
        </wp:inline>
      </w:drawing>
    </w:r>
    <w:r>
      <w:tab/>
    </w:r>
    <w:r w:rsidRPr="00807E68">
      <w:rPr>
        <w:rStyle w:val="OWPagenumber"/>
      </w:rPr>
      <w:fldChar w:fldCharType="begin"/>
    </w:r>
    <w:r w:rsidRPr="00807E68">
      <w:rPr>
        <w:rStyle w:val="OWPagenumber"/>
      </w:rPr>
      <w:instrText xml:space="preserve"> PAGE   \* MERGEFORMAT </w:instrText>
    </w:r>
    <w:r w:rsidRPr="00807E68">
      <w:rPr>
        <w:rStyle w:val="OWPagenumber"/>
      </w:rPr>
      <w:fldChar w:fldCharType="separate"/>
    </w:r>
    <w:r>
      <w:rPr>
        <w:rStyle w:val="OWPagenumber"/>
        <w:noProof/>
      </w:rPr>
      <w:t>120</w:t>
    </w:r>
    <w:r w:rsidRPr="00807E68">
      <w:rPr>
        <w:rStyle w:val="OW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85333" w14:textId="30BE1C53" w:rsidR="00F53B39" w:rsidRDefault="00F53B39" w:rsidP="00386F57">
    <w:pPr>
      <w:pStyle w:val="OWFooterlandscape"/>
    </w:pPr>
    <w:r>
      <w:t>Tracking progress in prevention</w:t>
    </w:r>
    <w:r>
      <w:tab/>
      <w:t>Section 2 Part A: Medium- to long-term outcomes</w:t>
    </w:r>
    <w:r>
      <w:tab/>
    </w:r>
    <w:r>
      <w:rPr>
        <w:noProof/>
      </w:rPr>
      <w:drawing>
        <wp:inline distT="0" distB="0" distL="0" distR="0" wp14:anchorId="0851788B" wp14:editId="388A1E8D">
          <wp:extent cx="417195" cy="208280"/>
          <wp:effectExtent l="0" t="0" r="1905" b="1270"/>
          <wp:docPr id="5" name="Picture 5" descr="Our Watch"/>
          <wp:cNvGraphicFramePr/>
          <a:graphic xmlns:a="http://schemas.openxmlformats.org/drawingml/2006/main">
            <a:graphicData uri="http://schemas.openxmlformats.org/drawingml/2006/picture">
              <pic:pic xmlns:pic="http://schemas.openxmlformats.org/drawingml/2006/picture">
                <pic:nvPicPr>
                  <pic:cNvPr id="1" name="Picture 1" descr="Our Watch"/>
                  <pic:cNvPicPr/>
                </pic:nvPicPr>
                <pic:blipFill>
                  <a:blip r:embed="rId1">
                    <a:extLst>
                      <a:ext uri="{28A0092B-C50C-407E-A947-70E740481C1C}">
                        <a14:useLocalDpi xmlns:a14="http://schemas.microsoft.com/office/drawing/2010/main" val="0"/>
                      </a:ext>
                    </a:extLst>
                  </a:blip>
                  <a:stretch>
                    <a:fillRect/>
                  </a:stretch>
                </pic:blipFill>
                <pic:spPr>
                  <a:xfrm>
                    <a:off x="0" y="0"/>
                    <a:ext cx="417195" cy="208280"/>
                  </a:xfrm>
                  <a:prstGeom prst="rect">
                    <a:avLst/>
                  </a:prstGeom>
                </pic:spPr>
              </pic:pic>
            </a:graphicData>
          </a:graphic>
        </wp:inline>
      </w:drawing>
    </w:r>
    <w:r>
      <w:tab/>
    </w:r>
    <w:r w:rsidRPr="00807E68">
      <w:rPr>
        <w:rStyle w:val="OWPagenumber"/>
      </w:rPr>
      <w:fldChar w:fldCharType="begin"/>
    </w:r>
    <w:r w:rsidRPr="00807E68">
      <w:rPr>
        <w:rStyle w:val="OWPagenumber"/>
      </w:rPr>
      <w:instrText xml:space="preserve"> PAGE   \* MERGEFORMAT </w:instrText>
    </w:r>
    <w:r w:rsidRPr="00807E68">
      <w:rPr>
        <w:rStyle w:val="OWPagenumber"/>
      </w:rPr>
      <w:fldChar w:fldCharType="separate"/>
    </w:r>
    <w:r>
      <w:rPr>
        <w:rStyle w:val="OWPagenumber"/>
        <w:noProof/>
      </w:rPr>
      <w:t>121</w:t>
    </w:r>
    <w:r w:rsidRPr="00807E68">
      <w:rPr>
        <w:rStyle w:val="OW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C5A1C" w14:textId="77777777" w:rsidR="00F53B39" w:rsidRDefault="00F53B39" w:rsidP="004A271C">
    <w:pPr>
      <w:pStyle w:val="OWFooterleft"/>
    </w:pPr>
    <w:r w:rsidRPr="00807E68">
      <w:rPr>
        <w:rStyle w:val="OWPagenumber"/>
      </w:rPr>
      <w:fldChar w:fldCharType="begin"/>
    </w:r>
    <w:r w:rsidRPr="00807E68">
      <w:rPr>
        <w:rStyle w:val="OWPagenumber"/>
      </w:rPr>
      <w:instrText xml:space="preserve"> PAGE   \* MERGEFORMAT </w:instrText>
    </w:r>
    <w:r w:rsidRPr="00807E68">
      <w:rPr>
        <w:rStyle w:val="OWPagenumber"/>
      </w:rPr>
      <w:fldChar w:fldCharType="separate"/>
    </w:r>
    <w:r>
      <w:rPr>
        <w:rStyle w:val="OWPagenumber"/>
        <w:noProof/>
      </w:rPr>
      <w:t>346</w:t>
    </w:r>
    <w:r w:rsidRPr="00807E68">
      <w:rPr>
        <w:rStyle w:val="OWPagenumber"/>
      </w:rPr>
      <w:fldChar w:fldCharType="end"/>
    </w:r>
    <w:r>
      <w:tab/>
      <w:t>Tracking progress in prevention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51A45" w14:textId="2133048B" w:rsidR="00F53B39" w:rsidRDefault="00F53B39" w:rsidP="00807E68">
    <w:pPr>
      <w:pStyle w:val="OWFooterright"/>
    </w:pPr>
    <w:r>
      <w:tab/>
      <w:t>Section 2 Part A: Medium- to long-term outcomes</w:t>
    </w:r>
    <w:r>
      <w:tab/>
    </w:r>
    <w:r>
      <w:rPr>
        <w:noProof/>
      </w:rPr>
      <w:drawing>
        <wp:inline distT="0" distB="0" distL="0" distR="0" wp14:anchorId="3D42166C" wp14:editId="2B63037A">
          <wp:extent cx="417195" cy="208280"/>
          <wp:effectExtent l="0" t="0" r="1905" b="1270"/>
          <wp:docPr id="7" name="Picture 7" descr="Our Watch"/>
          <wp:cNvGraphicFramePr/>
          <a:graphic xmlns:a="http://schemas.openxmlformats.org/drawingml/2006/main">
            <a:graphicData uri="http://schemas.openxmlformats.org/drawingml/2006/picture">
              <pic:pic xmlns:pic="http://schemas.openxmlformats.org/drawingml/2006/picture">
                <pic:nvPicPr>
                  <pic:cNvPr id="1" name="Picture 1" descr="Our Watch"/>
                  <pic:cNvPicPr/>
                </pic:nvPicPr>
                <pic:blipFill>
                  <a:blip r:embed="rId1">
                    <a:extLst>
                      <a:ext uri="{28A0092B-C50C-407E-A947-70E740481C1C}">
                        <a14:useLocalDpi xmlns:a14="http://schemas.microsoft.com/office/drawing/2010/main" val="0"/>
                      </a:ext>
                    </a:extLst>
                  </a:blip>
                  <a:stretch>
                    <a:fillRect/>
                  </a:stretch>
                </pic:blipFill>
                <pic:spPr>
                  <a:xfrm>
                    <a:off x="0" y="0"/>
                    <a:ext cx="417195" cy="208280"/>
                  </a:xfrm>
                  <a:prstGeom prst="rect">
                    <a:avLst/>
                  </a:prstGeom>
                </pic:spPr>
              </pic:pic>
            </a:graphicData>
          </a:graphic>
        </wp:inline>
      </w:drawing>
    </w:r>
    <w:r>
      <w:tab/>
    </w:r>
    <w:r w:rsidRPr="00807E68">
      <w:rPr>
        <w:rStyle w:val="OWPagenumber"/>
      </w:rPr>
      <w:fldChar w:fldCharType="begin"/>
    </w:r>
    <w:r w:rsidRPr="00807E68">
      <w:rPr>
        <w:rStyle w:val="OWPagenumber"/>
      </w:rPr>
      <w:instrText xml:space="preserve"> PAGE   \* MERGEFORMAT </w:instrText>
    </w:r>
    <w:r w:rsidRPr="00807E68">
      <w:rPr>
        <w:rStyle w:val="OWPagenumber"/>
      </w:rPr>
      <w:fldChar w:fldCharType="separate"/>
    </w:r>
    <w:r>
      <w:rPr>
        <w:rStyle w:val="OWPagenumber"/>
        <w:noProof/>
      </w:rPr>
      <w:t>241</w:t>
    </w:r>
    <w:r w:rsidRPr="00807E68">
      <w:rPr>
        <w:rStyle w:val="OW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E3438" w14:textId="645461FA" w:rsidR="00F53B39" w:rsidRDefault="00F53B39" w:rsidP="00807E68">
    <w:pPr>
      <w:pStyle w:val="OWFooterright"/>
    </w:pPr>
    <w:r>
      <w:tab/>
    </w:r>
    <w:fldSimple w:instr="STYLEREF  &quot;Heading 2&quot;  \* MERGEFORMAT">
      <w:r w:rsidR="00360573">
        <w:rPr>
          <w:noProof/>
        </w:rPr>
        <w:t>Appendix B: A selection of family violence related courses at Australian universities</w:t>
      </w:r>
    </w:fldSimple>
    <w:r>
      <w:tab/>
    </w:r>
    <w:r>
      <w:rPr>
        <w:noProof/>
      </w:rPr>
      <w:drawing>
        <wp:inline distT="0" distB="0" distL="0" distR="0" wp14:anchorId="403E75DD" wp14:editId="373C85DD">
          <wp:extent cx="417195" cy="208280"/>
          <wp:effectExtent l="0" t="0" r="1905" b="1270"/>
          <wp:docPr id="13" name="Picture 13" descr="Our Watch"/>
          <wp:cNvGraphicFramePr/>
          <a:graphic xmlns:a="http://schemas.openxmlformats.org/drawingml/2006/main">
            <a:graphicData uri="http://schemas.openxmlformats.org/drawingml/2006/picture">
              <pic:pic xmlns:pic="http://schemas.openxmlformats.org/drawingml/2006/picture">
                <pic:nvPicPr>
                  <pic:cNvPr id="1" name="Picture 1" descr="Our Watch"/>
                  <pic:cNvPicPr/>
                </pic:nvPicPr>
                <pic:blipFill>
                  <a:blip r:embed="rId1">
                    <a:extLst>
                      <a:ext uri="{28A0092B-C50C-407E-A947-70E740481C1C}">
                        <a14:useLocalDpi xmlns:a14="http://schemas.microsoft.com/office/drawing/2010/main" val="0"/>
                      </a:ext>
                    </a:extLst>
                  </a:blip>
                  <a:stretch>
                    <a:fillRect/>
                  </a:stretch>
                </pic:blipFill>
                <pic:spPr>
                  <a:xfrm>
                    <a:off x="0" y="0"/>
                    <a:ext cx="417195" cy="208280"/>
                  </a:xfrm>
                  <a:prstGeom prst="rect">
                    <a:avLst/>
                  </a:prstGeom>
                </pic:spPr>
              </pic:pic>
            </a:graphicData>
          </a:graphic>
        </wp:inline>
      </w:drawing>
    </w:r>
    <w:r>
      <w:tab/>
    </w:r>
    <w:r w:rsidRPr="00807E68">
      <w:rPr>
        <w:rStyle w:val="OWPagenumber"/>
      </w:rPr>
      <w:fldChar w:fldCharType="begin"/>
    </w:r>
    <w:r w:rsidRPr="00807E68">
      <w:rPr>
        <w:rStyle w:val="OWPagenumber"/>
      </w:rPr>
      <w:instrText xml:space="preserve"> PAGE   \* MERGEFORMAT </w:instrText>
    </w:r>
    <w:r w:rsidRPr="00807E68">
      <w:rPr>
        <w:rStyle w:val="OWPagenumber"/>
      </w:rPr>
      <w:fldChar w:fldCharType="separate"/>
    </w:r>
    <w:r>
      <w:rPr>
        <w:rStyle w:val="OWPagenumber"/>
        <w:noProof/>
      </w:rPr>
      <w:t>305</w:t>
    </w:r>
    <w:r w:rsidRPr="00807E68">
      <w:rPr>
        <w:rStyle w:val="OW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CE3318" w14:textId="77777777" w:rsidR="00F53B39" w:rsidRPr="002533D8" w:rsidRDefault="00F53B39" w:rsidP="002533D8">
      <w:pPr>
        <w:spacing w:before="120" w:after="60" w:line="240" w:lineRule="auto"/>
        <w:rPr>
          <w:color w:val="414042" w:themeColor="text2"/>
          <w:sz w:val="10"/>
          <w:szCs w:val="10"/>
        </w:rPr>
      </w:pPr>
      <w:r w:rsidRPr="002533D8">
        <w:rPr>
          <w:color w:val="414042" w:themeColor="text2"/>
          <w:sz w:val="10"/>
          <w:szCs w:val="10"/>
        </w:rPr>
        <w:separator/>
      </w:r>
    </w:p>
  </w:footnote>
  <w:footnote w:type="continuationSeparator" w:id="0">
    <w:p w14:paraId="66D13D6A" w14:textId="77777777" w:rsidR="00F53B39" w:rsidRPr="002533D8" w:rsidRDefault="00F53B39" w:rsidP="002533D8">
      <w:pPr>
        <w:spacing w:before="120" w:after="60" w:line="240" w:lineRule="auto"/>
        <w:rPr>
          <w:color w:val="414042" w:themeColor="text2"/>
          <w:sz w:val="10"/>
          <w:szCs w:val="10"/>
        </w:rPr>
      </w:pPr>
      <w:r w:rsidRPr="002533D8">
        <w:rPr>
          <w:color w:val="414042" w:themeColor="text2"/>
          <w:sz w:val="10"/>
          <w:szCs w:val="10"/>
        </w:rPr>
        <w:continuationSeparator/>
      </w:r>
    </w:p>
  </w:footnote>
  <w:footnote w:type="continuationNotice" w:id="1">
    <w:p w14:paraId="7173859A" w14:textId="77777777" w:rsidR="00F53B39" w:rsidRDefault="00F53B39">
      <w:pPr>
        <w:spacing w:after="0" w:line="240" w:lineRule="auto"/>
      </w:pPr>
    </w:p>
  </w:footnote>
  <w:footnote w:id="2">
    <w:p w14:paraId="41FA39D6" w14:textId="7C404E70" w:rsidR="00F53B39" w:rsidRPr="00E90620" w:rsidRDefault="00F53B39">
      <w:pPr>
        <w:pStyle w:val="FootnoteText"/>
      </w:pPr>
      <w:r w:rsidRPr="00D8674A">
        <w:footnoteRef/>
      </w:r>
      <w:r w:rsidRPr="00D8674A">
        <w:tab/>
      </w:r>
      <w:r w:rsidRPr="00E90620">
        <w:t>Another</w:t>
      </w:r>
      <w:r>
        <w:t xml:space="preserve"> </w:t>
      </w:r>
      <w:r w:rsidRPr="00E90620">
        <w:t>aspect</w:t>
      </w:r>
      <w:r>
        <w:t xml:space="preserve"> </w:t>
      </w:r>
      <w:r w:rsidRPr="00E90620">
        <w:t>of</w:t>
      </w:r>
      <w:r>
        <w:t xml:space="preserve"> </w:t>
      </w:r>
      <w:r w:rsidRPr="00E90620">
        <w:t>leadership</w:t>
      </w:r>
      <w:r>
        <w:t xml:space="preserve"> </w:t>
      </w:r>
      <w:r w:rsidRPr="00E90620">
        <w:t>that</w:t>
      </w:r>
      <w:r>
        <w:t xml:space="preserve"> </w:t>
      </w:r>
      <w:r w:rsidRPr="00513152">
        <w:rPr>
          <w:rStyle w:val="Emphasis"/>
        </w:rPr>
        <w:t>Counting on change</w:t>
      </w:r>
      <w:r>
        <w:t xml:space="preserve"> </w:t>
      </w:r>
      <w:r w:rsidRPr="00E90620">
        <w:t>suggests</w:t>
      </w:r>
      <w:r>
        <w:t xml:space="preserve"> </w:t>
      </w:r>
      <w:r w:rsidRPr="00E90620">
        <w:t>is</w:t>
      </w:r>
      <w:r>
        <w:t xml:space="preserve"> </w:t>
      </w:r>
      <w:r w:rsidRPr="00E90620">
        <w:t>important</w:t>
      </w:r>
      <w:r>
        <w:t xml:space="preserve"> </w:t>
      </w:r>
      <w:r w:rsidRPr="00E90620">
        <w:t>is</w:t>
      </w:r>
      <w:r>
        <w:t xml:space="preserve"> </w:t>
      </w:r>
      <w:r w:rsidRPr="00E90620">
        <w:t>sector-specific</w:t>
      </w:r>
      <w:r>
        <w:t xml:space="preserve"> </w:t>
      </w:r>
      <w:r w:rsidRPr="00E90620">
        <w:t>leadership.</w:t>
      </w:r>
      <w:r>
        <w:t xml:space="preserve"> </w:t>
      </w:r>
      <w:r w:rsidRPr="00E90620">
        <w:t>Limited</w:t>
      </w:r>
      <w:r>
        <w:t xml:space="preserve"> </w:t>
      </w:r>
      <w:r w:rsidRPr="00E90620">
        <w:t>time</w:t>
      </w:r>
      <w:r>
        <w:t xml:space="preserve"> </w:t>
      </w:r>
      <w:r w:rsidRPr="00E90620">
        <w:t>and</w:t>
      </w:r>
      <w:r>
        <w:t xml:space="preserve"> </w:t>
      </w:r>
      <w:r w:rsidRPr="00E90620">
        <w:t>resources</w:t>
      </w:r>
      <w:r>
        <w:t xml:space="preserve"> </w:t>
      </w:r>
      <w:r w:rsidRPr="00E90620">
        <w:t>meant</w:t>
      </w:r>
      <w:r>
        <w:t xml:space="preserve"> </w:t>
      </w:r>
      <w:r w:rsidRPr="00E90620">
        <w:t>this</w:t>
      </w:r>
      <w:r>
        <w:t xml:space="preserve"> </w:t>
      </w:r>
      <w:r w:rsidRPr="00E90620">
        <w:t>project</w:t>
      </w:r>
      <w:r>
        <w:t xml:space="preserve"> </w:t>
      </w:r>
      <w:r w:rsidRPr="00E90620">
        <w:t>was</w:t>
      </w:r>
      <w:r>
        <w:t xml:space="preserve"> </w:t>
      </w:r>
      <w:r w:rsidRPr="00E90620">
        <w:t>unable</w:t>
      </w:r>
      <w:r>
        <w:t xml:space="preserve"> </w:t>
      </w:r>
      <w:r w:rsidRPr="00E90620">
        <w:t>to</w:t>
      </w:r>
      <w:r>
        <w:t xml:space="preserve"> </w:t>
      </w:r>
      <w:r w:rsidRPr="00E90620">
        <w:t>consider</w:t>
      </w:r>
      <w:r>
        <w:t xml:space="preserve"> </w:t>
      </w:r>
      <w:r w:rsidRPr="00E90620">
        <w:t>this</w:t>
      </w:r>
      <w:r>
        <w:t xml:space="preserve"> </w:t>
      </w:r>
      <w:r w:rsidRPr="00E90620">
        <w:t>aspect</w:t>
      </w:r>
      <w:r>
        <w:t xml:space="preserve"> </w:t>
      </w:r>
      <w:r w:rsidRPr="00E90620">
        <w:t>of</w:t>
      </w:r>
      <w:r>
        <w:t> </w:t>
      </w:r>
      <w:r w:rsidRPr="00E90620">
        <w:t>leadership,</w:t>
      </w:r>
      <w:r>
        <w:t xml:space="preserve"> </w:t>
      </w:r>
      <w:r w:rsidRPr="00E90620">
        <w:t>but</w:t>
      </w:r>
      <w:r>
        <w:t xml:space="preserve"> </w:t>
      </w:r>
      <w:r w:rsidRPr="00E90620">
        <w:t>it</w:t>
      </w:r>
      <w:r>
        <w:t xml:space="preserve"> </w:t>
      </w:r>
      <w:r w:rsidRPr="00E90620">
        <w:t>is</w:t>
      </w:r>
      <w:r>
        <w:t xml:space="preserve"> </w:t>
      </w:r>
      <w:r w:rsidRPr="00E90620">
        <w:t>an</w:t>
      </w:r>
      <w:r>
        <w:t xml:space="preserve"> </w:t>
      </w:r>
      <w:r w:rsidRPr="00E90620">
        <w:t>area</w:t>
      </w:r>
      <w:r>
        <w:t xml:space="preserve"> </w:t>
      </w:r>
      <w:r w:rsidRPr="00E90620">
        <w:t>worthy</w:t>
      </w:r>
      <w:r>
        <w:t xml:space="preserve"> </w:t>
      </w:r>
      <w:r w:rsidRPr="00E90620">
        <w:t>of</w:t>
      </w:r>
      <w:r>
        <w:t xml:space="preserve"> </w:t>
      </w:r>
      <w:r w:rsidRPr="00E90620">
        <w:t>consideration</w:t>
      </w:r>
      <w:r>
        <w:t xml:space="preserve"> </w:t>
      </w:r>
      <w:r w:rsidRPr="00E90620">
        <w:t>in</w:t>
      </w:r>
      <w:r>
        <w:t xml:space="preserve"> </w:t>
      </w:r>
      <w:r w:rsidRPr="00E90620">
        <w:t>future</w:t>
      </w:r>
      <w:r>
        <w:t xml:space="preserve"> </w:t>
      </w:r>
      <w:r w:rsidRPr="00E90620">
        <w:t>efforts</w:t>
      </w:r>
      <w:r>
        <w:t xml:space="preserve"> </w:t>
      </w:r>
      <w:r w:rsidRPr="00E90620">
        <w:t>to</w:t>
      </w:r>
      <w:r>
        <w:t xml:space="preserve"> </w:t>
      </w:r>
      <w:r w:rsidRPr="00E90620">
        <w:t>refine</w:t>
      </w:r>
      <w:r>
        <w:t xml:space="preserve"> </w:t>
      </w:r>
      <w:r w:rsidRPr="00E90620">
        <w:t>the</w:t>
      </w:r>
      <w:r>
        <w:t xml:space="preserve"> </w:t>
      </w:r>
      <w:r w:rsidRPr="00E90620">
        <w:t>approach.</w:t>
      </w:r>
    </w:p>
  </w:footnote>
  <w:footnote w:id="3">
    <w:p w14:paraId="3789A7ED" w14:textId="5DD46C8D" w:rsidR="00F53B39" w:rsidRPr="00513152" w:rsidRDefault="00F53B39">
      <w:pPr>
        <w:pStyle w:val="FootnoteText"/>
        <w:rPr>
          <w:rFonts w:cstheme="minorHAnsi"/>
        </w:rPr>
      </w:pPr>
      <w:r w:rsidRPr="00513152">
        <w:footnoteRef/>
      </w:r>
      <w:r w:rsidRPr="00513152">
        <w:tab/>
      </w:r>
      <w:r w:rsidRPr="00A62D44">
        <w:rPr>
          <w:rFonts w:cstheme="minorHAnsi"/>
        </w:rPr>
        <w:t>The</w:t>
      </w:r>
      <w:r>
        <w:rPr>
          <w:rFonts w:cstheme="minorHAnsi"/>
        </w:rPr>
        <w:t xml:space="preserve"> </w:t>
      </w:r>
      <w:r w:rsidRPr="00A62D44">
        <w:rPr>
          <w:rFonts w:cstheme="minorHAnsi"/>
        </w:rPr>
        <w:t>new</w:t>
      </w:r>
      <w:r>
        <w:rPr>
          <w:rFonts w:cstheme="minorHAnsi"/>
        </w:rPr>
        <w:t xml:space="preserve"> </w:t>
      </w:r>
      <w:r w:rsidRPr="00A62D44">
        <w:rPr>
          <w:rFonts w:cstheme="minorHAnsi"/>
        </w:rPr>
        <w:t>legislation</w:t>
      </w:r>
      <w:r>
        <w:rPr>
          <w:rFonts w:cstheme="minorHAnsi"/>
        </w:rPr>
        <w:t xml:space="preserve"> </w:t>
      </w:r>
      <w:r w:rsidRPr="00FF49FC">
        <w:rPr>
          <w:rFonts w:cstheme="minorHAnsi"/>
        </w:rPr>
        <w:t>change</w:t>
      </w:r>
      <w:r>
        <w:rPr>
          <w:rFonts w:cstheme="minorHAnsi"/>
        </w:rPr>
        <w:t xml:space="preserve">d </w:t>
      </w:r>
      <w:r w:rsidRPr="00FF49FC">
        <w:rPr>
          <w:rFonts w:cstheme="minorHAnsi"/>
        </w:rPr>
        <w:t>the</w:t>
      </w:r>
      <w:r>
        <w:rPr>
          <w:rFonts w:cstheme="minorHAnsi"/>
        </w:rPr>
        <w:t xml:space="preserve"> </w:t>
      </w:r>
      <w:r w:rsidRPr="00FF49FC">
        <w:rPr>
          <w:rFonts w:cstheme="minorHAnsi"/>
        </w:rPr>
        <w:t>name</w:t>
      </w:r>
      <w:r>
        <w:rPr>
          <w:rFonts w:cstheme="minorHAnsi"/>
        </w:rPr>
        <w:t xml:space="preserve"> </w:t>
      </w:r>
      <w:r w:rsidRPr="00FF49FC">
        <w:rPr>
          <w:rFonts w:cstheme="minorHAnsi"/>
        </w:rPr>
        <w:t>of</w:t>
      </w:r>
      <w:r>
        <w:rPr>
          <w:rFonts w:cstheme="minorHAnsi"/>
        </w:rPr>
        <w:t xml:space="preserve"> </w:t>
      </w:r>
      <w:r w:rsidRPr="00FF49FC">
        <w:rPr>
          <w:rFonts w:cstheme="minorHAnsi"/>
        </w:rPr>
        <w:t>the</w:t>
      </w:r>
      <w:r>
        <w:rPr>
          <w:rFonts w:cstheme="minorHAnsi"/>
        </w:rPr>
        <w:t xml:space="preserve"> </w:t>
      </w:r>
      <w:r w:rsidRPr="00FF49FC">
        <w:rPr>
          <w:rFonts w:cstheme="minorHAnsi"/>
        </w:rPr>
        <w:t>Act</w:t>
      </w:r>
      <w:r>
        <w:rPr>
          <w:rFonts w:cstheme="minorHAnsi"/>
        </w:rPr>
        <w:t xml:space="preserve"> </w:t>
      </w:r>
      <w:r w:rsidRPr="00FF49FC">
        <w:rPr>
          <w:rFonts w:cstheme="minorHAnsi"/>
        </w:rPr>
        <w:t>to</w:t>
      </w:r>
      <w:r>
        <w:rPr>
          <w:rFonts w:cstheme="minorHAnsi"/>
        </w:rPr>
        <w:t xml:space="preserve"> </w:t>
      </w:r>
      <w:r w:rsidRPr="00FF49FC">
        <w:rPr>
          <w:rFonts w:cstheme="minorHAnsi"/>
        </w:rPr>
        <w:t>the</w:t>
      </w:r>
      <w:r>
        <w:rPr>
          <w:rFonts w:cstheme="minorHAnsi"/>
        </w:rPr>
        <w:t xml:space="preserve"> </w:t>
      </w:r>
      <w:r w:rsidRPr="00513152">
        <w:rPr>
          <w:rStyle w:val="Emphasis"/>
        </w:rPr>
        <w:t>Workplace Gender Equality Act 2012</w:t>
      </w:r>
      <w:r w:rsidRPr="00FF49FC">
        <w:rPr>
          <w:rFonts w:cstheme="minorHAnsi"/>
        </w:rPr>
        <w:t>,</w:t>
      </w:r>
      <w:r>
        <w:rPr>
          <w:rFonts w:cstheme="minorHAnsi"/>
        </w:rPr>
        <w:t xml:space="preserve"> </w:t>
      </w:r>
      <w:r w:rsidRPr="00FF49FC">
        <w:rPr>
          <w:rFonts w:cstheme="minorHAnsi"/>
        </w:rPr>
        <w:t>and</w:t>
      </w:r>
      <w:r>
        <w:rPr>
          <w:rFonts w:cstheme="minorHAnsi"/>
        </w:rPr>
        <w:t xml:space="preserve"> </w:t>
      </w:r>
      <w:r w:rsidRPr="00FF49FC">
        <w:rPr>
          <w:rFonts w:cstheme="minorHAnsi"/>
        </w:rPr>
        <w:t>amend</w:t>
      </w:r>
      <w:r>
        <w:rPr>
          <w:rFonts w:cstheme="minorHAnsi"/>
        </w:rPr>
        <w:t xml:space="preserve">ed </w:t>
      </w:r>
      <w:r w:rsidRPr="00FF49FC">
        <w:rPr>
          <w:rFonts w:cstheme="minorHAnsi"/>
        </w:rPr>
        <w:t>the</w:t>
      </w:r>
      <w:r>
        <w:rPr>
          <w:rFonts w:cstheme="minorHAnsi"/>
        </w:rPr>
        <w:t xml:space="preserve"> </w:t>
      </w:r>
      <w:r w:rsidRPr="00FF49FC">
        <w:rPr>
          <w:rFonts w:cstheme="minorHAnsi"/>
        </w:rPr>
        <w:t>principal</w:t>
      </w:r>
      <w:r>
        <w:rPr>
          <w:rFonts w:cstheme="minorHAnsi"/>
        </w:rPr>
        <w:t xml:space="preserve"> </w:t>
      </w:r>
      <w:r w:rsidRPr="00FF49FC">
        <w:rPr>
          <w:rFonts w:cstheme="minorHAnsi"/>
        </w:rPr>
        <w:t>objects</w:t>
      </w:r>
      <w:r>
        <w:rPr>
          <w:rFonts w:cstheme="minorHAnsi"/>
        </w:rPr>
        <w:t xml:space="preserve"> </w:t>
      </w:r>
      <w:r w:rsidRPr="00FF49FC">
        <w:rPr>
          <w:rFonts w:cstheme="minorHAnsi"/>
        </w:rPr>
        <w:t>of</w:t>
      </w:r>
      <w:r>
        <w:rPr>
          <w:rFonts w:cstheme="minorHAnsi"/>
        </w:rPr>
        <w:t xml:space="preserve"> </w:t>
      </w:r>
      <w:r w:rsidRPr="00FF49FC">
        <w:rPr>
          <w:rFonts w:cstheme="minorHAnsi"/>
        </w:rPr>
        <w:t>the</w:t>
      </w:r>
      <w:r>
        <w:rPr>
          <w:rFonts w:cstheme="minorHAnsi"/>
        </w:rPr>
        <w:t xml:space="preserve"> </w:t>
      </w:r>
      <w:r w:rsidRPr="00FF49FC">
        <w:rPr>
          <w:rFonts w:cstheme="minorHAnsi"/>
        </w:rPr>
        <w:t>Act</w:t>
      </w:r>
      <w:r>
        <w:rPr>
          <w:rFonts w:cstheme="minorHAnsi"/>
        </w:rPr>
        <w:t xml:space="preserve">, </w:t>
      </w:r>
      <w:r w:rsidRPr="00FF49FC">
        <w:rPr>
          <w:rFonts w:cstheme="minorHAnsi"/>
        </w:rPr>
        <w:t>modif</w:t>
      </w:r>
      <w:r>
        <w:rPr>
          <w:rFonts w:cstheme="minorHAnsi"/>
        </w:rPr>
        <w:t xml:space="preserve">ied </w:t>
      </w:r>
      <w:r w:rsidRPr="00FF49FC">
        <w:rPr>
          <w:rFonts w:cstheme="minorHAnsi"/>
        </w:rPr>
        <w:t>the</w:t>
      </w:r>
      <w:r>
        <w:rPr>
          <w:rFonts w:cstheme="minorHAnsi"/>
        </w:rPr>
        <w:t xml:space="preserve"> </w:t>
      </w:r>
      <w:r w:rsidRPr="00FF49FC">
        <w:rPr>
          <w:rFonts w:cstheme="minorHAnsi"/>
        </w:rPr>
        <w:t>coverage</w:t>
      </w:r>
      <w:r>
        <w:rPr>
          <w:rFonts w:cstheme="minorHAnsi"/>
        </w:rPr>
        <w:t xml:space="preserve"> </w:t>
      </w:r>
      <w:r w:rsidRPr="00FF49FC">
        <w:rPr>
          <w:rFonts w:cstheme="minorHAnsi"/>
        </w:rPr>
        <w:t>of</w:t>
      </w:r>
      <w:r>
        <w:rPr>
          <w:rFonts w:cstheme="minorHAnsi"/>
        </w:rPr>
        <w:t xml:space="preserve"> </w:t>
      </w:r>
      <w:r w:rsidRPr="00FF49FC">
        <w:rPr>
          <w:rFonts w:cstheme="minorHAnsi"/>
        </w:rPr>
        <w:t>the</w:t>
      </w:r>
      <w:r>
        <w:rPr>
          <w:rFonts w:cstheme="minorHAnsi"/>
        </w:rPr>
        <w:t xml:space="preserve"> </w:t>
      </w:r>
      <w:r w:rsidRPr="00FF49FC">
        <w:rPr>
          <w:rFonts w:cstheme="minorHAnsi"/>
        </w:rPr>
        <w:t>Act</w:t>
      </w:r>
      <w:r>
        <w:rPr>
          <w:rFonts w:cstheme="minorHAnsi"/>
        </w:rPr>
        <w:t xml:space="preserve"> </w:t>
      </w:r>
      <w:r w:rsidRPr="00FF49FC">
        <w:rPr>
          <w:rFonts w:cstheme="minorHAnsi"/>
        </w:rPr>
        <w:t>to</w:t>
      </w:r>
      <w:r>
        <w:rPr>
          <w:rFonts w:cstheme="minorHAnsi"/>
        </w:rPr>
        <w:t xml:space="preserve"> </w:t>
      </w:r>
      <w:r w:rsidRPr="00FF49FC">
        <w:rPr>
          <w:rFonts w:cstheme="minorHAnsi"/>
        </w:rPr>
        <w:t>include</w:t>
      </w:r>
      <w:r>
        <w:rPr>
          <w:rFonts w:cstheme="minorHAnsi"/>
        </w:rPr>
        <w:t xml:space="preserve"> </w:t>
      </w:r>
      <w:r w:rsidRPr="00FF49FC">
        <w:rPr>
          <w:rFonts w:cstheme="minorHAnsi"/>
        </w:rPr>
        <w:t>all</w:t>
      </w:r>
      <w:r>
        <w:rPr>
          <w:rFonts w:cstheme="minorHAnsi"/>
        </w:rPr>
        <w:t xml:space="preserve"> </w:t>
      </w:r>
      <w:r w:rsidRPr="00FF49FC">
        <w:rPr>
          <w:rFonts w:cstheme="minorHAnsi"/>
        </w:rPr>
        <w:t>employers</w:t>
      </w:r>
      <w:r>
        <w:rPr>
          <w:rFonts w:cstheme="minorHAnsi"/>
        </w:rPr>
        <w:t xml:space="preserve"> </w:t>
      </w:r>
      <w:r w:rsidRPr="00FF49FC">
        <w:rPr>
          <w:rFonts w:cstheme="minorHAnsi"/>
        </w:rPr>
        <w:t>and</w:t>
      </w:r>
      <w:r>
        <w:rPr>
          <w:rFonts w:cstheme="minorHAnsi"/>
        </w:rPr>
        <w:t xml:space="preserve"> </w:t>
      </w:r>
      <w:r w:rsidRPr="00FF49FC">
        <w:rPr>
          <w:rFonts w:cstheme="minorHAnsi"/>
        </w:rPr>
        <w:t>employees</w:t>
      </w:r>
      <w:r>
        <w:rPr>
          <w:rFonts w:cstheme="minorHAnsi"/>
        </w:rPr>
        <w:t xml:space="preserve"> </w:t>
      </w:r>
      <w:r w:rsidRPr="00FF49FC">
        <w:rPr>
          <w:rFonts w:cstheme="minorHAnsi"/>
        </w:rPr>
        <w:t>in</w:t>
      </w:r>
      <w:r>
        <w:rPr>
          <w:rFonts w:cstheme="minorHAnsi"/>
        </w:rPr>
        <w:t xml:space="preserve"> </w:t>
      </w:r>
      <w:r w:rsidRPr="00FF49FC">
        <w:rPr>
          <w:rFonts w:cstheme="minorHAnsi"/>
        </w:rPr>
        <w:t>the</w:t>
      </w:r>
      <w:r>
        <w:rPr>
          <w:rFonts w:cstheme="minorHAnsi"/>
        </w:rPr>
        <w:t xml:space="preserve"> </w:t>
      </w:r>
      <w:r w:rsidRPr="00FF49FC">
        <w:rPr>
          <w:rFonts w:cstheme="minorHAnsi"/>
        </w:rPr>
        <w:t>workplace,</w:t>
      </w:r>
      <w:r>
        <w:rPr>
          <w:rFonts w:cstheme="minorHAnsi"/>
        </w:rPr>
        <w:t xml:space="preserve"> </w:t>
      </w:r>
      <w:r w:rsidRPr="00FF49FC">
        <w:rPr>
          <w:rFonts w:cstheme="minorHAnsi"/>
        </w:rPr>
        <w:t>regardless</w:t>
      </w:r>
      <w:r>
        <w:rPr>
          <w:rFonts w:cstheme="minorHAnsi"/>
        </w:rPr>
        <w:t xml:space="preserve"> </w:t>
      </w:r>
      <w:r w:rsidRPr="00FF49FC">
        <w:rPr>
          <w:rFonts w:cstheme="minorHAnsi"/>
        </w:rPr>
        <w:t>of</w:t>
      </w:r>
      <w:r>
        <w:rPr>
          <w:rFonts w:cstheme="minorHAnsi"/>
        </w:rPr>
        <w:t xml:space="preserve"> </w:t>
      </w:r>
      <w:r w:rsidRPr="00FF49FC">
        <w:rPr>
          <w:rFonts w:cstheme="minorHAnsi"/>
        </w:rPr>
        <w:t>gender</w:t>
      </w:r>
      <w:r>
        <w:rPr>
          <w:rFonts w:cstheme="minorHAnsi"/>
        </w:rPr>
        <w:t xml:space="preserve">, </w:t>
      </w:r>
      <w:r w:rsidRPr="00FF49FC">
        <w:rPr>
          <w:rFonts w:cstheme="minorHAnsi"/>
        </w:rPr>
        <w:t>introduce</w:t>
      </w:r>
      <w:r>
        <w:rPr>
          <w:rFonts w:cstheme="minorHAnsi"/>
        </w:rPr>
        <w:t xml:space="preserve">d </w:t>
      </w:r>
      <w:r w:rsidRPr="00FF49FC">
        <w:rPr>
          <w:rFonts w:cstheme="minorHAnsi"/>
        </w:rPr>
        <w:t>a</w:t>
      </w:r>
      <w:r>
        <w:rPr>
          <w:rFonts w:cstheme="minorHAnsi"/>
        </w:rPr>
        <w:t xml:space="preserve"> </w:t>
      </w:r>
      <w:r w:rsidRPr="00FF49FC">
        <w:rPr>
          <w:rFonts w:cstheme="minorHAnsi"/>
        </w:rPr>
        <w:t>new</w:t>
      </w:r>
      <w:r>
        <w:rPr>
          <w:rFonts w:cstheme="minorHAnsi"/>
        </w:rPr>
        <w:t xml:space="preserve"> </w:t>
      </w:r>
      <w:r w:rsidRPr="00FF49FC">
        <w:rPr>
          <w:rFonts w:cstheme="minorHAnsi"/>
        </w:rPr>
        <w:t>reporting</w:t>
      </w:r>
      <w:r>
        <w:rPr>
          <w:rFonts w:cstheme="minorHAnsi"/>
        </w:rPr>
        <w:t xml:space="preserve"> </w:t>
      </w:r>
      <w:r w:rsidRPr="00FF49FC">
        <w:rPr>
          <w:rFonts w:cstheme="minorHAnsi"/>
        </w:rPr>
        <w:t>framework</w:t>
      </w:r>
      <w:r>
        <w:rPr>
          <w:rFonts w:cstheme="minorHAnsi"/>
        </w:rPr>
        <w:t xml:space="preserve"> </w:t>
      </w:r>
      <w:r w:rsidRPr="00FF49FC">
        <w:rPr>
          <w:rFonts w:cstheme="minorHAnsi"/>
        </w:rPr>
        <w:t>in</w:t>
      </w:r>
      <w:r>
        <w:rPr>
          <w:rFonts w:cstheme="minorHAnsi"/>
        </w:rPr>
        <w:t xml:space="preserve"> </w:t>
      </w:r>
      <w:r w:rsidRPr="00FF49FC">
        <w:rPr>
          <w:rFonts w:cstheme="minorHAnsi"/>
        </w:rPr>
        <w:t>which</w:t>
      </w:r>
      <w:r>
        <w:rPr>
          <w:rFonts w:cstheme="minorHAnsi"/>
        </w:rPr>
        <w:t xml:space="preserve"> </w:t>
      </w:r>
      <w:r w:rsidRPr="00FF49FC">
        <w:rPr>
          <w:rFonts w:cstheme="minorHAnsi"/>
        </w:rPr>
        <w:t>relevant</w:t>
      </w:r>
      <w:r>
        <w:rPr>
          <w:rFonts w:cstheme="minorHAnsi"/>
        </w:rPr>
        <w:t xml:space="preserve"> </w:t>
      </w:r>
      <w:r w:rsidRPr="00FF49FC">
        <w:rPr>
          <w:rFonts w:cstheme="minorHAnsi"/>
        </w:rPr>
        <w:t>employers</w:t>
      </w:r>
      <w:r>
        <w:rPr>
          <w:rFonts w:cstheme="minorHAnsi"/>
        </w:rPr>
        <w:t xml:space="preserve"> </w:t>
      </w:r>
      <w:r w:rsidRPr="00FF49FC">
        <w:rPr>
          <w:rFonts w:cstheme="minorHAnsi"/>
        </w:rPr>
        <w:t>are</w:t>
      </w:r>
      <w:r>
        <w:rPr>
          <w:rFonts w:cstheme="minorHAnsi"/>
        </w:rPr>
        <w:t xml:space="preserve"> </w:t>
      </w:r>
      <w:r w:rsidRPr="00FF49FC">
        <w:rPr>
          <w:rFonts w:cstheme="minorHAnsi"/>
        </w:rPr>
        <w:t>required</w:t>
      </w:r>
      <w:r>
        <w:rPr>
          <w:rFonts w:cstheme="minorHAnsi"/>
        </w:rPr>
        <w:t xml:space="preserve"> </w:t>
      </w:r>
      <w:r w:rsidRPr="00FF49FC">
        <w:rPr>
          <w:rFonts w:cstheme="minorHAnsi"/>
        </w:rPr>
        <w:t>to</w:t>
      </w:r>
      <w:r>
        <w:rPr>
          <w:rFonts w:cstheme="minorHAnsi"/>
        </w:rPr>
        <w:t xml:space="preserve"> </w:t>
      </w:r>
      <w:r w:rsidRPr="00FF49FC">
        <w:rPr>
          <w:rFonts w:cstheme="minorHAnsi"/>
        </w:rPr>
        <w:t>report</w:t>
      </w:r>
      <w:r>
        <w:rPr>
          <w:rFonts w:cstheme="minorHAnsi"/>
        </w:rPr>
        <w:t xml:space="preserve"> </w:t>
      </w:r>
      <w:r w:rsidRPr="00FF49FC">
        <w:rPr>
          <w:rFonts w:cstheme="minorHAnsi"/>
        </w:rPr>
        <w:t>against</w:t>
      </w:r>
      <w:r>
        <w:rPr>
          <w:rFonts w:cstheme="minorHAnsi"/>
        </w:rPr>
        <w:t xml:space="preserve"> </w:t>
      </w:r>
      <w:r w:rsidRPr="00FF49FC">
        <w:rPr>
          <w:rFonts w:cstheme="minorHAnsi"/>
        </w:rPr>
        <w:t>gender</w:t>
      </w:r>
      <w:r>
        <w:rPr>
          <w:rFonts w:cstheme="minorHAnsi"/>
        </w:rPr>
        <w:t xml:space="preserve"> </w:t>
      </w:r>
      <w:r w:rsidRPr="00FF49FC">
        <w:rPr>
          <w:rFonts w:cstheme="minorHAnsi"/>
        </w:rPr>
        <w:t>equality</w:t>
      </w:r>
      <w:r>
        <w:rPr>
          <w:rFonts w:cstheme="minorHAnsi"/>
        </w:rPr>
        <w:t xml:space="preserve"> </w:t>
      </w:r>
      <w:r w:rsidRPr="00FF49FC">
        <w:rPr>
          <w:rFonts w:cstheme="minorHAnsi"/>
        </w:rPr>
        <w:t>indicators</w:t>
      </w:r>
      <w:r>
        <w:rPr>
          <w:rFonts w:cstheme="minorHAnsi"/>
        </w:rPr>
        <w:t xml:space="preserve">, </w:t>
      </w:r>
      <w:r w:rsidRPr="00FF49FC">
        <w:rPr>
          <w:rFonts w:cstheme="minorHAnsi"/>
        </w:rPr>
        <w:t>provide</w:t>
      </w:r>
      <w:r>
        <w:rPr>
          <w:rFonts w:cstheme="minorHAnsi"/>
        </w:rPr>
        <w:t xml:space="preserve">d </w:t>
      </w:r>
      <w:r w:rsidRPr="00FF49FC">
        <w:rPr>
          <w:rFonts w:cstheme="minorHAnsi"/>
        </w:rPr>
        <w:t>for</w:t>
      </w:r>
      <w:r>
        <w:rPr>
          <w:rFonts w:cstheme="minorHAnsi"/>
        </w:rPr>
        <w:t xml:space="preserve"> </w:t>
      </w:r>
      <w:r w:rsidRPr="00FF49FC">
        <w:rPr>
          <w:rFonts w:cstheme="minorHAnsi"/>
        </w:rPr>
        <w:t>the</w:t>
      </w:r>
      <w:r>
        <w:rPr>
          <w:rFonts w:cstheme="minorHAnsi"/>
        </w:rPr>
        <w:t xml:space="preserve"> </w:t>
      </w:r>
      <w:r w:rsidRPr="00FF49FC">
        <w:rPr>
          <w:rFonts w:cstheme="minorHAnsi"/>
        </w:rPr>
        <w:t>Equal</w:t>
      </w:r>
      <w:r>
        <w:rPr>
          <w:rFonts w:cstheme="minorHAnsi"/>
        </w:rPr>
        <w:t xml:space="preserve"> </w:t>
      </w:r>
      <w:r w:rsidRPr="00FF49FC">
        <w:rPr>
          <w:rFonts w:cstheme="minorHAnsi"/>
        </w:rPr>
        <w:t>Opportunity</w:t>
      </w:r>
      <w:r>
        <w:rPr>
          <w:rFonts w:cstheme="minorHAnsi"/>
        </w:rPr>
        <w:t xml:space="preserve"> </w:t>
      </w:r>
      <w:r w:rsidRPr="00FF49FC">
        <w:rPr>
          <w:rFonts w:cstheme="minorHAnsi"/>
        </w:rPr>
        <w:t>for</w:t>
      </w:r>
      <w:r>
        <w:rPr>
          <w:rFonts w:cstheme="minorHAnsi"/>
        </w:rPr>
        <w:t xml:space="preserve"> </w:t>
      </w:r>
      <w:r w:rsidRPr="00FF49FC">
        <w:rPr>
          <w:rFonts w:cstheme="minorHAnsi"/>
        </w:rPr>
        <w:t>Women</w:t>
      </w:r>
      <w:r>
        <w:rPr>
          <w:rFonts w:cstheme="minorHAnsi"/>
        </w:rPr>
        <w:t xml:space="preserve"> </w:t>
      </w:r>
      <w:r w:rsidRPr="00FF49FC">
        <w:rPr>
          <w:rFonts w:cstheme="minorHAnsi"/>
        </w:rPr>
        <w:t>in</w:t>
      </w:r>
      <w:r>
        <w:rPr>
          <w:rFonts w:cstheme="minorHAnsi"/>
        </w:rPr>
        <w:t xml:space="preserve"> </w:t>
      </w:r>
      <w:r w:rsidRPr="00FF49FC">
        <w:rPr>
          <w:rFonts w:cstheme="minorHAnsi"/>
        </w:rPr>
        <w:t>the</w:t>
      </w:r>
      <w:r>
        <w:rPr>
          <w:rFonts w:cstheme="minorHAnsi"/>
        </w:rPr>
        <w:t xml:space="preserve"> </w:t>
      </w:r>
      <w:r w:rsidRPr="00FF49FC">
        <w:rPr>
          <w:rFonts w:cstheme="minorHAnsi"/>
        </w:rPr>
        <w:t>Workforce</w:t>
      </w:r>
      <w:r>
        <w:rPr>
          <w:rFonts w:cstheme="minorHAnsi"/>
        </w:rPr>
        <w:t xml:space="preserve"> </w:t>
      </w:r>
      <w:r w:rsidRPr="00FF49FC">
        <w:rPr>
          <w:rFonts w:cstheme="minorHAnsi"/>
        </w:rPr>
        <w:t>Agency,</w:t>
      </w:r>
      <w:r>
        <w:rPr>
          <w:rFonts w:cstheme="minorHAnsi"/>
        </w:rPr>
        <w:t xml:space="preserve"> to </w:t>
      </w:r>
      <w:r w:rsidRPr="00FF49FC">
        <w:rPr>
          <w:rFonts w:cstheme="minorHAnsi"/>
        </w:rPr>
        <w:t>be</w:t>
      </w:r>
      <w:r>
        <w:rPr>
          <w:rFonts w:cstheme="minorHAnsi"/>
        </w:rPr>
        <w:t xml:space="preserve"> </w:t>
      </w:r>
      <w:r w:rsidRPr="00FF49FC">
        <w:rPr>
          <w:rFonts w:cstheme="minorHAnsi"/>
        </w:rPr>
        <w:t>re-titled</w:t>
      </w:r>
      <w:r>
        <w:rPr>
          <w:rFonts w:cstheme="minorHAnsi"/>
        </w:rPr>
        <w:t xml:space="preserve"> </w:t>
      </w:r>
      <w:r w:rsidRPr="00FF49FC">
        <w:rPr>
          <w:rFonts w:cstheme="minorHAnsi"/>
        </w:rPr>
        <w:t>the</w:t>
      </w:r>
      <w:r>
        <w:rPr>
          <w:rFonts w:cstheme="minorHAnsi"/>
        </w:rPr>
        <w:t xml:space="preserve"> </w:t>
      </w:r>
      <w:r w:rsidRPr="00FF49FC">
        <w:rPr>
          <w:rFonts w:cstheme="minorHAnsi"/>
        </w:rPr>
        <w:t>Workplace</w:t>
      </w:r>
      <w:r>
        <w:rPr>
          <w:rFonts w:cstheme="minorHAnsi"/>
        </w:rPr>
        <w:t xml:space="preserve"> </w:t>
      </w:r>
      <w:r w:rsidRPr="00FF49FC">
        <w:rPr>
          <w:rFonts w:cstheme="minorHAnsi"/>
        </w:rPr>
        <w:t>Gender</w:t>
      </w:r>
      <w:r>
        <w:rPr>
          <w:rFonts w:cstheme="minorHAnsi"/>
        </w:rPr>
        <w:t xml:space="preserve"> </w:t>
      </w:r>
      <w:r w:rsidRPr="00FF49FC">
        <w:rPr>
          <w:rFonts w:cstheme="minorHAnsi"/>
        </w:rPr>
        <w:t>Equality</w:t>
      </w:r>
      <w:r>
        <w:rPr>
          <w:rFonts w:cstheme="minorHAnsi"/>
        </w:rPr>
        <w:t xml:space="preserve"> </w:t>
      </w:r>
      <w:r w:rsidRPr="00FF49FC">
        <w:rPr>
          <w:rFonts w:cstheme="minorHAnsi"/>
        </w:rPr>
        <w:t>Agency</w:t>
      </w:r>
      <w:r>
        <w:rPr>
          <w:rFonts w:cstheme="minorHAnsi"/>
        </w:rPr>
        <w:t xml:space="preserve"> </w:t>
      </w:r>
      <w:r w:rsidRPr="00FF49FC">
        <w:rPr>
          <w:rFonts w:cstheme="minorHAnsi"/>
        </w:rPr>
        <w:t>(the</w:t>
      </w:r>
      <w:r>
        <w:rPr>
          <w:rFonts w:cstheme="minorHAnsi"/>
        </w:rPr>
        <w:t xml:space="preserve"> </w:t>
      </w:r>
      <w:r w:rsidRPr="00FF49FC">
        <w:rPr>
          <w:rFonts w:cstheme="minorHAnsi"/>
        </w:rPr>
        <w:t>Agency),</w:t>
      </w:r>
      <w:r>
        <w:rPr>
          <w:rFonts w:cstheme="minorHAnsi"/>
        </w:rPr>
        <w:t xml:space="preserve"> with </w:t>
      </w:r>
      <w:r w:rsidRPr="00FF49FC">
        <w:rPr>
          <w:rFonts w:cstheme="minorHAnsi"/>
        </w:rPr>
        <w:t>new</w:t>
      </w:r>
      <w:r>
        <w:rPr>
          <w:rFonts w:cstheme="minorHAnsi"/>
        </w:rPr>
        <w:t xml:space="preserve"> </w:t>
      </w:r>
      <w:r w:rsidRPr="00FF49FC">
        <w:rPr>
          <w:rFonts w:cstheme="minorHAnsi"/>
        </w:rPr>
        <w:t>advisory</w:t>
      </w:r>
      <w:r>
        <w:rPr>
          <w:rFonts w:cstheme="minorHAnsi"/>
        </w:rPr>
        <w:t xml:space="preserve"> </w:t>
      </w:r>
      <w:r w:rsidRPr="00FF49FC">
        <w:rPr>
          <w:rFonts w:cstheme="minorHAnsi"/>
        </w:rPr>
        <w:t>and</w:t>
      </w:r>
      <w:r>
        <w:rPr>
          <w:rFonts w:cstheme="minorHAnsi"/>
        </w:rPr>
        <w:t xml:space="preserve"> </w:t>
      </w:r>
      <w:r w:rsidRPr="00FF49FC">
        <w:rPr>
          <w:rFonts w:cstheme="minorHAnsi"/>
        </w:rPr>
        <w:t>educational</w:t>
      </w:r>
      <w:r>
        <w:rPr>
          <w:rFonts w:cstheme="minorHAnsi"/>
        </w:rPr>
        <w:t xml:space="preserve"> </w:t>
      </w:r>
      <w:r w:rsidRPr="00FF49FC">
        <w:rPr>
          <w:rFonts w:cstheme="minorHAnsi"/>
        </w:rPr>
        <w:t>functions</w:t>
      </w:r>
      <w:r>
        <w:rPr>
          <w:rFonts w:cstheme="minorHAnsi"/>
        </w:rPr>
        <w:t xml:space="preserve">, </w:t>
      </w:r>
      <w:r w:rsidRPr="00FF49FC">
        <w:rPr>
          <w:rFonts w:cstheme="minorHAnsi"/>
        </w:rPr>
        <w:t>and</w:t>
      </w:r>
      <w:r>
        <w:rPr>
          <w:rFonts w:cstheme="minorHAnsi"/>
        </w:rPr>
        <w:t xml:space="preserve"> </w:t>
      </w:r>
      <w:r w:rsidRPr="00FF49FC">
        <w:rPr>
          <w:rFonts w:cstheme="minorHAnsi"/>
        </w:rPr>
        <w:t>attempt</w:t>
      </w:r>
      <w:r>
        <w:rPr>
          <w:rFonts w:cstheme="minorHAnsi"/>
        </w:rPr>
        <w:t xml:space="preserve">ed </w:t>
      </w:r>
      <w:r w:rsidRPr="00FF49FC">
        <w:rPr>
          <w:rFonts w:cstheme="minorHAnsi"/>
        </w:rPr>
        <w:t>to</w:t>
      </w:r>
      <w:r>
        <w:rPr>
          <w:rFonts w:cstheme="minorHAnsi"/>
        </w:rPr>
        <w:t xml:space="preserve"> </w:t>
      </w:r>
      <w:r w:rsidRPr="00FF49FC">
        <w:rPr>
          <w:rFonts w:cstheme="minorHAnsi"/>
        </w:rPr>
        <w:t>provide</w:t>
      </w:r>
      <w:r>
        <w:rPr>
          <w:rFonts w:cstheme="minorHAnsi"/>
        </w:rPr>
        <w:t xml:space="preserve"> </w:t>
      </w:r>
      <w:r w:rsidRPr="00FF49FC">
        <w:rPr>
          <w:rFonts w:cstheme="minorHAnsi"/>
        </w:rPr>
        <w:t>further</w:t>
      </w:r>
      <w:r>
        <w:rPr>
          <w:rFonts w:cstheme="minorHAnsi"/>
        </w:rPr>
        <w:t xml:space="preserve"> </w:t>
      </w:r>
      <w:r w:rsidRPr="00FF49FC">
        <w:rPr>
          <w:rFonts w:cstheme="minorHAnsi"/>
        </w:rPr>
        <w:t>transparency</w:t>
      </w:r>
      <w:r>
        <w:rPr>
          <w:rFonts w:cstheme="minorHAnsi"/>
        </w:rPr>
        <w:t xml:space="preserve"> </w:t>
      </w:r>
      <w:r w:rsidRPr="00FF49FC">
        <w:rPr>
          <w:rFonts w:cstheme="minorHAnsi"/>
        </w:rPr>
        <w:t>in</w:t>
      </w:r>
      <w:r>
        <w:rPr>
          <w:rFonts w:cstheme="minorHAnsi"/>
        </w:rPr>
        <w:t xml:space="preserve"> </w:t>
      </w:r>
      <w:r w:rsidRPr="00FF49FC">
        <w:rPr>
          <w:rFonts w:cstheme="minorHAnsi"/>
        </w:rPr>
        <w:t>regards</w:t>
      </w:r>
      <w:r>
        <w:rPr>
          <w:rFonts w:cstheme="minorHAnsi"/>
        </w:rPr>
        <w:t xml:space="preserve"> </w:t>
      </w:r>
      <w:r w:rsidRPr="00FF49FC">
        <w:rPr>
          <w:rFonts w:cstheme="minorHAnsi"/>
        </w:rPr>
        <w:t>to</w:t>
      </w:r>
      <w:r>
        <w:rPr>
          <w:rFonts w:cstheme="minorHAnsi"/>
        </w:rPr>
        <w:t xml:space="preserve"> </w:t>
      </w:r>
      <w:r w:rsidRPr="00FF49FC">
        <w:rPr>
          <w:rFonts w:cstheme="minorHAnsi"/>
        </w:rPr>
        <w:t>compliance</w:t>
      </w:r>
      <w:r>
        <w:rPr>
          <w:rFonts w:cstheme="minorHAnsi"/>
        </w:rPr>
        <w:t xml:space="preserve"> </w:t>
      </w:r>
      <w:r w:rsidRPr="00FF49FC">
        <w:rPr>
          <w:rFonts w:cstheme="minorHAnsi"/>
        </w:rPr>
        <w:t>with</w:t>
      </w:r>
      <w:r>
        <w:rPr>
          <w:rFonts w:cstheme="minorHAnsi"/>
        </w:rPr>
        <w:t xml:space="preserve"> </w:t>
      </w:r>
      <w:r w:rsidRPr="00FF49FC">
        <w:rPr>
          <w:rFonts w:cstheme="minorHAnsi"/>
        </w:rPr>
        <w:t>the</w:t>
      </w:r>
      <w:r>
        <w:rPr>
          <w:rFonts w:cstheme="minorHAnsi"/>
        </w:rPr>
        <w:t xml:space="preserve"> </w:t>
      </w:r>
      <w:r w:rsidRPr="00FF49FC">
        <w:rPr>
          <w:rFonts w:cstheme="minorHAnsi"/>
        </w:rPr>
        <w:t>Act</w:t>
      </w:r>
      <w:r>
        <w:rPr>
          <w:rFonts w:cstheme="minorHAnsi"/>
        </w:rPr>
        <w:t xml:space="preserve"> </w:t>
      </w:r>
      <w:r w:rsidRPr="00FF49FC">
        <w:rPr>
          <w:rFonts w:cstheme="minorHAnsi"/>
        </w:rPr>
        <w:t>and</w:t>
      </w:r>
      <w:r>
        <w:rPr>
          <w:rFonts w:cstheme="minorHAnsi"/>
        </w:rPr>
        <w:t xml:space="preserve"> </w:t>
      </w:r>
      <w:r w:rsidRPr="00FF49FC">
        <w:rPr>
          <w:rFonts w:cstheme="minorHAnsi"/>
        </w:rPr>
        <w:t>the</w:t>
      </w:r>
      <w:r>
        <w:rPr>
          <w:rFonts w:cstheme="minorHAnsi"/>
        </w:rPr>
        <w:t xml:space="preserve"> </w:t>
      </w:r>
      <w:r w:rsidRPr="00FF49FC">
        <w:rPr>
          <w:rFonts w:cstheme="minorHAnsi"/>
        </w:rPr>
        <w:t>consequences</w:t>
      </w:r>
      <w:r>
        <w:rPr>
          <w:rFonts w:cstheme="minorHAnsi"/>
        </w:rPr>
        <w:t xml:space="preserve"> </w:t>
      </w:r>
      <w:r w:rsidRPr="00FF49FC">
        <w:rPr>
          <w:rFonts w:cstheme="minorHAnsi"/>
        </w:rPr>
        <w:t>of</w:t>
      </w:r>
      <w:r>
        <w:rPr>
          <w:rFonts w:cstheme="minorHAnsi"/>
        </w:rPr>
        <w:t xml:space="preserve"> </w:t>
      </w:r>
      <w:r w:rsidRPr="00FF49FC">
        <w:rPr>
          <w:rFonts w:cstheme="minorHAnsi"/>
        </w:rPr>
        <w:t>non-compliance.</w:t>
      </w:r>
    </w:p>
  </w:footnote>
  <w:footnote w:id="4">
    <w:p w14:paraId="36FBF921" w14:textId="77777777" w:rsidR="00F53B39" w:rsidRPr="00E90620" w:rsidRDefault="00F53B39">
      <w:pPr>
        <w:pStyle w:val="FootnoteText"/>
      </w:pPr>
      <w:r w:rsidRPr="00513152">
        <w:footnoteRef/>
      </w:r>
      <w:r>
        <w:tab/>
      </w:r>
      <w:r w:rsidRPr="00E90620">
        <w:t>Different</w:t>
      </w:r>
      <w:r>
        <w:t xml:space="preserve"> </w:t>
      </w:r>
      <w:r w:rsidRPr="00E90620">
        <w:t>programs</w:t>
      </w:r>
      <w:r>
        <w:t xml:space="preserve"> </w:t>
      </w:r>
      <w:r w:rsidRPr="00E90620">
        <w:t>employ</w:t>
      </w:r>
      <w:r>
        <w:t xml:space="preserve"> </w:t>
      </w:r>
      <w:r w:rsidRPr="00E90620">
        <w:t>different</w:t>
      </w:r>
      <w:r>
        <w:t xml:space="preserve"> </w:t>
      </w:r>
      <w:r w:rsidRPr="00E90620">
        <w:t>standards,</w:t>
      </w:r>
      <w:r>
        <w:t xml:space="preserve"> </w:t>
      </w:r>
      <w:r w:rsidRPr="00E90620">
        <w:t>obligations</w:t>
      </w:r>
      <w:r>
        <w:t xml:space="preserve"> </w:t>
      </w:r>
      <w:r w:rsidRPr="00E90620">
        <w:t>and</w:t>
      </w:r>
      <w:r>
        <w:t xml:space="preserve"> </w:t>
      </w:r>
      <w:r w:rsidRPr="00E90620">
        <w:t>accountability</w:t>
      </w:r>
      <w:r>
        <w:t xml:space="preserve"> </w:t>
      </w:r>
      <w:r w:rsidRPr="00E90620">
        <w:t>measures</w:t>
      </w:r>
      <w:r>
        <w:t xml:space="preserve"> </w:t>
      </w:r>
      <w:r w:rsidRPr="00E90620">
        <w:t>for</w:t>
      </w:r>
      <w:r>
        <w:t xml:space="preserve"> </w:t>
      </w:r>
      <w:r w:rsidRPr="00E90620">
        <w:t>their</w:t>
      </w:r>
      <w:r>
        <w:t xml:space="preserve"> </w:t>
      </w:r>
      <w:r w:rsidRPr="00E90620">
        <w:t>members.</w:t>
      </w:r>
      <w:r>
        <w:t xml:space="preserve"> </w:t>
      </w:r>
      <w:r w:rsidRPr="00E90620">
        <w:t>It</w:t>
      </w:r>
      <w:r>
        <w:t xml:space="preserve"> </w:t>
      </w:r>
      <w:r w:rsidRPr="00E90620">
        <w:t>has</w:t>
      </w:r>
      <w:r>
        <w:t xml:space="preserve"> </w:t>
      </w:r>
      <w:r w:rsidRPr="00E90620">
        <w:t>not</w:t>
      </w:r>
      <w:r>
        <w:t xml:space="preserve"> </w:t>
      </w:r>
      <w:r w:rsidRPr="00E90620">
        <w:t>been</w:t>
      </w:r>
      <w:r>
        <w:t xml:space="preserve"> </w:t>
      </w:r>
      <w:r w:rsidRPr="00E90620">
        <w:t>within</w:t>
      </w:r>
      <w:r>
        <w:t xml:space="preserve"> the </w:t>
      </w:r>
      <w:r w:rsidRPr="00E90620">
        <w:t>scope</w:t>
      </w:r>
      <w:r>
        <w:t xml:space="preserve"> </w:t>
      </w:r>
      <w:r w:rsidRPr="00E90620">
        <w:t>of</w:t>
      </w:r>
      <w:r>
        <w:t xml:space="preserve"> </w:t>
      </w:r>
      <w:r w:rsidRPr="00E90620">
        <w:t>this</w:t>
      </w:r>
      <w:r>
        <w:t xml:space="preserve"> </w:t>
      </w:r>
      <w:r w:rsidRPr="00E90620">
        <w:t>project</w:t>
      </w:r>
      <w:r>
        <w:t xml:space="preserve"> </w:t>
      </w:r>
      <w:r w:rsidRPr="00E90620">
        <w:t>to</w:t>
      </w:r>
      <w:r>
        <w:t xml:space="preserve"> </w:t>
      </w:r>
      <w:r w:rsidRPr="00E90620">
        <w:t>review</w:t>
      </w:r>
      <w:r>
        <w:t xml:space="preserve"> </w:t>
      </w:r>
      <w:r w:rsidRPr="00E90620">
        <w:t>or</w:t>
      </w:r>
      <w:r>
        <w:t xml:space="preserve"> </w:t>
      </w:r>
      <w:r w:rsidRPr="00E90620">
        <w:t>analyse</w:t>
      </w:r>
      <w:r>
        <w:t xml:space="preserve"> </w:t>
      </w:r>
      <w:r w:rsidRPr="00E90620">
        <w:t>these</w:t>
      </w:r>
      <w:r>
        <w:t xml:space="preserve"> </w:t>
      </w:r>
      <w:r w:rsidRPr="00E90620">
        <w:t>measures.</w:t>
      </w:r>
    </w:p>
  </w:footnote>
  <w:footnote w:id="5">
    <w:p w14:paraId="7B912C25" w14:textId="77777777" w:rsidR="00F53B39" w:rsidRPr="00E90620" w:rsidRDefault="00F53B39">
      <w:pPr>
        <w:pStyle w:val="FootnoteText"/>
      </w:pPr>
      <w:r w:rsidRPr="00513152">
        <w:footnoteRef/>
      </w:r>
      <w:r>
        <w:tab/>
      </w:r>
      <w:r w:rsidRPr="00E90620">
        <w:t>Advocates</w:t>
      </w:r>
      <w:r>
        <w:t xml:space="preserve"> </w:t>
      </w:r>
      <w:r w:rsidRPr="00E90620">
        <w:t>are</w:t>
      </w:r>
      <w:r>
        <w:t xml:space="preserve"> </w:t>
      </w:r>
      <w:r w:rsidRPr="00E90620">
        <w:t>calling</w:t>
      </w:r>
      <w:r>
        <w:t xml:space="preserve"> </w:t>
      </w:r>
      <w:r w:rsidRPr="00E90620">
        <w:t>for</w:t>
      </w:r>
      <w:r>
        <w:t xml:space="preserve"> </w:t>
      </w:r>
      <w:r w:rsidRPr="00E90620">
        <w:t>an</w:t>
      </w:r>
      <w:r>
        <w:t xml:space="preserve"> </w:t>
      </w:r>
      <w:r w:rsidRPr="00E90620">
        <w:t>NDIS</w:t>
      </w:r>
      <w:r>
        <w:t xml:space="preserve"> </w:t>
      </w:r>
      <w:r w:rsidRPr="00E90620">
        <w:t>Women’s</w:t>
      </w:r>
      <w:r>
        <w:t xml:space="preserve"> </w:t>
      </w:r>
      <w:r w:rsidRPr="00E90620">
        <w:t>Strategy</w:t>
      </w:r>
      <w:r>
        <w:t xml:space="preserve"> </w:t>
      </w:r>
      <w:r w:rsidRPr="00E90620">
        <w:t>to</w:t>
      </w:r>
      <w:r>
        <w:t xml:space="preserve"> </w:t>
      </w:r>
      <w:r w:rsidRPr="00E90620">
        <w:t>be</w:t>
      </w:r>
      <w:r>
        <w:t xml:space="preserve"> </w:t>
      </w:r>
      <w:r w:rsidRPr="00E90620">
        <w:t>developed</w:t>
      </w:r>
      <w:r>
        <w:t xml:space="preserve"> </w:t>
      </w:r>
      <w:r w:rsidRPr="00E90620">
        <w:t>in</w:t>
      </w:r>
      <w:r>
        <w:t xml:space="preserve"> </w:t>
      </w:r>
      <w:r w:rsidRPr="00E90620">
        <w:t>consultation</w:t>
      </w:r>
      <w:r>
        <w:t xml:space="preserve"> </w:t>
      </w:r>
      <w:r w:rsidRPr="00E90620">
        <w:t>with</w:t>
      </w:r>
      <w:r>
        <w:t xml:space="preserve"> </w:t>
      </w:r>
      <w:r w:rsidRPr="00E90620">
        <w:t>women</w:t>
      </w:r>
      <w:r>
        <w:t xml:space="preserve"> </w:t>
      </w:r>
      <w:r w:rsidRPr="00E90620">
        <w:t>with</w:t>
      </w:r>
      <w:r>
        <w:t xml:space="preserve"> </w:t>
      </w:r>
      <w:r w:rsidRPr="00E90620">
        <w:t>disability</w:t>
      </w:r>
      <w:r>
        <w:t xml:space="preserve"> </w:t>
      </w:r>
      <w:r w:rsidRPr="00E90620">
        <w:t>and</w:t>
      </w:r>
      <w:r>
        <w:t xml:space="preserve"> </w:t>
      </w:r>
      <w:r w:rsidRPr="00E90620">
        <w:t>their</w:t>
      </w:r>
      <w:r>
        <w:t xml:space="preserve"> </w:t>
      </w:r>
      <w:r w:rsidRPr="00E90620">
        <w:t>representative</w:t>
      </w:r>
      <w:r>
        <w:t xml:space="preserve"> </w:t>
      </w:r>
      <w:r w:rsidRPr="00E90620">
        <w:t>organisations</w:t>
      </w:r>
      <w:r>
        <w:t>.</w:t>
      </w:r>
    </w:p>
  </w:footnote>
  <w:footnote w:id="6">
    <w:p w14:paraId="0B577A63" w14:textId="771E2061" w:rsidR="00F53B39" w:rsidRPr="00E90620" w:rsidRDefault="00F53B39">
      <w:pPr>
        <w:pStyle w:val="FootnoteText"/>
      </w:pPr>
      <w:r w:rsidRPr="00513152">
        <w:footnoteRef/>
      </w:r>
      <w:r w:rsidRPr="00513152">
        <w:tab/>
      </w:r>
      <w:r w:rsidRPr="00E90620">
        <w:t>Total</w:t>
      </w:r>
      <w:r>
        <w:t xml:space="preserve"> </w:t>
      </w:r>
      <w:r w:rsidRPr="00E90620">
        <w:t>numbers</w:t>
      </w:r>
      <w:r>
        <w:t xml:space="preserve"> </w:t>
      </w:r>
      <w:r w:rsidRPr="00E90620">
        <w:t>of</w:t>
      </w:r>
      <w:r>
        <w:t xml:space="preserve"> </w:t>
      </w:r>
      <w:r w:rsidRPr="00E90620">
        <w:t>responses</w:t>
      </w:r>
      <w:r>
        <w:t xml:space="preserve"> </w:t>
      </w:r>
      <w:r w:rsidRPr="00E90620">
        <w:t>to</w:t>
      </w:r>
      <w:r>
        <w:t xml:space="preserve"> </w:t>
      </w:r>
      <w:r w:rsidRPr="00E90620">
        <w:t>survey</w:t>
      </w:r>
      <w:r>
        <w:t xml:space="preserve"> </w:t>
      </w:r>
      <w:r w:rsidRPr="00E90620">
        <w:t>questions</w:t>
      </w:r>
      <w:r>
        <w:t xml:space="preserve"> </w:t>
      </w:r>
      <w:r w:rsidRPr="00E90620">
        <w:t>varied</w:t>
      </w:r>
      <w:r>
        <w:t xml:space="preserve"> </w:t>
      </w:r>
      <w:r w:rsidRPr="00E90620">
        <w:t>for</w:t>
      </w:r>
      <w:r>
        <w:t xml:space="preserve"> </w:t>
      </w:r>
      <w:r w:rsidRPr="00E90620">
        <w:t>each</w:t>
      </w:r>
      <w:r>
        <w:t xml:space="preserve"> </w:t>
      </w:r>
      <w:r w:rsidRPr="00E90620">
        <w:t>question</w:t>
      </w:r>
      <w:r>
        <w:t xml:space="preserve">; </w:t>
      </w:r>
      <w:r w:rsidRPr="00E90620">
        <w:t>312</w:t>
      </w:r>
      <w:r>
        <w:t xml:space="preserve"> </w:t>
      </w:r>
      <w:r w:rsidRPr="00E90620">
        <w:t>represents</w:t>
      </w:r>
      <w:r>
        <w:t xml:space="preserve"> </w:t>
      </w:r>
      <w:r w:rsidRPr="00E90620">
        <w:t>the</w:t>
      </w:r>
      <w:r>
        <w:t xml:space="preserve"> </w:t>
      </w:r>
      <w:r w:rsidRPr="00E90620">
        <w:t>largest</w:t>
      </w:r>
      <w:r>
        <w:t xml:space="preserve"> </w:t>
      </w:r>
      <w:r w:rsidRPr="00E90620">
        <w:t>number</w:t>
      </w:r>
      <w:r>
        <w:t xml:space="preserve"> </w:t>
      </w:r>
      <w:r w:rsidRPr="00E90620">
        <w:t>of</w:t>
      </w:r>
      <w:r>
        <w:t xml:space="preserve"> </w:t>
      </w:r>
      <w:r w:rsidRPr="00E90620">
        <w:t>responses</w:t>
      </w:r>
      <w:r>
        <w:t xml:space="preserve"> </w:t>
      </w:r>
      <w:r w:rsidRPr="00E90620">
        <w:t>for</w:t>
      </w:r>
      <w:r>
        <w:t xml:space="preserve"> </w:t>
      </w:r>
      <w:r w:rsidRPr="00E90620">
        <w:t>a</w:t>
      </w:r>
      <w:r>
        <w:t xml:space="preserve"> </w:t>
      </w:r>
      <w:r w:rsidRPr="00E90620">
        <w:t>single</w:t>
      </w:r>
      <w:r>
        <w:t xml:space="preserve"> </w:t>
      </w:r>
      <w:r w:rsidRPr="00E90620">
        <w:t>question.</w:t>
      </w:r>
      <w:r>
        <w:t xml:space="preserve"> </w:t>
      </w:r>
      <w:r w:rsidRPr="00E90620">
        <w:t>Percentages</w:t>
      </w:r>
      <w:r>
        <w:t xml:space="preserve"> </w:t>
      </w:r>
      <w:r w:rsidRPr="00E90620">
        <w:t>throughout</w:t>
      </w:r>
      <w:r>
        <w:t xml:space="preserve"> </w:t>
      </w:r>
      <w:r w:rsidRPr="00E90620">
        <w:t>the</w:t>
      </w:r>
      <w:r>
        <w:t xml:space="preserve"> </w:t>
      </w:r>
      <w:r w:rsidRPr="00E90620">
        <w:t>report</w:t>
      </w:r>
      <w:r>
        <w:t xml:space="preserve"> </w:t>
      </w:r>
      <w:r w:rsidRPr="00E90620">
        <w:t>are</w:t>
      </w:r>
      <w:r>
        <w:t xml:space="preserve"> </w:t>
      </w:r>
      <w:r w:rsidRPr="00E90620">
        <w:t>based</w:t>
      </w:r>
      <w:r>
        <w:t xml:space="preserve"> </w:t>
      </w:r>
      <w:r w:rsidRPr="00E90620">
        <w:t>on</w:t>
      </w:r>
      <w:r>
        <w:t> </w:t>
      </w:r>
      <w:r w:rsidRPr="00E90620">
        <w:t>actual</w:t>
      </w:r>
      <w:r>
        <w:t xml:space="preserve"> </w:t>
      </w:r>
      <w:r w:rsidRPr="00E90620">
        <w:t>response</w:t>
      </w:r>
      <w:r>
        <w:t xml:space="preserve"> </w:t>
      </w:r>
      <w:r w:rsidRPr="00E90620">
        <w:t>numbers</w:t>
      </w:r>
      <w:r>
        <w:t xml:space="preserve"> </w:t>
      </w:r>
      <w:r w:rsidRPr="00E90620">
        <w:t>for</w:t>
      </w:r>
      <w:r>
        <w:t xml:space="preserve"> </w:t>
      </w:r>
      <w:r w:rsidRPr="00E90620">
        <w:t>each</w:t>
      </w:r>
      <w:r>
        <w:t xml:space="preserve"> </w:t>
      </w:r>
      <w:r w:rsidRPr="00E90620">
        <w:t>question.</w:t>
      </w:r>
    </w:p>
  </w:footnote>
  <w:footnote w:id="7">
    <w:p w14:paraId="35FECDA8" w14:textId="6020B6E7" w:rsidR="00F53B39" w:rsidRPr="00513152" w:rsidRDefault="00F53B39">
      <w:pPr>
        <w:pStyle w:val="FootnoteText"/>
      </w:pPr>
      <w:r w:rsidRPr="00513152">
        <w:footnoteRef/>
      </w:r>
      <w:r>
        <w:tab/>
      </w:r>
      <w:r w:rsidRPr="00E90620">
        <w:t>Most</w:t>
      </w:r>
      <w:r>
        <w:t xml:space="preserve"> </w:t>
      </w:r>
      <w:r w:rsidRPr="00E90620">
        <w:t>of</w:t>
      </w:r>
      <w:r>
        <w:t xml:space="preserve"> </w:t>
      </w:r>
      <w:r w:rsidRPr="00E90620">
        <w:t>those</w:t>
      </w:r>
      <w:r>
        <w:t xml:space="preserve"> </w:t>
      </w:r>
      <w:r w:rsidRPr="00E90620">
        <w:t>who</w:t>
      </w:r>
      <w:r>
        <w:t xml:space="preserve"> </w:t>
      </w:r>
      <w:r w:rsidRPr="00E90620">
        <w:t>said</w:t>
      </w:r>
      <w:r>
        <w:t xml:space="preserve"> </w:t>
      </w:r>
      <w:r w:rsidRPr="00E90620">
        <w:t>that</w:t>
      </w:r>
      <w:r>
        <w:t xml:space="preserve"> </w:t>
      </w:r>
      <w:r w:rsidRPr="00E90620">
        <w:t>this</w:t>
      </w:r>
      <w:r>
        <w:t xml:space="preserve"> </w:t>
      </w:r>
      <w:r w:rsidRPr="00E90620">
        <w:t>does</w:t>
      </w:r>
      <w:r>
        <w:t xml:space="preserve"> </w:t>
      </w:r>
      <w:r w:rsidRPr="00E90620">
        <w:t>not</w:t>
      </w:r>
      <w:r>
        <w:t xml:space="preserve"> </w:t>
      </w:r>
      <w:r w:rsidRPr="00E90620">
        <w:t>apply</w:t>
      </w:r>
      <w:r>
        <w:t xml:space="preserve"> </w:t>
      </w:r>
      <w:r w:rsidRPr="00E90620">
        <w:t>to</w:t>
      </w:r>
      <w:r>
        <w:t xml:space="preserve"> </w:t>
      </w:r>
      <w:r w:rsidRPr="00E90620">
        <w:t>them</w:t>
      </w:r>
      <w:r>
        <w:t xml:space="preserve"> </w:t>
      </w:r>
      <w:r w:rsidRPr="00E90620">
        <w:t>were</w:t>
      </w:r>
      <w:r>
        <w:t xml:space="preserve"> </w:t>
      </w:r>
      <w:r w:rsidRPr="00E90620">
        <w:t>working</w:t>
      </w:r>
      <w:r>
        <w:t xml:space="preserve"> </w:t>
      </w:r>
      <w:r w:rsidRPr="00E90620">
        <w:t>in</w:t>
      </w:r>
      <w:r>
        <w:t xml:space="preserve"> </w:t>
      </w:r>
      <w:r w:rsidRPr="00E90620">
        <w:t>government</w:t>
      </w:r>
      <w:r>
        <w:t xml:space="preserve"> </w:t>
      </w:r>
      <w:r w:rsidRPr="00E90620">
        <w:t>settings,</w:t>
      </w:r>
      <w:r>
        <w:t xml:space="preserve"> </w:t>
      </w:r>
      <w:r w:rsidRPr="00E90620">
        <w:t>but</w:t>
      </w:r>
      <w:r>
        <w:t xml:space="preserve"> </w:t>
      </w:r>
      <w:r w:rsidRPr="00E90620">
        <w:t>other</w:t>
      </w:r>
      <w:r>
        <w:t xml:space="preserve"> </w:t>
      </w:r>
      <w:r w:rsidRPr="00E90620">
        <w:t>responses</w:t>
      </w:r>
      <w:r>
        <w:t xml:space="preserve"> </w:t>
      </w:r>
      <w:r w:rsidRPr="00E90620">
        <w:t>included</w:t>
      </w:r>
      <w:r>
        <w:t xml:space="preserve"> </w:t>
      </w:r>
      <w:r w:rsidRPr="00E90620">
        <w:t>workplaces,</w:t>
      </w:r>
      <w:r>
        <w:t xml:space="preserve"> </w:t>
      </w:r>
      <w:r w:rsidRPr="00E90620">
        <w:t>legal,</w:t>
      </w:r>
      <w:r>
        <w:t xml:space="preserve"> </w:t>
      </w:r>
      <w:r w:rsidRPr="00E90620">
        <w:t>justice</w:t>
      </w:r>
      <w:r>
        <w:t xml:space="preserve"> </w:t>
      </w:r>
      <w:r w:rsidRPr="00E90620">
        <w:t>and</w:t>
      </w:r>
      <w:r>
        <w:t xml:space="preserve"> </w:t>
      </w:r>
      <w:r w:rsidRPr="00E90620">
        <w:t>corrections,</w:t>
      </w:r>
      <w:r>
        <w:t xml:space="preserve"> </w:t>
      </w:r>
      <w:r w:rsidRPr="00E90620">
        <w:t>education</w:t>
      </w:r>
      <w:r>
        <w:t xml:space="preserve"> </w:t>
      </w:r>
      <w:r w:rsidRPr="00E90620">
        <w:t>and</w:t>
      </w:r>
      <w:r>
        <w:t xml:space="preserve"> </w:t>
      </w:r>
      <w:r w:rsidRPr="00E90620">
        <w:t>care</w:t>
      </w:r>
      <w:r>
        <w:t xml:space="preserve"> </w:t>
      </w:r>
      <w:r w:rsidRPr="00E90620">
        <w:t>settings,</w:t>
      </w:r>
      <w:r>
        <w:t xml:space="preserve"> </w:t>
      </w:r>
      <w:r w:rsidRPr="00E90620">
        <w:t>ACCOs,</w:t>
      </w:r>
      <w:r>
        <w:t xml:space="preserve"> </w:t>
      </w:r>
      <w:r w:rsidRPr="00E90620">
        <w:t>and</w:t>
      </w:r>
      <w:r>
        <w:t xml:space="preserve"> those </w:t>
      </w:r>
      <w:r w:rsidRPr="00E90620">
        <w:t>working</w:t>
      </w:r>
      <w:r>
        <w:t xml:space="preserve"> </w:t>
      </w:r>
      <w:r w:rsidRPr="00E90620">
        <w:t>with</w:t>
      </w:r>
      <w:r>
        <w:t xml:space="preserve"> </w:t>
      </w:r>
      <w:r w:rsidRPr="00E90620">
        <w:t>Aboriginal</w:t>
      </w:r>
      <w:r>
        <w:t xml:space="preserve"> </w:t>
      </w:r>
      <w:r w:rsidRPr="00E90620">
        <w:t>and</w:t>
      </w:r>
      <w:r>
        <w:t xml:space="preserve"> </w:t>
      </w:r>
      <w:r w:rsidRPr="00E90620">
        <w:t>Torres</w:t>
      </w:r>
      <w:r>
        <w:t xml:space="preserve"> </w:t>
      </w:r>
      <w:r w:rsidRPr="00E90620">
        <w:t>Strait</w:t>
      </w:r>
      <w:r>
        <w:t xml:space="preserve"> </w:t>
      </w:r>
      <w:r w:rsidRPr="00E90620">
        <w:t>Islander</w:t>
      </w:r>
      <w:r>
        <w:t xml:space="preserve"> </w:t>
      </w:r>
      <w:r w:rsidRPr="00E90620">
        <w:t>families</w:t>
      </w:r>
      <w:r>
        <w:t xml:space="preserve"> and </w:t>
      </w:r>
      <w:r w:rsidRPr="00E90620">
        <w:t>communities.</w:t>
      </w:r>
    </w:p>
  </w:footnote>
  <w:footnote w:id="8">
    <w:p w14:paraId="0B246786" w14:textId="77777777" w:rsidR="00F53B39" w:rsidRPr="00513152" w:rsidRDefault="00F53B39">
      <w:pPr>
        <w:pStyle w:val="FootnoteText"/>
        <w:rPr>
          <w:bCs/>
        </w:rPr>
      </w:pPr>
      <w:r w:rsidRPr="00513152">
        <w:footnoteRef/>
      </w:r>
      <w:r>
        <w:tab/>
      </w:r>
      <w:r w:rsidRPr="00E90620">
        <w:t>A</w:t>
      </w:r>
      <w:r>
        <w:t xml:space="preserve"> </w:t>
      </w:r>
      <w:r w:rsidRPr="00E90620">
        <w:t>large</w:t>
      </w:r>
      <w:r>
        <w:t xml:space="preserve"> </w:t>
      </w:r>
      <w:r w:rsidRPr="00E90620">
        <w:t>proportion</w:t>
      </w:r>
      <w:r>
        <w:t xml:space="preserve"> </w:t>
      </w:r>
      <w:r w:rsidRPr="00E90620">
        <w:t>of</w:t>
      </w:r>
      <w:r>
        <w:t xml:space="preserve"> </w:t>
      </w:r>
      <w:r w:rsidRPr="00E90620">
        <w:t>survey</w:t>
      </w:r>
      <w:r>
        <w:t xml:space="preserve"> </w:t>
      </w:r>
      <w:r w:rsidRPr="00E90620">
        <w:t>respondents</w:t>
      </w:r>
      <w:r>
        <w:t xml:space="preserve"> </w:t>
      </w:r>
      <w:r w:rsidRPr="00E90620">
        <w:rPr>
          <w:bCs/>
        </w:rPr>
        <w:t>(35%)</w:t>
      </w:r>
      <w:r>
        <w:rPr>
          <w:bCs/>
        </w:rPr>
        <w:t xml:space="preserve"> </w:t>
      </w:r>
      <w:r w:rsidRPr="00E90620">
        <w:rPr>
          <w:bCs/>
        </w:rPr>
        <w:t>indicated</w:t>
      </w:r>
      <w:r>
        <w:rPr>
          <w:bCs/>
        </w:rPr>
        <w:t xml:space="preserve"> </w:t>
      </w:r>
      <w:r w:rsidRPr="00E90620">
        <w:rPr>
          <w:bCs/>
        </w:rPr>
        <w:t>that</w:t>
      </w:r>
      <w:r>
        <w:rPr>
          <w:bCs/>
        </w:rPr>
        <w:t xml:space="preserve"> </w:t>
      </w:r>
      <w:r w:rsidRPr="00E90620">
        <w:rPr>
          <w:bCs/>
        </w:rPr>
        <w:t>they</w:t>
      </w:r>
      <w:r>
        <w:rPr>
          <w:bCs/>
        </w:rPr>
        <w:t xml:space="preserve"> </w:t>
      </w:r>
      <w:r w:rsidRPr="00E90620">
        <w:rPr>
          <w:bCs/>
        </w:rPr>
        <w:t>were</w:t>
      </w:r>
      <w:r>
        <w:rPr>
          <w:bCs/>
        </w:rPr>
        <w:t xml:space="preserve"> </w:t>
      </w:r>
      <w:r w:rsidRPr="00E90620">
        <w:rPr>
          <w:bCs/>
        </w:rPr>
        <w:t>unsure</w:t>
      </w:r>
      <w:r>
        <w:rPr>
          <w:bCs/>
        </w:rPr>
        <w:t xml:space="preserve"> </w:t>
      </w:r>
      <w:r w:rsidRPr="00E90620">
        <w:rPr>
          <w:bCs/>
        </w:rPr>
        <w:t>about</w:t>
      </w:r>
      <w:r>
        <w:rPr>
          <w:bCs/>
        </w:rPr>
        <w:t xml:space="preserve"> </w:t>
      </w:r>
      <w:r w:rsidRPr="00E90620">
        <w:rPr>
          <w:bCs/>
        </w:rPr>
        <w:t>whether</w:t>
      </w:r>
      <w:r>
        <w:rPr>
          <w:bCs/>
        </w:rPr>
        <w:t xml:space="preserve"> </w:t>
      </w:r>
      <w:r w:rsidRPr="00E90620">
        <w:rPr>
          <w:bCs/>
        </w:rPr>
        <w:t>their</w:t>
      </w:r>
      <w:r>
        <w:rPr>
          <w:bCs/>
        </w:rPr>
        <w:t xml:space="preserve"> </w:t>
      </w:r>
      <w:r w:rsidRPr="00E90620">
        <w:rPr>
          <w:bCs/>
        </w:rPr>
        <w:t>organisation</w:t>
      </w:r>
      <w:r>
        <w:rPr>
          <w:bCs/>
        </w:rPr>
        <w:t xml:space="preserve"> </w:t>
      </w:r>
      <w:r w:rsidRPr="00E90620">
        <w:rPr>
          <w:bCs/>
        </w:rPr>
        <w:t>was</w:t>
      </w:r>
      <w:r>
        <w:rPr>
          <w:bCs/>
        </w:rPr>
        <w:t xml:space="preserve"> </w:t>
      </w:r>
      <w:r w:rsidRPr="00E90620">
        <w:rPr>
          <w:bCs/>
        </w:rPr>
        <w:t>providing</w:t>
      </w:r>
      <w:r>
        <w:rPr>
          <w:bCs/>
        </w:rPr>
        <w:t xml:space="preserve"> </w:t>
      </w:r>
      <w:r w:rsidRPr="00E90620">
        <w:rPr>
          <w:bCs/>
        </w:rPr>
        <w:t>services</w:t>
      </w:r>
      <w:r>
        <w:rPr>
          <w:bCs/>
        </w:rPr>
        <w:t xml:space="preserve"> </w:t>
      </w:r>
      <w:r w:rsidRPr="00E90620">
        <w:rPr>
          <w:bCs/>
        </w:rPr>
        <w:t>that</w:t>
      </w:r>
      <w:r>
        <w:rPr>
          <w:bCs/>
        </w:rPr>
        <w:t xml:space="preserve"> </w:t>
      </w:r>
      <w:r w:rsidRPr="00E90620">
        <w:rPr>
          <w:bCs/>
        </w:rPr>
        <w:t>it</w:t>
      </w:r>
      <w:r>
        <w:rPr>
          <w:bCs/>
        </w:rPr>
        <w:t xml:space="preserve"> </w:t>
      </w:r>
      <w:r w:rsidRPr="00E90620">
        <w:rPr>
          <w:bCs/>
        </w:rPr>
        <w:t>wasn’t</w:t>
      </w:r>
      <w:r>
        <w:rPr>
          <w:bCs/>
        </w:rPr>
        <w:t xml:space="preserve"> </w:t>
      </w:r>
      <w:r w:rsidRPr="00E90620">
        <w:rPr>
          <w:bCs/>
        </w:rPr>
        <w:t>funded</w:t>
      </w:r>
      <w:r>
        <w:rPr>
          <w:bCs/>
        </w:rPr>
        <w:t xml:space="preserve"> </w:t>
      </w:r>
      <w:r w:rsidRPr="00E90620">
        <w:rPr>
          <w:bCs/>
        </w:rPr>
        <w:t>to</w:t>
      </w:r>
      <w:r>
        <w:rPr>
          <w:bCs/>
        </w:rPr>
        <w:t xml:space="preserve"> </w:t>
      </w:r>
      <w:r w:rsidRPr="00E90620">
        <w:rPr>
          <w:bCs/>
        </w:rPr>
        <w:t>deliver.</w:t>
      </w:r>
    </w:p>
  </w:footnote>
  <w:footnote w:id="9">
    <w:p w14:paraId="0EA429B8" w14:textId="77777777" w:rsidR="00F53B39" w:rsidRPr="00E90620" w:rsidRDefault="00F53B39">
      <w:pPr>
        <w:pStyle w:val="FootnoteText"/>
      </w:pPr>
      <w:r w:rsidRPr="00513152">
        <w:footnoteRef/>
      </w:r>
      <w:r>
        <w:tab/>
      </w:r>
      <w:r w:rsidRPr="00E90620">
        <w:t>Just</w:t>
      </w:r>
      <w:r>
        <w:t xml:space="preserve"> </w:t>
      </w:r>
      <w:r w:rsidRPr="00E90620">
        <w:t>over</w:t>
      </w:r>
      <w:r>
        <w:t xml:space="preserve"> </w:t>
      </w:r>
      <w:r w:rsidRPr="00E90620">
        <w:t>a</w:t>
      </w:r>
      <w:r>
        <w:t xml:space="preserve"> </w:t>
      </w:r>
      <w:r w:rsidRPr="00E90620">
        <w:t>quarter</w:t>
      </w:r>
      <w:r>
        <w:t xml:space="preserve"> </w:t>
      </w:r>
      <w:r w:rsidRPr="00E90620">
        <w:t>of</w:t>
      </w:r>
      <w:r>
        <w:t xml:space="preserve"> </w:t>
      </w:r>
      <w:r w:rsidRPr="00E90620">
        <w:t>respondents</w:t>
      </w:r>
      <w:r>
        <w:t xml:space="preserve"> </w:t>
      </w:r>
      <w:r w:rsidRPr="00E90620">
        <w:t>(27%)</w:t>
      </w:r>
      <w:r>
        <w:t xml:space="preserve"> </w:t>
      </w:r>
      <w:r w:rsidRPr="00E90620">
        <w:t>stated</w:t>
      </w:r>
      <w:r>
        <w:t xml:space="preserve"> </w:t>
      </w:r>
      <w:r w:rsidRPr="00E90620">
        <w:t>that</w:t>
      </w:r>
      <w:r>
        <w:t xml:space="preserve"> </w:t>
      </w:r>
      <w:r w:rsidRPr="00E90620">
        <w:t>they</w:t>
      </w:r>
      <w:r>
        <w:t xml:space="preserve"> </w:t>
      </w:r>
      <w:r w:rsidRPr="00E90620">
        <w:t>were</w:t>
      </w:r>
      <w:r>
        <w:t xml:space="preserve"> </w:t>
      </w:r>
      <w:r w:rsidRPr="00E90620">
        <w:t>unsure</w:t>
      </w:r>
      <w:r>
        <w:t xml:space="preserve"> </w:t>
      </w:r>
      <w:r w:rsidRPr="00E90620">
        <w:t>about</w:t>
      </w:r>
      <w:r>
        <w:t xml:space="preserve"> </w:t>
      </w:r>
      <w:r w:rsidRPr="00E90620">
        <w:t>whether</w:t>
      </w:r>
      <w:r>
        <w:t xml:space="preserve"> </w:t>
      </w:r>
      <w:r w:rsidRPr="00E90620">
        <w:t>they</w:t>
      </w:r>
      <w:r>
        <w:t xml:space="preserve"> </w:t>
      </w:r>
      <w:r w:rsidRPr="00E90620">
        <w:t>had</w:t>
      </w:r>
      <w:r>
        <w:t xml:space="preserve"> </w:t>
      </w:r>
      <w:r w:rsidRPr="00E90620">
        <w:t>received</w:t>
      </w:r>
      <w:r>
        <w:t xml:space="preserve"> </w:t>
      </w:r>
      <w:r w:rsidRPr="00E90620">
        <w:t>funding</w:t>
      </w:r>
      <w:r>
        <w:t xml:space="preserve"> </w:t>
      </w:r>
      <w:r w:rsidRPr="00E90620">
        <w:t>for</w:t>
      </w:r>
      <w:r>
        <w:t xml:space="preserve"> </w:t>
      </w:r>
      <w:r w:rsidRPr="00E90620">
        <w:t>the</w:t>
      </w:r>
      <w:r>
        <w:t xml:space="preserve"> </w:t>
      </w:r>
      <w:r w:rsidRPr="00E90620">
        <w:t>primary</w:t>
      </w:r>
      <w:r>
        <w:t xml:space="preserve"> </w:t>
      </w:r>
      <w:r w:rsidRPr="00E90620">
        <w:t>prevention</w:t>
      </w:r>
      <w:r>
        <w:t xml:space="preserve"> </w:t>
      </w:r>
      <w:r w:rsidRPr="00E90620">
        <w:t>of</w:t>
      </w:r>
      <w:r>
        <w:t xml:space="preserve"> </w:t>
      </w:r>
      <w:r w:rsidRPr="00E90620">
        <w:t>violence</w:t>
      </w:r>
      <w:r>
        <w:t xml:space="preserve"> </w:t>
      </w:r>
      <w:r w:rsidRPr="00E90620">
        <w:t>against</w:t>
      </w:r>
      <w:r>
        <w:t xml:space="preserve"> </w:t>
      </w:r>
      <w:r w:rsidRPr="00E90620">
        <w:t>Aboriginal</w:t>
      </w:r>
      <w:r>
        <w:t xml:space="preserve"> </w:t>
      </w:r>
      <w:r w:rsidRPr="00E90620">
        <w:t>and</w:t>
      </w:r>
      <w:r>
        <w:t xml:space="preserve"> </w:t>
      </w:r>
      <w:r w:rsidRPr="00E90620">
        <w:t>Torres</w:t>
      </w:r>
      <w:r>
        <w:t xml:space="preserve"> </w:t>
      </w:r>
      <w:r w:rsidRPr="00E90620">
        <w:t>Strait</w:t>
      </w:r>
      <w:r>
        <w:t xml:space="preserve"> </w:t>
      </w:r>
      <w:r w:rsidRPr="00E90620">
        <w:t>Islander</w:t>
      </w:r>
      <w:r>
        <w:t xml:space="preserve"> </w:t>
      </w:r>
      <w:r w:rsidRPr="00E90620">
        <w:t>women</w:t>
      </w:r>
      <w:r>
        <w:t xml:space="preserve"> </w:t>
      </w:r>
      <w:r w:rsidRPr="00E90620">
        <w:t>and/or</w:t>
      </w:r>
      <w:r>
        <w:t xml:space="preserve"> </w:t>
      </w:r>
      <w:r w:rsidRPr="00E90620">
        <w:t>Aboriginal</w:t>
      </w:r>
      <w:r>
        <w:t xml:space="preserve"> </w:t>
      </w:r>
      <w:r w:rsidRPr="00E90620">
        <w:t>and</w:t>
      </w:r>
      <w:r>
        <w:t xml:space="preserve"> </w:t>
      </w:r>
      <w:r w:rsidRPr="00E90620">
        <w:t>Torres</w:t>
      </w:r>
      <w:r>
        <w:t xml:space="preserve"> </w:t>
      </w:r>
      <w:r w:rsidRPr="00E90620">
        <w:t>Strait</w:t>
      </w:r>
      <w:r>
        <w:t xml:space="preserve"> </w:t>
      </w:r>
      <w:r w:rsidRPr="00E90620">
        <w:t>Islander</w:t>
      </w:r>
      <w:r>
        <w:t xml:space="preserve"> </w:t>
      </w:r>
      <w:r w:rsidRPr="00E90620">
        <w:t>family</w:t>
      </w:r>
      <w:r>
        <w:t xml:space="preserve"> </w:t>
      </w:r>
      <w:r w:rsidRPr="00E90620">
        <w:t>violence</w:t>
      </w:r>
      <w:r>
        <w:t>.</w:t>
      </w:r>
    </w:p>
  </w:footnote>
  <w:footnote w:id="10">
    <w:p w14:paraId="4AE1277F" w14:textId="22FFCAE3" w:rsidR="00F53B39" w:rsidRPr="00513152" w:rsidRDefault="00F53B39">
      <w:pPr>
        <w:pStyle w:val="FootnoteText"/>
      </w:pPr>
      <w:r w:rsidRPr="00221E3F">
        <w:footnoteRef/>
      </w:r>
      <w:r w:rsidRPr="00221E3F">
        <w:tab/>
        <w:t>E</w:t>
      </w:r>
      <w:r>
        <w:t>xamples cited included (but aren’t limited to) other government agencies, universities, local government, Aboriginal Community Controlled Organisations, health services and hospitals, international NGOs, sporting codes, women’s health organisations, child and family services, and national women’s alliances.</w:t>
      </w:r>
    </w:p>
  </w:footnote>
  <w:footnote w:id="11">
    <w:p w14:paraId="410F2ED2" w14:textId="5E66D23C" w:rsidR="00F53B39" w:rsidRDefault="00F53B39" w:rsidP="00CA2BBB">
      <w:pPr>
        <w:pStyle w:val="FootnoteText"/>
      </w:pPr>
      <w:r w:rsidRPr="00EC6C4C">
        <w:footnoteRef/>
      </w:r>
      <w:r w:rsidRPr="00EC6C4C">
        <w:tab/>
      </w:r>
      <w:r>
        <w:t>It is difficult to ascertain from police and administrative data any national picture of the growth in reporting to police and/or contacts with the court system. This is a result of data discrepancies between jurisdictions and significant changes to the way data is captured within jurisdictions in the time period under investigation.</w:t>
      </w:r>
    </w:p>
  </w:footnote>
  <w:footnote w:id="12">
    <w:p w14:paraId="79DD15CC" w14:textId="53594D4B" w:rsidR="00F53B39" w:rsidRDefault="00F53B39">
      <w:pPr>
        <w:pStyle w:val="FootnoteText"/>
      </w:pPr>
      <w:r w:rsidRPr="00EC6C4C">
        <w:footnoteRef/>
      </w:r>
      <w:r w:rsidRPr="00EC6C4C">
        <w:tab/>
      </w:r>
      <w:r>
        <w:t>Service provider organisational data is limited due to resource constraints and the monitoring requirements of funders. This analysis is based on conversations with service providers and warrants further research.</w:t>
      </w:r>
    </w:p>
  </w:footnote>
  <w:footnote w:id="13">
    <w:p w14:paraId="0298826F" w14:textId="40BA5AB2" w:rsidR="00F53B39" w:rsidRDefault="00F53B39">
      <w:pPr>
        <w:pStyle w:val="FootnoteText"/>
      </w:pPr>
      <w:r w:rsidRPr="004D60EA">
        <w:footnoteRef/>
      </w:r>
      <w:r w:rsidRPr="004D60EA">
        <w:tab/>
      </w:r>
      <w:r>
        <w:t>Response services also need resources to elicit better data on the patterns of victim–survivor support being required of them as help-seeking trends shift.</w:t>
      </w:r>
    </w:p>
  </w:footnote>
  <w:footnote w:id="14">
    <w:p w14:paraId="6DD92C47" w14:textId="48362B04" w:rsidR="00F53B39" w:rsidRDefault="00F53B39">
      <w:pPr>
        <w:pStyle w:val="FootnoteText"/>
      </w:pPr>
      <w:r w:rsidRPr="00287D9B">
        <w:footnoteRef/>
      </w:r>
      <w:r w:rsidRPr="00287D9B">
        <w:tab/>
      </w:r>
      <w:r>
        <w:t xml:space="preserve">Please see the NCAS results report for the 2017 wave for excellent, comprehensive analysis of results and trends over time for these individual themes: K. Webster et al. (2018), </w:t>
      </w:r>
      <w:r w:rsidRPr="003E209A">
        <w:rPr>
          <w:rStyle w:val="Emphasis"/>
        </w:rPr>
        <w:t>Australians’ attitudes to violence against women and gender equality: Findings from the 2017 National Community Attitudes towards Violence against Women Survey (NCAS)</w:t>
      </w:r>
      <w:r>
        <w:t xml:space="preserve"> (Research report, 03/2018), ANROWS, Sydney, NSW.</w:t>
      </w:r>
    </w:p>
  </w:footnote>
  <w:footnote w:id="15">
    <w:p w14:paraId="361617CC" w14:textId="1752196D" w:rsidR="00F53B39" w:rsidRPr="00E754A5" w:rsidRDefault="00F53B39">
      <w:pPr>
        <w:pStyle w:val="FootnoteText"/>
        <w:rPr>
          <w:lang w:val="en-US"/>
        </w:rPr>
      </w:pPr>
      <w:r w:rsidRPr="00E754A5">
        <w:footnoteRef/>
      </w:r>
      <w:r w:rsidRPr="00E754A5">
        <w:tab/>
        <w:t xml:space="preserve">The NCAS defines ‘most disadvantaged area’ using an ABS classification which “categorises postcode areas based on their distance from facilities and services” (Webster, K., Diemer, K., Honey, N., Mannix, S., Mickle, J., Morgan, J., Parkes, A., Politoff, V., Powell, A., Stubbs, J., &amp; </w:t>
      </w:r>
      <w:r>
        <w:t>Ward, A. (2018)</w:t>
      </w:r>
      <w:r w:rsidRPr="00E754A5">
        <w:t xml:space="preserve">. </w:t>
      </w:r>
      <w:hyperlink r:id="rId1" w:history="1">
        <w:r w:rsidRPr="001F5CFE">
          <w:rPr>
            <w:rStyle w:val="HyperlinkItalic"/>
          </w:rPr>
          <w:t>Australians’ attitudes to violence against women and gender equality. Findings from the 2017 National Community Attitudes towards Violence Against Women Survey (NCAS)</w:t>
        </w:r>
      </w:hyperlink>
      <w:r w:rsidRPr="00E754A5">
        <w:t>. Sydney, Australia: ANROWS, p. 122)</w:t>
      </w:r>
    </w:p>
  </w:footnote>
  <w:footnote w:id="16">
    <w:p w14:paraId="59210340" w14:textId="39C68DFB" w:rsidR="00F53B39" w:rsidRDefault="00F53B39">
      <w:pPr>
        <w:pStyle w:val="FootnoteText"/>
      </w:pPr>
      <w:r w:rsidRPr="004D60EA">
        <w:footnoteRef/>
      </w:r>
      <w:r w:rsidRPr="004D60EA">
        <w:tab/>
      </w:r>
      <w:r>
        <w:t xml:space="preserve">The wording of this indicator has been changed since the publication of </w:t>
      </w:r>
      <w:r w:rsidRPr="003E209A">
        <w:rPr>
          <w:rStyle w:val="Emphasis"/>
        </w:rPr>
        <w:t xml:space="preserve">Counting on change </w:t>
      </w:r>
      <w:r>
        <w:t>to reflect more accurately what the available data can measure. The original wording of this indicator was ‘Proportion of victims of violence against women who disclosed their experience to someone’.</w:t>
      </w:r>
    </w:p>
  </w:footnote>
  <w:footnote w:id="17">
    <w:p w14:paraId="62869E31" w14:textId="418F02B6" w:rsidR="00F53B39" w:rsidRDefault="00F53B39" w:rsidP="00487BBD">
      <w:pPr>
        <w:pStyle w:val="FootnoteText"/>
        <w:keepNext/>
      </w:pPr>
      <w:r w:rsidRPr="004D60EA">
        <w:footnoteRef/>
      </w:r>
      <w:r w:rsidRPr="004D60EA">
        <w:tab/>
      </w:r>
      <w:r>
        <w:t>The PSS allows analysis of respondents’ most recent incident of violence across the categories of sexual assault, sexual threat, physical assault, and physical threat. A comparison of the results from the 2012 and 2016 waves of the PSS regarding the most recent incident is not possible as the time periods under consideration are quite long-term: 10 and 20 years. As such, only 2016 data is provided here as baseline. For most recent incident analysis, data is provided on ‘help-seeking behaviours’ – that is, whether victims sought advice or help, and through which specific channels. It distinguishes this from simply telling someone about the incident – that is, the figures presented here relate to victims who specifically sought advice or help rather than those who just told someone.</w:t>
      </w:r>
    </w:p>
    <w:p w14:paraId="616FA5E0" w14:textId="6713CA56" w:rsidR="00F53B39" w:rsidRDefault="00F53B39">
      <w:pPr>
        <w:pStyle w:val="OWFootnotetextindent"/>
      </w:pPr>
      <w:r>
        <w:t>The PSS also looks at experiences of partner violence (current and previous) since the age of 15, and whether victims sought advice or support about those experiences. Again, given that this data is lifetime experiences, only a single data point is presented here.</w:t>
      </w:r>
    </w:p>
    <w:p w14:paraId="133B67AE" w14:textId="77777777" w:rsidR="00F53B39" w:rsidRDefault="00F53B39">
      <w:pPr>
        <w:pStyle w:val="OWFootnotetextindent"/>
      </w:pPr>
      <w:r>
        <w:t>Both sets of data (most recent incident and partner violence) are presented here to build a picture of the extent and types of disclosure by women who experience violence.</w:t>
      </w:r>
    </w:p>
  </w:footnote>
  <w:footnote w:id="18">
    <w:p w14:paraId="0AA2D855" w14:textId="45130947" w:rsidR="00F53B39" w:rsidRDefault="00F53B39">
      <w:pPr>
        <w:pStyle w:val="FootnoteText"/>
      </w:pPr>
      <w:r w:rsidRPr="004D60EA">
        <w:footnoteRef/>
      </w:r>
      <w:r w:rsidRPr="004D60EA">
        <w:tab/>
      </w:r>
      <w:r>
        <w:t>The 2016 PSS’s most recent incident data on women’s experiences of sexual violence (sexual assault and sexual threat) in the last ten years did not detect any female perpetrators of sexual violence towards women in the sample; however, it cannot be extrapolated that such incidents do not ever occur.</w:t>
      </w:r>
    </w:p>
  </w:footnote>
  <w:footnote w:id="19">
    <w:p w14:paraId="1E7D5BB5" w14:textId="6375410A" w:rsidR="00F53B39" w:rsidRDefault="00F53B39">
      <w:pPr>
        <w:pStyle w:val="FootnoteText"/>
      </w:pPr>
      <w:r w:rsidRPr="0050142D">
        <w:footnoteRef/>
      </w:r>
      <w:r w:rsidRPr="0050142D">
        <w:tab/>
      </w:r>
      <w:r>
        <w:t>This data does not include intimate partners who have not cohabited. Includes male and female cohabiting partners.</w:t>
      </w:r>
    </w:p>
  </w:footnote>
  <w:footnote w:id="20">
    <w:p w14:paraId="4474D7DB" w14:textId="244D08D5" w:rsidR="00F53B39" w:rsidRDefault="00F53B39">
      <w:pPr>
        <w:pStyle w:val="FootnoteText"/>
      </w:pPr>
      <w:r w:rsidRPr="0050142D">
        <w:footnoteRef/>
      </w:r>
      <w:r w:rsidRPr="0050142D">
        <w:tab/>
      </w:r>
      <w:r>
        <w:t>In the PSS, ‘current partner’ refers to a cohabiting partner with whom the respondent is in a relationship at the point of the survey being undertaken. ‘Previous partner’ refers to an ex-partner with whom the respondent has cohabited. If a respondent has experienced violence from more than one previous partner, she is asked about the most recently violent previous partner.</w:t>
      </w:r>
    </w:p>
  </w:footnote>
  <w:footnote w:id="21">
    <w:p w14:paraId="2B7F0065" w14:textId="3A5891F2" w:rsidR="00F53B39" w:rsidRDefault="00F53B39">
      <w:pPr>
        <w:pStyle w:val="FootnoteText"/>
      </w:pPr>
      <w:r w:rsidRPr="009F1003">
        <w:footnoteRef/>
      </w:r>
      <w:r w:rsidRPr="009F1003">
        <w:tab/>
      </w:r>
      <w:r>
        <w:t>More than one reason may have been provided by an individual respondent.</w:t>
      </w:r>
    </w:p>
  </w:footnote>
  <w:footnote w:id="22">
    <w:p w14:paraId="0362767D" w14:textId="06BBE6FA" w:rsidR="00F53B39" w:rsidRDefault="00F53B39">
      <w:pPr>
        <w:pStyle w:val="FootnoteText"/>
      </w:pPr>
      <w:r w:rsidRPr="00287D9B">
        <w:footnoteRef/>
      </w:r>
      <w:r w:rsidRPr="00287D9B">
        <w:tab/>
      </w:r>
      <w:r>
        <w:t>The wording of this indicator has been changed slightly to reflect how data is captured by 1800RESPECT.</w:t>
      </w:r>
    </w:p>
  </w:footnote>
  <w:footnote w:id="23">
    <w:p w14:paraId="05D5B58F" w14:textId="36CF6657" w:rsidR="00F53B39" w:rsidRDefault="00F53B39">
      <w:pPr>
        <w:pStyle w:val="FootnoteText"/>
      </w:pPr>
      <w:r w:rsidRPr="007150E1">
        <w:footnoteRef/>
      </w:r>
      <w:r w:rsidRPr="007150E1">
        <w:tab/>
      </w:r>
      <w:r>
        <w:t>Note however, that when asking about the most recent incident, the 2012 survey asked about a timeframe of the last 20 years, while the 2016 survey asked about the last ten years.</w:t>
      </w:r>
    </w:p>
  </w:footnote>
  <w:footnote w:id="24">
    <w:p w14:paraId="72A2EC03" w14:textId="68059C9D" w:rsidR="00F53B39" w:rsidRDefault="00F53B39">
      <w:pPr>
        <w:pStyle w:val="FootnoteText"/>
      </w:pPr>
      <w:r w:rsidRPr="007150E1">
        <w:footnoteRef/>
      </w:r>
      <w:r w:rsidRPr="007150E1">
        <w:tab/>
      </w:r>
      <w:r>
        <w:t>2012 Survey asked about the characteristics of the most recent incident of each type of violence experienced in the last 20 years.</w:t>
      </w:r>
    </w:p>
  </w:footnote>
  <w:footnote w:id="25">
    <w:p w14:paraId="4C6ABF9C" w14:textId="3C78AF7E" w:rsidR="00F53B39" w:rsidRDefault="00F53B39">
      <w:pPr>
        <w:pStyle w:val="FootnoteText"/>
      </w:pPr>
      <w:r w:rsidRPr="007150E1">
        <w:footnoteRef/>
      </w:r>
      <w:r w:rsidRPr="007150E1">
        <w:tab/>
      </w:r>
      <w:r>
        <w:t>2016 Survey asked about the characteristics of the most recent incident of each type of violence experienced in the last ten years.</w:t>
      </w:r>
    </w:p>
  </w:footnote>
  <w:footnote w:id="26">
    <w:p w14:paraId="29846792" w14:textId="6101A282" w:rsidR="00F53B39" w:rsidRDefault="00F53B39">
      <w:pPr>
        <w:pStyle w:val="FootnoteText"/>
      </w:pPr>
      <w:r w:rsidRPr="007150E1">
        <w:footnoteRef/>
      </w:r>
      <w:r w:rsidRPr="007150E1">
        <w:tab/>
      </w:r>
      <w:r>
        <w:t>It should be noted that women could nominate more than one source of help sought for their most recent incident of violence.</w:t>
      </w:r>
    </w:p>
  </w:footnote>
  <w:footnote w:id="27">
    <w:p w14:paraId="4F42C79A" w14:textId="16C438E2" w:rsidR="00F53B39" w:rsidRDefault="00F53B39">
      <w:pPr>
        <w:pStyle w:val="FootnoteText"/>
      </w:pPr>
      <w:r w:rsidRPr="007150E1">
        <w:footnoteRef/>
      </w:r>
      <w:r w:rsidRPr="007150E1">
        <w:tab/>
      </w:r>
      <w:r>
        <w:t xml:space="preserve">Police data on contact made and response to incidents of violence against women currently varies greatly between different state and territory jurisdictions, and has also evolved over time. There are, therefore, issues in comparability, both between jurisdictions, and over time. As such, while </w:t>
      </w:r>
      <w:r w:rsidRPr="003E209A">
        <w:rPr>
          <w:rStyle w:val="Emphasis"/>
        </w:rPr>
        <w:t xml:space="preserve">Counting on change </w:t>
      </w:r>
      <w:r>
        <w:t>recommended the use of police data to measure progress against this indicator, until such time as there is comparable cross-jurisdictional police data and the ability to do meaningful timeseries analysis, the Personal Safety Survey is the strongest and most consistent source of data on police contact made following incidents of violence against women at an overall Australian population level.</w:t>
      </w:r>
    </w:p>
  </w:footnote>
  <w:footnote w:id="28">
    <w:p w14:paraId="4D6ECC50" w14:textId="00C6FFE9" w:rsidR="00F53B39" w:rsidRDefault="00F53B39">
      <w:pPr>
        <w:pStyle w:val="FootnoteText"/>
      </w:pPr>
      <w:r w:rsidRPr="007150E1">
        <w:footnoteRef/>
      </w:r>
      <w:r w:rsidRPr="007150E1">
        <w:tab/>
      </w:r>
      <w:r>
        <w:t>Personal Safety Survey respondents who reported that police contact was made following violence they experienced are also asked about whether the perpetrator was charged and whether the matter proceeded to court. This data is not reported on here. For further useful discussion of the police component of the PSS, please see Cox, 2016.</w:t>
      </w:r>
    </w:p>
  </w:footnote>
  <w:footnote w:id="29">
    <w:p w14:paraId="2EA0F2C1" w14:textId="77777777" w:rsidR="00F53B39" w:rsidRDefault="00F53B39" w:rsidP="007150E1">
      <w:pPr>
        <w:pStyle w:val="FootnoteText"/>
        <w:keepNext/>
      </w:pPr>
      <w:r w:rsidRPr="007150E1">
        <w:footnoteRef/>
      </w:r>
      <w:r w:rsidRPr="007150E1">
        <w:tab/>
      </w:r>
      <w:r>
        <w:t>Some important limitations to this data must be noted:</w:t>
      </w:r>
    </w:p>
    <w:p w14:paraId="6F8D99D9" w14:textId="77777777" w:rsidR="00F53B39" w:rsidRDefault="00F53B39" w:rsidP="007150E1">
      <w:pPr>
        <w:pStyle w:val="OWFootnotebullet"/>
        <w:keepNext/>
      </w:pPr>
      <w:r>
        <w:t>NATSISS data is not directly comparable to PSS data in terms of methodology and survey design. Therefore, it is not possible to make conclusive statements comparing the experiences of violence of First Nations women on the one hand and non-Indigenous women, or the overall female Australian population, on the other hand on the basis of these two datasets.</w:t>
      </w:r>
    </w:p>
    <w:p w14:paraId="2653FB77" w14:textId="77777777" w:rsidR="00F53B39" w:rsidRDefault="00F53B39" w:rsidP="007150E1">
      <w:pPr>
        <w:pStyle w:val="OWFootnotebullet"/>
        <w:keepNext/>
      </w:pPr>
      <w:r>
        <w:t xml:space="preserve">With regard to specific issues on the comparability of data on police contact, one example is that the NATSISS asks respondents </w:t>
      </w:r>
      <w:r w:rsidRPr="003E209A">
        <w:rPr>
          <w:rStyle w:val="Emphasis"/>
        </w:rPr>
        <w:t xml:space="preserve">only </w:t>
      </w:r>
      <w:r>
        <w:t>whether they reported their own most recent incident of violence to the police, while the PSS also asks whether contact was made by someone else other than the victim.</w:t>
      </w:r>
    </w:p>
    <w:p w14:paraId="7EE2D1C7" w14:textId="24377573" w:rsidR="00F53B39" w:rsidRDefault="00F53B39" w:rsidP="007150E1">
      <w:pPr>
        <w:pStyle w:val="OWFootnotebullet"/>
        <w:keepNext/>
      </w:pPr>
      <w:r>
        <w:t>The NATSISS also measures only the most recent incident of physical violence (assault or threat), and only within a defined short-term period (12 months prior to the survey). There is no longer-term data on the most recent incident of violence (such as the ten-year period of the PSS), nor is there lifetime data.</w:t>
      </w:r>
    </w:p>
    <w:p w14:paraId="5E96BF6B" w14:textId="77777777" w:rsidR="00F53B39" w:rsidRDefault="00F53B39" w:rsidP="007150E1">
      <w:pPr>
        <w:pStyle w:val="OWFootnotebullet"/>
        <w:keepNext/>
      </w:pPr>
      <w:r>
        <w:t>Unlike in the PSS, sexual violence is not directly measured in the NATSISS. This means that Aboriginal and Torres Strait Islander women’s experiences of sexual violence are likely to be both masked under overall figures of physical violence, and substantially under-reported within this survey.</w:t>
      </w:r>
    </w:p>
    <w:p w14:paraId="583A5D16" w14:textId="77777777" w:rsidR="00F53B39" w:rsidRDefault="00F53B39">
      <w:pPr>
        <w:pStyle w:val="OWFootnotebullet"/>
      </w:pPr>
      <w:r>
        <w:t>The data and findings on physical violence experienced by Aboriginal and Torres Strait Islander women in the 12 months prior to the survey are presented and reported somewhat differently between the survey waves of 2008 and 2014–15. Therefore, based on the publicly released data, most NATSISS figures on police contact cannot be compared for assessment of progress.</w:t>
      </w:r>
    </w:p>
  </w:footnote>
  <w:footnote w:id="30">
    <w:p w14:paraId="17A7B4A9" w14:textId="6D543DE5" w:rsidR="00F53B39" w:rsidRDefault="00F53B39">
      <w:pPr>
        <w:pStyle w:val="FootnoteText"/>
      </w:pPr>
      <w:r w:rsidRPr="007150E1">
        <w:footnoteRef/>
      </w:r>
      <w:r w:rsidRPr="007150E1">
        <w:tab/>
      </w:r>
      <w:r>
        <w:t>For the 2014–15 survey, data on police reporting is only available for women who experienced violence perpetrated by a person they are in a family or domestic relationship with, including current or previous partners (comprising 72.4% of most recent incidents), whereas 2008 data provides overall figures for police reporting of physical violence. On the basis of publicly released data, it is difficult to assess whether Aboriginal and Torres Strait Islander women who experience physical violence are reporting to police in higher proportions over time.</w:t>
      </w:r>
    </w:p>
  </w:footnote>
  <w:footnote w:id="31">
    <w:p w14:paraId="4FB9ED69" w14:textId="43A62FE8" w:rsidR="00F53B39" w:rsidRDefault="00F53B39">
      <w:pPr>
        <w:pStyle w:val="FootnoteText"/>
      </w:pPr>
      <w:r w:rsidRPr="008D084C">
        <w:footnoteRef/>
      </w:r>
      <w:r w:rsidRPr="008D084C">
        <w:tab/>
      </w:r>
      <w:r>
        <w:t>Australian Bureau of Statistics. (2013). ‘</w:t>
      </w:r>
      <w:hyperlink r:id="rId2" w:history="1">
        <w:r w:rsidRPr="00AE6F3A">
          <w:rPr>
            <w:rStyle w:val="Hyperlink"/>
          </w:rPr>
          <w:t>Feature Article: Experiences of Physical Violence, 2008</w:t>
        </w:r>
      </w:hyperlink>
      <w:r>
        <w:t xml:space="preserve">’. </w:t>
      </w:r>
      <w:r>
        <w:br/>
        <w:t xml:space="preserve">National Aboriginal and Torres Strait Islander Social Survey, 2008. Cat. no. 4714.0. Canberra, </w:t>
      </w:r>
      <w:r>
        <w:br/>
        <w:t>Australia: ABS.</w:t>
      </w:r>
    </w:p>
  </w:footnote>
  <w:footnote w:id="32">
    <w:p w14:paraId="62FFE735" w14:textId="0C5CD388" w:rsidR="00F53B39" w:rsidRDefault="00F53B39">
      <w:pPr>
        <w:pStyle w:val="FootnoteText"/>
      </w:pPr>
      <w:r w:rsidRPr="008D084C">
        <w:footnoteRef/>
      </w:r>
      <w:r w:rsidRPr="008D084C">
        <w:tab/>
      </w:r>
      <w:r>
        <w:t xml:space="preserve">Please note that in the </w:t>
      </w:r>
      <w:r w:rsidRPr="003E209A">
        <w:rPr>
          <w:rStyle w:val="Emphasis"/>
        </w:rPr>
        <w:t xml:space="preserve">Counting on change </w:t>
      </w:r>
      <w:r>
        <w:t xml:space="preserve">framework, this domain was split into two: Rigid gender roles, and Stereotyped constructions of masculinity and femininity. However, in preparing this report we decided to re-merge these two domains, to maintain greater fidelity with the relevant driver articulated in </w:t>
      </w:r>
      <w:r w:rsidRPr="003E209A">
        <w:rPr>
          <w:rStyle w:val="Emphasis"/>
        </w:rPr>
        <w:t>Change the story</w:t>
      </w:r>
      <w:r>
        <w:t>.</w:t>
      </w:r>
    </w:p>
  </w:footnote>
  <w:footnote w:id="33">
    <w:p w14:paraId="0D003CD0" w14:textId="602BCC71" w:rsidR="00F53B39" w:rsidRDefault="00F53B39">
      <w:pPr>
        <w:pStyle w:val="FootnoteText"/>
      </w:pPr>
      <w:r w:rsidRPr="004A1B0D">
        <w:footnoteRef/>
      </w:r>
      <w:r w:rsidRPr="004A1B0D">
        <w:tab/>
      </w:r>
      <w:r>
        <w:t xml:space="preserve">We note that not all birth parents identify as women or mothers; however, the PaETS only identifies mothers or women. Sex/gender disaggregation of partners data is not publicly available; however, it is assumed that the vast majority of partners data refers to men. This presumption is borne out through WGEA data which showed that in 2016 to 2017, on the basis of WGEA’s own reporting data, women utilised 95.3% of primary carer’s leave, while men utilised 94.8% of all secondary carer’s leave. See: WGEA, </w:t>
      </w:r>
      <w:r w:rsidRPr="003E209A">
        <w:rPr>
          <w:rStyle w:val="Emphasis"/>
        </w:rPr>
        <w:t>Australia’s gender equality scorecard: Key findings from the Workplace Gender Equality Agency’s 2016–17 reporting data</w:t>
      </w:r>
      <w:r>
        <w:t>, November 2017, p. 7.</w:t>
      </w:r>
    </w:p>
  </w:footnote>
  <w:footnote w:id="34">
    <w:p w14:paraId="215A1E67" w14:textId="0B4EE232" w:rsidR="00F53B39" w:rsidRDefault="00F53B39">
      <w:pPr>
        <w:pStyle w:val="FootnoteText"/>
      </w:pPr>
      <w:r w:rsidRPr="002D3C26">
        <w:footnoteRef/>
      </w:r>
      <w:r w:rsidRPr="002D3C26">
        <w:tab/>
      </w:r>
      <w:r>
        <w:t>Where there are differences between the WGEA and ABS data on gender composition of industries – for example, the WGEA data shows that women are significantly under-employed in Public Administration and Safety, while the ABS data shows that women are almost half of that industry’s workforce – this can be accounted for the inclusion of the public sector in the ABS’s data.</w:t>
      </w:r>
    </w:p>
  </w:footnote>
  <w:footnote w:id="35">
    <w:p w14:paraId="3F5D3CB2" w14:textId="6C485527" w:rsidR="00F53B39" w:rsidRDefault="00F53B39">
      <w:pPr>
        <w:pStyle w:val="FootnoteText"/>
      </w:pPr>
      <w:r w:rsidRPr="005D2DDD">
        <w:footnoteRef/>
      </w:r>
      <w:r w:rsidRPr="005D2DDD">
        <w:tab/>
      </w:r>
      <w:r>
        <w:t>Comparable data on the division of paid and unpaid labour has been collected since 2002; however, it is only in the most recent HILDA report (2018) that this analysis of gendered division of labour within households has been presented. HILDA 2018 compares 2016 data to 2002. As such, here we are utilising 2002 as our baselining point and 2016 as our Progress Point 1.</w:t>
      </w:r>
    </w:p>
  </w:footnote>
  <w:footnote w:id="36">
    <w:p w14:paraId="2DCC2876" w14:textId="684DA0AC" w:rsidR="00F53B39" w:rsidRDefault="00F53B39">
      <w:pPr>
        <w:pStyle w:val="FootnoteText"/>
      </w:pPr>
      <w:r w:rsidRPr="005D2DDD">
        <w:footnoteRef/>
      </w:r>
      <w:r w:rsidRPr="005D2DDD">
        <w:tab/>
      </w:r>
      <w:r>
        <w:t xml:space="preserve">This indicator is an addition to the original published </w:t>
      </w:r>
      <w:r w:rsidRPr="003E209A">
        <w:rPr>
          <w:rStyle w:val="Emphasis"/>
        </w:rPr>
        <w:t>Counting on change</w:t>
      </w:r>
      <w:r>
        <w:t xml:space="preserve"> framework.</w:t>
      </w:r>
    </w:p>
  </w:footnote>
  <w:footnote w:id="37">
    <w:p w14:paraId="03798A7C" w14:textId="01E057B2" w:rsidR="00F53B39" w:rsidRDefault="00F53B39">
      <w:pPr>
        <w:pStyle w:val="FootnoteText"/>
      </w:pPr>
      <w:r w:rsidRPr="005F5222">
        <w:footnoteRef/>
      </w:r>
      <w:r w:rsidRPr="005F5222">
        <w:tab/>
      </w:r>
      <w:r>
        <w:t xml:space="preserve">This domain appeared as Domains 3 and 4 in </w:t>
      </w:r>
      <w:r w:rsidRPr="003E209A">
        <w:rPr>
          <w:rStyle w:val="Emphasis"/>
        </w:rPr>
        <w:t>Counting on change</w:t>
      </w:r>
      <w:r>
        <w:t xml:space="preserve">. In preparing this report we decided to merge certain monitoring domains to ensure greater fidelity to the original </w:t>
      </w:r>
      <w:r w:rsidRPr="003E209A">
        <w:rPr>
          <w:rStyle w:val="Emphasis"/>
        </w:rPr>
        <w:t>Change the</w:t>
      </w:r>
      <w:r>
        <w:rPr>
          <w:rStyle w:val="Emphasis"/>
        </w:rPr>
        <w:t> </w:t>
      </w:r>
      <w:r w:rsidRPr="003E209A">
        <w:rPr>
          <w:rStyle w:val="Emphasis"/>
        </w:rPr>
        <w:t xml:space="preserve">story </w:t>
      </w:r>
      <w:r>
        <w:t>gendered drivers.</w:t>
      </w:r>
    </w:p>
  </w:footnote>
  <w:footnote w:id="38">
    <w:p w14:paraId="02A908F2" w14:textId="19B97F6E" w:rsidR="00F53B39" w:rsidRDefault="00F53B39">
      <w:pPr>
        <w:pStyle w:val="FootnoteText"/>
      </w:pPr>
      <w:r w:rsidRPr="00933C30">
        <w:footnoteRef/>
      </w:r>
      <w:r w:rsidRPr="00933C30">
        <w:tab/>
      </w:r>
      <w:r>
        <w:t xml:space="preserve">In </w:t>
      </w:r>
      <w:r w:rsidRPr="003E209A">
        <w:rPr>
          <w:rStyle w:val="Emphasis"/>
        </w:rPr>
        <w:t>Counting on change</w:t>
      </w:r>
      <w:r>
        <w:t>, this indicator specified private sector. This was because the primary source of data – the WGEA – does not collect data on the public sector. However, a data source for managerial positions in the Australian Public Service was subsequently identified, so this indicator no longer needed to be limited to the private sector.</w:t>
      </w:r>
    </w:p>
  </w:footnote>
  <w:footnote w:id="39">
    <w:p w14:paraId="29C8E1A4" w14:textId="5988B1CB" w:rsidR="00F53B39" w:rsidRDefault="00F53B39">
      <w:pPr>
        <w:pStyle w:val="FootnoteText"/>
      </w:pPr>
      <w:r w:rsidRPr="00933C30">
        <w:footnoteRef/>
      </w:r>
      <w:r w:rsidRPr="00933C30">
        <w:tab/>
      </w:r>
      <w:r>
        <w:t>The WGEA provides calculations on the gender pay gap nationally, per state/territory jurisdiction, and also per industry. To reach these calculations, the WGEA uses ABS data (Full-Time Adult Average Weekly Earnings Trend series and the Employee Earnings and Hours Survey) and also its own data. For further information on how the gender pay gap is calculated, please refer to WGEA, ‘</w:t>
      </w:r>
      <w:hyperlink r:id="rId3" w:history="1">
        <w:r w:rsidRPr="00AE6F3A">
          <w:rPr>
            <w:rStyle w:val="Hyperlink"/>
          </w:rPr>
          <w:t>Australia’s gender pay gap statistics</w:t>
        </w:r>
      </w:hyperlink>
      <w:r>
        <w:t>’, Factsheet Series, WGEA, August 2018.</w:t>
      </w:r>
    </w:p>
  </w:footnote>
  <w:footnote w:id="40">
    <w:p w14:paraId="1A850D20" w14:textId="0BE90794" w:rsidR="00F53B39" w:rsidRDefault="00F53B39">
      <w:pPr>
        <w:pStyle w:val="FootnoteText"/>
      </w:pPr>
      <w:r w:rsidRPr="00510B98">
        <w:footnoteRef/>
      </w:r>
      <w:r w:rsidRPr="00510B98">
        <w:tab/>
      </w:r>
      <w:r>
        <w:t>The latest publicly available ABS data on retirement is the 2007 Survey of Employment Arrangements, Retirement and Superannuation (SEARS). While this is quite dated, for the purposes of this report it stands as a baseline for future measurement of progress.</w:t>
      </w:r>
    </w:p>
  </w:footnote>
  <w:footnote w:id="41">
    <w:p w14:paraId="7D55461C" w14:textId="35208E70" w:rsidR="00F53B39" w:rsidRDefault="00F53B39">
      <w:pPr>
        <w:pStyle w:val="FootnoteText"/>
      </w:pPr>
      <w:r w:rsidRPr="00BD2480">
        <w:footnoteRef/>
      </w:r>
      <w:r w:rsidRPr="00BD2480">
        <w:tab/>
      </w:r>
      <w:r>
        <w:t>‘LGBTIQA’ (lesbian, gay, bisexual trans, intersex, queer, asexual) is the terminology that was used in this study.</w:t>
      </w:r>
    </w:p>
  </w:footnote>
  <w:footnote w:id="42">
    <w:p w14:paraId="12FE24EB" w14:textId="7C5A4D57" w:rsidR="00F53B39" w:rsidRDefault="00F53B39">
      <w:pPr>
        <w:pStyle w:val="FootnoteText"/>
      </w:pPr>
      <w:r w:rsidRPr="00BD2480">
        <w:footnoteRef/>
      </w:r>
      <w:r w:rsidRPr="00BD2480">
        <w:tab/>
      </w:r>
      <w:r>
        <w:t xml:space="preserve">This is an additional indicator published in the </w:t>
      </w:r>
      <w:r w:rsidRPr="003E209A">
        <w:rPr>
          <w:rStyle w:val="Emphasis"/>
        </w:rPr>
        <w:t>Counting on change</w:t>
      </w:r>
      <w:r>
        <w:t xml:space="preserve"> framework.</w:t>
      </w:r>
    </w:p>
  </w:footnote>
  <w:footnote w:id="43">
    <w:p w14:paraId="027D4DD2" w14:textId="1F699343" w:rsidR="00F53B39" w:rsidRDefault="00F53B39">
      <w:pPr>
        <w:pStyle w:val="FootnoteText"/>
      </w:pPr>
      <w:r w:rsidRPr="00BD2480">
        <w:footnoteRef/>
      </w:r>
      <w:r w:rsidRPr="00BD2480">
        <w:tab/>
      </w:r>
      <w:r>
        <w:t>It should be noted that this data does not then include controlling behaviours in relationships where people have not resided with one another. Please note that data from the Personal Safety Survey’s emotional abuse module is also reported against Indicators 11.1 and 11.6 in Section 2 Part B of this report, as a form of non-physical intimate partner violence. On the basis of publicly available data, it is not possible to disaggregate partners by sex/gender; however, the overwhelming majority of women are in relationships with men. Nor does the publicly available data allow for disaggregation of the women who have experienced partner emotional abuse by any other demographic factor.</w:t>
      </w:r>
    </w:p>
  </w:footnote>
  <w:footnote w:id="44">
    <w:p w14:paraId="7305D709" w14:textId="0E77D666" w:rsidR="00F53B39" w:rsidRDefault="00F53B39">
      <w:pPr>
        <w:pStyle w:val="FootnoteText"/>
      </w:pPr>
      <w:r w:rsidRPr="00DC705E">
        <w:footnoteRef/>
      </w:r>
      <w:r w:rsidRPr="00DC705E">
        <w:tab/>
      </w:r>
      <w:r>
        <w:t>Lifetime prevalence figures for women who have experienced emotional abuse includes women who do not have a current partner and/or have never had a previous partner. These figures also do not include intimate relationships where partners have not resided together. In these respects, the true prevalence of partner controlling behaviours experienced by women who have ever had any kind of intimate relationship is likely higher.</w:t>
      </w:r>
    </w:p>
  </w:footnote>
  <w:footnote w:id="45">
    <w:p w14:paraId="2BF17D97" w14:textId="1D104AD4" w:rsidR="00F53B39" w:rsidRDefault="00F53B39">
      <w:pPr>
        <w:pStyle w:val="FootnoteText"/>
      </w:pPr>
      <w:r w:rsidRPr="00DC705E">
        <w:footnoteRef/>
      </w:r>
      <w:r w:rsidRPr="00DC705E">
        <w:tab/>
      </w:r>
      <w:r>
        <w:t>This data is indicative of the likely prevalence of sexual coercion perpetrated by men against women. However, as perpetrator data is currently unavailable, it is not possible to confirm the proportion of incidents of sexual coercion that are perpetrated by men.</w:t>
      </w:r>
    </w:p>
  </w:footnote>
  <w:footnote w:id="46">
    <w:p w14:paraId="43A9E7C6" w14:textId="15136176" w:rsidR="00F53B39" w:rsidRDefault="00F53B39">
      <w:pPr>
        <w:pStyle w:val="FootnoteText"/>
      </w:pPr>
      <w:r w:rsidRPr="00DC705E">
        <w:footnoteRef/>
      </w:r>
      <w:r w:rsidRPr="00DC705E">
        <w:tab/>
      </w:r>
      <w:r>
        <w:t xml:space="preserve">This indicator did not appear in </w:t>
      </w:r>
      <w:r w:rsidRPr="003E209A">
        <w:rPr>
          <w:rStyle w:val="Emphasis"/>
        </w:rPr>
        <w:t>Counting on change</w:t>
      </w:r>
      <w:r>
        <w:t>; however, it has been added here due to the availability of NCAS data.</w:t>
      </w:r>
    </w:p>
  </w:footnote>
  <w:footnote w:id="47">
    <w:p w14:paraId="682D6C45" w14:textId="77777777" w:rsidR="00F53B39" w:rsidRDefault="00F53B39" w:rsidP="00D877F5">
      <w:pPr>
        <w:pStyle w:val="FootnoteText"/>
        <w:ind w:left="624" w:hanging="624"/>
      </w:pPr>
      <w:r w:rsidRPr="00DC705E">
        <w:footnoteRef/>
      </w:r>
      <w:r w:rsidRPr="00DC705E">
        <w:tab/>
      </w:r>
      <w:r>
        <w:t xml:space="preserve">The indicators listed under this domain 7 are an adaptation of those in the original published </w:t>
      </w:r>
      <w:r w:rsidRPr="003E209A">
        <w:rPr>
          <w:rStyle w:val="Emphasis"/>
        </w:rPr>
        <w:t>Counting on change</w:t>
      </w:r>
      <w:r>
        <w:t xml:space="preserve"> framework. The research team determined that it was important to be more specific about the different dimensions of male peer relations that emphasise aggression and disrespect.</w:t>
      </w:r>
    </w:p>
  </w:footnote>
  <w:footnote w:id="48">
    <w:p w14:paraId="513DB71C" w14:textId="238EB96C" w:rsidR="00F53B39" w:rsidRDefault="00F53B39">
      <w:pPr>
        <w:pStyle w:val="FootnoteText"/>
      </w:pPr>
      <w:r w:rsidRPr="00DC705E">
        <w:footnoteRef/>
      </w:r>
      <w:r w:rsidRPr="00DC705E">
        <w:tab/>
      </w:r>
      <w:r>
        <w:t xml:space="preserve">It appeared as domain 12 in </w:t>
      </w:r>
      <w:r w:rsidRPr="003E209A">
        <w:rPr>
          <w:rStyle w:val="Emphasis"/>
        </w:rPr>
        <w:t>Counting on change</w:t>
      </w:r>
      <w:r>
        <w:t>.</w:t>
      </w:r>
    </w:p>
  </w:footnote>
  <w:footnote w:id="49">
    <w:p w14:paraId="5B3A2864" w14:textId="356C17A3" w:rsidR="00F53B39" w:rsidRDefault="00F53B39">
      <w:pPr>
        <w:pStyle w:val="FootnoteText"/>
      </w:pPr>
      <w:r w:rsidRPr="00DC705E">
        <w:footnoteRef/>
      </w:r>
      <w:r w:rsidRPr="00DC705E">
        <w:tab/>
      </w:r>
      <w:r>
        <w:t xml:space="preserve">In </w:t>
      </w:r>
      <w:r w:rsidRPr="003E209A">
        <w:rPr>
          <w:rStyle w:val="Emphasis"/>
        </w:rPr>
        <w:t>Counting on change</w:t>
      </w:r>
      <w:r>
        <w:t xml:space="preserve">, this indicator appeared as ‘Indigenous structural disadvantage’. However, Our Watch’s subsequent work in </w:t>
      </w:r>
      <w:r w:rsidRPr="003E209A">
        <w:rPr>
          <w:rStyle w:val="Emphasis"/>
        </w:rPr>
        <w:t xml:space="preserve">Changing the picture </w:t>
      </w:r>
      <w:r>
        <w:t>(2018) enables us to more clearly articulate the drivers of violence against Aboriginal and Torres Strait Islander women as gender inequality, racism, and the ongoing impacts of colonisation.</w:t>
      </w:r>
    </w:p>
  </w:footnote>
  <w:footnote w:id="50">
    <w:p w14:paraId="612C58FF" w14:textId="77777777" w:rsidR="00F53B39" w:rsidRDefault="00F53B39">
      <w:pPr>
        <w:pStyle w:val="FootnoteText"/>
      </w:pPr>
      <w:r w:rsidRPr="00E36D92">
        <w:footnoteRef/>
      </w:r>
      <w:r w:rsidRPr="00E36D92">
        <w:tab/>
      </w:r>
      <w:r>
        <w:t>It is essential to note that this data should not be regarded as comparable to the General Social Survey data outlined in forthcoming indicators – experiences of discrimination are measured differently in each survey, and each survey is also administered differently.</w:t>
      </w:r>
    </w:p>
  </w:footnote>
  <w:footnote w:id="51">
    <w:p w14:paraId="7D5F1237" w14:textId="77777777" w:rsidR="00F53B39" w:rsidRDefault="00F53B39">
      <w:pPr>
        <w:pStyle w:val="FootnoteText"/>
      </w:pPr>
      <w:r w:rsidRPr="00E36D92">
        <w:footnoteRef/>
      </w:r>
      <w:r w:rsidRPr="00E36D92">
        <w:tab/>
      </w:r>
      <w:r>
        <w:t xml:space="preserve">In </w:t>
      </w:r>
      <w:r w:rsidRPr="003E209A">
        <w:rPr>
          <w:rStyle w:val="Emphasis"/>
        </w:rPr>
        <w:t>Counting on change</w:t>
      </w:r>
      <w:r>
        <w:t>, an indicator was listed under this domain: ‘Percentage of women who experienced violence reporting that children heard or saw the violence’. We have decided not to utilise this indicator. This is because the data only allows tracking of change with regard to the proportion of women who experience violence with children in their care who report the children witnessing or hearing the violence, as a proportion of female victims. It is well-established in the data that many women who experience partner violence have children in their care, and that many of these children witness the violence; therefore what needs to be tracked with regard to change is the proportion of women who experience partner violence: see Monitoring domain 11 (Prevalence of violence against women) for this data. In this domain, then, we focus on childhood exposure to direct child abuse.</w:t>
      </w:r>
    </w:p>
  </w:footnote>
  <w:footnote w:id="52">
    <w:p w14:paraId="237C0C73" w14:textId="6C19A2C4" w:rsidR="00F53B39" w:rsidRDefault="00F53B39">
      <w:pPr>
        <w:pStyle w:val="FootnoteText"/>
      </w:pPr>
      <w:r w:rsidRPr="00E36D92">
        <w:footnoteRef/>
      </w:r>
      <w:r w:rsidRPr="00E36D92">
        <w:tab/>
      </w:r>
      <w:r>
        <w:t xml:space="preserve">The indicators measuring exposure to violence in childhood in this report do not utilise the full extent of Personal Safety Survey data on the correlation between exposure to violence in childhood and experiences of violence in adulthood. This decision has been made because this data concerns individuals’ experiences across their lifetimes from childhood. It is, therefore, unlikely that any substantial change to the correlation patterns will be observed among the adult population sample for a long time. With regard to measuring change in childhood exposure to partner violence against mothers and other female caregivers, it is more relevant to focus on contemporary experiences of children. Therefore, we have used the data that examines the reports of women who experience violence in terms of whether children in their care were witness to the violence, and data on child abuse among the current child population from other datasets. However, the ABS data confirms that (without appropriate intervention) a correlation pattern exists between childhood exposure to violence and experiences of violence against women: see ABS (2019). </w:t>
      </w:r>
      <w:hyperlink r:id="rId4" w:history="1">
        <w:r w:rsidRPr="00AE6F3A">
          <w:rPr>
            <w:rStyle w:val="HyperlinkItalic"/>
          </w:rPr>
          <w:t>Characteristics and outcomes of childhood abuse: Feature article, Personal Safety Survey, 2016</w:t>
        </w:r>
      </w:hyperlink>
      <w:r>
        <w:t>.</w:t>
      </w:r>
    </w:p>
  </w:footnote>
  <w:footnote w:id="53">
    <w:p w14:paraId="5140AE45" w14:textId="6B81D3C4" w:rsidR="00F53B39" w:rsidRDefault="00F53B39">
      <w:pPr>
        <w:pStyle w:val="FootnoteText"/>
      </w:pPr>
      <w:r w:rsidRPr="00E36D92">
        <w:footnoteRef/>
      </w:r>
      <w:r w:rsidRPr="00E36D92">
        <w:tab/>
      </w:r>
      <w:r>
        <w:t>Importantly, this dataset does not allow for testing of any correlation between childhood abuse and perpetration in adulthood.</w:t>
      </w:r>
    </w:p>
  </w:footnote>
  <w:footnote w:id="54">
    <w:p w14:paraId="40E9903D" w14:textId="638591F3" w:rsidR="00F53B39" w:rsidRDefault="00F53B39">
      <w:pPr>
        <w:pStyle w:val="FootnoteText"/>
      </w:pPr>
      <w:r w:rsidRPr="00E36D92">
        <w:footnoteRef/>
      </w:r>
      <w:r w:rsidRPr="00E36D92">
        <w:tab/>
      </w:r>
      <w:r>
        <w:t>Due to the design of the Personal Safety Survey, which focuses on individuals’ victimisation experiences rather than perpetration, the data cannot be tested for correlation between boys’ childhood experiences of or exposure to violence, and adult perpetration.</w:t>
      </w:r>
    </w:p>
  </w:footnote>
  <w:footnote w:id="55">
    <w:p w14:paraId="0D8CBADF" w14:textId="163D0CEB" w:rsidR="00F53B39" w:rsidRDefault="00F53B39">
      <w:pPr>
        <w:pStyle w:val="FootnoteText"/>
      </w:pPr>
      <w:r w:rsidRPr="00E36D92">
        <w:footnoteRef/>
      </w:r>
      <w:r w:rsidRPr="00E36D92">
        <w:tab/>
      </w:r>
      <w:r>
        <w:t xml:space="preserve">In </w:t>
      </w:r>
      <w:r w:rsidRPr="003E209A">
        <w:rPr>
          <w:rStyle w:val="Emphasis"/>
        </w:rPr>
        <w:t>Counting on change</w:t>
      </w:r>
      <w:r>
        <w:t>, this was listed as Indicator 9.2. The temporal period in the original wording of the indicator was ‘past month’, but this has been adjusted to ‘past year’ based on the available data.</w:t>
      </w:r>
    </w:p>
  </w:footnote>
  <w:footnote w:id="56">
    <w:p w14:paraId="242CC5AD" w14:textId="3F254D97" w:rsidR="00F53B39" w:rsidRDefault="00F53B39">
      <w:pPr>
        <w:pStyle w:val="FootnoteText"/>
      </w:pPr>
      <w:r w:rsidRPr="00E36D92">
        <w:footnoteRef/>
      </w:r>
      <w:r w:rsidRPr="00E36D92">
        <w:tab/>
      </w:r>
      <w:r>
        <w:t>12-month rates of male-perpetrated sexual violence against men are very low with high relative standards of error, and therefore not provided in this report.</w:t>
      </w:r>
    </w:p>
  </w:footnote>
  <w:footnote w:id="57">
    <w:p w14:paraId="269DEA9D" w14:textId="151E78DE" w:rsidR="00F53B39" w:rsidRDefault="00F53B39">
      <w:pPr>
        <w:pStyle w:val="FootnoteText"/>
      </w:pPr>
      <w:r w:rsidRPr="00E36D92">
        <w:footnoteRef/>
      </w:r>
      <w:r w:rsidRPr="00E36D92">
        <w:tab/>
      </w:r>
      <w:r>
        <w:t>While these figures cannot be directly compared to those of the PSS, they do suggest a much higher prevalence rate of violence experienced by both Aboriginal and Torres Strait Islander men and women as compared with general population rates. For example, on the basis of 2016 PSS data, the general male population prevalence rate for 12-month physical violence was 4.4%; compare this with 12-month Aboriginal and Torres Strait Islander men’s physical violence exposure rate of 22.8% in the 2014–15 NATSISS data. A considerable 7.0% of Aboriginal and Torres Strait Islander men had experienced physical violence or threatened physical violence on more than one occasion during this 12-month period.</w:t>
      </w:r>
    </w:p>
  </w:footnote>
  <w:footnote w:id="58">
    <w:p w14:paraId="5ADFC2FF" w14:textId="5888D51E" w:rsidR="00F53B39" w:rsidRDefault="00F53B39">
      <w:pPr>
        <w:pStyle w:val="FootnoteText"/>
      </w:pPr>
      <w:r w:rsidRPr="00CA5A0E">
        <w:footnoteRef/>
      </w:r>
      <w:r w:rsidRPr="00CA5A0E">
        <w:tab/>
      </w:r>
      <w:r>
        <w:t>On the basis of national homicide data from 2012 to 2014, men represented 64% (n=328) of homicide victims, and women 36% (n=184): Bryant and Bricknell, 2017, p. 20.</w:t>
      </w:r>
    </w:p>
  </w:footnote>
  <w:footnote w:id="59">
    <w:p w14:paraId="07C1040F" w14:textId="321CDCA1" w:rsidR="00F53B39" w:rsidRDefault="00F53B39" w:rsidP="00B5531E">
      <w:pPr>
        <w:pStyle w:val="FootnoteText"/>
      </w:pPr>
      <w:r w:rsidRPr="00445923">
        <w:footnoteRef/>
      </w:r>
      <w:r w:rsidRPr="00445923">
        <w:tab/>
      </w:r>
      <w:r>
        <w:t xml:space="preserve">While the focus of </w:t>
      </w:r>
      <w:r w:rsidRPr="003E209A">
        <w:rPr>
          <w:rStyle w:val="Emphasis"/>
        </w:rPr>
        <w:t>Change the story, Counting on change</w:t>
      </w:r>
      <w:r>
        <w:t>, and this report is the primary prevention of violence against women, the inclusion of the phrase ‘and their children’ is to acknowledge that many women who experience violence have children in their care. Exposure to violence against their mothers or other caregivers causes profound harm to children, with potential impacts on attitudes to relationships and violence, as well as behavioural, cognitive and emotional functioning, social development, and – through a process of ‘negative chain effects’ – education and later employment prospects. Because violence against women has such direct and significant impacts on children, preventing it will also prevent associated harm to, and consequences for, children.</w:t>
      </w:r>
    </w:p>
  </w:footnote>
  <w:footnote w:id="60">
    <w:p w14:paraId="5A8DC0A6" w14:textId="57FEF8BC" w:rsidR="00F53B39" w:rsidRDefault="00F53B39">
      <w:pPr>
        <w:pStyle w:val="FootnoteText"/>
      </w:pPr>
      <w:r w:rsidRPr="008A47DE">
        <w:footnoteRef/>
      </w:r>
      <w:r w:rsidRPr="008A47DE">
        <w:tab/>
      </w:r>
      <w:r>
        <w:t xml:space="preserve">The original wording of this indicator in </w:t>
      </w:r>
      <w:r w:rsidRPr="003E209A">
        <w:rPr>
          <w:rStyle w:val="Emphasis"/>
        </w:rPr>
        <w:t xml:space="preserve">Counting on change </w:t>
      </w:r>
      <w:r>
        <w:t xml:space="preserve">was ‘Proportion of women aged 18 years and older, subjected to physical, sexual or psychological violence, by a current or former intimate partner in the last 12 months, by form of violence and age group’. For the purposes of this report, we have based our analysis primarily on publicly available Personal Safety Survey data cubes. This publicly available data does not include an analysis of age group victimisation of 12-month partner violence. Moreover, </w:t>
      </w:r>
      <w:r w:rsidRPr="003E209A">
        <w:rPr>
          <w:rStyle w:val="Emphasis"/>
        </w:rPr>
        <w:t xml:space="preserve">Counting on change </w:t>
      </w:r>
      <w:r>
        <w:t>indicator wordings were designed to align with Sustainable Development Goal indicators; hence the wording ‘psychological violence’. In the Australian context, we are more familiar with this form of violence being referred to as ‘emotional’, and in the Personal Safety Survey, this form of violence is referred to as ‘emotional abuse’.</w:t>
      </w:r>
    </w:p>
  </w:footnote>
  <w:footnote w:id="61">
    <w:p w14:paraId="1099F8B0" w14:textId="51D05A70" w:rsidR="00F53B39" w:rsidRDefault="00F53B39">
      <w:pPr>
        <w:pStyle w:val="FootnoteText"/>
      </w:pPr>
      <w:r w:rsidRPr="008A47DE">
        <w:footnoteRef/>
      </w:r>
      <w:r w:rsidRPr="008A47DE">
        <w:tab/>
      </w:r>
      <w:r>
        <w:t>Several methodological cautions should be noted here in interpreting this data. The 2018–19 NATSISS’s module on violence was limited to physical harm only and precluding sexual assault. Moreover, the survey is administrated in a way that does not (unlike the Personal Safety Survey) require respondents to be alone in a private environment (i.e. away from other people). As such, there is likely to be significant under-reporting by women of experiences of violence – not only because they are not asked about sexual violence or non-physical forms of violence, but also because, as the data itself shows, Aboriginal and Torres Strait Islander women who experience violence are more likely than men to know the perpetrator. Therefore, the fact that other people may be listening to their survey responses would suggest that experiences are under-reported. Women are likely to be unwilling to disclose experiences of violence when the perpetrator or those close to the perpetrator are within earshot, or may just be unwilling to disclose violence in the presence of others who are close to them. Further, the violence questions asked in the NATSISS are very limited. Providing only a few chances for survey respondents to answer questions about violence is likely to limit disclosure rates, as compared with a longer survey or module focused on violence.</w:t>
      </w:r>
    </w:p>
  </w:footnote>
  <w:footnote w:id="62">
    <w:p w14:paraId="01C05752" w14:textId="21702C12" w:rsidR="00F53B39" w:rsidRDefault="00F53B39">
      <w:pPr>
        <w:pStyle w:val="FootnoteText"/>
      </w:pPr>
      <w:r w:rsidRPr="008A47DE">
        <w:footnoteRef/>
      </w:r>
      <w:r w:rsidRPr="008A47DE">
        <w:tab/>
      </w:r>
      <w:r>
        <w:t>Data on ‘other known person’ perpetrator category is not presented in this table as in 2008 this category included non-cohabiting partners and in 2014–15, non-cohabiting partners were classed as a subcategory of intimate partner violence. Therefore the data on physical assault perpetrated by ‘other known persons’ is not comparable between the two survey waves.</w:t>
      </w:r>
    </w:p>
  </w:footnote>
  <w:footnote w:id="63">
    <w:p w14:paraId="74709DEC" w14:textId="5A5C0BE3" w:rsidR="00F53B39" w:rsidRDefault="00F53B39">
      <w:pPr>
        <w:pStyle w:val="FootnoteText"/>
      </w:pPr>
      <w:r w:rsidRPr="008A47DE">
        <w:footnoteRef/>
      </w:r>
      <w:r w:rsidRPr="008A47DE">
        <w:tab/>
      </w:r>
      <w:r>
        <w:t xml:space="preserve">The original wording for this indicator in </w:t>
      </w:r>
      <w:r w:rsidRPr="003E209A">
        <w:rPr>
          <w:rStyle w:val="Emphasis"/>
        </w:rPr>
        <w:t xml:space="preserve">Counting on change </w:t>
      </w:r>
      <w:r>
        <w:t>was ‘Proportion of women aged 18 years and older subjected to sexual violence by persons other than an intimate partner in the last 12 months, by age group and place of occurrence’. Disaggregation by age group and place of occurrence is not available from the publicly available Personal Safety Survey 12-month data, and, therefore, has not been included here.</w:t>
      </w:r>
    </w:p>
  </w:footnote>
  <w:footnote w:id="64">
    <w:p w14:paraId="5CA2B9D5" w14:textId="2012B136" w:rsidR="00F53B39" w:rsidRDefault="00F53B39">
      <w:pPr>
        <w:pStyle w:val="FootnoteText"/>
      </w:pPr>
      <w:r w:rsidRPr="008A47DE">
        <w:footnoteRef/>
      </w:r>
      <w:r w:rsidRPr="008A47DE">
        <w:tab/>
      </w:r>
      <w:r>
        <w:t xml:space="preserve">This indicator is an addition to what was included in </w:t>
      </w:r>
      <w:r w:rsidRPr="003E209A">
        <w:rPr>
          <w:rStyle w:val="Emphasis"/>
        </w:rPr>
        <w:t>Counting on change</w:t>
      </w:r>
      <w:r>
        <w:t>.</w:t>
      </w:r>
    </w:p>
  </w:footnote>
  <w:footnote w:id="65">
    <w:p w14:paraId="69C00BD3" w14:textId="77777777" w:rsidR="00F53B39" w:rsidRDefault="00F53B39">
      <w:pPr>
        <w:pStyle w:val="FootnoteText"/>
      </w:pPr>
      <w:r w:rsidRPr="008A47DE">
        <w:footnoteRef/>
      </w:r>
      <w:r w:rsidRPr="008A47DE">
        <w:tab/>
      </w:r>
      <w:r>
        <w:t>No statistically significant change in the 12-month experiences of violence of women with a disability or long-term health condition were registered between 2012 and 2016.</w:t>
      </w:r>
    </w:p>
  </w:footnote>
  <w:footnote w:id="66">
    <w:p w14:paraId="1BB68F27" w14:textId="0825292E" w:rsidR="00F53B39" w:rsidRDefault="00F53B39">
      <w:pPr>
        <w:pStyle w:val="FootnoteText"/>
      </w:pPr>
      <w:r w:rsidRPr="008A53B4">
        <w:footnoteRef/>
      </w:r>
      <w:r w:rsidRPr="008A53B4">
        <w:tab/>
      </w:r>
      <w:r>
        <w:t>This is a statistically significant difference.</w:t>
      </w:r>
    </w:p>
  </w:footnote>
  <w:footnote w:id="67">
    <w:p w14:paraId="6C61D221" w14:textId="59BD0FFA" w:rsidR="00F53B39" w:rsidRDefault="00F53B39">
      <w:pPr>
        <w:pStyle w:val="FootnoteText"/>
      </w:pPr>
      <w:r w:rsidRPr="008A53B4">
        <w:footnoteRef/>
      </w:r>
      <w:r w:rsidRPr="008A53B4">
        <w:tab/>
      </w:r>
      <w:r>
        <w:t>The term ‘femicide’ is used in this heading as the preferred term for the killing of women as a gendered act. However, because the data sources referred to throughout this section use the term ‘homicide’, or ‘female homicide’ to refer to deaths of women, we have reflected that use in the text.</w:t>
      </w:r>
    </w:p>
  </w:footnote>
  <w:footnote w:id="68">
    <w:p w14:paraId="7FC725DC" w14:textId="77777777" w:rsidR="00F53B39" w:rsidRDefault="00F53B39">
      <w:pPr>
        <w:pStyle w:val="FootnoteText"/>
      </w:pPr>
      <w:r w:rsidRPr="008A53B4">
        <w:footnoteRef/>
      </w:r>
      <w:r w:rsidRPr="008A53B4">
        <w:tab/>
      </w:r>
      <w:r>
        <w:t xml:space="preserve">The Personal Safety Survey does not allow for disaggregation by Indigenous status, and the NATSISS only measures 12-month rates of </w:t>
      </w:r>
      <w:r w:rsidRPr="003E209A">
        <w:rPr>
          <w:rStyle w:val="Emphasis"/>
        </w:rPr>
        <w:t>physical</w:t>
      </w:r>
      <w:r>
        <w:t xml:space="preserve"> violence, including disaggregation by perpetrator type.</w:t>
      </w:r>
    </w:p>
  </w:footnote>
  <w:footnote w:id="69">
    <w:p w14:paraId="16045C17" w14:textId="77777777" w:rsidR="00F53B39" w:rsidRDefault="00F53B39">
      <w:pPr>
        <w:pStyle w:val="FootnoteText"/>
      </w:pPr>
      <w:r w:rsidRPr="008A53B4">
        <w:footnoteRef/>
      </w:r>
      <w:r w:rsidRPr="008A53B4">
        <w:tab/>
      </w:r>
      <w:r>
        <w:t xml:space="preserve">The Personal Safety Survey does not allow for disaggregation by Indigenous status, and the NATSISS only measures 12-month rates of </w:t>
      </w:r>
      <w:r w:rsidRPr="003E209A">
        <w:rPr>
          <w:rStyle w:val="Emphasis"/>
        </w:rPr>
        <w:t>physical</w:t>
      </w:r>
      <w:r>
        <w:t xml:space="preserve"> violence.</w:t>
      </w:r>
    </w:p>
  </w:footnote>
  <w:footnote w:id="70">
    <w:p w14:paraId="404D98E0" w14:textId="77777777" w:rsidR="00F53B39" w:rsidRDefault="00F53B39">
      <w:pPr>
        <w:pStyle w:val="FootnoteText"/>
      </w:pPr>
      <w:r w:rsidRPr="008A53B4">
        <w:footnoteRef/>
      </w:r>
      <w:r w:rsidRPr="008A53B4">
        <w:tab/>
      </w:r>
      <w:r>
        <w:t>Additional ANROWS analysis of 2012 Personal Safety Survey data showed that of the women who had experienced sexual assault during their lifetime by 2012, 99% had experienced sexual assault by a man: see Cox, 2016, p. 50.</w:t>
      </w:r>
    </w:p>
  </w:footnote>
  <w:footnote w:id="71">
    <w:p w14:paraId="0C2C2FD7" w14:textId="465C7ECA" w:rsidR="00F53B39" w:rsidRDefault="00F53B39">
      <w:pPr>
        <w:pStyle w:val="FootnoteText"/>
      </w:pPr>
      <w:r w:rsidRPr="008A53B4">
        <w:footnoteRef/>
      </w:r>
      <w:r w:rsidRPr="008A53B4">
        <w:tab/>
      </w:r>
      <w:r>
        <w:t xml:space="preserve">This indicator is an addition to what was included in </w:t>
      </w:r>
      <w:r w:rsidRPr="003E209A">
        <w:rPr>
          <w:rStyle w:val="Emphasis"/>
        </w:rPr>
        <w:t>Counting on change</w:t>
      </w:r>
      <w:r>
        <w:t>.</w:t>
      </w:r>
    </w:p>
  </w:footnote>
  <w:footnote w:id="72">
    <w:p w14:paraId="1633EFE6" w14:textId="221BBE22" w:rsidR="00F53B39" w:rsidRDefault="00F53B39">
      <w:pPr>
        <w:pStyle w:val="FootnoteText"/>
      </w:pPr>
      <w:r w:rsidRPr="008A53B4">
        <w:footnoteRef/>
      </w:r>
      <w:r w:rsidRPr="008A53B4">
        <w:tab/>
      </w:r>
      <w:r>
        <w:t xml:space="preserve">The PSS does not allow for disaggregation by Indigenous status, and the NATSISS only measures </w:t>
      </w:r>
      <w:r>
        <w:br/>
        <w:t xml:space="preserve">12-month rates of </w:t>
      </w:r>
      <w:r w:rsidRPr="003E209A">
        <w:rPr>
          <w:rStyle w:val="Emphasis"/>
        </w:rPr>
        <w:t>physical</w:t>
      </w:r>
      <w:r>
        <w:t xml:space="preserve"> violence.</w:t>
      </w:r>
    </w:p>
  </w:footnote>
  <w:footnote w:id="73">
    <w:p w14:paraId="61870526" w14:textId="77777777" w:rsidR="00F53B39" w:rsidRDefault="00F53B39">
      <w:pPr>
        <w:pStyle w:val="FootnoteText"/>
      </w:pPr>
      <w:r w:rsidRPr="0034367F">
        <w:footnoteRef/>
      </w:r>
      <w:r w:rsidRPr="0034367F">
        <w:tab/>
      </w:r>
      <w:r>
        <w:t xml:space="preserve">This indicator did not appear in </w:t>
      </w:r>
      <w:r w:rsidRPr="003E209A">
        <w:rPr>
          <w:rStyle w:val="Emphasis"/>
        </w:rPr>
        <w:t>Counting on change</w:t>
      </w:r>
      <w:r>
        <w:t>.</w:t>
      </w:r>
    </w:p>
  </w:footnote>
  <w:footnote w:id="74">
    <w:p w14:paraId="13DD5E4C" w14:textId="620FFC72" w:rsidR="00F53B39" w:rsidRDefault="00F53B39">
      <w:pPr>
        <w:pStyle w:val="FootnoteText"/>
      </w:pPr>
      <w:r w:rsidRPr="008A53B4">
        <w:footnoteRef/>
      </w:r>
      <w:r w:rsidRPr="008A53B4">
        <w:tab/>
      </w:r>
      <w:r>
        <w:t>The methodologies of the PSS and the AHRC sexual harassment surveys differ in regard to how sexual harassment is counted. The AHRC’s instrument focuses on sexual harassment, while the PSS asks respondents about a wider range of violence. The AHRC surveys can therefore be more in-depth with regard to sexual harassment, and they ask respondents about a wider range of sexual harassment behaviours than the PSS. Another difference is that the AHRC’s definition of sexual harassment includes sexual assault and stalking, whereas these are measured as separate categories of violence in the PSS. The PSS additionally asks respondents who report having experienced a sexual harassment behaviour whether they found that behaviour inappropriate or offensive, and only counts incidents where the respondent indicates that they did. These methodological differences appear to have led to the AHRC surveys yielding higher prevalence rates of sexual harassment across the board than the PSS.</w:t>
      </w:r>
    </w:p>
  </w:footnote>
  <w:footnote w:id="75">
    <w:p w14:paraId="2E303505" w14:textId="2EC11E49" w:rsidR="00F53B39" w:rsidRDefault="00F53B39">
      <w:pPr>
        <w:pStyle w:val="FootnoteText"/>
      </w:pPr>
      <w:r w:rsidRPr="008A53B4">
        <w:footnoteRef/>
      </w:r>
      <w:r w:rsidRPr="008A53B4">
        <w:tab/>
      </w:r>
      <w:r>
        <w:t xml:space="preserve">The PSS does not allow for disaggregation by Indigenous status, and the NATSISS only measures </w:t>
      </w:r>
      <w:r>
        <w:br/>
        <w:t xml:space="preserve">12-month rates of </w:t>
      </w:r>
      <w:r w:rsidRPr="003E209A">
        <w:rPr>
          <w:rStyle w:val="Emphasis"/>
        </w:rPr>
        <w:t>physical</w:t>
      </w:r>
      <w:r>
        <w:t xml:space="preserve"> violence.</w:t>
      </w:r>
    </w:p>
  </w:footnote>
  <w:footnote w:id="76">
    <w:p w14:paraId="5945D686" w14:textId="698E726C" w:rsidR="00F53B39" w:rsidRDefault="00F53B39">
      <w:pPr>
        <w:pStyle w:val="FootnoteText"/>
      </w:pPr>
      <w:r w:rsidRPr="008A53B4">
        <w:footnoteRef/>
      </w:r>
      <w:r w:rsidRPr="008A53B4">
        <w:tab/>
      </w:r>
      <w:r>
        <w:t>It should be cautioned that the 2016 PSS saw some adaptation to measurement of sexual harassment (i.e. inclusion of additional behaviours), and therefore the data of 2012 and 2016 is not directly comparable. However, an increase in lifetime prevalence of women’s experiences of sexual harassment is indicated.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Layout w:type="fixed"/>
      <w:tblLook w:val="06A0" w:firstRow="1" w:lastRow="0" w:firstColumn="1" w:lastColumn="0" w:noHBand="1" w:noVBand="1"/>
    </w:tblPr>
    <w:tblGrid>
      <w:gridCol w:w="3023"/>
      <w:gridCol w:w="3023"/>
      <w:gridCol w:w="3023"/>
    </w:tblGrid>
    <w:tr w:rsidR="00F53B39" w14:paraId="640E7473" w14:textId="77777777" w:rsidTr="00FE6405">
      <w:tc>
        <w:tcPr>
          <w:tcW w:w="3023" w:type="dxa"/>
        </w:tcPr>
        <w:p w14:paraId="554983C1" w14:textId="29E9FC32" w:rsidR="00F53B39" w:rsidRDefault="00F53B39" w:rsidP="00FE6405"/>
      </w:tc>
      <w:tc>
        <w:tcPr>
          <w:tcW w:w="3023" w:type="dxa"/>
        </w:tcPr>
        <w:p w14:paraId="3ACFF1BE" w14:textId="6F793633" w:rsidR="00F53B39" w:rsidRDefault="00F53B39" w:rsidP="00FE6405"/>
      </w:tc>
      <w:tc>
        <w:tcPr>
          <w:tcW w:w="3023" w:type="dxa"/>
        </w:tcPr>
        <w:p w14:paraId="5916ACA3" w14:textId="538EBBDB" w:rsidR="00F53B39" w:rsidRDefault="00F53B39" w:rsidP="00FE6405"/>
      </w:tc>
    </w:tr>
  </w:tbl>
  <w:p w14:paraId="0A843201" w14:textId="34153EE3" w:rsidR="00F53B39" w:rsidRDefault="00F53B39" w:rsidP="00FE64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5AB1C" w14:textId="775EB2D9" w:rsidR="00F53B39" w:rsidRPr="00D96651" w:rsidRDefault="00F53B39" w:rsidP="00D966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ACA6E" w14:textId="1D19EEDE" w:rsidR="00F53B39" w:rsidRDefault="00F53B39" w:rsidP="00D966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49AE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76C2EB8"/>
    <w:multiLevelType w:val="multilevel"/>
    <w:tmpl w:val="EDAA232C"/>
    <w:styleLink w:val="ZZNumbersdigit"/>
    <w:lvl w:ilvl="0">
      <w:start w:val="1"/>
      <w:numFmt w:val="decimal"/>
      <w:pStyle w:val="OWNumberdigit"/>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25E03F66"/>
    <w:multiLevelType w:val="multilevel"/>
    <w:tmpl w:val="62E2E22A"/>
    <w:styleLink w:val="ZZTablenumbers"/>
    <w:lvl w:ilvl="0">
      <w:start w:val="1"/>
      <w:numFmt w:val="decimal"/>
      <w:pStyle w:val="OWTablenumberdigit"/>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3ACC542C"/>
    <w:multiLevelType w:val="multilevel"/>
    <w:tmpl w:val="FF9CCCE6"/>
    <w:styleLink w:val="ZZNumbersalpha"/>
    <w:lvl w:ilvl="0">
      <w:start w:val="1"/>
      <w:numFmt w:val="lowerLetter"/>
      <w:pStyle w:val="OWNumberalpha"/>
      <w:lvlText w:val="%1."/>
      <w:lvlJc w:val="left"/>
      <w:pPr>
        <w:tabs>
          <w:tab w:val="num" w:pos="397"/>
        </w:tabs>
        <w:ind w:left="397" w:hanging="397"/>
      </w:pPr>
      <w:rPr>
        <w:rFonts w:hint="default"/>
      </w:rPr>
    </w:lvl>
    <w:lvl w:ilvl="1">
      <w:start w:val="1"/>
      <w:numFmt w:val="none"/>
      <w:lvlRestart w:val="0"/>
      <w:lvlText w:val=""/>
      <w:lvlJc w:val="left"/>
      <w:pPr>
        <w:tabs>
          <w:tab w:val="num" w:pos="397"/>
        </w:tabs>
        <w:ind w:left="397"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45016C96"/>
    <w:multiLevelType w:val="hybridMultilevel"/>
    <w:tmpl w:val="F78A32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70606D5"/>
    <w:multiLevelType w:val="multilevel"/>
    <w:tmpl w:val="3D44AAA0"/>
    <w:styleLink w:val="ZZFootnotebullets"/>
    <w:lvl w:ilvl="0">
      <w:start w:val="1"/>
      <w:numFmt w:val="bullet"/>
      <w:pStyle w:val="OWFootnotebullet"/>
      <w:lvlText w:val="•"/>
      <w:lvlJc w:val="left"/>
      <w:pPr>
        <w:ind w:left="851" w:hanging="284"/>
      </w:pPr>
      <w:rPr>
        <w:rFonts w:ascii="Calibri" w:hAnsi="Calibri"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4B77692C"/>
    <w:multiLevelType w:val="hybridMultilevel"/>
    <w:tmpl w:val="346A4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5931D8"/>
    <w:multiLevelType w:val="hybridMultilevel"/>
    <w:tmpl w:val="D8BC2F5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714822B4"/>
    <w:multiLevelType w:val="hybridMultilevel"/>
    <w:tmpl w:val="1F5C69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4831BBB"/>
    <w:multiLevelType w:val="hybridMultilevel"/>
    <w:tmpl w:val="FD3445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5F578A0"/>
    <w:multiLevelType w:val="hybridMultilevel"/>
    <w:tmpl w:val="2A38EC44"/>
    <w:lvl w:ilvl="0" w:tplc="08090001">
      <w:start w:val="1"/>
      <w:numFmt w:val="bullet"/>
      <w:lvlText w:val=""/>
      <w:lvlJc w:val="left"/>
      <w:pPr>
        <w:ind w:left="1080" w:hanging="360"/>
      </w:pPr>
      <w:rPr>
        <w:rFonts w:ascii="Symbol"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11" w15:restartNumberingAfterBreak="0">
    <w:nsid w:val="77EC70CD"/>
    <w:multiLevelType w:val="multilevel"/>
    <w:tmpl w:val="1E6A23A0"/>
    <w:styleLink w:val="ZZEndnotes"/>
    <w:lvl w:ilvl="0">
      <w:start w:val="19"/>
      <w:numFmt w:val="decimal"/>
      <w:suff w:val="nothing"/>
      <w:lvlText w:val="%1"/>
      <w:lvlJc w:val="left"/>
      <w:pPr>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C564156"/>
    <w:multiLevelType w:val="hybridMultilevel"/>
    <w:tmpl w:val="8F4A78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E9626E9"/>
    <w:multiLevelType w:val="multilevel"/>
    <w:tmpl w:val="5A84063E"/>
    <w:styleLink w:val="ZZBullets"/>
    <w:lvl w:ilvl="0">
      <w:start w:val="1"/>
      <w:numFmt w:val="bullet"/>
      <w:pStyle w:val="OWBullet1"/>
      <w:lvlText w:val="•"/>
      <w:lvlJc w:val="left"/>
      <w:pPr>
        <w:ind w:left="397" w:hanging="397"/>
      </w:pPr>
      <w:rPr>
        <w:rFonts w:ascii="Calibri" w:hAnsi="Calibri" w:hint="default"/>
      </w:rPr>
    </w:lvl>
    <w:lvl w:ilvl="1">
      <w:start w:val="1"/>
      <w:numFmt w:val="bullet"/>
      <w:lvlRestart w:val="0"/>
      <w:pStyle w:val="OW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13"/>
  </w:num>
  <w:num w:numId="2">
    <w:abstractNumId w:val="1"/>
  </w:num>
  <w:num w:numId="3">
    <w:abstractNumId w:val="3"/>
  </w:num>
  <w:num w:numId="4">
    <w:abstractNumId w:val="5"/>
  </w:num>
  <w:num w:numId="5">
    <w:abstractNumId w:val="1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num>
  <w:num w:numId="46">
    <w:abstractNumId w:val="4"/>
  </w:num>
  <w:num w:numId="47">
    <w:abstractNumId w:val="8"/>
  </w:num>
  <w:num w:numId="48">
    <w:abstractNumId w:val="9"/>
  </w:num>
  <w:num w:numId="49">
    <w:abstractNumId w:val="10"/>
  </w:num>
  <w:num w:numId="50">
    <w:abstractNumId w:val="7"/>
  </w:num>
  <w:num w:numId="51">
    <w:abstractNumId w:val="6"/>
  </w:num>
  <w:num w:numId="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fullPage" w:percent="100"/>
  <w:displayBackgroundShape/>
  <w:embedSystemFonts/>
  <w:mirrorMargins/>
  <w:bordersDoNotSurroundHeader/>
  <w:bordersDoNotSurroundFooter/>
  <w:stylePaneSortMethod w:val="0000"/>
  <w:defaultTabStop w:val="720"/>
  <w:autoHyphenation/>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3489"/>
  </w:hdrShapeDefaults>
  <w:footnotePr>
    <w:numFmt w:val="lowerRoman"/>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B49"/>
    <w:rsid w:val="000009A1"/>
    <w:rsid w:val="0000196C"/>
    <w:rsid w:val="00004158"/>
    <w:rsid w:val="0000444C"/>
    <w:rsid w:val="000055BE"/>
    <w:rsid w:val="00005FE4"/>
    <w:rsid w:val="00007F6B"/>
    <w:rsid w:val="00007F6D"/>
    <w:rsid w:val="000130F8"/>
    <w:rsid w:val="0001350B"/>
    <w:rsid w:val="000141FB"/>
    <w:rsid w:val="0001544F"/>
    <w:rsid w:val="00016410"/>
    <w:rsid w:val="00016FC7"/>
    <w:rsid w:val="000228D2"/>
    <w:rsid w:val="0002387B"/>
    <w:rsid w:val="00023978"/>
    <w:rsid w:val="00023FA1"/>
    <w:rsid w:val="00025145"/>
    <w:rsid w:val="00026962"/>
    <w:rsid w:val="000271CB"/>
    <w:rsid w:val="00030242"/>
    <w:rsid w:val="0003039B"/>
    <w:rsid w:val="00031044"/>
    <w:rsid w:val="00031D48"/>
    <w:rsid w:val="00032405"/>
    <w:rsid w:val="00033396"/>
    <w:rsid w:val="0003426A"/>
    <w:rsid w:val="000350EA"/>
    <w:rsid w:val="000351E9"/>
    <w:rsid w:val="00040243"/>
    <w:rsid w:val="00040755"/>
    <w:rsid w:val="00041830"/>
    <w:rsid w:val="00047B49"/>
    <w:rsid w:val="00047EED"/>
    <w:rsid w:val="000506A4"/>
    <w:rsid w:val="00050716"/>
    <w:rsid w:val="00051894"/>
    <w:rsid w:val="00051D5C"/>
    <w:rsid w:val="000553B0"/>
    <w:rsid w:val="00057529"/>
    <w:rsid w:val="0006004C"/>
    <w:rsid w:val="00061800"/>
    <w:rsid w:val="000630FC"/>
    <w:rsid w:val="00064AE5"/>
    <w:rsid w:val="00065152"/>
    <w:rsid w:val="00066460"/>
    <w:rsid w:val="00067CEE"/>
    <w:rsid w:val="00070B8E"/>
    <w:rsid w:val="00070E99"/>
    <w:rsid w:val="00071140"/>
    <w:rsid w:val="0007130F"/>
    <w:rsid w:val="00071DC7"/>
    <w:rsid w:val="00072AE2"/>
    <w:rsid w:val="00072EF2"/>
    <w:rsid w:val="000733DF"/>
    <w:rsid w:val="000746DF"/>
    <w:rsid w:val="000755B9"/>
    <w:rsid w:val="0007716D"/>
    <w:rsid w:val="00077609"/>
    <w:rsid w:val="00077BC6"/>
    <w:rsid w:val="00077F67"/>
    <w:rsid w:val="00080670"/>
    <w:rsid w:val="00080DA9"/>
    <w:rsid w:val="0008231E"/>
    <w:rsid w:val="00082BAD"/>
    <w:rsid w:val="0008357D"/>
    <w:rsid w:val="00084525"/>
    <w:rsid w:val="00084DD1"/>
    <w:rsid w:val="00085DA8"/>
    <w:rsid w:val="000863F5"/>
    <w:rsid w:val="00086699"/>
    <w:rsid w:val="00086DEE"/>
    <w:rsid w:val="0008736A"/>
    <w:rsid w:val="0008775F"/>
    <w:rsid w:val="00090263"/>
    <w:rsid w:val="00090C0C"/>
    <w:rsid w:val="0009112E"/>
    <w:rsid w:val="00093BCF"/>
    <w:rsid w:val="00093DEC"/>
    <w:rsid w:val="000945EF"/>
    <w:rsid w:val="000970EE"/>
    <w:rsid w:val="0009787F"/>
    <w:rsid w:val="000979A8"/>
    <w:rsid w:val="00097A82"/>
    <w:rsid w:val="000A0F88"/>
    <w:rsid w:val="000A1C00"/>
    <w:rsid w:val="000A26CA"/>
    <w:rsid w:val="000A33C8"/>
    <w:rsid w:val="000A3A5C"/>
    <w:rsid w:val="000A453E"/>
    <w:rsid w:val="000A5ACD"/>
    <w:rsid w:val="000A650C"/>
    <w:rsid w:val="000A67E2"/>
    <w:rsid w:val="000A6957"/>
    <w:rsid w:val="000A6F85"/>
    <w:rsid w:val="000A7027"/>
    <w:rsid w:val="000A7B51"/>
    <w:rsid w:val="000A7D20"/>
    <w:rsid w:val="000B0009"/>
    <w:rsid w:val="000B0778"/>
    <w:rsid w:val="000B1C66"/>
    <w:rsid w:val="000B2DB2"/>
    <w:rsid w:val="000B319A"/>
    <w:rsid w:val="000B3777"/>
    <w:rsid w:val="000B420F"/>
    <w:rsid w:val="000B492C"/>
    <w:rsid w:val="000B5234"/>
    <w:rsid w:val="000B734E"/>
    <w:rsid w:val="000C04B8"/>
    <w:rsid w:val="000C2D8C"/>
    <w:rsid w:val="000C32CA"/>
    <w:rsid w:val="000C36AA"/>
    <w:rsid w:val="000C3F6B"/>
    <w:rsid w:val="000C5093"/>
    <w:rsid w:val="000C6692"/>
    <w:rsid w:val="000C678F"/>
    <w:rsid w:val="000C7B3F"/>
    <w:rsid w:val="000D0A4D"/>
    <w:rsid w:val="000D1633"/>
    <w:rsid w:val="000D218B"/>
    <w:rsid w:val="000D23EA"/>
    <w:rsid w:val="000D429A"/>
    <w:rsid w:val="000D4719"/>
    <w:rsid w:val="000D5922"/>
    <w:rsid w:val="000D6CC7"/>
    <w:rsid w:val="000D70B6"/>
    <w:rsid w:val="000E0C7B"/>
    <w:rsid w:val="000E1815"/>
    <w:rsid w:val="000E1889"/>
    <w:rsid w:val="000E1FE9"/>
    <w:rsid w:val="000E271C"/>
    <w:rsid w:val="000E2FA6"/>
    <w:rsid w:val="000E30A0"/>
    <w:rsid w:val="000E38B1"/>
    <w:rsid w:val="000E39FE"/>
    <w:rsid w:val="000E3D9D"/>
    <w:rsid w:val="000E6BA9"/>
    <w:rsid w:val="000F13E2"/>
    <w:rsid w:val="000F1A1D"/>
    <w:rsid w:val="000F26D6"/>
    <w:rsid w:val="000F3FAA"/>
    <w:rsid w:val="000F43ED"/>
    <w:rsid w:val="000F4973"/>
    <w:rsid w:val="000F4DCB"/>
    <w:rsid w:val="000F610C"/>
    <w:rsid w:val="000F6462"/>
    <w:rsid w:val="000F735C"/>
    <w:rsid w:val="000F76C1"/>
    <w:rsid w:val="001015B4"/>
    <w:rsid w:val="00103DA7"/>
    <w:rsid w:val="001044DF"/>
    <w:rsid w:val="001046C6"/>
    <w:rsid w:val="00105635"/>
    <w:rsid w:val="00105887"/>
    <w:rsid w:val="00106687"/>
    <w:rsid w:val="001066C6"/>
    <w:rsid w:val="00107094"/>
    <w:rsid w:val="001070D1"/>
    <w:rsid w:val="00107897"/>
    <w:rsid w:val="001078C3"/>
    <w:rsid w:val="00107D55"/>
    <w:rsid w:val="00110116"/>
    <w:rsid w:val="00111AB5"/>
    <w:rsid w:val="00111F5E"/>
    <w:rsid w:val="001129DC"/>
    <w:rsid w:val="00112EA7"/>
    <w:rsid w:val="001133CC"/>
    <w:rsid w:val="00114AAA"/>
    <w:rsid w:val="00114E05"/>
    <w:rsid w:val="00116940"/>
    <w:rsid w:val="0011796A"/>
    <w:rsid w:val="001179BF"/>
    <w:rsid w:val="001209C1"/>
    <w:rsid w:val="0012104C"/>
    <w:rsid w:val="00121975"/>
    <w:rsid w:val="00123087"/>
    <w:rsid w:val="00123319"/>
    <w:rsid w:val="001234AB"/>
    <w:rsid w:val="00123587"/>
    <w:rsid w:val="00123D2D"/>
    <w:rsid w:val="00123F9C"/>
    <w:rsid w:val="00127A1B"/>
    <w:rsid w:val="00127FA9"/>
    <w:rsid w:val="00132141"/>
    <w:rsid w:val="00132EFF"/>
    <w:rsid w:val="00133517"/>
    <w:rsid w:val="001339BD"/>
    <w:rsid w:val="00133D5E"/>
    <w:rsid w:val="00133D7F"/>
    <w:rsid w:val="0013494B"/>
    <w:rsid w:val="00134D12"/>
    <w:rsid w:val="00135D6F"/>
    <w:rsid w:val="001360BB"/>
    <w:rsid w:val="001372AB"/>
    <w:rsid w:val="0014046B"/>
    <w:rsid w:val="00140E9D"/>
    <w:rsid w:val="00142DD5"/>
    <w:rsid w:val="001431B5"/>
    <w:rsid w:val="001436E8"/>
    <w:rsid w:val="001448A7"/>
    <w:rsid w:val="00145015"/>
    <w:rsid w:val="001459ED"/>
    <w:rsid w:val="001466A9"/>
    <w:rsid w:val="00146956"/>
    <w:rsid w:val="00146E31"/>
    <w:rsid w:val="00147319"/>
    <w:rsid w:val="00150B91"/>
    <w:rsid w:val="001536BA"/>
    <w:rsid w:val="0015376C"/>
    <w:rsid w:val="00153DAC"/>
    <w:rsid w:val="00154F63"/>
    <w:rsid w:val="00157148"/>
    <w:rsid w:val="0015739C"/>
    <w:rsid w:val="001577BA"/>
    <w:rsid w:val="001605B7"/>
    <w:rsid w:val="00163151"/>
    <w:rsid w:val="00163EC5"/>
    <w:rsid w:val="001643D1"/>
    <w:rsid w:val="00165271"/>
    <w:rsid w:val="00165C9B"/>
    <w:rsid w:val="00165CD6"/>
    <w:rsid w:val="00166ACD"/>
    <w:rsid w:val="00166BC8"/>
    <w:rsid w:val="001670E3"/>
    <w:rsid w:val="0016766E"/>
    <w:rsid w:val="00167F5D"/>
    <w:rsid w:val="00170EF3"/>
    <w:rsid w:val="001740FB"/>
    <w:rsid w:val="001741C4"/>
    <w:rsid w:val="0017588F"/>
    <w:rsid w:val="00176A5A"/>
    <w:rsid w:val="00176A69"/>
    <w:rsid w:val="00180EF2"/>
    <w:rsid w:val="00181A65"/>
    <w:rsid w:val="00181A87"/>
    <w:rsid w:val="00181BC0"/>
    <w:rsid w:val="00181E7D"/>
    <w:rsid w:val="0018222B"/>
    <w:rsid w:val="001840E6"/>
    <w:rsid w:val="00184AC8"/>
    <w:rsid w:val="00184C0A"/>
    <w:rsid w:val="00184DDC"/>
    <w:rsid w:val="00185968"/>
    <w:rsid w:val="00187306"/>
    <w:rsid w:val="0018748A"/>
    <w:rsid w:val="00187804"/>
    <w:rsid w:val="001878C6"/>
    <w:rsid w:val="00187DF8"/>
    <w:rsid w:val="001915E2"/>
    <w:rsid w:val="00192725"/>
    <w:rsid w:val="00192A40"/>
    <w:rsid w:val="00194511"/>
    <w:rsid w:val="00195A75"/>
    <w:rsid w:val="00196231"/>
    <w:rsid w:val="00196F95"/>
    <w:rsid w:val="00197F6D"/>
    <w:rsid w:val="001A03A8"/>
    <w:rsid w:val="001A0ADC"/>
    <w:rsid w:val="001A2282"/>
    <w:rsid w:val="001A2A69"/>
    <w:rsid w:val="001A2D62"/>
    <w:rsid w:val="001A35DA"/>
    <w:rsid w:val="001A371F"/>
    <w:rsid w:val="001A4502"/>
    <w:rsid w:val="001A4819"/>
    <w:rsid w:val="001A4B2D"/>
    <w:rsid w:val="001A4E9E"/>
    <w:rsid w:val="001A6214"/>
    <w:rsid w:val="001A6256"/>
    <w:rsid w:val="001A6A4E"/>
    <w:rsid w:val="001A7E92"/>
    <w:rsid w:val="001B097A"/>
    <w:rsid w:val="001B1BCD"/>
    <w:rsid w:val="001B347D"/>
    <w:rsid w:val="001B4187"/>
    <w:rsid w:val="001B46E5"/>
    <w:rsid w:val="001B4B30"/>
    <w:rsid w:val="001B6A1A"/>
    <w:rsid w:val="001B6F67"/>
    <w:rsid w:val="001B7629"/>
    <w:rsid w:val="001B775C"/>
    <w:rsid w:val="001B79AE"/>
    <w:rsid w:val="001B7A27"/>
    <w:rsid w:val="001B7FAD"/>
    <w:rsid w:val="001C00AF"/>
    <w:rsid w:val="001C0569"/>
    <w:rsid w:val="001C1D5F"/>
    <w:rsid w:val="001C2A2F"/>
    <w:rsid w:val="001C3198"/>
    <w:rsid w:val="001C4DA7"/>
    <w:rsid w:val="001C64D9"/>
    <w:rsid w:val="001C7044"/>
    <w:rsid w:val="001C763C"/>
    <w:rsid w:val="001D2460"/>
    <w:rsid w:val="001D5F8A"/>
    <w:rsid w:val="001D6CC3"/>
    <w:rsid w:val="001D7AFE"/>
    <w:rsid w:val="001DE8F9"/>
    <w:rsid w:val="001E1062"/>
    <w:rsid w:val="001E196C"/>
    <w:rsid w:val="001E2147"/>
    <w:rsid w:val="001E2783"/>
    <w:rsid w:val="001E2894"/>
    <w:rsid w:val="001E2F06"/>
    <w:rsid w:val="001E388B"/>
    <w:rsid w:val="001E3D23"/>
    <w:rsid w:val="001E41C8"/>
    <w:rsid w:val="001E45BC"/>
    <w:rsid w:val="001E4B1A"/>
    <w:rsid w:val="001E6053"/>
    <w:rsid w:val="001E64D4"/>
    <w:rsid w:val="001E75F6"/>
    <w:rsid w:val="001F0076"/>
    <w:rsid w:val="001F1ACD"/>
    <w:rsid w:val="001F2189"/>
    <w:rsid w:val="001F5C79"/>
    <w:rsid w:val="001F5CFE"/>
    <w:rsid w:val="001F6D74"/>
    <w:rsid w:val="001F6E82"/>
    <w:rsid w:val="001F7C5D"/>
    <w:rsid w:val="0020079D"/>
    <w:rsid w:val="00200BFF"/>
    <w:rsid w:val="00201594"/>
    <w:rsid w:val="00202576"/>
    <w:rsid w:val="00202A2B"/>
    <w:rsid w:val="00202DD5"/>
    <w:rsid w:val="00204979"/>
    <w:rsid w:val="00210157"/>
    <w:rsid w:val="002106B1"/>
    <w:rsid w:val="00210BFF"/>
    <w:rsid w:val="00213D51"/>
    <w:rsid w:val="00217733"/>
    <w:rsid w:val="002177EF"/>
    <w:rsid w:val="00217E2C"/>
    <w:rsid w:val="00220915"/>
    <w:rsid w:val="00220986"/>
    <w:rsid w:val="00221E3F"/>
    <w:rsid w:val="002220D2"/>
    <w:rsid w:val="00223673"/>
    <w:rsid w:val="00223D11"/>
    <w:rsid w:val="00223E3A"/>
    <w:rsid w:val="0022546F"/>
    <w:rsid w:val="00225E34"/>
    <w:rsid w:val="0022618D"/>
    <w:rsid w:val="0022682B"/>
    <w:rsid w:val="00226A5F"/>
    <w:rsid w:val="0022791D"/>
    <w:rsid w:val="002300F6"/>
    <w:rsid w:val="00230856"/>
    <w:rsid w:val="00231C1B"/>
    <w:rsid w:val="00233859"/>
    <w:rsid w:val="0023386B"/>
    <w:rsid w:val="00233885"/>
    <w:rsid w:val="002347BC"/>
    <w:rsid w:val="00234F2C"/>
    <w:rsid w:val="0023574C"/>
    <w:rsid w:val="00235930"/>
    <w:rsid w:val="0023629D"/>
    <w:rsid w:val="00236C8A"/>
    <w:rsid w:val="00237418"/>
    <w:rsid w:val="00237B2C"/>
    <w:rsid w:val="002406A0"/>
    <w:rsid w:val="0024132F"/>
    <w:rsid w:val="00243337"/>
    <w:rsid w:val="0024354D"/>
    <w:rsid w:val="00243AA6"/>
    <w:rsid w:val="002442F9"/>
    <w:rsid w:val="00245C57"/>
    <w:rsid w:val="002469C5"/>
    <w:rsid w:val="002471EC"/>
    <w:rsid w:val="00250931"/>
    <w:rsid w:val="00250AF8"/>
    <w:rsid w:val="00252ABC"/>
    <w:rsid w:val="002533D8"/>
    <w:rsid w:val="002535AE"/>
    <w:rsid w:val="0025438D"/>
    <w:rsid w:val="00254554"/>
    <w:rsid w:val="00254D8C"/>
    <w:rsid w:val="00256C4F"/>
    <w:rsid w:val="002577D1"/>
    <w:rsid w:val="002604F3"/>
    <w:rsid w:val="0026051B"/>
    <w:rsid w:val="002613CB"/>
    <w:rsid w:val="002636F9"/>
    <w:rsid w:val="00263E4F"/>
    <w:rsid w:val="0026411C"/>
    <w:rsid w:val="00264656"/>
    <w:rsid w:val="00264E2A"/>
    <w:rsid w:val="002658D4"/>
    <w:rsid w:val="00267ADF"/>
    <w:rsid w:val="002701B3"/>
    <w:rsid w:val="002707B1"/>
    <w:rsid w:val="00270B57"/>
    <w:rsid w:val="00270F96"/>
    <w:rsid w:val="00271523"/>
    <w:rsid w:val="002716C8"/>
    <w:rsid w:val="00273455"/>
    <w:rsid w:val="0027389B"/>
    <w:rsid w:val="00273AFB"/>
    <w:rsid w:val="002747AE"/>
    <w:rsid w:val="00275379"/>
    <w:rsid w:val="002778AE"/>
    <w:rsid w:val="00280278"/>
    <w:rsid w:val="00280403"/>
    <w:rsid w:val="002809B8"/>
    <w:rsid w:val="00280D95"/>
    <w:rsid w:val="00283B65"/>
    <w:rsid w:val="00284939"/>
    <w:rsid w:val="00285773"/>
    <w:rsid w:val="00285B51"/>
    <w:rsid w:val="00286036"/>
    <w:rsid w:val="00287D9B"/>
    <w:rsid w:val="00290FE8"/>
    <w:rsid w:val="00293641"/>
    <w:rsid w:val="00294455"/>
    <w:rsid w:val="0029554C"/>
    <w:rsid w:val="002A10C8"/>
    <w:rsid w:val="002A1293"/>
    <w:rsid w:val="002A2281"/>
    <w:rsid w:val="002A254C"/>
    <w:rsid w:val="002A2F89"/>
    <w:rsid w:val="002A35E9"/>
    <w:rsid w:val="002A3FA3"/>
    <w:rsid w:val="002A62AD"/>
    <w:rsid w:val="002A6AC3"/>
    <w:rsid w:val="002A7CED"/>
    <w:rsid w:val="002B2BF2"/>
    <w:rsid w:val="002B2F99"/>
    <w:rsid w:val="002B401C"/>
    <w:rsid w:val="002B47AA"/>
    <w:rsid w:val="002B4C18"/>
    <w:rsid w:val="002B6716"/>
    <w:rsid w:val="002C0A1C"/>
    <w:rsid w:val="002C2EC7"/>
    <w:rsid w:val="002C4B39"/>
    <w:rsid w:val="002C5F9B"/>
    <w:rsid w:val="002C6D1A"/>
    <w:rsid w:val="002C6D2D"/>
    <w:rsid w:val="002C7976"/>
    <w:rsid w:val="002C7979"/>
    <w:rsid w:val="002D0D52"/>
    <w:rsid w:val="002D39CF"/>
    <w:rsid w:val="002D3B04"/>
    <w:rsid w:val="002D3B9C"/>
    <w:rsid w:val="002D3C26"/>
    <w:rsid w:val="002D4C1C"/>
    <w:rsid w:val="002D65C9"/>
    <w:rsid w:val="002D6623"/>
    <w:rsid w:val="002D6A62"/>
    <w:rsid w:val="002D7AF1"/>
    <w:rsid w:val="002E06A3"/>
    <w:rsid w:val="002E0E82"/>
    <w:rsid w:val="002E122E"/>
    <w:rsid w:val="002E1620"/>
    <w:rsid w:val="002E16D1"/>
    <w:rsid w:val="002E1B74"/>
    <w:rsid w:val="002E210A"/>
    <w:rsid w:val="002E3BC3"/>
    <w:rsid w:val="002E484A"/>
    <w:rsid w:val="002E4D1C"/>
    <w:rsid w:val="002E7E6B"/>
    <w:rsid w:val="002F0975"/>
    <w:rsid w:val="002F0BA2"/>
    <w:rsid w:val="002F2B93"/>
    <w:rsid w:val="002F36E8"/>
    <w:rsid w:val="002F3FE2"/>
    <w:rsid w:val="002F44CC"/>
    <w:rsid w:val="002F612D"/>
    <w:rsid w:val="002F6B46"/>
    <w:rsid w:val="002F720E"/>
    <w:rsid w:val="00300A4A"/>
    <w:rsid w:val="003013F5"/>
    <w:rsid w:val="00301876"/>
    <w:rsid w:val="00302291"/>
    <w:rsid w:val="00302BAF"/>
    <w:rsid w:val="00302C86"/>
    <w:rsid w:val="00304DEC"/>
    <w:rsid w:val="00305BFF"/>
    <w:rsid w:val="00306213"/>
    <w:rsid w:val="003068B0"/>
    <w:rsid w:val="00306B96"/>
    <w:rsid w:val="00306DA4"/>
    <w:rsid w:val="00306F2A"/>
    <w:rsid w:val="00312001"/>
    <w:rsid w:val="0031428B"/>
    <w:rsid w:val="00314655"/>
    <w:rsid w:val="00314C88"/>
    <w:rsid w:val="00317550"/>
    <w:rsid w:val="00321858"/>
    <w:rsid w:val="00321B57"/>
    <w:rsid w:val="00322A24"/>
    <w:rsid w:val="00322CCE"/>
    <w:rsid w:val="0032368C"/>
    <w:rsid w:val="0032400A"/>
    <w:rsid w:val="003244D5"/>
    <w:rsid w:val="00324E32"/>
    <w:rsid w:val="003262DE"/>
    <w:rsid w:val="00327ABC"/>
    <w:rsid w:val="00327E90"/>
    <w:rsid w:val="00330187"/>
    <w:rsid w:val="0033180A"/>
    <w:rsid w:val="00332032"/>
    <w:rsid w:val="00332494"/>
    <w:rsid w:val="003338BA"/>
    <w:rsid w:val="003344EF"/>
    <w:rsid w:val="003357B2"/>
    <w:rsid w:val="0033617B"/>
    <w:rsid w:val="003365B8"/>
    <w:rsid w:val="003367AD"/>
    <w:rsid w:val="00336B7B"/>
    <w:rsid w:val="00336CFA"/>
    <w:rsid w:val="003403F2"/>
    <w:rsid w:val="00342173"/>
    <w:rsid w:val="003434C7"/>
    <w:rsid w:val="0034367F"/>
    <w:rsid w:val="003437C2"/>
    <w:rsid w:val="00343E32"/>
    <w:rsid w:val="003456BE"/>
    <w:rsid w:val="00347C8C"/>
    <w:rsid w:val="00350755"/>
    <w:rsid w:val="003518CE"/>
    <w:rsid w:val="00353107"/>
    <w:rsid w:val="003532A1"/>
    <w:rsid w:val="003535A3"/>
    <w:rsid w:val="003535DB"/>
    <w:rsid w:val="00353A1E"/>
    <w:rsid w:val="00354030"/>
    <w:rsid w:val="00354644"/>
    <w:rsid w:val="00354F8C"/>
    <w:rsid w:val="00355B2B"/>
    <w:rsid w:val="00360573"/>
    <w:rsid w:val="0036085F"/>
    <w:rsid w:val="003619D2"/>
    <w:rsid w:val="00362C29"/>
    <w:rsid w:val="00363D95"/>
    <w:rsid w:val="00364316"/>
    <w:rsid w:val="00364841"/>
    <w:rsid w:val="003658A7"/>
    <w:rsid w:val="00365FCD"/>
    <w:rsid w:val="00366526"/>
    <w:rsid w:val="00367182"/>
    <w:rsid w:val="0036777E"/>
    <w:rsid w:val="00367962"/>
    <w:rsid w:val="00367D8E"/>
    <w:rsid w:val="00372462"/>
    <w:rsid w:val="0037296D"/>
    <w:rsid w:val="00372CC5"/>
    <w:rsid w:val="00373D65"/>
    <w:rsid w:val="00373DE2"/>
    <w:rsid w:val="0037431B"/>
    <w:rsid w:val="00375411"/>
    <w:rsid w:val="003758C8"/>
    <w:rsid w:val="00376C78"/>
    <w:rsid w:val="003770B6"/>
    <w:rsid w:val="003771BA"/>
    <w:rsid w:val="003778AE"/>
    <w:rsid w:val="003800F4"/>
    <w:rsid w:val="00381349"/>
    <w:rsid w:val="003832EC"/>
    <w:rsid w:val="00383EA6"/>
    <w:rsid w:val="003841D4"/>
    <w:rsid w:val="0038493E"/>
    <w:rsid w:val="00385275"/>
    <w:rsid w:val="003856F9"/>
    <w:rsid w:val="00386420"/>
    <w:rsid w:val="0038653F"/>
    <w:rsid w:val="00386F57"/>
    <w:rsid w:val="003900F4"/>
    <w:rsid w:val="003905B7"/>
    <w:rsid w:val="00391DDA"/>
    <w:rsid w:val="00393538"/>
    <w:rsid w:val="0039508B"/>
    <w:rsid w:val="00395EF1"/>
    <w:rsid w:val="00395F63"/>
    <w:rsid w:val="003974E9"/>
    <w:rsid w:val="003976E2"/>
    <w:rsid w:val="003A0F87"/>
    <w:rsid w:val="003A1758"/>
    <w:rsid w:val="003A4ADB"/>
    <w:rsid w:val="003A6728"/>
    <w:rsid w:val="003A6BF1"/>
    <w:rsid w:val="003B00D4"/>
    <w:rsid w:val="003B13F7"/>
    <w:rsid w:val="003B1659"/>
    <w:rsid w:val="003B3A2C"/>
    <w:rsid w:val="003B3A43"/>
    <w:rsid w:val="003B5873"/>
    <w:rsid w:val="003C0856"/>
    <w:rsid w:val="003C0923"/>
    <w:rsid w:val="003C1A14"/>
    <w:rsid w:val="003C4C0A"/>
    <w:rsid w:val="003C5308"/>
    <w:rsid w:val="003C7069"/>
    <w:rsid w:val="003C77A8"/>
    <w:rsid w:val="003D0959"/>
    <w:rsid w:val="003D390D"/>
    <w:rsid w:val="003D5091"/>
    <w:rsid w:val="003D5B04"/>
    <w:rsid w:val="003D66A3"/>
    <w:rsid w:val="003D6970"/>
    <w:rsid w:val="003D6A9B"/>
    <w:rsid w:val="003D775A"/>
    <w:rsid w:val="003E0479"/>
    <w:rsid w:val="003E0983"/>
    <w:rsid w:val="003E1914"/>
    <w:rsid w:val="003E1B2B"/>
    <w:rsid w:val="003E209A"/>
    <w:rsid w:val="003E5731"/>
    <w:rsid w:val="003E7BC9"/>
    <w:rsid w:val="003E7F07"/>
    <w:rsid w:val="003F0C06"/>
    <w:rsid w:val="003F1310"/>
    <w:rsid w:val="003F2C89"/>
    <w:rsid w:val="003F2D80"/>
    <w:rsid w:val="003F4099"/>
    <w:rsid w:val="003F4F30"/>
    <w:rsid w:val="003F5387"/>
    <w:rsid w:val="003F555F"/>
    <w:rsid w:val="003F6CE6"/>
    <w:rsid w:val="003F7AFF"/>
    <w:rsid w:val="00400493"/>
    <w:rsid w:val="00401F3E"/>
    <w:rsid w:val="00403EC9"/>
    <w:rsid w:val="0040428A"/>
    <w:rsid w:val="00404456"/>
    <w:rsid w:val="00404708"/>
    <w:rsid w:val="00404979"/>
    <w:rsid w:val="0040679F"/>
    <w:rsid w:val="004068AF"/>
    <w:rsid w:val="00410D55"/>
    <w:rsid w:val="004120D4"/>
    <w:rsid w:val="004123DA"/>
    <w:rsid w:val="00412753"/>
    <w:rsid w:val="00412B83"/>
    <w:rsid w:val="00414514"/>
    <w:rsid w:val="00415090"/>
    <w:rsid w:val="004160D3"/>
    <w:rsid w:val="004175CB"/>
    <w:rsid w:val="00421EF1"/>
    <w:rsid w:val="0042207D"/>
    <w:rsid w:val="004228CF"/>
    <w:rsid w:val="004258F3"/>
    <w:rsid w:val="00427524"/>
    <w:rsid w:val="00427B4E"/>
    <w:rsid w:val="0043013A"/>
    <w:rsid w:val="00430EF6"/>
    <w:rsid w:val="0043159A"/>
    <w:rsid w:val="00433321"/>
    <w:rsid w:val="004333C5"/>
    <w:rsid w:val="0043366E"/>
    <w:rsid w:val="004345C1"/>
    <w:rsid w:val="004374EE"/>
    <w:rsid w:val="00437ED1"/>
    <w:rsid w:val="004404B0"/>
    <w:rsid w:val="00440A14"/>
    <w:rsid w:val="004414D0"/>
    <w:rsid w:val="0044154C"/>
    <w:rsid w:val="00443BD9"/>
    <w:rsid w:val="00443C92"/>
    <w:rsid w:val="0044455A"/>
    <w:rsid w:val="00444FEA"/>
    <w:rsid w:val="00445923"/>
    <w:rsid w:val="00446068"/>
    <w:rsid w:val="00446B9A"/>
    <w:rsid w:val="00450049"/>
    <w:rsid w:val="00450CE5"/>
    <w:rsid w:val="00451FF8"/>
    <w:rsid w:val="00452360"/>
    <w:rsid w:val="0045251E"/>
    <w:rsid w:val="0045735A"/>
    <w:rsid w:val="004575D8"/>
    <w:rsid w:val="00461062"/>
    <w:rsid w:val="00461BA0"/>
    <w:rsid w:val="0046236F"/>
    <w:rsid w:val="00462F11"/>
    <w:rsid w:val="00463CC4"/>
    <w:rsid w:val="00463DE6"/>
    <w:rsid w:val="00464D0B"/>
    <w:rsid w:val="00464E16"/>
    <w:rsid w:val="00466E82"/>
    <w:rsid w:val="0046753A"/>
    <w:rsid w:val="00470B03"/>
    <w:rsid w:val="00471854"/>
    <w:rsid w:val="004724DD"/>
    <w:rsid w:val="00473135"/>
    <w:rsid w:val="00474344"/>
    <w:rsid w:val="00475D2B"/>
    <w:rsid w:val="0047617E"/>
    <w:rsid w:val="0047633E"/>
    <w:rsid w:val="0047700F"/>
    <w:rsid w:val="00477C06"/>
    <w:rsid w:val="00477D8E"/>
    <w:rsid w:val="00480295"/>
    <w:rsid w:val="00480924"/>
    <w:rsid w:val="00480AF8"/>
    <w:rsid w:val="0048112E"/>
    <w:rsid w:val="00482D11"/>
    <w:rsid w:val="00487BBD"/>
    <w:rsid w:val="00491759"/>
    <w:rsid w:val="00492B47"/>
    <w:rsid w:val="00493AC9"/>
    <w:rsid w:val="00494296"/>
    <w:rsid w:val="0049513C"/>
    <w:rsid w:val="004955D5"/>
    <w:rsid w:val="004A01C7"/>
    <w:rsid w:val="004A1ADC"/>
    <w:rsid w:val="004A1B0D"/>
    <w:rsid w:val="004A1C80"/>
    <w:rsid w:val="004A271C"/>
    <w:rsid w:val="004A31DF"/>
    <w:rsid w:val="004A36E8"/>
    <w:rsid w:val="004A3A0A"/>
    <w:rsid w:val="004A4082"/>
    <w:rsid w:val="004A515D"/>
    <w:rsid w:val="004A5B1E"/>
    <w:rsid w:val="004A704F"/>
    <w:rsid w:val="004A732E"/>
    <w:rsid w:val="004B06C9"/>
    <w:rsid w:val="004B0B37"/>
    <w:rsid w:val="004B2482"/>
    <w:rsid w:val="004B3E1E"/>
    <w:rsid w:val="004B4346"/>
    <w:rsid w:val="004B4DE0"/>
    <w:rsid w:val="004B5B50"/>
    <w:rsid w:val="004B5EB2"/>
    <w:rsid w:val="004C06D7"/>
    <w:rsid w:val="004C0780"/>
    <w:rsid w:val="004C0AAE"/>
    <w:rsid w:val="004C0AC9"/>
    <w:rsid w:val="004C132F"/>
    <w:rsid w:val="004C1360"/>
    <w:rsid w:val="004C21F3"/>
    <w:rsid w:val="004C22A0"/>
    <w:rsid w:val="004C5286"/>
    <w:rsid w:val="004C56CF"/>
    <w:rsid w:val="004C5A98"/>
    <w:rsid w:val="004C6E25"/>
    <w:rsid w:val="004C798A"/>
    <w:rsid w:val="004D0AEA"/>
    <w:rsid w:val="004D0AFC"/>
    <w:rsid w:val="004D27F3"/>
    <w:rsid w:val="004D2D5E"/>
    <w:rsid w:val="004D338F"/>
    <w:rsid w:val="004D3E59"/>
    <w:rsid w:val="004D4B6F"/>
    <w:rsid w:val="004D4EDF"/>
    <w:rsid w:val="004D517A"/>
    <w:rsid w:val="004D5329"/>
    <w:rsid w:val="004D60EA"/>
    <w:rsid w:val="004D692C"/>
    <w:rsid w:val="004E03F2"/>
    <w:rsid w:val="004E0C0E"/>
    <w:rsid w:val="004E24A6"/>
    <w:rsid w:val="004E4CC4"/>
    <w:rsid w:val="004E5547"/>
    <w:rsid w:val="004E5F59"/>
    <w:rsid w:val="004E7A30"/>
    <w:rsid w:val="004F0E60"/>
    <w:rsid w:val="004F18E5"/>
    <w:rsid w:val="004F194C"/>
    <w:rsid w:val="004F3577"/>
    <w:rsid w:val="004F399E"/>
    <w:rsid w:val="004F58B2"/>
    <w:rsid w:val="004F6724"/>
    <w:rsid w:val="004F6931"/>
    <w:rsid w:val="004F6DEF"/>
    <w:rsid w:val="004F72F2"/>
    <w:rsid w:val="0050142D"/>
    <w:rsid w:val="005024C9"/>
    <w:rsid w:val="005027A3"/>
    <w:rsid w:val="00503DA9"/>
    <w:rsid w:val="00503F84"/>
    <w:rsid w:val="00504AAC"/>
    <w:rsid w:val="00506104"/>
    <w:rsid w:val="005067E9"/>
    <w:rsid w:val="00506EAA"/>
    <w:rsid w:val="005102F6"/>
    <w:rsid w:val="00510B98"/>
    <w:rsid w:val="00511A05"/>
    <w:rsid w:val="00511B43"/>
    <w:rsid w:val="00511DAF"/>
    <w:rsid w:val="0051280E"/>
    <w:rsid w:val="00514CC0"/>
    <w:rsid w:val="00516D62"/>
    <w:rsid w:val="005170A0"/>
    <w:rsid w:val="005170AE"/>
    <w:rsid w:val="005172C9"/>
    <w:rsid w:val="00517772"/>
    <w:rsid w:val="00521782"/>
    <w:rsid w:val="00523938"/>
    <w:rsid w:val="005246D1"/>
    <w:rsid w:val="0052518E"/>
    <w:rsid w:val="00526316"/>
    <w:rsid w:val="005272F1"/>
    <w:rsid w:val="0052772D"/>
    <w:rsid w:val="00530968"/>
    <w:rsid w:val="00530B0C"/>
    <w:rsid w:val="0053143C"/>
    <w:rsid w:val="00531647"/>
    <w:rsid w:val="00531BBD"/>
    <w:rsid w:val="0053206C"/>
    <w:rsid w:val="0053360C"/>
    <w:rsid w:val="005349A1"/>
    <w:rsid w:val="005349BB"/>
    <w:rsid w:val="00534A3E"/>
    <w:rsid w:val="005363A8"/>
    <w:rsid w:val="00537107"/>
    <w:rsid w:val="00537415"/>
    <w:rsid w:val="00537959"/>
    <w:rsid w:val="00537CBD"/>
    <w:rsid w:val="0054033E"/>
    <w:rsid w:val="005404DD"/>
    <w:rsid w:val="00540D8B"/>
    <w:rsid w:val="00541096"/>
    <w:rsid w:val="005427C0"/>
    <w:rsid w:val="00542AAE"/>
    <w:rsid w:val="00543804"/>
    <w:rsid w:val="00544475"/>
    <w:rsid w:val="00544E70"/>
    <w:rsid w:val="005477EF"/>
    <w:rsid w:val="00550AB9"/>
    <w:rsid w:val="00550B9E"/>
    <w:rsid w:val="00551F3C"/>
    <w:rsid w:val="00552940"/>
    <w:rsid w:val="00552F3D"/>
    <w:rsid w:val="00553627"/>
    <w:rsid w:val="00553E4A"/>
    <w:rsid w:val="00555409"/>
    <w:rsid w:val="005573E8"/>
    <w:rsid w:val="00557E6D"/>
    <w:rsid w:val="00560247"/>
    <w:rsid w:val="00560FC9"/>
    <w:rsid w:val="00563C93"/>
    <w:rsid w:val="0056461D"/>
    <w:rsid w:val="00564DE6"/>
    <w:rsid w:val="00565B7B"/>
    <w:rsid w:val="005678FA"/>
    <w:rsid w:val="00571157"/>
    <w:rsid w:val="00571249"/>
    <w:rsid w:val="00571371"/>
    <w:rsid w:val="005720A2"/>
    <w:rsid w:val="0057574D"/>
    <w:rsid w:val="00575B09"/>
    <w:rsid w:val="00581558"/>
    <w:rsid w:val="00581C1F"/>
    <w:rsid w:val="00583DE9"/>
    <w:rsid w:val="005900F9"/>
    <w:rsid w:val="005920A8"/>
    <w:rsid w:val="00592B87"/>
    <w:rsid w:val="00593D33"/>
    <w:rsid w:val="00594670"/>
    <w:rsid w:val="00594B99"/>
    <w:rsid w:val="00595961"/>
    <w:rsid w:val="00595F71"/>
    <w:rsid w:val="005A0080"/>
    <w:rsid w:val="005A15D4"/>
    <w:rsid w:val="005A38E7"/>
    <w:rsid w:val="005A5802"/>
    <w:rsid w:val="005A5A6F"/>
    <w:rsid w:val="005A5AD8"/>
    <w:rsid w:val="005A77C6"/>
    <w:rsid w:val="005A7E93"/>
    <w:rsid w:val="005B009D"/>
    <w:rsid w:val="005B08DC"/>
    <w:rsid w:val="005B1F9D"/>
    <w:rsid w:val="005B20FC"/>
    <w:rsid w:val="005B2381"/>
    <w:rsid w:val="005B2AE1"/>
    <w:rsid w:val="005B2AED"/>
    <w:rsid w:val="005B416A"/>
    <w:rsid w:val="005B5A52"/>
    <w:rsid w:val="005B67B6"/>
    <w:rsid w:val="005B6A36"/>
    <w:rsid w:val="005B6BDD"/>
    <w:rsid w:val="005B6D08"/>
    <w:rsid w:val="005C006A"/>
    <w:rsid w:val="005C1BEC"/>
    <w:rsid w:val="005C1CD2"/>
    <w:rsid w:val="005C2A75"/>
    <w:rsid w:val="005C5428"/>
    <w:rsid w:val="005C55C9"/>
    <w:rsid w:val="005C5919"/>
    <w:rsid w:val="005C704C"/>
    <w:rsid w:val="005C7974"/>
    <w:rsid w:val="005C7FB0"/>
    <w:rsid w:val="005D0AD5"/>
    <w:rsid w:val="005D1073"/>
    <w:rsid w:val="005D2DDD"/>
    <w:rsid w:val="005D3631"/>
    <w:rsid w:val="005D50AA"/>
    <w:rsid w:val="005D5D61"/>
    <w:rsid w:val="005D6DE4"/>
    <w:rsid w:val="005D702E"/>
    <w:rsid w:val="005E0178"/>
    <w:rsid w:val="005E02E3"/>
    <w:rsid w:val="005E04B3"/>
    <w:rsid w:val="005E05B0"/>
    <w:rsid w:val="005E07DE"/>
    <w:rsid w:val="005E141A"/>
    <w:rsid w:val="005E1A3E"/>
    <w:rsid w:val="005E3D3D"/>
    <w:rsid w:val="005E4576"/>
    <w:rsid w:val="005E487B"/>
    <w:rsid w:val="005E5410"/>
    <w:rsid w:val="005E7D75"/>
    <w:rsid w:val="005F1653"/>
    <w:rsid w:val="005F17E6"/>
    <w:rsid w:val="005F4456"/>
    <w:rsid w:val="005F5222"/>
    <w:rsid w:val="005F56EC"/>
    <w:rsid w:val="005F6004"/>
    <w:rsid w:val="005F6150"/>
    <w:rsid w:val="005F7382"/>
    <w:rsid w:val="005F7B12"/>
    <w:rsid w:val="005F7E6E"/>
    <w:rsid w:val="005F7F1E"/>
    <w:rsid w:val="005F7F67"/>
    <w:rsid w:val="00600B32"/>
    <w:rsid w:val="0060183E"/>
    <w:rsid w:val="00602F38"/>
    <w:rsid w:val="00604A01"/>
    <w:rsid w:val="00607BB6"/>
    <w:rsid w:val="006106DF"/>
    <w:rsid w:val="00610A42"/>
    <w:rsid w:val="00611928"/>
    <w:rsid w:val="00611B77"/>
    <w:rsid w:val="00612D83"/>
    <w:rsid w:val="00615741"/>
    <w:rsid w:val="00617432"/>
    <w:rsid w:val="00620130"/>
    <w:rsid w:val="00620E3F"/>
    <w:rsid w:val="00621EDA"/>
    <w:rsid w:val="0062272B"/>
    <w:rsid w:val="00623193"/>
    <w:rsid w:val="006236F4"/>
    <w:rsid w:val="00623EC0"/>
    <w:rsid w:val="00625393"/>
    <w:rsid w:val="0062615E"/>
    <w:rsid w:val="006268A8"/>
    <w:rsid w:val="006272DF"/>
    <w:rsid w:val="0063015D"/>
    <w:rsid w:val="0063035C"/>
    <w:rsid w:val="00630500"/>
    <w:rsid w:val="00631028"/>
    <w:rsid w:val="006310F2"/>
    <w:rsid w:val="00631BF7"/>
    <w:rsid w:val="00632BC7"/>
    <w:rsid w:val="00632D87"/>
    <w:rsid w:val="0063349D"/>
    <w:rsid w:val="0063369E"/>
    <w:rsid w:val="006337B0"/>
    <w:rsid w:val="00633EEB"/>
    <w:rsid w:val="006347E1"/>
    <w:rsid w:val="00634F4F"/>
    <w:rsid w:val="00635BF5"/>
    <w:rsid w:val="006361E2"/>
    <w:rsid w:val="0063702B"/>
    <w:rsid w:val="00642DD6"/>
    <w:rsid w:val="00644357"/>
    <w:rsid w:val="00645F17"/>
    <w:rsid w:val="00645FDD"/>
    <w:rsid w:val="00646683"/>
    <w:rsid w:val="00646AC6"/>
    <w:rsid w:val="00646C26"/>
    <w:rsid w:val="006478D8"/>
    <w:rsid w:val="00650AB8"/>
    <w:rsid w:val="00651283"/>
    <w:rsid w:val="006523AA"/>
    <w:rsid w:val="00652988"/>
    <w:rsid w:val="00653CC5"/>
    <w:rsid w:val="00653CFD"/>
    <w:rsid w:val="00654AE5"/>
    <w:rsid w:val="006553D6"/>
    <w:rsid w:val="00657317"/>
    <w:rsid w:val="00660613"/>
    <w:rsid w:val="006613C2"/>
    <w:rsid w:val="00661427"/>
    <w:rsid w:val="00662D8F"/>
    <w:rsid w:val="006635BC"/>
    <w:rsid w:val="00666065"/>
    <w:rsid w:val="0066709A"/>
    <w:rsid w:val="006679D9"/>
    <w:rsid w:val="0067134C"/>
    <w:rsid w:val="0067238B"/>
    <w:rsid w:val="00672880"/>
    <w:rsid w:val="00673DCA"/>
    <w:rsid w:val="00673E36"/>
    <w:rsid w:val="0067564B"/>
    <w:rsid w:val="00675657"/>
    <w:rsid w:val="006758CD"/>
    <w:rsid w:val="00675DB5"/>
    <w:rsid w:val="0068056C"/>
    <w:rsid w:val="00680FF1"/>
    <w:rsid w:val="00681ADD"/>
    <w:rsid w:val="00683271"/>
    <w:rsid w:val="00683453"/>
    <w:rsid w:val="00685CDD"/>
    <w:rsid w:val="00686069"/>
    <w:rsid w:val="00686A5F"/>
    <w:rsid w:val="00687BCE"/>
    <w:rsid w:val="00691431"/>
    <w:rsid w:val="006918FD"/>
    <w:rsid w:val="00691B07"/>
    <w:rsid w:val="0069207D"/>
    <w:rsid w:val="0069398C"/>
    <w:rsid w:val="00693FAC"/>
    <w:rsid w:val="00694325"/>
    <w:rsid w:val="00697B45"/>
    <w:rsid w:val="006A0C2C"/>
    <w:rsid w:val="006A164F"/>
    <w:rsid w:val="006A2411"/>
    <w:rsid w:val="006A342D"/>
    <w:rsid w:val="006A3EAE"/>
    <w:rsid w:val="006A415F"/>
    <w:rsid w:val="006A4253"/>
    <w:rsid w:val="006A434E"/>
    <w:rsid w:val="006A6BC4"/>
    <w:rsid w:val="006A6F83"/>
    <w:rsid w:val="006B08D1"/>
    <w:rsid w:val="006B10C5"/>
    <w:rsid w:val="006B172F"/>
    <w:rsid w:val="006B197B"/>
    <w:rsid w:val="006B1C82"/>
    <w:rsid w:val="006B1DE0"/>
    <w:rsid w:val="006B2334"/>
    <w:rsid w:val="006B3C40"/>
    <w:rsid w:val="006B3EC2"/>
    <w:rsid w:val="006B4DD0"/>
    <w:rsid w:val="006B5B64"/>
    <w:rsid w:val="006B5D5A"/>
    <w:rsid w:val="006B5DF2"/>
    <w:rsid w:val="006C06A8"/>
    <w:rsid w:val="006C0E2D"/>
    <w:rsid w:val="006C1E37"/>
    <w:rsid w:val="006C1EE8"/>
    <w:rsid w:val="006C300F"/>
    <w:rsid w:val="006C37F1"/>
    <w:rsid w:val="006C3D0E"/>
    <w:rsid w:val="006C5180"/>
    <w:rsid w:val="006C58E8"/>
    <w:rsid w:val="006C5B25"/>
    <w:rsid w:val="006C5FB9"/>
    <w:rsid w:val="006C6CFA"/>
    <w:rsid w:val="006C754B"/>
    <w:rsid w:val="006C7856"/>
    <w:rsid w:val="006C79E3"/>
    <w:rsid w:val="006D097F"/>
    <w:rsid w:val="006D26BF"/>
    <w:rsid w:val="006D26DB"/>
    <w:rsid w:val="006D2BCC"/>
    <w:rsid w:val="006D46DB"/>
    <w:rsid w:val="006D498F"/>
    <w:rsid w:val="006D545B"/>
    <w:rsid w:val="006D5A9D"/>
    <w:rsid w:val="006D6A11"/>
    <w:rsid w:val="006E0909"/>
    <w:rsid w:val="006E234E"/>
    <w:rsid w:val="006E3B81"/>
    <w:rsid w:val="006E58F9"/>
    <w:rsid w:val="006E590F"/>
    <w:rsid w:val="006E5E5F"/>
    <w:rsid w:val="006E7074"/>
    <w:rsid w:val="006F11C1"/>
    <w:rsid w:val="006F208E"/>
    <w:rsid w:val="006F2151"/>
    <w:rsid w:val="006F2EC3"/>
    <w:rsid w:val="006F30F9"/>
    <w:rsid w:val="006F35FC"/>
    <w:rsid w:val="006F3D27"/>
    <w:rsid w:val="006F442A"/>
    <w:rsid w:val="006F48A8"/>
    <w:rsid w:val="006F4E7A"/>
    <w:rsid w:val="006F54F3"/>
    <w:rsid w:val="006F64DC"/>
    <w:rsid w:val="006F701A"/>
    <w:rsid w:val="007007CC"/>
    <w:rsid w:val="00702666"/>
    <w:rsid w:val="00705026"/>
    <w:rsid w:val="007058A2"/>
    <w:rsid w:val="00705B4C"/>
    <w:rsid w:val="007108FF"/>
    <w:rsid w:val="0071337A"/>
    <w:rsid w:val="0071342B"/>
    <w:rsid w:val="007135CE"/>
    <w:rsid w:val="007150E1"/>
    <w:rsid w:val="0071595A"/>
    <w:rsid w:val="00715DC3"/>
    <w:rsid w:val="007165C6"/>
    <w:rsid w:val="0071671F"/>
    <w:rsid w:val="00717891"/>
    <w:rsid w:val="0072031A"/>
    <w:rsid w:val="007219FF"/>
    <w:rsid w:val="00722FE5"/>
    <w:rsid w:val="00723D15"/>
    <w:rsid w:val="00723F6B"/>
    <w:rsid w:val="00725EDC"/>
    <w:rsid w:val="0072625D"/>
    <w:rsid w:val="007273B2"/>
    <w:rsid w:val="00730A1D"/>
    <w:rsid w:val="00732130"/>
    <w:rsid w:val="00732354"/>
    <w:rsid w:val="00732E1A"/>
    <w:rsid w:val="007333EC"/>
    <w:rsid w:val="00734C41"/>
    <w:rsid w:val="007355C7"/>
    <w:rsid w:val="00736976"/>
    <w:rsid w:val="00736F2B"/>
    <w:rsid w:val="00737BF9"/>
    <w:rsid w:val="00737EAB"/>
    <w:rsid w:val="00740098"/>
    <w:rsid w:val="00740CE6"/>
    <w:rsid w:val="00740F8C"/>
    <w:rsid w:val="00741EBB"/>
    <w:rsid w:val="007421E2"/>
    <w:rsid w:val="0074280E"/>
    <w:rsid w:val="00743E6A"/>
    <w:rsid w:val="00743F2C"/>
    <w:rsid w:val="00744292"/>
    <w:rsid w:val="00744387"/>
    <w:rsid w:val="0074522C"/>
    <w:rsid w:val="00745297"/>
    <w:rsid w:val="00746BC8"/>
    <w:rsid w:val="00746E47"/>
    <w:rsid w:val="007519B6"/>
    <w:rsid w:val="00752C33"/>
    <w:rsid w:val="007530E3"/>
    <w:rsid w:val="00753219"/>
    <w:rsid w:val="0075333E"/>
    <w:rsid w:val="00753391"/>
    <w:rsid w:val="00754831"/>
    <w:rsid w:val="007600F0"/>
    <w:rsid w:val="00760E6A"/>
    <w:rsid w:val="00762A34"/>
    <w:rsid w:val="00763BD4"/>
    <w:rsid w:val="007654E4"/>
    <w:rsid w:val="00765892"/>
    <w:rsid w:val="0077162E"/>
    <w:rsid w:val="007744FA"/>
    <w:rsid w:val="007747BC"/>
    <w:rsid w:val="007748D7"/>
    <w:rsid w:val="0077548D"/>
    <w:rsid w:val="00776362"/>
    <w:rsid w:val="00776B5A"/>
    <w:rsid w:val="00776EC4"/>
    <w:rsid w:val="00777095"/>
    <w:rsid w:val="0077764B"/>
    <w:rsid w:val="00780EA7"/>
    <w:rsid w:val="00780EBA"/>
    <w:rsid w:val="00781CE2"/>
    <w:rsid w:val="007831EE"/>
    <w:rsid w:val="00783AE7"/>
    <w:rsid w:val="00783CBB"/>
    <w:rsid w:val="00784804"/>
    <w:rsid w:val="00785661"/>
    <w:rsid w:val="0078580A"/>
    <w:rsid w:val="007868FB"/>
    <w:rsid w:val="0078761D"/>
    <w:rsid w:val="00787F88"/>
    <w:rsid w:val="00790783"/>
    <w:rsid w:val="007939BE"/>
    <w:rsid w:val="007939F8"/>
    <w:rsid w:val="00793CC8"/>
    <w:rsid w:val="00793E6D"/>
    <w:rsid w:val="007943EE"/>
    <w:rsid w:val="00794DD5"/>
    <w:rsid w:val="00797252"/>
    <w:rsid w:val="0079749F"/>
    <w:rsid w:val="007A0054"/>
    <w:rsid w:val="007A0C84"/>
    <w:rsid w:val="007A26A6"/>
    <w:rsid w:val="007A3E39"/>
    <w:rsid w:val="007A5683"/>
    <w:rsid w:val="007A5A19"/>
    <w:rsid w:val="007A5C97"/>
    <w:rsid w:val="007A5D65"/>
    <w:rsid w:val="007A6432"/>
    <w:rsid w:val="007A64F8"/>
    <w:rsid w:val="007A65D7"/>
    <w:rsid w:val="007A6622"/>
    <w:rsid w:val="007A677E"/>
    <w:rsid w:val="007A67EE"/>
    <w:rsid w:val="007A6D02"/>
    <w:rsid w:val="007A7432"/>
    <w:rsid w:val="007A7C80"/>
    <w:rsid w:val="007B06DA"/>
    <w:rsid w:val="007B3E9F"/>
    <w:rsid w:val="007B41CE"/>
    <w:rsid w:val="007B43F2"/>
    <w:rsid w:val="007B469E"/>
    <w:rsid w:val="007B4789"/>
    <w:rsid w:val="007B4A4B"/>
    <w:rsid w:val="007B4B0B"/>
    <w:rsid w:val="007B5582"/>
    <w:rsid w:val="007B55CB"/>
    <w:rsid w:val="007B5C8A"/>
    <w:rsid w:val="007B7501"/>
    <w:rsid w:val="007C1018"/>
    <w:rsid w:val="007C2072"/>
    <w:rsid w:val="007C47EE"/>
    <w:rsid w:val="007C48E5"/>
    <w:rsid w:val="007C4B16"/>
    <w:rsid w:val="007C4BB6"/>
    <w:rsid w:val="007C598C"/>
    <w:rsid w:val="007C6187"/>
    <w:rsid w:val="007C6FB4"/>
    <w:rsid w:val="007D06C8"/>
    <w:rsid w:val="007D0E17"/>
    <w:rsid w:val="007D16BE"/>
    <w:rsid w:val="007D247C"/>
    <w:rsid w:val="007D3547"/>
    <w:rsid w:val="007D3A54"/>
    <w:rsid w:val="007D4400"/>
    <w:rsid w:val="007D47BB"/>
    <w:rsid w:val="007D49DA"/>
    <w:rsid w:val="007D78FD"/>
    <w:rsid w:val="007E0614"/>
    <w:rsid w:val="007E06E7"/>
    <w:rsid w:val="007E0A06"/>
    <w:rsid w:val="007E1E35"/>
    <w:rsid w:val="007E24AD"/>
    <w:rsid w:val="007E2F62"/>
    <w:rsid w:val="007E3147"/>
    <w:rsid w:val="007E5026"/>
    <w:rsid w:val="007E52B0"/>
    <w:rsid w:val="007E584F"/>
    <w:rsid w:val="007F0459"/>
    <w:rsid w:val="007F07AA"/>
    <w:rsid w:val="007F1DDC"/>
    <w:rsid w:val="007F2569"/>
    <w:rsid w:val="007F3033"/>
    <w:rsid w:val="007F3C0C"/>
    <w:rsid w:val="007F40EB"/>
    <w:rsid w:val="007F777F"/>
    <w:rsid w:val="007F7953"/>
    <w:rsid w:val="00800B0D"/>
    <w:rsid w:val="008015B2"/>
    <w:rsid w:val="00801893"/>
    <w:rsid w:val="0080193B"/>
    <w:rsid w:val="00801E2D"/>
    <w:rsid w:val="00803EE2"/>
    <w:rsid w:val="00805277"/>
    <w:rsid w:val="00806EC1"/>
    <w:rsid w:val="00807E68"/>
    <w:rsid w:val="00810AB7"/>
    <w:rsid w:val="008123A4"/>
    <w:rsid w:val="00812FBF"/>
    <w:rsid w:val="00814076"/>
    <w:rsid w:val="00815A4D"/>
    <w:rsid w:val="00815D89"/>
    <w:rsid w:val="00815EBF"/>
    <w:rsid w:val="008170D7"/>
    <w:rsid w:val="0081711A"/>
    <w:rsid w:val="0081749E"/>
    <w:rsid w:val="00817F23"/>
    <w:rsid w:val="008241C2"/>
    <w:rsid w:val="0082443B"/>
    <w:rsid w:val="00824FDE"/>
    <w:rsid w:val="00825805"/>
    <w:rsid w:val="00830DF8"/>
    <w:rsid w:val="00831ACE"/>
    <w:rsid w:val="00831BD5"/>
    <w:rsid w:val="00832253"/>
    <w:rsid w:val="00832CFD"/>
    <w:rsid w:val="00833667"/>
    <w:rsid w:val="00834BF3"/>
    <w:rsid w:val="008367F5"/>
    <w:rsid w:val="008368B5"/>
    <w:rsid w:val="00836C66"/>
    <w:rsid w:val="008370DB"/>
    <w:rsid w:val="00837869"/>
    <w:rsid w:val="0083789B"/>
    <w:rsid w:val="00837E49"/>
    <w:rsid w:val="008407D7"/>
    <w:rsid w:val="00841510"/>
    <w:rsid w:val="00841726"/>
    <w:rsid w:val="00841735"/>
    <w:rsid w:val="00842F7F"/>
    <w:rsid w:val="00842FD7"/>
    <w:rsid w:val="00843032"/>
    <w:rsid w:val="00843368"/>
    <w:rsid w:val="008440DE"/>
    <w:rsid w:val="00844175"/>
    <w:rsid w:val="008458B2"/>
    <w:rsid w:val="008468CC"/>
    <w:rsid w:val="00850A53"/>
    <w:rsid w:val="00851841"/>
    <w:rsid w:val="008521E3"/>
    <w:rsid w:val="0085262A"/>
    <w:rsid w:val="00853F3E"/>
    <w:rsid w:val="0085407C"/>
    <w:rsid w:val="008559B0"/>
    <w:rsid w:val="00856266"/>
    <w:rsid w:val="0085646E"/>
    <w:rsid w:val="0085708F"/>
    <w:rsid w:val="008571AE"/>
    <w:rsid w:val="00861013"/>
    <w:rsid w:val="008621BE"/>
    <w:rsid w:val="008627D9"/>
    <w:rsid w:val="00862E0C"/>
    <w:rsid w:val="00864E5E"/>
    <w:rsid w:val="00866E5D"/>
    <w:rsid w:val="00867159"/>
    <w:rsid w:val="008671A7"/>
    <w:rsid w:val="00867368"/>
    <w:rsid w:val="00867C2D"/>
    <w:rsid w:val="00870671"/>
    <w:rsid w:val="00870857"/>
    <w:rsid w:val="00870A55"/>
    <w:rsid w:val="008712F8"/>
    <w:rsid w:val="008719CD"/>
    <w:rsid w:val="00873424"/>
    <w:rsid w:val="00873EB2"/>
    <w:rsid w:val="008748F5"/>
    <w:rsid w:val="00875C5C"/>
    <w:rsid w:val="00876750"/>
    <w:rsid w:val="008767B4"/>
    <w:rsid w:val="008802EE"/>
    <w:rsid w:val="00881AA3"/>
    <w:rsid w:val="008846C8"/>
    <w:rsid w:val="008855DE"/>
    <w:rsid w:val="00885A1C"/>
    <w:rsid w:val="008862F9"/>
    <w:rsid w:val="00886396"/>
    <w:rsid w:val="0088778C"/>
    <w:rsid w:val="00890838"/>
    <w:rsid w:val="00890F3A"/>
    <w:rsid w:val="0089213C"/>
    <w:rsid w:val="008953D1"/>
    <w:rsid w:val="00897611"/>
    <w:rsid w:val="008A11AF"/>
    <w:rsid w:val="008A1933"/>
    <w:rsid w:val="008A1C2B"/>
    <w:rsid w:val="008A2812"/>
    <w:rsid w:val="008A28BA"/>
    <w:rsid w:val="008A2A37"/>
    <w:rsid w:val="008A3071"/>
    <w:rsid w:val="008A351E"/>
    <w:rsid w:val="008A3B93"/>
    <w:rsid w:val="008A3C48"/>
    <w:rsid w:val="008A3DB8"/>
    <w:rsid w:val="008A47DE"/>
    <w:rsid w:val="008A4CD6"/>
    <w:rsid w:val="008A53B4"/>
    <w:rsid w:val="008B0756"/>
    <w:rsid w:val="008B128B"/>
    <w:rsid w:val="008B1A79"/>
    <w:rsid w:val="008B1CFF"/>
    <w:rsid w:val="008B1F19"/>
    <w:rsid w:val="008B234D"/>
    <w:rsid w:val="008B2B85"/>
    <w:rsid w:val="008B33FC"/>
    <w:rsid w:val="008B387A"/>
    <w:rsid w:val="008B4B0D"/>
    <w:rsid w:val="008B4C4D"/>
    <w:rsid w:val="008B5401"/>
    <w:rsid w:val="008B552D"/>
    <w:rsid w:val="008B5ADF"/>
    <w:rsid w:val="008B6245"/>
    <w:rsid w:val="008B769D"/>
    <w:rsid w:val="008C1E4D"/>
    <w:rsid w:val="008C36F7"/>
    <w:rsid w:val="008C3914"/>
    <w:rsid w:val="008C3DCD"/>
    <w:rsid w:val="008C4334"/>
    <w:rsid w:val="008C471A"/>
    <w:rsid w:val="008C522D"/>
    <w:rsid w:val="008C6AAB"/>
    <w:rsid w:val="008D084C"/>
    <w:rsid w:val="008D1961"/>
    <w:rsid w:val="008D2AB6"/>
    <w:rsid w:val="008D5DD6"/>
    <w:rsid w:val="008D69E2"/>
    <w:rsid w:val="008D6EEA"/>
    <w:rsid w:val="008E14F4"/>
    <w:rsid w:val="008E28DA"/>
    <w:rsid w:val="008E4908"/>
    <w:rsid w:val="008E5ABD"/>
    <w:rsid w:val="008E689E"/>
    <w:rsid w:val="008E76E1"/>
    <w:rsid w:val="008F07CB"/>
    <w:rsid w:val="008F10BF"/>
    <w:rsid w:val="008F1CA3"/>
    <w:rsid w:val="008F2074"/>
    <w:rsid w:val="008F337F"/>
    <w:rsid w:val="008F3E9A"/>
    <w:rsid w:val="008F5ED8"/>
    <w:rsid w:val="008F5F6F"/>
    <w:rsid w:val="008F7740"/>
    <w:rsid w:val="00900681"/>
    <w:rsid w:val="00900DFE"/>
    <w:rsid w:val="00901058"/>
    <w:rsid w:val="0090371C"/>
    <w:rsid w:val="009039BF"/>
    <w:rsid w:val="009040A6"/>
    <w:rsid w:val="00904D2E"/>
    <w:rsid w:val="009058FD"/>
    <w:rsid w:val="009060BE"/>
    <w:rsid w:val="009068FA"/>
    <w:rsid w:val="00906931"/>
    <w:rsid w:val="00906B48"/>
    <w:rsid w:val="00906C44"/>
    <w:rsid w:val="0090796C"/>
    <w:rsid w:val="00907EE1"/>
    <w:rsid w:val="009117F6"/>
    <w:rsid w:val="00912198"/>
    <w:rsid w:val="0091227E"/>
    <w:rsid w:val="00912F18"/>
    <w:rsid w:val="00913213"/>
    <w:rsid w:val="009135EE"/>
    <w:rsid w:val="009138F8"/>
    <w:rsid w:val="00914911"/>
    <w:rsid w:val="00916185"/>
    <w:rsid w:val="00917496"/>
    <w:rsid w:val="0092091E"/>
    <w:rsid w:val="00921790"/>
    <w:rsid w:val="00921832"/>
    <w:rsid w:val="00923346"/>
    <w:rsid w:val="00923776"/>
    <w:rsid w:val="009262DB"/>
    <w:rsid w:val="00926799"/>
    <w:rsid w:val="00930790"/>
    <w:rsid w:val="00931DC0"/>
    <w:rsid w:val="00932FB4"/>
    <w:rsid w:val="009338E6"/>
    <w:rsid w:val="00933C30"/>
    <w:rsid w:val="0093496F"/>
    <w:rsid w:val="00935799"/>
    <w:rsid w:val="00936690"/>
    <w:rsid w:val="00936788"/>
    <w:rsid w:val="00937FEF"/>
    <w:rsid w:val="00940102"/>
    <w:rsid w:val="009418D8"/>
    <w:rsid w:val="00942A25"/>
    <w:rsid w:val="009438D0"/>
    <w:rsid w:val="009440CC"/>
    <w:rsid w:val="009445AC"/>
    <w:rsid w:val="00944AFD"/>
    <w:rsid w:val="009462FD"/>
    <w:rsid w:val="00946496"/>
    <w:rsid w:val="009476AD"/>
    <w:rsid w:val="009505DB"/>
    <w:rsid w:val="00950F59"/>
    <w:rsid w:val="00950F83"/>
    <w:rsid w:val="0095101B"/>
    <w:rsid w:val="009521A2"/>
    <w:rsid w:val="0095278D"/>
    <w:rsid w:val="0095320C"/>
    <w:rsid w:val="0095362A"/>
    <w:rsid w:val="009545B6"/>
    <w:rsid w:val="00955A08"/>
    <w:rsid w:val="00956740"/>
    <w:rsid w:val="00956A0A"/>
    <w:rsid w:val="00957CC2"/>
    <w:rsid w:val="00957FFA"/>
    <w:rsid w:val="009602DE"/>
    <w:rsid w:val="0096048D"/>
    <w:rsid w:val="009612CE"/>
    <w:rsid w:val="009619C1"/>
    <w:rsid w:val="0096275E"/>
    <w:rsid w:val="00963B2A"/>
    <w:rsid w:val="00964B08"/>
    <w:rsid w:val="00965226"/>
    <w:rsid w:val="00965887"/>
    <w:rsid w:val="00965CAF"/>
    <w:rsid w:val="009661E5"/>
    <w:rsid w:val="0097197C"/>
    <w:rsid w:val="009727CD"/>
    <w:rsid w:val="009741E1"/>
    <w:rsid w:val="00974327"/>
    <w:rsid w:val="0097569A"/>
    <w:rsid w:val="00975D26"/>
    <w:rsid w:val="0098034F"/>
    <w:rsid w:val="009807A5"/>
    <w:rsid w:val="00980B9D"/>
    <w:rsid w:val="00981107"/>
    <w:rsid w:val="0098250E"/>
    <w:rsid w:val="0098279B"/>
    <w:rsid w:val="0098402D"/>
    <w:rsid w:val="00984085"/>
    <w:rsid w:val="0098410A"/>
    <w:rsid w:val="009856E7"/>
    <w:rsid w:val="00985CA1"/>
    <w:rsid w:val="00986176"/>
    <w:rsid w:val="00986BAE"/>
    <w:rsid w:val="00986C2C"/>
    <w:rsid w:val="00987969"/>
    <w:rsid w:val="00987AA7"/>
    <w:rsid w:val="00990D22"/>
    <w:rsid w:val="009912CB"/>
    <w:rsid w:val="009923A3"/>
    <w:rsid w:val="0099298B"/>
    <w:rsid w:val="00993460"/>
    <w:rsid w:val="00993C83"/>
    <w:rsid w:val="00994D8B"/>
    <w:rsid w:val="00994FE4"/>
    <w:rsid w:val="00996BC4"/>
    <w:rsid w:val="009A129F"/>
    <w:rsid w:val="009A1978"/>
    <w:rsid w:val="009A21F6"/>
    <w:rsid w:val="009A25B0"/>
    <w:rsid w:val="009A29A6"/>
    <w:rsid w:val="009A3397"/>
    <w:rsid w:val="009A43F6"/>
    <w:rsid w:val="009B04AF"/>
    <w:rsid w:val="009B11F8"/>
    <w:rsid w:val="009B2A6D"/>
    <w:rsid w:val="009B2D52"/>
    <w:rsid w:val="009B4FF0"/>
    <w:rsid w:val="009B75BD"/>
    <w:rsid w:val="009B7BCB"/>
    <w:rsid w:val="009B7C84"/>
    <w:rsid w:val="009B7E00"/>
    <w:rsid w:val="009C2273"/>
    <w:rsid w:val="009C4AB2"/>
    <w:rsid w:val="009C4CC8"/>
    <w:rsid w:val="009C62FB"/>
    <w:rsid w:val="009C6797"/>
    <w:rsid w:val="009C6866"/>
    <w:rsid w:val="009C737B"/>
    <w:rsid w:val="009C7AB5"/>
    <w:rsid w:val="009D4E77"/>
    <w:rsid w:val="009D56B4"/>
    <w:rsid w:val="009D64F8"/>
    <w:rsid w:val="009E0004"/>
    <w:rsid w:val="009E1142"/>
    <w:rsid w:val="009E3219"/>
    <w:rsid w:val="009E36F1"/>
    <w:rsid w:val="009F013A"/>
    <w:rsid w:val="009F0A66"/>
    <w:rsid w:val="009F0D4B"/>
    <w:rsid w:val="009F1003"/>
    <w:rsid w:val="009F1A64"/>
    <w:rsid w:val="009F2500"/>
    <w:rsid w:val="009F29F8"/>
    <w:rsid w:val="009F378F"/>
    <w:rsid w:val="009F3898"/>
    <w:rsid w:val="009F4566"/>
    <w:rsid w:val="009F4967"/>
    <w:rsid w:val="009F4D86"/>
    <w:rsid w:val="009F6BD4"/>
    <w:rsid w:val="00A010AC"/>
    <w:rsid w:val="00A012CB"/>
    <w:rsid w:val="00A01749"/>
    <w:rsid w:val="00A01DFE"/>
    <w:rsid w:val="00A022DC"/>
    <w:rsid w:val="00A02545"/>
    <w:rsid w:val="00A0277C"/>
    <w:rsid w:val="00A03C42"/>
    <w:rsid w:val="00A0406D"/>
    <w:rsid w:val="00A04532"/>
    <w:rsid w:val="00A04726"/>
    <w:rsid w:val="00A04FCC"/>
    <w:rsid w:val="00A0502A"/>
    <w:rsid w:val="00A054E2"/>
    <w:rsid w:val="00A0582E"/>
    <w:rsid w:val="00A06759"/>
    <w:rsid w:val="00A111EF"/>
    <w:rsid w:val="00A1219E"/>
    <w:rsid w:val="00A122F7"/>
    <w:rsid w:val="00A16332"/>
    <w:rsid w:val="00A163DC"/>
    <w:rsid w:val="00A204D7"/>
    <w:rsid w:val="00A21CC1"/>
    <w:rsid w:val="00A22941"/>
    <w:rsid w:val="00A23E9D"/>
    <w:rsid w:val="00A26E82"/>
    <w:rsid w:val="00A32431"/>
    <w:rsid w:val="00A33195"/>
    <w:rsid w:val="00A34FC8"/>
    <w:rsid w:val="00A36CB4"/>
    <w:rsid w:val="00A41040"/>
    <w:rsid w:val="00A42BB7"/>
    <w:rsid w:val="00A44956"/>
    <w:rsid w:val="00A50BAD"/>
    <w:rsid w:val="00A5290A"/>
    <w:rsid w:val="00A5350B"/>
    <w:rsid w:val="00A543D1"/>
    <w:rsid w:val="00A55061"/>
    <w:rsid w:val="00A56178"/>
    <w:rsid w:val="00A56C37"/>
    <w:rsid w:val="00A57384"/>
    <w:rsid w:val="00A6033F"/>
    <w:rsid w:val="00A60898"/>
    <w:rsid w:val="00A622EE"/>
    <w:rsid w:val="00A672E1"/>
    <w:rsid w:val="00A67327"/>
    <w:rsid w:val="00A71146"/>
    <w:rsid w:val="00A72020"/>
    <w:rsid w:val="00A72AE5"/>
    <w:rsid w:val="00A73C76"/>
    <w:rsid w:val="00A74973"/>
    <w:rsid w:val="00A76D03"/>
    <w:rsid w:val="00A77295"/>
    <w:rsid w:val="00A80115"/>
    <w:rsid w:val="00A80362"/>
    <w:rsid w:val="00A80955"/>
    <w:rsid w:val="00A80C4E"/>
    <w:rsid w:val="00A81645"/>
    <w:rsid w:val="00A82688"/>
    <w:rsid w:val="00A850EC"/>
    <w:rsid w:val="00A856D3"/>
    <w:rsid w:val="00A9027B"/>
    <w:rsid w:val="00A90AF2"/>
    <w:rsid w:val="00A916D4"/>
    <w:rsid w:val="00A91809"/>
    <w:rsid w:val="00A94DF4"/>
    <w:rsid w:val="00A95528"/>
    <w:rsid w:val="00A95618"/>
    <w:rsid w:val="00A9665A"/>
    <w:rsid w:val="00AA04C9"/>
    <w:rsid w:val="00AA0D32"/>
    <w:rsid w:val="00AA0FB9"/>
    <w:rsid w:val="00AA283C"/>
    <w:rsid w:val="00AA2E04"/>
    <w:rsid w:val="00AA3078"/>
    <w:rsid w:val="00AA3D4B"/>
    <w:rsid w:val="00AA3FB7"/>
    <w:rsid w:val="00AA4EB8"/>
    <w:rsid w:val="00AA50D9"/>
    <w:rsid w:val="00AA58B7"/>
    <w:rsid w:val="00AA5B89"/>
    <w:rsid w:val="00AA5D9F"/>
    <w:rsid w:val="00AA638E"/>
    <w:rsid w:val="00AA7570"/>
    <w:rsid w:val="00AA7598"/>
    <w:rsid w:val="00AA7CAF"/>
    <w:rsid w:val="00AB0606"/>
    <w:rsid w:val="00AB48C5"/>
    <w:rsid w:val="00AB5348"/>
    <w:rsid w:val="00AB5D7C"/>
    <w:rsid w:val="00AB6034"/>
    <w:rsid w:val="00AC05C8"/>
    <w:rsid w:val="00AC0E06"/>
    <w:rsid w:val="00AC1CE0"/>
    <w:rsid w:val="00AC2C10"/>
    <w:rsid w:val="00AC30B3"/>
    <w:rsid w:val="00AD1342"/>
    <w:rsid w:val="00AD2046"/>
    <w:rsid w:val="00AD31E8"/>
    <w:rsid w:val="00AD366D"/>
    <w:rsid w:val="00AD5317"/>
    <w:rsid w:val="00AD5453"/>
    <w:rsid w:val="00AD5A25"/>
    <w:rsid w:val="00AD6246"/>
    <w:rsid w:val="00AD661E"/>
    <w:rsid w:val="00AD6D86"/>
    <w:rsid w:val="00AD7953"/>
    <w:rsid w:val="00AD7CEB"/>
    <w:rsid w:val="00AE08B3"/>
    <w:rsid w:val="00AE151C"/>
    <w:rsid w:val="00AE2241"/>
    <w:rsid w:val="00AE27EF"/>
    <w:rsid w:val="00AE3C69"/>
    <w:rsid w:val="00AE5C2D"/>
    <w:rsid w:val="00AE66C5"/>
    <w:rsid w:val="00AE6F3A"/>
    <w:rsid w:val="00AF0299"/>
    <w:rsid w:val="00AF06C9"/>
    <w:rsid w:val="00AF288D"/>
    <w:rsid w:val="00AF2E3D"/>
    <w:rsid w:val="00AF2F90"/>
    <w:rsid w:val="00B00120"/>
    <w:rsid w:val="00B013DC"/>
    <w:rsid w:val="00B027F0"/>
    <w:rsid w:val="00B03184"/>
    <w:rsid w:val="00B031E5"/>
    <w:rsid w:val="00B035A5"/>
    <w:rsid w:val="00B057B9"/>
    <w:rsid w:val="00B05C12"/>
    <w:rsid w:val="00B11498"/>
    <w:rsid w:val="00B1184A"/>
    <w:rsid w:val="00B11967"/>
    <w:rsid w:val="00B11A93"/>
    <w:rsid w:val="00B13020"/>
    <w:rsid w:val="00B1311D"/>
    <w:rsid w:val="00B13847"/>
    <w:rsid w:val="00B1393A"/>
    <w:rsid w:val="00B13AB0"/>
    <w:rsid w:val="00B15595"/>
    <w:rsid w:val="00B15AEF"/>
    <w:rsid w:val="00B165D3"/>
    <w:rsid w:val="00B17D14"/>
    <w:rsid w:val="00B22A24"/>
    <w:rsid w:val="00B24967"/>
    <w:rsid w:val="00B2619D"/>
    <w:rsid w:val="00B30ECE"/>
    <w:rsid w:val="00B31544"/>
    <w:rsid w:val="00B3156E"/>
    <w:rsid w:val="00B32305"/>
    <w:rsid w:val="00B33FA1"/>
    <w:rsid w:val="00B3412C"/>
    <w:rsid w:val="00B376F0"/>
    <w:rsid w:val="00B37BED"/>
    <w:rsid w:val="00B40399"/>
    <w:rsid w:val="00B407B2"/>
    <w:rsid w:val="00B40CAC"/>
    <w:rsid w:val="00B43278"/>
    <w:rsid w:val="00B43F1D"/>
    <w:rsid w:val="00B4570D"/>
    <w:rsid w:val="00B4582E"/>
    <w:rsid w:val="00B50779"/>
    <w:rsid w:val="00B513F2"/>
    <w:rsid w:val="00B5171B"/>
    <w:rsid w:val="00B51B04"/>
    <w:rsid w:val="00B524B2"/>
    <w:rsid w:val="00B52776"/>
    <w:rsid w:val="00B52828"/>
    <w:rsid w:val="00B532C3"/>
    <w:rsid w:val="00B537D2"/>
    <w:rsid w:val="00B5531E"/>
    <w:rsid w:val="00B55A90"/>
    <w:rsid w:val="00B60773"/>
    <w:rsid w:val="00B622CC"/>
    <w:rsid w:val="00B62EE0"/>
    <w:rsid w:val="00B64711"/>
    <w:rsid w:val="00B6519D"/>
    <w:rsid w:val="00B658FE"/>
    <w:rsid w:val="00B6743A"/>
    <w:rsid w:val="00B67544"/>
    <w:rsid w:val="00B67812"/>
    <w:rsid w:val="00B6782B"/>
    <w:rsid w:val="00B73C43"/>
    <w:rsid w:val="00B7475A"/>
    <w:rsid w:val="00B75CC7"/>
    <w:rsid w:val="00B76BBB"/>
    <w:rsid w:val="00B77F33"/>
    <w:rsid w:val="00B811E0"/>
    <w:rsid w:val="00B830F6"/>
    <w:rsid w:val="00B83291"/>
    <w:rsid w:val="00B83CB4"/>
    <w:rsid w:val="00B848B6"/>
    <w:rsid w:val="00B87603"/>
    <w:rsid w:val="00B908DF"/>
    <w:rsid w:val="00B911DA"/>
    <w:rsid w:val="00B94D66"/>
    <w:rsid w:val="00B954AA"/>
    <w:rsid w:val="00B956F7"/>
    <w:rsid w:val="00B96DE6"/>
    <w:rsid w:val="00B97993"/>
    <w:rsid w:val="00BA0C66"/>
    <w:rsid w:val="00BA15AA"/>
    <w:rsid w:val="00BA1BDA"/>
    <w:rsid w:val="00BA1D61"/>
    <w:rsid w:val="00BA39D7"/>
    <w:rsid w:val="00BA4874"/>
    <w:rsid w:val="00BA57A0"/>
    <w:rsid w:val="00BA67AE"/>
    <w:rsid w:val="00BA734A"/>
    <w:rsid w:val="00BB15EB"/>
    <w:rsid w:val="00BB1EC3"/>
    <w:rsid w:val="00BB2003"/>
    <w:rsid w:val="00BB2228"/>
    <w:rsid w:val="00BB2447"/>
    <w:rsid w:val="00BB2ECA"/>
    <w:rsid w:val="00BB6511"/>
    <w:rsid w:val="00BB6C22"/>
    <w:rsid w:val="00BC0FC9"/>
    <w:rsid w:val="00BC1480"/>
    <w:rsid w:val="00BC2377"/>
    <w:rsid w:val="00BC37EE"/>
    <w:rsid w:val="00BC3FA6"/>
    <w:rsid w:val="00BC4180"/>
    <w:rsid w:val="00BC43FE"/>
    <w:rsid w:val="00BC47B2"/>
    <w:rsid w:val="00BC61E5"/>
    <w:rsid w:val="00BC68BC"/>
    <w:rsid w:val="00BC728B"/>
    <w:rsid w:val="00BC76E4"/>
    <w:rsid w:val="00BC772F"/>
    <w:rsid w:val="00BD031F"/>
    <w:rsid w:val="00BD036F"/>
    <w:rsid w:val="00BD1146"/>
    <w:rsid w:val="00BD1742"/>
    <w:rsid w:val="00BD1E39"/>
    <w:rsid w:val="00BD2480"/>
    <w:rsid w:val="00BD2BA1"/>
    <w:rsid w:val="00BD3A04"/>
    <w:rsid w:val="00BD4903"/>
    <w:rsid w:val="00BD564F"/>
    <w:rsid w:val="00BD5758"/>
    <w:rsid w:val="00BD791F"/>
    <w:rsid w:val="00BE16D7"/>
    <w:rsid w:val="00BE17F1"/>
    <w:rsid w:val="00BE1D49"/>
    <w:rsid w:val="00BF4ECE"/>
    <w:rsid w:val="00BF5EB1"/>
    <w:rsid w:val="00BF71AA"/>
    <w:rsid w:val="00BF73D9"/>
    <w:rsid w:val="00BF74A2"/>
    <w:rsid w:val="00BF7627"/>
    <w:rsid w:val="00BF8719"/>
    <w:rsid w:val="00C003A0"/>
    <w:rsid w:val="00C0083E"/>
    <w:rsid w:val="00C01192"/>
    <w:rsid w:val="00C0143C"/>
    <w:rsid w:val="00C01D7C"/>
    <w:rsid w:val="00C02DD7"/>
    <w:rsid w:val="00C038BA"/>
    <w:rsid w:val="00C041A7"/>
    <w:rsid w:val="00C0586C"/>
    <w:rsid w:val="00C05EEF"/>
    <w:rsid w:val="00C06047"/>
    <w:rsid w:val="00C06B66"/>
    <w:rsid w:val="00C06D4F"/>
    <w:rsid w:val="00C07CBA"/>
    <w:rsid w:val="00C110DD"/>
    <w:rsid w:val="00C11BA2"/>
    <w:rsid w:val="00C12B11"/>
    <w:rsid w:val="00C1374A"/>
    <w:rsid w:val="00C138A6"/>
    <w:rsid w:val="00C14FF8"/>
    <w:rsid w:val="00C15447"/>
    <w:rsid w:val="00C159AE"/>
    <w:rsid w:val="00C16861"/>
    <w:rsid w:val="00C20300"/>
    <w:rsid w:val="00C203C3"/>
    <w:rsid w:val="00C20740"/>
    <w:rsid w:val="00C21B27"/>
    <w:rsid w:val="00C2226D"/>
    <w:rsid w:val="00C23292"/>
    <w:rsid w:val="00C23DEC"/>
    <w:rsid w:val="00C245FC"/>
    <w:rsid w:val="00C2472B"/>
    <w:rsid w:val="00C24C63"/>
    <w:rsid w:val="00C252CA"/>
    <w:rsid w:val="00C26DCB"/>
    <w:rsid w:val="00C32064"/>
    <w:rsid w:val="00C33769"/>
    <w:rsid w:val="00C34084"/>
    <w:rsid w:val="00C36960"/>
    <w:rsid w:val="00C36F1D"/>
    <w:rsid w:val="00C41BA9"/>
    <w:rsid w:val="00C427BA"/>
    <w:rsid w:val="00C43059"/>
    <w:rsid w:val="00C43D8F"/>
    <w:rsid w:val="00C44106"/>
    <w:rsid w:val="00C46AAB"/>
    <w:rsid w:val="00C473A2"/>
    <w:rsid w:val="00C50DF3"/>
    <w:rsid w:val="00C51710"/>
    <w:rsid w:val="00C52715"/>
    <w:rsid w:val="00C554F3"/>
    <w:rsid w:val="00C559A7"/>
    <w:rsid w:val="00C55B1F"/>
    <w:rsid w:val="00C5670E"/>
    <w:rsid w:val="00C575E2"/>
    <w:rsid w:val="00C606AD"/>
    <w:rsid w:val="00C60CE8"/>
    <w:rsid w:val="00C61278"/>
    <w:rsid w:val="00C6166E"/>
    <w:rsid w:val="00C617F3"/>
    <w:rsid w:val="00C64205"/>
    <w:rsid w:val="00C65732"/>
    <w:rsid w:val="00C66A49"/>
    <w:rsid w:val="00C66A7F"/>
    <w:rsid w:val="00C703A7"/>
    <w:rsid w:val="00C72EB6"/>
    <w:rsid w:val="00C7312B"/>
    <w:rsid w:val="00C75E7B"/>
    <w:rsid w:val="00C75F10"/>
    <w:rsid w:val="00C76798"/>
    <w:rsid w:val="00C767D3"/>
    <w:rsid w:val="00C773F0"/>
    <w:rsid w:val="00C77AE4"/>
    <w:rsid w:val="00C803AA"/>
    <w:rsid w:val="00C806D2"/>
    <w:rsid w:val="00C8092B"/>
    <w:rsid w:val="00C8153F"/>
    <w:rsid w:val="00C824D7"/>
    <w:rsid w:val="00C82A54"/>
    <w:rsid w:val="00C834CB"/>
    <w:rsid w:val="00C83F52"/>
    <w:rsid w:val="00C84855"/>
    <w:rsid w:val="00C86199"/>
    <w:rsid w:val="00C8670A"/>
    <w:rsid w:val="00C87235"/>
    <w:rsid w:val="00C87269"/>
    <w:rsid w:val="00C87520"/>
    <w:rsid w:val="00C87A02"/>
    <w:rsid w:val="00C87A78"/>
    <w:rsid w:val="00C90476"/>
    <w:rsid w:val="00C9119A"/>
    <w:rsid w:val="00C9215A"/>
    <w:rsid w:val="00C939B8"/>
    <w:rsid w:val="00C94603"/>
    <w:rsid w:val="00C9604E"/>
    <w:rsid w:val="00C9614E"/>
    <w:rsid w:val="00C97BF8"/>
    <w:rsid w:val="00CA011E"/>
    <w:rsid w:val="00CA080F"/>
    <w:rsid w:val="00CA091B"/>
    <w:rsid w:val="00CA2BBB"/>
    <w:rsid w:val="00CA3020"/>
    <w:rsid w:val="00CA3E8B"/>
    <w:rsid w:val="00CA3F8D"/>
    <w:rsid w:val="00CA4A4B"/>
    <w:rsid w:val="00CA4E6B"/>
    <w:rsid w:val="00CA5A0E"/>
    <w:rsid w:val="00CA62F9"/>
    <w:rsid w:val="00CB041F"/>
    <w:rsid w:val="00CB09F1"/>
    <w:rsid w:val="00CB1C9B"/>
    <w:rsid w:val="00CB1DC8"/>
    <w:rsid w:val="00CB2A46"/>
    <w:rsid w:val="00CB40E8"/>
    <w:rsid w:val="00CB4EF3"/>
    <w:rsid w:val="00CB4F48"/>
    <w:rsid w:val="00CB577B"/>
    <w:rsid w:val="00CB6480"/>
    <w:rsid w:val="00CB649D"/>
    <w:rsid w:val="00CB67BB"/>
    <w:rsid w:val="00CB6939"/>
    <w:rsid w:val="00CC0BBA"/>
    <w:rsid w:val="00CC1A99"/>
    <w:rsid w:val="00CC2233"/>
    <w:rsid w:val="00CC2481"/>
    <w:rsid w:val="00CC2837"/>
    <w:rsid w:val="00CC483E"/>
    <w:rsid w:val="00CC6304"/>
    <w:rsid w:val="00CC71EA"/>
    <w:rsid w:val="00CC76BF"/>
    <w:rsid w:val="00CD0186"/>
    <w:rsid w:val="00CD0F75"/>
    <w:rsid w:val="00CD144C"/>
    <w:rsid w:val="00CD1E5A"/>
    <w:rsid w:val="00CD2224"/>
    <w:rsid w:val="00CD2A02"/>
    <w:rsid w:val="00CD32AF"/>
    <w:rsid w:val="00CD37FB"/>
    <w:rsid w:val="00CD3A16"/>
    <w:rsid w:val="00CD417A"/>
    <w:rsid w:val="00CD474D"/>
    <w:rsid w:val="00CD4E17"/>
    <w:rsid w:val="00CD57FA"/>
    <w:rsid w:val="00CD6C8F"/>
    <w:rsid w:val="00CD75FA"/>
    <w:rsid w:val="00CE160F"/>
    <w:rsid w:val="00CE1896"/>
    <w:rsid w:val="00CE1C03"/>
    <w:rsid w:val="00CE2BC0"/>
    <w:rsid w:val="00CE3A81"/>
    <w:rsid w:val="00CE3D1F"/>
    <w:rsid w:val="00CE4012"/>
    <w:rsid w:val="00CE4646"/>
    <w:rsid w:val="00CE47B2"/>
    <w:rsid w:val="00CE4844"/>
    <w:rsid w:val="00CE4BE1"/>
    <w:rsid w:val="00CF2C19"/>
    <w:rsid w:val="00CF3BFB"/>
    <w:rsid w:val="00CF46B1"/>
    <w:rsid w:val="00CF5FF3"/>
    <w:rsid w:val="00CF7494"/>
    <w:rsid w:val="00D00102"/>
    <w:rsid w:val="00D007E5"/>
    <w:rsid w:val="00D00F71"/>
    <w:rsid w:val="00D0130E"/>
    <w:rsid w:val="00D0275A"/>
    <w:rsid w:val="00D04739"/>
    <w:rsid w:val="00D06449"/>
    <w:rsid w:val="00D07186"/>
    <w:rsid w:val="00D0743F"/>
    <w:rsid w:val="00D07D2D"/>
    <w:rsid w:val="00D1056D"/>
    <w:rsid w:val="00D1152E"/>
    <w:rsid w:val="00D11E01"/>
    <w:rsid w:val="00D123E9"/>
    <w:rsid w:val="00D14C24"/>
    <w:rsid w:val="00D154C3"/>
    <w:rsid w:val="00D15AD1"/>
    <w:rsid w:val="00D162DF"/>
    <w:rsid w:val="00D170F8"/>
    <w:rsid w:val="00D20461"/>
    <w:rsid w:val="00D2114B"/>
    <w:rsid w:val="00D2123F"/>
    <w:rsid w:val="00D22479"/>
    <w:rsid w:val="00D228CA"/>
    <w:rsid w:val="00D24F94"/>
    <w:rsid w:val="00D2513F"/>
    <w:rsid w:val="00D26861"/>
    <w:rsid w:val="00D27F69"/>
    <w:rsid w:val="00D30684"/>
    <w:rsid w:val="00D30B71"/>
    <w:rsid w:val="00D310BE"/>
    <w:rsid w:val="00D317EF"/>
    <w:rsid w:val="00D3216E"/>
    <w:rsid w:val="00D36337"/>
    <w:rsid w:val="00D374A1"/>
    <w:rsid w:val="00D3796D"/>
    <w:rsid w:val="00D40A33"/>
    <w:rsid w:val="00D4111F"/>
    <w:rsid w:val="00D41D52"/>
    <w:rsid w:val="00D4287B"/>
    <w:rsid w:val="00D43A16"/>
    <w:rsid w:val="00D44009"/>
    <w:rsid w:val="00D44430"/>
    <w:rsid w:val="00D449CF"/>
    <w:rsid w:val="00D44E4C"/>
    <w:rsid w:val="00D450EB"/>
    <w:rsid w:val="00D458B0"/>
    <w:rsid w:val="00D45B14"/>
    <w:rsid w:val="00D46BA6"/>
    <w:rsid w:val="00D46D8C"/>
    <w:rsid w:val="00D476C8"/>
    <w:rsid w:val="00D51CEC"/>
    <w:rsid w:val="00D528FB"/>
    <w:rsid w:val="00D532DB"/>
    <w:rsid w:val="00D53628"/>
    <w:rsid w:val="00D53E21"/>
    <w:rsid w:val="00D559AA"/>
    <w:rsid w:val="00D5745A"/>
    <w:rsid w:val="00D57483"/>
    <w:rsid w:val="00D57A45"/>
    <w:rsid w:val="00D602D1"/>
    <w:rsid w:val="00D6060A"/>
    <w:rsid w:val="00D60EEF"/>
    <w:rsid w:val="00D6181D"/>
    <w:rsid w:val="00D62401"/>
    <w:rsid w:val="00D6537F"/>
    <w:rsid w:val="00D6659E"/>
    <w:rsid w:val="00D67B6E"/>
    <w:rsid w:val="00D710E0"/>
    <w:rsid w:val="00D72A06"/>
    <w:rsid w:val="00D74B65"/>
    <w:rsid w:val="00D75909"/>
    <w:rsid w:val="00D76D71"/>
    <w:rsid w:val="00D77531"/>
    <w:rsid w:val="00D77A58"/>
    <w:rsid w:val="00D82A57"/>
    <w:rsid w:val="00D82EED"/>
    <w:rsid w:val="00D831EE"/>
    <w:rsid w:val="00D83505"/>
    <w:rsid w:val="00D8380F"/>
    <w:rsid w:val="00D83FAC"/>
    <w:rsid w:val="00D858BB"/>
    <w:rsid w:val="00D86291"/>
    <w:rsid w:val="00D8674A"/>
    <w:rsid w:val="00D877F5"/>
    <w:rsid w:val="00D87D6C"/>
    <w:rsid w:val="00D90692"/>
    <w:rsid w:val="00D94C6C"/>
    <w:rsid w:val="00D96651"/>
    <w:rsid w:val="00DA198B"/>
    <w:rsid w:val="00DA1BC4"/>
    <w:rsid w:val="00DA2017"/>
    <w:rsid w:val="00DA23F6"/>
    <w:rsid w:val="00DA2C1F"/>
    <w:rsid w:val="00DA49C4"/>
    <w:rsid w:val="00DA49C8"/>
    <w:rsid w:val="00DA4EDE"/>
    <w:rsid w:val="00DB04CE"/>
    <w:rsid w:val="00DB09B7"/>
    <w:rsid w:val="00DB0A5B"/>
    <w:rsid w:val="00DB2B6B"/>
    <w:rsid w:val="00DB6BB9"/>
    <w:rsid w:val="00DB7574"/>
    <w:rsid w:val="00DC04DA"/>
    <w:rsid w:val="00DC0B59"/>
    <w:rsid w:val="00DC0D4B"/>
    <w:rsid w:val="00DC30C0"/>
    <w:rsid w:val="00DC5F53"/>
    <w:rsid w:val="00DC65A7"/>
    <w:rsid w:val="00DC6F3A"/>
    <w:rsid w:val="00DC705E"/>
    <w:rsid w:val="00DD0FEB"/>
    <w:rsid w:val="00DD2AE6"/>
    <w:rsid w:val="00DD6738"/>
    <w:rsid w:val="00DD6C7F"/>
    <w:rsid w:val="00DE038E"/>
    <w:rsid w:val="00DE2D57"/>
    <w:rsid w:val="00DE3220"/>
    <w:rsid w:val="00DE44B3"/>
    <w:rsid w:val="00DE4916"/>
    <w:rsid w:val="00DE5D1E"/>
    <w:rsid w:val="00DE6402"/>
    <w:rsid w:val="00DE6D1F"/>
    <w:rsid w:val="00DF0DA3"/>
    <w:rsid w:val="00DF335D"/>
    <w:rsid w:val="00DF3F89"/>
    <w:rsid w:val="00DF41EA"/>
    <w:rsid w:val="00DF4C0B"/>
    <w:rsid w:val="00DF4CA3"/>
    <w:rsid w:val="00DF51FA"/>
    <w:rsid w:val="00DF540C"/>
    <w:rsid w:val="00DF5D2B"/>
    <w:rsid w:val="00DF6D82"/>
    <w:rsid w:val="00DF6F02"/>
    <w:rsid w:val="00E001A9"/>
    <w:rsid w:val="00E016B0"/>
    <w:rsid w:val="00E03661"/>
    <w:rsid w:val="00E05023"/>
    <w:rsid w:val="00E05758"/>
    <w:rsid w:val="00E0679C"/>
    <w:rsid w:val="00E06800"/>
    <w:rsid w:val="00E06ECC"/>
    <w:rsid w:val="00E072FE"/>
    <w:rsid w:val="00E07592"/>
    <w:rsid w:val="00E114E5"/>
    <w:rsid w:val="00E11C12"/>
    <w:rsid w:val="00E13B3B"/>
    <w:rsid w:val="00E152FF"/>
    <w:rsid w:val="00E1549C"/>
    <w:rsid w:val="00E1651E"/>
    <w:rsid w:val="00E169B7"/>
    <w:rsid w:val="00E16FF1"/>
    <w:rsid w:val="00E17BAC"/>
    <w:rsid w:val="00E20164"/>
    <w:rsid w:val="00E205DD"/>
    <w:rsid w:val="00E21D00"/>
    <w:rsid w:val="00E22166"/>
    <w:rsid w:val="00E2296B"/>
    <w:rsid w:val="00E24633"/>
    <w:rsid w:val="00E25BC1"/>
    <w:rsid w:val="00E26400"/>
    <w:rsid w:val="00E26F4E"/>
    <w:rsid w:val="00E27EE1"/>
    <w:rsid w:val="00E30781"/>
    <w:rsid w:val="00E31357"/>
    <w:rsid w:val="00E31999"/>
    <w:rsid w:val="00E32A35"/>
    <w:rsid w:val="00E32FC0"/>
    <w:rsid w:val="00E34428"/>
    <w:rsid w:val="00E349CC"/>
    <w:rsid w:val="00E34B75"/>
    <w:rsid w:val="00E35CBE"/>
    <w:rsid w:val="00E361C2"/>
    <w:rsid w:val="00E36CBD"/>
    <w:rsid w:val="00E36D92"/>
    <w:rsid w:val="00E43D61"/>
    <w:rsid w:val="00E44522"/>
    <w:rsid w:val="00E44FA3"/>
    <w:rsid w:val="00E45039"/>
    <w:rsid w:val="00E46437"/>
    <w:rsid w:val="00E473F7"/>
    <w:rsid w:val="00E521CA"/>
    <w:rsid w:val="00E531A9"/>
    <w:rsid w:val="00E5442C"/>
    <w:rsid w:val="00E550FF"/>
    <w:rsid w:val="00E5581A"/>
    <w:rsid w:val="00E56EC9"/>
    <w:rsid w:val="00E57CEB"/>
    <w:rsid w:val="00E60CE1"/>
    <w:rsid w:val="00E61ABE"/>
    <w:rsid w:val="00E62716"/>
    <w:rsid w:val="00E6433F"/>
    <w:rsid w:val="00E645D5"/>
    <w:rsid w:val="00E64CC5"/>
    <w:rsid w:val="00E656BE"/>
    <w:rsid w:val="00E65A0B"/>
    <w:rsid w:val="00E65A7B"/>
    <w:rsid w:val="00E65CFA"/>
    <w:rsid w:val="00E67FF6"/>
    <w:rsid w:val="00E7091E"/>
    <w:rsid w:val="00E71C10"/>
    <w:rsid w:val="00E7255A"/>
    <w:rsid w:val="00E72B49"/>
    <w:rsid w:val="00E7412E"/>
    <w:rsid w:val="00E74921"/>
    <w:rsid w:val="00E754A5"/>
    <w:rsid w:val="00E76001"/>
    <w:rsid w:val="00E76834"/>
    <w:rsid w:val="00E7698A"/>
    <w:rsid w:val="00E815AF"/>
    <w:rsid w:val="00E82E3C"/>
    <w:rsid w:val="00E83BB7"/>
    <w:rsid w:val="00E855A7"/>
    <w:rsid w:val="00E87233"/>
    <w:rsid w:val="00E9031A"/>
    <w:rsid w:val="00E91223"/>
    <w:rsid w:val="00E924FA"/>
    <w:rsid w:val="00E9301F"/>
    <w:rsid w:val="00E93997"/>
    <w:rsid w:val="00E9593D"/>
    <w:rsid w:val="00E95FD2"/>
    <w:rsid w:val="00E962F0"/>
    <w:rsid w:val="00E9681F"/>
    <w:rsid w:val="00E97EB3"/>
    <w:rsid w:val="00EA0AE7"/>
    <w:rsid w:val="00EA0B77"/>
    <w:rsid w:val="00EA0D5F"/>
    <w:rsid w:val="00EA0FA1"/>
    <w:rsid w:val="00EA16FE"/>
    <w:rsid w:val="00EA21FA"/>
    <w:rsid w:val="00EA2813"/>
    <w:rsid w:val="00EA39ED"/>
    <w:rsid w:val="00EA4235"/>
    <w:rsid w:val="00EA6AD1"/>
    <w:rsid w:val="00EA6D5A"/>
    <w:rsid w:val="00EB2149"/>
    <w:rsid w:val="00EB3948"/>
    <w:rsid w:val="00EB521C"/>
    <w:rsid w:val="00EB54F7"/>
    <w:rsid w:val="00EB5C17"/>
    <w:rsid w:val="00EB5E08"/>
    <w:rsid w:val="00EC11DF"/>
    <w:rsid w:val="00EC1523"/>
    <w:rsid w:val="00EC2CC8"/>
    <w:rsid w:val="00EC3096"/>
    <w:rsid w:val="00EC3D55"/>
    <w:rsid w:val="00EC56FE"/>
    <w:rsid w:val="00EC5BF4"/>
    <w:rsid w:val="00EC5EEB"/>
    <w:rsid w:val="00EC63DD"/>
    <w:rsid w:val="00EC6C4C"/>
    <w:rsid w:val="00EC7205"/>
    <w:rsid w:val="00EC79C6"/>
    <w:rsid w:val="00ED17A7"/>
    <w:rsid w:val="00ED204E"/>
    <w:rsid w:val="00ED232D"/>
    <w:rsid w:val="00ED2952"/>
    <w:rsid w:val="00ED2AAE"/>
    <w:rsid w:val="00ED3A74"/>
    <w:rsid w:val="00ED42C9"/>
    <w:rsid w:val="00ED511C"/>
    <w:rsid w:val="00ED63BB"/>
    <w:rsid w:val="00ED696B"/>
    <w:rsid w:val="00ED7D8A"/>
    <w:rsid w:val="00EE026D"/>
    <w:rsid w:val="00EE0396"/>
    <w:rsid w:val="00EE2138"/>
    <w:rsid w:val="00EE3CB4"/>
    <w:rsid w:val="00EE3F50"/>
    <w:rsid w:val="00EE6971"/>
    <w:rsid w:val="00EE7984"/>
    <w:rsid w:val="00EF0180"/>
    <w:rsid w:val="00EF0321"/>
    <w:rsid w:val="00EF041D"/>
    <w:rsid w:val="00EF25D0"/>
    <w:rsid w:val="00EF4CDF"/>
    <w:rsid w:val="00EF5403"/>
    <w:rsid w:val="00EF573E"/>
    <w:rsid w:val="00EF7371"/>
    <w:rsid w:val="00EF79D0"/>
    <w:rsid w:val="00EF7B3C"/>
    <w:rsid w:val="00F0041B"/>
    <w:rsid w:val="00F00AF8"/>
    <w:rsid w:val="00F01802"/>
    <w:rsid w:val="00F018CF"/>
    <w:rsid w:val="00F01B9F"/>
    <w:rsid w:val="00F02302"/>
    <w:rsid w:val="00F0324E"/>
    <w:rsid w:val="00F032A9"/>
    <w:rsid w:val="00F041C6"/>
    <w:rsid w:val="00F05796"/>
    <w:rsid w:val="00F071AB"/>
    <w:rsid w:val="00F102BE"/>
    <w:rsid w:val="00F10EE1"/>
    <w:rsid w:val="00F17D84"/>
    <w:rsid w:val="00F22A10"/>
    <w:rsid w:val="00F22C64"/>
    <w:rsid w:val="00F24560"/>
    <w:rsid w:val="00F30103"/>
    <w:rsid w:val="00F31005"/>
    <w:rsid w:val="00F31159"/>
    <w:rsid w:val="00F31ED4"/>
    <w:rsid w:val="00F3298A"/>
    <w:rsid w:val="00F33728"/>
    <w:rsid w:val="00F3391D"/>
    <w:rsid w:val="00F37291"/>
    <w:rsid w:val="00F40C2D"/>
    <w:rsid w:val="00F42EE1"/>
    <w:rsid w:val="00F42FFD"/>
    <w:rsid w:val="00F43602"/>
    <w:rsid w:val="00F437E0"/>
    <w:rsid w:val="00F45C94"/>
    <w:rsid w:val="00F45DC1"/>
    <w:rsid w:val="00F4631E"/>
    <w:rsid w:val="00F47929"/>
    <w:rsid w:val="00F502EB"/>
    <w:rsid w:val="00F51407"/>
    <w:rsid w:val="00F516B1"/>
    <w:rsid w:val="00F51731"/>
    <w:rsid w:val="00F51827"/>
    <w:rsid w:val="00F5227F"/>
    <w:rsid w:val="00F53B39"/>
    <w:rsid w:val="00F53C3C"/>
    <w:rsid w:val="00F54923"/>
    <w:rsid w:val="00F563BC"/>
    <w:rsid w:val="00F56863"/>
    <w:rsid w:val="00F602A0"/>
    <w:rsid w:val="00F635F8"/>
    <w:rsid w:val="00F64BDD"/>
    <w:rsid w:val="00F6501B"/>
    <w:rsid w:val="00F6538C"/>
    <w:rsid w:val="00F6686C"/>
    <w:rsid w:val="00F66B58"/>
    <w:rsid w:val="00F66D57"/>
    <w:rsid w:val="00F66E4C"/>
    <w:rsid w:val="00F671C6"/>
    <w:rsid w:val="00F6726E"/>
    <w:rsid w:val="00F678DF"/>
    <w:rsid w:val="00F7169D"/>
    <w:rsid w:val="00F728F3"/>
    <w:rsid w:val="00F75266"/>
    <w:rsid w:val="00F7692D"/>
    <w:rsid w:val="00F76AC9"/>
    <w:rsid w:val="00F77232"/>
    <w:rsid w:val="00F777E3"/>
    <w:rsid w:val="00F80020"/>
    <w:rsid w:val="00F80024"/>
    <w:rsid w:val="00F814EC"/>
    <w:rsid w:val="00F83DA0"/>
    <w:rsid w:val="00F84520"/>
    <w:rsid w:val="00F8506A"/>
    <w:rsid w:val="00F868FE"/>
    <w:rsid w:val="00F87030"/>
    <w:rsid w:val="00F904BC"/>
    <w:rsid w:val="00F92DC4"/>
    <w:rsid w:val="00F93250"/>
    <w:rsid w:val="00F94F7C"/>
    <w:rsid w:val="00F95C74"/>
    <w:rsid w:val="00FA0DFF"/>
    <w:rsid w:val="00FA1811"/>
    <w:rsid w:val="00FA4EEA"/>
    <w:rsid w:val="00FA5F52"/>
    <w:rsid w:val="00FA631F"/>
    <w:rsid w:val="00FA72D1"/>
    <w:rsid w:val="00FA79DB"/>
    <w:rsid w:val="00FB161F"/>
    <w:rsid w:val="00FB2EE1"/>
    <w:rsid w:val="00FB4454"/>
    <w:rsid w:val="00FB4F73"/>
    <w:rsid w:val="00FB63DE"/>
    <w:rsid w:val="00FB6CC8"/>
    <w:rsid w:val="00FB7D9A"/>
    <w:rsid w:val="00FB7F22"/>
    <w:rsid w:val="00FC04CD"/>
    <w:rsid w:val="00FC2B23"/>
    <w:rsid w:val="00FC59B2"/>
    <w:rsid w:val="00FC5BF5"/>
    <w:rsid w:val="00FC5CD9"/>
    <w:rsid w:val="00FC6288"/>
    <w:rsid w:val="00FC6949"/>
    <w:rsid w:val="00FC7375"/>
    <w:rsid w:val="00FD032C"/>
    <w:rsid w:val="00FD1D1F"/>
    <w:rsid w:val="00FD20B7"/>
    <w:rsid w:val="00FD3154"/>
    <w:rsid w:val="00FD3190"/>
    <w:rsid w:val="00FD4E87"/>
    <w:rsid w:val="00FD4F5E"/>
    <w:rsid w:val="00FD6ED9"/>
    <w:rsid w:val="00FD7BDC"/>
    <w:rsid w:val="00FD7C55"/>
    <w:rsid w:val="00FE032D"/>
    <w:rsid w:val="00FE1280"/>
    <w:rsid w:val="00FE1AEC"/>
    <w:rsid w:val="00FE1DDF"/>
    <w:rsid w:val="00FE296F"/>
    <w:rsid w:val="00FE309A"/>
    <w:rsid w:val="00FE47C6"/>
    <w:rsid w:val="00FE6405"/>
    <w:rsid w:val="00FE6C0E"/>
    <w:rsid w:val="00FE7696"/>
    <w:rsid w:val="00FF0A32"/>
    <w:rsid w:val="00FF15CE"/>
    <w:rsid w:val="00FF22C9"/>
    <w:rsid w:val="00FF33ED"/>
    <w:rsid w:val="00FF3E7C"/>
    <w:rsid w:val="00FF48B5"/>
    <w:rsid w:val="00FF6B12"/>
    <w:rsid w:val="00FF7000"/>
    <w:rsid w:val="01191DB0"/>
    <w:rsid w:val="016F247D"/>
    <w:rsid w:val="01905DC2"/>
    <w:rsid w:val="02B3F8A3"/>
    <w:rsid w:val="0349D61E"/>
    <w:rsid w:val="03EA6D93"/>
    <w:rsid w:val="045956EC"/>
    <w:rsid w:val="04CF685F"/>
    <w:rsid w:val="055E6133"/>
    <w:rsid w:val="05A0B904"/>
    <w:rsid w:val="061DC34D"/>
    <w:rsid w:val="063F3B7A"/>
    <w:rsid w:val="0643E483"/>
    <w:rsid w:val="074D9550"/>
    <w:rsid w:val="07A8BF19"/>
    <w:rsid w:val="07E1483B"/>
    <w:rsid w:val="08D7005F"/>
    <w:rsid w:val="08ECC995"/>
    <w:rsid w:val="09798773"/>
    <w:rsid w:val="09B48D53"/>
    <w:rsid w:val="09E94860"/>
    <w:rsid w:val="0A789232"/>
    <w:rsid w:val="0BAF6B05"/>
    <w:rsid w:val="0C059380"/>
    <w:rsid w:val="0D0684DC"/>
    <w:rsid w:val="0D06F10A"/>
    <w:rsid w:val="0D0DD732"/>
    <w:rsid w:val="0D2C1586"/>
    <w:rsid w:val="0DA6D359"/>
    <w:rsid w:val="0E224EBB"/>
    <w:rsid w:val="0E354EE4"/>
    <w:rsid w:val="0E984558"/>
    <w:rsid w:val="0EC18AE2"/>
    <w:rsid w:val="10759869"/>
    <w:rsid w:val="10ADCE34"/>
    <w:rsid w:val="10D8119C"/>
    <w:rsid w:val="10D893F6"/>
    <w:rsid w:val="13310FBE"/>
    <w:rsid w:val="1394DDA1"/>
    <w:rsid w:val="1399DC3F"/>
    <w:rsid w:val="13C4E97F"/>
    <w:rsid w:val="13D78EDB"/>
    <w:rsid w:val="146F7492"/>
    <w:rsid w:val="14A264A3"/>
    <w:rsid w:val="14DEB14C"/>
    <w:rsid w:val="1553E69A"/>
    <w:rsid w:val="165FA259"/>
    <w:rsid w:val="16DDCBC0"/>
    <w:rsid w:val="172C00C5"/>
    <w:rsid w:val="178804C3"/>
    <w:rsid w:val="18125CBF"/>
    <w:rsid w:val="185EEFE8"/>
    <w:rsid w:val="18C6AA89"/>
    <w:rsid w:val="193BA307"/>
    <w:rsid w:val="1D220F18"/>
    <w:rsid w:val="1D267A23"/>
    <w:rsid w:val="1E183FD4"/>
    <w:rsid w:val="1E2698EC"/>
    <w:rsid w:val="1F2F824A"/>
    <w:rsid w:val="1FBC051A"/>
    <w:rsid w:val="20BA054B"/>
    <w:rsid w:val="20CA5375"/>
    <w:rsid w:val="21A49E78"/>
    <w:rsid w:val="21FDE430"/>
    <w:rsid w:val="22405D45"/>
    <w:rsid w:val="22490386"/>
    <w:rsid w:val="225E513A"/>
    <w:rsid w:val="2283EE2F"/>
    <w:rsid w:val="22879C3C"/>
    <w:rsid w:val="22FE39B0"/>
    <w:rsid w:val="230C96AF"/>
    <w:rsid w:val="2481C3E7"/>
    <w:rsid w:val="24ED14A9"/>
    <w:rsid w:val="253F3F13"/>
    <w:rsid w:val="2605D48A"/>
    <w:rsid w:val="26265944"/>
    <w:rsid w:val="26311A41"/>
    <w:rsid w:val="26983D2B"/>
    <w:rsid w:val="26DC711F"/>
    <w:rsid w:val="288F1357"/>
    <w:rsid w:val="29CB5CB6"/>
    <w:rsid w:val="2AC7C71E"/>
    <w:rsid w:val="2B6C54F6"/>
    <w:rsid w:val="2BE42D07"/>
    <w:rsid w:val="2C43AEBC"/>
    <w:rsid w:val="2CEEC96A"/>
    <w:rsid w:val="2CF1C016"/>
    <w:rsid w:val="2D2E2BAD"/>
    <w:rsid w:val="2D497139"/>
    <w:rsid w:val="2D4FE532"/>
    <w:rsid w:val="2D990CCC"/>
    <w:rsid w:val="2DADB02D"/>
    <w:rsid w:val="2ED559C7"/>
    <w:rsid w:val="309AA53D"/>
    <w:rsid w:val="30A5071F"/>
    <w:rsid w:val="30EAD8A6"/>
    <w:rsid w:val="31480AF3"/>
    <w:rsid w:val="31483C13"/>
    <w:rsid w:val="31665F7C"/>
    <w:rsid w:val="31F7C3B9"/>
    <w:rsid w:val="323DF0D4"/>
    <w:rsid w:val="335542A9"/>
    <w:rsid w:val="33B46095"/>
    <w:rsid w:val="3433702A"/>
    <w:rsid w:val="345530E2"/>
    <w:rsid w:val="34B5B6CC"/>
    <w:rsid w:val="3514909B"/>
    <w:rsid w:val="3518ACF2"/>
    <w:rsid w:val="35456CDB"/>
    <w:rsid w:val="354FCDE1"/>
    <w:rsid w:val="3568E5BC"/>
    <w:rsid w:val="3593E06A"/>
    <w:rsid w:val="3635FE60"/>
    <w:rsid w:val="374BD9E2"/>
    <w:rsid w:val="37C0D124"/>
    <w:rsid w:val="37D77B92"/>
    <w:rsid w:val="38018B3D"/>
    <w:rsid w:val="38744AC9"/>
    <w:rsid w:val="38A12B5E"/>
    <w:rsid w:val="390A0E59"/>
    <w:rsid w:val="39E6B39F"/>
    <w:rsid w:val="3AC57DA5"/>
    <w:rsid w:val="3B102E45"/>
    <w:rsid w:val="3B72EE4B"/>
    <w:rsid w:val="3CE9F724"/>
    <w:rsid w:val="3D2F5585"/>
    <w:rsid w:val="3D3DF102"/>
    <w:rsid w:val="3E673475"/>
    <w:rsid w:val="3E92DF52"/>
    <w:rsid w:val="3F1E86B5"/>
    <w:rsid w:val="3FADD781"/>
    <w:rsid w:val="3FCCAF7C"/>
    <w:rsid w:val="413F05A4"/>
    <w:rsid w:val="41D97267"/>
    <w:rsid w:val="4235576A"/>
    <w:rsid w:val="42A7F1E8"/>
    <w:rsid w:val="42CD038B"/>
    <w:rsid w:val="42E7EDCE"/>
    <w:rsid w:val="42F5A0C3"/>
    <w:rsid w:val="4304332F"/>
    <w:rsid w:val="43410E58"/>
    <w:rsid w:val="436791F4"/>
    <w:rsid w:val="43909CAD"/>
    <w:rsid w:val="43AF4CFE"/>
    <w:rsid w:val="448ECE32"/>
    <w:rsid w:val="44EB76C3"/>
    <w:rsid w:val="4572E176"/>
    <w:rsid w:val="461E23C8"/>
    <w:rsid w:val="46DD28D9"/>
    <w:rsid w:val="46E95BA5"/>
    <w:rsid w:val="46FB1509"/>
    <w:rsid w:val="477A1FA7"/>
    <w:rsid w:val="485000E0"/>
    <w:rsid w:val="49665907"/>
    <w:rsid w:val="4970C7E9"/>
    <w:rsid w:val="499B3B67"/>
    <w:rsid w:val="49D7C4A6"/>
    <w:rsid w:val="4A962FF0"/>
    <w:rsid w:val="4AB8EEBA"/>
    <w:rsid w:val="4B2B9058"/>
    <w:rsid w:val="4BD7D286"/>
    <w:rsid w:val="4C355310"/>
    <w:rsid w:val="4C7770AE"/>
    <w:rsid w:val="4CBD907E"/>
    <w:rsid w:val="4CD062AF"/>
    <w:rsid w:val="4DEB0DF4"/>
    <w:rsid w:val="4E418C97"/>
    <w:rsid w:val="4E642760"/>
    <w:rsid w:val="4EC3C10C"/>
    <w:rsid w:val="4EDBE985"/>
    <w:rsid w:val="4F08FDBA"/>
    <w:rsid w:val="4F1272D2"/>
    <w:rsid w:val="4F2F8929"/>
    <w:rsid w:val="4F6E6335"/>
    <w:rsid w:val="4FD041A1"/>
    <w:rsid w:val="50281752"/>
    <w:rsid w:val="50B357C7"/>
    <w:rsid w:val="513AF709"/>
    <w:rsid w:val="518C88F0"/>
    <w:rsid w:val="51BCF426"/>
    <w:rsid w:val="51D48A30"/>
    <w:rsid w:val="5201261B"/>
    <w:rsid w:val="52F261AB"/>
    <w:rsid w:val="531CC7E4"/>
    <w:rsid w:val="5393C54E"/>
    <w:rsid w:val="53ACFA54"/>
    <w:rsid w:val="5407CED4"/>
    <w:rsid w:val="560CA01D"/>
    <w:rsid w:val="56114805"/>
    <w:rsid w:val="5650020D"/>
    <w:rsid w:val="5654EC24"/>
    <w:rsid w:val="57977CA7"/>
    <w:rsid w:val="57B34D43"/>
    <w:rsid w:val="585E11C3"/>
    <w:rsid w:val="58B98D6E"/>
    <w:rsid w:val="58C76EA0"/>
    <w:rsid w:val="58DA0E17"/>
    <w:rsid w:val="5934F96C"/>
    <w:rsid w:val="595543A0"/>
    <w:rsid w:val="5AB278A2"/>
    <w:rsid w:val="5B9AFACB"/>
    <w:rsid w:val="5C791A78"/>
    <w:rsid w:val="5CC1F3A8"/>
    <w:rsid w:val="5D93185D"/>
    <w:rsid w:val="5DCAD4A1"/>
    <w:rsid w:val="5E02F074"/>
    <w:rsid w:val="5E8AC700"/>
    <w:rsid w:val="5EF3D374"/>
    <w:rsid w:val="5F9619AC"/>
    <w:rsid w:val="6014F763"/>
    <w:rsid w:val="603C95B0"/>
    <w:rsid w:val="60D0303C"/>
    <w:rsid w:val="6128411F"/>
    <w:rsid w:val="62A55BD6"/>
    <w:rsid w:val="62F32F0A"/>
    <w:rsid w:val="63C8EFEC"/>
    <w:rsid w:val="63E5C619"/>
    <w:rsid w:val="647BB210"/>
    <w:rsid w:val="65955EBF"/>
    <w:rsid w:val="687948C1"/>
    <w:rsid w:val="69751D6F"/>
    <w:rsid w:val="69BA4970"/>
    <w:rsid w:val="6A21EF39"/>
    <w:rsid w:val="6AF53113"/>
    <w:rsid w:val="6AF78AD6"/>
    <w:rsid w:val="6B0F462E"/>
    <w:rsid w:val="6B2DFD2A"/>
    <w:rsid w:val="6B614619"/>
    <w:rsid w:val="6B64CFE7"/>
    <w:rsid w:val="6BB60A6A"/>
    <w:rsid w:val="6CC95CAF"/>
    <w:rsid w:val="6D38D8EF"/>
    <w:rsid w:val="6DF39825"/>
    <w:rsid w:val="6F2A3E5C"/>
    <w:rsid w:val="6F323F1A"/>
    <w:rsid w:val="6FD3FEEB"/>
    <w:rsid w:val="7042AAFE"/>
    <w:rsid w:val="7150D556"/>
    <w:rsid w:val="717D8F68"/>
    <w:rsid w:val="71D8B76D"/>
    <w:rsid w:val="71F35D5D"/>
    <w:rsid w:val="720FEA30"/>
    <w:rsid w:val="7265076F"/>
    <w:rsid w:val="72B6D34B"/>
    <w:rsid w:val="72F75A79"/>
    <w:rsid w:val="73213FD7"/>
    <w:rsid w:val="739028FF"/>
    <w:rsid w:val="73CF3074"/>
    <w:rsid w:val="73E97EDB"/>
    <w:rsid w:val="73F82CD6"/>
    <w:rsid w:val="7478C98D"/>
    <w:rsid w:val="7493F7C9"/>
    <w:rsid w:val="74AAC99E"/>
    <w:rsid w:val="74D3344B"/>
    <w:rsid w:val="75A19270"/>
    <w:rsid w:val="76148AB6"/>
    <w:rsid w:val="7616572A"/>
    <w:rsid w:val="76294895"/>
    <w:rsid w:val="764CDA42"/>
    <w:rsid w:val="76501DE7"/>
    <w:rsid w:val="76A639EE"/>
    <w:rsid w:val="76E82FAE"/>
    <w:rsid w:val="77B56D4D"/>
    <w:rsid w:val="77C7E28A"/>
    <w:rsid w:val="786718F3"/>
    <w:rsid w:val="78947270"/>
    <w:rsid w:val="7941C560"/>
    <w:rsid w:val="79993DB0"/>
    <w:rsid w:val="79C6772F"/>
    <w:rsid w:val="7A1DE75F"/>
    <w:rsid w:val="7A7BE68B"/>
    <w:rsid w:val="7A837504"/>
    <w:rsid w:val="7AB90DBC"/>
    <w:rsid w:val="7AE6F3E7"/>
    <w:rsid w:val="7B11D611"/>
    <w:rsid w:val="7B720272"/>
    <w:rsid w:val="7BDE2BB8"/>
    <w:rsid w:val="7C658B6A"/>
    <w:rsid w:val="7D026461"/>
    <w:rsid w:val="7D3EB0B2"/>
    <w:rsid w:val="7D517051"/>
    <w:rsid w:val="7E4A31B1"/>
    <w:rsid w:val="7EAA22FC"/>
    <w:rsid w:val="7EB68E31"/>
    <w:rsid w:val="7F5FE9C1"/>
    <w:rsid w:val="7F931533"/>
    <w:rsid w:val="7F9B6D6D"/>
    <w:rsid w:val="7FC6C8D2"/>
    <w:rsid w:val="7FE415E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3489"/>
    <o:shapelayout v:ext="edit">
      <o:idmap v:ext="edit" data="1"/>
    </o:shapelayout>
  </w:shapeDefaults>
  <w:decimalSymbol w:val="."/>
  <w:listSeparator w:val=","/>
  <w14:docId w14:val="7D888E3F"/>
  <w14:defaultImageDpi w14:val="96"/>
  <w15:docId w15:val="{ADF226E6-48FB-4999-A528-FD7BC59F8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7A26A6"/>
    <w:pPr>
      <w:suppressAutoHyphens/>
    </w:pPr>
  </w:style>
  <w:style w:type="paragraph" w:styleId="Heading1">
    <w:name w:val="heading 1"/>
    <w:basedOn w:val="OWCovertitle"/>
    <w:next w:val="Normal"/>
    <w:link w:val="Heading1Char"/>
    <w:uiPriority w:val="9"/>
    <w:qFormat/>
    <w:rsid w:val="004A732E"/>
    <w:pPr>
      <w:keepLines/>
      <w:widowControl/>
      <w:spacing w:before="2000" w:after="500" w:line="240" w:lineRule="auto"/>
      <w:outlineLvl w:val="0"/>
    </w:pPr>
    <w:rPr>
      <w:rFonts w:asciiTheme="majorHAnsi" w:hAnsiTheme="majorHAnsi" w:cstheme="majorHAnsi"/>
      <w:color w:val="702652" w:themeColor="accent4"/>
      <w:sz w:val="90"/>
    </w:rPr>
  </w:style>
  <w:style w:type="paragraph" w:styleId="Heading2">
    <w:name w:val="heading 2"/>
    <w:next w:val="BodyText"/>
    <w:link w:val="Heading2Char"/>
    <w:uiPriority w:val="9"/>
    <w:qFormat/>
    <w:rsid w:val="00C9215A"/>
    <w:pPr>
      <w:keepNext/>
      <w:keepLines/>
      <w:pageBreakBefore/>
      <w:suppressAutoHyphens/>
      <w:spacing w:after="560" w:line="216" w:lineRule="auto"/>
      <w:outlineLvl w:val="1"/>
    </w:pPr>
    <w:rPr>
      <w:rFonts w:ascii="Calibri" w:hAnsi="Calibri" w:cs="Calibri"/>
      <w:color w:val="096A84" w:themeColor="accent1"/>
      <w:sz w:val="64"/>
      <w:szCs w:val="64"/>
    </w:rPr>
  </w:style>
  <w:style w:type="paragraph" w:styleId="Heading3">
    <w:name w:val="heading 3"/>
    <w:next w:val="BodyText"/>
    <w:link w:val="Heading3Char"/>
    <w:uiPriority w:val="9"/>
    <w:qFormat/>
    <w:rsid w:val="006337B0"/>
    <w:pPr>
      <w:keepNext/>
      <w:keepLines/>
      <w:pageBreakBefore/>
      <w:suppressAutoHyphens/>
      <w:spacing w:before="500" w:after="120" w:line="228" w:lineRule="auto"/>
      <w:outlineLvl w:val="2"/>
    </w:pPr>
    <w:rPr>
      <w:rFonts w:asciiTheme="majorHAnsi" w:hAnsiTheme="majorHAnsi" w:cs="Calibri-Bold"/>
      <w:b/>
      <w:bCs/>
      <w:color w:val="096A84" w:themeColor="accent1"/>
      <w:sz w:val="44"/>
      <w:szCs w:val="44"/>
    </w:rPr>
  </w:style>
  <w:style w:type="paragraph" w:styleId="Heading4">
    <w:name w:val="heading 4"/>
    <w:next w:val="BodyText"/>
    <w:link w:val="Heading4Char"/>
    <w:uiPriority w:val="9"/>
    <w:qFormat/>
    <w:rsid w:val="000C5093"/>
    <w:pPr>
      <w:keepNext/>
      <w:keepLines/>
      <w:suppressAutoHyphens/>
      <w:spacing w:before="360" w:after="120" w:line="320" w:lineRule="atLeast"/>
      <w:outlineLvl w:val="3"/>
    </w:pPr>
    <w:rPr>
      <w:rFonts w:asciiTheme="majorHAnsi" w:hAnsiTheme="majorHAnsi" w:cs="Calibri-Bold"/>
      <w:b/>
      <w:bCs/>
      <w:color w:val="096A84" w:themeColor="accent1"/>
      <w:sz w:val="30"/>
      <w:szCs w:val="30"/>
    </w:rPr>
  </w:style>
  <w:style w:type="paragraph" w:styleId="Heading5">
    <w:name w:val="heading 5"/>
    <w:next w:val="BodyText"/>
    <w:link w:val="Heading5Char"/>
    <w:uiPriority w:val="9"/>
    <w:qFormat/>
    <w:rsid w:val="00745297"/>
    <w:pPr>
      <w:keepNext/>
      <w:keepLines/>
      <w:suppressAutoHyphens/>
      <w:spacing w:before="360" w:after="85" w:line="228" w:lineRule="auto"/>
      <w:outlineLvl w:val="4"/>
    </w:pPr>
    <w:rPr>
      <w:rFonts w:asciiTheme="majorHAnsi" w:hAnsiTheme="majorHAnsi" w:cs="Calibri-Bold"/>
      <w:b/>
      <w:bCs/>
      <w:color w:val="414042" w:themeColor="text2"/>
      <w:sz w:val="28"/>
      <w:szCs w:val="28"/>
    </w:rPr>
  </w:style>
  <w:style w:type="paragraph" w:styleId="Heading6">
    <w:name w:val="heading 6"/>
    <w:next w:val="BodyText"/>
    <w:link w:val="Heading6Char"/>
    <w:uiPriority w:val="9"/>
    <w:qFormat/>
    <w:rsid w:val="001D5F8A"/>
    <w:pPr>
      <w:keepNext/>
      <w:keepLines/>
      <w:suppressAutoHyphens/>
      <w:spacing w:before="320" w:after="85" w:line="280" w:lineRule="atLeast"/>
      <w:outlineLvl w:val="5"/>
    </w:pPr>
    <w:rPr>
      <w:rFonts w:asciiTheme="majorHAnsi" w:hAnsiTheme="majorHAnsi" w:cs="Calibri-Bold"/>
      <w:b/>
      <w:bCs/>
      <w:color w:val="000000"/>
      <w:sz w:val="24"/>
      <w:szCs w:val="24"/>
    </w:rPr>
  </w:style>
  <w:style w:type="paragraph" w:styleId="Heading7">
    <w:name w:val="heading 7"/>
    <w:next w:val="BodyText"/>
    <w:link w:val="Heading7Char"/>
    <w:uiPriority w:val="9"/>
    <w:qFormat/>
    <w:rsid w:val="001D5F8A"/>
    <w:pPr>
      <w:keepNext/>
      <w:keepLines/>
      <w:suppressAutoHyphens/>
      <w:spacing w:before="170" w:after="85" w:line="280" w:lineRule="atLeast"/>
      <w:outlineLvl w:val="6"/>
    </w:pPr>
    <w:rPr>
      <w:rFonts w:asciiTheme="majorHAnsi" w:hAnsiTheme="majorHAnsi" w:cs="Calibri-Italic"/>
      <w:i/>
      <w:i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WDefault">
    <w:name w:val="OW Default"/>
    <w:rsid w:val="00666065"/>
    <w:pPr>
      <w:suppressAutoHyphens/>
      <w:autoSpaceDE w:val="0"/>
      <w:autoSpaceDN w:val="0"/>
      <w:adjustRightInd w:val="0"/>
      <w:spacing w:after="0" w:line="288" w:lineRule="auto"/>
      <w:textAlignment w:val="center"/>
    </w:pPr>
    <w:rPr>
      <w:rFonts w:ascii="Calibri" w:hAnsi="Calibri" w:cs="MinionPro-Regular"/>
      <w:sz w:val="24"/>
      <w:szCs w:val="24"/>
    </w:rPr>
  </w:style>
  <w:style w:type="paragraph" w:styleId="BodyText">
    <w:name w:val="Body Text"/>
    <w:aliases w:val="OW Body text"/>
    <w:basedOn w:val="OWDefault"/>
    <w:link w:val="BodyTextChar"/>
    <w:uiPriority w:val="99"/>
    <w:rsid w:val="00EC6C4C"/>
    <w:pPr>
      <w:spacing w:after="140" w:line="290" w:lineRule="atLeast"/>
    </w:pPr>
    <w:rPr>
      <w:rFonts w:asciiTheme="minorHAnsi" w:hAnsiTheme="minorHAnsi" w:cs="Calibri"/>
      <w:color w:val="414042" w:themeColor="text2"/>
    </w:rPr>
  </w:style>
  <w:style w:type="character" w:customStyle="1" w:styleId="BodyTextChar">
    <w:name w:val="Body Text Char"/>
    <w:aliases w:val="OW Body text Char"/>
    <w:basedOn w:val="DefaultParagraphFont"/>
    <w:link w:val="BodyText"/>
    <w:uiPriority w:val="99"/>
    <w:rsid w:val="00EC6C4C"/>
    <w:rPr>
      <w:rFonts w:cs="Calibri"/>
      <w:color w:val="414042" w:themeColor="text2"/>
      <w:sz w:val="24"/>
      <w:szCs w:val="24"/>
    </w:rPr>
  </w:style>
  <w:style w:type="paragraph" w:customStyle="1" w:styleId="OWTableinline">
    <w:name w:val="OW Table inline"/>
    <w:basedOn w:val="BodyText"/>
    <w:uiPriority w:val="99"/>
    <w:pPr>
      <w:spacing w:after="283"/>
    </w:pPr>
  </w:style>
  <w:style w:type="paragraph" w:customStyle="1" w:styleId="OWNumberdigit">
    <w:name w:val="OW Number digit"/>
    <w:basedOn w:val="BodyText"/>
    <w:uiPriority w:val="99"/>
    <w:rsid w:val="00C806D2"/>
    <w:pPr>
      <w:numPr>
        <w:numId w:val="2"/>
      </w:numPr>
      <w:spacing w:after="60"/>
    </w:pPr>
  </w:style>
  <w:style w:type="paragraph" w:customStyle="1" w:styleId="OWNumberalpha">
    <w:name w:val="OW Number alpha"/>
    <w:basedOn w:val="BodyText"/>
    <w:uiPriority w:val="99"/>
    <w:rsid w:val="00AF2F90"/>
    <w:pPr>
      <w:numPr>
        <w:numId w:val="3"/>
      </w:numPr>
      <w:spacing w:after="60"/>
    </w:pPr>
  </w:style>
  <w:style w:type="paragraph" w:customStyle="1" w:styleId="OWBullet1">
    <w:name w:val="OW Bullet 1"/>
    <w:basedOn w:val="BodyText"/>
    <w:uiPriority w:val="99"/>
    <w:rsid w:val="00A01DFE"/>
    <w:pPr>
      <w:numPr>
        <w:numId w:val="1"/>
      </w:numPr>
      <w:spacing w:after="60"/>
    </w:pPr>
  </w:style>
  <w:style w:type="paragraph" w:customStyle="1" w:styleId="OWFigurecaption">
    <w:name w:val="OW Figure caption"/>
    <w:basedOn w:val="OWDefault"/>
    <w:uiPriority w:val="99"/>
    <w:rsid w:val="0007716D"/>
    <w:pPr>
      <w:keepNext/>
      <w:keepLines/>
      <w:spacing w:before="320" w:after="140" w:line="270" w:lineRule="atLeast"/>
    </w:pPr>
    <w:rPr>
      <w:rFonts w:asciiTheme="minorHAnsi" w:hAnsiTheme="minorHAnsi" w:cs="Calibri-Bold"/>
      <w:b/>
      <w:bCs/>
    </w:rPr>
  </w:style>
  <w:style w:type="paragraph" w:customStyle="1" w:styleId="OWFigureinline">
    <w:name w:val="OW Figure inline"/>
    <w:basedOn w:val="BodyText"/>
    <w:uiPriority w:val="99"/>
    <w:pPr>
      <w:spacing w:before="57" w:line="288" w:lineRule="auto"/>
    </w:pPr>
  </w:style>
  <w:style w:type="paragraph" w:customStyle="1" w:styleId="OWFigurefootnote">
    <w:name w:val="OW Figure footnote"/>
    <w:basedOn w:val="BodyText"/>
    <w:uiPriority w:val="99"/>
    <w:rsid w:val="008A3B93"/>
    <w:pPr>
      <w:spacing w:after="240" w:line="260" w:lineRule="atLeast"/>
    </w:pPr>
    <w:rPr>
      <w:sz w:val="22"/>
      <w:szCs w:val="22"/>
    </w:rPr>
  </w:style>
  <w:style w:type="paragraph" w:customStyle="1" w:styleId="OWTablecaption">
    <w:name w:val="OW Table caption"/>
    <w:basedOn w:val="OWFigurecaption"/>
    <w:uiPriority w:val="99"/>
    <w:rsid w:val="00F83DA0"/>
    <w:pPr>
      <w:spacing w:after="85" w:line="240" w:lineRule="auto"/>
    </w:pPr>
  </w:style>
  <w:style w:type="paragraph" w:customStyle="1" w:styleId="OWTableinlinefootnotes">
    <w:name w:val="OW Table inline + footnotes"/>
    <w:basedOn w:val="OWTableinline"/>
    <w:uiPriority w:val="99"/>
    <w:pPr>
      <w:keepNext/>
      <w:keepLines/>
      <w:spacing w:after="85"/>
    </w:pPr>
  </w:style>
  <w:style w:type="paragraph" w:customStyle="1" w:styleId="OWTablefootnote">
    <w:name w:val="OW Table footnote"/>
    <w:basedOn w:val="BodyText"/>
    <w:uiPriority w:val="99"/>
    <w:rsid w:val="00F83DA0"/>
    <w:pPr>
      <w:spacing w:before="60" w:after="60" w:line="260" w:lineRule="atLeast"/>
    </w:pPr>
    <w:rPr>
      <w:sz w:val="22"/>
      <w:szCs w:val="22"/>
    </w:rPr>
  </w:style>
  <w:style w:type="paragraph" w:customStyle="1" w:styleId="OWBodytextlargespaceabove">
    <w:name w:val="OW Body text large space above"/>
    <w:basedOn w:val="BodyText"/>
    <w:uiPriority w:val="99"/>
    <w:rsid w:val="00D30684"/>
    <w:pPr>
      <w:spacing w:before="280"/>
    </w:pPr>
  </w:style>
  <w:style w:type="paragraph" w:customStyle="1" w:styleId="OWTablefootnoteindent">
    <w:name w:val="OW Table footnote indent"/>
    <w:basedOn w:val="OWTablefootnote"/>
    <w:uiPriority w:val="99"/>
    <w:pPr>
      <w:ind w:left="227" w:hanging="227"/>
    </w:pPr>
  </w:style>
  <w:style w:type="paragraph" w:customStyle="1" w:styleId="OWBoxinline">
    <w:name w:val="OW Box inline"/>
    <w:basedOn w:val="OWTableinline"/>
    <w:uiPriority w:val="99"/>
    <w:pPr>
      <w:spacing w:before="198"/>
    </w:pPr>
  </w:style>
  <w:style w:type="paragraph" w:styleId="Quote">
    <w:name w:val="Quote"/>
    <w:aliases w:val="OW Quote"/>
    <w:basedOn w:val="OWDefault"/>
    <w:link w:val="QuoteChar"/>
    <w:uiPriority w:val="99"/>
    <w:qFormat/>
    <w:rsid w:val="00D877F5"/>
    <w:pPr>
      <w:keepLines/>
      <w:spacing w:after="140" w:line="260" w:lineRule="atLeast"/>
      <w:ind w:left="397" w:right="397"/>
    </w:pPr>
    <w:rPr>
      <w:rFonts w:asciiTheme="minorHAnsi" w:hAnsiTheme="minorHAnsi" w:cs="Calibri"/>
      <w:color w:val="414042" w:themeColor="text2"/>
      <w:sz w:val="22"/>
      <w:szCs w:val="22"/>
    </w:rPr>
  </w:style>
  <w:style w:type="character" w:customStyle="1" w:styleId="QuoteChar">
    <w:name w:val="Quote Char"/>
    <w:aliases w:val="OW Quote Char"/>
    <w:basedOn w:val="DefaultParagraphFont"/>
    <w:link w:val="Quote"/>
    <w:uiPriority w:val="99"/>
    <w:rsid w:val="007A26A6"/>
    <w:rPr>
      <w:rFonts w:cs="Calibri"/>
      <w:color w:val="414042" w:themeColor="text2"/>
    </w:rPr>
  </w:style>
  <w:style w:type="paragraph" w:customStyle="1" w:styleId="OWFigureinlinecentre">
    <w:name w:val="OW Figure inline centre"/>
    <w:basedOn w:val="OWFigureinline"/>
    <w:uiPriority w:val="99"/>
    <w:pPr>
      <w:jc w:val="center"/>
    </w:pPr>
  </w:style>
  <w:style w:type="paragraph" w:customStyle="1" w:styleId="OWTablebodyleft">
    <w:name w:val="OW Table body left"/>
    <w:basedOn w:val="BodyText"/>
    <w:uiPriority w:val="99"/>
    <w:rsid w:val="0050142D"/>
    <w:pPr>
      <w:spacing w:before="80" w:after="100"/>
    </w:pPr>
  </w:style>
  <w:style w:type="paragraph" w:customStyle="1" w:styleId="OWTablebodyleftwhite">
    <w:name w:val="OW Table body left white"/>
    <w:basedOn w:val="OWTablebodyleft"/>
    <w:uiPriority w:val="99"/>
    <w:rPr>
      <w:color w:val="FFFFFF"/>
    </w:rPr>
  </w:style>
  <w:style w:type="paragraph" w:styleId="FootnoteText">
    <w:name w:val="footnote text"/>
    <w:aliases w:val="OW Footnote text"/>
    <w:basedOn w:val="BodyText"/>
    <w:link w:val="FootnoteTextChar"/>
    <w:uiPriority w:val="99"/>
    <w:rsid w:val="007150E1"/>
    <w:pPr>
      <w:keepLines/>
      <w:spacing w:after="85" w:line="240" w:lineRule="auto"/>
      <w:ind w:left="567" w:hanging="567"/>
    </w:pPr>
    <w:rPr>
      <w:sz w:val="21"/>
      <w:szCs w:val="21"/>
    </w:rPr>
  </w:style>
  <w:style w:type="character" w:customStyle="1" w:styleId="FootnoteTextChar">
    <w:name w:val="Footnote Text Char"/>
    <w:aliases w:val="OW Footnote text Char"/>
    <w:basedOn w:val="DefaultParagraphFont"/>
    <w:link w:val="FootnoteText"/>
    <w:uiPriority w:val="99"/>
    <w:rsid w:val="007150E1"/>
    <w:rPr>
      <w:rFonts w:cs="Calibri"/>
      <w:color w:val="414042" w:themeColor="text2"/>
      <w:sz w:val="21"/>
      <w:szCs w:val="21"/>
    </w:rPr>
  </w:style>
  <w:style w:type="paragraph" w:customStyle="1" w:styleId="OWTablenumberdigit">
    <w:name w:val="OW Table number digit"/>
    <w:basedOn w:val="OWNumberdigit"/>
    <w:uiPriority w:val="99"/>
    <w:rsid w:val="004404B0"/>
    <w:pPr>
      <w:numPr>
        <w:numId w:val="15"/>
      </w:numPr>
      <w:spacing w:before="80" w:after="100"/>
    </w:pPr>
  </w:style>
  <w:style w:type="paragraph" w:customStyle="1" w:styleId="OWFootnotetextindent">
    <w:name w:val="OW Footnote text indent"/>
    <w:basedOn w:val="FootnoteText"/>
    <w:uiPriority w:val="99"/>
    <w:pPr>
      <w:ind w:firstLine="0"/>
    </w:pPr>
  </w:style>
  <w:style w:type="paragraph" w:customStyle="1" w:styleId="OWTablecolumnheadleft">
    <w:name w:val="OW Table column head left"/>
    <w:basedOn w:val="OWTablebodyleft"/>
    <w:uiPriority w:val="99"/>
    <w:rsid w:val="0050142D"/>
    <w:pPr>
      <w:keepNext/>
    </w:pPr>
    <w:rPr>
      <w:rFonts w:cs="Calibri-Bold"/>
      <w:b/>
      <w:bCs/>
      <w:color w:val="FFFFFF"/>
    </w:rPr>
  </w:style>
  <w:style w:type="paragraph" w:customStyle="1" w:styleId="OWTablecolumnheadcentre">
    <w:name w:val="OW Table column head centre"/>
    <w:basedOn w:val="OWTablecolumnheadleft"/>
    <w:uiPriority w:val="99"/>
    <w:rsid w:val="00F83DA0"/>
    <w:pPr>
      <w:jc w:val="center"/>
    </w:pPr>
  </w:style>
  <w:style w:type="paragraph" w:customStyle="1" w:styleId="OWTablebodycentre">
    <w:name w:val="OW Table body centre"/>
    <w:basedOn w:val="OWTablebodyleft"/>
    <w:uiPriority w:val="99"/>
    <w:pPr>
      <w:jc w:val="center"/>
    </w:pPr>
  </w:style>
  <w:style w:type="paragraph" w:customStyle="1" w:styleId="OWTablebullet1">
    <w:name w:val="OW Table bullet 1"/>
    <w:basedOn w:val="OWBullet1"/>
    <w:uiPriority w:val="99"/>
    <w:pPr>
      <w:ind w:left="283" w:hanging="283"/>
    </w:pPr>
  </w:style>
  <w:style w:type="paragraph" w:customStyle="1" w:styleId="OWFootnotebullet">
    <w:name w:val="OW Footnote bullet"/>
    <w:basedOn w:val="FootnoteText"/>
    <w:uiPriority w:val="99"/>
    <w:pPr>
      <w:numPr>
        <w:numId w:val="4"/>
      </w:numPr>
    </w:pPr>
  </w:style>
  <w:style w:type="paragraph" w:customStyle="1" w:styleId="OWBoxheading">
    <w:name w:val="OW Box heading"/>
    <w:basedOn w:val="OWTablebodyleft"/>
    <w:uiPriority w:val="99"/>
    <w:rsid w:val="008D084C"/>
    <w:pPr>
      <w:keepNext/>
      <w:spacing w:before="280" w:after="0"/>
    </w:pPr>
    <w:rPr>
      <w:rFonts w:ascii="Calibri-Bold" w:hAnsi="Calibri-Bold" w:cs="Calibri-Bold"/>
      <w:b/>
      <w:bCs/>
    </w:rPr>
  </w:style>
  <w:style w:type="paragraph" w:customStyle="1" w:styleId="OWBoxsource">
    <w:name w:val="OW Box source"/>
    <w:basedOn w:val="OWTablefootnote"/>
    <w:uiPriority w:val="99"/>
    <w:rsid w:val="003D6A9B"/>
    <w:pPr>
      <w:spacing w:before="160"/>
    </w:pPr>
  </w:style>
  <w:style w:type="paragraph" w:customStyle="1" w:styleId="OWTablefootnotebullet">
    <w:name w:val="OW Table footnote bullet"/>
    <w:basedOn w:val="OWTablebullet1"/>
    <w:uiPriority w:val="99"/>
    <w:pPr>
      <w:spacing w:line="260" w:lineRule="atLeast"/>
    </w:pPr>
    <w:rPr>
      <w:sz w:val="22"/>
      <w:szCs w:val="22"/>
    </w:rPr>
  </w:style>
  <w:style w:type="paragraph" w:customStyle="1" w:styleId="OWTablebodyindent1">
    <w:name w:val="OW Table body indent 1"/>
    <w:basedOn w:val="OWTablebodyleft"/>
    <w:uiPriority w:val="99"/>
    <w:pPr>
      <w:ind w:left="283"/>
    </w:pPr>
  </w:style>
  <w:style w:type="paragraph" w:customStyle="1" w:styleId="OWTablebodyleftK100">
    <w:name w:val="OW Table body left K100"/>
    <w:basedOn w:val="OWTablebodyleft"/>
    <w:uiPriority w:val="99"/>
    <w:rsid w:val="00AA283C"/>
    <w:rPr>
      <w:color w:val="000000" w:themeColor="text1"/>
    </w:rPr>
  </w:style>
  <w:style w:type="paragraph" w:customStyle="1" w:styleId="OWTablecolumnheadleftK100">
    <w:name w:val="OW Table column head left K100"/>
    <w:basedOn w:val="OWTablecolumnheadleft"/>
    <w:uiPriority w:val="99"/>
    <w:rPr>
      <w:color w:val="000000"/>
    </w:rPr>
  </w:style>
  <w:style w:type="paragraph" w:customStyle="1" w:styleId="OWTablecolumnheadcentreK100">
    <w:name w:val="OW Table column head centre K100"/>
    <w:basedOn w:val="OWTablecolumnheadleftK100"/>
    <w:uiPriority w:val="99"/>
    <w:pPr>
      <w:jc w:val="center"/>
    </w:pPr>
  </w:style>
  <w:style w:type="paragraph" w:customStyle="1" w:styleId="OWTablebodyindent2">
    <w:name w:val="OW Table body indent 2"/>
    <w:basedOn w:val="OWTablebodyindent1"/>
    <w:uiPriority w:val="99"/>
    <w:pPr>
      <w:ind w:left="567"/>
    </w:pPr>
  </w:style>
  <w:style w:type="character" w:customStyle="1" w:styleId="OWCharacterTeal">
    <w:name w:val="OW Character Teal"/>
    <w:uiPriority w:val="99"/>
    <w:rPr>
      <w:color w:val="00688C"/>
    </w:rPr>
  </w:style>
  <w:style w:type="character" w:customStyle="1" w:styleId="OWSuperscript">
    <w:name w:val="OW Superscript"/>
    <w:uiPriority w:val="99"/>
    <w:rsid w:val="00E17BAC"/>
    <w:rPr>
      <w:position w:val="4"/>
      <w:sz w:val="18"/>
      <w:vertAlign w:val="baseline"/>
    </w:rPr>
  </w:style>
  <w:style w:type="table" w:customStyle="1" w:styleId="Casestudyteal">
    <w:name w:val="Case study teal"/>
    <w:basedOn w:val="TableNormal"/>
    <w:uiPriority w:val="99"/>
    <w:rsid w:val="00E36D92"/>
    <w:pPr>
      <w:spacing w:after="0" w:line="240" w:lineRule="auto"/>
    </w:pPr>
    <w:tblPr>
      <w:tblBorders>
        <w:top w:val="single" w:sz="4" w:space="0" w:color="096A84" w:themeColor="accent1"/>
        <w:left w:val="single" w:sz="4" w:space="0" w:color="096A84" w:themeColor="accent1"/>
        <w:bottom w:val="single" w:sz="4" w:space="0" w:color="096A84" w:themeColor="accent1"/>
        <w:right w:val="single" w:sz="4" w:space="0" w:color="096A84" w:themeColor="accent1"/>
      </w:tblBorders>
      <w:tblCellMar>
        <w:left w:w="340" w:type="dxa"/>
        <w:bottom w:w="284" w:type="dxa"/>
        <w:right w:w="340" w:type="dxa"/>
      </w:tblCellMar>
    </w:tblPr>
    <w:trPr>
      <w:cantSplit/>
    </w:trPr>
    <w:tcPr>
      <w:shd w:val="clear" w:color="auto" w:fill="DEE3E8" w:themeFill="background1"/>
    </w:tcPr>
    <w:tblStylePr w:type="firstRow">
      <w:tblPr/>
      <w:trPr>
        <w:cantSplit w:val="0"/>
      </w:trPr>
      <w:tcPr>
        <w:tcMar>
          <w:top w:w="0" w:type="nil"/>
          <w:left w:w="340" w:type="dxa"/>
          <w:bottom w:w="57" w:type="dxa"/>
          <w:right w:w="340" w:type="dxa"/>
        </w:tcMar>
      </w:tcPr>
    </w:tblStylePr>
  </w:style>
  <w:style w:type="numbering" w:customStyle="1" w:styleId="ZZFootnotebullets">
    <w:name w:val="ZZ Footnote bullets"/>
    <w:basedOn w:val="NoList"/>
    <w:uiPriority w:val="99"/>
    <w:rsid w:val="00697B45"/>
    <w:pPr>
      <w:numPr>
        <w:numId w:val="4"/>
      </w:numPr>
    </w:pPr>
  </w:style>
  <w:style w:type="character" w:customStyle="1" w:styleId="OWMagentahighlight">
    <w:name w:val="OW Magenta highlight"/>
    <w:uiPriority w:val="99"/>
    <w:rsid w:val="0034367F"/>
    <w:rPr>
      <w:color w:val="C800C8"/>
    </w:rPr>
  </w:style>
  <w:style w:type="character" w:styleId="Hyperlink">
    <w:name w:val="Hyperlink"/>
    <w:basedOn w:val="DefaultParagraphFont"/>
    <w:uiPriority w:val="99"/>
    <w:rsid w:val="008D084C"/>
    <w:rPr>
      <w:color w:val="1B5997"/>
      <w:w w:val="100"/>
      <w:u w:val="single" w:color="1B5997"/>
    </w:rPr>
  </w:style>
  <w:style w:type="character" w:customStyle="1" w:styleId="OWCharacterOpal">
    <w:name w:val="OW Character Opal"/>
    <w:uiPriority w:val="99"/>
    <w:rsid w:val="00E36D92"/>
    <w:rPr>
      <w:color w:val="00A982" w:themeColor="accent3"/>
    </w:rPr>
  </w:style>
  <w:style w:type="character" w:customStyle="1" w:styleId="OWSuperscriptOpal">
    <w:name w:val="OW Superscript Opal"/>
    <w:basedOn w:val="OWSuperscript"/>
    <w:uiPriority w:val="99"/>
    <w:rsid w:val="000F735C"/>
    <w:rPr>
      <w:color w:val="00A982" w:themeColor="accent3"/>
      <w:position w:val="4"/>
      <w:sz w:val="24"/>
      <w:vertAlign w:val="superscript"/>
    </w:rPr>
  </w:style>
  <w:style w:type="character" w:customStyle="1" w:styleId="OWCharacterUmber">
    <w:name w:val="OW Character Umber"/>
    <w:uiPriority w:val="99"/>
    <w:rPr>
      <w:color w:val="D61900"/>
    </w:rPr>
  </w:style>
  <w:style w:type="character" w:customStyle="1" w:styleId="OWSuperscriptUmber">
    <w:name w:val="OW Superscript Umber"/>
    <w:basedOn w:val="OWSuperscript"/>
    <w:uiPriority w:val="99"/>
    <w:rsid w:val="000F735C"/>
    <w:rPr>
      <w:color w:val="CF4627" w:themeColor="accent2"/>
      <w:position w:val="4"/>
      <w:sz w:val="24"/>
      <w:vertAlign w:val="superscript"/>
    </w:rPr>
  </w:style>
  <w:style w:type="character" w:customStyle="1" w:styleId="OWBoldItalic">
    <w:name w:val="OW Bold Italic"/>
    <w:uiPriority w:val="99"/>
    <w:rPr>
      <w:b/>
      <w:bCs/>
      <w:i/>
      <w:iCs/>
    </w:rPr>
  </w:style>
  <w:style w:type="character" w:customStyle="1" w:styleId="OWCharacterCharcoal">
    <w:name w:val="OW Character Charcoal"/>
    <w:uiPriority w:val="99"/>
    <w:rPr>
      <w:color w:val="262626"/>
    </w:rPr>
  </w:style>
  <w:style w:type="character" w:customStyle="1" w:styleId="Heading2Char">
    <w:name w:val="Heading 2 Char"/>
    <w:basedOn w:val="DefaultParagraphFont"/>
    <w:link w:val="Heading2"/>
    <w:uiPriority w:val="9"/>
    <w:rsid w:val="00C9215A"/>
    <w:rPr>
      <w:rFonts w:ascii="Calibri" w:hAnsi="Calibri" w:cs="Calibri"/>
      <w:color w:val="096A84" w:themeColor="accent1"/>
      <w:sz w:val="64"/>
      <w:szCs w:val="64"/>
    </w:rPr>
  </w:style>
  <w:style w:type="character" w:customStyle="1" w:styleId="Heading3Char">
    <w:name w:val="Heading 3 Char"/>
    <w:basedOn w:val="DefaultParagraphFont"/>
    <w:link w:val="Heading3"/>
    <w:uiPriority w:val="9"/>
    <w:rsid w:val="006337B0"/>
    <w:rPr>
      <w:rFonts w:asciiTheme="majorHAnsi" w:hAnsiTheme="majorHAnsi" w:cs="Calibri-Bold"/>
      <w:b/>
      <w:bCs/>
      <w:color w:val="096A84" w:themeColor="accent1"/>
      <w:sz w:val="44"/>
      <w:szCs w:val="44"/>
    </w:rPr>
  </w:style>
  <w:style w:type="character" w:customStyle="1" w:styleId="Heading4Char">
    <w:name w:val="Heading 4 Char"/>
    <w:basedOn w:val="DefaultParagraphFont"/>
    <w:link w:val="Heading4"/>
    <w:uiPriority w:val="9"/>
    <w:rsid w:val="000C5093"/>
    <w:rPr>
      <w:rFonts w:asciiTheme="majorHAnsi" w:hAnsiTheme="majorHAnsi" w:cs="Calibri-Bold"/>
      <w:b/>
      <w:bCs/>
      <w:color w:val="096A84" w:themeColor="accent1"/>
      <w:sz w:val="30"/>
      <w:szCs w:val="30"/>
    </w:rPr>
  </w:style>
  <w:style w:type="character" w:customStyle="1" w:styleId="Heading5Char">
    <w:name w:val="Heading 5 Char"/>
    <w:basedOn w:val="DefaultParagraphFont"/>
    <w:link w:val="Heading5"/>
    <w:uiPriority w:val="9"/>
    <w:rsid w:val="00745297"/>
    <w:rPr>
      <w:rFonts w:asciiTheme="majorHAnsi" w:hAnsiTheme="majorHAnsi" w:cs="Calibri-Bold"/>
      <w:b/>
      <w:bCs/>
      <w:color w:val="414042" w:themeColor="text2"/>
      <w:sz w:val="28"/>
      <w:szCs w:val="28"/>
    </w:rPr>
  </w:style>
  <w:style w:type="character" w:customStyle="1" w:styleId="Heading6Char">
    <w:name w:val="Heading 6 Char"/>
    <w:basedOn w:val="DefaultParagraphFont"/>
    <w:link w:val="Heading6"/>
    <w:uiPriority w:val="9"/>
    <w:rsid w:val="001D5F8A"/>
    <w:rPr>
      <w:rFonts w:asciiTheme="majorHAnsi" w:hAnsiTheme="majorHAnsi" w:cs="Calibri-Bold"/>
      <w:b/>
      <w:bCs/>
      <w:color w:val="000000"/>
      <w:sz w:val="24"/>
      <w:szCs w:val="24"/>
    </w:rPr>
  </w:style>
  <w:style w:type="character" w:customStyle="1" w:styleId="Heading7Char">
    <w:name w:val="Heading 7 Char"/>
    <w:basedOn w:val="DefaultParagraphFont"/>
    <w:link w:val="Heading7"/>
    <w:uiPriority w:val="9"/>
    <w:rsid w:val="001D5F8A"/>
    <w:rPr>
      <w:rFonts w:asciiTheme="majorHAnsi" w:hAnsiTheme="majorHAnsi" w:cs="Calibri-Italic"/>
      <w:i/>
      <w:iCs/>
      <w:color w:val="000000"/>
      <w:sz w:val="24"/>
      <w:szCs w:val="24"/>
    </w:rPr>
  </w:style>
  <w:style w:type="table" w:styleId="TableGrid">
    <w:name w:val="Table Grid"/>
    <w:basedOn w:val="TableNormal"/>
    <w:uiPriority w:val="39"/>
    <w:rsid w:val="006B3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dicatorlistingteal">
    <w:name w:val="Indicator listing teal"/>
    <w:basedOn w:val="TableNormal"/>
    <w:uiPriority w:val="99"/>
    <w:rsid w:val="006B3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Pr>
    <w:tcPr>
      <w:shd w:val="clear" w:color="auto" w:fill="00688C"/>
    </w:tcPr>
  </w:style>
  <w:style w:type="paragraph" w:customStyle="1" w:styleId="OWBodytextafterlist">
    <w:name w:val="OW Body text after list"/>
    <w:basedOn w:val="BodyText"/>
    <w:qFormat/>
    <w:rsid w:val="00AF2F90"/>
    <w:pPr>
      <w:spacing w:before="140"/>
    </w:pPr>
  </w:style>
  <w:style w:type="numbering" w:customStyle="1" w:styleId="ZZBullets">
    <w:name w:val="ZZ Bullets"/>
    <w:basedOn w:val="NoList"/>
    <w:uiPriority w:val="99"/>
    <w:rsid w:val="00A01DFE"/>
    <w:pPr>
      <w:numPr>
        <w:numId w:val="1"/>
      </w:numPr>
    </w:pPr>
  </w:style>
  <w:style w:type="numbering" w:customStyle="1" w:styleId="ZZNumbersdigit">
    <w:name w:val="ZZ Numbers digit"/>
    <w:basedOn w:val="NoList"/>
    <w:uiPriority w:val="99"/>
    <w:rsid w:val="00AF2F90"/>
    <w:pPr>
      <w:numPr>
        <w:numId w:val="2"/>
      </w:numPr>
    </w:pPr>
  </w:style>
  <w:style w:type="numbering" w:customStyle="1" w:styleId="ZZNumbersalpha">
    <w:name w:val="ZZ Numbers alpha"/>
    <w:basedOn w:val="NoList"/>
    <w:uiPriority w:val="99"/>
    <w:rsid w:val="00AF2F90"/>
    <w:pPr>
      <w:numPr>
        <w:numId w:val="3"/>
      </w:numPr>
    </w:pPr>
  </w:style>
  <w:style w:type="character" w:styleId="Strong">
    <w:name w:val="Strong"/>
    <w:basedOn w:val="DefaultParagraphFont"/>
    <w:uiPriority w:val="22"/>
    <w:qFormat/>
    <w:rsid w:val="002D0D52"/>
    <w:rPr>
      <w:b/>
      <w:bCs/>
    </w:rPr>
  </w:style>
  <w:style w:type="paragraph" w:styleId="Header">
    <w:name w:val="header"/>
    <w:basedOn w:val="Normal"/>
    <w:link w:val="HeaderChar"/>
    <w:uiPriority w:val="99"/>
    <w:unhideWhenUsed/>
    <w:rsid w:val="00807E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7E68"/>
  </w:style>
  <w:style w:type="paragraph" w:styleId="Footer">
    <w:name w:val="footer"/>
    <w:basedOn w:val="Normal"/>
    <w:link w:val="FooterChar"/>
    <w:uiPriority w:val="99"/>
    <w:unhideWhenUsed/>
    <w:rsid w:val="00807E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7E68"/>
  </w:style>
  <w:style w:type="paragraph" w:customStyle="1" w:styleId="OWFooterright">
    <w:name w:val="OW Footer right"/>
    <w:qFormat/>
    <w:rsid w:val="004A271C"/>
    <w:pPr>
      <w:tabs>
        <w:tab w:val="right" w:pos="7655"/>
        <w:tab w:val="right" w:pos="8930"/>
        <w:tab w:val="right" w:pos="9469"/>
      </w:tabs>
      <w:spacing w:after="0" w:line="240" w:lineRule="auto"/>
      <w:ind w:right="-397"/>
    </w:pPr>
    <w:rPr>
      <w:rFonts w:ascii="Calibri Light" w:hAnsi="Calibri Light"/>
      <w:color w:val="414042" w:themeColor="text2"/>
    </w:rPr>
  </w:style>
  <w:style w:type="character" w:customStyle="1" w:styleId="OWPagenumber">
    <w:name w:val="OW Page number"/>
    <w:basedOn w:val="DefaultParagraphFont"/>
    <w:uiPriority w:val="1"/>
    <w:qFormat/>
    <w:rsid w:val="004A271C"/>
    <w:rPr>
      <w:rFonts w:asciiTheme="minorHAnsi" w:hAnsiTheme="minorHAnsi"/>
      <w:b/>
      <w:color w:val="414042" w:themeColor="text2"/>
    </w:rPr>
  </w:style>
  <w:style w:type="character" w:customStyle="1" w:styleId="Heading1Char">
    <w:name w:val="Heading 1 Char"/>
    <w:basedOn w:val="DefaultParagraphFont"/>
    <w:link w:val="Heading1"/>
    <w:uiPriority w:val="9"/>
    <w:rsid w:val="004A732E"/>
    <w:rPr>
      <w:rFonts w:asciiTheme="majorHAnsi" w:hAnsiTheme="majorHAnsi" w:cstheme="majorHAnsi"/>
      <w:b/>
      <w:bCs/>
      <w:color w:val="702652" w:themeColor="accent4"/>
      <w:sz w:val="90"/>
      <w:szCs w:val="91"/>
      <w:lang w:val="en-US"/>
    </w:rPr>
  </w:style>
  <w:style w:type="paragraph" w:customStyle="1" w:styleId="OWFooterleft">
    <w:name w:val="OW Footer left"/>
    <w:basedOn w:val="OWFooterright"/>
    <w:qFormat/>
    <w:rsid w:val="004A271C"/>
    <w:pPr>
      <w:tabs>
        <w:tab w:val="clear" w:pos="7655"/>
        <w:tab w:val="clear" w:pos="8930"/>
        <w:tab w:val="clear" w:pos="9469"/>
        <w:tab w:val="left" w:pos="369"/>
      </w:tabs>
      <w:ind w:left="-397" w:right="0"/>
    </w:pPr>
    <w:rPr>
      <w:sz w:val="21"/>
    </w:rPr>
  </w:style>
  <w:style w:type="table" w:customStyle="1" w:styleId="Indicatoroutlineteal">
    <w:name w:val="Indicator outline teal"/>
    <w:basedOn w:val="TableNormal"/>
    <w:uiPriority w:val="99"/>
    <w:rsid w:val="008D0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Pr>
    <w:tcPr>
      <w:shd w:val="clear" w:color="auto" w:fill="DEE3E8" w:themeFill="background1"/>
    </w:tcPr>
  </w:style>
  <w:style w:type="table" w:customStyle="1" w:styleId="Datatableteal">
    <w:name w:val="Data table teal"/>
    <w:basedOn w:val="TableNormal"/>
    <w:uiPriority w:val="99"/>
    <w:rsid w:val="008A4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Pr>
    <w:tblStylePr w:type="firstRow">
      <w:tblPr/>
      <w:tcPr>
        <w:shd w:val="clear" w:color="auto" w:fill="096A84" w:themeFill="accent1"/>
        <w:vAlign w:val="bottom"/>
      </w:tcPr>
    </w:tblStylePr>
  </w:style>
  <w:style w:type="character" w:styleId="Emphasis">
    <w:name w:val="Emphasis"/>
    <w:basedOn w:val="DefaultParagraphFont"/>
    <w:uiPriority w:val="20"/>
    <w:qFormat/>
    <w:rsid w:val="003E209A"/>
    <w:rPr>
      <w:i/>
      <w:iCs/>
    </w:rPr>
  </w:style>
  <w:style w:type="paragraph" w:customStyle="1" w:styleId="OWBodytextlargespacebelow">
    <w:name w:val="OW Body text large space below"/>
    <w:basedOn w:val="BodyText"/>
    <w:qFormat/>
    <w:rsid w:val="005D2DDD"/>
    <w:pPr>
      <w:spacing w:after="360"/>
    </w:pPr>
  </w:style>
  <w:style w:type="table" w:customStyle="1" w:styleId="Indicatorlistingopal">
    <w:name w:val="Indicator listing opal"/>
    <w:basedOn w:val="Indicatorlistingteal"/>
    <w:uiPriority w:val="99"/>
    <w:rsid w:val="00E36D92"/>
    <w:tblPr/>
    <w:tcPr>
      <w:shd w:val="clear" w:color="auto" w:fill="3AAF8D" w:themeFill="accent6"/>
    </w:tcPr>
  </w:style>
  <w:style w:type="table" w:customStyle="1" w:styleId="Indicatoroutlineopal">
    <w:name w:val="Indicator outline opal"/>
    <w:basedOn w:val="Indicatoroutlineteal"/>
    <w:uiPriority w:val="99"/>
    <w:rsid w:val="00E36D92"/>
    <w:tblPr/>
    <w:tcPr>
      <w:shd w:val="clear" w:color="auto" w:fill="DEEDE6"/>
    </w:tcPr>
  </w:style>
  <w:style w:type="table" w:customStyle="1" w:styleId="Datatableopal">
    <w:name w:val="Data table opal"/>
    <w:basedOn w:val="Datatableteal"/>
    <w:uiPriority w:val="99"/>
    <w:rsid w:val="00CA5A0E"/>
    <w:tblPr/>
    <w:tblStylePr w:type="firstRow">
      <w:tblPr/>
      <w:tcPr>
        <w:shd w:val="clear" w:color="auto" w:fill="3AAF8D" w:themeFill="accent6"/>
        <w:vAlign w:val="bottom"/>
      </w:tcPr>
    </w:tblStylePr>
  </w:style>
  <w:style w:type="table" w:customStyle="1" w:styleId="Casestudyopal">
    <w:name w:val="Case study opal"/>
    <w:basedOn w:val="Casestudyteal"/>
    <w:uiPriority w:val="99"/>
    <w:rsid w:val="00CA5A0E"/>
    <w:tblPr>
      <w:tblBorders>
        <w:top w:val="single" w:sz="4" w:space="0" w:color="00A982" w:themeColor="accent3"/>
        <w:left w:val="single" w:sz="4" w:space="0" w:color="00A982" w:themeColor="accent3"/>
        <w:bottom w:val="single" w:sz="4" w:space="0" w:color="00A982" w:themeColor="accent3"/>
        <w:right w:val="single" w:sz="4" w:space="0" w:color="00A982" w:themeColor="accent3"/>
      </w:tblBorders>
    </w:tblPr>
    <w:tcPr>
      <w:shd w:val="clear" w:color="auto" w:fill="DEEDE6"/>
    </w:tcPr>
    <w:tblStylePr w:type="firstRow">
      <w:tblPr/>
      <w:trPr>
        <w:cantSplit w:val="0"/>
      </w:trPr>
      <w:tcPr>
        <w:tcMar>
          <w:top w:w="0" w:type="nil"/>
          <w:left w:w="340" w:type="dxa"/>
          <w:bottom w:w="57" w:type="dxa"/>
          <w:right w:w="340" w:type="dxa"/>
        </w:tcMar>
      </w:tcPr>
    </w:tblStylePr>
  </w:style>
  <w:style w:type="table" w:customStyle="1" w:styleId="Indicatorlistingumber">
    <w:name w:val="Indicator listing umber"/>
    <w:basedOn w:val="Indicatorlistingteal"/>
    <w:uiPriority w:val="99"/>
    <w:rsid w:val="00445923"/>
    <w:tblPr/>
    <w:tcPr>
      <w:shd w:val="clear" w:color="auto" w:fill="CF4627" w:themeFill="accent2"/>
    </w:tcPr>
  </w:style>
  <w:style w:type="table" w:customStyle="1" w:styleId="Indicatoroutlineumber">
    <w:name w:val="Indicator outline umber"/>
    <w:basedOn w:val="Indicatoroutlineteal"/>
    <w:uiPriority w:val="99"/>
    <w:rsid w:val="008A47DE"/>
    <w:tblPr/>
    <w:tcPr>
      <w:shd w:val="clear" w:color="auto" w:fill="F7E4DA" w:themeFill="background2"/>
    </w:tcPr>
  </w:style>
  <w:style w:type="table" w:customStyle="1" w:styleId="Datatableumber">
    <w:name w:val="Data table umber"/>
    <w:basedOn w:val="Datatableteal"/>
    <w:uiPriority w:val="99"/>
    <w:rsid w:val="008A47DE"/>
    <w:tblPr/>
    <w:tblStylePr w:type="firstRow">
      <w:tblPr/>
      <w:tcPr>
        <w:shd w:val="clear" w:color="auto" w:fill="CF4627" w:themeFill="accent2"/>
        <w:vAlign w:val="bottom"/>
      </w:tcPr>
    </w:tblStylePr>
  </w:style>
  <w:style w:type="table" w:customStyle="1" w:styleId="Casestudyumber">
    <w:name w:val="Case study umber"/>
    <w:basedOn w:val="Casestudyteal"/>
    <w:uiPriority w:val="99"/>
    <w:rsid w:val="00ED204E"/>
    <w:tblPr>
      <w:tblBorders>
        <w:top w:val="single" w:sz="4" w:space="0" w:color="CF4627" w:themeColor="accent2"/>
        <w:left w:val="single" w:sz="4" w:space="0" w:color="CF4627" w:themeColor="accent2"/>
        <w:bottom w:val="single" w:sz="4" w:space="0" w:color="CF4627" w:themeColor="accent2"/>
        <w:right w:val="single" w:sz="4" w:space="0" w:color="CF4627" w:themeColor="accent2"/>
      </w:tblBorders>
    </w:tblPr>
    <w:tcPr>
      <w:shd w:val="clear" w:color="auto" w:fill="F7E4DA" w:themeFill="background2"/>
    </w:tcPr>
    <w:tblStylePr w:type="firstRow">
      <w:tblPr/>
      <w:trPr>
        <w:cantSplit w:val="0"/>
      </w:trPr>
      <w:tcPr>
        <w:tcMar>
          <w:top w:w="0" w:type="nil"/>
          <w:left w:w="340" w:type="dxa"/>
          <w:bottom w:w="57" w:type="dxa"/>
          <w:right w:w="340" w:type="dxa"/>
        </w:tcMar>
      </w:tcPr>
    </w:tblStylePr>
  </w:style>
  <w:style w:type="paragraph" w:styleId="EndnoteText">
    <w:name w:val="endnote text"/>
    <w:aliases w:val="OW Endnote Text"/>
    <w:basedOn w:val="Normal"/>
    <w:link w:val="EndnoteTextChar"/>
    <w:uiPriority w:val="99"/>
    <w:unhideWhenUsed/>
    <w:rsid w:val="00FA79DB"/>
    <w:pPr>
      <w:keepLines/>
      <w:spacing w:after="120" w:line="250" w:lineRule="atLeast"/>
      <w:ind w:left="567" w:hanging="567"/>
    </w:pPr>
    <w:rPr>
      <w:color w:val="414042" w:themeColor="text2"/>
      <w:sz w:val="21"/>
      <w:szCs w:val="20"/>
    </w:rPr>
  </w:style>
  <w:style w:type="character" w:customStyle="1" w:styleId="EndnoteTextChar">
    <w:name w:val="Endnote Text Char"/>
    <w:aliases w:val="OW Endnote Text Char"/>
    <w:basedOn w:val="DefaultParagraphFont"/>
    <w:link w:val="EndnoteText"/>
    <w:uiPriority w:val="99"/>
    <w:rsid w:val="00FA79DB"/>
    <w:rPr>
      <w:color w:val="414042" w:themeColor="text2"/>
      <w:sz w:val="21"/>
      <w:szCs w:val="20"/>
    </w:rPr>
  </w:style>
  <w:style w:type="character" w:styleId="EndnoteReference">
    <w:name w:val="endnote reference"/>
    <w:aliases w:val="OW Endnote Reference"/>
    <w:basedOn w:val="DefaultParagraphFont"/>
    <w:uiPriority w:val="99"/>
    <w:rsid w:val="00C82A54"/>
    <w:rPr>
      <w:vertAlign w:val="superscript"/>
    </w:rPr>
  </w:style>
  <w:style w:type="character" w:customStyle="1" w:styleId="OWHibiscus">
    <w:name w:val="OW Hibiscus"/>
    <w:basedOn w:val="DefaultParagraphFont"/>
    <w:uiPriority w:val="99"/>
    <w:qFormat/>
    <w:rsid w:val="00C82A54"/>
    <w:rPr>
      <w:color w:val="702652" w:themeColor="accent4"/>
    </w:rPr>
  </w:style>
  <w:style w:type="numbering" w:customStyle="1" w:styleId="ZZEndnotes">
    <w:name w:val="ZZ Endnotes"/>
    <w:basedOn w:val="NoList"/>
    <w:uiPriority w:val="99"/>
    <w:rsid w:val="00C82A54"/>
    <w:pPr>
      <w:numPr>
        <w:numId w:val="5"/>
      </w:numPr>
    </w:pPr>
  </w:style>
  <w:style w:type="paragraph" w:customStyle="1" w:styleId="OWEndnotetextindent">
    <w:name w:val="OW Endnote text indent"/>
    <w:basedOn w:val="EndnoteText"/>
    <w:uiPriority w:val="99"/>
    <w:rsid w:val="00EE7984"/>
    <w:pPr>
      <w:widowControl w:val="0"/>
      <w:autoSpaceDE w:val="0"/>
      <w:autoSpaceDN w:val="0"/>
      <w:adjustRightInd w:val="0"/>
      <w:ind w:firstLine="0"/>
      <w:textAlignment w:val="center"/>
    </w:pPr>
    <w:rPr>
      <w:rFonts w:cs="Calibri"/>
      <w:szCs w:val="21"/>
    </w:rPr>
  </w:style>
  <w:style w:type="character" w:customStyle="1" w:styleId="UnresolvedMention1">
    <w:name w:val="Unresolved Mention1"/>
    <w:basedOn w:val="DefaultParagraphFont"/>
    <w:uiPriority w:val="99"/>
    <w:semiHidden/>
    <w:unhideWhenUsed/>
    <w:rsid w:val="00133517"/>
    <w:rPr>
      <w:color w:val="605E5C"/>
      <w:shd w:val="clear" w:color="auto" w:fill="E1DFDD"/>
    </w:rPr>
  </w:style>
  <w:style w:type="character" w:styleId="FootnoteReference">
    <w:name w:val="footnote reference"/>
    <w:basedOn w:val="DefaultParagraphFont"/>
    <w:uiPriority w:val="99"/>
    <w:semiHidden/>
    <w:unhideWhenUsed/>
    <w:rsid w:val="00E754A5"/>
    <w:rPr>
      <w:vertAlign w:val="superscript"/>
    </w:rPr>
  </w:style>
  <w:style w:type="numbering" w:customStyle="1" w:styleId="ZZTablenumbers">
    <w:name w:val="ZZ Table numbers"/>
    <w:basedOn w:val="ZZNumbersdigit"/>
    <w:uiPriority w:val="99"/>
    <w:rsid w:val="004404B0"/>
    <w:pPr>
      <w:numPr>
        <w:numId w:val="15"/>
      </w:numPr>
    </w:pPr>
  </w:style>
  <w:style w:type="paragraph" w:customStyle="1" w:styleId="NoParagraphStyle">
    <w:name w:val="[No Paragraph Style]"/>
    <w:semiHidden/>
    <w:rsid w:val="004A732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OWCovertitle">
    <w:name w:val="OW Cover title"/>
    <w:basedOn w:val="BodyText"/>
    <w:uiPriority w:val="99"/>
    <w:rsid w:val="004A732E"/>
    <w:pPr>
      <w:widowControl w:val="0"/>
      <w:spacing w:after="492" w:line="887" w:lineRule="atLeast"/>
      <w:jc w:val="center"/>
    </w:pPr>
    <w:rPr>
      <w:rFonts w:ascii="Calibri-Bold" w:hAnsi="Calibri-Bold" w:cs="Calibri-Bold"/>
      <w:b/>
      <w:bCs/>
      <w:color w:val="35004F"/>
      <w:sz w:val="91"/>
      <w:szCs w:val="91"/>
      <w:lang w:val="en-US"/>
    </w:rPr>
  </w:style>
  <w:style w:type="paragraph" w:customStyle="1" w:styleId="OWCoversubtitle">
    <w:name w:val="OW Cover subtitle"/>
    <w:uiPriority w:val="99"/>
    <w:rsid w:val="000863F5"/>
    <w:pPr>
      <w:keepLines/>
      <w:suppressAutoHyphens/>
      <w:spacing w:after="240" w:line="240" w:lineRule="auto"/>
      <w:ind w:left="284" w:right="284"/>
      <w:jc w:val="center"/>
    </w:pPr>
    <w:rPr>
      <w:rFonts w:asciiTheme="majorHAnsi" w:hAnsiTheme="majorHAnsi" w:cs="Calibri"/>
      <w:color w:val="414042" w:themeColor="text2"/>
      <w:sz w:val="48"/>
      <w:szCs w:val="48"/>
    </w:rPr>
  </w:style>
  <w:style w:type="paragraph" w:customStyle="1" w:styleId="Heading2TOCheading">
    <w:name w:val="Heading 2 TOC heading"/>
    <w:basedOn w:val="Heading3"/>
    <w:uiPriority w:val="99"/>
    <w:rsid w:val="00C9215A"/>
    <w:pPr>
      <w:spacing w:before="0" w:after="400" w:line="240" w:lineRule="auto"/>
      <w:outlineLvl w:val="1"/>
    </w:pPr>
    <w:rPr>
      <w:bCs w:val="0"/>
      <w:color w:val="702652" w:themeColor="accent4"/>
    </w:rPr>
  </w:style>
  <w:style w:type="paragraph" w:customStyle="1" w:styleId="OWEndnotetextnonumber">
    <w:name w:val="OW Endnote text no number"/>
    <w:basedOn w:val="EndnoteText"/>
    <w:uiPriority w:val="99"/>
    <w:rsid w:val="007D16BE"/>
    <w:pPr>
      <w:widowControl w:val="0"/>
      <w:autoSpaceDE w:val="0"/>
      <w:autoSpaceDN w:val="0"/>
      <w:adjustRightInd w:val="0"/>
      <w:spacing w:after="113"/>
      <w:ind w:left="0" w:firstLine="0"/>
      <w:textAlignment w:val="center"/>
    </w:pPr>
    <w:rPr>
      <w:rFonts w:ascii="Calibri" w:hAnsi="Calibri" w:cs="Calibri"/>
      <w:szCs w:val="21"/>
      <w:lang w:val="en-GB"/>
    </w:rPr>
  </w:style>
  <w:style w:type="paragraph" w:customStyle="1" w:styleId="Heading3appendix">
    <w:name w:val="Heading 3 appendix"/>
    <w:basedOn w:val="BodyText"/>
    <w:next w:val="BodyText"/>
    <w:uiPriority w:val="99"/>
    <w:rsid w:val="00C9215A"/>
    <w:pPr>
      <w:keepNext/>
      <w:keepLines/>
      <w:spacing w:before="300" w:after="120" w:line="240" w:lineRule="auto"/>
      <w:outlineLvl w:val="2"/>
    </w:pPr>
    <w:rPr>
      <w:rFonts w:ascii="Calibri-Bold" w:hAnsi="Calibri-Bold" w:cs="Calibri-Bold"/>
      <w:b/>
      <w:bCs/>
      <w:color w:val="000000"/>
      <w:sz w:val="28"/>
      <w:szCs w:val="28"/>
      <w:lang w:val="en-GB"/>
    </w:rPr>
  </w:style>
  <w:style w:type="paragraph" w:customStyle="1" w:styleId="OWBullet2">
    <w:name w:val="OW Bullet 2"/>
    <w:basedOn w:val="BodyText"/>
    <w:uiPriority w:val="99"/>
    <w:rsid w:val="00A01DFE"/>
    <w:pPr>
      <w:numPr>
        <w:ilvl w:val="1"/>
        <w:numId w:val="1"/>
      </w:numPr>
      <w:spacing w:after="60"/>
    </w:pPr>
    <w:rPr>
      <w:rFonts w:ascii="Calibri" w:hAnsi="Calibri"/>
      <w:color w:val="000000"/>
    </w:rPr>
  </w:style>
  <w:style w:type="paragraph" w:styleId="TOC1">
    <w:name w:val="toc 1"/>
    <w:next w:val="Normal"/>
    <w:uiPriority w:val="39"/>
    <w:unhideWhenUsed/>
    <w:rsid w:val="00AD31E8"/>
    <w:pPr>
      <w:tabs>
        <w:tab w:val="right" w:leader="dot" w:pos="9072"/>
      </w:tabs>
      <w:suppressAutoHyphens/>
      <w:spacing w:before="180" w:after="60" w:line="310" w:lineRule="atLeast"/>
    </w:pPr>
    <w:rPr>
      <w:rFonts w:asciiTheme="majorHAnsi" w:hAnsiTheme="majorHAnsi" w:cstheme="majorHAnsi"/>
      <w:b/>
      <w:bCs/>
      <w:color w:val="414042" w:themeColor="text2"/>
      <w:sz w:val="26"/>
      <w:szCs w:val="26"/>
      <w:lang w:val="en-GB"/>
    </w:rPr>
  </w:style>
  <w:style w:type="paragraph" w:styleId="TOC2">
    <w:name w:val="toc 2"/>
    <w:next w:val="Normal"/>
    <w:uiPriority w:val="39"/>
    <w:unhideWhenUsed/>
    <w:rsid w:val="006B172F"/>
    <w:pPr>
      <w:tabs>
        <w:tab w:val="right" w:leader="dot" w:pos="9072"/>
      </w:tabs>
      <w:suppressAutoHyphens/>
      <w:spacing w:after="60" w:line="290" w:lineRule="atLeast"/>
    </w:pPr>
    <w:rPr>
      <w:rFonts w:cstheme="minorHAnsi"/>
      <w:color w:val="414042" w:themeColor="text2"/>
      <w:sz w:val="24"/>
      <w:szCs w:val="26"/>
    </w:rPr>
  </w:style>
  <w:style w:type="paragraph" w:customStyle="1" w:styleId="OWFooterlandscape">
    <w:name w:val="OW Footer landscape"/>
    <w:basedOn w:val="OWFooterright"/>
    <w:qFormat/>
    <w:rsid w:val="00386F57"/>
    <w:pPr>
      <w:tabs>
        <w:tab w:val="clear" w:pos="7655"/>
        <w:tab w:val="clear" w:pos="8930"/>
        <w:tab w:val="clear" w:pos="9469"/>
        <w:tab w:val="right" w:pos="12928"/>
        <w:tab w:val="right" w:pos="13863"/>
        <w:tab w:val="right" w:pos="14402"/>
      </w:tabs>
    </w:pPr>
  </w:style>
  <w:style w:type="paragraph" w:styleId="TOC3">
    <w:name w:val="toc 3"/>
    <w:basedOn w:val="Normal"/>
    <w:next w:val="Normal"/>
    <w:autoRedefine/>
    <w:uiPriority w:val="39"/>
    <w:unhideWhenUsed/>
    <w:rsid w:val="00D1152E"/>
    <w:pPr>
      <w:spacing w:after="100"/>
      <w:ind w:left="440"/>
    </w:pPr>
  </w:style>
  <w:style w:type="paragraph" w:customStyle="1" w:styleId="OWBoxsourceline">
    <w:name w:val="OW Box source line"/>
    <w:qFormat/>
    <w:rsid w:val="003D6A9B"/>
    <w:pPr>
      <w:spacing w:after="0" w:line="240" w:lineRule="auto"/>
    </w:pPr>
    <w:rPr>
      <w:rFonts w:cs="Calibri"/>
      <w:noProof/>
      <w:color w:val="414042" w:themeColor="text2"/>
      <w:sz w:val="12"/>
      <w:szCs w:val="12"/>
    </w:rPr>
  </w:style>
  <w:style w:type="paragraph" w:customStyle="1" w:styleId="OWBoxsourcelinespaceabove">
    <w:name w:val="OW Box source line space above"/>
    <w:basedOn w:val="OWBoxsourceline"/>
    <w:qFormat/>
    <w:rsid w:val="003D6A9B"/>
    <w:pPr>
      <w:spacing w:before="240"/>
    </w:pPr>
  </w:style>
  <w:style w:type="character" w:styleId="FollowedHyperlink">
    <w:name w:val="FollowedHyperlink"/>
    <w:basedOn w:val="DefaultParagraphFont"/>
    <w:uiPriority w:val="99"/>
    <w:rsid w:val="00FC6949"/>
    <w:rPr>
      <w:color w:val="1B519F"/>
      <w:u w:val="single"/>
    </w:rPr>
  </w:style>
  <w:style w:type="paragraph" w:styleId="BalloonText">
    <w:name w:val="Balloon Text"/>
    <w:basedOn w:val="Normal"/>
    <w:link w:val="BalloonTextChar"/>
    <w:uiPriority w:val="99"/>
    <w:semiHidden/>
    <w:unhideWhenUsed/>
    <w:rsid w:val="00CC223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C2233"/>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CC2233"/>
    <w:rPr>
      <w:sz w:val="18"/>
      <w:szCs w:val="18"/>
    </w:rPr>
  </w:style>
  <w:style w:type="paragraph" w:styleId="CommentText">
    <w:name w:val="annotation text"/>
    <w:basedOn w:val="Normal"/>
    <w:link w:val="CommentTextChar"/>
    <w:uiPriority w:val="99"/>
    <w:semiHidden/>
    <w:qFormat/>
    <w:rsid w:val="00CC2233"/>
    <w:pPr>
      <w:spacing w:line="240" w:lineRule="auto"/>
    </w:pPr>
    <w:rPr>
      <w:sz w:val="24"/>
      <w:szCs w:val="24"/>
    </w:rPr>
  </w:style>
  <w:style w:type="character" w:customStyle="1" w:styleId="CommentTextChar">
    <w:name w:val="Comment Text Char"/>
    <w:basedOn w:val="DefaultParagraphFont"/>
    <w:link w:val="CommentText"/>
    <w:uiPriority w:val="99"/>
    <w:semiHidden/>
    <w:rsid w:val="007A26A6"/>
    <w:rPr>
      <w:sz w:val="24"/>
      <w:szCs w:val="24"/>
    </w:rPr>
  </w:style>
  <w:style w:type="paragraph" w:styleId="CommentSubject">
    <w:name w:val="annotation subject"/>
    <w:basedOn w:val="CommentText"/>
    <w:next w:val="CommentText"/>
    <w:link w:val="CommentSubjectChar"/>
    <w:uiPriority w:val="99"/>
    <w:semiHidden/>
    <w:unhideWhenUsed/>
    <w:rsid w:val="00CC2233"/>
    <w:rPr>
      <w:b/>
      <w:bCs/>
      <w:sz w:val="20"/>
      <w:szCs w:val="20"/>
    </w:rPr>
  </w:style>
  <w:style w:type="character" w:customStyle="1" w:styleId="CommentSubjectChar">
    <w:name w:val="Comment Subject Char"/>
    <w:basedOn w:val="CommentTextChar"/>
    <w:link w:val="CommentSubject"/>
    <w:uiPriority w:val="99"/>
    <w:semiHidden/>
    <w:rsid w:val="00CC2233"/>
    <w:rPr>
      <w:b/>
      <w:bCs/>
      <w:sz w:val="20"/>
      <w:szCs w:val="20"/>
    </w:rPr>
  </w:style>
  <w:style w:type="character" w:customStyle="1" w:styleId="UnresolvedMention2">
    <w:name w:val="Unresolved Mention2"/>
    <w:basedOn w:val="DefaultParagraphFont"/>
    <w:uiPriority w:val="99"/>
    <w:semiHidden/>
    <w:rsid w:val="00DA23F6"/>
    <w:rPr>
      <w:color w:val="605E5C"/>
      <w:shd w:val="clear" w:color="auto" w:fill="E1DFDD"/>
    </w:rPr>
  </w:style>
  <w:style w:type="paragraph" w:styleId="Revision">
    <w:name w:val="Revision"/>
    <w:hidden/>
    <w:uiPriority w:val="99"/>
    <w:semiHidden/>
    <w:rsid w:val="00E44FA3"/>
    <w:pPr>
      <w:spacing w:after="0" w:line="240" w:lineRule="auto"/>
    </w:pPr>
  </w:style>
  <w:style w:type="paragraph" w:styleId="DocumentMap">
    <w:name w:val="Document Map"/>
    <w:basedOn w:val="Normal"/>
    <w:link w:val="DocumentMapChar"/>
    <w:uiPriority w:val="99"/>
    <w:semiHidden/>
    <w:unhideWhenUsed/>
    <w:rsid w:val="003367AD"/>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3367AD"/>
    <w:rPr>
      <w:rFonts w:ascii="Times New Roman" w:hAnsi="Times New Roman" w:cs="Times New Roman"/>
      <w:sz w:val="24"/>
      <w:szCs w:val="24"/>
    </w:rPr>
  </w:style>
  <w:style w:type="paragraph" w:styleId="NormalWeb">
    <w:name w:val="Normal (Web)"/>
    <w:basedOn w:val="Normal"/>
    <w:uiPriority w:val="99"/>
    <w:semiHidden/>
    <w:rsid w:val="002C2EC7"/>
    <w:pPr>
      <w:suppressAutoHyphens w:val="0"/>
      <w:spacing w:before="100" w:beforeAutospacing="1" w:after="100" w:afterAutospacing="1" w:line="240" w:lineRule="auto"/>
    </w:pPr>
    <w:rPr>
      <w:rFonts w:ascii="Calibri" w:eastAsia="Times New Roman" w:hAnsi="Calibri" w:cs="Times New Roman"/>
      <w:sz w:val="24"/>
      <w:szCs w:val="24"/>
      <w:lang w:eastAsia="en-GB"/>
    </w:rPr>
  </w:style>
  <w:style w:type="character" w:styleId="PageNumber">
    <w:name w:val="page number"/>
    <w:basedOn w:val="DefaultParagraphFont"/>
    <w:uiPriority w:val="99"/>
    <w:semiHidden/>
    <w:unhideWhenUsed/>
    <w:rsid w:val="002C2EC7"/>
  </w:style>
  <w:style w:type="paragraph" w:styleId="ListParagraph">
    <w:name w:val="List Paragraph"/>
    <w:basedOn w:val="Normal"/>
    <w:uiPriority w:val="34"/>
    <w:semiHidden/>
    <w:qFormat/>
    <w:rsid w:val="002C2EC7"/>
    <w:pPr>
      <w:suppressAutoHyphens w:val="0"/>
      <w:spacing w:after="120" w:line="240" w:lineRule="auto"/>
      <w:ind w:left="720"/>
      <w:contextualSpacing/>
    </w:pPr>
    <w:rPr>
      <w:rFonts w:ascii="Calibri" w:eastAsia="Times New Roman" w:hAnsi="Calibri" w:cs="Times New Roman"/>
      <w:sz w:val="24"/>
      <w:szCs w:val="24"/>
      <w:lang w:eastAsia="en-US"/>
    </w:rPr>
  </w:style>
  <w:style w:type="table" w:customStyle="1" w:styleId="GridTable4-Accent31">
    <w:name w:val="Grid Table 4 - Accent 31"/>
    <w:basedOn w:val="TableNormal"/>
    <w:uiPriority w:val="49"/>
    <w:rsid w:val="002C2EC7"/>
    <w:pPr>
      <w:spacing w:after="0" w:line="240" w:lineRule="auto"/>
    </w:pPr>
    <w:rPr>
      <w:rFonts w:eastAsiaTheme="minorHAnsi"/>
      <w:sz w:val="24"/>
      <w:szCs w:val="24"/>
      <w:lang w:eastAsia="en-US"/>
    </w:rPr>
    <w:tblPr>
      <w:tblStyleRowBandSize w:val="1"/>
      <w:tblStyleColBandSize w:val="1"/>
      <w:tblBorders>
        <w:top w:val="single" w:sz="4" w:space="0" w:color="32FFCF" w:themeColor="accent3" w:themeTint="99"/>
        <w:left w:val="single" w:sz="4" w:space="0" w:color="32FFCF" w:themeColor="accent3" w:themeTint="99"/>
        <w:bottom w:val="single" w:sz="4" w:space="0" w:color="32FFCF" w:themeColor="accent3" w:themeTint="99"/>
        <w:right w:val="single" w:sz="4" w:space="0" w:color="32FFCF" w:themeColor="accent3" w:themeTint="99"/>
        <w:insideH w:val="single" w:sz="4" w:space="0" w:color="32FFCF" w:themeColor="accent3" w:themeTint="99"/>
        <w:insideV w:val="single" w:sz="4" w:space="0" w:color="32FFCF" w:themeColor="accent3" w:themeTint="99"/>
      </w:tblBorders>
    </w:tblPr>
    <w:tblStylePr w:type="firstRow">
      <w:rPr>
        <w:b/>
        <w:bCs/>
        <w:color w:val="DEE3E8" w:themeColor="background1"/>
      </w:rPr>
      <w:tblPr/>
      <w:tcPr>
        <w:tcBorders>
          <w:top w:val="single" w:sz="4" w:space="0" w:color="00A982" w:themeColor="accent3"/>
          <w:left w:val="single" w:sz="4" w:space="0" w:color="00A982" w:themeColor="accent3"/>
          <w:bottom w:val="single" w:sz="4" w:space="0" w:color="00A982" w:themeColor="accent3"/>
          <w:right w:val="single" w:sz="4" w:space="0" w:color="00A982" w:themeColor="accent3"/>
          <w:insideH w:val="nil"/>
          <w:insideV w:val="nil"/>
        </w:tcBorders>
        <w:shd w:val="clear" w:color="auto" w:fill="00A982" w:themeFill="accent3"/>
      </w:tcPr>
    </w:tblStylePr>
    <w:tblStylePr w:type="lastRow">
      <w:rPr>
        <w:b/>
        <w:bCs/>
      </w:rPr>
      <w:tblPr/>
      <w:tcPr>
        <w:tcBorders>
          <w:top w:val="double" w:sz="4" w:space="0" w:color="00A982" w:themeColor="accent3"/>
        </w:tcBorders>
      </w:tcPr>
    </w:tblStylePr>
    <w:tblStylePr w:type="firstCol">
      <w:rPr>
        <w:b/>
        <w:bCs/>
      </w:rPr>
    </w:tblStylePr>
    <w:tblStylePr w:type="lastCol">
      <w:rPr>
        <w:b/>
        <w:bCs/>
      </w:rPr>
    </w:tblStylePr>
    <w:tblStylePr w:type="band1Vert">
      <w:tblPr/>
      <w:tcPr>
        <w:shd w:val="clear" w:color="auto" w:fill="BAFFEF" w:themeFill="accent3" w:themeFillTint="33"/>
      </w:tcPr>
    </w:tblStylePr>
    <w:tblStylePr w:type="band1Horz">
      <w:tblPr/>
      <w:tcPr>
        <w:shd w:val="clear" w:color="auto" w:fill="BAFFEF" w:themeFill="accent3" w:themeFillTint="33"/>
      </w:tcPr>
    </w:tblStylePr>
  </w:style>
  <w:style w:type="paragraph" w:styleId="Caption">
    <w:name w:val="caption"/>
    <w:basedOn w:val="Normal"/>
    <w:next w:val="Normal"/>
    <w:uiPriority w:val="35"/>
    <w:semiHidden/>
    <w:qFormat/>
    <w:rsid w:val="002C2EC7"/>
    <w:pPr>
      <w:suppressAutoHyphens w:val="0"/>
      <w:spacing w:after="200" w:line="240" w:lineRule="auto"/>
    </w:pPr>
    <w:rPr>
      <w:rFonts w:ascii="Calibri" w:eastAsia="Times New Roman" w:hAnsi="Calibri" w:cs="Times New Roman"/>
      <w:i/>
      <w:iCs/>
      <w:color w:val="414042" w:themeColor="text2"/>
      <w:sz w:val="18"/>
      <w:szCs w:val="18"/>
      <w:lang w:eastAsia="en-GB"/>
    </w:rPr>
  </w:style>
  <w:style w:type="paragraph" w:styleId="TableofFigures">
    <w:name w:val="table of figures"/>
    <w:basedOn w:val="Normal"/>
    <w:next w:val="Normal"/>
    <w:uiPriority w:val="99"/>
    <w:semiHidden/>
    <w:rsid w:val="002C2EC7"/>
    <w:pPr>
      <w:suppressAutoHyphens w:val="0"/>
      <w:spacing w:after="120" w:line="240" w:lineRule="auto"/>
    </w:pPr>
    <w:rPr>
      <w:rFonts w:ascii="Calibri" w:eastAsia="Times New Roman" w:hAnsi="Calibri" w:cs="Times New Roman"/>
      <w:sz w:val="24"/>
      <w:szCs w:val="24"/>
      <w:lang w:eastAsia="en-GB"/>
    </w:rPr>
  </w:style>
  <w:style w:type="paragraph" w:styleId="TOC4">
    <w:name w:val="toc 4"/>
    <w:basedOn w:val="Normal"/>
    <w:next w:val="Normal"/>
    <w:autoRedefine/>
    <w:uiPriority w:val="39"/>
    <w:unhideWhenUsed/>
    <w:rsid w:val="002C2EC7"/>
    <w:pPr>
      <w:suppressAutoHyphens w:val="0"/>
      <w:spacing w:after="100" w:line="240" w:lineRule="auto"/>
      <w:ind w:left="720"/>
    </w:pPr>
    <w:rPr>
      <w:rFonts w:ascii="Calibri" w:eastAsia="Times New Roman" w:hAnsi="Calibri" w:cs="Times New Roman"/>
      <w:sz w:val="24"/>
      <w:szCs w:val="24"/>
      <w:lang w:eastAsia="en-GB"/>
    </w:rPr>
  </w:style>
  <w:style w:type="character" w:customStyle="1" w:styleId="OWCharacterHibiscus">
    <w:name w:val="OW Character Hibiscus"/>
    <w:basedOn w:val="DefaultParagraphFont"/>
    <w:uiPriority w:val="1"/>
    <w:qFormat/>
    <w:rsid w:val="00790783"/>
    <w:rPr>
      <w:color w:val="702652" w:themeColor="accent4"/>
    </w:rPr>
  </w:style>
  <w:style w:type="paragraph" w:customStyle="1" w:styleId="Heading2frontmatter">
    <w:name w:val="Heading 2 front matter"/>
    <w:basedOn w:val="Heading2TOCheading"/>
    <w:qFormat/>
    <w:rsid w:val="006337B0"/>
    <w:pPr>
      <w:pageBreakBefore w:val="0"/>
      <w:spacing w:after="300"/>
    </w:pPr>
  </w:style>
  <w:style w:type="table" w:customStyle="1" w:styleId="Casestudyhibiscus">
    <w:name w:val="Case study hibiscus"/>
    <w:basedOn w:val="Casestudyteal"/>
    <w:uiPriority w:val="99"/>
    <w:rsid w:val="00745297"/>
    <w:tblPr>
      <w:tblBorders>
        <w:top w:val="single" w:sz="4" w:space="0" w:color="702652" w:themeColor="accent4"/>
        <w:left w:val="single" w:sz="4" w:space="0" w:color="702652" w:themeColor="accent4"/>
        <w:bottom w:val="single" w:sz="4" w:space="0" w:color="702652" w:themeColor="accent4"/>
        <w:right w:val="single" w:sz="4" w:space="0" w:color="702652" w:themeColor="accent4"/>
      </w:tblBorders>
    </w:tblPr>
    <w:tcPr>
      <w:shd w:val="clear" w:color="auto" w:fill="E4D9DD"/>
    </w:tcPr>
    <w:tblStylePr w:type="firstRow">
      <w:tblPr/>
      <w:trPr>
        <w:cantSplit w:val="0"/>
      </w:trPr>
      <w:tcPr>
        <w:tcMar>
          <w:top w:w="0" w:type="nil"/>
          <w:left w:w="340" w:type="dxa"/>
          <w:bottom w:w="57" w:type="dxa"/>
          <w:right w:w="340" w:type="dxa"/>
        </w:tcMar>
      </w:tcPr>
    </w:tblStylePr>
  </w:style>
  <w:style w:type="table" w:customStyle="1" w:styleId="Datatablehibsicus">
    <w:name w:val="Data table hibsicus"/>
    <w:basedOn w:val="Datatableteal"/>
    <w:uiPriority w:val="99"/>
    <w:rsid w:val="00BA57A0"/>
    <w:tblPr/>
    <w:tcPr>
      <w:shd w:val="clear" w:color="auto" w:fill="auto"/>
    </w:tcPr>
    <w:tblStylePr w:type="firstRow">
      <w:tblPr/>
      <w:tcPr>
        <w:shd w:val="clear" w:color="auto" w:fill="702652" w:themeFill="accent4"/>
        <w:vAlign w:val="bottom"/>
      </w:tcPr>
    </w:tblStylePr>
  </w:style>
  <w:style w:type="character" w:customStyle="1" w:styleId="OWSuperscriptCharcoallarge">
    <w:name w:val="OW Superscript Charcoal large"/>
    <w:basedOn w:val="OWSuperscriptOpal"/>
    <w:uiPriority w:val="1"/>
    <w:qFormat/>
    <w:rsid w:val="00FB7F22"/>
    <w:rPr>
      <w:color w:val="4D4D4F" w:themeColor="accent5"/>
      <w:position w:val="4"/>
      <w:sz w:val="44"/>
      <w:vertAlign w:val="superscript"/>
    </w:rPr>
  </w:style>
  <w:style w:type="character" w:customStyle="1" w:styleId="HyperlinkItalic">
    <w:name w:val="Hyperlink Italic"/>
    <w:basedOn w:val="Hyperlink"/>
    <w:uiPriority w:val="1"/>
    <w:qFormat/>
    <w:rsid w:val="00FC6949"/>
    <w:rPr>
      <w:i/>
      <w:color w:val="1B5997"/>
      <w:w w:val="100"/>
      <w:u w:val="single" w:color="1B5997"/>
    </w:rPr>
  </w:style>
  <w:style w:type="table" w:customStyle="1" w:styleId="Datatablecharcoal">
    <w:name w:val="Data table charcoal"/>
    <w:basedOn w:val="Datatableteal"/>
    <w:uiPriority w:val="99"/>
    <w:rsid w:val="00FB7F22"/>
    <w:tblPr/>
    <w:tblStylePr w:type="firstRow">
      <w:tblPr/>
      <w:tcPr>
        <w:shd w:val="clear" w:color="auto" w:fill="4D4D4F" w:themeFill="accent5"/>
        <w:vAlign w:val="bottom"/>
      </w:tcPr>
    </w:tblStylePr>
  </w:style>
  <w:style w:type="character" w:customStyle="1" w:styleId="OWCharacterHibiscusItalic">
    <w:name w:val="OW Character Hibiscus Italic"/>
    <w:basedOn w:val="OWCharacterHibiscus"/>
    <w:uiPriority w:val="1"/>
    <w:qFormat/>
    <w:rsid w:val="003974E9"/>
    <w:rPr>
      <w:i/>
      <w:color w:val="702652" w:themeColor="accent4"/>
    </w:rPr>
  </w:style>
  <w:style w:type="table" w:customStyle="1" w:styleId="Casestudycharcoal">
    <w:name w:val="Case study charcoal"/>
    <w:basedOn w:val="Casestudyteal"/>
    <w:uiPriority w:val="99"/>
    <w:rsid w:val="00CD4E17"/>
    <w:tblPr>
      <w:tblBorders>
        <w:top w:val="single" w:sz="4" w:space="0" w:color="414042" w:themeColor="text2"/>
        <w:left w:val="single" w:sz="4" w:space="0" w:color="414042" w:themeColor="text2"/>
        <w:bottom w:val="single" w:sz="4" w:space="0" w:color="414042" w:themeColor="text2"/>
        <w:right w:val="single" w:sz="4" w:space="0" w:color="414042" w:themeColor="text2"/>
      </w:tblBorders>
    </w:tblPr>
    <w:tcPr>
      <w:shd w:val="clear" w:color="auto" w:fill="E8E9E9"/>
    </w:tcPr>
    <w:tblStylePr w:type="firstRow">
      <w:tblPr/>
      <w:trPr>
        <w:cantSplit w:val="0"/>
      </w:trPr>
      <w:tcPr>
        <w:tcMar>
          <w:top w:w="0" w:type="nil"/>
          <w:left w:w="340" w:type="dxa"/>
          <w:bottom w:w="57" w:type="dxa"/>
          <w:right w:w="340" w:type="dxa"/>
        </w:tcMar>
      </w:tcPr>
    </w:tblStylePr>
  </w:style>
  <w:style w:type="character" w:styleId="Mention">
    <w:name w:val="Mention"/>
    <w:basedOn w:val="DefaultParagraphFont"/>
    <w:uiPriority w:val="99"/>
    <w:semiHidden/>
    <w:rsid w:val="00743E6A"/>
    <w:rPr>
      <w:color w:val="2B579A"/>
      <w:shd w:val="clear" w:color="auto" w:fill="E6E6E6"/>
    </w:rPr>
  </w:style>
  <w:style w:type="character" w:styleId="UnresolvedMention">
    <w:name w:val="Unresolved Mention"/>
    <w:basedOn w:val="DefaultParagraphFont"/>
    <w:uiPriority w:val="99"/>
    <w:semiHidden/>
    <w:rsid w:val="00256C4F"/>
    <w:rPr>
      <w:color w:val="605E5C"/>
      <w:shd w:val="clear" w:color="auto" w:fill="E1DFDD"/>
    </w:rPr>
  </w:style>
  <w:style w:type="paragraph" w:customStyle="1" w:styleId="paragraph">
    <w:name w:val="paragraph"/>
    <w:basedOn w:val="Normal"/>
    <w:rsid w:val="00D2123F"/>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D2123F"/>
  </w:style>
  <w:style w:type="character" w:customStyle="1" w:styleId="normaltextrun">
    <w:name w:val="normaltextrun"/>
    <w:basedOn w:val="DefaultParagraphFont"/>
    <w:rsid w:val="00D2123F"/>
  </w:style>
  <w:style w:type="character" w:customStyle="1" w:styleId="eop">
    <w:name w:val="eop"/>
    <w:basedOn w:val="DefaultParagraphFont"/>
    <w:rsid w:val="00D2123F"/>
  </w:style>
  <w:style w:type="paragraph" w:customStyle="1" w:styleId="xxmsonormal">
    <w:name w:val="x_xmsonormal"/>
    <w:basedOn w:val="Normal"/>
    <w:rsid w:val="00403EC9"/>
    <w:pPr>
      <w:suppressAutoHyphens w:val="0"/>
      <w:spacing w:after="0" w:line="240" w:lineRule="auto"/>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078051">
      <w:bodyDiv w:val="1"/>
      <w:marLeft w:val="0"/>
      <w:marRight w:val="0"/>
      <w:marTop w:val="0"/>
      <w:marBottom w:val="0"/>
      <w:divBdr>
        <w:top w:val="none" w:sz="0" w:space="0" w:color="auto"/>
        <w:left w:val="none" w:sz="0" w:space="0" w:color="auto"/>
        <w:bottom w:val="none" w:sz="0" w:space="0" w:color="auto"/>
        <w:right w:val="none" w:sz="0" w:space="0" w:color="auto"/>
      </w:divBdr>
    </w:div>
    <w:div w:id="80377844">
      <w:bodyDiv w:val="1"/>
      <w:marLeft w:val="0"/>
      <w:marRight w:val="0"/>
      <w:marTop w:val="0"/>
      <w:marBottom w:val="0"/>
      <w:divBdr>
        <w:top w:val="none" w:sz="0" w:space="0" w:color="auto"/>
        <w:left w:val="none" w:sz="0" w:space="0" w:color="auto"/>
        <w:bottom w:val="none" w:sz="0" w:space="0" w:color="auto"/>
        <w:right w:val="none" w:sz="0" w:space="0" w:color="auto"/>
      </w:divBdr>
    </w:div>
    <w:div w:id="91821094">
      <w:bodyDiv w:val="1"/>
      <w:marLeft w:val="0"/>
      <w:marRight w:val="0"/>
      <w:marTop w:val="0"/>
      <w:marBottom w:val="0"/>
      <w:divBdr>
        <w:top w:val="none" w:sz="0" w:space="0" w:color="auto"/>
        <w:left w:val="none" w:sz="0" w:space="0" w:color="auto"/>
        <w:bottom w:val="none" w:sz="0" w:space="0" w:color="auto"/>
        <w:right w:val="none" w:sz="0" w:space="0" w:color="auto"/>
      </w:divBdr>
    </w:div>
    <w:div w:id="94982774">
      <w:bodyDiv w:val="1"/>
      <w:marLeft w:val="0"/>
      <w:marRight w:val="0"/>
      <w:marTop w:val="0"/>
      <w:marBottom w:val="0"/>
      <w:divBdr>
        <w:top w:val="none" w:sz="0" w:space="0" w:color="auto"/>
        <w:left w:val="none" w:sz="0" w:space="0" w:color="auto"/>
        <w:bottom w:val="none" w:sz="0" w:space="0" w:color="auto"/>
        <w:right w:val="none" w:sz="0" w:space="0" w:color="auto"/>
      </w:divBdr>
    </w:div>
    <w:div w:id="102120061">
      <w:bodyDiv w:val="1"/>
      <w:marLeft w:val="0"/>
      <w:marRight w:val="0"/>
      <w:marTop w:val="0"/>
      <w:marBottom w:val="0"/>
      <w:divBdr>
        <w:top w:val="none" w:sz="0" w:space="0" w:color="auto"/>
        <w:left w:val="none" w:sz="0" w:space="0" w:color="auto"/>
        <w:bottom w:val="none" w:sz="0" w:space="0" w:color="auto"/>
        <w:right w:val="none" w:sz="0" w:space="0" w:color="auto"/>
      </w:divBdr>
    </w:div>
    <w:div w:id="117071139">
      <w:bodyDiv w:val="1"/>
      <w:marLeft w:val="0"/>
      <w:marRight w:val="0"/>
      <w:marTop w:val="0"/>
      <w:marBottom w:val="0"/>
      <w:divBdr>
        <w:top w:val="none" w:sz="0" w:space="0" w:color="auto"/>
        <w:left w:val="none" w:sz="0" w:space="0" w:color="auto"/>
        <w:bottom w:val="none" w:sz="0" w:space="0" w:color="auto"/>
        <w:right w:val="none" w:sz="0" w:space="0" w:color="auto"/>
      </w:divBdr>
    </w:div>
    <w:div w:id="172034721">
      <w:bodyDiv w:val="1"/>
      <w:marLeft w:val="0"/>
      <w:marRight w:val="0"/>
      <w:marTop w:val="0"/>
      <w:marBottom w:val="0"/>
      <w:divBdr>
        <w:top w:val="none" w:sz="0" w:space="0" w:color="auto"/>
        <w:left w:val="none" w:sz="0" w:space="0" w:color="auto"/>
        <w:bottom w:val="none" w:sz="0" w:space="0" w:color="auto"/>
        <w:right w:val="none" w:sz="0" w:space="0" w:color="auto"/>
      </w:divBdr>
    </w:div>
    <w:div w:id="199708616">
      <w:bodyDiv w:val="1"/>
      <w:marLeft w:val="0"/>
      <w:marRight w:val="0"/>
      <w:marTop w:val="0"/>
      <w:marBottom w:val="0"/>
      <w:divBdr>
        <w:top w:val="none" w:sz="0" w:space="0" w:color="auto"/>
        <w:left w:val="none" w:sz="0" w:space="0" w:color="auto"/>
        <w:bottom w:val="none" w:sz="0" w:space="0" w:color="auto"/>
        <w:right w:val="none" w:sz="0" w:space="0" w:color="auto"/>
      </w:divBdr>
    </w:div>
    <w:div w:id="223493553">
      <w:bodyDiv w:val="1"/>
      <w:marLeft w:val="0"/>
      <w:marRight w:val="0"/>
      <w:marTop w:val="0"/>
      <w:marBottom w:val="0"/>
      <w:divBdr>
        <w:top w:val="none" w:sz="0" w:space="0" w:color="auto"/>
        <w:left w:val="none" w:sz="0" w:space="0" w:color="auto"/>
        <w:bottom w:val="none" w:sz="0" w:space="0" w:color="auto"/>
        <w:right w:val="none" w:sz="0" w:space="0" w:color="auto"/>
      </w:divBdr>
    </w:div>
    <w:div w:id="227033944">
      <w:bodyDiv w:val="1"/>
      <w:marLeft w:val="0"/>
      <w:marRight w:val="0"/>
      <w:marTop w:val="0"/>
      <w:marBottom w:val="0"/>
      <w:divBdr>
        <w:top w:val="none" w:sz="0" w:space="0" w:color="auto"/>
        <w:left w:val="none" w:sz="0" w:space="0" w:color="auto"/>
        <w:bottom w:val="none" w:sz="0" w:space="0" w:color="auto"/>
        <w:right w:val="none" w:sz="0" w:space="0" w:color="auto"/>
      </w:divBdr>
    </w:div>
    <w:div w:id="227809176">
      <w:bodyDiv w:val="1"/>
      <w:marLeft w:val="0"/>
      <w:marRight w:val="0"/>
      <w:marTop w:val="0"/>
      <w:marBottom w:val="0"/>
      <w:divBdr>
        <w:top w:val="none" w:sz="0" w:space="0" w:color="auto"/>
        <w:left w:val="none" w:sz="0" w:space="0" w:color="auto"/>
        <w:bottom w:val="none" w:sz="0" w:space="0" w:color="auto"/>
        <w:right w:val="none" w:sz="0" w:space="0" w:color="auto"/>
      </w:divBdr>
    </w:div>
    <w:div w:id="250432144">
      <w:bodyDiv w:val="1"/>
      <w:marLeft w:val="0"/>
      <w:marRight w:val="0"/>
      <w:marTop w:val="0"/>
      <w:marBottom w:val="0"/>
      <w:divBdr>
        <w:top w:val="none" w:sz="0" w:space="0" w:color="auto"/>
        <w:left w:val="none" w:sz="0" w:space="0" w:color="auto"/>
        <w:bottom w:val="none" w:sz="0" w:space="0" w:color="auto"/>
        <w:right w:val="none" w:sz="0" w:space="0" w:color="auto"/>
      </w:divBdr>
    </w:div>
    <w:div w:id="270668152">
      <w:bodyDiv w:val="1"/>
      <w:marLeft w:val="0"/>
      <w:marRight w:val="0"/>
      <w:marTop w:val="0"/>
      <w:marBottom w:val="0"/>
      <w:divBdr>
        <w:top w:val="none" w:sz="0" w:space="0" w:color="auto"/>
        <w:left w:val="none" w:sz="0" w:space="0" w:color="auto"/>
        <w:bottom w:val="none" w:sz="0" w:space="0" w:color="auto"/>
        <w:right w:val="none" w:sz="0" w:space="0" w:color="auto"/>
      </w:divBdr>
    </w:div>
    <w:div w:id="299920493">
      <w:bodyDiv w:val="1"/>
      <w:marLeft w:val="0"/>
      <w:marRight w:val="0"/>
      <w:marTop w:val="0"/>
      <w:marBottom w:val="0"/>
      <w:divBdr>
        <w:top w:val="none" w:sz="0" w:space="0" w:color="auto"/>
        <w:left w:val="none" w:sz="0" w:space="0" w:color="auto"/>
        <w:bottom w:val="none" w:sz="0" w:space="0" w:color="auto"/>
        <w:right w:val="none" w:sz="0" w:space="0" w:color="auto"/>
      </w:divBdr>
    </w:div>
    <w:div w:id="328095834">
      <w:bodyDiv w:val="1"/>
      <w:marLeft w:val="0"/>
      <w:marRight w:val="0"/>
      <w:marTop w:val="0"/>
      <w:marBottom w:val="0"/>
      <w:divBdr>
        <w:top w:val="none" w:sz="0" w:space="0" w:color="auto"/>
        <w:left w:val="none" w:sz="0" w:space="0" w:color="auto"/>
        <w:bottom w:val="none" w:sz="0" w:space="0" w:color="auto"/>
        <w:right w:val="none" w:sz="0" w:space="0" w:color="auto"/>
      </w:divBdr>
    </w:div>
    <w:div w:id="328336792">
      <w:bodyDiv w:val="1"/>
      <w:marLeft w:val="0"/>
      <w:marRight w:val="0"/>
      <w:marTop w:val="0"/>
      <w:marBottom w:val="0"/>
      <w:divBdr>
        <w:top w:val="none" w:sz="0" w:space="0" w:color="auto"/>
        <w:left w:val="none" w:sz="0" w:space="0" w:color="auto"/>
        <w:bottom w:val="none" w:sz="0" w:space="0" w:color="auto"/>
        <w:right w:val="none" w:sz="0" w:space="0" w:color="auto"/>
      </w:divBdr>
    </w:div>
    <w:div w:id="350227591">
      <w:bodyDiv w:val="1"/>
      <w:marLeft w:val="0"/>
      <w:marRight w:val="0"/>
      <w:marTop w:val="0"/>
      <w:marBottom w:val="0"/>
      <w:divBdr>
        <w:top w:val="none" w:sz="0" w:space="0" w:color="auto"/>
        <w:left w:val="none" w:sz="0" w:space="0" w:color="auto"/>
        <w:bottom w:val="none" w:sz="0" w:space="0" w:color="auto"/>
        <w:right w:val="none" w:sz="0" w:space="0" w:color="auto"/>
      </w:divBdr>
    </w:div>
    <w:div w:id="353728300">
      <w:bodyDiv w:val="1"/>
      <w:marLeft w:val="0"/>
      <w:marRight w:val="0"/>
      <w:marTop w:val="0"/>
      <w:marBottom w:val="0"/>
      <w:divBdr>
        <w:top w:val="none" w:sz="0" w:space="0" w:color="auto"/>
        <w:left w:val="none" w:sz="0" w:space="0" w:color="auto"/>
        <w:bottom w:val="none" w:sz="0" w:space="0" w:color="auto"/>
        <w:right w:val="none" w:sz="0" w:space="0" w:color="auto"/>
      </w:divBdr>
    </w:div>
    <w:div w:id="366873039">
      <w:bodyDiv w:val="1"/>
      <w:marLeft w:val="0"/>
      <w:marRight w:val="0"/>
      <w:marTop w:val="0"/>
      <w:marBottom w:val="0"/>
      <w:divBdr>
        <w:top w:val="none" w:sz="0" w:space="0" w:color="auto"/>
        <w:left w:val="none" w:sz="0" w:space="0" w:color="auto"/>
        <w:bottom w:val="none" w:sz="0" w:space="0" w:color="auto"/>
        <w:right w:val="none" w:sz="0" w:space="0" w:color="auto"/>
      </w:divBdr>
    </w:div>
    <w:div w:id="374042908">
      <w:bodyDiv w:val="1"/>
      <w:marLeft w:val="0"/>
      <w:marRight w:val="0"/>
      <w:marTop w:val="0"/>
      <w:marBottom w:val="0"/>
      <w:divBdr>
        <w:top w:val="none" w:sz="0" w:space="0" w:color="auto"/>
        <w:left w:val="none" w:sz="0" w:space="0" w:color="auto"/>
        <w:bottom w:val="none" w:sz="0" w:space="0" w:color="auto"/>
        <w:right w:val="none" w:sz="0" w:space="0" w:color="auto"/>
      </w:divBdr>
    </w:div>
    <w:div w:id="380835048">
      <w:bodyDiv w:val="1"/>
      <w:marLeft w:val="0"/>
      <w:marRight w:val="0"/>
      <w:marTop w:val="0"/>
      <w:marBottom w:val="0"/>
      <w:divBdr>
        <w:top w:val="none" w:sz="0" w:space="0" w:color="auto"/>
        <w:left w:val="none" w:sz="0" w:space="0" w:color="auto"/>
        <w:bottom w:val="none" w:sz="0" w:space="0" w:color="auto"/>
        <w:right w:val="none" w:sz="0" w:space="0" w:color="auto"/>
      </w:divBdr>
    </w:div>
    <w:div w:id="384763616">
      <w:bodyDiv w:val="1"/>
      <w:marLeft w:val="0"/>
      <w:marRight w:val="0"/>
      <w:marTop w:val="0"/>
      <w:marBottom w:val="0"/>
      <w:divBdr>
        <w:top w:val="none" w:sz="0" w:space="0" w:color="auto"/>
        <w:left w:val="none" w:sz="0" w:space="0" w:color="auto"/>
        <w:bottom w:val="none" w:sz="0" w:space="0" w:color="auto"/>
        <w:right w:val="none" w:sz="0" w:space="0" w:color="auto"/>
      </w:divBdr>
    </w:div>
    <w:div w:id="390420814">
      <w:bodyDiv w:val="1"/>
      <w:marLeft w:val="0"/>
      <w:marRight w:val="0"/>
      <w:marTop w:val="0"/>
      <w:marBottom w:val="0"/>
      <w:divBdr>
        <w:top w:val="none" w:sz="0" w:space="0" w:color="auto"/>
        <w:left w:val="none" w:sz="0" w:space="0" w:color="auto"/>
        <w:bottom w:val="none" w:sz="0" w:space="0" w:color="auto"/>
        <w:right w:val="none" w:sz="0" w:space="0" w:color="auto"/>
      </w:divBdr>
    </w:div>
    <w:div w:id="391544048">
      <w:bodyDiv w:val="1"/>
      <w:marLeft w:val="0"/>
      <w:marRight w:val="0"/>
      <w:marTop w:val="0"/>
      <w:marBottom w:val="0"/>
      <w:divBdr>
        <w:top w:val="none" w:sz="0" w:space="0" w:color="auto"/>
        <w:left w:val="none" w:sz="0" w:space="0" w:color="auto"/>
        <w:bottom w:val="none" w:sz="0" w:space="0" w:color="auto"/>
        <w:right w:val="none" w:sz="0" w:space="0" w:color="auto"/>
      </w:divBdr>
    </w:div>
    <w:div w:id="393772464">
      <w:bodyDiv w:val="1"/>
      <w:marLeft w:val="0"/>
      <w:marRight w:val="0"/>
      <w:marTop w:val="0"/>
      <w:marBottom w:val="0"/>
      <w:divBdr>
        <w:top w:val="none" w:sz="0" w:space="0" w:color="auto"/>
        <w:left w:val="none" w:sz="0" w:space="0" w:color="auto"/>
        <w:bottom w:val="none" w:sz="0" w:space="0" w:color="auto"/>
        <w:right w:val="none" w:sz="0" w:space="0" w:color="auto"/>
      </w:divBdr>
    </w:div>
    <w:div w:id="397755187">
      <w:bodyDiv w:val="1"/>
      <w:marLeft w:val="0"/>
      <w:marRight w:val="0"/>
      <w:marTop w:val="0"/>
      <w:marBottom w:val="0"/>
      <w:divBdr>
        <w:top w:val="none" w:sz="0" w:space="0" w:color="auto"/>
        <w:left w:val="none" w:sz="0" w:space="0" w:color="auto"/>
        <w:bottom w:val="none" w:sz="0" w:space="0" w:color="auto"/>
        <w:right w:val="none" w:sz="0" w:space="0" w:color="auto"/>
      </w:divBdr>
    </w:div>
    <w:div w:id="422605690">
      <w:bodyDiv w:val="1"/>
      <w:marLeft w:val="0"/>
      <w:marRight w:val="0"/>
      <w:marTop w:val="0"/>
      <w:marBottom w:val="0"/>
      <w:divBdr>
        <w:top w:val="none" w:sz="0" w:space="0" w:color="auto"/>
        <w:left w:val="none" w:sz="0" w:space="0" w:color="auto"/>
        <w:bottom w:val="none" w:sz="0" w:space="0" w:color="auto"/>
        <w:right w:val="none" w:sz="0" w:space="0" w:color="auto"/>
      </w:divBdr>
    </w:div>
    <w:div w:id="426998450">
      <w:bodyDiv w:val="1"/>
      <w:marLeft w:val="0"/>
      <w:marRight w:val="0"/>
      <w:marTop w:val="0"/>
      <w:marBottom w:val="0"/>
      <w:divBdr>
        <w:top w:val="none" w:sz="0" w:space="0" w:color="auto"/>
        <w:left w:val="none" w:sz="0" w:space="0" w:color="auto"/>
        <w:bottom w:val="none" w:sz="0" w:space="0" w:color="auto"/>
        <w:right w:val="none" w:sz="0" w:space="0" w:color="auto"/>
      </w:divBdr>
    </w:div>
    <w:div w:id="454907485">
      <w:bodyDiv w:val="1"/>
      <w:marLeft w:val="0"/>
      <w:marRight w:val="0"/>
      <w:marTop w:val="0"/>
      <w:marBottom w:val="0"/>
      <w:divBdr>
        <w:top w:val="none" w:sz="0" w:space="0" w:color="auto"/>
        <w:left w:val="none" w:sz="0" w:space="0" w:color="auto"/>
        <w:bottom w:val="none" w:sz="0" w:space="0" w:color="auto"/>
        <w:right w:val="none" w:sz="0" w:space="0" w:color="auto"/>
      </w:divBdr>
    </w:div>
    <w:div w:id="468867092">
      <w:bodyDiv w:val="1"/>
      <w:marLeft w:val="0"/>
      <w:marRight w:val="0"/>
      <w:marTop w:val="0"/>
      <w:marBottom w:val="0"/>
      <w:divBdr>
        <w:top w:val="none" w:sz="0" w:space="0" w:color="auto"/>
        <w:left w:val="none" w:sz="0" w:space="0" w:color="auto"/>
        <w:bottom w:val="none" w:sz="0" w:space="0" w:color="auto"/>
        <w:right w:val="none" w:sz="0" w:space="0" w:color="auto"/>
      </w:divBdr>
    </w:div>
    <w:div w:id="471412863">
      <w:bodyDiv w:val="1"/>
      <w:marLeft w:val="0"/>
      <w:marRight w:val="0"/>
      <w:marTop w:val="0"/>
      <w:marBottom w:val="0"/>
      <w:divBdr>
        <w:top w:val="none" w:sz="0" w:space="0" w:color="auto"/>
        <w:left w:val="none" w:sz="0" w:space="0" w:color="auto"/>
        <w:bottom w:val="none" w:sz="0" w:space="0" w:color="auto"/>
        <w:right w:val="none" w:sz="0" w:space="0" w:color="auto"/>
      </w:divBdr>
    </w:div>
    <w:div w:id="505750112">
      <w:bodyDiv w:val="1"/>
      <w:marLeft w:val="0"/>
      <w:marRight w:val="0"/>
      <w:marTop w:val="0"/>
      <w:marBottom w:val="0"/>
      <w:divBdr>
        <w:top w:val="none" w:sz="0" w:space="0" w:color="auto"/>
        <w:left w:val="none" w:sz="0" w:space="0" w:color="auto"/>
        <w:bottom w:val="none" w:sz="0" w:space="0" w:color="auto"/>
        <w:right w:val="none" w:sz="0" w:space="0" w:color="auto"/>
      </w:divBdr>
      <w:divsChild>
        <w:div w:id="2121414073">
          <w:marLeft w:val="0"/>
          <w:marRight w:val="0"/>
          <w:marTop w:val="0"/>
          <w:marBottom w:val="0"/>
          <w:divBdr>
            <w:top w:val="none" w:sz="0" w:space="0" w:color="auto"/>
            <w:left w:val="none" w:sz="0" w:space="0" w:color="auto"/>
            <w:bottom w:val="none" w:sz="0" w:space="0" w:color="auto"/>
            <w:right w:val="none" w:sz="0" w:space="0" w:color="auto"/>
          </w:divBdr>
        </w:div>
      </w:divsChild>
    </w:div>
    <w:div w:id="563684579">
      <w:bodyDiv w:val="1"/>
      <w:marLeft w:val="0"/>
      <w:marRight w:val="0"/>
      <w:marTop w:val="0"/>
      <w:marBottom w:val="0"/>
      <w:divBdr>
        <w:top w:val="none" w:sz="0" w:space="0" w:color="auto"/>
        <w:left w:val="none" w:sz="0" w:space="0" w:color="auto"/>
        <w:bottom w:val="none" w:sz="0" w:space="0" w:color="auto"/>
        <w:right w:val="none" w:sz="0" w:space="0" w:color="auto"/>
      </w:divBdr>
    </w:div>
    <w:div w:id="622034602">
      <w:bodyDiv w:val="1"/>
      <w:marLeft w:val="0"/>
      <w:marRight w:val="0"/>
      <w:marTop w:val="0"/>
      <w:marBottom w:val="0"/>
      <w:divBdr>
        <w:top w:val="none" w:sz="0" w:space="0" w:color="auto"/>
        <w:left w:val="none" w:sz="0" w:space="0" w:color="auto"/>
        <w:bottom w:val="none" w:sz="0" w:space="0" w:color="auto"/>
        <w:right w:val="none" w:sz="0" w:space="0" w:color="auto"/>
      </w:divBdr>
    </w:div>
    <w:div w:id="686371046">
      <w:bodyDiv w:val="1"/>
      <w:marLeft w:val="0"/>
      <w:marRight w:val="0"/>
      <w:marTop w:val="0"/>
      <w:marBottom w:val="0"/>
      <w:divBdr>
        <w:top w:val="none" w:sz="0" w:space="0" w:color="auto"/>
        <w:left w:val="none" w:sz="0" w:space="0" w:color="auto"/>
        <w:bottom w:val="none" w:sz="0" w:space="0" w:color="auto"/>
        <w:right w:val="none" w:sz="0" w:space="0" w:color="auto"/>
      </w:divBdr>
    </w:div>
    <w:div w:id="710614465">
      <w:bodyDiv w:val="1"/>
      <w:marLeft w:val="0"/>
      <w:marRight w:val="0"/>
      <w:marTop w:val="0"/>
      <w:marBottom w:val="0"/>
      <w:divBdr>
        <w:top w:val="none" w:sz="0" w:space="0" w:color="auto"/>
        <w:left w:val="none" w:sz="0" w:space="0" w:color="auto"/>
        <w:bottom w:val="none" w:sz="0" w:space="0" w:color="auto"/>
        <w:right w:val="none" w:sz="0" w:space="0" w:color="auto"/>
      </w:divBdr>
    </w:div>
    <w:div w:id="714934327">
      <w:bodyDiv w:val="1"/>
      <w:marLeft w:val="0"/>
      <w:marRight w:val="0"/>
      <w:marTop w:val="0"/>
      <w:marBottom w:val="0"/>
      <w:divBdr>
        <w:top w:val="none" w:sz="0" w:space="0" w:color="auto"/>
        <w:left w:val="none" w:sz="0" w:space="0" w:color="auto"/>
        <w:bottom w:val="none" w:sz="0" w:space="0" w:color="auto"/>
        <w:right w:val="none" w:sz="0" w:space="0" w:color="auto"/>
      </w:divBdr>
    </w:div>
    <w:div w:id="724377566">
      <w:bodyDiv w:val="1"/>
      <w:marLeft w:val="0"/>
      <w:marRight w:val="0"/>
      <w:marTop w:val="0"/>
      <w:marBottom w:val="0"/>
      <w:divBdr>
        <w:top w:val="none" w:sz="0" w:space="0" w:color="auto"/>
        <w:left w:val="none" w:sz="0" w:space="0" w:color="auto"/>
        <w:bottom w:val="none" w:sz="0" w:space="0" w:color="auto"/>
        <w:right w:val="none" w:sz="0" w:space="0" w:color="auto"/>
      </w:divBdr>
    </w:div>
    <w:div w:id="729153745">
      <w:bodyDiv w:val="1"/>
      <w:marLeft w:val="0"/>
      <w:marRight w:val="0"/>
      <w:marTop w:val="0"/>
      <w:marBottom w:val="0"/>
      <w:divBdr>
        <w:top w:val="none" w:sz="0" w:space="0" w:color="auto"/>
        <w:left w:val="none" w:sz="0" w:space="0" w:color="auto"/>
        <w:bottom w:val="none" w:sz="0" w:space="0" w:color="auto"/>
        <w:right w:val="none" w:sz="0" w:space="0" w:color="auto"/>
      </w:divBdr>
    </w:div>
    <w:div w:id="745302203">
      <w:bodyDiv w:val="1"/>
      <w:marLeft w:val="0"/>
      <w:marRight w:val="0"/>
      <w:marTop w:val="0"/>
      <w:marBottom w:val="0"/>
      <w:divBdr>
        <w:top w:val="none" w:sz="0" w:space="0" w:color="auto"/>
        <w:left w:val="none" w:sz="0" w:space="0" w:color="auto"/>
        <w:bottom w:val="none" w:sz="0" w:space="0" w:color="auto"/>
        <w:right w:val="none" w:sz="0" w:space="0" w:color="auto"/>
      </w:divBdr>
    </w:div>
    <w:div w:id="753165633">
      <w:bodyDiv w:val="1"/>
      <w:marLeft w:val="0"/>
      <w:marRight w:val="0"/>
      <w:marTop w:val="0"/>
      <w:marBottom w:val="0"/>
      <w:divBdr>
        <w:top w:val="none" w:sz="0" w:space="0" w:color="auto"/>
        <w:left w:val="none" w:sz="0" w:space="0" w:color="auto"/>
        <w:bottom w:val="none" w:sz="0" w:space="0" w:color="auto"/>
        <w:right w:val="none" w:sz="0" w:space="0" w:color="auto"/>
      </w:divBdr>
    </w:div>
    <w:div w:id="756288984">
      <w:bodyDiv w:val="1"/>
      <w:marLeft w:val="0"/>
      <w:marRight w:val="0"/>
      <w:marTop w:val="0"/>
      <w:marBottom w:val="0"/>
      <w:divBdr>
        <w:top w:val="none" w:sz="0" w:space="0" w:color="auto"/>
        <w:left w:val="none" w:sz="0" w:space="0" w:color="auto"/>
        <w:bottom w:val="none" w:sz="0" w:space="0" w:color="auto"/>
        <w:right w:val="none" w:sz="0" w:space="0" w:color="auto"/>
      </w:divBdr>
    </w:div>
    <w:div w:id="761755344">
      <w:bodyDiv w:val="1"/>
      <w:marLeft w:val="0"/>
      <w:marRight w:val="0"/>
      <w:marTop w:val="0"/>
      <w:marBottom w:val="0"/>
      <w:divBdr>
        <w:top w:val="none" w:sz="0" w:space="0" w:color="auto"/>
        <w:left w:val="none" w:sz="0" w:space="0" w:color="auto"/>
        <w:bottom w:val="none" w:sz="0" w:space="0" w:color="auto"/>
        <w:right w:val="none" w:sz="0" w:space="0" w:color="auto"/>
      </w:divBdr>
    </w:div>
    <w:div w:id="764812672">
      <w:bodyDiv w:val="1"/>
      <w:marLeft w:val="0"/>
      <w:marRight w:val="0"/>
      <w:marTop w:val="0"/>
      <w:marBottom w:val="0"/>
      <w:divBdr>
        <w:top w:val="none" w:sz="0" w:space="0" w:color="auto"/>
        <w:left w:val="none" w:sz="0" w:space="0" w:color="auto"/>
        <w:bottom w:val="none" w:sz="0" w:space="0" w:color="auto"/>
        <w:right w:val="none" w:sz="0" w:space="0" w:color="auto"/>
      </w:divBdr>
    </w:div>
    <w:div w:id="765463049">
      <w:bodyDiv w:val="1"/>
      <w:marLeft w:val="0"/>
      <w:marRight w:val="0"/>
      <w:marTop w:val="0"/>
      <w:marBottom w:val="0"/>
      <w:divBdr>
        <w:top w:val="none" w:sz="0" w:space="0" w:color="auto"/>
        <w:left w:val="none" w:sz="0" w:space="0" w:color="auto"/>
        <w:bottom w:val="none" w:sz="0" w:space="0" w:color="auto"/>
        <w:right w:val="none" w:sz="0" w:space="0" w:color="auto"/>
      </w:divBdr>
    </w:div>
    <w:div w:id="784082749">
      <w:bodyDiv w:val="1"/>
      <w:marLeft w:val="0"/>
      <w:marRight w:val="0"/>
      <w:marTop w:val="0"/>
      <w:marBottom w:val="0"/>
      <w:divBdr>
        <w:top w:val="none" w:sz="0" w:space="0" w:color="auto"/>
        <w:left w:val="none" w:sz="0" w:space="0" w:color="auto"/>
        <w:bottom w:val="none" w:sz="0" w:space="0" w:color="auto"/>
        <w:right w:val="none" w:sz="0" w:space="0" w:color="auto"/>
      </w:divBdr>
    </w:div>
    <w:div w:id="784888635">
      <w:bodyDiv w:val="1"/>
      <w:marLeft w:val="0"/>
      <w:marRight w:val="0"/>
      <w:marTop w:val="0"/>
      <w:marBottom w:val="0"/>
      <w:divBdr>
        <w:top w:val="none" w:sz="0" w:space="0" w:color="auto"/>
        <w:left w:val="none" w:sz="0" w:space="0" w:color="auto"/>
        <w:bottom w:val="none" w:sz="0" w:space="0" w:color="auto"/>
        <w:right w:val="none" w:sz="0" w:space="0" w:color="auto"/>
      </w:divBdr>
    </w:div>
    <w:div w:id="787895298">
      <w:bodyDiv w:val="1"/>
      <w:marLeft w:val="0"/>
      <w:marRight w:val="0"/>
      <w:marTop w:val="0"/>
      <w:marBottom w:val="0"/>
      <w:divBdr>
        <w:top w:val="none" w:sz="0" w:space="0" w:color="auto"/>
        <w:left w:val="none" w:sz="0" w:space="0" w:color="auto"/>
        <w:bottom w:val="none" w:sz="0" w:space="0" w:color="auto"/>
        <w:right w:val="none" w:sz="0" w:space="0" w:color="auto"/>
      </w:divBdr>
    </w:div>
    <w:div w:id="793718684">
      <w:bodyDiv w:val="1"/>
      <w:marLeft w:val="0"/>
      <w:marRight w:val="0"/>
      <w:marTop w:val="0"/>
      <w:marBottom w:val="0"/>
      <w:divBdr>
        <w:top w:val="none" w:sz="0" w:space="0" w:color="auto"/>
        <w:left w:val="none" w:sz="0" w:space="0" w:color="auto"/>
        <w:bottom w:val="none" w:sz="0" w:space="0" w:color="auto"/>
        <w:right w:val="none" w:sz="0" w:space="0" w:color="auto"/>
      </w:divBdr>
    </w:div>
    <w:div w:id="794831957">
      <w:bodyDiv w:val="1"/>
      <w:marLeft w:val="0"/>
      <w:marRight w:val="0"/>
      <w:marTop w:val="0"/>
      <w:marBottom w:val="0"/>
      <w:divBdr>
        <w:top w:val="none" w:sz="0" w:space="0" w:color="auto"/>
        <w:left w:val="none" w:sz="0" w:space="0" w:color="auto"/>
        <w:bottom w:val="none" w:sz="0" w:space="0" w:color="auto"/>
        <w:right w:val="none" w:sz="0" w:space="0" w:color="auto"/>
      </w:divBdr>
    </w:div>
    <w:div w:id="804199118">
      <w:bodyDiv w:val="1"/>
      <w:marLeft w:val="0"/>
      <w:marRight w:val="0"/>
      <w:marTop w:val="0"/>
      <w:marBottom w:val="0"/>
      <w:divBdr>
        <w:top w:val="none" w:sz="0" w:space="0" w:color="auto"/>
        <w:left w:val="none" w:sz="0" w:space="0" w:color="auto"/>
        <w:bottom w:val="none" w:sz="0" w:space="0" w:color="auto"/>
        <w:right w:val="none" w:sz="0" w:space="0" w:color="auto"/>
      </w:divBdr>
    </w:div>
    <w:div w:id="826434855">
      <w:bodyDiv w:val="1"/>
      <w:marLeft w:val="0"/>
      <w:marRight w:val="0"/>
      <w:marTop w:val="0"/>
      <w:marBottom w:val="0"/>
      <w:divBdr>
        <w:top w:val="none" w:sz="0" w:space="0" w:color="auto"/>
        <w:left w:val="none" w:sz="0" w:space="0" w:color="auto"/>
        <w:bottom w:val="none" w:sz="0" w:space="0" w:color="auto"/>
        <w:right w:val="none" w:sz="0" w:space="0" w:color="auto"/>
      </w:divBdr>
    </w:div>
    <w:div w:id="829827776">
      <w:bodyDiv w:val="1"/>
      <w:marLeft w:val="0"/>
      <w:marRight w:val="0"/>
      <w:marTop w:val="0"/>
      <w:marBottom w:val="0"/>
      <w:divBdr>
        <w:top w:val="none" w:sz="0" w:space="0" w:color="auto"/>
        <w:left w:val="none" w:sz="0" w:space="0" w:color="auto"/>
        <w:bottom w:val="none" w:sz="0" w:space="0" w:color="auto"/>
        <w:right w:val="none" w:sz="0" w:space="0" w:color="auto"/>
      </w:divBdr>
    </w:div>
    <w:div w:id="842623878">
      <w:bodyDiv w:val="1"/>
      <w:marLeft w:val="0"/>
      <w:marRight w:val="0"/>
      <w:marTop w:val="0"/>
      <w:marBottom w:val="0"/>
      <w:divBdr>
        <w:top w:val="none" w:sz="0" w:space="0" w:color="auto"/>
        <w:left w:val="none" w:sz="0" w:space="0" w:color="auto"/>
        <w:bottom w:val="none" w:sz="0" w:space="0" w:color="auto"/>
        <w:right w:val="none" w:sz="0" w:space="0" w:color="auto"/>
      </w:divBdr>
    </w:div>
    <w:div w:id="843974687">
      <w:bodyDiv w:val="1"/>
      <w:marLeft w:val="0"/>
      <w:marRight w:val="0"/>
      <w:marTop w:val="0"/>
      <w:marBottom w:val="0"/>
      <w:divBdr>
        <w:top w:val="none" w:sz="0" w:space="0" w:color="auto"/>
        <w:left w:val="none" w:sz="0" w:space="0" w:color="auto"/>
        <w:bottom w:val="none" w:sz="0" w:space="0" w:color="auto"/>
        <w:right w:val="none" w:sz="0" w:space="0" w:color="auto"/>
      </w:divBdr>
    </w:div>
    <w:div w:id="867065507">
      <w:bodyDiv w:val="1"/>
      <w:marLeft w:val="0"/>
      <w:marRight w:val="0"/>
      <w:marTop w:val="0"/>
      <w:marBottom w:val="0"/>
      <w:divBdr>
        <w:top w:val="none" w:sz="0" w:space="0" w:color="auto"/>
        <w:left w:val="none" w:sz="0" w:space="0" w:color="auto"/>
        <w:bottom w:val="none" w:sz="0" w:space="0" w:color="auto"/>
        <w:right w:val="none" w:sz="0" w:space="0" w:color="auto"/>
      </w:divBdr>
    </w:div>
    <w:div w:id="872763260">
      <w:bodyDiv w:val="1"/>
      <w:marLeft w:val="0"/>
      <w:marRight w:val="0"/>
      <w:marTop w:val="0"/>
      <w:marBottom w:val="0"/>
      <w:divBdr>
        <w:top w:val="none" w:sz="0" w:space="0" w:color="auto"/>
        <w:left w:val="none" w:sz="0" w:space="0" w:color="auto"/>
        <w:bottom w:val="none" w:sz="0" w:space="0" w:color="auto"/>
        <w:right w:val="none" w:sz="0" w:space="0" w:color="auto"/>
      </w:divBdr>
    </w:div>
    <w:div w:id="877931614">
      <w:bodyDiv w:val="1"/>
      <w:marLeft w:val="0"/>
      <w:marRight w:val="0"/>
      <w:marTop w:val="0"/>
      <w:marBottom w:val="0"/>
      <w:divBdr>
        <w:top w:val="none" w:sz="0" w:space="0" w:color="auto"/>
        <w:left w:val="none" w:sz="0" w:space="0" w:color="auto"/>
        <w:bottom w:val="none" w:sz="0" w:space="0" w:color="auto"/>
        <w:right w:val="none" w:sz="0" w:space="0" w:color="auto"/>
      </w:divBdr>
    </w:div>
    <w:div w:id="906838159">
      <w:bodyDiv w:val="1"/>
      <w:marLeft w:val="0"/>
      <w:marRight w:val="0"/>
      <w:marTop w:val="0"/>
      <w:marBottom w:val="0"/>
      <w:divBdr>
        <w:top w:val="none" w:sz="0" w:space="0" w:color="auto"/>
        <w:left w:val="none" w:sz="0" w:space="0" w:color="auto"/>
        <w:bottom w:val="none" w:sz="0" w:space="0" w:color="auto"/>
        <w:right w:val="none" w:sz="0" w:space="0" w:color="auto"/>
      </w:divBdr>
    </w:div>
    <w:div w:id="917637593">
      <w:bodyDiv w:val="1"/>
      <w:marLeft w:val="0"/>
      <w:marRight w:val="0"/>
      <w:marTop w:val="0"/>
      <w:marBottom w:val="0"/>
      <w:divBdr>
        <w:top w:val="none" w:sz="0" w:space="0" w:color="auto"/>
        <w:left w:val="none" w:sz="0" w:space="0" w:color="auto"/>
        <w:bottom w:val="none" w:sz="0" w:space="0" w:color="auto"/>
        <w:right w:val="none" w:sz="0" w:space="0" w:color="auto"/>
      </w:divBdr>
    </w:div>
    <w:div w:id="941184827">
      <w:bodyDiv w:val="1"/>
      <w:marLeft w:val="0"/>
      <w:marRight w:val="0"/>
      <w:marTop w:val="0"/>
      <w:marBottom w:val="0"/>
      <w:divBdr>
        <w:top w:val="none" w:sz="0" w:space="0" w:color="auto"/>
        <w:left w:val="none" w:sz="0" w:space="0" w:color="auto"/>
        <w:bottom w:val="none" w:sz="0" w:space="0" w:color="auto"/>
        <w:right w:val="none" w:sz="0" w:space="0" w:color="auto"/>
      </w:divBdr>
    </w:div>
    <w:div w:id="959805350">
      <w:bodyDiv w:val="1"/>
      <w:marLeft w:val="0"/>
      <w:marRight w:val="0"/>
      <w:marTop w:val="0"/>
      <w:marBottom w:val="0"/>
      <w:divBdr>
        <w:top w:val="none" w:sz="0" w:space="0" w:color="auto"/>
        <w:left w:val="none" w:sz="0" w:space="0" w:color="auto"/>
        <w:bottom w:val="none" w:sz="0" w:space="0" w:color="auto"/>
        <w:right w:val="none" w:sz="0" w:space="0" w:color="auto"/>
      </w:divBdr>
    </w:div>
    <w:div w:id="974678231">
      <w:bodyDiv w:val="1"/>
      <w:marLeft w:val="0"/>
      <w:marRight w:val="0"/>
      <w:marTop w:val="0"/>
      <w:marBottom w:val="0"/>
      <w:divBdr>
        <w:top w:val="none" w:sz="0" w:space="0" w:color="auto"/>
        <w:left w:val="none" w:sz="0" w:space="0" w:color="auto"/>
        <w:bottom w:val="none" w:sz="0" w:space="0" w:color="auto"/>
        <w:right w:val="none" w:sz="0" w:space="0" w:color="auto"/>
      </w:divBdr>
    </w:div>
    <w:div w:id="977686103">
      <w:bodyDiv w:val="1"/>
      <w:marLeft w:val="0"/>
      <w:marRight w:val="0"/>
      <w:marTop w:val="0"/>
      <w:marBottom w:val="0"/>
      <w:divBdr>
        <w:top w:val="none" w:sz="0" w:space="0" w:color="auto"/>
        <w:left w:val="none" w:sz="0" w:space="0" w:color="auto"/>
        <w:bottom w:val="none" w:sz="0" w:space="0" w:color="auto"/>
        <w:right w:val="none" w:sz="0" w:space="0" w:color="auto"/>
      </w:divBdr>
    </w:div>
    <w:div w:id="993605178">
      <w:bodyDiv w:val="1"/>
      <w:marLeft w:val="0"/>
      <w:marRight w:val="0"/>
      <w:marTop w:val="0"/>
      <w:marBottom w:val="0"/>
      <w:divBdr>
        <w:top w:val="none" w:sz="0" w:space="0" w:color="auto"/>
        <w:left w:val="none" w:sz="0" w:space="0" w:color="auto"/>
        <w:bottom w:val="none" w:sz="0" w:space="0" w:color="auto"/>
        <w:right w:val="none" w:sz="0" w:space="0" w:color="auto"/>
      </w:divBdr>
    </w:div>
    <w:div w:id="1024360267">
      <w:bodyDiv w:val="1"/>
      <w:marLeft w:val="0"/>
      <w:marRight w:val="0"/>
      <w:marTop w:val="0"/>
      <w:marBottom w:val="0"/>
      <w:divBdr>
        <w:top w:val="none" w:sz="0" w:space="0" w:color="auto"/>
        <w:left w:val="none" w:sz="0" w:space="0" w:color="auto"/>
        <w:bottom w:val="none" w:sz="0" w:space="0" w:color="auto"/>
        <w:right w:val="none" w:sz="0" w:space="0" w:color="auto"/>
      </w:divBdr>
    </w:div>
    <w:div w:id="1037042607">
      <w:bodyDiv w:val="1"/>
      <w:marLeft w:val="0"/>
      <w:marRight w:val="0"/>
      <w:marTop w:val="0"/>
      <w:marBottom w:val="0"/>
      <w:divBdr>
        <w:top w:val="none" w:sz="0" w:space="0" w:color="auto"/>
        <w:left w:val="none" w:sz="0" w:space="0" w:color="auto"/>
        <w:bottom w:val="none" w:sz="0" w:space="0" w:color="auto"/>
        <w:right w:val="none" w:sz="0" w:space="0" w:color="auto"/>
      </w:divBdr>
    </w:div>
    <w:div w:id="1079015852">
      <w:bodyDiv w:val="1"/>
      <w:marLeft w:val="0"/>
      <w:marRight w:val="0"/>
      <w:marTop w:val="0"/>
      <w:marBottom w:val="0"/>
      <w:divBdr>
        <w:top w:val="none" w:sz="0" w:space="0" w:color="auto"/>
        <w:left w:val="none" w:sz="0" w:space="0" w:color="auto"/>
        <w:bottom w:val="none" w:sz="0" w:space="0" w:color="auto"/>
        <w:right w:val="none" w:sz="0" w:space="0" w:color="auto"/>
      </w:divBdr>
    </w:div>
    <w:div w:id="1100030223">
      <w:bodyDiv w:val="1"/>
      <w:marLeft w:val="0"/>
      <w:marRight w:val="0"/>
      <w:marTop w:val="0"/>
      <w:marBottom w:val="0"/>
      <w:divBdr>
        <w:top w:val="none" w:sz="0" w:space="0" w:color="auto"/>
        <w:left w:val="none" w:sz="0" w:space="0" w:color="auto"/>
        <w:bottom w:val="none" w:sz="0" w:space="0" w:color="auto"/>
        <w:right w:val="none" w:sz="0" w:space="0" w:color="auto"/>
      </w:divBdr>
    </w:div>
    <w:div w:id="1102530065">
      <w:bodyDiv w:val="1"/>
      <w:marLeft w:val="0"/>
      <w:marRight w:val="0"/>
      <w:marTop w:val="0"/>
      <w:marBottom w:val="0"/>
      <w:divBdr>
        <w:top w:val="none" w:sz="0" w:space="0" w:color="auto"/>
        <w:left w:val="none" w:sz="0" w:space="0" w:color="auto"/>
        <w:bottom w:val="none" w:sz="0" w:space="0" w:color="auto"/>
        <w:right w:val="none" w:sz="0" w:space="0" w:color="auto"/>
      </w:divBdr>
    </w:div>
    <w:div w:id="1128671552">
      <w:bodyDiv w:val="1"/>
      <w:marLeft w:val="0"/>
      <w:marRight w:val="0"/>
      <w:marTop w:val="0"/>
      <w:marBottom w:val="0"/>
      <w:divBdr>
        <w:top w:val="none" w:sz="0" w:space="0" w:color="auto"/>
        <w:left w:val="none" w:sz="0" w:space="0" w:color="auto"/>
        <w:bottom w:val="none" w:sz="0" w:space="0" w:color="auto"/>
        <w:right w:val="none" w:sz="0" w:space="0" w:color="auto"/>
      </w:divBdr>
    </w:div>
    <w:div w:id="1152522036">
      <w:bodyDiv w:val="1"/>
      <w:marLeft w:val="0"/>
      <w:marRight w:val="0"/>
      <w:marTop w:val="0"/>
      <w:marBottom w:val="0"/>
      <w:divBdr>
        <w:top w:val="none" w:sz="0" w:space="0" w:color="auto"/>
        <w:left w:val="none" w:sz="0" w:space="0" w:color="auto"/>
        <w:bottom w:val="none" w:sz="0" w:space="0" w:color="auto"/>
        <w:right w:val="none" w:sz="0" w:space="0" w:color="auto"/>
      </w:divBdr>
    </w:div>
    <w:div w:id="1166507885">
      <w:bodyDiv w:val="1"/>
      <w:marLeft w:val="0"/>
      <w:marRight w:val="0"/>
      <w:marTop w:val="0"/>
      <w:marBottom w:val="0"/>
      <w:divBdr>
        <w:top w:val="none" w:sz="0" w:space="0" w:color="auto"/>
        <w:left w:val="none" w:sz="0" w:space="0" w:color="auto"/>
        <w:bottom w:val="none" w:sz="0" w:space="0" w:color="auto"/>
        <w:right w:val="none" w:sz="0" w:space="0" w:color="auto"/>
      </w:divBdr>
    </w:div>
    <w:div w:id="1170174413">
      <w:bodyDiv w:val="1"/>
      <w:marLeft w:val="0"/>
      <w:marRight w:val="0"/>
      <w:marTop w:val="0"/>
      <w:marBottom w:val="0"/>
      <w:divBdr>
        <w:top w:val="none" w:sz="0" w:space="0" w:color="auto"/>
        <w:left w:val="none" w:sz="0" w:space="0" w:color="auto"/>
        <w:bottom w:val="none" w:sz="0" w:space="0" w:color="auto"/>
        <w:right w:val="none" w:sz="0" w:space="0" w:color="auto"/>
      </w:divBdr>
    </w:div>
    <w:div w:id="1191380754">
      <w:bodyDiv w:val="1"/>
      <w:marLeft w:val="0"/>
      <w:marRight w:val="0"/>
      <w:marTop w:val="0"/>
      <w:marBottom w:val="0"/>
      <w:divBdr>
        <w:top w:val="none" w:sz="0" w:space="0" w:color="auto"/>
        <w:left w:val="none" w:sz="0" w:space="0" w:color="auto"/>
        <w:bottom w:val="none" w:sz="0" w:space="0" w:color="auto"/>
        <w:right w:val="none" w:sz="0" w:space="0" w:color="auto"/>
      </w:divBdr>
    </w:div>
    <w:div w:id="1192449611">
      <w:bodyDiv w:val="1"/>
      <w:marLeft w:val="0"/>
      <w:marRight w:val="0"/>
      <w:marTop w:val="0"/>
      <w:marBottom w:val="0"/>
      <w:divBdr>
        <w:top w:val="none" w:sz="0" w:space="0" w:color="auto"/>
        <w:left w:val="none" w:sz="0" w:space="0" w:color="auto"/>
        <w:bottom w:val="none" w:sz="0" w:space="0" w:color="auto"/>
        <w:right w:val="none" w:sz="0" w:space="0" w:color="auto"/>
      </w:divBdr>
    </w:div>
    <w:div w:id="1235555040">
      <w:bodyDiv w:val="1"/>
      <w:marLeft w:val="0"/>
      <w:marRight w:val="0"/>
      <w:marTop w:val="0"/>
      <w:marBottom w:val="0"/>
      <w:divBdr>
        <w:top w:val="none" w:sz="0" w:space="0" w:color="auto"/>
        <w:left w:val="none" w:sz="0" w:space="0" w:color="auto"/>
        <w:bottom w:val="none" w:sz="0" w:space="0" w:color="auto"/>
        <w:right w:val="none" w:sz="0" w:space="0" w:color="auto"/>
      </w:divBdr>
    </w:div>
    <w:div w:id="1244536289">
      <w:bodyDiv w:val="1"/>
      <w:marLeft w:val="0"/>
      <w:marRight w:val="0"/>
      <w:marTop w:val="0"/>
      <w:marBottom w:val="0"/>
      <w:divBdr>
        <w:top w:val="none" w:sz="0" w:space="0" w:color="auto"/>
        <w:left w:val="none" w:sz="0" w:space="0" w:color="auto"/>
        <w:bottom w:val="none" w:sz="0" w:space="0" w:color="auto"/>
        <w:right w:val="none" w:sz="0" w:space="0" w:color="auto"/>
      </w:divBdr>
    </w:div>
    <w:div w:id="1260214523">
      <w:bodyDiv w:val="1"/>
      <w:marLeft w:val="0"/>
      <w:marRight w:val="0"/>
      <w:marTop w:val="0"/>
      <w:marBottom w:val="0"/>
      <w:divBdr>
        <w:top w:val="none" w:sz="0" w:space="0" w:color="auto"/>
        <w:left w:val="none" w:sz="0" w:space="0" w:color="auto"/>
        <w:bottom w:val="none" w:sz="0" w:space="0" w:color="auto"/>
        <w:right w:val="none" w:sz="0" w:space="0" w:color="auto"/>
      </w:divBdr>
    </w:div>
    <w:div w:id="1325939617">
      <w:bodyDiv w:val="1"/>
      <w:marLeft w:val="0"/>
      <w:marRight w:val="0"/>
      <w:marTop w:val="0"/>
      <w:marBottom w:val="0"/>
      <w:divBdr>
        <w:top w:val="none" w:sz="0" w:space="0" w:color="auto"/>
        <w:left w:val="none" w:sz="0" w:space="0" w:color="auto"/>
        <w:bottom w:val="none" w:sz="0" w:space="0" w:color="auto"/>
        <w:right w:val="none" w:sz="0" w:space="0" w:color="auto"/>
      </w:divBdr>
    </w:div>
    <w:div w:id="1336491404">
      <w:bodyDiv w:val="1"/>
      <w:marLeft w:val="0"/>
      <w:marRight w:val="0"/>
      <w:marTop w:val="0"/>
      <w:marBottom w:val="0"/>
      <w:divBdr>
        <w:top w:val="none" w:sz="0" w:space="0" w:color="auto"/>
        <w:left w:val="none" w:sz="0" w:space="0" w:color="auto"/>
        <w:bottom w:val="none" w:sz="0" w:space="0" w:color="auto"/>
        <w:right w:val="none" w:sz="0" w:space="0" w:color="auto"/>
      </w:divBdr>
    </w:div>
    <w:div w:id="1359694319">
      <w:bodyDiv w:val="1"/>
      <w:marLeft w:val="0"/>
      <w:marRight w:val="0"/>
      <w:marTop w:val="0"/>
      <w:marBottom w:val="0"/>
      <w:divBdr>
        <w:top w:val="none" w:sz="0" w:space="0" w:color="auto"/>
        <w:left w:val="none" w:sz="0" w:space="0" w:color="auto"/>
        <w:bottom w:val="none" w:sz="0" w:space="0" w:color="auto"/>
        <w:right w:val="none" w:sz="0" w:space="0" w:color="auto"/>
      </w:divBdr>
    </w:div>
    <w:div w:id="1368992653">
      <w:bodyDiv w:val="1"/>
      <w:marLeft w:val="0"/>
      <w:marRight w:val="0"/>
      <w:marTop w:val="0"/>
      <w:marBottom w:val="0"/>
      <w:divBdr>
        <w:top w:val="none" w:sz="0" w:space="0" w:color="auto"/>
        <w:left w:val="none" w:sz="0" w:space="0" w:color="auto"/>
        <w:bottom w:val="none" w:sz="0" w:space="0" w:color="auto"/>
        <w:right w:val="none" w:sz="0" w:space="0" w:color="auto"/>
      </w:divBdr>
    </w:div>
    <w:div w:id="1405102052">
      <w:bodyDiv w:val="1"/>
      <w:marLeft w:val="0"/>
      <w:marRight w:val="0"/>
      <w:marTop w:val="0"/>
      <w:marBottom w:val="0"/>
      <w:divBdr>
        <w:top w:val="none" w:sz="0" w:space="0" w:color="auto"/>
        <w:left w:val="none" w:sz="0" w:space="0" w:color="auto"/>
        <w:bottom w:val="none" w:sz="0" w:space="0" w:color="auto"/>
        <w:right w:val="none" w:sz="0" w:space="0" w:color="auto"/>
      </w:divBdr>
    </w:div>
    <w:div w:id="1409033232">
      <w:bodyDiv w:val="1"/>
      <w:marLeft w:val="0"/>
      <w:marRight w:val="0"/>
      <w:marTop w:val="0"/>
      <w:marBottom w:val="0"/>
      <w:divBdr>
        <w:top w:val="none" w:sz="0" w:space="0" w:color="auto"/>
        <w:left w:val="none" w:sz="0" w:space="0" w:color="auto"/>
        <w:bottom w:val="none" w:sz="0" w:space="0" w:color="auto"/>
        <w:right w:val="none" w:sz="0" w:space="0" w:color="auto"/>
      </w:divBdr>
    </w:div>
    <w:div w:id="1465928938">
      <w:bodyDiv w:val="1"/>
      <w:marLeft w:val="0"/>
      <w:marRight w:val="0"/>
      <w:marTop w:val="0"/>
      <w:marBottom w:val="0"/>
      <w:divBdr>
        <w:top w:val="none" w:sz="0" w:space="0" w:color="auto"/>
        <w:left w:val="none" w:sz="0" w:space="0" w:color="auto"/>
        <w:bottom w:val="none" w:sz="0" w:space="0" w:color="auto"/>
        <w:right w:val="none" w:sz="0" w:space="0" w:color="auto"/>
      </w:divBdr>
    </w:div>
    <w:div w:id="1492873327">
      <w:bodyDiv w:val="1"/>
      <w:marLeft w:val="0"/>
      <w:marRight w:val="0"/>
      <w:marTop w:val="0"/>
      <w:marBottom w:val="0"/>
      <w:divBdr>
        <w:top w:val="none" w:sz="0" w:space="0" w:color="auto"/>
        <w:left w:val="none" w:sz="0" w:space="0" w:color="auto"/>
        <w:bottom w:val="none" w:sz="0" w:space="0" w:color="auto"/>
        <w:right w:val="none" w:sz="0" w:space="0" w:color="auto"/>
      </w:divBdr>
    </w:div>
    <w:div w:id="1495485109">
      <w:bodyDiv w:val="1"/>
      <w:marLeft w:val="0"/>
      <w:marRight w:val="0"/>
      <w:marTop w:val="0"/>
      <w:marBottom w:val="0"/>
      <w:divBdr>
        <w:top w:val="none" w:sz="0" w:space="0" w:color="auto"/>
        <w:left w:val="none" w:sz="0" w:space="0" w:color="auto"/>
        <w:bottom w:val="none" w:sz="0" w:space="0" w:color="auto"/>
        <w:right w:val="none" w:sz="0" w:space="0" w:color="auto"/>
      </w:divBdr>
    </w:div>
    <w:div w:id="1522089812">
      <w:bodyDiv w:val="1"/>
      <w:marLeft w:val="0"/>
      <w:marRight w:val="0"/>
      <w:marTop w:val="0"/>
      <w:marBottom w:val="0"/>
      <w:divBdr>
        <w:top w:val="none" w:sz="0" w:space="0" w:color="auto"/>
        <w:left w:val="none" w:sz="0" w:space="0" w:color="auto"/>
        <w:bottom w:val="none" w:sz="0" w:space="0" w:color="auto"/>
        <w:right w:val="none" w:sz="0" w:space="0" w:color="auto"/>
      </w:divBdr>
    </w:div>
    <w:div w:id="1553808546">
      <w:bodyDiv w:val="1"/>
      <w:marLeft w:val="0"/>
      <w:marRight w:val="0"/>
      <w:marTop w:val="0"/>
      <w:marBottom w:val="0"/>
      <w:divBdr>
        <w:top w:val="none" w:sz="0" w:space="0" w:color="auto"/>
        <w:left w:val="none" w:sz="0" w:space="0" w:color="auto"/>
        <w:bottom w:val="none" w:sz="0" w:space="0" w:color="auto"/>
        <w:right w:val="none" w:sz="0" w:space="0" w:color="auto"/>
      </w:divBdr>
    </w:div>
    <w:div w:id="1562060878">
      <w:bodyDiv w:val="1"/>
      <w:marLeft w:val="0"/>
      <w:marRight w:val="0"/>
      <w:marTop w:val="0"/>
      <w:marBottom w:val="0"/>
      <w:divBdr>
        <w:top w:val="none" w:sz="0" w:space="0" w:color="auto"/>
        <w:left w:val="none" w:sz="0" w:space="0" w:color="auto"/>
        <w:bottom w:val="none" w:sz="0" w:space="0" w:color="auto"/>
        <w:right w:val="none" w:sz="0" w:space="0" w:color="auto"/>
      </w:divBdr>
    </w:div>
    <w:div w:id="1563062496">
      <w:bodyDiv w:val="1"/>
      <w:marLeft w:val="0"/>
      <w:marRight w:val="0"/>
      <w:marTop w:val="0"/>
      <w:marBottom w:val="0"/>
      <w:divBdr>
        <w:top w:val="none" w:sz="0" w:space="0" w:color="auto"/>
        <w:left w:val="none" w:sz="0" w:space="0" w:color="auto"/>
        <w:bottom w:val="none" w:sz="0" w:space="0" w:color="auto"/>
        <w:right w:val="none" w:sz="0" w:space="0" w:color="auto"/>
      </w:divBdr>
    </w:div>
    <w:div w:id="1584681037">
      <w:bodyDiv w:val="1"/>
      <w:marLeft w:val="0"/>
      <w:marRight w:val="0"/>
      <w:marTop w:val="0"/>
      <w:marBottom w:val="0"/>
      <w:divBdr>
        <w:top w:val="none" w:sz="0" w:space="0" w:color="auto"/>
        <w:left w:val="none" w:sz="0" w:space="0" w:color="auto"/>
        <w:bottom w:val="none" w:sz="0" w:space="0" w:color="auto"/>
        <w:right w:val="none" w:sz="0" w:space="0" w:color="auto"/>
      </w:divBdr>
    </w:div>
    <w:div w:id="1590459173">
      <w:bodyDiv w:val="1"/>
      <w:marLeft w:val="0"/>
      <w:marRight w:val="0"/>
      <w:marTop w:val="0"/>
      <w:marBottom w:val="0"/>
      <w:divBdr>
        <w:top w:val="none" w:sz="0" w:space="0" w:color="auto"/>
        <w:left w:val="none" w:sz="0" w:space="0" w:color="auto"/>
        <w:bottom w:val="none" w:sz="0" w:space="0" w:color="auto"/>
        <w:right w:val="none" w:sz="0" w:space="0" w:color="auto"/>
      </w:divBdr>
    </w:div>
    <w:div w:id="1620792083">
      <w:bodyDiv w:val="1"/>
      <w:marLeft w:val="0"/>
      <w:marRight w:val="0"/>
      <w:marTop w:val="0"/>
      <w:marBottom w:val="0"/>
      <w:divBdr>
        <w:top w:val="none" w:sz="0" w:space="0" w:color="auto"/>
        <w:left w:val="none" w:sz="0" w:space="0" w:color="auto"/>
        <w:bottom w:val="none" w:sz="0" w:space="0" w:color="auto"/>
        <w:right w:val="none" w:sz="0" w:space="0" w:color="auto"/>
      </w:divBdr>
    </w:div>
    <w:div w:id="1685746488">
      <w:bodyDiv w:val="1"/>
      <w:marLeft w:val="0"/>
      <w:marRight w:val="0"/>
      <w:marTop w:val="0"/>
      <w:marBottom w:val="0"/>
      <w:divBdr>
        <w:top w:val="none" w:sz="0" w:space="0" w:color="auto"/>
        <w:left w:val="none" w:sz="0" w:space="0" w:color="auto"/>
        <w:bottom w:val="none" w:sz="0" w:space="0" w:color="auto"/>
        <w:right w:val="none" w:sz="0" w:space="0" w:color="auto"/>
      </w:divBdr>
    </w:div>
    <w:div w:id="1688824849">
      <w:bodyDiv w:val="1"/>
      <w:marLeft w:val="0"/>
      <w:marRight w:val="0"/>
      <w:marTop w:val="0"/>
      <w:marBottom w:val="0"/>
      <w:divBdr>
        <w:top w:val="none" w:sz="0" w:space="0" w:color="auto"/>
        <w:left w:val="none" w:sz="0" w:space="0" w:color="auto"/>
        <w:bottom w:val="none" w:sz="0" w:space="0" w:color="auto"/>
        <w:right w:val="none" w:sz="0" w:space="0" w:color="auto"/>
      </w:divBdr>
    </w:div>
    <w:div w:id="1701053866">
      <w:bodyDiv w:val="1"/>
      <w:marLeft w:val="0"/>
      <w:marRight w:val="0"/>
      <w:marTop w:val="0"/>
      <w:marBottom w:val="0"/>
      <w:divBdr>
        <w:top w:val="none" w:sz="0" w:space="0" w:color="auto"/>
        <w:left w:val="none" w:sz="0" w:space="0" w:color="auto"/>
        <w:bottom w:val="none" w:sz="0" w:space="0" w:color="auto"/>
        <w:right w:val="none" w:sz="0" w:space="0" w:color="auto"/>
      </w:divBdr>
    </w:div>
    <w:div w:id="1705859787">
      <w:bodyDiv w:val="1"/>
      <w:marLeft w:val="0"/>
      <w:marRight w:val="0"/>
      <w:marTop w:val="0"/>
      <w:marBottom w:val="0"/>
      <w:divBdr>
        <w:top w:val="none" w:sz="0" w:space="0" w:color="auto"/>
        <w:left w:val="none" w:sz="0" w:space="0" w:color="auto"/>
        <w:bottom w:val="none" w:sz="0" w:space="0" w:color="auto"/>
        <w:right w:val="none" w:sz="0" w:space="0" w:color="auto"/>
      </w:divBdr>
    </w:div>
    <w:div w:id="1749646175">
      <w:bodyDiv w:val="1"/>
      <w:marLeft w:val="0"/>
      <w:marRight w:val="0"/>
      <w:marTop w:val="0"/>
      <w:marBottom w:val="0"/>
      <w:divBdr>
        <w:top w:val="none" w:sz="0" w:space="0" w:color="auto"/>
        <w:left w:val="none" w:sz="0" w:space="0" w:color="auto"/>
        <w:bottom w:val="none" w:sz="0" w:space="0" w:color="auto"/>
        <w:right w:val="none" w:sz="0" w:space="0" w:color="auto"/>
      </w:divBdr>
    </w:div>
    <w:div w:id="1769890651">
      <w:bodyDiv w:val="1"/>
      <w:marLeft w:val="0"/>
      <w:marRight w:val="0"/>
      <w:marTop w:val="0"/>
      <w:marBottom w:val="0"/>
      <w:divBdr>
        <w:top w:val="none" w:sz="0" w:space="0" w:color="auto"/>
        <w:left w:val="none" w:sz="0" w:space="0" w:color="auto"/>
        <w:bottom w:val="none" w:sz="0" w:space="0" w:color="auto"/>
        <w:right w:val="none" w:sz="0" w:space="0" w:color="auto"/>
      </w:divBdr>
    </w:div>
    <w:div w:id="1773209618">
      <w:bodyDiv w:val="1"/>
      <w:marLeft w:val="0"/>
      <w:marRight w:val="0"/>
      <w:marTop w:val="0"/>
      <w:marBottom w:val="0"/>
      <w:divBdr>
        <w:top w:val="none" w:sz="0" w:space="0" w:color="auto"/>
        <w:left w:val="none" w:sz="0" w:space="0" w:color="auto"/>
        <w:bottom w:val="none" w:sz="0" w:space="0" w:color="auto"/>
        <w:right w:val="none" w:sz="0" w:space="0" w:color="auto"/>
      </w:divBdr>
    </w:div>
    <w:div w:id="1776711310">
      <w:bodyDiv w:val="1"/>
      <w:marLeft w:val="0"/>
      <w:marRight w:val="0"/>
      <w:marTop w:val="0"/>
      <w:marBottom w:val="0"/>
      <w:divBdr>
        <w:top w:val="none" w:sz="0" w:space="0" w:color="auto"/>
        <w:left w:val="none" w:sz="0" w:space="0" w:color="auto"/>
        <w:bottom w:val="none" w:sz="0" w:space="0" w:color="auto"/>
        <w:right w:val="none" w:sz="0" w:space="0" w:color="auto"/>
      </w:divBdr>
    </w:div>
    <w:div w:id="1777023564">
      <w:bodyDiv w:val="1"/>
      <w:marLeft w:val="0"/>
      <w:marRight w:val="0"/>
      <w:marTop w:val="0"/>
      <w:marBottom w:val="0"/>
      <w:divBdr>
        <w:top w:val="none" w:sz="0" w:space="0" w:color="auto"/>
        <w:left w:val="none" w:sz="0" w:space="0" w:color="auto"/>
        <w:bottom w:val="none" w:sz="0" w:space="0" w:color="auto"/>
        <w:right w:val="none" w:sz="0" w:space="0" w:color="auto"/>
      </w:divBdr>
    </w:div>
    <w:div w:id="1781484671">
      <w:bodyDiv w:val="1"/>
      <w:marLeft w:val="0"/>
      <w:marRight w:val="0"/>
      <w:marTop w:val="0"/>
      <w:marBottom w:val="0"/>
      <w:divBdr>
        <w:top w:val="none" w:sz="0" w:space="0" w:color="auto"/>
        <w:left w:val="none" w:sz="0" w:space="0" w:color="auto"/>
        <w:bottom w:val="none" w:sz="0" w:space="0" w:color="auto"/>
        <w:right w:val="none" w:sz="0" w:space="0" w:color="auto"/>
      </w:divBdr>
    </w:div>
    <w:div w:id="1790472275">
      <w:bodyDiv w:val="1"/>
      <w:marLeft w:val="0"/>
      <w:marRight w:val="0"/>
      <w:marTop w:val="0"/>
      <w:marBottom w:val="0"/>
      <w:divBdr>
        <w:top w:val="none" w:sz="0" w:space="0" w:color="auto"/>
        <w:left w:val="none" w:sz="0" w:space="0" w:color="auto"/>
        <w:bottom w:val="none" w:sz="0" w:space="0" w:color="auto"/>
        <w:right w:val="none" w:sz="0" w:space="0" w:color="auto"/>
      </w:divBdr>
    </w:div>
    <w:div w:id="1799180099">
      <w:bodyDiv w:val="1"/>
      <w:marLeft w:val="0"/>
      <w:marRight w:val="0"/>
      <w:marTop w:val="0"/>
      <w:marBottom w:val="0"/>
      <w:divBdr>
        <w:top w:val="none" w:sz="0" w:space="0" w:color="auto"/>
        <w:left w:val="none" w:sz="0" w:space="0" w:color="auto"/>
        <w:bottom w:val="none" w:sz="0" w:space="0" w:color="auto"/>
        <w:right w:val="none" w:sz="0" w:space="0" w:color="auto"/>
      </w:divBdr>
    </w:div>
    <w:div w:id="1806465238">
      <w:bodyDiv w:val="1"/>
      <w:marLeft w:val="0"/>
      <w:marRight w:val="0"/>
      <w:marTop w:val="0"/>
      <w:marBottom w:val="0"/>
      <w:divBdr>
        <w:top w:val="none" w:sz="0" w:space="0" w:color="auto"/>
        <w:left w:val="none" w:sz="0" w:space="0" w:color="auto"/>
        <w:bottom w:val="none" w:sz="0" w:space="0" w:color="auto"/>
        <w:right w:val="none" w:sz="0" w:space="0" w:color="auto"/>
      </w:divBdr>
      <w:divsChild>
        <w:div w:id="15351692">
          <w:marLeft w:val="0"/>
          <w:marRight w:val="0"/>
          <w:marTop w:val="0"/>
          <w:marBottom w:val="0"/>
          <w:divBdr>
            <w:top w:val="none" w:sz="0" w:space="0" w:color="auto"/>
            <w:left w:val="none" w:sz="0" w:space="0" w:color="auto"/>
            <w:bottom w:val="none" w:sz="0" w:space="0" w:color="auto"/>
            <w:right w:val="none" w:sz="0" w:space="0" w:color="auto"/>
          </w:divBdr>
        </w:div>
      </w:divsChild>
    </w:div>
    <w:div w:id="1841385890">
      <w:bodyDiv w:val="1"/>
      <w:marLeft w:val="0"/>
      <w:marRight w:val="0"/>
      <w:marTop w:val="0"/>
      <w:marBottom w:val="0"/>
      <w:divBdr>
        <w:top w:val="none" w:sz="0" w:space="0" w:color="auto"/>
        <w:left w:val="none" w:sz="0" w:space="0" w:color="auto"/>
        <w:bottom w:val="none" w:sz="0" w:space="0" w:color="auto"/>
        <w:right w:val="none" w:sz="0" w:space="0" w:color="auto"/>
      </w:divBdr>
    </w:div>
    <w:div w:id="1867670124">
      <w:bodyDiv w:val="1"/>
      <w:marLeft w:val="0"/>
      <w:marRight w:val="0"/>
      <w:marTop w:val="0"/>
      <w:marBottom w:val="0"/>
      <w:divBdr>
        <w:top w:val="none" w:sz="0" w:space="0" w:color="auto"/>
        <w:left w:val="none" w:sz="0" w:space="0" w:color="auto"/>
        <w:bottom w:val="none" w:sz="0" w:space="0" w:color="auto"/>
        <w:right w:val="none" w:sz="0" w:space="0" w:color="auto"/>
      </w:divBdr>
    </w:div>
    <w:div w:id="1869487745">
      <w:bodyDiv w:val="1"/>
      <w:marLeft w:val="0"/>
      <w:marRight w:val="0"/>
      <w:marTop w:val="0"/>
      <w:marBottom w:val="0"/>
      <w:divBdr>
        <w:top w:val="none" w:sz="0" w:space="0" w:color="auto"/>
        <w:left w:val="none" w:sz="0" w:space="0" w:color="auto"/>
        <w:bottom w:val="none" w:sz="0" w:space="0" w:color="auto"/>
        <w:right w:val="none" w:sz="0" w:space="0" w:color="auto"/>
      </w:divBdr>
    </w:div>
    <w:div w:id="1870141722">
      <w:bodyDiv w:val="1"/>
      <w:marLeft w:val="0"/>
      <w:marRight w:val="0"/>
      <w:marTop w:val="0"/>
      <w:marBottom w:val="0"/>
      <w:divBdr>
        <w:top w:val="none" w:sz="0" w:space="0" w:color="auto"/>
        <w:left w:val="none" w:sz="0" w:space="0" w:color="auto"/>
        <w:bottom w:val="none" w:sz="0" w:space="0" w:color="auto"/>
        <w:right w:val="none" w:sz="0" w:space="0" w:color="auto"/>
      </w:divBdr>
    </w:div>
    <w:div w:id="1924755815">
      <w:bodyDiv w:val="1"/>
      <w:marLeft w:val="0"/>
      <w:marRight w:val="0"/>
      <w:marTop w:val="0"/>
      <w:marBottom w:val="0"/>
      <w:divBdr>
        <w:top w:val="none" w:sz="0" w:space="0" w:color="auto"/>
        <w:left w:val="none" w:sz="0" w:space="0" w:color="auto"/>
        <w:bottom w:val="none" w:sz="0" w:space="0" w:color="auto"/>
        <w:right w:val="none" w:sz="0" w:space="0" w:color="auto"/>
      </w:divBdr>
    </w:div>
    <w:div w:id="1925339106">
      <w:bodyDiv w:val="1"/>
      <w:marLeft w:val="0"/>
      <w:marRight w:val="0"/>
      <w:marTop w:val="0"/>
      <w:marBottom w:val="0"/>
      <w:divBdr>
        <w:top w:val="none" w:sz="0" w:space="0" w:color="auto"/>
        <w:left w:val="none" w:sz="0" w:space="0" w:color="auto"/>
        <w:bottom w:val="none" w:sz="0" w:space="0" w:color="auto"/>
        <w:right w:val="none" w:sz="0" w:space="0" w:color="auto"/>
      </w:divBdr>
    </w:div>
    <w:div w:id="1947423689">
      <w:bodyDiv w:val="1"/>
      <w:marLeft w:val="0"/>
      <w:marRight w:val="0"/>
      <w:marTop w:val="0"/>
      <w:marBottom w:val="0"/>
      <w:divBdr>
        <w:top w:val="none" w:sz="0" w:space="0" w:color="auto"/>
        <w:left w:val="none" w:sz="0" w:space="0" w:color="auto"/>
        <w:bottom w:val="none" w:sz="0" w:space="0" w:color="auto"/>
        <w:right w:val="none" w:sz="0" w:space="0" w:color="auto"/>
      </w:divBdr>
    </w:div>
    <w:div w:id="1953201544">
      <w:bodyDiv w:val="1"/>
      <w:marLeft w:val="0"/>
      <w:marRight w:val="0"/>
      <w:marTop w:val="0"/>
      <w:marBottom w:val="0"/>
      <w:divBdr>
        <w:top w:val="none" w:sz="0" w:space="0" w:color="auto"/>
        <w:left w:val="none" w:sz="0" w:space="0" w:color="auto"/>
        <w:bottom w:val="none" w:sz="0" w:space="0" w:color="auto"/>
        <w:right w:val="none" w:sz="0" w:space="0" w:color="auto"/>
      </w:divBdr>
    </w:div>
    <w:div w:id="2039700145">
      <w:bodyDiv w:val="1"/>
      <w:marLeft w:val="0"/>
      <w:marRight w:val="0"/>
      <w:marTop w:val="0"/>
      <w:marBottom w:val="0"/>
      <w:divBdr>
        <w:top w:val="none" w:sz="0" w:space="0" w:color="auto"/>
        <w:left w:val="none" w:sz="0" w:space="0" w:color="auto"/>
        <w:bottom w:val="none" w:sz="0" w:space="0" w:color="auto"/>
        <w:right w:val="none" w:sz="0" w:space="0" w:color="auto"/>
      </w:divBdr>
    </w:div>
    <w:div w:id="2128234383">
      <w:bodyDiv w:val="1"/>
      <w:marLeft w:val="0"/>
      <w:marRight w:val="0"/>
      <w:marTop w:val="0"/>
      <w:marBottom w:val="0"/>
      <w:divBdr>
        <w:top w:val="none" w:sz="0" w:space="0" w:color="auto"/>
        <w:left w:val="none" w:sz="0" w:space="0" w:color="auto"/>
        <w:bottom w:val="none" w:sz="0" w:space="0" w:color="auto"/>
        <w:right w:val="none" w:sz="0" w:space="0" w:color="auto"/>
      </w:divBdr>
    </w:div>
    <w:div w:id="2134322824">
      <w:bodyDiv w:val="1"/>
      <w:marLeft w:val="0"/>
      <w:marRight w:val="0"/>
      <w:marTop w:val="0"/>
      <w:marBottom w:val="0"/>
      <w:divBdr>
        <w:top w:val="none" w:sz="0" w:space="0" w:color="auto"/>
        <w:left w:val="none" w:sz="0" w:space="0" w:color="auto"/>
        <w:bottom w:val="none" w:sz="0" w:space="0" w:color="auto"/>
        <w:right w:val="none" w:sz="0" w:space="0" w:color="auto"/>
      </w:divBdr>
    </w:div>
    <w:div w:id="214561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hansardpublic.parliament.sa.gov.au/" TargetMode="External"/><Relationship Id="rId117" Type="http://schemas.openxmlformats.org/officeDocument/2006/relationships/hyperlink" Target="https://www.apsc.gov.au/aps-employment-data-30-june-2019-release" TargetMode="External"/><Relationship Id="rId21" Type="http://schemas.openxmlformats.org/officeDocument/2006/relationships/hyperlink" Target="https://parlinfo.aph.gov.au/parlInfo/search/search.w3p;adv=yes" TargetMode="External"/><Relationship Id="rId42" Type="http://schemas.openxmlformats.org/officeDocument/2006/relationships/image" Target="media/image18.png"/><Relationship Id="rId47" Type="http://schemas.openxmlformats.org/officeDocument/2006/relationships/footer" Target="footer6.xml"/><Relationship Id="rId63" Type="http://schemas.openxmlformats.org/officeDocument/2006/relationships/hyperlink" Target="http://www.powertopersuade.org.au/blog/disability-employment-and-inequity-its-time-to-do-more-than-the-bare-minimum/12/7/2019" TargetMode="External"/><Relationship Id="rId68" Type="http://schemas.openxmlformats.org/officeDocument/2006/relationships/image" Target="media/image36.png"/><Relationship Id="rId84" Type="http://schemas.openxmlformats.org/officeDocument/2006/relationships/hyperlink" Target="https://transrespect.org/en/trans-murder-monitoring/" TargetMode="External"/><Relationship Id="rId89" Type="http://schemas.openxmlformats.org/officeDocument/2006/relationships/hyperlink" Target="https://www.monash.edu/study/courses/find-a-course/2019/gender,-violence-and-society-understanding-social-patterns-pda1003" TargetMode="External"/><Relationship Id="rId112" Type="http://schemas.openxmlformats.org/officeDocument/2006/relationships/hyperlink" Target="https://www.abs.gov.au/AUSSTATS/abs@.nsf/Lookup/4430.0Main+Features12015?OpenDocument=" TargetMode="External"/><Relationship Id="rId133" Type="http://schemas.openxmlformats.org/officeDocument/2006/relationships/hyperlink" Target="https://caepr.cass.anu.edu.au/research/publications/income-poverty-and-inequality" TargetMode="External"/><Relationship Id="rId138" Type="http://schemas.openxmlformats.org/officeDocument/2006/relationships/hyperlink" Target="https://www.parliament.nsw.gov.au/search/Pages/AdvancedSearchHome.aspx" TargetMode="External"/><Relationship Id="rId16" Type="http://schemas.openxmlformats.org/officeDocument/2006/relationships/footer" Target="footer2.xml"/><Relationship Id="rId107"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image" Target="media/image10.png"/><Relationship Id="rId37" Type="http://schemas.openxmlformats.org/officeDocument/2006/relationships/image" Target="media/image13.png"/><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0.png"/><Relationship Id="rId79" Type="http://schemas.openxmlformats.org/officeDocument/2006/relationships/image" Target="media/image43.png"/><Relationship Id="rId102" Type="http://schemas.openxmlformats.org/officeDocument/2006/relationships/hyperlink" Target="https://www.cqu.edu.au/courses/graduate-certificate-in-domestic-and-family-violence-practice" TargetMode="External"/><Relationship Id="rId123" Type="http://schemas.openxmlformats.org/officeDocument/2006/relationships/hyperlink" Target="http://www.powertopersuade.org.au/blog/disability-employment-and-inequity-its-time-to-do-more-than-the-bare-minimum/12/7/2019" TargetMode="External"/><Relationship Id="rId128" Type="http://schemas.openxmlformats.org/officeDocument/2006/relationships/hyperlink" Target="https://www.abc.net.au/news/2019-11-20/today-is-transgender-remembrance-day-australia-acknowledge/11718366" TargetMode="External"/><Relationship Id="rId144" Type="http://schemas.openxmlformats.org/officeDocument/2006/relationships/hyperlink" Target="https://transrespect.org/en/" TargetMode="External"/><Relationship Id="rId149" Type="http://schemas.openxmlformats.org/officeDocument/2006/relationships/hyperlink" Target="https://d2rn9gno7zhxqg.cloudfront.net/wp-content/uploads/2019/02/22014733/NCAS-report-20181.pdf" TargetMode="External"/><Relationship Id="rId5" Type="http://schemas.openxmlformats.org/officeDocument/2006/relationships/numbering" Target="numbering.xml"/><Relationship Id="rId90" Type="http://schemas.openxmlformats.org/officeDocument/2006/relationships/hyperlink" Target="https://www.monash.edu/study/courses/find-a-course/2019/gender,-violence-and-society,-criminal-justice-responses-pda1004" TargetMode="External"/><Relationship Id="rId95" Type="http://schemas.openxmlformats.org/officeDocument/2006/relationships/hyperlink" Target="https://www.rmit.edu.au/study-with-us/levels-of-study/postgraduate-study/graduate-certificates/graduate-certificate-in-domestic-and-family-violence-gc164" TargetMode="External"/><Relationship Id="rId22" Type="http://schemas.openxmlformats.org/officeDocument/2006/relationships/image" Target="media/image7.png"/><Relationship Id="rId27" Type="http://schemas.openxmlformats.org/officeDocument/2006/relationships/hyperlink" Target="http://hansardpublic.parliament.sa.gov.au/" TargetMode="External"/><Relationship Id="rId43" Type="http://schemas.openxmlformats.org/officeDocument/2006/relationships/image" Target="media/image19.png"/><Relationship Id="rId48" Type="http://schemas.openxmlformats.org/officeDocument/2006/relationships/hyperlink" Target="https://www.pwc.com.au/australia-in-transition/publications/understanding-the-unpaid-economy-mar17.pdf" TargetMode="External"/><Relationship Id="rId64" Type="http://schemas.openxmlformats.org/officeDocument/2006/relationships/hyperlink" Target="https://credh.org.au/projects/current-projects/the-disability-pay-gap-mythbusting-and-numbercrunching/" TargetMode="External"/><Relationship Id="rId69" Type="http://schemas.openxmlformats.org/officeDocument/2006/relationships/image" Target="media/image37.png"/><Relationship Id="rId113" Type="http://schemas.openxmlformats.org/officeDocument/2006/relationships/hyperlink" Target="http://www.abs.gov.au/ausstats/abs@.nsf/mf/6361.0" TargetMode="External"/><Relationship Id="rId118" Type="http://schemas.openxmlformats.org/officeDocument/2006/relationships/hyperlink" Target="https://gendercentre.org.au/counting-the-dead" TargetMode="External"/><Relationship Id="rId134" Type="http://schemas.openxmlformats.org/officeDocument/2006/relationships/hyperlink" Target="https://mkstudy.com.au/" TargetMode="External"/><Relationship Id="rId139" Type="http://schemas.openxmlformats.org/officeDocument/2006/relationships/hyperlink" Target="https://www.ourwatch.org.au/resource/changing-the-picture/" TargetMode="External"/><Relationship Id="rId80" Type="http://schemas.openxmlformats.org/officeDocument/2006/relationships/footer" Target="footer9.xml"/><Relationship Id="rId85" Type="http://schemas.openxmlformats.org/officeDocument/2006/relationships/hyperlink" Target="https://www.abc.net.au/news/2019-11-20/today-is-transgender-remembrance-day-australia-acknowledge/11718366" TargetMode="External"/><Relationship Id="rId150" Type="http://schemas.openxmlformats.org/officeDocument/2006/relationships/footer" Target="footer11.xml"/><Relationship Id="rId12" Type="http://schemas.openxmlformats.org/officeDocument/2006/relationships/image" Target="media/image2.sv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footer" Target="footer5.xml"/><Relationship Id="rId59" Type="http://schemas.openxmlformats.org/officeDocument/2006/relationships/image" Target="media/image31.png"/><Relationship Id="rId67" Type="http://schemas.openxmlformats.org/officeDocument/2006/relationships/image" Target="media/image35.png"/><Relationship Id="rId103" Type="http://schemas.openxmlformats.org/officeDocument/2006/relationships/hyperlink" Target="https://online.qut.edu.au/online-courses/law-justice/graduate-certificate-in-domestic-violence/?gclid=CjwKCAjwmKLzBRBeEiwACCVihhvApsoI3H67bkRc8L6hOlz-8l4orqddbKziw71q-s8aJExmH7jEhxoCzrcQAvD_BwE&amp;gclsrc=aw.ds" TargetMode="External"/><Relationship Id="rId108" Type="http://schemas.openxmlformats.org/officeDocument/2006/relationships/footer" Target="footer10.xml"/><Relationship Id="rId116" Type="http://schemas.openxmlformats.org/officeDocument/2006/relationships/hyperlink" Target="https://www.humanrights.gov.au/our-work/race-discrimination/publications/leading-change-blueprint-cultural-diversity-and-0" TargetMode="External"/><Relationship Id="rId124" Type="http://schemas.openxmlformats.org/officeDocument/2006/relationships/hyperlink" Target="https://aifs.gov.au/cfca/sites/default/files/publication-documents/50_intimate_partner_violence_in_australian_refugee_communities.pdf" TargetMode="External"/><Relationship Id="rId129" Type="http://schemas.openxmlformats.org/officeDocument/2006/relationships/hyperlink" Target="https://www.tandfonline.com/doi/full/10.1080/13552074.2019.1668142" TargetMode="External"/><Relationship Id="rId137" Type="http://schemas.openxmlformats.org/officeDocument/2006/relationships/hyperlink" Target="https://www.parliament.nsw.gov.au/search/Pages/AdvancedSearchHome.aspx" TargetMode="External"/><Relationship Id="rId20" Type="http://schemas.openxmlformats.org/officeDocument/2006/relationships/hyperlink" Target="https://parlinfo.aph.gov.au/parlInfo/search/search.w3p;adv=yes" TargetMode="External"/><Relationship Id="rId41" Type="http://schemas.openxmlformats.org/officeDocument/2006/relationships/image" Target="media/image17.png"/><Relationship Id="rId54" Type="http://schemas.openxmlformats.org/officeDocument/2006/relationships/image" Target="media/image26.png"/><Relationship Id="rId62" Type="http://schemas.openxmlformats.org/officeDocument/2006/relationships/hyperlink" Target="https://credh.org.au/projects/current-projects/the-disability-pay-gap-mythbusting-and-numbercrunching/" TargetMode="External"/><Relationship Id="rId70" Type="http://schemas.openxmlformats.org/officeDocument/2006/relationships/hyperlink" Target="https://mkstudy.com.au/" TargetMode="External"/><Relationship Id="rId75" Type="http://schemas.openxmlformats.org/officeDocument/2006/relationships/image" Target="media/image41.png"/><Relationship Id="rId83" Type="http://schemas.openxmlformats.org/officeDocument/2006/relationships/hyperlink" Target="https://rsph.anu.edu.au/research/projects/reducing-family-violence-among-aboriginal-and-torres-strait-island" TargetMode="External"/><Relationship Id="rId88" Type="http://schemas.openxmlformats.org/officeDocument/2006/relationships/hyperlink" Target="https://www.sbs.com.au/nitv/nitv-news/article/2020/02/05/why-isnt-national-crisis-report-calls-action-indigenous-womens-deaths" TargetMode="External"/><Relationship Id="rId91" Type="http://schemas.openxmlformats.org/officeDocument/2006/relationships/hyperlink" Target="https://www.monash.edu/study/courses/find-a-course/2019/using-data-to-understand-family-violence-pda1005" TargetMode="External"/><Relationship Id="rId96" Type="http://schemas.openxmlformats.org/officeDocument/2006/relationships/hyperlink" Target="http://www1.rmit.edu.au/courses/030904" TargetMode="External"/><Relationship Id="rId111" Type="http://schemas.openxmlformats.org/officeDocument/2006/relationships/hyperlink" Target="https://www.abs.gov.au/statistics/people/people-and-communities/characteristics-recent-migrants/nov-2016" TargetMode="External"/><Relationship Id="rId132" Type="http://schemas.openxmlformats.org/officeDocument/2006/relationships/hyperlink" Target="https://www.maiamnayriwingara.org/key-principles" TargetMode="External"/><Relationship Id="rId140" Type="http://schemas.openxmlformats.org/officeDocument/2006/relationships/hyperlink" Target="https://www.pwc.com.au/australia-in-transition/publications/understanding-the-unpaid-economy-mar17.pdf" TargetMode="External"/><Relationship Id="rId145" Type="http://schemas.openxmlformats.org/officeDocument/2006/relationships/hyperlink" Target="https://www.anrows.org.au/publication/promoting-community-led-responses-to-violence-against-immigrant-and-refugee-women-in-metropolitan-and-regional-australia-the-aspire-project-state-of-knowledge-paper/"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parliament.nsw.gov.au/search/Pages/AdvancedSearchHome.aspx" TargetMode="External"/><Relationship Id="rId28" Type="http://schemas.openxmlformats.org/officeDocument/2006/relationships/image" Target="media/image9.png"/><Relationship Id="rId36" Type="http://schemas.openxmlformats.org/officeDocument/2006/relationships/image" Target="media/image12.png"/><Relationship Id="rId49" Type="http://schemas.openxmlformats.org/officeDocument/2006/relationships/image" Target="media/image21.png"/><Relationship Id="rId57" Type="http://schemas.openxmlformats.org/officeDocument/2006/relationships/image" Target="media/image29.png"/><Relationship Id="rId106" Type="http://schemas.openxmlformats.org/officeDocument/2006/relationships/hyperlink" Target="https://plan4womenssafety.dss.gov.au/implementation-plan/initiatives/" TargetMode="External"/><Relationship Id="rId114" Type="http://schemas.openxmlformats.org/officeDocument/2006/relationships/hyperlink" Target="https://www.abs.gov.au/ausstats/abs@.nsf/PrimaryMainFeatures/6287.0?OpenDocument" TargetMode="External"/><Relationship Id="rId119" Type="http://schemas.openxmlformats.org/officeDocument/2006/relationships/hyperlink" Target="https://parlinfo.aph.gov.au/parlInfo/search/search.w3p;adv=yes" TargetMode="External"/><Relationship Id="rId127" Type="http://schemas.openxmlformats.org/officeDocument/2006/relationships/hyperlink" Target="https://www.sbs.com.au/nitv/nitv-news/article/2020/02/05/why-isnt-national-crisis-report-calls-action-indigenous-womens-deaths" TargetMode="External"/><Relationship Id="rId10" Type="http://schemas.openxmlformats.org/officeDocument/2006/relationships/endnotes" Target="endnotes.xml"/><Relationship Id="rId31" Type="http://schemas.openxmlformats.org/officeDocument/2006/relationships/hyperlink" Target="https://parlinfo.aph.gov.au/parlInfo/search/search.w3p;adv=yes" TargetMode="External"/><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3.png"/><Relationship Id="rId73" Type="http://schemas.openxmlformats.org/officeDocument/2006/relationships/image" Target="media/image39.png"/><Relationship Id="rId78" Type="http://schemas.openxmlformats.org/officeDocument/2006/relationships/footer" Target="footer8.xml"/><Relationship Id="rId81" Type="http://schemas.openxmlformats.org/officeDocument/2006/relationships/hyperlink" Target="https://www.abs.gov.au/AUSSTATS/abs@.nsf/DetailsPage/4431.0.55.0032016?OpenDocument" TargetMode="External"/><Relationship Id="rId86" Type="http://schemas.openxmlformats.org/officeDocument/2006/relationships/hyperlink" Target="https://www.monash.edu/arts/gender-and-family-violence/research-projects/intimate-partner-homicide" TargetMode="External"/><Relationship Id="rId94" Type="http://schemas.openxmlformats.org/officeDocument/2006/relationships/hyperlink" Target="http://www.monash.edu/pubs/2019handbooks/courses/A5005.html" TargetMode="External"/><Relationship Id="rId99" Type="http://schemas.openxmlformats.org/officeDocument/2006/relationships/hyperlink" Target="https://www.rmit.edu.au/study-with-us/levels-of-study/short-courses/gender-equity-in-action" TargetMode="External"/><Relationship Id="rId101" Type="http://schemas.openxmlformats.org/officeDocument/2006/relationships/hyperlink" Target="https://handbook.unimelb.edu.au/2019/subjects/hlth90007" TargetMode="External"/><Relationship Id="rId122" Type="http://schemas.openxmlformats.org/officeDocument/2006/relationships/hyperlink" Target="https://www.anrows.org.au/publication/building-effective-policies-and-services-to-promote-womens-economic-security-following-domestic-violence-state-of-knowledge-paper/" TargetMode="External"/><Relationship Id="rId130" Type="http://schemas.openxmlformats.org/officeDocument/2006/relationships/hyperlink" Target="https://www.aic.gov.au/sites/default/files/2020-05/rr11.pdf" TargetMode="External"/><Relationship Id="rId135" Type="http://schemas.openxmlformats.org/officeDocument/2006/relationships/hyperlink" Target="https://mkstudy.com.au/wp-content/uploads/2019/08/Community-engagement-final.pdf" TargetMode="External"/><Relationship Id="rId143" Type="http://schemas.openxmlformats.org/officeDocument/2006/relationships/hyperlink" Target="https://www.monash.edu/arts/gender-and-family-violence/research-projects/completed-projects/temporary-migration-and-family-violence" TargetMode="External"/><Relationship Id="rId148" Type="http://schemas.openxmlformats.org/officeDocument/2006/relationships/hyperlink" Target="http://press-files.anu.edu.au/downloads/press/n2140/pdf/book.pdf?referer=2140" TargetMode="External"/><Relationship Id="rId151"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image" Target="media/image15.png"/><Relationship Id="rId109" Type="http://schemas.openxmlformats.org/officeDocument/2006/relationships/hyperlink" Target="https://aboriginalgenderstudy.ahcsa.org.au/" TargetMode="External"/><Relationship Id="rId34" Type="http://schemas.openxmlformats.org/officeDocument/2006/relationships/hyperlink" Target="https://d2bb010tdzqaq7.cloudfront.net/wp-content/uploads/sites/2/2019/11/05233003/Changing-the-picture-AA-3.pdf" TargetMode="External"/><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2.png"/><Relationship Id="rId97" Type="http://schemas.openxmlformats.org/officeDocument/2006/relationships/hyperlink" Target="http://www1.rmit.edu.au/courses/030741" TargetMode="External"/><Relationship Id="rId104" Type="http://schemas.openxmlformats.org/officeDocument/2006/relationships/hyperlink" Target="https://www.newcastle.edu.au/degrees/graduate-certificate-family-studies" TargetMode="External"/><Relationship Id="rId120" Type="http://schemas.openxmlformats.org/officeDocument/2006/relationships/hyperlink" Target="https://parlinfo.aph.gov.au/parlInfo/search/search.w3p;adv=yes" TargetMode="External"/><Relationship Id="rId125" Type="http://schemas.openxmlformats.org/officeDocument/2006/relationships/hyperlink" Target="http://hansardpublic.parliament.sa.gov.au/" TargetMode="External"/><Relationship Id="rId141" Type="http://schemas.openxmlformats.org/officeDocument/2006/relationships/hyperlink" Target="https://www.australiansuper.com/campaigns/future-face-of-poverty" TargetMode="External"/><Relationship Id="rId146" Type="http://schemas.openxmlformats.org/officeDocument/2006/relationships/hyperlink" Target="https://openresearch-repository.anu.edu.au/bitstream/1885/145057/1/CAEPR_Census_Paper_5_2018_0.pdf" TargetMode="External"/><Relationship Id="rId7" Type="http://schemas.openxmlformats.org/officeDocument/2006/relationships/settings" Target="settings.xml"/><Relationship Id="rId71" Type="http://schemas.openxmlformats.org/officeDocument/2006/relationships/hyperlink" Target="https://mkstudy.com.au/" TargetMode="External"/><Relationship Id="rId92" Type="http://schemas.openxmlformats.org/officeDocument/2006/relationships/hyperlink" Target="https://www.monash.edu/study/courses/find-a-course/2019/health-and-family-violence-pda1006" TargetMode="External"/><Relationship Id="rId2" Type="http://schemas.openxmlformats.org/officeDocument/2006/relationships/customXml" Target="../customXml/item2.xml"/><Relationship Id="rId29" Type="http://schemas.openxmlformats.org/officeDocument/2006/relationships/hyperlink" Target="https://parlinfo.aph.gov.au/parlInfo/search/search.w3p;adv=yes" TargetMode="External"/><Relationship Id="rId24" Type="http://schemas.openxmlformats.org/officeDocument/2006/relationships/hyperlink" Target="https://www.parliament.nsw.gov.au/search/Pages/AdvancedSearchHome.aspx" TargetMode="External"/><Relationship Id="rId40" Type="http://schemas.openxmlformats.org/officeDocument/2006/relationships/image" Target="media/image16.png"/><Relationship Id="rId45" Type="http://schemas.openxmlformats.org/officeDocument/2006/relationships/footer" Target="footer4.xml"/><Relationship Id="rId66" Type="http://schemas.openxmlformats.org/officeDocument/2006/relationships/image" Target="media/image34.png"/><Relationship Id="rId87" Type="http://schemas.openxmlformats.org/officeDocument/2006/relationships/hyperlink" Target="https://www.deathscapes.org/case-studies/indigenous-femicide-and-the-killing-state-in-progress/" TargetMode="External"/><Relationship Id="rId110" Type="http://schemas.openxmlformats.org/officeDocument/2006/relationships/hyperlink" Target="https://www.deathscapes.org/case-studies/indigenous-femicide-and-the-killing-state-in-progress/" TargetMode="External"/><Relationship Id="rId115" Type="http://schemas.openxmlformats.org/officeDocument/2006/relationships/hyperlink" Target="http://www.abs.gov.au/ausstats/abs@.nsf/Lookup/by%20Subject/4906.0.55.003~2016~Main%20Features~Partner%20emotional%20abuse~20" TargetMode="External"/><Relationship Id="rId131" Type="http://schemas.openxmlformats.org/officeDocument/2006/relationships/hyperlink" Target="https://www.vichealth.vic.gov.au/-/media/ResourceCentre/PublicationsandResources/PVAW/CATVAW_ProjectTechnicalReport2009.pdf?la=en&amp;hash=1E24F73605599FC3FAAB0DBD64E9C9D0F7B58659" TargetMode="External"/><Relationship Id="rId136" Type="http://schemas.openxmlformats.org/officeDocument/2006/relationships/hyperlink" Target="https://journals.plos.org/plosone/article/file?id=10.1371/journal.pone.0181421&amp;type=printable" TargetMode="External"/><Relationship Id="rId61" Type="http://schemas.openxmlformats.org/officeDocument/2006/relationships/hyperlink" Target="https://www.wgea.gov.au/sites/default/files/gender-pay-gap-statistic.pdf" TargetMode="External"/><Relationship Id="rId82" Type="http://schemas.openxmlformats.org/officeDocument/2006/relationships/image" Target="media/image44.png"/><Relationship Id="rId15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footer" Target="footer1.xml"/><Relationship Id="rId30" Type="http://schemas.openxmlformats.org/officeDocument/2006/relationships/hyperlink" Target="https://parlinfo.aph.gov.au/parlInfo/search/search.w3p;adv=yes" TargetMode="External"/><Relationship Id="rId35" Type="http://schemas.openxmlformats.org/officeDocument/2006/relationships/footer" Target="footer3.xml"/><Relationship Id="rId56" Type="http://schemas.openxmlformats.org/officeDocument/2006/relationships/image" Target="media/image28.png"/><Relationship Id="rId77" Type="http://schemas.openxmlformats.org/officeDocument/2006/relationships/footer" Target="footer7.xml"/><Relationship Id="rId100" Type="http://schemas.openxmlformats.org/officeDocument/2006/relationships/hyperlink" Target="https://www.rmit.edu.au/study-with-us/levels-of-study/short-courses/why-gender-matters" TargetMode="External"/><Relationship Id="rId105" Type="http://schemas.openxmlformats.org/officeDocument/2006/relationships/hyperlink" Target="https://students.flinders.edu.au/my-course/course-rules/postgrad/gdpgd" TargetMode="External"/><Relationship Id="rId126" Type="http://schemas.openxmlformats.org/officeDocument/2006/relationships/hyperlink" Target="http://hansardpublic.parliament.sa.gov.au/" TargetMode="External"/><Relationship Id="rId147" Type="http://schemas.openxmlformats.org/officeDocument/2006/relationships/hyperlink" Target="https://www.vichealth.vic.gov.au/~/media/ResourceCentre/PublicationsandResources/PVAW/NCAS/NCAS-StakeholderReport_2014.ashx" TargetMode="Externa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image" Target="media/image38.png"/><Relationship Id="rId93" Type="http://schemas.openxmlformats.org/officeDocument/2006/relationships/hyperlink" Target="http://www.monash.edu/pubs/handbooks/courses/A4005.html?_ga=2.39430691.1285114800.1551216641-1477031363.1543885760" TargetMode="External"/><Relationship Id="rId98" Type="http://schemas.openxmlformats.org/officeDocument/2006/relationships/hyperlink" Target="https://www.rmit.edu.au/study-with-us/levels-of-study/postgraduate-study/graduate-certificates/graduate-certificate-in-domestic-and-family-violence-gc164" TargetMode="External"/><Relationship Id="rId121" Type="http://schemas.openxmlformats.org/officeDocument/2006/relationships/hyperlink" Target="https://parlinfo.aph.gov.au/parlInfo/search/search.w3p;adv=yes" TargetMode="External"/><Relationship Id="rId142" Type="http://schemas.openxmlformats.org/officeDocument/2006/relationships/hyperlink" Target="https://www.lowitja.org.au/page/services/resources/Cultural-and-social-determinants/culture-for-health-and-wellbeing/defining-the-indefinable-descriptors-of-aboriginal-and-torres-strait-islander-peoples%E2%80%99-cultures-and-their-links-to-health-and-wellbeing" TargetMode="External"/><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117" Type="http://schemas.openxmlformats.org/officeDocument/2006/relationships/hyperlink" Target="https://www.aph.gov.au/Parliamentary_Business/Committees/Senate/Finance_and_Public_Administration/Domestic_Violence/Report" TargetMode="External"/><Relationship Id="rId299" Type="http://schemas.openxmlformats.org/officeDocument/2006/relationships/hyperlink" Target="https://www.abs.gov.au/ausstats/abs@.nsf/Lookup/by%20Subject/4125.0~Sep%202018~Main%20Features~Economic%20Security~4" TargetMode="External"/><Relationship Id="rId21" Type="http://schemas.openxmlformats.org/officeDocument/2006/relationships/hyperlink" Target="https://www.parliament.nsw.gov.au/search/Pages/AdvancedSearchHome.aspx" TargetMode="External"/><Relationship Id="rId63" Type="http://schemas.openxmlformats.org/officeDocument/2006/relationships/hyperlink" Target="https://data.wgea.gov.au/home" TargetMode="External"/><Relationship Id="rId159" Type="http://schemas.openxmlformats.org/officeDocument/2006/relationships/hyperlink" Target="https://asiapacific.unwomen.org/en/digital-library/publications/2015/07/how-to-design-projects-to-end-violence-against-women-and-girls" TargetMode="External"/><Relationship Id="rId324" Type="http://schemas.openxmlformats.org/officeDocument/2006/relationships/hyperlink" Target="https://www.aph.gov.au/Parliamentary_Business/Committees/Senate/Economics/Economic_security_for_women_in_retirement/Submissions" TargetMode="External"/><Relationship Id="rId366" Type="http://schemas.openxmlformats.org/officeDocument/2006/relationships/hyperlink" Target="https://www.monash.edu/__data/assets/pdf_file/0005/1572746/free_to_be_sydney_city_report.pdf" TargetMode="External"/><Relationship Id="rId531" Type="http://schemas.openxmlformats.org/officeDocument/2006/relationships/hyperlink" Target="https://www.abs.gov.au/AUSSTATS/abs@.nsf/allprimarymainfeatures/017E326331F0C315CA2581D1000C2EA8?opendocument" TargetMode="External"/><Relationship Id="rId170" Type="http://schemas.openxmlformats.org/officeDocument/2006/relationships/hyperlink" Target="https://www.whin.org.au/download-resources-4/" TargetMode="External"/><Relationship Id="rId226" Type="http://schemas.openxmlformats.org/officeDocument/2006/relationships/hyperlink" Target="https://d2rn9gno7zhxqg.cloudfront.net/wp-content/uploads/2019/02/22014733/NCAS-report-20181.pdf" TargetMode="External"/><Relationship Id="rId433" Type="http://schemas.openxmlformats.org/officeDocument/2006/relationships/hyperlink" Target="https://www.ourwatch.org.au/change-the-story/" TargetMode="External"/><Relationship Id="rId268" Type="http://schemas.openxmlformats.org/officeDocument/2006/relationships/hyperlink" Target="https://melbourneinstitute.unimelb.edu.au/__data/assets/pdf_file/0005/2839919/2018-HILDA-SR-for-web.pdf" TargetMode="External"/><Relationship Id="rId475" Type="http://schemas.openxmlformats.org/officeDocument/2006/relationships/hyperlink" Target="https://d2rn9gno7zhxqg.cloudfront.net/wp-content/uploads/2019/02/22014733/NCAS-report-20181.pdf" TargetMode="External"/><Relationship Id="rId32" Type="http://schemas.openxmlformats.org/officeDocument/2006/relationships/hyperlink" Target="https://data.wgea.gov.au/home" TargetMode="External"/><Relationship Id="rId74" Type="http://schemas.openxmlformats.org/officeDocument/2006/relationships/hyperlink" Target="https://plan4womenssafety.dss.gov.au/wp-content/uploads/2020/02/3apevaluationreport-aifs-20200117.pdf" TargetMode="External"/><Relationship Id="rId128" Type="http://schemas.openxmlformats.org/officeDocument/2006/relationships/hyperlink" Target="https://www.levelplayground.org.au/" TargetMode="External"/><Relationship Id="rId335" Type="http://schemas.openxmlformats.org/officeDocument/2006/relationships/hyperlink" Target="https://humanrights.gov.au/our-work/sex-discrimination/publications/everyones-business-fourth-national-survey-sexual" TargetMode="External"/><Relationship Id="rId377" Type="http://schemas.openxmlformats.org/officeDocument/2006/relationships/hyperlink" Target="https://aic.gov.au/publications/rpp/rpp56" TargetMode="External"/><Relationship Id="rId500" Type="http://schemas.openxmlformats.org/officeDocument/2006/relationships/hyperlink" Target="https://www.aic.gov.au/publications/rip/rip38" TargetMode="External"/><Relationship Id="rId542" Type="http://schemas.openxmlformats.org/officeDocument/2006/relationships/hyperlink" Target="https://apo.org.au/node/174811" TargetMode="External"/><Relationship Id="rId5" Type="http://schemas.openxmlformats.org/officeDocument/2006/relationships/hyperlink" Target="https://www.preventionweb.net/files/51016_1297700gbvindisastersenlr2.pdf" TargetMode="External"/><Relationship Id="rId181" Type="http://schemas.openxmlformats.org/officeDocument/2006/relationships/hyperlink" Target="https://www.vichealth.vic.gov.au/-/media/ProgramsandProjects/DiscriminationandViolence/PreventingViolence/framework-web.pdf?la=en&amp;hash=A262B02E570F08D3B9740B19C9860E3C252571C2" TargetMode="External"/><Relationship Id="rId237" Type="http://schemas.openxmlformats.org/officeDocument/2006/relationships/hyperlink" Target="https://d2rn9gno7zhxqg.cloudfront.net/wp-content/uploads/2019/02/19025138/PSS_2016update.pdf" TargetMode="External"/><Relationship Id="rId402" Type="http://schemas.openxmlformats.org/officeDocument/2006/relationships/hyperlink" Target="https://www.ourwatch.org.au/resource/men-in-focus-unpacking-masculinities-and-engaging-men-in-the-prevention-of-violence-against-women/" TargetMode="External"/><Relationship Id="rId279" Type="http://schemas.openxmlformats.org/officeDocument/2006/relationships/hyperlink" Target="https://www.wgea.gov.au/data/wgea-research/australias-gender-equality-scorecard/2018-19-gender-equality-scorecard" TargetMode="External"/><Relationship Id="rId444" Type="http://schemas.openxmlformats.org/officeDocument/2006/relationships/hyperlink" Target="https://humanrights.gov.au/our-work/aboriginal-and-torres-strait-islander-social-justice/publications/close-gap-10-year-review" TargetMode="External"/><Relationship Id="rId486" Type="http://schemas.openxmlformats.org/officeDocument/2006/relationships/hyperlink" Target="https://www.abs.gov.au/articles/characteristics-and-outcomes-childhood-abuse" TargetMode="External"/><Relationship Id="rId43" Type="http://schemas.openxmlformats.org/officeDocument/2006/relationships/hyperlink" Target="https://www.tic.tas.gov.au/__data/assets/pdf_file/0004/566716/T14740-No-1-of-2020-Tasmanian-State-Service-Award-S085.pdf" TargetMode="External"/><Relationship Id="rId139" Type="http://schemas.openxmlformats.org/officeDocument/2006/relationships/hyperlink" Target="http://whe.org.au/tfer/evaluation-guidebook" TargetMode="External"/><Relationship Id="rId290" Type="http://schemas.openxmlformats.org/officeDocument/2006/relationships/hyperlink" Target="https://melbourneinstitute.unimelb.edu.au/__data/assets/pdf_file/0005/2839919/2018-HILDA-SR-for-web.pdf" TargetMode="External"/><Relationship Id="rId304" Type="http://schemas.openxmlformats.org/officeDocument/2006/relationships/hyperlink" Target="https://thestellaprize.com.au/the-count/2018-stella-count/" TargetMode="External"/><Relationship Id="rId346" Type="http://schemas.openxmlformats.org/officeDocument/2006/relationships/hyperlink" Target="https://www.wgea.gov.au/sites/default/files/documents/Gender_pay_gap_fact_sheet_august_2019.pdf" TargetMode="External"/><Relationship Id="rId388" Type="http://schemas.openxmlformats.org/officeDocument/2006/relationships/hyperlink" Target="https://www.mariestopes.org.au/wp-content/uploads/Hidden-Forces_MSA-RC-White-Paper_FINAL_WEB.pdf" TargetMode="External"/><Relationship Id="rId511" Type="http://schemas.openxmlformats.org/officeDocument/2006/relationships/hyperlink" Target="https://d2rn9gno7zhxqg.cloudfront.net/wp-content/uploads/2019/02/22014733/NCAS-report-20181.pdf" TargetMode="External"/><Relationship Id="rId553" Type="http://schemas.openxmlformats.org/officeDocument/2006/relationships/hyperlink" Target="https://www.dss.gov.au/our-responsibilities/women/publications-articles/reducing-violence/national-plan-to-reduce-violence-against-women-and-their-children/time-for-action-the-national-councils-plan-for-australia-to-reduce-violence-against-women-and-their-children-2009-2021-a" TargetMode="External"/><Relationship Id="rId85" Type="http://schemas.openxmlformats.org/officeDocument/2006/relationships/hyperlink" Target="https://www.legislation.gov.au/Details/C2018A00153" TargetMode="External"/><Relationship Id="rId150" Type="http://schemas.openxmlformats.org/officeDocument/2006/relationships/hyperlink" Target="https://www.whin.org.au/wp-content/uploads/sites/2/2018/03/PVAW-Evaluation-FRAMEWORK-2013.pdf" TargetMode="External"/><Relationship Id="rId192" Type="http://schemas.openxmlformats.org/officeDocument/2006/relationships/hyperlink" Target="http://www.wdv.org.au/documents/Inclusive%20Planning%20Guides_print.pdf" TargetMode="External"/><Relationship Id="rId206" Type="http://schemas.openxmlformats.org/officeDocument/2006/relationships/hyperlink" Target="http://www.abc.net.au/news/2016-05-11/braybrook-aboriginal-womens-lives-really-do-matter/7401920" TargetMode="External"/><Relationship Id="rId413" Type="http://schemas.openxmlformats.org/officeDocument/2006/relationships/hyperlink" Target="http://www.abs.gov.au/AUSSTATS/abs@.nsf/DetailsPage/4431.0.55.0032016?OpenDocument" TargetMode="External"/><Relationship Id="rId248" Type="http://schemas.openxmlformats.org/officeDocument/2006/relationships/hyperlink" Target="https://www.humanconsultancy.com/assets/understanding-perpetration/understanding-perpetration.html" TargetMode="External"/><Relationship Id="rId455" Type="http://schemas.openxmlformats.org/officeDocument/2006/relationships/hyperlink" Target="https://scanlonfoundation.org.au/wp-content/uploads/2018/12/Social-Cohesion-2018-report-26-Nov.pdf" TargetMode="External"/><Relationship Id="rId497" Type="http://schemas.openxmlformats.org/officeDocument/2006/relationships/hyperlink" Target="https://apo.org.au/node/95046" TargetMode="External"/><Relationship Id="rId12" Type="http://schemas.openxmlformats.org/officeDocument/2006/relationships/hyperlink" Target="https://d2bb010tdzqaq7.cloudfront.net/wp-content/uploads/sites/2/2019/11/07031955/Primary-Prevention-of-FV-against-LGBTI-people-Report-Accessible-PDF.pdf" TargetMode="External"/><Relationship Id="rId108" Type="http://schemas.openxmlformats.org/officeDocument/2006/relationships/hyperlink" Target="https://www.ourwatch.org.au/resource/changing-the-picture/" TargetMode="External"/><Relationship Id="rId315" Type="http://schemas.openxmlformats.org/officeDocument/2006/relationships/hyperlink" Target="https://ncas.anrows.org.au/wp-content/uploads/2019/05/2017-NCAS-ATSI-Sub-Report.pdf" TargetMode="External"/><Relationship Id="rId357" Type="http://schemas.openxmlformats.org/officeDocument/2006/relationships/hyperlink" Target="https://www.aph.gov.au/Parliamentary_Business/Committees/Senate/Economics/Economic_security_for_women_in_retirement/Submissions" TargetMode="External"/><Relationship Id="rId522" Type="http://schemas.openxmlformats.org/officeDocument/2006/relationships/hyperlink" Target="https://www.anrows.org.au/publication/violence-against-women-in-australia-additional-analysis-of-the-australian-bureau-of-statistics-personal-safety-survey-2012/" TargetMode="External"/><Relationship Id="rId54" Type="http://schemas.openxmlformats.org/officeDocument/2006/relationships/hyperlink" Target="http://awardviewer.fwo.gov.au/award/show/MA000146" TargetMode="External"/><Relationship Id="rId96" Type="http://schemas.openxmlformats.org/officeDocument/2006/relationships/hyperlink" Target="http://www.austlii.edu.au/au/other/IndigLRes/rciadic" TargetMode="External"/><Relationship Id="rId161" Type="http://schemas.openxmlformats.org/officeDocument/2006/relationships/hyperlink" Target="https://www.abs.gov.au/ausstats/abs@.nsf/mf/4533.0" TargetMode="External"/><Relationship Id="rId217" Type="http://schemas.openxmlformats.org/officeDocument/2006/relationships/hyperlink" Target="https://d2rn9gno7zhxqg.cloudfront.net/wp-content/uploads/2019/02/22014733/NCAS-report-20181.pdf" TargetMode="External"/><Relationship Id="rId399" Type="http://schemas.openxmlformats.org/officeDocument/2006/relationships/hyperlink" Target="https://ncas.anrows.org.au/wp-content/uploads/2019/05/2017-NCAS-ATSI-Sub-Report.pdf" TargetMode="External"/><Relationship Id="rId259" Type="http://schemas.openxmlformats.org/officeDocument/2006/relationships/hyperlink" Target="https://www.abs.gov.au/websitedbs/D3310114.nsf/home/Time+Use+Survey+-+Frequently+Asked+Questions" TargetMode="External"/><Relationship Id="rId424" Type="http://schemas.openxmlformats.org/officeDocument/2006/relationships/hyperlink" Target="https://www.familymatters.org.au/the-family-matters-report-2019/" TargetMode="External"/><Relationship Id="rId466" Type="http://schemas.openxmlformats.org/officeDocument/2006/relationships/hyperlink" Target="https://melbourneinstitute.unimelb.edu.au/__data/assets/pdf_file/0005/2839919/2018-HILDA-SR-for-web.pdf" TargetMode="External"/><Relationship Id="rId23" Type="http://schemas.openxmlformats.org/officeDocument/2006/relationships/hyperlink" Target="http://hansardpublic.parliament.sa.gov.au/" TargetMode="External"/><Relationship Id="rId119" Type="http://schemas.openxmlformats.org/officeDocument/2006/relationships/hyperlink" Target="https://www.fvrim.vic.gov.au/first-report-parliament-1-november-2017" TargetMode="External"/><Relationship Id="rId270" Type="http://schemas.openxmlformats.org/officeDocument/2006/relationships/hyperlink" Target="https://www.abs.gov.au/ausstats/abs@.nsf/mf/4913.0" TargetMode="External"/><Relationship Id="rId326" Type="http://schemas.openxmlformats.org/officeDocument/2006/relationships/hyperlink" Target="https://www.aph.gov.au/Parliamentary_Business/Committees/Senate/Economics/Economic_security_for_women_in_retirement/Submissions" TargetMode="External"/><Relationship Id="rId533" Type="http://schemas.openxmlformats.org/officeDocument/2006/relationships/hyperlink" Target="https://aic.gov.au/publications/sr/sr17" TargetMode="External"/><Relationship Id="rId65" Type="http://schemas.openxmlformats.org/officeDocument/2006/relationships/hyperlink" Target="https://www.aph.gov.au/About_Parliament/Parliamentary_Departments/Parliamentary_Library/FlagPost/2018/November/Removing_GST_on_feminine_hygiene_products" TargetMode="External"/><Relationship Id="rId130" Type="http://schemas.openxmlformats.org/officeDocument/2006/relationships/hyperlink" Target="https://education.ourwatch.org.au/" TargetMode="External"/><Relationship Id="rId368" Type="http://schemas.openxmlformats.org/officeDocument/2006/relationships/hyperlink" Target="https://www.monash.edu/__data/assets/pdf_file/0005/1572746/free_to_be_sydney_city_report.pdf" TargetMode="External"/><Relationship Id="rId172" Type="http://schemas.openxmlformats.org/officeDocument/2006/relationships/hyperlink" Target="https://www.ourwatch.org.au/resource/changing-the-picture/" TargetMode="External"/><Relationship Id="rId228" Type="http://schemas.openxmlformats.org/officeDocument/2006/relationships/hyperlink" Target="https://www.humanrights.gov.au/our-work/sex-discrimination/publications/everyones-business-fourth-national-survey-sexual" TargetMode="External"/><Relationship Id="rId435" Type="http://schemas.openxmlformats.org/officeDocument/2006/relationships/hyperlink" Target="https://d2rn9gno7zhxqg.cloudfront.net/wp-content/uploads/2019/02/22014733/NCAS-report-20181.pdf" TargetMode="External"/><Relationship Id="rId477" Type="http://schemas.openxmlformats.org/officeDocument/2006/relationships/hyperlink" Target="https://d2rn9gno7zhxqg.cloudfront.net/wp-content/uploads/2019/02/22014733/NCAS-report-20181.pdf" TargetMode="External"/><Relationship Id="rId281" Type="http://schemas.openxmlformats.org/officeDocument/2006/relationships/hyperlink" Target="https://melbourneinstitute.unimelb.edu.au/__data/assets/pdf_file/0005/2839919/2018-HILDA-SR-for-web.pdf" TargetMode="External"/><Relationship Id="rId337" Type="http://schemas.openxmlformats.org/officeDocument/2006/relationships/hyperlink" Target="https://humanrights.gov.au/our-work/sex-discrimination/publications/everyones-business-fourth-national-survey-sexual" TargetMode="External"/><Relationship Id="rId502" Type="http://schemas.openxmlformats.org/officeDocument/2006/relationships/hyperlink" Target="http://strive.lshtm.ac.uk/system/files/attachments/What%20works%20to%20prevent%20partner%20violence.pdf" TargetMode="External"/><Relationship Id="rId34" Type="http://schemas.openxmlformats.org/officeDocument/2006/relationships/hyperlink" Target="https://data.wgea.gov.au/home" TargetMode="External"/><Relationship Id="rId76" Type="http://schemas.openxmlformats.org/officeDocument/2006/relationships/hyperlink" Target="https://www.dss.gov.au/sites/default/files/documents/08_2019/fourth_action-plan.pdf" TargetMode="External"/><Relationship Id="rId141" Type="http://schemas.openxmlformats.org/officeDocument/2006/relationships/hyperlink" Target="http://inwpcp.org.au/wp-content/uploads/2015/04/INCEPT-Evaluation-Guide-Mar-2016.pdf" TargetMode="External"/><Relationship Id="rId379" Type="http://schemas.openxmlformats.org/officeDocument/2006/relationships/hyperlink" Target="https://aifs.gov.au/cfca/publications/cfca-paper/intimate-partner-violence-australian-refugee-communities" TargetMode="External"/><Relationship Id="rId544" Type="http://schemas.openxmlformats.org/officeDocument/2006/relationships/hyperlink" Target="https://apo.org.au/node/174811" TargetMode="External"/><Relationship Id="rId7" Type="http://schemas.openxmlformats.org/officeDocument/2006/relationships/hyperlink" Target="https://www.unwomen.org/-/media/headquarters/attachments/sections/library/publications/2020/issue-brief-covid-19-and-ending-violence-against-women-and-girls-en.pdf" TargetMode="External"/><Relationship Id="rId183" Type="http://schemas.openxmlformats.org/officeDocument/2006/relationships/hyperlink" Target="https://www.dss.gov.au/sites/default/files/documents/09_2014/dss012_14_book_tagged_reduced.pdf" TargetMode="External"/><Relationship Id="rId239" Type="http://schemas.openxmlformats.org/officeDocument/2006/relationships/hyperlink" Target="https://www.abs.gov.au/AUSSTATS/abs@.nsf/allprimarymainfeatures/171EFD005C73FD8DCA2583A500791B09?opendocument" TargetMode="External"/><Relationship Id="rId390" Type="http://schemas.openxmlformats.org/officeDocument/2006/relationships/hyperlink" Target="https://www.latrobe.edu.au/arcshs/documents/arcshs-research-publications/secondary-students-and-sexual-health-2008.pdf" TargetMode="External"/><Relationship Id="rId404" Type="http://schemas.openxmlformats.org/officeDocument/2006/relationships/hyperlink" Target="https://www.humanconsultancy.com/assets/understanding-perpetration/understanding-perpetration.html" TargetMode="External"/><Relationship Id="rId446" Type="http://schemas.openxmlformats.org/officeDocument/2006/relationships/hyperlink" Target="https://www.abs.gov.au/AUSSTATS/abs@.nsf/allprimarymainfeatures/2177E759F2FCB655CA2583A50078F141?opendocument" TargetMode="External"/><Relationship Id="rId250" Type="http://schemas.openxmlformats.org/officeDocument/2006/relationships/hyperlink" Target="https://d2rn9gno7zhxqg.cloudfront.net/wp-content/uploads/2019/02/22014733/NCAS-report-20181.pdf" TargetMode="External"/><Relationship Id="rId292" Type="http://schemas.openxmlformats.org/officeDocument/2006/relationships/hyperlink" Target="https://melbourneinstitute.unimelb.edu.au/__data/assets/pdf_file/0005/2839919/2018-HILDA-SR-for-web.pdf" TargetMode="External"/><Relationship Id="rId306" Type="http://schemas.openxmlformats.org/officeDocument/2006/relationships/hyperlink" Target="https://thestellaprize.com.au/the-count/stella-count-survey/" TargetMode="External"/><Relationship Id="rId488" Type="http://schemas.openxmlformats.org/officeDocument/2006/relationships/hyperlink" Target="https://www.aihw.gov.au/getmedia/e551a2bc-9149-4625-83c0-7bf1523c3793/aihw-cws-65.pdf.aspx?inline=true" TargetMode="External"/><Relationship Id="rId45" Type="http://schemas.openxmlformats.org/officeDocument/2006/relationships/hyperlink" Target="https://www.wa.gov.au/sites/default/files/2019-04/PC%20Circular%20201707%20Family%20and%20Domestic%20Violence.pdf" TargetMode="External"/><Relationship Id="rId87" Type="http://schemas.openxmlformats.org/officeDocument/2006/relationships/hyperlink" Target="https://www.ourwatch.org.au/change-the-story/" TargetMode="External"/><Relationship Id="rId110" Type="http://schemas.openxmlformats.org/officeDocument/2006/relationships/hyperlink" Target="https://wiyiyaniuthangani.humanrights.gov.au/" TargetMode="External"/><Relationship Id="rId348" Type="http://schemas.openxmlformats.org/officeDocument/2006/relationships/hyperlink" Target="https://home.kpmg/content/dam/kpmg/au/pdf/2019/gender-pay-gap-economics-full-report-2019.pdf" TargetMode="External"/><Relationship Id="rId513" Type="http://schemas.openxmlformats.org/officeDocument/2006/relationships/hyperlink" Target="https://www.abc.net.au/news/2019-02-02/internet-trolls-arent-who-i-thought-ginger-gorman-troll-hunting/10767690" TargetMode="External"/><Relationship Id="rId555" Type="http://schemas.openxmlformats.org/officeDocument/2006/relationships/hyperlink" Target="https://www.dss.gov.au/sites/default/files/documents/07_2014/first_action_plan_1.pdf" TargetMode="External"/><Relationship Id="rId152" Type="http://schemas.openxmlformats.org/officeDocument/2006/relationships/hyperlink" Target="https://www.vichealth.vic.gov.au/media-and-resources/publications/a-concise-guide-to-evaluating-primary-prevention-projects" TargetMode="External"/><Relationship Id="rId194" Type="http://schemas.openxmlformats.org/officeDocument/2006/relationships/hyperlink" Target="https://www.mcwh.com.au/wp-content/uploads/Intersectionality-Matters-Guide-2017.pdf" TargetMode="External"/><Relationship Id="rId208" Type="http://schemas.openxmlformats.org/officeDocument/2006/relationships/hyperlink" Target="https://www.smh.com.au/politics/federal/urgent-response-needed-to-help-complex-callers-to-1800respect-20200218-p541qc.html" TargetMode="External"/><Relationship Id="rId415" Type="http://schemas.openxmlformats.org/officeDocument/2006/relationships/hyperlink" Target="https://www.aihw.gov.au/reports/domestic-violence/family-domestic-sexual-violence-australia-2019/contents/table-of-contents" TargetMode="External"/><Relationship Id="rId457" Type="http://schemas.openxmlformats.org/officeDocument/2006/relationships/hyperlink" Target="https://csrm.cass.anu.edu.au/news/findings-2017-speak-out-against-racism-soar-student-and-staff-surveys" TargetMode="External"/><Relationship Id="rId261" Type="http://schemas.openxmlformats.org/officeDocument/2006/relationships/hyperlink" Target="https://d2rn9gno7zhxqg.cloudfront.net/wp-content/uploads/2019/02/22014733/NCAS-report-20181.pdf" TargetMode="External"/><Relationship Id="rId499" Type="http://schemas.openxmlformats.org/officeDocument/2006/relationships/hyperlink" Target="https://apo.org.au/node/95046" TargetMode="External"/><Relationship Id="rId14" Type="http://schemas.openxmlformats.org/officeDocument/2006/relationships/hyperlink" Target="https://parlinfo.aph.gov.au/parlInfo/search/search.w3p;adv=yes" TargetMode="External"/><Relationship Id="rId56" Type="http://schemas.openxmlformats.org/officeDocument/2006/relationships/hyperlink" Target="https://forms.wairc.wa.gov.au/awards/PUB007/p59/PUB007.pdf" TargetMode="External"/><Relationship Id="rId317" Type="http://schemas.openxmlformats.org/officeDocument/2006/relationships/hyperlink" Target="https://www.undp.org/content/dam/rbap/docs/Research%20&amp;%20Publications/womens_empowerment/RBAP-Gender-2013-P4P-VAW-Report.pdf" TargetMode="External"/><Relationship Id="rId359" Type="http://schemas.openxmlformats.org/officeDocument/2006/relationships/hyperlink" Target="https://www.abs.gov.au/statistics/economy/finance/household-income-and-wealth-australia/latest-release" TargetMode="External"/><Relationship Id="rId524" Type="http://schemas.openxmlformats.org/officeDocument/2006/relationships/hyperlink" Target="https://www.abs.gov.au/ausstats/abs@.nsf/mf/4715.0" TargetMode="External"/><Relationship Id="rId98" Type="http://schemas.openxmlformats.org/officeDocument/2006/relationships/hyperlink" Target="https://www.anrows.org.au/publication/domestic-and-family-violence-housing-insecurity-and-homelessness-research-synthesis/" TargetMode="External"/><Relationship Id="rId121" Type="http://schemas.openxmlformats.org/officeDocument/2006/relationships/hyperlink" Target="https://www.anao.gov.au/work/performance-audit/coordination-and-targeting-domestic-violence-funding-and-actions" TargetMode="External"/><Relationship Id="rId163" Type="http://schemas.openxmlformats.org/officeDocument/2006/relationships/hyperlink" Target="https://www.abs.gov.au/statistics/people/crime-and-justice/personal-safety-australia/latest-release" TargetMode="External"/><Relationship Id="rId219" Type="http://schemas.openxmlformats.org/officeDocument/2006/relationships/hyperlink" Target="https://d2rn9gno7zhxqg.cloudfront.net/wp-content/uploads/2019/02/22014733/NCAS-report-20181.pdf" TargetMode="External"/><Relationship Id="rId370" Type="http://schemas.openxmlformats.org/officeDocument/2006/relationships/hyperlink" Target="https://d2rn9gno7zhxqg.cloudfront.net/wp-content/uploads/2019/02/22014733/NCAS-report-20181.pdf" TargetMode="External"/><Relationship Id="rId426" Type="http://schemas.openxmlformats.org/officeDocument/2006/relationships/hyperlink" Target="https://scanlonfoundation.org.au/wp-content/uploads/2018/12/Social-Cohesion-2018-report-26-Nov.pdf" TargetMode="External"/><Relationship Id="rId230" Type="http://schemas.openxmlformats.org/officeDocument/2006/relationships/hyperlink" Target="https://www.abs.gov.au/ausstats/abs@.nsf/Lookup/4906.0Chapter1002012" TargetMode="External"/><Relationship Id="rId468" Type="http://schemas.openxmlformats.org/officeDocument/2006/relationships/hyperlink" Target="https://d2rn9gno7zhxqg.cloudfront.net/wp-content/uploads/2019/02/22014733/NCAS-report-20181.pdf" TargetMode="External"/><Relationship Id="rId25" Type="http://schemas.openxmlformats.org/officeDocument/2006/relationships/hyperlink" Target="https://www.whiteribbon.org.au" TargetMode="External"/><Relationship Id="rId67" Type="http://schemas.openxmlformats.org/officeDocument/2006/relationships/hyperlink" Target="https://www.vwt.org.au/power-to-prevent-urgent-actions-needed-to-stop-sexual-harassment-at-work" TargetMode="External"/><Relationship Id="rId272" Type="http://schemas.openxmlformats.org/officeDocument/2006/relationships/hyperlink" Target="https://www.wgea.gov.au/sites/default/files/documents/2016-17-gender-equality-scorecard.pdf" TargetMode="External"/><Relationship Id="rId328" Type="http://schemas.openxmlformats.org/officeDocument/2006/relationships/hyperlink" Target="https://data.wgea.gov.au/" TargetMode="External"/><Relationship Id="rId535" Type="http://schemas.openxmlformats.org/officeDocument/2006/relationships/hyperlink" Target="https://aic.gov.au/publications/sr/sr17" TargetMode="External"/><Relationship Id="rId132" Type="http://schemas.openxmlformats.org/officeDocument/2006/relationships/hyperlink" Target="https://media.ourwatch.org.au/" TargetMode="External"/><Relationship Id="rId174" Type="http://schemas.openxmlformats.org/officeDocument/2006/relationships/hyperlink" Target="https://www.mav.asn.au/what-we-do/policy-advocacy/social-community/gender-equality/promising-practice-portal" TargetMode="External"/><Relationship Id="rId381" Type="http://schemas.openxmlformats.org/officeDocument/2006/relationships/hyperlink" Target="https://www.aic.gov.au/publications/tandi/tandi580" TargetMode="External"/><Relationship Id="rId241" Type="http://schemas.openxmlformats.org/officeDocument/2006/relationships/hyperlink" Target="https://www.abs.gov.au/AUSSTATS/abs@.nsf/allprimarymainfeatures/017E326331F0C315CA2581D1000C2EA8?opendocument" TargetMode="External"/><Relationship Id="rId437" Type="http://schemas.openxmlformats.org/officeDocument/2006/relationships/hyperlink" Target="https://www.pc.gov.au/research/ongoing/overcoming-indigenous-disadvantage/2016" TargetMode="External"/><Relationship Id="rId479" Type="http://schemas.openxmlformats.org/officeDocument/2006/relationships/hyperlink" Target="https://d2rn9gno7zhxqg.cloudfront.net/wp-content/uploads/2019/02/22014733/NCAS-report-20181.pdf" TargetMode="External"/><Relationship Id="rId36" Type="http://schemas.openxmlformats.org/officeDocument/2006/relationships/hyperlink" Target="https://data.wgea.gov.au/home" TargetMode="External"/><Relationship Id="rId283" Type="http://schemas.openxmlformats.org/officeDocument/2006/relationships/hyperlink" Target="https://www.abs.gov.au/AUSSTATS/abs@.nsf/allprimarymainfeatures/C258C88A7AA5A87ECA2568A9001393E8?opendocument" TargetMode="External"/><Relationship Id="rId339" Type="http://schemas.openxmlformats.org/officeDocument/2006/relationships/hyperlink" Target="https://humanrights.gov.au/our-work/sex-discrimination/publications/everyones-business-fourth-national-survey-sexual" TargetMode="External"/><Relationship Id="rId490" Type="http://schemas.openxmlformats.org/officeDocument/2006/relationships/hyperlink" Target="https://www.aihw.gov.au/getmedia/e551a2bc-9149-4625-83c0-7bf1523c3793/aihw-cws-65.pdf.aspx?inline=true" TargetMode="External"/><Relationship Id="rId504" Type="http://schemas.openxmlformats.org/officeDocument/2006/relationships/hyperlink" Target="https://d2rn9gno7zhxqg.cloudfront.net/wp-content/uploads/2019/02/22014733/NCAS-report-20181.pdf" TargetMode="External"/><Relationship Id="rId546" Type="http://schemas.openxmlformats.org/officeDocument/2006/relationships/hyperlink" Target="https://www.abs.gov.au/statistics/people/crime-and-justice/recorded-crime-victims-australia/2018" TargetMode="External"/><Relationship Id="rId78" Type="http://schemas.openxmlformats.org/officeDocument/2006/relationships/hyperlink" Target="https://www.pmc.gov.au/sites/default/files/publications/national-action-plan_on_women%20peace-security-%202012-18.pdf" TargetMode="External"/><Relationship Id="rId99" Type="http://schemas.openxmlformats.org/officeDocument/2006/relationships/hyperlink" Target="https://www.theguardian.com/australia-news/2020/jun/06/aboriginal-deaths-in-custody-434-have-died-since-1991-new-data-shows" TargetMode="External"/><Relationship Id="rId101" Type="http://schemas.openxmlformats.org/officeDocument/2006/relationships/hyperlink" Target="https://lens.monash.edu/@politics-society/2019/11/11/1377635/how-australias-migration-system-is-failing-victims-of-gendered-violence" TargetMode="External"/><Relationship Id="rId122" Type="http://schemas.openxmlformats.org/officeDocument/2006/relationships/hyperlink" Target="https://www.ourwatch.org.au/change-the-story/" TargetMode="External"/><Relationship Id="rId143" Type="http://schemas.openxmlformats.org/officeDocument/2006/relationships/hyperlink" Target="https://mspgh.unimelb.edu.au/research-groups/centre-for-health-equity/disability-and-health-unit/violence-and-abuse-against-people-with-disabilities-using-existing-data-to-inform-the-royal-commission" TargetMode="External"/><Relationship Id="rId164" Type="http://schemas.openxmlformats.org/officeDocument/2006/relationships/hyperlink" Target="https://www.dss.gov.au/sites/default/files/documents/08_2019/fourth_action-plan.pdf" TargetMode="External"/><Relationship Id="rId185" Type="http://schemas.openxmlformats.org/officeDocument/2006/relationships/hyperlink" Target="https://www.researchgate.net/publication/285143693_Webster_Kim_and_Michael_Flood_2015_Framework_foundations_1_A_review_of_the_evidence_on_correlates_of_violence_against_women_and_what_works_to_prevent_it_Companion_document_to_Our_Watch_Australia's_Nat" TargetMode="External"/><Relationship Id="rId350" Type="http://schemas.openxmlformats.org/officeDocument/2006/relationships/hyperlink" Target="https://home.kpmg/content/dam/kpmg/au/pdf/2019/gender-pay-gap-economics-full-report-2019.pdf" TargetMode="External"/><Relationship Id="rId371" Type="http://schemas.openxmlformats.org/officeDocument/2006/relationships/hyperlink" Target="https://d2rn9gno7zhxqg.cloudfront.net/wp-content/uploads/2019/02/22014733/NCAS-report-20181.pdf" TargetMode="External"/><Relationship Id="rId406" Type="http://schemas.openxmlformats.org/officeDocument/2006/relationships/hyperlink" Target="http://dx.doi.org/10.1080/00380237.2016.1135029" TargetMode="External"/><Relationship Id="rId9" Type="http://schemas.openxmlformats.org/officeDocument/2006/relationships/hyperlink" Target="https://www.ourwatch.org.au/change-the-story/" TargetMode="External"/><Relationship Id="rId210" Type="http://schemas.openxmlformats.org/officeDocument/2006/relationships/hyperlink" Target="https://www.vichealth.vic.gov.au/-/media/ResourceCentre/PublicationsandResources/PVAW/CATVAW_ProjectTechnicalReport2009.pdf?la=en&amp;hash=1E24F73605599FC3FAAB0DBD64E9C9D0F7B58659" TargetMode="External"/><Relationship Id="rId392" Type="http://schemas.openxmlformats.org/officeDocument/2006/relationships/hyperlink" Target="https://www.latrobe.edu.au/__data/assets/pdf_file/0004/1031899/National-Survey-of-Secondary-Students-and-Sexual-Health-2018.pdf" TargetMode="External"/><Relationship Id="rId427" Type="http://schemas.openxmlformats.org/officeDocument/2006/relationships/hyperlink" Target="https://equityhealthj.biomedcentral.com/articles/10.1186/s12939-017-0612-0" TargetMode="External"/><Relationship Id="rId448" Type="http://schemas.openxmlformats.org/officeDocument/2006/relationships/hyperlink" Target="https://www.alrc.gov.au/wp-content/uploads/2019/08/summary_report_133_amended.pdf" TargetMode="External"/><Relationship Id="rId469" Type="http://schemas.openxmlformats.org/officeDocument/2006/relationships/hyperlink" Target="https://www.ourwatch.org.au/change-the-story/" TargetMode="External"/><Relationship Id="rId26" Type="http://schemas.openxmlformats.org/officeDocument/2006/relationships/hyperlink" Target="https://www.whiteribbon.org.au" TargetMode="External"/><Relationship Id="rId231" Type="http://schemas.openxmlformats.org/officeDocument/2006/relationships/hyperlink" Target="https://www.abs.gov.au/AUSSTATS/abs@.nsf/allprimarymainfeatures/017E326331F0C315CA2581D1000C2EA8?opendocument" TargetMode="External"/><Relationship Id="rId252" Type="http://schemas.openxmlformats.org/officeDocument/2006/relationships/hyperlink" Target="https://www.apa.org/pi/women/programs/girls/report-full.pdf" TargetMode="External"/><Relationship Id="rId273" Type="http://schemas.openxmlformats.org/officeDocument/2006/relationships/hyperlink" Target="https://www.wgea.gov.au/data/wgea-research/australias-gender-equality-scorecard/2018-19-gender-equality-scorecard" TargetMode="External"/><Relationship Id="rId294" Type="http://schemas.openxmlformats.org/officeDocument/2006/relationships/hyperlink" Target="https://www.abs.gov.au/ausstats/abs@.nsf/Lookup/by%20Subject/2071.0~2016~Main%20Features~In%20this%20Issue~1" TargetMode="External"/><Relationship Id="rId308" Type="http://schemas.openxmlformats.org/officeDocument/2006/relationships/hyperlink" Target="https://jss.org.au/wp-content/uploads/2018/10/The-Man-Box-A-study-on-being-a-young-man-in-Australia.pdf" TargetMode="External"/><Relationship Id="rId329" Type="http://schemas.openxmlformats.org/officeDocument/2006/relationships/hyperlink" Target="https://data.wgea.gov.au/" TargetMode="External"/><Relationship Id="rId480" Type="http://schemas.openxmlformats.org/officeDocument/2006/relationships/hyperlink" Target="https://d2rn9gno7zhxqg.cloudfront.net/wp-content/uploads/2019/02/22014733/NCAS-report-20181.pdf" TargetMode="External"/><Relationship Id="rId515" Type="http://schemas.openxmlformats.org/officeDocument/2006/relationships/hyperlink" Target="https://beta.washingtonpost.com/business/2019/05/17/metoo-backlash-more-male-managers-avoid-mentoring-women-or-meeting-alone-with-them/?noredirect=on" TargetMode="External"/><Relationship Id="rId536" Type="http://schemas.openxmlformats.org/officeDocument/2006/relationships/hyperlink" Target="https://apo.org.au/node/95046" TargetMode="External"/><Relationship Id="rId47" Type="http://schemas.openxmlformats.org/officeDocument/2006/relationships/hyperlink" Target="https://data.wgea.gov.au/home" TargetMode="External"/><Relationship Id="rId68" Type="http://schemas.openxmlformats.org/officeDocument/2006/relationships/hyperlink" Target="https://www.ourwatch.org.au/change-the-story/" TargetMode="External"/><Relationship Id="rId89" Type="http://schemas.openxmlformats.org/officeDocument/2006/relationships/hyperlink" Target="https://www.justice.vic.gov.au/sites/default/files/embridge_cache/emshare/original/public/2020/06/ff/f4f360208/eoguide.pdf" TargetMode="External"/><Relationship Id="rId112" Type="http://schemas.openxmlformats.org/officeDocument/2006/relationships/hyperlink" Target="https://www.ourwatch.org.au/change-the-story/" TargetMode="External"/><Relationship Id="rId133" Type="http://schemas.openxmlformats.org/officeDocument/2006/relationships/hyperlink" Target="https://www.ourwatch.org.au/change-the-story/" TargetMode="External"/><Relationship Id="rId154" Type="http://schemas.openxmlformats.org/officeDocument/2006/relationships/hyperlink" Target="https://svri.org/sites/default/files/attachments/2016-01-12/measures.pdf" TargetMode="External"/><Relationship Id="rId175" Type="http://schemas.openxmlformats.org/officeDocument/2006/relationships/hyperlink" Target="https://plan4womenssafety.dss.gov.au/implementation-plan/" TargetMode="External"/><Relationship Id="rId340" Type="http://schemas.openxmlformats.org/officeDocument/2006/relationships/hyperlink" Target="https://www.wgea.gov.au/sites/default/files/documents/gender-pay-gap-statistic_0_1.pdf" TargetMode="External"/><Relationship Id="rId361" Type="http://schemas.openxmlformats.org/officeDocument/2006/relationships/hyperlink" Target="http://www.oecdbetterlifeindex.org/topics/safety/" TargetMode="External"/><Relationship Id="rId557" Type="http://schemas.openxmlformats.org/officeDocument/2006/relationships/hyperlink" Target="https://www.aph.gov.au/Parliamentary_Business/Committees/Senate/Finance_and_Public_Administration/Domestic_Violence/Report" TargetMode="External"/><Relationship Id="rId196" Type="http://schemas.openxmlformats.org/officeDocument/2006/relationships/hyperlink" Target="https://www.dss.gov.au/sites/default/files/documents/08_2019/fourth_action-plan.pdf" TargetMode="External"/><Relationship Id="rId200" Type="http://schemas.openxmlformats.org/officeDocument/2006/relationships/hyperlink" Target="https://www.humanconsultancy.com/assets/understanding-perpetration/understanding-perpetration.html" TargetMode="External"/><Relationship Id="rId382" Type="http://schemas.openxmlformats.org/officeDocument/2006/relationships/hyperlink" Target="https://www.aic.gov.au/publications/ndlerfbulletin/ndlerfbulletin7" TargetMode="External"/><Relationship Id="rId417" Type="http://schemas.openxmlformats.org/officeDocument/2006/relationships/hyperlink" Target="https://d2bb010tdzqaq7.cloudfront.net/wp-content/uploads/sites/2/2019/11/13041501/Change-the-story-framework-foundations-2-appendix-3.pdf" TargetMode="External"/><Relationship Id="rId438" Type="http://schemas.openxmlformats.org/officeDocument/2006/relationships/hyperlink" Target="https://www.humanrights.gov.au/our-work/aboriginal-and-torres-strait-islander-social-justice/publications/close-gap-progress-0" TargetMode="External"/><Relationship Id="rId459" Type="http://schemas.openxmlformats.org/officeDocument/2006/relationships/hyperlink" Target="https://scanlonfoundation.org.au/wp-content/uploads/2018/12/Social-Cohesion-2018-report-26-Nov.pdf" TargetMode="External"/><Relationship Id="rId16" Type="http://schemas.openxmlformats.org/officeDocument/2006/relationships/hyperlink" Target="https://parlinfo.aph.gov.au/parlInfo/search/search.w3p;adv=yes" TargetMode="External"/><Relationship Id="rId221" Type="http://schemas.openxmlformats.org/officeDocument/2006/relationships/hyperlink" Target="https://www.humanrights.gov.au/our-work/sex-discrimination/publications/everyones-business-fourth-national-survey-sexual" TargetMode="External"/><Relationship Id="rId242" Type="http://schemas.openxmlformats.org/officeDocument/2006/relationships/hyperlink" Target="https://www.abs.gov.au/AUSSTATS/abs@.nsf/allprimarymainfeatures/171EFD005C73FD8DCA2583A500791B09?opendocument" TargetMode="External"/><Relationship Id="rId263" Type="http://schemas.openxmlformats.org/officeDocument/2006/relationships/hyperlink" Target="https://d2rn9gno7zhxqg.cloudfront.net/wp-content/uploads/2019/02/22014733/NCAS-report-20181.pdf" TargetMode="External"/><Relationship Id="rId284" Type="http://schemas.openxmlformats.org/officeDocument/2006/relationships/hyperlink" Target="https://www.abs.gov.au/AUSSTATS/abs@.nsf/allprimarymainfeatures/92730165AAFFD1FDCA25804F000F5F19?opendocument" TargetMode="External"/><Relationship Id="rId319" Type="http://schemas.openxmlformats.org/officeDocument/2006/relationships/hyperlink" Target="https://www.wgea.gov.au/about-the-agency" TargetMode="External"/><Relationship Id="rId470" Type="http://schemas.openxmlformats.org/officeDocument/2006/relationships/hyperlink" Target="https://www.abs.gov.au/AUSSTATS/abs@.nsf/Lookup/4906.0Main+Features12012?OpenDocument=" TargetMode="External"/><Relationship Id="rId491" Type="http://schemas.openxmlformats.org/officeDocument/2006/relationships/hyperlink" Target="https://www.aihw.gov.au/getmedia/e551a2bc-9149-4625-83c0-7bf1523c3793/aihw-cws-65.pdf.aspx?inline=true" TargetMode="External"/><Relationship Id="rId505" Type="http://schemas.openxmlformats.org/officeDocument/2006/relationships/hyperlink" Target="https://www.ourwatch.org.au/resource/changing-the-picture/" TargetMode="External"/><Relationship Id="rId526" Type="http://schemas.openxmlformats.org/officeDocument/2006/relationships/hyperlink" Target="https://www.abs.gov.au/AUSSTATS/abs@.nsf/DetailsPage/4524.0Partner%20Violence%20-%20January%202020?OpenDocument" TargetMode="External"/><Relationship Id="rId37" Type="http://schemas.openxmlformats.org/officeDocument/2006/relationships/hyperlink" Target="https://data.wgea.gov.au/home" TargetMode="External"/><Relationship Id="rId58" Type="http://schemas.openxmlformats.org/officeDocument/2006/relationships/hyperlink" Target="https://www.fairwork.gov.au/leave/maternity-and-parental-leave/paid-parental-leave" TargetMode="External"/><Relationship Id="rId79" Type="http://schemas.openxmlformats.org/officeDocument/2006/relationships/hyperlink" Target="https://digitallibrary.un.org/record/1627464?ln=en" TargetMode="External"/><Relationship Id="rId102" Type="http://schemas.openxmlformats.org/officeDocument/2006/relationships/hyperlink" Target="https://law.blogs.latrobe.edu.au/2017/10/02/forgotten-women-nauru/" TargetMode="External"/><Relationship Id="rId123" Type="http://schemas.openxmlformats.org/officeDocument/2006/relationships/hyperlink" Target="https://www.ourwatch.org.au/resource/changing-the-picture/" TargetMode="External"/><Relationship Id="rId144" Type="http://schemas.openxmlformats.org/officeDocument/2006/relationships/hyperlink" Target="https://www.dss.gov.au/sites/default/files/documents/06_2014/evaluation_plan.pdf" TargetMode="External"/><Relationship Id="rId330" Type="http://schemas.openxmlformats.org/officeDocument/2006/relationships/hyperlink" Target="https://www.abs.gov.au/ausstats/abs@.nsf/mf/4125.0" TargetMode="External"/><Relationship Id="rId547" Type="http://schemas.openxmlformats.org/officeDocument/2006/relationships/hyperlink" Target="https://aifs.gov.au/cfca/publications/domestic-and-family-violence-pregnancy-and-early-parenthood" TargetMode="External"/><Relationship Id="rId90" Type="http://schemas.openxmlformats.org/officeDocument/2006/relationships/hyperlink" Target="https://www.legislation.gov.au/Details/C2019C00022" TargetMode="External"/><Relationship Id="rId165" Type="http://schemas.openxmlformats.org/officeDocument/2006/relationships/hyperlink" Target="https://www.ourwatch.org.au/change-the-story/" TargetMode="External"/><Relationship Id="rId186" Type="http://schemas.openxmlformats.org/officeDocument/2006/relationships/hyperlink" Target="https://awhn.org.au/wp-content/uploads/2015/03/172_AWHNHealthandThePrimaryPreventionofViolenceAgainstWomen2014.pdf" TargetMode="External"/><Relationship Id="rId351" Type="http://schemas.openxmlformats.org/officeDocument/2006/relationships/hyperlink" Target="http://www.abs.gov.au/ausstats/abs@.nsf/mf/6361.0" TargetMode="External"/><Relationship Id="rId372" Type="http://schemas.openxmlformats.org/officeDocument/2006/relationships/hyperlink" Target="https://d2rn9gno7zhxqg.cloudfront.net/wp-content/uploads/2019/02/22014733/NCAS-report-20181.pdf" TargetMode="External"/><Relationship Id="rId393" Type="http://schemas.openxmlformats.org/officeDocument/2006/relationships/hyperlink" Target="https://www.latrobe.edu.au/__data/assets/pdf_file/0004/1031899/National-Survey-of-Secondary-Students-and-Sexual-Health-2018.pdf" TargetMode="External"/><Relationship Id="rId407" Type="http://schemas.openxmlformats.org/officeDocument/2006/relationships/hyperlink" Target="https://www.ourwatch.org.au/change-the-story/" TargetMode="External"/><Relationship Id="rId428" Type="http://schemas.openxmlformats.org/officeDocument/2006/relationships/hyperlink" Target="https://equityhealthj.biomedcentral.com/articles/10.1186/s12939-017-0612-0" TargetMode="External"/><Relationship Id="rId449" Type="http://schemas.openxmlformats.org/officeDocument/2006/relationships/hyperlink" Target="https://www.abs.gov.au/AUSSTATS/abs@.nsf/Lookup/4430.0Main+Features12015?OpenDocument=" TargetMode="External"/><Relationship Id="rId211" Type="http://schemas.openxmlformats.org/officeDocument/2006/relationships/hyperlink" Target="https://www.vichealth.vic.gov.au/~/media/ResourceCentre/PublicationsandResources/PVAW/NCAS/NCAS-StakeholderReport_2014.ashx" TargetMode="External"/><Relationship Id="rId232" Type="http://schemas.openxmlformats.org/officeDocument/2006/relationships/hyperlink" Target="https://www.abs.gov.au/AUSSTATS/abs@.nsf/allprimarymainfeatures/017E326331F0C315CA2581D1000C2EA8?opendocument" TargetMode="External"/><Relationship Id="rId253" Type="http://schemas.openxmlformats.org/officeDocument/2006/relationships/hyperlink" Target="https://www.humanconsultancy.com/assets/understanding-perpetration/understanding-perpetration.html" TargetMode="External"/><Relationship Id="rId274" Type="http://schemas.openxmlformats.org/officeDocument/2006/relationships/hyperlink" Target="https://www.wgea.gov.au/sites/default/files/documents/2016-17-gender-equality-scorecard.pdf" TargetMode="External"/><Relationship Id="rId295" Type="http://schemas.openxmlformats.org/officeDocument/2006/relationships/hyperlink" Target="https://www.abs.gov.au/AUSSTATS/abs@.nsf/Lookup/4430.0Main+Features12015?OpenDocument=" TargetMode="External"/><Relationship Id="rId309" Type="http://schemas.openxmlformats.org/officeDocument/2006/relationships/hyperlink" Target="https://d2rn9gno7zhxqg.cloudfront.net/wp-content/uploads/2019/02/22014733/NCAS-report-20181.pdf" TargetMode="External"/><Relationship Id="rId460" Type="http://schemas.openxmlformats.org/officeDocument/2006/relationships/hyperlink" Target="https://scanlonfoundation.org.au/wp-content/uploads/2018/12/Social-Cohesion-2018-report-26-Nov.pdf" TargetMode="External"/><Relationship Id="rId481" Type="http://schemas.openxmlformats.org/officeDocument/2006/relationships/hyperlink" Target="https://d2rn9gno7zhxqg.cloudfront.net/wp-content/uploads/2019/02/22014733/NCAS-report-20181.pdf" TargetMode="External"/><Relationship Id="rId516" Type="http://schemas.openxmlformats.org/officeDocument/2006/relationships/hyperlink" Target="https://www.newsweek.com/metoo-movement-gender-backlash-men-maintain-hierarchies-power-1449740" TargetMode="External"/><Relationship Id="rId27" Type="http://schemas.openxmlformats.org/officeDocument/2006/relationships/hyperlink" Target="https://malechampionsofchange.com" TargetMode="External"/><Relationship Id="rId48" Type="http://schemas.openxmlformats.org/officeDocument/2006/relationships/hyperlink" Target="https://data.wgea.gov.au/home" TargetMode="External"/><Relationship Id="rId69" Type="http://schemas.openxmlformats.org/officeDocument/2006/relationships/hyperlink" Target="https://www.dss.gov.au/women/programs-services/reducing-violence/the-national-plan-to-reduce-violence-against-women-and-their-children-2010-2022" TargetMode="External"/><Relationship Id="rId113" Type="http://schemas.openxmlformats.org/officeDocument/2006/relationships/hyperlink" Target="https://www.ourwatch.org.au/change-the-story/" TargetMode="External"/><Relationship Id="rId134" Type="http://schemas.openxmlformats.org/officeDocument/2006/relationships/hyperlink" Target="https://www.ourwatch.org.au/change-the-story/" TargetMode="External"/><Relationship Id="rId320" Type="http://schemas.openxmlformats.org/officeDocument/2006/relationships/hyperlink" Target="https://www.humanrights.gov.au/sites/default/files/document/publication/Leading%20for%20Change_Blueprint2018_FINAL_Web.pdf" TargetMode="External"/><Relationship Id="rId537" Type="http://schemas.openxmlformats.org/officeDocument/2006/relationships/hyperlink" Target="https://aic.gov.au/publications/sr/sr17" TargetMode="External"/><Relationship Id="rId558" Type="http://schemas.openxmlformats.org/officeDocument/2006/relationships/hyperlink" Target="https://www.aph.gov.au/Parliamentary_Business/Committees/Senate/Finance_and_Public_Administration/Domestic_Violence/Report" TargetMode="External"/><Relationship Id="rId80" Type="http://schemas.openxmlformats.org/officeDocument/2006/relationships/hyperlink" Target="https://lawlex.com.au" TargetMode="External"/><Relationship Id="rId155" Type="http://schemas.openxmlformats.org/officeDocument/2006/relationships/hyperlink" Target="https://www.dfat.gov.au/sites/default/files/gender-equality-in-monitoring-and-evaluation-good-practice-note.pdf" TargetMode="External"/><Relationship Id="rId176" Type="http://schemas.openxmlformats.org/officeDocument/2006/relationships/hyperlink" Target="https://www.actionpvaw.org.au/home" TargetMode="External"/><Relationship Id="rId197" Type="http://schemas.openxmlformats.org/officeDocument/2006/relationships/hyperlink" Target="https://plan4womenssafety.dss.gov.au/implementation-plan/" TargetMode="External"/><Relationship Id="rId341" Type="http://schemas.openxmlformats.org/officeDocument/2006/relationships/hyperlink" Target="https://www.aph.gov.au/DocumentStore.ashx?id=73b1524f-fa47-458c-a447-99c1a42c8c9b&amp;subId=406297" TargetMode="External"/><Relationship Id="rId362" Type="http://schemas.openxmlformats.org/officeDocument/2006/relationships/hyperlink" Target="https://www.monash.edu/__data/assets/pdf_file/0005/1572746/free_to_be_sydney_city_report.pdf" TargetMode="External"/><Relationship Id="rId383" Type="http://schemas.openxmlformats.org/officeDocument/2006/relationships/hyperlink" Target="https://apo.org.au/node/174811" TargetMode="External"/><Relationship Id="rId418" Type="http://schemas.openxmlformats.org/officeDocument/2006/relationships/hyperlink" Target="https://www.mcwh.com.au/wp-content/uploads/Intersectionality-Matters-Guide-2017.pdf" TargetMode="External"/><Relationship Id="rId439" Type="http://schemas.openxmlformats.org/officeDocument/2006/relationships/hyperlink" Target="https://www.familymatters.org.au/the-family-matters-report-2019/" TargetMode="External"/><Relationship Id="rId201" Type="http://schemas.openxmlformats.org/officeDocument/2006/relationships/hyperlink" Target="https://www.oecd.org/derec/49872444.pdf" TargetMode="External"/><Relationship Id="rId222" Type="http://schemas.openxmlformats.org/officeDocument/2006/relationships/hyperlink" Target="https://www.humanrights.gov.au/sites/default/files/content/sexualharassment/survey/SHSR_2012%20Web%20Version%20Final.pdf" TargetMode="External"/><Relationship Id="rId243" Type="http://schemas.openxmlformats.org/officeDocument/2006/relationships/hyperlink" Target="https://www.abs.gov.au/AUSSTATS/abs@.nsf/allprimarymainfeatures/2177E759F2FCB655CA2583A50078F141?opendocument" TargetMode="External"/><Relationship Id="rId264" Type="http://schemas.openxmlformats.org/officeDocument/2006/relationships/hyperlink" Target="https://d2rn9gno7zhxqg.cloudfront.net/wp-content/uploads/2019/02/22014733/NCAS-report-20181.pdf" TargetMode="External"/><Relationship Id="rId285" Type="http://schemas.openxmlformats.org/officeDocument/2006/relationships/hyperlink" Target="https://www.abs.gov.au/AUSSTATS/abs@.nsf/allprimarymainfeatures/E36A0C8CC46057B9CA257C21000D8846?opendocument" TargetMode="External"/><Relationship Id="rId450" Type="http://schemas.openxmlformats.org/officeDocument/2006/relationships/hyperlink" Target="https://www.dss.gov.au/about-the-department/publications-articles/research-publications/longitudinal-data-initiatives/footprints-in-time-the-longitudinal-study-of-indigenous-children-lsic" TargetMode="External"/><Relationship Id="rId471" Type="http://schemas.openxmlformats.org/officeDocument/2006/relationships/hyperlink" Target="https://aic.gov.au/publications/rpp/rpp56" TargetMode="External"/><Relationship Id="rId506" Type="http://schemas.openxmlformats.org/officeDocument/2006/relationships/hyperlink" Target="http://fare.org.au/wp-content/uploads/FARE-Annual-Alcohol-Poll-2018-web.pdf" TargetMode="External"/><Relationship Id="rId17" Type="http://schemas.openxmlformats.org/officeDocument/2006/relationships/hyperlink" Target="https://parlinfo.aph.gov.au/parlInfo/search/search.w3p;adv=yes" TargetMode="External"/><Relationship Id="rId38" Type="http://schemas.openxmlformats.org/officeDocument/2006/relationships/hyperlink" Target="https://www.forgov.qld.gov.au/support-employees-affected-domestic-and-family-violence" TargetMode="External"/><Relationship Id="rId59" Type="http://schemas.openxmlformats.org/officeDocument/2006/relationships/hyperlink" Target="https://www.wgea.gov.au/topics/gender-equality-and-men/gender-equitable-parental-leave" TargetMode="External"/><Relationship Id="rId103" Type="http://schemas.openxmlformats.org/officeDocument/2006/relationships/hyperlink" Target="http://www.powertopersuade.org.au/blog/refugee-women-on-nauru-the-gendered-effects-of-australias-asylum-seeker-detention-policies/26/10/2017" TargetMode="External"/><Relationship Id="rId124" Type="http://schemas.openxmlformats.org/officeDocument/2006/relationships/hyperlink" Target="https://plan4womenssafety.dss.gov.au/initiatives/anrows" TargetMode="External"/><Relationship Id="rId310" Type="http://schemas.openxmlformats.org/officeDocument/2006/relationships/hyperlink" Target="https://d2rn9gno7zhxqg.cloudfront.net/wp-content/uploads/2019/02/22014733/NCAS-report-20181.pdf" TargetMode="External"/><Relationship Id="rId492" Type="http://schemas.openxmlformats.org/officeDocument/2006/relationships/hyperlink" Target="https://www.aihw.gov.au/getmedia/e551a2bc-9149-4625-83c0-7bf1523c3793/aihw-cws-65.pdf.aspx?inline=true" TargetMode="External"/><Relationship Id="rId527" Type="http://schemas.openxmlformats.org/officeDocument/2006/relationships/hyperlink" Target="https://www.abs.gov.au/AUSSTATS/abs@.nsf/DetailsPage/4524.0Partner%20Violence%20-%20January%202020?OpenDocument" TargetMode="External"/><Relationship Id="rId548" Type="http://schemas.openxmlformats.org/officeDocument/2006/relationships/hyperlink" Target="https://www.anrows.org.au/publication/violence-against-women-in-australia-additional-analysis-of-the-australian-bureau-of-statistics-personal-safety-survey-2012/" TargetMode="External"/><Relationship Id="rId70" Type="http://schemas.openxmlformats.org/officeDocument/2006/relationships/hyperlink" Target="https://www.ourwatch.org.au/change-the-story/" TargetMode="External"/><Relationship Id="rId91" Type="http://schemas.openxmlformats.org/officeDocument/2006/relationships/hyperlink" Target="http://press-files.anu.edu.au/downloads/press/n3959/html/ch03.xhtml?referer=&amp;page=12" TargetMode="External"/><Relationship Id="rId145" Type="http://schemas.openxmlformats.org/officeDocument/2006/relationships/hyperlink" Target="https://www.dss.gov.au/sites/default/files/documents/06_2014/evaluation_plan.pdf" TargetMode="External"/><Relationship Id="rId166" Type="http://schemas.openxmlformats.org/officeDocument/2006/relationships/hyperlink" Target="https://www.ourwatch.org.au/resource/changing-the-picture/" TargetMode="External"/><Relationship Id="rId187" Type="http://schemas.openxmlformats.org/officeDocument/2006/relationships/hyperlink" Target="https://aifs.gov.au/publications/archived/3763" TargetMode="External"/><Relationship Id="rId331" Type="http://schemas.openxmlformats.org/officeDocument/2006/relationships/hyperlink" Target="https://www.abs.gov.au/ausstats/abs@.nsf/mf/4125.0" TargetMode="External"/><Relationship Id="rId352" Type="http://schemas.openxmlformats.org/officeDocument/2006/relationships/hyperlink" Target="http://www.industrysuperaustralia.com/assets/Reports/160423-Missing-The-Mark.pdf" TargetMode="External"/><Relationship Id="rId373" Type="http://schemas.openxmlformats.org/officeDocument/2006/relationships/hyperlink" Target="https://d2rn9gno7zhxqg.cloudfront.net/wp-content/uploads/2019/02/22014733/NCAS-report-20181.pdf" TargetMode="External"/><Relationship Id="rId394" Type="http://schemas.openxmlformats.org/officeDocument/2006/relationships/hyperlink" Target="https://d2rn9gno7zhxqg.cloudfront.net/wp-content/uploads/2019/02/22014733/NCAS-report-20181.pdf" TargetMode="External"/><Relationship Id="rId408" Type="http://schemas.openxmlformats.org/officeDocument/2006/relationships/hyperlink" Target="https://www.ourwatch.org.au/resource/men-in-focus-unpacking-masculinities-and-engaging-men-in-the-prevention-of-violence-against-women/" TargetMode="External"/><Relationship Id="rId429" Type="http://schemas.openxmlformats.org/officeDocument/2006/relationships/hyperlink" Target="https://www.abs.gov.au/AUSSTATS/abs@.nsf/Lookup/4430.0Main+Features12015?OpenDocument=" TargetMode="External"/><Relationship Id="rId1" Type="http://schemas.openxmlformats.org/officeDocument/2006/relationships/hyperlink" Target="https://www.ourwatch.org.au/change-the-story/" TargetMode="External"/><Relationship Id="rId212" Type="http://schemas.openxmlformats.org/officeDocument/2006/relationships/hyperlink" Target="https://d2rn9gno7zhxqg.cloudfront.net/wp-content/uploads/2019/02/22014733/NCAS-report-20181.pdf" TargetMode="External"/><Relationship Id="rId233" Type="http://schemas.openxmlformats.org/officeDocument/2006/relationships/hyperlink" Target="https://www.abs.gov.au/AUSSTATS/abs@.nsf/allprimarymainfeatures/017E326331F0C315CA2581D1000C2EA8?opendocument" TargetMode="External"/><Relationship Id="rId254" Type="http://schemas.openxmlformats.org/officeDocument/2006/relationships/hyperlink" Target="https://www.anrows.org.au/publication/existing-knowledge-practice-and-responses-to-violence-against-women-in-australian-indigenous-communities-state-of-knowledge-paper/" TargetMode="External"/><Relationship Id="rId440" Type="http://schemas.openxmlformats.org/officeDocument/2006/relationships/hyperlink" Target="https://equityhealthj.biomedcentral.com/articles/10.1186/s12939-017-0612-0" TargetMode="External"/><Relationship Id="rId28" Type="http://schemas.openxmlformats.org/officeDocument/2006/relationships/hyperlink" Target="https://www.sciencegenderequity.org.au/the-athena-swan-accreditation-framework" TargetMode="External"/><Relationship Id="rId49" Type="http://schemas.openxmlformats.org/officeDocument/2006/relationships/hyperlink" Target="https://www.tic.tas.gov.au/__data/assets/pdf_file/0004/566716/T14740-No-1-of-2020-Tasmanian-State-Service-Award-S085.pdf" TargetMode="External"/><Relationship Id="rId114" Type="http://schemas.openxmlformats.org/officeDocument/2006/relationships/hyperlink" Target="https://www.dss.gov.au/women/programs-services/reducing-violence/the-national-plan-to-reduce-violence-against-women-and-their-children-2010-2022" TargetMode="External"/><Relationship Id="rId275" Type="http://schemas.openxmlformats.org/officeDocument/2006/relationships/hyperlink" Target="https://www.wgea.gov.au/data/wgea-research/australias-gender-equality-scorecard/2018-19-gender-equality-scorecard" TargetMode="External"/><Relationship Id="rId296" Type="http://schemas.openxmlformats.org/officeDocument/2006/relationships/hyperlink" Target="https://www.abs.gov.au/AUSSTATS/abs@.nsf/allprimarymainfeatures/C258C88A7AA5A87ECA2568A9001393E8?opendocument" TargetMode="External"/><Relationship Id="rId300" Type="http://schemas.openxmlformats.org/officeDocument/2006/relationships/hyperlink" Target="https://thestellaprize.com.au/the-count/2018-stella-count/" TargetMode="External"/><Relationship Id="rId461" Type="http://schemas.openxmlformats.org/officeDocument/2006/relationships/hyperlink" Target="https://scanlonfoundation.org.au/wp-content/uploads/2018/12/Social-Cohesion-2018-report-26-Nov.pdf" TargetMode="External"/><Relationship Id="rId482" Type="http://schemas.openxmlformats.org/officeDocument/2006/relationships/hyperlink" Target="https://d2rn9gno7zhxqg.cloudfront.net/wp-content/uploads/2019/02/22014733/NCAS-report-20181.pdf" TargetMode="External"/><Relationship Id="rId517" Type="http://schemas.openxmlformats.org/officeDocument/2006/relationships/hyperlink" Target="https://home.kpmg/content/dam/kpmg/au/pdf/2019/gender-pay-gap-economics-full-report-2019.pdf" TargetMode="External"/><Relationship Id="rId538" Type="http://schemas.openxmlformats.org/officeDocument/2006/relationships/hyperlink" Target="https://apo.org.au/node/95046" TargetMode="External"/><Relationship Id="rId559" Type="http://schemas.openxmlformats.org/officeDocument/2006/relationships/hyperlink" Target="https://plan4womenssafety.dss.gov.au/the-national-plan/third-action-plan/" TargetMode="External"/><Relationship Id="rId60" Type="http://schemas.openxmlformats.org/officeDocument/2006/relationships/hyperlink" Target="http://www.oecd.org/els/family/database.htm" TargetMode="External"/><Relationship Id="rId81" Type="http://schemas.openxmlformats.org/officeDocument/2006/relationships/hyperlink" Target="https://www.ourwatch.org.au/resource/men-in-focus-unpacking-masculinities-and-engaging-men-in-the-prevention-of-violence-against-women/" TargetMode="External"/><Relationship Id="rId135" Type="http://schemas.openxmlformats.org/officeDocument/2006/relationships/hyperlink" Target="https://www.dss.gov.au/women/programs-services/reducing-violence/the-national-plan-to-reduce-violence-against-women-and-their-children-2010-2022" TargetMode="External"/><Relationship Id="rId156" Type="http://schemas.openxmlformats.org/officeDocument/2006/relationships/hyperlink" Target="https://www.anrows.org.au/publication/evaluating-interventions-related-to-violence-against-women/" TargetMode="External"/><Relationship Id="rId177" Type="http://schemas.openxmlformats.org/officeDocument/2006/relationships/hyperlink" Target="https://www.actionpvaw.org.au/home" TargetMode="External"/><Relationship Id="rId198" Type="http://schemas.openxmlformats.org/officeDocument/2006/relationships/hyperlink" Target="http://www.anao.gov.au/work/performance-audit/coordination-and-targeting-domestic-violence-funding-and-actions" TargetMode="External"/><Relationship Id="rId321" Type="http://schemas.openxmlformats.org/officeDocument/2006/relationships/hyperlink" Target="https://www.theguardian.com/commentisfree/2019/sep/11/the-treasurer-claimed-the-gender-pay-gap-has-closed-job-done-except-for-the-facts?CMP=share_btn_tw" TargetMode="External"/><Relationship Id="rId342" Type="http://schemas.openxmlformats.org/officeDocument/2006/relationships/hyperlink" Target="https://www.wgea.gov.au/sites/default/files/documents/gender-pay-gap-statistic_0_1.pdf" TargetMode="External"/><Relationship Id="rId363" Type="http://schemas.openxmlformats.org/officeDocument/2006/relationships/hyperlink" Target="http://www.oecdbetterlifeindex.org/topics/safety/" TargetMode="External"/><Relationship Id="rId384" Type="http://schemas.openxmlformats.org/officeDocument/2006/relationships/hyperlink" Target="https://www.aihw.gov.au/reports/domestic-violence/family-domestic-sexual-violence-australia-2019/contents/table-of-contents" TargetMode="External"/><Relationship Id="rId419" Type="http://schemas.openxmlformats.org/officeDocument/2006/relationships/hyperlink" Target="https://www.humanrights.gov.au/sites/default/files/document/publication/AgePrevalenceReport2015.pdf" TargetMode="External"/><Relationship Id="rId202" Type="http://schemas.openxmlformats.org/officeDocument/2006/relationships/hyperlink" Target="https://www.ourwatch.org.au/change-the-story/" TargetMode="External"/><Relationship Id="rId223" Type="http://schemas.openxmlformats.org/officeDocument/2006/relationships/hyperlink" Target="https://d2rn9gno7zhxqg.cloudfront.net/wp-content/uploads/2019/02/22014733/NCAS-report-20181.pdf" TargetMode="External"/><Relationship Id="rId244" Type="http://schemas.openxmlformats.org/officeDocument/2006/relationships/hyperlink" Target="https://www.anrows.org.au/publication/existing-knowledge-practice-and-responses-to-violence-against-women-in-australian-indigenous-communities-state-of-knowledge-paper/" TargetMode="External"/><Relationship Id="rId430" Type="http://schemas.openxmlformats.org/officeDocument/2006/relationships/hyperlink" Target="https://www.familymatters.org.au/the-family-matters-report-2019/" TargetMode="External"/><Relationship Id="rId18" Type="http://schemas.openxmlformats.org/officeDocument/2006/relationships/hyperlink" Target="https://parlinfo.aph.gov.au/parlInfo/search/search.w3p;adv=yes" TargetMode="External"/><Relationship Id="rId39" Type="http://schemas.openxmlformats.org/officeDocument/2006/relationships/hyperlink" Target="http://awardviewer.fwo.gov.au/award/show/MA000124" TargetMode="External"/><Relationship Id="rId265" Type="http://schemas.openxmlformats.org/officeDocument/2006/relationships/hyperlink" Target="https://melbourneinstitute.unimelb.edu.au/__data/assets/pdf_file/0005/2839919/2018-HILDA-SR-for-web.pdf" TargetMode="External"/><Relationship Id="rId286" Type="http://schemas.openxmlformats.org/officeDocument/2006/relationships/hyperlink" Target="https://www.abs.gov.au/ausstats/abs@.nsf/Lookup/by%20Subject/4125.0~Sep%202018~Main%20Features~Economic%20Security~4" TargetMode="External"/><Relationship Id="rId451" Type="http://schemas.openxmlformats.org/officeDocument/2006/relationships/hyperlink" Target="https://equityhealthj.biomedcentral.com/articles/10.1186/s12939-017-0612-0" TargetMode="External"/><Relationship Id="rId472" Type="http://schemas.openxmlformats.org/officeDocument/2006/relationships/hyperlink" Target="https://d2rn9gno7zhxqg.cloudfront.net/wp-content/uploads/2019/02/22014733/NCAS-report-20181.pdf" TargetMode="External"/><Relationship Id="rId493" Type="http://schemas.openxmlformats.org/officeDocument/2006/relationships/hyperlink" Target="https://apo.org.au/node/95046" TargetMode="External"/><Relationship Id="rId507" Type="http://schemas.openxmlformats.org/officeDocument/2006/relationships/hyperlink" Target="http://fare.org.au/wp-content/uploads/FARE-Annual-Alcohol-Poll-2018-web.pdf" TargetMode="External"/><Relationship Id="rId528" Type="http://schemas.openxmlformats.org/officeDocument/2006/relationships/hyperlink" Target="https://www.abs.gov.au/AUSSTATS/abs@.nsf/DetailsPage/4524.0Partner%20Violence%20-%20January%202020?OpenDocument" TargetMode="External"/><Relationship Id="rId549" Type="http://schemas.openxmlformats.org/officeDocument/2006/relationships/hyperlink" Target="https://www.abs.gov.au/AUSSTATS/abs@.nsf/allprimarymainfeatures/017E326331F0C315CA2581D1000C2EA8?opendocument" TargetMode="External"/><Relationship Id="rId50" Type="http://schemas.openxmlformats.org/officeDocument/2006/relationships/hyperlink" Target="https://publicsector.sa.gov.au/wp-content/uploads/20171120-Determination-3.1-Employment-Conditions-Hours-of-Work-Overtime-and-Leave.pdf" TargetMode="External"/><Relationship Id="rId104" Type="http://schemas.openxmlformats.org/officeDocument/2006/relationships/hyperlink" Target="https://ccyp.vic.gov.au/assets/Publications-inquiries/CCYP-In-Our-Own-Words.pdf" TargetMode="External"/><Relationship Id="rId125" Type="http://schemas.openxmlformats.org/officeDocument/2006/relationships/hyperlink" Target="https://www.nationalfvpls.org/What-We-Do.php" TargetMode="External"/><Relationship Id="rId146" Type="http://schemas.openxmlformats.org/officeDocument/2006/relationships/hyperlink" Target="https://www.pc.gov.au/inquiries/current/indigenous-evaluation" TargetMode="External"/><Relationship Id="rId167" Type="http://schemas.openxmlformats.org/officeDocument/2006/relationships/hyperlink" Target="https://www.mcwh.com.au/wp-content/uploads/Intersectionality-Matters-Guide-2017.pdf" TargetMode="External"/><Relationship Id="rId188" Type="http://schemas.openxmlformats.org/officeDocument/2006/relationships/hyperlink" Target="https://www.researchgate.net/publication/285143693_Webster_Kim_and_Michael_Flood_2015_Framework_foundations_1_A_review_of_the_evidence_on_correlates_of_violence_against_women_and_what_works_to_prevent_it_Companion_document_to_Our_Watch_Australia's_Nat" TargetMode="External"/><Relationship Id="rId311" Type="http://schemas.openxmlformats.org/officeDocument/2006/relationships/hyperlink" Target="https://ncas.anrows.org.au/wp-content/uploads/2019/05/2017-NCAS-ATSI-Sub-Report.pdf" TargetMode="External"/><Relationship Id="rId332" Type="http://schemas.openxmlformats.org/officeDocument/2006/relationships/hyperlink" Target="https://humanrights.gov.au/our-work/sex-discrimination/publications/everyones-business-fourth-national-survey-sexual" TargetMode="External"/><Relationship Id="rId353" Type="http://schemas.openxmlformats.org/officeDocument/2006/relationships/hyperlink" Target="http://www.abs.gov.au/ausstats/abs@.nsf/mf/6361.0" TargetMode="External"/><Relationship Id="rId374" Type="http://schemas.openxmlformats.org/officeDocument/2006/relationships/hyperlink" Target="https://www.vichealth.vic.gov.au/media-and-resources/publications/preventing-violence-before-it-occurs" TargetMode="External"/><Relationship Id="rId395" Type="http://schemas.openxmlformats.org/officeDocument/2006/relationships/hyperlink" Target="https://d2rn9gno7zhxqg.cloudfront.net/wp-content/uploads/2019/02/22014733/NCAS-report-20181.pdf" TargetMode="External"/><Relationship Id="rId409" Type="http://schemas.openxmlformats.org/officeDocument/2006/relationships/hyperlink" Target="https://www.ourwatch.org.au/resource/change-the-story-three-years-on/" TargetMode="External"/><Relationship Id="rId560" Type="http://schemas.openxmlformats.org/officeDocument/2006/relationships/hyperlink" Target="https://www.dss.gov.au/sites/default/files/documents/08_2019/fourth_action-plan.pdf" TargetMode="External"/><Relationship Id="rId71" Type="http://schemas.openxmlformats.org/officeDocument/2006/relationships/hyperlink" Target="https://www.ourwatch.org.au/change-the-story/" TargetMode="External"/><Relationship Id="rId92" Type="http://schemas.openxmlformats.org/officeDocument/2006/relationships/hyperlink" Target="http://static1.squarespace.com/static/580025f66b8f5b2dabbe4291/t/5c9d9998ef067500012a2211/1553832345975/NATSILS_HRLC+submission_CDC+Expansion+Bill+2019.pdf" TargetMode="External"/><Relationship Id="rId213" Type="http://schemas.openxmlformats.org/officeDocument/2006/relationships/hyperlink" Target="https://d2rn9gno7zhxqg.cloudfront.net/wp-content/uploads/2019/02/22014733/NCAS-report-20181.pdf" TargetMode="External"/><Relationship Id="rId234" Type="http://schemas.openxmlformats.org/officeDocument/2006/relationships/hyperlink" Target="https://www.abs.gov.au/AUSSTATS/abs@.nsf/allprimarymainfeatures/017E326331F0C315CA2581D1000C2EA8?opendocument" TargetMode="External"/><Relationship Id="rId420" Type="http://schemas.openxmlformats.org/officeDocument/2006/relationships/hyperlink" Target="https://socialequity.unimelb.edu.au/__data/assets/pdf_file/0011/2777924/Elder-Abuse-A-Scoping-Study.pdf" TargetMode="External"/><Relationship Id="rId2" Type="http://schemas.openxmlformats.org/officeDocument/2006/relationships/hyperlink" Target="https://www.ourwatch.org.au/resource/counting-on-change-a-guide-to-prevention-monitoring/" TargetMode="External"/><Relationship Id="rId29" Type="http://schemas.openxmlformats.org/officeDocument/2006/relationships/hyperlink" Target="https://www.rainbowhealthvic.org.au/rainbow-tick" TargetMode="External"/><Relationship Id="rId255" Type="http://schemas.openxmlformats.org/officeDocument/2006/relationships/hyperlink" Target="https://healingfoundation.org.au/app/uploads/2017/04/Strong-Men-Strong-Communities-Report-2017.pdf" TargetMode="External"/><Relationship Id="rId276" Type="http://schemas.openxmlformats.org/officeDocument/2006/relationships/hyperlink" Target="https://www.wgea.gov.au/sites/default/files/20160801_Industry_occupational_segregation_factsheet.pdf" TargetMode="External"/><Relationship Id="rId297" Type="http://schemas.openxmlformats.org/officeDocument/2006/relationships/hyperlink" Target="https://www.abs.gov.au/AUSSTATS/abs@.nsf/allprimarymainfeatures/E36A0C8CC46057B9CA257C21000D8846?opendocument" TargetMode="External"/><Relationship Id="rId441" Type="http://schemas.openxmlformats.org/officeDocument/2006/relationships/hyperlink" Target="https://www.maiamnayriwingara.org/projects-1" TargetMode="External"/><Relationship Id="rId462" Type="http://schemas.openxmlformats.org/officeDocument/2006/relationships/hyperlink" Target="https://scanlonfoundation.org.au/wp-content/uploads/2018/12/Social-Cohesion-2018-report-26-Nov.pdf" TargetMode="External"/><Relationship Id="rId483" Type="http://schemas.openxmlformats.org/officeDocument/2006/relationships/hyperlink" Target="https://www.humanconsultancy.com/assets/understanding-perpetration/understanding-perpetration.html" TargetMode="External"/><Relationship Id="rId518" Type="http://schemas.openxmlformats.org/officeDocument/2006/relationships/hyperlink" Target="https://eprints.qut.edu.au/119246/1/Resistance%2Band%2BBacklash%2Bto%2BGender%2BEquality%2BEvidence%2BReview%2B2018.pdf" TargetMode="External"/><Relationship Id="rId539" Type="http://schemas.openxmlformats.org/officeDocument/2006/relationships/hyperlink" Target="https://apo.org.au/node/174811" TargetMode="External"/><Relationship Id="rId40" Type="http://schemas.openxmlformats.org/officeDocument/2006/relationships/hyperlink" Target="https://www1.health.nsw.gov.au/pds/ActivePDSDocuments/IB2019_003.pdf" TargetMode="External"/><Relationship Id="rId115" Type="http://schemas.openxmlformats.org/officeDocument/2006/relationships/hyperlink" Target="https://www.ourwatch.org.au/change-the-story/" TargetMode="External"/><Relationship Id="rId136" Type="http://schemas.openxmlformats.org/officeDocument/2006/relationships/hyperlink" Target="https://www.dss.gov.au/women/programs-services/reducing-violence/the-national-plan-to-reduce-violence-against-women-and-their-children-2010-2022" TargetMode="External"/><Relationship Id="rId157" Type="http://schemas.openxmlformats.org/officeDocument/2006/relationships/hyperlink" Target="https://www.genvic.org.au/wp-content/uploads/2019/07/GENVIC_Evaluation_Fact_Sheet_A4_FINAL_WEB.pdf" TargetMode="External"/><Relationship Id="rId178" Type="http://schemas.openxmlformats.org/officeDocument/2006/relationships/hyperlink" Target="https://www.dss.gov.au/women/programs-services/reducing-violence/the-national-plan-to-reduce-violence-against-women-and-their-children-2010-2022" TargetMode="External"/><Relationship Id="rId301" Type="http://schemas.openxmlformats.org/officeDocument/2006/relationships/hyperlink" Target="http://www.textjournal.com.au/speciss/issue53/Konyu.pdf" TargetMode="External"/><Relationship Id="rId322" Type="http://schemas.openxmlformats.org/officeDocument/2006/relationships/hyperlink" Target="http://www.abs.gov.au/ausstats/abs@.nsf/mf/6361.0" TargetMode="External"/><Relationship Id="rId343" Type="http://schemas.openxmlformats.org/officeDocument/2006/relationships/hyperlink" Target="https://www.wgea.gov.au/sites/default/files/documents/Gender_pay_gap_fact_sheet_august_2019.pdf" TargetMode="External"/><Relationship Id="rId364" Type="http://schemas.openxmlformats.org/officeDocument/2006/relationships/hyperlink" Target="https://www.communitycouncil.com.au/sites/default/files/Australia-we-want-Second-Report_ONLINE.pdf" TargetMode="External"/><Relationship Id="rId550" Type="http://schemas.openxmlformats.org/officeDocument/2006/relationships/hyperlink" Target="https://plan4womenssafety.dss.gov.au/2017-18-annual-progress-report/" TargetMode="External"/><Relationship Id="rId61" Type="http://schemas.openxmlformats.org/officeDocument/2006/relationships/hyperlink" Target="https://www.abc.net.au/news/2019-07-17/fact-check-australia-paid-parental-leave/11270456" TargetMode="External"/><Relationship Id="rId82" Type="http://schemas.openxmlformats.org/officeDocument/2006/relationships/hyperlink" Target="https://www.legislation.gov.au/Details/C2016C00895" TargetMode="External"/><Relationship Id="rId199" Type="http://schemas.openxmlformats.org/officeDocument/2006/relationships/hyperlink" Target="https://plan4womenssafety.dss.gov.au/implementation-plan/initiatives/" TargetMode="External"/><Relationship Id="rId203" Type="http://schemas.openxmlformats.org/officeDocument/2006/relationships/hyperlink" Target="https://www.ourwatch.org.au/resource/changing-the-picture/" TargetMode="External"/><Relationship Id="rId385" Type="http://schemas.openxmlformats.org/officeDocument/2006/relationships/hyperlink" Target="https://www.undp.org/content/dam/rbap/docs/Research%20&amp;%20Publications/womens_empowerment/RBAP-Gender-2013-P4P-VAW-Report.pdf" TargetMode="External"/><Relationship Id="rId19" Type="http://schemas.openxmlformats.org/officeDocument/2006/relationships/hyperlink" Target="https://parlinfo.aph.gov.au/parlInfo/search/search.w3p;adv=yes" TargetMode="External"/><Relationship Id="rId224" Type="http://schemas.openxmlformats.org/officeDocument/2006/relationships/hyperlink" Target="https://d2rn9gno7zhxqg.cloudfront.net/wp-content/uploads/2019/02/22014733/NCAS-report-20181.pdf" TargetMode="External"/><Relationship Id="rId245" Type="http://schemas.openxmlformats.org/officeDocument/2006/relationships/hyperlink" Target="https://eprints.qut.edu.au/103401/1/__qut.edu.au_Documents_StaffHome_StaffGroupR%24_rogersjm_Desktop_CAS_Paper3_CriticalLiterature.pdf" TargetMode="External"/><Relationship Id="rId266" Type="http://schemas.openxmlformats.org/officeDocument/2006/relationships/hyperlink" Target="https://melbourneinstitute.unimelb.edu.au/__data/assets/pdf_file/0006/2155506/hilda-statreport-2015.pdf" TargetMode="External"/><Relationship Id="rId287" Type="http://schemas.openxmlformats.org/officeDocument/2006/relationships/hyperlink" Target="https://www.abs.gov.au/ausstats/abs@.nsf/Lookup/by%20Subject/2071.0~2016~Main%20Features~In%20this%20Issue~1" TargetMode="External"/><Relationship Id="rId410" Type="http://schemas.openxmlformats.org/officeDocument/2006/relationships/hyperlink" Target="https://www.ourwatch.org.au/resource/changing-the-picture/" TargetMode="External"/><Relationship Id="rId431" Type="http://schemas.openxmlformats.org/officeDocument/2006/relationships/hyperlink" Target="https://www.pc.gov.au/research/ongoing/overcoming-indigenous-disadvantage/2016" TargetMode="External"/><Relationship Id="rId452" Type="http://schemas.openxmlformats.org/officeDocument/2006/relationships/hyperlink" Target="https://equityhealthj.biomedcentral.com/articles/10.1186/s12939-017-0612-0" TargetMode="External"/><Relationship Id="rId473" Type="http://schemas.openxmlformats.org/officeDocument/2006/relationships/hyperlink" Target="https://d2rn9gno7zhxqg.cloudfront.net/wp-content/uploads/2019/02/22014733/NCAS-report-20181.pdf" TargetMode="External"/><Relationship Id="rId494" Type="http://schemas.openxmlformats.org/officeDocument/2006/relationships/hyperlink" Target="https://aic.gov.au/publications/sr/sr17" TargetMode="External"/><Relationship Id="rId508" Type="http://schemas.openxmlformats.org/officeDocument/2006/relationships/hyperlink" Target="http://fare.org.au/wp-content/uploads/FARE-ANNUAL-ALCOHOL-POLL-2016-REPORT-FINAL.pdf" TargetMode="External"/><Relationship Id="rId529" Type="http://schemas.openxmlformats.org/officeDocument/2006/relationships/hyperlink" Target="https://www.abs.gov.au/AUSSTATS/abs@.nsf/DetailsPage/4524.0Partner%20Violence%20-%20January%202020?OpenDocument" TargetMode="External"/><Relationship Id="rId30" Type="http://schemas.openxmlformats.org/officeDocument/2006/relationships/hyperlink" Target="https://www.whiteribbon.org.au/Workplaces-and-Schools" TargetMode="External"/><Relationship Id="rId105" Type="http://schemas.openxmlformats.org/officeDocument/2006/relationships/hyperlink" Target="https://www.ourwatch.org.au/change-the-story/" TargetMode="External"/><Relationship Id="rId126" Type="http://schemas.openxmlformats.org/officeDocument/2006/relationships/hyperlink" Target="https://www.actionpvaw.org.au/home" TargetMode="External"/><Relationship Id="rId147" Type="http://schemas.openxmlformats.org/officeDocument/2006/relationships/hyperlink" Target="https://www.vic.gov.au/free-violence-victorias-strategy-prevent-family-violence" TargetMode="External"/><Relationship Id="rId168" Type="http://schemas.openxmlformats.org/officeDocument/2006/relationships/hyperlink" Target="https://www.anrows.org.au/publication/prevention-of-violence-against-women-and-safer-pathways-to-service/" TargetMode="External"/><Relationship Id="rId312" Type="http://schemas.openxmlformats.org/officeDocument/2006/relationships/hyperlink" Target="https://www.ourwatch.org.au/resource/men-in-focus-unpacking-masculinities-and-engaging-men-in-the-prevention-of-violence-against-women/" TargetMode="External"/><Relationship Id="rId333" Type="http://schemas.openxmlformats.org/officeDocument/2006/relationships/hyperlink" Target="https://humanrights.gov.au/our-work/sex-discrimination/publications/everyones-business-fourth-national-survey-sexual" TargetMode="External"/><Relationship Id="rId354" Type="http://schemas.openxmlformats.org/officeDocument/2006/relationships/hyperlink" Target="https://www.aph.gov.au/Parliamentary_Business/Committees/Senate/Economics/Economic_security_for_women_in_retirement/Submissions" TargetMode="External"/><Relationship Id="rId540" Type="http://schemas.openxmlformats.org/officeDocument/2006/relationships/hyperlink" Target="https://apo.org.au/node/174811" TargetMode="External"/><Relationship Id="rId51" Type="http://schemas.openxmlformats.org/officeDocument/2006/relationships/hyperlink" Target="http://awardviewer.fwo.gov.au/award/show/MA000124" TargetMode="External"/><Relationship Id="rId72" Type="http://schemas.openxmlformats.org/officeDocument/2006/relationships/hyperlink" Target="https://www.ourwatch.org.au/change-the-story/" TargetMode="External"/><Relationship Id="rId93" Type="http://schemas.openxmlformats.org/officeDocument/2006/relationships/hyperlink" Target="https://www.homelessnessnsw.org.au/sites/homelessnessnsw/files/2018-12/Path%20to%20Nowhere_0.pdf" TargetMode="External"/><Relationship Id="rId189" Type="http://schemas.openxmlformats.org/officeDocument/2006/relationships/hyperlink" Target="https://www.mcwh.com.au/downloads/publications/On_Her_Way_2011.pdf" TargetMode="External"/><Relationship Id="rId375" Type="http://schemas.openxmlformats.org/officeDocument/2006/relationships/hyperlink" Target="https://www.ourwatch.org.au/resource/men-in-focus-unpacking-masculinities-and-engaging-men-in-the-prevention-of-violence-against-women/" TargetMode="External"/><Relationship Id="rId396" Type="http://schemas.openxmlformats.org/officeDocument/2006/relationships/hyperlink" Target="https://d2rn9gno7zhxqg.cloudfront.net/wp-content/uploads/2019/02/22014733/NCAS-report-20181.pdf" TargetMode="External"/><Relationship Id="rId3" Type="http://schemas.openxmlformats.org/officeDocument/2006/relationships/hyperlink" Target="https://www.ourwatch.org.au/change-the-story/" TargetMode="External"/><Relationship Id="rId214" Type="http://schemas.openxmlformats.org/officeDocument/2006/relationships/hyperlink" Target="https://d2rn9gno7zhxqg.cloudfront.net/wp-content/uploads/2019/02/22014733/NCAS-report-20181.pdf" TargetMode="External"/><Relationship Id="rId235" Type="http://schemas.openxmlformats.org/officeDocument/2006/relationships/hyperlink" Target="https://www.smh.com.au/politics/federal/urgent-response-needed-to-help-complex-callers-to-1800respect-20200218-p541qc.html" TargetMode="External"/><Relationship Id="rId256" Type="http://schemas.openxmlformats.org/officeDocument/2006/relationships/hyperlink" Target="https://www.greenleft.org.au/content/fight-justice-aboriginal-women" TargetMode="External"/><Relationship Id="rId277" Type="http://schemas.openxmlformats.org/officeDocument/2006/relationships/hyperlink" Target="https://www.wgea.gov.au/data" TargetMode="External"/><Relationship Id="rId298" Type="http://schemas.openxmlformats.org/officeDocument/2006/relationships/hyperlink" Target="https://www.abs.gov.au/AUSSTATS/abs@.nsf/allprimarymainfeatures/C258C88A7AA5A87ECA2568A9001393E8?opendocument" TargetMode="External"/><Relationship Id="rId400" Type="http://schemas.openxmlformats.org/officeDocument/2006/relationships/hyperlink" Target="https://www.anrows.org.au/publication/attitudes-towards-violence-against-women-and-gender-equality-among-people-from-non-english-speaking-countries-findings-from-the-2017-national-community-attitudes-towards-violence-against-women-survey/" TargetMode="External"/><Relationship Id="rId421" Type="http://schemas.openxmlformats.org/officeDocument/2006/relationships/hyperlink" Target="https://www.maiamnayriwingara.org/projects-1" TargetMode="External"/><Relationship Id="rId442" Type="http://schemas.openxmlformats.org/officeDocument/2006/relationships/hyperlink" Target="https://www.humanrights.gov.au/our-work/aboriginal-and-torres-strait-islander-social-justice/publications/close-gap-progress-0" TargetMode="External"/><Relationship Id="rId463" Type="http://schemas.openxmlformats.org/officeDocument/2006/relationships/hyperlink" Target="https://csrm.cass.anu.edu.au/news/findings-2017-speak-out-against-racism-soar-student-and-staff-surveys" TargetMode="External"/><Relationship Id="rId484" Type="http://schemas.openxmlformats.org/officeDocument/2006/relationships/hyperlink" Target="https://www.abs.gov.au/ausstats/abs@.nsf/Lookup/by%20Subject/4906.0~2016~Main%20Features~Characteristics%20and%20Outcomes%20of%20Childhood%20Abuse%20(Feature%20Article)%20~30" TargetMode="External"/><Relationship Id="rId519" Type="http://schemas.openxmlformats.org/officeDocument/2006/relationships/hyperlink" Target="https://d2rn9gno7zhxqg.cloudfront.net/wp-content/uploads/2019/02/22014733/NCAS-report-20181.pdf" TargetMode="External"/><Relationship Id="rId116" Type="http://schemas.openxmlformats.org/officeDocument/2006/relationships/hyperlink" Target="https://www.pmc.gov.au/office-women/grants-and-funding/national-womens-alliances" TargetMode="External"/><Relationship Id="rId137" Type="http://schemas.openxmlformats.org/officeDocument/2006/relationships/hyperlink" Target="https://www.awid.org/sites/default/files/atoms/files/capturing_change_in_womens_realities.pdf" TargetMode="External"/><Relationship Id="rId158" Type="http://schemas.openxmlformats.org/officeDocument/2006/relationships/hyperlink" Target="https://www.maiamnayriwingara.org" TargetMode="External"/><Relationship Id="rId302" Type="http://schemas.openxmlformats.org/officeDocument/2006/relationships/hyperlink" Target="https://thestellaprize.com.au/prize/about-the-prize/" TargetMode="External"/><Relationship Id="rId323" Type="http://schemas.openxmlformats.org/officeDocument/2006/relationships/hyperlink" Target="https://www.aph.gov.au/Parliamentary_Business/Committees/Senate/Economics/Economic_security_for_women_in_retirement/Submissions" TargetMode="External"/><Relationship Id="rId344" Type="http://schemas.openxmlformats.org/officeDocument/2006/relationships/hyperlink" Target="https://www.wgea.gov.au/topics/the-gender-pay-gap" TargetMode="External"/><Relationship Id="rId530" Type="http://schemas.openxmlformats.org/officeDocument/2006/relationships/hyperlink" Target="http://www.abs.gov.au/AUSSTATS/abs@.nsf/DetailsPage/4431.0.55.0032016?OpenDocument" TargetMode="External"/><Relationship Id="rId20" Type="http://schemas.openxmlformats.org/officeDocument/2006/relationships/hyperlink" Target="https://www.parliament.nsw.gov.au/search/Pages/AdvancedSearchHome.aspx" TargetMode="External"/><Relationship Id="rId41" Type="http://schemas.openxmlformats.org/officeDocument/2006/relationships/hyperlink" Target="https://www.communityservices.act.gov.au/__data/assets/pdf_file/0015/1452030/Leave-for-Domestic-and-Family-Violence-Purposes-Advice.pdf" TargetMode="External"/><Relationship Id="rId62" Type="http://schemas.openxmlformats.org/officeDocument/2006/relationships/hyperlink" Target="https://www.legislation.gov.au/Details/C2013C00257" TargetMode="External"/><Relationship Id="rId83" Type="http://schemas.openxmlformats.org/officeDocument/2006/relationships/hyperlink" Target="http://classic.austlii.edu.au/au/legis/vic/consol_act/pofva2018305" TargetMode="External"/><Relationship Id="rId179" Type="http://schemas.openxmlformats.org/officeDocument/2006/relationships/hyperlink" Target="https://www.ourwatch.org.au/change-the-story/" TargetMode="External"/><Relationship Id="rId365" Type="http://schemas.openxmlformats.org/officeDocument/2006/relationships/hyperlink" Target="https://www.communitycouncil.com.au/sites/default/files/Australia-we-want-Second-Report_ONLINE.pdf" TargetMode="External"/><Relationship Id="rId386" Type="http://schemas.openxmlformats.org/officeDocument/2006/relationships/hyperlink" Target="https://www.latrobe.edu.au/__data/assets/pdf_file/0004/1031899/National-Survey-of-Secondary-Students-and-Sexual-Health-2018.pdf" TargetMode="External"/><Relationship Id="rId551" Type="http://schemas.openxmlformats.org/officeDocument/2006/relationships/hyperlink" Target="https://www.ourwatch.org.au/resource/changing-the-picture/" TargetMode="External"/><Relationship Id="rId190" Type="http://schemas.openxmlformats.org/officeDocument/2006/relationships/hyperlink" Target="https://www.dss.gov.au/sites/default/files/documents/10_2016/third_action_plan.pdf" TargetMode="External"/><Relationship Id="rId204" Type="http://schemas.openxmlformats.org/officeDocument/2006/relationships/hyperlink" Target="https://d2bb010tdzqaq7.cloudfront.net/wp-content/uploads/sites/2/2019/11/07031955/Primary-Prevention-of-FV-against-LGBTI-people-Report-Accessible-PDF.pdf" TargetMode="External"/><Relationship Id="rId225" Type="http://schemas.openxmlformats.org/officeDocument/2006/relationships/hyperlink" Target="https://d2rn9gno7zhxqg.cloudfront.net/wp-content/uploads/2019/02/22014733/NCAS-report-20181.pdf" TargetMode="External"/><Relationship Id="rId246" Type="http://schemas.openxmlformats.org/officeDocument/2006/relationships/hyperlink" Target="https://www.humanconsultancy.com/assets/understanding-perpetration/understanding-perpetration.html" TargetMode="External"/><Relationship Id="rId267" Type="http://schemas.openxmlformats.org/officeDocument/2006/relationships/hyperlink" Target="https://melbourneinstitute.unimelb.edu.au/__data/assets/pdf_file/0005/2839919/2018-HILDA-SR-for-web.pdf" TargetMode="External"/><Relationship Id="rId288" Type="http://schemas.openxmlformats.org/officeDocument/2006/relationships/hyperlink" Target="http://www.broadagenda.com.au/home/its-about-time-time-use-survey-returns-after-12-years" TargetMode="External"/><Relationship Id="rId411" Type="http://schemas.openxmlformats.org/officeDocument/2006/relationships/hyperlink" Target="https://d2bb010tdzqaq7.cloudfront.net/wp-content/uploads/sites/2/2019/11/07031955/Primary-Prevention-of-FV-against-LGBTI-people-Report-Accessible-PDF.pdf" TargetMode="External"/><Relationship Id="rId432" Type="http://schemas.openxmlformats.org/officeDocument/2006/relationships/hyperlink" Target="https://www.humanrights.gov.au/our-work/aboriginal-and-torres-strait-islander-social-justice/publications/close-gap-progress-0" TargetMode="External"/><Relationship Id="rId453" Type="http://schemas.openxmlformats.org/officeDocument/2006/relationships/hyperlink" Target="https://www.lowitja.org.au/sites/default/files/docs/LEAD%20Report-WEB_0.pdf" TargetMode="External"/><Relationship Id="rId474" Type="http://schemas.openxmlformats.org/officeDocument/2006/relationships/hyperlink" Target="https://d2rn9gno7zhxqg.cloudfront.net/wp-content/uploads/2019/02/22014733/NCAS-report-20181.pdf" TargetMode="External"/><Relationship Id="rId509" Type="http://schemas.openxmlformats.org/officeDocument/2006/relationships/hyperlink" Target="https://d2rn9gno7zhxqg.cloudfront.net/wp-content/uploads/2019/02/22014733/NCAS-report-20181.pdf" TargetMode="External"/><Relationship Id="rId106" Type="http://schemas.openxmlformats.org/officeDocument/2006/relationships/hyperlink" Target="https://awhn.org.au/wp-content/uploads/2015/03/172_AWHNHealthandThePrimaryPreventionofViolenceAgainstWomen2014.pdf" TargetMode="External"/><Relationship Id="rId127" Type="http://schemas.openxmlformats.org/officeDocument/2006/relationships/hyperlink" Target="https://whv.org.au/resources/whv-library" TargetMode="External"/><Relationship Id="rId313" Type="http://schemas.openxmlformats.org/officeDocument/2006/relationships/hyperlink" Target="https://d2rn9gno7zhxqg.cloudfront.net/wp-content/uploads/2019/02/22014733/NCAS-report-20181.pdf" TargetMode="External"/><Relationship Id="rId495" Type="http://schemas.openxmlformats.org/officeDocument/2006/relationships/hyperlink" Target="https://www.ourwatch.org.au/resource/changing-the-picture/" TargetMode="External"/><Relationship Id="rId10" Type="http://schemas.openxmlformats.org/officeDocument/2006/relationships/hyperlink" Target="https://www.ourwatch.org.au/change-the-story/" TargetMode="External"/><Relationship Id="rId31" Type="http://schemas.openxmlformats.org/officeDocument/2006/relationships/hyperlink" Target="https://www.5050vision.com.au/home.html" TargetMode="External"/><Relationship Id="rId52" Type="http://schemas.openxmlformats.org/officeDocument/2006/relationships/hyperlink" Target="https://www.forgov.qld.gov.au/system/files/documents/1718-paid-parental-leave_0.pdf?v=1600385429" TargetMode="External"/><Relationship Id="rId73" Type="http://schemas.openxmlformats.org/officeDocument/2006/relationships/hyperlink" Target="https://awava.org.au/wp-content/uploads/2019/10/Primary-Prevention-Survey_AWAVA.pdf" TargetMode="External"/><Relationship Id="rId94" Type="http://schemas.openxmlformats.org/officeDocument/2006/relationships/hyperlink" Target="http://wwda.org.au/wp-content/uploads/2016/10/Position_Statement_4_-_Sexual_and_Reproductive_Rights_FINAL_WEB.pdf" TargetMode="External"/><Relationship Id="rId148" Type="http://schemas.openxmlformats.org/officeDocument/2006/relationships/hyperlink" Target="https://www.csyw.qld.gov.au/resources/campaign/end-violence/evaluation-framework-report.pdf" TargetMode="External"/><Relationship Id="rId169" Type="http://schemas.openxmlformats.org/officeDocument/2006/relationships/hyperlink" Target="https://www.ourwatch.org.au/resource/change-the-story-three-years-on/" TargetMode="External"/><Relationship Id="rId334" Type="http://schemas.openxmlformats.org/officeDocument/2006/relationships/hyperlink" Target="https://humanrights.gov.au/our-work/sex-discrimination/publications/everyones-business-fourth-national-survey-sexual" TargetMode="External"/><Relationship Id="rId355" Type="http://schemas.openxmlformats.org/officeDocument/2006/relationships/hyperlink" Target="https://www.abs.gov.au/ausstats/abs@.nsf/mf/4125.0" TargetMode="External"/><Relationship Id="rId376" Type="http://schemas.openxmlformats.org/officeDocument/2006/relationships/hyperlink" Target="https://www.ourwatch.org.au/resource/men-in-focus-unpacking-masculinities-and-engaging-men-in-the-prevention-of-violence-against-women/" TargetMode="External"/><Relationship Id="rId397" Type="http://schemas.openxmlformats.org/officeDocument/2006/relationships/hyperlink" Target="https://d2rn9gno7zhxqg.cloudfront.net/wp-content/uploads/2019/02/22014733/NCAS-report-20181.pdf" TargetMode="External"/><Relationship Id="rId520" Type="http://schemas.openxmlformats.org/officeDocument/2006/relationships/hyperlink" Target="https://www.dss.gov.au/women/programs-services/reducing-violence/the-national-plan-to-reduce-violence-against-women-and-their-children-2010-2022" TargetMode="External"/><Relationship Id="rId541" Type="http://schemas.openxmlformats.org/officeDocument/2006/relationships/hyperlink" Target="https://apo.org.au/node/174811" TargetMode="External"/><Relationship Id="rId4" Type="http://schemas.openxmlformats.org/officeDocument/2006/relationships/hyperlink" Target="https://www.cgdev.org/sites/default/files/pandemics-and-vawg-april2.pdf" TargetMode="External"/><Relationship Id="rId180" Type="http://schemas.openxmlformats.org/officeDocument/2006/relationships/hyperlink" Target="https://www.dss.gov.au/sites/default/files/documents/07_2014/first_action_plan_1.pdf" TargetMode="External"/><Relationship Id="rId215" Type="http://schemas.openxmlformats.org/officeDocument/2006/relationships/hyperlink" Target="https://d2rn9gno7zhxqg.cloudfront.net/wp-content/uploads/2019/02/22014733/NCAS-report-20181.pdf" TargetMode="External"/><Relationship Id="rId236" Type="http://schemas.openxmlformats.org/officeDocument/2006/relationships/hyperlink" Target="https://ministers.dss.gov.au/media-releases/4076" TargetMode="External"/><Relationship Id="rId257" Type="http://schemas.openxmlformats.org/officeDocument/2006/relationships/hyperlink" Target="https://www.wgea.gov.au/data/wgea-research/australias-gender-equality-scorecard" TargetMode="External"/><Relationship Id="rId278" Type="http://schemas.openxmlformats.org/officeDocument/2006/relationships/hyperlink" Target="https://www.wgea.gov.au/data/wgea-research/australias-gender-equality-scorecard/2018-19-gender-equality-scorecard" TargetMode="External"/><Relationship Id="rId401" Type="http://schemas.openxmlformats.org/officeDocument/2006/relationships/hyperlink" Target="https://jss.org.au/wp-content/uploads/2018/10/The-Man-Box-A-study-on-being-a-young-man-in-Australia.pdf" TargetMode="External"/><Relationship Id="rId422" Type="http://schemas.openxmlformats.org/officeDocument/2006/relationships/hyperlink" Target="http://press-files.anu.edu.au/downloads/press/n2140/pdf/book.pdf?referer=2140" TargetMode="External"/><Relationship Id="rId443" Type="http://schemas.openxmlformats.org/officeDocument/2006/relationships/hyperlink" Target="https://www.humanrights.gov.au/our-work/aboriginal-and-torres-strait-islander-social-justice/publications/close-gap-progress-0" TargetMode="External"/><Relationship Id="rId464" Type="http://schemas.openxmlformats.org/officeDocument/2006/relationships/hyperlink" Target="https://csrm.cass.anu.edu.au/news/findings-2017-speak-out-against-racism-soar-student-and-staff-surveys" TargetMode="External"/><Relationship Id="rId303" Type="http://schemas.openxmlformats.org/officeDocument/2006/relationships/hyperlink" Target="https://thestellaprize.com.au/the-count/2017-stella-count/" TargetMode="External"/><Relationship Id="rId485" Type="http://schemas.openxmlformats.org/officeDocument/2006/relationships/hyperlink" Target="https://www.abs.gov.au/articles/characteristics-and-outcomes-childhood-abuse" TargetMode="External"/><Relationship Id="rId42" Type="http://schemas.openxmlformats.org/officeDocument/2006/relationships/hyperlink" Target="https://ocpe.nt.gov.au/__data/assets/pdf_file/0005/463685/Approved-draft-by-CPE-Commissioners-Information-Sheet-NTPS-employees-affected-by-DFV.pdf" TargetMode="External"/><Relationship Id="rId84" Type="http://schemas.openxmlformats.org/officeDocument/2006/relationships/hyperlink" Target="https://www.legislation.gov.au/Details/C2019C00043" TargetMode="External"/><Relationship Id="rId138" Type="http://schemas.openxmlformats.org/officeDocument/2006/relationships/hyperlink" Target="https://www.whin.org.au/wp-content/uploads/sites/2/2018/03/PVAW-Evaluation-FRAMEWORK-2013.pdf" TargetMode="External"/><Relationship Id="rId345" Type="http://schemas.openxmlformats.org/officeDocument/2006/relationships/hyperlink" Target="https://www.wgea.gov.au/topics/the-gender-pay-gap" TargetMode="External"/><Relationship Id="rId387" Type="http://schemas.openxmlformats.org/officeDocument/2006/relationships/hyperlink" Target="https://www.latrobe.edu.au/arcshs/documents/arcshs-research-publications/secondary-students-and-sexual-health-2008.pdf" TargetMode="External"/><Relationship Id="rId510" Type="http://schemas.openxmlformats.org/officeDocument/2006/relationships/hyperlink" Target="https://d2rn9gno7zhxqg.cloudfront.net/wp-content/uploads/2019/02/22014733/NCAS-report-20181.pdf" TargetMode="External"/><Relationship Id="rId552" Type="http://schemas.openxmlformats.org/officeDocument/2006/relationships/hyperlink" Target="https://www.dss.gov.au/women/programs-services/reducing-violence/the-national-plan-to-reduce-violence-against-women-and-their-children-2010-2022" TargetMode="External"/><Relationship Id="rId191" Type="http://schemas.openxmlformats.org/officeDocument/2006/relationships/hyperlink" Target="https://www.dss.gov.au/sites/default/files/documents/08_2019/2017-18-annual-progress-report-third-action-plan.pdf" TargetMode="External"/><Relationship Id="rId205" Type="http://schemas.openxmlformats.org/officeDocument/2006/relationships/hyperlink" Target="https://www.ourwatch.org.au/resource/change-the-story-three-years-on/" TargetMode="External"/><Relationship Id="rId247" Type="http://schemas.openxmlformats.org/officeDocument/2006/relationships/hyperlink" Target="https://www.who.int/violence_injury_prevention/publications/violence/9789241564007_eng.pdf?ua=1" TargetMode="External"/><Relationship Id="rId412" Type="http://schemas.openxmlformats.org/officeDocument/2006/relationships/hyperlink" Target="https://pacificwomen.org/research/pacific-sisters-with-disabilities/" TargetMode="External"/><Relationship Id="rId107" Type="http://schemas.openxmlformats.org/officeDocument/2006/relationships/hyperlink" Target="https://www.ourwatch.org.au/change-the-story/" TargetMode="External"/><Relationship Id="rId289" Type="http://schemas.openxmlformats.org/officeDocument/2006/relationships/hyperlink" Target="https://melbourneinstitute.unimelb.edu.au/__data/assets/pdf_file/0005/2839919/2018-HILDA-SR-for-web.pdf" TargetMode="External"/><Relationship Id="rId454" Type="http://schemas.openxmlformats.org/officeDocument/2006/relationships/hyperlink" Target="https://www.lowitja.org.au/sites/default/files/docs/LEAD%20Report-WEB_0.pdf" TargetMode="External"/><Relationship Id="rId496" Type="http://schemas.openxmlformats.org/officeDocument/2006/relationships/hyperlink" Target="https://aic.gov.au/publications/sr/sr17" TargetMode="External"/><Relationship Id="rId11" Type="http://schemas.openxmlformats.org/officeDocument/2006/relationships/hyperlink" Target="https://www.ourwatch.org.au/change-the-story/" TargetMode="External"/><Relationship Id="rId53" Type="http://schemas.openxmlformats.org/officeDocument/2006/relationships/hyperlink" Target="https://cpsunsw.org.au/wp-content/uploads/2018/10/CE1.pdf" TargetMode="External"/><Relationship Id="rId149" Type="http://schemas.openxmlformats.org/officeDocument/2006/relationships/hyperlink" Target="http://whe.org.au/tfer/evaluation-guidebook/" TargetMode="External"/><Relationship Id="rId314" Type="http://schemas.openxmlformats.org/officeDocument/2006/relationships/hyperlink" Target="https://ncas.anrows.org.au/wp-content/uploads/2019/05/2017NCAS-Youth-SubReport.pdf" TargetMode="External"/><Relationship Id="rId356" Type="http://schemas.openxmlformats.org/officeDocument/2006/relationships/hyperlink" Target="http://www.industrysuperaustralia.com/assets/Reports/160423-Missing-The-Mark.pdf" TargetMode="External"/><Relationship Id="rId398" Type="http://schemas.openxmlformats.org/officeDocument/2006/relationships/hyperlink" Target="https://ncas.anrows.org.au/wp-content/uploads/2019/05/2017NCAS-Youth-SubReport.pdf" TargetMode="External"/><Relationship Id="rId521" Type="http://schemas.openxmlformats.org/officeDocument/2006/relationships/hyperlink" Target="https://www.abs.gov.au/AUSSTATS/abs@.nsf/Lookup/4431.0.55.003Glossary32016?OpenDocument" TargetMode="External"/><Relationship Id="rId95" Type="http://schemas.openxmlformats.org/officeDocument/2006/relationships/hyperlink" Target="http://www.powertopersuade.org.au/blog/what-does-the-ndis-mean-for-women-and-girls-considering-the-implications-of-our-market-based-system-for-gender-equality/10/3/2020" TargetMode="External"/><Relationship Id="rId160" Type="http://schemas.openxmlformats.org/officeDocument/2006/relationships/hyperlink" Target="https://www.abs.gov.au/ausstats/abs@.nsf/mf/4125.0" TargetMode="External"/><Relationship Id="rId216" Type="http://schemas.openxmlformats.org/officeDocument/2006/relationships/hyperlink" Target="https://d2rn9gno7zhxqg.cloudfront.net/wp-content/uploads/2019/02/22014733/NCAS-report-20181.pdf" TargetMode="External"/><Relationship Id="rId423" Type="http://schemas.openxmlformats.org/officeDocument/2006/relationships/hyperlink" Target="https://humanrights.gov.au/our-work/aboriginal-and-torres-strait-islander-social-justice/publications/close-gap-10-year-review" TargetMode="External"/><Relationship Id="rId258" Type="http://schemas.openxmlformats.org/officeDocument/2006/relationships/hyperlink" Target="http://www.broadagenda.com.au/home/its-about-time-time-use-survey-returns-after-12-years" TargetMode="External"/><Relationship Id="rId465" Type="http://schemas.openxmlformats.org/officeDocument/2006/relationships/hyperlink" Target="https://csrm.cass.anu.edu.au/news/findings-2017-speak-out-against-racism-soar-student-and-staff-surveys" TargetMode="External"/><Relationship Id="rId22" Type="http://schemas.openxmlformats.org/officeDocument/2006/relationships/hyperlink" Target="http://hansardpublic.parliament.sa.gov.au/" TargetMode="External"/><Relationship Id="rId64" Type="http://schemas.openxmlformats.org/officeDocument/2006/relationships/hyperlink" Target="https://16dayscampaign.org" TargetMode="External"/><Relationship Id="rId118" Type="http://schemas.openxmlformats.org/officeDocument/2006/relationships/hyperlink" Target="https://www.aph.gov.au/Parliamentary_Business/Committees/Senate/Finance_and_Public_Administration/Domestic_Violence/Report" TargetMode="External"/><Relationship Id="rId325" Type="http://schemas.openxmlformats.org/officeDocument/2006/relationships/hyperlink" Target="https://www.aph.gov.au/Parliamentary_Business/Committees/Senate/Economics/Economic_security_for_women_in_retirement/Report" TargetMode="External"/><Relationship Id="rId367" Type="http://schemas.openxmlformats.org/officeDocument/2006/relationships/hyperlink" Target="https://www.monash.edu/__data/assets/pdf_file/0005/1572746/free_to_be_sydney_city_report.pdf" TargetMode="External"/><Relationship Id="rId532" Type="http://schemas.openxmlformats.org/officeDocument/2006/relationships/hyperlink" Target="https://apo.org.au/node/95046" TargetMode="External"/><Relationship Id="rId171" Type="http://schemas.openxmlformats.org/officeDocument/2006/relationships/hyperlink" Target="https://awava.org.au/wp-content/uploads/2019/10/Primary-Prevention-Survey_AWAVA.pdf" TargetMode="External"/><Relationship Id="rId227" Type="http://schemas.openxmlformats.org/officeDocument/2006/relationships/hyperlink" Target="https://www.humanrights.gov.au/our-work/sex-discrimination/publications/everyones-business-fourth-national-survey-sexual" TargetMode="External"/><Relationship Id="rId269" Type="http://schemas.openxmlformats.org/officeDocument/2006/relationships/hyperlink" Target="https://melbourneinstitute.unimelb.edu.au/__data/assets/pdf_file/0006/2155506/hilda-statreport-2015.pdf" TargetMode="External"/><Relationship Id="rId434" Type="http://schemas.openxmlformats.org/officeDocument/2006/relationships/hyperlink" Target="https://www.ourwatch.org.au/resource/change-the-story-three-years-on/" TargetMode="External"/><Relationship Id="rId476" Type="http://schemas.openxmlformats.org/officeDocument/2006/relationships/hyperlink" Target="https://d2rn9gno7zhxqg.cloudfront.net/wp-content/uploads/2019/02/22014733/NCAS-report-20181.pdf" TargetMode="External"/><Relationship Id="rId33" Type="http://schemas.openxmlformats.org/officeDocument/2006/relationships/hyperlink" Target="https://www.legislation.gov.au/Details/C2016C00895" TargetMode="External"/><Relationship Id="rId129" Type="http://schemas.openxmlformats.org/officeDocument/2006/relationships/hyperlink" Target="https://workplace.ourwatch.org.au/" TargetMode="External"/><Relationship Id="rId280" Type="http://schemas.openxmlformats.org/officeDocument/2006/relationships/hyperlink" Target="https://www.wgea.gov.au/data/wgea-research/australias-gender-equality-scorecard/2018-19-gender-equality-scorecard" TargetMode="External"/><Relationship Id="rId336" Type="http://schemas.openxmlformats.org/officeDocument/2006/relationships/hyperlink" Target="https://humanrights.gov.au/our-work/sex-discrimination/publications/everyones-business-fourth-national-survey-sexual" TargetMode="External"/><Relationship Id="rId501" Type="http://schemas.openxmlformats.org/officeDocument/2006/relationships/hyperlink" Target="https://www.ncbi.nlm.nih.gov/pmc/articles/PMC3142677" TargetMode="External"/><Relationship Id="rId543" Type="http://schemas.openxmlformats.org/officeDocument/2006/relationships/hyperlink" Target="https://apo.org.au/node/174811" TargetMode="External"/><Relationship Id="rId75" Type="http://schemas.openxmlformats.org/officeDocument/2006/relationships/hyperlink" Target="https://www.dss.gov.au/women/programs-services/reducing-violence/the-national-plan-to-reduce-violence-against-women-and-their-children-2010-2022" TargetMode="External"/><Relationship Id="rId140" Type="http://schemas.openxmlformats.org/officeDocument/2006/relationships/hyperlink" Target="https://www.csyw.qld.gov.au/resources/campaign/end-violence/evaluation-framework-report.pdf" TargetMode="External"/><Relationship Id="rId182" Type="http://schemas.openxmlformats.org/officeDocument/2006/relationships/hyperlink" Target="https://www.ourwatch.org.au/change-the-story/" TargetMode="External"/><Relationship Id="rId378" Type="http://schemas.openxmlformats.org/officeDocument/2006/relationships/hyperlink" Target="https://www.ourwatch.org.au/resource/men-in-focus-unpacking-masculinities-and-engaging-men-in-the-prevention-of-violence-against-women/" TargetMode="External"/><Relationship Id="rId403" Type="http://schemas.openxmlformats.org/officeDocument/2006/relationships/hyperlink" Target="https://www.vichealth.vic.gov.au/-/media/ResourceCentre/PublicationsandResources/PVAW/Review-of-bystander-approaches-3-May_FINAL_with-cover.pdf?la=en&amp;hash=E56A43C815392E8CE911EF0C7D8BFEA31815FB64" TargetMode="External"/><Relationship Id="rId6" Type="http://schemas.openxmlformats.org/officeDocument/2006/relationships/hyperlink" Target="https://www.genderanddisaster.com.au/" TargetMode="External"/><Relationship Id="rId238" Type="http://schemas.openxmlformats.org/officeDocument/2006/relationships/hyperlink" Target="https://www.abs.gov.au/AUSSTATS/abs@.nsf/allprimarymainfeatures/017E326331F0C315CA2581D1000C2EA8?opendocument" TargetMode="External"/><Relationship Id="rId445" Type="http://schemas.openxmlformats.org/officeDocument/2006/relationships/hyperlink" Target="https://www.pc.gov.au/research/ongoing/overcoming-indigenous-disadvantage/2016" TargetMode="External"/><Relationship Id="rId487" Type="http://schemas.openxmlformats.org/officeDocument/2006/relationships/hyperlink" Target="https://www.aihw.gov.au/getmedia/e551a2bc-9149-4625-83c0-7bf1523c3793/aihw-cws-65.pdf.aspx?inline=true" TargetMode="External"/><Relationship Id="rId291" Type="http://schemas.openxmlformats.org/officeDocument/2006/relationships/hyperlink" Target="https://melbourneinstitute.unimelb.edu.au/__data/assets/pdf_file/0005/2839919/2018-HILDA-SR-for-web.pdf" TargetMode="External"/><Relationship Id="rId305" Type="http://schemas.openxmlformats.org/officeDocument/2006/relationships/hyperlink" Target="https://thestellaprize.com.au/the-count/2018-stella-count/" TargetMode="External"/><Relationship Id="rId347" Type="http://schemas.openxmlformats.org/officeDocument/2006/relationships/hyperlink" Target="https://home.kpmg/content/dam/kpmg/au/pdf/2019/gender-pay-gap-economics-full-report-2019.pdf" TargetMode="External"/><Relationship Id="rId512" Type="http://schemas.openxmlformats.org/officeDocument/2006/relationships/hyperlink" Target="https://d2rn9gno7zhxqg.cloudfront.net/wp-content/uploads/2019/02/22014733/NCAS-report-20181.pdf" TargetMode="External"/><Relationship Id="rId44" Type="http://schemas.openxmlformats.org/officeDocument/2006/relationships/hyperlink" Target="https://www.publicsector.sa.gov.au/hr-and-policy-support/Determinations,-Premiers-Directions-and-Guidelines/Determinations" TargetMode="External"/><Relationship Id="rId86" Type="http://schemas.openxmlformats.org/officeDocument/2006/relationships/hyperlink" Target="https://www.legislation.gov.au/Details/C2013A00073" TargetMode="External"/><Relationship Id="rId151" Type="http://schemas.openxmlformats.org/officeDocument/2006/relationships/hyperlink" Target="https://www.genvic.org.au/wp-content/uploads/2019/07/GENVIC_Evaluation_Fact_Sheet_A4_FINAL_WEB.pdf" TargetMode="External"/><Relationship Id="rId389" Type="http://schemas.openxmlformats.org/officeDocument/2006/relationships/hyperlink" Target="https://www.latrobe.edu.au/__data/assets/pdf_file/0004/1031899/National-Survey-of-Secondary-Students-and-Sexual-Health-2018.pdf" TargetMode="External"/><Relationship Id="rId554" Type="http://schemas.openxmlformats.org/officeDocument/2006/relationships/hyperlink" Target="https://www.dss.gov.au/sites/default/files/documents/07_2014/first_action_plan_1.pdf" TargetMode="External"/><Relationship Id="rId193" Type="http://schemas.openxmlformats.org/officeDocument/2006/relationships/hyperlink" Target="http://www.wdv.org.au/documents/Inclusive%20Planning%20Guides_print.pdf" TargetMode="External"/><Relationship Id="rId207" Type="http://schemas.openxmlformats.org/officeDocument/2006/relationships/hyperlink" Target="https://theconversation.com/we-just-black-matter-Australias-indifference-to-aboriginal-lives-and-land-85168" TargetMode="External"/><Relationship Id="rId249" Type="http://schemas.openxmlformats.org/officeDocument/2006/relationships/hyperlink" Target="https://www.vichealth.vic.gov.au/~/media/ResourceCentre/PublicationsandResources/PVAW/NCAS/NCAS-StakeholderReport_2014.ashx" TargetMode="External"/><Relationship Id="rId414" Type="http://schemas.openxmlformats.org/officeDocument/2006/relationships/hyperlink" Target="https://www.aihw.gov.au/reports/disability/people-with-disability-in-australia/justice-and-safety/violence-against-people-with-disability/sexual-harassment" TargetMode="External"/><Relationship Id="rId456" Type="http://schemas.openxmlformats.org/officeDocument/2006/relationships/hyperlink" Target="https://www.abs.gov.au/ausstats/abs@.nsf/mf/4159.0" TargetMode="External"/><Relationship Id="rId498" Type="http://schemas.openxmlformats.org/officeDocument/2006/relationships/hyperlink" Target="https://apo.org.au/node/95046" TargetMode="External"/><Relationship Id="rId13" Type="http://schemas.openxmlformats.org/officeDocument/2006/relationships/hyperlink" Target="https://www.ourwatch.org.au/change-the-story/" TargetMode="External"/><Relationship Id="rId109" Type="http://schemas.openxmlformats.org/officeDocument/2006/relationships/hyperlink" Target="https://www.ourwatch.org.au/resource/changing-the-picture/" TargetMode="External"/><Relationship Id="rId260" Type="http://schemas.openxmlformats.org/officeDocument/2006/relationships/hyperlink" Target="https://melbourneinstitute.unimelb.edu.au/__data/assets/pdf_file/0005/2839919/2018-HILDA-SR-for-web.pdf" TargetMode="External"/><Relationship Id="rId316" Type="http://schemas.openxmlformats.org/officeDocument/2006/relationships/hyperlink" Target="https://aic.gov.au/publications/rpp/rpp56" TargetMode="External"/><Relationship Id="rId523" Type="http://schemas.openxmlformats.org/officeDocument/2006/relationships/hyperlink" Target="https://www.ourwatch.org.au/resource/changing-the-picture/" TargetMode="External"/><Relationship Id="rId55" Type="http://schemas.openxmlformats.org/officeDocument/2006/relationships/hyperlink" Target="http://awardviewer.fwo.gov.au/award/show/MA000135" TargetMode="External"/><Relationship Id="rId97" Type="http://schemas.openxmlformats.org/officeDocument/2006/relationships/hyperlink" Target="https://www.hrlc.org.au/reports/2017/5/18/report-over-represented-and-overlooked-the-crisis-of-aboriginal-and-torres-strait-islander-womens-growing-over-imprisonment" TargetMode="External"/><Relationship Id="rId120" Type="http://schemas.openxmlformats.org/officeDocument/2006/relationships/hyperlink" Target="https://www.fvrim.vic.gov.au/second-report-parliament-1-november-2018" TargetMode="External"/><Relationship Id="rId358" Type="http://schemas.openxmlformats.org/officeDocument/2006/relationships/hyperlink" Target="http://www.industrysuperaustralia.com/campaigns/closing-the-gender-superannuation-gap/" TargetMode="External"/><Relationship Id="rId162" Type="http://schemas.openxmlformats.org/officeDocument/2006/relationships/hyperlink" Target="https://victorianwomenshealthatlas.net.au/" TargetMode="External"/><Relationship Id="rId218" Type="http://schemas.openxmlformats.org/officeDocument/2006/relationships/hyperlink" Target="https://d2rn9gno7zhxqg.cloudfront.net/wp-content/uploads/2019/02/22014733/NCAS-report-20181.pdf" TargetMode="External"/><Relationship Id="rId425" Type="http://schemas.openxmlformats.org/officeDocument/2006/relationships/hyperlink" Target="https://d2rn9gno7zhxqg.cloudfront.net/wp-content/uploads/2019/02/22014733/NCAS-report-20181.pdf" TargetMode="External"/><Relationship Id="rId467" Type="http://schemas.openxmlformats.org/officeDocument/2006/relationships/hyperlink" Target="https://www.abs.gov.au/ausstats/abs@.nsf/mf/4159.0" TargetMode="External"/><Relationship Id="rId271" Type="http://schemas.openxmlformats.org/officeDocument/2006/relationships/hyperlink" Target="https://www.abs.gov.au/AUSSTATS/abs@.nsf/allprimarymainfeatures/32E47216E9D3BB55CA2582BA0012C4D3?opendocument" TargetMode="External"/><Relationship Id="rId24" Type="http://schemas.openxmlformats.org/officeDocument/2006/relationships/hyperlink" Target="https://www.ourwatch.org.au/our-work/ambassadors/" TargetMode="External"/><Relationship Id="rId66" Type="http://schemas.openxmlformats.org/officeDocument/2006/relationships/hyperlink" Target="https://awava.org.au/women-on-temporary-visas-experiencing-dfv?doing_wp_cron=1588740189.9014360904693603515625" TargetMode="External"/><Relationship Id="rId131" Type="http://schemas.openxmlformats.org/officeDocument/2006/relationships/hyperlink" Target="https://www.mav.asn.au/what-we-do/policy-advocacy/social-community/gender-equality/promising-practice-portal" TargetMode="External"/><Relationship Id="rId327" Type="http://schemas.openxmlformats.org/officeDocument/2006/relationships/hyperlink" Target="https://www.abs.gov.au/ausstats/abs@.nsf/mf/4125.0" TargetMode="External"/><Relationship Id="rId369" Type="http://schemas.openxmlformats.org/officeDocument/2006/relationships/hyperlink" Target="https://d2rn9gno7zhxqg.cloudfront.net/wp-content/uploads/2019/02/22014733/NCAS-report-20181.pdf" TargetMode="External"/><Relationship Id="rId534" Type="http://schemas.openxmlformats.org/officeDocument/2006/relationships/hyperlink" Target="https://apo.org.au/node/95046" TargetMode="External"/><Relationship Id="rId173" Type="http://schemas.openxmlformats.org/officeDocument/2006/relationships/hyperlink" Target="https://awava.org.au/wp-content/uploads/2019/10/Primary-Prevention-Survey_AWAVA.pdf" TargetMode="External"/><Relationship Id="rId229" Type="http://schemas.openxmlformats.org/officeDocument/2006/relationships/hyperlink" Target="https://www.humanrights.gov.au/our-work/sex-discrimination/publications/everyones-business-fourth-national-survey-sexual" TargetMode="External"/><Relationship Id="rId380" Type="http://schemas.openxmlformats.org/officeDocument/2006/relationships/hyperlink" Target="https://www.ourwatch.org.au/resource/men-in-focus-unpacking-masculinities-and-engaging-men-in-the-prevention-of-violence-against-women/" TargetMode="External"/><Relationship Id="rId436" Type="http://schemas.openxmlformats.org/officeDocument/2006/relationships/hyperlink" Target="https://mkstudy.com.au/" TargetMode="External"/><Relationship Id="rId240" Type="http://schemas.openxmlformats.org/officeDocument/2006/relationships/hyperlink" Target="https://www.abs.gov.au/AUSSTATS/abs@.nsf/allprimarymainfeatures/2177E759F2FCB655CA2583A50078F141?opendocument" TargetMode="External"/><Relationship Id="rId478" Type="http://schemas.openxmlformats.org/officeDocument/2006/relationships/hyperlink" Target="https://d2rn9gno7zhxqg.cloudfront.net/wp-content/uploads/2019/02/22014733/NCAS-report-20181.pdf" TargetMode="External"/><Relationship Id="rId35" Type="http://schemas.openxmlformats.org/officeDocument/2006/relationships/hyperlink" Target="https://data.wgea.gov.au/home" TargetMode="External"/><Relationship Id="rId77" Type="http://schemas.openxmlformats.org/officeDocument/2006/relationships/hyperlink" Target="https://www.refworld.org/docid/58b6e3364.html" TargetMode="External"/><Relationship Id="rId100" Type="http://schemas.openxmlformats.org/officeDocument/2006/relationships/hyperlink" Target="https://www.homelessnessnsw.org.au/sites/homelessnessnsw/files/2018-12/Path%20to%20Nowhere_0.pdf" TargetMode="External"/><Relationship Id="rId282" Type="http://schemas.openxmlformats.org/officeDocument/2006/relationships/hyperlink" Target="https://melbourneinstitute.unimelb.edu.au/__data/assets/pdf_file/0005/2839919/2018-HILDA-SR-for-web.pdf" TargetMode="External"/><Relationship Id="rId338" Type="http://schemas.openxmlformats.org/officeDocument/2006/relationships/hyperlink" Target="https://humanrights.gov.au/our-work/sex-discrimination/publications/everyones-business-fourth-national-survey-sexual" TargetMode="External"/><Relationship Id="rId503" Type="http://schemas.openxmlformats.org/officeDocument/2006/relationships/hyperlink" Target="http://fare.org.au/wp-content/uploads/FARE-Annual-Alcohol-Poll-2018-web.pdf" TargetMode="External"/><Relationship Id="rId545" Type="http://schemas.openxmlformats.org/officeDocument/2006/relationships/hyperlink" Target="https://www.abs.gov.au/statistics/people/crime-and-justice/recorded-crime-victims-australia/2018" TargetMode="External"/><Relationship Id="rId8" Type="http://schemas.openxmlformats.org/officeDocument/2006/relationships/hyperlink" Target="https://www.ourwatch.org.au/change-the-story/" TargetMode="External"/><Relationship Id="rId142" Type="http://schemas.openxmlformats.org/officeDocument/2006/relationships/hyperlink" Target="https://www.whin.org.au/wp-content/uploads/sites/2/2018/03/PVAW-Evaluation-FRAMEWORK-2013.pdf" TargetMode="External"/><Relationship Id="rId184" Type="http://schemas.openxmlformats.org/officeDocument/2006/relationships/hyperlink" Target="https://www.whatworks.co.za/documents/publications/4-effectiveness-of-interventions-to-prevent-violence-against-women-and-girls/file" TargetMode="External"/><Relationship Id="rId391" Type="http://schemas.openxmlformats.org/officeDocument/2006/relationships/hyperlink" Target="https://www.latrobe.edu.au/__data/assets/pdf_file/0004/1031899/National-Survey-of-Secondary-Students-and-Sexual-Health-2018.pdf" TargetMode="External"/><Relationship Id="rId405" Type="http://schemas.openxmlformats.org/officeDocument/2006/relationships/hyperlink" Target="https://www.ourwatch.org.au/resource/men-in-focus-unpacking-masculinities-and-engaging-men-in-the-prevention-of-violence-against-women/" TargetMode="External"/><Relationship Id="rId447" Type="http://schemas.openxmlformats.org/officeDocument/2006/relationships/hyperlink" Target="https://www.abs.gov.au/AUSSTATS/abs@.nsf/allprimarymainfeatures/2177E759F2FCB655CA2583A50078F141?opendocument" TargetMode="External"/><Relationship Id="rId251" Type="http://schemas.openxmlformats.org/officeDocument/2006/relationships/hyperlink" Target="https://www.ourwatch.org.au/resource/men-in-focus-unpacking-masculinities-and-engaging-men-in-the-prevention-of-violence-against-women/" TargetMode="External"/><Relationship Id="rId489" Type="http://schemas.openxmlformats.org/officeDocument/2006/relationships/hyperlink" Target="https://www.aihw.gov.au/getmedia/e551a2bc-9149-4625-83c0-7bf1523c3793/aihw-cws-65.pdf.aspx?inline=true" TargetMode="External"/><Relationship Id="rId46" Type="http://schemas.openxmlformats.org/officeDocument/2006/relationships/hyperlink" Target="http://awardviewer.fwo.gov.au/award/show/MA000135" TargetMode="External"/><Relationship Id="rId293" Type="http://schemas.openxmlformats.org/officeDocument/2006/relationships/hyperlink" Target="https://melbourneinstitute.unimelb.edu.au/__data/assets/pdf_file/0005/2839919/2018-HILDA-SR-for-web.pdf" TargetMode="External"/><Relationship Id="rId307" Type="http://schemas.openxmlformats.org/officeDocument/2006/relationships/hyperlink" Target="https://thestellaprize.com.au/the-count/2018-stella-count/" TargetMode="External"/><Relationship Id="rId349" Type="http://schemas.openxmlformats.org/officeDocument/2006/relationships/hyperlink" Target="https://home.kpmg/content/dam/kpmg/au/pdf/2019/gender-pay-gap-economics-full-report-2019.pdf" TargetMode="External"/><Relationship Id="rId514" Type="http://schemas.openxmlformats.org/officeDocument/2006/relationships/hyperlink" Target="https://www.theguardian.com/commentisfree/2019/sep/06/metoo-movement-backlash-media-al-franken" TargetMode="External"/><Relationship Id="rId556" Type="http://schemas.openxmlformats.org/officeDocument/2006/relationships/hyperlink" Target="https://plan4womenssafety.dss.gov.au/the-national-plan/second-action-plan/" TargetMode="External"/><Relationship Id="rId88" Type="http://schemas.openxmlformats.org/officeDocument/2006/relationships/hyperlink" Target="https://www.legislation.gov.au/Details/C2017A00129" TargetMode="External"/><Relationship Id="rId111" Type="http://schemas.openxmlformats.org/officeDocument/2006/relationships/hyperlink" Target="http://www.nationalfvpls.org/images/files/Save_FVPLS_media_release.pdf" TargetMode="External"/><Relationship Id="rId153" Type="http://schemas.openxmlformats.org/officeDocument/2006/relationships/hyperlink" Target="http://brookeackerly.org/wp-content/uploads/2010/11/Batliwala-2010.pdf" TargetMode="External"/><Relationship Id="rId195" Type="http://schemas.openxmlformats.org/officeDocument/2006/relationships/hyperlink" Target="http://genderinstitute.anu.edu.au/sites/default/files/docs/2020_docs/HOPEFUL%2C%20TOGETHER%2C%20STRONG.%20Principles%20to%20prevent%20VAW%20in%20the%20NT..pdf" TargetMode="External"/><Relationship Id="rId209" Type="http://schemas.openxmlformats.org/officeDocument/2006/relationships/hyperlink" Target="https://doi.org/10.1177%2F0886260519851211" TargetMode="External"/><Relationship Id="rId360" Type="http://schemas.openxmlformats.org/officeDocument/2006/relationships/hyperlink" Target="https://www.abs.gov.au/statistics/economy/finance/household-income-and-wealth-australia/latest-release" TargetMode="External"/><Relationship Id="rId416" Type="http://schemas.openxmlformats.org/officeDocument/2006/relationships/hyperlink" Target="https://d2bb010tdzqaq7.cloudfront.net/wp-content/uploads/sites/2/2019/11/13041501/Change-the-story-framework-foundations-2-appendix-3.pdf" TargetMode="External"/><Relationship Id="rId220" Type="http://schemas.openxmlformats.org/officeDocument/2006/relationships/hyperlink" Target="https://d2rn9gno7zhxqg.cloudfront.net/wp-content/uploads/2019/02/22014733/NCAS-report-20181.pdf" TargetMode="External"/><Relationship Id="rId458" Type="http://schemas.openxmlformats.org/officeDocument/2006/relationships/hyperlink" Target="https://scanlonfoundation.org.au/wp-content/uploads/2018/12/Social-Cohesion-2018-report-26-Nov.pdf" TargetMode="External"/><Relationship Id="rId15" Type="http://schemas.openxmlformats.org/officeDocument/2006/relationships/hyperlink" Target="https://parlinfo.aph.gov.au/parlInfo/search/search.w3p;adv=yes" TargetMode="External"/><Relationship Id="rId57" Type="http://schemas.openxmlformats.org/officeDocument/2006/relationships/hyperlink" Target="https://ocpe.nt.gov.au/employment-conditions-appeals-grievances/leave" TargetMode="External"/><Relationship Id="rId262" Type="http://schemas.openxmlformats.org/officeDocument/2006/relationships/hyperlink" Target="https://d2rn9gno7zhxqg.cloudfront.net/wp-content/uploads/2019/02/22014733/NCAS-report-20181.pdf" TargetMode="External"/><Relationship Id="rId318" Type="http://schemas.openxmlformats.org/officeDocument/2006/relationships/hyperlink" Target="https://d2rn9gno7zhxqg.cloudfront.net/wp-content/uploads/2019/02/22014733/NCAS-report-20181.pdf" TargetMode="External"/><Relationship Id="rId525" Type="http://schemas.openxmlformats.org/officeDocument/2006/relationships/hyperlink" Target="https://www.abs.gov.au/AUSSTATS/abs@.nsf/DetailsPage/4524.0Partner%20Violence%20-%20January%202020?OpenDocument"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3.emf"/></Relationships>
</file>

<file path=word/_rels/footer11.xml.rels><?xml version="1.0" encoding="UTF-8" standalone="yes"?>
<Relationships xmlns="http://schemas.openxmlformats.org/package/2006/relationships"><Relationship Id="rId1" Type="http://schemas.openxmlformats.org/officeDocument/2006/relationships/image" Target="media/image3.emf"/></Relationships>
</file>

<file path=word/_rels/footer12.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footer5.xml.rels><?xml version="1.0" encoding="UTF-8" standalone="yes"?>
<Relationships xmlns="http://schemas.openxmlformats.org/package/2006/relationships"><Relationship Id="rId1" Type="http://schemas.openxmlformats.org/officeDocument/2006/relationships/image" Target="media/image3.emf"/></Relationships>
</file>

<file path=word/_rels/footer6.xml.rels><?xml version="1.0" encoding="UTF-8" standalone="yes"?>
<Relationships xmlns="http://schemas.openxmlformats.org/package/2006/relationships"><Relationship Id="rId1" Type="http://schemas.openxmlformats.org/officeDocument/2006/relationships/image" Target="media/image3.emf"/></Relationships>
</file>

<file path=word/_rels/footer8.xml.rels><?xml version="1.0" encoding="UTF-8" standalone="yes"?>
<Relationships xmlns="http://schemas.openxmlformats.org/package/2006/relationships"><Relationship Id="rId1" Type="http://schemas.openxmlformats.org/officeDocument/2006/relationships/image" Target="media/image3.emf"/></Relationships>
</file>

<file path=word/_rels/footer9.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3" Type="http://schemas.openxmlformats.org/officeDocument/2006/relationships/hyperlink" Target="https://www.wgea.gov.au/sites/default/files/gender-pay-gap-statistic.pdf" TargetMode="External"/><Relationship Id="rId2" Type="http://schemas.openxmlformats.org/officeDocument/2006/relationships/hyperlink" Target="https://www.abs.gov.au/AUSSTATS/abs@.nsf/Previousproducts/4714.0Feature%20Article12008?opendocument&amp;tabname=Summary&amp;prodno=4714.0&amp;issue=2008&amp;num=&amp;view=" TargetMode="External"/><Relationship Id="rId1" Type="http://schemas.openxmlformats.org/officeDocument/2006/relationships/hyperlink" Target="https://d2rn9gno7zhxqg.cloudfront.net/wp-content/uploads/2019/02/22014733/NCAS-report-20181.pdf" TargetMode="External"/><Relationship Id="rId4" Type="http://schemas.openxmlformats.org/officeDocument/2006/relationships/hyperlink" Target="https://www.abs.gov.au/ausstats/abs@.nsf/Lookup/by%20Subject/4906.0~2016~Main%20Features~Characteristics%20and%20Outcomes%20of%20Childhood%20Abuse%20(Feature%20Article)%20~30" TargetMode="External"/></Relationships>
</file>

<file path=word/theme/theme1.xml><?xml version="1.0" encoding="utf-8"?>
<a:theme xmlns:a="http://schemas.openxmlformats.org/drawingml/2006/main" name="Office Theme">
  <a:themeElements>
    <a:clrScheme name="Our Watch TPiP 280920">
      <a:dk1>
        <a:sysClr val="windowText" lastClr="000000"/>
      </a:dk1>
      <a:lt1>
        <a:srgbClr val="DEE3E8"/>
      </a:lt1>
      <a:dk2>
        <a:srgbClr val="414042"/>
      </a:dk2>
      <a:lt2>
        <a:srgbClr val="F7E4DA"/>
      </a:lt2>
      <a:accent1>
        <a:srgbClr val="096A84"/>
      </a:accent1>
      <a:accent2>
        <a:srgbClr val="CF4627"/>
      </a:accent2>
      <a:accent3>
        <a:srgbClr val="00A982"/>
      </a:accent3>
      <a:accent4>
        <a:srgbClr val="702652"/>
      </a:accent4>
      <a:accent5>
        <a:srgbClr val="4D4D4F"/>
      </a:accent5>
      <a:accent6>
        <a:srgbClr val="3AAF8D"/>
      </a:accent6>
      <a:hlink>
        <a:srgbClr val="1B5997"/>
      </a:hlink>
      <a:folHlink>
        <a:srgbClr val="1B5997"/>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ef89dfe1-2fd6-4ffd-966a-b6a657178080">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7F74AF987FEDD4284DF99B16E0FAF94" ma:contentTypeVersion="11" ma:contentTypeDescription="Create a new document." ma:contentTypeScope="" ma:versionID="0879d22701c3adb0fa74548c1f9eee94">
  <xsd:schema xmlns:xsd="http://www.w3.org/2001/XMLSchema" xmlns:xs="http://www.w3.org/2001/XMLSchema" xmlns:p="http://schemas.microsoft.com/office/2006/metadata/properties" xmlns:ns2="1f551284-f65e-493a-8261-92c05e66cb48" xmlns:ns3="ef89dfe1-2fd6-4ffd-966a-b6a657178080" targetNamespace="http://schemas.microsoft.com/office/2006/metadata/properties" ma:root="true" ma:fieldsID="096c22886631e2ab0042a69c44b827ce" ns2:_="" ns3:_="">
    <xsd:import namespace="1f551284-f65e-493a-8261-92c05e66cb48"/>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551284-f65e-493a-8261-92c05e66cb4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3DEA72-E41F-466F-8BAD-FAA71238B04C}">
  <ds:schemaRefs>
    <ds:schemaRef ds:uri="http://schemas.microsoft.com/sharepoint/v3/contenttype/forms"/>
  </ds:schemaRefs>
</ds:datastoreItem>
</file>

<file path=customXml/itemProps2.xml><?xml version="1.0" encoding="utf-8"?>
<ds:datastoreItem xmlns:ds="http://schemas.openxmlformats.org/officeDocument/2006/customXml" ds:itemID="{3DDF5E91-E429-4B69-9CBD-06C2A602A6A5}">
  <ds:schemaRefs>
    <ds:schemaRef ds:uri="http://schemas.openxmlformats.org/officeDocument/2006/bibliography"/>
  </ds:schemaRefs>
</ds:datastoreItem>
</file>

<file path=customXml/itemProps3.xml><?xml version="1.0" encoding="utf-8"?>
<ds:datastoreItem xmlns:ds="http://schemas.openxmlformats.org/officeDocument/2006/customXml" ds:itemID="{B46C7EA5-50BC-4477-9652-3C9F55FB398C}">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ef89dfe1-2fd6-4ffd-966a-b6a657178080"/>
    <ds:schemaRef ds:uri="1f551284-f65e-493a-8261-92c05e66cb48"/>
    <ds:schemaRef ds:uri="http://www.w3.org/XML/1998/namespace"/>
  </ds:schemaRefs>
</ds:datastoreItem>
</file>

<file path=customXml/itemProps4.xml><?xml version="1.0" encoding="utf-8"?>
<ds:datastoreItem xmlns:ds="http://schemas.openxmlformats.org/officeDocument/2006/customXml" ds:itemID="{37E706E0-DA76-450F-836D-9BDB4823A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551284-f65e-493a-8261-92c05e66cb48"/>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350</Pages>
  <Words>107286</Words>
  <Characters>625282</Characters>
  <Application>Microsoft Office Word</Application>
  <DocSecurity>0</DocSecurity>
  <Lines>5210</Lines>
  <Paragraphs>1462</Paragraphs>
  <ScaleCrop>false</ScaleCrop>
  <HeadingPairs>
    <vt:vector size="2" baseType="variant">
      <vt:variant>
        <vt:lpstr>Title</vt:lpstr>
      </vt:variant>
      <vt:variant>
        <vt:i4>1</vt:i4>
      </vt:variant>
    </vt:vector>
  </HeadingPairs>
  <TitlesOfParts>
    <vt:vector size="1" baseType="lpstr">
      <vt:lpstr>Tracking progress in prevention: A national monitoring report on progress towards the primary prevention of violence against women and their children in Australia</vt:lpstr>
    </vt:vector>
  </TitlesOfParts>
  <Company>Our Watch</Company>
  <LinksUpToDate>false</LinksUpToDate>
  <CharactersWithSpaces>731106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Tracking progress in prevention: A national monitoring report on progress towards the primary prevention of violence against women and their children in Australia</dc:title>
  <dc:subject>Prevention of violence against women and their children</dc:subject>
  <dc:creator>Our Watch</dc:creator>
  <cp:keywords>prevention of violence against women, PVAW, progress monitoring, primary prevention, gendered drivers, intersecting drivers, reinforcing factors</cp:keywords>
  <dc:description/>
  <cp:lastModifiedBy>Robert Di Renzo</cp:lastModifiedBy>
  <cp:revision>189</cp:revision>
  <cp:lastPrinted>2020-10-31T05:13:00Z</cp:lastPrinted>
  <dcterms:created xsi:type="dcterms:W3CDTF">2020-09-17T17:01:00Z</dcterms:created>
  <dcterms:modified xsi:type="dcterms:W3CDTF">2020-11-01T00:39:00Z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