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27B0" w14:textId="50C69EB1" w:rsidR="004D1500" w:rsidRPr="005A2CE3" w:rsidRDefault="00DC0CA5" w:rsidP="008F372E">
      <w:pPr>
        <w:pStyle w:val="PageHeading"/>
        <w:spacing w:after="0"/>
        <w:ind w:right="-1283"/>
        <w:rPr>
          <w:sz w:val="66"/>
          <w:szCs w:val="66"/>
        </w:rPr>
      </w:pPr>
      <w:bookmarkStart w:id="0" w:name="_Toc216956700"/>
      <w:bookmarkStart w:id="1" w:name="_Toc216956812"/>
      <w:bookmarkStart w:id="2" w:name="_Toc34486318"/>
      <w:bookmarkStart w:id="3" w:name="_Toc34486710"/>
      <w:bookmarkStart w:id="4" w:name="_Toc34505821"/>
      <w:bookmarkStart w:id="5" w:name="_Toc34542743"/>
      <w:bookmarkStart w:id="6" w:name="_Toc34543086"/>
      <w:bookmarkStart w:id="7" w:name="_Toc34545075"/>
      <w:bookmarkStart w:id="8" w:name="_Toc34830157"/>
      <w:bookmarkStart w:id="9" w:name="_Toc37156132"/>
      <w:r w:rsidRPr="007D7BD0">
        <w:rPr>
          <w:rFonts w:ascii="Roboto Light" w:hAnsi="Roboto Light"/>
          <w:b w:val="0"/>
          <w:bCs w:val="0"/>
          <w:noProof/>
          <w:sz w:val="66"/>
          <w:szCs w:val="66"/>
          <w14:ligatures w14:val="standardContextual"/>
        </w:rPr>
        <w:drawing>
          <wp:anchor distT="0" distB="0" distL="114300" distR="114300" simplePos="0" relativeHeight="251658242" behindDoc="1" locked="0" layoutInCell="1" allowOverlap="1" wp14:anchorId="0D081DFC" wp14:editId="29D73E67">
            <wp:simplePos x="0" y="0"/>
            <wp:positionH relativeFrom="column">
              <wp:posOffset>-889000</wp:posOffset>
            </wp:positionH>
            <wp:positionV relativeFrom="paragraph">
              <wp:posOffset>-1226706</wp:posOffset>
            </wp:positionV>
            <wp:extent cx="7927552" cy="11218727"/>
            <wp:effectExtent l="0" t="0" r="0" b="0"/>
            <wp:wrapNone/>
            <wp:docPr id="1277565724" name="Picture 2" descr="Two boys in school univform chatting abou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65724" name="Picture 2" descr="Two boys in school univform chatting about work."/>
                    <pic:cNvPicPr/>
                  </pic:nvPicPr>
                  <pic:blipFill>
                    <a:blip r:embed="rId11">
                      <a:extLst>
                        <a:ext uri="{28A0092B-C50C-407E-A947-70E740481C1C}">
                          <a14:useLocalDpi xmlns:a14="http://schemas.microsoft.com/office/drawing/2010/main" val="0"/>
                        </a:ext>
                      </a:extLst>
                    </a:blip>
                    <a:stretch>
                      <a:fillRect/>
                    </a:stretch>
                  </pic:blipFill>
                  <pic:spPr>
                    <a:xfrm>
                      <a:off x="0" y="0"/>
                      <a:ext cx="7927552" cy="11218727"/>
                    </a:xfrm>
                    <a:prstGeom prst="rect">
                      <a:avLst/>
                    </a:prstGeom>
                  </pic:spPr>
                </pic:pic>
              </a:graphicData>
            </a:graphic>
            <wp14:sizeRelH relativeFrom="page">
              <wp14:pctWidth>0</wp14:pctWidth>
            </wp14:sizeRelH>
            <wp14:sizeRelV relativeFrom="page">
              <wp14:pctHeight>0</wp14:pctHeight>
            </wp14:sizeRelV>
          </wp:anchor>
        </w:drawing>
      </w:r>
      <w:r w:rsidR="007D7BD0" w:rsidRPr="007D7BD0">
        <w:rPr>
          <w:rFonts w:ascii="Roboto Light" w:hAnsi="Roboto Light"/>
          <w:b w:val="0"/>
          <w:bCs w:val="0"/>
          <w:sz w:val="66"/>
          <w:szCs w:val="66"/>
        </w:rPr>
        <w:t>Y</w:t>
      </w:r>
      <w:r w:rsidR="007D7BD0" w:rsidRPr="005A2CE3">
        <w:rPr>
          <w:rFonts w:ascii="Roboto Light" w:hAnsi="Roboto Light"/>
          <w:b w:val="0"/>
          <w:sz w:val="66"/>
          <w:szCs w:val="66"/>
        </w:rPr>
        <w:t>oung people, online worlds and respectful relationships education:</w:t>
      </w:r>
      <w:r w:rsidR="007D7BD0" w:rsidRPr="005A2CE3">
        <w:rPr>
          <w:sz w:val="66"/>
          <w:szCs w:val="66"/>
        </w:rPr>
        <w:t xml:space="preserve"> </w:t>
      </w:r>
      <w:r w:rsidR="004D1500" w:rsidRPr="005A2CE3">
        <w:rPr>
          <w:rFonts w:ascii="Roboto Black" w:hAnsi="Roboto Black"/>
          <w:sz w:val="66"/>
          <w:szCs w:val="66"/>
        </w:rPr>
        <w:t>What the research tell</w:t>
      </w:r>
      <w:r w:rsidR="000C0711">
        <w:rPr>
          <w:rFonts w:ascii="Roboto Black" w:hAnsi="Roboto Black"/>
          <w:sz w:val="66"/>
          <w:szCs w:val="66"/>
        </w:rPr>
        <w:t>s</w:t>
      </w:r>
      <w:r w:rsidR="004D1500" w:rsidRPr="005A2CE3">
        <w:rPr>
          <w:rFonts w:ascii="Roboto Black" w:hAnsi="Roboto Black"/>
          <w:sz w:val="66"/>
          <w:szCs w:val="66"/>
        </w:rPr>
        <w:t xml:space="preserve"> us</w:t>
      </w:r>
      <w:bookmarkEnd w:id="0"/>
      <w:bookmarkEnd w:id="1"/>
    </w:p>
    <w:p w14:paraId="3565BB9D" w14:textId="77777777" w:rsidR="007815CA" w:rsidRDefault="007815CA" w:rsidP="008935E1"/>
    <w:p w14:paraId="262D2097" w14:textId="097074BD" w:rsidR="0097481B" w:rsidRPr="008935E1" w:rsidRDefault="0082312D" w:rsidP="008935E1">
      <w:r>
        <w:t>May</w:t>
      </w:r>
      <w:r w:rsidR="0097481B" w:rsidRPr="008935E1">
        <w:t xml:space="preserve"> 202</w:t>
      </w:r>
      <w:r w:rsidR="007554E3">
        <w:t>6</w:t>
      </w:r>
    </w:p>
    <w:p w14:paraId="55456E78" w14:textId="00991C11" w:rsidR="008935E1" w:rsidRPr="008935E1" w:rsidRDefault="008935E1" w:rsidP="008935E1">
      <w:r w:rsidRPr="008935E1">
        <w:t xml:space="preserve">Our Watch and </w:t>
      </w:r>
      <w:r w:rsidR="00CC6AD3">
        <w:t xml:space="preserve">Melbourne University, </w:t>
      </w:r>
      <w:r w:rsidRPr="008935E1">
        <w:t>Youth Research Collective</w:t>
      </w:r>
    </w:p>
    <w:p w14:paraId="73F87355" w14:textId="49AF224B" w:rsidR="004D1500" w:rsidRPr="008935E1" w:rsidRDefault="004D1500" w:rsidP="008935E1">
      <w:pPr>
        <w:rPr>
          <w:lang w:val="en-AU"/>
        </w:rPr>
      </w:pPr>
    </w:p>
    <w:p w14:paraId="1D6D66A3" w14:textId="67C2309B" w:rsidR="004D1500" w:rsidRPr="008935E1" w:rsidRDefault="004D1500" w:rsidP="008935E1">
      <w:pPr>
        <w:rPr>
          <w:lang w:val="en-AU"/>
        </w:rPr>
      </w:pPr>
    </w:p>
    <w:p w14:paraId="09073E21" w14:textId="6AF61700" w:rsidR="004D1500" w:rsidRPr="008935E1" w:rsidRDefault="004D1500" w:rsidP="008935E1">
      <w:pPr>
        <w:rPr>
          <w:lang w:val="en-AU"/>
        </w:rPr>
      </w:pPr>
    </w:p>
    <w:p w14:paraId="75E73354" w14:textId="3C9AA705" w:rsidR="004D1500" w:rsidRPr="008935E1" w:rsidRDefault="007A798F" w:rsidP="008935E1">
      <w:pPr>
        <w:rPr>
          <w:lang w:val="en-AU"/>
        </w:rPr>
      </w:pPr>
      <w:r>
        <w:rPr>
          <w:noProof/>
          <w14:ligatures w14:val="standardContextual"/>
        </w:rPr>
        <w:drawing>
          <wp:anchor distT="0" distB="0" distL="114300" distR="114300" simplePos="0" relativeHeight="251658243" behindDoc="0" locked="0" layoutInCell="1" allowOverlap="1" wp14:anchorId="44932AC0" wp14:editId="667820E3">
            <wp:simplePos x="0" y="0"/>
            <wp:positionH relativeFrom="column">
              <wp:posOffset>2631017</wp:posOffset>
            </wp:positionH>
            <wp:positionV relativeFrom="paragraph">
              <wp:posOffset>5096521</wp:posOffset>
            </wp:positionV>
            <wp:extent cx="3554159" cy="607695"/>
            <wp:effectExtent l="0" t="0" r="1905" b="1905"/>
            <wp:wrapNone/>
            <wp:docPr id="1029201938" name="Picture 4" descr="Our Watch logo with the tag 'Preventing violence against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01938" name="Picture 4" descr="Our Watch logo with the tag 'Preventing violence against women'."/>
                    <pic:cNvPicPr/>
                  </pic:nvPicPr>
                  <pic:blipFill>
                    <a:blip r:embed="rId12">
                      <a:extLst>
                        <a:ext uri="{28A0092B-C50C-407E-A947-70E740481C1C}">
                          <a14:useLocalDpi xmlns:a14="http://schemas.microsoft.com/office/drawing/2010/main" val="0"/>
                        </a:ext>
                      </a:extLst>
                    </a:blip>
                    <a:stretch>
                      <a:fillRect/>
                    </a:stretch>
                  </pic:blipFill>
                  <pic:spPr>
                    <a:xfrm>
                      <a:off x="0" y="0"/>
                      <a:ext cx="3554159" cy="607695"/>
                    </a:xfrm>
                    <a:prstGeom prst="rect">
                      <a:avLst/>
                    </a:prstGeom>
                  </pic:spPr>
                </pic:pic>
              </a:graphicData>
            </a:graphic>
            <wp14:sizeRelH relativeFrom="page">
              <wp14:pctWidth>0</wp14:pctWidth>
            </wp14:sizeRelH>
            <wp14:sizeRelV relativeFrom="page">
              <wp14:pctHeight>0</wp14:pctHeight>
            </wp14:sizeRelV>
          </wp:anchor>
        </w:drawing>
      </w:r>
    </w:p>
    <w:p w14:paraId="1BD9FB5C" w14:textId="77777777" w:rsidR="00200C04" w:rsidRDefault="00200C04" w:rsidP="008935E1">
      <w:pPr>
        <w:rPr>
          <w:lang w:val="en-AU"/>
        </w:rPr>
        <w:sectPr w:rsidR="00200C04" w:rsidSect="00CA6A8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0" w:h="16840"/>
          <w:pgMar w:top="851" w:right="2268" w:bottom="1134" w:left="1134" w:header="0" w:footer="567" w:gutter="0"/>
          <w:cols w:space="708"/>
          <w:docGrid w:linePitch="360"/>
        </w:sectPr>
      </w:pPr>
    </w:p>
    <w:p w14:paraId="2F8207DB" w14:textId="77777777" w:rsidR="00200C04" w:rsidRPr="0044673D" w:rsidRDefault="00200C04" w:rsidP="00ED1A20">
      <w:pPr>
        <w:pStyle w:val="TableHeading"/>
        <w:rPr>
          <w:rStyle w:val="Strong"/>
        </w:rPr>
      </w:pPr>
      <w:bookmarkStart w:id="10" w:name="_Toc200958458"/>
      <w:bookmarkStart w:id="11" w:name="_Toc130820592"/>
      <w:r w:rsidRPr="0044673D">
        <w:rPr>
          <w:rStyle w:val="Strong"/>
        </w:rPr>
        <w:lastRenderedPageBreak/>
        <w:t>Acknowledgement of Country</w:t>
      </w:r>
      <w:bookmarkEnd w:id="10"/>
    </w:p>
    <w:p w14:paraId="2A7435A6" w14:textId="77777777" w:rsidR="00200C04" w:rsidRPr="0044673D" w:rsidRDefault="00200C04" w:rsidP="00ED1A20">
      <w:pPr>
        <w:rPr>
          <w:sz w:val="20"/>
          <w:szCs w:val="20"/>
          <w:lang w:val="en-AU"/>
        </w:rPr>
      </w:pPr>
      <w:r w:rsidRPr="0044673D">
        <w:rPr>
          <w:sz w:val="20"/>
          <w:szCs w:val="20"/>
          <w:lang w:val="en-AU"/>
        </w:rPr>
        <w:t>Our Watch acknowledges the Traditional Owners of the land across Australia on which we work and live. We pay respects to Elders past and present and recognise the continuing connection of Aboriginal and Torres Strait Islander people to land, culture, knowledge and language for over 65,000 years.</w:t>
      </w:r>
    </w:p>
    <w:p w14:paraId="473AFA05" w14:textId="77777777" w:rsidR="00200C04" w:rsidRPr="0044673D" w:rsidRDefault="00200C04" w:rsidP="00ED1A20">
      <w:pPr>
        <w:rPr>
          <w:sz w:val="20"/>
          <w:szCs w:val="20"/>
          <w:lang w:val="en-AU"/>
        </w:rPr>
      </w:pPr>
      <w:r w:rsidRPr="0044673D">
        <w:rPr>
          <w:sz w:val="20"/>
          <w:szCs w:val="20"/>
          <w:lang w:val="en-AU"/>
        </w:rPr>
        <w:t xml:space="preserve">As a non-Aboriginal organisation, Our Watch understands that violence against Aboriginal and Torres Strait Islander women and children is a whole-of-community issue. As highlighted in Our Watch’s national resource </w:t>
      </w:r>
      <w:r w:rsidRPr="0044673D">
        <w:rPr>
          <w:rFonts w:cstheme="minorBidi"/>
          <w:i/>
          <w:iCs/>
          <w:spacing w:val="-5"/>
          <w:sz w:val="20"/>
          <w:szCs w:val="20"/>
          <w:lang w:val="en-AU"/>
        </w:rPr>
        <w:t>Changing the picture</w:t>
      </w:r>
      <w:r w:rsidRPr="0044673D">
        <w:rPr>
          <w:sz w:val="20"/>
          <w:szCs w:val="20"/>
          <w:lang w:val="en-AU"/>
        </w:rPr>
        <w:t>, there is an intersection between racism, sexism and violence against Aboriginal and Torres Strait Islander women.</w:t>
      </w:r>
    </w:p>
    <w:p w14:paraId="3C966E0E" w14:textId="77777777" w:rsidR="00200C04" w:rsidRPr="0044673D" w:rsidRDefault="00200C04" w:rsidP="00ED1A20">
      <w:pPr>
        <w:rPr>
          <w:sz w:val="20"/>
          <w:szCs w:val="20"/>
          <w:lang w:val="en-AU"/>
        </w:rPr>
      </w:pPr>
      <w:r w:rsidRPr="0044673D">
        <w:rPr>
          <w:sz w:val="20"/>
          <w:szCs w:val="20"/>
          <w:lang w:val="en-AU"/>
        </w:rPr>
        <w:t>Our Watch has an ongoing commitment to the prevention of violence against Aboriginal and Torres Strait Islander women and children, who continue to experience violence at significantly higher rates than non-Aboriginal women. We acknowledge all Aboriginal and Torres Strait Islander people who continue to lead the work of sharing knowledge with non-Aboriginal people and relentlessly advocate for an equitable, violence-free future in Australia.</w:t>
      </w:r>
    </w:p>
    <w:p w14:paraId="7765DD99" w14:textId="77777777" w:rsidR="0044673D" w:rsidRDefault="0044673D" w:rsidP="00ED1A20">
      <w:pPr>
        <w:pStyle w:val="TableHeading"/>
        <w:rPr>
          <w:sz w:val="20"/>
          <w:szCs w:val="20"/>
        </w:rPr>
      </w:pPr>
      <w:bookmarkStart w:id="12" w:name="_Toc200958459"/>
    </w:p>
    <w:p w14:paraId="588F5848" w14:textId="1C36A508" w:rsidR="00200C04" w:rsidRPr="0044673D" w:rsidRDefault="00200C04" w:rsidP="00ED1A20">
      <w:pPr>
        <w:pStyle w:val="TableHeading"/>
        <w:rPr>
          <w:rStyle w:val="Strong"/>
        </w:rPr>
      </w:pPr>
      <w:r w:rsidRPr="0044673D">
        <w:rPr>
          <w:rStyle w:val="Strong"/>
        </w:rPr>
        <w:t>About Our Watch</w:t>
      </w:r>
      <w:bookmarkEnd w:id="11"/>
      <w:bookmarkEnd w:id="12"/>
    </w:p>
    <w:bookmarkStart w:id="13" w:name="_Hlk120289649"/>
    <w:bookmarkStart w:id="14" w:name="_Toc121300801"/>
    <w:p w14:paraId="0E3A9C73" w14:textId="77777777" w:rsidR="00200C04" w:rsidRPr="0044673D" w:rsidRDefault="00200C04" w:rsidP="00ED1A20">
      <w:pPr>
        <w:rPr>
          <w:sz w:val="20"/>
          <w:szCs w:val="20"/>
          <w:lang w:val="en-AU"/>
        </w:rPr>
      </w:pPr>
      <w:r w:rsidRPr="0044673D">
        <w:rPr>
          <w:sz w:val="20"/>
          <w:szCs w:val="20"/>
          <w:lang w:val="en-AU"/>
        </w:rPr>
        <w:fldChar w:fldCharType="begin"/>
      </w:r>
      <w:r w:rsidRPr="0044673D">
        <w:rPr>
          <w:sz w:val="20"/>
          <w:szCs w:val="20"/>
          <w:lang w:val="en-AU"/>
        </w:rPr>
        <w:instrText xml:space="preserve"> HYPERLINK "https://www.ourwatch.org.au/" </w:instrText>
      </w:r>
      <w:r w:rsidRPr="0044673D">
        <w:rPr>
          <w:sz w:val="20"/>
          <w:szCs w:val="20"/>
          <w:lang w:val="en-AU"/>
        </w:rPr>
      </w:r>
      <w:r w:rsidRPr="0044673D">
        <w:rPr>
          <w:sz w:val="20"/>
          <w:szCs w:val="20"/>
          <w:lang w:val="en-AU"/>
        </w:rPr>
        <w:fldChar w:fldCharType="separate"/>
      </w:r>
      <w:r w:rsidRPr="0044673D">
        <w:rPr>
          <w:rStyle w:val="Hyperlink"/>
          <w:sz w:val="20"/>
          <w:szCs w:val="20"/>
          <w:lang w:val="en-AU"/>
        </w:rPr>
        <w:t>Our Watch</w:t>
      </w:r>
      <w:r w:rsidRPr="0044673D">
        <w:rPr>
          <w:sz w:val="20"/>
          <w:szCs w:val="20"/>
          <w:lang w:val="en-AU"/>
        </w:rPr>
        <w:fldChar w:fldCharType="end"/>
      </w:r>
      <w:r w:rsidRPr="0044673D">
        <w:rPr>
          <w:sz w:val="20"/>
          <w:szCs w:val="20"/>
          <w:lang w:val="en-AU"/>
        </w:rPr>
        <w:t xml:space="preserve"> is a national leader in the primary prevention of violence against women and their children in Australia. We are an independent, not-for-profit organisation established by the Commonwealth and Victorian governments in 2013. All Australian state and territory governments are members of Our Watch.</w:t>
      </w:r>
    </w:p>
    <w:p w14:paraId="79909688" w14:textId="77777777" w:rsidR="00200C04" w:rsidRDefault="00200C04" w:rsidP="00ED1A20">
      <w:pPr>
        <w:rPr>
          <w:sz w:val="20"/>
          <w:szCs w:val="20"/>
          <w:lang w:val="en-AU" w:eastAsia="en-AU"/>
        </w:rPr>
      </w:pPr>
      <w:r w:rsidRPr="0044673D">
        <w:rPr>
          <w:sz w:val="20"/>
          <w:szCs w:val="20"/>
          <w:lang w:val="en-AU"/>
        </w:rPr>
        <w:t xml:space="preserve">Our vision is an Australia where women and their children live free from all forms of violence. We aim to drive nationwide change in the culture, behaviours, attitudes, institutions, systems and social structures that drive violence against women. </w:t>
      </w:r>
      <w:r w:rsidRPr="0044673D">
        <w:rPr>
          <w:sz w:val="20"/>
          <w:szCs w:val="20"/>
          <w:lang w:val="en-AU" w:eastAsia="en-AU"/>
        </w:rPr>
        <w:t xml:space="preserve">Guided by national evidence-based frameworks, </w:t>
      </w:r>
      <w:hyperlink r:id="rId19">
        <w:r w:rsidRPr="0044673D">
          <w:rPr>
            <w:rStyle w:val="Hyperlink"/>
            <w:sz w:val="20"/>
            <w:szCs w:val="20"/>
            <w:lang w:val="en-AU" w:eastAsia="en-AU"/>
          </w:rPr>
          <w:t>Change the story</w:t>
        </w:r>
      </w:hyperlink>
      <w:r w:rsidRPr="0044673D">
        <w:rPr>
          <w:rFonts w:cs="Calibri"/>
          <w:i/>
          <w:iCs/>
          <w:color w:val="002453"/>
          <w:spacing w:val="-5"/>
          <w:sz w:val="20"/>
          <w:szCs w:val="20"/>
          <w:lang w:val="en-AU" w:eastAsia="en-AU"/>
        </w:rPr>
        <w:t xml:space="preserve"> </w:t>
      </w:r>
      <w:r w:rsidRPr="0044673D">
        <w:rPr>
          <w:rFonts w:cs="Calibri"/>
          <w:color w:val="002453"/>
          <w:spacing w:val="-5"/>
          <w:sz w:val="20"/>
          <w:szCs w:val="20"/>
          <w:lang w:val="en-AU" w:eastAsia="en-AU"/>
        </w:rPr>
        <w:t>(2</w:t>
      </w:r>
      <w:r w:rsidRPr="0044673D">
        <w:rPr>
          <w:sz w:val="20"/>
          <w:szCs w:val="20"/>
          <w:lang w:val="en-AU"/>
        </w:rPr>
        <w:t>nd</w:t>
      </w:r>
      <w:r w:rsidRPr="0044673D">
        <w:rPr>
          <w:rFonts w:cs="Calibri"/>
          <w:color w:val="002453"/>
          <w:spacing w:val="-5"/>
          <w:sz w:val="20"/>
          <w:szCs w:val="20"/>
          <w:lang w:val="en-AU" w:eastAsia="en-AU"/>
        </w:rPr>
        <w:t xml:space="preserve"> ed., 2021)</w:t>
      </w:r>
      <w:bookmarkEnd w:id="13"/>
      <w:bookmarkEnd w:id="14"/>
      <w:r w:rsidRPr="0044673D">
        <w:rPr>
          <w:rFonts w:eastAsia="Calibri" w:cs="Calibri"/>
          <w:color w:val="002453"/>
          <w:spacing w:val="-5"/>
          <w:sz w:val="20"/>
          <w:szCs w:val="20"/>
          <w:vertAlign w:val="superscript"/>
          <w:lang w:val="en-AU" w:eastAsia="en-AU"/>
        </w:rPr>
        <w:endnoteReference w:id="2"/>
      </w:r>
      <w:r w:rsidRPr="0044673D">
        <w:rPr>
          <w:rFonts w:cs="Calibri"/>
          <w:color w:val="002453"/>
          <w:spacing w:val="-5"/>
          <w:sz w:val="20"/>
          <w:szCs w:val="20"/>
          <w:lang w:val="en-AU" w:eastAsia="en-AU"/>
        </w:rPr>
        <w:t xml:space="preserve">, </w:t>
      </w:r>
      <w:hyperlink r:id="rId20" w:history="1">
        <w:r w:rsidRPr="0044673D">
          <w:rPr>
            <w:rStyle w:val="HyperlinkItalic"/>
            <w:sz w:val="20"/>
            <w:szCs w:val="20"/>
            <w:lang w:val="en-AU"/>
          </w:rPr>
          <w:t>Changing</w:t>
        </w:r>
      </w:hyperlink>
      <w:r w:rsidRPr="0044673D">
        <w:rPr>
          <w:rStyle w:val="HyperlinkItalic"/>
          <w:sz w:val="20"/>
          <w:szCs w:val="20"/>
          <w:lang w:val="en-AU"/>
        </w:rPr>
        <w:t xml:space="preserve"> the picture</w:t>
      </w:r>
      <w:r w:rsidRPr="0044673D">
        <w:rPr>
          <w:sz w:val="20"/>
          <w:szCs w:val="20"/>
          <w:lang w:val="en-AU"/>
        </w:rPr>
        <w:t xml:space="preserve"> (2018) and </w:t>
      </w:r>
      <w:hyperlink r:id="rId21" w:history="1">
        <w:r w:rsidRPr="0044673D">
          <w:rPr>
            <w:rStyle w:val="HyperlinkItalic"/>
            <w:sz w:val="20"/>
            <w:szCs w:val="20"/>
            <w:lang w:val="en-AU"/>
          </w:rPr>
          <w:t>Changing</w:t>
        </w:r>
      </w:hyperlink>
      <w:r w:rsidRPr="0044673D">
        <w:rPr>
          <w:rStyle w:val="HyperlinkItalic"/>
          <w:sz w:val="20"/>
          <w:szCs w:val="20"/>
          <w:lang w:val="en-AU"/>
        </w:rPr>
        <w:t xml:space="preserve"> the landscape </w:t>
      </w:r>
      <w:r w:rsidRPr="0044673D">
        <w:rPr>
          <w:sz w:val="20"/>
          <w:szCs w:val="20"/>
          <w:lang w:val="en-AU"/>
        </w:rPr>
        <w:t xml:space="preserve">(2022), </w:t>
      </w:r>
      <w:r w:rsidRPr="0044673D">
        <w:rPr>
          <w:sz w:val="20"/>
          <w:szCs w:val="20"/>
          <w:lang w:val="en-AU" w:eastAsia="en-AU"/>
        </w:rPr>
        <w:t>we work with governments, practitioners, and the community, at all levels of Australian society, to address these drivers of violence in all settings where people live, learn, work and socialise.</w:t>
      </w:r>
    </w:p>
    <w:p w14:paraId="3CE17C78" w14:textId="77777777" w:rsidR="0030007B" w:rsidRPr="0044673D" w:rsidRDefault="0030007B" w:rsidP="00ED1A20">
      <w:pPr>
        <w:rPr>
          <w:sz w:val="20"/>
          <w:szCs w:val="20"/>
          <w:lang w:val="en-AU" w:eastAsia="en-AU"/>
        </w:rPr>
      </w:pPr>
    </w:p>
    <w:p w14:paraId="3AEBC66F" w14:textId="77777777" w:rsidR="00200C04" w:rsidRPr="0044673D" w:rsidRDefault="00200C04" w:rsidP="00ED1A20">
      <w:pPr>
        <w:rPr>
          <w:sz w:val="20"/>
          <w:szCs w:val="20"/>
          <w:lang w:val="en-AU"/>
        </w:rPr>
      </w:pPr>
      <w:r w:rsidRPr="0044673D">
        <w:rPr>
          <w:sz w:val="20"/>
          <w:szCs w:val="20"/>
          <w:lang w:val="en-AU"/>
        </w:rPr>
        <w:t xml:space="preserve">Since its establishment, Our Watch has maintained a strong focus on children and young people through its development of the evidence base for respectful relationships education (RRE). Our Watch has led pilots in secondary and primary schools, and worked alongside policy-makers, educators, students and school leadership, as well as experts in designing, implementing and evaluating respectful relationships education across Australia. In addition to RRE, Our Watch is also responsible for delivering </w:t>
      </w:r>
      <w:r w:rsidRPr="0044673D">
        <w:rPr>
          <w:rFonts w:cstheme="minorBidi"/>
          <w:i/>
          <w:iCs/>
          <w:spacing w:val="-5"/>
          <w:sz w:val="20"/>
          <w:szCs w:val="20"/>
          <w:lang w:val="en-AU"/>
        </w:rPr>
        <w:t>The Line</w:t>
      </w:r>
      <w:r w:rsidRPr="0044673D">
        <w:rPr>
          <w:sz w:val="20"/>
          <w:szCs w:val="20"/>
          <w:lang w:val="en-AU"/>
        </w:rPr>
        <w:t>, a national campaign that supports young people to understand what’s ok and what’s not when it comes to sex, dating and relationships, and equips them with the skills and tools to challenge harmful attitudes and behaviours. In taking a leadership role in both convening the first National Respectful Relationships Education Expert Group (2017–2020) and chairing the current National Respectful Relationships Education Expert Working Group (2023–present), Our Watch supports national information-sharing, practice coordination and policy development. Our Watch also provides ongoing advice to the education sector, including Commonwealth, state and territory Departments of Education, on what is needed to design and deliver best-practice respectful relationships education to stop gender-based violence before it starts.</w:t>
      </w:r>
    </w:p>
    <w:p w14:paraId="022860E0" w14:textId="77777777" w:rsidR="00200C04" w:rsidRPr="0044673D" w:rsidRDefault="00200C04" w:rsidP="00ED1A20">
      <w:pPr>
        <w:rPr>
          <w:sz w:val="20"/>
          <w:szCs w:val="20"/>
          <w:lang w:val="en-AU"/>
        </w:rPr>
      </w:pPr>
    </w:p>
    <w:p w14:paraId="62192EF7" w14:textId="77777777" w:rsidR="00200C04" w:rsidRPr="0044673D" w:rsidRDefault="00200C04" w:rsidP="00ED1A20">
      <w:pPr>
        <w:pStyle w:val="TableHeading"/>
        <w:rPr>
          <w:rStyle w:val="Strong"/>
        </w:rPr>
      </w:pPr>
      <w:r w:rsidRPr="0044673D">
        <w:rPr>
          <w:rStyle w:val="Strong"/>
        </w:rPr>
        <w:t>Acknowledgements</w:t>
      </w:r>
    </w:p>
    <w:p w14:paraId="7B2B9F68" w14:textId="77777777" w:rsidR="00200C04" w:rsidRDefault="00200C04" w:rsidP="00ED1A20">
      <w:pPr>
        <w:rPr>
          <w:sz w:val="20"/>
          <w:szCs w:val="20"/>
          <w:lang w:val="en-AU"/>
        </w:rPr>
      </w:pPr>
      <w:r w:rsidRPr="0044673D">
        <w:rPr>
          <w:sz w:val="20"/>
          <w:szCs w:val="20"/>
          <w:lang w:val="en-AU"/>
        </w:rPr>
        <w:t xml:space="preserve">Our Watch would like to acknowledge Our Watch staff members Genevieve Sheppard, Dr Sarah Hewitt, Rachael Weatherall, and Jacqueline Baker. Our Watch would also like to acknowledge Youth Research Collective members Professor Helen Cahill, Keren Shlezinger, Anne Farrelly, Natalie Calleja and Katherine Romei from the Youth Research Collective, Faculty of Education, The University of Melbourne, Australia for their significant contributions to this research summary. </w:t>
      </w:r>
    </w:p>
    <w:p w14:paraId="04ACC467" w14:textId="77777777" w:rsidR="0044673D" w:rsidRPr="0044673D" w:rsidRDefault="0044673D" w:rsidP="00ED1A20">
      <w:pPr>
        <w:rPr>
          <w:sz w:val="20"/>
          <w:szCs w:val="20"/>
          <w:lang w:val="en-AU"/>
        </w:rPr>
      </w:pPr>
    </w:p>
    <w:p w14:paraId="4F3546BB" w14:textId="3A3B1AB4" w:rsidR="00A91763" w:rsidRPr="0044673D" w:rsidRDefault="00200C04" w:rsidP="00ED1A20">
      <w:pPr>
        <w:rPr>
          <w:sz w:val="20"/>
          <w:szCs w:val="20"/>
          <w:lang w:val="en-AU"/>
        </w:rPr>
      </w:pPr>
      <w:r w:rsidRPr="0044673D">
        <w:rPr>
          <w:rStyle w:val="Strong"/>
        </w:rPr>
        <w:t>Suggested citation:</w:t>
      </w:r>
      <w:r w:rsidRPr="0044673D">
        <w:rPr>
          <w:sz w:val="20"/>
          <w:szCs w:val="20"/>
          <w:lang w:val="en-AU"/>
        </w:rPr>
        <w:t xml:space="preserve"> </w:t>
      </w:r>
      <w:r w:rsidR="0082312D">
        <w:rPr>
          <w:sz w:val="20"/>
          <w:szCs w:val="20"/>
          <w:lang w:val="en-AU"/>
        </w:rPr>
        <w:br/>
      </w:r>
      <w:r w:rsidRPr="0044673D">
        <w:rPr>
          <w:sz w:val="20"/>
          <w:szCs w:val="20"/>
          <w:lang w:val="en-AU"/>
        </w:rPr>
        <w:t>Our Watch and Youth Research Collective. (202</w:t>
      </w:r>
      <w:r w:rsidR="00E436AC">
        <w:rPr>
          <w:sz w:val="20"/>
          <w:szCs w:val="20"/>
          <w:lang w:val="en-AU"/>
        </w:rPr>
        <w:t>6</w:t>
      </w:r>
      <w:r w:rsidRPr="0044673D">
        <w:rPr>
          <w:sz w:val="20"/>
          <w:szCs w:val="20"/>
          <w:lang w:val="en-AU"/>
        </w:rPr>
        <w:t xml:space="preserve">). </w:t>
      </w:r>
      <w:r w:rsidR="00E436AC" w:rsidRPr="00E436AC">
        <w:rPr>
          <w:i/>
          <w:iCs/>
          <w:sz w:val="20"/>
          <w:szCs w:val="20"/>
          <w:lang w:val="en-AU"/>
        </w:rPr>
        <w:t>Young people, online worlds and respectful relationships education</w:t>
      </w:r>
      <w:r w:rsidRPr="0044673D">
        <w:rPr>
          <w:i/>
          <w:iCs/>
          <w:sz w:val="20"/>
          <w:szCs w:val="20"/>
          <w:lang w:val="en-AU"/>
        </w:rPr>
        <w:t xml:space="preserve">: </w:t>
      </w:r>
      <w:r w:rsidR="00727283">
        <w:rPr>
          <w:i/>
          <w:iCs/>
          <w:sz w:val="20"/>
          <w:szCs w:val="20"/>
          <w:lang w:val="en-AU"/>
        </w:rPr>
        <w:t>W</w:t>
      </w:r>
      <w:r w:rsidRPr="0044673D">
        <w:rPr>
          <w:i/>
          <w:iCs/>
          <w:sz w:val="20"/>
          <w:szCs w:val="20"/>
          <w:lang w:val="en-AU"/>
        </w:rPr>
        <w:t>hat the research tells us</w:t>
      </w:r>
      <w:r w:rsidRPr="0044673D">
        <w:rPr>
          <w:sz w:val="20"/>
          <w:szCs w:val="20"/>
          <w:lang w:val="en-AU"/>
        </w:rPr>
        <w:t>. Melbourne: Our Watch.</w:t>
      </w:r>
    </w:p>
    <w:p w14:paraId="4E996A95" w14:textId="77777777" w:rsidR="00A91763" w:rsidRDefault="00A91763" w:rsidP="00ED1A20">
      <w:pPr>
        <w:rPr>
          <w:lang w:val="en-AU"/>
        </w:rPr>
      </w:pPr>
    </w:p>
    <w:p w14:paraId="2724FC68" w14:textId="327E11AB" w:rsidR="00A91763" w:rsidRDefault="00A91763" w:rsidP="00ED1A20">
      <w:pPr>
        <w:rPr>
          <w:lang w:val="en-AU"/>
        </w:rPr>
        <w:sectPr w:rsidR="00A91763" w:rsidSect="00ED1A20">
          <w:endnotePr>
            <w:numFmt w:val="decimal"/>
          </w:endnotePr>
          <w:pgSz w:w="11900" w:h="16840"/>
          <w:pgMar w:top="851" w:right="1694" w:bottom="1134" w:left="1134" w:header="0" w:footer="567" w:gutter="0"/>
          <w:cols w:num="2" w:space="708"/>
          <w:docGrid w:linePitch="360"/>
        </w:sectPr>
      </w:pPr>
    </w:p>
    <w:p w14:paraId="0F16F6E8" w14:textId="77777777" w:rsidR="004D1500" w:rsidRPr="008935E1" w:rsidRDefault="004D1500" w:rsidP="00ED1A20">
      <w:pPr>
        <w:rPr>
          <w:lang w:val="en-AU"/>
        </w:rPr>
      </w:pPr>
    </w:p>
    <w:p w14:paraId="1394F209" w14:textId="77777777" w:rsidR="00A20143" w:rsidRDefault="00A20143" w:rsidP="00562192">
      <w:pPr>
        <w:rPr>
          <w:lang w:val="en-AU"/>
        </w:rPr>
        <w:sectPr w:rsidR="00A20143" w:rsidSect="00ED1A20">
          <w:endnotePr>
            <w:numFmt w:val="decimal"/>
          </w:endnotePr>
          <w:type w:val="continuous"/>
          <w:pgSz w:w="11900" w:h="16840"/>
          <w:pgMar w:top="851" w:right="1694" w:bottom="1134" w:left="1134" w:header="0" w:footer="567" w:gutter="0"/>
          <w:cols w:space="708"/>
          <w:docGrid w:linePitch="360"/>
        </w:sectPr>
      </w:pPr>
    </w:p>
    <w:sdt>
      <w:sdtPr>
        <w:rPr>
          <w:rFonts w:eastAsia="Times New Roman" w:cstheme="minorBidi"/>
          <w:color w:val="auto"/>
          <w:spacing w:val="-5"/>
          <w:sz w:val="24"/>
          <w:szCs w:val="24"/>
          <w:lang w:val="en-AU"/>
        </w:rPr>
        <w:id w:val="-1724597097"/>
        <w:docPartObj>
          <w:docPartGallery w:val="Table of Contents"/>
          <w:docPartUnique/>
        </w:docPartObj>
      </w:sdtPr>
      <w:sdtEndPr>
        <w:rPr>
          <w:rFonts w:eastAsiaTheme="minorEastAsia"/>
          <w:color w:val="002554"/>
          <w:spacing w:val="-2"/>
          <w:sz w:val="23"/>
          <w:szCs w:val="23"/>
        </w:rPr>
      </w:sdtEndPr>
      <w:sdtContent>
        <w:p w14:paraId="5D2A6B7C" w14:textId="77777777" w:rsidR="004D1500" w:rsidRPr="00D6455E" w:rsidRDefault="004D1500" w:rsidP="00D6455E">
          <w:pPr>
            <w:tabs>
              <w:tab w:val="left" w:pos="9356"/>
            </w:tabs>
            <w:spacing w:before="320" w:after="400" w:line="240" w:lineRule="auto"/>
            <w:contextualSpacing/>
            <w:rPr>
              <w:rStyle w:val="Heading1Char"/>
              <w:lang w:val="en-US"/>
            </w:rPr>
          </w:pPr>
          <w:r w:rsidRPr="00D6455E">
            <w:rPr>
              <w:rStyle w:val="Heading1Char"/>
              <w:lang w:val="en-US"/>
            </w:rPr>
            <w:t>Contents</w:t>
          </w:r>
        </w:p>
        <w:p w14:paraId="6AFBA586" w14:textId="25E0E253" w:rsidR="00B67A1E" w:rsidRDefault="00B67A1E">
          <w:pPr>
            <w:pStyle w:val="TOC1"/>
            <w:rPr>
              <w:rFonts w:asciiTheme="minorHAnsi" w:hAnsiTheme="minorHAnsi" w:cstheme="minorBidi"/>
              <w:b w:val="0"/>
              <w:bCs w:val="0"/>
              <w:noProof/>
              <w:color w:val="auto"/>
              <w:kern w:val="2"/>
              <w:sz w:val="24"/>
              <w:szCs w:val="24"/>
              <w:lang w:val="en-AU" w:eastAsia="en-GB"/>
              <w14:ligatures w14:val="standardContextual"/>
            </w:rPr>
          </w:pPr>
          <w:r>
            <w:rPr>
              <w:rFonts w:cstheme="minorBidi"/>
              <w:bCs w:val="0"/>
              <w:spacing w:val="-5"/>
              <w:sz w:val="24"/>
              <w:lang w:val="en-AU"/>
            </w:rPr>
            <w:fldChar w:fldCharType="begin"/>
          </w:r>
          <w:r>
            <w:rPr>
              <w:rFonts w:cstheme="minorBidi"/>
              <w:bCs w:val="0"/>
              <w:spacing w:val="-5"/>
              <w:sz w:val="24"/>
              <w:lang w:val="en-AU"/>
            </w:rPr>
            <w:instrText xml:space="preserve"> TOC \o "1-2" \h \z \u </w:instrText>
          </w:r>
          <w:r>
            <w:rPr>
              <w:rFonts w:cstheme="minorBidi"/>
              <w:bCs w:val="0"/>
              <w:spacing w:val="-5"/>
              <w:sz w:val="24"/>
              <w:lang w:val="en-AU"/>
            </w:rPr>
            <w:fldChar w:fldCharType="separate"/>
          </w:r>
          <w:hyperlink w:anchor="_Toc216956813" w:history="1">
            <w:r w:rsidRPr="00E079E4">
              <w:rPr>
                <w:rStyle w:val="Hyperlink"/>
                <w:noProof/>
              </w:rPr>
              <w:t>Executive summary</w:t>
            </w:r>
            <w:r>
              <w:rPr>
                <w:noProof/>
                <w:webHidden/>
              </w:rPr>
              <w:tab/>
            </w:r>
            <w:r>
              <w:rPr>
                <w:noProof/>
                <w:webHidden/>
              </w:rPr>
              <w:fldChar w:fldCharType="begin"/>
            </w:r>
            <w:r>
              <w:rPr>
                <w:noProof/>
                <w:webHidden/>
              </w:rPr>
              <w:instrText xml:space="preserve"> PAGEREF _Toc216956813 \h </w:instrText>
            </w:r>
            <w:r>
              <w:rPr>
                <w:noProof/>
                <w:webHidden/>
              </w:rPr>
            </w:r>
            <w:r>
              <w:rPr>
                <w:noProof/>
                <w:webHidden/>
              </w:rPr>
              <w:fldChar w:fldCharType="separate"/>
            </w:r>
            <w:r w:rsidR="00D660E0">
              <w:rPr>
                <w:noProof/>
                <w:webHidden/>
              </w:rPr>
              <w:t>5</w:t>
            </w:r>
            <w:r>
              <w:rPr>
                <w:noProof/>
                <w:webHidden/>
              </w:rPr>
              <w:fldChar w:fldCharType="end"/>
            </w:r>
          </w:hyperlink>
        </w:p>
        <w:p w14:paraId="5309FDA4" w14:textId="09EA7E4B" w:rsidR="00B67A1E" w:rsidRDefault="00B67A1E">
          <w:pPr>
            <w:pStyle w:val="TOC1"/>
            <w:rPr>
              <w:rFonts w:asciiTheme="minorHAnsi" w:hAnsiTheme="minorHAnsi" w:cstheme="minorBidi"/>
              <w:b w:val="0"/>
              <w:bCs w:val="0"/>
              <w:noProof/>
              <w:color w:val="auto"/>
              <w:kern w:val="2"/>
              <w:sz w:val="24"/>
              <w:szCs w:val="24"/>
              <w:lang w:val="en-AU" w:eastAsia="en-GB"/>
              <w14:ligatures w14:val="standardContextual"/>
            </w:rPr>
          </w:pPr>
          <w:hyperlink w:anchor="_Toc216956814" w:history="1">
            <w:r w:rsidRPr="00E079E4">
              <w:rPr>
                <w:rStyle w:val="Hyperlink"/>
                <w:noProof/>
              </w:rPr>
              <w:t>Introduction</w:t>
            </w:r>
            <w:r>
              <w:rPr>
                <w:noProof/>
                <w:webHidden/>
              </w:rPr>
              <w:tab/>
            </w:r>
            <w:r>
              <w:rPr>
                <w:noProof/>
                <w:webHidden/>
              </w:rPr>
              <w:fldChar w:fldCharType="begin"/>
            </w:r>
            <w:r>
              <w:rPr>
                <w:noProof/>
                <w:webHidden/>
              </w:rPr>
              <w:instrText xml:space="preserve"> PAGEREF _Toc216956814 \h </w:instrText>
            </w:r>
            <w:r>
              <w:rPr>
                <w:noProof/>
                <w:webHidden/>
              </w:rPr>
            </w:r>
            <w:r>
              <w:rPr>
                <w:noProof/>
                <w:webHidden/>
              </w:rPr>
              <w:fldChar w:fldCharType="separate"/>
            </w:r>
            <w:r w:rsidR="00D660E0">
              <w:rPr>
                <w:noProof/>
                <w:webHidden/>
              </w:rPr>
              <w:t>7</w:t>
            </w:r>
            <w:r>
              <w:rPr>
                <w:noProof/>
                <w:webHidden/>
              </w:rPr>
              <w:fldChar w:fldCharType="end"/>
            </w:r>
          </w:hyperlink>
        </w:p>
        <w:p w14:paraId="41544F13" w14:textId="7461EF21"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15" w:history="1">
            <w:r w:rsidRPr="00E079E4">
              <w:rPr>
                <w:rStyle w:val="Hyperlink"/>
                <w:noProof/>
              </w:rPr>
              <w:t>Aims, scope and limitations</w:t>
            </w:r>
            <w:r>
              <w:rPr>
                <w:noProof/>
                <w:webHidden/>
              </w:rPr>
              <w:tab/>
            </w:r>
            <w:r>
              <w:rPr>
                <w:noProof/>
                <w:webHidden/>
              </w:rPr>
              <w:fldChar w:fldCharType="begin"/>
            </w:r>
            <w:r>
              <w:rPr>
                <w:noProof/>
                <w:webHidden/>
              </w:rPr>
              <w:instrText xml:space="preserve"> PAGEREF _Toc216956815 \h </w:instrText>
            </w:r>
            <w:r>
              <w:rPr>
                <w:noProof/>
                <w:webHidden/>
              </w:rPr>
            </w:r>
            <w:r>
              <w:rPr>
                <w:noProof/>
                <w:webHidden/>
              </w:rPr>
              <w:fldChar w:fldCharType="separate"/>
            </w:r>
            <w:r w:rsidR="00D660E0">
              <w:rPr>
                <w:noProof/>
                <w:webHidden/>
              </w:rPr>
              <w:t>8</w:t>
            </w:r>
            <w:r>
              <w:rPr>
                <w:noProof/>
                <w:webHidden/>
              </w:rPr>
              <w:fldChar w:fldCharType="end"/>
            </w:r>
          </w:hyperlink>
        </w:p>
        <w:p w14:paraId="5A6A6537" w14:textId="4B85192E"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16" w:history="1">
            <w:r w:rsidRPr="00E079E4">
              <w:rPr>
                <w:rStyle w:val="Hyperlink"/>
                <w:noProof/>
              </w:rPr>
              <w:t xml:space="preserve">Key findings and implications to improve educational approaches to </w:t>
            </w:r>
            <w:r w:rsidR="00D660E0">
              <w:rPr>
                <w:rStyle w:val="Hyperlink"/>
                <w:noProof/>
              </w:rPr>
              <w:br/>
            </w:r>
            <w:r w:rsidRPr="00E079E4">
              <w:rPr>
                <w:rStyle w:val="Hyperlink"/>
                <w:noProof/>
              </w:rPr>
              <w:t>support children and young people</w:t>
            </w:r>
            <w:r>
              <w:rPr>
                <w:noProof/>
                <w:webHidden/>
              </w:rPr>
              <w:tab/>
            </w:r>
            <w:r>
              <w:rPr>
                <w:noProof/>
                <w:webHidden/>
              </w:rPr>
              <w:fldChar w:fldCharType="begin"/>
            </w:r>
            <w:r>
              <w:rPr>
                <w:noProof/>
                <w:webHidden/>
              </w:rPr>
              <w:instrText xml:space="preserve"> PAGEREF _Toc216956816 \h </w:instrText>
            </w:r>
            <w:r>
              <w:rPr>
                <w:noProof/>
                <w:webHidden/>
              </w:rPr>
            </w:r>
            <w:r>
              <w:rPr>
                <w:noProof/>
                <w:webHidden/>
              </w:rPr>
              <w:fldChar w:fldCharType="separate"/>
            </w:r>
            <w:r w:rsidR="00D660E0">
              <w:rPr>
                <w:noProof/>
                <w:webHidden/>
              </w:rPr>
              <w:t>9</w:t>
            </w:r>
            <w:r>
              <w:rPr>
                <w:noProof/>
                <w:webHidden/>
              </w:rPr>
              <w:fldChar w:fldCharType="end"/>
            </w:r>
          </w:hyperlink>
        </w:p>
        <w:p w14:paraId="3EB9DC9A" w14:textId="27FA6843" w:rsidR="00B67A1E" w:rsidRDefault="00B67A1E">
          <w:pPr>
            <w:pStyle w:val="TOC1"/>
            <w:rPr>
              <w:rFonts w:asciiTheme="minorHAnsi" w:hAnsiTheme="minorHAnsi" w:cstheme="minorBidi"/>
              <w:b w:val="0"/>
              <w:bCs w:val="0"/>
              <w:noProof/>
              <w:color w:val="auto"/>
              <w:kern w:val="2"/>
              <w:sz w:val="24"/>
              <w:szCs w:val="24"/>
              <w:lang w:val="en-AU" w:eastAsia="en-GB"/>
              <w14:ligatures w14:val="standardContextual"/>
            </w:rPr>
          </w:pPr>
          <w:hyperlink w:anchor="_Toc216956817" w:history="1">
            <w:r w:rsidRPr="00E079E4">
              <w:rPr>
                <w:rStyle w:val="Hyperlink"/>
                <w:noProof/>
              </w:rPr>
              <w:t>Section 1: Sex, gender and relationships – what children and young people know and experience</w:t>
            </w:r>
            <w:r>
              <w:rPr>
                <w:noProof/>
                <w:webHidden/>
              </w:rPr>
              <w:tab/>
            </w:r>
            <w:r>
              <w:rPr>
                <w:noProof/>
                <w:webHidden/>
              </w:rPr>
              <w:fldChar w:fldCharType="begin"/>
            </w:r>
            <w:r>
              <w:rPr>
                <w:noProof/>
                <w:webHidden/>
              </w:rPr>
              <w:instrText xml:space="preserve"> PAGEREF _Toc216956817 \h </w:instrText>
            </w:r>
            <w:r>
              <w:rPr>
                <w:noProof/>
                <w:webHidden/>
              </w:rPr>
            </w:r>
            <w:r>
              <w:rPr>
                <w:noProof/>
                <w:webHidden/>
              </w:rPr>
              <w:fldChar w:fldCharType="separate"/>
            </w:r>
            <w:r w:rsidR="00D660E0">
              <w:rPr>
                <w:noProof/>
                <w:webHidden/>
              </w:rPr>
              <w:t>15</w:t>
            </w:r>
            <w:r>
              <w:rPr>
                <w:noProof/>
                <w:webHidden/>
              </w:rPr>
              <w:fldChar w:fldCharType="end"/>
            </w:r>
          </w:hyperlink>
        </w:p>
        <w:p w14:paraId="7B50CFD1" w14:textId="0D61CCDC"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18" w:history="1">
            <w:r w:rsidRPr="00E079E4">
              <w:rPr>
                <w:rStyle w:val="Hyperlink"/>
                <w:noProof/>
              </w:rPr>
              <w:t>Children, young people and gender</w:t>
            </w:r>
            <w:r>
              <w:rPr>
                <w:noProof/>
                <w:webHidden/>
              </w:rPr>
              <w:tab/>
            </w:r>
            <w:r>
              <w:rPr>
                <w:noProof/>
                <w:webHidden/>
              </w:rPr>
              <w:fldChar w:fldCharType="begin"/>
            </w:r>
            <w:r>
              <w:rPr>
                <w:noProof/>
                <w:webHidden/>
              </w:rPr>
              <w:instrText xml:space="preserve"> PAGEREF _Toc216956818 \h </w:instrText>
            </w:r>
            <w:r>
              <w:rPr>
                <w:noProof/>
                <w:webHidden/>
              </w:rPr>
            </w:r>
            <w:r>
              <w:rPr>
                <w:noProof/>
                <w:webHidden/>
              </w:rPr>
              <w:fldChar w:fldCharType="separate"/>
            </w:r>
            <w:r w:rsidR="00D660E0">
              <w:rPr>
                <w:noProof/>
                <w:webHidden/>
              </w:rPr>
              <w:t>15</w:t>
            </w:r>
            <w:r>
              <w:rPr>
                <w:noProof/>
                <w:webHidden/>
              </w:rPr>
              <w:fldChar w:fldCharType="end"/>
            </w:r>
          </w:hyperlink>
        </w:p>
        <w:p w14:paraId="664176E4" w14:textId="36C5B61F"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19" w:history="1">
            <w:r w:rsidRPr="00E079E4">
              <w:rPr>
                <w:rStyle w:val="Hyperlink"/>
                <w:noProof/>
              </w:rPr>
              <w:t>Understanding gender as a social construct</w:t>
            </w:r>
            <w:r>
              <w:rPr>
                <w:noProof/>
                <w:webHidden/>
              </w:rPr>
              <w:tab/>
            </w:r>
            <w:r>
              <w:rPr>
                <w:noProof/>
                <w:webHidden/>
              </w:rPr>
              <w:fldChar w:fldCharType="begin"/>
            </w:r>
            <w:r>
              <w:rPr>
                <w:noProof/>
                <w:webHidden/>
              </w:rPr>
              <w:instrText xml:space="preserve"> PAGEREF _Toc216956819 \h </w:instrText>
            </w:r>
            <w:r>
              <w:rPr>
                <w:noProof/>
                <w:webHidden/>
              </w:rPr>
            </w:r>
            <w:r>
              <w:rPr>
                <w:noProof/>
                <w:webHidden/>
              </w:rPr>
              <w:fldChar w:fldCharType="separate"/>
            </w:r>
            <w:r w:rsidR="00D660E0">
              <w:rPr>
                <w:noProof/>
                <w:webHidden/>
              </w:rPr>
              <w:t>16</w:t>
            </w:r>
            <w:r>
              <w:rPr>
                <w:noProof/>
                <w:webHidden/>
              </w:rPr>
              <w:fldChar w:fldCharType="end"/>
            </w:r>
          </w:hyperlink>
        </w:p>
        <w:p w14:paraId="787AED4E" w14:textId="21B57EE2"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0" w:history="1">
            <w:r w:rsidRPr="00E079E4">
              <w:rPr>
                <w:rStyle w:val="Hyperlink"/>
                <w:noProof/>
              </w:rPr>
              <w:t xml:space="preserve">When do children and young people start experiencing romantic relationships </w:t>
            </w:r>
            <w:r w:rsidR="00D660E0">
              <w:rPr>
                <w:rStyle w:val="Hyperlink"/>
                <w:noProof/>
              </w:rPr>
              <w:br/>
            </w:r>
            <w:r w:rsidRPr="00E079E4">
              <w:rPr>
                <w:rStyle w:val="Hyperlink"/>
                <w:noProof/>
              </w:rPr>
              <w:t>and engaging in sexual practices?</w:t>
            </w:r>
            <w:r>
              <w:rPr>
                <w:noProof/>
                <w:webHidden/>
              </w:rPr>
              <w:tab/>
            </w:r>
            <w:r>
              <w:rPr>
                <w:noProof/>
                <w:webHidden/>
              </w:rPr>
              <w:fldChar w:fldCharType="begin"/>
            </w:r>
            <w:r>
              <w:rPr>
                <w:noProof/>
                <w:webHidden/>
              </w:rPr>
              <w:instrText xml:space="preserve"> PAGEREF _Toc216956820 \h </w:instrText>
            </w:r>
            <w:r>
              <w:rPr>
                <w:noProof/>
                <w:webHidden/>
              </w:rPr>
            </w:r>
            <w:r>
              <w:rPr>
                <w:noProof/>
                <w:webHidden/>
              </w:rPr>
              <w:fldChar w:fldCharType="separate"/>
            </w:r>
            <w:r w:rsidR="00D660E0">
              <w:rPr>
                <w:noProof/>
                <w:webHidden/>
              </w:rPr>
              <w:t>18</w:t>
            </w:r>
            <w:r>
              <w:rPr>
                <w:noProof/>
                <w:webHidden/>
              </w:rPr>
              <w:fldChar w:fldCharType="end"/>
            </w:r>
          </w:hyperlink>
        </w:p>
        <w:p w14:paraId="1EEEB96E" w14:textId="4AD17446"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1" w:history="1">
            <w:r w:rsidRPr="00E079E4">
              <w:rPr>
                <w:rStyle w:val="Hyperlink"/>
                <w:noProof/>
              </w:rPr>
              <w:t xml:space="preserve">Young people’s positive and negative experiences of sex, violence and </w:t>
            </w:r>
            <w:r w:rsidR="00D660E0">
              <w:rPr>
                <w:rStyle w:val="Hyperlink"/>
                <w:noProof/>
              </w:rPr>
              <w:br/>
            </w:r>
            <w:r w:rsidRPr="00E079E4">
              <w:rPr>
                <w:rStyle w:val="Hyperlink"/>
                <w:noProof/>
              </w:rPr>
              <w:t>romantic relationships</w:t>
            </w:r>
            <w:r>
              <w:rPr>
                <w:noProof/>
                <w:webHidden/>
              </w:rPr>
              <w:tab/>
            </w:r>
            <w:r>
              <w:rPr>
                <w:noProof/>
                <w:webHidden/>
              </w:rPr>
              <w:fldChar w:fldCharType="begin"/>
            </w:r>
            <w:r>
              <w:rPr>
                <w:noProof/>
                <w:webHidden/>
              </w:rPr>
              <w:instrText xml:space="preserve"> PAGEREF _Toc216956821 \h </w:instrText>
            </w:r>
            <w:r>
              <w:rPr>
                <w:noProof/>
                <w:webHidden/>
              </w:rPr>
            </w:r>
            <w:r>
              <w:rPr>
                <w:noProof/>
                <w:webHidden/>
              </w:rPr>
              <w:fldChar w:fldCharType="separate"/>
            </w:r>
            <w:r w:rsidR="00D660E0">
              <w:rPr>
                <w:noProof/>
                <w:webHidden/>
              </w:rPr>
              <w:t>19</w:t>
            </w:r>
            <w:r>
              <w:rPr>
                <w:noProof/>
                <w:webHidden/>
              </w:rPr>
              <w:fldChar w:fldCharType="end"/>
            </w:r>
          </w:hyperlink>
        </w:p>
        <w:p w14:paraId="474C809C" w14:textId="606688E7"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2" w:history="1">
            <w:r w:rsidRPr="00E079E4">
              <w:rPr>
                <w:rStyle w:val="Hyperlink"/>
                <w:noProof/>
              </w:rPr>
              <w:t xml:space="preserve">Young people’s attitudes towards gender equality, gender-based violence </w:t>
            </w:r>
            <w:r w:rsidR="00D660E0">
              <w:rPr>
                <w:rStyle w:val="Hyperlink"/>
                <w:noProof/>
              </w:rPr>
              <w:br/>
            </w:r>
            <w:r w:rsidRPr="00E079E4">
              <w:rPr>
                <w:rStyle w:val="Hyperlink"/>
                <w:noProof/>
              </w:rPr>
              <w:t>and relationships</w:t>
            </w:r>
            <w:r>
              <w:rPr>
                <w:noProof/>
                <w:webHidden/>
              </w:rPr>
              <w:tab/>
            </w:r>
            <w:r>
              <w:rPr>
                <w:noProof/>
                <w:webHidden/>
              </w:rPr>
              <w:fldChar w:fldCharType="begin"/>
            </w:r>
            <w:r>
              <w:rPr>
                <w:noProof/>
                <w:webHidden/>
              </w:rPr>
              <w:instrText xml:space="preserve"> PAGEREF _Toc216956822 \h </w:instrText>
            </w:r>
            <w:r>
              <w:rPr>
                <w:noProof/>
                <w:webHidden/>
              </w:rPr>
            </w:r>
            <w:r>
              <w:rPr>
                <w:noProof/>
                <w:webHidden/>
              </w:rPr>
              <w:fldChar w:fldCharType="separate"/>
            </w:r>
            <w:r w:rsidR="00D660E0">
              <w:rPr>
                <w:noProof/>
                <w:webHidden/>
              </w:rPr>
              <w:t>21</w:t>
            </w:r>
            <w:r>
              <w:rPr>
                <w:noProof/>
                <w:webHidden/>
              </w:rPr>
              <w:fldChar w:fldCharType="end"/>
            </w:r>
          </w:hyperlink>
        </w:p>
        <w:p w14:paraId="5CEEBDBB" w14:textId="397CDC8A"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3" w:history="1">
            <w:r w:rsidRPr="00E079E4">
              <w:rPr>
                <w:rStyle w:val="Hyperlink"/>
                <w:noProof/>
              </w:rPr>
              <w:t>Young people’s understanding of and attitudes towards sexual consent</w:t>
            </w:r>
            <w:r>
              <w:rPr>
                <w:noProof/>
                <w:webHidden/>
              </w:rPr>
              <w:tab/>
            </w:r>
            <w:r>
              <w:rPr>
                <w:noProof/>
                <w:webHidden/>
              </w:rPr>
              <w:fldChar w:fldCharType="begin"/>
            </w:r>
            <w:r>
              <w:rPr>
                <w:noProof/>
                <w:webHidden/>
              </w:rPr>
              <w:instrText xml:space="preserve"> PAGEREF _Toc216956823 \h </w:instrText>
            </w:r>
            <w:r>
              <w:rPr>
                <w:noProof/>
                <w:webHidden/>
              </w:rPr>
            </w:r>
            <w:r>
              <w:rPr>
                <w:noProof/>
                <w:webHidden/>
              </w:rPr>
              <w:fldChar w:fldCharType="separate"/>
            </w:r>
            <w:r w:rsidR="00D660E0">
              <w:rPr>
                <w:noProof/>
                <w:webHidden/>
              </w:rPr>
              <w:t>23</w:t>
            </w:r>
            <w:r>
              <w:rPr>
                <w:noProof/>
                <w:webHidden/>
              </w:rPr>
              <w:fldChar w:fldCharType="end"/>
            </w:r>
          </w:hyperlink>
        </w:p>
        <w:p w14:paraId="4DF19FB3" w14:textId="3867FB51"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4" w:history="1">
            <w:r w:rsidRPr="00E079E4">
              <w:rPr>
                <w:rStyle w:val="Hyperlink"/>
                <w:noProof/>
              </w:rPr>
              <w:t>Young people’s attitudes on alcohol and sexual violence</w:t>
            </w:r>
            <w:r>
              <w:rPr>
                <w:noProof/>
                <w:webHidden/>
              </w:rPr>
              <w:tab/>
            </w:r>
            <w:r>
              <w:rPr>
                <w:noProof/>
                <w:webHidden/>
              </w:rPr>
              <w:fldChar w:fldCharType="begin"/>
            </w:r>
            <w:r>
              <w:rPr>
                <w:noProof/>
                <w:webHidden/>
              </w:rPr>
              <w:instrText xml:space="preserve"> PAGEREF _Toc216956824 \h </w:instrText>
            </w:r>
            <w:r>
              <w:rPr>
                <w:noProof/>
                <w:webHidden/>
              </w:rPr>
            </w:r>
            <w:r>
              <w:rPr>
                <w:noProof/>
                <w:webHidden/>
              </w:rPr>
              <w:fldChar w:fldCharType="separate"/>
            </w:r>
            <w:r w:rsidR="00D660E0">
              <w:rPr>
                <w:noProof/>
                <w:webHidden/>
              </w:rPr>
              <w:t>25</w:t>
            </w:r>
            <w:r>
              <w:rPr>
                <w:noProof/>
                <w:webHidden/>
              </w:rPr>
              <w:fldChar w:fldCharType="end"/>
            </w:r>
          </w:hyperlink>
        </w:p>
        <w:p w14:paraId="49887E07" w14:textId="59765D5F"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5" w:history="1">
            <w:r w:rsidRPr="00E079E4">
              <w:rPr>
                <w:rStyle w:val="Hyperlink"/>
                <w:noProof/>
              </w:rPr>
              <w:t>Young people’s information-seeking and support needs</w:t>
            </w:r>
            <w:r>
              <w:rPr>
                <w:noProof/>
                <w:webHidden/>
              </w:rPr>
              <w:tab/>
            </w:r>
            <w:r>
              <w:rPr>
                <w:noProof/>
                <w:webHidden/>
              </w:rPr>
              <w:fldChar w:fldCharType="begin"/>
            </w:r>
            <w:r>
              <w:rPr>
                <w:noProof/>
                <w:webHidden/>
              </w:rPr>
              <w:instrText xml:space="preserve"> PAGEREF _Toc216956825 \h </w:instrText>
            </w:r>
            <w:r>
              <w:rPr>
                <w:noProof/>
                <w:webHidden/>
              </w:rPr>
            </w:r>
            <w:r>
              <w:rPr>
                <w:noProof/>
                <w:webHidden/>
              </w:rPr>
              <w:fldChar w:fldCharType="separate"/>
            </w:r>
            <w:r w:rsidR="00D660E0">
              <w:rPr>
                <w:noProof/>
                <w:webHidden/>
              </w:rPr>
              <w:t>26</w:t>
            </w:r>
            <w:r>
              <w:rPr>
                <w:noProof/>
                <w:webHidden/>
              </w:rPr>
              <w:fldChar w:fldCharType="end"/>
            </w:r>
          </w:hyperlink>
        </w:p>
        <w:p w14:paraId="1457B0E1" w14:textId="4F4546E0"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6" w:history="1">
            <w:r w:rsidRPr="00E079E4">
              <w:rPr>
                <w:rStyle w:val="Hyperlink"/>
                <w:noProof/>
              </w:rPr>
              <w:t>Conclusion</w:t>
            </w:r>
            <w:r>
              <w:rPr>
                <w:noProof/>
                <w:webHidden/>
              </w:rPr>
              <w:tab/>
            </w:r>
            <w:r>
              <w:rPr>
                <w:noProof/>
                <w:webHidden/>
              </w:rPr>
              <w:fldChar w:fldCharType="begin"/>
            </w:r>
            <w:r>
              <w:rPr>
                <w:noProof/>
                <w:webHidden/>
              </w:rPr>
              <w:instrText xml:space="preserve"> PAGEREF _Toc216956826 \h </w:instrText>
            </w:r>
            <w:r>
              <w:rPr>
                <w:noProof/>
                <w:webHidden/>
              </w:rPr>
            </w:r>
            <w:r>
              <w:rPr>
                <w:noProof/>
                <w:webHidden/>
              </w:rPr>
              <w:fldChar w:fldCharType="separate"/>
            </w:r>
            <w:r w:rsidR="00D660E0">
              <w:rPr>
                <w:noProof/>
                <w:webHidden/>
              </w:rPr>
              <w:t>28</w:t>
            </w:r>
            <w:r>
              <w:rPr>
                <w:noProof/>
                <w:webHidden/>
              </w:rPr>
              <w:fldChar w:fldCharType="end"/>
            </w:r>
          </w:hyperlink>
        </w:p>
        <w:p w14:paraId="03297585" w14:textId="3055CCC4" w:rsidR="00B67A1E" w:rsidRDefault="00B67A1E">
          <w:pPr>
            <w:pStyle w:val="TOC1"/>
            <w:rPr>
              <w:rFonts w:asciiTheme="minorHAnsi" w:hAnsiTheme="minorHAnsi" w:cstheme="minorBidi"/>
              <w:b w:val="0"/>
              <w:bCs w:val="0"/>
              <w:noProof/>
              <w:color w:val="auto"/>
              <w:kern w:val="2"/>
              <w:sz w:val="24"/>
              <w:szCs w:val="24"/>
              <w:lang w:val="en-AU" w:eastAsia="en-GB"/>
              <w14:ligatures w14:val="standardContextual"/>
            </w:rPr>
          </w:pPr>
          <w:hyperlink w:anchor="_Toc216956827" w:history="1">
            <w:r w:rsidRPr="00E079E4">
              <w:rPr>
                <w:rStyle w:val="Hyperlink"/>
                <w:noProof/>
              </w:rPr>
              <w:t>Section 2: The role of digital technologies in shaping young people’s experiences and beliefs</w:t>
            </w:r>
            <w:r>
              <w:rPr>
                <w:noProof/>
                <w:webHidden/>
              </w:rPr>
              <w:tab/>
            </w:r>
            <w:r>
              <w:rPr>
                <w:noProof/>
                <w:webHidden/>
              </w:rPr>
              <w:fldChar w:fldCharType="begin"/>
            </w:r>
            <w:r>
              <w:rPr>
                <w:noProof/>
                <w:webHidden/>
              </w:rPr>
              <w:instrText xml:space="preserve"> PAGEREF _Toc216956827 \h </w:instrText>
            </w:r>
            <w:r>
              <w:rPr>
                <w:noProof/>
                <w:webHidden/>
              </w:rPr>
            </w:r>
            <w:r>
              <w:rPr>
                <w:noProof/>
                <w:webHidden/>
              </w:rPr>
              <w:fldChar w:fldCharType="separate"/>
            </w:r>
            <w:r w:rsidR="00D660E0">
              <w:rPr>
                <w:noProof/>
                <w:webHidden/>
              </w:rPr>
              <w:t>29</w:t>
            </w:r>
            <w:r>
              <w:rPr>
                <w:noProof/>
                <w:webHidden/>
              </w:rPr>
              <w:fldChar w:fldCharType="end"/>
            </w:r>
          </w:hyperlink>
        </w:p>
        <w:p w14:paraId="688E1142" w14:textId="73908105"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8" w:history="1">
            <w:r w:rsidRPr="00E079E4">
              <w:rPr>
                <w:rStyle w:val="Hyperlink"/>
                <w:noProof/>
              </w:rPr>
              <w:t>Technology-facilitated gender-based violence and abuse among young people</w:t>
            </w:r>
            <w:r>
              <w:rPr>
                <w:noProof/>
                <w:webHidden/>
              </w:rPr>
              <w:tab/>
            </w:r>
            <w:r>
              <w:rPr>
                <w:noProof/>
                <w:webHidden/>
              </w:rPr>
              <w:fldChar w:fldCharType="begin"/>
            </w:r>
            <w:r>
              <w:rPr>
                <w:noProof/>
                <w:webHidden/>
              </w:rPr>
              <w:instrText xml:space="preserve"> PAGEREF _Toc216956828 \h </w:instrText>
            </w:r>
            <w:r>
              <w:rPr>
                <w:noProof/>
                <w:webHidden/>
              </w:rPr>
            </w:r>
            <w:r>
              <w:rPr>
                <w:noProof/>
                <w:webHidden/>
              </w:rPr>
              <w:fldChar w:fldCharType="separate"/>
            </w:r>
            <w:r w:rsidR="00D660E0">
              <w:rPr>
                <w:noProof/>
                <w:webHidden/>
              </w:rPr>
              <w:t>30</w:t>
            </w:r>
            <w:r>
              <w:rPr>
                <w:noProof/>
                <w:webHidden/>
              </w:rPr>
              <w:fldChar w:fldCharType="end"/>
            </w:r>
          </w:hyperlink>
        </w:p>
        <w:p w14:paraId="2D38F5AF" w14:textId="4A50AF6F"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29" w:history="1">
            <w:r w:rsidRPr="00E079E4">
              <w:rPr>
                <w:rStyle w:val="Hyperlink"/>
                <w:noProof/>
              </w:rPr>
              <w:t>The emergence of deepfake technologies as a form of image-based abuse</w:t>
            </w:r>
            <w:r>
              <w:rPr>
                <w:noProof/>
                <w:webHidden/>
              </w:rPr>
              <w:tab/>
            </w:r>
            <w:r>
              <w:rPr>
                <w:noProof/>
                <w:webHidden/>
              </w:rPr>
              <w:fldChar w:fldCharType="begin"/>
            </w:r>
            <w:r>
              <w:rPr>
                <w:noProof/>
                <w:webHidden/>
              </w:rPr>
              <w:instrText xml:space="preserve"> PAGEREF _Toc216956829 \h </w:instrText>
            </w:r>
            <w:r>
              <w:rPr>
                <w:noProof/>
                <w:webHidden/>
              </w:rPr>
            </w:r>
            <w:r>
              <w:rPr>
                <w:noProof/>
                <w:webHidden/>
              </w:rPr>
              <w:fldChar w:fldCharType="separate"/>
            </w:r>
            <w:r w:rsidR="00D660E0">
              <w:rPr>
                <w:noProof/>
                <w:webHidden/>
              </w:rPr>
              <w:t>32</w:t>
            </w:r>
            <w:r>
              <w:rPr>
                <w:noProof/>
                <w:webHidden/>
              </w:rPr>
              <w:fldChar w:fldCharType="end"/>
            </w:r>
          </w:hyperlink>
        </w:p>
        <w:p w14:paraId="7D3609D8" w14:textId="6C082A94"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0" w:history="1">
            <w:r w:rsidRPr="00E079E4">
              <w:rPr>
                <w:rStyle w:val="Hyperlink"/>
                <w:noProof/>
              </w:rPr>
              <w:t>Impacts of the online ‘manosphere’ on teachers and schools</w:t>
            </w:r>
            <w:r>
              <w:rPr>
                <w:noProof/>
                <w:webHidden/>
              </w:rPr>
              <w:tab/>
            </w:r>
            <w:r>
              <w:rPr>
                <w:noProof/>
                <w:webHidden/>
              </w:rPr>
              <w:fldChar w:fldCharType="begin"/>
            </w:r>
            <w:r>
              <w:rPr>
                <w:noProof/>
                <w:webHidden/>
              </w:rPr>
              <w:instrText xml:space="preserve"> PAGEREF _Toc216956830 \h </w:instrText>
            </w:r>
            <w:r>
              <w:rPr>
                <w:noProof/>
                <w:webHidden/>
              </w:rPr>
            </w:r>
            <w:r>
              <w:rPr>
                <w:noProof/>
                <w:webHidden/>
              </w:rPr>
              <w:fldChar w:fldCharType="separate"/>
            </w:r>
            <w:r w:rsidR="00D660E0">
              <w:rPr>
                <w:noProof/>
                <w:webHidden/>
              </w:rPr>
              <w:t>33</w:t>
            </w:r>
            <w:r>
              <w:rPr>
                <w:noProof/>
                <w:webHidden/>
              </w:rPr>
              <w:fldChar w:fldCharType="end"/>
            </w:r>
          </w:hyperlink>
        </w:p>
        <w:p w14:paraId="1D24AA6B" w14:textId="2BED3F79"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1" w:history="1">
            <w:r w:rsidRPr="00E079E4">
              <w:rPr>
                <w:rStyle w:val="Hyperlink"/>
                <w:noProof/>
              </w:rPr>
              <w:t>Conclusion</w:t>
            </w:r>
            <w:r>
              <w:rPr>
                <w:noProof/>
                <w:webHidden/>
              </w:rPr>
              <w:tab/>
            </w:r>
            <w:r>
              <w:rPr>
                <w:noProof/>
                <w:webHidden/>
              </w:rPr>
              <w:fldChar w:fldCharType="begin"/>
            </w:r>
            <w:r>
              <w:rPr>
                <w:noProof/>
                <w:webHidden/>
              </w:rPr>
              <w:instrText xml:space="preserve"> PAGEREF _Toc216956831 \h </w:instrText>
            </w:r>
            <w:r>
              <w:rPr>
                <w:noProof/>
                <w:webHidden/>
              </w:rPr>
            </w:r>
            <w:r>
              <w:rPr>
                <w:noProof/>
                <w:webHidden/>
              </w:rPr>
              <w:fldChar w:fldCharType="separate"/>
            </w:r>
            <w:r w:rsidR="00D660E0">
              <w:rPr>
                <w:noProof/>
                <w:webHidden/>
              </w:rPr>
              <w:t>34</w:t>
            </w:r>
            <w:r>
              <w:rPr>
                <w:noProof/>
                <w:webHidden/>
              </w:rPr>
              <w:fldChar w:fldCharType="end"/>
            </w:r>
          </w:hyperlink>
        </w:p>
        <w:p w14:paraId="22AA8398" w14:textId="3C449F23" w:rsidR="00B67A1E" w:rsidRDefault="00B67A1E">
          <w:pPr>
            <w:pStyle w:val="TOC1"/>
            <w:rPr>
              <w:rFonts w:asciiTheme="minorHAnsi" w:hAnsiTheme="minorHAnsi" w:cstheme="minorBidi"/>
              <w:b w:val="0"/>
              <w:bCs w:val="0"/>
              <w:noProof/>
              <w:color w:val="auto"/>
              <w:kern w:val="2"/>
              <w:sz w:val="24"/>
              <w:szCs w:val="24"/>
              <w:lang w:val="en-AU" w:eastAsia="en-GB"/>
              <w14:ligatures w14:val="standardContextual"/>
            </w:rPr>
          </w:pPr>
          <w:hyperlink w:anchor="_Toc216956832" w:history="1">
            <w:r w:rsidRPr="00E079E4">
              <w:rPr>
                <w:rStyle w:val="Hyperlink"/>
                <w:noProof/>
              </w:rPr>
              <w:t>Section 3: Children, young people and pornography</w:t>
            </w:r>
            <w:r>
              <w:rPr>
                <w:noProof/>
                <w:webHidden/>
              </w:rPr>
              <w:tab/>
            </w:r>
            <w:r>
              <w:rPr>
                <w:noProof/>
                <w:webHidden/>
              </w:rPr>
              <w:fldChar w:fldCharType="begin"/>
            </w:r>
            <w:r>
              <w:rPr>
                <w:noProof/>
                <w:webHidden/>
              </w:rPr>
              <w:instrText xml:space="preserve"> PAGEREF _Toc216956832 \h </w:instrText>
            </w:r>
            <w:r>
              <w:rPr>
                <w:noProof/>
                <w:webHidden/>
              </w:rPr>
            </w:r>
            <w:r>
              <w:rPr>
                <w:noProof/>
                <w:webHidden/>
              </w:rPr>
              <w:fldChar w:fldCharType="separate"/>
            </w:r>
            <w:r w:rsidR="00D660E0">
              <w:rPr>
                <w:noProof/>
                <w:webHidden/>
              </w:rPr>
              <w:t>35</w:t>
            </w:r>
            <w:r>
              <w:rPr>
                <w:noProof/>
                <w:webHidden/>
              </w:rPr>
              <w:fldChar w:fldCharType="end"/>
            </w:r>
          </w:hyperlink>
        </w:p>
        <w:p w14:paraId="028724F5" w14:textId="5432A510"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3" w:history="1">
            <w:r w:rsidRPr="00E079E4">
              <w:rPr>
                <w:rStyle w:val="Hyperlink"/>
                <w:noProof/>
              </w:rPr>
              <w:t>Depictions of young people and violence in pornography</w:t>
            </w:r>
            <w:r>
              <w:rPr>
                <w:noProof/>
                <w:webHidden/>
              </w:rPr>
              <w:tab/>
            </w:r>
            <w:r>
              <w:rPr>
                <w:noProof/>
                <w:webHidden/>
              </w:rPr>
              <w:fldChar w:fldCharType="begin"/>
            </w:r>
            <w:r>
              <w:rPr>
                <w:noProof/>
                <w:webHidden/>
              </w:rPr>
              <w:instrText xml:space="preserve"> PAGEREF _Toc216956833 \h </w:instrText>
            </w:r>
            <w:r>
              <w:rPr>
                <w:noProof/>
                <w:webHidden/>
              </w:rPr>
            </w:r>
            <w:r>
              <w:rPr>
                <w:noProof/>
                <w:webHidden/>
              </w:rPr>
              <w:fldChar w:fldCharType="separate"/>
            </w:r>
            <w:r w:rsidR="00D660E0">
              <w:rPr>
                <w:noProof/>
                <w:webHidden/>
              </w:rPr>
              <w:t>35</w:t>
            </w:r>
            <w:r>
              <w:rPr>
                <w:noProof/>
                <w:webHidden/>
              </w:rPr>
              <w:fldChar w:fldCharType="end"/>
            </w:r>
          </w:hyperlink>
        </w:p>
        <w:p w14:paraId="15A16A1A" w14:textId="52B5BE67"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4" w:history="1">
            <w:r w:rsidRPr="00E079E4">
              <w:rPr>
                <w:rStyle w:val="Hyperlink"/>
                <w:noProof/>
              </w:rPr>
              <w:t>How and at what age are children and young people exposed to pornography</w:t>
            </w:r>
            <w:r>
              <w:rPr>
                <w:noProof/>
                <w:webHidden/>
              </w:rPr>
              <w:tab/>
            </w:r>
            <w:r>
              <w:rPr>
                <w:noProof/>
                <w:webHidden/>
              </w:rPr>
              <w:fldChar w:fldCharType="begin"/>
            </w:r>
            <w:r>
              <w:rPr>
                <w:noProof/>
                <w:webHidden/>
              </w:rPr>
              <w:instrText xml:space="preserve"> PAGEREF _Toc216956834 \h </w:instrText>
            </w:r>
            <w:r>
              <w:rPr>
                <w:noProof/>
                <w:webHidden/>
              </w:rPr>
            </w:r>
            <w:r>
              <w:rPr>
                <w:noProof/>
                <w:webHidden/>
              </w:rPr>
              <w:fldChar w:fldCharType="separate"/>
            </w:r>
            <w:r w:rsidR="00D660E0">
              <w:rPr>
                <w:noProof/>
                <w:webHidden/>
              </w:rPr>
              <w:t>36</w:t>
            </w:r>
            <w:r>
              <w:rPr>
                <w:noProof/>
                <w:webHidden/>
              </w:rPr>
              <w:fldChar w:fldCharType="end"/>
            </w:r>
          </w:hyperlink>
        </w:p>
        <w:p w14:paraId="6C702988" w14:textId="12576C1D"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5" w:history="1">
            <w:r w:rsidRPr="00E079E4">
              <w:rPr>
                <w:rStyle w:val="Hyperlink"/>
                <w:noProof/>
              </w:rPr>
              <w:t>Influence of pornography on young people’s attitudes and behaviour</w:t>
            </w:r>
            <w:r>
              <w:rPr>
                <w:noProof/>
                <w:webHidden/>
              </w:rPr>
              <w:tab/>
            </w:r>
            <w:r>
              <w:rPr>
                <w:noProof/>
                <w:webHidden/>
              </w:rPr>
              <w:fldChar w:fldCharType="begin"/>
            </w:r>
            <w:r>
              <w:rPr>
                <w:noProof/>
                <w:webHidden/>
              </w:rPr>
              <w:instrText xml:space="preserve"> PAGEREF _Toc216956835 \h </w:instrText>
            </w:r>
            <w:r>
              <w:rPr>
                <w:noProof/>
                <w:webHidden/>
              </w:rPr>
            </w:r>
            <w:r>
              <w:rPr>
                <w:noProof/>
                <w:webHidden/>
              </w:rPr>
              <w:fldChar w:fldCharType="separate"/>
            </w:r>
            <w:r w:rsidR="00D660E0">
              <w:rPr>
                <w:noProof/>
                <w:webHidden/>
              </w:rPr>
              <w:t>38</w:t>
            </w:r>
            <w:r>
              <w:rPr>
                <w:noProof/>
                <w:webHidden/>
              </w:rPr>
              <w:fldChar w:fldCharType="end"/>
            </w:r>
          </w:hyperlink>
        </w:p>
        <w:p w14:paraId="25F63F31" w14:textId="4016815B"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6" w:history="1">
            <w:r w:rsidRPr="00E079E4">
              <w:rPr>
                <w:rStyle w:val="Hyperlink"/>
                <w:noProof/>
              </w:rPr>
              <w:t>Opportunities to integrate education on pornography</w:t>
            </w:r>
            <w:r>
              <w:rPr>
                <w:noProof/>
                <w:webHidden/>
              </w:rPr>
              <w:tab/>
            </w:r>
            <w:r>
              <w:rPr>
                <w:noProof/>
                <w:webHidden/>
              </w:rPr>
              <w:fldChar w:fldCharType="begin"/>
            </w:r>
            <w:r>
              <w:rPr>
                <w:noProof/>
                <w:webHidden/>
              </w:rPr>
              <w:instrText xml:space="preserve"> PAGEREF _Toc216956836 \h </w:instrText>
            </w:r>
            <w:r>
              <w:rPr>
                <w:noProof/>
                <w:webHidden/>
              </w:rPr>
            </w:r>
            <w:r>
              <w:rPr>
                <w:noProof/>
                <w:webHidden/>
              </w:rPr>
              <w:fldChar w:fldCharType="separate"/>
            </w:r>
            <w:r w:rsidR="00D660E0">
              <w:rPr>
                <w:noProof/>
                <w:webHidden/>
              </w:rPr>
              <w:t>40</w:t>
            </w:r>
            <w:r>
              <w:rPr>
                <w:noProof/>
                <w:webHidden/>
              </w:rPr>
              <w:fldChar w:fldCharType="end"/>
            </w:r>
          </w:hyperlink>
        </w:p>
        <w:p w14:paraId="72E30D25" w14:textId="0C7F99A1"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7" w:history="1">
            <w:r w:rsidRPr="00E079E4">
              <w:rPr>
                <w:rStyle w:val="Hyperlink"/>
                <w:noProof/>
              </w:rPr>
              <w:t>Conclusion</w:t>
            </w:r>
            <w:r>
              <w:rPr>
                <w:noProof/>
                <w:webHidden/>
              </w:rPr>
              <w:tab/>
            </w:r>
            <w:r>
              <w:rPr>
                <w:noProof/>
                <w:webHidden/>
              </w:rPr>
              <w:fldChar w:fldCharType="begin"/>
            </w:r>
            <w:r>
              <w:rPr>
                <w:noProof/>
                <w:webHidden/>
              </w:rPr>
              <w:instrText xml:space="preserve"> PAGEREF _Toc216956837 \h </w:instrText>
            </w:r>
            <w:r>
              <w:rPr>
                <w:noProof/>
                <w:webHidden/>
              </w:rPr>
            </w:r>
            <w:r>
              <w:rPr>
                <w:noProof/>
                <w:webHidden/>
              </w:rPr>
              <w:fldChar w:fldCharType="separate"/>
            </w:r>
            <w:r w:rsidR="00D660E0">
              <w:rPr>
                <w:noProof/>
                <w:webHidden/>
              </w:rPr>
              <w:t>42</w:t>
            </w:r>
            <w:r>
              <w:rPr>
                <w:noProof/>
                <w:webHidden/>
              </w:rPr>
              <w:fldChar w:fldCharType="end"/>
            </w:r>
          </w:hyperlink>
        </w:p>
        <w:p w14:paraId="66D78F26" w14:textId="77777777" w:rsidR="00D660E0" w:rsidRDefault="00D660E0">
          <w:pPr>
            <w:spacing w:after="160" w:line="259" w:lineRule="auto"/>
            <w:rPr>
              <w:rFonts w:ascii="Roboto Black" w:eastAsiaTheme="minorEastAsia" w:hAnsi="Roboto Black" w:cstheme="majorHAnsi"/>
              <w:b/>
              <w:bCs/>
              <w:noProof/>
              <w:color w:val="002654"/>
              <w:spacing w:val="0"/>
              <w:sz w:val="28"/>
              <w:szCs w:val="26"/>
              <w:lang w:eastAsia="en-AU"/>
            </w:rPr>
          </w:pPr>
          <w:r>
            <w:rPr>
              <w:noProof/>
            </w:rPr>
            <w:br w:type="page"/>
          </w:r>
        </w:p>
        <w:p w14:paraId="0B7C3630" w14:textId="1936AC11" w:rsidR="00B67A1E" w:rsidRDefault="00B67A1E">
          <w:pPr>
            <w:pStyle w:val="TOC1"/>
            <w:rPr>
              <w:rFonts w:asciiTheme="minorHAnsi" w:hAnsiTheme="minorHAnsi" w:cstheme="minorBidi"/>
              <w:b w:val="0"/>
              <w:bCs w:val="0"/>
              <w:noProof/>
              <w:color w:val="auto"/>
              <w:kern w:val="2"/>
              <w:sz w:val="24"/>
              <w:szCs w:val="24"/>
              <w:lang w:val="en-AU" w:eastAsia="en-GB"/>
              <w14:ligatures w14:val="standardContextual"/>
            </w:rPr>
          </w:pPr>
          <w:hyperlink w:anchor="_Toc216956838" w:history="1">
            <w:r w:rsidRPr="00E079E4">
              <w:rPr>
                <w:rStyle w:val="Hyperlink"/>
                <w:noProof/>
              </w:rPr>
              <w:t xml:space="preserve">Section 4: </w:t>
            </w:r>
            <w:r w:rsidRPr="00D660E0">
              <w:rPr>
                <w:rStyle w:val="Hyperlink"/>
                <w:b w:val="0"/>
                <w:bCs w:val="0"/>
                <w:noProof/>
              </w:rPr>
              <w:t xml:space="preserve">Educational approaches to supporting young people </w:t>
            </w:r>
            <w:r w:rsidR="007F7429">
              <w:rPr>
                <w:rStyle w:val="Hyperlink"/>
                <w:b w:val="0"/>
                <w:bCs w:val="0"/>
                <w:noProof/>
              </w:rPr>
              <w:br/>
            </w:r>
            <w:r w:rsidRPr="00D660E0">
              <w:rPr>
                <w:rStyle w:val="Hyperlink"/>
                <w:b w:val="0"/>
                <w:bCs w:val="0"/>
                <w:noProof/>
              </w:rPr>
              <w:t>to develop healthy, inclusive and respectful relationships</w:t>
            </w:r>
            <w:r w:rsidRPr="00D660E0">
              <w:rPr>
                <w:b w:val="0"/>
                <w:bCs w:val="0"/>
                <w:noProof/>
                <w:webHidden/>
              </w:rPr>
              <w:tab/>
            </w:r>
            <w:r w:rsidRPr="00D660E0">
              <w:rPr>
                <w:b w:val="0"/>
                <w:bCs w:val="0"/>
                <w:noProof/>
                <w:webHidden/>
              </w:rPr>
              <w:fldChar w:fldCharType="begin"/>
            </w:r>
            <w:r w:rsidRPr="00D660E0">
              <w:rPr>
                <w:b w:val="0"/>
                <w:bCs w:val="0"/>
                <w:noProof/>
                <w:webHidden/>
              </w:rPr>
              <w:instrText xml:space="preserve"> PAGEREF _Toc216956838 \h </w:instrText>
            </w:r>
            <w:r w:rsidRPr="00D660E0">
              <w:rPr>
                <w:b w:val="0"/>
                <w:bCs w:val="0"/>
                <w:noProof/>
                <w:webHidden/>
              </w:rPr>
            </w:r>
            <w:r w:rsidRPr="00D660E0">
              <w:rPr>
                <w:b w:val="0"/>
                <w:bCs w:val="0"/>
                <w:noProof/>
                <w:webHidden/>
              </w:rPr>
              <w:fldChar w:fldCharType="separate"/>
            </w:r>
            <w:r w:rsidR="00D660E0" w:rsidRPr="00D660E0">
              <w:rPr>
                <w:b w:val="0"/>
                <w:bCs w:val="0"/>
                <w:noProof/>
                <w:webHidden/>
              </w:rPr>
              <w:t>43</w:t>
            </w:r>
            <w:r w:rsidRPr="00D660E0">
              <w:rPr>
                <w:b w:val="0"/>
                <w:bCs w:val="0"/>
                <w:noProof/>
                <w:webHidden/>
              </w:rPr>
              <w:fldChar w:fldCharType="end"/>
            </w:r>
          </w:hyperlink>
        </w:p>
        <w:p w14:paraId="37377893" w14:textId="0C2C0523"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39" w:history="1">
            <w:r w:rsidRPr="00E079E4">
              <w:rPr>
                <w:rStyle w:val="Hyperlink"/>
                <w:noProof/>
              </w:rPr>
              <w:t>Respectful relationships education (RRE)</w:t>
            </w:r>
            <w:r>
              <w:rPr>
                <w:noProof/>
                <w:webHidden/>
              </w:rPr>
              <w:tab/>
            </w:r>
            <w:r>
              <w:rPr>
                <w:noProof/>
                <w:webHidden/>
              </w:rPr>
              <w:fldChar w:fldCharType="begin"/>
            </w:r>
            <w:r>
              <w:rPr>
                <w:noProof/>
                <w:webHidden/>
              </w:rPr>
              <w:instrText xml:space="preserve"> PAGEREF _Toc216956839 \h </w:instrText>
            </w:r>
            <w:r>
              <w:rPr>
                <w:noProof/>
                <w:webHidden/>
              </w:rPr>
            </w:r>
            <w:r>
              <w:rPr>
                <w:noProof/>
                <w:webHidden/>
              </w:rPr>
              <w:fldChar w:fldCharType="separate"/>
            </w:r>
            <w:r w:rsidR="00D660E0">
              <w:rPr>
                <w:noProof/>
                <w:webHidden/>
              </w:rPr>
              <w:t>44</w:t>
            </w:r>
            <w:r>
              <w:rPr>
                <w:noProof/>
                <w:webHidden/>
              </w:rPr>
              <w:fldChar w:fldCharType="end"/>
            </w:r>
          </w:hyperlink>
        </w:p>
        <w:p w14:paraId="66196E86" w14:textId="70815062"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40" w:history="1">
            <w:r w:rsidRPr="00E079E4">
              <w:rPr>
                <w:rStyle w:val="Hyperlink"/>
                <w:noProof/>
              </w:rPr>
              <w:t>Comprehensive relationships and sexuality education</w:t>
            </w:r>
            <w:r>
              <w:rPr>
                <w:noProof/>
                <w:webHidden/>
              </w:rPr>
              <w:tab/>
            </w:r>
            <w:r>
              <w:rPr>
                <w:noProof/>
                <w:webHidden/>
              </w:rPr>
              <w:fldChar w:fldCharType="begin"/>
            </w:r>
            <w:r>
              <w:rPr>
                <w:noProof/>
                <w:webHidden/>
              </w:rPr>
              <w:instrText xml:space="preserve"> PAGEREF _Toc216956840 \h </w:instrText>
            </w:r>
            <w:r>
              <w:rPr>
                <w:noProof/>
                <w:webHidden/>
              </w:rPr>
            </w:r>
            <w:r>
              <w:rPr>
                <w:noProof/>
                <w:webHidden/>
              </w:rPr>
              <w:fldChar w:fldCharType="separate"/>
            </w:r>
            <w:r w:rsidR="00D660E0">
              <w:rPr>
                <w:noProof/>
                <w:webHidden/>
              </w:rPr>
              <w:t>46</w:t>
            </w:r>
            <w:r>
              <w:rPr>
                <w:noProof/>
                <w:webHidden/>
              </w:rPr>
              <w:fldChar w:fldCharType="end"/>
            </w:r>
          </w:hyperlink>
        </w:p>
        <w:p w14:paraId="78B203B0" w14:textId="7B325E3E"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41" w:history="1">
            <w:r w:rsidRPr="00E079E4">
              <w:rPr>
                <w:rStyle w:val="Hyperlink"/>
                <w:noProof/>
                <w:lang w:val="en-US"/>
              </w:rPr>
              <w:t>Consent education</w:t>
            </w:r>
            <w:r>
              <w:rPr>
                <w:noProof/>
                <w:webHidden/>
              </w:rPr>
              <w:tab/>
            </w:r>
            <w:r>
              <w:rPr>
                <w:noProof/>
                <w:webHidden/>
              </w:rPr>
              <w:fldChar w:fldCharType="begin"/>
            </w:r>
            <w:r>
              <w:rPr>
                <w:noProof/>
                <w:webHidden/>
              </w:rPr>
              <w:instrText xml:space="preserve"> PAGEREF _Toc216956841 \h </w:instrText>
            </w:r>
            <w:r>
              <w:rPr>
                <w:noProof/>
                <w:webHidden/>
              </w:rPr>
            </w:r>
            <w:r>
              <w:rPr>
                <w:noProof/>
                <w:webHidden/>
              </w:rPr>
              <w:fldChar w:fldCharType="separate"/>
            </w:r>
            <w:r w:rsidR="00D660E0">
              <w:rPr>
                <w:noProof/>
                <w:webHidden/>
              </w:rPr>
              <w:t>49</w:t>
            </w:r>
            <w:r>
              <w:rPr>
                <w:noProof/>
                <w:webHidden/>
              </w:rPr>
              <w:fldChar w:fldCharType="end"/>
            </w:r>
          </w:hyperlink>
        </w:p>
        <w:p w14:paraId="60445E30" w14:textId="3E4EA7C5"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42" w:history="1">
            <w:r w:rsidRPr="00E079E4">
              <w:rPr>
                <w:rStyle w:val="Hyperlink"/>
                <w:noProof/>
              </w:rPr>
              <w:t>Social and emotional learning</w:t>
            </w:r>
            <w:r>
              <w:rPr>
                <w:noProof/>
                <w:webHidden/>
              </w:rPr>
              <w:tab/>
            </w:r>
            <w:r>
              <w:rPr>
                <w:noProof/>
                <w:webHidden/>
              </w:rPr>
              <w:fldChar w:fldCharType="begin"/>
            </w:r>
            <w:r>
              <w:rPr>
                <w:noProof/>
                <w:webHidden/>
              </w:rPr>
              <w:instrText xml:space="preserve"> PAGEREF _Toc216956842 \h </w:instrText>
            </w:r>
            <w:r>
              <w:rPr>
                <w:noProof/>
                <w:webHidden/>
              </w:rPr>
            </w:r>
            <w:r>
              <w:rPr>
                <w:noProof/>
                <w:webHidden/>
              </w:rPr>
              <w:fldChar w:fldCharType="separate"/>
            </w:r>
            <w:r w:rsidR="00D660E0">
              <w:rPr>
                <w:noProof/>
                <w:webHidden/>
              </w:rPr>
              <w:t>51</w:t>
            </w:r>
            <w:r>
              <w:rPr>
                <w:noProof/>
                <w:webHidden/>
              </w:rPr>
              <w:fldChar w:fldCharType="end"/>
            </w:r>
          </w:hyperlink>
        </w:p>
        <w:p w14:paraId="39DE3CD1" w14:textId="3D398E5C"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43" w:history="1">
            <w:r w:rsidRPr="00E079E4">
              <w:rPr>
                <w:rStyle w:val="Hyperlink"/>
                <w:noProof/>
              </w:rPr>
              <w:t>Teaching young people about relationships, sexuality and gender</w:t>
            </w:r>
            <w:r>
              <w:rPr>
                <w:noProof/>
                <w:webHidden/>
              </w:rPr>
              <w:tab/>
            </w:r>
            <w:r>
              <w:rPr>
                <w:noProof/>
                <w:webHidden/>
              </w:rPr>
              <w:fldChar w:fldCharType="begin"/>
            </w:r>
            <w:r>
              <w:rPr>
                <w:noProof/>
                <w:webHidden/>
              </w:rPr>
              <w:instrText xml:space="preserve"> PAGEREF _Toc216956843 \h </w:instrText>
            </w:r>
            <w:r>
              <w:rPr>
                <w:noProof/>
                <w:webHidden/>
              </w:rPr>
            </w:r>
            <w:r>
              <w:rPr>
                <w:noProof/>
                <w:webHidden/>
              </w:rPr>
              <w:fldChar w:fldCharType="separate"/>
            </w:r>
            <w:r w:rsidR="00D660E0">
              <w:rPr>
                <w:noProof/>
                <w:webHidden/>
              </w:rPr>
              <w:t>52</w:t>
            </w:r>
            <w:r>
              <w:rPr>
                <w:noProof/>
                <w:webHidden/>
              </w:rPr>
              <w:fldChar w:fldCharType="end"/>
            </w:r>
          </w:hyperlink>
        </w:p>
        <w:p w14:paraId="1DCFEE8D" w14:textId="5F58FB9F" w:rsidR="00B67A1E" w:rsidRDefault="00B67A1E">
          <w:pPr>
            <w:pStyle w:val="TOC2"/>
            <w:rPr>
              <w:rFonts w:asciiTheme="minorHAnsi" w:hAnsiTheme="minorHAnsi" w:cstheme="minorBidi"/>
              <w:noProof/>
              <w:color w:val="auto"/>
              <w:kern w:val="2"/>
              <w:sz w:val="24"/>
              <w:szCs w:val="24"/>
              <w:lang w:eastAsia="en-GB"/>
              <w14:ligatures w14:val="standardContextual"/>
            </w:rPr>
          </w:pPr>
          <w:hyperlink w:anchor="_Toc216956844" w:history="1">
            <w:r w:rsidRPr="00E079E4">
              <w:rPr>
                <w:rStyle w:val="Hyperlink"/>
                <w:noProof/>
              </w:rPr>
              <w:t>Conclusion</w:t>
            </w:r>
            <w:r>
              <w:rPr>
                <w:noProof/>
                <w:webHidden/>
              </w:rPr>
              <w:tab/>
            </w:r>
            <w:r>
              <w:rPr>
                <w:noProof/>
                <w:webHidden/>
              </w:rPr>
              <w:fldChar w:fldCharType="begin"/>
            </w:r>
            <w:r>
              <w:rPr>
                <w:noProof/>
                <w:webHidden/>
              </w:rPr>
              <w:instrText xml:space="preserve"> PAGEREF _Toc216956844 \h </w:instrText>
            </w:r>
            <w:r>
              <w:rPr>
                <w:noProof/>
                <w:webHidden/>
              </w:rPr>
            </w:r>
            <w:r>
              <w:rPr>
                <w:noProof/>
                <w:webHidden/>
              </w:rPr>
              <w:fldChar w:fldCharType="separate"/>
            </w:r>
            <w:r w:rsidR="00D660E0">
              <w:rPr>
                <w:noProof/>
                <w:webHidden/>
              </w:rPr>
              <w:t>54</w:t>
            </w:r>
            <w:r>
              <w:rPr>
                <w:noProof/>
                <w:webHidden/>
              </w:rPr>
              <w:fldChar w:fldCharType="end"/>
            </w:r>
          </w:hyperlink>
        </w:p>
        <w:p w14:paraId="4CFF5BC8" w14:textId="00207C29" w:rsidR="00B67A1E" w:rsidRDefault="00B67A1E">
          <w:pPr>
            <w:pStyle w:val="TOC1"/>
            <w:rPr>
              <w:rFonts w:asciiTheme="minorHAnsi" w:hAnsiTheme="minorHAnsi" w:cstheme="minorBidi"/>
              <w:b w:val="0"/>
              <w:bCs w:val="0"/>
              <w:noProof/>
              <w:color w:val="auto"/>
              <w:kern w:val="2"/>
              <w:sz w:val="24"/>
              <w:szCs w:val="24"/>
              <w:lang w:val="en-AU" w:eastAsia="en-GB"/>
              <w14:ligatures w14:val="standardContextual"/>
            </w:rPr>
          </w:pPr>
          <w:hyperlink w:anchor="_Toc216956845" w:history="1">
            <w:r w:rsidRPr="00E079E4">
              <w:rPr>
                <w:rStyle w:val="Hyperlink"/>
                <w:noProof/>
                <w:lang w:val="en-AU"/>
              </w:rPr>
              <w:t>Endnotes</w:t>
            </w:r>
            <w:r>
              <w:rPr>
                <w:noProof/>
                <w:webHidden/>
              </w:rPr>
              <w:tab/>
            </w:r>
            <w:r>
              <w:rPr>
                <w:noProof/>
                <w:webHidden/>
              </w:rPr>
              <w:fldChar w:fldCharType="begin"/>
            </w:r>
            <w:r>
              <w:rPr>
                <w:noProof/>
                <w:webHidden/>
              </w:rPr>
              <w:instrText xml:space="preserve"> PAGEREF _Toc216956845 \h </w:instrText>
            </w:r>
            <w:r>
              <w:rPr>
                <w:noProof/>
                <w:webHidden/>
              </w:rPr>
            </w:r>
            <w:r>
              <w:rPr>
                <w:noProof/>
                <w:webHidden/>
              </w:rPr>
              <w:fldChar w:fldCharType="separate"/>
            </w:r>
            <w:r w:rsidR="00D660E0">
              <w:rPr>
                <w:noProof/>
                <w:webHidden/>
              </w:rPr>
              <w:t>56</w:t>
            </w:r>
            <w:r>
              <w:rPr>
                <w:noProof/>
                <w:webHidden/>
              </w:rPr>
              <w:fldChar w:fldCharType="end"/>
            </w:r>
          </w:hyperlink>
        </w:p>
        <w:p w14:paraId="1C245253" w14:textId="7B70E936" w:rsidR="004D1500" w:rsidRPr="005C693B" w:rsidRDefault="00B67A1E" w:rsidP="005C693B">
          <w:pPr>
            <w:rPr>
              <w:lang w:val="en-AU"/>
            </w:rPr>
          </w:pPr>
          <w:r>
            <w:rPr>
              <w:rFonts w:ascii="Roboto Black" w:eastAsiaTheme="minorEastAsia" w:hAnsi="Roboto Black" w:cstheme="minorBidi"/>
              <w:bCs/>
              <w:color w:val="002654"/>
              <w:spacing w:val="-5"/>
              <w:sz w:val="24"/>
              <w:szCs w:val="26"/>
              <w:lang w:val="en-AU" w:eastAsia="en-AU"/>
            </w:rPr>
            <w:fldChar w:fldCharType="end"/>
          </w:r>
        </w:p>
      </w:sdtContent>
    </w:sdt>
    <w:p w14:paraId="3876EDEE" w14:textId="77777777" w:rsidR="004D1500" w:rsidRPr="00562192" w:rsidRDefault="004D1500" w:rsidP="00562192">
      <w:pPr>
        <w:rPr>
          <w:lang w:val="en-AU"/>
        </w:rPr>
      </w:pPr>
    </w:p>
    <w:p w14:paraId="45928AA5" w14:textId="033F2B1A" w:rsidR="004D1500" w:rsidRPr="00562192" w:rsidRDefault="004D1500" w:rsidP="00562192">
      <w:pPr>
        <w:rPr>
          <w:lang w:val="en-AU"/>
        </w:rPr>
      </w:pPr>
    </w:p>
    <w:p w14:paraId="613901FC" w14:textId="77777777" w:rsidR="004D1500" w:rsidRPr="005C693B" w:rsidRDefault="004D1500" w:rsidP="005C693B">
      <w:pPr>
        <w:rPr>
          <w:lang w:val="en-AU"/>
        </w:rPr>
      </w:pPr>
      <w:r w:rsidRPr="005C693B">
        <w:rPr>
          <w:lang w:val="en-AU"/>
        </w:rPr>
        <w:br w:type="page"/>
      </w:r>
    </w:p>
    <w:p w14:paraId="630DF85C" w14:textId="77777777" w:rsidR="004D1500" w:rsidRPr="00251ECF" w:rsidRDefault="004D1500" w:rsidP="00251ECF">
      <w:pPr>
        <w:pStyle w:val="Heading1"/>
      </w:pPr>
      <w:bookmarkStart w:id="15" w:name="_Toc216956813"/>
      <w:r w:rsidRPr="00251ECF">
        <w:lastRenderedPageBreak/>
        <w:t>Executive summary</w:t>
      </w:r>
      <w:bookmarkEnd w:id="15"/>
    </w:p>
    <w:p w14:paraId="29FDDD21" w14:textId="77777777" w:rsidR="004D1500" w:rsidRPr="00562192" w:rsidRDefault="004D1500" w:rsidP="00562192">
      <w:pPr>
        <w:rPr>
          <w:lang w:val="en-AU"/>
        </w:rPr>
      </w:pPr>
      <w:r w:rsidRPr="00981268">
        <w:rPr>
          <w:rStyle w:val="Strong"/>
          <w:lang w:val="en-AU"/>
        </w:rPr>
        <w:t>This research summary aims to inform the design and development of evidence-based teaching and learning materials that are relevant to and supportive of children and young people, to enable respectful, equitable, inclusive and safe relationships.</w:t>
      </w:r>
      <w:r w:rsidRPr="0084323E">
        <w:rPr>
          <w:b/>
          <w:bCs/>
          <w:lang w:val="en-AU"/>
        </w:rPr>
        <w:t xml:space="preserve"> </w:t>
      </w:r>
      <w:r w:rsidRPr="00562192">
        <w:rPr>
          <w:lang w:val="en-AU"/>
        </w:rPr>
        <w:t>This paper is informed by a literature review conducted by the Youth Research Collective, Faculty of Education, The University of Melbourne, in August 2024 for Our Watch.</w:t>
      </w:r>
    </w:p>
    <w:p w14:paraId="0B19108F" w14:textId="77777777" w:rsidR="004D1500" w:rsidRPr="00562192" w:rsidRDefault="004D1500" w:rsidP="002F0B3C">
      <w:pPr>
        <w:rPr>
          <w:lang w:val="en-AU"/>
        </w:rPr>
      </w:pPr>
      <w:r w:rsidRPr="00562192">
        <w:rPr>
          <w:lang w:val="en-AU"/>
        </w:rPr>
        <w:t>The following research questions were used to guide the research summary:</w:t>
      </w:r>
    </w:p>
    <w:p w14:paraId="5B9D020F" w14:textId="77777777" w:rsidR="004D1500" w:rsidRPr="00B70F6F" w:rsidRDefault="004D1500" w:rsidP="002F0B3C">
      <w:pPr>
        <w:pStyle w:val="ListBullet"/>
      </w:pPr>
      <w:r w:rsidRPr="00B70F6F">
        <w:t xml:space="preserve">What are children and young people’s experiences of sex, gender, relationships and experiences of gender-based violence on and offline? </w:t>
      </w:r>
    </w:p>
    <w:p w14:paraId="3164D78F" w14:textId="77777777" w:rsidR="004D1500" w:rsidRPr="00B70F6F" w:rsidRDefault="004D1500" w:rsidP="00D40990">
      <w:pPr>
        <w:pStyle w:val="ListBullet"/>
        <w:spacing w:before="100" w:beforeAutospacing="1"/>
      </w:pPr>
      <w:r w:rsidRPr="00B70F6F">
        <w:t>How might available data inform the design of educational materials promoting respectful relationships?</w:t>
      </w:r>
    </w:p>
    <w:p w14:paraId="04AE6830" w14:textId="77777777" w:rsidR="004D1500" w:rsidRPr="00B70F6F" w:rsidRDefault="004D1500" w:rsidP="00D40990">
      <w:pPr>
        <w:pStyle w:val="ListBullet"/>
        <w:spacing w:before="100" w:beforeAutospacing="1"/>
      </w:pPr>
      <w:r w:rsidRPr="00B70F6F">
        <w:t xml:space="preserve">What evidence exists that demonstrates effective educational efforts to prevent gender-based violence and to support young people to engage in respectful relationships? </w:t>
      </w:r>
    </w:p>
    <w:p w14:paraId="31DFA7BF" w14:textId="3FDB39C5" w:rsidR="004D1500" w:rsidRPr="00562192" w:rsidRDefault="004D1500" w:rsidP="00B70F6F">
      <w:pPr>
        <w:rPr>
          <w:lang w:val="en-AU"/>
        </w:rPr>
      </w:pPr>
      <w:r w:rsidRPr="00562192">
        <w:rPr>
          <w:lang w:val="en-AU"/>
        </w:rPr>
        <w:t xml:space="preserve">This paper draws on both qualitative and quantitative research in the fields of psychology, sociology, education, youth studies, violence prevention and public health to build on the literature review and examine these questions. The reviewed research studies include prevalence data, case studies, observational studies, </w:t>
      </w:r>
      <w:r w:rsidR="00BB5367">
        <w:rPr>
          <w:lang w:val="en-AU"/>
        </w:rPr>
        <w:br/>
      </w:r>
      <w:r w:rsidRPr="00562192">
        <w:rPr>
          <w:lang w:val="en-AU"/>
        </w:rPr>
        <w:t xml:space="preserve">meta-analyses, evaluations and systematic reviews. Grey literature was also included. This summary primarily focuses on primary and secondary schools; however, we note that children and young people’s engagement in developmental and educational institutions spans multiple systems, including early years and </w:t>
      </w:r>
      <w:r w:rsidR="00BB5367">
        <w:rPr>
          <w:lang w:val="en-AU"/>
        </w:rPr>
        <w:br/>
      </w:r>
      <w:r w:rsidRPr="00562192">
        <w:rPr>
          <w:lang w:val="en-AU"/>
        </w:rPr>
        <w:t>higher education settings.</w:t>
      </w:r>
    </w:p>
    <w:p w14:paraId="3DCFDAFE" w14:textId="77777777" w:rsidR="00B4546C" w:rsidRDefault="004D1500" w:rsidP="00552732">
      <w:pPr>
        <w:rPr>
          <w:lang w:val="en-AU"/>
        </w:rPr>
      </w:pPr>
      <w:r w:rsidRPr="005C693B">
        <w:rPr>
          <w:lang w:val="en-AU"/>
        </w:rPr>
        <w:t xml:space="preserve">Approaches to the development and provision of respectful relationships education (RRE) and comprehensive sexuality education should be informed by evidence about the ages at which young people typically start to explore their sexuality, form romantic and sexual relationships, and develop their understanding of gendered norms, identity and power within relationships. </w:t>
      </w:r>
    </w:p>
    <w:p w14:paraId="6C33079A" w14:textId="5F904C66" w:rsidR="004D1500" w:rsidRPr="005C693B" w:rsidRDefault="004D1500" w:rsidP="00552732">
      <w:pPr>
        <w:rPr>
          <w:lang w:val="en-AU"/>
        </w:rPr>
      </w:pPr>
      <w:r w:rsidRPr="003B61DE">
        <w:rPr>
          <w:rFonts w:ascii="Roboto Black" w:hAnsi="Roboto Black" w:cstheme="minorBidi"/>
          <w:b/>
          <w:bCs/>
          <w:spacing w:val="-5"/>
          <w:sz w:val="24"/>
          <w:lang w:val="en-AU"/>
        </w:rPr>
        <w:t>Section 1</w:t>
      </w:r>
      <w:r w:rsidRPr="003B61DE">
        <w:rPr>
          <w:rFonts w:ascii="Roboto Black" w:hAnsi="Roboto Black"/>
          <w:b/>
          <w:bCs/>
          <w:lang w:val="en-AU"/>
        </w:rPr>
        <w:t xml:space="preserve"> of this research summary outlines prevalence data highlighting the spectrum of young people’s relationships and sexual experiences.</w:t>
      </w:r>
      <w:r w:rsidRPr="005C693B">
        <w:rPr>
          <w:lang w:val="en-AU"/>
        </w:rPr>
        <w:t xml:space="preserve"> Many young people experience positive, consensual and affirming romantic and sexual relationships. However, significant numbers of young people report unwanted sex, intimate partner violence and discrimination, especially among young women and gender-diverse youth. Attitudinal data reveal inconsistent understandings of consent among young people and persistent adherence to rigid gender roles and violence-excusing norms, underscoring the importance of education interventions that build skills, confidence and critical awareness across all ages and stages. </w:t>
      </w:r>
    </w:p>
    <w:p w14:paraId="7CB78824" w14:textId="48E65366" w:rsidR="004D1500" w:rsidRPr="005C693B" w:rsidRDefault="004D1500" w:rsidP="00552732">
      <w:pPr>
        <w:rPr>
          <w:lang w:val="en-AU"/>
        </w:rPr>
      </w:pPr>
      <w:r w:rsidRPr="00E46AC2">
        <w:rPr>
          <w:rFonts w:ascii="Roboto Black" w:hAnsi="Roboto Black" w:cstheme="minorBidi"/>
          <w:b/>
          <w:bCs/>
          <w:spacing w:val="-5"/>
          <w:sz w:val="24"/>
          <w:lang w:val="en-AU"/>
        </w:rPr>
        <w:t>Section 2</w:t>
      </w:r>
      <w:r w:rsidRPr="00E46AC2">
        <w:rPr>
          <w:rFonts w:ascii="Roboto Black" w:hAnsi="Roboto Black"/>
          <w:b/>
          <w:bCs/>
          <w:lang w:val="en-AU"/>
        </w:rPr>
        <w:t xml:space="preserve"> explores young people’s interactions with the online world. </w:t>
      </w:r>
      <w:r w:rsidRPr="005C693B">
        <w:rPr>
          <w:lang w:val="en-AU"/>
        </w:rPr>
        <w:t xml:space="preserve">The omnipresence of digital online media in young people’s lives has led to increased calls to explicitly address through sexuality, consent and respectful relationships education the use of technology-based practices. While digital online media can have positive impacts on young people’s access to information on sex, gender and relationships, it also facilitates specific forms of gender-based violence, including sexting, image-based abuse and the rise of deepfake technologies. These behaviours, often gendered and coercive, pose new challenges for schools and </w:t>
      </w:r>
      <w:r w:rsidRPr="005C693B">
        <w:rPr>
          <w:lang w:val="en-AU"/>
        </w:rPr>
        <w:lastRenderedPageBreak/>
        <w:t xml:space="preserve">educators. Teachers report increased sexist behaviour in classrooms, influenced </w:t>
      </w:r>
      <w:r w:rsidR="00BB5367">
        <w:rPr>
          <w:lang w:val="en-AU"/>
        </w:rPr>
        <w:br/>
      </w:r>
      <w:r w:rsidRPr="005C693B">
        <w:rPr>
          <w:lang w:val="en-AU"/>
        </w:rPr>
        <w:t xml:space="preserve">by misogynistic online figures. These developments call for RRE approaches that integrate digital literacy, e-safety and consent into learning experiences and </w:t>
      </w:r>
      <w:r w:rsidR="00BB5367">
        <w:rPr>
          <w:lang w:val="en-AU"/>
        </w:rPr>
        <w:br/>
      </w:r>
      <w:r w:rsidRPr="005C693B">
        <w:rPr>
          <w:lang w:val="en-AU"/>
        </w:rPr>
        <w:t>school policies.</w:t>
      </w:r>
    </w:p>
    <w:p w14:paraId="27EECE2E" w14:textId="7AF563D8" w:rsidR="004D1500" w:rsidRPr="005C693B" w:rsidRDefault="004D1500" w:rsidP="00552732">
      <w:pPr>
        <w:rPr>
          <w:lang w:val="en-AU"/>
        </w:rPr>
      </w:pPr>
      <w:r w:rsidRPr="01E70C47">
        <w:rPr>
          <w:rFonts w:ascii="Roboto Black" w:hAnsi="Roboto Black" w:cstheme="minorBidi"/>
          <w:b/>
          <w:bCs/>
          <w:spacing w:val="-5"/>
          <w:sz w:val="24"/>
          <w:szCs w:val="24"/>
          <w:lang w:val="en-AU"/>
        </w:rPr>
        <w:t>Section 3</w:t>
      </w:r>
      <w:r w:rsidRPr="001E0158">
        <w:rPr>
          <w:rFonts w:ascii="Roboto Black" w:hAnsi="Roboto Black"/>
          <w:b/>
          <w:bCs/>
          <w:lang w:val="en-AU"/>
        </w:rPr>
        <w:t xml:space="preserve"> examines the widespread accessibility of pornography and its influence on young people’s expectations and behaviours in relationships.</w:t>
      </w:r>
      <w:r w:rsidRPr="005C693B">
        <w:rPr>
          <w:lang w:val="en-AU"/>
        </w:rPr>
        <w:t xml:space="preserve"> While some young people report using pornography as a source of sexual education, the presence of violence, coercion and unrealistic sexual scripts in some pornography reinforces harmful gender norms and contributes to unsafe sexual practices. The research outline</w:t>
      </w:r>
      <w:r w:rsidR="6C28FC56" w:rsidRPr="005C693B">
        <w:rPr>
          <w:lang w:val="en-AU"/>
        </w:rPr>
        <w:t>d</w:t>
      </w:r>
      <w:r w:rsidRPr="005C693B">
        <w:rPr>
          <w:lang w:val="en-AU"/>
        </w:rPr>
        <w:t xml:space="preserve"> in this section shows that young people themselves call for open, inclusive and non-judgemental conversations in educational settings to support healthy sexual development.</w:t>
      </w:r>
    </w:p>
    <w:p w14:paraId="0F68935B" w14:textId="77777777" w:rsidR="004D1500" w:rsidRPr="005C693B" w:rsidRDefault="004D1500" w:rsidP="005C693B">
      <w:pPr>
        <w:rPr>
          <w:lang w:val="en-AU"/>
        </w:rPr>
      </w:pPr>
      <w:r w:rsidRPr="001E0158">
        <w:rPr>
          <w:rFonts w:ascii="Roboto Black" w:hAnsi="Roboto Black" w:cstheme="minorBidi"/>
          <w:b/>
          <w:bCs/>
          <w:spacing w:val="-5"/>
          <w:sz w:val="24"/>
          <w:lang w:val="en-AU"/>
        </w:rPr>
        <w:t>Section 4</w:t>
      </w:r>
      <w:r w:rsidRPr="001E0158">
        <w:rPr>
          <w:rFonts w:ascii="Roboto Black" w:hAnsi="Roboto Black"/>
          <w:b/>
          <w:bCs/>
          <w:lang w:val="en-AU"/>
        </w:rPr>
        <w:t xml:space="preserve"> reviews educational approaches with a specific focus on RRE, comprehensive sexuality education, social and emotional learning, and consent education.</w:t>
      </w:r>
      <w:r w:rsidRPr="005C693B">
        <w:rPr>
          <w:lang w:val="en-AU"/>
        </w:rPr>
        <w:t xml:space="preserve"> These frameworks equip young people with the knowledge, empathy and interpersonal skills needed for safe, respectful relationships. When delivered within a whole-of-school approach, they contribute to shifting school culture towards inclusion, safety and equity.</w:t>
      </w:r>
    </w:p>
    <w:p w14:paraId="5669AA54" w14:textId="77777777" w:rsidR="004D1500" w:rsidRPr="00562192" w:rsidRDefault="004D1500" w:rsidP="00562192">
      <w:pPr>
        <w:rPr>
          <w:lang w:val="en-AU"/>
        </w:rPr>
      </w:pPr>
    </w:p>
    <w:p w14:paraId="2EB8471C" w14:textId="77777777" w:rsidR="004D1500" w:rsidRPr="00562192" w:rsidRDefault="004D1500" w:rsidP="00562192">
      <w:pPr>
        <w:rPr>
          <w:lang w:val="en-AU"/>
        </w:rPr>
      </w:pPr>
      <w:r w:rsidRPr="00562192">
        <w:rPr>
          <w:lang w:val="en-AU"/>
        </w:rPr>
        <w:br w:type="page"/>
      </w:r>
    </w:p>
    <w:p w14:paraId="6E8CDAE8" w14:textId="77777777" w:rsidR="004D1500" w:rsidRPr="00251ECF" w:rsidRDefault="004D1500" w:rsidP="00251ECF">
      <w:pPr>
        <w:pStyle w:val="Heading1"/>
      </w:pPr>
      <w:bookmarkStart w:id="16" w:name="_Toc216956814"/>
      <w:r w:rsidRPr="00251ECF">
        <w:lastRenderedPageBreak/>
        <w:t>Introduction</w:t>
      </w:r>
      <w:bookmarkEnd w:id="16"/>
    </w:p>
    <w:p w14:paraId="2CB6D90A" w14:textId="18C80347" w:rsidR="004D1500" w:rsidRPr="005C693B" w:rsidRDefault="004D1500" w:rsidP="005C693B">
      <w:pPr>
        <w:rPr>
          <w:lang w:val="en-AU"/>
        </w:rPr>
      </w:pPr>
      <w:r w:rsidRPr="00981268">
        <w:rPr>
          <w:rStyle w:val="Strong"/>
          <w:lang w:val="en-AU"/>
        </w:rPr>
        <w:t xml:space="preserve">The life stages of children and young people represent a formative period of human development that plays a vital role in shaping people’s understanding and explorations of sex and sexuality, relationships, gendered norms and identity. </w:t>
      </w:r>
      <w:r w:rsidR="00981268">
        <w:rPr>
          <w:rStyle w:val="Strong"/>
          <w:lang w:val="en-AU"/>
        </w:rPr>
        <w:br/>
      </w:r>
      <w:r w:rsidRPr="005C693B">
        <w:rPr>
          <w:lang w:val="en-AU"/>
        </w:rPr>
        <w:t xml:space="preserve">This formative period includes the development of gender norms, stereotypes and practices, as well as understandings of identity and sexuality that impact people throughout their lives. These life stages, therefore, are a critical juncture for the promotion of positive gender norms, stereotypes and practices that support children and young people to have healthy, respectful and safe relationships. </w:t>
      </w:r>
    </w:p>
    <w:p w14:paraId="7DB1178A" w14:textId="7B2A36D0" w:rsidR="004D1500" w:rsidRPr="00562192" w:rsidRDefault="004D1500" w:rsidP="00562192">
      <w:pPr>
        <w:rPr>
          <w:lang w:val="en-AU"/>
        </w:rPr>
      </w:pPr>
      <w:r w:rsidRPr="00562192">
        <w:rPr>
          <w:lang w:val="en-AU"/>
        </w:rPr>
        <w:t xml:space="preserve">Educational responses to the nature of young people’s relationships, and the inequalities and violence that can occur within these relationships, should reflect the reality of children and young people’s lives and identities. Inequality and violence in young people’s relationships includes gender-based violence, which has important implications for primary prevention of gender-based violence. </w:t>
      </w:r>
    </w:p>
    <w:p w14:paraId="0DE11135" w14:textId="77777777" w:rsidR="004D1500" w:rsidRPr="005C693B" w:rsidRDefault="004D1500" w:rsidP="00552732">
      <w:pPr>
        <w:rPr>
          <w:lang w:val="en-AU"/>
        </w:rPr>
      </w:pPr>
      <w:r w:rsidRPr="005C693B">
        <w:rPr>
          <w:lang w:val="en-AU"/>
        </w:rPr>
        <w:t xml:space="preserve">Evidence demonstrates how rigid gender norms, stereotypes, and practices that promote inequality and disrespect drive gender-based violence. This is outlined in Australia’s shared evidence-based framework to prevent violence against women, </w:t>
      </w:r>
      <w:r w:rsidRPr="002D19F5">
        <w:rPr>
          <w:rFonts w:eastAsia="Calibri" w:cstheme="minorBidi"/>
          <w:i/>
          <w:iCs/>
          <w:spacing w:val="-5"/>
          <w:szCs w:val="23"/>
          <w:lang w:val="en-AU"/>
        </w:rPr>
        <w:t>Change the story: A shared framework for the primary prevention of violence against women and their children in Australia .</w:t>
      </w:r>
      <w:r w:rsidRPr="004D1500">
        <w:rPr>
          <w:rFonts w:cstheme="minorBidi"/>
          <w:spacing w:val="-5"/>
          <w:sz w:val="24"/>
          <w:vertAlign w:val="superscript"/>
          <w:lang w:val="en-AU"/>
        </w:rPr>
        <w:endnoteReference w:id="3"/>
      </w:r>
      <w:r w:rsidRPr="005C693B">
        <w:rPr>
          <w:lang w:val="en-AU"/>
        </w:rPr>
        <w:t xml:space="preserve"> The factors identified in </w:t>
      </w:r>
      <w:r w:rsidRPr="002D19F5">
        <w:rPr>
          <w:rFonts w:cstheme="minorBidi"/>
          <w:i/>
          <w:iCs/>
          <w:spacing w:val="-5"/>
          <w:szCs w:val="23"/>
          <w:lang w:val="en-AU"/>
        </w:rPr>
        <w:t>Change the story</w:t>
      </w:r>
      <w:r w:rsidRPr="005C693B">
        <w:rPr>
          <w:lang w:val="en-AU"/>
        </w:rPr>
        <w:t xml:space="preserve"> as the ‘gendered drivers’ of violence arise from gender-discriminatory institutional, social and economic structures, social and cultural norms, and organisational, community, family and relationship practices.</w:t>
      </w:r>
      <w:r w:rsidRPr="004D1500">
        <w:rPr>
          <w:rFonts w:cstheme="minorBidi"/>
          <w:spacing w:val="-5"/>
          <w:sz w:val="24"/>
          <w:vertAlign w:val="superscript"/>
          <w:lang w:val="en-AU"/>
        </w:rPr>
        <w:endnoteReference w:id="4"/>
      </w:r>
      <w:r w:rsidRPr="005C693B">
        <w:rPr>
          <w:lang w:val="en-AU"/>
        </w:rPr>
        <w:t xml:space="preserve"> Together, these norms, practices and structures create environments in which women and men are not considered equal, and violence against women is both more likely and more likely to be tolerated, and even condoned. There are 4 gendered drivers of violence:</w:t>
      </w:r>
    </w:p>
    <w:p w14:paraId="0E5DCC57" w14:textId="77777777" w:rsidR="004D1500" w:rsidRPr="00562192" w:rsidRDefault="004D1500" w:rsidP="00866AA1">
      <w:pPr>
        <w:pStyle w:val="ListBullet"/>
      </w:pPr>
      <w:r w:rsidRPr="00526734">
        <w:rPr>
          <w:rStyle w:val="Strong"/>
        </w:rPr>
        <w:t>Driver 1:</w:t>
      </w:r>
      <w:r w:rsidRPr="00562192">
        <w:t xml:space="preserve"> Condoning of violence against women</w:t>
      </w:r>
    </w:p>
    <w:p w14:paraId="3F74CDEB" w14:textId="77777777" w:rsidR="004D1500" w:rsidRPr="00562192" w:rsidRDefault="004D1500" w:rsidP="00866AA1">
      <w:pPr>
        <w:pStyle w:val="ListBullet"/>
      </w:pPr>
      <w:r w:rsidRPr="00526734">
        <w:rPr>
          <w:rStyle w:val="Strong"/>
        </w:rPr>
        <w:t>Driver 2:</w:t>
      </w:r>
      <w:r w:rsidRPr="00562192">
        <w:t xml:space="preserve"> Men’s control of decision-making and limits to women’s independence in public and private life</w:t>
      </w:r>
    </w:p>
    <w:p w14:paraId="7F0C7F91" w14:textId="77777777" w:rsidR="004D1500" w:rsidRPr="00562192" w:rsidRDefault="004D1500" w:rsidP="00866AA1">
      <w:pPr>
        <w:pStyle w:val="ListBullet"/>
      </w:pPr>
      <w:r w:rsidRPr="00526734">
        <w:rPr>
          <w:rStyle w:val="Strong"/>
        </w:rPr>
        <w:t>Driver 3:</w:t>
      </w:r>
      <w:r w:rsidRPr="00562192">
        <w:t xml:space="preserve"> Rigid gender stereotyping and dominant forms of masculinity</w:t>
      </w:r>
    </w:p>
    <w:p w14:paraId="1D86DDA8" w14:textId="77777777" w:rsidR="004D1500" w:rsidRPr="00562192" w:rsidRDefault="004D1500" w:rsidP="00866AA1">
      <w:pPr>
        <w:pStyle w:val="ListBullet"/>
      </w:pPr>
      <w:r w:rsidRPr="00526734">
        <w:rPr>
          <w:rStyle w:val="Strong"/>
        </w:rPr>
        <w:t>Driver 4:</w:t>
      </w:r>
      <w:r w:rsidRPr="00562192">
        <w:t xml:space="preserve"> Male peer relations and cultures of masculinity that emphasise aggression, dominance and control.</w:t>
      </w:r>
    </w:p>
    <w:p w14:paraId="59F232CC" w14:textId="74579FC7" w:rsidR="004B4F20" w:rsidRDefault="004D1500" w:rsidP="00562192">
      <w:pPr>
        <w:rPr>
          <w:lang w:val="en-AU"/>
        </w:rPr>
      </w:pPr>
      <w:r w:rsidRPr="00562192">
        <w:rPr>
          <w:lang w:val="en-AU"/>
        </w:rPr>
        <w:t xml:space="preserve">These drivers operate in a social context of gender and other inequalities – such as racism, homo-, bi- and transphobia, cisnormativity and ableism – and influence and impact children and young people in various ways. This paper works within this intersectional framing to summarise available research and provide insight into the experiences, needs and views of young people in relation to sex, gender, relationships, sexuality and gender-based violence, as well as the educational approaches that are aimed to support children and young people in these areas of their lives. </w:t>
      </w:r>
    </w:p>
    <w:p w14:paraId="60997E57" w14:textId="77777777" w:rsidR="004B4F20" w:rsidRDefault="004B4F20">
      <w:pPr>
        <w:spacing w:after="160" w:line="259" w:lineRule="auto"/>
        <w:rPr>
          <w:lang w:val="en-AU"/>
        </w:rPr>
      </w:pPr>
      <w:r>
        <w:rPr>
          <w:lang w:val="en-AU"/>
        </w:rPr>
        <w:br w:type="page"/>
      </w:r>
    </w:p>
    <w:p w14:paraId="3B93A1DD" w14:textId="77777777" w:rsidR="004D1500" w:rsidRPr="008F40F9" w:rsidRDefault="004D1500" w:rsidP="00562192">
      <w:pPr>
        <w:rPr>
          <w:rStyle w:val="Strong"/>
          <w:lang w:val="en-AU"/>
        </w:rPr>
      </w:pPr>
      <w:r w:rsidRPr="008F40F9">
        <w:rPr>
          <w:rStyle w:val="Strong"/>
          <w:lang w:val="en-AU"/>
        </w:rPr>
        <w:lastRenderedPageBreak/>
        <w:t>This research summary seeks to explore the following questions:</w:t>
      </w:r>
    </w:p>
    <w:p w14:paraId="29B56863" w14:textId="77777777" w:rsidR="004D1500" w:rsidRPr="00562192" w:rsidRDefault="004D1500" w:rsidP="008B2EAC">
      <w:pPr>
        <w:pStyle w:val="ListBullet"/>
      </w:pPr>
      <w:bookmarkStart w:id="17" w:name="_Toc175681829"/>
      <w:r w:rsidRPr="00562192">
        <w:t xml:space="preserve">What are children and young people’s experiences of sex, gender and relationships and their experiences of gender-based violence on and offline? </w:t>
      </w:r>
    </w:p>
    <w:p w14:paraId="2F727449" w14:textId="77777777" w:rsidR="004D1500" w:rsidRPr="00562192" w:rsidRDefault="004D1500" w:rsidP="008B2EAC">
      <w:pPr>
        <w:pStyle w:val="ListBullet"/>
      </w:pPr>
      <w:r w:rsidRPr="00562192">
        <w:t>How might available data inform the design of educational materials promoting respectful relationships?</w:t>
      </w:r>
    </w:p>
    <w:p w14:paraId="54E3D196" w14:textId="77777777" w:rsidR="004D1500" w:rsidRDefault="004D1500" w:rsidP="008B2EAC">
      <w:pPr>
        <w:pStyle w:val="ListBullet"/>
      </w:pPr>
      <w:r w:rsidRPr="00562192">
        <w:t xml:space="preserve">What evidence exists that demonstrates effective educational efforts to prevent gender-based violence and to support young people to engage in respectful relationships? </w:t>
      </w:r>
    </w:p>
    <w:p w14:paraId="1C4F4C97" w14:textId="77777777" w:rsidR="00FB721E" w:rsidRPr="00FB721E" w:rsidRDefault="00FB721E" w:rsidP="00FB721E"/>
    <w:p w14:paraId="42EC42C1" w14:textId="77777777" w:rsidR="004D1500" w:rsidRPr="004D1500" w:rsidRDefault="004D1500" w:rsidP="003A4AA0">
      <w:pPr>
        <w:pStyle w:val="Heading2"/>
        <w:rPr>
          <w:lang w:val="en-AU"/>
        </w:rPr>
      </w:pPr>
      <w:bookmarkStart w:id="18" w:name="_Toc216956815"/>
      <w:r w:rsidRPr="004D1500">
        <w:rPr>
          <w:lang w:val="en-AU"/>
        </w:rPr>
        <w:t>Aims, scope and limitations</w:t>
      </w:r>
      <w:bookmarkEnd w:id="18"/>
    </w:p>
    <w:p w14:paraId="7CC9C917" w14:textId="77777777" w:rsidR="004D1500" w:rsidRPr="00562192" w:rsidRDefault="004D1500" w:rsidP="00562192">
      <w:pPr>
        <w:rPr>
          <w:lang w:val="en-AU"/>
        </w:rPr>
      </w:pPr>
      <w:r w:rsidRPr="00562192">
        <w:rPr>
          <w:lang w:val="en-AU"/>
        </w:rPr>
        <w:t xml:space="preserve">This paper aims to inform the design and development of evidence-based teaching and learning materials that are relevant to and supportive of children and young people, to enable respectful, equitable, inclusive and safe relationships. The review primarily focuses on children and young people in primary and secondary schools who interact with respectful relationships education (RRE) initiatives. However, children and young people’s engagement in developmental and educational institutions spans multiple systems, including early years settings and higher education settings. </w:t>
      </w:r>
    </w:p>
    <w:p w14:paraId="64347588" w14:textId="409C9003" w:rsidR="004D1500" w:rsidRPr="005C693B" w:rsidRDefault="004D1500" w:rsidP="00552732">
      <w:pPr>
        <w:rPr>
          <w:lang w:val="en-AU"/>
        </w:rPr>
      </w:pPr>
      <w:r w:rsidRPr="005C693B">
        <w:rPr>
          <w:lang w:val="en-AU"/>
        </w:rPr>
        <w:t xml:space="preserve">The review aims to build a broad picture of children and young people’s experiences and some of the educational approaches that are relevant to Australian jurisdictions. This research intends to inform Our Watch’s approach to its primary prevention of gender-based violence work in schools and with young people. This includes RRE and its work on </w:t>
      </w:r>
      <w:r w:rsidRPr="002D19F5">
        <w:rPr>
          <w:rFonts w:cstheme="minorBidi"/>
          <w:i/>
          <w:iCs/>
          <w:spacing w:val="-5"/>
          <w:szCs w:val="23"/>
          <w:lang w:val="en-AU"/>
        </w:rPr>
        <w:t>The Line</w:t>
      </w:r>
      <w:r w:rsidRPr="005C693B">
        <w:rPr>
          <w:lang w:val="en-AU"/>
        </w:rPr>
        <w:t>, a campaign designed for</w:t>
      </w:r>
      <w:r w:rsidR="00407722" w:rsidRPr="005C693B">
        <w:rPr>
          <w:lang w:val="en-AU"/>
        </w:rPr>
        <w:t xml:space="preserve"> </w:t>
      </w:r>
      <w:r w:rsidRPr="005C693B">
        <w:rPr>
          <w:lang w:val="en-AU"/>
        </w:rPr>
        <w:t>14 and over.</w:t>
      </w:r>
      <w:r w:rsidRPr="004D1500">
        <w:rPr>
          <w:rFonts w:cstheme="minorBidi"/>
          <w:spacing w:val="-5"/>
          <w:sz w:val="24"/>
          <w:vertAlign w:val="superscript"/>
          <w:lang w:val="en-AU"/>
        </w:rPr>
        <w:endnoteReference w:id="5"/>
      </w:r>
      <w:r w:rsidRPr="005C693B">
        <w:rPr>
          <w:lang w:val="en-AU"/>
        </w:rPr>
        <w:t xml:space="preserve"> </w:t>
      </w:r>
    </w:p>
    <w:p w14:paraId="4B8DDE1D" w14:textId="77777777" w:rsidR="004D1500" w:rsidRPr="00562192" w:rsidRDefault="004D1500" w:rsidP="00562192">
      <w:pPr>
        <w:rPr>
          <w:lang w:val="en-AU"/>
        </w:rPr>
      </w:pPr>
      <w:r w:rsidRPr="00562192">
        <w:rPr>
          <w:lang w:val="en-AU"/>
        </w:rPr>
        <w:t xml:space="preserve">The paper uses the term ‘children and young people’ to capture the experiences of people aged 5–18 years, and even older, depending on the data. Research may also use the term ‘adolescents’; this paper uses this term only when it is specifically stated as such in the related study. Some research and data spans multiple life stages of children and young people’s lives, and have been included to build a comprehensive picture of children and young people’s experiences of gender-based violence, their relationships, and how their understandings of sexuality and gendered norms and identities are shaped. While the aims of this paper are focused on school-based children and young people, some data and insights which fall outside this age range have been included in this paper where relevant. </w:t>
      </w:r>
    </w:p>
    <w:p w14:paraId="1C8ED41B" w14:textId="77777777" w:rsidR="004D1500" w:rsidRPr="00562192" w:rsidRDefault="004D1500" w:rsidP="00562192">
      <w:pPr>
        <w:rPr>
          <w:lang w:val="en-AU"/>
        </w:rPr>
      </w:pPr>
      <w:r w:rsidRPr="00562192">
        <w:rPr>
          <w:lang w:val="en-AU"/>
        </w:rPr>
        <w:t>This evidence review draws on both qualitative and quantitative research in the fields of psychology, sociology, education, youth studies, violence prevention and public health. Research studies that were reviewed include prevalence data, case studies, observational studies, meta-analyses, evaluations and systematic reviews. Grey literature was also included in the review.</w:t>
      </w:r>
    </w:p>
    <w:p w14:paraId="2E6BD3EB" w14:textId="77777777" w:rsidR="004D1500" w:rsidRPr="00562192" w:rsidRDefault="004D1500" w:rsidP="00562192">
      <w:pPr>
        <w:rPr>
          <w:lang w:val="en-AU"/>
        </w:rPr>
      </w:pPr>
      <w:r w:rsidRPr="00562192">
        <w:rPr>
          <w:lang w:val="en-AU"/>
        </w:rPr>
        <w:t xml:space="preserve">Relevant search terms to source research included: youth, young people, adolescents, students; information-seeking behaviours; romantic relationships; education for prevention of bullying and violence; sexuality education; gender education; relationships education; social and emotional learning; intimate partner violence, relationship violence; relationship aggression; relationship abuse; sexual consent; new media; pornography; sexting; and deepfake. These search terms were used because of their applicability to children and young people’s experiences of sex, gender and relationships. </w:t>
      </w:r>
    </w:p>
    <w:p w14:paraId="79ADBC7A" w14:textId="77777777" w:rsidR="004D1500" w:rsidRPr="00562192" w:rsidRDefault="004D1500" w:rsidP="00562192">
      <w:pPr>
        <w:rPr>
          <w:lang w:val="en-AU"/>
        </w:rPr>
      </w:pPr>
      <w:r w:rsidRPr="00562192">
        <w:rPr>
          <w:lang w:val="en-AU"/>
        </w:rPr>
        <w:lastRenderedPageBreak/>
        <w:t>To ensure the most relevant insights, priority was given to research studies conducted in Australia; however, the evidence review also draws on international research from similar socio-cultural contexts, including Canada, North America, Europe and the United Kingdom.</w:t>
      </w:r>
    </w:p>
    <w:p w14:paraId="192499EC" w14:textId="77777777" w:rsidR="004D1500" w:rsidRPr="00562192" w:rsidRDefault="004D1500" w:rsidP="00562192">
      <w:pPr>
        <w:rPr>
          <w:lang w:val="en-AU"/>
        </w:rPr>
      </w:pPr>
      <w:r w:rsidRPr="00562192">
        <w:rPr>
          <w:lang w:val="en-AU"/>
        </w:rPr>
        <w:t xml:space="preserve">The Youth Research Collective, part of the Faculty of Education, University of Melbourne, produced the initial work for this research summary. </w:t>
      </w:r>
    </w:p>
    <w:p w14:paraId="06FEC016" w14:textId="77777777" w:rsidR="004D1500" w:rsidRPr="004D1500" w:rsidRDefault="004D1500" w:rsidP="008F40F9">
      <w:pPr>
        <w:spacing w:before="240" w:line="240" w:lineRule="auto"/>
        <w:contextualSpacing/>
        <w:outlineLvl w:val="2"/>
        <w:rPr>
          <w:rFonts w:cstheme="majorHAnsi"/>
          <w:b/>
          <w:bCs/>
          <w:iCs/>
          <w:spacing w:val="-3"/>
          <w:sz w:val="24"/>
          <w:szCs w:val="18"/>
          <w:lang w:val="en-AU"/>
        </w:rPr>
      </w:pPr>
      <w:r w:rsidRPr="004D1500">
        <w:rPr>
          <w:rFonts w:cstheme="majorHAnsi"/>
          <w:b/>
          <w:bCs/>
          <w:iCs/>
          <w:spacing w:val="-3"/>
          <w:sz w:val="24"/>
          <w:szCs w:val="18"/>
          <w:lang w:val="en-AU"/>
        </w:rPr>
        <w:t>Notes on intersectionality and binary language</w:t>
      </w:r>
    </w:p>
    <w:p w14:paraId="761BCAB4" w14:textId="77777777" w:rsidR="004D1500" w:rsidRPr="00562192" w:rsidRDefault="004D1500" w:rsidP="00562192">
      <w:pPr>
        <w:rPr>
          <w:lang w:val="en-AU"/>
        </w:rPr>
      </w:pPr>
      <w:r w:rsidRPr="00562192">
        <w:rPr>
          <w:lang w:val="en-AU"/>
        </w:rPr>
        <w:t>Women and girls are not homogeneous groups, but comprise many and varied personal identities and social positions. However, the majority of available evidence and research primarily uses binary language in its framing of prevention work – that is, language that assumes only 2 categories of sex and gender and is limited by binary terms such as men/women, male/female, masculinity/femininity. In this research summary, efforts have been made to include research that encompasses children and young people’s experiences that may not fit into the binary categories of sex and gender. Nevertheless, there is a need for further research and evidence building that concentrates on children and young people who are gender diverse and have diverse sexualities.</w:t>
      </w:r>
    </w:p>
    <w:p w14:paraId="233C5CDE" w14:textId="77777777" w:rsidR="004D1500" w:rsidRPr="005C693B" w:rsidRDefault="004D1500" w:rsidP="00552732">
      <w:pPr>
        <w:rPr>
          <w:lang w:val="en-AU"/>
        </w:rPr>
      </w:pPr>
      <w:r w:rsidRPr="005C693B">
        <w:rPr>
          <w:lang w:val="en-AU"/>
        </w:rPr>
        <w:t xml:space="preserve">The use of binary language in the evidence points to a critical need for an intersectional gender and power analysis to underpin our understanding of children and young people’s experiences of sex, gender and relationships, their treatment in schools, and our approach to preventing and addressing gender-based violence. While challenging gender inequalities is central to efforts to prevent gender-based violence, an intersectional approach involves addressing not only gender inequality, but also other forms of structural inequalities, harmful stereotypes and discrimination. Such an approach recognises that violence and gender inequality exist in relation to multiple and intersecting systems of sexism, racism, colonialism, classism, heteronormativity, cisnormativity, homo-, bi- and transphobia, ableism and ageism, and their corresponding systems of power and privilege. These intersections create systems of structured inequality, characterised by the unequal distribution of power, wealth, income and social status. </w:t>
      </w:r>
    </w:p>
    <w:p w14:paraId="5DC385B1" w14:textId="77777777" w:rsidR="004D1500" w:rsidRPr="005C693B" w:rsidRDefault="004D1500" w:rsidP="00552732">
      <w:pPr>
        <w:rPr>
          <w:lang w:val="en-AU"/>
        </w:rPr>
      </w:pPr>
      <w:r w:rsidRPr="005C693B">
        <w:rPr>
          <w:lang w:val="en-AU"/>
        </w:rPr>
        <w:t xml:space="preserve">Embedding an intersectional approach in understanding the diverse experiences of children and young people, education systems can ensure all children and young people have access to the kinds of tailored support they need, to develop the knowledge and skills required to facilitate respectful relationships at school, with peers, and in the community. </w:t>
      </w:r>
    </w:p>
    <w:p w14:paraId="30ECB75C" w14:textId="77777777" w:rsidR="004D1500" w:rsidRPr="00562192" w:rsidRDefault="004D1500" w:rsidP="00562192">
      <w:pPr>
        <w:rPr>
          <w:lang w:val="en-AU"/>
        </w:rPr>
      </w:pPr>
    </w:p>
    <w:p w14:paraId="20B4BA96" w14:textId="77777777" w:rsidR="004E20F8" w:rsidRDefault="004E20F8">
      <w:pPr>
        <w:spacing w:after="160" w:line="259" w:lineRule="auto"/>
        <w:rPr>
          <w:rFonts w:eastAsiaTheme="majorEastAsia" w:cs="Times New Roman (Headings CS)"/>
          <w:b/>
          <w:bCs/>
          <w:color w:val="022146"/>
          <w:sz w:val="42"/>
          <w:szCs w:val="38"/>
          <w:lang w:val="en-AU"/>
        </w:rPr>
      </w:pPr>
      <w:bookmarkStart w:id="19" w:name="_Toc216956816"/>
      <w:r>
        <w:rPr>
          <w:lang w:val="en-AU"/>
        </w:rPr>
        <w:br w:type="page"/>
      </w:r>
    </w:p>
    <w:p w14:paraId="04431905" w14:textId="00FA6300" w:rsidR="004D1500" w:rsidRPr="004D1500" w:rsidRDefault="004D1500" w:rsidP="003A4AA0">
      <w:pPr>
        <w:pStyle w:val="Heading2"/>
        <w:rPr>
          <w:lang w:val="en-AU"/>
        </w:rPr>
      </w:pPr>
      <w:r w:rsidRPr="004D1500">
        <w:rPr>
          <w:lang w:val="en-AU"/>
        </w:rPr>
        <w:lastRenderedPageBreak/>
        <w:t xml:space="preserve">Key findings and implications to improve educational approaches to support children </w:t>
      </w:r>
      <w:r w:rsidR="0044673D">
        <w:rPr>
          <w:lang w:val="en-AU"/>
        </w:rPr>
        <w:br/>
      </w:r>
      <w:r w:rsidRPr="004D1500">
        <w:rPr>
          <w:lang w:val="en-AU"/>
        </w:rPr>
        <w:t>and young people</w:t>
      </w:r>
      <w:bookmarkEnd w:id="19"/>
      <w:r w:rsidRPr="004D1500">
        <w:rPr>
          <w:lang w:val="en-AU"/>
        </w:rPr>
        <w:t xml:space="preserve"> </w:t>
      </w:r>
    </w:p>
    <w:p w14:paraId="1D238B11" w14:textId="77777777" w:rsidR="004D1500" w:rsidRPr="00562192" w:rsidRDefault="004D1500" w:rsidP="00562192">
      <w:pPr>
        <w:rPr>
          <w:lang w:val="en-AU"/>
        </w:rPr>
      </w:pPr>
      <w:r w:rsidRPr="00562192">
        <w:rPr>
          <w:lang w:val="en-AU"/>
        </w:rPr>
        <w:t>This paper has provided valuable insight into the nature of young people’s relationships; the inequalities and violence that can occur within these relationships; and children and young people’s attitudes around topics such as sex, gender, sexuality, consent and relationships. It illustrates the need for open, critical and supportive educational experiences that reflect and accept the reality of young people’s lives and identities. This includes supporting and reinforcing teaching and learning in classrooms through a whole-of-school approach, as well as providing age-appropriate, relationship-centric and research-informed respectful relationships and sexuality education in schools.</w:t>
      </w:r>
    </w:p>
    <w:p w14:paraId="29E6177D" w14:textId="289DD3CC" w:rsidR="002631AB" w:rsidRPr="00562192" w:rsidRDefault="004D1500" w:rsidP="007703A4">
      <w:pPr>
        <w:rPr>
          <w:lang w:val="en-AU"/>
        </w:rPr>
      </w:pPr>
      <w:r w:rsidRPr="00562192">
        <w:rPr>
          <w:lang w:val="en-AU"/>
        </w:rPr>
        <w:t xml:space="preserve">Drawing on the research reviewed in this paper, Section 5 outlines 12 implications for gender-based violence prevention stakeholders to consider when designing and delivering education approaches to meet the needs of children and young people, and support safe, respectful and healthy relationships, experiences and identity formation. </w:t>
      </w:r>
    </w:p>
    <w:p w14:paraId="097C3CB8" w14:textId="77777777" w:rsidR="004D1500" w:rsidRPr="004D1500" w:rsidRDefault="004D1500" w:rsidP="00490EF4">
      <w:pPr>
        <w:pStyle w:val="Keyfindingnumberedheading"/>
      </w:pPr>
      <w:r w:rsidRPr="004D1500">
        <w:t xml:space="preserve">Research underscores the urgent need for a sustained, systemic and intersectional approach to relationships and sexuality education that reflects the lived realities of young people. </w:t>
      </w:r>
    </w:p>
    <w:p w14:paraId="7E321490" w14:textId="77777777" w:rsidR="004D1500" w:rsidRPr="00562192" w:rsidRDefault="004D1500" w:rsidP="00562192">
      <w:pPr>
        <w:rPr>
          <w:lang w:val="en-AU"/>
        </w:rPr>
      </w:pPr>
      <w:r w:rsidRPr="00562192">
        <w:rPr>
          <w:lang w:val="en-AU"/>
        </w:rPr>
        <w:t xml:space="preserve">By integrating critical thinking, digital awareness, emotional intelligence and gender literacy, educational approaches such as respectful relationships education (RRE) have the potential to empower young people, disrupt cycles of violence, and create a more equitable and respectful society. </w:t>
      </w:r>
    </w:p>
    <w:p w14:paraId="1419E1FB" w14:textId="1079501F" w:rsidR="004D1500" w:rsidRPr="00562192" w:rsidRDefault="004D1500" w:rsidP="00562192">
      <w:pPr>
        <w:rPr>
          <w:lang w:val="en-AU"/>
        </w:rPr>
      </w:pPr>
      <w:r w:rsidRPr="00562192">
        <w:rPr>
          <w:lang w:val="en-AU"/>
        </w:rPr>
        <w:t>Many of the key topics in the RRE curriculum are core to social and emotional learning, and comprehensive sexual and relationships education, demonstrating the significant contribution of and crossover between these learning areas. RRE brings together these teaching and learning elements as one part of a holistic whole-of-school approach that aims to ensure messages, norms and stereotypes promoting equality and respect are embedded and modelled across education systems. This approach ensures that the knowledge and skills being taught in classroom programs are supported by consistent practices, policies and culture within the school. The evidence reaffirms the need for professional learning, strong leadership and adequate resources to implement RRE effectively and with fidelity.</w:t>
      </w:r>
    </w:p>
    <w:p w14:paraId="3FFF0D49" w14:textId="222C8A72" w:rsidR="004D1500" w:rsidRPr="004D1500" w:rsidRDefault="004D1500" w:rsidP="00490EF4">
      <w:pPr>
        <w:pStyle w:val="Keyfindingnumberedheading"/>
      </w:pPr>
      <w:r w:rsidRPr="004D1500">
        <w:t xml:space="preserve">Educational approaches must include an age-appropriate focus on </w:t>
      </w:r>
      <w:r w:rsidR="00490EF4">
        <w:br/>
      </w:r>
      <w:r w:rsidRPr="004D1500">
        <w:t>issues of consent, pleasure, gender equality, respectful relationships and violence prevention.</w:t>
      </w:r>
    </w:p>
    <w:p w14:paraId="36AD7EB7" w14:textId="77777777" w:rsidR="004D1500" w:rsidRPr="00562192" w:rsidRDefault="004D1500" w:rsidP="00562192">
      <w:pPr>
        <w:rPr>
          <w:lang w:val="en-AU"/>
        </w:rPr>
      </w:pPr>
      <w:r w:rsidRPr="00562192">
        <w:rPr>
          <w:lang w:val="en-AU"/>
        </w:rPr>
        <w:t xml:space="preserve">The age-related data indicate a wide range of experiences among young people, including significant levels of unwanted sex and peer pressure, as well as consensual experiences of sexual pleasure and experimentation. The data highlight the importance of including an age-appropriate focus on issues of consent, pleasure, gender equality, respectful relationships and violence prevention. Given the intersection of sexual and gender-based violence experienced by children and young people, there is a demonstrated need and potential for schools to play a key role in the prevention and response to gender-based violence. </w:t>
      </w:r>
    </w:p>
    <w:p w14:paraId="76A1F6E2" w14:textId="77777777" w:rsidR="004D1500" w:rsidRPr="004D1500" w:rsidRDefault="004D1500" w:rsidP="00490EF4">
      <w:pPr>
        <w:pStyle w:val="Keyfindingnumberedheading"/>
      </w:pPr>
      <w:r w:rsidRPr="004D1500">
        <w:lastRenderedPageBreak/>
        <w:t>Young people’s attitudes towards gender equality and gender stereotypes are formed early and reinforced as they move through adolescence.</w:t>
      </w:r>
    </w:p>
    <w:p w14:paraId="3E893FD3" w14:textId="77777777" w:rsidR="004D1500" w:rsidRDefault="004D1500" w:rsidP="00562192">
      <w:pPr>
        <w:rPr>
          <w:lang w:val="en-AU"/>
        </w:rPr>
      </w:pPr>
      <w:r w:rsidRPr="00562192">
        <w:rPr>
          <w:lang w:val="en-AU"/>
        </w:rPr>
        <w:t xml:space="preserve">Attitudinal data in this paper reinforce the need for learning opportunities that respond to the nature of children and young people’s relationships, attitudes and behaviours. Attitudes towards gender equality and stereotypes begin to form in early childhood, with intimate feelings, experiences and relationships often beginning in primary school. As a result, it is essential that age-appropriate teaching and learning begin at this stage, so children and young people can navigate the changing nature of their identity and relationships across developmental stages. </w:t>
      </w:r>
    </w:p>
    <w:p w14:paraId="326267EE" w14:textId="77777777" w:rsidR="004D1500" w:rsidRPr="004D1500" w:rsidRDefault="004D1500" w:rsidP="00490EF4">
      <w:pPr>
        <w:pStyle w:val="Keyfindingnumberedheading"/>
      </w:pPr>
      <w:r w:rsidRPr="004D1500">
        <w:t>Young people want educational approaches that are relevant to their lives and relationships and that are inclusive of diverse identities and experiences.</w:t>
      </w:r>
    </w:p>
    <w:p w14:paraId="0439ECFB" w14:textId="77777777" w:rsidR="004D1500" w:rsidRPr="00562192" w:rsidRDefault="004D1500" w:rsidP="00562192">
      <w:pPr>
        <w:rPr>
          <w:lang w:val="en-AU"/>
        </w:rPr>
      </w:pPr>
      <w:r w:rsidRPr="00562192">
        <w:rPr>
          <w:lang w:val="en-AU"/>
        </w:rPr>
        <w:t>Young people’s views expressed in the research demonstrate their desire for school-based education that provides:</w:t>
      </w:r>
    </w:p>
    <w:p w14:paraId="3D4512A7" w14:textId="77777777" w:rsidR="004D1500" w:rsidRPr="00562192" w:rsidRDefault="004D1500" w:rsidP="006B1019">
      <w:pPr>
        <w:pStyle w:val="ListBullet"/>
      </w:pPr>
      <w:r w:rsidRPr="00562192">
        <w:t>opportunities to learn, question and explore the nature of relationships, gender identities and sexuality</w:t>
      </w:r>
    </w:p>
    <w:p w14:paraId="1DE976B9" w14:textId="77777777" w:rsidR="004D1500" w:rsidRPr="00562192" w:rsidRDefault="004D1500" w:rsidP="006B1019">
      <w:pPr>
        <w:pStyle w:val="ListBullet"/>
      </w:pPr>
      <w:r w:rsidRPr="00562192">
        <w:t>opportunities to understand power, pleasure and boundaries</w:t>
      </w:r>
    </w:p>
    <w:p w14:paraId="207C59D2" w14:textId="77777777" w:rsidR="004D1500" w:rsidRPr="00562192" w:rsidRDefault="004D1500" w:rsidP="006B1019">
      <w:pPr>
        <w:pStyle w:val="ListBullet"/>
      </w:pPr>
      <w:r w:rsidRPr="00562192">
        <w:t>access to teachers who are comfortable with facilitating this learning</w:t>
      </w:r>
    </w:p>
    <w:p w14:paraId="5D8E931F" w14:textId="77777777" w:rsidR="004D1500" w:rsidRPr="00562192" w:rsidRDefault="004D1500" w:rsidP="006B1019">
      <w:pPr>
        <w:pStyle w:val="ListBullet"/>
      </w:pPr>
      <w:r w:rsidRPr="00562192">
        <w:t xml:space="preserve">access to safety and support when required. </w:t>
      </w:r>
    </w:p>
    <w:p w14:paraId="41AEF131" w14:textId="77777777" w:rsidR="004D1500" w:rsidRDefault="004D1500" w:rsidP="00562192">
      <w:pPr>
        <w:rPr>
          <w:lang w:val="en-AU"/>
        </w:rPr>
      </w:pPr>
      <w:r w:rsidRPr="00562192">
        <w:rPr>
          <w:lang w:val="en-AU"/>
        </w:rPr>
        <w:t>Education approaches that incorporate these needs are essential for providing young people with the necessary skills, attitudes and knowledge for them to not only form and negotiate safe, healthy and respectful relationships, but also for their ability to understand and contextualise materials they are accessing and being exposed to online, such as pornography, deepfakes and image-based abuse.</w:t>
      </w:r>
    </w:p>
    <w:p w14:paraId="6F67B1F9" w14:textId="77777777" w:rsidR="004D1500" w:rsidRPr="004D1500" w:rsidRDefault="004D1500" w:rsidP="00490EF4">
      <w:pPr>
        <w:pStyle w:val="Keyfindingnumberedheading"/>
      </w:pPr>
      <w:r w:rsidRPr="004D1500">
        <w:t>Young people need support to understand sexual consent as an active and ongoing communicative practice that must be built on from an early age, over time and in age-appropriate ways.</w:t>
      </w:r>
    </w:p>
    <w:p w14:paraId="7823A11A" w14:textId="77777777" w:rsidR="004D1500" w:rsidRDefault="004D1500" w:rsidP="00562192">
      <w:pPr>
        <w:rPr>
          <w:lang w:val="en-AU"/>
        </w:rPr>
      </w:pPr>
      <w:r w:rsidRPr="00562192">
        <w:rPr>
          <w:lang w:val="en-AU"/>
        </w:rPr>
        <w:t>Research indicates the importance of embedding sexuality and respectful relationship education programs with a relevant and nuanced approach to consent education, providing opportunities for students to engage with how gender norms, expectations and power dynamics may influence understandings of consent. The research presented in this paper cautions against overly simplistic or legalistic approaches to consent. Instead, it advocates a relationship-centric approach that foregrounds the importance of consent as an active, ongoing communicative practice.</w:t>
      </w:r>
    </w:p>
    <w:p w14:paraId="09E86832" w14:textId="77777777" w:rsidR="004D1500" w:rsidRPr="004D1500" w:rsidRDefault="004D1500" w:rsidP="00490EF4">
      <w:pPr>
        <w:pStyle w:val="Keyfindingnumberedheading"/>
      </w:pPr>
      <w:r w:rsidRPr="004D1500">
        <w:t xml:space="preserve">While new digital and online media play a role in the development of many young people’s sexual, romantic and peer relationships, evidence of their effects on young people’s </w:t>
      </w:r>
      <w:proofErr w:type="spellStart"/>
      <w:r w:rsidRPr="004D1500">
        <w:t>behaviours</w:t>
      </w:r>
      <w:proofErr w:type="spellEnd"/>
      <w:r w:rsidRPr="004D1500">
        <w:t xml:space="preserve"> is complex, showing both negative and positive contributions.</w:t>
      </w:r>
    </w:p>
    <w:p w14:paraId="33F2027B" w14:textId="77777777" w:rsidR="004D1500" w:rsidRDefault="004D1500" w:rsidP="00264A40">
      <w:pPr>
        <w:rPr>
          <w:lang w:val="en-AU"/>
        </w:rPr>
      </w:pPr>
      <w:r w:rsidRPr="00264A40">
        <w:rPr>
          <w:lang w:val="en-AU"/>
        </w:rPr>
        <w:t xml:space="preserve">Digital technologies comprise a significant part of young people’s lives, shaping how they form friendships, relationships, and their beliefs about gender and sexuality. The online environment can offer anonymised, private, accessible and non-judgemental information and support, as well as a form of connection for young people who encounter stigma, experience marginalisation, and face other obstacles in their communities. However, digital and online media also present increased risk -- particularly for young women -- associated with technology-facilitated abuse, which includes non-consensual sharing of images, the creation and distribution of deepfakes, and exposure to increasingly violent pornography. This highlights the </w:t>
      </w:r>
      <w:r w:rsidRPr="00264A40">
        <w:rPr>
          <w:lang w:val="en-AU"/>
        </w:rPr>
        <w:lastRenderedPageBreak/>
        <w:t xml:space="preserve">urgent need to equip young people with knowledge, critical thinking skills and ethical frameworks to help them navigate the online world, including digital consent; understand the role of gender; and understand the impact of technology-facilitated abuse. </w:t>
      </w:r>
    </w:p>
    <w:p w14:paraId="66560AFD" w14:textId="77777777" w:rsidR="004D1500" w:rsidRPr="004D1500" w:rsidRDefault="004D1500" w:rsidP="00490EF4">
      <w:pPr>
        <w:pStyle w:val="Keyfindingnumberedheading"/>
      </w:pPr>
      <w:r w:rsidRPr="004D1500">
        <w:t xml:space="preserve">There are significant opportunities to integrate learning on the negative impacts of the online environment into educational approaches, thereby supporting the safety of children and young people and promoting respectful online </w:t>
      </w:r>
      <w:proofErr w:type="spellStart"/>
      <w:r w:rsidRPr="004D1500">
        <w:t>behaviour</w:t>
      </w:r>
      <w:proofErr w:type="spellEnd"/>
      <w:r w:rsidRPr="004D1500">
        <w:t xml:space="preserve">. </w:t>
      </w:r>
    </w:p>
    <w:p w14:paraId="0DF071BE" w14:textId="77777777" w:rsidR="004D1500" w:rsidRDefault="004D1500" w:rsidP="00562192">
      <w:pPr>
        <w:rPr>
          <w:lang w:val="en-AU"/>
        </w:rPr>
      </w:pPr>
      <w:r w:rsidRPr="00562192">
        <w:rPr>
          <w:lang w:val="en-AU"/>
        </w:rPr>
        <w:t>Digital technologies directly influence young people, both in the ways the online environment is a new setting for the occurrence of gender-based violence, and in the emergence of new tools to perpetrate and experience gender-based violence. The online environment replicates existing patterns of gender inequality, harmful stereotypes and the drivers of gender-based violence. These patterns are embedded in image-based abuse practices of coercive sexting and deepfake image creation.  Opportunities exist to integrate education on the negative impacts of technology into the curriculum of educational approaches, potentially as standalone topics. Research into young people’s experiences of sexting and image-based abuse demonstrates the importance of a focus on concepts of consent in the online world. As technologies and practices evolve, education systems and leaders must understand the role and impact of emerging issues on young people’s lives and relationships, and support the integration of these areas into broader approaches to respectful relationships and sexuality education. In addition, school leaders must demonstrate a strong understanding of the link between harmful online behaviours and gender-based violence, and be committed to supporting teachers to engage with students on topics related to technology-facilitated abuse, the online environment and gender-based violence.</w:t>
      </w:r>
    </w:p>
    <w:p w14:paraId="5C4833BA" w14:textId="77777777" w:rsidR="004D1500" w:rsidRPr="004D1500" w:rsidRDefault="004D1500" w:rsidP="00495E7F">
      <w:pPr>
        <w:pStyle w:val="Keyfindingnumberedheading"/>
      </w:pPr>
      <w:r w:rsidRPr="004D1500">
        <w:t xml:space="preserve">The online manosphere is mainstreaming misogynistic messaging to boys and young men, significantly shaping young people’s attitudes and adherence to gender stereotypes, and negatively impacting teachers in schools. </w:t>
      </w:r>
    </w:p>
    <w:p w14:paraId="58F55F21" w14:textId="77777777" w:rsidR="004D1500" w:rsidRPr="00562192" w:rsidRDefault="004D1500" w:rsidP="00562192">
      <w:pPr>
        <w:rPr>
          <w:lang w:val="en-AU"/>
        </w:rPr>
      </w:pPr>
      <w:r w:rsidRPr="00562192">
        <w:rPr>
          <w:lang w:val="en-AU"/>
        </w:rPr>
        <w:t xml:space="preserve">The changing nature of gender norms and resistance in the form of the ‘manosphere’ reinforces the need for students to have safe and open conversations with trusted and knowledgeable teachers. Approaches can be informed by existing prevention work that seeks to engage boys and men in both challenging harmful gender stereotypes and promoting positive gender stereotypes and norms. </w:t>
      </w:r>
    </w:p>
    <w:p w14:paraId="584F58CB" w14:textId="77777777" w:rsidR="004D1500" w:rsidRPr="00562192" w:rsidRDefault="004D1500" w:rsidP="00562192">
      <w:pPr>
        <w:rPr>
          <w:lang w:val="en-AU"/>
        </w:rPr>
      </w:pPr>
      <w:r w:rsidRPr="00562192">
        <w:rPr>
          <w:lang w:val="en-AU"/>
        </w:rPr>
        <w:t>It is crucial to support schools in understanding the influence of the ‘manosphere’ on young people – particularly on boys and young men. As part of this broader support, appropriate support should be provided to students and teachers who experience misogyny based on the misogynistic messaging that stems from the ‘manosphere’.</w:t>
      </w:r>
    </w:p>
    <w:p w14:paraId="780CF8C8" w14:textId="77777777" w:rsidR="004D1500" w:rsidRPr="004D1500" w:rsidRDefault="004D1500" w:rsidP="00490EF4">
      <w:pPr>
        <w:pStyle w:val="Keyfindingnumberedheading"/>
      </w:pPr>
      <w:r w:rsidRPr="004D1500">
        <w:t xml:space="preserve">Pornography is influencing young people’s attitudes and </w:t>
      </w:r>
      <w:proofErr w:type="spellStart"/>
      <w:r w:rsidRPr="004D1500">
        <w:t>behaviours</w:t>
      </w:r>
      <w:proofErr w:type="spellEnd"/>
      <w:r w:rsidRPr="004D1500">
        <w:t xml:space="preserve"> around sex, intimacy and consent, and information on pornography should be included in educational approaches. </w:t>
      </w:r>
    </w:p>
    <w:p w14:paraId="24B110B6" w14:textId="471A4A31" w:rsidR="004B4F20" w:rsidRDefault="004D1500" w:rsidP="00562192">
      <w:pPr>
        <w:rPr>
          <w:lang w:val="en-AU"/>
        </w:rPr>
      </w:pPr>
      <w:r w:rsidRPr="00562192">
        <w:rPr>
          <w:lang w:val="en-AU"/>
        </w:rPr>
        <w:t xml:space="preserve">The widespread presence of gender-based violence in some mainstream pornography has profound implications for young people’s attitudes and behaviours around sex, intimacy and consent. Pornography sends powerful messages about gender roles and power dynamics in sexual relationships. These findings highlight the urgent need for inclusive, age-appropriate and evidence-based education that addresses the influence of pornography, challenges harmful norms, and supports </w:t>
      </w:r>
      <w:r w:rsidRPr="00562192">
        <w:rPr>
          <w:lang w:val="en-AU"/>
        </w:rPr>
        <w:lastRenderedPageBreak/>
        <w:t xml:space="preserve">young people to navigate sex and relationships safely, ethically and with </w:t>
      </w:r>
      <w:r w:rsidR="00BB5367">
        <w:rPr>
          <w:lang w:val="en-AU"/>
        </w:rPr>
        <w:br/>
      </w:r>
      <w:r w:rsidRPr="00562192">
        <w:rPr>
          <w:lang w:val="en-AU"/>
        </w:rPr>
        <w:t>mutual respect.</w:t>
      </w:r>
    </w:p>
    <w:p w14:paraId="6AC52186" w14:textId="649950DE" w:rsidR="00CF5952" w:rsidRPr="00562192" w:rsidRDefault="004D1500" w:rsidP="00562192">
      <w:pPr>
        <w:rPr>
          <w:lang w:val="en-AU"/>
        </w:rPr>
      </w:pPr>
      <w:r w:rsidRPr="00562192">
        <w:rPr>
          <w:lang w:val="en-AU"/>
        </w:rPr>
        <w:t xml:space="preserve">Access to information and education about pornography has the potential to help mitigate the negative impacts of pornography on young people, their wellbeing and their relationships. Significant opportunities exist within the Australian Curriculum (and state and territory curriculums) and professional learning components of whole-of-school RRE to build young people’s critical awareness of gender roles in sexual interactions, and to provide them with tools for critically challenging violence-endorsing messages in all forms of media. </w:t>
      </w:r>
    </w:p>
    <w:p w14:paraId="61E741B2" w14:textId="4EB11225" w:rsidR="004D1500" w:rsidRPr="004D1500" w:rsidRDefault="1BE18FBD" w:rsidP="00490EF4">
      <w:pPr>
        <w:pStyle w:val="Keyfindingnumberedheading"/>
      </w:pPr>
      <w:r>
        <w:t xml:space="preserve">Young people identify the importance of a relationship-centric approach </w:t>
      </w:r>
      <w:r w:rsidR="004D1500">
        <w:br/>
      </w:r>
      <w:r>
        <w:t>as a critical element in the effectiveness of education on relationships, sex</w:t>
      </w:r>
      <w:r w:rsidR="004D1500">
        <w:br/>
      </w:r>
      <w:r>
        <w:t xml:space="preserve">and consent. </w:t>
      </w:r>
    </w:p>
    <w:p w14:paraId="7FD03961" w14:textId="77777777" w:rsidR="004D1500" w:rsidRDefault="004D1500" w:rsidP="00552732">
      <w:pPr>
        <w:rPr>
          <w:lang w:val="en-US"/>
        </w:rPr>
      </w:pPr>
      <w:r w:rsidRPr="005C693B">
        <w:rPr>
          <w:lang w:val="en-US"/>
        </w:rPr>
        <w:t>Children and young people commonly request that programs addressing respectful relationships, consent and sexuality education take a relationship-centric approach and focus on developing the skills for positive relationships. They express strong views about how school culture and peer relationships influence their wellbeing, and recommend that positive relationships be understood as providing the foundation for other wellbeing-related education initiatives.</w:t>
      </w:r>
      <w:r w:rsidRPr="004D1500">
        <w:rPr>
          <w:rFonts w:cstheme="minorBidi"/>
          <w:spacing w:val="-5"/>
          <w:sz w:val="24"/>
          <w:vertAlign w:val="superscript"/>
          <w:lang w:val="en-US"/>
        </w:rPr>
        <w:endnoteReference w:id="6"/>
      </w:r>
      <w:r w:rsidRPr="005C693B">
        <w:rPr>
          <w:lang w:val="en-US"/>
        </w:rPr>
        <w:t xml:space="preserve">  </w:t>
      </w:r>
    </w:p>
    <w:p w14:paraId="723637C5" w14:textId="5784DF2F" w:rsidR="004D1500" w:rsidRPr="004D1500" w:rsidRDefault="004D1500" w:rsidP="00490EF4">
      <w:pPr>
        <w:pStyle w:val="Keyfindingnumberedheading"/>
        <w:rPr>
          <w:rFonts w:cstheme="majorHAnsi"/>
          <w:spacing w:val="-3"/>
          <w:szCs w:val="18"/>
          <w:lang w:val="en-AU"/>
        </w:rPr>
      </w:pPr>
      <w:r w:rsidRPr="004D1500">
        <w:t xml:space="preserve">Young people are seeking educational approaches that are informed by </w:t>
      </w:r>
      <w:r w:rsidR="00113C69">
        <w:br/>
      </w:r>
      <w:r w:rsidRPr="004D1500">
        <w:t xml:space="preserve">their wants and needs to navigate sex, pleasure, gender and relationships in respectful and healthy ways.  </w:t>
      </w:r>
    </w:p>
    <w:p w14:paraId="2506723C" w14:textId="77777777" w:rsidR="004D1500" w:rsidRPr="00562192" w:rsidRDefault="004D1500" w:rsidP="00562192">
      <w:pPr>
        <w:rPr>
          <w:lang w:val="en-AU"/>
        </w:rPr>
      </w:pPr>
      <w:r w:rsidRPr="00562192">
        <w:rPr>
          <w:lang w:val="en-AU"/>
        </w:rPr>
        <w:t>Research into young people’s views on education and access to information or support relating to sexuality, relationships, consent, pornography and family violence indicates the importance of early, relevant, holistic and continuing education that is inclusive of diverse genders, sexualities and abilities. Young people are clear that education opportunities should:</w:t>
      </w:r>
    </w:p>
    <w:p w14:paraId="03593068" w14:textId="77777777" w:rsidR="004D1500" w:rsidRPr="00562192" w:rsidRDefault="004D1500" w:rsidP="008A25A4">
      <w:pPr>
        <w:pStyle w:val="ListBullet"/>
      </w:pPr>
      <w:r w:rsidRPr="00562192">
        <w:t>provide opportunities for discussion, open dialogue and questions</w:t>
      </w:r>
    </w:p>
    <w:p w14:paraId="0FA2B9A3" w14:textId="77777777" w:rsidR="004D1500" w:rsidRPr="00562192" w:rsidRDefault="004D1500" w:rsidP="008A25A4">
      <w:pPr>
        <w:pStyle w:val="ListBullet"/>
      </w:pPr>
      <w:r w:rsidRPr="00562192">
        <w:t>reflect their lives and experiences, including online experiences</w:t>
      </w:r>
    </w:p>
    <w:p w14:paraId="70B84A00" w14:textId="77777777" w:rsidR="004D1500" w:rsidRPr="00562192" w:rsidRDefault="004D1500" w:rsidP="008A25A4">
      <w:pPr>
        <w:pStyle w:val="ListBullet"/>
      </w:pPr>
      <w:r w:rsidRPr="00562192">
        <w:t>be conducted by teachers who are caring, comfortable and knowledgeable.</w:t>
      </w:r>
    </w:p>
    <w:p w14:paraId="68FBCD25" w14:textId="569D2758" w:rsidR="004D1500" w:rsidRPr="00562192" w:rsidRDefault="004D1500" w:rsidP="00562192">
      <w:pPr>
        <w:rPr>
          <w:lang w:val="en-AU"/>
        </w:rPr>
      </w:pPr>
      <w:r w:rsidRPr="00562192">
        <w:rPr>
          <w:lang w:val="en-AU"/>
        </w:rPr>
        <w:t xml:space="preserve">Young people want access to holistic educational opportunities that are not only focused on biology and risks. They want to learn about rights, healthy relationships, violence and pleasure, and they want support to develop the necessary skills to navigate a variety of peer pressures, relationships and online environments. The research shows that young people seek to have access to a variety of information sources to support them through this exploratory, challenging and complex life phase. Sources should include trustworthy teachers, who enquire about their wellbeing and provide safe support pathways for those who have experienced, </w:t>
      </w:r>
      <w:r w:rsidR="00BB5367">
        <w:rPr>
          <w:lang w:val="en-AU"/>
        </w:rPr>
        <w:br/>
      </w:r>
      <w:r w:rsidRPr="00562192">
        <w:rPr>
          <w:lang w:val="en-AU"/>
        </w:rPr>
        <w:t>or are experiencing, violence.</w:t>
      </w:r>
    </w:p>
    <w:p w14:paraId="771B506C" w14:textId="77777777" w:rsidR="004D1500" w:rsidRPr="004D1500" w:rsidRDefault="004D1500" w:rsidP="00490EF4">
      <w:pPr>
        <w:pStyle w:val="Keyfindingnumberedheading"/>
      </w:pPr>
      <w:r w:rsidRPr="004D1500">
        <w:t xml:space="preserve"> Program and curriculum fidelity in educational approaches is critical to achieving positive outcomes for children and young people. </w:t>
      </w:r>
    </w:p>
    <w:p w14:paraId="6DE93DA3" w14:textId="6BE6972D" w:rsidR="004D1500" w:rsidRPr="00562192" w:rsidRDefault="004D1500" w:rsidP="00562192">
      <w:pPr>
        <w:rPr>
          <w:lang w:val="en-AU"/>
        </w:rPr>
      </w:pPr>
      <w:r w:rsidRPr="00562192">
        <w:rPr>
          <w:lang w:val="en-AU"/>
        </w:rPr>
        <w:t xml:space="preserve">Studies demonstrate the varied and diverse ways that education on sex, gender and relationships is delivered. However, effective educational approaches to sex, gender and relationships rely upon the fidelity of curriculum delivery and the teaching of all key topics. Research illustrates that high fidelity to the curriculum results in positive outcomes for children and young people, including reduced rates of bullying and sexual violence, improved social capabilities, and respectful regard for others. </w:t>
      </w:r>
      <w:r w:rsidR="00552CB9">
        <w:rPr>
          <w:lang w:val="en-AU"/>
        </w:rPr>
        <w:br/>
      </w:r>
      <w:r w:rsidRPr="00562192">
        <w:rPr>
          <w:lang w:val="en-AU"/>
        </w:rPr>
        <w:lastRenderedPageBreak/>
        <w:t>These outcomes are strongly endorsed by students, who find them valuable and relevant. As a result, professional learning and ongoing support for teachers, to ensure they are confident in delivering all key topics, are essential to the effectiveness of educational approaches.</w:t>
      </w:r>
    </w:p>
    <w:p w14:paraId="68C7D961" w14:textId="77777777" w:rsidR="001D557C" w:rsidRPr="00010EA4" w:rsidRDefault="001D557C" w:rsidP="00010EA4"/>
    <w:p w14:paraId="72A343D3" w14:textId="77777777" w:rsidR="00010EA4" w:rsidRPr="00010EA4" w:rsidRDefault="00010EA4" w:rsidP="00010EA4">
      <w:pPr>
        <w:sectPr w:rsidR="00010EA4" w:rsidRPr="00010EA4" w:rsidSect="00200C04">
          <w:endnotePr>
            <w:numFmt w:val="decimal"/>
          </w:endnotePr>
          <w:pgSz w:w="11900" w:h="16840"/>
          <w:pgMar w:top="851" w:right="2268" w:bottom="1134" w:left="1134" w:header="0" w:footer="567" w:gutter="0"/>
          <w:cols w:space="708"/>
          <w:docGrid w:linePitch="360"/>
        </w:sectPr>
      </w:pPr>
    </w:p>
    <w:p w14:paraId="5DBCBDAE" w14:textId="6872824E" w:rsidR="004D1500" w:rsidRPr="00251ECF" w:rsidRDefault="004D1500" w:rsidP="00251ECF">
      <w:pPr>
        <w:pStyle w:val="Heading1"/>
      </w:pPr>
      <w:bookmarkStart w:id="20" w:name="_Toc216956817"/>
      <w:r w:rsidRPr="00113C69">
        <w:rPr>
          <w:b w:val="0"/>
          <w:bCs/>
        </w:rPr>
        <w:lastRenderedPageBreak/>
        <w:t>Section 1:</w:t>
      </w:r>
      <w:r w:rsidRPr="00251ECF">
        <w:t xml:space="preserve"> </w:t>
      </w:r>
      <w:bookmarkEnd w:id="17"/>
      <w:r w:rsidR="001D557C">
        <w:br/>
      </w:r>
      <w:r w:rsidRPr="00113C69">
        <w:rPr>
          <w:rFonts w:ascii="Roboto" w:hAnsi="Roboto"/>
          <w:b w:val="0"/>
        </w:rPr>
        <w:t>Sex, gender and relationships – what children and young people know and experience</w:t>
      </w:r>
      <w:bookmarkEnd w:id="20"/>
    </w:p>
    <w:p w14:paraId="2CC5B260" w14:textId="77777777" w:rsidR="004D1500" w:rsidRPr="005C693B" w:rsidRDefault="004D1500" w:rsidP="00552732">
      <w:pPr>
        <w:rPr>
          <w:lang w:val="en-AU"/>
        </w:rPr>
      </w:pPr>
      <w:r w:rsidRPr="00113C69">
        <w:rPr>
          <w:rStyle w:val="Strong"/>
        </w:rPr>
        <w:t xml:space="preserve">Approaches to the development and provision of sexuality education and respectful relationships education (RRE) should be informed by evidence about the ages at which young people typically start to explore their sexuality, form romantic and sexual relationships, and develop their understanding of gendered norms, identity and power within relationships. </w:t>
      </w:r>
      <w:r w:rsidRPr="005C693B">
        <w:rPr>
          <w:lang w:val="en-AU"/>
        </w:rPr>
        <w:t>Similarly, approaches to the prevention of gender-based violence require a focus on the ways in which gender norms and stereotypes can have harmful or limiting effects, including the acceptability of violence, and attitudes towards gender equality and sexual consent.</w:t>
      </w:r>
      <w:r w:rsidRPr="004D1500">
        <w:rPr>
          <w:rFonts w:cstheme="minorBidi"/>
          <w:spacing w:val="-5"/>
          <w:sz w:val="24"/>
          <w:vertAlign w:val="superscript"/>
          <w:lang w:val="en-AU"/>
        </w:rPr>
        <w:endnoteReference w:id="7"/>
      </w:r>
    </w:p>
    <w:p w14:paraId="3758D183" w14:textId="77777777" w:rsidR="004D1500" w:rsidRDefault="004D1500" w:rsidP="00562192">
      <w:pPr>
        <w:rPr>
          <w:lang w:val="en-AU"/>
        </w:rPr>
      </w:pPr>
      <w:r w:rsidRPr="00562192">
        <w:rPr>
          <w:lang w:val="en-AU"/>
        </w:rPr>
        <w:t>Section 1 examines children and young people’s experiences of and understanding of sex, gender and relationships, and their experiences of gender-based violence. There is a clear need for contemporary data and analysis that can account for the sociocultural shifts in young people’s lives and how they shape young people’s attitudes towards sex, gender, violence and relationships. The research highlights the need to ensure young people have access to evidence-based approaches that can help them to navigate these areas of their development.</w:t>
      </w:r>
    </w:p>
    <w:p w14:paraId="724A6B1C" w14:textId="77777777" w:rsidR="00890E0E" w:rsidRPr="00562192" w:rsidRDefault="00890E0E" w:rsidP="00562192">
      <w:pPr>
        <w:rPr>
          <w:lang w:val="en-AU"/>
        </w:rPr>
      </w:pPr>
    </w:p>
    <w:p w14:paraId="656A50C0" w14:textId="77777777" w:rsidR="004D1500" w:rsidRPr="004D1500" w:rsidRDefault="004D1500" w:rsidP="003A4AA0">
      <w:pPr>
        <w:pStyle w:val="Heading2"/>
        <w:rPr>
          <w:lang w:val="en-AU"/>
        </w:rPr>
      </w:pPr>
      <w:bookmarkStart w:id="21" w:name="_Toc216956818"/>
      <w:r w:rsidRPr="004D1500">
        <w:rPr>
          <w:lang w:val="en-AU"/>
        </w:rPr>
        <w:t>Children, young people and gender</w:t>
      </w:r>
      <w:bookmarkEnd w:id="21"/>
    </w:p>
    <w:p w14:paraId="3AA8BE80" w14:textId="77777777" w:rsidR="004D1500" w:rsidRDefault="004D1500" w:rsidP="00552732">
      <w:pPr>
        <w:rPr>
          <w:lang w:val="en-AU"/>
        </w:rPr>
      </w:pPr>
      <w:r w:rsidRPr="005C693B">
        <w:rPr>
          <w:lang w:val="en-AU"/>
        </w:rPr>
        <w:t>Evidence consistently demonstrates that gendered norms and behaviours are absorbed early in life. Gender refers to socially learned roles, behaviours, activities and attributes that any given society considers appropriate for men and women. Gender defines masculinity and femininity.</w:t>
      </w:r>
      <w:r w:rsidRPr="004D1500">
        <w:rPr>
          <w:rFonts w:cstheme="minorBidi"/>
          <w:spacing w:val="-5"/>
          <w:position w:val="8"/>
          <w:sz w:val="16"/>
          <w:szCs w:val="16"/>
          <w:lang w:val="en-AU"/>
        </w:rPr>
        <w:endnoteReference w:id="8"/>
      </w:r>
      <w:r w:rsidRPr="005C693B">
        <w:rPr>
          <w:lang w:val="en-AU"/>
        </w:rPr>
        <w:t xml:space="preserve"> Gender is not fixed, but varies between and within cultures, spaces and time.</w:t>
      </w:r>
      <w:r w:rsidRPr="004D1500">
        <w:rPr>
          <w:rFonts w:cstheme="minorBidi"/>
          <w:spacing w:val="-5"/>
          <w:sz w:val="24"/>
          <w:vertAlign w:val="superscript"/>
          <w:lang w:val="en-AU"/>
        </w:rPr>
        <w:endnoteReference w:id="9"/>
      </w:r>
    </w:p>
    <w:p w14:paraId="75D7CA3D" w14:textId="77777777" w:rsidR="002C0138" w:rsidRDefault="002C0138" w:rsidP="00552732">
      <w:pPr>
        <w:rPr>
          <w:lang w:val="en-AU"/>
        </w:rPr>
      </w:pPr>
    </w:p>
    <w:p w14:paraId="63B148FF" w14:textId="77777777" w:rsidR="002C0138" w:rsidRDefault="002C0138" w:rsidP="00552732">
      <w:pPr>
        <w:rPr>
          <w:lang w:val="en-AU"/>
        </w:rPr>
        <w:sectPr w:rsidR="002C0138" w:rsidSect="001D557C">
          <w:headerReference w:type="default" r:id="rId22"/>
          <w:endnotePr>
            <w:numFmt w:val="decimal"/>
          </w:endnotePr>
          <w:pgSz w:w="11900" w:h="16840"/>
          <w:pgMar w:top="851" w:right="2268" w:bottom="1134" w:left="1134" w:header="0" w:footer="567" w:gutter="0"/>
          <w:cols w:space="708"/>
          <w:docGrid w:linePitch="360"/>
        </w:sectPr>
      </w:pPr>
    </w:p>
    <w:p w14:paraId="54FEE33E" w14:textId="324E9071" w:rsidR="002C0138" w:rsidRPr="001D715B" w:rsidRDefault="004115E6" w:rsidP="001D715B">
      <w:pPr>
        <w:pStyle w:val="Subtitle"/>
        <w:spacing w:line="216" w:lineRule="auto"/>
        <w:ind w:left="567"/>
        <w:rPr>
          <w:b w:val="0"/>
          <w:bCs w:val="0"/>
          <w:sz w:val="42"/>
          <w:szCs w:val="42"/>
        </w:rPr>
      </w:pPr>
      <w:bookmarkStart w:id="22" w:name="_Toc210141604"/>
      <w:bookmarkStart w:id="23" w:name="_Toc216956819"/>
      <w:r w:rsidRPr="001D715B">
        <w:rPr>
          <w:b w:val="0"/>
          <w:bCs w:val="0"/>
          <w:noProof/>
          <w:sz w:val="42"/>
          <w:szCs w:val="42"/>
          <w14:ligatures w14:val="standardContextual"/>
        </w:rPr>
        <w:lastRenderedPageBreak/>
        <w:drawing>
          <wp:anchor distT="0" distB="0" distL="114300" distR="114300" simplePos="0" relativeHeight="251658240" behindDoc="1" locked="0" layoutInCell="1" allowOverlap="1" wp14:anchorId="59E2B109" wp14:editId="57AC5AFD">
            <wp:simplePos x="0" y="0"/>
            <wp:positionH relativeFrom="margin">
              <wp:posOffset>3810</wp:posOffset>
            </wp:positionH>
            <wp:positionV relativeFrom="margin">
              <wp:posOffset>-310515</wp:posOffset>
            </wp:positionV>
            <wp:extent cx="5778500" cy="6628788"/>
            <wp:effectExtent l="0" t="0" r="0" b="635"/>
            <wp:wrapNone/>
            <wp:docPr id="1186284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8431" name="Picture 3">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5779194" cy="6629584"/>
                    </a:xfrm>
                    <a:prstGeom prst="rect">
                      <a:avLst/>
                    </a:prstGeom>
                  </pic:spPr>
                </pic:pic>
              </a:graphicData>
            </a:graphic>
            <wp14:sizeRelH relativeFrom="page">
              <wp14:pctWidth>0</wp14:pctWidth>
            </wp14:sizeRelH>
            <wp14:sizeRelV relativeFrom="page">
              <wp14:pctHeight>0</wp14:pctHeight>
            </wp14:sizeRelV>
          </wp:anchor>
        </w:drawing>
      </w:r>
      <w:r w:rsidR="002C0138" w:rsidRPr="001D715B">
        <w:rPr>
          <w:b w:val="0"/>
          <w:bCs w:val="0"/>
          <w:sz w:val="42"/>
          <w:szCs w:val="42"/>
        </w:rPr>
        <w:t xml:space="preserve">Understanding gender as a </w:t>
      </w:r>
      <w:r w:rsidR="001D715B">
        <w:rPr>
          <w:b w:val="0"/>
          <w:bCs w:val="0"/>
          <w:sz w:val="42"/>
          <w:szCs w:val="42"/>
        </w:rPr>
        <w:br/>
      </w:r>
      <w:r w:rsidR="002C0138" w:rsidRPr="001D715B">
        <w:rPr>
          <w:b w:val="0"/>
          <w:bCs w:val="0"/>
          <w:sz w:val="42"/>
          <w:szCs w:val="42"/>
        </w:rPr>
        <w:t>social construct</w:t>
      </w:r>
      <w:bookmarkEnd w:id="22"/>
      <w:bookmarkEnd w:id="23"/>
    </w:p>
    <w:p w14:paraId="5160A254" w14:textId="13E4F584" w:rsidR="002C0138" w:rsidRPr="00113C69" w:rsidRDefault="002C0138" w:rsidP="004115E6">
      <w:pPr>
        <w:ind w:left="567"/>
        <w:rPr>
          <w:rFonts w:ascii="Roboto Black" w:hAnsi="Roboto Black"/>
          <w:b/>
          <w:bCs/>
        </w:rPr>
      </w:pPr>
      <w:r w:rsidRPr="00113C69">
        <w:rPr>
          <w:rFonts w:ascii="Roboto Black" w:hAnsi="Roboto Black"/>
          <w:b/>
          <w:bCs/>
        </w:rPr>
        <w:t>Gender refers to the socially learned roles, behaviours, activities and attributes that societies consider appropriate for men, women</w:t>
      </w:r>
      <w:r w:rsidRPr="00113C69">
        <w:rPr>
          <w:rFonts w:ascii="Roboto Black" w:hAnsi="Roboto Black" w:cstheme="minorBidi"/>
          <w:b/>
          <w:bCs/>
          <w:spacing w:val="-5"/>
          <w:sz w:val="24"/>
          <w:vertAlign w:val="superscript"/>
        </w:rPr>
        <w:endnoteReference w:id="10"/>
      </w:r>
      <w:r w:rsidRPr="00113C69">
        <w:rPr>
          <w:rFonts w:ascii="Roboto Black" w:hAnsi="Roboto Black"/>
          <w:b/>
          <w:bCs/>
        </w:rPr>
        <w:t xml:space="preserve"> and people of other genders. Gender shapes understandings of masculinity and femininity and operates hierarchically, with masculine traits and identities often valued more highly than feminine ones. The expectations of gender are fluid; they vary across cultures and shift over time. Within the construct of gender are 2 key concepts: gender expression and gender identity.</w:t>
      </w:r>
    </w:p>
    <w:p w14:paraId="0340646F" w14:textId="71EF0D91" w:rsidR="002C0138" w:rsidRPr="005C693B" w:rsidRDefault="002C0138" w:rsidP="00D7015A">
      <w:pPr>
        <w:pStyle w:val="ListParagraph"/>
        <w:numPr>
          <w:ilvl w:val="0"/>
          <w:numId w:val="33"/>
        </w:numPr>
        <w:ind w:left="1134" w:hanging="567"/>
      </w:pPr>
      <w:r w:rsidRPr="008E6CFD">
        <w:rPr>
          <w:b/>
          <w:bCs/>
        </w:rPr>
        <w:t>Gender expression</w:t>
      </w:r>
      <w:r w:rsidRPr="005C693B">
        <w:t xml:space="preserve"> describes how a person presents themselves through behaviour, appearance, interests and mannerisms, and is often linked to femininity, masculinity or androgyny. </w:t>
      </w:r>
    </w:p>
    <w:p w14:paraId="5859A9B9" w14:textId="1F500B55" w:rsidR="002C0138" w:rsidRPr="005C693B" w:rsidRDefault="002C0138" w:rsidP="00D7015A">
      <w:pPr>
        <w:pStyle w:val="ListParagraph"/>
        <w:numPr>
          <w:ilvl w:val="0"/>
          <w:numId w:val="33"/>
        </w:numPr>
        <w:ind w:left="1134" w:hanging="567"/>
      </w:pPr>
      <w:r w:rsidRPr="008E6CFD">
        <w:rPr>
          <w:b/>
          <w:bCs/>
        </w:rPr>
        <w:t>Gender identity</w:t>
      </w:r>
      <w:r w:rsidRPr="005C693B">
        <w:t xml:space="preserve"> refers to a person’s internal sense of their own gender – how they perceive and define themselves. This may differ from the sex recorded at birth and from what is listed on legal documents.</w:t>
      </w:r>
      <w:r w:rsidRPr="004D1500">
        <w:rPr>
          <w:vertAlign w:val="superscript"/>
        </w:rPr>
        <w:endnoteReference w:id="11"/>
      </w:r>
    </w:p>
    <w:p w14:paraId="02D10F48" w14:textId="122ED1BA" w:rsidR="002C0138" w:rsidRPr="004D1500" w:rsidRDefault="002C0138" w:rsidP="004115E6">
      <w:pPr>
        <w:ind w:left="567"/>
        <w:rPr>
          <w:rFonts w:eastAsia="Times New Roman" w:cstheme="minorHAnsi"/>
          <w:color w:val="000000"/>
          <w:spacing w:val="-5"/>
          <w:sz w:val="24"/>
          <w:lang w:eastAsia="en-AU"/>
        </w:rPr>
      </w:pPr>
      <w:r w:rsidRPr="005C693B">
        <w:t>Globally, gender is recognised as a key factor influencing a person’s access to and participation in education. When schools overlook gender or assume it has no effect, even inadvertently, they can reinforce and perpetuate existing gender-based inequities, perpetuate existing stereotypes, maintain the status quo, and lead to unequal outcomes for women, men and gender diverse people</w:t>
      </w:r>
      <w:r w:rsidRPr="004D1500">
        <w:rPr>
          <w:rFonts w:cstheme="minorBidi"/>
          <w:spacing w:val="-5"/>
          <w:sz w:val="24"/>
          <w:vertAlign w:val="superscript"/>
        </w:rPr>
        <w:endnoteReference w:id="12"/>
      </w:r>
      <w:r w:rsidRPr="005C693B">
        <w:t>.</w:t>
      </w:r>
      <w:r w:rsidRPr="004D1500">
        <w:rPr>
          <w:rFonts w:eastAsia="Times New Roman" w:cstheme="minorBidi"/>
          <w:color w:val="000000"/>
          <w:spacing w:val="-5"/>
          <w:sz w:val="24"/>
          <w:lang w:eastAsia="en-AU"/>
        </w:rPr>
        <w:t xml:space="preserve"> </w:t>
      </w:r>
      <w:r w:rsidRPr="005C693B">
        <w:t>By contrast, when education systems actively acknowledge gender, they help disrupt the attitudes, norms and power imbalances that drive inequality and, in some cases, violence.</w:t>
      </w:r>
    </w:p>
    <w:p w14:paraId="2943E4F2" w14:textId="7C242A6A" w:rsidR="002C0138" w:rsidRPr="00562192" w:rsidRDefault="002C0138" w:rsidP="004115E6">
      <w:pPr>
        <w:ind w:left="567"/>
      </w:pPr>
      <w:r w:rsidRPr="00562192">
        <w:t xml:space="preserve">Understanding that gender is a social construct is central to respectful relationships education (RRE). RRE equips teachers and school staff to address how gender shapes power, privilege and control, supporting them to create learning environments that challenge harmful stereotypes and </w:t>
      </w:r>
      <w:r w:rsidR="00552CB9">
        <w:br/>
      </w:r>
      <w:r w:rsidRPr="00562192">
        <w:t xml:space="preserve">promote equality. By embedding this awareness into classroom activities and discussions, RRE strengthens prevention efforts and supports all </w:t>
      </w:r>
      <w:r w:rsidR="00552CB9">
        <w:br/>
      </w:r>
      <w:r w:rsidRPr="00562192">
        <w:t xml:space="preserve">students in participating, learning and thriving in inclusive, equitable and </w:t>
      </w:r>
      <w:r w:rsidR="00552CB9">
        <w:br/>
      </w:r>
      <w:r w:rsidRPr="00562192">
        <w:t>respectful schools.</w:t>
      </w:r>
    </w:p>
    <w:p w14:paraId="339F4D7E" w14:textId="30538B28" w:rsidR="00733CC8" w:rsidRDefault="00733CC8" w:rsidP="00552732">
      <w:pPr>
        <w:rPr>
          <w:lang w:val="en-AU"/>
        </w:rPr>
      </w:pPr>
    </w:p>
    <w:p w14:paraId="0BA8795D" w14:textId="1A074947" w:rsidR="004D1500" w:rsidRPr="005C693B" w:rsidRDefault="006F3A0F" w:rsidP="005C693B">
      <w:pPr>
        <w:rPr>
          <w:lang w:val="en-AU"/>
        </w:rPr>
      </w:pPr>
      <w:r>
        <w:rPr>
          <w:lang w:val="en-AU"/>
        </w:rPr>
        <w:br/>
      </w:r>
      <w:r w:rsidR="004D1500" w:rsidRPr="005C693B">
        <w:rPr>
          <w:lang w:val="en-AU"/>
        </w:rPr>
        <w:t>From birth, children are exposed to expectations about the gender assigned to them at birth, including rigid gender norms and stereotypes, and relationship behaviours that influence and shape a person’s relationships into adulthood.</w:t>
      </w:r>
      <w:r w:rsidR="004D1500" w:rsidRPr="004D1500">
        <w:rPr>
          <w:rFonts w:cstheme="minorBidi"/>
          <w:spacing w:val="-5"/>
          <w:sz w:val="24"/>
          <w:vertAlign w:val="superscript"/>
          <w:lang w:val="en-AU"/>
        </w:rPr>
        <w:endnoteReference w:id="13"/>
      </w:r>
      <w:r w:rsidR="004D1500" w:rsidRPr="005C693B">
        <w:rPr>
          <w:lang w:val="en-AU"/>
        </w:rPr>
        <w:t xml:space="preserve"> Children typically start to learn ‘gender appropriate’ and ‘gender-role’ behaviour around age 2 and usually identify with a gender by age 2 or 3.</w:t>
      </w:r>
      <w:r w:rsidR="004D1500" w:rsidRPr="004D1500">
        <w:rPr>
          <w:rFonts w:cstheme="minorBidi"/>
          <w:spacing w:val="-5"/>
          <w:sz w:val="24"/>
          <w:vertAlign w:val="superscript"/>
          <w:lang w:val="en-AU"/>
        </w:rPr>
        <w:endnoteReference w:id="14"/>
      </w:r>
      <w:r w:rsidR="004D1500" w:rsidRPr="005C693B">
        <w:rPr>
          <w:lang w:val="en-AU"/>
        </w:rPr>
        <w:t xml:space="preserve"> This is also the age at which children tend to grow their understanding of some social meanings associated with gender categories, roles and stereotypes.</w:t>
      </w:r>
      <w:r w:rsidR="004D1500" w:rsidRPr="004D1500">
        <w:rPr>
          <w:rFonts w:cstheme="minorBidi"/>
          <w:spacing w:val="-5"/>
          <w:sz w:val="24"/>
          <w:vertAlign w:val="superscript"/>
          <w:lang w:val="en-AU"/>
        </w:rPr>
        <w:endnoteReference w:id="15"/>
      </w:r>
      <w:r w:rsidR="004D1500" w:rsidRPr="005C693B">
        <w:rPr>
          <w:lang w:val="en-AU"/>
        </w:rPr>
        <w:t xml:space="preserve"> A systematic review</w:t>
      </w:r>
      <w:r w:rsidR="004D1500" w:rsidRPr="005C693B" w:rsidDel="00577789">
        <w:rPr>
          <w:lang w:val="en-AU"/>
        </w:rPr>
        <w:t xml:space="preserve"> </w:t>
      </w:r>
      <w:r w:rsidR="004D1500" w:rsidRPr="005C693B">
        <w:rPr>
          <w:lang w:val="en-AU"/>
        </w:rPr>
        <w:t>of</w:t>
      </w:r>
      <w:r w:rsidR="004D1500" w:rsidRPr="005C693B" w:rsidDel="00577789">
        <w:rPr>
          <w:lang w:val="en-AU"/>
        </w:rPr>
        <w:t xml:space="preserve"> </w:t>
      </w:r>
      <w:r w:rsidR="004D1500" w:rsidRPr="005C693B">
        <w:rPr>
          <w:lang w:val="en-AU"/>
        </w:rPr>
        <w:t>research examining gender stereotypes and bias in children aged 3–5 found that children in early childhood are aware of, and can apply, gender stereotypes.</w:t>
      </w:r>
      <w:r w:rsidR="004D1500" w:rsidRPr="004D1500">
        <w:rPr>
          <w:rFonts w:cstheme="minorBidi"/>
          <w:spacing w:val="-5"/>
          <w:sz w:val="24"/>
          <w:vertAlign w:val="superscript"/>
          <w:lang w:val="en-AU"/>
        </w:rPr>
        <w:endnoteReference w:id="16"/>
      </w:r>
      <w:r w:rsidR="004D1500" w:rsidRPr="005C693B">
        <w:rPr>
          <w:lang w:val="en-AU"/>
        </w:rPr>
        <w:t xml:space="preserve"> These gender stereotypes were found to influence children’s assessments of what activities people engage in, their perceptions</w:t>
      </w:r>
      <w:r w:rsidR="004D1500" w:rsidRPr="005C693B" w:rsidDel="00D2634D">
        <w:rPr>
          <w:lang w:val="en-AU"/>
        </w:rPr>
        <w:t xml:space="preserve"> </w:t>
      </w:r>
      <w:r w:rsidR="004D1500" w:rsidRPr="005C693B">
        <w:rPr>
          <w:lang w:val="en-AU"/>
        </w:rPr>
        <w:t>of what occupations are appropriate or available, and their feelings about who they regard</w:t>
      </w:r>
      <w:r w:rsidR="004D1500" w:rsidRPr="005C693B" w:rsidDel="006D02EC">
        <w:rPr>
          <w:lang w:val="en-AU"/>
        </w:rPr>
        <w:t xml:space="preserve"> </w:t>
      </w:r>
      <w:r w:rsidR="004D1500" w:rsidRPr="005C693B">
        <w:rPr>
          <w:lang w:val="en-AU"/>
        </w:rPr>
        <w:t>as credible sources of information.</w:t>
      </w:r>
      <w:r w:rsidR="004D1500" w:rsidRPr="004D1500">
        <w:rPr>
          <w:rFonts w:cstheme="minorBidi"/>
          <w:spacing w:val="-5"/>
          <w:sz w:val="24"/>
          <w:vertAlign w:val="superscript"/>
          <w:lang w:val="en-AU"/>
        </w:rPr>
        <w:endnoteReference w:id="17"/>
      </w:r>
      <w:r w:rsidR="004D1500" w:rsidRPr="005C693B">
        <w:rPr>
          <w:lang w:val="en-AU"/>
        </w:rPr>
        <w:t xml:space="preserve"> One study </w:t>
      </w:r>
      <w:r w:rsidR="004D1500" w:rsidRPr="005C693B">
        <w:rPr>
          <w:lang w:val="en-AU"/>
        </w:rPr>
        <w:lastRenderedPageBreak/>
        <w:t>found that gender stereotypical behaviour at</w:t>
      </w:r>
      <w:r w:rsidR="004D1500" w:rsidRPr="005C693B" w:rsidDel="005A610B">
        <w:rPr>
          <w:lang w:val="en-AU"/>
        </w:rPr>
        <w:t xml:space="preserve"> </w:t>
      </w:r>
      <w:r w:rsidR="004D1500" w:rsidRPr="005C693B">
        <w:rPr>
          <w:lang w:val="en-AU"/>
        </w:rPr>
        <w:t>the age of 3 predicted gender-stereotypical behaviour at the age of 13.</w:t>
      </w:r>
      <w:r w:rsidR="004D1500" w:rsidRPr="004D1500">
        <w:rPr>
          <w:rFonts w:cstheme="minorBidi"/>
          <w:spacing w:val="-5"/>
          <w:sz w:val="24"/>
          <w:vertAlign w:val="superscript"/>
          <w:lang w:val="en-AU"/>
        </w:rPr>
        <w:endnoteReference w:id="18"/>
      </w:r>
      <w:r w:rsidR="004D1500" w:rsidRPr="005C693B">
        <w:rPr>
          <w:lang w:val="en-AU"/>
        </w:rPr>
        <w:t xml:space="preserve"> </w:t>
      </w:r>
    </w:p>
    <w:p w14:paraId="5944A60C" w14:textId="77777777" w:rsidR="004D1500" w:rsidRPr="005C693B" w:rsidRDefault="004D1500" w:rsidP="005C693B">
      <w:pPr>
        <w:rPr>
          <w:lang w:val="en-AU"/>
        </w:rPr>
      </w:pPr>
      <w:r w:rsidRPr="005C693B">
        <w:rPr>
          <w:lang w:val="en-AU"/>
        </w:rPr>
        <w:t>Commonly used language can set norms and expectations for children that are carried into adulthood.</w:t>
      </w:r>
      <w:r w:rsidRPr="004D1500">
        <w:rPr>
          <w:rFonts w:cstheme="minorBidi"/>
          <w:spacing w:val="-5"/>
          <w:sz w:val="24"/>
          <w:vertAlign w:val="superscript"/>
          <w:lang w:val="en-AU"/>
        </w:rPr>
        <w:endnoteReference w:id="19"/>
      </w:r>
      <w:r w:rsidRPr="005C693B">
        <w:rPr>
          <w:lang w:val="en-AU"/>
        </w:rPr>
        <w:t xml:space="preserve"> For example, phrases such as ‘boys will be boys’ are often used to downplay or excuse boys’ – and later men’s – aggression and violence towards girls and women. Similarly, ‘boys don’t cry’ sends the message that boys are expected to suppress their experiences of vulnerability and weakness and to not express their feelings, as these characteristics are associated with femininity.</w:t>
      </w:r>
      <w:r w:rsidRPr="004D1500">
        <w:rPr>
          <w:rFonts w:cstheme="minorBidi"/>
          <w:spacing w:val="-5"/>
          <w:sz w:val="24"/>
          <w:vertAlign w:val="superscript"/>
          <w:lang w:val="en-AU"/>
        </w:rPr>
        <w:endnoteReference w:id="20"/>
      </w:r>
      <w:r w:rsidRPr="005C693B">
        <w:rPr>
          <w:lang w:val="en-AU"/>
        </w:rPr>
        <w:t xml:space="preserve"> Children can be observed making efforts to fit within binary gendered expectations by the time they are in kindergarten. They may insist on following invisible ‘rules’ or norms typically associated with dominant gender stereotypes, such as girls playing with dolls and boys playing with construction toys.</w:t>
      </w:r>
      <w:r w:rsidRPr="004D1500">
        <w:rPr>
          <w:rFonts w:eastAsiaTheme="minorEastAsia" w:cstheme="minorBidi"/>
          <w:spacing w:val="-5"/>
          <w:sz w:val="24"/>
          <w:vertAlign w:val="superscript"/>
          <w:lang w:val="en-AU"/>
        </w:rPr>
        <w:endnoteReference w:id="21"/>
      </w:r>
      <w:r w:rsidRPr="005C693B">
        <w:rPr>
          <w:lang w:val="en-AU"/>
        </w:rPr>
        <w:t xml:space="preserve"> </w:t>
      </w:r>
    </w:p>
    <w:p w14:paraId="39A2FC37" w14:textId="77777777" w:rsidR="004D1500" w:rsidRPr="005C693B" w:rsidRDefault="004D1500" w:rsidP="005C693B">
      <w:pPr>
        <w:rPr>
          <w:lang w:val="en-AU"/>
        </w:rPr>
      </w:pPr>
      <w:r w:rsidRPr="005C693B">
        <w:rPr>
          <w:lang w:val="en-AU"/>
        </w:rPr>
        <w:t>Many influences affect how children and young people continue to absorb and adhere to rigid gender norms and stereotypes as they age. These influences include the role models and opportunities provided for them; the clothing, toys, education and sporting opportunities they are provided with, and the images, storylines, scripts and messages that they absorb through various forms of popular media.</w:t>
      </w:r>
      <w:r w:rsidRPr="004D1500">
        <w:rPr>
          <w:rFonts w:eastAsiaTheme="minorEastAsia" w:cstheme="minorBidi"/>
          <w:spacing w:val="-5"/>
          <w:sz w:val="24"/>
          <w:vertAlign w:val="superscript"/>
          <w:lang w:val="en-AU"/>
        </w:rPr>
        <w:endnoteReference w:id="22"/>
      </w:r>
      <w:r w:rsidRPr="005C693B">
        <w:rPr>
          <w:lang w:val="en-AU"/>
        </w:rPr>
        <w:t xml:space="preserve"> </w:t>
      </w:r>
    </w:p>
    <w:p w14:paraId="3CB2AC5D" w14:textId="77777777" w:rsidR="004D1500" w:rsidRPr="005C693B" w:rsidRDefault="004D1500" w:rsidP="005C693B">
      <w:pPr>
        <w:rPr>
          <w:lang w:val="en-AU"/>
        </w:rPr>
      </w:pPr>
      <w:r w:rsidRPr="005C693B">
        <w:rPr>
          <w:lang w:val="en-AU"/>
        </w:rPr>
        <w:t>Gender norms, structures and practices encourage individuals to adopt distinct gender identities and stereotyped gender roles within a gender hierarchy. These norms are embedded in the institutions and cultural systems that surround children as they grow, shaping their understanding of themselves and others. Over time, this contributes to the formation of rigid gender roles and stereotyped constructions of masculinity and femininity that maintain gender hierarchies and reinforce unequal power relations between men and women, including gender-based violence.</w:t>
      </w:r>
      <w:r w:rsidRPr="004D1500">
        <w:rPr>
          <w:rFonts w:cstheme="minorBidi"/>
          <w:spacing w:val="-5"/>
          <w:sz w:val="24"/>
          <w:vertAlign w:val="superscript"/>
          <w:lang w:val="en-AU"/>
        </w:rPr>
        <w:endnoteReference w:id="23"/>
      </w:r>
      <w:r w:rsidRPr="005C693B">
        <w:rPr>
          <w:lang w:val="en-AU"/>
        </w:rPr>
        <w:t xml:space="preserve"> </w:t>
      </w:r>
    </w:p>
    <w:p w14:paraId="2D8B3238" w14:textId="77777777" w:rsidR="004D1500" w:rsidRPr="005C693B" w:rsidRDefault="004D1500" w:rsidP="005C693B">
      <w:pPr>
        <w:rPr>
          <w:lang w:val="en-AU"/>
        </w:rPr>
      </w:pPr>
      <w:r w:rsidRPr="005C693B">
        <w:t>Adherence to rigid gender norms can lead to endorsement of violence and risk-taking among men and boys, and increased rates of anxiety, self-blame and body image distress among women and girls.</w:t>
      </w:r>
      <w:r w:rsidRPr="004D1500">
        <w:rPr>
          <w:rFonts w:cstheme="minorBidi"/>
          <w:color w:val="000000" w:themeColor="text1"/>
          <w:spacing w:val="-5"/>
          <w:sz w:val="24"/>
          <w:lang w:val="en-AU"/>
        </w:rPr>
        <w:t xml:space="preserve"> </w:t>
      </w:r>
      <w:r w:rsidRPr="005C693B">
        <w:rPr>
          <w:lang w:val="en-AU"/>
        </w:rPr>
        <w:t>Research shows that certain stereotypes of masculinity play a direct role in driving men’s violence against women, and also discrimination by men against those men who do not conform to rigid gender norms and stereotypes</w:t>
      </w:r>
      <w:r w:rsidRPr="004D1500">
        <w:rPr>
          <w:rFonts w:cstheme="minorBidi"/>
          <w:color w:val="000000" w:themeColor="text1"/>
          <w:spacing w:val="-5"/>
          <w:sz w:val="24"/>
          <w:lang w:val="en-AU"/>
        </w:rPr>
        <w:t>.</w:t>
      </w:r>
      <w:r w:rsidRPr="004D1500">
        <w:rPr>
          <w:rFonts w:cstheme="minorBidi"/>
          <w:color w:val="000000" w:themeColor="text1"/>
          <w:spacing w:val="-5"/>
          <w:sz w:val="24"/>
          <w:vertAlign w:val="superscript"/>
          <w:lang w:val="en-AU"/>
        </w:rPr>
        <w:endnoteReference w:id="24"/>
      </w:r>
      <w:r w:rsidRPr="005C693B">
        <w:rPr>
          <w:lang w:val="en-AU"/>
        </w:rPr>
        <w:t xml:space="preserve"> For example, research indicates that Australian men who strongly endorse rigid gender stereotypes and subscribe to a particular set of masculine ‘norms’ (such as men need to be stoic, act tough, not show their emotions, be in control in relationships), known as ‘the Man Box rules’, are more likely to perpetrate, excuse or justify violence against women.</w:t>
      </w:r>
      <w:r w:rsidRPr="004D1500">
        <w:rPr>
          <w:rFonts w:cstheme="minorBidi"/>
          <w:spacing w:val="-5"/>
          <w:sz w:val="24"/>
          <w:vertAlign w:val="superscript"/>
          <w:lang w:val="en-AU"/>
        </w:rPr>
        <w:endnoteReference w:id="25"/>
      </w:r>
      <w:r w:rsidRPr="005C693B">
        <w:rPr>
          <w:lang w:val="en-AU"/>
        </w:rPr>
        <w:t xml:space="preserve"> </w:t>
      </w:r>
    </w:p>
    <w:p w14:paraId="68C037B4" w14:textId="77777777" w:rsidR="004E20F8" w:rsidRDefault="004D1500" w:rsidP="004E20F8">
      <w:pPr>
        <w:spacing w:after="160" w:line="259" w:lineRule="auto"/>
        <w:rPr>
          <w:lang w:val="en-AU"/>
        </w:rPr>
      </w:pPr>
      <w:r w:rsidRPr="005C693B">
        <w:rPr>
          <w:lang w:val="en-AU"/>
        </w:rPr>
        <w:t>Rigid gendered norms and expectations also contribute to the social process of ‘gender policing’. This term describes how people socially reward those who adhere to dominant norms of masculinity and femininity, while also ‘punishing’ or governing the behaviours of those who do not</w:t>
      </w:r>
      <w:r w:rsidRPr="004D1500">
        <w:rPr>
          <w:rFonts w:cstheme="minorBidi"/>
          <w:color w:val="000000" w:themeColor="text1"/>
          <w:spacing w:val="-5"/>
          <w:sz w:val="24"/>
          <w:lang w:val="en-AU"/>
        </w:rPr>
        <w:t>.</w:t>
      </w:r>
      <w:r w:rsidRPr="004D1500">
        <w:rPr>
          <w:rFonts w:cstheme="minorBidi"/>
          <w:spacing w:val="-5"/>
          <w:sz w:val="24"/>
          <w:vertAlign w:val="superscript"/>
          <w:lang w:val="en-AU"/>
        </w:rPr>
        <w:endnoteReference w:id="26"/>
      </w:r>
      <w:r w:rsidRPr="005C693B">
        <w:rPr>
          <w:lang w:val="en-AU"/>
        </w:rPr>
        <w:t xml:space="preserve"> Gender policing can be strongly practised within and between groups associated with sex and gender. As children grow and develop, ’gender policing’ becomes common practice as boys police fellow boys, and girls experience pressure from other girls to conform to binary gender categories</w:t>
      </w:r>
      <w:r w:rsidRPr="005C693B" w:rsidDel="00700036">
        <w:rPr>
          <w:lang w:val="en-AU"/>
        </w:rPr>
        <w:t>.</w:t>
      </w:r>
      <w:r w:rsidRPr="005C693B">
        <w:rPr>
          <w:lang w:val="en-AU"/>
        </w:rPr>
        <w:t xml:space="preserve"> This behaviour can also occur between gender groups, with boys commonly policing the behaviour of girls and other boys, and vice versa, to reinforce and uphold rigid gendered norms and expectations. </w:t>
      </w:r>
      <w:r w:rsidR="004E20F8">
        <w:rPr>
          <w:lang w:val="en-AU"/>
        </w:rPr>
        <w:br w:type="page"/>
      </w:r>
    </w:p>
    <w:p w14:paraId="6BB835D1" w14:textId="77777777" w:rsidR="004D1500" w:rsidRPr="004D1500" w:rsidRDefault="004D1500" w:rsidP="005C693B">
      <w:pPr>
        <w:rPr>
          <w:rFonts w:asciiTheme="minorHAnsi" w:hAnsiTheme="minorHAnsi" w:cstheme="minorBidi"/>
          <w:spacing w:val="-5"/>
          <w:kern w:val="2"/>
          <w:sz w:val="24"/>
          <w:lang w:val="en-AU"/>
          <w14:ligatures w14:val="standardContextual"/>
        </w:rPr>
      </w:pPr>
      <w:r w:rsidRPr="005C693B">
        <w:rPr>
          <w:lang w:val="en-AU"/>
        </w:rPr>
        <w:lastRenderedPageBreak/>
        <w:t>Homophobic harassment is a common form of gender policing, and a way that young men assert and maintain dominance over other boys and girls in their social setting.</w:t>
      </w:r>
      <w:r w:rsidRPr="004D1500">
        <w:rPr>
          <w:rFonts w:eastAsia="Calibri Light" w:cstheme="minorBidi"/>
          <w:spacing w:val="-5"/>
          <w:sz w:val="24"/>
          <w:vertAlign w:val="superscript"/>
          <w:lang w:val="en-AU"/>
        </w:rPr>
        <w:endnoteReference w:id="27"/>
      </w:r>
      <w:r w:rsidRPr="005C693B">
        <w:rPr>
          <w:lang w:val="en-AU"/>
        </w:rPr>
        <w:t xml:space="preserve"> Homophobia continues to be a means by which young men are socialised by their peers into performing dominant masculine norms, behaviours, practices and attitudes, such as homophobic harassment and demonstrating heterosexual dominance and power.</w:t>
      </w:r>
      <w:r w:rsidRPr="004D1500">
        <w:rPr>
          <w:rFonts w:eastAsia="Calibri Light" w:cstheme="minorBidi"/>
          <w:spacing w:val="-5"/>
          <w:sz w:val="24"/>
          <w:vertAlign w:val="superscript"/>
          <w:lang w:val="en-AU"/>
        </w:rPr>
        <w:endnoteReference w:id="28"/>
      </w:r>
      <w:r w:rsidRPr="005C693B">
        <w:rPr>
          <w:lang w:val="en-AU"/>
        </w:rPr>
        <w:t xml:space="preserve"> R</w:t>
      </w:r>
      <w:r w:rsidRPr="003C6D26">
        <w:rPr>
          <w:lang w:val="en-AU"/>
        </w:rPr>
        <w:t>esearch indicates that young Australian men continue to ‘police masculinity’ through homophobia, with 47% of men surveyed in one study agreeing or strongly agreeing with the statement that ‘a gay guy is not a real man’.</w:t>
      </w:r>
      <w:r w:rsidRPr="004D1500">
        <w:rPr>
          <w:rFonts w:cstheme="minorBidi"/>
          <w:spacing w:val="-5"/>
          <w:kern w:val="2"/>
          <w:sz w:val="24"/>
          <w:vertAlign w:val="superscript"/>
          <w:lang w:val="en-AU"/>
          <w14:ligatures w14:val="standardContextual"/>
        </w:rPr>
        <w:endnoteReference w:id="29"/>
      </w:r>
      <w:r w:rsidRPr="004D1500">
        <w:rPr>
          <w:rFonts w:asciiTheme="minorHAnsi" w:hAnsiTheme="minorHAnsi" w:cstheme="minorBidi"/>
          <w:spacing w:val="-5"/>
          <w:kern w:val="2"/>
          <w:sz w:val="24"/>
          <w:lang w:val="en-AU"/>
          <w14:ligatures w14:val="standardContextual"/>
        </w:rPr>
        <w:t xml:space="preserve"> </w:t>
      </w:r>
      <w:r w:rsidRPr="005C693B">
        <w:rPr>
          <w:lang w:val="en-AU"/>
        </w:rPr>
        <w:t>These practices have been shown to negatively impact those who are victimised, as well as those who observe or intervene as bystanders.</w:t>
      </w:r>
      <w:r w:rsidRPr="005C693B">
        <w:rPr>
          <w:lang w:val="en-AU"/>
        </w:rPr>
        <w:fldChar w:fldCharType="begin"/>
      </w:r>
      <w:r w:rsidRPr="005C693B">
        <w:rPr>
          <w:lang w:val="en-AU"/>
        </w:rPr>
        <w:instrText xml:space="preserve"> ADDIN EN.CITE &lt;EndNote&gt;&lt;Cite&gt;&lt;Author&gt;Rasmussen&lt;/Author&gt;&lt;Year&gt;2017&lt;/Year&gt;&lt;RecNum&gt;292&lt;/RecNum&gt;&lt;DisplayText&gt;(Rasmussen, Sanjakdar, Allen, Quinlivan, &amp;amp; Bromdal, 2017)&lt;/DisplayText&gt;&lt;record&gt;&lt;rec-number&gt;292&lt;/rec-number&gt;&lt;foreign-keys&gt;&lt;key app="EN" db-id="ddzzdre97xr2aneafx6xzdtga00pw0spdf5r" timestamp="1583971316"&gt;292&lt;/key&gt;&lt;/foreign-keys&gt;&lt;ref-type name="Journal Article"&gt;17&lt;/ref-type&gt;&lt;contributors&gt;&lt;authors&gt;&lt;author&gt;Rasmussen, Mary Lou&lt;/author&gt;&lt;author&gt;Sanjakdar, Fida&lt;/author&gt;&lt;author&gt;Allen, Louisa&lt;/author&gt;&lt;author&gt;Quinlivan, Kathleen&lt;/author&gt;&lt;author&gt;Bromdal, Annette&lt;/author&gt;&lt;/authors&gt;&lt;/contributors&gt;&lt;titles&gt;&lt;title&gt;Homophobia, transphobia, young people and the question of responsibility&lt;/title&gt;&lt;secondary-title&gt;Discourse: Studies in the cultural politics of education&lt;/secondary-title&gt;&lt;/titles&gt;&lt;periodical&gt;&lt;full-title&gt;Discourse: studies in the cultural politics of education&lt;/full-title&gt;&lt;/periodical&gt;&lt;pages&gt;30-42&lt;/pages&gt;&lt;volume&gt;38&lt;/volume&gt;&lt;number&gt;1&lt;/number&gt;&lt;dates&gt;&lt;year&gt;2017&lt;/year&gt;&lt;/dates&gt;&lt;isbn&gt;0159-6306&lt;/isbn&gt;&lt;urls&gt;&lt;/urls&gt;&lt;/record&gt;&lt;/Cite&gt;&lt;/EndNote&gt;</w:instrText>
      </w:r>
      <w:r w:rsidRPr="005C693B">
        <w:rPr>
          <w:lang w:val="en-AU"/>
        </w:rPr>
        <w:fldChar w:fldCharType="separate"/>
      </w:r>
      <w:r w:rsidRPr="005C693B">
        <w:rPr>
          <w:lang w:val="en-AU"/>
        </w:rPr>
        <w:fldChar w:fldCharType="end"/>
      </w:r>
      <w:r w:rsidRPr="004D1500">
        <w:rPr>
          <w:rFonts w:eastAsia="Calibri Light" w:cstheme="minorBidi"/>
          <w:spacing w:val="-5"/>
          <w:sz w:val="24"/>
          <w:vertAlign w:val="superscript"/>
          <w:lang w:val="en-AU"/>
        </w:rPr>
        <w:endnoteReference w:id="30"/>
      </w:r>
    </w:p>
    <w:p w14:paraId="14F57336" w14:textId="77777777" w:rsidR="004D1500" w:rsidRDefault="004D1500" w:rsidP="00562192">
      <w:pPr>
        <w:rPr>
          <w:lang w:val="en-AU"/>
        </w:rPr>
      </w:pPr>
      <w:r w:rsidRPr="00562192">
        <w:rPr>
          <w:lang w:val="en-AU"/>
        </w:rPr>
        <w:t>Research demonstrates how gender norms and stereotypes are learned and practised early by children, shaping their identities, behaviours and practices throughout their lives. Therefore, it is essential that learning about gender norms and stereotypes is embedded in education initiatives in developmentally appropriate ways. This involves supporting children and young people to critically analyse how harmful, binary and unequal gender roles operate for women, men and non-binary people from a range of diverse backgrounds, and how this shapes their experiences and lives. Education initiatives can examine the impact of gender-based attitudes, norms and practices on people’s perceptions and ideas about what is ‘expected’ of them and their peers, including in sex and relationships. The goal of critically analysing gender in education initiatives is to promote positive gendered stereotypes and practices that support children and young people to live safely and thrive, regardless of their identity.</w:t>
      </w:r>
    </w:p>
    <w:p w14:paraId="1BE36F9D" w14:textId="77777777" w:rsidR="003C6D26" w:rsidRPr="00562192" w:rsidRDefault="003C6D26" w:rsidP="00562192">
      <w:pPr>
        <w:rPr>
          <w:lang w:val="en-AU"/>
        </w:rPr>
      </w:pPr>
    </w:p>
    <w:p w14:paraId="2751A1D4" w14:textId="77777777" w:rsidR="004D1500" w:rsidRPr="004D1500" w:rsidRDefault="004D1500" w:rsidP="003A4AA0">
      <w:pPr>
        <w:pStyle w:val="Heading2"/>
        <w:rPr>
          <w:lang w:val="en-AU"/>
        </w:rPr>
      </w:pPr>
      <w:bookmarkStart w:id="24" w:name="_Toc216956820"/>
      <w:r w:rsidRPr="004D1500">
        <w:rPr>
          <w:lang w:val="en-AU"/>
        </w:rPr>
        <w:t>When do children and young people start experiencing romantic relationships and engaging in sexual practices?</w:t>
      </w:r>
      <w:bookmarkEnd w:id="24"/>
    </w:p>
    <w:p w14:paraId="01BA193C" w14:textId="77777777" w:rsidR="004D1500" w:rsidRPr="009E3ABA" w:rsidRDefault="004D1500" w:rsidP="00562192">
      <w:pPr>
        <w:rPr>
          <w:szCs w:val="23"/>
          <w:lang w:val="en-AU"/>
        </w:rPr>
      </w:pPr>
      <w:r w:rsidRPr="009E3ABA">
        <w:rPr>
          <w:szCs w:val="23"/>
          <w:lang w:val="en-AU"/>
        </w:rPr>
        <w:t>It is valuable to understand at what age children and young people start experiencing romantic relationships and engaging in sex so that educational approaches can be appropriately timed to ensure children and young people have the skills and knowledge to engage with topics safely and respectfully.</w:t>
      </w:r>
    </w:p>
    <w:p w14:paraId="2B4FA74B" w14:textId="77777777" w:rsidR="00A75C3B" w:rsidRDefault="004D1500" w:rsidP="005C693B">
      <w:pPr>
        <w:rPr>
          <w:lang w:val="en-AU"/>
        </w:rPr>
      </w:pPr>
      <w:r w:rsidRPr="009E3ABA">
        <w:rPr>
          <w:szCs w:val="23"/>
          <w:lang w:val="en-AU"/>
        </w:rPr>
        <w:t>Research over the last four decades has highlighted how romantic relationships are common among children and young people aged 10–13 years. From age 10, young people report feelings of love, confusion and hurt as a result of romantic attachments.</w:t>
      </w:r>
      <w:r w:rsidRPr="009E3ABA">
        <w:rPr>
          <w:rFonts w:eastAsia="Calibri Light" w:cstheme="minorBidi"/>
          <w:spacing w:val="-5"/>
          <w:szCs w:val="23"/>
          <w:vertAlign w:val="superscript"/>
          <w:lang w:val="en-AU"/>
        </w:rPr>
        <w:endnoteReference w:id="31"/>
      </w:r>
      <w:r w:rsidRPr="009E3ABA">
        <w:rPr>
          <w:szCs w:val="23"/>
          <w:lang w:val="en-AU"/>
        </w:rPr>
        <w:t xml:space="preserve"> For example,</w:t>
      </w:r>
      <w:r w:rsidRPr="009E3ABA" w:rsidDel="00021A9B">
        <w:rPr>
          <w:szCs w:val="23"/>
          <w:lang w:val="en-AU"/>
        </w:rPr>
        <w:t xml:space="preserve"> </w:t>
      </w:r>
      <w:r w:rsidRPr="009E3ABA">
        <w:rPr>
          <w:szCs w:val="23"/>
          <w:lang w:val="en-AU"/>
        </w:rPr>
        <w:t>a quarter of 12-year-olds in a national United States (US) study were found to have experienced a romantic relationship of some sort.</w:t>
      </w:r>
      <w:r w:rsidRPr="009E3ABA">
        <w:rPr>
          <w:rFonts w:cstheme="minorBidi"/>
          <w:spacing w:val="-5"/>
          <w:szCs w:val="23"/>
          <w:vertAlign w:val="superscript"/>
          <w:lang w:val="en-AU"/>
        </w:rPr>
        <w:endnoteReference w:id="32"/>
      </w:r>
      <w:r w:rsidRPr="009E3ABA">
        <w:rPr>
          <w:szCs w:val="23"/>
          <w:lang w:val="en-AU"/>
        </w:rPr>
        <w:t xml:space="preserve"> Studies focused on both the United Kingdom (UK) and the US found that, by age 12, it was common for young people to form relationships in which they referred to each other in heterosexual romantic terms such as ‘boyfriend’ and ‘girlfriend’.</w:t>
      </w:r>
      <w:r w:rsidRPr="009E3ABA">
        <w:rPr>
          <w:rFonts w:cstheme="minorBidi"/>
          <w:spacing w:val="-5"/>
          <w:szCs w:val="23"/>
          <w:vertAlign w:val="superscript"/>
          <w:lang w:val="en-AU"/>
        </w:rPr>
        <w:endnoteReference w:id="33"/>
      </w:r>
      <w:r w:rsidRPr="009E3ABA">
        <w:rPr>
          <w:szCs w:val="23"/>
          <w:lang w:val="en-AU"/>
        </w:rPr>
        <w:t xml:space="preserve"> These studies also demonstrated that such relationships typically reproduced limiting gender stereotypes, such as male dominance and female submission, and could reproduce normative scripts of ‘adult’ romantic relationships (e.g. ‘asking out’ and ‘breaking up’).</w:t>
      </w:r>
      <w:r w:rsidRPr="009E3ABA">
        <w:rPr>
          <w:rFonts w:cstheme="minorBidi"/>
          <w:spacing w:val="-5"/>
          <w:szCs w:val="23"/>
          <w:vertAlign w:val="superscript"/>
          <w:lang w:val="en-AU"/>
        </w:rPr>
        <w:endnoteReference w:id="34"/>
      </w:r>
      <w:r w:rsidRPr="009E3ABA">
        <w:rPr>
          <w:szCs w:val="23"/>
          <w:lang w:val="en-AU"/>
        </w:rPr>
        <w:t xml:space="preserve"> While these relationships may be a young person’s first romantic experience, with attachments that are typically brief and involve limited physical intimacy</w:t>
      </w:r>
      <w:r w:rsidRPr="009E3ABA" w:rsidDel="004F59DD">
        <w:rPr>
          <w:szCs w:val="23"/>
          <w:lang w:val="en-AU"/>
        </w:rPr>
        <w:t xml:space="preserve">, </w:t>
      </w:r>
      <w:r w:rsidRPr="009E3ABA">
        <w:rPr>
          <w:szCs w:val="23"/>
          <w:lang w:val="en-AU"/>
        </w:rPr>
        <w:t>nevertheless they contribute to young people’s understanding of themselves and others, and develop their capacity for intimacy.</w:t>
      </w:r>
      <w:r w:rsidRPr="009E3ABA">
        <w:rPr>
          <w:rFonts w:eastAsia="Calibri Light" w:cstheme="minorBidi"/>
          <w:spacing w:val="-5"/>
          <w:szCs w:val="23"/>
          <w:vertAlign w:val="superscript"/>
          <w:lang w:val="en-AU"/>
        </w:rPr>
        <w:endnoteReference w:id="35"/>
      </w:r>
    </w:p>
    <w:p w14:paraId="1349A0A8" w14:textId="1B9B2E65" w:rsidR="004D1500" w:rsidRPr="004E20F8" w:rsidRDefault="004D1500" w:rsidP="005C693B">
      <w:pPr>
        <w:rPr>
          <w:szCs w:val="23"/>
          <w:lang w:val="en-AU"/>
        </w:rPr>
      </w:pPr>
      <w:r w:rsidRPr="005C693B">
        <w:rPr>
          <w:lang w:val="en-AU"/>
        </w:rPr>
        <w:lastRenderedPageBreak/>
        <w:t>The frequency, length and intensity of romantic and sexual relationships tend to increase as young people move into ‘mid-adolescence’, around 14–18 years of age.</w:t>
      </w:r>
      <w:r w:rsidRPr="004D1500">
        <w:rPr>
          <w:rFonts w:cstheme="minorBidi"/>
          <w:spacing w:val="-5"/>
          <w:sz w:val="24"/>
          <w:vertAlign w:val="superscript"/>
        </w:rPr>
        <w:t xml:space="preserve"> </w:t>
      </w:r>
      <w:r w:rsidRPr="004D1500">
        <w:rPr>
          <w:rFonts w:cstheme="minorBidi"/>
          <w:spacing w:val="-5"/>
          <w:sz w:val="24"/>
          <w:vertAlign w:val="superscript"/>
        </w:rPr>
        <w:endnoteReference w:id="36"/>
      </w:r>
      <w:r w:rsidRPr="005C693B">
        <w:rPr>
          <w:lang w:val="en-AU"/>
        </w:rPr>
        <w:t xml:space="preserve"> At this life stage, young people are more likely to engage in sexual activity and to become more intense and committed in romantic relationships, with partners likely to engage in more forms of sexual activity with one another</w:t>
      </w:r>
      <w:r w:rsidRPr="005C693B">
        <w:t>.</w:t>
      </w:r>
      <w:r w:rsidRPr="004D1500">
        <w:rPr>
          <w:rFonts w:cstheme="minorBidi"/>
          <w:spacing w:val="-5"/>
          <w:sz w:val="24"/>
          <w:vertAlign w:val="superscript"/>
        </w:rPr>
        <w:endnoteReference w:id="37"/>
      </w:r>
    </w:p>
    <w:p w14:paraId="0AA4FECA" w14:textId="77777777" w:rsidR="004D1500" w:rsidRPr="005C693B" w:rsidRDefault="004D1500" w:rsidP="005C693B">
      <w:pPr>
        <w:rPr>
          <w:lang w:val="en-AU"/>
        </w:rPr>
      </w:pPr>
      <w:r w:rsidRPr="005C693B">
        <w:rPr>
          <w:lang w:val="en-AU"/>
        </w:rPr>
        <w:t>Many young people are aware of their gender identity and sexual orientation before they enter into romantic or sexual relationships. Research conducted in Australia found that half of young people who are same-sex attracted will know this before age 12.</w:t>
      </w:r>
      <w:r w:rsidRPr="004D1500">
        <w:rPr>
          <w:rFonts w:cstheme="minorBidi"/>
          <w:spacing w:val="-5"/>
          <w:sz w:val="24"/>
          <w:vertAlign w:val="superscript"/>
          <w:lang w:val="en-AU"/>
        </w:rPr>
        <w:endnoteReference w:id="38"/>
      </w:r>
      <w:r w:rsidRPr="005C693B">
        <w:rPr>
          <w:lang w:val="en-AU"/>
        </w:rPr>
        <w:t xml:space="preserve"> Young people who are transgender and gender diverse are likely to know from a young age that their gender is different to what has been assigned to them.</w:t>
      </w:r>
      <w:r w:rsidRPr="004D1500">
        <w:rPr>
          <w:rFonts w:cstheme="minorBidi"/>
          <w:spacing w:val="-5"/>
          <w:sz w:val="24"/>
          <w:vertAlign w:val="superscript"/>
          <w:lang w:val="en-AU"/>
        </w:rPr>
        <w:endnoteReference w:id="39"/>
      </w:r>
    </w:p>
    <w:p w14:paraId="76CF2FDF" w14:textId="77777777" w:rsidR="004D1500" w:rsidRPr="005C693B" w:rsidRDefault="004D1500" w:rsidP="005C693B">
      <w:pPr>
        <w:rPr>
          <w:lang w:val="en-AU"/>
        </w:rPr>
      </w:pPr>
      <w:r w:rsidRPr="005C693B">
        <w:rPr>
          <w:lang w:val="en-AU"/>
        </w:rPr>
        <w:t xml:space="preserve">The </w:t>
      </w:r>
      <w:r w:rsidRPr="002D19F5">
        <w:rPr>
          <w:rFonts w:cstheme="minorBidi"/>
          <w:i/>
          <w:iCs/>
          <w:spacing w:val="-5"/>
          <w:szCs w:val="23"/>
          <w:lang w:val="en-AU"/>
        </w:rPr>
        <w:t>7th</w:t>
      </w:r>
      <w:r w:rsidRPr="005C693B">
        <w:rPr>
          <w:lang w:val="en-AU"/>
        </w:rPr>
        <w:t xml:space="preserve"> </w:t>
      </w:r>
      <w:r w:rsidRPr="002D19F5">
        <w:rPr>
          <w:rFonts w:cstheme="minorBidi"/>
          <w:i/>
          <w:iCs/>
          <w:spacing w:val="-5"/>
          <w:szCs w:val="23"/>
          <w:lang w:val="en-AU"/>
        </w:rPr>
        <w:t>National Survey of Australian Secondary Students and Sexual Health 2021</w:t>
      </w:r>
      <w:r w:rsidRPr="005C693B">
        <w:rPr>
          <w:lang w:val="en-AU"/>
        </w:rPr>
        <w:t xml:space="preserve"> surveyed 6,841 young people aged 14–18 years in Australia to understand when and how young people are engaging in sex and relationships.</w:t>
      </w:r>
      <w:r w:rsidRPr="004D1500">
        <w:rPr>
          <w:rFonts w:cstheme="minorBidi"/>
          <w:spacing w:val="-5"/>
          <w:sz w:val="24"/>
          <w:vertAlign w:val="superscript"/>
          <w:lang w:val="en-AU"/>
        </w:rPr>
        <w:endnoteReference w:id="40"/>
      </w:r>
      <w:r w:rsidRPr="005C693B">
        <w:rPr>
          <w:lang w:val="en-AU"/>
        </w:rPr>
        <w:t xml:space="preserve"> The survey found that the average age at which young people became sexually active in Australia was approximately 15 years of age. It also found that:</w:t>
      </w:r>
    </w:p>
    <w:p w14:paraId="056C6976" w14:textId="77777777" w:rsidR="004D1500" w:rsidRPr="00562192" w:rsidRDefault="004D1500" w:rsidP="00252537">
      <w:pPr>
        <w:pStyle w:val="ListBullet"/>
      </w:pPr>
      <w:r w:rsidRPr="00562192">
        <w:t>69.1% of respondents had ever been in a romantic or sexual relationship, with 56.9% responding they were currently in a relationship</w:t>
      </w:r>
    </w:p>
    <w:p w14:paraId="2B16997A" w14:textId="77777777" w:rsidR="004D1500" w:rsidRPr="00562192" w:rsidRDefault="004D1500" w:rsidP="00252537">
      <w:pPr>
        <w:pStyle w:val="ListBullet"/>
      </w:pPr>
      <w:r w:rsidRPr="00562192">
        <w:t>60.6% respondents reported that they had experienced either oral sex, vaginal sex or anal sex</w:t>
      </w:r>
    </w:p>
    <w:p w14:paraId="1D0AAD59" w14:textId="77777777" w:rsidR="004D1500" w:rsidRPr="005C693B" w:rsidRDefault="004D1500" w:rsidP="00252537">
      <w:pPr>
        <w:pStyle w:val="ListBullet"/>
      </w:pPr>
      <w:r w:rsidRPr="005C693B">
        <w:t>68.9% of respondents reported that they had engaged in vaginal or anal sex by Year 12 in secondary school, with girls more likely than boys.</w:t>
      </w:r>
      <w:r w:rsidRPr="004D1500">
        <w:rPr>
          <w:rFonts w:cstheme="minorBidi"/>
          <w:spacing w:val="-5"/>
          <w:sz w:val="24"/>
          <w:vertAlign w:val="superscript"/>
        </w:rPr>
        <w:endnoteReference w:id="41"/>
      </w:r>
    </w:p>
    <w:p w14:paraId="3DA8E282" w14:textId="77777777" w:rsidR="004D1500" w:rsidRPr="004D1500" w:rsidRDefault="004D1500" w:rsidP="005C693B">
      <w:pPr>
        <w:rPr>
          <w:rFonts w:eastAsia="Calibri Light" w:cstheme="minorBidi"/>
          <w:color w:val="000000" w:themeColor="text1"/>
          <w:spacing w:val="-5"/>
          <w:sz w:val="24"/>
          <w:lang w:val="en-AU"/>
        </w:rPr>
      </w:pPr>
      <w:r w:rsidRPr="005C693B">
        <w:rPr>
          <w:lang w:val="en-AU"/>
        </w:rPr>
        <w:t>Young women (65.3%) were more likely to report being sexually active than young men (52.9%) or transgender and non-binary young people (48.4%). For those young people who had experienced different sexual practices, the average age at which they did so varied. For example, the average age of viewing pornography was 13.6 years, deep kissing 14.6 years, oral sex 15.2 years, vaginal sex 15.3 years and anal sex 15.6 years.</w:t>
      </w:r>
      <w:r w:rsidRPr="004D1500">
        <w:rPr>
          <w:rFonts w:cstheme="minorBidi"/>
          <w:spacing w:val="-5"/>
          <w:sz w:val="24"/>
          <w:vertAlign w:val="superscript"/>
          <w:lang w:val="en-AU"/>
        </w:rPr>
        <w:endnoteReference w:id="42"/>
      </w:r>
    </w:p>
    <w:p w14:paraId="13067164" w14:textId="77777777" w:rsidR="004D1500" w:rsidRPr="00562192" w:rsidRDefault="004D1500" w:rsidP="00562192">
      <w:pPr>
        <w:rPr>
          <w:lang w:val="en-AU"/>
        </w:rPr>
      </w:pPr>
      <w:r w:rsidRPr="00562192">
        <w:rPr>
          <w:lang w:val="en-AU"/>
        </w:rPr>
        <w:t>More than a third (39.4%) of young people responded that they were not yet sexually active. The reasons they gave for not yet having had sex ranged from a lack of opportunity (72.4%), being proud to say no to sex and mean it (70.6%), and not being in a relationship long enough to have sex yet (69.0%).</w:t>
      </w:r>
    </w:p>
    <w:p w14:paraId="7938CCD6" w14:textId="77777777" w:rsidR="004D1500" w:rsidRDefault="004D1500" w:rsidP="00562192">
      <w:pPr>
        <w:rPr>
          <w:lang w:val="en-AU"/>
        </w:rPr>
      </w:pPr>
      <w:r w:rsidRPr="00562192">
        <w:rPr>
          <w:lang w:val="en-AU"/>
        </w:rPr>
        <w:t>The research demonstrates that young people are engaging in sexual practices, including viewing pornography, at an early age. This indicates that delivery of age-appropriate, evidence-based and relevant content is required to support young people in developing the skills and knowledge for healthy, equal and respectful intimate relationships.</w:t>
      </w:r>
    </w:p>
    <w:p w14:paraId="30A05A2C" w14:textId="77777777" w:rsidR="006F3A0F" w:rsidRPr="00562192" w:rsidRDefault="006F3A0F" w:rsidP="00562192">
      <w:pPr>
        <w:rPr>
          <w:lang w:val="en-AU"/>
        </w:rPr>
      </w:pPr>
    </w:p>
    <w:p w14:paraId="324A16B7" w14:textId="77777777" w:rsidR="003042E3" w:rsidRDefault="003042E3">
      <w:pPr>
        <w:spacing w:after="160" w:line="259" w:lineRule="auto"/>
        <w:rPr>
          <w:rFonts w:eastAsiaTheme="majorEastAsia" w:cs="Times New Roman (Headings CS)"/>
          <w:b/>
          <w:bCs/>
          <w:color w:val="022146"/>
          <w:sz w:val="42"/>
          <w:szCs w:val="38"/>
          <w:lang w:val="en-AU"/>
        </w:rPr>
      </w:pPr>
      <w:bookmarkStart w:id="25" w:name="_Toc216956821"/>
      <w:r>
        <w:rPr>
          <w:lang w:val="en-AU"/>
        </w:rPr>
        <w:br w:type="page"/>
      </w:r>
    </w:p>
    <w:p w14:paraId="131720D6" w14:textId="022DCE25" w:rsidR="004D1500" w:rsidRPr="004D1500" w:rsidRDefault="004D1500" w:rsidP="003A4AA0">
      <w:pPr>
        <w:pStyle w:val="Heading2"/>
        <w:rPr>
          <w:lang w:val="en-AU"/>
        </w:rPr>
      </w:pPr>
      <w:r w:rsidRPr="004D1500">
        <w:rPr>
          <w:lang w:val="en-AU"/>
        </w:rPr>
        <w:lastRenderedPageBreak/>
        <w:t>Young people’s positive and negative experiences of sex, violence and romantic relationships</w:t>
      </w:r>
      <w:bookmarkEnd w:id="25"/>
    </w:p>
    <w:p w14:paraId="79536537" w14:textId="29A9C421" w:rsidR="004D1500" w:rsidRPr="005C693B" w:rsidRDefault="004D1500" w:rsidP="005C693B">
      <w:pPr>
        <w:rPr>
          <w:lang w:val="en-AU"/>
        </w:rPr>
      </w:pPr>
      <w:r w:rsidRPr="005C693B">
        <w:rPr>
          <w:lang w:val="en-AU"/>
        </w:rPr>
        <w:t>Romantic relationships have been shown to make a positive contribution to young people’s sense of identity and psychosocial wellbeing, as well as play an important role in the development of future intimate partnerships</w:t>
      </w:r>
      <w:r w:rsidRPr="004D1500">
        <w:rPr>
          <w:rFonts w:cstheme="minorBidi"/>
          <w:color w:val="000000" w:themeColor="text1"/>
          <w:spacing w:val="-5"/>
          <w:sz w:val="24"/>
          <w:lang w:val="en-AU"/>
        </w:rPr>
        <w:t>.</w:t>
      </w:r>
      <w:r w:rsidRPr="004D1500">
        <w:rPr>
          <w:rFonts w:cstheme="minorBidi"/>
          <w:spacing w:val="-5"/>
          <w:sz w:val="24"/>
          <w:vertAlign w:val="superscript"/>
          <w:lang w:val="en-AU"/>
        </w:rPr>
        <w:endnoteReference w:id="43"/>
      </w:r>
      <w:r w:rsidRPr="005C693B">
        <w:rPr>
          <w:lang w:val="en-AU"/>
        </w:rPr>
        <w:t xml:space="preserve"> The 2021 </w:t>
      </w:r>
      <w:r w:rsidRPr="002D19F5">
        <w:rPr>
          <w:rFonts w:cstheme="minorBidi"/>
          <w:i/>
          <w:iCs/>
          <w:spacing w:val="-5"/>
          <w:szCs w:val="23"/>
          <w:lang w:val="en-AU"/>
        </w:rPr>
        <w:t>National Survey of Australian Secondary Students and Sexual Health</w:t>
      </w:r>
      <w:r w:rsidRPr="005C693B">
        <w:rPr>
          <w:lang w:val="en-AU"/>
        </w:rPr>
        <w:t xml:space="preserve"> found that 63.2% of sexually active young people in Years 10–12 were most likely to report that when they engaged in sex, it was pleasurable.</w:t>
      </w:r>
      <w:r w:rsidRPr="004D1500">
        <w:rPr>
          <w:rFonts w:cstheme="minorBidi"/>
          <w:spacing w:val="-5"/>
          <w:sz w:val="24"/>
          <w:vertAlign w:val="superscript"/>
          <w:lang w:val="en-AU"/>
        </w:rPr>
        <w:endnoteReference w:id="44"/>
      </w:r>
      <w:r w:rsidRPr="005C693B">
        <w:rPr>
          <w:lang w:val="en-AU"/>
        </w:rPr>
        <w:t xml:space="preserve"> The majority had most recently had sex with someone close to them in age, with 93.4% of young people aged 16 or under having had sex with someone aged 17 or under. Further, 54.8% had talked to their partner about using a condom, and many reported experiencing positive feelings about their last sexual experience, including feeling excited (59.5%), satisfied (50.1%) and </w:t>
      </w:r>
      <w:r w:rsidR="00B4087C">
        <w:rPr>
          <w:lang w:val="en-AU"/>
        </w:rPr>
        <w:br/>
      </w:r>
      <w:r w:rsidRPr="005C693B">
        <w:rPr>
          <w:lang w:val="en-AU"/>
        </w:rPr>
        <w:t>happy (61.1%).</w:t>
      </w:r>
      <w:r w:rsidRPr="004D1500">
        <w:rPr>
          <w:rFonts w:cstheme="minorBidi"/>
          <w:spacing w:val="-5"/>
          <w:sz w:val="24"/>
          <w:vertAlign w:val="superscript"/>
          <w:lang w:val="en-AU"/>
        </w:rPr>
        <w:endnoteReference w:id="45"/>
      </w:r>
    </w:p>
    <w:p w14:paraId="0F5EE705" w14:textId="77777777" w:rsidR="004D1500" w:rsidRPr="005C693B" w:rsidRDefault="004D1500" w:rsidP="005C693B">
      <w:pPr>
        <w:rPr>
          <w:lang w:val="en-AU"/>
        </w:rPr>
      </w:pPr>
      <w:r w:rsidRPr="005C693B">
        <w:rPr>
          <w:lang w:val="en-AU"/>
        </w:rPr>
        <w:t>However, there are also significant rates of unwanted sex, violence and image-based abuse experienced by young people.</w:t>
      </w:r>
      <w:r w:rsidRPr="004D1500">
        <w:rPr>
          <w:rFonts w:eastAsia="Calibri Light" w:cstheme="minorBidi"/>
          <w:color w:val="000000" w:themeColor="text1"/>
          <w:spacing w:val="-5"/>
          <w:sz w:val="24"/>
          <w:vertAlign w:val="superscript"/>
          <w:lang w:val="en-AU"/>
        </w:rPr>
        <w:endnoteReference w:id="46"/>
      </w:r>
      <w:r w:rsidRPr="005C693B">
        <w:rPr>
          <w:lang w:val="en-AU"/>
        </w:rPr>
        <w:t xml:space="preserve"> The </w:t>
      </w:r>
      <w:r w:rsidRPr="002D19F5">
        <w:rPr>
          <w:rFonts w:cstheme="minorBidi"/>
          <w:i/>
          <w:iCs/>
          <w:spacing w:val="-5"/>
          <w:szCs w:val="23"/>
          <w:lang w:val="en-AU"/>
        </w:rPr>
        <w:t>Personal Safety Survey 2021–2022</w:t>
      </w:r>
      <w:r w:rsidRPr="005C693B">
        <w:rPr>
          <w:lang w:val="en-AU"/>
        </w:rPr>
        <w:t xml:space="preserve"> (PSS) found that women across age groups are more likely than men to experience sexual violence (22% of women compared to 6.1% of men), intimate partner violence (27% of women compared to 12% of men) and stalking (20% of women compared to 6.8% of men).</w:t>
      </w:r>
      <w:r w:rsidRPr="004D1500">
        <w:rPr>
          <w:rFonts w:cstheme="minorBidi"/>
          <w:color w:val="000000" w:themeColor="text1"/>
          <w:spacing w:val="-5"/>
          <w:sz w:val="24"/>
          <w:vertAlign w:val="superscript"/>
          <w:lang w:val="en-AU"/>
        </w:rPr>
        <w:endnoteReference w:id="47"/>
      </w:r>
      <w:r w:rsidRPr="005C693B">
        <w:rPr>
          <w:lang w:val="en-AU"/>
        </w:rPr>
        <w:t xml:space="preserve"> The PSS found that young women are more at risk of experiencing physical and sexual intimate partner violence, sexual violence and harassment compared to older women. An estimated 1 in 8 women (12%) aged 18–24 had experienced sexual violence in the 2 years before the survey was conducted.</w:t>
      </w:r>
      <w:r w:rsidRPr="004D1500">
        <w:rPr>
          <w:rFonts w:cstheme="minorBidi"/>
          <w:spacing w:val="-5"/>
          <w:sz w:val="24"/>
          <w:vertAlign w:val="superscript"/>
          <w:lang w:val="en-AU"/>
        </w:rPr>
        <w:endnoteReference w:id="48"/>
      </w:r>
      <w:r w:rsidRPr="005C693B">
        <w:rPr>
          <w:lang w:val="en-AU"/>
        </w:rPr>
        <w:t xml:space="preserve"> In the</w:t>
      </w:r>
      <w:r w:rsidRPr="002D19F5">
        <w:rPr>
          <w:rFonts w:eastAsia="Calibri Light" w:cstheme="minorBidi"/>
          <w:i/>
          <w:iCs/>
          <w:spacing w:val="-5"/>
          <w:szCs w:val="23"/>
          <w:lang w:val="en-AU"/>
        </w:rPr>
        <w:t xml:space="preserve"> Longitudinal Study of Australian Children</w:t>
      </w:r>
      <w:r w:rsidRPr="005C693B">
        <w:rPr>
          <w:lang w:val="en-AU"/>
        </w:rPr>
        <w:t>, 29% of young people aged 18–19 years reported some form of intimate partner violence in the past year.</w:t>
      </w:r>
      <w:r w:rsidRPr="004D1500">
        <w:rPr>
          <w:rFonts w:eastAsia="Calibri Light" w:cstheme="minorBidi"/>
          <w:spacing w:val="-5"/>
          <w:sz w:val="24"/>
          <w:vertAlign w:val="superscript"/>
          <w:lang w:val="en-AU"/>
        </w:rPr>
        <w:endnoteReference w:id="49"/>
      </w:r>
    </w:p>
    <w:p w14:paraId="46D15DD8" w14:textId="77777777" w:rsidR="004D1500" w:rsidRPr="005C693B" w:rsidRDefault="004D1500" w:rsidP="005C693B">
      <w:pPr>
        <w:rPr>
          <w:lang w:val="en-AU"/>
        </w:rPr>
      </w:pPr>
      <w:r w:rsidRPr="005C693B">
        <w:rPr>
          <w:lang w:val="en-AU"/>
        </w:rPr>
        <w:t xml:space="preserve">Similarly, the </w:t>
      </w:r>
      <w:r w:rsidRPr="002D19F5">
        <w:rPr>
          <w:rFonts w:cstheme="minorBidi"/>
          <w:i/>
          <w:iCs/>
          <w:spacing w:val="-5"/>
          <w:szCs w:val="23"/>
          <w:lang w:val="en-AU"/>
        </w:rPr>
        <w:t xml:space="preserve">National Survey of Australian Secondary Students and Sexual Health </w:t>
      </w:r>
      <w:r w:rsidRPr="005C693B">
        <w:rPr>
          <w:lang w:val="en-AU"/>
        </w:rPr>
        <w:t>found that 1 in 3 (39.5%) young people who had experienced sex reported that they had experienced unwanted sex during their life.</w:t>
      </w:r>
      <w:r w:rsidRPr="004D1500">
        <w:rPr>
          <w:rFonts w:cstheme="minorBidi"/>
          <w:spacing w:val="-5"/>
          <w:sz w:val="24"/>
          <w:vertAlign w:val="superscript"/>
          <w:lang w:val="en-AU"/>
        </w:rPr>
        <w:endnoteReference w:id="50"/>
      </w:r>
      <w:r w:rsidRPr="005C693B">
        <w:rPr>
          <w:lang w:val="en-AU"/>
        </w:rPr>
        <w:t xml:space="preserve"> The average age at which they had first experienced unwanted sex was 14.9 years old. Nearly 1 in 5 (21.1%) young people reported that their first experience of unwanted sex occurred when they were younger than 14 years of age. Among the 39.5% of young people who had experienced unwanted sex during their lives, there were a range of reasons given, including verbal pressure, adverse outcomes of not doing so, being physically forced to have sex, and being too drunk or high to consent to sex.</w:t>
      </w:r>
      <w:r w:rsidRPr="004D1500">
        <w:rPr>
          <w:rFonts w:cstheme="minorBidi"/>
          <w:spacing w:val="-5"/>
          <w:sz w:val="24"/>
          <w:vertAlign w:val="superscript"/>
          <w:lang w:val="en-AU"/>
        </w:rPr>
        <w:endnoteReference w:id="51"/>
      </w:r>
    </w:p>
    <w:p w14:paraId="6909F5B1" w14:textId="77777777" w:rsidR="004D1500" w:rsidRPr="005C693B" w:rsidRDefault="004D1500" w:rsidP="005C693B">
      <w:pPr>
        <w:rPr>
          <w:lang w:val="en-AU"/>
        </w:rPr>
      </w:pPr>
      <w:r w:rsidRPr="005C693B">
        <w:rPr>
          <w:lang w:val="en-AU"/>
        </w:rPr>
        <w:t xml:space="preserve">The </w:t>
      </w:r>
      <w:r w:rsidRPr="002D19F5">
        <w:rPr>
          <w:rFonts w:cstheme="minorBidi"/>
          <w:i/>
          <w:iCs/>
          <w:spacing w:val="-5"/>
          <w:szCs w:val="23"/>
          <w:lang w:val="en-AU"/>
        </w:rPr>
        <w:t>National Survey of Australian Secondary Students and Sexual Health</w:t>
      </w:r>
      <w:r w:rsidRPr="005C693B">
        <w:rPr>
          <w:lang w:val="en-AU"/>
        </w:rPr>
        <w:t xml:space="preserve"> also demonstrated that the prevalence of unwanted sex and violence differed significantly by sex and gender. Transgender and non-binary young people (55.4%) and young women (44.5%) were more than twice as likely to report that they had experienced unwanted sex compared to young men (21.3%). Lesbian, gay, bisexual and queer young people (48.2%) were more likely to report that they had experienced unwanted sex compared to heterosexual young people (33.8%).</w:t>
      </w:r>
      <w:r w:rsidRPr="004D1500">
        <w:rPr>
          <w:rFonts w:cstheme="minorBidi"/>
          <w:spacing w:val="-5"/>
          <w:sz w:val="24"/>
          <w:vertAlign w:val="superscript"/>
          <w:lang w:val="en-AU"/>
        </w:rPr>
        <w:endnoteReference w:id="52"/>
      </w:r>
      <w:r w:rsidRPr="005C693B">
        <w:rPr>
          <w:lang w:val="en-AU"/>
        </w:rPr>
        <w:t xml:space="preserve"> </w:t>
      </w:r>
    </w:p>
    <w:p w14:paraId="3E23796B" w14:textId="77777777" w:rsidR="004D1500" w:rsidRPr="005C693B" w:rsidRDefault="004D1500" w:rsidP="005C693B">
      <w:pPr>
        <w:rPr>
          <w:lang w:val="en-AU"/>
        </w:rPr>
      </w:pPr>
      <w:r w:rsidRPr="005C693B">
        <w:rPr>
          <w:lang w:val="en-AU"/>
        </w:rPr>
        <w:t xml:space="preserve">Homophobic and transphobic harassment and abuse are also common forms of gender-based violence experienced by young people. A nationally representative study of 2,376 gender and sexuality diverse secondary school students aged 13–18 years, found that 93% of students had heard homophobic language at school and </w:t>
      </w:r>
      <w:r w:rsidRPr="005C693B">
        <w:rPr>
          <w:lang w:val="en-AU"/>
        </w:rPr>
        <w:lastRenderedPageBreak/>
        <w:t>37% heard such language daily.</w:t>
      </w:r>
      <w:r w:rsidRPr="004D1500">
        <w:rPr>
          <w:rFonts w:cstheme="minorBidi"/>
          <w:spacing w:val="-5"/>
          <w:sz w:val="24"/>
          <w:vertAlign w:val="superscript"/>
          <w:lang w:val="en-AU"/>
        </w:rPr>
        <w:endnoteReference w:id="53"/>
      </w:r>
      <w:r w:rsidRPr="005C693B">
        <w:rPr>
          <w:lang w:val="en-AU"/>
        </w:rPr>
        <w:t xml:space="preserve"> The same study found that 54% of those surveyed had witnessed verbal harassment of gender and sexuality diverse students at school.</w:t>
      </w:r>
      <w:r w:rsidRPr="004D1500">
        <w:rPr>
          <w:rFonts w:cstheme="minorBidi"/>
          <w:spacing w:val="-5"/>
          <w:sz w:val="24"/>
          <w:vertAlign w:val="superscript"/>
          <w:lang w:val="en-AU"/>
        </w:rPr>
        <w:endnoteReference w:id="54"/>
      </w:r>
      <w:r w:rsidRPr="005C693B">
        <w:rPr>
          <w:lang w:val="en-AU"/>
        </w:rPr>
        <w:t xml:space="preserve"> Similarly, </w:t>
      </w:r>
      <w:r w:rsidRPr="002D19F5">
        <w:rPr>
          <w:rFonts w:cstheme="minorBidi"/>
          <w:i/>
          <w:iCs/>
          <w:spacing w:val="-5"/>
          <w:szCs w:val="23"/>
          <w:lang w:val="en-AU"/>
        </w:rPr>
        <w:t>Writing Themselves In,</w:t>
      </w:r>
      <w:r w:rsidRPr="005C693B">
        <w:rPr>
          <w:lang w:val="en-AU"/>
        </w:rPr>
        <w:t xml:space="preserve"> a national representative survey of lesbian, gay, bisexual, transexual, intersex, queer and asexual (</w:t>
      </w:r>
      <w:proofErr w:type="spellStart"/>
      <w:r w:rsidRPr="005C693B">
        <w:rPr>
          <w:lang w:val="en-AU"/>
        </w:rPr>
        <w:t>LGBTIQA</w:t>
      </w:r>
      <w:proofErr w:type="spellEnd"/>
      <w:r w:rsidRPr="005C693B">
        <w:rPr>
          <w:lang w:val="en-AU"/>
        </w:rPr>
        <w:t xml:space="preserve">+) young people, found that approximately 60.2% of Australian </w:t>
      </w:r>
      <w:proofErr w:type="spellStart"/>
      <w:r w:rsidRPr="005C693B">
        <w:rPr>
          <w:lang w:val="en-AU"/>
        </w:rPr>
        <w:t>LGBTIQA</w:t>
      </w:r>
      <w:proofErr w:type="spellEnd"/>
      <w:r w:rsidRPr="005C693B">
        <w:rPr>
          <w:lang w:val="en-AU"/>
        </w:rPr>
        <w:t>+ young people reported feeling unsafe or uncomfortable at secondary school and were much more likely than the national average to experience abuse online.</w:t>
      </w:r>
      <w:r w:rsidRPr="004D1500">
        <w:rPr>
          <w:rFonts w:eastAsia="Calibri Light" w:cstheme="minorBidi"/>
          <w:spacing w:val="-5"/>
          <w:sz w:val="24"/>
          <w:vertAlign w:val="superscript"/>
          <w:lang w:val="en-AU"/>
        </w:rPr>
        <w:endnoteReference w:id="55"/>
      </w:r>
    </w:p>
    <w:p w14:paraId="71F5C9D8" w14:textId="77777777" w:rsidR="004D1500" w:rsidRPr="00562192" w:rsidRDefault="004D1500" w:rsidP="00562192">
      <w:pPr>
        <w:rPr>
          <w:lang w:val="en-AU"/>
        </w:rPr>
      </w:pPr>
      <w:r w:rsidRPr="00562192">
        <w:rPr>
          <w:lang w:val="en-AU"/>
        </w:rPr>
        <w:t xml:space="preserve">These findings paint a complex picture of young people’s experiences with sex, relationships and gender-based violence. While many young people report consensual and affirming sexual experiences, highlighting the positive role relationships can play in identity formation and wellbeing, significant numbers of young people are also exposed to unwanted sex, gender-based violence and discrimination. This is particularly apparent for young women, </w:t>
      </w:r>
      <w:proofErr w:type="spellStart"/>
      <w:r w:rsidRPr="00562192">
        <w:rPr>
          <w:lang w:val="en-AU"/>
        </w:rPr>
        <w:t>LGBTIQA</w:t>
      </w:r>
      <w:proofErr w:type="spellEnd"/>
      <w:r w:rsidRPr="00562192">
        <w:rPr>
          <w:lang w:val="en-AU"/>
        </w:rPr>
        <w:t xml:space="preserve">+ young people and gender diverse young people. </w:t>
      </w:r>
    </w:p>
    <w:p w14:paraId="7D4D6AB6" w14:textId="77777777" w:rsidR="004D1500" w:rsidRDefault="004D1500" w:rsidP="00562192">
      <w:pPr>
        <w:rPr>
          <w:lang w:val="en-AU"/>
        </w:rPr>
      </w:pPr>
      <w:r w:rsidRPr="00562192">
        <w:rPr>
          <w:lang w:val="en-AU"/>
        </w:rPr>
        <w:t>These findings underscore the need for comprehensive, inclusive and trauma-informed educational approaches and support systems that empower young people to build respectful, safe and equitable relationships. During these formative stages of life, when young people are developing their relationship skills, expectations, knowledge and boundaries, the importance of the timely provision of education programs that cover topics such as consent, pleasure, gender equality, respectful relationships and violence prevention is evident.</w:t>
      </w:r>
    </w:p>
    <w:p w14:paraId="077B486F" w14:textId="77777777" w:rsidR="006F3A0F" w:rsidRPr="00562192" w:rsidRDefault="006F3A0F" w:rsidP="00562192">
      <w:pPr>
        <w:rPr>
          <w:lang w:val="en-AU"/>
        </w:rPr>
      </w:pPr>
    </w:p>
    <w:p w14:paraId="1E03C314" w14:textId="37674C8E" w:rsidR="004D1500" w:rsidRPr="004D1500" w:rsidRDefault="004D1500" w:rsidP="003A4AA0">
      <w:pPr>
        <w:pStyle w:val="Heading2"/>
        <w:rPr>
          <w:lang w:val="en-AU"/>
        </w:rPr>
      </w:pPr>
      <w:bookmarkStart w:id="26" w:name="_Toc216956822"/>
      <w:r w:rsidRPr="004D1500">
        <w:rPr>
          <w:lang w:val="en-AU"/>
        </w:rPr>
        <w:t xml:space="preserve">Young people’s attitudes towards </w:t>
      </w:r>
      <w:r w:rsidR="00732B1E">
        <w:rPr>
          <w:lang w:val="en-AU"/>
        </w:rPr>
        <w:br/>
      </w:r>
      <w:r w:rsidRPr="004D1500">
        <w:rPr>
          <w:lang w:val="en-AU"/>
        </w:rPr>
        <w:t xml:space="preserve">gender equality, gender-based violence </w:t>
      </w:r>
      <w:r w:rsidR="00732B1E">
        <w:rPr>
          <w:lang w:val="en-AU"/>
        </w:rPr>
        <w:br/>
      </w:r>
      <w:r w:rsidRPr="004D1500">
        <w:rPr>
          <w:lang w:val="en-AU"/>
        </w:rPr>
        <w:t>and relationships</w:t>
      </w:r>
      <w:bookmarkEnd w:id="26"/>
    </w:p>
    <w:p w14:paraId="115F8C98" w14:textId="77777777" w:rsidR="004D1500" w:rsidRPr="00562192" w:rsidRDefault="004D1500" w:rsidP="00562192">
      <w:pPr>
        <w:rPr>
          <w:lang w:val="en-AU"/>
        </w:rPr>
      </w:pPr>
      <w:r w:rsidRPr="00562192">
        <w:rPr>
          <w:lang w:val="en-AU"/>
        </w:rPr>
        <w:t xml:space="preserve">A complex interplay of social, cultural and institutional influences shapes young people’s attitudes towards gender equality, violence and relationships. As they navigate formative stages of identity and relationships, young people are exposed to messages from family, peers, media and education systems that can either reinforce or challenge harmful gender norms and stereotypes. </w:t>
      </w:r>
    </w:p>
    <w:p w14:paraId="19A14AC9" w14:textId="77777777" w:rsidR="004D1500" w:rsidRPr="005C693B" w:rsidRDefault="004D1500" w:rsidP="00552732">
      <w:pPr>
        <w:rPr>
          <w:lang w:val="en-AU"/>
        </w:rPr>
      </w:pPr>
      <w:r w:rsidRPr="005C693B">
        <w:rPr>
          <w:lang w:val="en-AU"/>
        </w:rPr>
        <w:t xml:space="preserve">The 2021 </w:t>
      </w:r>
      <w:r w:rsidRPr="002D19F5">
        <w:rPr>
          <w:rFonts w:eastAsiaTheme="majorEastAsia" w:cstheme="minorBidi"/>
          <w:i/>
          <w:iCs/>
          <w:spacing w:val="-5"/>
          <w:szCs w:val="23"/>
          <w:lang w:val="en-AU"/>
        </w:rPr>
        <w:t>National Community Attitudes Survey</w:t>
      </w:r>
      <w:r w:rsidRPr="005C693B">
        <w:rPr>
          <w:lang w:val="en-AU"/>
        </w:rPr>
        <w:t xml:space="preserve"> (</w:t>
      </w:r>
      <w:proofErr w:type="spellStart"/>
      <w:r w:rsidRPr="005C693B">
        <w:rPr>
          <w:lang w:val="en-AU"/>
        </w:rPr>
        <w:t>NCAS</w:t>
      </w:r>
      <w:proofErr w:type="spellEnd"/>
      <w:r w:rsidRPr="005C693B">
        <w:rPr>
          <w:lang w:val="en-AU"/>
        </w:rPr>
        <w:t>) collected data from 9,100 Australians aged 16 years or over on their views towards violence against women and gender inequality.</w:t>
      </w:r>
      <w:r w:rsidRPr="004D1500">
        <w:rPr>
          <w:rFonts w:cstheme="minorBidi"/>
          <w:spacing w:val="-5"/>
          <w:sz w:val="24"/>
          <w:vertAlign w:val="superscript"/>
          <w:lang w:val="en-AU"/>
        </w:rPr>
        <w:endnoteReference w:id="56"/>
      </w:r>
      <w:r w:rsidRPr="005C693B">
        <w:rPr>
          <w:lang w:val="en-AU"/>
        </w:rPr>
        <w:t xml:space="preserve"> The survey found that most Australians across all age groups support gender equality and reject attitudes that support violence against women</w:t>
      </w:r>
      <w:r w:rsidRPr="005C693B" w:rsidDel="00D77AC2">
        <w:rPr>
          <w:lang w:val="en-AU"/>
        </w:rPr>
        <w:t xml:space="preserve">. </w:t>
      </w:r>
    </w:p>
    <w:p w14:paraId="5BBEB0E6" w14:textId="77777777" w:rsidR="004D1500" w:rsidRPr="00562192" w:rsidRDefault="004D1500" w:rsidP="00562192">
      <w:pPr>
        <w:rPr>
          <w:lang w:val="en-AU"/>
        </w:rPr>
      </w:pPr>
      <w:r w:rsidRPr="00562192">
        <w:rPr>
          <w:lang w:val="en-AU"/>
        </w:rPr>
        <w:t xml:space="preserve">The </w:t>
      </w:r>
      <w:proofErr w:type="spellStart"/>
      <w:r w:rsidRPr="00562192">
        <w:rPr>
          <w:lang w:val="en-AU"/>
        </w:rPr>
        <w:t>NCAS</w:t>
      </w:r>
      <w:proofErr w:type="spellEnd"/>
      <w:r w:rsidRPr="00562192">
        <w:rPr>
          <w:lang w:val="en-AU"/>
        </w:rPr>
        <w:t xml:space="preserve"> demonstrated gradual improvements from previous years in young Australians’ understanding of violence against women, their attitudes towards this violence and their attitudes towards gender equality. The survey found that, overall, young people demonstrated significantly higher understanding of violence against women and higher rejection of gender inequality and violence against women than in previous surveys. Young women were significantly more likely than young men to have advanced understandings of violence against women, domestic violence and sexual violence. Young women were also much more likely than young men to have more positive attitudes towards gender equality. For example:</w:t>
      </w:r>
    </w:p>
    <w:p w14:paraId="3D954404" w14:textId="77777777" w:rsidR="004D1500" w:rsidRPr="00562192" w:rsidRDefault="004D1500" w:rsidP="007222D3">
      <w:pPr>
        <w:pStyle w:val="ListBullet"/>
      </w:pPr>
      <w:r w:rsidRPr="00562192">
        <w:lastRenderedPageBreak/>
        <w:t xml:space="preserve">26% of young women agreed that ‘Many women exaggerate how unequally women are treated in Australia’, compared to 48% of young men </w:t>
      </w:r>
    </w:p>
    <w:p w14:paraId="225F2CD7" w14:textId="77777777" w:rsidR="004D1500" w:rsidRPr="00562192" w:rsidRDefault="004D1500" w:rsidP="007222D3">
      <w:pPr>
        <w:pStyle w:val="ListBullet"/>
      </w:pPr>
      <w:r w:rsidRPr="00562192">
        <w:t>7% of young women agreed that ‘Men should take control in relationships and be the head of the household’ compared to 18% of young men</w:t>
      </w:r>
    </w:p>
    <w:p w14:paraId="3847F059" w14:textId="77777777" w:rsidR="004D1500" w:rsidRPr="00562192" w:rsidRDefault="004D1500" w:rsidP="007222D3">
      <w:pPr>
        <w:pStyle w:val="ListBullet"/>
      </w:pPr>
      <w:r w:rsidRPr="00562192">
        <w:t>5% of young women agreed that ‘There’s no harm in men making sexist jokes about women among their male friends’ compared to 18% of young men</w:t>
      </w:r>
    </w:p>
    <w:p w14:paraId="3ADC61AC" w14:textId="77777777" w:rsidR="004D1500" w:rsidRPr="00562192" w:rsidRDefault="004D1500" w:rsidP="007222D3">
      <w:pPr>
        <w:pStyle w:val="ListBullet"/>
      </w:pPr>
      <w:r w:rsidRPr="00562192">
        <w:t>1% of young women agreed that ‘Women need to have children to be fulfilled’ compared to 6% of young men</w:t>
      </w:r>
    </w:p>
    <w:p w14:paraId="339BC712" w14:textId="77777777" w:rsidR="004D1500" w:rsidRPr="005C693B" w:rsidRDefault="004D1500" w:rsidP="007222D3">
      <w:pPr>
        <w:pStyle w:val="ListBullet"/>
      </w:pPr>
      <w:r w:rsidRPr="005C693B">
        <w:t>5% of young women agreed that ‘Men generally make more capable bosses than women’ compared to 13% of young men.</w:t>
      </w:r>
      <w:r w:rsidRPr="004D1500">
        <w:rPr>
          <w:rFonts w:cstheme="minorBidi"/>
          <w:spacing w:val="-5"/>
          <w:sz w:val="24"/>
          <w:vertAlign w:val="superscript"/>
        </w:rPr>
        <w:endnoteReference w:id="57"/>
      </w:r>
    </w:p>
    <w:p w14:paraId="7A30D13B" w14:textId="77777777" w:rsidR="004D1500" w:rsidRPr="005C693B" w:rsidRDefault="004D1500" w:rsidP="005C693B">
      <w:pPr>
        <w:rPr>
          <w:lang w:val="en-AU"/>
        </w:rPr>
      </w:pPr>
      <w:r w:rsidRPr="005C693B">
        <w:rPr>
          <w:lang w:val="en-AU"/>
        </w:rPr>
        <w:t xml:space="preserve">While these data are valuable, it should also be recognised that the data are limited specifically to attitudes towards violence against women and gender inequality. It is important to acknowledge that </w:t>
      </w:r>
      <w:proofErr w:type="spellStart"/>
      <w:r w:rsidRPr="005C693B">
        <w:rPr>
          <w:lang w:val="en-AU"/>
        </w:rPr>
        <w:t>LGBTIQA</w:t>
      </w:r>
      <w:proofErr w:type="spellEnd"/>
      <w:r w:rsidRPr="005C693B">
        <w:rPr>
          <w:lang w:val="en-AU"/>
        </w:rPr>
        <w:t>+ people face distinct forms of abuse and harassment that involve the use of sexuality and/or gender identity as forms of discrimination.</w:t>
      </w:r>
      <w:r w:rsidRPr="004D1500">
        <w:rPr>
          <w:rFonts w:cstheme="minorBidi"/>
          <w:spacing w:val="-5"/>
          <w:sz w:val="24"/>
          <w:vertAlign w:val="superscript"/>
          <w:lang w:val="en-AU"/>
        </w:rPr>
        <w:endnoteReference w:id="58"/>
      </w:r>
      <w:r w:rsidRPr="005C693B">
        <w:rPr>
          <w:lang w:val="en-AU"/>
        </w:rPr>
        <w:t xml:space="preserve"> Australian population-level data that captures homophobic, bi-phobic and/or transphobic attitudes is lacking, as is national population-level prevalence data of gender-based violence against </w:t>
      </w:r>
      <w:proofErr w:type="spellStart"/>
      <w:r w:rsidRPr="005C693B">
        <w:rPr>
          <w:lang w:val="en-AU"/>
        </w:rPr>
        <w:t>LGBTIQA</w:t>
      </w:r>
      <w:proofErr w:type="spellEnd"/>
      <w:r w:rsidRPr="005C693B">
        <w:rPr>
          <w:lang w:val="en-AU"/>
        </w:rPr>
        <w:t>+ people and communities across the country.</w:t>
      </w:r>
      <w:r w:rsidRPr="004D1500">
        <w:rPr>
          <w:rFonts w:cstheme="minorBidi"/>
          <w:spacing w:val="-5"/>
          <w:sz w:val="24"/>
          <w:vertAlign w:val="superscript"/>
          <w:lang w:val="en-AU"/>
        </w:rPr>
        <w:endnoteReference w:id="59"/>
      </w:r>
      <w:r w:rsidRPr="005C693B">
        <w:rPr>
          <w:lang w:val="en-AU"/>
        </w:rPr>
        <w:t xml:space="preserve"> Further research is needed to paint a fuller picture that includes insights into young people’s attitudes towards violence against </w:t>
      </w:r>
      <w:proofErr w:type="spellStart"/>
      <w:r w:rsidRPr="005C693B">
        <w:rPr>
          <w:lang w:val="en-AU"/>
        </w:rPr>
        <w:t>LGBTIQA</w:t>
      </w:r>
      <w:proofErr w:type="spellEnd"/>
      <w:r w:rsidRPr="005C693B">
        <w:rPr>
          <w:lang w:val="en-AU"/>
        </w:rPr>
        <w:t xml:space="preserve">+ people and communities. </w:t>
      </w:r>
    </w:p>
    <w:p w14:paraId="3DD7C084" w14:textId="77777777" w:rsidR="004D1500" w:rsidRPr="005C693B" w:rsidRDefault="004D1500" w:rsidP="005C693B">
      <w:pPr>
        <w:rPr>
          <w:lang w:val="en-AU"/>
        </w:rPr>
      </w:pPr>
      <w:r w:rsidRPr="005C693B">
        <w:rPr>
          <w:lang w:val="en-AU"/>
        </w:rPr>
        <w:t>People who hold attitudes supportive of rigid gender norms are more likely to report having used gendered violence. The Man Box study (2018 &amp; 2024) surveyed young men aged 18–45 about 19 ‘rules’ that represent rigid and harmful forms of masculinity.</w:t>
      </w:r>
      <w:r w:rsidRPr="004D1500">
        <w:rPr>
          <w:rFonts w:cstheme="minorBidi"/>
          <w:spacing w:val="-5"/>
          <w:sz w:val="24"/>
          <w:vertAlign w:val="superscript"/>
          <w:lang w:val="en-AU"/>
        </w:rPr>
        <w:endnoteReference w:id="60"/>
      </w:r>
      <w:r w:rsidRPr="005C693B">
        <w:rPr>
          <w:lang w:val="en-AU"/>
        </w:rPr>
        <w:t xml:space="preserve"> Although the data were collected from an older cohort of respondents, (18-  to 45-year-olds) the survey provides valuable insight into the kinds of attitudes and behaviours that develop throughout childhood and adolescence. Of the men aged 18–30:</w:t>
      </w:r>
    </w:p>
    <w:p w14:paraId="19015A01" w14:textId="77777777" w:rsidR="004D1500" w:rsidRPr="00562192" w:rsidRDefault="004D1500" w:rsidP="007222D3">
      <w:pPr>
        <w:pStyle w:val="ListBullet"/>
      </w:pPr>
      <w:r w:rsidRPr="00562192">
        <w:t>42% agreed that ‘guys should act strong even if they feel scared or nervous inside’</w:t>
      </w:r>
    </w:p>
    <w:p w14:paraId="63E687DE" w14:textId="77777777" w:rsidR="004D1500" w:rsidRPr="00562192" w:rsidRDefault="004D1500" w:rsidP="007222D3">
      <w:pPr>
        <w:pStyle w:val="ListBullet"/>
      </w:pPr>
      <w:r w:rsidRPr="00562192">
        <w:t>22% agreed that ‘if a guy has a girlfriend or wife, he deserves to know where she is all the time’</w:t>
      </w:r>
    </w:p>
    <w:p w14:paraId="1DF72FA2" w14:textId="77777777" w:rsidR="004D1500" w:rsidRPr="00562192" w:rsidRDefault="004D1500" w:rsidP="007222D3">
      <w:pPr>
        <w:pStyle w:val="ListBullet"/>
      </w:pPr>
      <w:r w:rsidRPr="00562192">
        <w:t>21% agreed that ‘a “real man” should have as many sexual partners as he can’</w:t>
      </w:r>
    </w:p>
    <w:p w14:paraId="2EEB277B" w14:textId="77777777" w:rsidR="004D1500" w:rsidRPr="005C693B" w:rsidRDefault="004D1500" w:rsidP="007222D3">
      <w:pPr>
        <w:pStyle w:val="ListBullet"/>
      </w:pPr>
      <w:r w:rsidRPr="005C693B">
        <w:t>39% agreed that ‘a transgender man is not a “real man”‘ and 25% agreed that ‘a gay guy is not a “real man”‘.</w:t>
      </w:r>
      <w:r w:rsidRPr="004D1500">
        <w:rPr>
          <w:rFonts w:cstheme="minorBidi"/>
          <w:spacing w:val="-5"/>
          <w:sz w:val="24"/>
          <w:vertAlign w:val="superscript"/>
        </w:rPr>
        <w:endnoteReference w:id="61"/>
      </w:r>
    </w:p>
    <w:p w14:paraId="0E56540E" w14:textId="77777777" w:rsidR="004D1500" w:rsidRPr="005C693B" w:rsidRDefault="004D1500" w:rsidP="005C693B">
      <w:pPr>
        <w:rPr>
          <w:lang w:val="en-AU"/>
        </w:rPr>
      </w:pPr>
      <w:r w:rsidRPr="005C693B">
        <w:rPr>
          <w:lang w:val="en-AU"/>
        </w:rPr>
        <w:t>The research findings clearly demonstrate the relationship between attitudes and violence, with those men conforming to the Man Box ‘rules’ being:</w:t>
      </w:r>
      <w:r w:rsidRPr="004D1500">
        <w:rPr>
          <w:rFonts w:cstheme="minorBidi"/>
          <w:spacing w:val="-5"/>
          <w:sz w:val="24"/>
          <w:vertAlign w:val="superscript"/>
          <w:lang w:val="en-AU"/>
        </w:rPr>
        <w:t xml:space="preserve"> </w:t>
      </w:r>
    </w:p>
    <w:p w14:paraId="20E363AC" w14:textId="77777777" w:rsidR="004D1500" w:rsidRPr="007222D3" w:rsidRDefault="004D1500" w:rsidP="007222D3">
      <w:pPr>
        <w:pStyle w:val="ListBullet"/>
      </w:pPr>
      <w:r w:rsidRPr="007222D3">
        <w:t>35 times more likely to have frequently perpetrated verbal sexual harassment against a woman or girl in a public place</w:t>
      </w:r>
    </w:p>
    <w:p w14:paraId="4E737501" w14:textId="77777777" w:rsidR="004D1500" w:rsidRPr="007222D3" w:rsidRDefault="004D1500" w:rsidP="007222D3">
      <w:pPr>
        <w:pStyle w:val="ListBullet"/>
      </w:pPr>
      <w:r w:rsidRPr="007222D3">
        <w:t>17 times more likely to express violence-supportive attitudes</w:t>
      </w:r>
    </w:p>
    <w:p w14:paraId="3E5C980E" w14:textId="77777777" w:rsidR="004D1500" w:rsidRPr="007222D3" w:rsidRDefault="004D1500" w:rsidP="007222D3">
      <w:pPr>
        <w:pStyle w:val="ListBullet"/>
      </w:pPr>
      <w:r w:rsidRPr="007222D3">
        <w:t>8 times more likely to have perpetrated sexual violence against an intimate partner, including 28 times more likely to have used fear to coerce a partner into having sex</w:t>
      </w:r>
    </w:p>
    <w:p w14:paraId="0142321F" w14:textId="77777777" w:rsidR="004D1500" w:rsidRPr="007222D3" w:rsidRDefault="004D1500" w:rsidP="007222D3">
      <w:pPr>
        <w:pStyle w:val="ListBullet"/>
      </w:pPr>
      <w:r w:rsidRPr="007222D3">
        <w:t>6 times more likely to be unconcerned about witnessing a male friend verbally abusing their female partner</w:t>
      </w:r>
    </w:p>
    <w:p w14:paraId="63898B5A" w14:textId="77777777" w:rsidR="004D1500" w:rsidRPr="007222D3" w:rsidRDefault="004D1500" w:rsidP="007222D3">
      <w:pPr>
        <w:pStyle w:val="ListBullet"/>
      </w:pPr>
      <w:r w:rsidRPr="007222D3">
        <w:t>5 times more likely to have perpetrated physical violence against an intimate partner, including 17 times more likely to have hit a partner with a fist or something else that could hurt them</w:t>
      </w:r>
    </w:p>
    <w:p w14:paraId="2EB3EF76" w14:textId="77777777" w:rsidR="004D1500" w:rsidRPr="005C693B" w:rsidRDefault="004D1500" w:rsidP="007222D3">
      <w:pPr>
        <w:pStyle w:val="ListBullet"/>
      </w:pPr>
      <w:r w:rsidRPr="005C693B">
        <w:t xml:space="preserve">5 times more likely to </w:t>
      </w:r>
      <w:r w:rsidRPr="007222D3">
        <w:t>disbelieve</w:t>
      </w:r>
      <w:r w:rsidRPr="005C693B">
        <w:t xml:space="preserve"> experiences of gender inequality.</w:t>
      </w:r>
      <w:r w:rsidRPr="004D1500">
        <w:rPr>
          <w:rFonts w:cstheme="minorBidi"/>
          <w:spacing w:val="-5"/>
          <w:sz w:val="24"/>
          <w:vertAlign w:val="superscript"/>
        </w:rPr>
        <w:endnoteReference w:id="62"/>
      </w:r>
      <w:r w:rsidRPr="005C693B">
        <w:t xml:space="preserve"> </w:t>
      </w:r>
    </w:p>
    <w:p w14:paraId="47F65929" w14:textId="29D1B07B" w:rsidR="004D1500" w:rsidRPr="00562192" w:rsidRDefault="004D1500" w:rsidP="00562192">
      <w:pPr>
        <w:rPr>
          <w:lang w:val="en-AU"/>
        </w:rPr>
      </w:pPr>
      <w:r w:rsidRPr="00562192">
        <w:rPr>
          <w:lang w:val="en-AU"/>
        </w:rPr>
        <w:lastRenderedPageBreak/>
        <w:t xml:space="preserve">Rigid stereotypes of masculinity are related to young men’s wellbeing and </w:t>
      </w:r>
      <w:r w:rsidR="00A75C3B">
        <w:rPr>
          <w:lang w:val="en-AU"/>
        </w:rPr>
        <w:br/>
      </w:r>
      <w:r w:rsidRPr="00562192">
        <w:rPr>
          <w:lang w:val="en-AU"/>
        </w:rPr>
        <w:t xml:space="preserve">behaviour. Those young men who were ‘in’ the ‘Man Box’ – that is, conformed to the ‘rules’ of masculinity – were 7 times more likely to frequently experience thoughts of suicide, 6 times more likely to be problem gamblers, and almost twice as likely to drink frequently. Notions of hypersexuality, aggression and control, rigid gender roles, acting tough, and homophobia and transphobia underpinned these research findings. </w:t>
      </w:r>
    </w:p>
    <w:p w14:paraId="50C744D2" w14:textId="70D5F735" w:rsidR="004D1500" w:rsidRPr="005C693B" w:rsidRDefault="004D1500" w:rsidP="005C693B">
      <w:pPr>
        <w:rPr>
          <w:lang w:val="en-AU"/>
        </w:rPr>
      </w:pPr>
      <w:r w:rsidRPr="005C693B">
        <w:rPr>
          <w:lang w:val="en-AU"/>
        </w:rPr>
        <w:t xml:space="preserve">In addition to the Man Box surveys (2018 &amp; 2024), in 2025 Jesuit Social Services undertook a survey, which involved a survey of 1,401 young people aged between </w:t>
      </w:r>
      <w:r w:rsidR="00B4087C">
        <w:rPr>
          <w:lang w:val="en-AU"/>
        </w:rPr>
        <w:br/>
      </w:r>
      <w:r w:rsidRPr="005C693B">
        <w:rPr>
          <w:lang w:val="en-AU"/>
        </w:rPr>
        <w:t>14-18 years, of all genders across Australia. The survey asked teenagers about their beliefs in relation to how teenage boys should act, and about a range of attitudes, behaviours and experiences, based on 27 ‘rules’ that represent rigid masculine norms and beliefs.</w:t>
      </w:r>
      <w:r w:rsidRPr="004D1500">
        <w:rPr>
          <w:rFonts w:cstheme="minorBidi"/>
          <w:spacing w:val="-5"/>
          <w:sz w:val="24"/>
          <w:vertAlign w:val="superscript"/>
          <w:lang w:val="en-AU"/>
        </w:rPr>
        <w:endnoteReference w:id="63"/>
      </w:r>
      <w:r w:rsidRPr="005C693B">
        <w:rPr>
          <w:lang w:val="en-AU"/>
        </w:rPr>
        <w:t xml:space="preserve"> Many of these were similar to the ‘rules’ in the adult study. Unlike the adult focussed Man Box Study, however, the Adolescent Man Box study also considers the perspectives of girls and non-binary adolescents. </w:t>
      </w:r>
    </w:p>
    <w:p w14:paraId="07A81EB5" w14:textId="117E213C" w:rsidR="004D1500" w:rsidRPr="005C693B" w:rsidRDefault="004D1500" w:rsidP="005C693B">
      <w:pPr>
        <w:rPr>
          <w:lang w:val="en-AU"/>
        </w:rPr>
      </w:pPr>
      <w:r w:rsidRPr="005C693B">
        <w:rPr>
          <w:lang w:val="en-AU"/>
        </w:rPr>
        <w:t xml:space="preserve">The ‘Adolescent Man Box’ report, based on the survey, shines a light on the </w:t>
      </w:r>
      <w:r w:rsidR="00B4087C">
        <w:rPr>
          <w:lang w:val="en-AU"/>
        </w:rPr>
        <w:br/>
      </w:r>
      <w:r w:rsidRPr="005C693B">
        <w:rPr>
          <w:lang w:val="en-AU"/>
        </w:rPr>
        <w:t xml:space="preserve">realities of what it means to be a teenage boy in Australia today. Some of </w:t>
      </w:r>
      <w:r w:rsidR="00B4087C">
        <w:rPr>
          <w:lang w:val="en-AU"/>
        </w:rPr>
        <w:br/>
      </w:r>
      <w:r w:rsidRPr="005C693B">
        <w:rPr>
          <w:lang w:val="en-AU"/>
        </w:rPr>
        <w:t>the findings include:</w:t>
      </w:r>
      <w:r w:rsidRPr="004D1500">
        <w:rPr>
          <w:rFonts w:cstheme="minorBidi"/>
          <w:spacing w:val="-5"/>
          <w:sz w:val="24"/>
          <w:vertAlign w:val="superscript"/>
          <w:lang w:val="en-AU"/>
        </w:rPr>
        <w:endnoteReference w:id="64"/>
      </w:r>
      <w:r w:rsidRPr="005C693B">
        <w:rPr>
          <w:lang w:val="en-AU"/>
        </w:rPr>
        <w:t xml:space="preserve"> </w:t>
      </w:r>
    </w:p>
    <w:p w14:paraId="671E65EB" w14:textId="2F97E80B" w:rsidR="004D1500" w:rsidRPr="003F4C3F" w:rsidRDefault="004D1500" w:rsidP="00D7015A">
      <w:pPr>
        <w:pStyle w:val="ListBullet"/>
        <w:numPr>
          <w:ilvl w:val="0"/>
          <w:numId w:val="29"/>
        </w:numPr>
        <w:ind w:left="357" w:hanging="357"/>
      </w:pPr>
      <w:r w:rsidRPr="00562192">
        <w:t xml:space="preserve">Although the majority of adolescents did not endorse most individual rules when considered separately, many adolescents nonetheless agreed with a substantial number of rules overall. Specifically, 71% of boys and 35% of girls reported agreement with at least half of the 27 ‘rules’ in the Adolescent Man Box. </w:t>
      </w:r>
    </w:p>
    <w:p w14:paraId="65AC87AB" w14:textId="5465477A" w:rsidR="004D1500" w:rsidRPr="00264A40" w:rsidRDefault="004D1500" w:rsidP="00D7015A">
      <w:pPr>
        <w:pStyle w:val="ListBullet"/>
        <w:numPr>
          <w:ilvl w:val="0"/>
          <w:numId w:val="29"/>
        </w:numPr>
        <w:ind w:left="357" w:hanging="357"/>
      </w:pPr>
      <w:r w:rsidRPr="00562192">
        <w:t>Overall, boys endorsed violence-supportive attitudes at higher rates than girls, and these differences were statistically significant. For example, 13% of boys believe if a teenage boy has sex with a teenage girl, he should decide what happens and what she does during sex, compared with 5% of girls who agree with this. And boys (10%) were twice as likely as girls (5%) to agree that when a man is violent to his partner, it’s probably because his partner did something to provoke / deserve it.</w:t>
      </w:r>
    </w:p>
    <w:p w14:paraId="1DF1A422" w14:textId="25BD7207" w:rsidR="004D1500" w:rsidRPr="00264A40" w:rsidRDefault="004D1500" w:rsidP="00D7015A">
      <w:pPr>
        <w:pStyle w:val="ListBullet"/>
        <w:numPr>
          <w:ilvl w:val="0"/>
          <w:numId w:val="29"/>
        </w:numPr>
        <w:ind w:left="357" w:hanging="357"/>
      </w:pPr>
      <w:r w:rsidRPr="00562192">
        <w:t>A significantly higher proportion of boys than girls endorsed expectations to project confidence, strength and toughness. Nearly half of boys (44%), compared with only 15% of girls, believed boys should always appear confident even when they do not feel that way. Similarly, 43% of boys, compared with just 13% of girls, believed boys must appear strong no matter what.</w:t>
      </w:r>
    </w:p>
    <w:p w14:paraId="5B61E4DD" w14:textId="5E9545F6" w:rsidR="004D1500" w:rsidRPr="00264A40" w:rsidRDefault="004D1500" w:rsidP="00D7015A">
      <w:pPr>
        <w:pStyle w:val="ListBullet"/>
        <w:numPr>
          <w:ilvl w:val="0"/>
          <w:numId w:val="29"/>
        </w:numPr>
        <w:ind w:left="357" w:hanging="357"/>
      </w:pPr>
      <w:r w:rsidRPr="00562192">
        <w:t xml:space="preserve">Encouragingly, the report also identified signs that many boys are moving away from narrow and restrictive views of masculinity. This is especially true for the idea that boys must be emotionally stoic. Most boys believe it’s okay for boys to talk openly about their problems and comfort one another. </w:t>
      </w:r>
    </w:p>
    <w:p w14:paraId="5595E6B9" w14:textId="77777777" w:rsidR="004D1500" w:rsidRPr="00562192" w:rsidRDefault="004D1500" w:rsidP="003F4C3F">
      <w:pPr>
        <w:pStyle w:val="ListBullet"/>
      </w:pPr>
      <w:r w:rsidRPr="00562192">
        <w:t xml:space="preserve">Promisingly, despite the growing influence of online spaces, boys continue to rely on ‘real-life’ relationships — especially parents — for guidance on personal issues and their understanding of masculinity and most boys report feeling able to show vulnerability, whether with friends or family. </w:t>
      </w:r>
    </w:p>
    <w:p w14:paraId="609B5FDA" w14:textId="77777777" w:rsidR="00DA7912" w:rsidRDefault="00DA7912">
      <w:pPr>
        <w:spacing w:after="160" w:line="259" w:lineRule="auto"/>
        <w:rPr>
          <w:lang w:val="en-AU"/>
        </w:rPr>
      </w:pPr>
      <w:r>
        <w:rPr>
          <w:lang w:val="en-AU"/>
        </w:rPr>
        <w:br w:type="page"/>
      </w:r>
    </w:p>
    <w:p w14:paraId="77AA492E" w14:textId="7F6F018C" w:rsidR="004D1500" w:rsidRDefault="004D1500" w:rsidP="00562192">
      <w:pPr>
        <w:rPr>
          <w:lang w:val="en-AU"/>
        </w:rPr>
      </w:pPr>
      <w:r w:rsidRPr="00562192">
        <w:rPr>
          <w:lang w:val="en-AU"/>
        </w:rPr>
        <w:lastRenderedPageBreak/>
        <w:t>Many young people—particularly boys—are navigating strong and often conflicting messages about what it means to be a man, with rigid and harmful norms continuing to shape attitudes, behaviours and wellbeing. At the same time, there are clear signs of openness, care and connection that can be built upon in a range of ways, including through education settings. Together, findings from both reports point to both an urgent challenge and a powerful opportunity to work with and support boys in leading fulfilling lives, fostering respectful, equitable relationships and create a future free from violence and other harmful behaviours.</w:t>
      </w:r>
    </w:p>
    <w:p w14:paraId="3CB73955" w14:textId="77777777" w:rsidR="003F4C3F" w:rsidRPr="00562192" w:rsidRDefault="003F4C3F" w:rsidP="00562192">
      <w:pPr>
        <w:rPr>
          <w:lang w:val="en-AU"/>
        </w:rPr>
      </w:pPr>
    </w:p>
    <w:p w14:paraId="5AC67035" w14:textId="77777777" w:rsidR="004D1500" w:rsidRPr="004D1500" w:rsidRDefault="004D1500" w:rsidP="003A4AA0">
      <w:pPr>
        <w:pStyle w:val="Heading2"/>
        <w:rPr>
          <w:lang w:val="en-AU"/>
        </w:rPr>
      </w:pPr>
      <w:bookmarkStart w:id="27" w:name="_Toc175681842"/>
      <w:bookmarkStart w:id="28" w:name="_Toc216956823"/>
      <w:r w:rsidRPr="004D1500">
        <w:rPr>
          <w:lang w:val="en-AU"/>
        </w:rPr>
        <w:t>Young people’s understanding of and attitudes towards sexual consent</w:t>
      </w:r>
      <w:bookmarkEnd w:id="27"/>
      <w:bookmarkEnd w:id="28"/>
    </w:p>
    <w:p w14:paraId="09CB7CE5" w14:textId="77777777" w:rsidR="004D1500" w:rsidRPr="005C693B" w:rsidRDefault="004D1500" w:rsidP="005C693B">
      <w:pPr>
        <w:rPr>
          <w:lang w:val="en-AU"/>
        </w:rPr>
      </w:pPr>
      <w:r w:rsidRPr="005C693B">
        <w:rPr>
          <w:lang w:val="en-AU"/>
        </w:rPr>
        <w:t xml:space="preserve">Consent </w:t>
      </w:r>
      <w:r w:rsidRPr="005C693B">
        <w:rPr>
          <w:lang w:val="en-US"/>
        </w:rPr>
        <w:t>is relevant to all areas of our lives and relationships, including sexual relationships. However,</w:t>
      </w:r>
      <w:r w:rsidRPr="005C693B">
        <w:rPr>
          <w:lang w:val="en-AU"/>
        </w:rPr>
        <w:t xml:space="preserve"> young people’s understanding of sexual consent remains inconsistent, with many young people failing to recognise its seriousness.</w:t>
      </w:r>
      <w:r w:rsidRPr="004D1500">
        <w:rPr>
          <w:rFonts w:cstheme="minorBidi"/>
          <w:spacing w:val="-5"/>
          <w:sz w:val="24"/>
          <w:vertAlign w:val="superscript"/>
          <w:lang w:val="en-AU"/>
        </w:rPr>
        <w:endnoteReference w:id="65"/>
      </w:r>
      <w:r w:rsidRPr="005C693B">
        <w:rPr>
          <w:lang w:val="en-AU"/>
        </w:rPr>
        <w:t xml:space="preserve"> </w:t>
      </w:r>
    </w:p>
    <w:p w14:paraId="5E831649" w14:textId="77777777" w:rsidR="004D1500" w:rsidRPr="005C693B" w:rsidRDefault="004D1500" w:rsidP="005C693B">
      <w:pPr>
        <w:rPr>
          <w:lang w:val="en-AU"/>
        </w:rPr>
      </w:pPr>
      <w:r w:rsidRPr="005C693B">
        <w:rPr>
          <w:lang w:val="en-AU"/>
        </w:rPr>
        <w:t xml:space="preserve">Findings from the 2021 </w:t>
      </w:r>
      <w:proofErr w:type="spellStart"/>
      <w:r w:rsidRPr="005C693B">
        <w:rPr>
          <w:lang w:val="en-AU"/>
        </w:rPr>
        <w:t>NCAS</w:t>
      </w:r>
      <w:proofErr w:type="spellEnd"/>
      <w:r w:rsidRPr="005C693B">
        <w:rPr>
          <w:lang w:val="en-AU"/>
        </w:rPr>
        <w:t xml:space="preserve"> showed that many Australians struggle to understand consent and control in relationships. For example, only 55% of respondents across all ages ‘strongly disagreed’ that a man may not realise that the woman does not want to have sex if he is very sexually aroused.</w:t>
      </w:r>
      <w:r w:rsidRPr="004D1500">
        <w:rPr>
          <w:rFonts w:cstheme="minorBidi"/>
          <w:spacing w:val="-5"/>
          <w:sz w:val="24"/>
          <w:vertAlign w:val="superscript"/>
          <w:lang w:val="en-AU"/>
        </w:rPr>
        <w:endnoteReference w:id="66"/>
      </w:r>
      <w:r w:rsidRPr="005C693B">
        <w:rPr>
          <w:lang w:val="en-AU"/>
        </w:rPr>
        <w:t xml:space="preserve"> The </w:t>
      </w:r>
      <w:proofErr w:type="spellStart"/>
      <w:r w:rsidRPr="005C693B">
        <w:rPr>
          <w:lang w:val="en-AU"/>
        </w:rPr>
        <w:t>NCAS</w:t>
      </w:r>
      <w:proofErr w:type="spellEnd"/>
      <w:r w:rsidRPr="005C693B">
        <w:rPr>
          <w:lang w:val="en-AU"/>
        </w:rPr>
        <w:t xml:space="preserve"> showed that young Australians aged 16–24 years struggle to understand consent and control in relationships, with many young respondents seeing rape as justifiable if women initiate intimacy. For example, 20% of young people ‘somewhat’ or ‘strongly’ agreed that many times women who say they were raped had led the man on and then had regrets (47% strongly disagreed with this statement).</w:t>
      </w:r>
      <w:r w:rsidRPr="004D1500">
        <w:rPr>
          <w:rFonts w:cstheme="minorBidi"/>
          <w:spacing w:val="-5"/>
          <w:sz w:val="24"/>
          <w:vertAlign w:val="superscript"/>
          <w:lang w:val="en-AU"/>
        </w:rPr>
        <w:endnoteReference w:id="67"/>
      </w:r>
      <w:r w:rsidRPr="005C693B">
        <w:rPr>
          <w:lang w:val="en-AU"/>
        </w:rPr>
        <w:t xml:space="preserve"> Ideas around consent were also found to shape young people’s attitudes around women’s reports of sexual violence, with 33% of young people ‘somewhat’ or ‘strongly’ agreeing that it is common for sexual assault accusations to be used to get back at men (only 36% of young respondents ‘strongly disagreed’ with this statement). </w:t>
      </w:r>
    </w:p>
    <w:p w14:paraId="65FAD817" w14:textId="2ECDBE3C" w:rsidR="004D1500" w:rsidRPr="005C693B" w:rsidRDefault="004D1500" w:rsidP="005C693B">
      <w:pPr>
        <w:rPr>
          <w:lang w:val="en-AU"/>
        </w:rPr>
      </w:pPr>
      <w:r w:rsidRPr="005C693B">
        <w:rPr>
          <w:lang w:val="en-AU"/>
        </w:rPr>
        <w:t>Scholars have noted that structural factors, such as gender, class, ethnicity, disability, religion and age, can constrain an individual’s capacity to freely give or withdraw consent, complicating how consent operates in practice.</w:t>
      </w:r>
      <w:r w:rsidRPr="004D1500">
        <w:rPr>
          <w:rFonts w:eastAsiaTheme="majorEastAsia" w:cstheme="minorBidi"/>
          <w:spacing w:val="-5"/>
          <w:sz w:val="24"/>
          <w:vertAlign w:val="superscript"/>
          <w:lang w:val="en-AU"/>
        </w:rPr>
        <w:endnoteReference w:id="68"/>
      </w:r>
      <w:r w:rsidRPr="005C693B">
        <w:rPr>
          <w:lang w:val="en-AU"/>
        </w:rPr>
        <w:t xml:space="preserve"> Power relations shaped by these structural factors may work to shape and constrain a person’s sense of what they are free to do, or what their partner is entitled to do, within </w:t>
      </w:r>
      <w:r w:rsidR="00B4087C">
        <w:rPr>
          <w:lang w:val="en-AU"/>
        </w:rPr>
        <w:br/>
      </w:r>
      <w:r w:rsidRPr="005C693B">
        <w:rPr>
          <w:lang w:val="en-AU"/>
        </w:rPr>
        <w:t>a relationship.</w:t>
      </w:r>
      <w:r w:rsidRPr="004D1500">
        <w:rPr>
          <w:rFonts w:eastAsiaTheme="majorEastAsia" w:cstheme="minorBidi"/>
          <w:spacing w:val="-5"/>
          <w:sz w:val="24"/>
          <w:vertAlign w:val="superscript"/>
          <w:lang w:val="en-AU"/>
        </w:rPr>
        <w:endnoteReference w:id="69"/>
      </w:r>
    </w:p>
    <w:p w14:paraId="6340E7EF" w14:textId="77777777" w:rsidR="004D1500" w:rsidRPr="005C693B" w:rsidRDefault="004D1500" w:rsidP="005C693B">
      <w:pPr>
        <w:rPr>
          <w:lang w:val="en-AU"/>
        </w:rPr>
      </w:pPr>
      <w:r w:rsidRPr="005C693B">
        <w:rPr>
          <w:lang w:val="en-AU"/>
        </w:rPr>
        <w:t>Young people struggle to understand consent in relation to various sexual practices. For example, the non-consensual sharing of nude images through a young person being pressured or harassed into sending an image, or having their image shared without consent.</w:t>
      </w:r>
      <w:r w:rsidRPr="004D1500">
        <w:rPr>
          <w:rFonts w:cstheme="minorBidi"/>
          <w:spacing w:val="-5"/>
          <w:sz w:val="24"/>
          <w:vertAlign w:val="superscript"/>
          <w:lang w:val="en-AU"/>
        </w:rPr>
        <w:endnoteReference w:id="70"/>
      </w:r>
      <w:r w:rsidRPr="005C693B">
        <w:rPr>
          <w:lang w:val="en-AU"/>
        </w:rPr>
        <w:t xml:space="preserve"> The </w:t>
      </w:r>
      <w:proofErr w:type="spellStart"/>
      <w:r w:rsidRPr="005C693B">
        <w:rPr>
          <w:lang w:val="en-AU"/>
        </w:rPr>
        <w:t>NCAS</w:t>
      </w:r>
      <w:proofErr w:type="spellEnd"/>
      <w:r w:rsidRPr="005C693B">
        <w:rPr>
          <w:lang w:val="en-AU"/>
        </w:rPr>
        <w:t xml:space="preserve"> showed that almost 1 in 5 (18%) young respondents aged 16–24 either ‘somewhat’ or ‘strongly’ agreed that a woman is partly responsible if her partner shares a naked picture she had sent him without her permission</w:t>
      </w:r>
      <w:r w:rsidRPr="005C693B">
        <w:rPr>
          <w:lang w:val="en-AU"/>
        </w:rPr>
        <w:fldChar w:fldCharType="begin"/>
      </w:r>
      <w:r w:rsidRPr="005C693B">
        <w:rPr>
          <w:lang w:val="en-AU"/>
        </w:rPr>
        <w:instrText xml:space="preserve"> ADDIN EN.CITE &lt;EndNote&gt;&lt;Cite&gt;&lt;Author&gt;Coumarelos&lt;/Author&gt;&lt;Year&gt;2023&lt;/Year&gt;&lt;RecNum&gt;582&lt;/RecNum&gt;&lt;DisplayText&gt;(Coumarelos, Roberts, et al., 2023)&lt;/DisplayText&gt;&lt;record&gt;&lt;rec-number&gt;582&lt;/rec-number&gt;&lt;foreign-keys&gt;&lt;key app="EN" db-id="9zsaws2ae2z22jewsx95dadytexd5dfrpfe5" timestamp="1722831965"&gt;582&lt;/key&gt;&lt;/foreign-keys&gt;&lt;ref-type name="Report"&gt;27&lt;/ref-type&gt;&lt;contributors&gt;&lt;authors&gt;&lt;author&gt;Coumarelos, C., &lt;/author&gt;&lt;author&gt;Roberts, N.,&lt;/author&gt;&lt;author&gt;Weeks, N., &lt;/author&gt;&lt;author&gt;Rasmussen, V.&lt;/author&gt;&lt;/authors&gt;&lt;/contributors&gt;&lt;titles&gt;&lt;title&gt;Attitudes Matter: The 2021 National Community Attitudes towards Violence against Women Survey (NCAS), Findings for Young Australians&lt;/title&gt;&lt;/titles&gt;&lt;dates&gt;&lt;year&gt;2023&lt;/year&gt;&lt;/dates&gt;&lt;publisher&gt;ANROWS&lt;/publisher&gt;&lt;urls&gt;&lt;/urls&gt;&lt;/record&gt;&lt;/Cite&gt;&lt;/EndNote&gt;</w:instrText>
      </w:r>
      <w:r w:rsidRPr="005C693B">
        <w:rPr>
          <w:lang w:val="en-AU"/>
        </w:rPr>
        <w:fldChar w:fldCharType="separate"/>
      </w:r>
      <w:r w:rsidRPr="005C693B">
        <w:rPr>
          <w:lang w:val="en-AU"/>
        </w:rPr>
        <w:fldChar w:fldCharType="end"/>
      </w:r>
      <w:r w:rsidRPr="005C693B">
        <w:rPr>
          <w:lang w:val="en-AU"/>
        </w:rPr>
        <w:t>.</w:t>
      </w:r>
      <w:r w:rsidRPr="004D1500">
        <w:rPr>
          <w:rFonts w:cstheme="minorBidi"/>
          <w:spacing w:val="-5"/>
          <w:sz w:val="24"/>
          <w:vertAlign w:val="superscript"/>
          <w:lang w:val="en-AU"/>
        </w:rPr>
        <w:endnoteReference w:id="71"/>
      </w:r>
    </w:p>
    <w:p w14:paraId="4C0EA626" w14:textId="77777777" w:rsidR="004D1500" w:rsidRPr="005C693B" w:rsidRDefault="004D1500" w:rsidP="005C693B">
      <w:pPr>
        <w:rPr>
          <w:lang w:val="en-AU"/>
        </w:rPr>
      </w:pPr>
      <w:r w:rsidRPr="005C693B">
        <w:rPr>
          <w:lang w:val="en-AU"/>
        </w:rPr>
        <w:t>Similarly, in a study investigating the experiences of Swedish male students aged 14–15 years around non-consensual sexting, male students found it difficult to discern between perpetrators and victims.</w:t>
      </w:r>
      <w:r w:rsidRPr="004D1500">
        <w:rPr>
          <w:rFonts w:eastAsiaTheme="majorEastAsia" w:cstheme="minorBidi"/>
          <w:spacing w:val="-5"/>
          <w:sz w:val="24"/>
          <w:vertAlign w:val="superscript"/>
          <w:lang w:val="en-AU"/>
        </w:rPr>
        <w:endnoteReference w:id="72"/>
      </w:r>
      <w:r w:rsidRPr="005C693B">
        <w:rPr>
          <w:lang w:val="en-AU"/>
        </w:rPr>
        <w:t xml:space="preserve"> Norms of entitlement associated with masculinities, alongside normative pressures including peer behaviour, as well as the urge to belong and be accepted within their gender group, worked as barriers to the boys when considering whether consent was relevant to their behaviour. </w:t>
      </w:r>
    </w:p>
    <w:p w14:paraId="6908CFFA" w14:textId="77777777" w:rsidR="004D1500" w:rsidRPr="00562192" w:rsidRDefault="004D1500" w:rsidP="00562192">
      <w:pPr>
        <w:rPr>
          <w:lang w:val="en-AU"/>
        </w:rPr>
      </w:pPr>
      <w:r w:rsidRPr="00562192">
        <w:rPr>
          <w:lang w:val="en-AU"/>
        </w:rPr>
        <w:lastRenderedPageBreak/>
        <w:t xml:space="preserve">Research studies from Australia and the UK illustrate that it is common to find both gender and age differences in understandings of sexual consent. For example: </w:t>
      </w:r>
    </w:p>
    <w:p w14:paraId="121F914D" w14:textId="77777777" w:rsidR="004D1500" w:rsidRPr="005C693B" w:rsidRDefault="004D1500" w:rsidP="00F5735A">
      <w:pPr>
        <w:pStyle w:val="ListBullet"/>
      </w:pPr>
      <w:r w:rsidRPr="005C693B">
        <w:t>Sexual assault (i.e. absence of consent) is less likely to be identified when females are seen to have initially invited the sexual encounter.</w:t>
      </w:r>
      <w:r w:rsidRPr="005C693B">
        <w:fldChar w:fldCharType="begin">
          <w:fldData xml:space="preserve">PEVuZE5vdGU+PENpdGU+PEF1dGhvcj5Qb2xpdG9mZjwvQXV0aG9yPjxZZWFyPjIwMTk8L1llYXI+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</w:fldData>
        </w:fldChar>
      </w:r>
      <w:r w:rsidRPr="005C693B">
        <w:instrText xml:space="preserve"> ADDIN EN.CITE </w:instrText>
      </w:r>
      <w:r w:rsidRPr="005C693B">
        <w:fldChar w:fldCharType="begin">
          <w:fldData xml:space="preserve">PEVuZE5vdGU+PENpdGU+PEF1dGhvcj5Qb2xpdG9mZjwvQXV0aG9yPjxZZWFyPjIwMTk8L1llYXI+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</w:fldData>
        </w:fldChar>
      </w:r>
      <w:r w:rsidRPr="005C693B">
        <w:instrText xml:space="preserve"> ADDIN EN.CITE.DATA </w:instrText>
      </w:r>
      <w:r w:rsidRPr="005C693B">
        <w:fldChar w:fldCharType="end"/>
      </w:r>
      <w:r w:rsidRPr="005C693B">
        <w:fldChar w:fldCharType="separate"/>
      </w:r>
      <w:r w:rsidRPr="005C693B">
        <w:fldChar w:fldCharType="end"/>
      </w:r>
      <w:r w:rsidRPr="004D1500">
        <w:rPr>
          <w:rFonts w:cstheme="minorBidi"/>
          <w:spacing w:val="-5"/>
          <w:sz w:val="24"/>
          <w:vertAlign w:val="superscript"/>
        </w:rPr>
        <w:endnoteReference w:id="73"/>
      </w:r>
    </w:p>
    <w:p w14:paraId="6015E487" w14:textId="77777777" w:rsidR="004D1500" w:rsidRPr="005C693B" w:rsidRDefault="004D1500" w:rsidP="00F5735A">
      <w:pPr>
        <w:pStyle w:val="ListBullet"/>
      </w:pPr>
      <w:r w:rsidRPr="005C693B">
        <w:t>Older adolescents (aged 15 years and above) are more likely than younger adolescents (aged 13–14 years) to show a nuanced understanding of consent and identify scenarios that constitute rape</w:t>
      </w:r>
      <w:r w:rsidRPr="005C693B">
        <w:fldChar w:fldCharType="begin"/>
      </w:r>
      <w:r w:rsidRPr="005C693B">
        <w:instrText xml:space="preserve"> ADDIN EN.CITE &lt;EndNote&gt;&lt;Cite&gt;&lt;Author&gt;Coy&lt;/Author&gt;&lt;Year&gt;2016&lt;/Year&gt;&lt;RecNum&gt;164&lt;/RecNum&gt;&lt;DisplayText&gt;(Coy et al., 2016)&lt;/DisplayText&gt;&lt;record&gt;&lt;rec-number&gt;164&lt;/rec-number&gt;&lt;foreign-keys&gt;&lt;key app="EN" db-id="ddzzdre97xr2aneafx6xzdtga00pw0spdf5r" timestamp="1582768141"&gt;164&lt;/key&gt;&lt;/foreign-keys&gt;&lt;ref-type name="Book Section"&gt;5&lt;/ref-type&gt;&lt;contributors&gt;&lt;authors&gt;&lt;author&gt;Coy, Maddy&lt;/author&gt;&lt;author&gt;Kelly, Liz&lt;/author&gt;&lt;author&gt;Vera-Gray, Fiona&lt;/author&gt;&lt;author&gt;Garner, Maria&lt;/author&gt;&lt;author&gt;Kanyeredzi, Ava&lt;/author&gt;&lt;/authors&gt;&lt;/contributors&gt;&lt;titles&gt;&lt;title&gt;From ‘no means no ’to ‘an enthusiastic yes’: Changing the discourse on sexual consent through sex and relationships education&lt;/title&gt;&lt;secondary-title&gt;Global perspectives and key debates in sex and relationships education: Addressing issues of gender, sexuality, plurality and power&lt;/secondary-title&gt;&lt;/titles&gt;&lt;pages&gt;84-99&lt;/pages&gt;&lt;dates&gt;&lt;year&gt;2016&lt;/year&gt;&lt;/dates&gt;&lt;publisher&gt;Springer&lt;/publisher&gt;&lt;urls&gt;&lt;/urls&gt;&lt;/record&gt;&lt;/Cite&gt;&lt;/EndNote&gt;</w:instrText>
      </w:r>
      <w:r w:rsidRPr="005C693B">
        <w:fldChar w:fldCharType="separate"/>
      </w:r>
      <w:r w:rsidRPr="005C693B">
        <w:fldChar w:fldCharType="end"/>
      </w:r>
      <w:r w:rsidRPr="005C693B">
        <w:t>.</w:t>
      </w:r>
      <w:r w:rsidRPr="004D1500">
        <w:rPr>
          <w:rFonts w:cstheme="minorBidi"/>
          <w:spacing w:val="-5"/>
          <w:sz w:val="24"/>
          <w:vertAlign w:val="superscript"/>
        </w:rPr>
        <w:endnoteReference w:id="74"/>
      </w:r>
    </w:p>
    <w:p w14:paraId="1832DACF" w14:textId="221F3B50" w:rsidR="004D1500" w:rsidRPr="00562192" w:rsidRDefault="004D1500" w:rsidP="00562192">
      <w:pPr>
        <w:rPr>
          <w:lang w:val="en-AU"/>
        </w:rPr>
      </w:pPr>
      <w:r w:rsidRPr="00562192">
        <w:rPr>
          <w:lang w:val="en-AU"/>
        </w:rPr>
        <w:t xml:space="preserve">Consent is relevant to all areas of our lives and relationships, including sexual relationships. Findings discussed in this section highlight the importance of consent education that is tailored to young people in age-appropriate ways across the life span of a student’s education. Opportunities exist to support children and young people in building respectful relationships skills in age-appropriate ways, through covering consent in areas such as platonic friendships and familial relationships. Consent can be embedded in children and young people’s interactions – for example in navigating the sharing of toys or interacting in the playground – to form the early building blocks of navigating consent later in life as young adults involved in intimate relationships, noting that the process of navigating sexual consent becomes more complex through the influence of social and contextual factors in adolescence. The research indicates the importance of embedding a relevant and nuanced approach to consent education that provides opportunities for students to engage with how gender norms, expectations and power dynamics may influence understandings </w:t>
      </w:r>
      <w:r w:rsidR="00D05817">
        <w:rPr>
          <w:lang w:val="en-AU"/>
        </w:rPr>
        <w:br/>
      </w:r>
      <w:r w:rsidRPr="00562192">
        <w:rPr>
          <w:lang w:val="en-AU"/>
        </w:rPr>
        <w:t xml:space="preserve">of consent. </w:t>
      </w:r>
    </w:p>
    <w:p w14:paraId="0F62FD46" w14:textId="77777777" w:rsidR="004D1500" w:rsidRPr="004D1500" w:rsidRDefault="004D1500" w:rsidP="003C6D26">
      <w:pPr>
        <w:pStyle w:val="Heading3"/>
        <w:spacing w:after="0"/>
        <w:rPr>
          <w:lang w:val="en-AU"/>
        </w:rPr>
      </w:pPr>
      <w:r w:rsidRPr="004D1500">
        <w:rPr>
          <w:lang w:val="en-AU"/>
        </w:rPr>
        <w:t>The regulatory and policy framework around consent in Australia</w:t>
      </w:r>
    </w:p>
    <w:p w14:paraId="639B2584" w14:textId="04997230" w:rsidR="004D1500" w:rsidRPr="005C693B" w:rsidRDefault="004D1500" w:rsidP="005C693B">
      <w:pPr>
        <w:rPr>
          <w:lang w:val="en-AU"/>
        </w:rPr>
      </w:pPr>
      <w:r w:rsidRPr="005C693B">
        <w:rPr>
          <w:lang w:val="en-AU"/>
        </w:rPr>
        <w:t>In line with the Commonwealth Consent Policy Framework 2023, sexual consent is broadly defined as a free, voluntary and informed agreement between people to participate in a sexual act.</w:t>
      </w:r>
      <w:r w:rsidRPr="004D1500">
        <w:rPr>
          <w:rFonts w:cstheme="minorBidi"/>
          <w:spacing w:val="-5"/>
          <w:sz w:val="24"/>
          <w:vertAlign w:val="superscript"/>
          <w:lang w:val="en-AU"/>
        </w:rPr>
        <w:endnoteReference w:id="75"/>
      </w:r>
      <w:r w:rsidRPr="004D1500">
        <w:rPr>
          <w:rFonts w:cstheme="minorBidi"/>
          <w:spacing w:val="-5"/>
          <w:sz w:val="24"/>
          <w:vertAlign w:val="superscript"/>
          <w:lang w:val="en-AU"/>
        </w:rPr>
        <w:t xml:space="preserve"> </w:t>
      </w:r>
      <w:r w:rsidRPr="005C693B">
        <w:rPr>
          <w:lang w:val="en-AU"/>
        </w:rPr>
        <w:t>This agreement is only present when people mutually and genuinely want to engage in that sexual act and actively ensure their partner does too.</w:t>
      </w:r>
      <w:r w:rsidRPr="004D1500">
        <w:rPr>
          <w:rFonts w:cstheme="minorBidi"/>
          <w:spacing w:val="-5"/>
          <w:sz w:val="24"/>
          <w:vertAlign w:val="superscript"/>
          <w:lang w:val="en-AU"/>
        </w:rPr>
        <w:endnoteReference w:id="76"/>
      </w:r>
      <w:r w:rsidRPr="005C693B">
        <w:rPr>
          <w:lang w:val="en-AU"/>
        </w:rPr>
        <w:t xml:space="preserve"> Sexual consent laws in Australia are defined by the respective state </w:t>
      </w:r>
      <w:r w:rsidR="00D05817">
        <w:rPr>
          <w:lang w:val="en-AU"/>
        </w:rPr>
        <w:br/>
      </w:r>
      <w:r w:rsidRPr="005C693B">
        <w:rPr>
          <w:lang w:val="en-AU"/>
        </w:rPr>
        <w:t>and territory legislation, leading to variations across jurisdictions.</w:t>
      </w:r>
      <w:r w:rsidRPr="004D1500">
        <w:rPr>
          <w:rFonts w:cstheme="minorBidi"/>
          <w:spacing w:val="-5"/>
          <w:sz w:val="24"/>
          <w:vertAlign w:val="superscript"/>
          <w:lang w:val="en-AU"/>
        </w:rPr>
        <w:endnoteReference w:id="77"/>
      </w:r>
      <w:r w:rsidRPr="005C693B">
        <w:rPr>
          <w:lang w:val="en-AU"/>
        </w:rPr>
        <w:t xml:space="preserve"> Broadly, all jurisdictions in Australia define sexual consent based on a variation of the consent </w:t>
      </w:r>
      <w:r w:rsidR="00D05817">
        <w:rPr>
          <w:lang w:val="en-AU"/>
        </w:rPr>
        <w:br/>
      </w:r>
      <w:r w:rsidRPr="005C693B">
        <w:rPr>
          <w:lang w:val="en-AU"/>
        </w:rPr>
        <w:t xml:space="preserve">of ‘free and voluntary agreement’, which now reflects the communicative </w:t>
      </w:r>
      <w:r w:rsidR="00D05817">
        <w:rPr>
          <w:lang w:val="en-AU"/>
        </w:rPr>
        <w:br/>
      </w:r>
      <w:r w:rsidRPr="005C693B">
        <w:rPr>
          <w:lang w:val="en-AU"/>
        </w:rPr>
        <w:t>consent model.</w:t>
      </w:r>
      <w:r w:rsidRPr="004D1500">
        <w:rPr>
          <w:rFonts w:cstheme="minorBidi"/>
          <w:spacing w:val="-5"/>
          <w:sz w:val="24"/>
          <w:vertAlign w:val="superscript"/>
          <w:lang w:val="en-AU"/>
        </w:rPr>
        <w:endnoteReference w:id="78"/>
      </w:r>
    </w:p>
    <w:p w14:paraId="51FB36E8" w14:textId="77777777" w:rsidR="004D1500" w:rsidRPr="005C693B" w:rsidRDefault="004D1500" w:rsidP="005C693B">
      <w:pPr>
        <w:rPr>
          <w:lang w:val="en-AU"/>
        </w:rPr>
      </w:pPr>
      <w:r w:rsidRPr="005C693B">
        <w:rPr>
          <w:lang w:val="en-AU"/>
        </w:rPr>
        <w:t>Affirmative consent requires that people understand consent as an ongoing and dynamic communicative process that operates throughout the sexual activity.</w:t>
      </w:r>
      <w:r w:rsidRPr="004D1500">
        <w:rPr>
          <w:rFonts w:cstheme="minorBidi"/>
          <w:spacing w:val="-5"/>
          <w:sz w:val="24"/>
          <w:vertAlign w:val="superscript"/>
          <w:lang w:val="en-AU"/>
        </w:rPr>
        <w:endnoteReference w:id="79"/>
      </w:r>
      <w:r w:rsidRPr="005C693B">
        <w:rPr>
          <w:lang w:val="en-AU"/>
        </w:rPr>
        <w:t xml:space="preserve"> In recent years, some jurisdictions have undertaken legislative reform to introduce an affirmative consent standard into their sexual consent laws.</w:t>
      </w:r>
      <w:r w:rsidRPr="004D1500">
        <w:rPr>
          <w:rFonts w:cstheme="minorBidi"/>
          <w:spacing w:val="-5"/>
          <w:sz w:val="24"/>
          <w:vertAlign w:val="superscript"/>
          <w:lang w:val="en-AU"/>
        </w:rPr>
        <w:endnoteReference w:id="80"/>
      </w:r>
      <w:r w:rsidRPr="005C693B">
        <w:rPr>
          <w:lang w:val="en-AU"/>
        </w:rPr>
        <w:t xml:space="preserve"> For example, New South Wales mandates that consent must be actively expressed and that a person cannot assume consent from silence or lack of resistance.</w:t>
      </w:r>
      <w:r w:rsidRPr="004D1500">
        <w:rPr>
          <w:rFonts w:eastAsiaTheme="majorEastAsia" w:cstheme="minorBidi"/>
          <w:spacing w:val="-5"/>
          <w:sz w:val="24"/>
          <w:vertAlign w:val="superscript"/>
          <w:lang w:val="en-AU"/>
        </w:rPr>
        <w:endnoteReference w:id="81"/>
      </w:r>
      <w:r w:rsidRPr="005C693B">
        <w:rPr>
          <w:lang w:val="en-AU"/>
        </w:rPr>
        <w:t xml:space="preserve"> Victoria, the Australian Capital Territory, Queensland and Tasmania have also introduced or strengthened similar provisions, while other states continue to review their legal frameworks.</w:t>
      </w:r>
      <w:r w:rsidRPr="004D1500">
        <w:rPr>
          <w:rFonts w:eastAsiaTheme="majorEastAsia" w:cstheme="minorBidi"/>
          <w:spacing w:val="-5"/>
          <w:sz w:val="24"/>
          <w:vertAlign w:val="superscript"/>
          <w:lang w:val="en-AU"/>
        </w:rPr>
        <w:endnoteReference w:id="82"/>
      </w:r>
    </w:p>
    <w:p w14:paraId="2D764916" w14:textId="77777777" w:rsidR="004D1500" w:rsidRPr="005C693B" w:rsidDel="00E91A5A" w:rsidRDefault="004D1500" w:rsidP="005C693B">
      <w:pPr>
        <w:rPr>
          <w:lang w:val="en-AU"/>
        </w:rPr>
      </w:pPr>
      <w:r w:rsidRPr="005C693B">
        <w:rPr>
          <w:lang w:val="en-AU"/>
        </w:rPr>
        <w:t>Closely linked to affirmative consent is the concept of enthusiastic consent, which emphasises not just the presence of agreement, but that such agreement is given freely, eagerly and without hesitation. While not embedded in law, enthusiastic consent is commonly referred to as a core concept of sexual consent by reinforcing the communicative and ongoing nature of affirmative consent.</w:t>
      </w:r>
      <w:r w:rsidRPr="004D1500">
        <w:rPr>
          <w:rFonts w:eastAsiaTheme="majorEastAsia" w:cstheme="minorBidi"/>
          <w:spacing w:val="-5"/>
          <w:sz w:val="24"/>
          <w:vertAlign w:val="superscript"/>
          <w:lang w:val="en-AU"/>
        </w:rPr>
        <w:endnoteReference w:id="83"/>
      </w:r>
    </w:p>
    <w:p w14:paraId="2DDE8C90" w14:textId="77777777" w:rsidR="004D1500" w:rsidRDefault="004D1500" w:rsidP="00562192">
      <w:pPr>
        <w:rPr>
          <w:lang w:val="en-AU"/>
        </w:rPr>
      </w:pPr>
      <w:r w:rsidRPr="00562192">
        <w:rPr>
          <w:lang w:val="en-AU"/>
        </w:rPr>
        <w:lastRenderedPageBreak/>
        <w:t xml:space="preserve">While the legal definitions of sexual assault and consent must be addressed as part of a whole-of-school approach to RRE, education to support young people to have respectful and consensual intimate relationships must also cover topics such as sexual ethics and sexual pleasure, the gendered nature of violence, the drivers of gender inequality, rape myths and bystander intervention. Approaches to relationship and sexuality education must be trauma-informed and account for the experiences of members of the </w:t>
      </w:r>
      <w:proofErr w:type="spellStart"/>
      <w:r w:rsidRPr="00562192">
        <w:rPr>
          <w:lang w:val="en-AU"/>
        </w:rPr>
        <w:t>LGBTIQA</w:t>
      </w:r>
      <w:proofErr w:type="spellEnd"/>
      <w:r w:rsidRPr="00562192">
        <w:rPr>
          <w:lang w:val="en-AU"/>
        </w:rPr>
        <w:t>+ community, people with disabilities, Aboriginal and Torres Strait Islander people, and people from culturally and linguistically diverse communities.</w:t>
      </w:r>
      <w:bookmarkStart w:id="29" w:name="_Toc175681843"/>
    </w:p>
    <w:p w14:paraId="44F114C4" w14:textId="77777777" w:rsidR="00F41D1F" w:rsidRPr="00562192" w:rsidRDefault="00F41D1F" w:rsidP="00562192">
      <w:pPr>
        <w:rPr>
          <w:lang w:val="en-AU"/>
        </w:rPr>
      </w:pPr>
    </w:p>
    <w:p w14:paraId="4DC3334C" w14:textId="77777777" w:rsidR="004D1500" w:rsidRPr="004D1500" w:rsidRDefault="004D1500" w:rsidP="003A4AA0">
      <w:pPr>
        <w:pStyle w:val="Heading2"/>
        <w:rPr>
          <w:lang w:val="en-AU"/>
        </w:rPr>
      </w:pPr>
      <w:bookmarkStart w:id="30" w:name="_Toc216956824"/>
      <w:r w:rsidRPr="004D1500">
        <w:rPr>
          <w:lang w:val="en-AU"/>
        </w:rPr>
        <w:t>Young people’s attitudes on alcohol and sexual violence</w:t>
      </w:r>
      <w:bookmarkEnd w:id="30"/>
      <w:r w:rsidRPr="004D1500">
        <w:rPr>
          <w:lang w:val="en-AU"/>
        </w:rPr>
        <w:t xml:space="preserve">  </w:t>
      </w:r>
      <w:bookmarkEnd w:id="29"/>
    </w:p>
    <w:p w14:paraId="5493D349" w14:textId="77777777" w:rsidR="004D1500" w:rsidRPr="005C693B" w:rsidRDefault="004D1500" w:rsidP="005C693B">
      <w:pPr>
        <w:rPr>
          <w:lang w:val="en-AU"/>
        </w:rPr>
      </w:pPr>
      <w:r w:rsidRPr="005C693B">
        <w:rPr>
          <w:lang w:val="en-AU"/>
        </w:rPr>
        <w:t>Strong links exist between gendered violence and the harmful use of alcohol and substances. The Australian Bureau of Statistics, sexual violence statistics, including data related to female experiences of sexual assault, state that around half (47%) of women who experienced sexual assault by a male since the age of 18 believed that alcohol or another substance contributed to the most recent incident.</w:t>
      </w:r>
      <w:r w:rsidRPr="004D1500">
        <w:rPr>
          <w:rFonts w:cstheme="minorBidi"/>
          <w:spacing w:val="-5"/>
          <w:sz w:val="24"/>
          <w:vertAlign w:val="superscript"/>
          <w:lang w:val="en-AU"/>
        </w:rPr>
        <w:endnoteReference w:id="84"/>
      </w:r>
      <w:r w:rsidRPr="005C693B">
        <w:rPr>
          <w:lang w:val="en-AU"/>
        </w:rPr>
        <w:t xml:space="preserve"> As outlined in </w:t>
      </w:r>
      <w:r w:rsidRPr="002D19F5">
        <w:rPr>
          <w:rFonts w:cstheme="minorBidi"/>
          <w:i/>
          <w:iCs/>
          <w:spacing w:val="-5"/>
          <w:szCs w:val="23"/>
          <w:lang w:val="en-AU"/>
        </w:rPr>
        <w:t>Change the story</w:t>
      </w:r>
      <w:r w:rsidRPr="005C693B">
        <w:rPr>
          <w:lang w:val="en-AU"/>
        </w:rPr>
        <w:t>, alcohol and substance use are reinforcing factors of gender-based violence – while they do not drive gender-based violence, they can reduce positive or ‘prosocial’ behaviour towards others, and heighten the severity and prevalence of gender-based violence.</w:t>
      </w:r>
      <w:r w:rsidRPr="004D1500">
        <w:rPr>
          <w:rFonts w:cstheme="minorBidi"/>
          <w:spacing w:val="-5"/>
          <w:sz w:val="24"/>
          <w:vertAlign w:val="superscript"/>
          <w:lang w:val="en-AU"/>
        </w:rPr>
        <w:endnoteReference w:id="85"/>
      </w:r>
      <w:r w:rsidRPr="005C693B">
        <w:rPr>
          <w:lang w:val="en-AU"/>
        </w:rPr>
        <w:t xml:space="preserve"> </w:t>
      </w:r>
    </w:p>
    <w:p w14:paraId="461D67D8" w14:textId="77777777" w:rsidR="004D1500" w:rsidRPr="005C693B" w:rsidRDefault="004D1500" w:rsidP="005C693B">
      <w:pPr>
        <w:rPr>
          <w:lang w:val="en-AU"/>
        </w:rPr>
      </w:pPr>
      <w:r w:rsidRPr="005C693B">
        <w:rPr>
          <w:lang w:val="en-AU"/>
        </w:rPr>
        <w:t xml:space="preserve">Attitudes that condone violence due to a victim and/or perpetrator being affected by alcohol or other substances remains prevalent for young people. Such attitudes perpetuate victim blaming and rape myths (e.g. </w:t>
      </w:r>
      <w:r w:rsidRPr="005C693B">
        <w:rPr>
          <w:lang w:val="en-US"/>
        </w:rPr>
        <w:t>‘she was drinking, so she was asking for it’)</w:t>
      </w:r>
      <w:r w:rsidRPr="005C693B">
        <w:rPr>
          <w:lang w:val="en-AU"/>
        </w:rPr>
        <w:t>, and excuse perpetrator accountability.</w:t>
      </w:r>
      <w:r w:rsidRPr="004D1500">
        <w:rPr>
          <w:rFonts w:cstheme="minorBidi"/>
          <w:spacing w:val="-5"/>
          <w:sz w:val="24"/>
          <w:vertAlign w:val="superscript"/>
          <w:lang w:val="en-AU"/>
        </w:rPr>
        <w:endnoteReference w:id="86"/>
      </w:r>
      <w:r w:rsidRPr="005C693B">
        <w:rPr>
          <w:lang w:val="en-AU"/>
        </w:rPr>
        <w:t xml:space="preserve"> The </w:t>
      </w:r>
      <w:proofErr w:type="spellStart"/>
      <w:r w:rsidRPr="005C693B">
        <w:rPr>
          <w:lang w:val="en-AU"/>
        </w:rPr>
        <w:t>NCAS</w:t>
      </w:r>
      <w:proofErr w:type="spellEnd"/>
      <w:r w:rsidRPr="005C693B">
        <w:rPr>
          <w:lang w:val="en-AU"/>
        </w:rPr>
        <w:t xml:space="preserve"> found that while the majority of young Australians aged 16–24 ‘strongly disagreed’ with problematic statements</w:t>
      </w:r>
      <w:r w:rsidRPr="005C693B" w:rsidDel="0078728F">
        <w:rPr>
          <w:lang w:val="en-AU"/>
        </w:rPr>
        <w:t xml:space="preserve"> </w:t>
      </w:r>
      <w:r w:rsidRPr="005C693B">
        <w:rPr>
          <w:lang w:val="en-AU"/>
        </w:rPr>
        <w:t>about the role of drugs and alcohol in sexual assault, close to 20% of young people held attitudes that condone violence or diminish men’s accountability.</w:t>
      </w:r>
      <w:r w:rsidRPr="004D1500">
        <w:rPr>
          <w:rFonts w:cstheme="minorBidi"/>
          <w:spacing w:val="-5"/>
          <w:sz w:val="24"/>
          <w:vertAlign w:val="superscript"/>
          <w:lang w:val="en-AU"/>
        </w:rPr>
        <w:endnoteReference w:id="87"/>
      </w:r>
      <w:r w:rsidRPr="005C693B">
        <w:rPr>
          <w:lang w:val="en-AU"/>
        </w:rPr>
        <w:t xml:space="preserve"> For example: </w:t>
      </w:r>
    </w:p>
    <w:p w14:paraId="71259884" w14:textId="77777777" w:rsidR="004D1500" w:rsidRPr="00562192" w:rsidRDefault="004D1500" w:rsidP="003F5FB6">
      <w:pPr>
        <w:pStyle w:val="ListBullet"/>
      </w:pPr>
      <w:r w:rsidRPr="00562192">
        <w:t>‘If a woman is raped while drunk or affected by drugs, she is at least partly responsible’ (7% ‘somewhat agreed’ and 3% ‘strongly agreed’).</w:t>
      </w:r>
    </w:p>
    <w:p w14:paraId="4A58F1FE" w14:textId="77777777" w:rsidR="004D1500" w:rsidRPr="00562192" w:rsidRDefault="004D1500" w:rsidP="003F5FB6">
      <w:pPr>
        <w:pStyle w:val="ListBullet"/>
      </w:pPr>
      <w:r w:rsidRPr="00562192">
        <w:t>‘A man is less responsible for rape if he is drunk or affected by drugs at the time’ (2% ‘somewhat agreed’ and 3% ‘strongly agreed’).</w:t>
      </w:r>
    </w:p>
    <w:p w14:paraId="514888A5" w14:textId="77777777" w:rsidR="004D1500" w:rsidRPr="005C693B" w:rsidRDefault="004D1500" w:rsidP="003F5FB6">
      <w:pPr>
        <w:pStyle w:val="ListBullet"/>
      </w:pPr>
      <w:r w:rsidRPr="005C693B">
        <w:t>‘It is understandable if a man continues to have sex with a woman who is drunk and falls asleep’ (5% ‘somewhat agreed’ and 1% ‘strongly agreed’).</w:t>
      </w:r>
      <w:r w:rsidRPr="004D1500">
        <w:rPr>
          <w:rFonts w:cstheme="minorBidi"/>
          <w:spacing w:val="-5"/>
          <w:sz w:val="24"/>
          <w:vertAlign w:val="superscript"/>
        </w:rPr>
        <w:endnoteReference w:id="88"/>
      </w:r>
    </w:p>
    <w:p w14:paraId="66AF06F1" w14:textId="5AAC643F" w:rsidR="004D1500" w:rsidRPr="005C693B" w:rsidRDefault="004D1500" w:rsidP="005C693B">
      <w:pPr>
        <w:rPr>
          <w:lang w:val="en-AU"/>
        </w:rPr>
      </w:pPr>
      <w:r w:rsidRPr="005C693B">
        <w:rPr>
          <w:lang w:val="en-AU"/>
        </w:rPr>
        <w:t>Levels of risky drinking remain an issue for young people. In 2022–2023, data indicated that 31% of young people (35% of females; 27% of males) aged 14–17 years had consumed alcohol in the previous 12 months.</w:t>
      </w:r>
      <w:r w:rsidRPr="004D1500">
        <w:rPr>
          <w:rFonts w:cstheme="minorBidi"/>
          <w:spacing w:val="-5"/>
          <w:sz w:val="24"/>
          <w:vertAlign w:val="superscript"/>
          <w:lang w:val="en-AU"/>
        </w:rPr>
        <w:endnoteReference w:id="89"/>
      </w:r>
      <w:r w:rsidRPr="005C693B">
        <w:rPr>
          <w:lang w:val="en-AU"/>
        </w:rPr>
        <w:t xml:space="preserve"> Respondents to The Man Box study of Australian men aged 18–30 who most strongly agreed with the stereotypical ‘rules’ of masculinity were twice as likely to have consumed alcohol at least 5 days a week over the previous 12 months. They were also more likely to engage in potentially dangerous behaviour while intoxicated.</w:t>
      </w:r>
      <w:r w:rsidRPr="004D1500">
        <w:rPr>
          <w:rFonts w:cstheme="minorBidi"/>
          <w:spacing w:val="-5"/>
          <w:sz w:val="24"/>
          <w:vertAlign w:val="superscript"/>
          <w:lang w:val="en-AU"/>
        </w:rPr>
        <w:endnoteReference w:id="90"/>
      </w:r>
      <w:r w:rsidRPr="004D1500">
        <w:rPr>
          <w:rFonts w:cstheme="minorBidi"/>
          <w:spacing w:val="-5"/>
          <w:sz w:val="24"/>
          <w:vertAlign w:val="superscript"/>
          <w:lang w:val="en-AU"/>
        </w:rPr>
        <w:t xml:space="preserve"> </w:t>
      </w:r>
      <w:r w:rsidRPr="005C693B">
        <w:rPr>
          <w:lang w:val="en-AU"/>
        </w:rPr>
        <w:t>However, young people’s attitudes towards alcohol are changing, with the proportion of people a</w:t>
      </w:r>
      <w:r w:rsidR="00D05817">
        <w:rPr>
          <w:lang w:val="en-AU"/>
        </w:rPr>
        <w:br/>
      </w:r>
      <w:proofErr w:type="spellStart"/>
      <w:r w:rsidRPr="005C693B">
        <w:rPr>
          <w:lang w:val="en-AU"/>
        </w:rPr>
        <w:t>ged</w:t>
      </w:r>
      <w:proofErr w:type="spellEnd"/>
      <w:r w:rsidRPr="005C693B">
        <w:rPr>
          <w:lang w:val="en-AU"/>
        </w:rPr>
        <w:t xml:space="preserve"> 18–24 years who do not drink any alcohol or do so infrequently continuing </w:t>
      </w:r>
      <w:r w:rsidR="00D05817">
        <w:rPr>
          <w:lang w:val="en-AU"/>
        </w:rPr>
        <w:br/>
      </w:r>
      <w:r w:rsidRPr="005C693B">
        <w:rPr>
          <w:lang w:val="en-AU"/>
        </w:rPr>
        <w:t>to increase.</w:t>
      </w:r>
      <w:r w:rsidRPr="004D1500">
        <w:rPr>
          <w:rFonts w:cstheme="minorBidi"/>
          <w:spacing w:val="-5"/>
          <w:sz w:val="24"/>
          <w:vertAlign w:val="superscript"/>
          <w:lang w:val="en-AU"/>
        </w:rPr>
        <w:endnoteReference w:id="91"/>
      </w:r>
    </w:p>
    <w:p w14:paraId="63AA460F" w14:textId="77777777" w:rsidR="004D1500" w:rsidRDefault="004D1500" w:rsidP="00562192">
      <w:pPr>
        <w:rPr>
          <w:lang w:val="en-AU"/>
        </w:rPr>
      </w:pPr>
      <w:r w:rsidRPr="00562192">
        <w:rPr>
          <w:lang w:val="en-AU"/>
        </w:rPr>
        <w:lastRenderedPageBreak/>
        <w:t>The intersection between the harmful use of alcohol and/or substances and gender-based violence is an essential consideration for education on consent and respectful relationships. Educational approaches should consider how to integrate conversations about alcohol and substance use, including how alcohol and substance abuse can reduce people’s care, concern and respect for others, and how they impact consent and sexual violence.</w:t>
      </w:r>
    </w:p>
    <w:p w14:paraId="4666867D" w14:textId="77777777" w:rsidR="00F41D1F" w:rsidRPr="00562192" w:rsidRDefault="00F41D1F" w:rsidP="00562192">
      <w:pPr>
        <w:rPr>
          <w:lang w:val="en-AU"/>
        </w:rPr>
      </w:pPr>
    </w:p>
    <w:p w14:paraId="164E869E" w14:textId="7CA1EB83" w:rsidR="004D1500" w:rsidRPr="004D1500" w:rsidRDefault="004D1500" w:rsidP="003A4AA0">
      <w:pPr>
        <w:pStyle w:val="Heading2"/>
        <w:rPr>
          <w:lang w:val="en-AU"/>
        </w:rPr>
      </w:pPr>
      <w:bookmarkStart w:id="31" w:name="_Toc216956825"/>
      <w:r w:rsidRPr="004D1500">
        <w:rPr>
          <w:lang w:val="en-AU"/>
        </w:rPr>
        <w:t xml:space="preserve">Young people’s information-seeking </w:t>
      </w:r>
      <w:r w:rsidR="006A0723">
        <w:rPr>
          <w:lang w:val="en-AU"/>
        </w:rPr>
        <w:br/>
      </w:r>
      <w:r w:rsidRPr="004D1500">
        <w:rPr>
          <w:lang w:val="en-AU"/>
        </w:rPr>
        <w:t>and support needs</w:t>
      </w:r>
      <w:bookmarkEnd w:id="31"/>
    </w:p>
    <w:p w14:paraId="5D8F14B8" w14:textId="77777777" w:rsidR="004D1500" w:rsidRPr="005C693B" w:rsidRDefault="004D1500" w:rsidP="005C693B">
      <w:pPr>
        <w:rPr>
          <w:lang w:val="en-AU"/>
        </w:rPr>
      </w:pPr>
      <w:r w:rsidRPr="005C693B">
        <w:rPr>
          <w:lang w:val="en-AU"/>
        </w:rPr>
        <w:t>Many young people report feeling more comfortable accessing educational information related to sensitive areas of sexuality, such as sexting or pornography, from websites rather than from teachers.</w:t>
      </w:r>
      <w:r w:rsidRPr="004D1500">
        <w:rPr>
          <w:rFonts w:cstheme="minorBidi"/>
          <w:spacing w:val="-5"/>
          <w:sz w:val="24"/>
          <w:vertAlign w:val="superscript"/>
          <w:lang w:val="en-AU"/>
        </w:rPr>
        <w:endnoteReference w:id="92"/>
      </w:r>
      <w:r w:rsidRPr="005C693B">
        <w:rPr>
          <w:lang w:val="en-AU"/>
        </w:rPr>
        <w:t xml:space="preserve"> Young people participating in the 2021 </w:t>
      </w:r>
      <w:r w:rsidRPr="002D19F5">
        <w:rPr>
          <w:rFonts w:cstheme="minorBidi"/>
          <w:i/>
          <w:iCs/>
          <w:spacing w:val="-5"/>
          <w:szCs w:val="23"/>
          <w:lang w:val="en-AU"/>
        </w:rPr>
        <w:t>National Survey of Australian Secondary Students and Sexual Health</w:t>
      </w:r>
      <w:r w:rsidRPr="005C693B">
        <w:rPr>
          <w:lang w:val="en-AU"/>
        </w:rPr>
        <w:t xml:space="preserve"> were asked questions about how they sought information about sex or sexual health</w:t>
      </w:r>
      <w:r w:rsidRPr="005C693B">
        <w:t>.</w:t>
      </w:r>
      <w:r w:rsidRPr="004D1500">
        <w:rPr>
          <w:rFonts w:cstheme="minorBidi"/>
          <w:spacing w:val="-5"/>
          <w:sz w:val="24"/>
          <w:vertAlign w:val="superscript"/>
        </w:rPr>
        <w:endnoteReference w:id="93"/>
      </w:r>
      <w:r w:rsidRPr="005C693B">
        <w:rPr>
          <w:lang w:val="en-AU"/>
        </w:rPr>
        <w:t xml:space="preserve"> The most common sources were friends (76.5%), websites (56.7%) and mothers (49.7%). Just 1.4% (</w:t>
      </w:r>
      <w:r w:rsidRPr="002D19F5">
        <w:rPr>
          <w:rFonts w:cstheme="minorBidi"/>
          <w:i/>
          <w:iCs/>
          <w:spacing w:val="-5"/>
          <w:szCs w:val="23"/>
          <w:lang w:val="en-AU"/>
        </w:rPr>
        <w:t>n</w:t>
      </w:r>
      <w:r w:rsidRPr="005C693B">
        <w:rPr>
          <w:lang w:val="en-AU"/>
        </w:rPr>
        <w:t xml:space="preserve"> = 89) of young people reported that they never sought information about sexual matters. </w:t>
      </w:r>
    </w:p>
    <w:p w14:paraId="551AAEF5" w14:textId="77777777" w:rsidR="004D1500" w:rsidRPr="005C693B" w:rsidRDefault="004D1500" w:rsidP="005C693B">
      <w:pPr>
        <w:rPr>
          <w:lang w:val="en-AU"/>
        </w:rPr>
      </w:pPr>
      <w:r w:rsidRPr="005C693B">
        <w:rPr>
          <w:lang w:val="en-AU"/>
        </w:rPr>
        <w:t>A 2023 longitudinal study of Australian children found that those who had relationships with a support person had a reduced likelihood of experiencing emotional and sexual abuse. Supportive friendships throughout adolescence reduced the risk of later emotional abuse by 36%.</w:t>
      </w:r>
      <w:r w:rsidRPr="004D1500">
        <w:rPr>
          <w:rFonts w:cstheme="minorBidi"/>
          <w:spacing w:val="-5"/>
          <w:sz w:val="24"/>
          <w:vertAlign w:val="superscript"/>
          <w:lang w:val="en-AU"/>
        </w:rPr>
        <w:endnoteReference w:id="94"/>
      </w:r>
      <w:r w:rsidRPr="005C693B">
        <w:rPr>
          <w:lang w:val="en-AU"/>
        </w:rPr>
        <w:t xml:space="preserve"> High trust and good communication with a parent during adolescence reduced the risk of emotional abuse by 39% and sexual abuse by 77%. These findings highlight the value of educational approaches that engage and work with parents and guardians and support young people to build positive relationship skills.</w:t>
      </w:r>
      <w:r w:rsidRPr="004D1500">
        <w:rPr>
          <w:rFonts w:cstheme="minorBidi"/>
          <w:spacing w:val="-5"/>
          <w:sz w:val="24"/>
          <w:vertAlign w:val="superscript"/>
          <w:lang w:val="en-AU"/>
        </w:rPr>
        <w:endnoteReference w:id="95"/>
      </w:r>
    </w:p>
    <w:p w14:paraId="7BB6DE38" w14:textId="77777777" w:rsidR="004D1500" w:rsidRPr="005C693B" w:rsidRDefault="004D1500" w:rsidP="005C693B">
      <w:pPr>
        <w:rPr>
          <w:lang w:val="en-AU"/>
        </w:rPr>
      </w:pPr>
      <w:r w:rsidRPr="005C693B">
        <w:rPr>
          <w:lang w:val="en-AU"/>
        </w:rPr>
        <w:t xml:space="preserve">The online environment can provide young people with accessible, diverse and inclusive sources of information about sex, dating and relationships. It can provide spaces where young people feel seen and supported by offering perspectives that reflect different genders, sexualities and cultural backgrounds — helping them build knowledge, confidence and empathy in navigating relationships safely and respectfully. </w:t>
      </w:r>
      <w:r w:rsidRPr="002D19F5">
        <w:rPr>
          <w:rFonts w:cstheme="minorBidi"/>
          <w:i/>
          <w:iCs/>
          <w:spacing w:val="-5"/>
          <w:szCs w:val="23"/>
          <w:lang w:val="en-AU"/>
        </w:rPr>
        <w:t xml:space="preserve">The Line, </w:t>
      </w:r>
      <w:r w:rsidRPr="005C693B">
        <w:rPr>
          <w:lang w:val="en-AU"/>
        </w:rPr>
        <w:t xml:space="preserve">a national social media campaign, empowers young people to make informed, respectful choices about sex, dating and relationships by providing trusted, relevant information that fills a critical knowledge gap for young people. </w:t>
      </w:r>
    </w:p>
    <w:p w14:paraId="3177F5CB" w14:textId="77777777" w:rsidR="004D1500" w:rsidRPr="005C693B" w:rsidRDefault="004D1500" w:rsidP="005C693B">
      <w:pPr>
        <w:rPr>
          <w:lang w:val="en-AU"/>
        </w:rPr>
      </w:pPr>
      <w:r w:rsidRPr="005C693B">
        <w:rPr>
          <w:lang w:val="en-AU"/>
        </w:rPr>
        <w:t>The internet can also offer anonymised, private, accessible and non-judgemental information and support to young people who encounter stigma, marginalisation and other obstacles when seeking out sexual health information through traditional sources.</w:t>
      </w:r>
      <w:r w:rsidRPr="004D1500">
        <w:rPr>
          <w:rFonts w:eastAsia="Calibri Light" w:cstheme="minorBidi"/>
          <w:spacing w:val="-5"/>
          <w:sz w:val="24"/>
          <w:vertAlign w:val="superscript"/>
          <w:lang w:val="en-AU"/>
        </w:rPr>
        <w:endnoteReference w:id="96"/>
      </w:r>
      <w:r w:rsidRPr="005C693B">
        <w:rPr>
          <w:lang w:val="en-AU"/>
        </w:rPr>
        <w:t xml:space="preserve"> For example, the Australian </w:t>
      </w:r>
      <w:proofErr w:type="spellStart"/>
      <w:r w:rsidRPr="005C693B">
        <w:rPr>
          <w:lang w:val="en-AU"/>
        </w:rPr>
        <w:t>eSafety</w:t>
      </w:r>
      <w:proofErr w:type="spellEnd"/>
      <w:r w:rsidRPr="005C693B">
        <w:rPr>
          <w:lang w:val="en-AU"/>
        </w:rPr>
        <w:t xml:space="preserve"> Commissioner found that LGBTIQ+ young people are much more likely to seek support and look for health information online. It found that:</w:t>
      </w:r>
    </w:p>
    <w:p w14:paraId="621D325A" w14:textId="77777777" w:rsidR="004D1500" w:rsidRPr="003F5FB6" w:rsidRDefault="004D1500" w:rsidP="003F5FB6">
      <w:pPr>
        <w:pStyle w:val="ListBullet"/>
      </w:pPr>
      <w:r w:rsidRPr="003F5FB6">
        <w:t>42% of LGBTIQ+ teens searched for mental health information online at least once a week (compared to the national average of 20%).</w:t>
      </w:r>
    </w:p>
    <w:p w14:paraId="15219D16" w14:textId="77777777" w:rsidR="004D1500" w:rsidRPr="003F5FB6" w:rsidRDefault="004D1500" w:rsidP="003F5FB6">
      <w:pPr>
        <w:pStyle w:val="ListBullet"/>
      </w:pPr>
      <w:r w:rsidRPr="003F5FB6">
        <w:t>42% of LGBTIQ+ teens searched for physical health information online at least once a week (compared to the national average of 26%).</w:t>
      </w:r>
    </w:p>
    <w:p w14:paraId="4594082B" w14:textId="77777777" w:rsidR="004D1500" w:rsidRPr="003F5FB6" w:rsidRDefault="004D1500" w:rsidP="003F5FB6">
      <w:pPr>
        <w:pStyle w:val="ListBullet"/>
      </w:pPr>
      <w:r w:rsidRPr="003F5FB6">
        <w:t>31% of LGBTIQ+ teens looked for sexual health information online at least once a week (compared to non-</w:t>
      </w:r>
      <w:proofErr w:type="spellStart"/>
      <w:r w:rsidRPr="003F5FB6">
        <w:t>LBGTIQ</w:t>
      </w:r>
      <w:proofErr w:type="spellEnd"/>
      <w:r w:rsidRPr="003F5FB6">
        <w:t xml:space="preserve"> young people of 15%). </w:t>
      </w:r>
    </w:p>
    <w:p w14:paraId="5B0A35C8" w14:textId="77777777" w:rsidR="004D1500" w:rsidRPr="005C693B" w:rsidRDefault="004D1500" w:rsidP="00552732">
      <w:r w:rsidRPr="005C693B">
        <w:lastRenderedPageBreak/>
        <w:t xml:space="preserve">A 2023 Mission Australia survey of </w:t>
      </w:r>
      <w:r w:rsidRPr="005C693B">
        <w:rPr>
          <w:lang w:val="en-AU"/>
        </w:rPr>
        <w:t xml:space="preserve">19,501 </w:t>
      </w:r>
      <w:r w:rsidRPr="005C693B">
        <w:t>young people aged 15–19 years asked about help-seeking in relation to important issues in their lives.</w:t>
      </w:r>
      <w:r w:rsidRPr="004D1500">
        <w:rPr>
          <w:rFonts w:cstheme="minorBidi"/>
          <w:spacing w:val="-5"/>
          <w:sz w:val="24"/>
          <w:vertAlign w:val="superscript"/>
        </w:rPr>
        <w:endnoteReference w:id="97"/>
      </w:r>
      <w:r w:rsidRPr="005C693B">
        <w:t xml:space="preserve"> The </w:t>
      </w:r>
      <w:r w:rsidRPr="005C693B">
        <w:rPr>
          <w:lang w:val="en-AU"/>
        </w:rPr>
        <w:t xml:space="preserve">most frequently cited sources of help included: </w:t>
      </w:r>
    </w:p>
    <w:p w14:paraId="31BE2388" w14:textId="77777777" w:rsidR="004D1500" w:rsidRPr="00562192" w:rsidRDefault="004D1500" w:rsidP="003F5FB6">
      <w:pPr>
        <w:pStyle w:val="ListBullet"/>
      </w:pPr>
      <w:r w:rsidRPr="00562192">
        <w:t>friend(s) (72.8%)</w:t>
      </w:r>
    </w:p>
    <w:p w14:paraId="6665E521" w14:textId="77777777" w:rsidR="004D1500" w:rsidRPr="00562192" w:rsidRDefault="004D1500" w:rsidP="003F5FB6">
      <w:pPr>
        <w:pStyle w:val="ListBullet"/>
      </w:pPr>
      <w:r w:rsidRPr="00562192">
        <w:t xml:space="preserve">parent(s) or guardians(s) (66.3%) </w:t>
      </w:r>
    </w:p>
    <w:p w14:paraId="6E142330" w14:textId="77777777" w:rsidR="004D1500" w:rsidRPr="00562192" w:rsidRDefault="004D1500" w:rsidP="003F5FB6">
      <w:pPr>
        <w:pStyle w:val="ListBullet"/>
      </w:pPr>
      <w:r w:rsidRPr="00562192">
        <w:t xml:space="preserve">relative/family friend (41.9%) </w:t>
      </w:r>
    </w:p>
    <w:p w14:paraId="1596E07A" w14:textId="77777777" w:rsidR="004D1500" w:rsidRPr="00562192" w:rsidRDefault="004D1500" w:rsidP="003F5FB6">
      <w:pPr>
        <w:pStyle w:val="ListBullet"/>
      </w:pPr>
      <w:r w:rsidRPr="00562192">
        <w:t xml:space="preserve">brother/sister (39.4%) </w:t>
      </w:r>
    </w:p>
    <w:p w14:paraId="582E5B58" w14:textId="77777777" w:rsidR="004D1500" w:rsidRPr="00562192" w:rsidRDefault="004D1500" w:rsidP="003F5FB6">
      <w:pPr>
        <w:pStyle w:val="ListBullet"/>
      </w:pPr>
      <w:r w:rsidRPr="00562192">
        <w:t>the internet (24.6%).</w:t>
      </w:r>
    </w:p>
    <w:p w14:paraId="05733390" w14:textId="77777777" w:rsidR="004D1500" w:rsidRPr="00562192" w:rsidRDefault="004D1500" w:rsidP="00562192">
      <w:pPr>
        <w:rPr>
          <w:lang w:val="en-AU"/>
        </w:rPr>
      </w:pPr>
      <w:r w:rsidRPr="00562192">
        <w:rPr>
          <w:lang w:val="en-AU"/>
        </w:rPr>
        <w:t xml:space="preserve">A higher proportion of females (78.2%) and gender diverse young people (67.5%) said they would turn to friends for help with important issues compared to males (66.4%). Similar proportions of females (68.2%) and males (67%) indicated that they would turn to their parent(s) or guardian(s); however, a lower proportion of gender diverse young people (41.6%) said they would do so. Parents, guardians and friends were at similar proportions as the top sources of support for males. </w:t>
      </w:r>
    </w:p>
    <w:p w14:paraId="2F8DC0B4" w14:textId="77777777" w:rsidR="004D1500" w:rsidRPr="00562192" w:rsidRDefault="004D1500" w:rsidP="00562192">
      <w:pPr>
        <w:rPr>
          <w:lang w:val="en-AU"/>
        </w:rPr>
      </w:pPr>
      <w:r w:rsidRPr="00562192">
        <w:rPr>
          <w:lang w:val="en-AU"/>
        </w:rPr>
        <w:t xml:space="preserve">In the same survey, a greater proportion of gender diverse young people said they would turn to the internet for support with important issues in their lives (37.9% compared to 25.6% of females and 22.1% of males). Smaller proportions of young people said they would turn to a teacher (females, 24.6%; males, 20.8%; gender diverse young people 18.8%) or a school counsellor (females, 17.4%; males, 14.2%; gender diverse young people 18.0%). </w:t>
      </w:r>
    </w:p>
    <w:p w14:paraId="6C26855E" w14:textId="77777777" w:rsidR="004D1500" w:rsidRPr="005C693B" w:rsidRDefault="004D1500" w:rsidP="00552732">
      <w:pPr>
        <w:rPr>
          <w:lang w:val="en-AU"/>
        </w:rPr>
      </w:pPr>
      <w:r w:rsidRPr="005C693B">
        <w:rPr>
          <w:lang w:val="en-AU"/>
        </w:rPr>
        <w:t xml:space="preserve">Further insights from young people were shared in the </w:t>
      </w:r>
      <w:r w:rsidRPr="002D19F5">
        <w:rPr>
          <w:rFonts w:eastAsiaTheme="majorEastAsia" w:cstheme="minorBidi"/>
          <w:i/>
          <w:iCs/>
          <w:spacing w:val="-5"/>
          <w:szCs w:val="23"/>
          <w:lang w:val="en-AU"/>
        </w:rPr>
        <w:t>I believe you</w:t>
      </w:r>
      <w:r w:rsidRPr="005C693B">
        <w:rPr>
          <w:lang w:val="en-AU"/>
        </w:rPr>
        <w:t xml:space="preserve"> report, in which participants emphasised the need for clear, accessible and age-appropriate information about support services and navigating engagement with different points of the response system when reporting family violence.</w:t>
      </w:r>
      <w:r w:rsidRPr="004D1500">
        <w:rPr>
          <w:rFonts w:cstheme="minorBidi"/>
          <w:spacing w:val="-5"/>
          <w:sz w:val="24"/>
          <w:vertAlign w:val="superscript"/>
          <w:lang w:val="en-AU"/>
        </w:rPr>
        <w:endnoteReference w:id="98"/>
      </w:r>
      <w:r w:rsidRPr="005C693B">
        <w:rPr>
          <w:lang w:val="en-AU"/>
        </w:rPr>
        <w:t xml:space="preserve"> The report highlighted the need for child-centred spaces across the system; the importance of validating young people’s experiences of harm; and the importance of empowering children and young people through the process of reform.</w:t>
      </w:r>
      <w:r w:rsidRPr="004D1500">
        <w:rPr>
          <w:rFonts w:cstheme="minorBidi"/>
          <w:spacing w:val="-5"/>
          <w:sz w:val="24"/>
          <w:vertAlign w:val="superscript"/>
          <w:lang w:val="en-AU"/>
        </w:rPr>
        <w:endnoteReference w:id="99"/>
      </w:r>
      <w:r w:rsidRPr="005C693B">
        <w:rPr>
          <w:lang w:val="en-AU"/>
        </w:rPr>
        <w:t xml:space="preserve"> </w:t>
      </w:r>
    </w:p>
    <w:p w14:paraId="1CD74808" w14:textId="77777777" w:rsidR="004D1500" w:rsidRDefault="004D1500" w:rsidP="00562192">
      <w:pPr>
        <w:rPr>
          <w:lang w:val="en-AU"/>
        </w:rPr>
      </w:pPr>
      <w:r w:rsidRPr="00562192">
        <w:rPr>
          <w:lang w:val="en-AU"/>
        </w:rPr>
        <w:t xml:space="preserve">This research indicates the need for young people to have accurate and reliable information from a variety of sources to meet their diverse needs. This includes online information. The research also indicated the need for support for parents and guardians, so they are able to support young people. </w:t>
      </w:r>
    </w:p>
    <w:p w14:paraId="2C9DA694" w14:textId="77777777" w:rsidR="00F41D1F" w:rsidRPr="00562192" w:rsidRDefault="00F41D1F" w:rsidP="00562192">
      <w:pPr>
        <w:rPr>
          <w:lang w:val="en-AU"/>
        </w:rPr>
      </w:pPr>
    </w:p>
    <w:p w14:paraId="09F32F81" w14:textId="77777777" w:rsidR="004D1500" w:rsidRPr="004D1500" w:rsidRDefault="004D1500" w:rsidP="003A4AA0">
      <w:pPr>
        <w:pStyle w:val="Heading2"/>
        <w:rPr>
          <w:lang w:val="en-AU"/>
        </w:rPr>
      </w:pPr>
      <w:bookmarkStart w:id="32" w:name="_Toc216956826"/>
      <w:r w:rsidRPr="004D1500">
        <w:rPr>
          <w:lang w:val="en-AU"/>
        </w:rPr>
        <w:t>Conclusion</w:t>
      </w:r>
      <w:bookmarkEnd w:id="32"/>
    </w:p>
    <w:p w14:paraId="51721E1C" w14:textId="77777777" w:rsidR="004D1500" w:rsidRPr="00562192" w:rsidRDefault="004D1500" w:rsidP="00562192">
      <w:pPr>
        <w:rPr>
          <w:lang w:val="en-AU"/>
        </w:rPr>
      </w:pPr>
      <w:r w:rsidRPr="00562192">
        <w:rPr>
          <w:lang w:val="en-AU"/>
        </w:rPr>
        <w:t xml:space="preserve">Section 1 has outlined the ages at which children and young people enter into romantic relationships and begin to explore sex and intimacy, and the ways in which these can be positive and/or negative experiences. It also examines young people’s attitudes towards gender equality, violence, sexual consent, and the relationship between alcohol and sexual violence. </w:t>
      </w:r>
    </w:p>
    <w:p w14:paraId="40A305A3" w14:textId="149037AF" w:rsidR="00F41D1F" w:rsidRPr="00562192" w:rsidRDefault="004D1500" w:rsidP="00562192">
      <w:pPr>
        <w:rPr>
          <w:lang w:val="en-AU"/>
        </w:rPr>
      </w:pPr>
      <w:r w:rsidRPr="00562192">
        <w:rPr>
          <w:lang w:val="en-AU"/>
        </w:rPr>
        <w:t xml:space="preserve">The reviewed research highlights the important role that education approaches can play. Age-appropriate education that engages with children and young people while they are beginning to explore these experiences is critical to ensure that they are doing so safely and respectfully from the outset. This includes engaging critically with the influence of gender norms and stereotypes; how these drive violence and abuse; and the ways in which consent is a communicative and ongoing practice. </w:t>
      </w:r>
      <w:r w:rsidRPr="00562192">
        <w:rPr>
          <w:lang w:val="en-AU"/>
        </w:rPr>
        <w:lastRenderedPageBreak/>
        <w:t xml:space="preserve">Education that builds essential and foundational skills for young people to understand gender, sex and consent – and continuing this education throughout young people’s lives – will help prevent violence and abuse among young people and into adulthood. </w:t>
      </w:r>
    </w:p>
    <w:p w14:paraId="1D0A5194" w14:textId="77777777" w:rsidR="003F5FB6" w:rsidRDefault="003F5FB6" w:rsidP="00562192">
      <w:pPr>
        <w:rPr>
          <w:lang w:val="en-AU"/>
        </w:rPr>
        <w:sectPr w:rsidR="003F5FB6" w:rsidSect="001D557C">
          <w:endnotePr>
            <w:numFmt w:val="decimal"/>
          </w:endnotePr>
          <w:pgSz w:w="11900" w:h="16840"/>
          <w:pgMar w:top="851" w:right="2268" w:bottom="1134" w:left="1134" w:header="0" w:footer="567" w:gutter="0"/>
          <w:cols w:space="708"/>
          <w:docGrid w:linePitch="360"/>
        </w:sectPr>
      </w:pPr>
      <w:bookmarkStart w:id="33" w:name="_Toc175681845"/>
      <w:bookmarkStart w:id="34" w:name="_Toc34486323"/>
      <w:bookmarkStart w:id="35" w:name="_Toc34486715"/>
      <w:bookmarkStart w:id="36" w:name="_Toc34505825"/>
      <w:bookmarkStart w:id="37" w:name="_Toc34542747"/>
      <w:bookmarkStart w:id="38" w:name="_Toc34543090"/>
      <w:bookmarkStart w:id="39" w:name="_Toc34545079"/>
    </w:p>
    <w:p w14:paraId="298053CE" w14:textId="3CCAAC43" w:rsidR="004D1500" w:rsidRPr="00251ECF" w:rsidRDefault="004D1500" w:rsidP="00251ECF">
      <w:pPr>
        <w:pStyle w:val="Heading1"/>
      </w:pPr>
      <w:bookmarkStart w:id="40" w:name="_Toc216956827"/>
      <w:r w:rsidRPr="00251ECF">
        <w:lastRenderedPageBreak/>
        <w:t xml:space="preserve">Section 2: </w:t>
      </w:r>
      <w:r w:rsidR="003F5FB6">
        <w:br/>
      </w:r>
      <w:r w:rsidRPr="00936E81">
        <w:rPr>
          <w:rFonts w:ascii="Roboto" w:hAnsi="Roboto"/>
          <w:b w:val="0"/>
        </w:rPr>
        <w:t>The role of digital technologies in shaping young people’s experiences and beliefs</w:t>
      </w:r>
      <w:bookmarkEnd w:id="40"/>
    </w:p>
    <w:p w14:paraId="3B1BC261" w14:textId="09FCAD88" w:rsidR="00936E81" w:rsidRDefault="004D1500" w:rsidP="00552732">
      <w:pPr>
        <w:rPr>
          <w:lang w:val="en-AU"/>
        </w:rPr>
      </w:pPr>
      <w:r w:rsidRPr="00CA792A">
        <w:rPr>
          <w:rStyle w:val="Strong"/>
        </w:rPr>
        <w:t>Digital and online media are omnipresent in young people’s lives -- from accessing and using mobile phones and mobile apps to various types of social media, gaming and streaming platforms.</w:t>
      </w:r>
      <w:r w:rsidRPr="005C693B">
        <w:rPr>
          <w:lang w:val="en-AU"/>
        </w:rPr>
        <w:t xml:space="preserve"> Increasingly, this requires technology-based practices be explicitly addressed within sexuality, consent and respectful relationships education.</w:t>
      </w:r>
      <w:r w:rsidRPr="004D1500">
        <w:rPr>
          <w:rFonts w:cstheme="minorBidi"/>
          <w:spacing w:val="-5"/>
          <w:sz w:val="24"/>
          <w:vertAlign w:val="superscript"/>
          <w:lang w:val="en-AU"/>
        </w:rPr>
        <w:endnoteReference w:id="100"/>
      </w:r>
      <w:r w:rsidRPr="005C693B">
        <w:rPr>
          <w:lang w:val="en-AU"/>
        </w:rPr>
        <w:t xml:space="preserve"> Within this focus are practices such as sending nudes or ‘sexting’, cyber-bullying and stalking. In addition, new artificial intelligence (AI) technologies facilitating ‘deepfakes’ highlights new considerations for education settings and approaches. While new digital and online media play a role in the development of many young people’s sexual, romantic and peer relationships, evidence of their effects on young people’s behaviours is complex, showing both negative and positive contributions. Some research has highlighted that ‘new’ media have enormous potential to increase access to positive, accurate and non-judgemental information on sexuality, gender and relationships, as well as to increase social connectedness for young people who may otherwise experience marginalisation in their communities.</w:t>
      </w:r>
      <w:r w:rsidRPr="004D1500">
        <w:rPr>
          <w:rFonts w:cstheme="minorBidi"/>
          <w:spacing w:val="-5"/>
          <w:sz w:val="24"/>
          <w:vertAlign w:val="superscript"/>
          <w:lang w:val="en-AU"/>
        </w:rPr>
        <w:t xml:space="preserve"> </w:t>
      </w:r>
      <w:r w:rsidRPr="005C693B">
        <w:rPr>
          <w:lang w:val="en-AU"/>
        </w:rPr>
        <w:t>However, multiple risks are associated with technology-facilitated abuse -- particularly for young women -- including the non-consensual sharing of images and deepfakes.</w:t>
      </w:r>
      <w:r w:rsidRPr="004D1500">
        <w:rPr>
          <w:rFonts w:cstheme="minorBidi"/>
          <w:spacing w:val="-5"/>
          <w:sz w:val="24"/>
          <w:vertAlign w:val="superscript"/>
          <w:lang w:val="en-AU"/>
        </w:rPr>
        <w:endnoteReference w:id="101"/>
      </w:r>
      <w:r w:rsidRPr="004D1500">
        <w:rPr>
          <w:rFonts w:cstheme="minorBidi"/>
          <w:spacing w:val="-5"/>
          <w:sz w:val="24"/>
          <w:vertAlign w:val="superscript"/>
          <w:lang w:val="en-AU"/>
        </w:rPr>
        <w:t xml:space="preserve"> </w:t>
      </w:r>
      <w:r w:rsidRPr="005C693B">
        <w:rPr>
          <w:lang w:val="en-AU"/>
        </w:rPr>
        <w:t xml:space="preserve">Section 2 attempts to analyse some of these technological changes and the positive and negative impacts on young people. </w:t>
      </w:r>
      <w:r w:rsidR="00225B44">
        <w:rPr>
          <w:lang w:val="en-AU"/>
        </w:rPr>
        <w:br/>
      </w:r>
      <w:r w:rsidRPr="005C693B">
        <w:rPr>
          <w:lang w:val="en-AU"/>
        </w:rPr>
        <w:t>The impacts of pornography are discussed separately in ‘Section 3: Children, young people and pornography’.</w:t>
      </w:r>
    </w:p>
    <w:p w14:paraId="169214E7" w14:textId="77777777" w:rsidR="00936E81" w:rsidRDefault="00936E81">
      <w:pPr>
        <w:spacing w:after="160" w:line="259" w:lineRule="auto"/>
        <w:rPr>
          <w:lang w:val="en-AU"/>
        </w:rPr>
      </w:pPr>
      <w:r>
        <w:rPr>
          <w:lang w:val="en-AU"/>
        </w:rPr>
        <w:br w:type="page"/>
      </w:r>
    </w:p>
    <w:p w14:paraId="28612975" w14:textId="5EC6345B" w:rsidR="004D1500" w:rsidRPr="00164A7B" w:rsidRDefault="00DA409A" w:rsidP="00986CB6">
      <w:pPr>
        <w:ind w:left="567"/>
        <w:rPr>
          <w:b/>
          <w:bCs/>
          <w:sz w:val="38"/>
          <w:szCs w:val="38"/>
        </w:rPr>
      </w:pPr>
      <w:r>
        <w:rPr>
          <w:noProof/>
          <w14:ligatures w14:val="standardContextual"/>
        </w:rPr>
        <w:lastRenderedPageBreak/>
        <w:drawing>
          <wp:anchor distT="0" distB="0" distL="114300" distR="114300" simplePos="0" relativeHeight="251658241" behindDoc="1" locked="0" layoutInCell="1" allowOverlap="1" wp14:anchorId="34ECA958" wp14:editId="6B894A56">
            <wp:simplePos x="0" y="0"/>
            <wp:positionH relativeFrom="margin">
              <wp:posOffset>3810</wp:posOffset>
            </wp:positionH>
            <wp:positionV relativeFrom="margin">
              <wp:posOffset>-323215</wp:posOffset>
            </wp:positionV>
            <wp:extent cx="5785485" cy="7226300"/>
            <wp:effectExtent l="0" t="0" r="5715" b="0"/>
            <wp:wrapNone/>
            <wp:docPr id="20500220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8431" name="Picture 3">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5785485" cy="7226300"/>
                    </a:xfrm>
                    <a:prstGeom prst="rect">
                      <a:avLst/>
                    </a:prstGeom>
                  </pic:spPr>
                </pic:pic>
              </a:graphicData>
            </a:graphic>
            <wp14:sizeRelH relativeFrom="page">
              <wp14:pctWidth>0</wp14:pctWidth>
            </wp14:sizeRelH>
            <wp14:sizeRelV relativeFrom="page">
              <wp14:pctHeight>0</wp14:pctHeight>
            </wp14:sizeRelV>
          </wp:anchor>
        </w:drawing>
      </w:r>
      <w:r w:rsidR="004D1500" w:rsidRPr="00164A7B">
        <w:rPr>
          <w:b/>
          <w:bCs/>
          <w:sz w:val="38"/>
          <w:szCs w:val="38"/>
        </w:rPr>
        <w:t xml:space="preserve">The Online Safety Amendment </w:t>
      </w:r>
      <w:r w:rsidR="002F00AF" w:rsidRPr="00164A7B">
        <w:rPr>
          <w:b/>
          <w:bCs/>
          <w:sz w:val="38"/>
          <w:szCs w:val="38"/>
        </w:rPr>
        <w:br/>
      </w:r>
      <w:r w:rsidR="004D1500" w:rsidRPr="00164A7B">
        <w:rPr>
          <w:b/>
          <w:bCs/>
          <w:sz w:val="38"/>
          <w:szCs w:val="38"/>
        </w:rPr>
        <w:t xml:space="preserve">(Social Media Minimum Age) Act 2024 </w:t>
      </w:r>
    </w:p>
    <w:p w14:paraId="328042B3" w14:textId="77777777" w:rsidR="004D1500" w:rsidRPr="005C693B" w:rsidRDefault="004D1500" w:rsidP="00DA409A">
      <w:pPr>
        <w:tabs>
          <w:tab w:val="left" w:pos="567"/>
        </w:tabs>
        <w:ind w:left="567"/>
        <w:rPr>
          <w:lang w:val="en-AU"/>
        </w:rPr>
      </w:pPr>
      <w:r w:rsidRPr="003C6D26">
        <w:rPr>
          <w:rFonts w:ascii="Roboto Black" w:hAnsi="Roboto Black"/>
          <w:b/>
          <w:bCs/>
          <w:lang w:val="en-AU"/>
        </w:rPr>
        <w:t>The</w:t>
      </w:r>
      <w:r w:rsidRPr="005C693B">
        <w:rPr>
          <w:lang w:val="en-AU"/>
        </w:rPr>
        <w:t xml:space="preserve"> </w:t>
      </w:r>
      <w:r w:rsidRPr="003C6D26">
        <w:rPr>
          <w:rFonts w:ascii="Roboto Black" w:eastAsia="Roboto" w:hAnsi="Roboto Black" w:cs="Roboto"/>
          <w:b/>
          <w:bCs/>
          <w:i/>
          <w:iCs/>
          <w:spacing w:val="-5"/>
          <w:szCs w:val="23"/>
          <w:lang w:val="en-AU"/>
        </w:rPr>
        <w:t xml:space="preserve">Online Safety Amendment (Social Media Minimum Age) Act </w:t>
      </w:r>
      <w:r w:rsidRPr="003C6D26">
        <w:rPr>
          <w:rFonts w:ascii="Roboto Black" w:eastAsia="Roboto" w:hAnsi="Roboto Black" w:cs="Roboto"/>
          <w:b/>
          <w:bCs/>
          <w:spacing w:val="-5"/>
          <w:szCs w:val="23"/>
          <w:lang w:val="en-AU"/>
        </w:rPr>
        <w:t>2024</w:t>
      </w:r>
      <w:r w:rsidRPr="003C6D26">
        <w:rPr>
          <w:rFonts w:ascii="Roboto Black" w:hAnsi="Roboto Black"/>
          <w:b/>
          <w:bCs/>
          <w:lang w:val="en-AU"/>
        </w:rPr>
        <w:t xml:space="preserve"> (</w:t>
      </w:r>
      <w:proofErr w:type="spellStart"/>
      <w:r w:rsidRPr="003C6D26">
        <w:rPr>
          <w:rFonts w:ascii="Roboto Black" w:hAnsi="Roboto Black"/>
          <w:b/>
          <w:bCs/>
          <w:lang w:val="en-AU"/>
        </w:rPr>
        <w:t>Cth</w:t>
      </w:r>
      <w:proofErr w:type="spellEnd"/>
      <w:r w:rsidRPr="003C6D26">
        <w:rPr>
          <w:rFonts w:ascii="Roboto Black" w:hAnsi="Roboto Black"/>
          <w:b/>
          <w:bCs/>
          <w:lang w:val="en-AU"/>
        </w:rPr>
        <w:t>) became law on 10 December 2024. It amends the</w:t>
      </w:r>
      <w:r w:rsidRPr="005C693B">
        <w:rPr>
          <w:lang w:val="en-AU"/>
        </w:rPr>
        <w:t xml:space="preserve"> </w:t>
      </w:r>
      <w:r w:rsidRPr="003C6D26">
        <w:rPr>
          <w:rFonts w:ascii="Roboto Black" w:eastAsia="Roboto" w:hAnsi="Roboto Black" w:cs="Roboto"/>
          <w:b/>
          <w:bCs/>
          <w:i/>
          <w:iCs/>
          <w:spacing w:val="-5"/>
          <w:szCs w:val="23"/>
          <w:lang w:val="en-AU"/>
        </w:rPr>
        <w:t>Online Safety Act 2021</w:t>
      </w:r>
      <w:r w:rsidRPr="003C6D26">
        <w:rPr>
          <w:rFonts w:ascii="Roboto Black" w:hAnsi="Roboto Black"/>
          <w:b/>
          <w:bCs/>
          <w:lang w:val="en-AU"/>
        </w:rPr>
        <w:t xml:space="preserve"> (</w:t>
      </w:r>
      <w:proofErr w:type="spellStart"/>
      <w:r w:rsidRPr="003C6D26">
        <w:rPr>
          <w:rFonts w:ascii="Roboto Black" w:hAnsi="Roboto Black"/>
          <w:b/>
          <w:bCs/>
          <w:lang w:val="en-AU"/>
        </w:rPr>
        <w:t>Cth</w:t>
      </w:r>
      <w:proofErr w:type="spellEnd"/>
      <w:r w:rsidRPr="003C6D26">
        <w:rPr>
          <w:rFonts w:ascii="Roboto Black" w:hAnsi="Roboto Black"/>
          <w:b/>
          <w:bCs/>
          <w:lang w:val="en-AU"/>
        </w:rPr>
        <w:t xml:space="preserve">), </w:t>
      </w:r>
      <w:r w:rsidRPr="003C6D26">
        <w:rPr>
          <w:rFonts w:ascii="Roboto Black" w:hAnsi="Roboto Black"/>
          <w:b/>
          <w:bCs/>
          <w:lang w:val="en-US"/>
        </w:rPr>
        <w:t xml:space="preserve">with the aim of </w:t>
      </w:r>
      <w:r w:rsidRPr="003C6D26">
        <w:rPr>
          <w:rFonts w:ascii="Roboto Black" w:hAnsi="Roboto Black"/>
          <w:b/>
          <w:bCs/>
          <w:lang w:val="en-AU"/>
        </w:rPr>
        <w:t>establishing a minimum age for social media use, placing responsibility on social media platforms for the safety of their users.</w:t>
      </w:r>
    </w:p>
    <w:p w14:paraId="7D8B94A8" w14:textId="0925AF39" w:rsidR="004D1500" w:rsidRPr="005C693B" w:rsidRDefault="004D1500" w:rsidP="00DA409A">
      <w:pPr>
        <w:tabs>
          <w:tab w:val="left" w:pos="567"/>
        </w:tabs>
        <w:ind w:left="567"/>
        <w:rPr>
          <w:highlight w:val="yellow"/>
          <w:lang w:val="en-AU"/>
        </w:rPr>
      </w:pPr>
      <w:r w:rsidRPr="005C693B">
        <w:rPr>
          <w:lang w:val="en-AU"/>
        </w:rPr>
        <w:t xml:space="preserve">The amendments introduce a mandatory minimum age of 16 for accounts on certain social media platforms, extending to Facebook, Instagram, Snapchat, TikTok, </w:t>
      </w:r>
      <w:r w:rsidR="5FAB129C" w:rsidRPr="005C693B">
        <w:rPr>
          <w:lang w:val="en-AU"/>
        </w:rPr>
        <w:t>X</w:t>
      </w:r>
      <w:r w:rsidRPr="005C693B">
        <w:rPr>
          <w:lang w:val="en-AU"/>
        </w:rPr>
        <w:t xml:space="preserve"> (formerly </w:t>
      </w:r>
      <w:r w:rsidR="128E3FCB" w:rsidRPr="005C693B">
        <w:rPr>
          <w:lang w:val="en-AU"/>
        </w:rPr>
        <w:t>Twitter</w:t>
      </w:r>
      <w:r w:rsidRPr="005C693B">
        <w:rPr>
          <w:lang w:val="en-AU"/>
        </w:rPr>
        <w:t>) amongst other platforms. It took effect from 10 December 2025, with age-restricted social media platforms being required to take reasonable steps to prevent Australians under the age of 16 from creating or keeping an account. Breach of the minimum age obligation gives rise to significant maximum civil penalties. These forthcoming age restrictions on social media reflect growing concerns by governments and the community for children and young people’s wellbeing in digital spaces. The legislation aims to delay children and young people’s engagement with certain social media services to reduce the risk of harm to users under the minimum age.</w:t>
      </w:r>
      <w:r w:rsidRPr="004D1500">
        <w:rPr>
          <w:rFonts w:eastAsia="Roboto" w:cs="Roboto"/>
          <w:spacing w:val="-5"/>
          <w:sz w:val="24"/>
          <w:vertAlign w:val="superscript"/>
          <w:lang w:val="en-AU"/>
        </w:rPr>
        <w:endnoteReference w:id="102"/>
      </w:r>
    </w:p>
    <w:p w14:paraId="6ED2E3BE" w14:textId="77777777" w:rsidR="004D1500" w:rsidRPr="004D1500" w:rsidRDefault="004D1500" w:rsidP="00DA409A">
      <w:pPr>
        <w:tabs>
          <w:tab w:val="left" w:pos="567"/>
        </w:tabs>
        <w:ind w:left="567"/>
        <w:rPr>
          <w:rFonts w:eastAsia="Roboto" w:cs="Roboto"/>
          <w:spacing w:val="-5"/>
          <w:sz w:val="24"/>
          <w:highlight w:val="yellow"/>
          <w:vertAlign w:val="superscript"/>
          <w:lang w:val="en-AU"/>
        </w:rPr>
      </w:pPr>
      <w:r w:rsidRPr="005C693B">
        <w:rPr>
          <w:lang w:val="en-AU"/>
        </w:rPr>
        <w:t>The online environment’s effects on young people’s behaviours and attitudes is complex, showing both negative and positive contributions. Some research has highlighted how the online environment has enormous potential to increase access to positive, accurate and non-judgmental information on sexuality, gender and relationships, as well as to increase social connectedness for young people who may otherwise be marginalised in their communities.</w:t>
      </w:r>
      <w:r w:rsidRPr="004D1500">
        <w:rPr>
          <w:rFonts w:eastAsia="Roboto" w:cs="Roboto"/>
          <w:spacing w:val="-5"/>
          <w:sz w:val="24"/>
          <w:vertAlign w:val="superscript"/>
          <w:lang w:val="en-AU"/>
        </w:rPr>
        <w:endnoteReference w:id="103"/>
      </w:r>
      <w:r w:rsidRPr="004D1500">
        <w:rPr>
          <w:rFonts w:eastAsia="Roboto" w:cs="Roboto"/>
          <w:spacing w:val="-5"/>
          <w:sz w:val="24"/>
          <w:vertAlign w:val="superscript"/>
          <w:lang w:val="en-AU"/>
        </w:rPr>
        <w:t xml:space="preserve"> </w:t>
      </w:r>
      <w:r w:rsidRPr="005C693B">
        <w:rPr>
          <w:lang w:val="en-AU"/>
        </w:rPr>
        <w:t>Indeed, for a third of young adolescents surveyed in one study, their online world is more engaging and rewarding to them than the offline world.</w:t>
      </w:r>
      <w:r w:rsidRPr="004D1500">
        <w:rPr>
          <w:rFonts w:eastAsia="Roboto" w:cs="Roboto"/>
          <w:spacing w:val="-5"/>
          <w:sz w:val="24"/>
          <w:vertAlign w:val="superscript"/>
          <w:lang w:val="en-AU"/>
        </w:rPr>
        <w:endnoteReference w:id="104"/>
      </w:r>
    </w:p>
    <w:p w14:paraId="2B77F3D3" w14:textId="77777777" w:rsidR="004D1500" w:rsidRDefault="004D1500" w:rsidP="00DA409A">
      <w:pPr>
        <w:tabs>
          <w:tab w:val="left" w:pos="567"/>
        </w:tabs>
        <w:spacing w:line="240" w:lineRule="auto"/>
        <w:ind w:left="567"/>
        <w:rPr>
          <w:lang w:val="en-AU"/>
        </w:rPr>
      </w:pPr>
      <w:r w:rsidRPr="005C693B">
        <w:rPr>
          <w:lang w:val="en-AU"/>
        </w:rPr>
        <w:t>However, multiple risks are associated with the online environment, specifically technology-facilitated abuse, including non-consensual sharing of images and deepfakes; impacts of pornography; bullying and the online manosphere.</w:t>
      </w:r>
      <w:r w:rsidRPr="004D1500">
        <w:rPr>
          <w:rFonts w:eastAsia="Roboto" w:cs="Roboto"/>
          <w:spacing w:val="-5"/>
          <w:sz w:val="24"/>
          <w:vertAlign w:val="superscript"/>
          <w:lang w:val="en-AU"/>
        </w:rPr>
        <w:endnoteReference w:id="105"/>
      </w:r>
      <w:r w:rsidRPr="005C693B">
        <w:rPr>
          <w:lang w:val="en-AU"/>
        </w:rPr>
        <w:t xml:space="preserve"> Digital technologies and the online environment replicate existing patterns of gender inequalities, harmful stereotypes and the drivers of gender-based violence, which are embedded in the practices of coercive sexting and deepfake image creation as forms of image-based abuse. An independent review of the amendments will be conducted within 2 years of the minimum age obligation taking effect. </w:t>
      </w:r>
    </w:p>
    <w:p w14:paraId="15893C79" w14:textId="77777777" w:rsidR="00936E81" w:rsidRDefault="00936E81" w:rsidP="004D1500">
      <w:pPr>
        <w:spacing w:line="240" w:lineRule="auto"/>
        <w:rPr>
          <w:lang w:val="en-AU"/>
        </w:rPr>
      </w:pPr>
    </w:p>
    <w:p w14:paraId="3795D726" w14:textId="77777777" w:rsidR="00986CB6" w:rsidRPr="005C693B" w:rsidRDefault="00986CB6" w:rsidP="004D1500">
      <w:pPr>
        <w:spacing w:line="240" w:lineRule="auto"/>
        <w:rPr>
          <w:lang w:val="en-AU"/>
        </w:rPr>
      </w:pPr>
    </w:p>
    <w:p w14:paraId="305E65F0" w14:textId="77777777" w:rsidR="00DA7912" w:rsidRDefault="00DA7912">
      <w:pPr>
        <w:spacing w:after="160" w:line="259" w:lineRule="auto"/>
        <w:rPr>
          <w:rFonts w:eastAsiaTheme="majorEastAsia" w:cs="Times New Roman (Headings CS)"/>
          <w:b/>
          <w:bCs/>
          <w:color w:val="022146"/>
          <w:sz w:val="42"/>
          <w:szCs w:val="38"/>
          <w:lang w:val="en-AU"/>
        </w:rPr>
      </w:pPr>
      <w:bookmarkStart w:id="41" w:name="_Toc216956828"/>
      <w:r>
        <w:rPr>
          <w:lang w:val="en-AU"/>
        </w:rPr>
        <w:br w:type="page"/>
      </w:r>
    </w:p>
    <w:p w14:paraId="33D1AC9C" w14:textId="43B9221C" w:rsidR="004D1500" w:rsidRPr="004D1500" w:rsidRDefault="004D1500" w:rsidP="003A4AA0">
      <w:pPr>
        <w:pStyle w:val="Heading2"/>
        <w:rPr>
          <w:lang w:val="en-AU"/>
        </w:rPr>
      </w:pPr>
      <w:r w:rsidRPr="004D1500">
        <w:rPr>
          <w:lang w:val="en-AU"/>
        </w:rPr>
        <w:lastRenderedPageBreak/>
        <w:t>Technology-facilitated gender-based violence and abuse among young people</w:t>
      </w:r>
      <w:bookmarkEnd w:id="41"/>
    </w:p>
    <w:p w14:paraId="0DD7B70A" w14:textId="77777777" w:rsidR="004D1500" w:rsidRPr="005C693B" w:rsidRDefault="004D1500" w:rsidP="005C693B">
      <w:pPr>
        <w:rPr>
          <w:lang w:val="en-AU"/>
        </w:rPr>
      </w:pPr>
      <w:r w:rsidRPr="005C693B">
        <w:rPr>
          <w:lang w:val="en-AU"/>
        </w:rPr>
        <w:t>Technology-facilitated abuse and violence replicate the gendered patterns of power and control found offline. Technology-facilitated abuse is both a tool to perpetrate gender-based violence as well as a specific form of gender-based violence itself. Ultimately, it involves using technology (such as emails, text messages or social media) to control, abuse, harass, punish, bully and humiliate people.</w:t>
      </w:r>
      <w:r w:rsidRPr="004D1500">
        <w:rPr>
          <w:rFonts w:cstheme="minorBidi"/>
          <w:spacing w:val="-5"/>
          <w:sz w:val="24"/>
          <w:vertAlign w:val="superscript"/>
          <w:lang w:val="en-AU"/>
        </w:rPr>
        <w:endnoteReference w:id="106"/>
      </w:r>
      <w:r w:rsidRPr="005C693B">
        <w:rPr>
          <w:lang w:val="en-AU"/>
        </w:rPr>
        <w:t xml:space="preserve"> It can encompass non-consensual sexualised messages as well as the tracking and stalking of a person. Image-based abuse is a common form of technology-facilitated abuse. It involves explicitly taking and distributing intimate images without consent, or threatening to do so.</w:t>
      </w:r>
      <w:r w:rsidRPr="004D1500">
        <w:rPr>
          <w:rFonts w:cstheme="minorBidi"/>
          <w:spacing w:val="-5"/>
          <w:sz w:val="24"/>
          <w:vertAlign w:val="superscript"/>
          <w:lang w:val="en-AU"/>
        </w:rPr>
        <w:endnoteReference w:id="107"/>
      </w:r>
      <w:r w:rsidRPr="005C693B">
        <w:rPr>
          <w:lang w:val="en-AU"/>
        </w:rPr>
        <w:t xml:space="preserve"> For example, image-based abuse can consist of using AI to make digital alterations to existing images or to create new images, and ‘sextortion’, which is when a person blackmails or attempts to blackmail another person through the use of an intimate image.</w:t>
      </w:r>
    </w:p>
    <w:p w14:paraId="2795B05C" w14:textId="77777777" w:rsidR="004D1500" w:rsidRPr="005C693B" w:rsidRDefault="004D1500" w:rsidP="005C693B">
      <w:pPr>
        <w:rPr>
          <w:lang w:val="en-AU"/>
        </w:rPr>
      </w:pPr>
      <w:r w:rsidRPr="005C693B">
        <w:rPr>
          <w:lang w:val="en-AU"/>
        </w:rPr>
        <w:t>While people of all genders experience image-based abuse, a 2017 national survey indicated that young adults in Australia aged 18–24 years were most likely to experience image-based abuse compared to an older cohort.</w:t>
      </w:r>
      <w:r w:rsidRPr="004D1500">
        <w:rPr>
          <w:rFonts w:cstheme="minorBidi"/>
          <w:spacing w:val="-5"/>
          <w:sz w:val="24"/>
          <w:vertAlign w:val="superscript"/>
          <w:lang w:val="en-AU"/>
        </w:rPr>
        <w:endnoteReference w:id="108"/>
      </w:r>
      <w:r w:rsidRPr="005C693B">
        <w:rPr>
          <w:lang w:val="en-AU"/>
        </w:rPr>
        <w:t xml:space="preserve"> Among young people, young women were more likely (24%) to have experienced image-based abuse than young men (16%).</w:t>
      </w:r>
      <w:r w:rsidRPr="004D1500">
        <w:rPr>
          <w:rFonts w:cstheme="minorBidi"/>
          <w:spacing w:val="-5"/>
          <w:sz w:val="24"/>
          <w:vertAlign w:val="superscript"/>
          <w:lang w:val="en-AU"/>
        </w:rPr>
        <w:endnoteReference w:id="109"/>
      </w:r>
      <w:r w:rsidRPr="005C693B">
        <w:rPr>
          <w:lang w:val="en-AU"/>
        </w:rPr>
        <w:t xml:space="preserve"> </w:t>
      </w:r>
    </w:p>
    <w:p w14:paraId="349B75F7" w14:textId="77777777" w:rsidR="004D1500" w:rsidRPr="005C693B" w:rsidRDefault="004D1500" w:rsidP="005C693B">
      <w:pPr>
        <w:rPr>
          <w:lang w:val="en-AU"/>
        </w:rPr>
      </w:pPr>
      <w:r w:rsidRPr="005C693B">
        <w:rPr>
          <w:lang w:val="en-AU"/>
        </w:rPr>
        <w:t>Image-based abuse often intersects with ‘sexting’. ‘Sexting’ is a broad term used to describe a range of behaviours, including the sharing of digital recordings of naked, semi-naked, sexually suggestive or explicit images and videos; the sending of sexually suggestive or sexually explicit text-only messages; and illegal behaviour involving coercion or non-consensual creation, sharing or threats to share images or videos.</w:t>
      </w:r>
      <w:r w:rsidRPr="004D1500">
        <w:rPr>
          <w:rFonts w:cstheme="minorBidi"/>
          <w:spacing w:val="-5"/>
          <w:sz w:val="24"/>
          <w:vertAlign w:val="superscript"/>
          <w:lang w:val="en-AU"/>
        </w:rPr>
        <w:endnoteReference w:id="110"/>
      </w:r>
      <w:r w:rsidRPr="005C693B">
        <w:rPr>
          <w:lang w:val="en-AU"/>
        </w:rPr>
        <w:t xml:space="preserve"> Sexting can also encompass self-generated material, a typical behaviour among young people. Several researchers have highlighted that ‘sexting’ is a term rarely used by young people, who may more commonly refer to ‘nudes’, ‘selfies’ or simply ‘pics’, emphasising that it is a practice widely considered by young people to be normal and not necessarily harmful.</w:t>
      </w:r>
      <w:r w:rsidRPr="004D1500">
        <w:rPr>
          <w:rFonts w:cstheme="minorBidi"/>
          <w:spacing w:val="-5"/>
          <w:sz w:val="24"/>
          <w:vertAlign w:val="superscript"/>
          <w:lang w:val="en-AU"/>
        </w:rPr>
        <w:endnoteReference w:id="111"/>
      </w:r>
    </w:p>
    <w:p w14:paraId="4B095594" w14:textId="77777777" w:rsidR="004D1500" w:rsidRPr="005C693B" w:rsidRDefault="004D1500" w:rsidP="005C693B">
      <w:pPr>
        <w:rPr>
          <w:lang w:val="en-AU"/>
        </w:rPr>
      </w:pPr>
      <w:r w:rsidRPr="005C693B">
        <w:rPr>
          <w:lang w:val="en-AU"/>
        </w:rPr>
        <w:t>Gaps exist between adult views on sexting and those held by young people in Australia. Most young people</w:t>
      </w:r>
      <w:r w:rsidRPr="005C693B" w:rsidDel="00734144">
        <w:rPr>
          <w:lang w:val="en-AU"/>
        </w:rPr>
        <w:t xml:space="preserve"> </w:t>
      </w:r>
      <w:r w:rsidRPr="005C693B">
        <w:rPr>
          <w:lang w:val="en-AU"/>
        </w:rPr>
        <w:t>view sexting as a normal and common, if sometimes unwanted, activity between peers, and a positive part of their sexual expression and relationships.</w:t>
      </w:r>
      <w:r w:rsidRPr="004D1500">
        <w:rPr>
          <w:rFonts w:cstheme="minorBidi"/>
          <w:spacing w:val="-5"/>
          <w:sz w:val="24"/>
          <w:vertAlign w:val="superscript"/>
          <w:lang w:val="en-AU"/>
        </w:rPr>
        <w:endnoteReference w:id="112"/>
      </w:r>
      <w:r w:rsidRPr="005C693B">
        <w:rPr>
          <w:lang w:val="en-AU"/>
        </w:rPr>
        <w:t xml:space="preserve"> Young people report that adult discourses about sexting can tend to have a moralising element that fails to acknowledge that technology also provides young people with new and positive ways to communicate their sexuality.</w:t>
      </w:r>
      <w:r w:rsidRPr="004D1500">
        <w:rPr>
          <w:rFonts w:cstheme="minorBidi"/>
          <w:spacing w:val="-5"/>
          <w:sz w:val="24"/>
          <w:vertAlign w:val="superscript"/>
          <w:lang w:val="en-AU"/>
        </w:rPr>
        <w:endnoteReference w:id="113"/>
      </w:r>
      <w:r w:rsidRPr="004D1500">
        <w:rPr>
          <w:rFonts w:cstheme="minorBidi"/>
          <w:color w:val="002060"/>
          <w:spacing w:val="-5"/>
          <w:sz w:val="24"/>
          <w:lang w:val="en-AU"/>
        </w:rPr>
        <w:t xml:space="preserve"> However, the practice also carries risks of potentially harmful effects, particularly when non-consensual, sexually explicit digital content is created, obtained or shared</w:t>
      </w:r>
      <w:r w:rsidRPr="005C693B">
        <w:rPr>
          <w:lang w:val="en-AU"/>
        </w:rPr>
        <w:t>.</w:t>
      </w:r>
      <w:r w:rsidRPr="004D1500">
        <w:rPr>
          <w:rFonts w:cstheme="minorBidi"/>
          <w:spacing w:val="-5"/>
          <w:sz w:val="24"/>
          <w:vertAlign w:val="superscript"/>
          <w:lang w:val="en-AU"/>
        </w:rPr>
        <w:endnoteReference w:id="114"/>
      </w:r>
      <w:r w:rsidRPr="005C693B">
        <w:rPr>
          <w:lang w:val="en-AU"/>
        </w:rPr>
        <w:t xml:space="preserve"> According to a US study, more than a quarter of young people reported having their image shared without consent.</w:t>
      </w:r>
      <w:r w:rsidRPr="004D1500">
        <w:rPr>
          <w:rFonts w:cstheme="minorBidi"/>
          <w:spacing w:val="-5"/>
          <w:sz w:val="24"/>
          <w:vertAlign w:val="superscript"/>
          <w:lang w:val="en-AU"/>
        </w:rPr>
        <w:endnoteReference w:id="115"/>
      </w:r>
      <w:r w:rsidRPr="005C693B">
        <w:rPr>
          <w:lang w:val="en-AU"/>
        </w:rPr>
        <w:t xml:space="preserve"> In the UK, almost a quarter of young people aged 10–17 years who had sent or received a sext felt ‘extremely upset, embarrassed or afraid’ as a result.</w:t>
      </w:r>
      <w:r w:rsidRPr="004D1500">
        <w:rPr>
          <w:rFonts w:cstheme="minorBidi"/>
          <w:spacing w:val="-5"/>
          <w:sz w:val="24"/>
          <w:vertAlign w:val="superscript"/>
          <w:lang w:val="en-AU"/>
        </w:rPr>
        <w:endnoteReference w:id="116"/>
      </w:r>
    </w:p>
    <w:p w14:paraId="4024E83B" w14:textId="77777777" w:rsidR="004D1500" w:rsidRPr="004D1500" w:rsidRDefault="004D1500" w:rsidP="005C693B">
      <w:pPr>
        <w:rPr>
          <w:rFonts w:cstheme="minorBidi"/>
          <w:color w:val="002060"/>
          <w:spacing w:val="-5"/>
          <w:sz w:val="24"/>
          <w:lang w:val="en-AU"/>
        </w:rPr>
      </w:pPr>
      <w:r w:rsidRPr="005C693B">
        <w:rPr>
          <w:lang w:val="en-AU"/>
        </w:rPr>
        <w:t xml:space="preserve">In Australia, most young people aged 14–18 years who were surveyed in the </w:t>
      </w:r>
      <w:r w:rsidRPr="002D19F5">
        <w:rPr>
          <w:rFonts w:cstheme="minorBidi"/>
          <w:i/>
          <w:iCs/>
          <w:spacing w:val="-5"/>
          <w:szCs w:val="23"/>
          <w:lang w:val="en-AU"/>
        </w:rPr>
        <w:t>National Survey of Australian Secondary Students and Sexual Health</w:t>
      </w:r>
      <w:r w:rsidRPr="005C693B">
        <w:rPr>
          <w:lang w:val="en-AU"/>
        </w:rPr>
        <w:t xml:space="preserve"> </w:t>
      </w:r>
      <w:r w:rsidRPr="005C693B">
        <w:t xml:space="preserve">had participated in sexting, with </w:t>
      </w:r>
      <w:r w:rsidRPr="005C693B">
        <w:rPr>
          <w:lang w:val="en-AU"/>
        </w:rPr>
        <w:t>86.3% having received sexual messages or images and 70.6% having sent sexual messages or images.</w:t>
      </w:r>
      <w:r w:rsidRPr="004D1500">
        <w:rPr>
          <w:rFonts w:cstheme="minorBidi"/>
          <w:spacing w:val="-5"/>
          <w:sz w:val="24"/>
          <w:vertAlign w:val="superscript"/>
          <w:lang w:val="en-AU"/>
        </w:rPr>
        <w:endnoteReference w:id="117"/>
      </w:r>
      <w:r w:rsidRPr="005C693B">
        <w:rPr>
          <w:lang w:val="en-AU"/>
        </w:rPr>
        <w:t xml:space="preserve"> Most (95.5%) were aware that sexting brought with it some risks to privacy and safety. Those who had engaged in sexting had most </w:t>
      </w:r>
      <w:r w:rsidRPr="005C693B">
        <w:rPr>
          <w:lang w:val="en-AU"/>
        </w:rPr>
        <w:lastRenderedPageBreak/>
        <w:t>commonly sent sexual images to a romantic partner (72.9%) or someone they were seeing but not in a relationship with (35.6%). However, 22.9% of young people had sent images to someone they had only known online and 9.2% had sent images to a stranger. Young people reported that their images most often did not include identifying information (65.3%), although nearly a third (32.2%) reported that</w:t>
      </w:r>
      <w:r w:rsidRPr="004D1500">
        <w:rPr>
          <w:rFonts w:cstheme="minorBidi"/>
          <w:color w:val="002060"/>
          <w:spacing w:val="-5"/>
          <w:sz w:val="24"/>
          <w:lang w:val="en-AU"/>
        </w:rPr>
        <w:t xml:space="preserve"> they had sent images in which their face was visible. </w:t>
      </w:r>
    </w:p>
    <w:p w14:paraId="62EDF4A0" w14:textId="77777777" w:rsidR="004D1500" w:rsidRPr="005C693B" w:rsidRDefault="004D1500" w:rsidP="00552732">
      <w:pPr>
        <w:rPr>
          <w:lang w:val="en-AU"/>
        </w:rPr>
      </w:pPr>
      <w:r w:rsidRPr="005C693B">
        <w:rPr>
          <w:lang w:val="en-AU"/>
        </w:rPr>
        <w:t>Strong associations exist between gender and sexting behaviours and perceptions. Girls are more likely to create, appear in, be asked for, or feel pressured to send sexually explicit images of themselves.</w:t>
      </w:r>
      <w:r w:rsidRPr="004D1500">
        <w:rPr>
          <w:rFonts w:cstheme="minorBidi"/>
          <w:spacing w:val="-5"/>
          <w:sz w:val="24"/>
          <w:vertAlign w:val="superscript"/>
          <w:lang w:val="en-AU"/>
        </w:rPr>
        <w:endnoteReference w:id="118"/>
      </w:r>
      <w:r w:rsidRPr="005C693B">
        <w:rPr>
          <w:lang w:val="en-AU"/>
        </w:rPr>
        <w:t xml:space="preserve"> One study showed that girls were twice as likely as boys to feel pressured, coerced, or blackmailed into sexting (16% of girls and 8% of boys).</w:t>
      </w:r>
      <w:r w:rsidRPr="004D1500">
        <w:rPr>
          <w:rFonts w:cstheme="minorBidi"/>
          <w:spacing w:val="-5"/>
          <w:sz w:val="24"/>
          <w:vertAlign w:val="superscript"/>
          <w:lang w:val="en-AU"/>
        </w:rPr>
        <w:endnoteReference w:id="119"/>
      </w:r>
      <w:r w:rsidRPr="005C693B">
        <w:rPr>
          <w:lang w:val="en-AU"/>
        </w:rPr>
        <w:t xml:space="preserve"> Non-consensual sharing of sexual imagery is overwhelmingly perpetrated by men and boys against women and girls.</w:t>
      </w:r>
      <w:r w:rsidRPr="004D1500">
        <w:rPr>
          <w:rFonts w:cstheme="minorBidi"/>
          <w:spacing w:val="-5"/>
          <w:sz w:val="24"/>
          <w:vertAlign w:val="superscript"/>
          <w:lang w:val="en-AU"/>
        </w:rPr>
        <w:endnoteReference w:id="120"/>
      </w:r>
      <w:r w:rsidRPr="005C693B">
        <w:rPr>
          <w:lang w:val="en-AU"/>
        </w:rPr>
        <w:t xml:space="preserve"> </w:t>
      </w:r>
    </w:p>
    <w:p w14:paraId="5DCE8C1E" w14:textId="77777777" w:rsidR="004D1500" w:rsidRDefault="004D1500" w:rsidP="00562192">
      <w:pPr>
        <w:rPr>
          <w:lang w:val="en-AU"/>
        </w:rPr>
      </w:pPr>
      <w:r w:rsidRPr="00562192">
        <w:rPr>
          <w:lang w:val="en-AU"/>
        </w:rPr>
        <w:t xml:space="preserve">The use of images and sexting has evolved to become a key feature in young people’s lives and intimate relationships. As such, opportunities exist to strengthen education approaches by supporting students in understanding how to use technology safely, respectfully and ethically, including developing critical digital literacy skills and empathy. </w:t>
      </w:r>
    </w:p>
    <w:p w14:paraId="0FD4DE6D" w14:textId="77777777" w:rsidR="002F00AF" w:rsidRPr="00562192" w:rsidRDefault="002F00AF" w:rsidP="00562192">
      <w:pPr>
        <w:rPr>
          <w:lang w:val="en-AU"/>
        </w:rPr>
      </w:pPr>
    </w:p>
    <w:p w14:paraId="57E24D9D" w14:textId="77777777" w:rsidR="004D1500" w:rsidRPr="004D1500" w:rsidRDefault="004D1500" w:rsidP="003A4AA0">
      <w:pPr>
        <w:pStyle w:val="Heading2"/>
        <w:rPr>
          <w:lang w:val="en-AU"/>
        </w:rPr>
      </w:pPr>
      <w:bookmarkStart w:id="42" w:name="_Toc216956829"/>
      <w:r w:rsidRPr="004D1500">
        <w:rPr>
          <w:lang w:val="en-AU"/>
        </w:rPr>
        <w:t>The emergence of deepfake technologies as a form of image-based abuse</w:t>
      </w:r>
      <w:bookmarkEnd w:id="42"/>
    </w:p>
    <w:p w14:paraId="1FC85D66" w14:textId="035D19EB" w:rsidR="004D1500" w:rsidRPr="005C693B" w:rsidRDefault="004D1500" w:rsidP="005C693B">
      <w:pPr>
        <w:rPr>
          <w:lang w:val="en-AU"/>
        </w:rPr>
      </w:pPr>
      <w:r w:rsidRPr="005C693B">
        <w:rPr>
          <w:lang w:val="en-AU"/>
        </w:rPr>
        <w:t xml:space="preserve">Artificial intelligence tools offer new mechanisms for image-based abuse. </w:t>
      </w:r>
      <w:r w:rsidR="0077401E">
        <w:rPr>
          <w:lang w:val="en-AU"/>
        </w:rPr>
        <w:br/>
      </w:r>
      <w:r w:rsidRPr="005C693B">
        <w:rPr>
          <w:lang w:val="en-AU"/>
        </w:rPr>
        <w:t>‘Deepfake and digitally altered imagery abuse’ is a term used to refer to non-consensual creation, distribution and threat to distribute nude and sexual imagery using AI technologies and other methods of digital alteration as a form of image-based abuse.</w:t>
      </w:r>
      <w:r w:rsidRPr="004D1500">
        <w:rPr>
          <w:rFonts w:cstheme="minorBidi"/>
          <w:spacing w:val="-5"/>
          <w:sz w:val="24"/>
          <w:vertAlign w:val="superscript"/>
          <w:lang w:val="en-AU"/>
        </w:rPr>
        <w:endnoteReference w:id="121"/>
      </w:r>
    </w:p>
    <w:p w14:paraId="64B3D1F7" w14:textId="77777777" w:rsidR="004D1500" w:rsidRPr="005C693B" w:rsidRDefault="004D1500" w:rsidP="005C693B">
      <w:pPr>
        <w:rPr>
          <w:lang w:val="en-AU"/>
        </w:rPr>
      </w:pPr>
      <w:r w:rsidRPr="005C693B">
        <w:rPr>
          <w:lang w:val="en-AU"/>
        </w:rPr>
        <w:t>It has also become increasingly possible for people to use AI technologies to create still or moving images, and to create forms of non-consensual image abuse or use it for non-consensual creation, display and distribution of sexual images. The availability of new technologies means it can take relatively little effort to construct abusive images, and many tools have been created that enable users to make convincing fabricated imagery, with dedicated websites, apps and online tutorials guiding how to make face-swapping videos. AI deepfake generation is a technology that is linked with pornography and is often used in the pornography industry (see ‘Section 3: Children, young people and pornography’ for a specific discussion on pornography).</w:t>
      </w:r>
      <w:r w:rsidRPr="004D1500">
        <w:rPr>
          <w:rFonts w:cstheme="minorBidi"/>
          <w:spacing w:val="-5"/>
          <w:sz w:val="24"/>
          <w:vertAlign w:val="superscript"/>
          <w:lang w:val="en-AU"/>
        </w:rPr>
        <w:endnoteReference w:id="122"/>
      </w:r>
      <w:r w:rsidRPr="005C693B">
        <w:rPr>
          <w:lang w:val="en-AU"/>
        </w:rPr>
        <w:t xml:space="preserve"> Abusers can readily use these technologies to insert the faces of those they are abusing into pornographic videos or images.</w:t>
      </w:r>
      <w:r w:rsidRPr="004D1500">
        <w:rPr>
          <w:rFonts w:cstheme="minorBidi"/>
          <w:spacing w:val="-5"/>
          <w:sz w:val="24"/>
          <w:vertAlign w:val="superscript"/>
          <w:lang w:val="en-AU"/>
        </w:rPr>
        <w:endnoteReference w:id="123"/>
      </w:r>
    </w:p>
    <w:p w14:paraId="618AEE9C" w14:textId="2DE48AC9" w:rsidR="004D1500" w:rsidRPr="005C693B" w:rsidRDefault="004D1500" w:rsidP="005C693B">
      <w:pPr>
        <w:rPr>
          <w:lang w:val="en-AU"/>
        </w:rPr>
      </w:pPr>
      <w:r w:rsidRPr="005C693B">
        <w:rPr>
          <w:lang w:val="en-AU"/>
        </w:rPr>
        <w:t>Perpetrators of deepfake and digitally altered imagery abuse are often known to the victimised person, and can include partners or ex-partners, friends, family and associates.</w:t>
      </w:r>
      <w:r w:rsidRPr="004D1500">
        <w:rPr>
          <w:rFonts w:cstheme="minorBidi"/>
          <w:spacing w:val="-5"/>
          <w:sz w:val="24"/>
          <w:vertAlign w:val="superscript"/>
          <w:lang w:val="en-AU"/>
        </w:rPr>
        <w:endnoteReference w:id="124"/>
      </w:r>
      <w:r w:rsidRPr="005C693B">
        <w:rPr>
          <w:lang w:val="en-AU"/>
        </w:rPr>
        <w:t xml:space="preserve"> Research demonstrates multiple possible motivations for such behaviour, including pleasure, revenge, sextortion, bullying, injury to the reputation of another, proof of masculinity, alone or in combination</w:t>
      </w:r>
      <w:r w:rsidR="003727FF">
        <w:rPr>
          <w:lang w:val="en-AU"/>
        </w:rPr>
        <w:t>.</w:t>
      </w:r>
      <w:r w:rsidR="0098651A">
        <w:rPr>
          <w:rStyle w:val="EndnoteReference"/>
          <w:lang w:val="en-AU"/>
        </w:rPr>
        <w:endnoteReference w:id="125"/>
      </w:r>
      <w:r w:rsidR="003727FF">
        <w:rPr>
          <w:lang w:val="en-AU"/>
        </w:rPr>
        <w:t xml:space="preserve"> </w:t>
      </w:r>
      <w:r w:rsidRPr="005C693B">
        <w:rPr>
          <w:lang w:val="en-AU"/>
        </w:rPr>
        <w:t>Being subjected to this type of abuse is highly distressing for victim-survivors, and rates of mental health problems and psychological trauma among victim-survivors are high.</w:t>
      </w:r>
      <w:r w:rsidRPr="004D1500">
        <w:rPr>
          <w:rFonts w:cstheme="minorBidi"/>
          <w:spacing w:val="-5"/>
          <w:sz w:val="24"/>
          <w:vertAlign w:val="superscript"/>
          <w:lang w:val="en-AU"/>
        </w:rPr>
        <w:endnoteReference w:id="126"/>
      </w:r>
      <w:r w:rsidR="003727FF">
        <w:rPr>
          <w:lang w:val="en-AU"/>
        </w:rPr>
        <w:t xml:space="preserve"> </w:t>
      </w:r>
    </w:p>
    <w:p w14:paraId="29F0B682" w14:textId="10EAD927" w:rsidR="004D1500" w:rsidRPr="005C693B" w:rsidRDefault="004D1500" w:rsidP="005C693B">
      <w:pPr>
        <w:rPr>
          <w:lang w:val="en-AU"/>
        </w:rPr>
      </w:pPr>
      <w:r w:rsidRPr="005C693B">
        <w:rPr>
          <w:lang w:val="en-AU"/>
        </w:rPr>
        <w:lastRenderedPageBreak/>
        <w:t>A multi-country research study in the UK, New Zealand and Australia collected data on the creation, distribution and threat of distributing deepfake and digitally altered images.</w:t>
      </w:r>
      <w:r w:rsidRPr="004D1500">
        <w:rPr>
          <w:rFonts w:cstheme="minorBidi"/>
          <w:spacing w:val="-5"/>
          <w:sz w:val="24"/>
          <w:vertAlign w:val="superscript"/>
          <w:lang w:val="en-AU"/>
        </w:rPr>
        <w:endnoteReference w:id="127"/>
      </w:r>
      <w:r w:rsidRPr="005C693B">
        <w:rPr>
          <w:lang w:val="en-AU"/>
        </w:rPr>
        <w:t xml:space="preserve"> A survey conducted with 6,109 people aged 16–64 years, as well as qualitative interviews with 75 victim-survivors and 43 stakeholders, focused on images created without consent, images distributed</w:t>
      </w:r>
      <w:r w:rsidRPr="002D19F5">
        <w:rPr>
          <w:rFonts w:cstheme="minorBidi"/>
          <w:i/>
          <w:iCs/>
          <w:spacing w:val="-5"/>
          <w:szCs w:val="23"/>
          <w:lang w:val="en-AU"/>
        </w:rPr>
        <w:t xml:space="preserve"> </w:t>
      </w:r>
      <w:r w:rsidRPr="005C693B">
        <w:rPr>
          <w:lang w:val="en-AU"/>
        </w:rPr>
        <w:t xml:space="preserve">without consent, and where threats were made to distribute an image. The survey data showed that some of those who had been victim-survivors had experienced all 3 forms of image-based abuse. In some instances, personal information and contact details were </w:t>
      </w:r>
      <w:r w:rsidR="002D67A5">
        <w:rPr>
          <w:lang w:val="en-AU"/>
        </w:rPr>
        <w:br/>
      </w:r>
      <w:r w:rsidRPr="005C693B">
        <w:rPr>
          <w:lang w:val="en-AU"/>
        </w:rPr>
        <w:t xml:space="preserve">also shared. </w:t>
      </w:r>
    </w:p>
    <w:p w14:paraId="129658EB" w14:textId="77777777" w:rsidR="004D1500" w:rsidRPr="005C693B" w:rsidRDefault="004D1500" w:rsidP="005C693B">
      <w:pPr>
        <w:rPr>
          <w:lang w:val="en-AU"/>
        </w:rPr>
      </w:pPr>
      <w:r w:rsidRPr="005C693B">
        <w:rPr>
          <w:lang w:val="en-AU"/>
        </w:rPr>
        <w:t xml:space="preserve">The same study found that young people, members of the </w:t>
      </w:r>
      <w:proofErr w:type="spellStart"/>
      <w:r w:rsidRPr="005C693B">
        <w:rPr>
          <w:lang w:val="en-AU"/>
        </w:rPr>
        <w:t>LGB</w:t>
      </w:r>
      <w:proofErr w:type="spellEnd"/>
      <w:r w:rsidRPr="005C693B">
        <w:rPr>
          <w:lang w:val="en-AU"/>
        </w:rPr>
        <w:t>+ community, and people requiring mobility and/or communication assistance were more likely to be subject to compared to 3.4% of respondents aged 50–64 years.</w:t>
      </w:r>
      <w:r w:rsidRPr="004D1500">
        <w:rPr>
          <w:rFonts w:cstheme="minorBidi"/>
          <w:spacing w:val="-5"/>
          <w:sz w:val="24"/>
          <w:vertAlign w:val="superscript"/>
          <w:lang w:val="en-AU"/>
        </w:rPr>
        <w:endnoteReference w:id="128"/>
      </w:r>
    </w:p>
    <w:p w14:paraId="2CDDF1FC" w14:textId="77777777" w:rsidR="004D1500" w:rsidRPr="005C693B" w:rsidRDefault="004D1500" w:rsidP="005C693B">
      <w:pPr>
        <w:rPr>
          <w:lang w:val="en-AU"/>
        </w:rPr>
      </w:pPr>
      <w:r w:rsidRPr="005C693B">
        <w:rPr>
          <w:lang w:val="en-AU"/>
        </w:rPr>
        <w:t>The survey also collected self-reported data about perpetration. This data showed 7.6% of respondents had engaged in perpetrating one or more forms of deepfake and digitally altered imagery abuse. Younger respondents were more likely to self-report having engaged in perpetrating deepfake and digitally altered imagery abuse (12.1% of respondents aged 16–19 years compared to 2.5% of respondents aged 50–64 years), with males (10.1%) more likely than females (5.3%).</w:t>
      </w:r>
      <w:r w:rsidRPr="004D1500">
        <w:rPr>
          <w:rFonts w:cstheme="minorBidi"/>
          <w:spacing w:val="-5"/>
          <w:sz w:val="24"/>
          <w:vertAlign w:val="superscript"/>
          <w:lang w:val="en-AU"/>
        </w:rPr>
        <w:endnoteReference w:id="129"/>
      </w:r>
    </w:p>
    <w:p w14:paraId="59991661" w14:textId="77777777" w:rsidR="004D1500" w:rsidRPr="00562192" w:rsidRDefault="004D1500" w:rsidP="00562192">
      <w:pPr>
        <w:rPr>
          <w:lang w:val="en-AU"/>
        </w:rPr>
      </w:pPr>
      <w:r w:rsidRPr="00562192">
        <w:rPr>
          <w:lang w:val="en-AU"/>
        </w:rPr>
        <w:t>A small proportion of respondents reported that they sent sexual images because they felt pressure to do so from a partner (15.2%), to get someone to like them (12.6%), or to fit in with a peer group (5.5%). Close to half of those surveyed (47.9%) reported that they had been sent a sexual or nude image they had not asked for on at least one occasion, and nearly 1 in 3 reported that they did not want to receive the unsolicited image (29.4%).</w:t>
      </w:r>
    </w:p>
    <w:p w14:paraId="60FC6C2A" w14:textId="77777777" w:rsidR="004D1500" w:rsidRDefault="004D1500" w:rsidP="00562192">
      <w:pPr>
        <w:rPr>
          <w:lang w:val="en-AU"/>
        </w:rPr>
      </w:pPr>
      <w:r w:rsidRPr="00562192">
        <w:rPr>
          <w:lang w:val="en-AU"/>
        </w:rPr>
        <w:t>The emergence of deepfake technologies as a form of image-based abuse presents a rapidly evolving threat to young people's safety, privacy and wellbeing. Gender inequality, harmful stereotypes and the drivers of gender-based violence are embedded in the practices of deepfake image creation as forms of image-based abuse. This highlights the urgent need to equip young people with the knowledge, critical thinking skills and ethical frameworks to navigate digital consent, challenge harmful behaviours, and understand the impact of technology-facilitated abuse.</w:t>
      </w:r>
    </w:p>
    <w:p w14:paraId="4A89C246" w14:textId="77777777" w:rsidR="002F00AF" w:rsidRPr="00562192" w:rsidRDefault="002F00AF" w:rsidP="00562192">
      <w:pPr>
        <w:rPr>
          <w:lang w:val="en-AU"/>
        </w:rPr>
      </w:pPr>
    </w:p>
    <w:p w14:paraId="4ECE7ACC" w14:textId="77777777" w:rsidR="004D1500" w:rsidRPr="004D1500" w:rsidRDefault="004D1500" w:rsidP="003A4AA0">
      <w:pPr>
        <w:pStyle w:val="Heading2"/>
        <w:rPr>
          <w:lang w:val="en-AU"/>
        </w:rPr>
      </w:pPr>
      <w:bookmarkStart w:id="43" w:name="_Toc216956830"/>
      <w:r w:rsidRPr="004D1500">
        <w:rPr>
          <w:lang w:val="en-AU"/>
        </w:rPr>
        <w:t>Impacts of the online ‘manosphere’ on teachers and schools</w:t>
      </w:r>
      <w:bookmarkEnd w:id="43"/>
    </w:p>
    <w:p w14:paraId="6249C165" w14:textId="77777777" w:rsidR="004D1500" w:rsidRPr="005C693B" w:rsidRDefault="004D1500" w:rsidP="005C693B">
      <w:pPr>
        <w:rPr>
          <w:lang w:val="en-AU"/>
        </w:rPr>
      </w:pPr>
      <w:r w:rsidRPr="005C693B">
        <w:rPr>
          <w:lang w:val="en-AU"/>
        </w:rPr>
        <w:t>‘</w:t>
      </w:r>
      <w:proofErr w:type="spellStart"/>
      <w:r w:rsidRPr="005C693B">
        <w:rPr>
          <w:lang w:val="en-AU"/>
        </w:rPr>
        <w:t>Manfluencers</w:t>
      </w:r>
      <w:proofErr w:type="spellEnd"/>
      <w:r w:rsidRPr="005C693B">
        <w:rPr>
          <w:lang w:val="en-AU"/>
        </w:rPr>
        <w:t>’ is a term used to describe online influencers such as Andrew Tate who promote extreme or misogynistic views and harmful masculine ideals associated with a status that is accrued through the sexualisation and objectification of women, as well as other status markers such as wealth accumulation.</w:t>
      </w:r>
      <w:r w:rsidRPr="004D1500">
        <w:rPr>
          <w:rFonts w:cstheme="minorBidi"/>
          <w:spacing w:val="-5"/>
          <w:sz w:val="24"/>
          <w:vertAlign w:val="superscript"/>
          <w:lang w:val="en-AU"/>
        </w:rPr>
        <w:endnoteReference w:id="130"/>
      </w:r>
      <w:r w:rsidRPr="005C693B">
        <w:rPr>
          <w:lang w:val="en-AU"/>
        </w:rPr>
        <w:t xml:space="preserve"> ‘</w:t>
      </w:r>
      <w:proofErr w:type="spellStart"/>
      <w:r w:rsidRPr="005C693B">
        <w:rPr>
          <w:lang w:val="en-AU"/>
        </w:rPr>
        <w:t>Manfluencers</w:t>
      </w:r>
      <w:proofErr w:type="spellEnd"/>
      <w:r w:rsidRPr="005C693B">
        <w:rPr>
          <w:lang w:val="en-AU"/>
        </w:rPr>
        <w:t>’ are part of a broader misogynistic backlash that is commonly expressed within the ‘manosphere’, or those online ‘territories’ and communities that serve men’s interests, complaints and desires.</w:t>
      </w:r>
      <w:r w:rsidRPr="004D1500">
        <w:rPr>
          <w:rFonts w:cstheme="minorBidi"/>
          <w:spacing w:val="-5"/>
          <w:sz w:val="24"/>
          <w:vertAlign w:val="superscript"/>
          <w:lang w:val="en-AU"/>
        </w:rPr>
        <w:endnoteReference w:id="131"/>
      </w:r>
      <w:r w:rsidRPr="005C693B">
        <w:rPr>
          <w:lang w:val="en-AU"/>
        </w:rPr>
        <w:t xml:space="preserve"> </w:t>
      </w:r>
    </w:p>
    <w:p w14:paraId="428D1F00" w14:textId="77777777" w:rsidR="004D1500" w:rsidRPr="005C693B" w:rsidRDefault="004D1500" w:rsidP="005C693B">
      <w:pPr>
        <w:rPr>
          <w:lang w:val="en-AU"/>
        </w:rPr>
      </w:pPr>
      <w:r w:rsidRPr="005C693B">
        <w:rPr>
          <w:lang w:val="en-AU"/>
        </w:rPr>
        <w:t>Teachers in Australia have observed an increased presentation of sexist forms of aggression from boys in secondary schools, and have linked this to ‘</w:t>
      </w:r>
      <w:proofErr w:type="spellStart"/>
      <w:r w:rsidRPr="005C693B">
        <w:rPr>
          <w:lang w:val="en-AU"/>
        </w:rPr>
        <w:t>manfluencers</w:t>
      </w:r>
      <w:proofErr w:type="spellEnd"/>
      <w:r w:rsidRPr="005C693B">
        <w:rPr>
          <w:lang w:val="en-AU"/>
        </w:rPr>
        <w:t>.’</w:t>
      </w:r>
      <w:r w:rsidRPr="004D1500">
        <w:rPr>
          <w:rFonts w:cstheme="minorBidi"/>
          <w:spacing w:val="-5"/>
          <w:sz w:val="24"/>
          <w:vertAlign w:val="superscript"/>
          <w:lang w:val="en-AU"/>
        </w:rPr>
        <w:endnoteReference w:id="132"/>
      </w:r>
      <w:r w:rsidRPr="004D1500">
        <w:rPr>
          <w:rFonts w:cstheme="minorBidi"/>
          <w:spacing w:val="-5"/>
          <w:sz w:val="24"/>
          <w:vertAlign w:val="superscript"/>
          <w:lang w:val="en-AU"/>
        </w:rPr>
        <w:t xml:space="preserve"> </w:t>
      </w:r>
      <w:r w:rsidRPr="005C693B">
        <w:rPr>
          <w:lang w:val="en-AU"/>
        </w:rPr>
        <w:t xml:space="preserve">In this context, teachers report concerning shifts in behaviour of </w:t>
      </w:r>
      <w:r w:rsidRPr="005C693B">
        <w:rPr>
          <w:lang w:val="en-AU"/>
        </w:rPr>
        <w:lastRenderedPageBreak/>
        <w:t xml:space="preserve">boys towards girls and female staff due to the influence of the problematic </w:t>
      </w:r>
      <w:proofErr w:type="spellStart"/>
      <w:r w:rsidRPr="005C693B">
        <w:rPr>
          <w:lang w:val="en-AU"/>
        </w:rPr>
        <w:t>manfluencer</w:t>
      </w:r>
      <w:proofErr w:type="spellEnd"/>
      <w:r w:rsidRPr="005C693B">
        <w:rPr>
          <w:lang w:val="en-AU"/>
        </w:rPr>
        <w:t xml:space="preserve"> Andrew Tate. Researchers interviewed 30 women who are teachers in public and private schools in Australia and explored their perceptions of the influence of Tate on upper primary and secondary school boys’ attitudes and behaviour.</w:t>
      </w:r>
      <w:r w:rsidRPr="004D1500">
        <w:rPr>
          <w:rFonts w:cstheme="minorBidi"/>
          <w:spacing w:val="-5"/>
          <w:sz w:val="24"/>
          <w:vertAlign w:val="superscript"/>
          <w:lang w:val="en-AU"/>
        </w:rPr>
        <w:endnoteReference w:id="133"/>
      </w:r>
      <w:r w:rsidRPr="005C693B">
        <w:rPr>
          <w:lang w:val="en-AU"/>
        </w:rPr>
        <w:t>The behaviours reported by respondents included:’</w:t>
      </w:r>
    </w:p>
    <w:p w14:paraId="3AEB1EA3" w14:textId="77777777" w:rsidR="004D1500" w:rsidRPr="00562192" w:rsidRDefault="004D1500" w:rsidP="001920A0">
      <w:pPr>
        <w:pStyle w:val="ListBullet"/>
      </w:pPr>
      <w:r w:rsidRPr="00562192">
        <w:t>a rise in sexist comments</w:t>
      </w:r>
    </w:p>
    <w:p w14:paraId="690332AC" w14:textId="77777777" w:rsidR="004D1500" w:rsidRPr="00562192" w:rsidRDefault="004D1500" w:rsidP="001920A0">
      <w:pPr>
        <w:pStyle w:val="ListBullet"/>
      </w:pPr>
      <w:r w:rsidRPr="00562192">
        <w:t>boys citing Tate’s views regarding the inferiority of women as facts</w:t>
      </w:r>
    </w:p>
    <w:p w14:paraId="3ABBDA0F" w14:textId="77777777" w:rsidR="004D1500" w:rsidRPr="00562192" w:rsidRDefault="004D1500" w:rsidP="001920A0">
      <w:pPr>
        <w:pStyle w:val="ListBullet"/>
      </w:pPr>
      <w:r w:rsidRPr="00562192">
        <w:t>boys gaslighting girls and female teachers using Tate’s language</w:t>
      </w:r>
    </w:p>
    <w:p w14:paraId="53A948AA" w14:textId="77777777" w:rsidR="004D1500" w:rsidRPr="00562192" w:rsidRDefault="004D1500" w:rsidP="001920A0">
      <w:pPr>
        <w:pStyle w:val="ListBullet"/>
      </w:pPr>
      <w:r w:rsidRPr="00562192">
        <w:t>displays of dominance and disciplinary defiance by boys, such as talking over others and making sexualised moaning sounds</w:t>
      </w:r>
    </w:p>
    <w:p w14:paraId="20558C15" w14:textId="77777777" w:rsidR="004D1500" w:rsidRPr="00562192" w:rsidRDefault="004D1500" w:rsidP="001920A0">
      <w:pPr>
        <w:pStyle w:val="ListBullet"/>
      </w:pPr>
      <w:r w:rsidRPr="00562192">
        <w:t>engaging in verbal and physical forms of sexual harassment</w:t>
      </w:r>
    </w:p>
    <w:p w14:paraId="0CEBD1CE" w14:textId="77777777" w:rsidR="004D1500" w:rsidRPr="005C693B" w:rsidRDefault="004D1500" w:rsidP="001920A0">
      <w:pPr>
        <w:pStyle w:val="ListBullet"/>
      </w:pPr>
      <w:r w:rsidRPr="005C693B">
        <w:t>interrupting and derailing lessons.</w:t>
      </w:r>
      <w:r w:rsidRPr="004D1500">
        <w:rPr>
          <w:rFonts w:cstheme="minorBidi"/>
          <w:spacing w:val="-5"/>
          <w:sz w:val="24"/>
          <w:vertAlign w:val="superscript"/>
        </w:rPr>
        <w:endnoteReference w:id="134"/>
      </w:r>
    </w:p>
    <w:p w14:paraId="4DDC8CF3" w14:textId="77777777" w:rsidR="004D1500" w:rsidRPr="005C693B" w:rsidRDefault="004D1500" w:rsidP="005C693B">
      <w:pPr>
        <w:rPr>
          <w:lang w:val="en-AU"/>
        </w:rPr>
      </w:pPr>
      <w:r w:rsidRPr="005C693B">
        <w:rPr>
          <w:lang w:val="en-AU"/>
        </w:rPr>
        <w:t>Overall, teachers reported that boys influenced by Tate and the manosphere were challenging female teachers in ways they do not challenge male teachers. Female teachers additionally reported receiving insufficient support from school principals, who often attributed the problem to a deficiency in the teachers’ skills.</w:t>
      </w:r>
      <w:r w:rsidRPr="004D1500">
        <w:rPr>
          <w:rFonts w:cstheme="minorBidi"/>
          <w:spacing w:val="-5"/>
          <w:sz w:val="24"/>
          <w:vertAlign w:val="superscript"/>
          <w:lang w:val="en-AU"/>
        </w:rPr>
        <w:endnoteReference w:id="135"/>
      </w:r>
      <w:r w:rsidRPr="005C693B">
        <w:rPr>
          <w:lang w:val="en-AU"/>
        </w:rPr>
        <w:t xml:space="preserve"> Researchers argue that the rise in aggressive and controlling forms of sexist behaviour reflects extreme discourses of male supremacy, and suggest it may be part of a broader societal backlash that has occurred over the past decade.</w:t>
      </w:r>
      <w:r w:rsidRPr="004D1500">
        <w:rPr>
          <w:rFonts w:cstheme="minorBidi"/>
          <w:spacing w:val="-5"/>
          <w:sz w:val="24"/>
          <w:vertAlign w:val="superscript"/>
          <w:lang w:val="en-AU"/>
        </w:rPr>
        <w:endnoteReference w:id="136"/>
      </w:r>
      <w:r w:rsidRPr="005C693B">
        <w:rPr>
          <w:lang w:val="en-AU"/>
        </w:rPr>
        <w:t xml:space="preserve"> </w:t>
      </w:r>
    </w:p>
    <w:p w14:paraId="21181A33" w14:textId="77777777" w:rsidR="004D1500" w:rsidRDefault="004D1500" w:rsidP="005C693B">
      <w:pPr>
        <w:rPr>
          <w:lang w:val="en-AU"/>
        </w:rPr>
      </w:pPr>
      <w:r w:rsidRPr="005C693B">
        <w:rPr>
          <w:lang w:val="en-AU"/>
        </w:rPr>
        <w:t xml:space="preserve">The influence of </w:t>
      </w:r>
      <w:proofErr w:type="spellStart"/>
      <w:r w:rsidRPr="005C693B">
        <w:rPr>
          <w:lang w:val="en-AU"/>
        </w:rPr>
        <w:t>manfluencers</w:t>
      </w:r>
      <w:proofErr w:type="spellEnd"/>
      <w:r w:rsidRPr="005C693B">
        <w:rPr>
          <w:lang w:val="en-AU"/>
        </w:rPr>
        <w:t xml:space="preserve"> such as Tate and the manosphere within education settings is a challenge, with opportunities for building research and the evidence base that underpins future prevention work in this areas. Opportunities also exist to strengthen education approaches, to enable schools to respond appropriately to the influence of the ‘manosphere’ and misogynistic backlash. This work is not only important for mitigating how young people are using and disseminating misogynistic views and attitudes, but also for improving the safety of school staff and stakeholders. Parents and carers should be involved in discussions and whole-of-school approaches, to support and reinforce consistent messaging for young people. This approach will ensure that students engaging in such rhetoric have support and safe spaces available to them to critically analyse and understand why they think and act in these ways, while maintaining a level of accountability. </w:t>
      </w:r>
    </w:p>
    <w:p w14:paraId="4C44D5F0" w14:textId="77777777" w:rsidR="002F00AF" w:rsidRPr="004D1500" w:rsidRDefault="002F00AF" w:rsidP="005C693B">
      <w:pPr>
        <w:rPr>
          <w:rFonts w:ascii="Calibri Light" w:eastAsia="Calibri Light" w:hAnsi="Calibri Light" w:cs="Calibri Light"/>
          <w:color w:val="000000" w:themeColor="text1"/>
          <w:spacing w:val="-5"/>
          <w:sz w:val="24"/>
          <w:lang w:val="en-AU"/>
        </w:rPr>
      </w:pPr>
    </w:p>
    <w:p w14:paraId="34B1DACA" w14:textId="77777777" w:rsidR="004D1500" w:rsidRPr="004D1500" w:rsidRDefault="004D1500" w:rsidP="003A4AA0">
      <w:pPr>
        <w:pStyle w:val="Heading2"/>
        <w:rPr>
          <w:lang w:val="en-AU"/>
        </w:rPr>
      </w:pPr>
      <w:bookmarkStart w:id="44" w:name="_Toc216956831"/>
      <w:r w:rsidRPr="004D1500">
        <w:rPr>
          <w:lang w:val="en-AU"/>
        </w:rPr>
        <w:t>Conclusion</w:t>
      </w:r>
      <w:bookmarkEnd w:id="44"/>
    </w:p>
    <w:p w14:paraId="26233D11" w14:textId="32C09E7D" w:rsidR="004D1500" w:rsidRDefault="004D1500" w:rsidP="00562192">
      <w:pPr>
        <w:rPr>
          <w:lang w:val="en-AU"/>
        </w:rPr>
      </w:pPr>
      <w:r w:rsidRPr="00562192">
        <w:rPr>
          <w:lang w:val="en-AU"/>
        </w:rPr>
        <w:t xml:space="preserve">Gender inequality, harmful stereotypes and the drivers of gender-based violence are embedded in the practices of coercive sexting and deepfake image creation as forms of image-based abuse. Sexting education is not nominated as a standalone area of the Australian Curriculum’s sexuality and respectful relationships education curriculum; however, research into young people’s experiences of sexting and image-based abuse demonstrates the importance of applying concepts of consent to the online world, within broader approaches to respectful relationships and sexuality education. The changing nature of gender norms and resistance in the form of the ‘manosphere’ reinforce the need for students to have safe and open conversations with trusted and knowledgeable teachers. As technologies and practices evolve, schools and educators must grasp the role and impact of these emerging issues in and on young people’s lives and relationships. </w:t>
      </w:r>
    </w:p>
    <w:p w14:paraId="2A4D719D" w14:textId="77777777" w:rsidR="001750BD" w:rsidRDefault="001750BD" w:rsidP="00562192">
      <w:pPr>
        <w:rPr>
          <w:lang w:val="en-AU"/>
        </w:rPr>
      </w:pPr>
    </w:p>
    <w:p w14:paraId="2A6B9473" w14:textId="77777777" w:rsidR="00DD75B4" w:rsidRDefault="00DD75B4" w:rsidP="00562192">
      <w:pPr>
        <w:rPr>
          <w:lang w:val="en-AU"/>
        </w:rPr>
        <w:sectPr w:rsidR="00DD75B4" w:rsidSect="001D557C">
          <w:headerReference w:type="default" r:id="rId24"/>
          <w:endnotePr>
            <w:numFmt w:val="decimal"/>
          </w:endnotePr>
          <w:pgSz w:w="11900" w:h="16840"/>
          <w:pgMar w:top="851" w:right="2268" w:bottom="1134" w:left="1134" w:header="0" w:footer="567" w:gutter="0"/>
          <w:cols w:space="708"/>
          <w:docGrid w:linePitch="360"/>
        </w:sectPr>
      </w:pPr>
    </w:p>
    <w:p w14:paraId="30EA8C2B" w14:textId="558B8374" w:rsidR="004D1500" w:rsidRPr="00251ECF" w:rsidRDefault="004D1500" w:rsidP="00251ECF">
      <w:pPr>
        <w:pStyle w:val="Heading1"/>
      </w:pPr>
      <w:bookmarkStart w:id="45" w:name="_Toc216956832"/>
      <w:r w:rsidRPr="00251ECF">
        <w:lastRenderedPageBreak/>
        <w:t xml:space="preserve">Section 3: </w:t>
      </w:r>
      <w:r w:rsidR="001750BD">
        <w:br/>
      </w:r>
      <w:r w:rsidRPr="00DD75B4">
        <w:rPr>
          <w:rFonts w:ascii="Roboto" w:hAnsi="Roboto"/>
          <w:b w:val="0"/>
        </w:rPr>
        <w:t xml:space="preserve">Children, young people </w:t>
      </w:r>
      <w:r w:rsidR="00A67E87">
        <w:rPr>
          <w:rFonts w:ascii="Roboto" w:hAnsi="Roboto"/>
          <w:b w:val="0"/>
        </w:rPr>
        <w:br/>
      </w:r>
      <w:r w:rsidRPr="00DD75B4">
        <w:rPr>
          <w:rFonts w:ascii="Roboto" w:hAnsi="Roboto"/>
          <w:b w:val="0"/>
        </w:rPr>
        <w:t>and pornography</w:t>
      </w:r>
      <w:bookmarkEnd w:id="45"/>
    </w:p>
    <w:p w14:paraId="3110230A" w14:textId="77777777" w:rsidR="004D1500" w:rsidRPr="005C693B" w:rsidRDefault="004D1500" w:rsidP="005C693B">
      <w:pPr>
        <w:rPr>
          <w:lang w:val="en-AU"/>
        </w:rPr>
      </w:pPr>
      <w:r w:rsidRPr="00CA792A">
        <w:rPr>
          <w:rStyle w:val="Strong"/>
          <w:lang w:val="en-AU"/>
        </w:rPr>
        <w:t>Significant international research demonstrates the gendered nature of harmful sexual practices displayed in some pornography, and the negative impacts that such content can have on the views and expectations of young people around sex, intimacy and gender roles.</w:t>
      </w:r>
      <w:r w:rsidRPr="005C693B">
        <w:rPr>
          <w:lang w:val="en-AU"/>
        </w:rPr>
        <w:t xml:space="preserve"> Pornography refers to sexually explicit material, produced and consumed through a range of platforms, that is designed to sexually arouse the viewer or audience.</w:t>
      </w:r>
      <w:r w:rsidRPr="004D1500">
        <w:rPr>
          <w:rFonts w:cstheme="minorBidi"/>
          <w:spacing w:val="-5"/>
          <w:sz w:val="24"/>
          <w:vertAlign w:val="superscript"/>
          <w:lang w:val="en-AU"/>
        </w:rPr>
        <w:endnoteReference w:id="137"/>
      </w:r>
      <w:r w:rsidRPr="005C693B">
        <w:rPr>
          <w:lang w:val="en-AU"/>
        </w:rPr>
        <w:t xml:space="preserve"> While there are mainstream, dominant forms of pornography that are heterosexual in nature, pornography can also be diverse in terms of content and encompass a range of sexual orientations, practices and preferences.</w:t>
      </w:r>
      <w:r w:rsidRPr="004D1500">
        <w:rPr>
          <w:rFonts w:cstheme="minorBidi"/>
          <w:spacing w:val="-5"/>
          <w:sz w:val="24"/>
          <w:vertAlign w:val="superscript"/>
          <w:lang w:val="en-AU"/>
        </w:rPr>
        <w:endnoteReference w:id="138"/>
      </w:r>
    </w:p>
    <w:p w14:paraId="531D132B" w14:textId="77777777" w:rsidR="004D1500" w:rsidRDefault="004D1500" w:rsidP="005C693B">
      <w:pPr>
        <w:rPr>
          <w:lang w:val="en-AU"/>
        </w:rPr>
      </w:pPr>
      <w:r w:rsidRPr="005C693B">
        <w:rPr>
          <w:lang w:val="en-AU"/>
        </w:rPr>
        <w:t>Pornography is widely accessible to young people, as it is produced and consumed through a range of online platforms (including text, video and image-based). Many pornography websites offer free access to some of their materials. Most young people will be first exposed to online pornography during childhood or early adolescence, and before engaging in their first sexual relationship.</w:t>
      </w:r>
      <w:r w:rsidRPr="004D1500">
        <w:rPr>
          <w:rFonts w:cstheme="minorBidi"/>
          <w:spacing w:val="-5"/>
          <w:sz w:val="24"/>
          <w:vertAlign w:val="superscript"/>
          <w:lang w:val="en-AU"/>
        </w:rPr>
        <w:endnoteReference w:id="139"/>
      </w:r>
      <w:r w:rsidRPr="005C693B">
        <w:rPr>
          <w:lang w:val="en-AU"/>
        </w:rPr>
        <w:t xml:space="preserve"> Pornography has significant impacts on children and young people, including on their learning about sex, intimacy and consent.</w:t>
      </w:r>
    </w:p>
    <w:p w14:paraId="7B862103" w14:textId="77777777" w:rsidR="00B95EF9" w:rsidRPr="005C693B" w:rsidRDefault="00B95EF9" w:rsidP="005C693B">
      <w:pPr>
        <w:rPr>
          <w:lang w:val="en-AU"/>
        </w:rPr>
      </w:pPr>
    </w:p>
    <w:p w14:paraId="1D753EFA" w14:textId="643EE376" w:rsidR="004D1500" w:rsidRPr="004D1500" w:rsidRDefault="004D1500" w:rsidP="003A4AA0">
      <w:pPr>
        <w:pStyle w:val="Heading2"/>
        <w:rPr>
          <w:lang w:val="en-AU"/>
        </w:rPr>
      </w:pPr>
      <w:bookmarkStart w:id="46" w:name="_Toc216956833"/>
      <w:r w:rsidRPr="004D1500">
        <w:rPr>
          <w:lang w:val="en-AU"/>
        </w:rPr>
        <w:t xml:space="preserve">Depictions of young people and violence </w:t>
      </w:r>
      <w:r w:rsidR="00A67E87">
        <w:rPr>
          <w:lang w:val="en-AU"/>
        </w:rPr>
        <w:br/>
      </w:r>
      <w:r w:rsidRPr="004D1500">
        <w:rPr>
          <w:lang w:val="en-AU"/>
        </w:rPr>
        <w:t>in pornography</w:t>
      </w:r>
      <w:bookmarkEnd w:id="46"/>
    </w:p>
    <w:p w14:paraId="35FDB4F1" w14:textId="77777777" w:rsidR="004D1500" w:rsidRPr="005C693B" w:rsidRDefault="004D1500" w:rsidP="005C693B">
      <w:pPr>
        <w:rPr>
          <w:lang w:val="en-AU"/>
        </w:rPr>
      </w:pPr>
      <w:r w:rsidRPr="005C693B">
        <w:rPr>
          <w:lang w:val="en-AU"/>
        </w:rPr>
        <w:t>Recent research demonstrates both that some young people intentionally access pornography and that many young people do not like encountering pornography when it occurs unintentionally or accidentally.</w:t>
      </w:r>
      <w:r w:rsidRPr="004D1500">
        <w:rPr>
          <w:rFonts w:cstheme="minorBidi"/>
          <w:spacing w:val="-5"/>
          <w:sz w:val="24"/>
          <w:vertAlign w:val="superscript"/>
          <w:lang w:val="en-AU"/>
        </w:rPr>
        <w:endnoteReference w:id="140"/>
      </w:r>
      <w:r w:rsidRPr="005C693B">
        <w:rPr>
          <w:lang w:val="en-AU"/>
        </w:rPr>
        <w:t xml:space="preserve"> Young people recognise that pornography can have some positive benefits in assisting them to learn about sex and better understand their sexuality. Simultaneously, they acknowledge the negative impacts that pornography can have on their expectations around sex and intimacy, and call for non-judgemental education that supports them to make informed and safe choices about sex.</w:t>
      </w:r>
      <w:r w:rsidRPr="004D1500">
        <w:rPr>
          <w:rFonts w:cstheme="minorBidi"/>
          <w:spacing w:val="-5"/>
          <w:sz w:val="24"/>
          <w:vertAlign w:val="superscript"/>
          <w:lang w:val="en-AU"/>
        </w:rPr>
        <w:endnoteReference w:id="141"/>
      </w:r>
    </w:p>
    <w:p w14:paraId="61135D43" w14:textId="77777777" w:rsidR="004D1500" w:rsidRPr="005C693B" w:rsidRDefault="004D1500" w:rsidP="005C693B">
      <w:pPr>
        <w:rPr>
          <w:lang w:val="en-AU"/>
        </w:rPr>
      </w:pPr>
      <w:r w:rsidRPr="005C693B">
        <w:rPr>
          <w:lang w:val="en-AU"/>
        </w:rPr>
        <w:t>One study highlights how mainstream pornography normalises sexual violence.</w:t>
      </w:r>
      <w:r w:rsidRPr="004D1500">
        <w:rPr>
          <w:rFonts w:cstheme="minorBidi"/>
          <w:spacing w:val="-5"/>
          <w:sz w:val="24"/>
          <w:vertAlign w:val="superscript"/>
          <w:lang w:val="en-AU"/>
        </w:rPr>
        <w:endnoteReference w:id="142"/>
      </w:r>
      <w:r w:rsidRPr="005C693B">
        <w:rPr>
          <w:lang w:val="en-AU"/>
        </w:rPr>
        <w:t xml:space="preserve"> The study analysed more than 150,000 video titles found on the landing pages of the 3 most popular mainstream pornography websites offering free videos in the UK (</w:t>
      </w:r>
      <w:proofErr w:type="spellStart"/>
      <w:r w:rsidRPr="005C693B">
        <w:rPr>
          <w:lang w:val="en-AU"/>
        </w:rPr>
        <w:t>Xhamster</w:t>
      </w:r>
      <w:proofErr w:type="spellEnd"/>
      <w:r w:rsidRPr="005C693B">
        <w:rPr>
          <w:lang w:val="en-AU"/>
        </w:rPr>
        <w:t xml:space="preserve">, Pornhub, and </w:t>
      </w:r>
      <w:proofErr w:type="spellStart"/>
      <w:r w:rsidRPr="005C693B">
        <w:rPr>
          <w:lang w:val="en-AU"/>
        </w:rPr>
        <w:t>XVideos</w:t>
      </w:r>
      <w:proofErr w:type="spellEnd"/>
      <w:r w:rsidRPr="005C693B">
        <w:rPr>
          <w:lang w:val="en-AU"/>
        </w:rPr>
        <w:t xml:space="preserve">). Researchers analysed video titles because they form the content immediately advertised to a new user. In other words, the titles are not displayed as a result of a user’s search terms or site history, but rather are the titles presented to a first-time user as they approach the site and could be encountered by young people if they access these sites. </w:t>
      </w:r>
    </w:p>
    <w:p w14:paraId="3EEDB9C4" w14:textId="77777777" w:rsidR="004D1500" w:rsidRPr="005C693B" w:rsidRDefault="004D1500" w:rsidP="005C693B">
      <w:pPr>
        <w:rPr>
          <w:lang w:val="en-AU"/>
        </w:rPr>
      </w:pPr>
      <w:r w:rsidRPr="005C693B">
        <w:rPr>
          <w:lang w:val="en-AU"/>
        </w:rPr>
        <w:lastRenderedPageBreak/>
        <w:t>Researchers found that 1 in every 8 titles (12%) shown to first-time users on the first page of the 3 porn sites describes sexual activity that constitutes sexual violence, including practices involving coercion, deception, non-consent and criminal activity.</w:t>
      </w:r>
      <w:r w:rsidRPr="004D1500">
        <w:rPr>
          <w:rFonts w:cstheme="minorBidi"/>
          <w:spacing w:val="-5"/>
          <w:sz w:val="24"/>
          <w:vertAlign w:val="superscript"/>
          <w:lang w:val="en-AU"/>
        </w:rPr>
        <w:endnoteReference w:id="143"/>
      </w:r>
      <w:r w:rsidRPr="005C693B">
        <w:rPr>
          <w:lang w:val="en-AU"/>
        </w:rPr>
        <w:t xml:space="preserve"> When violence was found to be present, it was almost always perpetrated by men against women. Researchers grouped the titles that referred to violence into 4 broad categories of sexual violence: sexual activity between family members; aggression and assault; image-based sexual abuse; and coercive and exploitative sexual activity. Their analysis of word frequency in these titles also showed that ‘teen’ was the most frequently occurring word in both the entire data set and the sample coded as describing sexual violence. ‘Teen’ was the more common way to describe pornography than any description of a sex act or body part.</w:t>
      </w:r>
      <w:r w:rsidRPr="004D1500">
        <w:rPr>
          <w:rFonts w:cstheme="minorBidi"/>
          <w:spacing w:val="-5"/>
          <w:sz w:val="24"/>
          <w:vertAlign w:val="superscript"/>
          <w:lang w:val="en-AU"/>
        </w:rPr>
        <w:endnoteReference w:id="144"/>
      </w:r>
      <w:r w:rsidRPr="005C693B">
        <w:rPr>
          <w:lang w:val="en-AU"/>
        </w:rPr>
        <w:t xml:space="preserve"> Researchers noted that terms such as rape, incest, sexual assault and child abuse, which are used to name criminal behaviour, rarely appear in titles that describe or refer to these acts.</w:t>
      </w:r>
      <w:r w:rsidRPr="004D1500">
        <w:rPr>
          <w:rFonts w:cstheme="minorBidi"/>
          <w:spacing w:val="-5"/>
          <w:sz w:val="24"/>
          <w:vertAlign w:val="superscript"/>
          <w:lang w:val="en-AU"/>
        </w:rPr>
        <w:endnoteReference w:id="145"/>
      </w:r>
      <w:r w:rsidRPr="005C693B">
        <w:rPr>
          <w:lang w:val="en-AU"/>
        </w:rPr>
        <w:t xml:space="preserve"> The authors argued that these mainstream online pornography sites play a role in the normalisation of violent acts, by positioning these acts as acceptable or ordinary, rather than criminal and abusive. </w:t>
      </w:r>
    </w:p>
    <w:p w14:paraId="40FC79A8" w14:textId="77777777" w:rsidR="004D1500" w:rsidRPr="005C693B" w:rsidRDefault="004D1500" w:rsidP="005C693B">
      <w:pPr>
        <w:rPr>
          <w:lang w:val="en-AU"/>
        </w:rPr>
      </w:pPr>
      <w:r w:rsidRPr="005C693B">
        <w:rPr>
          <w:lang w:val="en-AU"/>
        </w:rPr>
        <w:t>A different study, which involved a content analysis of videos from a popular pornography site, found that the sexual practices shown were commonly unsafe, violent or demeaning to women; condoms were used in only 2% of the scenes; and men were more likely to be in dominant positions and women in submissive positions.</w:t>
      </w:r>
      <w:r w:rsidRPr="004D1500">
        <w:rPr>
          <w:rFonts w:cstheme="minorBidi"/>
          <w:spacing w:val="-5"/>
          <w:sz w:val="24"/>
          <w:vertAlign w:val="superscript"/>
          <w:lang w:val="en-AU"/>
        </w:rPr>
        <w:endnoteReference w:id="146"/>
      </w:r>
      <w:r w:rsidRPr="005C693B">
        <w:rPr>
          <w:lang w:val="en-AU"/>
        </w:rPr>
        <w:t xml:space="preserve"> Almost half of the videos portrayed women as willing to be dominated and included ejaculation onto the woman’s face.</w:t>
      </w:r>
      <w:r w:rsidRPr="004D1500">
        <w:rPr>
          <w:rFonts w:cstheme="minorBidi"/>
          <w:spacing w:val="-5"/>
          <w:sz w:val="24"/>
          <w:vertAlign w:val="superscript"/>
          <w:lang w:val="en-AU"/>
        </w:rPr>
        <w:endnoteReference w:id="147"/>
      </w:r>
    </w:p>
    <w:p w14:paraId="30D3F9A0" w14:textId="77777777" w:rsidR="004D1500" w:rsidRPr="00562192" w:rsidRDefault="004D1500" w:rsidP="00562192">
      <w:pPr>
        <w:rPr>
          <w:lang w:val="en-AU"/>
        </w:rPr>
      </w:pPr>
      <w:r w:rsidRPr="00562192">
        <w:rPr>
          <w:lang w:val="en-AU"/>
        </w:rPr>
        <w:t xml:space="preserve">A separate study of </w:t>
      </w:r>
      <w:r w:rsidRPr="00562192">
        <w:rPr>
          <w:lang w:val="en-US"/>
        </w:rPr>
        <w:t xml:space="preserve">3,767 videos from 2 free pornography sites found that significant levels of violence were targeted at females predominantly by males: </w:t>
      </w:r>
    </w:p>
    <w:p w14:paraId="4F1C2F90" w14:textId="77777777" w:rsidR="004D1500" w:rsidRPr="00562192" w:rsidRDefault="004D1500" w:rsidP="00B95EF9">
      <w:pPr>
        <w:pStyle w:val="ListBullet"/>
      </w:pPr>
      <w:r w:rsidRPr="00562192">
        <w:t>Site A: 45% of videos contained at least one act of aggression.</w:t>
      </w:r>
    </w:p>
    <w:p w14:paraId="0759893F" w14:textId="77777777" w:rsidR="004D1500" w:rsidRPr="00562192" w:rsidRDefault="004D1500" w:rsidP="00B95EF9">
      <w:pPr>
        <w:pStyle w:val="ListBullet"/>
      </w:pPr>
      <w:r w:rsidRPr="00562192">
        <w:t>Site B: 35% of videos contained at least one act of aggression.</w:t>
      </w:r>
    </w:p>
    <w:p w14:paraId="10F2F8E0" w14:textId="77777777" w:rsidR="004D1500" w:rsidRPr="00562192" w:rsidRDefault="004D1500" w:rsidP="00B95EF9">
      <w:pPr>
        <w:pStyle w:val="ListBullet"/>
      </w:pPr>
      <w:r w:rsidRPr="00562192">
        <w:t>Females were the target of aggression in 97% of the scenes.</w:t>
      </w:r>
    </w:p>
    <w:p w14:paraId="54426BB0" w14:textId="77777777" w:rsidR="004D1500" w:rsidRPr="00562192" w:rsidRDefault="004D1500" w:rsidP="00B95EF9">
      <w:pPr>
        <w:pStyle w:val="ListBullet"/>
      </w:pPr>
      <w:r w:rsidRPr="00562192">
        <w:t>Males were perpetrators of aggression in 76% of scene.</w:t>
      </w:r>
    </w:p>
    <w:p w14:paraId="132A0F44" w14:textId="77777777" w:rsidR="004D1500" w:rsidRPr="005C693B" w:rsidRDefault="004D1500" w:rsidP="005C693B">
      <w:pPr>
        <w:rPr>
          <w:lang w:val="en-AU"/>
        </w:rPr>
      </w:pPr>
      <w:r w:rsidRPr="005C693B">
        <w:rPr>
          <w:lang w:val="en-AU"/>
        </w:rPr>
        <w:t>Aggressive behaviours included hitting, choking or hair pulling, with female characters often being shown as being neutral about the aggression or being portrayed as if they enjoyed the aggressive acts. Women were also sometimes shown being violent to other women or to themselves, but not towards men</w:t>
      </w:r>
      <w:r w:rsidRPr="005C693B">
        <w:rPr>
          <w:lang w:val="en-US"/>
        </w:rPr>
        <w:t>.</w:t>
      </w:r>
      <w:r w:rsidRPr="004D1500">
        <w:rPr>
          <w:rFonts w:cstheme="minorBidi"/>
          <w:spacing w:val="-5"/>
          <w:sz w:val="24"/>
          <w:vertAlign w:val="superscript"/>
          <w:lang w:val="en-AU"/>
        </w:rPr>
        <w:endnoteReference w:id="148"/>
      </w:r>
      <w:r w:rsidRPr="005C693B">
        <w:rPr>
          <w:lang w:val="en-AU"/>
        </w:rPr>
        <w:t xml:space="preserve"> </w:t>
      </w:r>
    </w:p>
    <w:p w14:paraId="4F984C63" w14:textId="5E1DA20E" w:rsidR="004D1500" w:rsidRDefault="004D1500" w:rsidP="005C693B">
      <w:pPr>
        <w:rPr>
          <w:lang w:val="en-AU"/>
        </w:rPr>
      </w:pPr>
      <w:r w:rsidRPr="005C693B">
        <w:rPr>
          <w:lang w:val="en-AU"/>
        </w:rPr>
        <w:t>The depiction of and normalisation of gender-based violence in mainstream pornography presents serious risks to young people’s understanding of sex, consent, gender roles and non-violence.</w:t>
      </w:r>
      <w:r w:rsidRPr="004D1500">
        <w:rPr>
          <w:rFonts w:cstheme="minorBidi"/>
          <w:spacing w:val="-5"/>
          <w:sz w:val="24"/>
          <w:vertAlign w:val="superscript"/>
          <w:lang w:val="en-AU"/>
        </w:rPr>
        <w:endnoteReference w:id="149"/>
      </w:r>
      <w:r w:rsidRPr="005C693B">
        <w:rPr>
          <w:lang w:val="en-AU"/>
        </w:rPr>
        <w:t xml:space="preserve"> Research highlights the urgent need for non-judgemental, evidence-based education that equips young people to critically </w:t>
      </w:r>
      <w:r w:rsidR="00587077">
        <w:rPr>
          <w:lang w:val="en-AU"/>
        </w:rPr>
        <w:br/>
      </w:r>
      <w:r w:rsidRPr="005C693B">
        <w:rPr>
          <w:lang w:val="en-AU"/>
        </w:rPr>
        <w:t>engage with sexual content such as pornography to support safe and respectful sexual practices.</w:t>
      </w:r>
    </w:p>
    <w:p w14:paraId="74C5E7DE" w14:textId="77777777" w:rsidR="00B95EF9" w:rsidRPr="005C693B" w:rsidRDefault="00B95EF9" w:rsidP="005C693B">
      <w:pPr>
        <w:rPr>
          <w:lang w:val="en-AU"/>
        </w:rPr>
      </w:pPr>
    </w:p>
    <w:p w14:paraId="20B76402" w14:textId="77777777" w:rsidR="004D1500" w:rsidRPr="004D1500" w:rsidRDefault="004D1500" w:rsidP="003A4AA0">
      <w:pPr>
        <w:pStyle w:val="Heading2"/>
        <w:rPr>
          <w:lang w:val="en-AU"/>
        </w:rPr>
      </w:pPr>
      <w:bookmarkStart w:id="47" w:name="_Toc216956834"/>
      <w:r w:rsidRPr="004D1500">
        <w:rPr>
          <w:lang w:val="en-AU"/>
        </w:rPr>
        <w:t>How and at what age are children and young people exposed to pornography</w:t>
      </w:r>
      <w:bookmarkEnd w:id="47"/>
    </w:p>
    <w:p w14:paraId="368465BD" w14:textId="77777777" w:rsidR="004D1500" w:rsidRPr="00562192" w:rsidRDefault="004D1500" w:rsidP="00562192">
      <w:pPr>
        <w:rPr>
          <w:lang w:val="en-AU"/>
        </w:rPr>
      </w:pPr>
      <w:r w:rsidRPr="00562192">
        <w:rPr>
          <w:lang w:val="en-AU"/>
        </w:rPr>
        <w:t xml:space="preserve">An understanding of how and when children and young people are being exposed to and then engaging with pornography can help to guide educational approaches, and support children and young people to critically interrogate what they are consuming. </w:t>
      </w:r>
    </w:p>
    <w:p w14:paraId="103FC24E" w14:textId="77777777" w:rsidR="004D1500" w:rsidRPr="005C693B" w:rsidRDefault="004D1500" w:rsidP="005C693B">
      <w:pPr>
        <w:rPr>
          <w:lang w:val="en-AU"/>
        </w:rPr>
      </w:pPr>
      <w:r w:rsidRPr="005C693B">
        <w:rPr>
          <w:lang w:val="en-AU"/>
        </w:rPr>
        <w:lastRenderedPageBreak/>
        <w:t xml:space="preserve">The Australian </w:t>
      </w:r>
      <w:proofErr w:type="spellStart"/>
      <w:r w:rsidRPr="005C693B">
        <w:rPr>
          <w:lang w:val="en-AU"/>
        </w:rPr>
        <w:t>eSafety</w:t>
      </w:r>
      <w:proofErr w:type="spellEnd"/>
      <w:r w:rsidRPr="005C693B">
        <w:rPr>
          <w:lang w:val="en-AU"/>
        </w:rPr>
        <w:t xml:space="preserve"> Commissioner surveyed 1,004 young people and conducted focus groups with 32 young people aged 16–18 years to understand young people’s encounters with online pornography.</w:t>
      </w:r>
      <w:r w:rsidRPr="004D1500">
        <w:rPr>
          <w:rFonts w:cstheme="minorBidi"/>
          <w:spacing w:val="-5"/>
          <w:sz w:val="24"/>
          <w:vertAlign w:val="superscript"/>
          <w:lang w:val="en-AU"/>
        </w:rPr>
        <w:endnoteReference w:id="150"/>
      </w:r>
      <w:r w:rsidRPr="005C693B" w:rsidDel="00966352">
        <w:rPr>
          <w:lang w:val="en-AU"/>
        </w:rPr>
        <w:t xml:space="preserve"> </w:t>
      </w:r>
      <w:r w:rsidRPr="005C693B">
        <w:rPr>
          <w:lang w:val="en-AU"/>
        </w:rPr>
        <w:t xml:space="preserve">The survey showed that the majority of young people had experienced both unintentional (58%) and intentional (59%) encounters with pornography via pornography websites, other unrelated websites, social media, and communications from friends. First encounters were most commonly unintentional (30%). </w:t>
      </w:r>
    </w:p>
    <w:p w14:paraId="790DD81D" w14:textId="77777777" w:rsidR="004D1500" w:rsidRPr="005C693B" w:rsidRDefault="004D1500" w:rsidP="005C693B">
      <w:pPr>
        <w:rPr>
          <w:lang w:val="en-AU"/>
        </w:rPr>
      </w:pPr>
      <w:r w:rsidRPr="005C693B">
        <w:rPr>
          <w:lang w:val="en-AU"/>
        </w:rPr>
        <w:t>First encounters with pornography were found to occur before age 13. This was consistent with past data (2020), which found the average age of young people’s first viewing of pornography was 13.6 years (13.2 years for young men; 13.9 years for young women).</w:t>
      </w:r>
      <w:r w:rsidRPr="004D1500">
        <w:rPr>
          <w:rFonts w:cstheme="minorBidi"/>
          <w:spacing w:val="-5"/>
          <w:sz w:val="24"/>
          <w:vertAlign w:val="superscript"/>
          <w:lang w:val="en-AU"/>
        </w:rPr>
        <w:endnoteReference w:id="151"/>
      </w:r>
      <w:r w:rsidRPr="005C693B">
        <w:rPr>
          <w:lang w:val="en-AU"/>
        </w:rPr>
        <w:t xml:space="preserve"> It was also relatively consistent across genders, sexuality, and whether young people had a non–English-speaking parent.</w:t>
      </w:r>
      <w:r w:rsidRPr="004D1500">
        <w:rPr>
          <w:rFonts w:cstheme="minorBidi"/>
          <w:spacing w:val="-5"/>
          <w:sz w:val="24"/>
          <w:vertAlign w:val="superscript"/>
          <w:lang w:val="en-AU"/>
        </w:rPr>
        <w:endnoteReference w:id="152"/>
      </w:r>
      <w:r w:rsidRPr="005C693B">
        <w:rPr>
          <w:lang w:val="en-AU"/>
        </w:rPr>
        <w:t xml:space="preserve"> </w:t>
      </w:r>
    </w:p>
    <w:p w14:paraId="2328D011" w14:textId="77777777" w:rsidR="004D1500" w:rsidRPr="005C693B" w:rsidRDefault="004D1500" w:rsidP="005C693B">
      <w:pPr>
        <w:rPr>
          <w:lang w:val="en-AU"/>
        </w:rPr>
      </w:pPr>
      <w:r w:rsidRPr="005C693B">
        <w:rPr>
          <w:lang w:val="en-AU"/>
        </w:rPr>
        <w:t>The survey found that young people encountered pornography regularly, with 27% encountering it once a month, 23% once a week, 11% daily and 2% encountering it several times a day, with young men encountering it more frequently than young women.</w:t>
      </w:r>
      <w:r w:rsidRPr="004D1500">
        <w:rPr>
          <w:rFonts w:cstheme="minorBidi"/>
          <w:spacing w:val="-5"/>
          <w:sz w:val="24"/>
          <w:vertAlign w:val="superscript"/>
          <w:lang w:val="en-AU"/>
        </w:rPr>
        <w:endnoteReference w:id="153"/>
      </w:r>
      <w:r w:rsidRPr="005C693B">
        <w:rPr>
          <w:lang w:val="en-AU"/>
        </w:rPr>
        <w:t xml:space="preserve"> Young people who encountered pornography frequently (e.g. daily) were more likely to first encounter pornography before the age of 13, with just over half (52%) of those who encountered pornography daily having their first encounter before the age of 13, and nearly 9 in 10 (89%) of those who encountered pornography several times a day having their first encounter before the age of 13.</w:t>
      </w:r>
      <w:r w:rsidRPr="004D1500">
        <w:rPr>
          <w:rFonts w:cstheme="minorBidi"/>
          <w:spacing w:val="-5"/>
          <w:sz w:val="24"/>
          <w:vertAlign w:val="superscript"/>
          <w:lang w:val="en-AU"/>
        </w:rPr>
        <w:endnoteReference w:id="154"/>
      </w:r>
    </w:p>
    <w:p w14:paraId="6FC2D57E" w14:textId="31DEDD8F" w:rsidR="004D1500" w:rsidRPr="00562192" w:rsidRDefault="004D1500" w:rsidP="00562192">
      <w:pPr>
        <w:rPr>
          <w:lang w:val="en-AU"/>
        </w:rPr>
      </w:pPr>
      <w:r w:rsidRPr="00562192">
        <w:rPr>
          <w:lang w:val="en-AU"/>
        </w:rPr>
        <w:t xml:space="preserve">Most young people (84%) who intentionally encountered pornography watched it. </w:t>
      </w:r>
      <w:r w:rsidR="00587077">
        <w:rPr>
          <w:lang w:val="en-AU"/>
        </w:rPr>
        <w:br/>
      </w:r>
      <w:r w:rsidRPr="00562192">
        <w:rPr>
          <w:lang w:val="en-AU"/>
        </w:rPr>
        <w:t xml:space="preserve">Of young people who unintentionally encountered online pornography, 7 in 10 (71%) said they ignored it, as they found it intrusive and disempowering, and it made them feel uncomfortable. </w:t>
      </w:r>
    </w:p>
    <w:p w14:paraId="20854141" w14:textId="77777777" w:rsidR="004D1500" w:rsidRPr="00562192" w:rsidRDefault="004D1500" w:rsidP="00562192">
      <w:pPr>
        <w:rPr>
          <w:lang w:val="en-AU"/>
        </w:rPr>
      </w:pPr>
      <w:r w:rsidRPr="00562192">
        <w:rPr>
          <w:lang w:val="en-AU"/>
        </w:rPr>
        <w:t xml:space="preserve">Pornography sites (70%) and social media (60%) were the most common places for young people to encounter online pornography; however, participants also described seeing online pornography on platforms such as Instagram, Snapchat, Twitter (now known as X) and TikTok. </w:t>
      </w:r>
    </w:p>
    <w:p w14:paraId="33252578" w14:textId="77777777" w:rsidR="004D1500" w:rsidRPr="005C693B" w:rsidRDefault="004D1500" w:rsidP="00552732">
      <w:pPr>
        <w:rPr>
          <w:lang w:val="en-AU"/>
        </w:rPr>
      </w:pPr>
      <w:r w:rsidRPr="005C693B">
        <w:rPr>
          <w:lang w:val="en-AU"/>
        </w:rPr>
        <w:t>Recent research by Our Watch indicated that young men are more likely than young women to see pornography daily (53% compared to 12%).</w:t>
      </w:r>
      <w:r w:rsidRPr="004D1500">
        <w:rPr>
          <w:rFonts w:cstheme="minorBidi"/>
          <w:spacing w:val="-5"/>
          <w:sz w:val="24"/>
          <w:vertAlign w:val="superscript"/>
          <w:lang w:val="en-AU"/>
        </w:rPr>
        <w:endnoteReference w:id="155"/>
      </w:r>
      <w:r w:rsidRPr="005C693B">
        <w:rPr>
          <w:lang w:val="en-AU"/>
        </w:rPr>
        <w:t xml:space="preserve"> Young men who encountered online pornography were more likely than young women to see it intentionally (62% compared to 49%) and to encounter it on pornography sites (76% compared to 65%). Young women who had seen online pornography were more likely than young men to have encountered it unintentionally (73% compared to 56%) and via social media (66% compared to 49%).</w:t>
      </w:r>
      <w:r w:rsidRPr="004D1500">
        <w:rPr>
          <w:rFonts w:cstheme="minorBidi"/>
          <w:spacing w:val="-5"/>
          <w:sz w:val="24"/>
          <w:vertAlign w:val="superscript"/>
          <w:lang w:val="en-AU"/>
        </w:rPr>
        <w:endnoteReference w:id="156"/>
      </w:r>
      <w:r w:rsidRPr="005C693B">
        <w:rPr>
          <w:lang w:val="en-AU"/>
        </w:rPr>
        <w:t xml:space="preserve"> </w:t>
      </w:r>
    </w:p>
    <w:p w14:paraId="331B31AE" w14:textId="77777777" w:rsidR="004D1500" w:rsidRDefault="004D1500" w:rsidP="00562192">
      <w:pPr>
        <w:rPr>
          <w:lang w:val="en-AU"/>
        </w:rPr>
      </w:pPr>
      <w:r w:rsidRPr="00562192">
        <w:rPr>
          <w:lang w:val="en-AU"/>
        </w:rPr>
        <w:t xml:space="preserve">This data highlights that young people are being exposed to pornography early, frequently and often unintentionally, and that this exposure frequently occurs well before young people are developmentally prepared to understand or critically interpret what they are seeing. Exposure to pornography can influence young people’s understanding of sex, relationships, consent, body image and gender roles in ways that may not reflect healthy, respectful or realistic experiences. </w:t>
      </w:r>
    </w:p>
    <w:p w14:paraId="1539E95F" w14:textId="77777777" w:rsidR="00B95EF9" w:rsidRPr="00562192" w:rsidRDefault="00B95EF9" w:rsidP="00562192">
      <w:pPr>
        <w:rPr>
          <w:lang w:val="en-AU"/>
        </w:rPr>
      </w:pPr>
    </w:p>
    <w:p w14:paraId="354DA5D2" w14:textId="77777777" w:rsidR="004D1500" w:rsidRPr="004D1500" w:rsidRDefault="004D1500" w:rsidP="003A4AA0">
      <w:pPr>
        <w:pStyle w:val="Heading2"/>
        <w:rPr>
          <w:lang w:val="en-AU"/>
        </w:rPr>
      </w:pPr>
      <w:bookmarkStart w:id="48" w:name="_Toc216956835"/>
      <w:r w:rsidRPr="004D1500">
        <w:rPr>
          <w:lang w:val="en-AU"/>
        </w:rPr>
        <w:lastRenderedPageBreak/>
        <w:t>Influence of pornography on young people’s attitudes and behaviour</w:t>
      </w:r>
      <w:bookmarkEnd w:id="48"/>
    </w:p>
    <w:p w14:paraId="7EDF394F" w14:textId="77777777" w:rsidR="004D1500" w:rsidRPr="005C693B" w:rsidRDefault="004D1500" w:rsidP="005C693B">
      <w:pPr>
        <w:rPr>
          <w:lang w:val="en-AU"/>
        </w:rPr>
      </w:pPr>
      <w:r w:rsidRPr="005C693B">
        <w:rPr>
          <w:lang w:val="en-AU"/>
        </w:rPr>
        <w:t>Exposure to pornography during key formative stages of young people’s development, when they are beginning to recognise sexual feelings, develop value systems and explore their sexuality, may lead to the development of problematic norms and practices around sex.</w:t>
      </w:r>
      <w:r w:rsidRPr="004D1500">
        <w:rPr>
          <w:rFonts w:cstheme="minorBidi"/>
          <w:spacing w:val="-5"/>
          <w:sz w:val="24"/>
          <w:vertAlign w:val="superscript"/>
          <w:lang w:val="en-AU"/>
        </w:rPr>
        <w:endnoteReference w:id="157"/>
      </w:r>
      <w:r w:rsidRPr="005C693B">
        <w:rPr>
          <w:lang w:val="en-AU"/>
        </w:rPr>
        <w:t xml:space="preserve"> </w:t>
      </w:r>
    </w:p>
    <w:p w14:paraId="54A68B9A" w14:textId="77777777" w:rsidR="004D1500" w:rsidRPr="005C693B" w:rsidRDefault="004D1500" w:rsidP="005C693B">
      <w:pPr>
        <w:rPr>
          <w:lang w:val="en-AU"/>
        </w:rPr>
      </w:pPr>
      <w:r w:rsidRPr="005C693B">
        <w:rPr>
          <w:lang w:val="en-AU"/>
        </w:rPr>
        <w:t>Potential exists for young people to use pornography to learn about sex and relationships in lieu of sufficient sexuality and relationships education at school or elsewhere.</w:t>
      </w:r>
      <w:r w:rsidRPr="004D1500">
        <w:rPr>
          <w:rFonts w:cstheme="minorBidi"/>
          <w:spacing w:val="-5"/>
          <w:sz w:val="24"/>
          <w:vertAlign w:val="superscript"/>
          <w:lang w:val="en-AU"/>
        </w:rPr>
        <w:endnoteReference w:id="158"/>
      </w:r>
      <w:r w:rsidRPr="005C693B">
        <w:rPr>
          <w:lang w:val="en-AU"/>
        </w:rPr>
        <w:t xml:space="preserve"> For example, an Our Watch’s 2024 national online survey of 832 Australians aged 16–20 years found, 31% of young people who participated in an Our Watch survey reported watching porn as a form of sex education, despite many of them knowing it is not a trusted source for learning.</w:t>
      </w:r>
      <w:r w:rsidRPr="004D1500">
        <w:rPr>
          <w:rFonts w:cstheme="minorBidi"/>
          <w:spacing w:val="-5"/>
          <w:sz w:val="24"/>
          <w:vertAlign w:val="superscript"/>
          <w:lang w:val="en-AU"/>
        </w:rPr>
        <w:endnoteReference w:id="159"/>
      </w:r>
      <w:r w:rsidRPr="005C693B">
        <w:rPr>
          <w:lang w:val="en-AU"/>
        </w:rPr>
        <w:t xml:space="preserve"> A separate study of young people aged 14 to 17 years in New Zealand found that 9 in 10 (89%) respondents agreed with the statement that pornography could influence the actions and thoughts of people.</w:t>
      </w:r>
      <w:r w:rsidRPr="004D1500">
        <w:rPr>
          <w:rFonts w:cstheme="minorBidi"/>
          <w:spacing w:val="-5"/>
          <w:sz w:val="24"/>
          <w:vertAlign w:val="superscript"/>
          <w:lang w:val="en-AU"/>
        </w:rPr>
        <w:endnoteReference w:id="160"/>
      </w:r>
      <w:r w:rsidRPr="005C693B">
        <w:rPr>
          <w:lang w:val="en-AU"/>
        </w:rPr>
        <w:t xml:space="preserve"> Of the respondents who had consumed pornography in the previous 6 months and who were also in a relationship, 59% said they had tried something they had seen in pornography.</w:t>
      </w:r>
      <w:r w:rsidRPr="004D1500">
        <w:rPr>
          <w:rFonts w:cstheme="minorBidi"/>
          <w:spacing w:val="-5"/>
          <w:sz w:val="24"/>
          <w:vertAlign w:val="superscript"/>
          <w:lang w:val="en-AU"/>
        </w:rPr>
        <w:endnoteReference w:id="161"/>
      </w:r>
    </w:p>
    <w:p w14:paraId="14466F2F" w14:textId="77777777" w:rsidR="004D1500" w:rsidRPr="005C693B" w:rsidRDefault="004D1500" w:rsidP="005C693B">
      <w:pPr>
        <w:rPr>
          <w:lang w:val="en-AU"/>
        </w:rPr>
      </w:pPr>
      <w:r w:rsidRPr="005C693B">
        <w:rPr>
          <w:lang w:val="en-AU"/>
        </w:rPr>
        <w:t>Exposure to pornography has also been shown to act as a frame of reference for young people in relation to body ideals and sexual performance. Researchers investigating the effects of pornography have also found that it can create unrealistic and concerning expectations for both women and men, perpetuating gender stereotypes around bodies and hypersexuality.</w:t>
      </w:r>
      <w:r w:rsidRPr="004D1500">
        <w:rPr>
          <w:rFonts w:eastAsia="Calibri Light" w:cs="Calibri Light"/>
          <w:color w:val="000000" w:themeColor="text1"/>
          <w:spacing w:val="-5"/>
          <w:sz w:val="24"/>
          <w:vertAlign w:val="superscript"/>
          <w:lang w:val="en-AU"/>
        </w:rPr>
        <w:t xml:space="preserve"> </w:t>
      </w:r>
      <w:r w:rsidRPr="005C693B">
        <w:rPr>
          <w:lang w:val="en-AU"/>
        </w:rPr>
        <w:t>In a qualitative study in Sweden, young men (aged 14–29 years) frequently discussed the longevity of sexual performance observed in pornography, and young women noted the pervasive, unrealistic, yet influential body types presented within pornography.</w:t>
      </w:r>
      <w:r w:rsidRPr="004D1500">
        <w:rPr>
          <w:rFonts w:cstheme="minorBidi"/>
          <w:spacing w:val="-5"/>
          <w:sz w:val="24"/>
          <w:vertAlign w:val="superscript"/>
          <w:lang w:val="en-AU"/>
        </w:rPr>
        <w:endnoteReference w:id="162"/>
      </w:r>
    </w:p>
    <w:p w14:paraId="6D24288D" w14:textId="77777777" w:rsidR="004D1500" w:rsidRPr="00562192" w:rsidRDefault="004D1500" w:rsidP="00A53641">
      <w:r w:rsidRPr="00562192">
        <w:t>The Our Watch’s 2024 national online survey found the following:</w:t>
      </w:r>
    </w:p>
    <w:p w14:paraId="1F349832" w14:textId="77777777" w:rsidR="004D1500" w:rsidRPr="00562192" w:rsidRDefault="004D1500" w:rsidP="00D7015A">
      <w:pPr>
        <w:pStyle w:val="ListBullet"/>
        <w:numPr>
          <w:ilvl w:val="0"/>
          <w:numId w:val="35"/>
        </w:numPr>
      </w:pPr>
      <w:r w:rsidRPr="00562192">
        <w:t>84% of participants agreed that porn pushes stereotypes of what is expected of young men and women (79% of young men; 88% of young women).</w:t>
      </w:r>
    </w:p>
    <w:p w14:paraId="3FBF6A17" w14:textId="77777777" w:rsidR="004D1500" w:rsidRPr="00562192" w:rsidRDefault="004D1500" w:rsidP="00D7015A">
      <w:pPr>
        <w:pStyle w:val="ListBullet"/>
        <w:numPr>
          <w:ilvl w:val="0"/>
          <w:numId w:val="35"/>
        </w:numPr>
      </w:pPr>
      <w:r w:rsidRPr="00562192">
        <w:t>79% agreed that porn impacts how women are viewed in real life (72% of young men; 85% of young women).</w:t>
      </w:r>
    </w:p>
    <w:p w14:paraId="2D55C97A" w14:textId="77777777" w:rsidR="004D1500" w:rsidRPr="00562192" w:rsidRDefault="004D1500" w:rsidP="00D7015A">
      <w:pPr>
        <w:pStyle w:val="ListBullet"/>
        <w:numPr>
          <w:ilvl w:val="0"/>
          <w:numId w:val="35"/>
        </w:numPr>
      </w:pPr>
      <w:r w:rsidRPr="00562192">
        <w:t>73% agreed that porn is degrading to women (65% of young men; 80% of young women) and 69% agreed it was harmful to women (64% of young men; 73% of young women).</w:t>
      </w:r>
    </w:p>
    <w:p w14:paraId="4F1F0DFC" w14:textId="77777777" w:rsidR="004D1500" w:rsidRPr="00562192" w:rsidRDefault="004D1500" w:rsidP="00D7015A">
      <w:pPr>
        <w:pStyle w:val="ListBullet"/>
        <w:numPr>
          <w:ilvl w:val="0"/>
          <w:numId w:val="35"/>
        </w:numPr>
      </w:pPr>
      <w:r w:rsidRPr="00562192">
        <w:t>72% agreed that porn often shows aggression and violence against women (67% of young men; 76% of young women).</w:t>
      </w:r>
    </w:p>
    <w:p w14:paraId="75684D04" w14:textId="77777777" w:rsidR="004D1500" w:rsidRPr="005C693B" w:rsidRDefault="004D1500" w:rsidP="00D7015A">
      <w:pPr>
        <w:pStyle w:val="ListBullet"/>
        <w:numPr>
          <w:ilvl w:val="0"/>
          <w:numId w:val="35"/>
        </w:numPr>
      </w:pPr>
      <w:r w:rsidRPr="005C693B">
        <w:t>60% agreed that porn is degrading to people of certain races (52% of young men; 67% of young women).</w:t>
      </w:r>
      <w:r w:rsidRPr="004D1500">
        <w:rPr>
          <w:rFonts w:cstheme="minorBidi"/>
          <w:spacing w:val="-5"/>
          <w:sz w:val="24"/>
          <w:vertAlign w:val="superscript"/>
        </w:rPr>
        <w:endnoteReference w:id="163"/>
      </w:r>
      <w:r w:rsidRPr="004D1500">
        <w:rPr>
          <w:rFonts w:ascii="Calibri Light" w:eastAsia="Calibri Light" w:hAnsi="Calibri Light" w:cs="Calibri Light"/>
          <w:color w:val="000000" w:themeColor="text1"/>
          <w:spacing w:val="-5"/>
          <w:sz w:val="24"/>
          <w:vertAlign w:val="superscript"/>
        </w:rPr>
        <w:t xml:space="preserve"> </w:t>
      </w:r>
    </w:p>
    <w:p w14:paraId="3D5F95CE" w14:textId="77777777" w:rsidR="004D1500" w:rsidRPr="00562192" w:rsidRDefault="004D1500" w:rsidP="00562192">
      <w:pPr>
        <w:rPr>
          <w:lang w:val="en-AU"/>
        </w:rPr>
      </w:pPr>
      <w:r w:rsidRPr="00562192">
        <w:rPr>
          <w:lang w:val="en-AU"/>
        </w:rPr>
        <w:t>Viewing pornography may also lead some young people to normalise or feel pressure to engage in specific sexual acts and practices, such as:</w:t>
      </w:r>
    </w:p>
    <w:p w14:paraId="1702C359" w14:textId="77777777" w:rsidR="004D1500" w:rsidRPr="005C693B" w:rsidRDefault="004D1500" w:rsidP="00D7015A">
      <w:pPr>
        <w:pStyle w:val="ListBullet"/>
        <w:numPr>
          <w:ilvl w:val="0"/>
          <w:numId w:val="36"/>
        </w:numPr>
      </w:pPr>
      <w:r w:rsidRPr="005C693B">
        <w:t>incorporating pornographic tropes or sexual scripts into their real-life relationships</w:t>
      </w:r>
      <w:r w:rsidRPr="004D1500">
        <w:rPr>
          <w:rFonts w:cstheme="minorBidi"/>
          <w:spacing w:val="-5"/>
          <w:sz w:val="24"/>
          <w:vertAlign w:val="superscript"/>
        </w:rPr>
        <w:endnoteReference w:id="164"/>
      </w:r>
    </w:p>
    <w:p w14:paraId="600CFA0F" w14:textId="77777777" w:rsidR="004D1500" w:rsidRPr="005C693B" w:rsidRDefault="004D1500" w:rsidP="00D7015A">
      <w:pPr>
        <w:pStyle w:val="ListBullet"/>
        <w:numPr>
          <w:ilvl w:val="0"/>
          <w:numId w:val="36"/>
        </w:numPr>
      </w:pPr>
      <w:r w:rsidRPr="005C693B">
        <w:t>feeling pressure to engage in heterosexual anal sex</w:t>
      </w:r>
      <w:r w:rsidRPr="004D1500">
        <w:rPr>
          <w:rFonts w:cstheme="minorBidi"/>
          <w:spacing w:val="-5"/>
          <w:sz w:val="24"/>
          <w:vertAlign w:val="superscript"/>
        </w:rPr>
        <w:endnoteReference w:id="165"/>
      </w:r>
      <w:r w:rsidRPr="005C693B">
        <w:t xml:space="preserve"> </w:t>
      </w:r>
    </w:p>
    <w:p w14:paraId="6CE1EB49" w14:textId="77777777" w:rsidR="004D1500" w:rsidRPr="005C693B" w:rsidRDefault="004D1500" w:rsidP="00D7015A">
      <w:pPr>
        <w:pStyle w:val="ListBullet"/>
        <w:numPr>
          <w:ilvl w:val="0"/>
          <w:numId w:val="36"/>
        </w:numPr>
      </w:pPr>
      <w:r w:rsidRPr="005C693B">
        <w:t xml:space="preserve">unsafe sex due to a lack of awareness about the importance of condoms in protecting against </w:t>
      </w:r>
      <w:proofErr w:type="spellStart"/>
      <w:r w:rsidRPr="005C693B">
        <w:t>STIs</w:t>
      </w:r>
      <w:proofErr w:type="spellEnd"/>
      <w:r w:rsidRPr="005C693B">
        <w:t xml:space="preserve"> and HIV (use of condoms is extremely rare in pornographic videos).</w:t>
      </w:r>
      <w:r w:rsidRPr="004D1500">
        <w:rPr>
          <w:rFonts w:cstheme="minorBidi"/>
          <w:spacing w:val="-5"/>
          <w:sz w:val="24"/>
          <w:vertAlign w:val="superscript"/>
        </w:rPr>
        <w:endnoteReference w:id="166"/>
      </w:r>
    </w:p>
    <w:p w14:paraId="320C478E" w14:textId="77777777" w:rsidR="004D1500" w:rsidRPr="005C693B" w:rsidRDefault="004D1500" w:rsidP="005C693B">
      <w:pPr>
        <w:rPr>
          <w:lang w:val="en-US"/>
        </w:rPr>
      </w:pPr>
      <w:r w:rsidRPr="005C693B">
        <w:rPr>
          <w:lang w:val="en-AU"/>
        </w:rPr>
        <w:lastRenderedPageBreak/>
        <w:t>Young people’s exposure to pornography and sexually explicit materials at a young age (13 years) has been found to heighten the likelihood of engaging in sexual behaviours, including unsafe behaviours, earlier than those who do not watch pornography.</w:t>
      </w:r>
      <w:r w:rsidRPr="004D1500">
        <w:rPr>
          <w:rFonts w:cstheme="minorBidi"/>
          <w:spacing w:val="-5"/>
          <w:sz w:val="24"/>
          <w:vertAlign w:val="superscript"/>
          <w:lang w:val="en-AU"/>
        </w:rPr>
        <w:endnoteReference w:id="167"/>
      </w:r>
      <w:r w:rsidRPr="005C693B">
        <w:rPr>
          <w:lang w:val="en-US"/>
        </w:rPr>
        <w:t xml:space="preserve"> </w:t>
      </w:r>
    </w:p>
    <w:p w14:paraId="1C21EBFA" w14:textId="77777777" w:rsidR="004D1500" w:rsidRPr="005C693B" w:rsidRDefault="004D1500" w:rsidP="005C693B">
      <w:pPr>
        <w:rPr>
          <w:lang w:val="en-AU"/>
        </w:rPr>
      </w:pPr>
      <w:r w:rsidRPr="005C693B">
        <w:rPr>
          <w:lang w:val="en-AU"/>
        </w:rPr>
        <w:t>International studies have identified associations between the consumption of pornography and sexual aggression, including coercive or dominant behaviours such as slapping, choking or hair pulling</w:t>
      </w:r>
      <w:r w:rsidRPr="004D1500">
        <w:rPr>
          <w:rFonts w:cstheme="minorBidi"/>
          <w:spacing w:val="-5"/>
          <w:sz w:val="24"/>
          <w:vertAlign w:val="superscript"/>
          <w:lang w:val="en-AU"/>
        </w:rPr>
        <w:endnoteReference w:id="168"/>
      </w:r>
      <w:r w:rsidRPr="005C693B">
        <w:rPr>
          <w:lang w:val="en-AU"/>
        </w:rPr>
        <w:t>, verbal and/or physical aggression, and the increased likelihood of perpetration of sexual coercion and sexual violence.</w:t>
      </w:r>
      <w:r w:rsidRPr="004D1500">
        <w:rPr>
          <w:rFonts w:cstheme="minorBidi"/>
          <w:spacing w:val="-5"/>
          <w:sz w:val="24"/>
          <w:vertAlign w:val="superscript"/>
          <w:lang w:val="en-AU"/>
        </w:rPr>
        <w:endnoteReference w:id="169"/>
      </w:r>
      <w:r w:rsidRPr="004D1500">
        <w:rPr>
          <w:rFonts w:ascii="Calibri Light" w:eastAsia="Calibri Light" w:hAnsi="Calibri Light" w:cs="Calibri Light"/>
          <w:color w:val="000000" w:themeColor="text1"/>
          <w:spacing w:val="-5"/>
          <w:sz w:val="24"/>
          <w:vertAlign w:val="superscript"/>
          <w:lang w:val="en-AU"/>
        </w:rPr>
        <w:t xml:space="preserve"> </w:t>
      </w:r>
      <w:r w:rsidRPr="005C693B">
        <w:rPr>
          <w:lang w:val="en-AU"/>
        </w:rPr>
        <w:t>An association between rigid ideas of masculinity and the viewing of violent pornography has also been found.</w:t>
      </w:r>
      <w:r w:rsidRPr="004D1500">
        <w:rPr>
          <w:rFonts w:cstheme="minorBidi"/>
          <w:spacing w:val="-5"/>
          <w:sz w:val="24"/>
          <w:vertAlign w:val="superscript"/>
          <w:lang w:val="en-AU"/>
        </w:rPr>
        <w:endnoteReference w:id="170"/>
      </w:r>
      <w:r w:rsidRPr="005C693B">
        <w:rPr>
          <w:lang w:val="en-AU"/>
        </w:rPr>
        <w:t xml:space="preserve"> Other researchers have found that</w:t>
      </w:r>
      <w:r w:rsidRPr="005C693B">
        <w:rPr>
          <w:lang w:val="en-US"/>
        </w:rPr>
        <w:t xml:space="preserve"> males exposed to sexually explicit material in early adolescence were more likely to engage in sexual harassment in middle adolescence.</w:t>
      </w:r>
      <w:r w:rsidRPr="004D1500">
        <w:rPr>
          <w:rFonts w:cstheme="minorBidi"/>
          <w:spacing w:val="-5"/>
          <w:sz w:val="24"/>
          <w:vertAlign w:val="superscript"/>
          <w:lang w:val="en-AU"/>
        </w:rPr>
        <w:endnoteReference w:id="171"/>
      </w:r>
    </w:p>
    <w:p w14:paraId="5C66A40B" w14:textId="77777777" w:rsidR="004D1500" w:rsidRPr="005C693B" w:rsidRDefault="004D1500" w:rsidP="005C693B">
      <w:pPr>
        <w:rPr>
          <w:lang w:val="en-AU"/>
        </w:rPr>
      </w:pPr>
      <w:r w:rsidRPr="005C693B">
        <w:rPr>
          <w:lang w:val="en-AU"/>
        </w:rPr>
        <w:t>The viewing of pornography can also influence a person’s uptake of potentially harmful sexual practices. For example, sexual choking has become an increasingly common sexual practice. The term sexual choking refers to a practice in which a person applies external pressure to the neck of a sexual partner to reduce blood flow and/or air flow.</w:t>
      </w:r>
      <w:r w:rsidRPr="004D1500">
        <w:rPr>
          <w:rFonts w:cstheme="minorBidi"/>
          <w:spacing w:val="-5"/>
          <w:sz w:val="24"/>
          <w:vertAlign w:val="superscript"/>
          <w:lang w:val="en-AU"/>
        </w:rPr>
        <w:endnoteReference w:id="172"/>
      </w:r>
      <w:r w:rsidRPr="005C693B">
        <w:rPr>
          <w:lang w:val="en-AU"/>
        </w:rPr>
        <w:t xml:space="preserve"> People can experience injury quickly, such that within seconds to minutes they could be rendered unconscious, have a fit from lack of oxygen, experience brain damage or die. A study conducted with 4,702 Australians aged 18–35 years investigated the use of choking or strangulation during sex. It found that 34.8% of respondents first learned about choking during sex through pornography.</w:t>
      </w:r>
      <w:r w:rsidRPr="004D1500">
        <w:rPr>
          <w:rFonts w:cstheme="minorBidi"/>
          <w:spacing w:val="-5"/>
          <w:sz w:val="24"/>
          <w:vertAlign w:val="superscript"/>
          <w:lang w:val="en-AU"/>
        </w:rPr>
        <w:endnoteReference w:id="173"/>
      </w:r>
    </w:p>
    <w:p w14:paraId="68B02C1C" w14:textId="77777777" w:rsidR="004D1500" w:rsidRPr="005C693B" w:rsidRDefault="004D1500" w:rsidP="005C693B">
      <w:pPr>
        <w:rPr>
          <w:lang w:val="en-AU"/>
        </w:rPr>
      </w:pPr>
      <w:r w:rsidRPr="005C693B">
        <w:rPr>
          <w:lang w:val="en-AU"/>
        </w:rPr>
        <w:t>Some research emphasises the positive impact that pornography can have on young people’s sexual socialisation</w:t>
      </w:r>
      <w:r w:rsidRPr="005C693B" w:rsidDel="003B6F3A">
        <w:rPr>
          <w:lang w:val="en-AU"/>
        </w:rPr>
        <w:t xml:space="preserve"> </w:t>
      </w:r>
      <w:r w:rsidRPr="005C693B">
        <w:rPr>
          <w:lang w:val="en-AU"/>
        </w:rPr>
        <w:t>and experiences.</w:t>
      </w:r>
      <w:r w:rsidRPr="004D1500">
        <w:rPr>
          <w:rFonts w:cstheme="minorBidi"/>
          <w:spacing w:val="-5"/>
          <w:sz w:val="24"/>
          <w:vertAlign w:val="superscript"/>
          <w:lang w:val="en-AU"/>
        </w:rPr>
        <w:endnoteReference w:id="174"/>
      </w:r>
      <w:r w:rsidRPr="005C693B">
        <w:rPr>
          <w:lang w:val="en-AU"/>
        </w:rPr>
        <w:t xml:space="preserve"> In the 2023 </w:t>
      </w:r>
      <w:proofErr w:type="spellStart"/>
      <w:r w:rsidRPr="005C693B">
        <w:rPr>
          <w:lang w:val="en-AU"/>
        </w:rPr>
        <w:t>eSafety</w:t>
      </w:r>
      <w:proofErr w:type="spellEnd"/>
      <w:r w:rsidRPr="005C693B">
        <w:rPr>
          <w:lang w:val="en-AU"/>
        </w:rPr>
        <w:t xml:space="preserve"> Commissioner study with 16–18-year-old Australians, 51% of respondents thought that online pornography had some positive aspects in relation to learning about sex and exploring their sexuality.</w:t>
      </w:r>
      <w:r w:rsidRPr="004D1500">
        <w:rPr>
          <w:rFonts w:cstheme="minorBidi"/>
          <w:spacing w:val="-5"/>
          <w:sz w:val="24"/>
          <w:vertAlign w:val="superscript"/>
          <w:lang w:val="en-AU"/>
        </w:rPr>
        <w:endnoteReference w:id="175"/>
      </w:r>
      <w:r w:rsidRPr="005C693B">
        <w:rPr>
          <w:lang w:val="en-AU"/>
        </w:rPr>
        <w:t xml:space="preserve"> Lesbian, gay and bisexual young people were more likely than heterosexual peers to hold this view (60% compared to 48%). Focus group participants also thought that online pornography could be a source of pleasure, entertainment and self-gratification. At the same time, focus group data highlighted that young people also believed that pornography could have negative impacts in relation to mental health, body image and feeling addicted to pornography. Participants also noted that depictions of men’s dominance and women’s objectification could lead to acceptance of these stereotypes.</w:t>
      </w:r>
      <w:r w:rsidRPr="004D1500">
        <w:rPr>
          <w:rFonts w:cstheme="minorBidi"/>
          <w:spacing w:val="-5"/>
          <w:sz w:val="24"/>
          <w:vertAlign w:val="superscript"/>
          <w:lang w:val="en-AU"/>
        </w:rPr>
        <w:endnoteReference w:id="176"/>
      </w:r>
    </w:p>
    <w:p w14:paraId="49992083" w14:textId="77777777" w:rsidR="004D1500" w:rsidRPr="005C693B" w:rsidRDefault="004D1500" w:rsidP="005C693B">
      <w:pPr>
        <w:rPr>
          <w:lang w:val="en-AU"/>
        </w:rPr>
      </w:pPr>
      <w:r w:rsidRPr="005C693B">
        <w:rPr>
          <w:lang w:val="en-AU"/>
        </w:rPr>
        <w:t>While some research emphasises the positive impact pornography can have on young people’s sexual socialisation</w:t>
      </w:r>
      <w:r w:rsidRPr="005C693B" w:rsidDel="003B6F3A">
        <w:rPr>
          <w:lang w:val="en-AU"/>
        </w:rPr>
        <w:t xml:space="preserve"> </w:t>
      </w:r>
      <w:r w:rsidRPr="005C693B">
        <w:rPr>
          <w:lang w:val="en-AU"/>
        </w:rPr>
        <w:t>and experiences, the large majority identifies that early exposure to pornography can have a significant negative impact on the development of young people’s attitudes and practices in relation to gender roles, identities and relationships.</w:t>
      </w:r>
      <w:r w:rsidRPr="004D1500">
        <w:rPr>
          <w:rFonts w:cstheme="minorBidi"/>
          <w:spacing w:val="-5"/>
          <w:sz w:val="24"/>
          <w:vertAlign w:val="superscript"/>
          <w:lang w:val="en-AU"/>
        </w:rPr>
        <w:endnoteReference w:id="177"/>
      </w:r>
      <w:r w:rsidRPr="005C693B">
        <w:rPr>
          <w:lang w:val="en-AU"/>
        </w:rPr>
        <w:t xml:space="preserve"> Young people have articulated</w:t>
      </w:r>
      <w:r w:rsidRPr="005C693B" w:rsidDel="00D50916">
        <w:rPr>
          <w:lang w:val="en-AU"/>
        </w:rPr>
        <w:t xml:space="preserve"> </w:t>
      </w:r>
      <w:r w:rsidRPr="005C693B">
        <w:rPr>
          <w:lang w:val="en-AU"/>
        </w:rPr>
        <w:t>what strategies they think should be deployed to help reduce the negative impacts of online pornography.</w:t>
      </w:r>
      <w:r w:rsidRPr="004D1500">
        <w:rPr>
          <w:rFonts w:cstheme="minorBidi"/>
          <w:spacing w:val="-5"/>
          <w:sz w:val="24"/>
          <w:vertAlign w:val="superscript"/>
          <w:lang w:val="en-AU"/>
        </w:rPr>
        <w:endnoteReference w:id="178"/>
      </w:r>
      <w:r w:rsidRPr="005C693B">
        <w:rPr>
          <w:lang w:val="en-AU"/>
        </w:rPr>
        <w:t xml:space="preserve"> Most (88%) perceived education as the best strategy; however, 2 in 5 (42%) felt that current education about sexuality and relationships did not meet their needs. Other strategies suggested by young people included opportunities to:</w:t>
      </w:r>
    </w:p>
    <w:p w14:paraId="1281227A" w14:textId="77777777" w:rsidR="004D1500" w:rsidRPr="00562192" w:rsidRDefault="004D1500" w:rsidP="00BF0052">
      <w:pPr>
        <w:pStyle w:val="ListBullet"/>
        <w:rPr>
          <w:lang w:eastAsia="en-GB"/>
        </w:rPr>
      </w:pPr>
      <w:r w:rsidRPr="00562192">
        <w:rPr>
          <w:lang w:eastAsia="en-GB"/>
        </w:rPr>
        <w:t>share open dialogues and discussion (68%)</w:t>
      </w:r>
    </w:p>
    <w:p w14:paraId="7F145079" w14:textId="77777777" w:rsidR="004D1500" w:rsidRPr="00562192" w:rsidRDefault="004D1500" w:rsidP="00BF0052">
      <w:pPr>
        <w:pStyle w:val="ListBullet"/>
        <w:rPr>
          <w:lang w:eastAsia="en-GB"/>
        </w:rPr>
      </w:pPr>
      <w:r w:rsidRPr="00562192">
        <w:rPr>
          <w:lang w:eastAsia="en-GB"/>
        </w:rPr>
        <w:t>ask questions about online pornography (44%)</w:t>
      </w:r>
    </w:p>
    <w:p w14:paraId="49602DF7" w14:textId="77777777" w:rsidR="004D1500" w:rsidRPr="00562192" w:rsidRDefault="004D1500" w:rsidP="00BF0052">
      <w:pPr>
        <w:pStyle w:val="ListBullet"/>
        <w:rPr>
          <w:lang w:eastAsia="en-GB"/>
        </w:rPr>
      </w:pPr>
      <w:r w:rsidRPr="00562192">
        <w:rPr>
          <w:lang w:eastAsia="en-GB"/>
        </w:rPr>
        <w:t>talk about their experiences with online pornography (34%)</w:t>
      </w:r>
    </w:p>
    <w:p w14:paraId="09D027E3" w14:textId="77777777" w:rsidR="004D1500" w:rsidRPr="005C693B" w:rsidRDefault="004D1500" w:rsidP="00BF0052">
      <w:pPr>
        <w:pStyle w:val="ListBullet"/>
        <w:rPr>
          <w:lang w:eastAsia="en-GB"/>
        </w:rPr>
      </w:pPr>
      <w:r w:rsidRPr="005C693B">
        <w:rPr>
          <w:lang w:eastAsia="en-GB"/>
        </w:rPr>
        <w:t xml:space="preserve">discuss ways to manage encounters with pornography (43%). </w:t>
      </w:r>
    </w:p>
    <w:p w14:paraId="1196EA10" w14:textId="77777777" w:rsidR="004D1500" w:rsidRPr="004D1500" w:rsidRDefault="004D1500" w:rsidP="00552732">
      <w:pPr>
        <w:rPr>
          <w:rFonts w:ascii="Calibri Light" w:eastAsia="Calibri Light" w:hAnsi="Calibri Light" w:cs="Calibri Light"/>
          <w:color w:val="000000" w:themeColor="text1"/>
          <w:spacing w:val="-5"/>
          <w:sz w:val="24"/>
          <w:lang w:val="en-AU"/>
        </w:rPr>
      </w:pPr>
      <w:r w:rsidRPr="005C693B">
        <w:rPr>
          <w:lang w:val="en-AU"/>
        </w:rPr>
        <w:lastRenderedPageBreak/>
        <w:t>Young people reported various barriers that constrained them from seeking help for concerns about their encounters with online pornography. Barriers ranged from feelings of embarrassment, shame and guilt, to the fear that viewing pornography is illegal or would get them into trouble, and the belief that parents and caregivers are not equipped to help them in this matter.</w:t>
      </w:r>
      <w:r w:rsidRPr="004D1500">
        <w:rPr>
          <w:rFonts w:cstheme="minorBidi"/>
          <w:spacing w:val="-5"/>
          <w:sz w:val="24"/>
          <w:vertAlign w:val="superscript"/>
          <w:lang w:val="en-AU"/>
        </w:rPr>
        <w:endnoteReference w:id="179"/>
      </w:r>
      <w:r w:rsidRPr="005C693B">
        <w:rPr>
          <w:lang w:val="en-AU"/>
        </w:rPr>
        <w:t xml:space="preserve"> Some young people noted that their parents and/or caregivers were the source of anti-porn stigma in their homes, creating a barrier against seeking help from them.</w:t>
      </w:r>
      <w:r w:rsidRPr="004D1500">
        <w:rPr>
          <w:rFonts w:cstheme="minorBidi"/>
          <w:spacing w:val="-5"/>
          <w:sz w:val="24"/>
          <w:vertAlign w:val="superscript"/>
          <w:lang w:val="en-AU"/>
        </w:rPr>
        <w:endnoteReference w:id="180"/>
      </w:r>
    </w:p>
    <w:p w14:paraId="659E1CEF" w14:textId="77777777" w:rsidR="004D1500" w:rsidRPr="005C693B" w:rsidRDefault="004D1500" w:rsidP="00552732">
      <w:pPr>
        <w:rPr>
          <w:lang w:val="en-AU"/>
        </w:rPr>
      </w:pPr>
      <w:r w:rsidRPr="005C693B">
        <w:rPr>
          <w:lang w:val="en-AU"/>
        </w:rPr>
        <w:t>Many young people believed there should be age-based restrictions on access to pornography for people under 16 years, with nearly 6 in 10 (59%) supporting age assurance tools for pornography sites.</w:t>
      </w:r>
      <w:r w:rsidRPr="004D1500">
        <w:rPr>
          <w:rFonts w:cstheme="minorBidi"/>
          <w:spacing w:val="-5"/>
          <w:sz w:val="24"/>
          <w:vertAlign w:val="superscript"/>
          <w:lang w:val="en-AU"/>
        </w:rPr>
        <w:endnoteReference w:id="181"/>
      </w:r>
      <w:r w:rsidRPr="005C693B">
        <w:rPr>
          <w:lang w:val="en-AU"/>
        </w:rPr>
        <w:t xml:space="preserve"> While many young people (60%) believed that the pornography industry is fully responsible for age-based restriction of access to online pornography, a large proportion of the young people surveyed also recognised that other actors are at least partly responsible, including: </w:t>
      </w:r>
    </w:p>
    <w:p w14:paraId="7DC8F4B5" w14:textId="77777777" w:rsidR="004D1500" w:rsidRPr="00562192" w:rsidRDefault="004D1500" w:rsidP="00BF0052">
      <w:pPr>
        <w:pStyle w:val="ListBullet"/>
      </w:pPr>
      <w:r w:rsidRPr="00562192">
        <w:t>parents, guardians and carers (83%)</w:t>
      </w:r>
    </w:p>
    <w:p w14:paraId="2160B592" w14:textId="77777777" w:rsidR="004D1500" w:rsidRPr="00562192" w:rsidRDefault="004D1500" w:rsidP="00BF0052">
      <w:pPr>
        <w:pStyle w:val="ListBullet"/>
      </w:pPr>
      <w:r w:rsidRPr="00562192">
        <w:t>social media or gaming platforms (82%)</w:t>
      </w:r>
    </w:p>
    <w:p w14:paraId="16227896" w14:textId="77777777" w:rsidR="004D1500" w:rsidRPr="00562192" w:rsidRDefault="004D1500" w:rsidP="00BF0052">
      <w:pPr>
        <w:pStyle w:val="ListBullet"/>
      </w:pPr>
      <w:r w:rsidRPr="00562192">
        <w:t>internet search engines (81%)</w:t>
      </w:r>
    </w:p>
    <w:p w14:paraId="4378BE1A" w14:textId="77777777" w:rsidR="004D1500" w:rsidRPr="00562192" w:rsidRDefault="004D1500" w:rsidP="00BF0052">
      <w:pPr>
        <w:pStyle w:val="ListBullet"/>
      </w:pPr>
      <w:r w:rsidRPr="00562192">
        <w:t>government (75%)</w:t>
      </w:r>
    </w:p>
    <w:p w14:paraId="0A21BA59" w14:textId="77777777" w:rsidR="004D1500" w:rsidRPr="00562192" w:rsidRDefault="004D1500" w:rsidP="00BF0052">
      <w:pPr>
        <w:pStyle w:val="ListBullet"/>
      </w:pPr>
      <w:r w:rsidRPr="00562192">
        <w:t>schools (64%)</w:t>
      </w:r>
    </w:p>
    <w:p w14:paraId="4AF6A613" w14:textId="77777777" w:rsidR="004D1500" w:rsidRPr="00562192" w:rsidRDefault="004D1500" w:rsidP="00BF0052">
      <w:pPr>
        <w:pStyle w:val="ListBullet"/>
      </w:pPr>
      <w:r w:rsidRPr="00562192">
        <w:t>police (61%)</w:t>
      </w:r>
    </w:p>
    <w:p w14:paraId="734DF427" w14:textId="77777777" w:rsidR="004D1500" w:rsidRPr="005C693B" w:rsidRDefault="004D1500" w:rsidP="00BF0052">
      <w:pPr>
        <w:pStyle w:val="ListBullet"/>
      </w:pPr>
      <w:r w:rsidRPr="005C693B">
        <w:t>telecommunication providers and internet service providers (55%).</w:t>
      </w:r>
      <w:r w:rsidRPr="004D1500">
        <w:rPr>
          <w:rFonts w:cstheme="minorBidi"/>
          <w:spacing w:val="-5"/>
          <w:sz w:val="24"/>
          <w:vertAlign w:val="superscript"/>
        </w:rPr>
        <w:endnoteReference w:id="182"/>
      </w:r>
    </w:p>
    <w:p w14:paraId="109C606D" w14:textId="77777777" w:rsidR="004D1500" w:rsidRPr="005C693B" w:rsidRDefault="004D1500" w:rsidP="005C693B">
      <w:pPr>
        <w:rPr>
          <w:lang w:val="en-AU"/>
        </w:rPr>
      </w:pPr>
      <w:r w:rsidRPr="005C693B">
        <w:rPr>
          <w:lang w:val="en-AU"/>
        </w:rPr>
        <w:t>Opportunities exist for educational approaches that build young people’s skills in ways that support them to navigate sexually explicit media and its potential influence on their intimate relationships.</w:t>
      </w:r>
      <w:r w:rsidRPr="004D1500">
        <w:rPr>
          <w:rFonts w:cstheme="minorBidi"/>
          <w:spacing w:val="-5"/>
          <w:sz w:val="24"/>
          <w:vertAlign w:val="superscript"/>
          <w:lang w:val="en-AU"/>
        </w:rPr>
        <w:endnoteReference w:id="183"/>
      </w:r>
      <w:r w:rsidRPr="005C693B">
        <w:rPr>
          <w:lang w:val="en-AU"/>
        </w:rPr>
        <w:t xml:space="preserve"> Data shows that most young people will have viewed pornography before the age of 14, and young people have called for more information about pornography and its impacts.</w:t>
      </w:r>
      <w:r w:rsidRPr="004D1500">
        <w:rPr>
          <w:rFonts w:cstheme="minorBidi"/>
          <w:spacing w:val="-5"/>
          <w:sz w:val="24"/>
          <w:vertAlign w:val="superscript"/>
          <w:lang w:val="en-AU"/>
        </w:rPr>
        <w:endnoteReference w:id="184"/>
      </w:r>
      <w:r w:rsidRPr="005C693B">
        <w:rPr>
          <w:lang w:val="en-AU"/>
        </w:rPr>
        <w:t xml:space="preserve"> </w:t>
      </w:r>
    </w:p>
    <w:p w14:paraId="5A2BEA6C" w14:textId="77777777" w:rsidR="004D1500" w:rsidRDefault="004D1500" w:rsidP="005C693B">
      <w:pPr>
        <w:rPr>
          <w:lang w:val="en-AU"/>
        </w:rPr>
      </w:pPr>
      <w:r w:rsidRPr="005C693B">
        <w:rPr>
          <w:lang w:val="en-AU"/>
        </w:rPr>
        <w:t>Formal sexuality education, however, rarely includes adequate information on pornography. Further, young people report those programs and resources that do address pornography often provide one-dimensional information focused solely on risk.</w:t>
      </w:r>
      <w:r w:rsidRPr="004D1500">
        <w:rPr>
          <w:rFonts w:cstheme="minorBidi"/>
          <w:spacing w:val="-5"/>
          <w:sz w:val="24"/>
          <w:vertAlign w:val="superscript"/>
          <w:lang w:val="en-AU"/>
        </w:rPr>
        <w:endnoteReference w:id="185"/>
      </w:r>
      <w:r w:rsidRPr="005C693B">
        <w:rPr>
          <w:lang w:val="en-AU"/>
        </w:rPr>
        <w:t xml:space="preserve"> Research indicates that young people want access to accurate, relevant and non-judgemental information about pornography that helps them to interrogate unrealistic messages and representations, and to navigate the potential effects of pornography on their sexual relationships.</w:t>
      </w:r>
      <w:r w:rsidRPr="004D1500">
        <w:rPr>
          <w:rFonts w:cstheme="minorBidi"/>
          <w:spacing w:val="-5"/>
          <w:sz w:val="24"/>
          <w:vertAlign w:val="superscript"/>
          <w:lang w:val="en-AU"/>
        </w:rPr>
        <w:endnoteReference w:id="186"/>
      </w:r>
      <w:r w:rsidRPr="005C693B">
        <w:rPr>
          <w:lang w:val="en-AU"/>
        </w:rPr>
        <w:t xml:space="preserve"> Therefore, there are opportunities to strengthen this component of teaching and learning materials in education approaches.</w:t>
      </w:r>
    </w:p>
    <w:p w14:paraId="55FCBE92" w14:textId="77777777" w:rsidR="002F00AF" w:rsidRPr="005C693B" w:rsidRDefault="002F00AF" w:rsidP="005C693B">
      <w:pPr>
        <w:rPr>
          <w:lang w:val="en-AU"/>
        </w:rPr>
      </w:pPr>
    </w:p>
    <w:p w14:paraId="61CD0D3F" w14:textId="2B19255F" w:rsidR="004D1500" w:rsidRPr="004D1500" w:rsidRDefault="004D1500" w:rsidP="003A4AA0">
      <w:pPr>
        <w:pStyle w:val="Heading2"/>
        <w:rPr>
          <w:lang w:val="en-AU"/>
        </w:rPr>
      </w:pPr>
      <w:bookmarkStart w:id="49" w:name="_Toc216956836"/>
      <w:r w:rsidRPr="004D1500">
        <w:rPr>
          <w:lang w:val="en-AU"/>
        </w:rPr>
        <w:t xml:space="preserve">Opportunities to integrate education </w:t>
      </w:r>
      <w:r w:rsidR="008221C8">
        <w:rPr>
          <w:lang w:val="en-AU"/>
        </w:rPr>
        <w:br/>
      </w:r>
      <w:r w:rsidRPr="004D1500">
        <w:rPr>
          <w:lang w:val="en-AU"/>
        </w:rPr>
        <w:t>on pornography</w:t>
      </w:r>
      <w:bookmarkEnd w:id="49"/>
    </w:p>
    <w:p w14:paraId="128205D4" w14:textId="77777777" w:rsidR="004D1500" w:rsidRPr="005C693B" w:rsidRDefault="004D1500" w:rsidP="005C693B">
      <w:pPr>
        <w:rPr>
          <w:lang w:val="en-AU"/>
        </w:rPr>
      </w:pPr>
      <w:r w:rsidRPr="005C693B">
        <w:rPr>
          <w:lang w:val="en-AU"/>
        </w:rPr>
        <w:t>Evidence-based pornography education interventions typically aim to equip young people with tools to understand the differences between online pornography and offline sexual relationships.</w:t>
      </w:r>
      <w:r w:rsidRPr="004D1500">
        <w:rPr>
          <w:rFonts w:cstheme="minorBidi"/>
          <w:spacing w:val="-5"/>
          <w:sz w:val="24"/>
          <w:vertAlign w:val="superscript"/>
          <w:lang w:val="en-AU"/>
        </w:rPr>
        <w:endnoteReference w:id="187"/>
      </w:r>
      <w:r w:rsidRPr="005C693B">
        <w:rPr>
          <w:lang w:val="en-AU"/>
        </w:rPr>
        <w:t xml:space="preserve"> Youth-friendly, research-informed resources related to pornography education provide opportunities for young people to: </w:t>
      </w:r>
    </w:p>
    <w:p w14:paraId="212644A0" w14:textId="77777777" w:rsidR="004D1500" w:rsidRPr="005C693B" w:rsidRDefault="004D1500" w:rsidP="00BF0052">
      <w:pPr>
        <w:pStyle w:val="ListBullet"/>
      </w:pPr>
      <w:r w:rsidRPr="005C693B">
        <w:t>increase their awareness of the gendered representations of sex, power and roles in pornography</w:t>
      </w:r>
      <w:r w:rsidRPr="004D1500">
        <w:rPr>
          <w:vertAlign w:val="superscript"/>
        </w:rPr>
        <w:endnoteReference w:id="188"/>
      </w:r>
    </w:p>
    <w:p w14:paraId="542360DA" w14:textId="77777777" w:rsidR="004D1500" w:rsidRPr="005C693B" w:rsidRDefault="004D1500" w:rsidP="00BF0052">
      <w:pPr>
        <w:pStyle w:val="ListBullet"/>
      </w:pPr>
      <w:r w:rsidRPr="005C693B">
        <w:lastRenderedPageBreak/>
        <w:t>learn that degrading portrayals of sexuality or sexual activity portrayed in pornography are unrealistic</w:t>
      </w:r>
      <w:r w:rsidRPr="004D1500">
        <w:rPr>
          <w:vertAlign w:val="superscript"/>
        </w:rPr>
        <w:endnoteReference w:id="189"/>
      </w:r>
    </w:p>
    <w:p w14:paraId="6C4763E8" w14:textId="77777777" w:rsidR="004D1500" w:rsidRPr="005C693B" w:rsidRDefault="004D1500" w:rsidP="00BF0052">
      <w:pPr>
        <w:pStyle w:val="ListBullet"/>
      </w:pPr>
      <w:r w:rsidRPr="005C693B">
        <w:t>engage in critical discussion about the use of pornography for entertainment and sexual gratification.</w:t>
      </w:r>
      <w:r w:rsidRPr="004D1500">
        <w:rPr>
          <w:vertAlign w:val="superscript"/>
        </w:rPr>
        <w:endnoteReference w:id="190"/>
      </w:r>
    </w:p>
    <w:p w14:paraId="09D0BDE3" w14:textId="77777777" w:rsidR="004D1500" w:rsidRPr="005C693B" w:rsidRDefault="004D1500" w:rsidP="00BF0052">
      <w:pPr>
        <w:pStyle w:val="ListBullet"/>
      </w:pPr>
      <w:r w:rsidRPr="005C693B">
        <w:t>explore the connection between pornography and violence against women.</w:t>
      </w:r>
      <w:r w:rsidRPr="004D1500">
        <w:rPr>
          <w:vertAlign w:val="superscript"/>
        </w:rPr>
        <w:endnoteReference w:id="191"/>
      </w:r>
    </w:p>
    <w:p w14:paraId="281151A8" w14:textId="77777777" w:rsidR="004D1500" w:rsidRPr="005C693B" w:rsidRDefault="004D1500" w:rsidP="005C693B">
      <w:pPr>
        <w:rPr>
          <w:lang w:val="en-AU"/>
        </w:rPr>
      </w:pPr>
      <w:r w:rsidRPr="005C693B">
        <w:rPr>
          <w:lang w:val="en-AU"/>
        </w:rPr>
        <w:t xml:space="preserve">It is critical to reinforce that research-informed pornography education interventions </w:t>
      </w:r>
      <w:r w:rsidRPr="002D19F5">
        <w:rPr>
          <w:rFonts w:cstheme="minorBidi"/>
          <w:i/>
          <w:iCs/>
          <w:spacing w:val="-5"/>
          <w:szCs w:val="23"/>
          <w:lang w:val="en-AU"/>
        </w:rPr>
        <w:t>do not</w:t>
      </w:r>
      <w:r w:rsidRPr="005C693B">
        <w:rPr>
          <w:lang w:val="en-AU"/>
        </w:rPr>
        <w:t>:</w:t>
      </w:r>
    </w:p>
    <w:p w14:paraId="3B76699B" w14:textId="77777777" w:rsidR="004D1500" w:rsidRPr="00562192" w:rsidRDefault="004D1500" w:rsidP="00BF0052">
      <w:pPr>
        <w:pStyle w:val="ListBullet"/>
      </w:pPr>
      <w:r w:rsidRPr="00562192">
        <w:t>use actual examples of pornographic content</w:t>
      </w:r>
    </w:p>
    <w:p w14:paraId="48BE3567" w14:textId="77777777" w:rsidR="004D1500" w:rsidRPr="00562192" w:rsidRDefault="004D1500" w:rsidP="00BF0052">
      <w:pPr>
        <w:pStyle w:val="ListBullet"/>
      </w:pPr>
      <w:r w:rsidRPr="00562192">
        <w:t>include the production of one’s own sexually explicit media content</w:t>
      </w:r>
    </w:p>
    <w:p w14:paraId="44137EF1" w14:textId="77777777" w:rsidR="004D1500" w:rsidRPr="005C693B" w:rsidRDefault="004D1500" w:rsidP="00BF0052">
      <w:pPr>
        <w:pStyle w:val="ListBullet"/>
      </w:pPr>
      <w:r w:rsidRPr="005C693B">
        <w:t>encourage or increase young people’s use of online pornography.</w:t>
      </w:r>
      <w:r w:rsidRPr="004D1500">
        <w:rPr>
          <w:rFonts w:cstheme="minorBidi"/>
          <w:spacing w:val="-5"/>
          <w:sz w:val="24"/>
          <w:vertAlign w:val="superscript"/>
        </w:rPr>
        <w:endnoteReference w:id="192"/>
      </w:r>
      <w:r w:rsidRPr="005C693B">
        <w:t xml:space="preserve"> </w:t>
      </w:r>
    </w:p>
    <w:p w14:paraId="3AF9CB2D" w14:textId="77777777" w:rsidR="004D1500" w:rsidRPr="00562192" w:rsidRDefault="004D1500" w:rsidP="00562192">
      <w:pPr>
        <w:rPr>
          <w:lang w:val="en-AU"/>
        </w:rPr>
      </w:pPr>
      <w:r w:rsidRPr="00562192">
        <w:rPr>
          <w:lang w:val="en-AU"/>
        </w:rPr>
        <w:t>Instead, such approaches aim to support young people to critically interrogate the media they are consuming, and promote positive and respectful experiences of pleasure and sex.</w:t>
      </w:r>
    </w:p>
    <w:p w14:paraId="1BF45F35" w14:textId="77777777" w:rsidR="004D1500" w:rsidRPr="005C693B" w:rsidRDefault="004D1500" w:rsidP="005C693B">
      <w:pPr>
        <w:rPr>
          <w:lang w:val="en-AU"/>
        </w:rPr>
      </w:pPr>
      <w:r w:rsidRPr="005C693B">
        <w:rPr>
          <w:lang w:val="en-AU"/>
        </w:rPr>
        <w:t>Few studies have investigated the impact of pornography education interventions on young people’s attitudes and behaviours over time. One longitudinal study has been conducted in the Netherlands with 1,947 young people aged 13–25 years who had received varying degrees of ‘porn literacy education’ as part of their formal sexuality education at various educational institutions. The study found that the more individuals used pornography, the more likely they were to hold attitudes that regarded women as sex objects. This association was weaker for those who reported that they had received porn literacy education, suggesting that young people are able to use the tools learned from porn literacy education to interpret the content shown in pornography.</w:t>
      </w:r>
      <w:r w:rsidRPr="004D1500">
        <w:rPr>
          <w:rFonts w:eastAsia="Calibri Light" w:cstheme="minorBidi"/>
          <w:spacing w:val="-5"/>
          <w:sz w:val="24"/>
          <w:vertAlign w:val="superscript"/>
          <w:lang w:val="en-AU"/>
        </w:rPr>
        <w:endnoteReference w:id="193"/>
      </w:r>
    </w:p>
    <w:p w14:paraId="08F53046" w14:textId="77777777" w:rsidR="004D1500" w:rsidRPr="005C693B" w:rsidRDefault="004D1500" w:rsidP="005C693B">
      <w:pPr>
        <w:rPr>
          <w:lang w:val="en-AU"/>
        </w:rPr>
      </w:pPr>
      <w:r w:rsidRPr="005C693B">
        <w:rPr>
          <w:lang w:val="en-AU"/>
        </w:rPr>
        <w:t>A UK-based study of 1,001 young people aged 11–16 years found that those who had viewed pornography and had also critically engaged with the concept of pornography in open discussions with a teacher were more likely to believe that sexual activities should be enjoyable for everyone involved compared to those students who had viewed pornography but had not engaged in these discussions.</w:t>
      </w:r>
      <w:r w:rsidRPr="004D1500">
        <w:rPr>
          <w:rFonts w:cstheme="minorBidi"/>
          <w:spacing w:val="-5"/>
          <w:sz w:val="24"/>
          <w:vertAlign w:val="superscript"/>
          <w:lang w:val="en-AU"/>
        </w:rPr>
        <w:endnoteReference w:id="194"/>
      </w:r>
      <w:r w:rsidRPr="005C693B">
        <w:rPr>
          <w:lang w:val="en-AU"/>
        </w:rPr>
        <w:t xml:space="preserve"> Participants in the study also recommended that critical thinking about pornography should be included in sexuality education to help young people stay safe online.</w:t>
      </w:r>
      <w:r w:rsidRPr="004D1500">
        <w:rPr>
          <w:rFonts w:cstheme="minorBidi"/>
          <w:spacing w:val="-5"/>
          <w:sz w:val="24"/>
          <w:vertAlign w:val="superscript"/>
          <w:lang w:val="en-AU"/>
        </w:rPr>
        <w:endnoteReference w:id="195"/>
      </w:r>
    </w:p>
    <w:p w14:paraId="4149B3DD" w14:textId="77777777" w:rsidR="004D1500" w:rsidRPr="005C693B" w:rsidRDefault="004D1500" w:rsidP="005C693B">
      <w:pPr>
        <w:rPr>
          <w:lang w:val="en-AU"/>
        </w:rPr>
      </w:pPr>
      <w:r w:rsidRPr="005C693B">
        <w:rPr>
          <w:lang w:val="en-AU"/>
        </w:rPr>
        <w:t>A US-based study evaluated the delivery of a 5-session porn-literacy program in a non-school setting for young people aged 15–24 years old who identified with a range of genders and sexualities.</w:t>
      </w:r>
      <w:r w:rsidRPr="004D1500">
        <w:rPr>
          <w:rFonts w:cstheme="minorBidi"/>
          <w:spacing w:val="-5"/>
          <w:sz w:val="24"/>
          <w:vertAlign w:val="superscript"/>
          <w:lang w:val="en-AU"/>
        </w:rPr>
        <w:endnoteReference w:id="196"/>
      </w:r>
      <w:r w:rsidRPr="005C693B">
        <w:rPr>
          <w:lang w:val="en-AU"/>
        </w:rPr>
        <w:t xml:space="preserve"> The study evaluated shifts in attitudes and beliefs once the program had concluded. It found that at the end of the study, participants no longer viewed: </w:t>
      </w:r>
    </w:p>
    <w:p w14:paraId="4385F53C" w14:textId="77777777" w:rsidR="004D1500" w:rsidRPr="00562192" w:rsidRDefault="004D1500" w:rsidP="001D1AF2">
      <w:pPr>
        <w:pStyle w:val="ListBullet"/>
      </w:pPr>
      <w:r w:rsidRPr="00562192">
        <w:t>pornography as a positive way for young people to learn about sex</w:t>
      </w:r>
    </w:p>
    <w:p w14:paraId="051DD15F" w14:textId="77777777" w:rsidR="004D1500" w:rsidRPr="00562192" w:rsidRDefault="004D1500" w:rsidP="001D1AF2">
      <w:pPr>
        <w:pStyle w:val="ListBullet"/>
      </w:pPr>
      <w:r w:rsidRPr="00562192">
        <w:t>pornography as harmless</w:t>
      </w:r>
    </w:p>
    <w:p w14:paraId="63F5E36E" w14:textId="77777777" w:rsidR="004D1500" w:rsidRPr="00562192" w:rsidRDefault="004D1500" w:rsidP="001D1AF2">
      <w:pPr>
        <w:pStyle w:val="ListBullet"/>
      </w:pPr>
      <w:r w:rsidRPr="00562192">
        <w:t>the calling of girls as ‘sluts’ and other such terms during sex as normal behaviour</w:t>
      </w:r>
    </w:p>
    <w:p w14:paraId="6B22DC75" w14:textId="77777777" w:rsidR="004D1500" w:rsidRPr="00562192" w:rsidRDefault="004D1500" w:rsidP="001D1AF2">
      <w:pPr>
        <w:pStyle w:val="ListBullet"/>
      </w:pPr>
      <w:r w:rsidRPr="00562192">
        <w:t>slapping, hair pulling and spanking as practices enjoyed by most people</w:t>
      </w:r>
    </w:p>
    <w:p w14:paraId="33706B1E" w14:textId="77777777" w:rsidR="004D1500" w:rsidRPr="005C693B" w:rsidRDefault="004D1500" w:rsidP="001D1AF2">
      <w:pPr>
        <w:pStyle w:val="ListBullet"/>
      </w:pPr>
      <w:r w:rsidRPr="005C693B">
        <w:t>choking, gagging, or crying during sex as sexy.</w:t>
      </w:r>
      <w:r w:rsidRPr="004D1500">
        <w:rPr>
          <w:rFonts w:cstheme="minorBidi"/>
          <w:spacing w:val="-5"/>
          <w:sz w:val="24"/>
          <w:vertAlign w:val="superscript"/>
        </w:rPr>
        <w:endnoteReference w:id="197"/>
      </w:r>
    </w:p>
    <w:p w14:paraId="7ACA260D" w14:textId="77777777" w:rsidR="004D1500" w:rsidRPr="005C693B" w:rsidRDefault="004D1500" w:rsidP="005C693B">
      <w:pPr>
        <w:rPr>
          <w:lang w:val="en-AU"/>
        </w:rPr>
      </w:pPr>
      <w:r w:rsidRPr="005C693B">
        <w:rPr>
          <w:lang w:val="en-AU"/>
        </w:rPr>
        <w:t>Further, the study found that participants were more likely to agree with the statement ‘pornography promotes unhealthy expectations of male and female sexuality’.</w:t>
      </w:r>
      <w:r w:rsidRPr="004D1500">
        <w:rPr>
          <w:rFonts w:cstheme="minorBidi"/>
          <w:spacing w:val="-5"/>
          <w:sz w:val="24"/>
          <w:vertAlign w:val="superscript"/>
          <w:lang w:val="en-AU"/>
        </w:rPr>
        <w:endnoteReference w:id="198"/>
      </w:r>
      <w:r w:rsidRPr="005C693B">
        <w:rPr>
          <w:lang w:val="en-AU"/>
        </w:rPr>
        <w:t xml:space="preserve"> </w:t>
      </w:r>
    </w:p>
    <w:p w14:paraId="04BB4A52" w14:textId="77777777" w:rsidR="00F97E90" w:rsidRDefault="00F97E90">
      <w:pPr>
        <w:spacing w:after="160" w:line="259" w:lineRule="auto"/>
        <w:rPr>
          <w:lang w:val="en-AU"/>
        </w:rPr>
      </w:pPr>
      <w:r>
        <w:rPr>
          <w:lang w:val="en-AU"/>
        </w:rPr>
        <w:br w:type="page"/>
      </w:r>
    </w:p>
    <w:p w14:paraId="3822BDDB" w14:textId="3515145F" w:rsidR="004D1500" w:rsidRPr="005C693B" w:rsidRDefault="004D1500" w:rsidP="005C693B">
      <w:pPr>
        <w:rPr>
          <w:lang w:val="en-AU"/>
        </w:rPr>
      </w:pPr>
      <w:r w:rsidRPr="005C693B">
        <w:rPr>
          <w:lang w:val="en-AU"/>
        </w:rPr>
        <w:lastRenderedPageBreak/>
        <w:t>An Australian study investigating responses to SCOPE, an online pornography literacy education program for young people, found that programs are most effective when they are evidence-based, non-judgemental, and include diverse rather than didactic perspectives</w:t>
      </w:r>
      <w:r w:rsidRPr="004D1500">
        <w:rPr>
          <w:rFonts w:cstheme="minorBidi"/>
          <w:color w:val="002060"/>
          <w:spacing w:val="-5"/>
          <w:sz w:val="24"/>
          <w:lang w:val="en-AU"/>
        </w:rPr>
        <w:t xml:space="preserve">. </w:t>
      </w:r>
      <w:r w:rsidRPr="005C693B">
        <w:rPr>
          <w:lang w:val="en-AU"/>
        </w:rPr>
        <w:t>Programs are also more effective when embedded within broader information about sexuality and relationships, rather than as isolated content about pornography.</w:t>
      </w:r>
      <w:r w:rsidRPr="004D1500">
        <w:rPr>
          <w:rFonts w:cstheme="minorBidi"/>
          <w:spacing w:val="-5"/>
          <w:sz w:val="24"/>
          <w:vertAlign w:val="superscript"/>
          <w:lang w:val="en-AU"/>
        </w:rPr>
        <w:endnoteReference w:id="199"/>
      </w:r>
      <w:r w:rsidRPr="004D1500">
        <w:rPr>
          <w:rFonts w:cstheme="minorBidi"/>
          <w:color w:val="002060"/>
          <w:spacing w:val="-5"/>
          <w:sz w:val="24"/>
          <w:lang w:val="en-AU"/>
        </w:rPr>
        <w:t xml:space="preserve"> </w:t>
      </w:r>
      <w:r w:rsidRPr="005C693B">
        <w:rPr>
          <w:lang w:val="en-AU"/>
        </w:rPr>
        <w:t>Young people participating in the study suggested that the online resource could be made more effective by:</w:t>
      </w:r>
    </w:p>
    <w:p w14:paraId="27DA3B13" w14:textId="77777777" w:rsidR="004D1500" w:rsidRPr="00562192" w:rsidRDefault="004D1500" w:rsidP="00CB7214">
      <w:pPr>
        <w:pStyle w:val="ListBullet"/>
      </w:pPr>
      <w:r w:rsidRPr="00562192">
        <w:t>targeting content to specific ages or development stages</w:t>
      </w:r>
    </w:p>
    <w:p w14:paraId="7A190A6F" w14:textId="77777777" w:rsidR="004D1500" w:rsidRPr="00562192" w:rsidRDefault="004D1500" w:rsidP="00CB7214">
      <w:pPr>
        <w:pStyle w:val="ListBullet"/>
      </w:pPr>
      <w:r w:rsidRPr="00562192">
        <w:t>minimising text</w:t>
      </w:r>
    </w:p>
    <w:p w14:paraId="2DB24FEB" w14:textId="77777777" w:rsidR="004D1500" w:rsidRPr="00562192" w:rsidRDefault="004D1500" w:rsidP="00CB7214">
      <w:pPr>
        <w:pStyle w:val="ListBullet"/>
      </w:pPr>
      <w:r w:rsidRPr="00562192">
        <w:t>using expandable headlines to avoid ‘overexposing’ users to information before they are ready</w:t>
      </w:r>
    </w:p>
    <w:p w14:paraId="2CB0AD22" w14:textId="77777777" w:rsidR="004D1500" w:rsidRPr="00562192" w:rsidRDefault="004D1500" w:rsidP="00CB7214">
      <w:pPr>
        <w:pStyle w:val="ListBullet"/>
      </w:pPr>
      <w:r w:rsidRPr="00562192">
        <w:t xml:space="preserve">highlighting key points </w:t>
      </w:r>
    </w:p>
    <w:p w14:paraId="10EEC520" w14:textId="77777777" w:rsidR="004D1500" w:rsidRPr="004D1500" w:rsidRDefault="004D1500" w:rsidP="00CB7214">
      <w:pPr>
        <w:pStyle w:val="ListBullet"/>
        <w:rPr>
          <w:rFonts w:cstheme="minorBidi"/>
          <w:color w:val="002060"/>
          <w:spacing w:val="-5"/>
          <w:sz w:val="20"/>
          <w:szCs w:val="20"/>
          <w:lang w:val="en-US"/>
        </w:rPr>
      </w:pPr>
      <w:r w:rsidRPr="005C693B">
        <w:t>increasing the use of videos.</w:t>
      </w:r>
      <w:r w:rsidRPr="004D1500">
        <w:rPr>
          <w:rFonts w:cstheme="minorBidi"/>
          <w:spacing w:val="-5"/>
          <w:sz w:val="24"/>
          <w:vertAlign w:val="superscript"/>
        </w:rPr>
        <w:endnoteReference w:id="200"/>
      </w:r>
      <w:r w:rsidRPr="004D1500">
        <w:rPr>
          <w:rFonts w:cstheme="minorBidi"/>
          <w:color w:val="002060"/>
          <w:spacing w:val="-5"/>
          <w:sz w:val="20"/>
          <w:szCs w:val="20"/>
          <w:lang w:val="en-US"/>
        </w:rPr>
        <w:t xml:space="preserve"> </w:t>
      </w:r>
    </w:p>
    <w:p w14:paraId="330D12F3" w14:textId="77777777" w:rsidR="004D1500" w:rsidRPr="005C693B" w:rsidRDefault="004D1500" w:rsidP="005C693B">
      <w:pPr>
        <w:rPr>
          <w:lang w:val="en-AU"/>
        </w:rPr>
      </w:pPr>
      <w:r w:rsidRPr="005C693B">
        <w:rPr>
          <w:lang w:val="en-AU"/>
        </w:rPr>
        <w:t>The study concluded that, when creating information content on sensitive issues such as ‘sexting’ and pornography, co-design methods can help centre young people’s needs and wants in the design process and ensure that research is translated into practice in a youth-friendly way.</w:t>
      </w:r>
    </w:p>
    <w:p w14:paraId="179CC235" w14:textId="77777777" w:rsidR="004D1500" w:rsidRPr="005C693B" w:rsidRDefault="004D1500" w:rsidP="00552732">
      <w:pPr>
        <w:rPr>
          <w:lang w:val="en-AU"/>
        </w:rPr>
      </w:pPr>
      <w:r w:rsidRPr="005C693B">
        <w:rPr>
          <w:lang w:val="en-AU"/>
        </w:rPr>
        <w:t>The research demonstrates both young people’s exposure to and use of pornography. It is clear that education on pornography is needed, and that it should seek to support young people in age-appropriate ways so that they can critically evaluate and respond to the influence of pornography, thereby minimising its harms and equipping young people for relationships and sexualities that are safe, respectful, mutually pleasurable and consenting.</w:t>
      </w:r>
      <w:r w:rsidRPr="004D1500">
        <w:rPr>
          <w:rFonts w:cstheme="minorBidi"/>
          <w:spacing w:val="-5"/>
          <w:sz w:val="24"/>
          <w:vertAlign w:val="superscript"/>
          <w:lang w:val="en-AU"/>
        </w:rPr>
        <w:endnoteReference w:id="201"/>
      </w:r>
      <w:r w:rsidRPr="005C693B">
        <w:rPr>
          <w:lang w:val="en-AU"/>
        </w:rPr>
        <w:t xml:space="preserve"> Education may include: </w:t>
      </w:r>
    </w:p>
    <w:p w14:paraId="73D31B21" w14:textId="77777777" w:rsidR="004D1500" w:rsidRPr="00562192" w:rsidRDefault="004D1500" w:rsidP="00CB7214">
      <w:pPr>
        <w:pStyle w:val="ListBullet"/>
      </w:pPr>
      <w:r w:rsidRPr="00562192">
        <w:t>the prevalence and nature of pornography</w:t>
      </w:r>
    </w:p>
    <w:p w14:paraId="04C4C3D1" w14:textId="77777777" w:rsidR="004D1500" w:rsidRPr="00562192" w:rsidRDefault="004D1500" w:rsidP="00CB7214">
      <w:pPr>
        <w:pStyle w:val="ListBullet"/>
      </w:pPr>
      <w:r w:rsidRPr="00562192">
        <w:t>the impact of pornography on young people</w:t>
      </w:r>
    </w:p>
    <w:p w14:paraId="0B98E1F3" w14:textId="77777777" w:rsidR="004D1500" w:rsidRPr="00562192" w:rsidRDefault="004D1500" w:rsidP="00CB7214">
      <w:pPr>
        <w:pStyle w:val="ListBullet"/>
      </w:pPr>
      <w:r w:rsidRPr="00562192">
        <w:t>the patterns of gendered inequality and aggression in pornography</w:t>
      </w:r>
    </w:p>
    <w:p w14:paraId="0320E386" w14:textId="77777777" w:rsidR="004D1500" w:rsidRPr="00562192" w:rsidRDefault="004D1500" w:rsidP="00CB7214">
      <w:pPr>
        <w:pStyle w:val="ListBullet"/>
      </w:pPr>
      <w:r w:rsidRPr="00562192">
        <w:t xml:space="preserve">the associations between pornography use and violence. </w:t>
      </w:r>
    </w:p>
    <w:p w14:paraId="1FC540A8" w14:textId="77777777" w:rsidR="004D1500" w:rsidRDefault="004D1500" w:rsidP="00552732">
      <w:pPr>
        <w:rPr>
          <w:lang w:val="en-AU"/>
        </w:rPr>
      </w:pPr>
      <w:r w:rsidRPr="005C693B">
        <w:rPr>
          <w:lang w:val="en-AU"/>
        </w:rPr>
        <w:t>A school-based practice framework and broader educational approaches focused on respectful relationships education offer significant opportunities to address the influence of pornography on young people.</w:t>
      </w:r>
      <w:r w:rsidRPr="004D1500">
        <w:rPr>
          <w:rFonts w:cstheme="minorBidi"/>
          <w:spacing w:val="-5"/>
          <w:sz w:val="24"/>
          <w:vertAlign w:val="superscript"/>
          <w:lang w:val="en-AU"/>
        </w:rPr>
        <w:endnoteReference w:id="202"/>
      </w:r>
    </w:p>
    <w:p w14:paraId="7F6A6542" w14:textId="77777777" w:rsidR="00CB7214" w:rsidRPr="005C693B" w:rsidRDefault="00CB7214" w:rsidP="00552732">
      <w:pPr>
        <w:rPr>
          <w:lang w:val="en-AU"/>
        </w:rPr>
      </w:pPr>
    </w:p>
    <w:p w14:paraId="6D4E309E" w14:textId="77777777" w:rsidR="004D1500" w:rsidRPr="004D1500" w:rsidRDefault="004D1500" w:rsidP="003A4AA0">
      <w:pPr>
        <w:pStyle w:val="Heading2"/>
        <w:rPr>
          <w:lang w:val="en-AU"/>
        </w:rPr>
      </w:pPr>
      <w:bookmarkStart w:id="50" w:name="_Toc216956837"/>
      <w:r w:rsidRPr="004D1500">
        <w:rPr>
          <w:lang w:val="en-AU"/>
        </w:rPr>
        <w:t>Conclusion</w:t>
      </w:r>
      <w:bookmarkEnd w:id="50"/>
    </w:p>
    <w:p w14:paraId="6BAC0818" w14:textId="77777777" w:rsidR="004D1500" w:rsidRPr="00562192" w:rsidRDefault="004D1500" w:rsidP="00562192">
      <w:pPr>
        <w:rPr>
          <w:lang w:val="en-AU"/>
        </w:rPr>
      </w:pPr>
      <w:r w:rsidRPr="00562192">
        <w:rPr>
          <w:lang w:val="en-AU"/>
        </w:rPr>
        <w:t xml:space="preserve">The widespread presence of gender-based violence in mainstream pornography has profound implications for young people’s attitudes and behaviours around sex, intimacy, and consent. With violent, coercive and non-consensual acts commonly portrayed – and often framed as normal, pleasurable or expected – pornography sends powerful messages about gender roles and power dynamics in sexual relationships. Section 3 has highlighted the urgent need for inclusive, age-appropriate and evidence-based education that addresses the influence of pornography, challenges harmful norms, and supports young people to navigate sex and relationships safely, ethically and with mutual respect. Young people’s access to information and education about pornography has the potential to help mediate the negative impacts of pornography on young people, their wellbeing and their relationships, and provide tools for critically challenging violence-endorsing messages in all forms of media. </w:t>
      </w:r>
    </w:p>
    <w:p w14:paraId="13D7C466" w14:textId="201EDC0C" w:rsidR="00CB7214" w:rsidRDefault="00CB7214" w:rsidP="004D1500">
      <w:pPr>
        <w:spacing w:after="160" w:line="259" w:lineRule="auto"/>
        <w:rPr>
          <w:rFonts w:cstheme="minorBidi"/>
          <w:spacing w:val="-5"/>
          <w:sz w:val="24"/>
          <w:lang w:val="en-AU"/>
        </w:rPr>
        <w:sectPr w:rsidR="00CB7214" w:rsidSect="001D557C">
          <w:headerReference w:type="default" r:id="rId25"/>
          <w:endnotePr>
            <w:numFmt w:val="decimal"/>
          </w:endnotePr>
          <w:pgSz w:w="11900" w:h="16840"/>
          <w:pgMar w:top="851" w:right="2268" w:bottom="1134" w:left="1134" w:header="0" w:footer="567" w:gutter="0"/>
          <w:cols w:space="708"/>
          <w:docGrid w:linePitch="360"/>
        </w:sectPr>
      </w:pPr>
      <w:bookmarkStart w:id="51" w:name="_Toc200726015"/>
      <w:bookmarkEnd w:id="33"/>
    </w:p>
    <w:p w14:paraId="68C7C63E" w14:textId="725C0FAB" w:rsidR="004D1500" w:rsidRPr="00AF6E53" w:rsidRDefault="004D1500" w:rsidP="00251ECF">
      <w:pPr>
        <w:pStyle w:val="Heading1"/>
        <w:rPr>
          <w:rFonts w:ascii="Roboto" w:hAnsi="Roboto"/>
          <w:b w:val="0"/>
        </w:rPr>
      </w:pPr>
      <w:bookmarkStart w:id="52" w:name="_Toc216956838"/>
      <w:r w:rsidRPr="00251ECF">
        <w:lastRenderedPageBreak/>
        <w:t xml:space="preserve">Section 4: </w:t>
      </w:r>
      <w:r w:rsidR="00251ECF">
        <w:br/>
      </w:r>
      <w:r w:rsidRPr="00AF6E53">
        <w:rPr>
          <w:rFonts w:ascii="Roboto" w:hAnsi="Roboto"/>
          <w:b w:val="0"/>
        </w:rPr>
        <w:t>Educational approaches to supporting young people to develop healthy, inclusive and respectful relationships</w:t>
      </w:r>
      <w:bookmarkEnd w:id="51"/>
      <w:bookmarkEnd w:id="52"/>
    </w:p>
    <w:p w14:paraId="530D1549" w14:textId="77777777" w:rsidR="004D1500" w:rsidRPr="00562192" w:rsidRDefault="004D1500" w:rsidP="00562192">
      <w:pPr>
        <w:rPr>
          <w:lang w:val="en-AU"/>
        </w:rPr>
      </w:pPr>
      <w:r w:rsidRPr="00A554FB">
        <w:rPr>
          <w:rStyle w:val="Strong"/>
          <w:lang w:val="en-AU"/>
        </w:rPr>
        <w:t>Sex, gender and relationships education for children and young people can not only positively shape their wellbeing, safety and development, but also influences their future romantic and intimate relationships during adulthood, including the likelihood of perpetration and experiences of gender-based violence.</w:t>
      </w:r>
      <w:r w:rsidRPr="00562192">
        <w:rPr>
          <w:lang w:val="en-AU"/>
        </w:rPr>
        <w:t xml:space="preserve"> Educational institutions play a key role in preventing gender-based violence by supporting children and young people to build their knowledge and skills about positive gender norms, stereotypes and practices –from the early years through to higher education, including university and vocational education and training. This paper focuses on primary and secondary schools, given the potential reach that education approaches during this stage of schooling have across the country. </w:t>
      </w:r>
    </w:p>
    <w:p w14:paraId="37F6666A" w14:textId="77777777" w:rsidR="004D1500" w:rsidRPr="005C693B" w:rsidRDefault="004D1500" w:rsidP="00552732">
      <w:pPr>
        <w:rPr>
          <w:lang w:val="en-AU"/>
        </w:rPr>
      </w:pPr>
      <w:r w:rsidRPr="005C693B">
        <w:rPr>
          <w:lang w:val="en-AU"/>
        </w:rPr>
        <w:t>The provision of education approaches in Australia varies. Different content, models and pedagogical approaches are used across different schooling systems and geographic locations. Coordinated, consistent and evidence-based approaches are essential for supporting young people to develop required skills that empower them – to take control and make informed decisions about their sexuality, health and wellbeing, and to develop respectful and equitable relationships throughout their lives. Numerous studies conducted with young people have illustrated that young people want to know more about how to establish healthy interpersonal relationships based on respect and communication.</w:t>
      </w:r>
      <w:r w:rsidRPr="004D1500">
        <w:rPr>
          <w:rFonts w:eastAsiaTheme="majorEastAsia" w:cstheme="minorBidi"/>
          <w:spacing w:val="-5"/>
          <w:sz w:val="24"/>
          <w:vertAlign w:val="superscript"/>
          <w:lang w:val="en-AU"/>
        </w:rPr>
        <w:endnoteReference w:id="203"/>
      </w:r>
      <w:r w:rsidRPr="005C693B">
        <w:rPr>
          <w:lang w:val="en-AU"/>
        </w:rPr>
        <w:t xml:space="preserve"> Young people have reported that learning how to navigate the complexities of sexually intimate relationships can be challenging, and that it can be difficult to know how to seek sexual consent, and how to assert their rights and needs. However, most sexuality education programs often have a biological rather than a relational focus, which tends not to meet the needs or reflect the realities of young people.</w:t>
      </w:r>
      <w:r w:rsidRPr="004D1500">
        <w:rPr>
          <w:rFonts w:eastAsiaTheme="majorEastAsia" w:cstheme="minorBidi"/>
          <w:spacing w:val="-5"/>
          <w:sz w:val="24"/>
          <w:vertAlign w:val="superscript"/>
          <w:lang w:val="en-AU"/>
        </w:rPr>
        <w:endnoteReference w:id="204"/>
      </w:r>
      <w:r w:rsidRPr="005C693B">
        <w:rPr>
          <w:lang w:val="en-AU"/>
        </w:rPr>
        <w:t xml:space="preserve"> Further, international research has demonstrated that school-based prevention initiatives can reduce future perpetration and experience of violence among high school and university age students.</w:t>
      </w:r>
      <w:r w:rsidRPr="004D1500">
        <w:rPr>
          <w:rFonts w:cstheme="minorBidi"/>
          <w:spacing w:val="-5"/>
          <w:sz w:val="24"/>
          <w:vertAlign w:val="superscript"/>
          <w:lang w:val="en-AU"/>
        </w:rPr>
        <w:endnoteReference w:id="205"/>
      </w:r>
    </w:p>
    <w:p w14:paraId="02C3C2A2" w14:textId="77777777" w:rsidR="004D1500" w:rsidRPr="00562192" w:rsidRDefault="004D1500" w:rsidP="00562192">
      <w:pPr>
        <w:rPr>
          <w:lang w:val="en-AU"/>
        </w:rPr>
      </w:pPr>
      <w:r w:rsidRPr="00562192">
        <w:rPr>
          <w:lang w:val="en-AU"/>
        </w:rPr>
        <w:t>Section 4 examines different approaches, including respectful relationships education (RRE), comprehensive relationship and sexuality education (</w:t>
      </w:r>
      <w:proofErr w:type="spellStart"/>
      <w:r w:rsidRPr="00562192">
        <w:rPr>
          <w:lang w:val="en-AU"/>
        </w:rPr>
        <w:t>CRSE</w:t>
      </w:r>
      <w:proofErr w:type="spellEnd"/>
      <w:r w:rsidRPr="00562192">
        <w:rPr>
          <w:lang w:val="en-AU"/>
        </w:rPr>
        <w:t>), consent education, and social and emotional learning. While some of these approaches, such as RRE, are broader than teaching and learning only, this section focuses on teaching and learning to illustrate effective (and ineffective) initiatives. The educational approaches discussed in this section intersect and are often complementary in supporting children and young people to develop safe, healthy and respectful relationships. This paper acknowledges that ‘</w:t>
      </w:r>
      <w:proofErr w:type="spellStart"/>
      <w:r w:rsidRPr="00562192">
        <w:rPr>
          <w:lang w:val="en-AU"/>
        </w:rPr>
        <w:t>CRSE</w:t>
      </w:r>
      <w:proofErr w:type="spellEnd"/>
      <w:r w:rsidRPr="00562192">
        <w:rPr>
          <w:lang w:val="en-AU"/>
        </w:rPr>
        <w:t xml:space="preserve">’ is often used as an umbrella term in the Australian context to reference the teaching of topics pertaining to sexuality, sexual and reproductive health, consent, and interpersonal relationships. </w:t>
      </w:r>
      <w:r w:rsidRPr="00562192">
        <w:rPr>
          <w:lang w:val="en-AU"/>
        </w:rPr>
        <w:lastRenderedPageBreak/>
        <w:t>Due to the broad and varied application of the term, ‘</w:t>
      </w:r>
      <w:proofErr w:type="spellStart"/>
      <w:r w:rsidRPr="00562192">
        <w:rPr>
          <w:lang w:val="en-AU"/>
        </w:rPr>
        <w:t>CRSE</w:t>
      </w:r>
      <w:proofErr w:type="spellEnd"/>
      <w:r w:rsidRPr="00562192">
        <w:rPr>
          <w:lang w:val="en-AU"/>
        </w:rPr>
        <w:t xml:space="preserve">’ and ‘RRE’ are used interchangeably, and definitions may vary between jurisdictions. </w:t>
      </w:r>
    </w:p>
    <w:p w14:paraId="2B0E7753" w14:textId="77777777" w:rsidR="004D1500" w:rsidRDefault="004D1500" w:rsidP="00562192">
      <w:pPr>
        <w:rPr>
          <w:lang w:val="en-AU"/>
        </w:rPr>
      </w:pPr>
      <w:r w:rsidRPr="00562192">
        <w:rPr>
          <w:lang w:val="en-AU"/>
        </w:rPr>
        <w:t xml:space="preserve">While overlap exists in some aspects of teaching and learning content for </w:t>
      </w:r>
      <w:proofErr w:type="spellStart"/>
      <w:r w:rsidRPr="00562192">
        <w:rPr>
          <w:lang w:val="en-AU"/>
        </w:rPr>
        <w:t>CRSE</w:t>
      </w:r>
      <w:proofErr w:type="spellEnd"/>
      <w:r w:rsidRPr="00562192">
        <w:rPr>
          <w:lang w:val="en-AU"/>
        </w:rPr>
        <w:t xml:space="preserve"> and RRE (such as consent, body autonomy, and social and emotional wellbeing), what separates RRE from </w:t>
      </w:r>
      <w:proofErr w:type="spellStart"/>
      <w:r w:rsidRPr="00562192">
        <w:rPr>
          <w:lang w:val="en-AU"/>
        </w:rPr>
        <w:t>CRSE</w:t>
      </w:r>
      <w:proofErr w:type="spellEnd"/>
      <w:r w:rsidRPr="00562192">
        <w:rPr>
          <w:lang w:val="en-AU"/>
        </w:rPr>
        <w:t xml:space="preserve"> as an approach is that RRE is underpinned by a critical analysis of gender, power and privilege to explicitly address the gendered drivers of violence to prevent all forms of gender-based violence.</w:t>
      </w:r>
    </w:p>
    <w:p w14:paraId="6F192E3F" w14:textId="77777777" w:rsidR="002F00AF" w:rsidRPr="00562192" w:rsidRDefault="002F00AF" w:rsidP="00562192">
      <w:pPr>
        <w:rPr>
          <w:lang w:val="en-AU"/>
        </w:rPr>
      </w:pPr>
    </w:p>
    <w:p w14:paraId="65048704" w14:textId="77777777" w:rsidR="004D1500" w:rsidRPr="004D1500" w:rsidRDefault="004D1500" w:rsidP="003A4AA0">
      <w:pPr>
        <w:pStyle w:val="Heading2"/>
        <w:rPr>
          <w:lang w:val="en-AU"/>
        </w:rPr>
      </w:pPr>
      <w:bookmarkStart w:id="53" w:name="_Toc216956839"/>
      <w:r w:rsidRPr="004D1500">
        <w:rPr>
          <w:lang w:val="en-AU"/>
        </w:rPr>
        <w:t>Respectful relationships education (RRE)</w:t>
      </w:r>
      <w:bookmarkEnd w:id="53"/>
    </w:p>
    <w:p w14:paraId="79BC8974" w14:textId="77777777" w:rsidR="004D1500" w:rsidRPr="005C693B" w:rsidRDefault="004D1500" w:rsidP="00552732">
      <w:pPr>
        <w:rPr>
          <w:lang w:val="en-AU"/>
        </w:rPr>
      </w:pPr>
      <w:r w:rsidRPr="005C693B">
        <w:rPr>
          <w:lang w:val="en-AU"/>
        </w:rPr>
        <w:t>Respectful relationships education draws on theory and practice for preventing various forms of gender-based violence through strategies and approaches specifically for children and young people.</w:t>
      </w:r>
      <w:r w:rsidRPr="004D1500">
        <w:rPr>
          <w:rFonts w:cstheme="minorBidi"/>
          <w:spacing w:val="-5"/>
          <w:sz w:val="24"/>
          <w:vertAlign w:val="superscript"/>
          <w:lang w:val="en-AU"/>
        </w:rPr>
        <w:endnoteReference w:id="206"/>
      </w:r>
      <w:r w:rsidRPr="005C693B">
        <w:rPr>
          <w:lang w:val="en-AU"/>
        </w:rPr>
        <w:t xml:space="preserve"> As RRE is a relatively new field in Australia, varying understandings of what constitutes good practice RRE exist across Australia and internationally. </w:t>
      </w:r>
    </w:p>
    <w:p w14:paraId="50F221A6" w14:textId="77777777" w:rsidR="004D1500" w:rsidRPr="00562192" w:rsidRDefault="004D1500" w:rsidP="00562192">
      <w:r w:rsidRPr="00562192">
        <w:rPr>
          <w:lang w:val="en-AU"/>
        </w:rPr>
        <w:t xml:space="preserve">As educational institutions, workplaces and community hubs, primary and secondary schools are widely recognised as key settings in which to promote respectful relationships, non-violence and gender equality. RRE is the holistic approach to school-based primary prevention of gender-based violence. A whole-of-school approach to RRE recognises that schools are not only educational institutions but also operate as workplaces and community hubs. The whole-of-school approach to RRE includes </w:t>
      </w:r>
      <w:r w:rsidRPr="00562192">
        <w:t>6 components:</w:t>
      </w:r>
    </w:p>
    <w:p w14:paraId="7401B68B" w14:textId="0D0E637F" w:rsidR="004D1500" w:rsidRPr="00890E0E" w:rsidRDefault="004D1500" w:rsidP="00890E0E">
      <w:pPr>
        <w:pStyle w:val="ListNumber"/>
      </w:pPr>
      <w:r w:rsidRPr="00890E0E">
        <w:t xml:space="preserve">school leadership and commitment </w:t>
      </w:r>
    </w:p>
    <w:p w14:paraId="00C4D927" w14:textId="77777777" w:rsidR="004D1500" w:rsidRPr="00890E0E" w:rsidRDefault="004D1500" w:rsidP="00890E0E">
      <w:pPr>
        <w:pStyle w:val="ListNumber"/>
      </w:pPr>
      <w:r w:rsidRPr="00890E0E">
        <w:t>school culture and environment</w:t>
      </w:r>
    </w:p>
    <w:p w14:paraId="1ACB5ACD" w14:textId="77777777" w:rsidR="004D1500" w:rsidRPr="00890E0E" w:rsidRDefault="004D1500" w:rsidP="00890E0E">
      <w:pPr>
        <w:pStyle w:val="ListNumber"/>
      </w:pPr>
      <w:r w:rsidRPr="00890E0E">
        <w:t>professional learning for educators</w:t>
      </w:r>
    </w:p>
    <w:p w14:paraId="066735B5" w14:textId="77777777" w:rsidR="004D1500" w:rsidRPr="00890E0E" w:rsidRDefault="004D1500" w:rsidP="00890E0E">
      <w:pPr>
        <w:pStyle w:val="ListNumber"/>
      </w:pPr>
      <w:r w:rsidRPr="00890E0E">
        <w:t>teaching and learning programs for students</w:t>
      </w:r>
    </w:p>
    <w:p w14:paraId="40840774" w14:textId="77777777" w:rsidR="004D1500" w:rsidRPr="00890E0E" w:rsidRDefault="004D1500" w:rsidP="00890E0E">
      <w:pPr>
        <w:pStyle w:val="ListNumber"/>
      </w:pPr>
      <w:r w:rsidRPr="00890E0E">
        <w:t>partnerships with parents and community</w:t>
      </w:r>
    </w:p>
    <w:p w14:paraId="373E6484" w14:textId="0DC3E9C1" w:rsidR="00FB35F2" w:rsidRPr="00890E0E" w:rsidRDefault="004D1500" w:rsidP="00890E0E">
      <w:pPr>
        <w:pStyle w:val="ListNumber"/>
      </w:pPr>
      <w:r w:rsidRPr="00890E0E">
        <w:t>support for students and staff.</w:t>
      </w:r>
      <w:r w:rsidRPr="00890E0E">
        <w:rPr>
          <w:vertAlign w:val="superscript"/>
        </w:rPr>
        <w:endnoteReference w:id="207"/>
      </w:r>
    </w:p>
    <w:p w14:paraId="4D9777E0" w14:textId="6E6BC3AB" w:rsidR="004D1500" w:rsidRPr="00562192" w:rsidRDefault="004D1500" w:rsidP="00ED4B2C">
      <w:pPr>
        <w:spacing w:before="240"/>
        <w:rPr>
          <w:lang w:val="en-AU"/>
        </w:rPr>
      </w:pPr>
      <w:r w:rsidRPr="00562192">
        <w:rPr>
          <w:lang w:val="en-AU"/>
        </w:rPr>
        <w:t xml:space="preserve">A whole-school approach requires addressing the overlapping domains that shape the social climate surrounding students and staff, including: </w:t>
      </w:r>
    </w:p>
    <w:p w14:paraId="46DEBE1E" w14:textId="77777777" w:rsidR="004D1500" w:rsidRPr="00562192" w:rsidRDefault="004D1500" w:rsidP="00552732">
      <w:pPr>
        <w:pStyle w:val="ListBullet"/>
      </w:pPr>
      <w:r w:rsidRPr="00562192">
        <w:t>curriculum</w:t>
      </w:r>
    </w:p>
    <w:p w14:paraId="6A305465" w14:textId="77777777" w:rsidR="004D1500" w:rsidRPr="00562192" w:rsidRDefault="004D1500" w:rsidP="00552732">
      <w:pPr>
        <w:pStyle w:val="ListBullet"/>
      </w:pPr>
      <w:r w:rsidRPr="00562192">
        <w:t>school policy and practices</w:t>
      </w:r>
    </w:p>
    <w:p w14:paraId="5B229C2D" w14:textId="77777777" w:rsidR="004D1500" w:rsidRPr="00562192" w:rsidRDefault="004D1500" w:rsidP="00552732">
      <w:pPr>
        <w:pStyle w:val="ListBullet"/>
      </w:pPr>
      <w:r w:rsidRPr="00562192">
        <w:t>school culture and ethos</w:t>
      </w:r>
    </w:p>
    <w:p w14:paraId="59CE635B" w14:textId="77777777" w:rsidR="004D1500" w:rsidRPr="00562192" w:rsidRDefault="004D1500" w:rsidP="00552732">
      <w:pPr>
        <w:pStyle w:val="ListBullet"/>
      </w:pPr>
      <w:r w:rsidRPr="00562192">
        <w:t>working conditions and culture experienced by staff</w:t>
      </w:r>
    </w:p>
    <w:p w14:paraId="5DC6814F" w14:textId="77777777" w:rsidR="004D1500" w:rsidRPr="005C693B" w:rsidRDefault="004D1500" w:rsidP="00552732">
      <w:pPr>
        <w:pStyle w:val="ListBullet"/>
      </w:pPr>
      <w:r w:rsidRPr="005C693B">
        <w:t>relationships modelled to students by their school community, including staff, parents, guardians and broader community.</w:t>
      </w:r>
      <w:r w:rsidRPr="004D1500">
        <w:rPr>
          <w:rFonts w:cstheme="minorBidi"/>
          <w:spacing w:val="-5"/>
          <w:sz w:val="24"/>
          <w:vertAlign w:val="superscript"/>
        </w:rPr>
        <w:endnoteReference w:id="208"/>
      </w:r>
    </w:p>
    <w:p w14:paraId="235B9914" w14:textId="77777777" w:rsidR="004D1500" w:rsidRPr="005C693B" w:rsidRDefault="004D1500" w:rsidP="005C693B">
      <w:pPr>
        <w:rPr>
          <w:lang w:val="en-AU"/>
        </w:rPr>
      </w:pPr>
      <w:r w:rsidRPr="005C693B">
        <w:rPr>
          <w:lang w:val="en-AU"/>
        </w:rPr>
        <w:t xml:space="preserve">When integrated effectively into the education system, RRE can shift the gendered drivers of violence against women at individual, school, system, policy and broader societal levels. In the short term, RRE can challenge violence-supportive attitudes that may be held by some staff and students. It can support more respectful behaviour, counter gender stereotyping among students, and strengthen schools’ commitment to gender equality at the institutional level. Over the long term, RRE has the potential to contribute to reduced rates of gender-based bullying and harassment, shift school cultures towards being more gender equitable and </w:t>
      </w:r>
      <w:r w:rsidRPr="005C693B">
        <w:rPr>
          <w:lang w:val="en-AU"/>
        </w:rPr>
        <w:lastRenderedPageBreak/>
        <w:t>challenge violence-supportive norms. This includes identifying and supporting children and young people who may be experiencing family violence. As part of an RRE professional-learning strategy, school staff should be supported to develop their skills to safely respond to disclosures of violence.</w:t>
      </w:r>
      <w:r w:rsidRPr="004D1500">
        <w:rPr>
          <w:rFonts w:cstheme="minorBidi"/>
          <w:spacing w:val="-5"/>
          <w:sz w:val="24"/>
          <w:vertAlign w:val="superscript"/>
          <w:lang w:val="en-AU"/>
        </w:rPr>
        <w:endnoteReference w:id="209"/>
      </w:r>
      <w:r w:rsidRPr="005C693B">
        <w:rPr>
          <w:lang w:val="en-AU"/>
        </w:rPr>
        <w:t xml:space="preserve"> Professional learning that is focused on responding to disclosures should be delivered prior to classroom delivery of teaching and learning materials.</w:t>
      </w:r>
    </w:p>
    <w:p w14:paraId="0C0C64E4" w14:textId="77777777" w:rsidR="004D1500" w:rsidRPr="005C693B" w:rsidRDefault="004D1500" w:rsidP="005C693B">
      <w:pPr>
        <w:rPr>
          <w:lang w:val="en-AU"/>
        </w:rPr>
      </w:pPr>
      <w:r w:rsidRPr="005C693B" w:rsidDel="0010748D">
        <w:rPr>
          <w:lang w:val="en-AU"/>
        </w:rPr>
        <w:t>Whole</w:t>
      </w:r>
      <w:r w:rsidRPr="005C693B">
        <w:rPr>
          <w:lang w:val="en-AU"/>
        </w:rPr>
        <w:t>-of-school approaches to the prevention of gender-based violence follow a longer tradition of research into violence and bullying prevention.</w:t>
      </w:r>
      <w:r w:rsidRPr="004D1500">
        <w:rPr>
          <w:rFonts w:cstheme="minorBidi"/>
          <w:spacing w:val="-5"/>
          <w:sz w:val="24"/>
          <w:vertAlign w:val="superscript"/>
          <w:lang w:val="en-AU"/>
        </w:rPr>
        <w:endnoteReference w:id="210"/>
      </w:r>
      <w:r w:rsidRPr="005C693B">
        <w:rPr>
          <w:lang w:val="en-AU"/>
        </w:rPr>
        <w:t xml:space="preserve"> </w:t>
      </w:r>
      <w:r w:rsidRPr="004D1500">
        <w:rPr>
          <w:rFonts w:cstheme="minorBidi"/>
          <w:color w:val="000000" w:themeColor="text1"/>
          <w:spacing w:val="-5"/>
          <w:sz w:val="24"/>
          <w:lang w:val="en-AU"/>
        </w:rPr>
        <w:t>E</w:t>
      </w:r>
      <w:r w:rsidRPr="005C693B">
        <w:rPr>
          <w:lang w:val="en-AU"/>
        </w:rPr>
        <w:t xml:space="preserve">arlier waves of bullying prevention research rarely focused on the gendered nature of bullying and harassment; however, they contributed insights into the importance of taking a whole-of-school approach, and of providing classroom programs that strengthen students’ prosocial capacity, willingness and skills to provide positive bystander interventions and engage in reporting and help-seeking. </w:t>
      </w:r>
    </w:p>
    <w:p w14:paraId="52874363" w14:textId="49A45F5E" w:rsidR="004D1500" w:rsidRPr="005C693B" w:rsidRDefault="004D1500" w:rsidP="005C693B">
      <w:pPr>
        <w:rPr>
          <w:lang w:val="en-AU"/>
        </w:rPr>
      </w:pPr>
      <w:r w:rsidRPr="005C693B">
        <w:rPr>
          <w:lang w:val="en-AU"/>
        </w:rPr>
        <w:t>The potential for RRE to create shifts in the gendered drivers of violence within schools is demonstrated in evaluations of RRE in Australia. These evaluations include Our Watch’s 2015 pilot in primary schools in Victoria and 2018 pilot in primary schools in Queensland and Victoria.</w:t>
      </w:r>
      <w:r w:rsidRPr="004D1500">
        <w:rPr>
          <w:rFonts w:cstheme="minorBidi"/>
          <w:color w:val="000000" w:themeColor="text1"/>
          <w:spacing w:val="-5"/>
          <w:sz w:val="24"/>
          <w:vertAlign w:val="superscript"/>
          <w:lang w:val="en-AU"/>
        </w:rPr>
        <w:endnoteReference w:id="211"/>
      </w:r>
      <w:r w:rsidRPr="005C693B">
        <w:rPr>
          <w:lang w:val="en-AU"/>
        </w:rPr>
        <w:t xml:space="preserve"> Reported positive outcomes in </w:t>
      </w:r>
      <w:r w:rsidR="003B2D12">
        <w:rPr>
          <w:lang w:val="en-AU"/>
        </w:rPr>
        <w:br/>
      </w:r>
      <w:r w:rsidRPr="005C693B">
        <w:rPr>
          <w:lang w:val="en-AU"/>
        </w:rPr>
        <w:t>RRE included:</w:t>
      </w:r>
    </w:p>
    <w:p w14:paraId="2A310E86" w14:textId="77777777" w:rsidR="004D1500" w:rsidRPr="00562192" w:rsidRDefault="004D1500" w:rsidP="00552732">
      <w:pPr>
        <w:pStyle w:val="ListBullet"/>
      </w:pPr>
      <w:r w:rsidRPr="00562192">
        <w:t>increased student knowledge of, and confidence in discussing, issues of family violence, consent, gender equality and respectful relationships</w:t>
      </w:r>
    </w:p>
    <w:p w14:paraId="3706F130" w14:textId="77777777" w:rsidR="004D1500" w:rsidRPr="00562192" w:rsidRDefault="004D1500" w:rsidP="00552732">
      <w:pPr>
        <w:pStyle w:val="ListBullet"/>
      </w:pPr>
      <w:r w:rsidRPr="00562192">
        <w:t>increased positive student attitudes towards issues of gender equality and respectful relationships</w:t>
      </w:r>
    </w:p>
    <w:p w14:paraId="205F955B" w14:textId="77777777" w:rsidR="004D1500" w:rsidRPr="00562192" w:rsidRDefault="004D1500" w:rsidP="00552732">
      <w:pPr>
        <w:pStyle w:val="ListBullet"/>
      </w:pPr>
      <w:r w:rsidRPr="00562192">
        <w:t>decreased student adherence to gender-stereotypical attitudes</w:t>
      </w:r>
    </w:p>
    <w:p w14:paraId="0DF19283" w14:textId="77777777" w:rsidR="004D1500" w:rsidRPr="00562192" w:rsidRDefault="004D1500" w:rsidP="00552732">
      <w:pPr>
        <w:pStyle w:val="ListBullet"/>
      </w:pPr>
      <w:r w:rsidRPr="00562192">
        <w:t>increased teacher understanding of the importance of respectful relationships education</w:t>
      </w:r>
    </w:p>
    <w:p w14:paraId="078E65E3" w14:textId="77777777" w:rsidR="004D1500" w:rsidRPr="00562192" w:rsidRDefault="004D1500" w:rsidP="00552732">
      <w:pPr>
        <w:pStyle w:val="ListBullet"/>
      </w:pPr>
      <w:r w:rsidRPr="00562192">
        <w:t>improved student classroom behaviour</w:t>
      </w:r>
    </w:p>
    <w:p w14:paraId="7CE77513" w14:textId="77777777" w:rsidR="004D1500" w:rsidRPr="00562192" w:rsidRDefault="004D1500" w:rsidP="00552732">
      <w:pPr>
        <w:pStyle w:val="ListBullet"/>
      </w:pPr>
      <w:r w:rsidRPr="00562192">
        <w:t>improved student–student and teacher–student relationships</w:t>
      </w:r>
    </w:p>
    <w:p w14:paraId="56836245" w14:textId="77777777" w:rsidR="004D1500" w:rsidRPr="00562192" w:rsidRDefault="004D1500" w:rsidP="00552732">
      <w:pPr>
        <w:pStyle w:val="ListBullet"/>
      </w:pPr>
      <w:r w:rsidRPr="00562192">
        <w:t>improved bystander intentions to intervene</w:t>
      </w:r>
    </w:p>
    <w:p w14:paraId="095DE163" w14:textId="77777777" w:rsidR="004D1500" w:rsidRPr="00562192" w:rsidRDefault="004D1500" w:rsidP="00552732">
      <w:pPr>
        <w:pStyle w:val="ListBullet"/>
      </w:pPr>
      <w:r w:rsidRPr="00562192">
        <w:t>improved levels of social capability and respectful regard for others</w:t>
      </w:r>
    </w:p>
    <w:p w14:paraId="719C5127" w14:textId="77777777" w:rsidR="004D1500" w:rsidRPr="00562192" w:rsidRDefault="004D1500" w:rsidP="00552732">
      <w:pPr>
        <w:pStyle w:val="ListBullet"/>
      </w:pPr>
      <w:r w:rsidRPr="00562192">
        <w:t>improved confidence in accessing help for self or others affected by violence</w:t>
      </w:r>
    </w:p>
    <w:p w14:paraId="14E23C3B" w14:textId="77777777" w:rsidR="004D1500" w:rsidRPr="00562192" w:rsidRDefault="004D1500" w:rsidP="00552732">
      <w:pPr>
        <w:pStyle w:val="ListBullet"/>
      </w:pPr>
      <w:r w:rsidRPr="00562192">
        <w:t>reduced rates of bullying and sexual harassment</w:t>
      </w:r>
    </w:p>
    <w:p w14:paraId="462D6F09" w14:textId="77777777" w:rsidR="004D1500" w:rsidRPr="005C693B" w:rsidRDefault="004D1500" w:rsidP="00552732">
      <w:pPr>
        <w:pStyle w:val="ListBullet"/>
      </w:pPr>
      <w:r w:rsidRPr="005C693B">
        <w:t>increased understanding of respectful relationships, gender equality and gender-based violence among teachers and school leaders.</w:t>
      </w:r>
      <w:r w:rsidRPr="004D1500">
        <w:rPr>
          <w:rFonts w:cstheme="minorBidi"/>
          <w:color w:val="000000" w:themeColor="text1"/>
          <w:spacing w:val="-5"/>
          <w:sz w:val="24"/>
          <w:vertAlign w:val="superscript"/>
        </w:rPr>
        <w:endnoteReference w:id="212"/>
      </w:r>
    </w:p>
    <w:p w14:paraId="580990AC" w14:textId="77777777" w:rsidR="004D1500" w:rsidRPr="005C693B" w:rsidRDefault="004D1500" w:rsidP="005C693B">
      <w:pPr>
        <w:rPr>
          <w:lang w:val="en-AU"/>
        </w:rPr>
      </w:pPr>
      <w:r w:rsidRPr="005C693B">
        <w:rPr>
          <w:lang w:val="en-AU"/>
        </w:rPr>
        <w:t>Sexual harassment rates have also been found to decline in those schools that provide clear messaging around gender equality and the unacceptability of sexual harassment.</w:t>
      </w:r>
      <w:r w:rsidRPr="004D1500">
        <w:rPr>
          <w:rFonts w:cstheme="minorBidi"/>
          <w:spacing w:val="-5"/>
          <w:sz w:val="24"/>
          <w:vertAlign w:val="superscript"/>
          <w:lang w:val="en-AU"/>
        </w:rPr>
        <w:endnoteReference w:id="213"/>
      </w:r>
      <w:r w:rsidRPr="005C693B">
        <w:rPr>
          <w:lang w:val="en-AU"/>
        </w:rPr>
        <w:t xml:space="preserve"> Inclusive and supportive teacher–student relationships played a pivotal role in shaping the school climate for help-seeking, with students more likely to report homophobic harassment of peers to their teachers in those schools providing a positive relational climate.</w:t>
      </w:r>
      <w:r w:rsidRPr="004D1500">
        <w:rPr>
          <w:rFonts w:cstheme="minorBidi"/>
          <w:spacing w:val="-5"/>
          <w:sz w:val="24"/>
          <w:vertAlign w:val="superscript"/>
          <w:lang w:val="en-AU"/>
        </w:rPr>
        <w:endnoteReference w:id="214"/>
      </w:r>
      <w:r w:rsidRPr="005C693B">
        <w:rPr>
          <w:lang w:val="en-AU"/>
        </w:rPr>
        <w:t xml:space="preserve"> </w:t>
      </w:r>
    </w:p>
    <w:p w14:paraId="01FFFF9D" w14:textId="4D85464B" w:rsidR="004D1500" w:rsidRPr="005C693B" w:rsidRDefault="004D1500" w:rsidP="005C693B">
      <w:pPr>
        <w:rPr>
          <w:lang w:val="en-AU"/>
        </w:rPr>
      </w:pPr>
      <w:r w:rsidRPr="005C693B">
        <w:rPr>
          <w:lang w:val="en-AU"/>
        </w:rPr>
        <w:t>There are benefits to providing respectful relationships curriculum materials in primary schools. A systematic review of 13 gender-based violence prevention programs for children in kindergarten and primary school years found that these programs had demonstrated a positive impact in relation to challenging stereotypes, raising awareness of gender violence, improving peer relationships, reducing violent behaviour, and empowering students who may experience vulnerability</w:t>
      </w:r>
      <w:r w:rsidRPr="004D1500">
        <w:rPr>
          <w:rFonts w:cstheme="minorBidi"/>
          <w:spacing w:val="-5"/>
          <w:sz w:val="24"/>
          <w:vertAlign w:val="superscript"/>
          <w:lang w:val="en-AU"/>
        </w:rPr>
        <w:endnoteReference w:id="215"/>
      </w:r>
      <w:r w:rsidR="000B3343">
        <w:rPr>
          <w:lang w:val="en-AU"/>
        </w:rPr>
        <w:t xml:space="preserve"> </w:t>
      </w:r>
      <w:r w:rsidRPr="005C693B">
        <w:rPr>
          <w:lang w:val="en-AU"/>
        </w:rPr>
        <w:t xml:space="preserve">identified 4 key factors associated with the success of these interventions: </w:t>
      </w:r>
      <w:r w:rsidR="003B2D12">
        <w:rPr>
          <w:lang w:val="en-AU"/>
        </w:rPr>
        <w:br/>
      </w:r>
      <w:r w:rsidR="003B2D12">
        <w:rPr>
          <w:lang w:val="en-AU"/>
        </w:rPr>
        <w:br/>
      </w:r>
    </w:p>
    <w:p w14:paraId="54FDD771" w14:textId="77777777" w:rsidR="004D1500" w:rsidRPr="00552732" w:rsidRDefault="004D1500" w:rsidP="00D7015A">
      <w:pPr>
        <w:pStyle w:val="ListNumber"/>
        <w:numPr>
          <w:ilvl w:val="0"/>
          <w:numId w:val="31"/>
        </w:numPr>
      </w:pPr>
      <w:r w:rsidRPr="00552732">
        <w:lastRenderedPageBreak/>
        <w:t>they were integrated into the school curriculum</w:t>
      </w:r>
    </w:p>
    <w:p w14:paraId="293EE6BE" w14:textId="77777777" w:rsidR="004D1500" w:rsidRPr="00552732" w:rsidRDefault="004D1500" w:rsidP="00D7015A">
      <w:pPr>
        <w:pStyle w:val="ListNumber"/>
        <w:numPr>
          <w:ilvl w:val="0"/>
          <w:numId w:val="31"/>
        </w:numPr>
      </w:pPr>
      <w:r w:rsidRPr="00552732">
        <w:t>they promoted active participation of students and community</w:t>
      </w:r>
    </w:p>
    <w:p w14:paraId="6D26C596" w14:textId="77777777" w:rsidR="004D1500" w:rsidRPr="00552732" w:rsidRDefault="004D1500" w:rsidP="00D7015A">
      <w:pPr>
        <w:pStyle w:val="ListNumber"/>
        <w:numPr>
          <w:ilvl w:val="0"/>
          <w:numId w:val="31"/>
        </w:numPr>
      </w:pPr>
      <w:r w:rsidRPr="00552732">
        <w:t>they were research-informed</w:t>
      </w:r>
    </w:p>
    <w:p w14:paraId="0376FF09" w14:textId="77777777" w:rsidR="004D1500" w:rsidRPr="00552732" w:rsidRDefault="004D1500" w:rsidP="00D7015A">
      <w:pPr>
        <w:pStyle w:val="ListNumber"/>
        <w:numPr>
          <w:ilvl w:val="0"/>
          <w:numId w:val="31"/>
        </w:numPr>
      </w:pPr>
      <w:r w:rsidRPr="00552732">
        <w:t xml:space="preserve">they could be adapted to suit the specific context in which they were provided. </w:t>
      </w:r>
    </w:p>
    <w:p w14:paraId="0722B332" w14:textId="77777777" w:rsidR="004D1500" w:rsidRPr="005C693B" w:rsidRDefault="004D1500" w:rsidP="00C22A8C">
      <w:pPr>
        <w:spacing w:before="240"/>
        <w:rPr>
          <w:lang w:val="en-AU"/>
        </w:rPr>
      </w:pPr>
      <w:r w:rsidRPr="005C693B">
        <w:rPr>
          <w:lang w:val="en-AU"/>
        </w:rPr>
        <w:t>The evidence base, which shows the positive results for programs addressing a range of social wellbeing issues, derives chiefly from the effects of teaching the targeted lessons with high fidelity, within a broader positive relational climate at the class and school level. This has been shown in relation to bullying prevention, social and emotional learning, and respectful relationships education.</w:t>
      </w:r>
      <w:r w:rsidRPr="004D1500">
        <w:rPr>
          <w:rFonts w:cstheme="minorBidi"/>
          <w:spacing w:val="-5"/>
          <w:sz w:val="24"/>
          <w:vertAlign w:val="superscript"/>
          <w:lang w:val="en-AU"/>
        </w:rPr>
        <w:endnoteReference w:id="216"/>
      </w:r>
      <w:r w:rsidRPr="005C693B">
        <w:rPr>
          <w:lang w:val="en-AU"/>
        </w:rPr>
        <w:t xml:space="preserve"> Effective classroom programs use collaborative learning activities to structure the kinds of critical dialogue necessary to consider the influence of harmful or limiting gender norms and the consequential power dynamics that reinforce gender-based violence.</w:t>
      </w:r>
      <w:r w:rsidRPr="004D1500">
        <w:rPr>
          <w:rFonts w:cstheme="minorBidi"/>
          <w:spacing w:val="-5"/>
          <w:sz w:val="24"/>
          <w:vertAlign w:val="superscript"/>
          <w:lang w:val="en-AU"/>
        </w:rPr>
        <w:endnoteReference w:id="217"/>
      </w:r>
      <w:r w:rsidRPr="005C693B">
        <w:rPr>
          <w:lang w:val="en-AU"/>
        </w:rPr>
        <w:t xml:space="preserve"> Use of participatory strategies, including role-plays, games, and scenario-based discussion and problem-solving tasks, can help young people to engage in critical thinking about gender and power relations.</w:t>
      </w:r>
      <w:r w:rsidRPr="004D1500">
        <w:rPr>
          <w:rFonts w:cstheme="minorBidi"/>
          <w:spacing w:val="-5"/>
          <w:sz w:val="24"/>
          <w:vertAlign w:val="superscript"/>
          <w:lang w:val="en-AU"/>
        </w:rPr>
        <w:endnoteReference w:id="218"/>
      </w:r>
    </w:p>
    <w:p w14:paraId="59413E1C" w14:textId="77777777" w:rsidR="004D1500" w:rsidRDefault="004D1500" w:rsidP="005C693B">
      <w:pPr>
        <w:rPr>
          <w:lang w:val="en-AU"/>
        </w:rPr>
      </w:pPr>
      <w:r w:rsidRPr="005C693B">
        <w:rPr>
          <w:lang w:val="en-AU"/>
        </w:rPr>
        <w:t>Well-implemented respectful relationships classroom programs have demonstrated positive impacts on young people’s attitudes and behaviours.</w:t>
      </w:r>
      <w:r w:rsidRPr="004D1500">
        <w:rPr>
          <w:rFonts w:cstheme="minorBidi"/>
          <w:spacing w:val="-5"/>
          <w:sz w:val="24"/>
          <w:vertAlign w:val="superscript"/>
          <w:lang w:val="en-AU"/>
        </w:rPr>
        <w:endnoteReference w:id="219"/>
      </w:r>
      <w:r w:rsidRPr="005C693B">
        <w:rPr>
          <w:lang w:val="en-AU"/>
        </w:rPr>
        <w:t xml:space="preserve"> Research highlights that when programs are delivered with fidelity, they can lead to reduced rates of bullying and sexual violence, improved social capabilities and respectful regard for others, and be strongly endorsed by students who find them valuable and relevant.</w:t>
      </w:r>
      <w:r w:rsidRPr="004D1500">
        <w:rPr>
          <w:rFonts w:cstheme="minorBidi"/>
          <w:color w:val="000000" w:themeColor="text1"/>
          <w:spacing w:val="-5"/>
          <w:sz w:val="24"/>
          <w:vertAlign w:val="superscript"/>
          <w:lang w:val="en-AU"/>
        </w:rPr>
        <w:endnoteReference w:id="220"/>
      </w:r>
      <w:r w:rsidRPr="005C693B">
        <w:rPr>
          <w:lang w:val="en-AU"/>
        </w:rPr>
        <w:t xml:space="preserve"> Therefore, professional learning and ongoing support for teachers to ensure they are confident in delivering all key topics is essential to the effectiveness of RRE. RRE brings together a holistic approach to social and emotional learning, incorporating many key components of </w:t>
      </w:r>
      <w:proofErr w:type="spellStart"/>
      <w:r w:rsidRPr="005C693B">
        <w:rPr>
          <w:lang w:val="en-AU"/>
        </w:rPr>
        <w:t>CRSE</w:t>
      </w:r>
      <w:proofErr w:type="spellEnd"/>
      <w:r w:rsidRPr="005C693B">
        <w:rPr>
          <w:lang w:val="en-AU"/>
        </w:rPr>
        <w:t xml:space="preserve">. </w:t>
      </w:r>
    </w:p>
    <w:p w14:paraId="4BC6A37E" w14:textId="77777777" w:rsidR="002F00AF" w:rsidRPr="005C693B" w:rsidRDefault="002F00AF" w:rsidP="005C693B">
      <w:pPr>
        <w:rPr>
          <w:lang w:val="en-AU"/>
        </w:rPr>
      </w:pPr>
    </w:p>
    <w:p w14:paraId="36F893CF" w14:textId="3261373E" w:rsidR="004D1500" w:rsidRPr="004D1500" w:rsidRDefault="004D1500" w:rsidP="003A4AA0">
      <w:pPr>
        <w:pStyle w:val="Heading2"/>
        <w:rPr>
          <w:lang w:val="en-AU"/>
        </w:rPr>
      </w:pPr>
      <w:bookmarkStart w:id="54" w:name="_Toc216956840"/>
      <w:r w:rsidRPr="004D1500">
        <w:rPr>
          <w:lang w:val="en-AU"/>
        </w:rPr>
        <w:t xml:space="preserve">Comprehensive relationships and </w:t>
      </w:r>
      <w:r w:rsidR="00C22A8C">
        <w:rPr>
          <w:lang w:val="en-AU"/>
        </w:rPr>
        <w:br/>
      </w:r>
      <w:r w:rsidRPr="004D1500">
        <w:rPr>
          <w:lang w:val="en-AU"/>
        </w:rPr>
        <w:t>sexuality education</w:t>
      </w:r>
      <w:bookmarkEnd w:id="54"/>
    </w:p>
    <w:p w14:paraId="794B4BA8" w14:textId="77777777" w:rsidR="004D1500" w:rsidRPr="005C693B" w:rsidRDefault="004D1500" w:rsidP="00552732">
      <w:pPr>
        <w:rPr>
          <w:lang w:val="en-AU"/>
        </w:rPr>
      </w:pPr>
      <w:r w:rsidRPr="005C693B">
        <w:rPr>
          <w:lang w:val="en-AU"/>
        </w:rPr>
        <w:t xml:space="preserve">Comprehensive relationships and sexuality education, or </w:t>
      </w:r>
      <w:proofErr w:type="spellStart"/>
      <w:r w:rsidRPr="005C693B">
        <w:rPr>
          <w:lang w:val="en-AU"/>
        </w:rPr>
        <w:t>CRSE</w:t>
      </w:r>
      <w:proofErr w:type="spellEnd"/>
      <w:r w:rsidRPr="005C693B">
        <w:rPr>
          <w:lang w:val="en-AU"/>
        </w:rPr>
        <w:t xml:space="preserve">, is an umbrella term that relates to the physical, emotional, mental and social aspects of relationships and sexuality. </w:t>
      </w:r>
      <w:proofErr w:type="spellStart"/>
      <w:r w:rsidRPr="005C693B">
        <w:rPr>
          <w:lang w:val="en-AU"/>
        </w:rPr>
        <w:t>CRSE</w:t>
      </w:r>
      <w:proofErr w:type="spellEnd"/>
      <w:r w:rsidRPr="005C693B">
        <w:rPr>
          <w:lang w:val="en-AU"/>
        </w:rPr>
        <w:t xml:space="preserve"> can sometimes be used interchangeably with ‘sexuality education’ and ‘comprehensive sexuality education’. International technical guidance on sexuality education reiterates that the breadth of topics and the delivery across a young person’s lifecycle from childhood to adolescence is what makes the approach ‘comprehensive’.</w:t>
      </w:r>
      <w:r w:rsidRPr="004D1500">
        <w:rPr>
          <w:rFonts w:eastAsia="Roboto" w:cs="Roboto"/>
          <w:spacing w:val="-5"/>
          <w:sz w:val="24"/>
          <w:vertAlign w:val="superscript"/>
          <w:lang w:val="en-AU"/>
        </w:rPr>
        <w:endnoteReference w:id="221"/>
      </w:r>
      <w:r w:rsidRPr="005C693B">
        <w:rPr>
          <w:lang w:val="en-AU"/>
        </w:rPr>
        <w:t xml:space="preserve"> </w:t>
      </w:r>
    </w:p>
    <w:p w14:paraId="58A2559B" w14:textId="77777777" w:rsidR="004D1500" w:rsidRPr="00562192" w:rsidRDefault="004D1500" w:rsidP="00562192">
      <w:pPr>
        <w:rPr>
          <w:lang w:val="en-AU"/>
        </w:rPr>
      </w:pPr>
      <w:r w:rsidRPr="00562192">
        <w:rPr>
          <w:lang w:val="en-AU"/>
        </w:rPr>
        <w:t xml:space="preserve">Comprehensive sexual health generally refers to health-related sexual issues as opposed to relationships and gender norms. This often sits in a more health-focused space and is often what is referred to in the international space. </w:t>
      </w:r>
    </w:p>
    <w:p w14:paraId="66BAF299" w14:textId="77777777" w:rsidR="004D1500" w:rsidRPr="005C693B" w:rsidRDefault="004D1500" w:rsidP="005C693B">
      <w:pPr>
        <w:rPr>
          <w:lang w:val="en-AU"/>
        </w:rPr>
      </w:pPr>
      <w:r w:rsidRPr="005C693B">
        <w:rPr>
          <w:lang w:val="en-AU"/>
        </w:rPr>
        <w:t>Comprehensive sexuality education gives young people accurate, age-appropriate information about sexuality and their sexual and reproductive health, which is critical for their health and survival. Comprehensive sexuality education, which can also be called life skills, family life education and a variety of other names, includes but is not limited to topics such as families and relationships; respect, consent and bodily autonomy; anatomy, puberty and menstruation; contraception and pregnancy; and sexually transmitted infections, including HIV.</w:t>
      </w:r>
      <w:r w:rsidRPr="004D1500">
        <w:rPr>
          <w:rFonts w:eastAsia="Calibri" w:cstheme="minorBidi"/>
          <w:spacing w:val="-5"/>
          <w:sz w:val="24"/>
          <w:vertAlign w:val="superscript"/>
          <w:lang w:val="en-AU"/>
        </w:rPr>
        <w:endnoteReference w:id="222"/>
      </w:r>
      <w:r w:rsidRPr="005C693B">
        <w:rPr>
          <w:lang w:val="en-AU"/>
        </w:rPr>
        <w:t xml:space="preserve"> Comprehensive sexuality education </w:t>
      </w:r>
      <w:r w:rsidRPr="005C693B">
        <w:rPr>
          <w:lang w:val="en-AU"/>
        </w:rPr>
        <w:lastRenderedPageBreak/>
        <w:t xml:space="preserve">traditionally focuses on sexual and reproductive health and sexuality, and is typically a term used in international literature in this space. </w:t>
      </w:r>
    </w:p>
    <w:p w14:paraId="2CF9C8E0" w14:textId="77777777" w:rsidR="004D1500" w:rsidRPr="005C693B" w:rsidRDefault="004D1500" w:rsidP="005C693B">
      <w:pPr>
        <w:rPr>
          <w:lang w:val="en-AU"/>
        </w:rPr>
      </w:pPr>
      <w:proofErr w:type="spellStart"/>
      <w:r w:rsidRPr="005C693B">
        <w:rPr>
          <w:lang w:val="en-AU"/>
        </w:rPr>
        <w:t>CRSE</w:t>
      </w:r>
      <w:proofErr w:type="spellEnd"/>
      <w:r w:rsidRPr="005C693B">
        <w:rPr>
          <w:lang w:val="en-AU"/>
        </w:rPr>
        <w:t xml:space="preserve"> covers many of the same topics as comprehensive sexuality education; however, it also addresses gender norms, sexuality and relationship education, and is often used in the Australian context.</w:t>
      </w:r>
      <w:r w:rsidRPr="004D1500">
        <w:rPr>
          <w:rFonts w:eastAsia="Calibri" w:cstheme="minorBidi"/>
          <w:spacing w:val="-5"/>
          <w:sz w:val="24"/>
          <w:vertAlign w:val="superscript"/>
          <w:lang w:val="en-AU"/>
        </w:rPr>
        <w:endnoteReference w:id="223"/>
      </w:r>
      <w:r w:rsidRPr="005C693B">
        <w:rPr>
          <w:lang w:val="en-AU"/>
        </w:rPr>
        <w:t xml:space="preserve"> </w:t>
      </w:r>
      <w:proofErr w:type="spellStart"/>
      <w:r w:rsidRPr="005C693B">
        <w:rPr>
          <w:lang w:val="en-AU"/>
        </w:rPr>
        <w:t>CRSE</w:t>
      </w:r>
      <w:proofErr w:type="spellEnd"/>
      <w:r w:rsidRPr="005C693B">
        <w:rPr>
          <w:lang w:val="en-AU"/>
        </w:rPr>
        <w:t xml:space="preserve"> is mostly aligned with the aims of RRE, in that it involves a learning component that addresses gender, power and control and it endorses a whole-of-school approach. </w:t>
      </w:r>
    </w:p>
    <w:p w14:paraId="059C056E" w14:textId="77777777" w:rsidR="004D1500" w:rsidRPr="005C693B" w:rsidRDefault="004D1500" w:rsidP="005C693B">
      <w:pPr>
        <w:rPr>
          <w:lang w:val="en-AU"/>
        </w:rPr>
      </w:pPr>
      <w:proofErr w:type="spellStart"/>
      <w:r w:rsidRPr="005C693B">
        <w:rPr>
          <w:lang w:val="en-AU"/>
        </w:rPr>
        <w:t>CRSE</w:t>
      </w:r>
      <w:proofErr w:type="spellEnd"/>
      <w:r w:rsidRPr="005C693B">
        <w:rPr>
          <w:lang w:val="en-AU"/>
        </w:rPr>
        <w:t xml:space="preserve"> is an approach grounded in a human rights framework, delivered across the life span in age- and stage-appropriate ways. </w:t>
      </w:r>
      <w:proofErr w:type="spellStart"/>
      <w:r w:rsidRPr="005C693B">
        <w:rPr>
          <w:lang w:val="en-AU"/>
        </w:rPr>
        <w:t>CRSE</w:t>
      </w:r>
      <w:proofErr w:type="spellEnd"/>
      <w:r w:rsidRPr="005C693B">
        <w:rPr>
          <w:lang w:val="en-AU"/>
        </w:rPr>
        <w:t xml:space="preserve"> helps to empower all children and young people to develop a positive body image and manage essential transitions such as puberty. It also contributes to their ability to make informed decisions concerning relationships, reproductive and sexual health, and wellbeing. While a comprehensive approach to relationships and sexuality education is a promising and effective practice, evidence suggests that young people do not consistently receive </w:t>
      </w:r>
      <w:proofErr w:type="spellStart"/>
      <w:r w:rsidRPr="005C693B">
        <w:rPr>
          <w:lang w:val="en-AU"/>
        </w:rPr>
        <w:t>CRSE</w:t>
      </w:r>
      <w:proofErr w:type="spellEnd"/>
      <w:r w:rsidRPr="005C693B">
        <w:rPr>
          <w:lang w:val="en-AU"/>
        </w:rPr>
        <w:t xml:space="preserve"> across their lives.</w:t>
      </w:r>
      <w:r w:rsidRPr="004D1500">
        <w:rPr>
          <w:rFonts w:eastAsia="Roboto" w:cs="Roboto"/>
          <w:spacing w:val="-5"/>
          <w:sz w:val="24"/>
          <w:vertAlign w:val="superscript"/>
          <w:lang w:val="en-AU"/>
        </w:rPr>
        <w:endnoteReference w:id="224"/>
      </w:r>
      <w:r w:rsidRPr="005C693B">
        <w:rPr>
          <w:lang w:val="en-AU"/>
        </w:rPr>
        <w:t xml:space="preserve"> Young people desire more consistently delivered educational approaches to sex and relationships, with a stronger relational focus.</w:t>
      </w:r>
    </w:p>
    <w:p w14:paraId="4D890E73" w14:textId="77777777" w:rsidR="004D1500" w:rsidRPr="005C693B" w:rsidRDefault="004D1500" w:rsidP="005C693B">
      <w:pPr>
        <w:rPr>
          <w:lang w:val="en-AU"/>
        </w:rPr>
      </w:pPr>
      <w:r w:rsidRPr="005C693B">
        <w:rPr>
          <w:lang w:val="en-AU"/>
        </w:rPr>
        <w:t>Young people participating in the 2021</w:t>
      </w:r>
      <w:r w:rsidRPr="002D19F5">
        <w:rPr>
          <w:rFonts w:cstheme="minorBidi"/>
          <w:i/>
          <w:iCs/>
          <w:spacing w:val="-5"/>
          <w:szCs w:val="23"/>
          <w:lang w:val="en-AU"/>
        </w:rPr>
        <w:t xml:space="preserve"> National Survey of Australian Secondary Students and Sexual Health</w:t>
      </w:r>
      <w:r w:rsidRPr="005C693B">
        <w:rPr>
          <w:lang w:val="en-AU"/>
        </w:rPr>
        <w:t xml:space="preserve"> were asked questions about their experiences of relationships and sexuality education</w:t>
      </w:r>
      <w:r w:rsidRPr="005C693B">
        <w:t>.</w:t>
      </w:r>
      <w:r w:rsidRPr="004D1500">
        <w:rPr>
          <w:rFonts w:cstheme="minorBidi"/>
          <w:spacing w:val="-5"/>
          <w:sz w:val="24"/>
          <w:vertAlign w:val="superscript"/>
        </w:rPr>
        <w:endnoteReference w:id="225"/>
      </w:r>
      <w:r w:rsidRPr="005C693B">
        <w:t xml:space="preserve"> </w:t>
      </w:r>
      <w:r w:rsidRPr="005C693B">
        <w:rPr>
          <w:lang w:val="en-AU"/>
        </w:rPr>
        <w:t>More than 95% of respondents viewed relationships and sexuality education</w:t>
      </w:r>
      <w:r w:rsidRPr="005C693B" w:rsidDel="00962021">
        <w:rPr>
          <w:lang w:val="en-AU"/>
        </w:rPr>
        <w:t xml:space="preserve"> </w:t>
      </w:r>
      <w:r w:rsidRPr="005C693B">
        <w:rPr>
          <w:lang w:val="en-AU"/>
        </w:rPr>
        <w:t>as an important part of the school curriculum, and 93% reported receiving relationships and sexuality education at school, most commonly in years 8 and 9. Another study found that students in the final 2 years of secondary school were rarely provided with relationships and sexuality education, despite its increasing relevance for this age group.</w:t>
      </w:r>
      <w:r w:rsidRPr="004D1500">
        <w:rPr>
          <w:rFonts w:cstheme="minorBidi"/>
          <w:spacing w:val="-5"/>
          <w:sz w:val="24"/>
          <w:vertAlign w:val="superscript"/>
          <w:lang w:val="en-AU"/>
        </w:rPr>
        <w:endnoteReference w:id="226"/>
      </w:r>
      <w:r w:rsidRPr="005C693B">
        <w:rPr>
          <w:lang w:val="en-AU"/>
        </w:rPr>
        <w:t xml:space="preserve"> Young people continued to note that relationships and sexuality education in schools often does not include diverse bodies, genders or sexual identities and is predominantly oriented towards heterosexual identities and sexual practices, while excluding diversity in body forms or ability.</w:t>
      </w:r>
      <w:r w:rsidRPr="004D1500">
        <w:rPr>
          <w:rFonts w:cstheme="minorBidi"/>
          <w:spacing w:val="-5"/>
          <w:sz w:val="24"/>
          <w:vertAlign w:val="superscript"/>
          <w:lang w:val="en-AU"/>
        </w:rPr>
        <w:endnoteReference w:id="227"/>
      </w:r>
    </w:p>
    <w:p w14:paraId="1DFC222E" w14:textId="77777777" w:rsidR="004D1500" w:rsidRPr="005C693B" w:rsidRDefault="004D1500" w:rsidP="008221C8">
      <w:pPr>
        <w:rPr>
          <w:lang w:val="en-AU"/>
        </w:rPr>
      </w:pPr>
      <w:r w:rsidRPr="005C693B">
        <w:rPr>
          <w:lang w:val="en-AU"/>
        </w:rPr>
        <w:t>For instance, just</w:t>
      </w:r>
      <w:r w:rsidRPr="005C693B" w:rsidDel="00583034">
        <w:rPr>
          <w:lang w:val="en-AU"/>
        </w:rPr>
        <w:t xml:space="preserve"> a </w:t>
      </w:r>
      <w:r w:rsidRPr="005C693B">
        <w:rPr>
          <w:lang w:val="en-AU"/>
        </w:rPr>
        <w:t>quarter (24.8%) of respondents to the 2021</w:t>
      </w:r>
      <w:r w:rsidRPr="002D19F5">
        <w:rPr>
          <w:rFonts w:cstheme="minorBidi"/>
          <w:i/>
          <w:iCs/>
          <w:spacing w:val="-5"/>
          <w:szCs w:val="23"/>
          <w:lang w:val="en-AU"/>
        </w:rPr>
        <w:t xml:space="preserve"> National Survey of Australian Secondary Students and Sexual Health</w:t>
      </w:r>
      <w:r w:rsidRPr="005C693B">
        <w:rPr>
          <w:lang w:val="en-AU"/>
        </w:rPr>
        <w:t xml:space="preserve"> reported that their most recent relationships and sexuality education class was very or extremely relevant to them</w:t>
      </w:r>
      <w:r w:rsidRPr="005C693B">
        <w:t>.</w:t>
      </w:r>
      <w:r w:rsidRPr="004D1500">
        <w:rPr>
          <w:rFonts w:cstheme="minorBidi"/>
          <w:spacing w:val="-5"/>
          <w:sz w:val="24"/>
          <w:vertAlign w:val="superscript"/>
        </w:rPr>
        <w:endnoteReference w:id="228"/>
      </w:r>
      <w:r w:rsidRPr="005C693B">
        <w:rPr>
          <w:lang w:val="en-AU"/>
        </w:rPr>
        <w:t xml:space="preserve"> Lesbian, gay, bisexual, transgender, queer and non-binary young people were less likely than heterosexual and cisgender young people to report that the relationships and sexuality education they received was relevant to them.</w:t>
      </w:r>
      <w:r w:rsidRPr="005C693B" w:rsidDel="00583034">
        <w:rPr>
          <w:lang w:val="en-AU"/>
        </w:rPr>
        <w:t xml:space="preserve"> </w:t>
      </w:r>
      <w:r w:rsidRPr="005C693B">
        <w:rPr>
          <w:lang w:val="en-AU"/>
        </w:rPr>
        <w:t xml:space="preserve">Students reported that relationships and sexuality education classes typically included discussion of: </w:t>
      </w:r>
    </w:p>
    <w:p w14:paraId="6CB7EE5D" w14:textId="77777777" w:rsidR="004D1500" w:rsidRPr="00562192" w:rsidRDefault="004D1500" w:rsidP="00552732">
      <w:pPr>
        <w:pStyle w:val="ListBullet"/>
      </w:pPr>
      <w:r w:rsidRPr="00562192">
        <w:t>puberty (71%)</w:t>
      </w:r>
    </w:p>
    <w:p w14:paraId="674053B4" w14:textId="77777777" w:rsidR="004D1500" w:rsidRPr="00562192" w:rsidRDefault="004D1500" w:rsidP="00552732">
      <w:pPr>
        <w:pStyle w:val="ListBullet"/>
      </w:pPr>
      <w:r w:rsidRPr="00562192">
        <w:t>correct names for sexual body parts (67.5%)</w:t>
      </w:r>
    </w:p>
    <w:p w14:paraId="29D80C37" w14:textId="77777777" w:rsidR="004D1500" w:rsidRPr="00562192" w:rsidRDefault="004D1500" w:rsidP="00552732">
      <w:pPr>
        <w:pStyle w:val="ListBullet"/>
      </w:pPr>
      <w:r w:rsidRPr="00562192">
        <w:t xml:space="preserve">female reproduction (64.1%) </w:t>
      </w:r>
    </w:p>
    <w:p w14:paraId="60595C11" w14:textId="77777777" w:rsidR="004D1500" w:rsidRPr="00562192" w:rsidRDefault="004D1500" w:rsidP="00552732">
      <w:pPr>
        <w:pStyle w:val="ListBullet"/>
      </w:pPr>
      <w:r w:rsidRPr="00562192">
        <w:t xml:space="preserve">respectful relationships (60.8%). </w:t>
      </w:r>
    </w:p>
    <w:p w14:paraId="5F2DD9F5" w14:textId="77777777" w:rsidR="004D1500" w:rsidRPr="00562192" w:rsidRDefault="004D1500" w:rsidP="008221C8">
      <w:pPr>
        <w:spacing w:before="240"/>
        <w:rPr>
          <w:lang w:val="en-AU"/>
        </w:rPr>
      </w:pPr>
      <w:r w:rsidRPr="00562192">
        <w:rPr>
          <w:lang w:val="en-AU"/>
        </w:rPr>
        <w:t>Young people reported that they would like relationships and sexuality education to also include topics on:</w:t>
      </w:r>
    </w:p>
    <w:p w14:paraId="7D0F676A" w14:textId="77777777" w:rsidR="004D1500" w:rsidRPr="00562192" w:rsidRDefault="004D1500" w:rsidP="00552732">
      <w:pPr>
        <w:pStyle w:val="ListBullet"/>
      </w:pPr>
      <w:r w:rsidRPr="00562192">
        <w:t>gender and sexual diversity</w:t>
      </w:r>
    </w:p>
    <w:p w14:paraId="52FF3E6D" w14:textId="77777777" w:rsidR="004D1500" w:rsidRPr="00562192" w:rsidRDefault="004D1500" w:rsidP="00552732">
      <w:pPr>
        <w:pStyle w:val="ListBullet"/>
      </w:pPr>
      <w:r w:rsidRPr="00562192">
        <w:t>masturbation</w:t>
      </w:r>
    </w:p>
    <w:p w14:paraId="250AAB40" w14:textId="77777777" w:rsidR="004D1500" w:rsidRPr="00562192" w:rsidRDefault="004D1500" w:rsidP="00552732">
      <w:pPr>
        <w:pStyle w:val="ListBullet"/>
      </w:pPr>
      <w:r w:rsidRPr="00562192">
        <w:t xml:space="preserve">pleasure </w:t>
      </w:r>
    </w:p>
    <w:p w14:paraId="25586CF3" w14:textId="77777777" w:rsidR="004D1500" w:rsidRPr="00562192" w:rsidRDefault="004D1500" w:rsidP="00552732">
      <w:pPr>
        <w:pStyle w:val="ListBullet"/>
      </w:pPr>
      <w:r w:rsidRPr="00562192">
        <w:t>how to talk to sexual partners</w:t>
      </w:r>
    </w:p>
    <w:p w14:paraId="4C5870AE" w14:textId="77777777" w:rsidR="004D1500" w:rsidRPr="00562192" w:rsidRDefault="004D1500" w:rsidP="00552732">
      <w:pPr>
        <w:pStyle w:val="ListBullet"/>
      </w:pPr>
      <w:r w:rsidRPr="00562192">
        <w:t>consent</w:t>
      </w:r>
    </w:p>
    <w:p w14:paraId="77E7AB35" w14:textId="77777777" w:rsidR="004D1500" w:rsidRPr="005C693B" w:rsidRDefault="004D1500" w:rsidP="00552732">
      <w:pPr>
        <w:pStyle w:val="ListBullet"/>
      </w:pPr>
      <w:r w:rsidRPr="005C693B">
        <w:lastRenderedPageBreak/>
        <w:t>where to seek help about sexual health.</w:t>
      </w:r>
      <w:r w:rsidRPr="004D1500">
        <w:rPr>
          <w:rFonts w:cstheme="minorBidi"/>
          <w:spacing w:val="-5"/>
          <w:sz w:val="24"/>
          <w:vertAlign w:val="superscript"/>
        </w:rPr>
        <w:endnoteReference w:id="229"/>
      </w:r>
      <w:r w:rsidRPr="005C693B">
        <w:t xml:space="preserve"> </w:t>
      </w:r>
    </w:p>
    <w:p w14:paraId="0DA014F5" w14:textId="77777777" w:rsidR="004D1500" w:rsidRPr="00562192" w:rsidRDefault="004D1500" w:rsidP="00562192">
      <w:pPr>
        <w:rPr>
          <w:lang w:val="en-AU"/>
        </w:rPr>
      </w:pPr>
      <w:r w:rsidRPr="00562192">
        <w:rPr>
          <w:lang w:val="en-AU"/>
        </w:rPr>
        <w:t xml:space="preserve">Young people thought that the best teachers for relationships and sexuality education were those who are: </w:t>
      </w:r>
    </w:p>
    <w:p w14:paraId="5150A27E" w14:textId="77777777" w:rsidR="004D1500" w:rsidRPr="00562192" w:rsidRDefault="004D1500" w:rsidP="00552732">
      <w:pPr>
        <w:pStyle w:val="ListBullet"/>
      </w:pPr>
      <w:r w:rsidRPr="00562192">
        <w:t>approachable and respectful (91.5%)</w:t>
      </w:r>
    </w:p>
    <w:p w14:paraId="1D768B0D" w14:textId="77777777" w:rsidR="004D1500" w:rsidRPr="00562192" w:rsidRDefault="004D1500" w:rsidP="00552732">
      <w:pPr>
        <w:pStyle w:val="ListBullet"/>
      </w:pPr>
      <w:r w:rsidRPr="00562192">
        <w:t>knowledgeable (89.9%)</w:t>
      </w:r>
    </w:p>
    <w:p w14:paraId="67C12BF1" w14:textId="77777777" w:rsidR="004D1500" w:rsidRPr="00562192" w:rsidRDefault="004D1500" w:rsidP="00552732">
      <w:pPr>
        <w:pStyle w:val="ListBullet"/>
      </w:pPr>
      <w:r w:rsidRPr="00562192">
        <w:t>have a sense of humour (86.3%)</w:t>
      </w:r>
    </w:p>
    <w:p w14:paraId="78BF9B8F" w14:textId="77777777" w:rsidR="004D1500" w:rsidRPr="00562192" w:rsidRDefault="004D1500" w:rsidP="00552732">
      <w:pPr>
        <w:pStyle w:val="ListBullet"/>
      </w:pPr>
      <w:r w:rsidRPr="00562192">
        <w:t>calm and unflappable (82.6%)</w:t>
      </w:r>
    </w:p>
    <w:p w14:paraId="69BFA313" w14:textId="77777777" w:rsidR="004D1500" w:rsidRPr="00562192" w:rsidRDefault="004D1500" w:rsidP="00552732">
      <w:pPr>
        <w:pStyle w:val="ListBullet"/>
      </w:pPr>
      <w:r w:rsidRPr="00562192">
        <w:t>willing to ask students what they want to learn (81.1%)</w:t>
      </w:r>
    </w:p>
    <w:p w14:paraId="77DFFFEB" w14:textId="77777777" w:rsidR="004D1500" w:rsidRPr="005C693B" w:rsidRDefault="004D1500" w:rsidP="00552732">
      <w:pPr>
        <w:pStyle w:val="ListBullet"/>
      </w:pPr>
      <w:r w:rsidRPr="005C693B">
        <w:t>relate well to students (81.1%).</w:t>
      </w:r>
      <w:r w:rsidRPr="004D1500">
        <w:rPr>
          <w:rFonts w:cstheme="minorBidi"/>
          <w:spacing w:val="-5"/>
          <w:sz w:val="24"/>
          <w:vertAlign w:val="superscript"/>
        </w:rPr>
        <w:endnoteReference w:id="230"/>
      </w:r>
    </w:p>
    <w:p w14:paraId="6769C96A" w14:textId="77777777" w:rsidR="004D1500" w:rsidRPr="005C693B" w:rsidRDefault="004D1500" w:rsidP="005C693B">
      <w:pPr>
        <w:rPr>
          <w:lang w:val="en-AU"/>
        </w:rPr>
      </w:pPr>
      <w:r w:rsidRPr="005C693B">
        <w:rPr>
          <w:lang w:val="en-AU"/>
        </w:rPr>
        <w:t>Other research that has reviewed Australian secondary school students’ experiences of relationships and sexuality education has found that 69% of students were negative or critical of the program. In comparison, 18% noted both positive and negative experiences, and just 17% reported positive experiences.</w:t>
      </w:r>
      <w:r w:rsidRPr="004D1500">
        <w:rPr>
          <w:rFonts w:cstheme="minorBidi"/>
          <w:spacing w:val="-5"/>
          <w:sz w:val="24"/>
          <w:vertAlign w:val="superscript"/>
          <w:lang w:val="en-AU"/>
        </w:rPr>
        <w:endnoteReference w:id="231"/>
      </w:r>
      <w:r w:rsidRPr="005C693B">
        <w:rPr>
          <w:lang w:val="en-AU"/>
        </w:rPr>
        <w:t xml:space="preserve"> Those students who reported positive experiences of relationships and sexuality education benefited from approaches that:</w:t>
      </w:r>
    </w:p>
    <w:p w14:paraId="6060C8B0" w14:textId="77777777" w:rsidR="004D1500" w:rsidRPr="00562192" w:rsidRDefault="004D1500" w:rsidP="00552732">
      <w:pPr>
        <w:pStyle w:val="ListBullet"/>
      </w:pPr>
      <w:r w:rsidRPr="00562192">
        <w:t>took an inclusive approach to sexualities and genders</w:t>
      </w:r>
    </w:p>
    <w:p w14:paraId="7BFFF854" w14:textId="77777777" w:rsidR="004D1500" w:rsidRPr="00562192" w:rsidRDefault="004D1500" w:rsidP="00552732">
      <w:pPr>
        <w:pStyle w:val="ListBullet"/>
      </w:pPr>
      <w:r w:rsidRPr="00562192">
        <w:t>used a non-judgemental approach to communicate information</w:t>
      </w:r>
    </w:p>
    <w:p w14:paraId="25E69A0A" w14:textId="77777777" w:rsidR="004D1500" w:rsidRPr="00562192" w:rsidRDefault="004D1500" w:rsidP="00552732">
      <w:pPr>
        <w:pStyle w:val="ListBullet"/>
      </w:pPr>
      <w:r w:rsidRPr="00562192">
        <w:t>included a focus on relationships and consent</w:t>
      </w:r>
    </w:p>
    <w:p w14:paraId="1AB03E49" w14:textId="77777777" w:rsidR="004D1500" w:rsidRPr="00562192" w:rsidRDefault="004D1500" w:rsidP="00552732">
      <w:pPr>
        <w:pStyle w:val="ListBullet"/>
      </w:pPr>
      <w:r w:rsidRPr="00562192">
        <w:t xml:space="preserve">used interactive methods </w:t>
      </w:r>
    </w:p>
    <w:p w14:paraId="76524963" w14:textId="77777777" w:rsidR="004D1500" w:rsidRPr="005C693B" w:rsidRDefault="004D1500" w:rsidP="00552732">
      <w:pPr>
        <w:pStyle w:val="ListBullet"/>
      </w:pPr>
      <w:r w:rsidRPr="005C693B">
        <w:t>were led by teachers who were comfortable engaging with questions.</w:t>
      </w:r>
      <w:r w:rsidRPr="004D1500">
        <w:rPr>
          <w:rFonts w:cstheme="minorBidi"/>
          <w:spacing w:val="-5"/>
          <w:sz w:val="24"/>
          <w:vertAlign w:val="superscript"/>
        </w:rPr>
        <w:endnoteReference w:id="232"/>
      </w:r>
    </w:p>
    <w:p w14:paraId="4DD6571F" w14:textId="77777777" w:rsidR="004D1500" w:rsidRPr="005C693B" w:rsidRDefault="004D1500" w:rsidP="005C693B">
      <w:pPr>
        <w:rPr>
          <w:lang w:val="en-AU"/>
        </w:rPr>
      </w:pPr>
      <w:r w:rsidRPr="005C693B">
        <w:rPr>
          <w:lang w:val="en-AU"/>
        </w:rPr>
        <w:t>Negative experiences of sexuality education were due to poor content, including information that was too limited, basic and subjective; did not reflect healthy sex, sexuality and sexual relationships; and lacked a focus on the emotional aspects of sex and sexuality, including relationships, pleasure and consent.</w:t>
      </w:r>
      <w:r w:rsidRPr="004D1500">
        <w:rPr>
          <w:rFonts w:cstheme="minorBidi"/>
          <w:spacing w:val="-5"/>
          <w:sz w:val="24"/>
          <w:vertAlign w:val="superscript"/>
          <w:lang w:val="en-AU"/>
        </w:rPr>
        <w:endnoteReference w:id="233"/>
      </w:r>
      <w:r w:rsidRPr="005C693B">
        <w:rPr>
          <w:lang w:val="en-AU"/>
        </w:rPr>
        <w:t xml:space="preserve"> Students also pointed to poor timing, citing that the material was not taught sufficiently early before relationships started; too few classes were provided; and the curriculum did not extend past early secondary school. Other observations included poor delivery by teachers who were judgemental, biased and uncomfortable with the material; and uncomfortable learning environments, which was sometimes due to peer relationships or being taught in religious contexts. Students with negative experiences of relationships and sexuality education reported a need to seek information elsewhere, typically online, and sometimes through pornography, which they noted was</w:t>
      </w:r>
      <w:r w:rsidRPr="005C693B" w:rsidDel="00C53931">
        <w:rPr>
          <w:lang w:val="en-AU"/>
        </w:rPr>
        <w:t xml:space="preserve"> </w:t>
      </w:r>
      <w:r w:rsidRPr="005C693B">
        <w:rPr>
          <w:lang w:val="en-AU"/>
        </w:rPr>
        <w:t>a problematic way to learn about sex.</w:t>
      </w:r>
      <w:r w:rsidRPr="004D1500">
        <w:rPr>
          <w:rFonts w:cstheme="minorBidi"/>
          <w:spacing w:val="-5"/>
          <w:sz w:val="24"/>
          <w:vertAlign w:val="superscript"/>
          <w:lang w:val="en-AU"/>
        </w:rPr>
        <w:endnoteReference w:id="234"/>
      </w:r>
      <w:r w:rsidRPr="005C693B">
        <w:rPr>
          <w:lang w:val="en-AU"/>
        </w:rPr>
        <w:t xml:space="preserve"> This issue is explored further in ‘Section 3: Children, young people and pornography’.</w:t>
      </w:r>
    </w:p>
    <w:p w14:paraId="4DAE6A69" w14:textId="0BCAC96E" w:rsidR="004D1500" w:rsidRPr="00562192" w:rsidRDefault="004D1500" w:rsidP="00562192">
      <w:pPr>
        <w:rPr>
          <w:lang w:val="en-AU"/>
        </w:rPr>
      </w:pPr>
      <w:r w:rsidRPr="005C693B">
        <w:rPr>
          <w:lang w:val="en-AU"/>
        </w:rPr>
        <w:t>Educators are more likely to design relevant and effective approaches to comprehensive relationships and sexuality education when they seek information from children and young people about the sorts of methods that are likely to meet their needs and interests. Children and young people are capable of being critical consumers and key informants about the challenges and enablers that work for them and suit the realities of their lives. For example, in a Canadian study on young people’s learning needs about sex, gender, violence and prevention, young people identified a range of elements that would support their understanding and education around these issues.</w:t>
      </w:r>
      <w:r w:rsidRPr="004D1500">
        <w:rPr>
          <w:rFonts w:cstheme="minorBidi"/>
          <w:spacing w:val="-5"/>
          <w:sz w:val="24"/>
          <w:vertAlign w:val="superscript"/>
          <w:lang w:val="en-AU"/>
        </w:rPr>
        <w:endnoteReference w:id="235"/>
      </w:r>
      <w:r w:rsidRPr="005C693B">
        <w:rPr>
          <w:lang w:val="en-AU"/>
        </w:rPr>
        <w:t xml:space="preserve"> These elements ranged across practical actions to prevent and respond to violence, their preference for the types of teachers educating them on sex and relationships, inclusive approaches, a focus on perpetration and accountability, and the creation of safe environments for students. It is critical that young people are engaged, and that their needs and voices are prioritised</w:t>
      </w:r>
      <w:r w:rsidRPr="005C693B" w:rsidDel="00D86060">
        <w:rPr>
          <w:lang w:val="en-AU"/>
        </w:rPr>
        <w:t xml:space="preserve"> </w:t>
      </w:r>
      <w:r w:rsidRPr="005C693B">
        <w:rPr>
          <w:lang w:val="en-AU"/>
        </w:rPr>
        <w:t>in program design, planning and evaluation.</w:t>
      </w:r>
      <w:r w:rsidRPr="004D1500">
        <w:rPr>
          <w:rFonts w:cstheme="minorBidi"/>
          <w:spacing w:val="-5"/>
          <w:sz w:val="24"/>
          <w:vertAlign w:val="superscript"/>
          <w:lang w:val="en-AU"/>
        </w:rPr>
        <w:endnoteReference w:id="236"/>
      </w:r>
      <w:r w:rsidRPr="005C693B">
        <w:rPr>
          <w:lang w:val="en-AU"/>
        </w:rPr>
        <w:t xml:space="preserve"> Young people want access to appropriate, </w:t>
      </w:r>
      <w:r w:rsidRPr="005C693B">
        <w:rPr>
          <w:lang w:val="en-AU"/>
        </w:rPr>
        <w:lastRenderedPageBreak/>
        <w:t>comprehensive and intersectional educational experiences that accurately reflect their lives and experiences.</w:t>
      </w:r>
      <w:bookmarkEnd w:id="34"/>
      <w:bookmarkEnd w:id="35"/>
      <w:bookmarkEnd w:id="36"/>
      <w:bookmarkEnd w:id="37"/>
      <w:bookmarkEnd w:id="38"/>
      <w:bookmarkEnd w:id="39"/>
    </w:p>
    <w:p w14:paraId="37351A62" w14:textId="77777777" w:rsidR="004D1500" w:rsidRPr="00562192" w:rsidRDefault="004D1500" w:rsidP="00562192">
      <w:pPr>
        <w:rPr>
          <w:lang w:val="en-AU"/>
        </w:rPr>
      </w:pPr>
    </w:p>
    <w:p w14:paraId="0B41EC15" w14:textId="77777777" w:rsidR="004D1500" w:rsidRPr="004D1500" w:rsidRDefault="004D1500" w:rsidP="003A4AA0">
      <w:pPr>
        <w:pStyle w:val="Heading2"/>
        <w:rPr>
          <w:lang w:val="en-US"/>
        </w:rPr>
      </w:pPr>
      <w:bookmarkStart w:id="55" w:name="_Relationship_violence_and"/>
      <w:bookmarkStart w:id="56" w:name="_Young_people’s_experiences"/>
      <w:bookmarkStart w:id="57" w:name="_Hlk34149568"/>
      <w:bookmarkStart w:id="58" w:name="_Hlk34149578"/>
      <w:bookmarkStart w:id="59" w:name="_Toc216956841"/>
      <w:bookmarkStart w:id="60" w:name="_Toc34486319"/>
      <w:bookmarkStart w:id="61" w:name="_Toc34486711"/>
      <w:bookmarkStart w:id="62" w:name="_Toc34505822"/>
      <w:bookmarkStart w:id="63" w:name="_Toc34542744"/>
      <w:bookmarkStart w:id="64" w:name="_Toc34543087"/>
      <w:bookmarkStart w:id="65" w:name="_Toc34545076"/>
      <w:bookmarkStart w:id="66" w:name="_Toc34830158"/>
      <w:bookmarkStart w:id="67" w:name="_Toc37156133"/>
      <w:bookmarkEnd w:id="2"/>
      <w:bookmarkEnd w:id="3"/>
      <w:bookmarkEnd w:id="4"/>
      <w:bookmarkEnd w:id="5"/>
      <w:bookmarkEnd w:id="6"/>
      <w:bookmarkEnd w:id="7"/>
      <w:bookmarkEnd w:id="8"/>
      <w:bookmarkEnd w:id="9"/>
      <w:bookmarkEnd w:id="55"/>
      <w:bookmarkEnd w:id="56"/>
      <w:bookmarkEnd w:id="57"/>
      <w:bookmarkEnd w:id="58"/>
      <w:r w:rsidRPr="004D1500">
        <w:rPr>
          <w:lang w:val="en-US"/>
        </w:rPr>
        <w:t>Consent education</w:t>
      </w:r>
      <w:bookmarkEnd w:id="59"/>
    </w:p>
    <w:p w14:paraId="7B0AAA3B" w14:textId="77777777" w:rsidR="004D1500" w:rsidRPr="005C693B" w:rsidRDefault="004D1500" w:rsidP="005C693B">
      <w:pPr>
        <w:rPr>
          <w:lang w:val="en-US"/>
        </w:rPr>
      </w:pPr>
      <w:r w:rsidRPr="005C693B">
        <w:rPr>
          <w:lang w:val="en-AU"/>
        </w:rPr>
        <w:t xml:space="preserve">Consent </w:t>
      </w:r>
      <w:r w:rsidRPr="005C693B">
        <w:rPr>
          <w:lang w:val="en-US"/>
        </w:rPr>
        <w:t xml:space="preserve">is relevant to all areas of our lives and relationships, including sexual relationships. Research indicates that </w:t>
      </w:r>
      <w:r w:rsidRPr="005C693B">
        <w:rPr>
          <w:lang w:val="en-AU"/>
        </w:rPr>
        <w:t>teaching consent should be an ongoing process across a young person’s life cycle. Age-appropriate teaching and learning should commence as early as possible, enabling students to build incrementally on their knowledge as they progress through year levels. Materials for younger children may involve topics such as gender stereotypes and the need to ask and give permission for physical touch, such as hugging. Older students may have more detailed conversations about sex and intimacy, sexual violence, and ‘affirmative consent’ within relationships. When consent education is well designed and delivered, students find it relevant and valuable.</w:t>
      </w:r>
      <w:r w:rsidRPr="004D1500">
        <w:rPr>
          <w:rFonts w:cstheme="minorBidi"/>
          <w:spacing w:val="-5"/>
          <w:sz w:val="24"/>
          <w:vertAlign w:val="superscript"/>
          <w:lang w:val="en-AU"/>
        </w:rPr>
        <w:endnoteReference w:id="237"/>
      </w:r>
      <w:r w:rsidRPr="005C693B">
        <w:rPr>
          <w:lang w:val="en-AU"/>
        </w:rPr>
        <w:t xml:space="preserve"> It can lead to increased confidence and understanding of consent among students, as well as improved competencies to conduct respectful consent conversations</w:t>
      </w:r>
      <w:r w:rsidRPr="005C693B">
        <w:t>.</w:t>
      </w:r>
      <w:r w:rsidRPr="004D1500">
        <w:rPr>
          <w:rFonts w:cstheme="minorBidi"/>
          <w:spacing w:val="-5"/>
          <w:sz w:val="24"/>
          <w:vertAlign w:val="superscript"/>
          <w:lang w:val="en-AU"/>
        </w:rPr>
        <w:endnoteReference w:id="238"/>
      </w:r>
      <w:r w:rsidRPr="005C693B">
        <w:rPr>
          <w:lang w:val="en-AU"/>
        </w:rPr>
        <w:t xml:space="preserve"> </w:t>
      </w:r>
    </w:p>
    <w:p w14:paraId="63319A02" w14:textId="77777777" w:rsidR="004D1500" w:rsidRPr="005C693B" w:rsidRDefault="004D1500" w:rsidP="005C693B">
      <w:pPr>
        <w:rPr>
          <w:lang w:val="en-AU"/>
        </w:rPr>
      </w:pPr>
      <w:r w:rsidRPr="005C693B">
        <w:rPr>
          <w:lang w:val="en-AU"/>
        </w:rPr>
        <w:t>In a Tasmanian study of students aged 9-17 years, participants believed that initiatives should focus not only on consent but also on education that builds skills for positive relationships and maintains boundaries regarding people’s bodies, consent and rights.</w:t>
      </w:r>
      <w:r w:rsidRPr="004D1500">
        <w:rPr>
          <w:rFonts w:cstheme="minorBidi"/>
          <w:spacing w:val="-5"/>
          <w:sz w:val="24"/>
          <w:vertAlign w:val="superscript"/>
          <w:lang w:val="en-AU"/>
        </w:rPr>
        <w:endnoteReference w:id="239"/>
      </w:r>
      <w:r w:rsidRPr="005C693B">
        <w:rPr>
          <w:lang w:val="en-AU"/>
        </w:rPr>
        <w:t xml:space="preserve"> Participants pointed to the importance of inclusive approaches to consent education, rather than the practice of gender-segregated lessons (where boys and girls are separated). They noted the importance of having teachers with strong knowledge of sensitive topics and high levels of confidence to deal with them, and the importance of including a focus on help-seeking. Participants argued that respectful relationships and consent education should begin in primary school and continue in age-appropriate ways throughout schooling. Content should include topics relevant to how the online environment is used by young people, such as ‘sexting’ and the sharing of images, and the many ways that technology can facilitate both positive, consensual forms of sex and negative, non-consensual forms of technology-facilitated sexual practices.</w:t>
      </w:r>
      <w:r w:rsidRPr="004D1500">
        <w:rPr>
          <w:rFonts w:cstheme="minorBidi"/>
          <w:spacing w:val="-5"/>
          <w:sz w:val="24"/>
          <w:vertAlign w:val="superscript"/>
          <w:lang w:val="en-AU"/>
        </w:rPr>
        <w:endnoteReference w:id="240"/>
      </w:r>
      <w:r w:rsidRPr="005C693B">
        <w:rPr>
          <w:lang w:val="en-AU"/>
        </w:rPr>
        <w:t xml:space="preserve"> Consent education needs to reflect the realities of young people’s lives and the emerging issues that impact them. </w:t>
      </w:r>
    </w:p>
    <w:p w14:paraId="28CCD4AB" w14:textId="77777777" w:rsidR="00CD5B78" w:rsidRDefault="00CD5B78" w:rsidP="00562192">
      <w:pPr>
        <w:rPr>
          <w:lang w:val="en-AU"/>
        </w:rPr>
      </w:pPr>
    </w:p>
    <w:p w14:paraId="3ACF43F7" w14:textId="77777777" w:rsidR="00F97E90" w:rsidRDefault="00F97E90">
      <w:pPr>
        <w:spacing w:after="160" w:line="259" w:lineRule="auto"/>
        <w:rPr>
          <w:b/>
          <w:bCs/>
          <w:lang w:val="en-AU"/>
        </w:rPr>
      </w:pPr>
      <w:r>
        <w:rPr>
          <w:b/>
          <w:bCs/>
          <w:lang w:val="en-AU"/>
        </w:rPr>
        <w:br w:type="page"/>
      </w:r>
    </w:p>
    <w:p w14:paraId="00EE333F" w14:textId="5AEC6AEF" w:rsidR="004D1500" w:rsidRPr="00CD5B78" w:rsidRDefault="004D1500" w:rsidP="00562192">
      <w:pPr>
        <w:rPr>
          <w:b/>
          <w:bCs/>
          <w:lang w:val="en-AU"/>
        </w:rPr>
      </w:pPr>
      <w:r w:rsidRPr="00CD5B78">
        <w:rPr>
          <w:b/>
          <w:bCs/>
          <w:lang w:val="en-AU"/>
        </w:rPr>
        <w:lastRenderedPageBreak/>
        <w:t>Research highlights a number of considerations that should be included when designing, implementing and evaluating consent education initiatives:</w:t>
      </w:r>
    </w:p>
    <w:p w14:paraId="4D30964F" w14:textId="77777777" w:rsidR="004D1500" w:rsidRDefault="004D1500" w:rsidP="00AD6C52">
      <w:pPr>
        <w:pStyle w:val="ListBullet"/>
        <w:numPr>
          <w:ilvl w:val="0"/>
          <w:numId w:val="0"/>
        </w:numPr>
        <w:spacing w:after="0"/>
        <w:contextualSpacing w:val="0"/>
      </w:pPr>
      <w:r w:rsidRPr="005C693B">
        <w:t>Focus on asking for consent rather than consent as something that is given, including setting limits, withdrawing consent, and how to respond if consent is refused or unclear.</w:t>
      </w:r>
      <w:r w:rsidRPr="004D1500">
        <w:rPr>
          <w:rFonts w:cstheme="minorBidi"/>
          <w:spacing w:val="-5"/>
          <w:sz w:val="24"/>
          <w:vertAlign w:val="superscript"/>
        </w:rPr>
        <w:endnoteReference w:id="241"/>
      </w:r>
    </w:p>
    <w:p w14:paraId="29599F0F" w14:textId="73561C9B" w:rsidR="00CD5B78" w:rsidRDefault="00CD5B78" w:rsidP="00AD6C52">
      <w:pPr>
        <w:pStyle w:val="ListBullet"/>
        <w:numPr>
          <w:ilvl w:val="0"/>
          <w:numId w:val="0"/>
        </w:numPr>
        <w:spacing w:after="0"/>
        <w:contextualSpacing w:val="0"/>
        <w:rPr>
          <w:color w:val="8BCBBB"/>
        </w:rPr>
      </w:pPr>
      <w:r w:rsidRPr="00CD5B78">
        <w:rPr>
          <w:color w:val="8BCBBB"/>
        </w:rPr>
        <w:t>------------------------------------------------------------------------------------------------------------------------------------------</w:t>
      </w:r>
    </w:p>
    <w:p w14:paraId="5C0324CC" w14:textId="77777777" w:rsidR="004D1500" w:rsidRDefault="004D1500" w:rsidP="00AD6C52">
      <w:pPr>
        <w:pStyle w:val="ListBullet"/>
        <w:numPr>
          <w:ilvl w:val="0"/>
          <w:numId w:val="0"/>
        </w:numPr>
        <w:spacing w:after="0"/>
        <w:contextualSpacing w:val="0"/>
      </w:pPr>
      <w:r w:rsidRPr="005C693B">
        <w:t>Promote understandings of consent as a dynamic, mutual and ongoing communicative practice rather than ‘something’ boys gain from girls.</w:t>
      </w:r>
      <w:r w:rsidRPr="004D1500">
        <w:rPr>
          <w:rFonts w:cstheme="minorBidi"/>
          <w:spacing w:val="-5"/>
          <w:sz w:val="24"/>
          <w:vertAlign w:val="superscript"/>
        </w:rPr>
        <w:endnoteReference w:id="242"/>
      </w:r>
    </w:p>
    <w:p w14:paraId="0615C241"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7FA79214" w14:textId="77777777" w:rsidR="004D1500" w:rsidRDefault="004D1500" w:rsidP="00AD6C52">
      <w:pPr>
        <w:pStyle w:val="ListBullet"/>
        <w:numPr>
          <w:ilvl w:val="0"/>
          <w:numId w:val="0"/>
        </w:numPr>
        <w:spacing w:after="0"/>
        <w:contextualSpacing w:val="0"/>
      </w:pPr>
      <w:r w:rsidRPr="005C693B">
        <w:t>Recognise non-verbal forms of consent and communication, and support young people’s understanding of them.</w:t>
      </w:r>
      <w:r w:rsidRPr="004D1500">
        <w:rPr>
          <w:rFonts w:cstheme="minorBidi"/>
          <w:spacing w:val="-5"/>
          <w:sz w:val="24"/>
          <w:vertAlign w:val="superscript"/>
        </w:rPr>
        <w:endnoteReference w:id="243"/>
      </w:r>
    </w:p>
    <w:p w14:paraId="2F703DBB"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5A9BFFA7" w14:textId="77777777" w:rsidR="004D1500" w:rsidRPr="005C693B" w:rsidRDefault="004D1500" w:rsidP="00AD6C52">
      <w:pPr>
        <w:pStyle w:val="ListBullet"/>
        <w:numPr>
          <w:ilvl w:val="0"/>
          <w:numId w:val="0"/>
        </w:numPr>
        <w:spacing w:after="0"/>
        <w:contextualSpacing w:val="0"/>
      </w:pPr>
      <w:r w:rsidRPr="005C693B">
        <w:t>Support the development of skills to navigate emotions related to consent conversations, including the emotional challenges associated with initiating a consent conversation and the feelings associated with rejection.</w:t>
      </w:r>
      <w:r w:rsidRPr="004D1500">
        <w:rPr>
          <w:rFonts w:cstheme="minorBidi"/>
          <w:spacing w:val="-5"/>
          <w:sz w:val="24"/>
          <w:vertAlign w:val="superscript"/>
        </w:rPr>
        <w:endnoteReference w:id="244"/>
      </w:r>
    </w:p>
    <w:p w14:paraId="2885CE45"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2DAB8335" w14:textId="77777777" w:rsidR="004D1500" w:rsidRPr="00562192" w:rsidRDefault="004D1500" w:rsidP="00AD6C52">
      <w:pPr>
        <w:pStyle w:val="ListBullet"/>
        <w:numPr>
          <w:ilvl w:val="0"/>
          <w:numId w:val="0"/>
        </w:numPr>
        <w:spacing w:after="0"/>
        <w:contextualSpacing w:val="0"/>
      </w:pPr>
      <w:r w:rsidRPr="00562192">
        <w:t>Raise awareness about how gender stereotypes, power relations and broader socio-cultural factors can affect how people might communicate about sexual activity.</w:t>
      </w:r>
    </w:p>
    <w:p w14:paraId="2B34F9C1"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27D5646B" w14:textId="77777777" w:rsidR="004D1500" w:rsidRPr="005C693B" w:rsidRDefault="004D1500" w:rsidP="00AD6C52">
      <w:pPr>
        <w:pStyle w:val="ListBullet"/>
        <w:numPr>
          <w:ilvl w:val="0"/>
          <w:numId w:val="0"/>
        </w:numPr>
        <w:spacing w:after="0"/>
        <w:contextualSpacing w:val="0"/>
      </w:pPr>
      <w:r w:rsidRPr="005C693B">
        <w:t>Recognise how social, cultural and gender norms influence understandings of how people might communicate about consent.</w:t>
      </w:r>
      <w:r w:rsidRPr="004D1500">
        <w:rPr>
          <w:rFonts w:cstheme="minorBidi"/>
          <w:spacing w:val="-5"/>
          <w:sz w:val="24"/>
          <w:vertAlign w:val="superscript"/>
        </w:rPr>
        <w:endnoteReference w:id="245"/>
      </w:r>
    </w:p>
    <w:p w14:paraId="7A2B49C7"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407A2062" w14:textId="77777777" w:rsidR="004D1500" w:rsidRPr="005C693B" w:rsidRDefault="004D1500" w:rsidP="00AD6C52">
      <w:pPr>
        <w:pStyle w:val="ListBullet"/>
        <w:numPr>
          <w:ilvl w:val="0"/>
          <w:numId w:val="0"/>
        </w:numPr>
        <w:spacing w:after="0"/>
        <w:contextualSpacing w:val="0"/>
      </w:pPr>
      <w:r w:rsidRPr="005C693B">
        <w:t>Use realistic scenarios and applied learning activities to build critical awareness and capabilities in relation to the skills of mutual negotiation, social awareness, mutuality and self-awareness, so that the learning can be readily applied to real-life situations.</w:t>
      </w:r>
      <w:r w:rsidRPr="004D1500">
        <w:rPr>
          <w:rFonts w:cstheme="minorBidi"/>
          <w:spacing w:val="-5"/>
          <w:sz w:val="24"/>
          <w:vertAlign w:val="superscript"/>
        </w:rPr>
        <w:endnoteReference w:id="246"/>
      </w:r>
    </w:p>
    <w:p w14:paraId="2BB300C8"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28391C54" w14:textId="77777777" w:rsidR="004D1500" w:rsidRPr="005C693B" w:rsidRDefault="004D1500" w:rsidP="00AD6C52">
      <w:pPr>
        <w:pStyle w:val="ListBullet"/>
        <w:numPr>
          <w:ilvl w:val="0"/>
          <w:numId w:val="0"/>
        </w:numPr>
        <w:spacing w:after="0"/>
        <w:contextualSpacing w:val="0"/>
      </w:pPr>
      <w:r w:rsidRPr="005C693B">
        <w:t>Embed strengths-based engagement strategies to re-position consent conversations as acts of mutual care, interest and pleasure, ensuring relevance for all parties and avoiding scripts that blame or shame.</w:t>
      </w:r>
      <w:r w:rsidRPr="004D1500">
        <w:rPr>
          <w:rFonts w:cstheme="minorBidi"/>
          <w:spacing w:val="-5"/>
          <w:sz w:val="24"/>
          <w:vertAlign w:val="superscript"/>
        </w:rPr>
        <w:endnoteReference w:id="247"/>
      </w:r>
      <w:r w:rsidRPr="004D1500">
        <w:rPr>
          <w:rFonts w:cstheme="minorBidi"/>
          <w:spacing w:val="-5"/>
          <w:sz w:val="24"/>
          <w:vertAlign w:val="superscript"/>
        </w:rPr>
        <w:t xml:space="preserve"> </w:t>
      </w:r>
    </w:p>
    <w:p w14:paraId="4BB2C051"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32009C5B" w14:textId="77777777" w:rsidR="004D1500" w:rsidRPr="005C693B" w:rsidRDefault="004D1500" w:rsidP="00AD6C52">
      <w:pPr>
        <w:pStyle w:val="ListBullet"/>
        <w:numPr>
          <w:ilvl w:val="0"/>
          <w:numId w:val="0"/>
        </w:numPr>
        <w:spacing w:after="0"/>
        <w:contextualSpacing w:val="0"/>
      </w:pPr>
      <w:r w:rsidRPr="005C693B">
        <w:t>Challenge and interrupt stereotypes and norms associated with masculinity, such as risk-taking.</w:t>
      </w:r>
      <w:r w:rsidRPr="004D1500">
        <w:rPr>
          <w:rFonts w:cstheme="minorBidi"/>
          <w:spacing w:val="-5"/>
          <w:sz w:val="24"/>
          <w:vertAlign w:val="superscript"/>
        </w:rPr>
        <w:endnoteReference w:id="248"/>
      </w:r>
      <w:r w:rsidRPr="004D1500">
        <w:rPr>
          <w:rFonts w:cstheme="minorBidi"/>
          <w:spacing w:val="-5"/>
          <w:sz w:val="24"/>
          <w:vertAlign w:val="superscript"/>
        </w:rPr>
        <w:t xml:space="preserve"> </w:t>
      </w:r>
    </w:p>
    <w:p w14:paraId="5053058E"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5C7B20BB" w14:textId="77777777" w:rsidR="004D1500" w:rsidRPr="00562192" w:rsidRDefault="004D1500" w:rsidP="00AD6C52">
      <w:pPr>
        <w:pStyle w:val="ListBullet"/>
        <w:numPr>
          <w:ilvl w:val="0"/>
          <w:numId w:val="0"/>
        </w:numPr>
        <w:spacing w:after="0"/>
        <w:contextualSpacing w:val="0"/>
      </w:pPr>
      <w:r w:rsidRPr="00562192">
        <w:t>Expand beyond legalistic approaches to consent, and include a focus on communication, pleasure, diversity of experiences, and healthy, respectful relationships between young people.</w:t>
      </w:r>
    </w:p>
    <w:p w14:paraId="1F2C270E"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7AA37F52" w14:textId="77777777" w:rsidR="004D1500" w:rsidRPr="005C693B" w:rsidRDefault="004D1500" w:rsidP="00AD6C52">
      <w:pPr>
        <w:pStyle w:val="ListBullet"/>
        <w:numPr>
          <w:ilvl w:val="0"/>
          <w:numId w:val="0"/>
        </w:numPr>
        <w:spacing w:after="0"/>
        <w:contextualSpacing w:val="0"/>
      </w:pPr>
      <w:r w:rsidRPr="005C693B">
        <w:t>Ensure consent educators and facilitators have an understanding of gender and power, to disrupt gender norms and stereotypes that drive violence.</w:t>
      </w:r>
      <w:r w:rsidRPr="004D1500">
        <w:rPr>
          <w:rFonts w:cstheme="minorBidi"/>
          <w:spacing w:val="-5"/>
          <w:sz w:val="24"/>
          <w:vertAlign w:val="superscript"/>
        </w:rPr>
        <w:endnoteReference w:id="249"/>
      </w:r>
    </w:p>
    <w:p w14:paraId="5022DFBF"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6D586160" w14:textId="77777777" w:rsidR="004D1500" w:rsidRPr="005C693B" w:rsidRDefault="004D1500" w:rsidP="00AD6C52">
      <w:pPr>
        <w:pStyle w:val="ListBullet"/>
        <w:numPr>
          <w:ilvl w:val="0"/>
          <w:numId w:val="0"/>
        </w:numPr>
        <w:spacing w:after="0"/>
        <w:contextualSpacing w:val="0"/>
      </w:pPr>
      <w:r w:rsidRPr="005C693B">
        <w:t>Use participatory and applied teaching methods so that children and young people can rehearse communication strategies and develop skills related to consent conversations.</w:t>
      </w:r>
      <w:r w:rsidRPr="004D1500">
        <w:rPr>
          <w:rFonts w:cstheme="minorBidi"/>
          <w:spacing w:val="-5"/>
          <w:sz w:val="24"/>
          <w:vertAlign w:val="superscript"/>
        </w:rPr>
        <w:endnoteReference w:id="250"/>
      </w:r>
      <w:r w:rsidRPr="004D1500">
        <w:rPr>
          <w:rFonts w:cstheme="minorBidi"/>
          <w:spacing w:val="-5"/>
          <w:sz w:val="24"/>
          <w:vertAlign w:val="superscript"/>
        </w:rPr>
        <w:t xml:space="preserve"> </w:t>
      </w:r>
    </w:p>
    <w:p w14:paraId="2E53F565"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729C91FD" w14:textId="77777777" w:rsidR="004D1500" w:rsidRDefault="004D1500" w:rsidP="00AD6C52">
      <w:pPr>
        <w:pStyle w:val="ListBullet"/>
        <w:numPr>
          <w:ilvl w:val="0"/>
          <w:numId w:val="0"/>
        </w:numPr>
        <w:spacing w:after="0"/>
        <w:contextualSpacing w:val="0"/>
      </w:pPr>
      <w:r w:rsidRPr="00562192">
        <w:t xml:space="preserve">Use accessible, youth-friendly language and provide practical examples to clarify the concept of consent. </w:t>
      </w:r>
    </w:p>
    <w:p w14:paraId="7099FA2D" w14:textId="77777777" w:rsidR="00AD6C52" w:rsidRDefault="00AD6C52" w:rsidP="00AD6C52">
      <w:pPr>
        <w:pStyle w:val="ListBullet"/>
        <w:numPr>
          <w:ilvl w:val="0"/>
          <w:numId w:val="0"/>
        </w:numPr>
        <w:spacing w:after="0"/>
        <w:contextualSpacing w:val="0"/>
        <w:rPr>
          <w:color w:val="8BCBBB"/>
        </w:rPr>
      </w:pPr>
      <w:r w:rsidRPr="00CD5B78">
        <w:rPr>
          <w:color w:val="8BCBBB"/>
        </w:rPr>
        <w:t>------------------------------------------------------------------------------------------------------------------------------------------</w:t>
      </w:r>
    </w:p>
    <w:p w14:paraId="20F159FC" w14:textId="77777777" w:rsidR="00F97E90" w:rsidRDefault="00F97E90">
      <w:pPr>
        <w:spacing w:after="160" w:line="259" w:lineRule="auto"/>
        <w:rPr>
          <w:lang w:val="en-AU"/>
        </w:rPr>
      </w:pPr>
      <w:r>
        <w:rPr>
          <w:lang w:val="en-AU"/>
        </w:rPr>
        <w:br w:type="page"/>
      </w:r>
    </w:p>
    <w:p w14:paraId="7B998953" w14:textId="12D8C45A" w:rsidR="004D1500" w:rsidRPr="005C693B" w:rsidRDefault="004D1500" w:rsidP="00AD6C52">
      <w:pPr>
        <w:spacing w:after="0"/>
        <w:rPr>
          <w:lang w:val="en-AU"/>
        </w:rPr>
      </w:pPr>
      <w:r w:rsidRPr="00F97E90">
        <w:rPr>
          <w:rFonts w:ascii="Roboto Black" w:hAnsi="Roboto Black"/>
          <w:b/>
          <w:bCs/>
          <w:lang w:val="en-AU"/>
        </w:rPr>
        <w:lastRenderedPageBreak/>
        <w:t>The evidence emphasises the importance of utilising strengths-based teaching and engagement strategies that not only focus on legislative definitions of consent, but also on mutual pleasure, care and the practising of consent communication</w:t>
      </w:r>
      <w:r w:rsidRPr="005C693B">
        <w:rPr>
          <w:lang w:val="en-AU"/>
        </w:rPr>
        <w:t>.</w:t>
      </w:r>
      <w:r w:rsidRPr="004D1500">
        <w:rPr>
          <w:rFonts w:cstheme="minorBidi"/>
          <w:spacing w:val="-5"/>
          <w:sz w:val="24"/>
          <w:vertAlign w:val="superscript"/>
          <w:lang w:val="en-AU"/>
        </w:rPr>
        <w:endnoteReference w:id="251"/>
      </w:r>
      <w:r w:rsidRPr="004D1500">
        <w:rPr>
          <w:rFonts w:cstheme="minorBidi"/>
          <w:spacing w:val="-5"/>
          <w:sz w:val="24"/>
          <w:vertAlign w:val="superscript"/>
          <w:lang w:val="en-AU"/>
        </w:rPr>
        <w:t xml:space="preserve"> </w:t>
      </w:r>
      <w:r w:rsidRPr="005C693B">
        <w:rPr>
          <w:lang w:val="en-AU"/>
        </w:rPr>
        <w:t xml:space="preserve">These insights suggest that effective and evidence-based consent education must be relevant, age-appropriate and underpinned by a strong understanding of how gender, gendered norms and power interact to drive forms of gender-based violence, including sexual violence. Consent education should commence as early as possible, enabling students to build on their knowledge incrementally as they progress through year levels. Relevantly, consent education should be delivered as one part of a comprehensive and holistic educational approach, rather than as a standalone or one-off topic. RRE is one such approach that includes consent education as an element of a broader suite of initiatives. </w:t>
      </w:r>
    </w:p>
    <w:p w14:paraId="22FC7D8A" w14:textId="77777777" w:rsidR="0052775F" w:rsidRPr="0052775F" w:rsidRDefault="0052775F" w:rsidP="0052775F">
      <w:pPr>
        <w:rPr>
          <w:lang w:val="en-AU"/>
        </w:rPr>
      </w:pPr>
      <w:bookmarkStart w:id="68" w:name="_Toc216956842"/>
    </w:p>
    <w:p w14:paraId="4C361D14" w14:textId="397D9CFE" w:rsidR="004D1500" w:rsidRPr="004D1500" w:rsidRDefault="004D1500" w:rsidP="003A4AA0">
      <w:pPr>
        <w:pStyle w:val="Heading2"/>
        <w:rPr>
          <w:lang w:val="en-AU"/>
        </w:rPr>
      </w:pPr>
      <w:r w:rsidRPr="004D1500">
        <w:rPr>
          <w:lang w:val="en-AU"/>
        </w:rPr>
        <w:t>Social and emotional learning</w:t>
      </w:r>
      <w:bookmarkEnd w:id="68"/>
    </w:p>
    <w:p w14:paraId="53065FB5" w14:textId="77777777" w:rsidR="004D1500" w:rsidRPr="005C693B" w:rsidRDefault="004D1500" w:rsidP="00552732">
      <w:pPr>
        <w:rPr>
          <w:lang w:val="en-US"/>
        </w:rPr>
      </w:pPr>
      <w:r w:rsidRPr="005C693B">
        <w:rPr>
          <w:lang w:val="en-US"/>
        </w:rPr>
        <w:t>Social and emotional learning programs are designed to help students develop the language, knowledge, attitudes and skills related to responsible and ethical decision-making, social and emotional competency, and relationship skills.</w:t>
      </w:r>
      <w:r w:rsidRPr="004D1500">
        <w:rPr>
          <w:rFonts w:cstheme="minorBidi"/>
          <w:spacing w:val="-5"/>
          <w:sz w:val="24"/>
          <w:vertAlign w:val="superscript"/>
          <w:lang w:val="en-US"/>
        </w:rPr>
        <w:endnoteReference w:id="252"/>
      </w:r>
      <w:r w:rsidRPr="005C693B">
        <w:rPr>
          <w:lang w:val="en-US"/>
        </w:rPr>
        <w:t xml:space="preserve"> Social and emotional learning programs include a range of </w:t>
      </w:r>
      <w:r w:rsidRPr="005C693B">
        <w:rPr>
          <w:lang w:val="en-AU"/>
        </w:rPr>
        <w:t>l</w:t>
      </w:r>
      <w:r w:rsidRPr="005C693B">
        <w:t>earning activities designed to help students to:</w:t>
      </w:r>
    </w:p>
    <w:p w14:paraId="36927B9F" w14:textId="77777777" w:rsidR="004D1500" w:rsidRPr="00562192" w:rsidRDefault="004D1500" w:rsidP="00BD3403">
      <w:pPr>
        <w:pStyle w:val="ListBullet"/>
      </w:pPr>
      <w:r w:rsidRPr="00562192">
        <w:t>understand their emotions and the emotions of others</w:t>
      </w:r>
    </w:p>
    <w:p w14:paraId="2C9D4693" w14:textId="77777777" w:rsidR="004D1500" w:rsidRPr="00562192" w:rsidRDefault="004D1500" w:rsidP="00BD3403">
      <w:pPr>
        <w:pStyle w:val="ListBullet"/>
      </w:pPr>
      <w:r w:rsidRPr="00562192">
        <w:t>feel and show empathy for others</w:t>
      </w:r>
    </w:p>
    <w:p w14:paraId="28A937A4" w14:textId="77777777" w:rsidR="004D1500" w:rsidRPr="00562192" w:rsidRDefault="004D1500" w:rsidP="00BD3403">
      <w:pPr>
        <w:pStyle w:val="ListBullet"/>
      </w:pPr>
      <w:r w:rsidRPr="00562192">
        <w:t>manage how they express their emotions</w:t>
      </w:r>
    </w:p>
    <w:p w14:paraId="7EC857EE" w14:textId="77777777" w:rsidR="004D1500" w:rsidRPr="00562192" w:rsidRDefault="004D1500" w:rsidP="00BD3403">
      <w:pPr>
        <w:pStyle w:val="ListBullet"/>
      </w:pPr>
      <w:r w:rsidRPr="00562192">
        <w:t>establish and maintain positive and respectful relationships</w:t>
      </w:r>
    </w:p>
    <w:p w14:paraId="66E23EFE" w14:textId="77777777" w:rsidR="004D1500" w:rsidRPr="00562192" w:rsidRDefault="004D1500" w:rsidP="00BD3403">
      <w:pPr>
        <w:pStyle w:val="ListBullet"/>
      </w:pPr>
      <w:r w:rsidRPr="00562192">
        <w:t>think critically and ethically</w:t>
      </w:r>
    </w:p>
    <w:p w14:paraId="109787F1" w14:textId="77777777" w:rsidR="004D1500" w:rsidRPr="00562192" w:rsidRDefault="004D1500" w:rsidP="00BD3403">
      <w:pPr>
        <w:pStyle w:val="ListBullet"/>
      </w:pPr>
      <w:r w:rsidRPr="00562192">
        <w:t>make responsible decisions</w:t>
      </w:r>
    </w:p>
    <w:p w14:paraId="2046F115" w14:textId="77777777" w:rsidR="004D1500" w:rsidRPr="00562192" w:rsidRDefault="004D1500" w:rsidP="00BD3403">
      <w:pPr>
        <w:pStyle w:val="ListBullet"/>
      </w:pPr>
      <w:r w:rsidRPr="00562192">
        <w:t>resist negative forms of peer pressure</w:t>
      </w:r>
    </w:p>
    <w:p w14:paraId="5C9B85DF" w14:textId="77777777" w:rsidR="004D1500" w:rsidRPr="00562192" w:rsidRDefault="004D1500" w:rsidP="00BD3403">
      <w:pPr>
        <w:pStyle w:val="ListBullet"/>
      </w:pPr>
      <w:r w:rsidRPr="00562192">
        <w:t>use productive coping strategies to manage stress and challenges</w:t>
      </w:r>
    </w:p>
    <w:p w14:paraId="556BB4A5" w14:textId="77777777" w:rsidR="004D1500" w:rsidRPr="00562192" w:rsidRDefault="004D1500" w:rsidP="00BD3403">
      <w:pPr>
        <w:pStyle w:val="ListBullet"/>
      </w:pPr>
      <w:r w:rsidRPr="00562192">
        <w:t>use respectful strategies within approaches to conflict resolution</w:t>
      </w:r>
    </w:p>
    <w:p w14:paraId="1FFE08B7" w14:textId="77777777" w:rsidR="004D1500" w:rsidRPr="00562192" w:rsidRDefault="004D1500" w:rsidP="00BD3403">
      <w:pPr>
        <w:pStyle w:val="ListBullet"/>
      </w:pPr>
      <w:r w:rsidRPr="00562192">
        <w:t>use peer support, peer referral, self-care and help-seeking strategies</w:t>
      </w:r>
    </w:p>
    <w:p w14:paraId="6FA12819" w14:textId="77777777" w:rsidR="004D1500" w:rsidRPr="005C693B" w:rsidRDefault="004D1500" w:rsidP="00BD3403">
      <w:pPr>
        <w:pStyle w:val="ListBullet"/>
      </w:pPr>
      <w:r w:rsidRPr="005C693B">
        <w:t>contribute to broader civic aims, such as the building of just societies and healthy environments.</w:t>
      </w:r>
      <w:r w:rsidRPr="004D1500">
        <w:rPr>
          <w:rFonts w:cstheme="minorBidi"/>
          <w:spacing w:val="-5"/>
          <w:sz w:val="24"/>
          <w:vertAlign w:val="superscript"/>
        </w:rPr>
        <w:endnoteReference w:id="253"/>
      </w:r>
      <w:r w:rsidRPr="005C693B">
        <w:t xml:space="preserve"> </w:t>
      </w:r>
    </w:p>
    <w:p w14:paraId="148C3C33" w14:textId="77777777" w:rsidR="004D1500" w:rsidRPr="005C693B" w:rsidRDefault="004D1500" w:rsidP="005C693B">
      <w:pPr>
        <w:rPr>
          <w:lang w:val="en-AU"/>
        </w:rPr>
      </w:pPr>
      <w:r w:rsidRPr="005C693B">
        <w:rPr>
          <w:lang w:val="en-AU"/>
        </w:rPr>
        <w:t>A review of 74 social and emotional learning interventions across 22 countries assessed the teachability of social and emotional skills.</w:t>
      </w:r>
      <w:r w:rsidRPr="004D1500">
        <w:rPr>
          <w:rFonts w:cstheme="minorBidi"/>
          <w:spacing w:val="-5"/>
          <w:sz w:val="24"/>
          <w:vertAlign w:val="superscript"/>
          <w:lang w:val="en-AU"/>
        </w:rPr>
        <w:endnoteReference w:id="254"/>
      </w:r>
      <w:r w:rsidRPr="005C693B">
        <w:rPr>
          <w:lang w:val="en-AU"/>
        </w:rPr>
        <w:t xml:space="preserve"> Skills with very high levels of teachability were found to include empathy, cooperation, self-efficacy, stress resistance, emotional control, meta-cognition and conflict resolution.</w:t>
      </w:r>
      <w:r w:rsidRPr="004D1500">
        <w:rPr>
          <w:rFonts w:cstheme="minorBidi"/>
          <w:spacing w:val="-5"/>
          <w:sz w:val="24"/>
          <w:vertAlign w:val="superscript"/>
          <w:lang w:val="en-AU"/>
        </w:rPr>
        <w:endnoteReference w:id="255"/>
      </w:r>
    </w:p>
    <w:p w14:paraId="62EE2068" w14:textId="77777777" w:rsidR="004D1500" w:rsidRPr="005C693B" w:rsidRDefault="004D1500" w:rsidP="005C693B">
      <w:pPr>
        <w:rPr>
          <w:lang w:val="en-AU"/>
        </w:rPr>
      </w:pPr>
      <w:r w:rsidRPr="005C693B">
        <w:rPr>
          <w:lang w:val="en-AU"/>
        </w:rPr>
        <w:t>A meta-analysis of 424 research studies from 53 countries, involving more than half a million students from kindergarten to 12th grade, reviewed school-based social and emotional learning interventions.</w:t>
      </w:r>
      <w:r w:rsidRPr="004D1500">
        <w:rPr>
          <w:rFonts w:cstheme="minorBidi"/>
          <w:spacing w:val="-5"/>
          <w:sz w:val="24"/>
          <w:vertAlign w:val="superscript"/>
          <w:lang w:val="en-AU"/>
        </w:rPr>
        <w:endnoteReference w:id="256"/>
      </w:r>
      <w:r w:rsidRPr="005C693B">
        <w:rPr>
          <w:lang w:val="en-AU"/>
        </w:rPr>
        <w:t xml:space="preserve"> Those who participated in the social and emotional learning interventions experienced multiple benefits, including:</w:t>
      </w:r>
    </w:p>
    <w:p w14:paraId="645E123E" w14:textId="77777777" w:rsidR="004D1500" w:rsidRPr="00562192" w:rsidRDefault="004D1500" w:rsidP="00BD3403">
      <w:pPr>
        <w:pStyle w:val="ListBullet"/>
      </w:pPr>
      <w:r w:rsidRPr="00562192">
        <w:t>significantly improved relationship skills</w:t>
      </w:r>
    </w:p>
    <w:p w14:paraId="07EEB3E9" w14:textId="77777777" w:rsidR="004D1500" w:rsidRPr="00562192" w:rsidRDefault="004D1500" w:rsidP="00BD3403">
      <w:pPr>
        <w:pStyle w:val="ListBullet"/>
      </w:pPr>
      <w:r w:rsidRPr="00562192">
        <w:t>improved peer relationships and social behaviours</w:t>
      </w:r>
    </w:p>
    <w:p w14:paraId="6B78ADE2" w14:textId="77777777" w:rsidR="004D1500" w:rsidRPr="00562192" w:rsidRDefault="004D1500" w:rsidP="00BD3403">
      <w:pPr>
        <w:pStyle w:val="ListBullet"/>
      </w:pPr>
      <w:r w:rsidRPr="00562192">
        <w:t>improved school climate and safety</w:t>
      </w:r>
    </w:p>
    <w:p w14:paraId="0FB3B8CE" w14:textId="77777777" w:rsidR="004D1500" w:rsidRPr="005C693B" w:rsidRDefault="004D1500" w:rsidP="00BD3403">
      <w:pPr>
        <w:pStyle w:val="ListBullet"/>
      </w:pPr>
      <w:r w:rsidRPr="005C693B">
        <w:t>improved academic attainment.</w:t>
      </w:r>
      <w:r w:rsidRPr="004D1500">
        <w:rPr>
          <w:rFonts w:cstheme="minorBidi"/>
          <w:spacing w:val="-5"/>
          <w:sz w:val="24"/>
          <w:vertAlign w:val="superscript"/>
        </w:rPr>
        <w:endnoteReference w:id="257"/>
      </w:r>
    </w:p>
    <w:p w14:paraId="40A85B37" w14:textId="77777777" w:rsidR="00F97E90" w:rsidRDefault="00F97E90">
      <w:pPr>
        <w:spacing w:after="160" w:line="259" w:lineRule="auto"/>
        <w:rPr>
          <w:lang w:val="en-AU"/>
        </w:rPr>
      </w:pPr>
      <w:r>
        <w:rPr>
          <w:lang w:val="en-AU"/>
        </w:rPr>
        <w:br w:type="page"/>
      </w:r>
    </w:p>
    <w:p w14:paraId="7CC57A7E" w14:textId="1E446376" w:rsidR="004D1500" w:rsidRPr="005C693B" w:rsidRDefault="004D1500" w:rsidP="005C693B">
      <w:pPr>
        <w:rPr>
          <w:lang w:val="en-AU"/>
        </w:rPr>
      </w:pPr>
      <w:r w:rsidRPr="005C693B">
        <w:rPr>
          <w:lang w:val="en-AU"/>
        </w:rPr>
        <w:lastRenderedPageBreak/>
        <w:t>Another m</w:t>
      </w:r>
      <w:r w:rsidRPr="005C693B">
        <w:rPr>
          <w:lang w:val="en-US"/>
        </w:rPr>
        <w:t xml:space="preserve">eta-analysis of 82 research trials conducted in a range of national contexts found lasting positive effects from 1 to 3 years after the </w:t>
      </w:r>
      <w:r w:rsidRPr="005C693B">
        <w:rPr>
          <w:lang w:val="en-AU"/>
        </w:rPr>
        <w:t>social and emotional learning</w:t>
      </w:r>
      <w:r w:rsidRPr="005C693B">
        <w:rPr>
          <w:lang w:val="en-US"/>
        </w:rPr>
        <w:t xml:space="preserve"> intervention had concluded, </w:t>
      </w:r>
      <w:r w:rsidRPr="005C693B">
        <w:rPr>
          <w:lang w:val="en-AU"/>
        </w:rPr>
        <w:t>regardless of students’ ethnicity, socioeconomic background or the school they attended.</w:t>
      </w:r>
      <w:r w:rsidRPr="004D1500">
        <w:rPr>
          <w:rFonts w:cstheme="minorBidi"/>
          <w:spacing w:val="-5"/>
          <w:sz w:val="24"/>
          <w:vertAlign w:val="superscript"/>
          <w:lang w:val="en-AU"/>
        </w:rPr>
        <w:endnoteReference w:id="258"/>
      </w:r>
      <w:r w:rsidRPr="005C693B">
        <w:rPr>
          <w:lang w:val="en-AU"/>
        </w:rPr>
        <w:t xml:space="preserve"> </w:t>
      </w:r>
    </w:p>
    <w:p w14:paraId="3EF934CD" w14:textId="77777777" w:rsidR="004D1500" w:rsidRPr="005C693B" w:rsidRDefault="004D1500" w:rsidP="005C693B">
      <w:pPr>
        <w:rPr>
          <w:lang w:val="en-US"/>
        </w:rPr>
      </w:pPr>
      <w:r w:rsidRPr="005C693B">
        <w:rPr>
          <w:lang w:val="en-AU"/>
        </w:rPr>
        <w:t>Social and emotional learning</w:t>
      </w:r>
      <w:r w:rsidRPr="005C693B">
        <w:rPr>
          <w:lang w:val="en-US"/>
        </w:rPr>
        <w:t xml:space="preserve"> programs have also been found to make a significant contribution to students returning to school post-exposure to emergencies, disasters and conflict.</w:t>
      </w:r>
      <w:r w:rsidRPr="004D1500">
        <w:rPr>
          <w:rFonts w:cstheme="minorBidi"/>
          <w:spacing w:val="-5"/>
          <w:sz w:val="24"/>
          <w:vertAlign w:val="superscript"/>
          <w:lang w:val="en-US"/>
        </w:rPr>
        <w:endnoteReference w:id="259"/>
      </w:r>
      <w:r w:rsidRPr="005C693B">
        <w:rPr>
          <w:lang w:val="en-US"/>
        </w:rPr>
        <w:t xml:space="preserve"> Those students receiving a substantial </w:t>
      </w:r>
      <w:r w:rsidRPr="005C693B">
        <w:rPr>
          <w:lang w:val="en-AU"/>
        </w:rPr>
        <w:t>social and emotional learning</w:t>
      </w:r>
      <w:r w:rsidRPr="005C693B">
        <w:rPr>
          <w:lang w:val="en-US"/>
        </w:rPr>
        <w:t xml:space="preserve"> program showed improved social wellbeing and lower rates of depression, anxiety and post-traumatic stress than students in control schools.</w:t>
      </w:r>
      <w:r w:rsidRPr="004D1500">
        <w:rPr>
          <w:rFonts w:cstheme="minorBidi"/>
          <w:spacing w:val="-5"/>
          <w:sz w:val="24"/>
          <w:vertAlign w:val="superscript"/>
          <w:lang w:val="en-US"/>
        </w:rPr>
        <w:endnoteReference w:id="260"/>
      </w:r>
    </w:p>
    <w:p w14:paraId="796B6E11" w14:textId="77777777" w:rsidR="004D1500" w:rsidRPr="005C693B" w:rsidRDefault="004D1500" w:rsidP="005C693B">
      <w:pPr>
        <w:rPr>
          <w:lang w:val="en-US"/>
        </w:rPr>
      </w:pPr>
      <w:r w:rsidRPr="005C693B">
        <w:rPr>
          <w:lang w:val="en-US"/>
        </w:rPr>
        <w:t>Evidence of the positive contributions of social and emotional learning programs is robust, and recommends that all education systems provide such programs.</w:t>
      </w:r>
      <w:r w:rsidRPr="004D1500">
        <w:rPr>
          <w:rFonts w:cstheme="minorBidi"/>
          <w:spacing w:val="-5"/>
          <w:sz w:val="24"/>
          <w:vertAlign w:val="superscript"/>
          <w:lang w:val="en-AU"/>
        </w:rPr>
        <w:endnoteReference w:id="261"/>
      </w:r>
      <w:r w:rsidRPr="005C693B">
        <w:rPr>
          <w:lang w:val="en-US"/>
        </w:rPr>
        <w:t xml:space="preserve"> However, some key challenges exist. For example, academic performance pressures and ‘curriculum crowding’ can lead to schools relegating the social and emotional dimensions of education to the periphery.</w:t>
      </w:r>
      <w:r w:rsidRPr="004D1500">
        <w:rPr>
          <w:rFonts w:cstheme="minorBidi"/>
          <w:spacing w:val="-5"/>
          <w:sz w:val="24"/>
          <w:vertAlign w:val="superscript"/>
          <w:lang w:val="en-AU"/>
        </w:rPr>
        <w:endnoteReference w:id="262"/>
      </w:r>
      <w:r w:rsidRPr="005C693B">
        <w:rPr>
          <w:lang w:val="en-US"/>
        </w:rPr>
        <w:t xml:space="preserve"> Teachers commonly cite lack of time as the key factor constraining their capacity to provide for such learning, with this particularly being the case in secondary schools.</w:t>
      </w:r>
      <w:r w:rsidRPr="004D1500">
        <w:rPr>
          <w:rFonts w:cstheme="minorBidi"/>
          <w:spacing w:val="-5"/>
          <w:sz w:val="24"/>
          <w:vertAlign w:val="superscript"/>
          <w:lang w:val="en-AU"/>
        </w:rPr>
        <w:endnoteReference w:id="263"/>
      </w:r>
      <w:r w:rsidRPr="005C693B">
        <w:rPr>
          <w:lang w:val="en-US"/>
        </w:rPr>
        <w:t xml:space="preserve"> </w:t>
      </w:r>
    </w:p>
    <w:p w14:paraId="296A7AF6" w14:textId="77777777" w:rsidR="004D1500" w:rsidRPr="005C693B" w:rsidRDefault="004D1500" w:rsidP="005C693B">
      <w:pPr>
        <w:rPr>
          <w:lang w:val="en-US"/>
        </w:rPr>
      </w:pPr>
      <w:r w:rsidRPr="005C693B">
        <w:rPr>
          <w:lang w:val="en-AU"/>
        </w:rPr>
        <w:t xml:space="preserve">The substantial body of research into the contribution of social and emotional learning programs illustrates the importance of providing programs that develop the personal and social capabilities that young people need to develop and maintain positive relationships and to cope in positive ways with stress, change and challenge. </w:t>
      </w:r>
      <w:r w:rsidRPr="005C693B">
        <w:rPr>
          <w:lang w:val="en-US"/>
        </w:rPr>
        <w:t>Social</w:t>
      </w:r>
      <w:r w:rsidRPr="005C693B">
        <w:rPr>
          <w:lang w:val="en-AU"/>
        </w:rPr>
        <w:t xml:space="preserve"> and emotional learning</w:t>
      </w:r>
      <w:r w:rsidRPr="005C693B">
        <w:rPr>
          <w:lang w:val="en-US"/>
        </w:rPr>
        <w:t xml:space="preserve"> is critical in developing the social capabilities of young people and </w:t>
      </w:r>
      <w:r w:rsidRPr="005C693B">
        <w:rPr>
          <w:lang w:val="en-AU"/>
        </w:rPr>
        <w:t>must be considered as a central element of a broader educational approach.</w:t>
      </w:r>
      <w:r w:rsidRPr="005C693B">
        <w:rPr>
          <w:lang w:val="en-US"/>
        </w:rPr>
        <w:t xml:space="preserve"> Social and emotional learning programs can complement explicit instruction on gender, the effects of gender stereotypes on identity, and power imbalances in friendships and relationships, all in an age-appropriate and scaffolded manner across the years of a student’s schooling.</w:t>
      </w:r>
      <w:r w:rsidRPr="004D1500">
        <w:rPr>
          <w:rFonts w:cstheme="minorBidi"/>
          <w:spacing w:val="-5"/>
          <w:sz w:val="24"/>
          <w:vertAlign w:val="superscript"/>
          <w:lang w:val="en-AU"/>
        </w:rPr>
        <w:endnoteReference w:id="264"/>
      </w:r>
      <w:r w:rsidRPr="005C693B">
        <w:rPr>
          <w:lang w:val="en-US"/>
        </w:rPr>
        <w:t xml:space="preserve"> </w:t>
      </w:r>
    </w:p>
    <w:p w14:paraId="74FC01B6" w14:textId="77777777" w:rsidR="004D1500" w:rsidRPr="004D1500" w:rsidRDefault="004D1500" w:rsidP="00552732">
      <w:pPr>
        <w:rPr>
          <w:lang w:val="en-AU"/>
        </w:rPr>
      </w:pPr>
      <w:r w:rsidRPr="004D1500">
        <w:rPr>
          <w:lang w:val="en-AU"/>
        </w:rPr>
        <w:t xml:space="preserve">Evidence consistently demonstrates that RRE and </w:t>
      </w:r>
      <w:r w:rsidRPr="004D1500">
        <w:rPr>
          <w:bCs/>
          <w:lang w:val="en-AU"/>
        </w:rPr>
        <w:t>social and emotional learning (SEL)</w:t>
      </w:r>
      <w:r w:rsidRPr="004D1500">
        <w:rPr>
          <w:lang w:val="en-AU"/>
        </w:rPr>
        <w:t xml:space="preserve"> play distinct yet complementary roles in preventing gender-based violence and promoting safe, respectful school cultures.</w:t>
      </w:r>
      <w:r w:rsidRPr="004D1500">
        <w:rPr>
          <w:vertAlign w:val="superscript"/>
          <w:lang w:val="en-AU"/>
        </w:rPr>
        <w:endnoteReference w:id="265"/>
      </w:r>
      <w:r w:rsidRPr="004D1500">
        <w:rPr>
          <w:lang w:val="en-AU"/>
        </w:rPr>
        <w:t xml:space="preserve"> While both SEL and RRE strengthen the personal capabilities young people need to form healthy relationships, RRE specifically addresses the broader social, cultural and structural conditions—particularly gender inequality—that drive gender-based violence. </w:t>
      </w:r>
    </w:p>
    <w:p w14:paraId="02DA94DD" w14:textId="77777777" w:rsidR="004D1500" w:rsidRDefault="004D1500" w:rsidP="004D1500">
      <w:pPr>
        <w:spacing w:line="240" w:lineRule="auto"/>
        <w:rPr>
          <w:rFonts w:cstheme="minorBidi"/>
          <w:color w:val="002060"/>
          <w:spacing w:val="-5"/>
          <w:sz w:val="24"/>
          <w:lang w:val="en-AU"/>
        </w:rPr>
      </w:pPr>
      <w:r w:rsidRPr="004D1500">
        <w:rPr>
          <w:rFonts w:cstheme="minorBidi"/>
          <w:color w:val="002060"/>
          <w:spacing w:val="-5"/>
          <w:sz w:val="24"/>
          <w:lang w:val="en-AU"/>
        </w:rPr>
        <w:t>SEL builds essential skills such as emotional regulation, empathy, communication and conflict management. These skills support positive interpersonal relationships and contribute to overall wellbeing. However, not all SEL programs intentionally address the gendered drivers of violence, nor do they challenge the stereotypes, power imbalances and rigid social norms that enable gender-based violence to occur. Without this critical lens, these SEL programs delivered in isolation, are not enough to contribute to the prevention of gender-based violence.</w:t>
      </w:r>
    </w:p>
    <w:p w14:paraId="100C17F0" w14:textId="77777777" w:rsidR="00CB6334" w:rsidRPr="004D1500" w:rsidRDefault="00CB6334" w:rsidP="004D1500">
      <w:pPr>
        <w:spacing w:line="240" w:lineRule="auto"/>
        <w:rPr>
          <w:rFonts w:cstheme="minorBidi"/>
          <w:color w:val="002060"/>
          <w:spacing w:val="-5"/>
          <w:sz w:val="24"/>
          <w:lang w:val="en-AU"/>
        </w:rPr>
      </w:pPr>
    </w:p>
    <w:p w14:paraId="168D8B6C" w14:textId="77777777" w:rsidR="004D1500" w:rsidRPr="004D1500" w:rsidRDefault="004D1500" w:rsidP="003A4AA0">
      <w:pPr>
        <w:pStyle w:val="Heading2"/>
        <w:rPr>
          <w:lang w:val="en-AU"/>
        </w:rPr>
      </w:pPr>
      <w:bookmarkStart w:id="69" w:name="_Toc216956843"/>
      <w:bookmarkEnd w:id="60"/>
      <w:bookmarkEnd w:id="61"/>
      <w:bookmarkEnd w:id="62"/>
      <w:bookmarkEnd w:id="63"/>
      <w:bookmarkEnd w:id="64"/>
      <w:bookmarkEnd w:id="65"/>
      <w:bookmarkEnd w:id="66"/>
      <w:bookmarkEnd w:id="67"/>
      <w:r w:rsidRPr="004D1500">
        <w:rPr>
          <w:lang w:val="en-AU"/>
        </w:rPr>
        <w:lastRenderedPageBreak/>
        <w:t>Teaching young people about relationships, sexuality and gender</w:t>
      </w:r>
      <w:bookmarkEnd w:id="69"/>
      <w:r w:rsidRPr="004D1500">
        <w:rPr>
          <w:lang w:val="en-AU"/>
        </w:rPr>
        <w:t xml:space="preserve"> </w:t>
      </w:r>
    </w:p>
    <w:p w14:paraId="4F2A7D5C" w14:textId="77777777" w:rsidR="004D1500" w:rsidRPr="00562192" w:rsidRDefault="004D1500" w:rsidP="00562192">
      <w:pPr>
        <w:rPr>
          <w:lang w:val="en-AU"/>
        </w:rPr>
      </w:pPr>
      <w:r w:rsidRPr="00562192">
        <w:rPr>
          <w:lang w:val="en-AU"/>
        </w:rPr>
        <w:t>Holistic and comprehensive respectful relationships and sexuality education provides a context within which students can develop the knowledge, skills and attitudes that contribute to respectful intimate relationships.</w:t>
      </w:r>
    </w:p>
    <w:p w14:paraId="2C181C13" w14:textId="77777777" w:rsidR="004D1500" w:rsidRPr="005C693B" w:rsidRDefault="004D1500" w:rsidP="00552732">
      <w:pPr>
        <w:rPr>
          <w:lang w:val="en-AU"/>
        </w:rPr>
      </w:pPr>
      <w:r w:rsidRPr="005C693B">
        <w:rPr>
          <w:lang w:val="en-AU"/>
        </w:rPr>
        <w:t xml:space="preserve">International research-informed guidelines for </w:t>
      </w:r>
      <w:proofErr w:type="spellStart"/>
      <w:r w:rsidRPr="005C693B">
        <w:rPr>
          <w:lang w:val="en-AU"/>
        </w:rPr>
        <w:t>CRSE</w:t>
      </w:r>
      <w:proofErr w:type="spellEnd"/>
      <w:r w:rsidRPr="005C693B">
        <w:rPr>
          <w:lang w:val="en-AU"/>
        </w:rPr>
        <w:t xml:space="preserve">, the </w:t>
      </w:r>
      <w:r w:rsidRPr="002D19F5">
        <w:rPr>
          <w:rFonts w:cstheme="minorBidi"/>
          <w:i/>
          <w:iCs/>
          <w:spacing w:val="-5"/>
          <w:szCs w:val="23"/>
          <w:lang w:val="en-AU"/>
        </w:rPr>
        <w:t>International Technical Guidance on Sexuality Education</w:t>
      </w:r>
      <w:r w:rsidRPr="005C693B">
        <w:rPr>
          <w:lang w:val="en-AU"/>
        </w:rPr>
        <w:t>, provide guidance on age-appropriate and evidence-informed approaches to school-based gender and sexuality education.</w:t>
      </w:r>
      <w:r w:rsidRPr="004D1500">
        <w:rPr>
          <w:rFonts w:eastAsiaTheme="majorEastAsia" w:cstheme="minorBidi"/>
          <w:spacing w:val="-5"/>
          <w:sz w:val="24"/>
          <w:vertAlign w:val="superscript"/>
          <w:lang w:val="en-AU"/>
        </w:rPr>
        <w:endnoteReference w:id="266"/>
      </w:r>
      <w:r w:rsidRPr="005C693B">
        <w:rPr>
          <w:lang w:val="en-AU"/>
        </w:rPr>
        <w:t xml:space="preserve"> The guide identifies effective methods for promoting gender equality and respectful relationships. It outlines the knowledge and skills young people need to be free from the effects of gender-based violence and gender inequality, unintended pregnancies, sexually transmitted infections (</w:t>
      </w:r>
      <w:proofErr w:type="spellStart"/>
      <w:r w:rsidRPr="005C693B">
        <w:rPr>
          <w:lang w:val="en-AU"/>
        </w:rPr>
        <w:t>STIs</w:t>
      </w:r>
      <w:proofErr w:type="spellEnd"/>
      <w:r w:rsidRPr="005C693B">
        <w:rPr>
          <w:lang w:val="en-AU"/>
        </w:rPr>
        <w:t>), and HIV and AIDS. The guidelines recommend an age-appropriate focus on educating young people across 8 key concepts:</w:t>
      </w:r>
    </w:p>
    <w:p w14:paraId="68E285A0" w14:textId="77777777" w:rsidR="00F31B68" w:rsidRDefault="00F31B68" w:rsidP="00552732">
      <w:pPr>
        <w:rPr>
          <w:lang w:val="en-AU"/>
        </w:rPr>
      </w:pPr>
      <w:bookmarkStart w:id="70" w:name="_Toc37156167"/>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199" w:type="dxa"/>
          <w:left w:w="113" w:type="dxa"/>
          <w:bottom w:w="113" w:type="dxa"/>
          <w:right w:w="113" w:type="dxa"/>
        </w:tblCellMar>
        <w:tblLook w:val="04A0" w:firstRow="1" w:lastRow="0" w:firstColumn="1" w:lastColumn="0" w:noHBand="0" w:noVBand="1"/>
      </w:tblPr>
      <w:tblGrid>
        <w:gridCol w:w="2122"/>
        <w:gridCol w:w="2122"/>
        <w:gridCol w:w="2122"/>
        <w:gridCol w:w="2122"/>
      </w:tblGrid>
      <w:tr w:rsidR="00F31B68" w:rsidRPr="004D2F5F" w14:paraId="09FA81C2" w14:textId="77777777" w:rsidTr="00CB6334">
        <w:trPr>
          <w:trHeight w:val="1079"/>
        </w:trPr>
        <w:tc>
          <w:tcPr>
            <w:tcW w:w="2122" w:type="dxa"/>
            <w:shd w:val="clear" w:color="auto" w:fill="C5E6E0"/>
          </w:tcPr>
          <w:p w14:paraId="655166E6" w14:textId="309369E5" w:rsidR="00F31B68" w:rsidRPr="00604AFE" w:rsidRDefault="0021132A" w:rsidP="00CB152A">
            <w:pPr>
              <w:jc w:val="center"/>
              <w:rPr>
                <w:rFonts w:ascii="Roboto" w:hAnsi="Roboto"/>
              </w:rPr>
            </w:pPr>
            <w:r w:rsidRPr="00F939D2">
              <w:rPr>
                <w:rFonts w:ascii="Roboto" w:hAnsi="Roboto"/>
                <w:b/>
                <w:bCs/>
              </w:rPr>
              <w:t>1.</w:t>
            </w:r>
            <w:r w:rsidR="00604AFE">
              <w:rPr>
                <w:rFonts w:ascii="Roboto" w:hAnsi="Roboto"/>
              </w:rPr>
              <w:br/>
            </w:r>
            <w:r w:rsidR="00382003" w:rsidRPr="004D2F5F">
              <w:rPr>
                <w:rFonts w:ascii="Roboto" w:hAnsi="Roboto"/>
              </w:rPr>
              <w:t>Relationships</w:t>
            </w:r>
          </w:p>
        </w:tc>
        <w:tc>
          <w:tcPr>
            <w:tcW w:w="2122" w:type="dxa"/>
            <w:shd w:val="clear" w:color="auto" w:fill="C5E6E0"/>
          </w:tcPr>
          <w:p w14:paraId="7EE57D70" w14:textId="30B0AEB4" w:rsidR="00F31B68" w:rsidRPr="004D2F5F" w:rsidRDefault="0021132A" w:rsidP="00CB152A">
            <w:pPr>
              <w:jc w:val="center"/>
              <w:rPr>
                <w:rFonts w:ascii="Roboto" w:hAnsi="Roboto"/>
                <w:lang w:val="en-AU"/>
              </w:rPr>
            </w:pPr>
            <w:r w:rsidRPr="00F939D2">
              <w:rPr>
                <w:rFonts w:ascii="Roboto" w:hAnsi="Roboto"/>
                <w:b/>
                <w:bCs/>
              </w:rPr>
              <w:t>2.</w:t>
            </w:r>
            <w:r w:rsidR="00CB152A">
              <w:rPr>
                <w:rFonts w:ascii="Roboto" w:hAnsi="Roboto"/>
              </w:rPr>
              <w:br/>
            </w:r>
            <w:r w:rsidR="00382003" w:rsidRPr="004D2F5F">
              <w:rPr>
                <w:rFonts w:ascii="Roboto" w:hAnsi="Roboto"/>
              </w:rPr>
              <w:t>Values, rights, culture and sexuality</w:t>
            </w:r>
          </w:p>
        </w:tc>
        <w:tc>
          <w:tcPr>
            <w:tcW w:w="2122" w:type="dxa"/>
            <w:shd w:val="clear" w:color="auto" w:fill="C5E6E0"/>
          </w:tcPr>
          <w:p w14:paraId="450A2381" w14:textId="5E41D749" w:rsidR="00F31B68" w:rsidRPr="004D2F5F" w:rsidRDefault="0021132A" w:rsidP="00CB152A">
            <w:pPr>
              <w:jc w:val="center"/>
              <w:rPr>
                <w:rFonts w:ascii="Roboto" w:hAnsi="Roboto"/>
                <w:lang w:val="en-AU"/>
              </w:rPr>
            </w:pPr>
            <w:r w:rsidRPr="00F939D2">
              <w:rPr>
                <w:rFonts w:ascii="Roboto" w:hAnsi="Roboto"/>
                <w:b/>
                <w:bCs/>
              </w:rPr>
              <w:t>3.</w:t>
            </w:r>
            <w:r w:rsidR="00CB152A">
              <w:rPr>
                <w:rFonts w:ascii="Roboto" w:hAnsi="Roboto"/>
              </w:rPr>
              <w:br/>
            </w:r>
            <w:r w:rsidR="00382003" w:rsidRPr="004D2F5F">
              <w:rPr>
                <w:rFonts w:ascii="Roboto" w:hAnsi="Roboto"/>
              </w:rPr>
              <w:t>Understanding gender</w:t>
            </w:r>
          </w:p>
        </w:tc>
        <w:tc>
          <w:tcPr>
            <w:tcW w:w="2122" w:type="dxa"/>
            <w:shd w:val="clear" w:color="auto" w:fill="C5E6E0"/>
          </w:tcPr>
          <w:p w14:paraId="3100E268" w14:textId="04B1435C" w:rsidR="00F31B68" w:rsidRPr="004D2F5F" w:rsidRDefault="0021132A" w:rsidP="00CB152A">
            <w:pPr>
              <w:jc w:val="center"/>
              <w:rPr>
                <w:rFonts w:ascii="Roboto" w:hAnsi="Roboto"/>
              </w:rPr>
            </w:pPr>
            <w:r w:rsidRPr="00F939D2">
              <w:rPr>
                <w:rFonts w:ascii="Roboto" w:hAnsi="Roboto"/>
                <w:b/>
                <w:bCs/>
              </w:rPr>
              <w:t>4.</w:t>
            </w:r>
            <w:r w:rsidR="00CB152A">
              <w:rPr>
                <w:rFonts w:ascii="Roboto" w:hAnsi="Roboto"/>
              </w:rPr>
              <w:br/>
            </w:r>
            <w:r w:rsidR="00382003" w:rsidRPr="004D2F5F">
              <w:rPr>
                <w:rFonts w:ascii="Roboto" w:hAnsi="Roboto"/>
              </w:rPr>
              <w:t>Violence and staying safe</w:t>
            </w:r>
          </w:p>
        </w:tc>
      </w:tr>
      <w:tr w:rsidR="00F31B68" w:rsidRPr="004D2F5F" w14:paraId="4E7EB007" w14:textId="77777777" w:rsidTr="00CB6334">
        <w:tc>
          <w:tcPr>
            <w:tcW w:w="2122" w:type="dxa"/>
            <w:shd w:val="clear" w:color="auto" w:fill="C5E6E0"/>
          </w:tcPr>
          <w:p w14:paraId="6A509803" w14:textId="6B618C5A" w:rsidR="00F31B68" w:rsidRPr="004D2F5F" w:rsidRDefault="0021132A" w:rsidP="00CB152A">
            <w:pPr>
              <w:pStyle w:val="ListNumber"/>
              <w:numPr>
                <w:ilvl w:val="0"/>
                <w:numId w:val="0"/>
              </w:numPr>
              <w:jc w:val="center"/>
              <w:rPr>
                <w:rFonts w:ascii="Roboto" w:hAnsi="Roboto"/>
                <w:szCs w:val="24"/>
              </w:rPr>
            </w:pPr>
            <w:r w:rsidRPr="00F939D2">
              <w:rPr>
                <w:rFonts w:ascii="Roboto" w:hAnsi="Roboto"/>
                <w:b/>
                <w:bCs/>
                <w:szCs w:val="24"/>
              </w:rPr>
              <w:t>5</w:t>
            </w:r>
            <w:r w:rsidR="00CB152A">
              <w:rPr>
                <w:rFonts w:ascii="Roboto" w:hAnsi="Roboto"/>
                <w:b/>
                <w:bCs/>
                <w:szCs w:val="24"/>
              </w:rPr>
              <w:br/>
            </w:r>
            <w:r w:rsidR="00382003" w:rsidRPr="004D2F5F">
              <w:rPr>
                <w:rFonts w:ascii="Roboto" w:hAnsi="Roboto"/>
                <w:szCs w:val="24"/>
              </w:rPr>
              <w:t>Skills for health and wellbeing</w:t>
            </w:r>
          </w:p>
        </w:tc>
        <w:tc>
          <w:tcPr>
            <w:tcW w:w="2122" w:type="dxa"/>
            <w:shd w:val="clear" w:color="auto" w:fill="C5E6E0"/>
          </w:tcPr>
          <w:p w14:paraId="30E48F32" w14:textId="447028BB" w:rsidR="00F31B68" w:rsidRPr="004D2F5F" w:rsidRDefault="0021132A" w:rsidP="00CB152A">
            <w:pPr>
              <w:jc w:val="center"/>
              <w:rPr>
                <w:rFonts w:ascii="Roboto" w:hAnsi="Roboto"/>
                <w:lang w:val="en-AU"/>
              </w:rPr>
            </w:pPr>
            <w:r w:rsidRPr="00F939D2">
              <w:rPr>
                <w:rFonts w:ascii="Roboto" w:hAnsi="Roboto"/>
                <w:b/>
                <w:bCs/>
              </w:rPr>
              <w:t>6.</w:t>
            </w:r>
            <w:r w:rsidR="00CB152A">
              <w:rPr>
                <w:rFonts w:ascii="Roboto" w:hAnsi="Roboto"/>
              </w:rPr>
              <w:br/>
            </w:r>
            <w:r w:rsidR="00382003" w:rsidRPr="004D2F5F">
              <w:rPr>
                <w:rFonts w:ascii="Roboto" w:hAnsi="Roboto"/>
              </w:rPr>
              <w:t xml:space="preserve">The human </w:t>
            </w:r>
            <w:r w:rsidR="009233B6">
              <w:rPr>
                <w:rFonts w:ascii="Roboto" w:hAnsi="Roboto"/>
              </w:rPr>
              <w:br/>
            </w:r>
            <w:r w:rsidR="00382003" w:rsidRPr="004D2F5F">
              <w:rPr>
                <w:rFonts w:ascii="Roboto" w:hAnsi="Roboto"/>
              </w:rPr>
              <w:t>body and development</w:t>
            </w:r>
          </w:p>
        </w:tc>
        <w:tc>
          <w:tcPr>
            <w:tcW w:w="2122" w:type="dxa"/>
            <w:shd w:val="clear" w:color="auto" w:fill="C5E6E0"/>
          </w:tcPr>
          <w:p w14:paraId="4B563E6A" w14:textId="4D782EB4" w:rsidR="00F31B68" w:rsidRPr="004D2F5F" w:rsidRDefault="0021132A" w:rsidP="00CB152A">
            <w:pPr>
              <w:jc w:val="center"/>
              <w:rPr>
                <w:rFonts w:ascii="Roboto" w:hAnsi="Roboto"/>
                <w:lang w:val="en-AU"/>
              </w:rPr>
            </w:pPr>
            <w:r w:rsidRPr="00F939D2">
              <w:rPr>
                <w:rFonts w:ascii="Roboto" w:hAnsi="Roboto"/>
                <w:b/>
                <w:bCs/>
              </w:rPr>
              <w:t>7.</w:t>
            </w:r>
            <w:r w:rsidR="00CB152A">
              <w:rPr>
                <w:rFonts w:ascii="Roboto" w:hAnsi="Roboto"/>
              </w:rPr>
              <w:br/>
            </w:r>
            <w:r w:rsidR="00382003" w:rsidRPr="004D2F5F">
              <w:rPr>
                <w:rFonts w:ascii="Roboto" w:hAnsi="Roboto"/>
              </w:rPr>
              <w:t>S</w:t>
            </w:r>
            <w:r w:rsidR="00700352" w:rsidRPr="004D2F5F">
              <w:rPr>
                <w:rFonts w:ascii="Roboto" w:hAnsi="Roboto"/>
              </w:rPr>
              <w:t xml:space="preserve">exuality </w:t>
            </w:r>
            <w:r w:rsidR="009233B6">
              <w:rPr>
                <w:rFonts w:ascii="Roboto" w:hAnsi="Roboto"/>
              </w:rPr>
              <w:br/>
            </w:r>
            <w:r w:rsidR="00700352" w:rsidRPr="004D2F5F">
              <w:rPr>
                <w:rFonts w:ascii="Roboto" w:hAnsi="Roboto"/>
              </w:rPr>
              <w:t>and sexual behaviour</w:t>
            </w:r>
          </w:p>
        </w:tc>
        <w:tc>
          <w:tcPr>
            <w:tcW w:w="2122" w:type="dxa"/>
            <w:shd w:val="clear" w:color="auto" w:fill="C5E6E0"/>
          </w:tcPr>
          <w:p w14:paraId="46A54CC3" w14:textId="6DB84644" w:rsidR="00F31B68" w:rsidRPr="004D2F5F" w:rsidRDefault="0021132A" w:rsidP="00CB152A">
            <w:pPr>
              <w:jc w:val="center"/>
              <w:rPr>
                <w:rFonts w:ascii="Roboto" w:hAnsi="Roboto"/>
                <w:lang w:val="en-AU"/>
              </w:rPr>
            </w:pPr>
            <w:r w:rsidRPr="00F939D2">
              <w:rPr>
                <w:rFonts w:ascii="Roboto" w:hAnsi="Roboto"/>
                <w:b/>
                <w:bCs/>
              </w:rPr>
              <w:t>8.</w:t>
            </w:r>
            <w:r w:rsidR="00CB152A">
              <w:rPr>
                <w:rFonts w:ascii="Roboto" w:hAnsi="Roboto"/>
              </w:rPr>
              <w:br/>
            </w:r>
            <w:r w:rsidR="00382003" w:rsidRPr="004D2F5F">
              <w:rPr>
                <w:rFonts w:ascii="Roboto" w:hAnsi="Roboto"/>
              </w:rPr>
              <w:t>Sexual and reproductive health</w:t>
            </w:r>
            <w:r w:rsidR="00700352" w:rsidRPr="004D2F5F">
              <w:rPr>
                <w:rFonts w:ascii="Roboto" w:hAnsi="Roboto"/>
              </w:rPr>
              <w:t>.</w:t>
            </w:r>
          </w:p>
        </w:tc>
      </w:tr>
    </w:tbl>
    <w:p w14:paraId="4148D9E2" w14:textId="77777777" w:rsidR="00F31B68" w:rsidRDefault="00F31B68" w:rsidP="00552732">
      <w:pPr>
        <w:rPr>
          <w:lang w:val="en-AU"/>
        </w:rPr>
      </w:pPr>
    </w:p>
    <w:p w14:paraId="2F6EA1B4" w14:textId="22DE01D8" w:rsidR="004D1500" w:rsidRPr="005C693B" w:rsidRDefault="004D1500" w:rsidP="00552732">
      <w:pPr>
        <w:rPr>
          <w:lang w:val="en-AU"/>
        </w:rPr>
      </w:pPr>
      <w:r w:rsidRPr="005C693B">
        <w:rPr>
          <w:lang w:val="en-AU"/>
        </w:rPr>
        <w:t>The guide identifies</w:t>
      </w:r>
      <w:r w:rsidR="0021132A">
        <w:rPr>
          <w:lang w:val="en-AU"/>
        </w:rPr>
        <w:t xml:space="preserve"> </w:t>
      </w:r>
      <w:r w:rsidRPr="005C693B">
        <w:rPr>
          <w:lang w:val="en-AU"/>
        </w:rPr>
        <w:t xml:space="preserve">that comprehensive sexuality education covering these 8 concepts does more than provide information about the biological aspects of sexuality (e.g. the ‘mechanics of reproduction, and risk and prevention of ill health). </w:t>
      </w:r>
      <w:r w:rsidR="00CB6334">
        <w:rPr>
          <w:lang w:val="en-AU"/>
        </w:rPr>
        <w:br/>
      </w:r>
      <w:r w:rsidRPr="005C693B">
        <w:rPr>
          <w:lang w:val="en-AU"/>
        </w:rPr>
        <w:t>It also offers opportunities to present relationships and sexuality in ways that include their positive, non-biological aspects, such as love, intimacy and relationships based on mutual respect and equality.</w:t>
      </w:r>
      <w:r w:rsidRPr="004D1500">
        <w:rPr>
          <w:rFonts w:eastAsiaTheme="majorEastAsia" w:cstheme="minorBidi"/>
          <w:spacing w:val="-5"/>
          <w:sz w:val="24"/>
          <w:vertAlign w:val="superscript"/>
          <w:lang w:val="en-AU"/>
        </w:rPr>
        <w:endnoteReference w:id="267"/>
      </w:r>
      <w:r w:rsidRPr="005C693B">
        <w:rPr>
          <w:lang w:val="en-AU"/>
        </w:rPr>
        <w:t xml:space="preserve"> </w:t>
      </w:r>
    </w:p>
    <w:p w14:paraId="423E479D" w14:textId="77777777" w:rsidR="004D1500" w:rsidRPr="00562192" w:rsidRDefault="004D1500" w:rsidP="00562192">
      <w:pPr>
        <w:rPr>
          <w:lang w:val="en-AU"/>
        </w:rPr>
      </w:pPr>
      <w:r w:rsidRPr="00562192">
        <w:rPr>
          <w:lang w:val="en-AU"/>
        </w:rPr>
        <w:t>Research conducted to inform the guide found that sexuality education programs do not increase sexual activity, sexual risk-taking behaviour or prevalence of STI and/or HIV infection rates. In fact, these programs lead to a range of positive health outcomes for young people, including:</w:t>
      </w:r>
    </w:p>
    <w:p w14:paraId="6A4E27FA" w14:textId="77777777" w:rsidR="004D1500" w:rsidRPr="00562192" w:rsidRDefault="004D1500" w:rsidP="00B07581">
      <w:pPr>
        <w:pStyle w:val="ListBullet"/>
      </w:pPr>
      <w:r w:rsidRPr="00562192">
        <w:t>increased knowledge of one’s rights within a sexual relationship</w:t>
      </w:r>
    </w:p>
    <w:p w14:paraId="536088C5" w14:textId="77777777" w:rsidR="004D1500" w:rsidRPr="00562192" w:rsidRDefault="004D1500" w:rsidP="00B07581">
      <w:pPr>
        <w:pStyle w:val="ListBullet"/>
      </w:pPr>
      <w:r w:rsidRPr="00562192">
        <w:t>increased communication with parents about sex and relationships</w:t>
      </w:r>
    </w:p>
    <w:p w14:paraId="396BDD6F" w14:textId="77777777" w:rsidR="004D1500" w:rsidRPr="00562192" w:rsidRDefault="004D1500" w:rsidP="00B07581">
      <w:pPr>
        <w:pStyle w:val="ListBullet"/>
      </w:pPr>
      <w:r w:rsidRPr="00562192">
        <w:t>delayed initiation of sexual intercourse</w:t>
      </w:r>
    </w:p>
    <w:p w14:paraId="7A1ACC6E" w14:textId="77777777" w:rsidR="004D1500" w:rsidRPr="00562192" w:rsidRDefault="004D1500" w:rsidP="00B07581">
      <w:pPr>
        <w:pStyle w:val="ListBullet"/>
      </w:pPr>
      <w:r w:rsidRPr="00562192">
        <w:t>decreased frequency of sexual intercourse</w:t>
      </w:r>
    </w:p>
    <w:p w14:paraId="71218162" w14:textId="77777777" w:rsidR="004D1500" w:rsidRPr="00562192" w:rsidRDefault="004D1500" w:rsidP="00B07581">
      <w:pPr>
        <w:pStyle w:val="ListBullet"/>
      </w:pPr>
      <w:r w:rsidRPr="00562192">
        <w:t>decreased number of sexual partners</w:t>
      </w:r>
    </w:p>
    <w:p w14:paraId="2D6D7C52" w14:textId="77777777" w:rsidR="004D1500" w:rsidRPr="00562192" w:rsidRDefault="004D1500" w:rsidP="00B07581">
      <w:pPr>
        <w:pStyle w:val="ListBullet"/>
      </w:pPr>
      <w:r w:rsidRPr="00562192">
        <w:t>reduced engagement in risk-taking</w:t>
      </w:r>
    </w:p>
    <w:p w14:paraId="5C472908" w14:textId="77777777" w:rsidR="004D1500" w:rsidRPr="00562192" w:rsidRDefault="004D1500" w:rsidP="00B07581">
      <w:pPr>
        <w:pStyle w:val="ListBullet"/>
      </w:pPr>
      <w:r w:rsidRPr="00562192">
        <w:t>increased use of condoms</w:t>
      </w:r>
    </w:p>
    <w:p w14:paraId="30FE108B" w14:textId="77777777" w:rsidR="004D1500" w:rsidRPr="005C693B" w:rsidRDefault="004D1500" w:rsidP="00B07581">
      <w:pPr>
        <w:pStyle w:val="ListBullet"/>
      </w:pPr>
      <w:r w:rsidRPr="005C693B">
        <w:t>increased use of contraception.</w:t>
      </w:r>
      <w:r w:rsidRPr="004D1500">
        <w:rPr>
          <w:rFonts w:cstheme="minorBidi"/>
          <w:spacing w:val="-5"/>
          <w:sz w:val="24"/>
          <w:vertAlign w:val="superscript"/>
        </w:rPr>
        <w:endnoteReference w:id="268"/>
      </w:r>
    </w:p>
    <w:p w14:paraId="1DCD68E8" w14:textId="77777777" w:rsidR="004D1500" w:rsidRPr="005C693B" w:rsidRDefault="004D1500" w:rsidP="005C693B">
      <w:pPr>
        <w:rPr>
          <w:lang w:val="en-AU"/>
        </w:rPr>
      </w:pPr>
      <w:r w:rsidRPr="005C693B">
        <w:rPr>
          <w:lang w:val="en-AU"/>
        </w:rPr>
        <w:lastRenderedPageBreak/>
        <w:t>Comprehensive approaches include building knowledge and skills for respectful interpersonal relationships, as well</w:t>
      </w:r>
      <w:r w:rsidRPr="002D19F5">
        <w:rPr>
          <w:rFonts w:cstheme="minorBidi"/>
          <w:i/>
          <w:iCs/>
          <w:spacing w:val="-5"/>
          <w:szCs w:val="23"/>
          <w:lang w:val="en-AU"/>
        </w:rPr>
        <w:t xml:space="preserve"> </w:t>
      </w:r>
      <w:r w:rsidRPr="005C693B">
        <w:rPr>
          <w:lang w:val="en-AU"/>
        </w:rPr>
        <w:t>as preparing young people for careful decision-making prior to engaging in intimate relationships that may include sexual intercourse or other sexual activity. The guide also suggests that it is important to include topics such as sexual abuse and the impacts of pornography, as the exclusion of these issues may leave young people vulnerable to harmful sexual behaviours and sexual exploitation, as well as limit young people’s agency in their own help-seeking in response to harmful practices and relationships.</w:t>
      </w:r>
      <w:r w:rsidRPr="004D1500">
        <w:rPr>
          <w:rFonts w:eastAsiaTheme="majorEastAsia" w:cstheme="minorBidi"/>
          <w:spacing w:val="-5"/>
          <w:sz w:val="24"/>
          <w:vertAlign w:val="superscript"/>
          <w:lang w:val="en-AU"/>
        </w:rPr>
        <w:endnoteReference w:id="269"/>
      </w:r>
      <w:r w:rsidRPr="005C693B">
        <w:rPr>
          <w:lang w:val="en-AU"/>
        </w:rPr>
        <w:t xml:space="preserve"> </w:t>
      </w:r>
    </w:p>
    <w:p w14:paraId="6C3E5FE6" w14:textId="77777777" w:rsidR="004D1500" w:rsidRPr="005C693B" w:rsidRDefault="004D1500" w:rsidP="005C693B">
      <w:pPr>
        <w:rPr>
          <w:lang w:val="en-AU"/>
        </w:rPr>
      </w:pPr>
      <w:r w:rsidRPr="005C693B">
        <w:rPr>
          <w:lang w:val="en-AU"/>
        </w:rPr>
        <w:t>Gender-focused and human rights–informed initiatives are substantially more effective than ‘gender-blind’ initiatives at achieving positive health outcomes. These programs use teaching methods and learning activities that support students to question social and cultural norms around gender and to develop gender-equitable attitudes.</w:t>
      </w:r>
      <w:r w:rsidRPr="004D1500">
        <w:rPr>
          <w:rFonts w:cstheme="minorBidi"/>
          <w:spacing w:val="-5"/>
          <w:sz w:val="24"/>
          <w:vertAlign w:val="superscript"/>
          <w:lang w:val="en-AU"/>
        </w:rPr>
        <w:endnoteReference w:id="270"/>
      </w:r>
      <w:r w:rsidRPr="005C693B">
        <w:rPr>
          <w:lang w:val="en-AU"/>
        </w:rPr>
        <w:t xml:space="preserve"> Gender-focused and rights-informed programs with high implementation fidelity are more likely to have the desired positive impact than programs that do not remain faithful to the original design, content or delivery approaches.</w:t>
      </w:r>
      <w:r w:rsidRPr="004D1500">
        <w:rPr>
          <w:rFonts w:cstheme="minorBidi"/>
          <w:spacing w:val="-5"/>
          <w:sz w:val="24"/>
          <w:vertAlign w:val="superscript"/>
          <w:lang w:val="en-AU"/>
        </w:rPr>
        <w:endnoteReference w:id="271"/>
      </w:r>
      <w:r w:rsidRPr="005C693B">
        <w:rPr>
          <w:lang w:val="en-AU"/>
        </w:rPr>
        <w:t xml:space="preserve"> Low-fidelity approaches involve facilitators who reduce the number or length of sessions; default to more teacher-centred methods, which in turn reduce participant engagement; remove topics or skills activities; and/or use staff or volunteers who are not adequately trained or qualified.</w:t>
      </w:r>
      <w:r w:rsidRPr="004D1500">
        <w:rPr>
          <w:rFonts w:cstheme="minorBidi"/>
          <w:spacing w:val="-5"/>
          <w:sz w:val="24"/>
          <w:vertAlign w:val="superscript"/>
          <w:lang w:val="en-AU"/>
        </w:rPr>
        <w:endnoteReference w:id="272"/>
      </w:r>
    </w:p>
    <w:p w14:paraId="2FF1EFAB" w14:textId="77777777" w:rsidR="004D1500" w:rsidRPr="004D1500" w:rsidRDefault="004D1500" w:rsidP="005C693B">
      <w:pPr>
        <w:rPr>
          <w:rFonts w:ascii="Helvetica Neue" w:hAnsi="Helvetica Neue" w:cs="Helvetica Neue"/>
          <w:color w:val="000000"/>
          <w:spacing w:val="-5"/>
          <w:sz w:val="28"/>
          <w:szCs w:val="28"/>
        </w:rPr>
      </w:pPr>
      <w:r w:rsidRPr="005C693B">
        <w:rPr>
          <w:lang w:val="en-AU"/>
        </w:rPr>
        <w:t>One study examined 71 sexual and reproductive health programs that also aimed to address gendered stereotypes and norms as part of broader efforts to address gender inequality, prevent gender-based violence and promote sexual health, safety and wellbeing.</w:t>
      </w:r>
      <w:r w:rsidRPr="004D1500">
        <w:rPr>
          <w:rFonts w:cstheme="minorBidi"/>
          <w:spacing w:val="-5"/>
          <w:sz w:val="24"/>
          <w:vertAlign w:val="superscript"/>
          <w:lang w:val="en-AU"/>
        </w:rPr>
        <w:endnoteReference w:id="273"/>
      </w:r>
      <w:r w:rsidRPr="005C693B">
        <w:rPr>
          <w:lang w:val="en-AU"/>
        </w:rPr>
        <w:t xml:space="preserve"> In addition to identifying the important focus on gendered stereotypes and norms within these programs, the review identified the importance of pedagogical approaches that promoted students’ active participation; a focus on positive role models; youth voice in program development; peer leadership; and the inclusion of emphasis on masculinity and femininity norms and how they operate within genders as well as between genders.</w:t>
      </w:r>
      <w:r w:rsidRPr="004D1500">
        <w:rPr>
          <w:rFonts w:cstheme="minorBidi"/>
          <w:spacing w:val="-5"/>
          <w:sz w:val="24"/>
          <w:vertAlign w:val="superscript"/>
          <w:lang w:val="en-AU"/>
        </w:rPr>
        <w:endnoteReference w:id="274"/>
      </w:r>
    </w:p>
    <w:p w14:paraId="6F84495C" w14:textId="77777777" w:rsidR="004D1500" w:rsidRPr="005C693B" w:rsidRDefault="004D1500" w:rsidP="005C693B">
      <w:pPr>
        <w:rPr>
          <w:lang w:val="en-AU"/>
        </w:rPr>
      </w:pPr>
      <w:r w:rsidRPr="005C693B">
        <w:rPr>
          <w:lang w:val="en-AU"/>
        </w:rPr>
        <w:t>A systematic review of 19 sexuality education programs identified the key strategies in comprehensive sexuality education programs that achieved positive behavioural and health outcomes for young people.</w:t>
      </w:r>
      <w:r w:rsidRPr="004D1500">
        <w:rPr>
          <w:rFonts w:cstheme="minorBidi"/>
          <w:spacing w:val="-5"/>
          <w:sz w:val="24"/>
          <w:vertAlign w:val="superscript"/>
          <w:lang w:val="en-AU"/>
        </w:rPr>
        <w:endnoteReference w:id="275"/>
      </w:r>
      <w:r w:rsidRPr="005C693B">
        <w:rPr>
          <w:lang w:val="en-AU"/>
        </w:rPr>
        <w:t xml:space="preserve"> The review included programs that address gender and power and focus on the prevention of gender-based violence, as well as education about sexual and reproductive health. It identified three key mechanisms that were central to positive outcomes, including empowerment, relevance to student experiences and transformation of gender norms. These mechanisms were enabled by the use of pedagogical strategies that fostered positive student–teacher relationships, student participation, and open dialogue about the intersections between gender and power. The review also found that the gender transformative potential of programs is contingent on the skills and values of the implementing educators and the quality of their relationships with students.</w:t>
      </w:r>
      <w:r w:rsidRPr="004D1500">
        <w:rPr>
          <w:rFonts w:cstheme="minorBidi"/>
          <w:spacing w:val="-5"/>
          <w:sz w:val="24"/>
          <w:vertAlign w:val="superscript"/>
          <w:lang w:val="en-AU"/>
        </w:rPr>
        <w:endnoteReference w:id="276"/>
      </w:r>
    </w:p>
    <w:p w14:paraId="40FF513F" w14:textId="77777777" w:rsidR="004D1500" w:rsidRPr="005C693B" w:rsidRDefault="004D1500" w:rsidP="005C693B">
      <w:pPr>
        <w:rPr>
          <w:lang w:val="en-AU"/>
        </w:rPr>
      </w:pPr>
      <w:r w:rsidRPr="005C693B">
        <w:rPr>
          <w:lang w:val="en-AU"/>
        </w:rPr>
        <w:t>Evidence highlights that education does not change young people’s sexual identity or orientation; however, it can provide young people with the language through which to articulate their sexual orientation and gender identity.</w:t>
      </w:r>
      <w:r w:rsidRPr="004D1500">
        <w:rPr>
          <w:rFonts w:cstheme="minorBidi"/>
          <w:spacing w:val="-5"/>
          <w:sz w:val="24"/>
          <w:vertAlign w:val="superscript"/>
          <w:lang w:val="en-AU"/>
        </w:rPr>
        <w:endnoteReference w:id="277"/>
      </w:r>
      <w:r w:rsidRPr="005C693B">
        <w:rPr>
          <w:lang w:val="en-AU"/>
        </w:rPr>
        <w:t xml:space="preserve"> Inclusive relationships and sexuality education programs that involve a focus on LGBTI issues have demonstrated positive impacts both for young people who identify as LGBTI and for heterosexual and cisgender students.</w:t>
      </w:r>
      <w:r w:rsidRPr="004D1500">
        <w:rPr>
          <w:rFonts w:cstheme="minorBidi"/>
          <w:spacing w:val="-5"/>
          <w:sz w:val="24"/>
          <w:vertAlign w:val="superscript"/>
          <w:lang w:val="en-AU"/>
        </w:rPr>
        <w:endnoteReference w:id="278"/>
      </w:r>
      <w:r w:rsidRPr="005C693B">
        <w:rPr>
          <w:lang w:val="en-AU"/>
        </w:rPr>
        <w:t xml:space="preserve"> For example, provision of inclusive sexuality education has been shown to contribute to minimising mental health and suicide risks to same-sex attracted and gender diverse young people, by further increasing </w:t>
      </w:r>
      <w:r w:rsidRPr="005C693B">
        <w:rPr>
          <w:lang w:val="en-AU"/>
        </w:rPr>
        <w:lastRenderedPageBreak/>
        <w:t>knowledge and skills related to adolescent development, promoting healthy choices, resilience, help-seeking, and respect and acceptance of others.</w:t>
      </w:r>
      <w:r w:rsidRPr="004D1500">
        <w:rPr>
          <w:rFonts w:cstheme="minorBidi"/>
          <w:spacing w:val="-5"/>
          <w:sz w:val="24"/>
          <w:vertAlign w:val="superscript"/>
          <w:lang w:val="en-AU"/>
        </w:rPr>
        <w:endnoteReference w:id="279"/>
      </w:r>
      <w:r w:rsidRPr="005C693B">
        <w:rPr>
          <w:lang w:val="en-AU"/>
        </w:rPr>
        <w:t xml:space="preserve"> </w:t>
      </w:r>
    </w:p>
    <w:p w14:paraId="17CB0F94" w14:textId="77777777" w:rsidR="0037593C" w:rsidRDefault="004D1500" w:rsidP="005C693B">
      <w:pPr>
        <w:rPr>
          <w:lang w:val="en-AU"/>
        </w:rPr>
      </w:pPr>
      <w:r w:rsidRPr="005C693B">
        <w:rPr>
          <w:lang w:val="en-AU"/>
        </w:rPr>
        <w:t>Sexuality education programs that equip young people with the skills to understand and navigate concepts such as consent and respect in the context of sexual relationships have also been shown to positively impact young people’s interpersonal attitudes and social development more broadly</w:t>
      </w:r>
      <w:r w:rsidR="0023741E" w:rsidRPr="005C693B">
        <w:rPr>
          <w:lang w:val="en-AU"/>
        </w:rPr>
        <w:t xml:space="preserve">. </w:t>
      </w:r>
      <w:r w:rsidRPr="004D1500">
        <w:rPr>
          <w:rFonts w:cstheme="minorBidi"/>
          <w:spacing w:val="-5"/>
          <w:sz w:val="24"/>
          <w:vertAlign w:val="superscript"/>
          <w:lang w:val="en-AU"/>
        </w:rPr>
        <w:endnoteReference w:id="280"/>
      </w:r>
      <w:r w:rsidRPr="005C693B">
        <w:rPr>
          <w:lang w:val="en-AU"/>
        </w:rPr>
        <w:t xml:space="preserve"> </w:t>
      </w:r>
    </w:p>
    <w:p w14:paraId="6F2805FF" w14:textId="77777777" w:rsidR="00B07581" w:rsidRDefault="00B07581" w:rsidP="005C693B">
      <w:pPr>
        <w:rPr>
          <w:lang w:val="en-AU"/>
        </w:rPr>
      </w:pPr>
    </w:p>
    <w:p w14:paraId="3855E2AC" w14:textId="77777777" w:rsidR="004D1500" w:rsidRPr="004D1500" w:rsidRDefault="004D1500" w:rsidP="003A4AA0">
      <w:pPr>
        <w:pStyle w:val="Heading2"/>
        <w:rPr>
          <w:lang w:val="en-AU"/>
        </w:rPr>
      </w:pPr>
      <w:bookmarkStart w:id="71" w:name="_Toc216956844"/>
      <w:r w:rsidRPr="004D1500">
        <w:rPr>
          <w:lang w:val="en-AU"/>
        </w:rPr>
        <w:t>Conclusion</w:t>
      </w:r>
      <w:bookmarkEnd w:id="71"/>
    </w:p>
    <w:p w14:paraId="51E5BBD2" w14:textId="77777777" w:rsidR="004D1500" w:rsidRPr="00562192" w:rsidRDefault="004D1500" w:rsidP="00562192">
      <w:pPr>
        <w:rPr>
          <w:lang w:val="en-AU"/>
        </w:rPr>
      </w:pPr>
      <w:r w:rsidRPr="00562192">
        <w:rPr>
          <w:lang w:val="en-AU"/>
        </w:rPr>
        <w:t xml:space="preserve">Research shows that educational approaches that engage children and young people on sex, gender and relationships require teaching and learning components that are based on children and young people’s needs and realities – that is, at what age they are having sex, how they are engaging in sex, and what types of information and skills they need to support them to do this safely and respectfully. Sexuality and relationships education should be evidence-informed, age-appropriate and comprehensive, and forms a critical strategy for the promotion of respectful relationships and sexual health. Research highlights the importance of fidelity in delivering curriculum and teaching key topics, including consent, which are core to social and emotional learning. </w:t>
      </w:r>
    </w:p>
    <w:p w14:paraId="7563513C" w14:textId="77777777" w:rsidR="004D1500" w:rsidRPr="00562192" w:rsidDel="00DA7D91" w:rsidRDefault="004D1500" w:rsidP="00562192">
      <w:pPr>
        <w:rPr>
          <w:lang w:val="en-AU"/>
        </w:rPr>
      </w:pPr>
      <w:r w:rsidRPr="00562192">
        <w:rPr>
          <w:lang w:val="en-US"/>
        </w:rPr>
        <w:t xml:space="preserve">There is value in taking an integrated approach to education, which positions teaching and learning about </w:t>
      </w:r>
      <w:proofErr w:type="spellStart"/>
      <w:r w:rsidRPr="00562192">
        <w:rPr>
          <w:lang w:val="en-US"/>
        </w:rPr>
        <w:t>CRSE</w:t>
      </w:r>
      <w:proofErr w:type="spellEnd"/>
      <w:r w:rsidRPr="00562192">
        <w:rPr>
          <w:lang w:val="en-US"/>
        </w:rPr>
        <w:t>, consent, and social and emotional learning</w:t>
      </w:r>
      <w:r w:rsidRPr="00562192">
        <w:rPr>
          <w:lang w:val="en-AU"/>
        </w:rPr>
        <w:t xml:space="preserve"> as part of RRE. That many of the key topics are core to social and emotional learning, comprehensive sexual and relationships education, and the RRE curriculum demonstrates the significant contribution of and crossover between these learning areas. RRE, however, brings together these teaching and learning elements as one part of a holistic whole-of-school approach, which ensures consistent practices that support the knowledge and skills being taught in classroom programs; education policies; and the culture within schools.</w:t>
      </w:r>
    </w:p>
    <w:bookmarkEnd w:id="70"/>
    <w:p w14:paraId="489D0656" w14:textId="77777777" w:rsidR="00890E4A" w:rsidRPr="00456065" w:rsidRDefault="00890E4A" w:rsidP="00456065"/>
    <w:p w14:paraId="4B08F532" w14:textId="77777777" w:rsidR="00890E4A" w:rsidRDefault="00890E4A" w:rsidP="004D1500">
      <w:pPr>
        <w:spacing w:after="600" w:line="240" w:lineRule="auto"/>
        <w:contextualSpacing/>
        <w:outlineLvl w:val="0"/>
        <w:rPr>
          <w:rFonts w:cstheme="minorBidi"/>
          <w:b/>
          <w:bCs/>
          <w:spacing w:val="-8"/>
          <w:sz w:val="40"/>
          <w:szCs w:val="40"/>
          <w:lang w:val="en-AU"/>
        </w:rPr>
        <w:sectPr w:rsidR="00890E4A" w:rsidSect="00CA6A88">
          <w:headerReference w:type="default" r:id="rId26"/>
          <w:endnotePr>
            <w:numFmt w:val="decimal"/>
          </w:endnotePr>
          <w:type w:val="continuous"/>
          <w:pgSz w:w="11900" w:h="16840"/>
          <w:pgMar w:top="851" w:right="2268" w:bottom="1134" w:left="1134" w:header="0" w:footer="567" w:gutter="0"/>
          <w:cols w:space="708"/>
          <w:docGrid w:linePitch="360"/>
        </w:sectPr>
      </w:pPr>
    </w:p>
    <w:p w14:paraId="721DA0F7" w14:textId="5DFCDC51" w:rsidR="004D1500" w:rsidRPr="004D1500" w:rsidRDefault="004D1500" w:rsidP="00890E4A">
      <w:pPr>
        <w:pStyle w:val="Heading1"/>
        <w:rPr>
          <w:sz w:val="28"/>
          <w:szCs w:val="28"/>
        </w:rPr>
      </w:pPr>
      <w:bookmarkStart w:id="72" w:name="_Toc216956845"/>
      <w:r w:rsidRPr="004D1500">
        <w:rPr>
          <w:lang w:val="en-AU"/>
        </w:rPr>
        <w:lastRenderedPageBreak/>
        <w:t>Endnotes</w:t>
      </w:r>
      <w:bookmarkEnd w:id="72"/>
    </w:p>
    <w:sectPr w:rsidR="004D1500" w:rsidRPr="004D1500" w:rsidSect="00890E4A">
      <w:endnotePr>
        <w:numFmt w:val="decimal"/>
      </w:endnotePr>
      <w:pgSz w:w="11900" w:h="16840"/>
      <w:pgMar w:top="851" w:right="2268"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CE98" w14:textId="77777777" w:rsidR="000E71F1" w:rsidRDefault="000E71F1" w:rsidP="000004C2">
      <w:r>
        <w:separator/>
      </w:r>
    </w:p>
    <w:p w14:paraId="0B69842C" w14:textId="77777777" w:rsidR="000E71F1" w:rsidRDefault="000E71F1" w:rsidP="000004C2"/>
    <w:p w14:paraId="6A00557D" w14:textId="77777777" w:rsidR="000E71F1" w:rsidRDefault="000E71F1"/>
  </w:endnote>
  <w:endnote w:type="continuationSeparator" w:id="0">
    <w:p w14:paraId="0AC81A61" w14:textId="77777777" w:rsidR="000E71F1" w:rsidRDefault="000E71F1" w:rsidP="000004C2">
      <w:r>
        <w:continuationSeparator/>
      </w:r>
    </w:p>
    <w:p w14:paraId="39A8C485" w14:textId="77777777" w:rsidR="000E71F1" w:rsidRDefault="000E71F1" w:rsidP="000004C2"/>
    <w:p w14:paraId="1A87EE85" w14:textId="77777777" w:rsidR="000E71F1" w:rsidRDefault="000E71F1"/>
  </w:endnote>
  <w:endnote w:type="continuationNotice" w:id="1">
    <w:p w14:paraId="138BC82F" w14:textId="77777777" w:rsidR="000E71F1" w:rsidRDefault="000E71F1" w:rsidP="000004C2"/>
    <w:p w14:paraId="748B638D" w14:textId="77777777" w:rsidR="000E71F1" w:rsidRDefault="000E71F1" w:rsidP="000004C2"/>
    <w:p w14:paraId="22770612" w14:textId="77777777" w:rsidR="000E71F1" w:rsidRDefault="000E71F1"/>
  </w:endnote>
  <w:endnote w:id="2">
    <w:p w14:paraId="0A3489CC" w14:textId="77777777" w:rsidR="00200C04" w:rsidRPr="00D85A9B" w:rsidRDefault="00200C04" w:rsidP="00563C41">
      <w:pPr>
        <w:pStyle w:val="Endnotes"/>
        <w:spacing w:after="120" w:line="214" w:lineRule="auto"/>
        <w:rPr>
          <w:rStyle w:val="EndnoteReference"/>
          <w:rFonts w:cs="Arial"/>
          <w:sz w:val="23"/>
          <w:szCs w:val="23"/>
          <w:vertAlign w:val="baseline"/>
        </w:rPr>
      </w:pPr>
      <w:r w:rsidRPr="00D26D35">
        <w:rPr>
          <w:rStyle w:val="EndnoteReference"/>
          <w:rFonts w:cs="Arial"/>
          <w:sz w:val="23"/>
          <w:szCs w:val="23"/>
          <w:vertAlign w:val="baseline"/>
        </w:rPr>
        <w:endnoteRef/>
      </w:r>
      <w:r w:rsidRPr="00D26D35">
        <w:rPr>
          <w:rStyle w:val="EndnoteReference"/>
          <w:rFonts w:cs="Arial"/>
          <w:sz w:val="23"/>
          <w:szCs w:val="23"/>
          <w:vertAlign w:val="baseline"/>
        </w:rPr>
        <w:t xml:space="preserve"> </w:t>
      </w:r>
      <w:r>
        <w:rPr>
          <w:rFonts w:cs="Arial"/>
          <w:sz w:val="23"/>
          <w:szCs w:val="23"/>
        </w:rPr>
        <w:tab/>
      </w:r>
      <w:r w:rsidRPr="00D85A9B">
        <w:rPr>
          <w:rStyle w:val="EndnoteReference"/>
          <w:rFonts w:cs="Arial"/>
          <w:sz w:val="23"/>
          <w:szCs w:val="23"/>
          <w:vertAlign w:val="baseline"/>
        </w:rPr>
        <w:t>Our Watch. (2021).</w:t>
      </w:r>
      <w:r w:rsidRPr="00D85A9B">
        <w:rPr>
          <w:rStyle w:val="EndnoteTextChar"/>
          <w:rFonts w:ascii="Roboto" w:hAnsi="Roboto"/>
          <w:sz w:val="23"/>
          <w:szCs w:val="23"/>
        </w:rPr>
        <w:t xml:space="preserve"> </w:t>
      </w:r>
      <w:r w:rsidRPr="00D85A9B">
        <w:rPr>
          <w:rStyle w:val="EndnoteTextChar"/>
          <w:rFonts w:ascii="Roboto" w:hAnsi="Roboto"/>
          <w:i/>
          <w:iCs/>
          <w:color w:val="002654"/>
          <w:sz w:val="23"/>
          <w:szCs w:val="23"/>
        </w:rPr>
        <w:t>Change the story: A shared framework for the primary prevention of violence against women in Australia</w:t>
      </w:r>
      <w:r w:rsidRPr="00D85A9B">
        <w:rPr>
          <w:rStyle w:val="EndnoteTextChar"/>
          <w:rFonts w:ascii="Roboto" w:hAnsi="Roboto"/>
          <w:color w:val="002654"/>
          <w:sz w:val="23"/>
          <w:szCs w:val="23"/>
        </w:rPr>
        <w:t xml:space="preserve"> (2nd ed.). </w:t>
      </w:r>
      <w:hyperlink r:id="rId1" w:history="1">
        <w:r w:rsidRPr="00D85A9B">
          <w:rPr>
            <w:rStyle w:val="Hyperlink"/>
            <w:rFonts w:cs="Arial"/>
            <w:sz w:val="23"/>
            <w:szCs w:val="23"/>
          </w:rPr>
          <w:t>https://www.ourwatch.org.au/change-the-story/</w:t>
        </w:r>
      </w:hyperlink>
    </w:p>
  </w:endnote>
  <w:endnote w:id="3">
    <w:p w14:paraId="2AEA6E01" w14:textId="5F0F289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026D8" w:rsidRPr="00D85A9B">
        <w:rPr>
          <w:sz w:val="23"/>
          <w:szCs w:val="23"/>
        </w:rPr>
        <w:tab/>
      </w:r>
      <w:r w:rsidRPr="00D85A9B">
        <w:rPr>
          <w:sz w:val="23"/>
          <w:szCs w:val="23"/>
        </w:rPr>
        <w:t>Our Watch (2021), see note 1.</w:t>
      </w:r>
    </w:p>
  </w:endnote>
  <w:endnote w:id="4">
    <w:p w14:paraId="7E8AEBDC" w14:textId="6395DDC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026D8" w:rsidRPr="00D85A9B">
        <w:rPr>
          <w:sz w:val="23"/>
          <w:szCs w:val="23"/>
        </w:rPr>
        <w:tab/>
      </w:r>
      <w:r w:rsidRPr="00D85A9B">
        <w:rPr>
          <w:sz w:val="23"/>
          <w:szCs w:val="23"/>
        </w:rPr>
        <w:t>Our Watch (2021), see note 1.</w:t>
      </w:r>
    </w:p>
  </w:endnote>
  <w:endnote w:id="5">
    <w:p w14:paraId="32874C69" w14:textId="076A3E3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026D8" w:rsidRPr="00D85A9B">
        <w:rPr>
          <w:sz w:val="23"/>
          <w:szCs w:val="23"/>
        </w:rPr>
        <w:tab/>
      </w:r>
      <w:r w:rsidRPr="00D85A9B">
        <w:rPr>
          <w:sz w:val="23"/>
          <w:szCs w:val="23"/>
        </w:rPr>
        <w:t xml:space="preserve">Our Watch. </w:t>
      </w:r>
      <w:r w:rsidRPr="00D85A9B">
        <w:rPr>
          <w:i/>
          <w:iCs/>
          <w:sz w:val="23"/>
          <w:szCs w:val="23"/>
        </w:rPr>
        <w:t xml:space="preserve">The Line. </w:t>
      </w:r>
      <w:hyperlink r:id="rId2">
        <w:r w:rsidRPr="00D85A9B">
          <w:rPr>
            <w:rStyle w:val="Hyperlink"/>
            <w:sz w:val="23"/>
            <w:szCs w:val="23"/>
          </w:rPr>
          <w:t>https://</w:t>
        </w:r>
        <w:r w:rsidRPr="00D85A9B">
          <w:rPr>
            <w:rStyle w:val="Hyperlink"/>
            <w:sz w:val="23"/>
            <w:szCs w:val="23"/>
          </w:rPr>
          <w:t>www.theline.org.au/</w:t>
        </w:r>
      </w:hyperlink>
      <w:r w:rsidRPr="00D85A9B">
        <w:rPr>
          <w:sz w:val="23"/>
          <w:szCs w:val="23"/>
        </w:rPr>
        <w:t xml:space="preserve"> </w:t>
      </w:r>
    </w:p>
  </w:endnote>
  <w:endnote w:id="6">
    <w:p w14:paraId="0B8B2ACB" w14:textId="11E08CE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026D8" w:rsidRPr="00D85A9B">
        <w:rPr>
          <w:sz w:val="23"/>
          <w:szCs w:val="23"/>
        </w:rPr>
        <w:tab/>
      </w:r>
      <w:r w:rsidRPr="00D85A9B">
        <w:rPr>
          <w:sz w:val="23"/>
          <w:szCs w:val="23"/>
        </w:rPr>
        <w:t xml:space="preserve">Demkowicz, O., Pert, K., Bond, C., Ashworth, E., Hennessey, A., &amp; Bray, L. (2023), see note 2. </w:t>
      </w:r>
    </w:p>
  </w:endnote>
  <w:endnote w:id="7">
    <w:p w14:paraId="74F56EA2" w14:textId="6E8B69F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026D8" w:rsidRPr="00D85A9B">
        <w:rPr>
          <w:sz w:val="23"/>
          <w:szCs w:val="23"/>
        </w:rPr>
        <w:tab/>
      </w:r>
      <w:r w:rsidRPr="00D85A9B">
        <w:rPr>
          <w:sz w:val="23"/>
          <w:szCs w:val="23"/>
        </w:rPr>
        <w:t xml:space="preserve">Aina, O. E., &amp; Cameron, P. A. (2011). Why does gender matter? Counteracting stereotypes with young children. </w:t>
      </w:r>
      <w:r w:rsidRPr="00D85A9B">
        <w:rPr>
          <w:i/>
          <w:iCs/>
          <w:sz w:val="23"/>
          <w:szCs w:val="23"/>
        </w:rPr>
        <w:t>Dimensions of Early Childhood, 39</w:t>
      </w:r>
      <w:r w:rsidRPr="00D85A9B">
        <w:rPr>
          <w:sz w:val="23"/>
          <w:szCs w:val="23"/>
        </w:rPr>
        <w:t>, 11–20.</w:t>
      </w:r>
    </w:p>
    <w:p w14:paraId="06A2223C" w14:textId="77777777" w:rsidR="004D1500" w:rsidRPr="00D85A9B" w:rsidRDefault="004D1500" w:rsidP="00563C41">
      <w:pPr>
        <w:pStyle w:val="Endnotes"/>
        <w:spacing w:after="120" w:line="214" w:lineRule="auto"/>
        <w:ind w:firstLine="0"/>
        <w:rPr>
          <w:noProof/>
          <w:sz w:val="23"/>
          <w:szCs w:val="23"/>
        </w:rPr>
      </w:pPr>
      <w:r w:rsidRPr="00D85A9B">
        <w:rPr>
          <w:sz w:val="23"/>
          <w:szCs w:val="23"/>
        </w:rPr>
        <w:t xml:space="preserve">Pérez-Martínez, V., Marcos-Marcos, J., </w:t>
      </w:r>
      <w:r w:rsidRPr="00D85A9B">
        <w:rPr>
          <w:sz w:val="23"/>
          <w:szCs w:val="23"/>
        </w:rPr>
        <w:t xml:space="preserve">Cerdán-Torregrosa, A., Briones-Vozmediano, E., Sanz-Barbero, B., Davó-Blanes, M., Daoud, N., Edwards, C., Salazar, M., La Parra-Casado, D., &amp; Vives-Cases, C. (2023). Positive masculinities and gender-based violence educational interventions among young people: A systematic review. </w:t>
      </w:r>
      <w:r w:rsidRPr="00D85A9B">
        <w:rPr>
          <w:i/>
          <w:iCs/>
          <w:sz w:val="23"/>
          <w:szCs w:val="23"/>
        </w:rPr>
        <w:t>Trauma, Violence, &amp; Abuse, 24</w:t>
      </w:r>
      <w:r w:rsidRPr="00D85A9B">
        <w:rPr>
          <w:sz w:val="23"/>
          <w:szCs w:val="23"/>
        </w:rPr>
        <w:t>(2), 468–486.</w:t>
      </w:r>
    </w:p>
    <w:p w14:paraId="15080222" w14:textId="77777777" w:rsidR="004D1500" w:rsidRPr="00D85A9B" w:rsidRDefault="004D1500" w:rsidP="00563C41">
      <w:pPr>
        <w:pStyle w:val="Endnotes"/>
        <w:spacing w:after="120" w:line="214" w:lineRule="auto"/>
        <w:ind w:firstLine="0"/>
        <w:rPr>
          <w:sz w:val="23"/>
          <w:szCs w:val="23"/>
        </w:rPr>
      </w:pPr>
      <w:r w:rsidRPr="00D85A9B">
        <w:rPr>
          <w:noProof/>
          <w:sz w:val="23"/>
          <w:szCs w:val="23"/>
        </w:rPr>
        <w:t>Sell</w:t>
      </w:r>
      <w:r w:rsidRPr="00D85A9B">
        <w:rPr>
          <w:sz w:val="23"/>
          <w:szCs w:val="23"/>
        </w:rPr>
        <w:t xml:space="preserve">, K., Oliver, K., &amp; Meiksin, R. (2021). Comprehensive sex education addressing gender and power: A systematic review to investigate implementation and mechanisms of impact. </w:t>
      </w:r>
      <w:r w:rsidRPr="00D85A9B">
        <w:rPr>
          <w:i/>
          <w:iCs/>
          <w:sz w:val="23"/>
          <w:szCs w:val="23"/>
        </w:rPr>
        <w:t>Sexuality Research and Social Policy, 20</w:t>
      </w:r>
      <w:r w:rsidRPr="00D85A9B">
        <w:rPr>
          <w:sz w:val="23"/>
          <w:szCs w:val="23"/>
        </w:rPr>
        <w:t>, 58–74.</w:t>
      </w:r>
    </w:p>
    <w:p w14:paraId="6F469DE0"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Stewart, R., Wright, B., Smith, L., Roberts, S., &amp; Russell, N. (2021). Gendered stereotypes and norms: A systematic review of interventions designed to shift attitudes and behaviour. </w:t>
      </w:r>
      <w:r w:rsidRPr="00D85A9B">
        <w:rPr>
          <w:i/>
          <w:sz w:val="23"/>
          <w:szCs w:val="23"/>
        </w:rPr>
        <w:t>Heliyon, 7</w:t>
      </w:r>
      <w:r w:rsidRPr="00D85A9B">
        <w:rPr>
          <w:sz w:val="23"/>
          <w:szCs w:val="23"/>
        </w:rPr>
        <w:t xml:space="preserve">(4), e06660. </w:t>
      </w:r>
    </w:p>
  </w:endnote>
  <w:endnote w:id="8">
    <w:p w14:paraId="03239E2E" w14:textId="756D0AF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rStyle w:val="EndnoteReference"/>
          <w:sz w:val="23"/>
          <w:szCs w:val="23"/>
          <w:vertAlign w:val="baseline"/>
        </w:rPr>
        <w:t xml:space="preserve"> </w:t>
      </w:r>
      <w:r w:rsidR="003026D8" w:rsidRPr="00D85A9B">
        <w:rPr>
          <w:sz w:val="23"/>
          <w:szCs w:val="23"/>
        </w:rPr>
        <w:tab/>
      </w:r>
      <w:r w:rsidRPr="00D85A9B">
        <w:rPr>
          <w:sz w:val="23"/>
          <w:szCs w:val="23"/>
        </w:rPr>
        <w:t xml:space="preserve">Australian Women’s Health Network. (2019). </w:t>
      </w:r>
      <w:r w:rsidRPr="00D85A9B">
        <w:rPr>
          <w:i/>
          <w:iCs/>
          <w:sz w:val="23"/>
          <w:szCs w:val="23"/>
        </w:rPr>
        <w:t>Health and the primary prevention of violence against women</w:t>
      </w:r>
      <w:r w:rsidRPr="00D85A9B">
        <w:rPr>
          <w:sz w:val="23"/>
          <w:szCs w:val="23"/>
        </w:rPr>
        <w:t xml:space="preserve"> (2nd ed.)</w:t>
      </w:r>
      <w:r w:rsidRPr="00D85A9B">
        <w:rPr>
          <w:i/>
          <w:iCs/>
          <w:sz w:val="23"/>
          <w:szCs w:val="23"/>
        </w:rPr>
        <w:t xml:space="preserve">. </w:t>
      </w:r>
      <w:hyperlink r:id="rId3" w:history="1">
        <w:r w:rsidRPr="00D85A9B">
          <w:rPr>
            <w:rStyle w:val="Hyperlink"/>
            <w:sz w:val="23"/>
            <w:szCs w:val="23"/>
          </w:rPr>
          <w:t>https://australianwomenshealth.org/resource/health-and-the-primary-prevention-of-violence-against-women/</w:t>
        </w:r>
      </w:hyperlink>
    </w:p>
  </w:endnote>
  <w:endnote w:id="9">
    <w:p w14:paraId="0877EB4F" w14:textId="734A5E4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026D8" w:rsidRPr="00D85A9B">
        <w:rPr>
          <w:sz w:val="23"/>
          <w:szCs w:val="23"/>
        </w:rPr>
        <w:tab/>
      </w:r>
      <w:r w:rsidRPr="00D85A9B">
        <w:rPr>
          <w:sz w:val="23"/>
          <w:szCs w:val="23"/>
        </w:rPr>
        <w:t xml:space="preserve">World Health Organization. (2022). </w:t>
      </w:r>
      <w:r w:rsidRPr="00D85A9B">
        <w:rPr>
          <w:i/>
          <w:iCs/>
          <w:sz w:val="23"/>
          <w:szCs w:val="23"/>
        </w:rPr>
        <w:t>Gender and health</w:t>
      </w:r>
      <w:r w:rsidRPr="00D85A9B">
        <w:rPr>
          <w:sz w:val="23"/>
          <w:szCs w:val="23"/>
        </w:rPr>
        <w:t xml:space="preserve">. </w:t>
      </w:r>
      <w:hyperlink r:id="rId4" w:history="1">
        <w:r w:rsidRPr="00D85A9B">
          <w:rPr>
            <w:rStyle w:val="Hyperlink"/>
            <w:sz w:val="23"/>
            <w:szCs w:val="23"/>
          </w:rPr>
          <w:t>https://</w:t>
        </w:r>
        <w:r w:rsidRPr="00D85A9B">
          <w:rPr>
            <w:rStyle w:val="Hyperlink"/>
            <w:sz w:val="23"/>
            <w:szCs w:val="23"/>
          </w:rPr>
          <w:t>www.who.int/health-topics/gender</w:t>
        </w:r>
      </w:hyperlink>
    </w:p>
  </w:endnote>
  <w:endnote w:id="10">
    <w:p w14:paraId="704AAFD3" w14:textId="77777777" w:rsidR="002C0138" w:rsidRPr="00D85A9B" w:rsidRDefault="002C0138" w:rsidP="00563C41">
      <w:pPr>
        <w:pStyle w:val="Endnotes"/>
        <w:spacing w:after="120" w:line="214" w:lineRule="auto"/>
        <w:rPr>
          <w:sz w:val="23"/>
          <w:szCs w:val="23"/>
        </w:rPr>
      </w:pPr>
      <w:r w:rsidRPr="00D85A9B">
        <w:rPr>
          <w:rStyle w:val="EndnoteReference"/>
          <w:sz w:val="23"/>
          <w:szCs w:val="23"/>
          <w:vertAlign w:val="baseline"/>
        </w:rPr>
        <w:endnoteRef/>
      </w:r>
      <w:r w:rsidRPr="00D85A9B">
        <w:rPr>
          <w:rStyle w:val="EndnoteReference"/>
          <w:sz w:val="23"/>
          <w:szCs w:val="23"/>
          <w:vertAlign w:val="baseline"/>
        </w:rPr>
        <w:t xml:space="preserve"> </w:t>
      </w:r>
      <w:r w:rsidRPr="00D85A9B">
        <w:rPr>
          <w:sz w:val="23"/>
          <w:szCs w:val="23"/>
        </w:rPr>
        <w:tab/>
        <w:t>Australian Women’s Health Network (2019), see note 7.</w:t>
      </w:r>
    </w:p>
  </w:endnote>
  <w:endnote w:id="11">
    <w:p w14:paraId="7C481BD3" w14:textId="77777777" w:rsidR="002C0138" w:rsidRPr="00D85A9B" w:rsidRDefault="002C0138" w:rsidP="00563C41">
      <w:pPr>
        <w:pStyle w:val="Endnotes"/>
        <w:spacing w:after="120" w:line="214" w:lineRule="auto"/>
        <w:rPr>
          <w:sz w:val="23"/>
          <w:szCs w:val="23"/>
        </w:rPr>
      </w:pPr>
      <w:r w:rsidRPr="00D85A9B">
        <w:rPr>
          <w:rStyle w:val="EndnoteReference"/>
          <w:sz w:val="23"/>
          <w:szCs w:val="23"/>
          <w:vertAlign w:val="baseline"/>
        </w:rPr>
        <w:endnoteRef/>
      </w:r>
      <w:r w:rsidRPr="00D85A9B">
        <w:rPr>
          <w:rStyle w:val="EndnoteReference"/>
          <w:sz w:val="23"/>
          <w:szCs w:val="23"/>
          <w:vertAlign w:val="baseline"/>
        </w:rPr>
        <w:t xml:space="preserve"> </w:t>
      </w:r>
      <w:r w:rsidRPr="00D85A9B">
        <w:rPr>
          <w:rStyle w:val="EndnoteReference"/>
          <w:sz w:val="23"/>
          <w:szCs w:val="23"/>
          <w:vertAlign w:val="baseline"/>
        </w:rPr>
        <w:tab/>
      </w:r>
      <w:r w:rsidRPr="00D85A9B">
        <w:rPr>
          <w:sz w:val="23"/>
          <w:szCs w:val="23"/>
        </w:rPr>
        <w:t xml:space="preserve">ACON Pride Training. (n.d.). </w:t>
      </w:r>
      <w:r w:rsidRPr="00D85A9B">
        <w:rPr>
          <w:i/>
          <w:iCs/>
          <w:sz w:val="23"/>
          <w:szCs w:val="23"/>
        </w:rPr>
        <w:t>Glossary of LGBTQ+ terms.</w:t>
      </w:r>
      <w:r w:rsidRPr="00D85A9B">
        <w:rPr>
          <w:sz w:val="23"/>
          <w:szCs w:val="23"/>
        </w:rPr>
        <w:t xml:space="preserve"> Retrieved September 29, 2025, from </w:t>
      </w:r>
      <w:hyperlink r:id="rId5" w:tgtFrame="_new" w:history="1">
        <w:r w:rsidRPr="00D85A9B">
          <w:rPr>
            <w:rStyle w:val="Hyperlink"/>
            <w:sz w:val="23"/>
            <w:szCs w:val="23"/>
          </w:rPr>
          <w:t>https://</w:t>
        </w:r>
        <w:r w:rsidRPr="00D85A9B">
          <w:rPr>
            <w:rStyle w:val="Hyperlink"/>
            <w:sz w:val="23"/>
            <w:szCs w:val="23"/>
          </w:rPr>
          <w:t>www.pridetraining.org.au/pages/glossary-of-lgbtq-terms</w:t>
        </w:r>
      </w:hyperlink>
    </w:p>
  </w:endnote>
  <w:endnote w:id="12">
    <w:p w14:paraId="75605653" w14:textId="77777777" w:rsidR="002C0138" w:rsidRPr="00D85A9B" w:rsidRDefault="002C0138" w:rsidP="00563C41">
      <w:pPr>
        <w:pStyle w:val="Endnotes"/>
        <w:spacing w:after="120" w:line="214" w:lineRule="auto"/>
        <w:rPr>
          <w:sz w:val="23"/>
          <w:szCs w:val="23"/>
        </w:rPr>
      </w:pPr>
      <w:r w:rsidRPr="00D85A9B">
        <w:rPr>
          <w:rStyle w:val="EndnoteReference"/>
          <w:sz w:val="23"/>
          <w:szCs w:val="23"/>
          <w:vertAlign w:val="baseline"/>
        </w:rPr>
        <w:endnoteRef/>
      </w:r>
      <w:r w:rsidRPr="00D85A9B">
        <w:rPr>
          <w:rStyle w:val="EndnoteReference"/>
          <w:sz w:val="23"/>
          <w:szCs w:val="23"/>
          <w:vertAlign w:val="baseline"/>
        </w:rPr>
        <w:t xml:space="preserve"> </w:t>
      </w:r>
      <w:r w:rsidRPr="00D85A9B">
        <w:rPr>
          <w:rStyle w:val="EndnoteReference"/>
          <w:sz w:val="23"/>
          <w:szCs w:val="23"/>
          <w:vertAlign w:val="baseline"/>
        </w:rPr>
        <w:tab/>
      </w:r>
      <w:r w:rsidRPr="00D85A9B">
        <w:rPr>
          <w:sz w:val="23"/>
          <w:szCs w:val="23"/>
        </w:rPr>
        <w:t xml:space="preserve">Domestic Violence Resource Centre, &amp; Domestic Violence Victoria. (2015). </w:t>
      </w:r>
      <w:r w:rsidRPr="00D85A9B">
        <w:rPr>
          <w:i/>
          <w:iCs/>
          <w:sz w:val="23"/>
          <w:szCs w:val="23"/>
        </w:rPr>
        <w:t>Why gender matters: A guide for community health services</w:t>
      </w:r>
      <w:r w:rsidRPr="00D85A9B">
        <w:rPr>
          <w:sz w:val="23"/>
          <w:szCs w:val="23"/>
        </w:rPr>
        <w:t>.</w:t>
      </w:r>
    </w:p>
  </w:endnote>
  <w:endnote w:id="13">
    <w:p w14:paraId="59E33E25" w14:textId="112C1D9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 xml:space="preserve">King, T. L., Meehl, A., &amp; Priest N. (2018) </w:t>
      </w:r>
      <w:r w:rsidRPr="00D85A9B">
        <w:rPr>
          <w:i/>
          <w:iCs/>
          <w:sz w:val="23"/>
          <w:szCs w:val="23"/>
        </w:rPr>
        <w:t>Building children’s resilience through respectful and gender equitable relationships pilot project. A literature review</w:t>
      </w:r>
      <w:r w:rsidRPr="00D85A9B">
        <w:rPr>
          <w:sz w:val="23"/>
          <w:szCs w:val="23"/>
        </w:rPr>
        <w:t xml:space="preserve"> (p. 1). Centre for Social Research and Methods, ANU. </w:t>
      </w:r>
      <w:hyperlink r:id="rId6" w:history="1">
        <w:r w:rsidRPr="00D85A9B">
          <w:rPr>
            <w:rStyle w:val="Hyperlink"/>
            <w:sz w:val="23"/>
            <w:szCs w:val="23"/>
          </w:rPr>
          <w:t>https://openresearch-repository.anu.edu.au/server/api/core/bitstreams/d50d4f57-325e-4b72-8096-c52794508bbe/content</w:t>
        </w:r>
      </w:hyperlink>
      <w:r w:rsidRPr="00D85A9B">
        <w:rPr>
          <w:sz w:val="23"/>
          <w:szCs w:val="23"/>
        </w:rPr>
        <w:t xml:space="preserve"> </w:t>
      </w:r>
    </w:p>
  </w:endnote>
  <w:endnote w:id="14">
    <w:p w14:paraId="7DD3E788" w14:textId="6479016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 xml:space="preserve">Our Watch. (2018). </w:t>
      </w:r>
      <w:r w:rsidRPr="00D85A9B">
        <w:rPr>
          <w:i/>
          <w:iCs/>
          <w:sz w:val="23"/>
          <w:szCs w:val="23"/>
        </w:rPr>
        <w:t>Challenging gender stereotypes in the early years: The power of parents.</w:t>
      </w:r>
    </w:p>
  </w:endnote>
  <w:endnote w:id="15">
    <w:p w14:paraId="4566414B" w14:textId="11379F7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Our Watch (2018), see note 13.</w:t>
      </w:r>
    </w:p>
  </w:endnote>
  <w:endnote w:id="16">
    <w:p w14:paraId="7EE3C1DE" w14:textId="1DEC6F6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King, T .L., Scovell, A. J., Meehl, A., Milner, A. J., &amp; Priest, N. (2021). Gender stereotypes and biases in early childhood. A systematic review.</w:t>
      </w:r>
      <w:r w:rsidRPr="00D85A9B">
        <w:rPr>
          <w:i/>
          <w:iCs/>
          <w:sz w:val="23"/>
          <w:szCs w:val="23"/>
        </w:rPr>
        <w:t xml:space="preserve"> Australasian Journal of Early Childhood</w:t>
      </w:r>
      <w:r w:rsidRPr="00D85A9B">
        <w:rPr>
          <w:sz w:val="23"/>
          <w:szCs w:val="23"/>
        </w:rPr>
        <w:t xml:space="preserve">, </w:t>
      </w:r>
      <w:r w:rsidRPr="00D85A9B">
        <w:rPr>
          <w:i/>
          <w:iCs/>
          <w:sz w:val="23"/>
          <w:szCs w:val="23"/>
        </w:rPr>
        <w:t>46</w:t>
      </w:r>
      <w:r w:rsidRPr="00D85A9B">
        <w:rPr>
          <w:sz w:val="23"/>
          <w:szCs w:val="23"/>
        </w:rPr>
        <w:t xml:space="preserve">(2), 112125. </w:t>
      </w:r>
    </w:p>
  </w:endnote>
  <w:endnote w:id="17">
    <w:p w14:paraId="029169DF" w14:textId="127B2CA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 xml:space="preserve">King, T. L., Scovell, A. J., Meehl, A., Milner, A. J., &amp; Priest, N. (2021), see note 15. </w:t>
      </w:r>
    </w:p>
  </w:endnote>
  <w:endnote w:id="18">
    <w:p w14:paraId="1F974C08" w14:textId="1A6C887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 xml:space="preserve">King, T. L., Meehl, A., &amp; Priest, N. (2018). </w:t>
      </w:r>
      <w:r w:rsidRPr="00D85A9B">
        <w:rPr>
          <w:i/>
          <w:iCs/>
          <w:sz w:val="23"/>
          <w:szCs w:val="23"/>
        </w:rPr>
        <w:t>Building children’s resilience through respectful and gender equitable relationships pilot project. A literature review.</w:t>
      </w:r>
      <w:r w:rsidRPr="00D85A9B">
        <w:rPr>
          <w:sz w:val="23"/>
          <w:szCs w:val="23"/>
        </w:rPr>
        <w:t xml:space="preserve"> Centre for Social Research and Methods, ANU. </w:t>
      </w:r>
      <w:hyperlink r:id="rId7" w:history="1">
        <w:r w:rsidRPr="00D85A9B">
          <w:rPr>
            <w:rStyle w:val="Hyperlink"/>
            <w:sz w:val="23"/>
            <w:szCs w:val="23"/>
          </w:rPr>
          <w:t>https://openresearch-repository.anu.edu.au/server/api/core/bitstreams/d50d4f57-325e-4b72-8096-c52794508bbe/content</w:t>
        </w:r>
      </w:hyperlink>
    </w:p>
  </w:endnote>
  <w:endnote w:id="19">
    <w:p w14:paraId="0A4C9558" w14:textId="50BB0A0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 xml:space="preserve">Portengen, C. M., van Baar, A. L., &amp; Endendijk, J. J. (2023). A neurocognitive approach to studying processes underlying parents’ implicit gender socialization. </w:t>
      </w:r>
      <w:r w:rsidRPr="00D85A9B">
        <w:rPr>
          <w:i/>
          <w:iCs/>
          <w:sz w:val="23"/>
          <w:szCs w:val="23"/>
        </w:rPr>
        <w:t>Frontiers in Psychology</w:t>
      </w:r>
      <w:r w:rsidRPr="00D85A9B">
        <w:rPr>
          <w:sz w:val="23"/>
          <w:szCs w:val="23"/>
        </w:rPr>
        <w:t xml:space="preserve">, 13, Article 1054886. </w:t>
      </w:r>
    </w:p>
    <w:p w14:paraId="370A118F"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Kaplan, D. (2020). Boys will be boys: An example of biased and exclusive usage. </w:t>
      </w:r>
      <w:r w:rsidRPr="00D85A9B">
        <w:rPr>
          <w:i/>
          <w:iCs/>
          <w:sz w:val="23"/>
          <w:szCs w:val="23"/>
        </w:rPr>
        <w:t>Lexicographica</w:t>
      </w:r>
      <w:r w:rsidRPr="00D85A9B">
        <w:rPr>
          <w:sz w:val="23"/>
          <w:szCs w:val="23"/>
        </w:rPr>
        <w:t xml:space="preserve">, </w:t>
      </w:r>
      <w:r w:rsidRPr="00D85A9B">
        <w:rPr>
          <w:i/>
          <w:iCs/>
          <w:sz w:val="23"/>
          <w:szCs w:val="23"/>
        </w:rPr>
        <w:t>36</w:t>
      </w:r>
      <w:r w:rsidRPr="00D85A9B">
        <w:rPr>
          <w:sz w:val="23"/>
          <w:szCs w:val="23"/>
        </w:rPr>
        <w:t>, 205–223.</w:t>
      </w:r>
    </w:p>
    <w:p w14:paraId="18506475"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Weiss, K. G. (2009). ‘Boys will be boys’ and other gendered accounts: An exploration of victims’ excuses and justifications for unwanted sexual contact and coercion. </w:t>
      </w:r>
      <w:r w:rsidRPr="00D85A9B">
        <w:rPr>
          <w:i/>
          <w:iCs/>
          <w:sz w:val="23"/>
          <w:szCs w:val="23"/>
        </w:rPr>
        <w:t>Violence Against Women,</w:t>
      </w:r>
      <w:r w:rsidRPr="00D85A9B">
        <w:rPr>
          <w:sz w:val="23"/>
          <w:szCs w:val="23"/>
        </w:rPr>
        <w:t xml:space="preserve"> </w:t>
      </w:r>
      <w:r w:rsidRPr="00D85A9B">
        <w:rPr>
          <w:i/>
          <w:iCs/>
          <w:sz w:val="23"/>
          <w:szCs w:val="23"/>
        </w:rPr>
        <w:t>15</w:t>
      </w:r>
      <w:r w:rsidRPr="00D85A9B">
        <w:rPr>
          <w:sz w:val="23"/>
          <w:szCs w:val="23"/>
        </w:rPr>
        <w:t>(7), 810–834.</w:t>
      </w:r>
    </w:p>
  </w:endnote>
  <w:endnote w:id="20">
    <w:p w14:paraId="5F2A973F" w14:textId="327B8F9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8B31F5" w:rsidRPr="00D85A9B">
        <w:rPr>
          <w:sz w:val="23"/>
          <w:szCs w:val="23"/>
        </w:rPr>
        <w:tab/>
      </w:r>
      <w:r w:rsidRPr="00D85A9B">
        <w:rPr>
          <w:sz w:val="23"/>
          <w:szCs w:val="23"/>
        </w:rPr>
        <w:t xml:space="preserve">Our Watch. (2019). </w:t>
      </w:r>
      <w:r w:rsidRPr="00D85A9B">
        <w:rPr>
          <w:i/>
          <w:iCs/>
          <w:sz w:val="23"/>
          <w:szCs w:val="23"/>
        </w:rPr>
        <w:t>Men in focus: Unpacking masculinities and engaging men in the prevention of violence against women.</w:t>
      </w:r>
      <w:r w:rsidRPr="00D85A9B">
        <w:rPr>
          <w:sz w:val="23"/>
          <w:szCs w:val="23"/>
        </w:rPr>
        <w:t xml:space="preserve"> </w:t>
      </w:r>
      <w:hyperlink r:id="rId8" w:history="1">
        <w:r w:rsidRPr="00D85A9B">
          <w:rPr>
            <w:rStyle w:val="Hyperlink"/>
            <w:sz w:val="23"/>
            <w:szCs w:val="23"/>
          </w:rPr>
          <w:t>https://assets.ourwatch.org.au/assets/Key-frameworks/Men-in-focus-Evidence-review.pdf</w:t>
        </w:r>
      </w:hyperlink>
    </w:p>
    <w:p w14:paraId="7FF9354F" w14:textId="77777777" w:rsidR="004D1500" w:rsidRPr="00D85A9B" w:rsidRDefault="004D1500" w:rsidP="00563C41">
      <w:pPr>
        <w:pStyle w:val="Endnotes"/>
        <w:spacing w:after="120" w:line="214" w:lineRule="auto"/>
        <w:ind w:firstLine="0"/>
        <w:rPr>
          <w:sz w:val="23"/>
          <w:szCs w:val="23"/>
        </w:rPr>
      </w:pPr>
      <w:r w:rsidRPr="00D85A9B">
        <w:rPr>
          <w:sz w:val="23"/>
          <w:szCs w:val="23"/>
        </w:rPr>
        <w:t>Our Watch (2021), see note 1</w:t>
      </w:r>
      <w:r w:rsidRPr="00D85A9B">
        <w:rPr>
          <w:i/>
          <w:iCs/>
          <w:sz w:val="23"/>
          <w:szCs w:val="23"/>
        </w:rPr>
        <w:t>.</w:t>
      </w:r>
    </w:p>
  </w:endnote>
  <w:endnote w:id="21">
    <w:p w14:paraId="167F0758" w14:textId="11CDA8B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070CF" w:rsidRPr="00D85A9B">
        <w:rPr>
          <w:sz w:val="23"/>
          <w:szCs w:val="23"/>
        </w:rPr>
        <w:tab/>
      </w:r>
      <w:r w:rsidRPr="00D85A9B">
        <w:rPr>
          <w:sz w:val="23"/>
          <w:szCs w:val="23"/>
        </w:rPr>
        <w:t xml:space="preserve">Blaise, M. (2005). </w:t>
      </w:r>
      <w:r w:rsidRPr="00D85A9B">
        <w:rPr>
          <w:i/>
          <w:iCs/>
          <w:sz w:val="23"/>
          <w:szCs w:val="23"/>
        </w:rPr>
        <w:t>Playing it straight: Uncovering gender discourses in the early childhood classroom</w:t>
      </w:r>
      <w:r w:rsidRPr="00D85A9B">
        <w:rPr>
          <w:sz w:val="23"/>
          <w:szCs w:val="23"/>
        </w:rPr>
        <w:t>. Routledge.</w:t>
      </w:r>
    </w:p>
    <w:p w14:paraId="2249872C"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Davies, B. (1989). </w:t>
      </w:r>
      <w:r w:rsidRPr="00D85A9B">
        <w:rPr>
          <w:i/>
          <w:iCs/>
          <w:sz w:val="23"/>
          <w:szCs w:val="23"/>
        </w:rPr>
        <w:t>Frogs and snails and feminist tales: Preschool children and gender</w:t>
      </w:r>
      <w:r w:rsidRPr="00D85A9B">
        <w:rPr>
          <w:sz w:val="23"/>
          <w:szCs w:val="23"/>
        </w:rPr>
        <w:t>. Allen &amp; Unwin.</w:t>
      </w:r>
    </w:p>
    <w:p w14:paraId="79D37268"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MacNaughton, G. (2000). </w:t>
      </w:r>
      <w:r w:rsidRPr="00D85A9B">
        <w:rPr>
          <w:i/>
          <w:iCs/>
          <w:sz w:val="23"/>
          <w:szCs w:val="23"/>
        </w:rPr>
        <w:t>Rethinking gender in early childhood education</w:t>
      </w:r>
      <w:r w:rsidRPr="00D85A9B">
        <w:rPr>
          <w:sz w:val="23"/>
          <w:szCs w:val="23"/>
        </w:rPr>
        <w:t>. Allen &amp; Unwin.</w:t>
      </w:r>
    </w:p>
    <w:p w14:paraId="3FD8EE4D"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MacNaughton, G. (2005). </w:t>
      </w:r>
      <w:r w:rsidRPr="00D85A9B">
        <w:rPr>
          <w:i/>
          <w:iCs/>
          <w:sz w:val="23"/>
          <w:szCs w:val="23"/>
        </w:rPr>
        <w:t xml:space="preserve">Doing Foucault in early childhood studies: Applying </w:t>
      </w:r>
      <w:r w:rsidRPr="00D85A9B">
        <w:rPr>
          <w:i/>
          <w:iCs/>
          <w:sz w:val="23"/>
          <w:szCs w:val="23"/>
        </w:rPr>
        <w:t>poststructural ideas</w:t>
      </w:r>
      <w:r w:rsidRPr="00D85A9B">
        <w:rPr>
          <w:sz w:val="23"/>
          <w:szCs w:val="23"/>
        </w:rPr>
        <w:t>. Routledge.</w:t>
      </w:r>
    </w:p>
    <w:p w14:paraId="003AD6D2"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Robinson, K., &amp; Jones Diaz, C. (2006). </w:t>
      </w:r>
      <w:r w:rsidRPr="00D85A9B">
        <w:rPr>
          <w:i/>
          <w:iCs/>
          <w:sz w:val="23"/>
          <w:szCs w:val="23"/>
        </w:rPr>
        <w:t>Diversity and difference in early childhood education.</w:t>
      </w:r>
      <w:r w:rsidRPr="00D85A9B">
        <w:rPr>
          <w:sz w:val="23"/>
          <w:szCs w:val="23"/>
        </w:rPr>
        <w:t xml:space="preserve"> Open University Press. </w:t>
      </w:r>
    </w:p>
  </w:endnote>
  <w:endnote w:id="22">
    <w:p w14:paraId="6C4FD768" w14:textId="19CD2C5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070CF" w:rsidRPr="00D85A9B">
        <w:rPr>
          <w:sz w:val="23"/>
          <w:szCs w:val="23"/>
        </w:rPr>
        <w:tab/>
      </w:r>
      <w:r w:rsidRPr="00D85A9B">
        <w:rPr>
          <w:sz w:val="23"/>
          <w:szCs w:val="23"/>
        </w:rPr>
        <w:t>Blaise, M. (2005), see note 20.</w:t>
      </w:r>
    </w:p>
    <w:p w14:paraId="4E079590"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Casey, K., Novick, K., &amp; Lourenco, S. F. (2021). Sixty years of gender representation in children's books: Conditions associated with overrepresentation of male versus female protagonists. </w:t>
      </w:r>
      <w:r w:rsidRPr="00D85A9B">
        <w:rPr>
          <w:i/>
          <w:iCs/>
          <w:sz w:val="23"/>
          <w:szCs w:val="23"/>
        </w:rPr>
        <w:t>PLoS One, 16</w:t>
      </w:r>
      <w:r w:rsidRPr="00D85A9B">
        <w:rPr>
          <w:sz w:val="23"/>
          <w:szCs w:val="23"/>
        </w:rPr>
        <w:t>(12), e0260566.</w:t>
      </w:r>
    </w:p>
    <w:p w14:paraId="140182DE" w14:textId="77777777" w:rsidR="004D1500" w:rsidRPr="00D85A9B" w:rsidRDefault="004D1500" w:rsidP="00563C41">
      <w:pPr>
        <w:pStyle w:val="Endnotes"/>
        <w:spacing w:after="120" w:line="214" w:lineRule="auto"/>
        <w:ind w:firstLine="0"/>
        <w:rPr>
          <w:sz w:val="23"/>
          <w:szCs w:val="23"/>
        </w:rPr>
      </w:pPr>
      <w:r w:rsidRPr="00D85A9B">
        <w:rPr>
          <w:sz w:val="23"/>
          <w:szCs w:val="23"/>
        </w:rPr>
        <w:t>Davies, B. (1989), note 20.</w:t>
      </w:r>
    </w:p>
    <w:p w14:paraId="1906320D" w14:textId="77777777" w:rsidR="004D1500" w:rsidRPr="00D85A9B" w:rsidRDefault="004D1500" w:rsidP="00563C41">
      <w:pPr>
        <w:pStyle w:val="Endnotes"/>
        <w:spacing w:after="120" w:line="214" w:lineRule="auto"/>
        <w:ind w:firstLine="0"/>
        <w:rPr>
          <w:sz w:val="23"/>
          <w:szCs w:val="23"/>
        </w:rPr>
      </w:pPr>
      <w:r w:rsidRPr="00D85A9B">
        <w:rPr>
          <w:sz w:val="23"/>
          <w:szCs w:val="23"/>
        </w:rPr>
        <w:t>MacNaughton, G. (2000), see note 20.</w:t>
      </w:r>
    </w:p>
    <w:p w14:paraId="1DBAE76E" w14:textId="77777777" w:rsidR="004D1500" w:rsidRPr="00D85A9B" w:rsidRDefault="004D1500" w:rsidP="00563C41">
      <w:pPr>
        <w:pStyle w:val="Endnotes"/>
        <w:spacing w:after="120" w:line="214" w:lineRule="auto"/>
        <w:ind w:firstLine="0"/>
        <w:rPr>
          <w:sz w:val="23"/>
          <w:szCs w:val="23"/>
        </w:rPr>
      </w:pPr>
      <w:r w:rsidRPr="00D85A9B">
        <w:rPr>
          <w:sz w:val="23"/>
          <w:szCs w:val="23"/>
        </w:rPr>
        <w:t>MacNaughton, G. (2005), see note 20.</w:t>
      </w:r>
    </w:p>
    <w:p w14:paraId="264D1E1C" w14:textId="77777777" w:rsidR="004D1500" w:rsidRPr="00D85A9B" w:rsidRDefault="004D1500" w:rsidP="00563C41">
      <w:pPr>
        <w:pStyle w:val="Endnotes"/>
        <w:spacing w:after="120" w:line="214" w:lineRule="auto"/>
        <w:ind w:firstLine="0"/>
        <w:rPr>
          <w:sz w:val="23"/>
          <w:szCs w:val="23"/>
        </w:rPr>
      </w:pPr>
      <w:r w:rsidRPr="00D85A9B">
        <w:rPr>
          <w:sz w:val="23"/>
          <w:szCs w:val="23"/>
        </w:rPr>
        <w:t>Robinson, K., &amp; Jones Diaz, C. (2006), see note 20.</w:t>
      </w:r>
    </w:p>
  </w:endnote>
  <w:endnote w:id="23">
    <w:p w14:paraId="7788E605" w14:textId="18D7623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rStyle w:val="EndnoteReference"/>
          <w:sz w:val="23"/>
          <w:szCs w:val="23"/>
          <w:vertAlign w:val="baseline"/>
        </w:rPr>
        <w:t xml:space="preserve"> </w:t>
      </w:r>
      <w:r w:rsidR="00D41725" w:rsidRPr="00D85A9B">
        <w:rPr>
          <w:sz w:val="23"/>
          <w:szCs w:val="23"/>
        </w:rPr>
        <w:tab/>
      </w:r>
      <w:r w:rsidRPr="00D85A9B">
        <w:rPr>
          <w:rStyle w:val="EndnoteReference"/>
          <w:sz w:val="23"/>
          <w:szCs w:val="23"/>
          <w:vertAlign w:val="baseline"/>
        </w:rPr>
        <w:t>O</w:t>
      </w:r>
      <w:r w:rsidRPr="00D85A9B">
        <w:rPr>
          <w:sz w:val="23"/>
          <w:szCs w:val="23"/>
        </w:rPr>
        <w:t>ur Watch (2021), see note 1.</w:t>
      </w:r>
    </w:p>
  </w:endnote>
  <w:endnote w:id="24">
    <w:p w14:paraId="59ED4374" w14:textId="19DEAD4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Clements-Nolle, K., Marx, R., Guzman, R., &amp; Katz, M. (2001). HIV prevalence, risk behaviors, health care use, and mental health status of transgender persons: Implications for public health intervention. </w:t>
      </w:r>
      <w:r w:rsidRPr="00D85A9B">
        <w:rPr>
          <w:i/>
          <w:iCs/>
          <w:sz w:val="23"/>
          <w:szCs w:val="23"/>
        </w:rPr>
        <w:t>American Journal of Public Health, 91</w:t>
      </w:r>
      <w:r w:rsidRPr="00D85A9B">
        <w:rPr>
          <w:sz w:val="23"/>
          <w:szCs w:val="23"/>
        </w:rPr>
        <w:t>(6), 915.</w:t>
      </w:r>
    </w:p>
    <w:p w14:paraId="7E4199B8"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Couch, M., Pitts, M., Mulcare, H., Croy, S., Mitchell, A., &amp; Patel, S. (2007). </w:t>
      </w:r>
      <w:r w:rsidRPr="00D85A9B">
        <w:rPr>
          <w:i/>
          <w:iCs/>
          <w:sz w:val="23"/>
          <w:szCs w:val="23"/>
        </w:rPr>
        <w:t>Tranznation: A report on the health and wellbeing of transgendered people in Australia and New Zealand</w:t>
      </w:r>
      <w:r w:rsidRPr="00D85A9B">
        <w:rPr>
          <w:sz w:val="23"/>
          <w:szCs w:val="23"/>
        </w:rPr>
        <w:t>.</w:t>
      </w:r>
    </w:p>
    <w:p w14:paraId="35B32D38" w14:textId="77777777" w:rsidR="004D1500" w:rsidRPr="00D85A9B" w:rsidRDefault="004D1500" w:rsidP="00563C41">
      <w:pPr>
        <w:pStyle w:val="Endnotes"/>
        <w:spacing w:after="120" w:line="214" w:lineRule="auto"/>
        <w:ind w:firstLine="0"/>
        <w:rPr>
          <w:sz w:val="23"/>
          <w:szCs w:val="23"/>
        </w:rPr>
      </w:pPr>
      <w:r w:rsidRPr="00D85A9B">
        <w:rPr>
          <w:sz w:val="23"/>
          <w:szCs w:val="23"/>
        </w:rPr>
        <w:t xml:space="preserve">Hillier, L., Jones, T., Monagle, M., Overton, N., Gahan, L., Blackman, J., &amp; Mitchell, A. (2010). </w:t>
      </w:r>
      <w:r w:rsidRPr="00D85A9B">
        <w:rPr>
          <w:i/>
          <w:iCs/>
          <w:sz w:val="23"/>
          <w:szCs w:val="23"/>
        </w:rPr>
        <w:t>Writing Themselves In 3: The third national study on the sexual health and wellbeing of same sex attracted and gender questioning young people</w:t>
      </w:r>
      <w:r w:rsidRPr="00D85A9B">
        <w:rPr>
          <w:sz w:val="23"/>
          <w:szCs w:val="23"/>
        </w:rPr>
        <w:t>. La Trobe University.</w:t>
      </w:r>
    </w:p>
    <w:p w14:paraId="35DA7D1C" w14:textId="77777777" w:rsidR="004D1500" w:rsidRPr="00D85A9B" w:rsidRDefault="004D1500" w:rsidP="00563C41">
      <w:pPr>
        <w:pStyle w:val="Endnotes"/>
        <w:spacing w:after="120" w:line="214" w:lineRule="auto"/>
        <w:ind w:firstLine="0"/>
        <w:rPr>
          <w:sz w:val="23"/>
          <w:szCs w:val="23"/>
        </w:rPr>
      </w:pPr>
      <w:r w:rsidRPr="00D85A9B">
        <w:rPr>
          <w:sz w:val="23"/>
          <w:szCs w:val="23"/>
        </w:rPr>
        <w:t>Our Watch (2021), see note 1.</w:t>
      </w:r>
    </w:p>
  </w:endnote>
  <w:endnote w:id="25">
    <w:p w14:paraId="19FE64C1" w14:textId="0EAAF8A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The Men’s Project, &amp; Flood, M. (2018). </w:t>
      </w:r>
      <w:r w:rsidRPr="00D85A9B">
        <w:rPr>
          <w:i/>
          <w:iCs/>
          <w:sz w:val="23"/>
          <w:szCs w:val="23"/>
        </w:rPr>
        <w:t>The Man Box: A study on being a young man in Australia</w:t>
      </w:r>
      <w:r w:rsidRPr="00D85A9B">
        <w:rPr>
          <w:sz w:val="23"/>
          <w:szCs w:val="23"/>
        </w:rPr>
        <w:t xml:space="preserve">. Jesuit Social Services. </w:t>
      </w:r>
      <w:hyperlink r:id="rId9" w:history="1">
        <w:r w:rsidRPr="00D85A9B">
          <w:rPr>
            <w:rStyle w:val="Hyperlink"/>
            <w:sz w:val="23"/>
            <w:szCs w:val="23"/>
          </w:rPr>
          <w:t>https://jss.org.au/programs/the-mens-project/tmp-research/the-man-box-2018/</w:t>
        </w:r>
      </w:hyperlink>
    </w:p>
  </w:endnote>
  <w:endnote w:id="26">
    <w:p w14:paraId="4F6C01D3" w14:textId="5010FEE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rStyle w:val="Strong"/>
          <w:rFonts w:ascii="Roboto" w:eastAsiaTheme="majorEastAsia" w:hAnsi="Roboto"/>
          <w:b w:val="0"/>
          <w:bCs w:val="0"/>
          <w:sz w:val="23"/>
          <w:szCs w:val="23"/>
        </w:rPr>
        <w:t>Harvey, L., Ringrose, J., &amp; Gill, R. (2013).</w:t>
      </w:r>
      <w:r w:rsidRPr="00D85A9B">
        <w:rPr>
          <w:b/>
          <w:bCs/>
          <w:sz w:val="23"/>
          <w:szCs w:val="23"/>
        </w:rPr>
        <w:t xml:space="preserve"> </w:t>
      </w:r>
      <w:r w:rsidRPr="00D85A9B">
        <w:rPr>
          <w:sz w:val="23"/>
          <w:szCs w:val="23"/>
        </w:rPr>
        <w:t xml:space="preserve">Swagger, ratings and masculinity: </w:t>
      </w:r>
      <w:r w:rsidRPr="00D85A9B">
        <w:rPr>
          <w:sz w:val="23"/>
          <w:szCs w:val="23"/>
        </w:rPr>
        <w:t xml:space="preserve">Theorising the circulation of social and cultural value in teenage boys’ digital peer networks. </w:t>
      </w:r>
      <w:r w:rsidRPr="00D85A9B">
        <w:rPr>
          <w:rStyle w:val="Emphasis"/>
          <w:rFonts w:eastAsiaTheme="majorEastAsia"/>
          <w:sz w:val="23"/>
          <w:szCs w:val="23"/>
        </w:rPr>
        <w:t>Sociological Research Online, 18</w:t>
      </w:r>
      <w:r w:rsidRPr="00D85A9B">
        <w:rPr>
          <w:sz w:val="23"/>
          <w:szCs w:val="23"/>
        </w:rPr>
        <w:t>(4), 9.</w:t>
      </w:r>
    </w:p>
    <w:p w14:paraId="7D8EE0F4" w14:textId="77777777" w:rsidR="004D1500" w:rsidRPr="00D85A9B" w:rsidRDefault="004D1500" w:rsidP="008A1661">
      <w:pPr>
        <w:pStyle w:val="Endnotes"/>
        <w:spacing w:after="120" w:line="214" w:lineRule="auto"/>
        <w:ind w:firstLine="0"/>
        <w:rPr>
          <w:sz w:val="23"/>
          <w:szCs w:val="23"/>
        </w:rPr>
      </w:pPr>
      <w:r w:rsidRPr="00D85A9B">
        <w:rPr>
          <w:rStyle w:val="Strong"/>
          <w:rFonts w:ascii="Roboto" w:eastAsiaTheme="majorEastAsia" w:hAnsi="Roboto"/>
          <w:b w:val="0"/>
          <w:bCs w:val="0"/>
          <w:sz w:val="23"/>
          <w:szCs w:val="23"/>
        </w:rPr>
        <w:t>Hatch, I., &amp; Randolph, A. (2021).</w:t>
      </w:r>
      <w:r w:rsidRPr="00D85A9B">
        <w:rPr>
          <w:b/>
          <w:sz w:val="23"/>
          <w:szCs w:val="23"/>
        </w:rPr>
        <w:t xml:space="preserve"> </w:t>
      </w:r>
      <w:r w:rsidRPr="00D85A9B">
        <w:rPr>
          <w:sz w:val="23"/>
          <w:szCs w:val="23"/>
        </w:rPr>
        <w:t xml:space="preserve">Digital shame, dehumanization, and dismissal: An analysis of gender policing. </w:t>
      </w:r>
      <w:r w:rsidRPr="00D85A9B">
        <w:rPr>
          <w:rStyle w:val="Emphasis"/>
          <w:rFonts w:eastAsiaTheme="majorEastAsia"/>
          <w:bCs/>
          <w:sz w:val="23"/>
          <w:szCs w:val="23"/>
        </w:rPr>
        <w:t>Pursue: Undergraduate Research Journal, 4</w:t>
      </w:r>
      <w:r w:rsidRPr="00D85A9B">
        <w:rPr>
          <w:sz w:val="23"/>
          <w:szCs w:val="23"/>
        </w:rPr>
        <w:t xml:space="preserve">(1). </w:t>
      </w:r>
    </w:p>
  </w:endnote>
  <w:endnote w:id="27">
    <w:p w14:paraId="6D58E0A8" w14:textId="371073A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Fulcher, K. (2017). That’s so homophobic? Australian young people’s perspectives on homophobic language use in secondary schools. </w:t>
      </w:r>
      <w:r w:rsidRPr="00D85A9B">
        <w:rPr>
          <w:i/>
          <w:iCs/>
          <w:sz w:val="23"/>
          <w:szCs w:val="23"/>
        </w:rPr>
        <w:t>Sex Education, 17</w:t>
      </w:r>
      <w:r w:rsidRPr="00D85A9B">
        <w:rPr>
          <w:sz w:val="23"/>
          <w:szCs w:val="23"/>
        </w:rPr>
        <w:t>(3), 290–301.</w:t>
      </w:r>
    </w:p>
    <w:p w14:paraId="05AF7C27"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Swearer, S. M., Turner, R. K., Givens, J. E., &amp; Pollack, W. S. (2008). ‘You're so gay!’ Do different forms of bullying matter for adolescent males? </w:t>
      </w:r>
      <w:r w:rsidRPr="00D85A9B">
        <w:rPr>
          <w:i/>
          <w:iCs/>
          <w:sz w:val="23"/>
          <w:szCs w:val="23"/>
        </w:rPr>
        <w:t>School Psychology Review, 37</w:t>
      </w:r>
      <w:r w:rsidRPr="00D85A9B">
        <w:rPr>
          <w:sz w:val="23"/>
          <w:szCs w:val="23"/>
        </w:rPr>
        <w:t>(2), 160–173.</w:t>
      </w:r>
    </w:p>
    <w:p w14:paraId="383AA608"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Espelage, D. L., Basile, K. C., </w:t>
      </w:r>
      <w:r w:rsidRPr="00D85A9B">
        <w:rPr>
          <w:sz w:val="23"/>
          <w:szCs w:val="23"/>
        </w:rPr>
        <w:t xml:space="preserve">Leemis, R. W., Hipp, T. N., &amp; Davis, J. P. (2018). Longitudinal examination of the bullying-sexual violence pathway across early to late adolescence: Implicating homophobic name-calling. </w:t>
      </w:r>
      <w:r w:rsidRPr="00D85A9B">
        <w:rPr>
          <w:i/>
          <w:iCs/>
          <w:sz w:val="23"/>
          <w:szCs w:val="23"/>
        </w:rPr>
        <w:t>Journal of Youth and Adolescence, 47</w:t>
      </w:r>
      <w:r w:rsidRPr="00D85A9B">
        <w:rPr>
          <w:sz w:val="23"/>
          <w:szCs w:val="23"/>
        </w:rPr>
        <w:t xml:space="preserve">(9), 1880–1893. </w:t>
      </w:r>
    </w:p>
  </w:endnote>
  <w:endnote w:id="28">
    <w:p w14:paraId="3D004DC8" w14:textId="0D32D32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Our Watch (2019), see note 19.</w:t>
      </w:r>
    </w:p>
    <w:p w14:paraId="4FB4D96E"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Rainbow Health Victoria. (2020). </w:t>
      </w:r>
      <w:r w:rsidRPr="00D85A9B">
        <w:rPr>
          <w:i/>
          <w:iCs/>
          <w:sz w:val="23"/>
          <w:szCs w:val="23"/>
        </w:rPr>
        <w:t>Pride in prevention: A guide to primary prevention of family violence experienced by LGBTIQ communities.</w:t>
      </w:r>
      <w:r w:rsidRPr="00D85A9B">
        <w:rPr>
          <w:sz w:val="23"/>
          <w:szCs w:val="23"/>
        </w:rPr>
        <w:t xml:space="preserve"> </w:t>
      </w:r>
    </w:p>
  </w:endnote>
  <w:endnote w:id="29">
    <w:p w14:paraId="680640C0" w14:textId="1041EC0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rStyle w:val="Strong"/>
          <w:rFonts w:ascii="Roboto" w:eastAsiaTheme="majorEastAsia" w:hAnsi="Roboto"/>
          <w:b w:val="0"/>
          <w:bCs w:val="0"/>
          <w:sz w:val="23"/>
          <w:szCs w:val="23"/>
        </w:rPr>
        <w:t>The Men’s Project, &amp; Flood, M. (2018), see note 24.</w:t>
      </w:r>
    </w:p>
  </w:endnote>
  <w:endnote w:id="30">
    <w:p w14:paraId="52EF0640" w14:textId="4C07AA8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Rasmussen, M. L., </w:t>
      </w:r>
      <w:r w:rsidRPr="00D85A9B">
        <w:rPr>
          <w:sz w:val="23"/>
          <w:szCs w:val="23"/>
        </w:rPr>
        <w:t xml:space="preserve">Sanjakdar, F., Allen, L., Quinlivan, K., &amp; Bromdal, A. (2017). Homophobia, transphobia, young people and the question of responsibility. </w:t>
      </w:r>
      <w:r w:rsidRPr="00D85A9B">
        <w:rPr>
          <w:i/>
          <w:iCs/>
          <w:sz w:val="23"/>
          <w:szCs w:val="23"/>
        </w:rPr>
        <w:t>Discourse: Studies in the Cultural Politics of Education, 38</w:t>
      </w:r>
      <w:r w:rsidRPr="00D85A9B">
        <w:rPr>
          <w:sz w:val="23"/>
          <w:szCs w:val="23"/>
        </w:rPr>
        <w:t>(1), 30–42.</w:t>
      </w:r>
    </w:p>
  </w:endnote>
  <w:endnote w:id="31">
    <w:p w14:paraId="36CFB2CC" w14:textId="5D25871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Connolly, J., Furman, W., &amp; Konarski, R. (2000). The role of peers in the emergence of heterosexual romantic relationships in adolescence. </w:t>
      </w:r>
      <w:r w:rsidRPr="00D85A9B">
        <w:rPr>
          <w:i/>
          <w:iCs/>
          <w:sz w:val="23"/>
          <w:szCs w:val="23"/>
        </w:rPr>
        <w:t>Child Development, 71</w:t>
      </w:r>
      <w:r w:rsidRPr="00D85A9B">
        <w:rPr>
          <w:sz w:val="23"/>
          <w:szCs w:val="23"/>
        </w:rPr>
        <w:t>(5), 1395–1408.</w:t>
      </w:r>
    </w:p>
    <w:p w14:paraId="590B0503"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Montgomery, M. J., &amp; </w:t>
      </w:r>
      <w:r w:rsidRPr="00D85A9B">
        <w:rPr>
          <w:sz w:val="23"/>
          <w:szCs w:val="23"/>
        </w:rPr>
        <w:t xml:space="preserve">Sorell, G. T. (1998). Love and dating experience in early and middle adolescence: Grade and gender comparisons. </w:t>
      </w:r>
      <w:r w:rsidRPr="00D85A9B">
        <w:rPr>
          <w:i/>
          <w:iCs/>
          <w:sz w:val="23"/>
          <w:szCs w:val="23"/>
        </w:rPr>
        <w:t>Journal of Adolescence, 21</w:t>
      </w:r>
      <w:r w:rsidRPr="00D85A9B">
        <w:rPr>
          <w:sz w:val="23"/>
          <w:szCs w:val="23"/>
        </w:rPr>
        <w:t>(6), 677–689.</w:t>
      </w:r>
    </w:p>
  </w:endnote>
  <w:endnote w:id="32">
    <w:p w14:paraId="16CC3A2E" w14:textId="03BC178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Carver, K., Joyner, K., &amp; </w:t>
      </w:r>
      <w:r w:rsidRPr="00D85A9B">
        <w:rPr>
          <w:sz w:val="23"/>
          <w:szCs w:val="23"/>
        </w:rPr>
        <w:t xml:space="preserve">Udry, J. R. (2003). National estimates of adolescent romantic relationships. In P. Florsheim (Ed.), </w:t>
      </w:r>
      <w:r w:rsidRPr="00D85A9B">
        <w:rPr>
          <w:i/>
          <w:iCs/>
          <w:sz w:val="23"/>
          <w:szCs w:val="23"/>
        </w:rPr>
        <w:t>Adolescent romantic relations and sexual behavior</w:t>
      </w:r>
      <w:r w:rsidRPr="00D85A9B">
        <w:rPr>
          <w:sz w:val="23"/>
          <w:szCs w:val="23"/>
        </w:rPr>
        <w:t xml:space="preserve"> (pp. 37–70). Psychology Press.</w:t>
      </w:r>
    </w:p>
  </w:endnote>
  <w:endnote w:id="33">
    <w:p w14:paraId="33E0B461" w14:textId="61DE98C3"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Renold, E. (2003). ‘If you don’t kiss me, you’re dumped’: Boys, boyfriends and </w:t>
      </w:r>
      <w:r w:rsidRPr="00D85A9B">
        <w:rPr>
          <w:sz w:val="23"/>
          <w:szCs w:val="23"/>
        </w:rPr>
        <w:t xml:space="preserve">heterosexualised masculinities in the primary school. </w:t>
      </w:r>
      <w:r w:rsidRPr="00D85A9B">
        <w:rPr>
          <w:i/>
          <w:iCs/>
          <w:sz w:val="23"/>
          <w:szCs w:val="23"/>
        </w:rPr>
        <w:t>Educational Review, 55</w:t>
      </w:r>
      <w:r w:rsidRPr="00D85A9B">
        <w:rPr>
          <w:sz w:val="23"/>
          <w:szCs w:val="23"/>
        </w:rPr>
        <w:t>(2), 179–194.</w:t>
      </w:r>
    </w:p>
    <w:p w14:paraId="4E74B385"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Renold, E. (2006). ‘They won’t let us play … unless you’re going out with one of them’: Girls, boys and Butler’s ‘heterosexual matrix’ in the primary years. </w:t>
      </w:r>
      <w:r w:rsidRPr="00D85A9B">
        <w:rPr>
          <w:i/>
          <w:iCs/>
          <w:sz w:val="23"/>
          <w:szCs w:val="23"/>
        </w:rPr>
        <w:t>British Journal of Sociology of Education, 27</w:t>
      </w:r>
      <w:r w:rsidRPr="00D85A9B">
        <w:rPr>
          <w:sz w:val="23"/>
          <w:szCs w:val="23"/>
        </w:rPr>
        <w:t>(4), 489–509.</w:t>
      </w:r>
    </w:p>
    <w:p w14:paraId="6E17DDB0"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Underwood, M. K., &amp; Rosen, L. H. (2009). Gender, peer relations, and challenges for girlfriends and boyfriends coming together in adolescence. </w:t>
      </w:r>
      <w:r w:rsidRPr="00D85A9B">
        <w:rPr>
          <w:i/>
          <w:iCs/>
          <w:sz w:val="23"/>
          <w:szCs w:val="23"/>
        </w:rPr>
        <w:t>Psychology of Women Quarterly, 33</w:t>
      </w:r>
      <w:r w:rsidRPr="00D85A9B">
        <w:rPr>
          <w:sz w:val="23"/>
          <w:szCs w:val="23"/>
        </w:rPr>
        <w:t>(1), 16–20.</w:t>
      </w:r>
    </w:p>
  </w:endnote>
  <w:endnote w:id="34">
    <w:p w14:paraId="24A0AA1E" w14:textId="3397561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Renold, E. (2003), see note 32.</w:t>
      </w:r>
    </w:p>
    <w:p w14:paraId="42AAFA12" w14:textId="77777777" w:rsidR="004D1500" w:rsidRPr="00D85A9B" w:rsidRDefault="004D1500" w:rsidP="008A1661">
      <w:pPr>
        <w:pStyle w:val="Endnotes"/>
        <w:spacing w:after="120" w:line="214" w:lineRule="auto"/>
        <w:ind w:firstLine="0"/>
        <w:rPr>
          <w:sz w:val="23"/>
          <w:szCs w:val="23"/>
        </w:rPr>
      </w:pPr>
      <w:r w:rsidRPr="00D85A9B">
        <w:rPr>
          <w:sz w:val="23"/>
          <w:szCs w:val="23"/>
        </w:rPr>
        <w:t>Renold, E. (2006), see note 32.</w:t>
      </w:r>
    </w:p>
    <w:p w14:paraId="34484EB8" w14:textId="77777777" w:rsidR="004D1500" w:rsidRPr="00D85A9B" w:rsidRDefault="004D1500" w:rsidP="008A1661">
      <w:pPr>
        <w:pStyle w:val="Endnotes"/>
        <w:spacing w:after="120" w:line="214" w:lineRule="auto"/>
        <w:ind w:firstLine="0"/>
        <w:rPr>
          <w:sz w:val="23"/>
          <w:szCs w:val="23"/>
        </w:rPr>
      </w:pPr>
      <w:r w:rsidRPr="00D85A9B">
        <w:rPr>
          <w:sz w:val="23"/>
          <w:szCs w:val="23"/>
        </w:rPr>
        <w:t>Underwood, M. K., &amp; Rosen, L. H. (2009), see note 32.</w:t>
      </w:r>
    </w:p>
  </w:endnote>
  <w:endnote w:id="35">
    <w:p w14:paraId="5500BBF0" w14:textId="4FCDB33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Carver, K., Joyner, K., &amp; </w:t>
      </w:r>
      <w:r w:rsidRPr="00D85A9B">
        <w:rPr>
          <w:sz w:val="23"/>
          <w:szCs w:val="23"/>
        </w:rPr>
        <w:t>Udry, J. R. (2003), see note 31.</w:t>
      </w:r>
    </w:p>
    <w:p w14:paraId="1836D0E3"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Furman, W., Brown, B. B., &amp; Feiring, C. (1999). </w:t>
      </w:r>
      <w:r w:rsidRPr="00D85A9B">
        <w:rPr>
          <w:i/>
          <w:iCs/>
          <w:sz w:val="23"/>
          <w:szCs w:val="23"/>
        </w:rPr>
        <w:t>The development of romantic relationships in adolescence</w:t>
      </w:r>
      <w:r w:rsidRPr="00D85A9B">
        <w:rPr>
          <w:sz w:val="23"/>
          <w:szCs w:val="23"/>
        </w:rPr>
        <w:t>. Cambridge University Press.</w:t>
      </w:r>
    </w:p>
    <w:p w14:paraId="09F8611F"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Meier, A., &amp; Allen, G. (2009). Romantic relationships from adolescence to young adulthood: Evidence from the National Longitudinal Study of Adolescent Health. </w:t>
      </w:r>
      <w:r w:rsidRPr="00D85A9B">
        <w:rPr>
          <w:i/>
          <w:iCs/>
          <w:sz w:val="23"/>
          <w:szCs w:val="23"/>
        </w:rPr>
        <w:t>The Sociological Quarterly, 50</w:t>
      </w:r>
      <w:r w:rsidRPr="00D85A9B">
        <w:rPr>
          <w:sz w:val="23"/>
          <w:szCs w:val="23"/>
        </w:rPr>
        <w:t>(2), 308–335.</w:t>
      </w:r>
    </w:p>
  </w:endnote>
  <w:endnote w:id="36">
    <w:p w14:paraId="18B28EC6" w14:textId="216184E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Carver, K., Joyner, K., &amp; </w:t>
      </w:r>
      <w:r w:rsidRPr="00D85A9B">
        <w:rPr>
          <w:sz w:val="23"/>
          <w:szCs w:val="23"/>
        </w:rPr>
        <w:t>Udry, J. R. (2003), see note 31.</w:t>
      </w:r>
    </w:p>
    <w:p w14:paraId="151BF15D"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Connolly, J., Furman, W., &amp; Konarski, R. (2000), see note 30. </w:t>
      </w:r>
    </w:p>
    <w:p w14:paraId="6C072F6F"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Power, J., Amos, R., Leonard, W., &amp; Rosenberg, S. (2022). </w:t>
      </w:r>
      <w:r w:rsidRPr="00D85A9B">
        <w:rPr>
          <w:i/>
          <w:iCs/>
          <w:sz w:val="23"/>
          <w:szCs w:val="23"/>
        </w:rPr>
        <w:t>Private lives 3: The health and wellbeing of LGBTIQ people in Australia</w:t>
      </w:r>
      <w:r w:rsidRPr="00D85A9B">
        <w:rPr>
          <w:sz w:val="23"/>
          <w:szCs w:val="23"/>
        </w:rPr>
        <w:t>. Australian Research Centre in Sex, Health and Society, La Trobe University</w:t>
      </w:r>
    </w:p>
  </w:endnote>
  <w:endnote w:id="37">
    <w:p w14:paraId="6AB3AD6F" w14:textId="35333FD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Carver, K., Joyner, K., &amp; </w:t>
      </w:r>
      <w:r w:rsidRPr="00D85A9B">
        <w:rPr>
          <w:sz w:val="23"/>
          <w:szCs w:val="23"/>
        </w:rPr>
        <w:t>Udry, J. R. (2003), see note 31.</w:t>
      </w:r>
    </w:p>
    <w:p w14:paraId="0A115BC3"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Connolly, J., Furman, W., &amp; Konarski, R. (2000), see note 30. </w:t>
      </w:r>
    </w:p>
    <w:p w14:paraId="56F9F28C" w14:textId="77777777" w:rsidR="004D1500" w:rsidRPr="00D85A9B" w:rsidRDefault="004D1500" w:rsidP="008A1661">
      <w:pPr>
        <w:pStyle w:val="Endnotes"/>
        <w:spacing w:after="120" w:line="214" w:lineRule="auto"/>
        <w:ind w:firstLine="0"/>
        <w:rPr>
          <w:sz w:val="23"/>
          <w:szCs w:val="23"/>
        </w:rPr>
      </w:pPr>
      <w:r w:rsidRPr="00D85A9B">
        <w:rPr>
          <w:sz w:val="23"/>
          <w:szCs w:val="23"/>
        </w:rPr>
        <w:t>Power, J., Amos, R., Leonard, W., &amp; Rosenberg, S. (2022), see note 35.</w:t>
      </w:r>
    </w:p>
  </w:endnote>
  <w:endnote w:id="38">
    <w:p w14:paraId="4DDAD33A" w14:textId="0A2428D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rStyle w:val="Strong"/>
          <w:rFonts w:ascii="Roboto" w:eastAsiaTheme="majorEastAsia" w:hAnsi="Roboto"/>
          <w:b w:val="0"/>
          <w:bCs w:val="0"/>
          <w:sz w:val="23"/>
          <w:szCs w:val="23"/>
        </w:rPr>
        <w:t>Hillier, L., Jones, T., Monagle, M., Overton, N., Gahan, L., Blackman, J., &amp; Mitchell, A. (2010), see note 23.</w:t>
      </w:r>
    </w:p>
  </w:endnote>
  <w:endnote w:id="39">
    <w:p w14:paraId="5EE64743" w14:textId="283F99D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Callander, D., Wiggins, J., Rosenberg, S., Cornelisse, V., Duck-Chong, E., Holt, M., ... &amp; Cook, T. (2019). </w:t>
      </w:r>
      <w:r w:rsidRPr="00D85A9B">
        <w:rPr>
          <w:i/>
          <w:iCs/>
          <w:sz w:val="23"/>
          <w:szCs w:val="23"/>
        </w:rPr>
        <w:t>The 2018 Australian Trans and Gender Diverse Sexual Health Survey: Report of findings</w:t>
      </w:r>
      <w:r w:rsidRPr="00D85A9B">
        <w:rPr>
          <w:sz w:val="23"/>
          <w:szCs w:val="23"/>
        </w:rPr>
        <w:t>. UNSW.</w:t>
      </w:r>
    </w:p>
  </w:endnote>
  <w:endnote w:id="40">
    <w:p w14:paraId="4348C475" w14:textId="10FA49B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Power, J., Kauer, S., Fisher, C. M., Bellamy, R., &amp; Bourne, A. (2022). </w:t>
      </w:r>
      <w:r w:rsidRPr="00D85A9B">
        <w:rPr>
          <w:i/>
          <w:iCs/>
          <w:sz w:val="23"/>
          <w:szCs w:val="23"/>
        </w:rPr>
        <w:t>Writing themselves in 4: The health and wellbeing of LGBTQA+ young people in Australia</w:t>
      </w:r>
      <w:r w:rsidRPr="00D85A9B">
        <w:rPr>
          <w:sz w:val="23"/>
          <w:szCs w:val="23"/>
        </w:rPr>
        <w:t>. Australian Research Centre in Sex, Health and Society, La Trobe University.</w:t>
      </w:r>
    </w:p>
  </w:endnote>
  <w:endnote w:id="41">
    <w:p w14:paraId="59A5A4A7" w14:textId="6CEAB391"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Power, J., Kauer, S., Fisher, C. M., Bellamy, R., &amp; Bourne, A. (2022), see note 39.</w:t>
      </w:r>
    </w:p>
  </w:endnote>
  <w:endnote w:id="42">
    <w:p w14:paraId="42AA86F1" w14:textId="02F7A376" w:rsidR="004D1500" w:rsidRPr="00D85A9B" w:rsidRDefault="004D1500" w:rsidP="00563C41">
      <w:pPr>
        <w:pStyle w:val="Endnotes"/>
        <w:spacing w:after="120" w:line="214" w:lineRule="auto"/>
        <w:rPr>
          <w:i/>
          <w:iCs/>
          <w:sz w:val="23"/>
          <w:szCs w:val="23"/>
        </w:rPr>
      </w:pPr>
      <w:r w:rsidRPr="00D85A9B">
        <w:rPr>
          <w:rStyle w:val="HeaderChar"/>
          <w:sz w:val="23"/>
          <w:szCs w:val="23"/>
        </w:rPr>
        <w:endnoteRef/>
      </w:r>
      <w:r w:rsidRPr="00D85A9B">
        <w:rPr>
          <w:sz w:val="23"/>
          <w:szCs w:val="23"/>
        </w:rPr>
        <w:t xml:space="preserve"> </w:t>
      </w:r>
      <w:r w:rsidR="00D41725" w:rsidRPr="00D85A9B">
        <w:rPr>
          <w:sz w:val="23"/>
          <w:szCs w:val="23"/>
        </w:rPr>
        <w:tab/>
      </w:r>
      <w:r w:rsidRPr="00D85A9B">
        <w:rPr>
          <w:sz w:val="23"/>
          <w:szCs w:val="23"/>
        </w:rPr>
        <w:t>Power, J., Kauer, S., Fisher, C. M., Bellamy, R., &amp; Bourne, A. (2022), see note 39.</w:t>
      </w:r>
    </w:p>
  </w:endnote>
  <w:endnote w:id="43">
    <w:p w14:paraId="23079116" w14:textId="71469AF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Gómez-López, M., Viejo, C., &amp; Ortega-Ruiz, R. (2019). Well-being and romantic relationships: A systematic review in adolescence and emerging adulthood. </w:t>
      </w:r>
      <w:r w:rsidRPr="00D85A9B">
        <w:rPr>
          <w:i/>
          <w:iCs/>
          <w:sz w:val="23"/>
          <w:szCs w:val="23"/>
        </w:rPr>
        <w:t>International Journal of Environmental Research and Public Health, 16</w:t>
      </w:r>
      <w:r w:rsidRPr="00D85A9B">
        <w:rPr>
          <w:sz w:val="23"/>
          <w:szCs w:val="23"/>
        </w:rPr>
        <w:t>(13), 2415.</w:t>
      </w:r>
    </w:p>
    <w:p w14:paraId="7455C20B"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La Greca, A. M., &amp; Harrison, H. M. (2005). Adolescent peer relations, friendships, and romantic relationships: Do they predict social anxiety and depression? </w:t>
      </w:r>
      <w:r w:rsidRPr="00D85A9B">
        <w:rPr>
          <w:i/>
          <w:iCs/>
          <w:sz w:val="23"/>
          <w:szCs w:val="23"/>
        </w:rPr>
        <w:t>Journal of Clinical Child and Adolescent Psychology, 34</w:t>
      </w:r>
      <w:r w:rsidRPr="00D85A9B">
        <w:rPr>
          <w:sz w:val="23"/>
          <w:szCs w:val="23"/>
        </w:rPr>
        <w:t>(1), 49–61.</w:t>
      </w:r>
    </w:p>
    <w:p w14:paraId="19022406"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Shulman, S., &amp; Connolly, J. (2013). The challenge of romantic relationships in emerging adulthood: Reconceptualization of the field. </w:t>
      </w:r>
      <w:r w:rsidRPr="00D85A9B">
        <w:rPr>
          <w:i/>
          <w:iCs/>
          <w:sz w:val="23"/>
          <w:szCs w:val="23"/>
        </w:rPr>
        <w:t>Emerging Adulthood, 1</w:t>
      </w:r>
      <w:r w:rsidRPr="00D85A9B">
        <w:rPr>
          <w:sz w:val="23"/>
          <w:szCs w:val="23"/>
        </w:rPr>
        <w:t xml:space="preserve">(1), 27–39. </w:t>
      </w:r>
    </w:p>
  </w:endnote>
  <w:endnote w:id="44">
    <w:p w14:paraId="022CAF9C" w14:textId="3CB4D3C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noProof/>
          <w:sz w:val="23"/>
          <w:szCs w:val="23"/>
        </w:rPr>
        <w:t>Power, J., Kauer, S., Fisher, C., Bellamy, R., &amp; Bourne, A. (2022).</w:t>
      </w:r>
      <w:r w:rsidRPr="00D85A9B">
        <w:rPr>
          <w:i/>
          <w:iCs/>
          <w:noProof/>
          <w:sz w:val="23"/>
          <w:szCs w:val="23"/>
        </w:rPr>
        <w:t xml:space="preserve"> The 7th National Survey of Australian Secondary Students and Sexual Health 2021</w:t>
      </w:r>
      <w:r w:rsidRPr="00D85A9B">
        <w:rPr>
          <w:noProof/>
          <w:sz w:val="23"/>
          <w:szCs w:val="23"/>
        </w:rPr>
        <w:t xml:space="preserve"> (ARCSHS Monograph Series No. 133; p. 86). The Australian Research Centre in Sex, Health and Society, La Trobe University. </w:t>
      </w:r>
    </w:p>
  </w:endnote>
  <w:endnote w:id="45">
    <w:p w14:paraId="07599458" w14:textId="002E1B7F" w:rsidR="004D1500" w:rsidRPr="00D85A9B" w:rsidRDefault="004D1500" w:rsidP="00563C41">
      <w:pPr>
        <w:pStyle w:val="Endnotes"/>
        <w:spacing w:after="120" w:line="214" w:lineRule="auto"/>
        <w:rPr>
          <w:noProof/>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noProof/>
          <w:sz w:val="23"/>
          <w:szCs w:val="23"/>
        </w:rPr>
        <w:t>Power, J., Kauer, S., Fisher, C., Bellamy, R., &amp; Bourne, A. (2022).</w:t>
      </w:r>
      <w:r w:rsidRPr="00D85A9B">
        <w:rPr>
          <w:i/>
          <w:iCs/>
          <w:noProof/>
          <w:sz w:val="23"/>
          <w:szCs w:val="23"/>
        </w:rPr>
        <w:t xml:space="preserve"> The 7th National Survey of Australian Secondary Students and Sexual Health 2021</w:t>
      </w:r>
      <w:r w:rsidRPr="00D85A9B">
        <w:rPr>
          <w:noProof/>
          <w:sz w:val="23"/>
          <w:szCs w:val="23"/>
        </w:rPr>
        <w:t xml:space="preserve"> (ARCSHS Monograph Series No. 133; p. 11). The Australian Research Centre in Sex, Health and Society, La Trobe University.</w:t>
      </w:r>
    </w:p>
  </w:endnote>
  <w:endnote w:id="46">
    <w:p w14:paraId="129CAEF1" w14:textId="03E1773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41725" w:rsidRPr="00D85A9B">
        <w:rPr>
          <w:sz w:val="23"/>
          <w:szCs w:val="23"/>
        </w:rPr>
        <w:tab/>
      </w:r>
      <w:r w:rsidRPr="00D85A9B">
        <w:rPr>
          <w:sz w:val="23"/>
          <w:szCs w:val="23"/>
        </w:rPr>
        <w:t xml:space="preserve">Australian Bureau of Statistics. (2023, November 22). </w:t>
      </w:r>
      <w:r w:rsidRPr="00D85A9B">
        <w:rPr>
          <w:i/>
          <w:iCs/>
          <w:sz w:val="23"/>
          <w:szCs w:val="23"/>
        </w:rPr>
        <w:t>Childhood abuse, 2021–22 financial year</w:t>
      </w:r>
      <w:r w:rsidRPr="00D85A9B">
        <w:rPr>
          <w:sz w:val="23"/>
          <w:szCs w:val="23"/>
        </w:rPr>
        <w:t xml:space="preserve">. ABS. </w:t>
      </w:r>
      <w:hyperlink w:history="1">
        <w:r w:rsidRPr="00D85A9B">
          <w:rPr>
            <w:rStyle w:val="Hyperlink"/>
            <w:sz w:val="23"/>
            <w:szCs w:val="23"/>
          </w:rPr>
          <w:t>https://www.abs.gov.au/statistics/people/crime-and-justice/childhood-abuse/latest-release</w:t>
        </w:r>
      </w:hyperlink>
    </w:p>
    <w:p w14:paraId="1FF01C26" w14:textId="77777777" w:rsidR="004D1500" w:rsidRPr="00D85A9B" w:rsidRDefault="004D1500" w:rsidP="008A1661">
      <w:pPr>
        <w:pStyle w:val="Endnotes"/>
        <w:spacing w:after="120" w:line="214" w:lineRule="auto"/>
        <w:ind w:firstLine="0"/>
        <w:rPr>
          <w:sz w:val="23"/>
          <w:szCs w:val="23"/>
        </w:rPr>
      </w:pPr>
      <w:r w:rsidRPr="00D85A9B">
        <w:rPr>
          <w:sz w:val="23"/>
          <w:szCs w:val="23"/>
        </w:rPr>
        <w:t xml:space="preserve">Hill, A. et al. (2021). </w:t>
      </w:r>
      <w:r w:rsidRPr="00D85A9B">
        <w:rPr>
          <w:i/>
          <w:iCs/>
          <w:sz w:val="23"/>
          <w:szCs w:val="23"/>
        </w:rPr>
        <w:t>Writing Themselves In 4</w:t>
      </w:r>
      <w:r w:rsidRPr="00D85A9B">
        <w:rPr>
          <w:sz w:val="23"/>
          <w:szCs w:val="23"/>
        </w:rPr>
        <w:t>.</w:t>
      </w:r>
    </w:p>
    <w:p w14:paraId="5974A8C5" w14:textId="77777777" w:rsidR="004D1500" w:rsidRPr="00D85A9B" w:rsidRDefault="004D1500" w:rsidP="008A1661">
      <w:pPr>
        <w:pStyle w:val="Endnotes"/>
        <w:spacing w:after="120" w:line="214" w:lineRule="auto"/>
        <w:ind w:firstLine="0"/>
        <w:rPr>
          <w:sz w:val="23"/>
          <w:szCs w:val="23"/>
        </w:rPr>
      </w:pPr>
      <w:r w:rsidRPr="00D85A9B">
        <w:rPr>
          <w:rStyle w:val="Strong"/>
          <w:rFonts w:ascii="Roboto" w:eastAsiaTheme="majorEastAsia" w:hAnsi="Roboto"/>
          <w:b w:val="0"/>
          <w:bCs w:val="0"/>
          <w:sz w:val="23"/>
          <w:szCs w:val="23"/>
        </w:rPr>
        <w:t>Daff, E. S., McEwan, T. E., &amp; Luebbers, S. (2018).</w:t>
      </w:r>
      <w:r w:rsidRPr="00D85A9B">
        <w:rPr>
          <w:sz w:val="23"/>
          <w:szCs w:val="23"/>
        </w:rPr>
        <w:t xml:space="preserve"> Australian adolescents’ experiences of aggression and abuse by intimate partners. </w:t>
      </w:r>
      <w:r w:rsidRPr="00D85A9B">
        <w:rPr>
          <w:rStyle w:val="Emphasis"/>
          <w:rFonts w:eastAsiaTheme="majorEastAsia"/>
          <w:sz w:val="23"/>
          <w:szCs w:val="23"/>
        </w:rPr>
        <w:t>Journal of Interpersonal Violence</w:t>
      </w:r>
      <w:r w:rsidRPr="00D85A9B">
        <w:rPr>
          <w:sz w:val="23"/>
          <w:szCs w:val="23"/>
        </w:rPr>
        <w:t>, 1–24.</w:t>
      </w:r>
    </w:p>
  </w:endnote>
  <w:endnote w:id="47">
    <w:p w14:paraId="6B7B7048" w14:textId="461E70E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E1932" w:rsidRPr="00D85A9B">
        <w:rPr>
          <w:sz w:val="23"/>
          <w:szCs w:val="23"/>
        </w:rPr>
        <w:tab/>
      </w:r>
      <w:r w:rsidRPr="00D85A9B">
        <w:rPr>
          <w:sz w:val="23"/>
          <w:szCs w:val="23"/>
        </w:rPr>
        <w:t xml:space="preserve">Australian Bureau of Statistics. </w:t>
      </w:r>
      <w:r w:rsidRPr="00D85A9B">
        <w:rPr>
          <w:i/>
          <w:iCs/>
          <w:sz w:val="23"/>
          <w:szCs w:val="23"/>
        </w:rPr>
        <w:t>Personal Safety Survey, 2021–2022</w:t>
      </w:r>
      <w:r w:rsidRPr="00D85A9B">
        <w:rPr>
          <w:sz w:val="23"/>
          <w:szCs w:val="23"/>
        </w:rPr>
        <w:t xml:space="preserve">. ABS. </w:t>
      </w:r>
    </w:p>
  </w:endnote>
  <w:endnote w:id="48">
    <w:p w14:paraId="798F732A" w14:textId="18DF3C7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E1932" w:rsidRPr="00D85A9B">
        <w:rPr>
          <w:sz w:val="23"/>
          <w:szCs w:val="23"/>
        </w:rPr>
        <w:tab/>
      </w:r>
      <w:r w:rsidRPr="00D85A9B">
        <w:rPr>
          <w:sz w:val="23"/>
          <w:szCs w:val="23"/>
        </w:rPr>
        <w:t>Australian Bureau of Statistics, see note 46.</w:t>
      </w:r>
    </w:p>
  </w:endnote>
  <w:endnote w:id="49">
    <w:p w14:paraId="0F41F996" w14:textId="4019F64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E1932" w:rsidRPr="00D85A9B">
        <w:rPr>
          <w:sz w:val="23"/>
          <w:szCs w:val="23"/>
        </w:rPr>
        <w:tab/>
      </w:r>
      <w:r w:rsidRPr="00D85A9B">
        <w:rPr>
          <w:sz w:val="23"/>
          <w:szCs w:val="23"/>
        </w:rPr>
        <w:t>Longitudinal Study of Australian Children (</w:t>
      </w:r>
      <w:r w:rsidRPr="00D85A9B">
        <w:rPr>
          <w:sz w:val="23"/>
          <w:szCs w:val="23"/>
        </w:rPr>
        <w:t xml:space="preserve">LSAC). </w:t>
      </w:r>
      <w:r w:rsidRPr="00D85A9B">
        <w:rPr>
          <w:i/>
          <w:iCs/>
          <w:sz w:val="23"/>
          <w:szCs w:val="23"/>
        </w:rPr>
        <w:t xml:space="preserve">2023 Intimate partner violence among Australian 18–19-year-olds Growing Up in Australia </w:t>
      </w:r>
      <w:r w:rsidRPr="00D85A9B">
        <w:rPr>
          <w:sz w:val="23"/>
          <w:szCs w:val="23"/>
        </w:rPr>
        <w:t>(</w:t>
      </w:r>
      <w:r w:rsidRPr="00D85A9B">
        <w:rPr>
          <w:i/>
          <w:iCs/>
          <w:sz w:val="23"/>
          <w:szCs w:val="23"/>
        </w:rPr>
        <w:t>Snapshot Series</w:t>
      </w:r>
      <w:r w:rsidRPr="00D85A9B">
        <w:rPr>
          <w:sz w:val="23"/>
          <w:szCs w:val="23"/>
        </w:rPr>
        <w:t xml:space="preserve"> – Issue 11).</w:t>
      </w:r>
    </w:p>
  </w:endnote>
  <w:endnote w:id="50">
    <w:p w14:paraId="7110B58C" w14:textId="3F0A927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3E1932" w:rsidRPr="00D85A9B">
        <w:rPr>
          <w:sz w:val="23"/>
          <w:szCs w:val="23"/>
        </w:rPr>
        <w:tab/>
      </w:r>
      <w:r w:rsidRPr="00D85A9B">
        <w:rPr>
          <w:noProof/>
          <w:sz w:val="23"/>
          <w:szCs w:val="23"/>
        </w:rPr>
        <w:t>Power, J., Kauer, S., Fisher, C., Bellamy, R., &amp; Bourne, A.</w:t>
      </w:r>
      <w:r w:rsidRPr="00D85A9B">
        <w:rPr>
          <w:sz w:val="23"/>
          <w:szCs w:val="23"/>
        </w:rPr>
        <w:t xml:space="preserve"> (2022). </w:t>
      </w:r>
      <w:r w:rsidRPr="00D85A9B">
        <w:rPr>
          <w:i/>
          <w:iCs/>
          <w:noProof/>
          <w:sz w:val="23"/>
          <w:szCs w:val="23"/>
        </w:rPr>
        <w:t>The 7th National Survey of Australian Secondary Students and Sexual Health 2021</w:t>
      </w:r>
      <w:r w:rsidRPr="00D85A9B">
        <w:rPr>
          <w:noProof/>
          <w:sz w:val="23"/>
          <w:szCs w:val="23"/>
        </w:rPr>
        <w:t xml:space="preserve"> (ARCSHS Monograph Series No. 133; p. 77). The Australian Research Centre in Sex, Health and Society, La Trobe University.</w:t>
      </w:r>
    </w:p>
  </w:endnote>
  <w:endnote w:id="51">
    <w:p w14:paraId="2911B5B2" w14:textId="2B6FA24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576CB8" w:rsidRPr="00D85A9B">
        <w:rPr>
          <w:sz w:val="23"/>
          <w:szCs w:val="23"/>
        </w:rPr>
        <w:tab/>
      </w:r>
      <w:r w:rsidRPr="00D85A9B">
        <w:rPr>
          <w:noProof/>
          <w:sz w:val="23"/>
          <w:szCs w:val="23"/>
        </w:rPr>
        <w:t>Power, J., Kauer, S., Fisher, C., Bellamy, R., &amp; Bourne, A</w:t>
      </w:r>
      <w:r w:rsidRPr="00D85A9B">
        <w:rPr>
          <w:sz w:val="23"/>
          <w:szCs w:val="23"/>
        </w:rPr>
        <w:t xml:space="preserve"> (2022), see note 49.</w:t>
      </w:r>
    </w:p>
  </w:endnote>
  <w:endnote w:id="52">
    <w:p w14:paraId="27742E7B" w14:textId="74B24500"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576CB8" w:rsidRPr="00D85A9B">
        <w:rPr>
          <w:sz w:val="23"/>
          <w:szCs w:val="23"/>
        </w:rPr>
        <w:tab/>
      </w:r>
      <w:r w:rsidRPr="00D85A9B">
        <w:rPr>
          <w:noProof/>
          <w:sz w:val="23"/>
          <w:szCs w:val="23"/>
        </w:rPr>
        <w:t>Power, J., Kauer, S., Fisher, C., Bellamy, R., &amp; Bourne, A</w:t>
      </w:r>
      <w:r w:rsidRPr="00D85A9B">
        <w:rPr>
          <w:sz w:val="23"/>
          <w:szCs w:val="23"/>
        </w:rPr>
        <w:t xml:space="preserve"> (2022), see note 49.</w:t>
      </w:r>
    </w:p>
  </w:endnote>
  <w:endnote w:id="53">
    <w:p w14:paraId="2F27DCBB" w14:textId="760E19D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576CB8" w:rsidRPr="00D85A9B">
        <w:rPr>
          <w:sz w:val="23"/>
          <w:szCs w:val="23"/>
        </w:rPr>
        <w:tab/>
      </w:r>
      <w:r w:rsidRPr="00D85A9B">
        <w:rPr>
          <w:sz w:val="23"/>
          <w:szCs w:val="23"/>
        </w:rPr>
        <w:t xml:space="preserve">Ullman, J. (2021). </w:t>
      </w:r>
      <w:r w:rsidRPr="00D85A9B">
        <w:rPr>
          <w:i/>
          <w:iCs/>
          <w:sz w:val="23"/>
          <w:szCs w:val="23"/>
        </w:rPr>
        <w:t>Free2Be … yet?: The second national study of Australian high school students who identify as gender and sexuality diverse.</w:t>
      </w:r>
    </w:p>
  </w:endnote>
  <w:endnote w:id="54">
    <w:p w14:paraId="274BC6AE" w14:textId="16015AB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576CB8" w:rsidRPr="00D85A9B">
        <w:rPr>
          <w:sz w:val="23"/>
          <w:szCs w:val="23"/>
        </w:rPr>
        <w:tab/>
      </w:r>
      <w:r w:rsidRPr="00D85A9B">
        <w:rPr>
          <w:sz w:val="23"/>
          <w:szCs w:val="23"/>
        </w:rPr>
        <w:t>Ullman, J. (2021), see note 52.</w:t>
      </w:r>
    </w:p>
  </w:endnote>
  <w:endnote w:id="55">
    <w:p w14:paraId="2111C566" w14:textId="4D01043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576CB8" w:rsidRPr="00D85A9B">
        <w:rPr>
          <w:sz w:val="23"/>
          <w:szCs w:val="23"/>
        </w:rPr>
        <w:tab/>
      </w:r>
      <w:r w:rsidRPr="00D85A9B">
        <w:rPr>
          <w:sz w:val="23"/>
          <w:szCs w:val="23"/>
        </w:rPr>
        <w:t xml:space="preserve">Hill, A. O., et al. (2021). </w:t>
      </w:r>
      <w:r w:rsidRPr="00D85A9B">
        <w:rPr>
          <w:i/>
          <w:iCs/>
          <w:sz w:val="23"/>
          <w:szCs w:val="23"/>
        </w:rPr>
        <w:t>Writing Themselves In 4.</w:t>
      </w:r>
    </w:p>
  </w:endnote>
  <w:endnote w:id="56">
    <w:p w14:paraId="41CE98C5" w14:textId="3B0B18C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576CB8" w:rsidRPr="00D85A9B">
        <w:rPr>
          <w:sz w:val="23"/>
          <w:szCs w:val="23"/>
        </w:rPr>
        <w:tab/>
      </w:r>
      <w:r w:rsidRPr="00D85A9B">
        <w:rPr>
          <w:sz w:val="23"/>
          <w:szCs w:val="23"/>
        </w:rPr>
        <w:t xml:space="preserve">Coumarelos, C., Weeks, N., Bernstein, S., Roberts, N., Honey, N., Minter, K., &amp; Carlisle, E. (2023). </w:t>
      </w:r>
      <w:r w:rsidRPr="00D85A9B">
        <w:rPr>
          <w:i/>
          <w:iCs/>
          <w:sz w:val="23"/>
          <w:szCs w:val="23"/>
        </w:rPr>
        <w:t>Attitudes matter: The 2021 National Community Attitudes towards Violence against Women Survey (NCAS), Findings for Australia.</w:t>
      </w:r>
      <w:r w:rsidRPr="00D85A9B">
        <w:rPr>
          <w:sz w:val="23"/>
          <w:szCs w:val="23"/>
        </w:rPr>
        <w:t xml:space="preserve"> (Research report, 02/2023). ANROWS. </w:t>
      </w:r>
      <w:hyperlink r:id="rId10" w:history="1">
        <w:r w:rsidRPr="00D85A9B">
          <w:rPr>
            <w:rStyle w:val="Hyperlink"/>
            <w:sz w:val="23"/>
            <w:szCs w:val="23"/>
          </w:rPr>
          <w:t>https://www.anrows.org.au/publication/attitudes-matter-the-2021-national-community-attitudes-towards-violence-against-women-survey-ncas-findings-for-australia/</w:t>
        </w:r>
      </w:hyperlink>
    </w:p>
  </w:endnote>
  <w:endnote w:id="57">
    <w:p w14:paraId="2DC798AE" w14:textId="410814AB"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ED1351" w:rsidRPr="00D85A9B">
        <w:rPr>
          <w:sz w:val="23"/>
          <w:szCs w:val="23"/>
        </w:rPr>
        <w:tab/>
      </w:r>
      <w:r w:rsidRPr="00D85A9B">
        <w:rPr>
          <w:sz w:val="23"/>
          <w:szCs w:val="23"/>
        </w:rPr>
        <w:t xml:space="preserve">Coumarelos, C., Roberts, N., Weeks, N., &amp; Rasmussen, V. (2023). </w:t>
      </w:r>
      <w:r w:rsidRPr="00D85A9B">
        <w:rPr>
          <w:i/>
          <w:sz w:val="23"/>
          <w:szCs w:val="23"/>
        </w:rPr>
        <w:t>Attitudes matter: The 2021 National Community Attitudes towards Violence against Women Survey (NCAS), Findings for young Australians</w:t>
      </w:r>
      <w:r w:rsidRPr="00D85A9B">
        <w:rPr>
          <w:i/>
          <w:iCs/>
          <w:sz w:val="23"/>
          <w:szCs w:val="23"/>
        </w:rPr>
        <w:t>.</w:t>
      </w:r>
      <w:r w:rsidRPr="00D85A9B">
        <w:rPr>
          <w:sz w:val="23"/>
          <w:szCs w:val="23"/>
        </w:rPr>
        <w:t xml:space="preserve"> (Research report, 08/2023). ANROWS. </w:t>
      </w:r>
      <w:hyperlink r:id="rId11" w:history="1">
        <w:r w:rsidRPr="00D85A9B">
          <w:rPr>
            <w:rStyle w:val="Hyperlink"/>
            <w:sz w:val="23"/>
            <w:szCs w:val="23"/>
          </w:rPr>
          <w:t>https://www.ncas.au/ncas-2021-findings-for-young-australians</w:t>
        </w:r>
      </w:hyperlink>
      <w:r w:rsidRPr="00D85A9B">
        <w:rPr>
          <w:sz w:val="23"/>
          <w:szCs w:val="23"/>
        </w:rPr>
        <w:t xml:space="preserve"> </w:t>
      </w:r>
    </w:p>
  </w:endnote>
  <w:endnote w:id="58">
    <w:p w14:paraId="5D392041" w14:textId="6E0DCD7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D1351" w:rsidRPr="00D85A9B">
        <w:rPr>
          <w:sz w:val="23"/>
          <w:szCs w:val="23"/>
        </w:rPr>
        <w:tab/>
      </w:r>
      <w:r w:rsidRPr="00D85A9B">
        <w:rPr>
          <w:sz w:val="23"/>
          <w:szCs w:val="23"/>
        </w:rPr>
        <w:t xml:space="preserve">Amos, N., Lim, G., Buckingham, P., Lin, A., </w:t>
      </w:r>
      <w:r w:rsidRPr="00D85A9B">
        <w:rPr>
          <w:sz w:val="23"/>
          <w:szCs w:val="23"/>
        </w:rPr>
        <w:t xml:space="preserve">Liddelow-Hunt, S., Mooney-Somers, J., &amp; Bourne, A. (2023). </w:t>
      </w:r>
      <w:r w:rsidRPr="00D85A9B">
        <w:rPr>
          <w:i/>
          <w:iCs/>
          <w:sz w:val="23"/>
          <w:szCs w:val="23"/>
        </w:rPr>
        <w:t>Rainbow realities: In-depth analyses of large-scale LGBTQA+ health and wellbeing data in Australia</w:t>
      </w:r>
      <w:r w:rsidRPr="00D85A9B">
        <w:rPr>
          <w:sz w:val="23"/>
          <w:szCs w:val="23"/>
        </w:rPr>
        <w:t xml:space="preserve"> (p. 94). La Trobe University. </w:t>
      </w:r>
    </w:p>
  </w:endnote>
  <w:endnote w:id="59">
    <w:p w14:paraId="73973DAB" w14:textId="22905D4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D1351" w:rsidRPr="00D85A9B">
        <w:rPr>
          <w:sz w:val="23"/>
          <w:szCs w:val="23"/>
        </w:rPr>
        <w:tab/>
      </w:r>
      <w:r w:rsidRPr="00D85A9B">
        <w:rPr>
          <w:sz w:val="23"/>
          <w:szCs w:val="23"/>
        </w:rPr>
        <w:t xml:space="preserve">Amos, N., et al. (2023), see note 57. </w:t>
      </w:r>
    </w:p>
  </w:endnote>
  <w:endnote w:id="60">
    <w:p w14:paraId="0C25C415" w14:textId="1756F07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D1351" w:rsidRPr="00D85A9B">
        <w:rPr>
          <w:sz w:val="23"/>
          <w:szCs w:val="23"/>
        </w:rPr>
        <w:tab/>
      </w:r>
      <w:r w:rsidRPr="00D85A9B">
        <w:rPr>
          <w:sz w:val="23"/>
          <w:szCs w:val="23"/>
        </w:rPr>
        <w:t xml:space="preserve">The Men’s Project, &amp; Flood, M. (2024). </w:t>
      </w:r>
      <w:r w:rsidRPr="00D85A9B">
        <w:rPr>
          <w:i/>
          <w:iCs/>
          <w:sz w:val="23"/>
          <w:szCs w:val="23"/>
        </w:rPr>
        <w:t xml:space="preserve">The Man Box 2024: Re-examining what it means to be a man in Australia </w:t>
      </w:r>
      <w:r w:rsidRPr="00D85A9B">
        <w:rPr>
          <w:sz w:val="23"/>
          <w:szCs w:val="23"/>
        </w:rPr>
        <w:t xml:space="preserve">(p. 12). Jesuit Social Services. </w:t>
      </w:r>
    </w:p>
  </w:endnote>
  <w:endnote w:id="61">
    <w:p w14:paraId="1FE00FF4" w14:textId="7D53DB3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D1351" w:rsidRPr="00D85A9B">
        <w:rPr>
          <w:sz w:val="23"/>
          <w:szCs w:val="23"/>
        </w:rPr>
        <w:tab/>
      </w:r>
      <w:r w:rsidRPr="00D85A9B">
        <w:rPr>
          <w:sz w:val="23"/>
          <w:szCs w:val="23"/>
        </w:rPr>
        <w:t>The Men’s Project, &amp; Flood, M. (2024), see note 24</w:t>
      </w:r>
      <w:r w:rsidRPr="00D85A9B">
        <w:rPr>
          <w:i/>
          <w:iCs/>
          <w:sz w:val="23"/>
          <w:szCs w:val="23"/>
        </w:rPr>
        <w:t>.</w:t>
      </w:r>
    </w:p>
  </w:endnote>
  <w:endnote w:id="62">
    <w:p w14:paraId="71D0D190" w14:textId="150EEDC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D1351" w:rsidRPr="00D85A9B">
        <w:rPr>
          <w:sz w:val="23"/>
          <w:szCs w:val="23"/>
        </w:rPr>
        <w:tab/>
      </w:r>
      <w:r w:rsidRPr="00D85A9B">
        <w:rPr>
          <w:sz w:val="23"/>
          <w:szCs w:val="23"/>
        </w:rPr>
        <w:t>The Men’s Project, &amp; Flood, M. (2024), see note 24</w:t>
      </w:r>
      <w:r w:rsidRPr="00D85A9B">
        <w:rPr>
          <w:i/>
          <w:iCs/>
          <w:sz w:val="23"/>
          <w:szCs w:val="23"/>
        </w:rPr>
        <w:t>.</w:t>
      </w:r>
    </w:p>
  </w:endnote>
  <w:endnote w:id="63">
    <w:p w14:paraId="73047DEA" w14:textId="3CEBD395" w:rsidR="004D1500" w:rsidRPr="00D85A9B" w:rsidRDefault="004D1500" w:rsidP="00563C41">
      <w:pPr>
        <w:pStyle w:val="Endnotes"/>
        <w:spacing w:after="120" w:line="214" w:lineRule="auto"/>
        <w:rPr>
          <w:sz w:val="23"/>
          <w:szCs w:val="23"/>
        </w:rPr>
      </w:pPr>
      <w:r w:rsidRPr="00D85A9B">
        <w:rPr>
          <w:rStyle w:val="EndnoteReference"/>
          <w:color w:val="002060"/>
          <w:sz w:val="23"/>
          <w:szCs w:val="23"/>
          <w:vertAlign w:val="baseline"/>
        </w:rPr>
        <w:endnoteRef/>
      </w:r>
      <w:r w:rsidRPr="00D85A9B">
        <w:rPr>
          <w:color w:val="002060"/>
          <w:sz w:val="23"/>
          <w:szCs w:val="23"/>
        </w:rPr>
        <w:t xml:space="preserve"> </w:t>
      </w:r>
      <w:r w:rsidR="009A1FA2" w:rsidRPr="00D85A9B">
        <w:rPr>
          <w:color w:val="002060"/>
          <w:sz w:val="23"/>
          <w:szCs w:val="23"/>
        </w:rPr>
        <w:tab/>
      </w:r>
      <w:r w:rsidRPr="00D85A9B">
        <w:rPr>
          <w:color w:val="002060"/>
          <w:sz w:val="23"/>
          <w:szCs w:val="23"/>
        </w:rPr>
        <w:t>The Men’s Project 2025, The Adolescent Man Box: Findings  from a survey with Australian adolescents aged 14-18 years - Executive Summary. Jesuit Social Services: Melbourne</w:t>
      </w:r>
    </w:p>
  </w:endnote>
  <w:endnote w:id="64">
    <w:p w14:paraId="0E5F7CE9" w14:textId="3E20C46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A1FA2" w:rsidRPr="00D85A9B">
        <w:rPr>
          <w:sz w:val="23"/>
          <w:szCs w:val="23"/>
        </w:rPr>
        <w:tab/>
      </w:r>
      <w:r w:rsidRPr="00D85A9B">
        <w:rPr>
          <w:sz w:val="23"/>
          <w:szCs w:val="23"/>
        </w:rPr>
        <w:t>The Men’s Project, 2025 (see note 4)</w:t>
      </w:r>
    </w:p>
  </w:endnote>
  <w:endnote w:id="65">
    <w:p w14:paraId="0047B6B6" w14:textId="5F7F86AD" w:rsidR="004D1500" w:rsidRPr="00D85A9B" w:rsidRDefault="004D1500" w:rsidP="00563C41">
      <w:pPr>
        <w:pStyle w:val="Endnotes"/>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Our Watch. (Unpublished). </w:t>
      </w:r>
      <w:r w:rsidRPr="00D85A9B">
        <w:rPr>
          <w:i/>
          <w:iCs/>
          <w:sz w:val="23"/>
          <w:szCs w:val="23"/>
        </w:rPr>
        <w:t>The Line – Campaign evaluation</w:t>
      </w:r>
      <w:r w:rsidRPr="00D85A9B">
        <w:rPr>
          <w:sz w:val="23"/>
          <w:szCs w:val="23"/>
        </w:rPr>
        <w:t>, April.</w:t>
      </w:r>
    </w:p>
  </w:endnote>
  <w:endnote w:id="66">
    <w:p w14:paraId="5A392335" w14:textId="6996F69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Coumarelos, C., Roberts, N., Weeks, N., &amp; Rasmussen, V. (2023). </w:t>
      </w:r>
      <w:r w:rsidRPr="00D85A9B">
        <w:rPr>
          <w:i/>
          <w:iCs/>
          <w:sz w:val="23"/>
          <w:szCs w:val="23"/>
        </w:rPr>
        <w:t>Attitudes matter: The 2021 National Community Attitudes towards Violence against Women Survey (NCAS), Findings for young Australians</w:t>
      </w:r>
      <w:r w:rsidRPr="00D85A9B">
        <w:rPr>
          <w:sz w:val="23"/>
          <w:szCs w:val="23"/>
        </w:rPr>
        <w:t xml:space="preserve">. ANROWS. </w:t>
      </w:r>
    </w:p>
  </w:endnote>
  <w:endnote w:id="67">
    <w:p w14:paraId="5D087FD8" w14:textId="5506311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Coumarelos, C., Roberts, N., Weeks, N., &amp; Rasmussen, V. (2023), see note 63. </w:t>
      </w:r>
    </w:p>
  </w:endnote>
  <w:endnote w:id="68">
    <w:p w14:paraId="2A1D76A9" w14:textId="092E6C8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Hunehäll Berndtsson, K., &amp; Odenbring, Y. (2021). They don’t even think about what the girl might think about it: Students’ views on sexting, gender inequalities and power relations in school. </w:t>
      </w:r>
      <w:r w:rsidRPr="00D85A9B">
        <w:rPr>
          <w:i/>
          <w:iCs/>
          <w:sz w:val="23"/>
          <w:szCs w:val="23"/>
        </w:rPr>
        <w:t>Journal of Gender Studies</w:t>
      </w:r>
      <w:r w:rsidRPr="00D85A9B">
        <w:rPr>
          <w:sz w:val="23"/>
          <w:szCs w:val="23"/>
        </w:rPr>
        <w:t xml:space="preserve">, </w:t>
      </w:r>
      <w:r w:rsidRPr="00D85A9B">
        <w:rPr>
          <w:i/>
          <w:iCs/>
          <w:sz w:val="23"/>
          <w:szCs w:val="23"/>
        </w:rPr>
        <w:t>30</w:t>
      </w:r>
      <w:r w:rsidRPr="00D85A9B">
        <w:rPr>
          <w:sz w:val="23"/>
          <w:szCs w:val="23"/>
        </w:rPr>
        <w:t xml:space="preserve">(8), 879–891. </w:t>
      </w:r>
    </w:p>
  </w:endnote>
  <w:endnote w:id="69">
    <w:p w14:paraId="475DE82B" w14:textId="76ADEB7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Hunehäll Berndtsson, K., &amp; Odenbring, Y. (2021), see note 66.</w:t>
      </w:r>
    </w:p>
  </w:endnote>
  <w:endnote w:id="70">
    <w:p w14:paraId="78A08AFD" w14:textId="6E9F773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Coy, M., Kelly, L., Vera-Gray, F., Garner, M., &amp; </w:t>
      </w:r>
      <w:r w:rsidRPr="00D85A9B">
        <w:rPr>
          <w:sz w:val="23"/>
          <w:szCs w:val="23"/>
        </w:rPr>
        <w:t xml:space="preserve">Kanyeredzi, A. (2016). From ‘no means no’ to ‘an enthusiastic yes’: Changing the discourse on sexual consent through sex and relationships education. In </w:t>
      </w:r>
      <w:r w:rsidRPr="00D85A9B">
        <w:rPr>
          <w:color w:val="002060"/>
          <w:sz w:val="23"/>
          <w:szCs w:val="23"/>
        </w:rPr>
        <w:t xml:space="preserve">V. Sundaram &amp; H. Sauntson (Eds.), </w:t>
      </w:r>
      <w:r w:rsidRPr="00D85A9B">
        <w:rPr>
          <w:i/>
          <w:iCs/>
          <w:sz w:val="23"/>
          <w:szCs w:val="23"/>
        </w:rPr>
        <w:t>Global perspectives and key debates in sex and relationships education: Addressing issues of gender, sexuality, plurality and power</w:t>
      </w:r>
      <w:r w:rsidRPr="00D85A9B">
        <w:rPr>
          <w:sz w:val="23"/>
          <w:szCs w:val="23"/>
        </w:rPr>
        <w:t xml:space="preserve"> (pp. 84–99). Springer.</w:t>
      </w:r>
    </w:p>
  </w:endnote>
  <w:endnote w:id="71">
    <w:p w14:paraId="42011627" w14:textId="4422303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Coumarelos, C., Roberts, N., Weeks, N., &amp; Rasmussen, V. (2023), see note 63. </w:t>
      </w:r>
    </w:p>
  </w:endnote>
  <w:endnote w:id="72">
    <w:p w14:paraId="3EBBB4F4" w14:textId="0A323B8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Hunehäll Berndtsson, K., &amp; Odenbring, Y. (2021), see note 66.</w:t>
      </w:r>
    </w:p>
  </w:endnote>
  <w:endnote w:id="73">
    <w:p w14:paraId="4219C5DD" w14:textId="1AA6C076"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b/>
          <w:bCs/>
          <w:sz w:val="23"/>
          <w:szCs w:val="23"/>
        </w:rPr>
        <w:t xml:space="preserve"> </w:t>
      </w:r>
      <w:r w:rsidR="00D344A3" w:rsidRPr="00D85A9B">
        <w:rPr>
          <w:b/>
          <w:bCs/>
          <w:sz w:val="23"/>
          <w:szCs w:val="23"/>
        </w:rPr>
        <w:tab/>
      </w:r>
      <w:r w:rsidRPr="00D85A9B">
        <w:rPr>
          <w:sz w:val="23"/>
          <w:szCs w:val="23"/>
        </w:rPr>
        <w:t xml:space="preserve">Coumarelos, C., Roberts, N., Weeks, N., &amp; Rasmussen, V. (2023), see note 63. </w:t>
      </w:r>
    </w:p>
    <w:p w14:paraId="71C8853A" w14:textId="77777777" w:rsidR="004D1500" w:rsidRPr="00D85A9B" w:rsidRDefault="004D1500" w:rsidP="0093658C">
      <w:pPr>
        <w:pStyle w:val="Endnotes"/>
        <w:spacing w:after="120" w:line="214" w:lineRule="auto"/>
        <w:ind w:firstLine="0"/>
        <w:rPr>
          <w:sz w:val="23"/>
          <w:szCs w:val="23"/>
        </w:rPr>
      </w:pPr>
      <w:r w:rsidRPr="00D85A9B">
        <w:rPr>
          <w:sz w:val="23"/>
          <w:szCs w:val="23"/>
        </w:rPr>
        <w:t>Coy, M., Kelly, L., Vera-Gray, F., Garner, M., &amp; Kanyeredzi, A. (2016), see note 68.</w:t>
      </w:r>
    </w:p>
    <w:p w14:paraId="34ABE906"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Politoff, V., Crabbe, M., Honey, N., Mannix, S., Mickle, J., Morgan, J., &amp; Ward, A. (2019). </w:t>
      </w:r>
      <w:r w:rsidRPr="00D85A9B">
        <w:rPr>
          <w:i/>
          <w:iCs/>
          <w:sz w:val="23"/>
          <w:szCs w:val="23"/>
        </w:rPr>
        <w:t>Young Australians’ attitudes to violence against women and gender equality: Findings from the 2017 National Community Attitudes towards Violence against Women Survey</w:t>
      </w:r>
      <w:r w:rsidRPr="00D85A9B">
        <w:rPr>
          <w:sz w:val="23"/>
          <w:szCs w:val="23"/>
        </w:rPr>
        <w:t xml:space="preserve"> (NCAS) (ANROWS Insights, Issue 01/2019). ANROWS.</w:t>
      </w:r>
    </w:p>
  </w:endnote>
  <w:endnote w:id="74">
    <w:p w14:paraId="421754AF" w14:textId="0525EAA0" w:rsidR="004D1500" w:rsidRPr="00D85A9B" w:rsidRDefault="004D1500" w:rsidP="00563C41">
      <w:pPr>
        <w:pStyle w:val="Endnotes"/>
        <w:spacing w:after="120" w:line="214" w:lineRule="auto"/>
        <w:rPr>
          <w:sz w:val="23"/>
          <w:szCs w:val="23"/>
        </w:rPr>
      </w:pPr>
      <w:r w:rsidRPr="00D85A9B">
        <w:rPr>
          <w:rStyle w:val="Strong1"/>
          <w:b w:val="0"/>
          <w:bCs w:val="0"/>
          <w:i/>
          <w:iCs/>
          <w:sz w:val="23"/>
          <w:szCs w:val="23"/>
        </w:rPr>
        <w:endnoteRef/>
      </w:r>
      <w:r w:rsidRPr="00D85A9B">
        <w:rPr>
          <w:sz w:val="23"/>
          <w:szCs w:val="23"/>
        </w:rPr>
        <w:t xml:space="preserve"> </w:t>
      </w:r>
      <w:r w:rsidR="00D344A3" w:rsidRPr="00D85A9B">
        <w:rPr>
          <w:sz w:val="23"/>
          <w:szCs w:val="23"/>
        </w:rPr>
        <w:tab/>
      </w:r>
      <w:r w:rsidRPr="00D85A9B">
        <w:rPr>
          <w:sz w:val="23"/>
          <w:szCs w:val="23"/>
        </w:rPr>
        <w:t xml:space="preserve">Coy, M., Kelly, L., Vera-Gray, F., Garner, M., &amp; </w:t>
      </w:r>
      <w:r w:rsidRPr="00D85A9B">
        <w:rPr>
          <w:sz w:val="23"/>
          <w:szCs w:val="23"/>
        </w:rPr>
        <w:t>Kanyeredzi, A. (2016), see note 68.</w:t>
      </w:r>
    </w:p>
  </w:endnote>
  <w:endnote w:id="75">
    <w:p w14:paraId="14189EAF" w14:textId="25FA0F33"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Department of Social Services. (2023). </w:t>
      </w:r>
      <w:r w:rsidRPr="00D85A9B">
        <w:rPr>
          <w:i/>
          <w:iCs/>
          <w:sz w:val="23"/>
          <w:szCs w:val="23"/>
        </w:rPr>
        <w:t>Consent policy framework</w:t>
      </w:r>
      <w:r w:rsidRPr="00D85A9B">
        <w:rPr>
          <w:sz w:val="23"/>
          <w:szCs w:val="23"/>
        </w:rPr>
        <w:t xml:space="preserve">. Australian Government. </w:t>
      </w:r>
    </w:p>
  </w:endnote>
  <w:endnote w:id="76">
    <w:p w14:paraId="0F8C62A3" w14:textId="6EE36DD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Department of Social Services (2023), see note 73.</w:t>
      </w:r>
    </w:p>
  </w:endnote>
  <w:endnote w:id="77">
    <w:p w14:paraId="17B0D07F" w14:textId="50307AC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Senate Legal and Constitutional Affairs References Committee. (2023). </w:t>
      </w:r>
      <w:r w:rsidRPr="00D85A9B">
        <w:rPr>
          <w:rStyle w:val="Emphasis"/>
          <w:rFonts w:eastAsiaTheme="majorEastAsia"/>
          <w:sz w:val="23"/>
          <w:szCs w:val="23"/>
        </w:rPr>
        <w:t>Current and proposed sexual consent laws in Australia: Final report</w:t>
      </w:r>
      <w:r w:rsidRPr="00D85A9B">
        <w:rPr>
          <w:rStyle w:val="Emphasis"/>
          <w:rFonts w:eastAsiaTheme="majorEastAsia"/>
          <w:i w:val="0"/>
          <w:iCs w:val="0"/>
          <w:sz w:val="23"/>
          <w:szCs w:val="23"/>
        </w:rPr>
        <w:t xml:space="preserve"> (p. 11)</w:t>
      </w:r>
      <w:r w:rsidRPr="00D85A9B">
        <w:rPr>
          <w:sz w:val="23"/>
          <w:szCs w:val="23"/>
        </w:rPr>
        <w:t>. Parliament of Australia.</w:t>
      </w:r>
    </w:p>
    <w:p w14:paraId="753B6456"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Law Council of Australia. (2023). </w:t>
      </w:r>
      <w:r w:rsidRPr="00D85A9B">
        <w:rPr>
          <w:i/>
          <w:iCs/>
          <w:sz w:val="23"/>
          <w:szCs w:val="23"/>
        </w:rPr>
        <w:t>Submission to the Senate Legal and Constitutional Affairs References Committee: Inquiry into current and proposed sexual consent laws in Australia</w:t>
      </w:r>
      <w:r w:rsidRPr="00D85A9B">
        <w:rPr>
          <w:sz w:val="23"/>
          <w:szCs w:val="23"/>
        </w:rPr>
        <w:t xml:space="preserve"> (Submission No. 73; attachment 1). Parliament of Australia. </w:t>
      </w:r>
    </w:p>
  </w:endnote>
  <w:endnote w:id="78">
    <w:p w14:paraId="02852D09" w14:textId="261A0B4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Senate Legal and Constitutional Affairs References Committee (2023), see note 75. </w:t>
      </w:r>
    </w:p>
  </w:endnote>
  <w:endnote w:id="79">
    <w:p w14:paraId="4A1D5410" w14:textId="1F51F46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Beres, M. A. (2007). ‘Spontaneous’ sexual consent: An analysis of sexual consent literature. </w:t>
      </w:r>
      <w:r w:rsidRPr="00D85A9B">
        <w:rPr>
          <w:i/>
          <w:iCs/>
          <w:sz w:val="23"/>
          <w:szCs w:val="23"/>
        </w:rPr>
        <w:t>Feminism &amp; Psychology, 17</w:t>
      </w:r>
      <w:r w:rsidRPr="00D85A9B">
        <w:rPr>
          <w:sz w:val="23"/>
          <w:szCs w:val="23"/>
        </w:rPr>
        <w:t xml:space="preserve">(1), 93–108. </w:t>
      </w:r>
    </w:p>
  </w:endnote>
  <w:endnote w:id="80">
    <w:p w14:paraId="622EC094" w14:textId="542EB7E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344A3" w:rsidRPr="00D85A9B">
        <w:rPr>
          <w:sz w:val="23"/>
          <w:szCs w:val="23"/>
        </w:rPr>
        <w:tab/>
      </w:r>
      <w:r w:rsidRPr="00D85A9B">
        <w:rPr>
          <w:sz w:val="23"/>
          <w:szCs w:val="23"/>
        </w:rPr>
        <w:t xml:space="preserve">Senate Legal and Constitutional Affairs References Committee. (2023). </w:t>
      </w:r>
      <w:r w:rsidRPr="00D85A9B">
        <w:rPr>
          <w:rStyle w:val="Emphasis"/>
          <w:rFonts w:eastAsiaTheme="majorEastAsia"/>
          <w:sz w:val="23"/>
          <w:szCs w:val="23"/>
        </w:rPr>
        <w:t>Current and proposed sexual consent laws in Australia</w:t>
      </w:r>
      <w:r w:rsidRPr="00D85A9B">
        <w:rPr>
          <w:sz w:val="23"/>
          <w:szCs w:val="23"/>
        </w:rPr>
        <w:t xml:space="preserve"> (p. 18).</w:t>
      </w:r>
    </w:p>
    <w:p w14:paraId="369EEBA5" w14:textId="77777777" w:rsidR="004D1500" w:rsidRPr="00D85A9B" w:rsidRDefault="004D1500" w:rsidP="0093658C">
      <w:pPr>
        <w:pStyle w:val="Endnotes"/>
        <w:spacing w:after="120" w:line="214" w:lineRule="auto"/>
        <w:ind w:firstLine="0"/>
        <w:rPr>
          <w:sz w:val="23"/>
          <w:szCs w:val="23"/>
        </w:rPr>
      </w:pPr>
      <w:r w:rsidRPr="00D85A9B">
        <w:rPr>
          <w:i/>
          <w:iCs/>
          <w:sz w:val="23"/>
          <w:szCs w:val="23"/>
        </w:rPr>
        <w:t>Crimes Act 1900</w:t>
      </w:r>
      <w:r w:rsidRPr="00D85A9B">
        <w:rPr>
          <w:sz w:val="23"/>
          <w:szCs w:val="23"/>
        </w:rPr>
        <w:t xml:space="preserve"> (NSW), subsection </w:t>
      </w:r>
      <w:r w:rsidRPr="00D85A9B">
        <w:rPr>
          <w:sz w:val="23"/>
          <w:szCs w:val="23"/>
        </w:rPr>
        <w:t>61HK(2).</w:t>
      </w:r>
    </w:p>
    <w:p w14:paraId="09C2F8C7" w14:textId="77777777" w:rsidR="004D1500" w:rsidRPr="00D85A9B" w:rsidRDefault="004D1500" w:rsidP="0093658C">
      <w:pPr>
        <w:pStyle w:val="Endnotes"/>
        <w:spacing w:after="120" w:line="214" w:lineRule="auto"/>
        <w:ind w:firstLine="0"/>
        <w:rPr>
          <w:sz w:val="23"/>
          <w:szCs w:val="23"/>
        </w:rPr>
      </w:pPr>
      <w:r w:rsidRPr="00D85A9B">
        <w:rPr>
          <w:i/>
          <w:iCs/>
          <w:sz w:val="23"/>
          <w:szCs w:val="23"/>
        </w:rPr>
        <w:t>Crimes Act 1958</w:t>
      </w:r>
      <w:r w:rsidRPr="00D85A9B">
        <w:rPr>
          <w:sz w:val="23"/>
          <w:szCs w:val="23"/>
        </w:rPr>
        <w:t xml:space="preserve"> (Vic), paragraph 36A(2).</w:t>
      </w:r>
    </w:p>
    <w:p w14:paraId="17CEA9FC" w14:textId="77777777" w:rsidR="004D1500" w:rsidRPr="00D85A9B" w:rsidRDefault="004D1500" w:rsidP="0093658C">
      <w:pPr>
        <w:pStyle w:val="Endnotes"/>
        <w:spacing w:after="120" w:line="214" w:lineRule="auto"/>
        <w:ind w:firstLine="0"/>
        <w:rPr>
          <w:sz w:val="23"/>
          <w:szCs w:val="23"/>
        </w:rPr>
      </w:pPr>
      <w:r w:rsidRPr="00D85A9B">
        <w:rPr>
          <w:i/>
          <w:iCs/>
          <w:sz w:val="23"/>
          <w:szCs w:val="23"/>
        </w:rPr>
        <w:t>Crimes Act 1900</w:t>
      </w:r>
      <w:r w:rsidRPr="00D85A9B">
        <w:rPr>
          <w:sz w:val="23"/>
          <w:szCs w:val="23"/>
        </w:rPr>
        <w:t xml:space="preserve"> (ACT), subsection 67(4). </w:t>
      </w:r>
    </w:p>
  </w:endnote>
  <w:endnote w:id="81">
    <w:p w14:paraId="6E5BEB28" w14:textId="7FB1D9F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i/>
          <w:iCs/>
          <w:sz w:val="23"/>
          <w:szCs w:val="23"/>
        </w:rPr>
        <w:t>Crimes Act 1900</w:t>
      </w:r>
      <w:r w:rsidRPr="00D85A9B">
        <w:rPr>
          <w:sz w:val="23"/>
          <w:szCs w:val="23"/>
        </w:rPr>
        <w:t xml:space="preserve"> (NSW), </w:t>
      </w:r>
      <w:r w:rsidRPr="00D85A9B">
        <w:rPr>
          <w:sz w:val="23"/>
          <w:szCs w:val="23"/>
        </w:rPr>
        <w:t>S61HK(1)-(2).</w:t>
      </w:r>
    </w:p>
    <w:p w14:paraId="575949BA" w14:textId="77777777" w:rsidR="004D1500" w:rsidRPr="00D85A9B" w:rsidRDefault="004D1500" w:rsidP="0093658C">
      <w:pPr>
        <w:pStyle w:val="Endnotes"/>
        <w:spacing w:after="120" w:line="214" w:lineRule="auto"/>
        <w:ind w:firstLine="0"/>
        <w:rPr>
          <w:rStyle w:val="relative"/>
          <w:rFonts w:eastAsiaTheme="majorEastAsia"/>
          <w:i/>
          <w:iCs/>
          <w:sz w:val="23"/>
          <w:szCs w:val="23"/>
        </w:rPr>
      </w:pPr>
      <w:r w:rsidRPr="00D85A9B">
        <w:rPr>
          <w:rStyle w:val="relative"/>
          <w:rFonts w:eastAsiaTheme="majorEastAsia"/>
          <w:i/>
          <w:iCs/>
          <w:sz w:val="23"/>
          <w:szCs w:val="23"/>
        </w:rPr>
        <w:t>Crimes Legislation Amendment (Sexual Consent Reforms) Act 2021.</w:t>
      </w:r>
    </w:p>
  </w:endnote>
  <w:endnote w:id="82">
    <w:p w14:paraId="176E4980" w14:textId="363DE61E" w:rsidR="004D1500" w:rsidRPr="00D85A9B" w:rsidRDefault="004D1500" w:rsidP="00563C41">
      <w:pPr>
        <w:pStyle w:val="Endnotes"/>
        <w:spacing w:after="120" w:line="214" w:lineRule="auto"/>
        <w:rPr>
          <w:i/>
          <w:iCs/>
          <w:sz w:val="23"/>
          <w:szCs w:val="23"/>
        </w:rPr>
      </w:pPr>
      <w:r w:rsidRPr="00D85A9B">
        <w:rPr>
          <w:rStyle w:val="EndnoteReference"/>
          <w:i/>
          <w:iCs/>
          <w:sz w:val="23"/>
          <w:szCs w:val="23"/>
          <w:vertAlign w:val="baseline"/>
        </w:rPr>
        <w:endnoteRef/>
      </w:r>
      <w:r w:rsidRPr="00D85A9B">
        <w:rPr>
          <w:i/>
          <w:iCs/>
          <w:sz w:val="23"/>
          <w:szCs w:val="23"/>
        </w:rPr>
        <w:t xml:space="preserve"> </w:t>
      </w:r>
      <w:r w:rsidR="00EC634D" w:rsidRPr="00D85A9B">
        <w:rPr>
          <w:i/>
          <w:iCs/>
          <w:sz w:val="23"/>
          <w:szCs w:val="23"/>
        </w:rPr>
        <w:tab/>
      </w:r>
      <w:r w:rsidRPr="00D85A9B">
        <w:rPr>
          <w:i/>
          <w:iCs/>
          <w:sz w:val="23"/>
          <w:szCs w:val="23"/>
        </w:rPr>
        <w:t xml:space="preserve">Justice Legislation Amendment (Sexual Offences and Other Matters) Act 2022 </w:t>
      </w:r>
      <w:r w:rsidRPr="00D85A9B">
        <w:rPr>
          <w:sz w:val="23"/>
          <w:szCs w:val="23"/>
        </w:rPr>
        <w:t>(Vic).</w:t>
      </w:r>
    </w:p>
    <w:p w14:paraId="7D0680AC" w14:textId="77777777" w:rsidR="004D1500" w:rsidRPr="00D85A9B" w:rsidRDefault="004D1500" w:rsidP="0093658C">
      <w:pPr>
        <w:pStyle w:val="Endnotes"/>
        <w:spacing w:after="120" w:line="214" w:lineRule="auto"/>
        <w:ind w:firstLine="0"/>
        <w:rPr>
          <w:sz w:val="23"/>
          <w:szCs w:val="23"/>
        </w:rPr>
      </w:pPr>
      <w:r w:rsidRPr="00D85A9B">
        <w:rPr>
          <w:i/>
          <w:iCs/>
          <w:sz w:val="23"/>
          <w:szCs w:val="23"/>
        </w:rPr>
        <w:t>Crimes (Consent) Amendment Act 2022</w:t>
      </w:r>
      <w:r w:rsidRPr="00D85A9B">
        <w:rPr>
          <w:sz w:val="23"/>
          <w:szCs w:val="23"/>
        </w:rPr>
        <w:t xml:space="preserve"> (ACT).</w:t>
      </w:r>
    </w:p>
    <w:p w14:paraId="7D834A21" w14:textId="4BF2A201" w:rsidR="004D1500" w:rsidRPr="00D85A9B" w:rsidRDefault="004D1500" w:rsidP="0093658C">
      <w:pPr>
        <w:pStyle w:val="Endnotes"/>
        <w:spacing w:after="120" w:line="214" w:lineRule="auto"/>
        <w:ind w:firstLine="0"/>
        <w:rPr>
          <w:sz w:val="23"/>
          <w:szCs w:val="23"/>
        </w:rPr>
      </w:pPr>
      <w:r w:rsidRPr="00D85A9B">
        <w:rPr>
          <w:i/>
          <w:iCs/>
          <w:sz w:val="23"/>
          <w:szCs w:val="23"/>
        </w:rPr>
        <w:t>Criminal Law (Coercive Control and Affirmative Consent) and Other Legislation Amendment Act 2024</w:t>
      </w:r>
      <w:r w:rsidRPr="00D85A9B">
        <w:rPr>
          <w:sz w:val="23"/>
          <w:szCs w:val="23"/>
        </w:rPr>
        <w:t xml:space="preserve"> (Qld).</w:t>
      </w:r>
    </w:p>
    <w:p w14:paraId="30BFD9BD" w14:textId="77777777" w:rsidR="004D1500" w:rsidRPr="00D85A9B" w:rsidRDefault="004D1500" w:rsidP="0093658C">
      <w:pPr>
        <w:pStyle w:val="Endnotes"/>
        <w:spacing w:after="120" w:line="214" w:lineRule="auto"/>
        <w:ind w:firstLine="0"/>
        <w:rPr>
          <w:sz w:val="23"/>
          <w:szCs w:val="23"/>
        </w:rPr>
      </w:pPr>
      <w:r w:rsidRPr="00D85A9B">
        <w:rPr>
          <w:i/>
          <w:iCs/>
          <w:sz w:val="23"/>
          <w:szCs w:val="23"/>
        </w:rPr>
        <w:t>Criminal Code Amendment (Consent) Act 2004</w:t>
      </w:r>
      <w:r w:rsidRPr="00D85A9B">
        <w:rPr>
          <w:sz w:val="23"/>
          <w:szCs w:val="23"/>
        </w:rPr>
        <w:t xml:space="preserve"> (Tas). </w:t>
      </w:r>
    </w:p>
  </w:endnote>
  <w:endnote w:id="83">
    <w:p w14:paraId="4B10E3FA" w14:textId="4627EB9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 xml:space="preserve">Department of Social Services. (2023). </w:t>
      </w:r>
      <w:r w:rsidRPr="00D85A9B">
        <w:rPr>
          <w:i/>
          <w:iCs/>
          <w:sz w:val="23"/>
          <w:szCs w:val="23"/>
        </w:rPr>
        <w:t>Consent policy framework</w:t>
      </w:r>
      <w:r w:rsidRPr="00D85A9B">
        <w:rPr>
          <w:sz w:val="23"/>
          <w:szCs w:val="23"/>
        </w:rPr>
        <w:t xml:space="preserve"> (p. 10). Australian Government.</w:t>
      </w:r>
    </w:p>
  </w:endnote>
  <w:endnote w:id="84">
    <w:p w14:paraId="6206D020" w14:textId="27676F5C" w:rsidR="004D1500" w:rsidRPr="00D85A9B" w:rsidRDefault="004D1500" w:rsidP="00563C41">
      <w:pPr>
        <w:pStyle w:val="Endnotes"/>
        <w:spacing w:after="120" w:line="214" w:lineRule="auto"/>
        <w:rPr>
          <w:rStyle w:val="Hyperlink"/>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Australian Bureau of Statistics. (2023, August 23). Sexual violence, 2021–22 financial year</w:t>
      </w:r>
      <w:r w:rsidRPr="00D85A9B">
        <w:rPr>
          <w:i/>
          <w:iCs/>
          <w:sz w:val="23"/>
          <w:szCs w:val="23"/>
        </w:rPr>
        <w:t xml:space="preserve">. </w:t>
      </w:r>
      <w:r w:rsidRPr="00D85A9B">
        <w:rPr>
          <w:sz w:val="23"/>
          <w:szCs w:val="23"/>
        </w:rPr>
        <w:t xml:space="preserve">ABS. </w:t>
      </w:r>
      <w:hyperlink w:history="1">
        <w:r w:rsidRPr="00D85A9B">
          <w:rPr>
            <w:rStyle w:val="Hyperlink"/>
            <w:sz w:val="23"/>
            <w:szCs w:val="23"/>
          </w:rPr>
          <w:t>https://www.abs.gov.au/statistics/people/crime-and-justice/sexual-violence/latest-release</w:t>
        </w:r>
      </w:hyperlink>
    </w:p>
  </w:endnote>
  <w:endnote w:id="85">
    <w:p w14:paraId="3A6B4174" w14:textId="0641DA7C"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 xml:space="preserve">Our Watch. (2020). </w:t>
      </w:r>
      <w:r w:rsidRPr="00D85A9B">
        <w:rPr>
          <w:i/>
          <w:iCs/>
          <w:sz w:val="23"/>
          <w:szCs w:val="23"/>
        </w:rPr>
        <w:t>Change the story.</w:t>
      </w:r>
    </w:p>
    <w:p w14:paraId="3FBAD336"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Taft, A., Wilson, I., </w:t>
      </w:r>
      <w:r w:rsidRPr="00D85A9B">
        <w:rPr>
          <w:sz w:val="23"/>
          <w:szCs w:val="23"/>
        </w:rPr>
        <w:t xml:space="preserve">Laslett, A. M., &amp; Kuntsche, S. (2019). Pathways to responding and preventing alcohol-related violence against women: Why a gendered approach matters. </w:t>
      </w:r>
      <w:r w:rsidRPr="00D85A9B">
        <w:rPr>
          <w:i/>
          <w:iCs/>
          <w:sz w:val="23"/>
          <w:szCs w:val="23"/>
        </w:rPr>
        <w:t>Australian and New Zealand Journal of Public Health</w:t>
      </w:r>
      <w:r w:rsidRPr="00D85A9B">
        <w:rPr>
          <w:sz w:val="23"/>
          <w:szCs w:val="23"/>
        </w:rPr>
        <w:t xml:space="preserve">, </w:t>
      </w:r>
      <w:r w:rsidRPr="00D85A9B">
        <w:rPr>
          <w:i/>
          <w:iCs/>
          <w:sz w:val="23"/>
          <w:szCs w:val="23"/>
        </w:rPr>
        <w:t>43</w:t>
      </w:r>
      <w:r w:rsidRPr="00D85A9B">
        <w:rPr>
          <w:sz w:val="23"/>
          <w:szCs w:val="23"/>
        </w:rPr>
        <w:t>(6), 516–518.</w:t>
      </w:r>
    </w:p>
    <w:p w14:paraId="7D4590CF"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Our Watch. (2022). </w:t>
      </w:r>
      <w:r w:rsidRPr="00D85A9B">
        <w:rPr>
          <w:i/>
          <w:iCs/>
          <w:sz w:val="23"/>
          <w:szCs w:val="23"/>
        </w:rPr>
        <w:t>Respectful relationships education toolkit: Overview</w:t>
      </w:r>
      <w:r w:rsidRPr="00D85A9B">
        <w:rPr>
          <w:sz w:val="23"/>
          <w:szCs w:val="23"/>
        </w:rPr>
        <w:t xml:space="preserve">. </w:t>
      </w:r>
    </w:p>
  </w:endnote>
  <w:endnote w:id="86">
    <w:p w14:paraId="70D15F5D" w14:textId="18DD8B9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 xml:space="preserve">Grubb, A., &amp; Turner, E. (2012). Attribution of blame in rape cases: A review of the impact of rape myth acceptance, gender role conformity and substance use on victim blaming. </w:t>
      </w:r>
      <w:r w:rsidRPr="00D85A9B">
        <w:rPr>
          <w:i/>
          <w:iCs/>
          <w:sz w:val="23"/>
          <w:szCs w:val="23"/>
        </w:rPr>
        <w:t>Aggression and Violent Behavior</w:t>
      </w:r>
      <w:r w:rsidRPr="00D85A9B">
        <w:rPr>
          <w:sz w:val="23"/>
          <w:szCs w:val="23"/>
        </w:rPr>
        <w:t xml:space="preserve">, </w:t>
      </w:r>
      <w:r w:rsidRPr="00D85A9B">
        <w:rPr>
          <w:i/>
          <w:iCs/>
          <w:sz w:val="23"/>
          <w:szCs w:val="23"/>
        </w:rPr>
        <w:t>17</w:t>
      </w:r>
      <w:r w:rsidRPr="00D85A9B">
        <w:rPr>
          <w:sz w:val="23"/>
          <w:szCs w:val="23"/>
        </w:rPr>
        <w:t>(5), 443–452.</w:t>
      </w:r>
    </w:p>
    <w:p w14:paraId="2B4470E4"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Javaid, A. (2015). The role of alcohol in intimate partner violence: Causal </w:t>
      </w:r>
      <w:r w:rsidRPr="00D85A9B">
        <w:rPr>
          <w:sz w:val="23"/>
          <w:szCs w:val="23"/>
        </w:rPr>
        <w:t xml:space="preserve">behaviour or excusing behaviour? </w:t>
      </w:r>
      <w:r w:rsidRPr="00D85A9B">
        <w:rPr>
          <w:i/>
          <w:iCs/>
          <w:sz w:val="23"/>
          <w:szCs w:val="23"/>
        </w:rPr>
        <w:t>British Journal of Community Justice</w:t>
      </w:r>
      <w:r w:rsidRPr="00D85A9B">
        <w:rPr>
          <w:sz w:val="23"/>
          <w:szCs w:val="23"/>
        </w:rPr>
        <w:t xml:space="preserve">, </w:t>
      </w:r>
      <w:r w:rsidRPr="00D85A9B">
        <w:rPr>
          <w:i/>
          <w:iCs/>
          <w:sz w:val="23"/>
          <w:szCs w:val="23"/>
        </w:rPr>
        <w:t>13</w:t>
      </w:r>
      <w:r w:rsidRPr="00D85A9B">
        <w:rPr>
          <w:sz w:val="23"/>
          <w:szCs w:val="23"/>
        </w:rPr>
        <w:t>(1), 75–92.</w:t>
      </w:r>
    </w:p>
  </w:endnote>
  <w:endnote w:id="87">
    <w:p w14:paraId="7BABA946" w14:textId="751DF21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 xml:space="preserve">Coumarelos, C., et al. (2023). </w:t>
      </w:r>
      <w:r w:rsidRPr="00D85A9B">
        <w:rPr>
          <w:i/>
          <w:iCs/>
          <w:sz w:val="23"/>
          <w:szCs w:val="23"/>
        </w:rPr>
        <w:t>Attitudes matter: The 2021 National Community Attitudes towards Violence against Women Survey (NCAS).</w:t>
      </w:r>
    </w:p>
  </w:endnote>
  <w:endnote w:id="88">
    <w:p w14:paraId="0389E974" w14:textId="142BF33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 xml:space="preserve">Coumarelos, C., et al. (2023). </w:t>
      </w:r>
      <w:r w:rsidRPr="00D85A9B">
        <w:rPr>
          <w:i/>
          <w:iCs/>
          <w:sz w:val="23"/>
          <w:szCs w:val="23"/>
        </w:rPr>
        <w:t>Attitudes matter: The 2021 National Community Attitudes towards Violence against Women Survey (NCAS).</w:t>
      </w:r>
    </w:p>
  </w:endnote>
  <w:endnote w:id="89">
    <w:p w14:paraId="5CCDC6C1" w14:textId="5B2E241A" w:rsidR="004D1500" w:rsidRPr="00D85A9B" w:rsidRDefault="004D1500" w:rsidP="00563C41">
      <w:pPr>
        <w:pStyle w:val="Endnotes"/>
        <w:spacing w:after="120" w:line="214" w:lineRule="auto"/>
        <w:rPr>
          <w:rStyle w:val="Hyperlink"/>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 xml:space="preserve">Australian Institute of Health and Welfare. (2024). </w:t>
      </w:r>
      <w:r w:rsidRPr="00D85A9B">
        <w:rPr>
          <w:i/>
          <w:iCs/>
          <w:sz w:val="23"/>
          <w:szCs w:val="23"/>
        </w:rPr>
        <w:t>National Drug Strategy Household Survey 2022–2023: Alcohol consumption</w:t>
      </w:r>
      <w:r w:rsidRPr="00D85A9B">
        <w:rPr>
          <w:sz w:val="23"/>
          <w:szCs w:val="23"/>
        </w:rPr>
        <w:t xml:space="preserve">. Australian Government. </w:t>
      </w:r>
      <w:hyperlink r:id="rId12" w:history="1">
        <w:r w:rsidRPr="00D85A9B">
          <w:rPr>
            <w:rStyle w:val="Hyperlink"/>
            <w:sz w:val="23"/>
            <w:szCs w:val="23"/>
          </w:rPr>
          <w:t>https://www.aihw.gov.au/reports/illicit-use-of-drugs/national-drug-strategy-household-survey/contents/about</w:t>
        </w:r>
      </w:hyperlink>
    </w:p>
  </w:endnote>
  <w:endnote w:id="90">
    <w:p w14:paraId="5D4EBC1E" w14:textId="74577B9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EC634D" w:rsidRPr="00D85A9B">
        <w:rPr>
          <w:sz w:val="23"/>
          <w:szCs w:val="23"/>
        </w:rPr>
        <w:tab/>
      </w:r>
      <w:r w:rsidRPr="00D85A9B">
        <w:rPr>
          <w:sz w:val="23"/>
          <w:szCs w:val="23"/>
        </w:rPr>
        <w:t>The Men’s Project</w:t>
      </w:r>
      <w:r w:rsidRPr="00D85A9B">
        <w:rPr>
          <w:bCs/>
          <w:sz w:val="23"/>
          <w:szCs w:val="23"/>
        </w:rPr>
        <w:t>,</w:t>
      </w:r>
      <w:r w:rsidRPr="00D85A9B">
        <w:rPr>
          <w:sz w:val="23"/>
          <w:szCs w:val="23"/>
        </w:rPr>
        <w:t xml:space="preserve"> &amp; Flood, M. </w:t>
      </w:r>
      <w:r w:rsidRPr="00D85A9B">
        <w:rPr>
          <w:bCs/>
          <w:sz w:val="23"/>
          <w:szCs w:val="23"/>
        </w:rPr>
        <w:t>(</w:t>
      </w:r>
      <w:r w:rsidRPr="00D85A9B">
        <w:rPr>
          <w:sz w:val="23"/>
          <w:szCs w:val="23"/>
        </w:rPr>
        <w:t>2024</w:t>
      </w:r>
      <w:r w:rsidRPr="00D85A9B">
        <w:rPr>
          <w:bCs/>
          <w:sz w:val="23"/>
          <w:szCs w:val="23"/>
        </w:rPr>
        <w:t xml:space="preserve">). </w:t>
      </w:r>
      <w:r w:rsidRPr="00D85A9B">
        <w:rPr>
          <w:i/>
          <w:iCs/>
          <w:sz w:val="23"/>
          <w:szCs w:val="23"/>
        </w:rPr>
        <w:t>The Man Box 2024: Re-examining what it means to be a man in Australia</w:t>
      </w:r>
      <w:r w:rsidRPr="00D85A9B">
        <w:rPr>
          <w:bCs/>
          <w:sz w:val="23"/>
          <w:szCs w:val="23"/>
        </w:rPr>
        <w:t xml:space="preserve"> (</w:t>
      </w:r>
      <w:r w:rsidRPr="00D85A9B">
        <w:rPr>
          <w:sz w:val="23"/>
          <w:szCs w:val="23"/>
        </w:rPr>
        <w:t>pp. 88</w:t>
      </w:r>
      <w:r w:rsidRPr="00D85A9B">
        <w:rPr>
          <w:bCs/>
          <w:sz w:val="23"/>
          <w:szCs w:val="23"/>
        </w:rPr>
        <w:t>–</w:t>
      </w:r>
      <w:r w:rsidRPr="00D85A9B">
        <w:rPr>
          <w:sz w:val="23"/>
          <w:szCs w:val="23"/>
        </w:rPr>
        <w:t>101</w:t>
      </w:r>
      <w:r w:rsidRPr="00D85A9B">
        <w:rPr>
          <w:bCs/>
          <w:sz w:val="23"/>
          <w:szCs w:val="23"/>
        </w:rPr>
        <w:t>)</w:t>
      </w:r>
      <w:r w:rsidRPr="00D85A9B">
        <w:rPr>
          <w:sz w:val="23"/>
          <w:szCs w:val="23"/>
        </w:rPr>
        <w:t>. Jesuit Social Services.</w:t>
      </w:r>
    </w:p>
  </w:endnote>
  <w:endnote w:id="91">
    <w:p w14:paraId="3093BB38" w14:textId="5232724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bCs/>
          <w:sz w:val="23"/>
          <w:szCs w:val="23"/>
        </w:rPr>
        <w:t xml:space="preserve"> </w:t>
      </w:r>
      <w:r w:rsidR="00EC634D" w:rsidRPr="00D85A9B">
        <w:rPr>
          <w:bCs/>
          <w:sz w:val="23"/>
          <w:szCs w:val="23"/>
        </w:rPr>
        <w:tab/>
      </w:r>
      <w:r w:rsidRPr="00D85A9B">
        <w:rPr>
          <w:sz w:val="23"/>
          <w:szCs w:val="23"/>
        </w:rPr>
        <w:t>Australian Institute of Health and Welfare</w:t>
      </w:r>
      <w:r w:rsidRPr="00D85A9B">
        <w:rPr>
          <w:bCs/>
          <w:sz w:val="23"/>
          <w:szCs w:val="23"/>
        </w:rPr>
        <w:t xml:space="preserve"> </w:t>
      </w:r>
      <w:r w:rsidRPr="00D85A9B">
        <w:rPr>
          <w:sz w:val="23"/>
          <w:szCs w:val="23"/>
        </w:rPr>
        <w:t>(2025), see note 87</w:t>
      </w:r>
      <w:r w:rsidRPr="00D85A9B">
        <w:rPr>
          <w:bCs/>
          <w:sz w:val="23"/>
          <w:szCs w:val="23"/>
        </w:rPr>
        <w:t xml:space="preserve">. </w:t>
      </w:r>
    </w:p>
  </w:endnote>
  <w:endnote w:id="92">
    <w:p w14:paraId="2E821189" w14:textId="4770EC9F"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sz w:val="23"/>
          <w:szCs w:val="23"/>
        </w:rPr>
        <w:t xml:space="preserve"> </w:t>
      </w:r>
      <w:r w:rsidR="00EC634D" w:rsidRPr="00D85A9B">
        <w:rPr>
          <w:sz w:val="23"/>
          <w:szCs w:val="23"/>
        </w:rPr>
        <w:tab/>
      </w:r>
      <w:r w:rsidRPr="00D85A9B">
        <w:rPr>
          <w:sz w:val="23"/>
          <w:szCs w:val="23"/>
        </w:rPr>
        <w:t xml:space="preserve">Johnson, R., Carrington, K., &amp; McIntyre, H. (2016). The role of pornography in the sexual development of children and young people: A literature review. </w:t>
      </w:r>
      <w:r w:rsidRPr="00D85A9B">
        <w:rPr>
          <w:i/>
          <w:iCs/>
          <w:sz w:val="23"/>
          <w:szCs w:val="23"/>
        </w:rPr>
        <w:t>Children Australia</w:t>
      </w:r>
      <w:r w:rsidRPr="00D85A9B">
        <w:rPr>
          <w:bCs/>
          <w:sz w:val="23"/>
          <w:szCs w:val="23"/>
        </w:rPr>
        <w:t xml:space="preserve">, </w:t>
      </w:r>
      <w:r w:rsidRPr="00D85A9B">
        <w:rPr>
          <w:i/>
          <w:iCs/>
          <w:sz w:val="23"/>
          <w:szCs w:val="23"/>
        </w:rPr>
        <w:t>41</w:t>
      </w:r>
      <w:r w:rsidRPr="00D85A9B">
        <w:rPr>
          <w:sz w:val="23"/>
          <w:szCs w:val="23"/>
        </w:rPr>
        <w:t>(3), 190–198</w:t>
      </w:r>
      <w:r w:rsidRPr="00D85A9B">
        <w:rPr>
          <w:bCs/>
          <w:sz w:val="23"/>
          <w:szCs w:val="23"/>
        </w:rPr>
        <w:t>.</w:t>
      </w:r>
    </w:p>
    <w:p w14:paraId="4EE78577" w14:textId="77777777" w:rsidR="004D1500" w:rsidRPr="00D85A9B" w:rsidRDefault="004D1500" w:rsidP="0093658C">
      <w:pPr>
        <w:pStyle w:val="Endnotes"/>
        <w:spacing w:after="120" w:line="214" w:lineRule="auto"/>
        <w:ind w:firstLine="0"/>
        <w:rPr>
          <w:bCs/>
          <w:sz w:val="23"/>
          <w:szCs w:val="23"/>
        </w:rPr>
      </w:pPr>
      <w:r w:rsidRPr="00D85A9B">
        <w:rPr>
          <w:bCs/>
          <w:sz w:val="23"/>
          <w:szCs w:val="23"/>
        </w:rPr>
        <w:t xml:space="preserve">Wright, C., Davis, A., Vella, A., McGrath-Lester, R., &amp; Lim, M. (2019). Australian adolescents’ use of pornography and associations with sexual risk </w:t>
      </w:r>
      <w:r w:rsidRPr="00D85A9B">
        <w:rPr>
          <w:bCs/>
          <w:sz w:val="23"/>
          <w:szCs w:val="23"/>
        </w:rPr>
        <w:t xml:space="preserve">behaviours. </w:t>
      </w:r>
      <w:r w:rsidRPr="00D85A9B">
        <w:rPr>
          <w:bCs/>
          <w:i/>
          <w:iCs/>
          <w:sz w:val="23"/>
          <w:szCs w:val="23"/>
        </w:rPr>
        <w:t>Australian and New Zealand Journal of Public Health</w:t>
      </w:r>
      <w:r w:rsidRPr="00D85A9B">
        <w:rPr>
          <w:bCs/>
          <w:sz w:val="23"/>
          <w:szCs w:val="23"/>
        </w:rPr>
        <w:t xml:space="preserve">, </w:t>
      </w:r>
      <w:r w:rsidRPr="00D85A9B">
        <w:rPr>
          <w:bCs/>
          <w:i/>
          <w:iCs/>
          <w:sz w:val="23"/>
          <w:szCs w:val="23"/>
        </w:rPr>
        <w:t>43</w:t>
      </w:r>
      <w:r w:rsidRPr="00D85A9B">
        <w:rPr>
          <w:bCs/>
          <w:sz w:val="23"/>
          <w:szCs w:val="23"/>
        </w:rPr>
        <w:t xml:space="preserve">(2), 153–158. </w:t>
      </w:r>
    </w:p>
  </w:endnote>
  <w:endnote w:id="93">
    <w:p w14:paraId="22F81820" w14:textId="21A16373"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bCs/>
          <w:sz w:val="23"/>
          <w:szCs w:val="23"/>
        </w:rPr>
        <w:t xml:space="preserve"> </w:t>
      </w:r>
      <w:r w:rsidR="00EC634D" w:rsidRPr="00D85A9B">
        <w:rPr>
          <w:bCs/>
          <w:sz w:val="23"/>
          <w:szCs w:val="23"/>
        </w:rPr>
        <w:tab/>
      </w:r>
      <w:r w:rsidRPr="00D85A9B">
        <w:rPr>
          <w:noProof/>
          <w:sz w:val="23"/>
          <w:szCs w:val="23"/>
        </w:rPr>
        <w:t>Power, J., Kauer, S., Fisher, C., Bellamy, R., &amp; Bourne, A</w:t>
      </w:r>
      <w:r w:rsidRPr="00D85A9B">
        <w:rPr>
          <w:sz w:val="23"/>
          <w:szCs w:val="23"/>
        </w:rPr>
        <w:t>. (2022).</w:t>
      </w:r>
      <w:r w:rsidRPr="00D85A9B">
        <w:rPr>
          <w:i/>
          <w:iCs/>
          <w:sz w:val="23"/>
          <w:szCs w:val="23"/>
        </w:rPr>
        <w:t xml:space="preserve"> The 7th National Survey of Australian Secondary Students and Sexual Health 2021</w:t>
      </w:r>
      <w:r w:rsidRPr="00D85A9B">
        <w:rPr>
          <w:sz w:val="23"/>
          <w:szCs w:val="23"/>
        </w:rPr>
        <w:t>.</w:t>
      </w:r>
      <w:r w:rsidRPr="00D85A9B">
        <w:rPr>
          <w:noProof/>
          <w:sz w:val="23"/>
          <w:szCs w:val="23"/>
        </w:rPr>
        <w:t xml:space="preserve"> (ARCSHS Monograph Series No. 133). The Australian Research Centre in Sex, Health and Society, La Trobe University.</w:t>
      </w:r>
    </w:p>
  </w:endnote>
  <w:endnote w:id="94">
    <w:p w14:paraId="22C23AB3" w14:textId="5EF61570"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bCs/>
          <w:sz w:val="23"/>
          <w:szCs w:val="23"/>
        </w:rPr>
        <w:t xml:space="preserve"> </w:t>
      </w:r>
      <w:r w:rsidR="00EC634D" w:rsidRPr="00D85A9B">
        <w:rPr>
          <w:bCs/>
          <w:sz w:val="23"/>
          <w:szCs w:val="23"/>
        </w:rPr>
        <w:tab/>
      </w:r>
      <w:r w:rsidRPr="00D85A9B">
        <w:rPr>
          <w:rStyle w:val="EndNoteBibliographyTitleChar"/>
          <w:rFonts w:ascii="Roboto" w:eastAsiaTheme="majorEastAsia" w:hAnsi="Roboto"/>
          <w:sz w:val="23"/>
          <w:szCs w:val="23"/>
        </w:rPr>
        <w:t xml:space="preserve">O’Donnell, K., Rioseco, P., </w:t>
      </w:r>
      <w:r w:rsidRPr="00D85A9B">
        <w:rPr>
          <w:rStyle w:val="EndNoteBibliographyTitleChar"/>
          <w:rFonts w:ascii="Roboto" w:eastAsiaTheme="majorEastAsia" w:hAnsi="Roboto"/>
          <w:sz w:val="23"/>
          <w:szCs w:val="23"/>
        </w:rPr>
        <w:t>Vittiglia, A., Rowland, B., &amp; Mundy, L. (2023).</w:t>
      </w:r>
      <w:r w:rsidRPr="00D85A9B">
        <w:rPr>
          <w:i/>
          <w:iCs/>
          <w:sz w:val="23"/>
          <w:szCs w:val="23"/>
        </w:rPr>
        <w:t xml:space="preserve"> </w:t>
      </w:r>
      <w:r w:rsidRPr="00D85A9B">
        <w:rPr>
          <w:rStyle w:val="findhit"/>
          <w:rFonts w:eastAsiaTheme="majorEastAsia"/>
          <w:i/>
          <w:iCs/>
          <w:sz w:val="23"/>
          <w:szCs w:val="23"/>
        </w:rPr>
        <w:t>Intimate partner violence among Australian 18–19 year olds</w:t>
      </w:r>
      <w:r w:rsidRPr="00D85A9B">
        <w:rPr>
          <w:i/>
          <w:iCs/>
          <w:sz w:val="23"/>
          <w:szCs w:val="23"/>
        </w:rPr>
        <w:t xml:space="preserve"> </w:t>
      </w:r>
      <w:r w:rsidRPr="00D85A9B">
        <w:rPr>
          <w:bCs/>
          <w:sz w:val="23"/>
          <w:szCs w:val="23"/>
        </w:rPr>
        <w:t>(</w:t>
      </w:r>
      <w:r w:rsidRPr="00D85A9B">
        <w:rPr>
          <w:i/>
          <w:iCs/>
          <w:sz w:val="23"/>
          <w:szCs w:val="23"/>
        </w:rPr>
        <w:t xml:space="preserve">Growing Up in Australia Snapshot Series </w:t>
      </w:r>
      <w:r w:rsidRPr="00D85A9B">
        <w:rPr>
          <w:sz w:val="23"/>
          <w:szCs w:val="23"/>
        </w:rPr>
        <w:t>– Issue 11; p. 6). Australian Institute of Family Studies</w:t>
      </w:r>
      <w:r w:rsidRPr="00D85A9B">
        <w:rPr>
          <w:bCs/>
          <w:sz w:val="23"/>
          <w:szCs w:val="23"/>
        </w:rPr>
        <w:t xml:space="preserve">. </w:t>
      </w:r>
    </w:p>
  </w:endnote>
  <w:endnote w:id="95">
    <w:p w14:paraId="1052ABEA" w14:textId="4FC8A1DA"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bCs/>
          <w:sz w:val="23"/>
          <w:szCs w:val="23"/>
        </w:rPr>
        <w:t xml:space="preserve"> </w:t>
      </w:r>
      <w:r w:rsidR="00EC634D" w:rsidRPr="00D85A9B">
        <w:rPr>
          <w:bCs/>
          <w:sz w:val="23"/>
          <w:szCs w:val="23"/>
        </w:rPr>
        <w:tab/>
      </w:r>
      <w:r w:rsidRPr="00D85A9B">
        <w:rPr>
          <w:rStyle w:val="EndNoteBibliographyTitleChar"/>
          <w:rFonts w:ascii="Roboto" w:eastAsiaTheme="majorEastAsia" w:hAnsi="Roboto"/>
          <w:sz w:val="23"/>
          <w:szCs w:val="23"/>
        </w:rPr>
        <w:t xml:space="preserve">O’Donnell, K., Rioseco, P., </w:t>
      </w:r>
      <w:r w:rsidRPr="00D85A9B">
        <w:rPr>
          <w:rStyle w:val="EndNoteBibliographyTitleChar"/>
          <w:rFonts w:ascii="Roboto" w:eastAsiaTheme="majorEastAsia" w:hAnsi="Roboto"/>
          <w:sz w:val="23"/>
          <w:szCs w:val="23"/>
        </w:rPr>
        <w:t>Vittiglia, A., Rowland, B., &amp; Mundy, L. (2023).</w:t>
      </w:r>
      <w:r w:rsidRPr="00D85A9B">
        <w:rPr>
          <w:bCs/>
          <w:sz w:val="23"/>
          <w:szCs w:val="23"/>
        </w:rPr>
        <w:t xml:space="preserve"> </w:t>
      </w:r>
      <w:r w:rsidRPr="00D85A9B">
        <w:rPr>
          <w:rStyle w:val="findhit"/>
          <w:rFonts w:eastAsiaTheme="majorEastAsia"/>
          <w:i/>
          <w:iCs/>
          <w:sz w:val="23"/>
          <w:szCs w:val="23"/>
        </w:rPr>
        <w:t>Intimate partner violence among Australian 18–19 year olds</w:t>
      </w:r>
      <w:r w:rsidRPr="00D85A9B">
        <w:rPr>
          <w:i/>
          <w:iCs/>
          <w:sz w:val="23"/>
          <w:szCs w:val="23"/>
        </w:rPr>
        <w:t xml:space="preserve"> </w:t>
      </w:r>
      <w:r w:rsidRPr="00D85A9B">
        <w:rPr>
          <w:bCs/>
          <w:sz w:val="23"/>
          <w:szCs w:val="23"/>
        </w:rPr>
        <w:t>(</w:t>
      </w:r>
      <w:r w:rsidRPr="00D85A9B">
        <w:rPr>
          <w:i/>
          <w:iCs/>
          <w:sz w:val="23"/>
          <w:szCs w:val="23"/>
        </w:rPr>
        <w:t xml:space="preserve">Growing Up in Australia Snapshot Series </w:t>
      </w:r>
      <w:r w:rsidRPr="00D85A9B">
        <w:rPr>
          <w:sz w:val="23"/>
          <w:szCs w:val="23"/>
        </w:rPr>
        <w:t>– Issue 11</w:t>
      </w:r>
      <w:r w:rsidRPr="00D85A9B">
        <w:rPr>
          <w:bCs/>
          <w:sz w:val="23"/>
          <w:szCs w:val="23"/>
        </w:rPr>
        <w:t xml:space="preserve">; </w:t>
      </w:r>
      <w:r w:rsidRPr="00D85A9B">
        <w:rPr>
          <w:sz w:val="23"/>
          <w:szCs w:val="23"/>
        </w:rPr>
        <w:t>p</w:t>
      </w:r>
      <w:r w:rsidRPr="00D85A9B">
        <w:rPr>
          <w:bCs/>
          <w:sz w:val="23"/>
          <w:szCs w:val="23"/>
        </w:rPr>
        <w:t>.</w:t>
      </w:r>
      <w:r w:rsidRPr="00D85A9B">
        <w:rPr>
          <w:sz w:val="23"/>
          <w:szCs w:val="23"/>
        </w:rPr>
        <w:t xml:space="preserve"> 7</w:t>
      </w:r>
      <w:r w:rsidRPr="00D85A9B">
        <w:rPr>
          <w:bCs/>
          <w:sz w:val="23"/>
          <w:szCs w:val="23"/>
        </w:rPr>
        <w:t xml:space="preserve">). </w:t>
      </w:r>
      <w:r w:rsidRPr="00D85A9B">
        <w:rPr>
          <w:sz w:val="23"/>
          <w:szCs w:val="23"/>
        </w:rPr>
        <w:t>Australian Institute of Family Studies.</w:t>
      </w:r>
    </w:p>
  </w:endnote>
  <w:endnote w:id="96">
    <w:p w14:paraId="4E99DD0A" w14:textId="64D2A36B"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sz w:val="23"/>
          <w:szCs w:val="23"/>
        </w:rPr>
        <w:t xml:space="preserve"> </w:t>
      </w:r>
      <w:r w:rsidR="007F73BD" w:rsidRPr="00D85A9B">
        <w:rPr>
          <w:sz w:val="23"/>
          <w:szCs w:val="23"/>
        </w:rPr>
        <w:tab/>
      </w:r>
      <w:r w:rsidRPr="00D85A9B">
        <w:rPr>
          <w:sz w:val="23"/>
          <w:szCs w:val="23"/>
        </w:rPr>
        <w:t xml:space="preserve">Kanuga, M., &amp; Rosenfeld, W. D. (2004). Adolescent sexuality and the internet: The good, the bad, and the URL. </w:t>
      </w:r>
      <w:r w:rsidRPr="00D85A9B">
        <w:rPr>
          <w:i/>
          <w:iCs/>
          <w:sz w:val="23"/>
          <w:szCs w:val="23"/>
        </w:rPr>
        <w:t>Journal of Pediatric and Adolescent Gynecology</w:t>
      </w:r>
      <w:r w:rsidRPr="00D85A9B">
        <w:rPr>
          <w:bCs/>
          <w:sz w:val="23"/>
          <w:szCs w:val="23"/>
        </w:rPr>
        <w:t xml:space="preserve">, </w:t>
      </w:r>
      <w:r w:rsidRPr="00D85A9B">
        <w:rPr>
          <w:i/>
          <w:iCs/>
          <w:sz w:val="23"/>
          <w:szCs w:val="23"/>
        </w:rPr>
        <w:t>17</w:t>
      </w:r>
      <w:r w:rsidRPr="00D85A9B">
        <w:rPr>
          <w:sz w:val="23"/>
          <w:szCs w:val="23"/>
        </w:rPr>
        <w:t>(2), 117–124</w:t>
      </w:r>
      <w:r w:rsidRPr="00D85A9B">
        <w:rPr>
          <w:bCs/>
          <w:sz w:val="23"/>
          <w:szCs w:val="23"/>
        </w:rPr>
        <w:t>.</w:t>
      </w:r>
    </w:p>
    <w:p w14:paraId="7FC1A8D6"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Rowlands, I. J., Loxton, D., Dobson, A., &amp; Mishra, G. D. (2015). Seeking health information online: Association with young Australian women’s physical, mental, and reproductive health. </w:t>
      </w:r>
      <w:r w:rsidRPr="00D85A9B">
        <w:rPr>
          <w:i/>
          <w:iCs/>
          <w:sz w:val="23"/>
          <w:szCs w:val="23"/>
        </w:rPr>
        <w:t>Journal of Medical Internet Research</w:t>
      </w:r>
      <w:r w:rsidRPr="00D85A9B">
        <w:rPr>
          <w:sz w:val="23"/>
          <w:szCs w:val="23"/>
        </w:rPr>
        <w:t xml:space="preserve">, </w:t>
      </w:r>
      <w:r w:rsidRPr="00D85A9B">
        <w:rPr>
          <w:i/>
          <w:iCs/>
          <w:sz w:val="23"/>
          <w:szCs w:val="23"/>
        </w:rPr>
        <w:t>17</w:t>
      </w:r>
      <w:r w:rsidRPr="00D85A9B">
        <w:rPr>
          <w:sz w:val="23"/>
          <w:szCs w:val="23"/>
        </w:rPr>
        <w:t xml:space="preserve">(5), </w:t>
      </w:r>
      <w:r w:rsidRPr="00D85A9B">
        <w:rPr>
          <w:sz w:val="23"/>
          <w:szCs w:val="23"/>
        </w:rPr>
        <w:t xml:space="preserve">e120. </w:t>
      </w:r>
    </w:p>
  </w:endnote>
  <w:endnote w:id="97">
    <w:p w14:paraId="437722A3" w14:textId="43746EFC" w:rsidR="004D1500" w:rsidRPr="00D85A9B" w:rsidRDefault="004D1500" w:rsidP="00563C41">
      <w:pPr>
        <w:pStyle w:val="Endnotes"/>
        <w:spacing w:after="120" w:line="214" w:lineRule="auto"/>
        <w:rPr>
          <w:bCs/>
          <w:sz w:val="23"/>
          <w:szCs w:val="23"/>
        </w:rPr>
      </w:pPr>
      <w:r w:rsidRPr="00D85A9B">
        <w:rPr>
          <w:rStyle w:val="Strong1"/>
          <w:b w:val="0"/>
          <w:sz w:val="23"/>
          <w:szCs w:val="23"/>
        </w:rPr>
        <w:endnoteRef/>
      </w:r>
      <w:r w:rsidRPr="00D85A9B">
        <w:rPr>
          <w:bCs/>
          <w:sz w:val="23"/>
          <w:szCs w:val="23"/>
        </w:rPr>
        <w:t xml:space="preserve"> </w:t>
      </w:r>
      <w:r w:rsidR="007F73BD" w:rsidRPr="00D85A9B">
        <w:rPr>
          <w:bCs/>
          <w:sz w:val="23"/>
          <w:szCs w:val="23"/>
        </w:rPr>
        <w:tab/>
      </w:r>
      <w:r w:rsidRPr="00D85A9B">
        <w:rPr>
          <w:bCs/>
          <w:sz w:val="23"/>
          <w:szCs w:val="23"/>
        </w:rPr>
        <w:t>McHale, R., Brennan, N., Freeburn, T., Rossetto, A., Richardson, E., Boon, B., &amp; Christie, R. (2023).</w:t>
      </w:r>
      <w:r w:rsidRPr="00D85A9B">
        <w:rPr>
          <w:bCs/>
          <w:i/>
          <w:sz w:val="23"/>
          <w:szCs w:val="23"/>
        </w:rPr>
        <w:t xml:space="preserve"> Youth Survey Report 2023.</w:t>
      </w:r>
      <w:r w:rsidRPr="00D85A9B">
        <w:rPr>
          <w:bCs/>
          <w:sz w:val="23"/>
          <w:szCs w:val="23"/>
        </w:rPr>
        <w:t xml:space="preserve"> </w:t>
      </w:r>
    </w:p>
  </w:endnote>
  <w:endnote w:id="98">
    <w:p w14:paraId="4C789BA9" w14:textId="0952AAF0"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sz w:val="23"/>
          <w:szCs w:val="23"/>
        </w:rPr>
        <w:t xml:space="preserve"> </w:t>
      </w:r>
      <w:r w:rsidR="007F73BD" w:rsidRPr="00D85A9B">
        <w:rPr>
          <w:sz w:val="23"/>
          <w:szCs w:val="23"/>
        </w:rPr>
        <w:tab/>
      </w:r>
      <w:r w:rsidRPr="00D85A9B">
        <w:rPr>
          <w:sz w:val="23"/>
          <w:szCs w:val="23"/>
        </w:rPr>
        <w:t xml:space="preserve">Fitz-Gibbon, K., McGowan, J., &amp; Stewart, R. (2023). </w:t>
      </w:r>
      <w:r w:rsidRPr="00D85A9B">
        <w:rPr>
          <w:rStyle w:val="findhit"/>
          <w:rFonts w:eastAsiaTheme="majorEastAsia"/>
          <w:i/>
          <w:iCs/>
          <w:sz w:val="23"/>
          <w:szCs w:val="23"/>
        </w:rPr>
        <w:t>I believe you: Children and young people’s experiences of seeking help, securing help and navigating the family violence system</w:t>
      </w:r>
      <w:r w:rsidRPr="00D85A9B">
        <w:rPr>
          <w:sz w:val="23"/>
          <w:szCs w:val="23"/>
        </w:rPr>
        <w:t xml:space="preserve"> (Version 2; p. 24). Monash University</w:t>
      </w:r>
      <w:r w:rsidRPr="00D85A9B">
        <w:rPr>
          <w:bCs/>
          <w:sz w:val="23"/>
          <w:szCs w:val="23"/>
        </w:rPr>
        <w:t xml:space="preserve">. </w:t>
      </w:r>
    </w:p>
  </w:endnote>
  <w:endnote w:id="99">
    <w:p w14:paraId="49F87112" w14:textId="175A96AA" w:rsidR="004D1500" w:rsidRPr="00D85A9B" w:rsidRDefault="004D1500" w:rsidP="00563C41">
      <w:pPr>
        <w:pStyle w:val="Endnotes"/>
        <w:spacing w:after="120" w:line="214" w:lineRule="auto"/>
        <w:rPr>
          <w:sz w:val="23"/>
          <w:szCs w:val="23"/>
        </w:rPr>
      </w:pPr>
      <w:r w:rsidRPr="00D85A9B">
        <w:rPr>
          <w:rStyle w:val="Strong1"/>
          <w:b w:val="0"/>
          <w:bCs w:val="0"/>
          <w:sz w:val="23"/>
          <w:szCs w:val="23"/>
        </w:rPr>
        <w:endnoteRef/>
      </w:r>
      <w:r w:rsidRPr="00D85A9B">
        <w:rPr>
          <w:sz w:val="23"/>
          <w:szCs w:val="23"/>
        </w:rPr>
        <w:t xml:space="preserve"> </w:t>
      </w:r>
      <w:r w:rsidR="007F73BD" w:rsidRPr="00D85A9B">
        <w:rPr>
          <w:sz w:val="23"/>
          <w:szCs w:val="23"/>
        </w:rPr>
        <w:tab/>
      </w:r>
      <w:r w:rsidRPr="00D85A9B">
        <w:rPr>
          <w:sz w:val="23"/>
          <w:szCs w:val="23"/>
        </w:rPr>
        <w:t xml:space="preserve">Fitz-Gibbon, K., McGowan, J., &amp; Stewart, R. (2023). </w:t>
      </w:r>
      <w:r w:rsidRPr="00D85A9B">
        <w:rPr>
          <w:rStyle w:val="findhit"/>
          <w:rFonts w:eastAsiaTheme="majorEastAsia"/>
          <w:i/>
          <w:iCs/>
          <w:sz w:val="23"/>
          <w:szCs w:val="23"/>
        </w:rPr>
        <w:t>I believe you: Children and young people’s experiences of seeking help, securing help and navigating the family violence system</w:t>
      </w:r>
      <w:r w:rsidRPr="00D85A9B">
        <w:rPr>
          <w:sz w:val="23"/>
          <w:szCs w:val="23"/>
        </w:rPr>
        <w:t xml:space="preserve"> (Version 2</w:t>
      </w:r>
      <w:r w:rsidRPr="00D85A9B">
        <w:rPr>
          <w:bCs/>
          <w:sz w:val="23"/>
          <w:szCs w:val="23"/>
        </w:rPr>
        <w:t xml:space="preserve">; </w:t>
      </w:r>
      <w:r w:rsidRPr="00D85A9B">
        <w:rPr>
          <w:sz w:val="23"/>
          <w:szCs w:val="23"/>
        </w:rPr>
        <w:t>pp. 25</w:t>
      </w:r>
      <w:r w:rsidRPr="00D85A9B">
        <w:rPr>
          <w:bCs/>
          <w:sz w:val="23"/>
          <w:szCs w:val="23"/>
        </w:rPr>
        <w:t>–</w:t>
      </w:r>
      <w:r w:rsidRPr="00D85A9B">
        <w:rPr>
          <w:sz w:val="23"/>
          <w:szCs w:val="23"/>
        </w:rPr>
        <w:t>27, 31, 37, 46</w:t>
      </w:r>
      <w:r w:rsidRPr="00D85A9B">
        <w:rPr>
          <w:bCs/>
          <w:sz w:val="23"/>
          <w:szCs w:val="23"/>
        </w:rPr>
        <w:t xml:space="preserve">). </w:t>
      </w:r>
      <w:r w:rsidRPr="00D85A9B">
        <w:rPr>
          <w:sz w:val="23"/>
          <w:szCs w:val="23"/>
        </w:rPr>
        <w:t>Monash University.</w:t>
      </w:r>
    </w:p>
  </w:endnote>
  <w:endnote w:id="100">
    <w:p w14:paraId="5B168EBD" w14:textId="092CD100" w:rsidR="004D1500" w:rsidRPr="00D85A9B" w:rsidRDefault="004D1500" w:rsidP="00563C41">
      <w:pPr>
        <w:pStyle w:val="Endnotes"/>
        <w:spacing w:after="120" w:line="214" w:lineRule="auto"/>
        <w:rPr>
          <w:bCs/>
          <w:sz w:val="23"/>
          <w:szCs w:val="23"/>
        </w:rPr>
      </w:pPr>
      <w:r w:rsidRPr="00D85A9B">
        <w:rPr>
          <w:rStyle w:val="EndnoteReference"/>
          <w:bCs/>
          <w:sz w:val="23"/>
          <w:szCs w:val="23"/>
          <w:vertAlign w:val="baseline"/>
        </w:rPr>
        <w:endnoteRef/>
      </w:r>
      <w:r w:rsidRPr="00D85A9B">
        <w:rPr>
          <w:bCs/>
          <w:sz w:val="23"/>
          <w:szCs w:val="23"/>
        </w:rPr>
        <w:t xml:space="preserve"> </w:t>
      </w:r>
      <w:r w:rsidR="007F73BD" w:rsidRPr="00D85A9B">
        <w:rPr>
          <w:bCs/>
          <w:sz w:val="23"/>
          <w:szCs w:val="23"/>
        </w:rPr>
        <w:tab/>
      </w:r>
      <w:r w:rsidRPr="00D85A9B">
        <w:rPr>
          <w:bCs/>
          <w:sz w:val="23"/>
          <w:szCs w:val="23"/>
        </w:rPr>
        <w:t xml:space="preserve">Pascoe, C. J. (2011). Resource and risk: Youth sexuality and new media use. </w:t>
      </w:r>
      <w:r w:rsidRPr="00D85A9B">
        <w:rPr>
          <w:bCs/>
          <w:i/>
          <w:iCs/>
          <w:sz w:val="23"/>
          <w:szCs w:val="23"/>
        </w:rPr>
        <w:t>Sexuality Research and Social Policy</w:t>
      </w:r>
      <w:r w:rsidRPr="00D85A9B">
        <w:rPr>
          <w:bCs/>
          <w:sz w:val="23"/>
          <w:szCs w:val="23"/>
        </w:rPr>
        <w:t xml:space="preserve">, </w:t>
      </w:r>
      <w:r w:rsidRPr="00D85A9B">
        <w:rPr>
          <w:bCs/>
          <w:i/>
          <w:iCs/>
          <w:sz w:val="23"/>
          <w:szCs w:val="23"/>
        </w:rPr>
        <w:t>8</w:t>
      </w:r>
      <w:r w:rsidRPr="00D85A9B">
        <w:rPr>
          <w:bCs/>
          <w:sz w:val="23"/>
          <w:szCs w:val="23"/>
        </w:rPr>
        <w:t xml:space="preserve">(1), 5–17. </w:t>
      </w:r>
    </w:p>
  </w:endnote>
  <w:endnote w:id="101">
    <w:p w14:paraId="0B6EC247" w14:textId="29825CB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7F73BD" w:rsidRPr="00D85A9B">
        <w:rPr>
          <w:sz w:val="23"/>
          <w:szCs w:val="23"/>
        </w:rPr>
        <w:tab/>
      </w:r>
      <w:r w:rsidRPr="00D85A9B">
        <w:rPr>
          <w:sz w:val="23"/>
          <w:szCs w:val="23"/>
        </w:rPr>
        <w:t xml:space="preserve">Stanley, N., Barter, C., Wood, M., </w:t>
      </w:r>
      <w:r w:rsidRPr="00D85A9B">
        <w:rPr>
          <w:sz w:val="23"/>
          <w:szCs w:val="23"/>
        </w:rPr>
        <w:t xml:space="preserve">Aghtaie, N., Larkins, C., Lanau, A., &amp; Överlien, C. (2018). Pornography, sexual coercion and abuse and sexting in young people’s intimate relationships: A European study. </w:t>
      </w:r>
      <w:r w:rsidRPr="00D85A9B">
        <w:rPr>
          <w:i/>
          <w:iCs/>
          <w:sz w:val="23"/>
          <w:szCs w:val="23"/>
        </w:rPr>
        <w:t>Journal of Interpersonal Violence</w:t>
      </w:r>
      <w:r w:rsidRPr="00D85A9B">
        <w:rPr>
          <w:sz w:val="23"/>
          <w:szCs w:val="23"/>
        </w:rPr>
        <w:t xml:space="preserve">, </w:t>
      </w:r>
      <w:r w:rsidRPr="00D85A9B">
        <w:rPr>
          <w:i/>
          <w:iCs/>
          <w:sz w:val="23"/>
          <w:szCs w:val="23"/>
        </w:rPr>
        <w:t>33</w:t>
      </w:r>
      <w:r w:rsidRPr="00D85A9B">
        <w:rPr>
          <w:sz w:val="23"/>
          <w:szCs w:val="23"/>
        </w:rPr>
        <w:t>(19), 2919–2944.</w:t>
      </w:r>
    </w:p>
  </w:endnote>
  <w:endnote w:id="102">
    <w:p w14:paraId="331FDA90" w14:textId="710009B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7F73BD" w:rsidRPr="00D85A9B">
        <w:rPr>
          <w:sz w:val="23"/>
          <w:szCs w:val="23"/>
        </w:rPr>
        <w:tab/>
      </w:r>
      <w:r w:rsidRPr="00D85A9B">
        <w:rPr>
          <w:rFonts w:eastAsia="Roboto" w:cs="Roboto"/>
          <w:sz w:val="23"/>
          <w:szCs w:val="23"/>
        </w:rPr>
        <w:t xml:space="preserve">Parliament of Australia. </w:t>
      </w:r>
      <w:r w:rsidRPr="00D85A9B">
        <w:rPr>
          <w:rFonts w:eastAsia="Roboto" w:cs="Roboto"/>
          <w:i/>
          <w:iCs/>
          <w:sz w:val="23"/>
          <w:szCs w:val="23"/>
        </w:rPr>
        <w:t>Online Safety Amendment (Social Media Minimum Age) Bill 2024</w:t>
      </w:r>
      <w:r w:rsidRPr="00D85A9B">
        <w:rPr>
          <w:rFonts w:eastAsia="Roboto" w:cs="Roboto"/>
          <w:sz w:val="23"/>
          <w:szCs w:val="23"/>
        </w:rPr>
        <w:t xml:space="preserve">. </w:t>
      </w:r>
      <w:hyperlink r:id="rId13">
        <w:r w:rsidRPr="00D85A9B">
          <w:rPr>
            <w:rStyle w:val="Hyperlink"/>
            <w:rFonts w:eastAsia="Roboto" w:cs="Roboto"/>
            <w:sz w:val="23"/>
            <w:szCs w:val="23"/>
          </w:rPr>
          <w:t>Explanatory memorandum</w:t>
        </w:r>
      </w:hyperlink>
      <w:r w:rsidRPr="00D85A9B">
        <w:rPr>
          <w:rFonts w:eastAsia="Roboto" w:cs="Roboto"/>
          <w:sz w:val="23"/>
          <w:szCs w:val="23"/>
        </w:rPr>
        <w:t>; Online Safety Amendment (Social Media Minimum Age) Act 2024 (</w:t>
      </w:r>
      <w:r w:rsidRPr="00D85A9B">
        <w:rPr>
          <w:rFonts w:eastAsia="Roboto" w:cs="Roboto"/>
          <w:sz w:val="23"/>
          <w:szCs w:val="23"/>
        </w:rPr>
        <w:t xml:space="preserve">Cth) s. 63B. </w:t>
      </w:r>
      <w:r w:rsidRPr="00D85A9B">
        <w:rPr>
          <w:sz w:val="23"/>
          <w:szCs w:val="23"/>
        </w:rPr>
        <w:t xml:space="preserve"> </w:t>
      </w:r>
    </w:p>
  </w:endnote>
  <w:endnote w:id="103">
    <w:p w14:paraId="681085B3" w14:textId="49B6484A" w:rsidR="004D1500" w:rsidRPr="00D85A9B" w:rsidRDefault="004D1500" w:rsidP="00563C41">
      <w:pPr>
        <w:pStyle w:val="Endnotes"/>
        <w:spacing w:after="120" w:line="214" w:lineRule="auto"/>
        <w:rPr>
          <w:rFonts w:eastAsia="Roboto" w:cs="Roboto"/>
          <w:sz w:val="23"/>
          <w:szCs w:val="23"/>
        </w:rPr>
      </w:pPr>
      <w:r w:rsidRPr="00D85A9B">
        <w:rPr>
          <w:rStyle w:val="EndnoteReference"/>
          <w:sz w:val="23"/>
          <w:szCs w:val="23"/>
          <w:vertAlign w:val="baseline"/>
        </w:rPr>
        <w:endnoteRef/>
      </w:r>
      <w:r w:rsidRPr="00D85A9B">
        <w:rPr>
          <w:sz w:val="23"/>
          <w:szCs w:val="23"/>
        </w:rPr>
        <w:t xml:space="preserve"> </w:t>
      </w:r>
      <w:r w:rsidR="007F73BD" w:rsidRPr="00D85A9B">
        <w:rPr>
          <w:sz w:val="23"/>
          <w:szCs w:val="23"/>
        </w:rPr>
        <w:tab/>
      </w:r>
      <w:r w:rsidRPr="00D85A9B">
        <w:rPr>
          <w:rFonts w:eastAsia="Roboto" w:cs="Roboto"/>
          <w:sz w:val="23"/>
          <w:szCs w:val="23"/>
        </w:rPr>
        <w:t>Wright, C. J., Davis, A., Vella, A. M., McGrath-Lester, R., &amp; Lim, M. S. (2021). Young people's needs and preferences for health resources focused on pornography and sharing of sexually explicit imagery. </w:t>
      </w:r>
      <w:r w:rsidRPr="00D85A9B">
        <w:rPr>
          <w:rFonts w:eastAsia="Roboto" w:cs="Roboto"/>
          <w:i/>
          <w:iCs/>
          <w:sz w:val="23"/>
          <w:szCs w:val="23"/>
        </w:rPr>
        <w:t>Public Health Research and Practice</w:t>
      </w:r>
      <w:r w:rsidRPr="00D85A9B">
        <w:rPr>
          <w:rFonts w:eastAsia="Roboto" w:cs="Roboto"/>
          <w:sz w:val="23"/>
          <w:szCs w:val="23"/>
        </w:rPr>
        <w:t>, </w:t>
      </w:r>
      <w:r w:rsidRPr="00D85A9B">
        <w:rPr>
          <w:rFonts w:eastAsia="Roboto" w:cs="Roboto"/>
          <w:i/>
          <w:iCs/>
          <w:sz w:val="23"/>
          <w:szCs w:val="23"/>
        </w:rPr>
        <w:t>31</w:t>
      </w:r>
      <w:r w:rsidRPr="00D85A9B">
        <w:rPr>
          <w:rFonts w:eastAsia="Roboto" w:cs="Roboto"/>
          <w:sz w:val="23"/>
          <w:szCs w:val="23"/>
        </w:rPr>
        <w:t>(1), 1-3;</w:t>
      </w:r>
    </w:p>
    <w:p w14:paraId="02201318" w14:textId="48AA561C" w:rsidR="004D1500" w:rsidRPr="00D85A9B" w:rsidRDefault="004D1500" w:rsidP="0093658C">
      <w:pPr>
        <w:pStyle w:val="Endnotes"/>
        <w:spacing w:after="120" w:line="214" w:lineRule="auto"/>
        <w:ind w:firstLine="0"/>
        <w:rPr>
          <w:rFonts w:eastAsia="Roboto" w:cs="Roboto"/>
          <w:sz w:val="23"/>
          <w:szCs w:val="23"/>
        </w:rPr>
      </w:pPr>
      <w:r w:rsidRPr="00D85A9B">
        <w:rPr>
          <w:rFonts w:eastAsia="Roboto" w:cs="Roboto"/>
          <w:sz w:val="23"/>
          <w:szCs w:val="23"/>
        </w:rPr>
        <w:t>Hatchel, T. J., Subrahmanyam, K., &amp; Birkett, M. (2017). The digital development of LGBTQ youth: Identity, sexuality, and intimacy. In </w:t>
      </w:r>
      <w:r w:rsidRPr="00D85A9B">
        <w:rPr>
          <w:rFonts w:eastAsia="Roboto" w:cs="Roboto"/>
          <w:i/>
          <w:iCs/>
          <w:sz w:val="23"/>
          <w:szCs w:val="23"/>
        </w:rPr>
        <w:t>Identity, sexuality, and relationships among emerging adults in the digital age</w:t>
      </w:r>
      <w:r w:rsidRPr="00D85A9B">
        <w:rPr>
          <w:rFonts w:eastAsia="Roboto" w:cs="Roboto"/>
          <w:sz w:val="23"/>
          <w:szCs w:val="23"/>
        </w:rPr>
        <w:t xml:space="preserve"> (pp. 61-74). </w:t>
      </w:r>
      <w:r w:rsidRPr="00D85A9B">
        <w:rPr>
          <w:rFonts w:eastAsia="Roboto" w:cs="Roboto"/>
          <w:sz w:val="23"/>
          <w:szCs w:val="23"/>
        </w:rPr>
        <w:t>IGI Global.</w:t>
      </w:r>
    </w:p>
  </w:endnote>
  <w:endnote w:id="104">
    <w:p w14:paraId="62EDC648" w14:textId="2E65497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00585DFD" w:rsidRPr="00D85A9B">
        <w:rPr>
          <w:rFonts w:eastAsia="Roboto" w:cs="Roboto"/>
          <w:sz w:val="23"/>
          <w:szCs w:val="23"/>
        </w:rPr>
        <w:t xml:space="preserve"> </w:t>
      </w:r>
      <w:r w:rsidR="00585DFD" w:rsidRPr="00D85A9B">
        <w:rPr>
          <w:rFonts w:eastAsia="Roboto" w:cs="Roboto"/>
          <w:sz w:val="23"/>
          <w:szCs w:val="23"/>
        </w:rPr>
        <w:tab/>
      </w:r>
      <w:r w:rsidRPr="00D85A9B">
        <w:rPr>
          <w:rFonts w:eastAsia="Roboto" w:cs="Roboto"/>
          <w:sz w:val="23"/>
          <w:szCs w:val="23"/>
        </w:rPr>
        <w:t xml:space="preserve">The Men’s Project. (2025). </w:t>
      </w:r>
      <w:r w:rsidRPr="00D85A9B">
        <w:rPr>
          <w:rFonts w:eastAsia="Roboto" w:cs="Roboto"/>
          <w:i/>
          <w:iCs/>
          <w:sz w:val="23"/>
          <w:szCs w:val="23"/>
        </w:rPr>
        <w:t>The Adolescent Man Box: Findings from a survey with Australian adolescents aged 14-18 years</w:t>
      </w:r>
      <w:r w:rsidRPr="00D85A9B">
        <w:rPr>
          <w:rFonts w:eastAsia="Roboto" w:cs="Roboto"/>
          <w:sz w:val="23"/>
          <w:szCs w:val="23"/>
        </w:rPr>
        <w:t>, Melbourne: Jesuit Social Services.</w:t>
      </w:r>
    </w:p>
  </w:endnote>
  <w:endnote w:id="105">
    <w:p w14:paraId="6BAADDD3" w14:textId="7E76AA13"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7F73BD" w:rsidRPr="00D85A9B">
        <w:rPr>
          <w:sz w:val="23"/>
          <w:szCs w:val="23"/>
        </w:rPr>
        <w:tab/>
      </w:r>
      <w:r w:rsidRPr="00D85A9B">
        <w:rPr>
          <w:rFonts w:eastAsia="Roboto" w:cs="Roboto"/>
          <w:sz w:val="23"/>
          <w:szCs w:val="23"/>
        </w:rPr>
        <w:t xml:space="preserve">Stanley, N., Barter, C., Wood, M., </w:t>
      </w:r>
      <w:r w:rsidRPr="00D85A9B">
        <w:rPr>
          <w:rFonts w:eastAsia="Roboto" w:cs="Roboto"/>
          <w:sz w:val="23"/>
          <w:szCs w:val="23"/>
        </w:rPr>
        <w:t xml:space="preserve">Aghtaie, N., Larkins, C., Lanau, A., &amp; Överlien, C. (2018). Pornography, sexual coercion and abuse and sexting in young people’s intimate relationships: A European study. </w:t>
      </w:r>
      <w:r w:rsidRPr="00D85A9B">
        <w:rPr>
          <w:rFonts w:eastAsia="Roboto" w:cs="Roboto"/>
          <w:i/>
          <w:iCs/>
          <w:sz w:val="23"/>
          <w:szCs w:val="23"/>
        </w:rPr>
        <w:t>Journal of Interpersonal Violence</w:t>
      </w:r>
      <w:r w:rsidRPr="00D85A9B">
        <w:rPr>
          <w:rFonts w:eastAsia="Roboto" w:cs="Roboto"/>
          <w:sz w:val="23"/>
          <w:szCs w:val="23"/>
        </w:rPr>
        <w:t>, 33(19), 2919–2944.</w:t>
      </w:r>
    </w:p>
  </w:endnote>
  <w:endnote w:id="106">
    <w:p w14:paraId="150CE430" w14:textId="74E7FBB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7F73BD" w:rsidRPr="00D85A9B">
        <w:rPr>
          <w:sz w:val="23"/>
          <w:szCs w:val="23"/>
        </w:rPr>
        <w:tab/>
      </w:r>
      <w:r w:rsidRPr="00D85A9B">
        <w:rPr>
          <w:sz w:val="23"/>
          <w:szCs w:val="23"/>
        </w:rPr>
        <w:t xml:space="preserve">eSafety Commissioner. (2023). </w:t>
      </w:r>
      <w:r w:rsidRPr="00D85A9B">
        <w:rPr>
          <w:i/>
          <w:iCs/>
          <w:sz w:val="23"/>
          <w:szCs w:val="23"/>
        </w:rPr>
        <w:t>Technology-facilitated abuse: Family, domestic and sexual violence literature scan</w:t>
      </w:r>
      <w:r w:rsidRPr="00D85A9B">
        <w:rPr>
          <w:sz w:val="23"/>
          <w:szCs w:val="23"/>
        </w:rPr>
        <w:t>. Australian Government.</w:t>
      </w:r>
    </w:p>
  </w:endnote>
  <w:endnote w:id="107">
    <w:p w14:paraId="2A9AB492" w14:textId="3EAF8CB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Burton, M., Minihan, S., Nicholas, M., Connor, J., &amp; Trengove, K. (2025). Regulating image-based abuse: An examination of Australia’s reporting and removal scheme. </w:t>
      </w:r>
      <w:r w:rsidRPr="00D85A9B">
        <w:rPr>
          <w:i/>
          <w:iCs/>
          <w:sz w:val="23"/>
          <w:szCs w:val="23"/>
        </w:rPr>
        <w:t>Journal of Online Trust and Safety</w:t>
      </w:r>
      <w:r w:rsidRPr="00D85A9B">
        <w:rPr>
          <w:sz w:val="23"/>
          <w:szCs w:val="23"/>
        </w:rPr>
        <w:t xml:space="preserve">, </w:t>
      </w:r>
      <w:r w:rsidRPr="00D85A9B">
        <w:rPr>
          <w:i/>
          <w:iCs/>
          <w:sz w:val="23"/>
          <w:szCs w:val="23"/>
        </w:rPr>
        <w:t>2</w:t>
      </w:r>
      <w:r w:rsidRPr="00D85A9B">
        <w:rPr>
          <w:sz w:val="23"/>
          <w:szCs w:val="23"/>
        </w:rPr>
        <w:t>(5).</w:t>
      </w:r>
    </w:p>
  </w:endnote>
  <w:endnote w:id="108">
    <w:p w14:paraId="0C0E022F" w14:textId="727647D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eSafety Commissioner. (2017). </w:t>
      </w:r>
      <w:r w:rsidRPr="00D85A9B">
        <w:rPr>
          <w:i/>
          <w:iCs/>
          <w:sz w:val="23"/>
          <w:szCs w:val="23"/>
        </w:rPr>
        <w:t xml:space="preserve">Image-based abuse. National survey: Summary report. </w:t>
      </w:r>
      <w:r w:rsidRPr="00D85A9B">
        <w:rPr>
          <w:sz w:val="23"/>
          <w:szCs w:val="23"/>
        </w:rPr>
        <w:t>Australian Government.</w:t>
      </w:r>
    </w:p>
  </w:endnote>
  <w:endnote w:id="109">
    <w:p w14:paraId="107680F2" w14:textId="1111C9C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eSafety Commissioner (2017), see note 103.</w:t>
      </w:r>
    </w:p>
  </w:endnote>
  <w:endnote w:id="110">
    <w:p w14:paraId="2D3D7C69" w14:textId="637816D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Crofts, T., &amp; Lee, M. (2013). Sexting, children and child pornography. </w:t>
      </w:r>
      <w:r w:rsidRPr="00D85A9B">
        <w:rPr>
          <w:i/>
          <w:iCs/>
          <w:sz w:val="23"/>
          <w:szCs w:val="23"/>
        </w:rPr>
        <w:t>Sydney Law Review</w:t>
      </w:r>
      <w:r w:rsidRPr="00D85A9B">
        <w:rPr>
          <w:sz w:val="23"/>
          <w:szCs w:val="23"/>
        </w:rPr>
        <w:t xml:space="preserve">, </w:t>
      </w:r>
      <w:r w:rsidRPr="00D85A9B">
        <w:rPr>
          <w:i/>
          <w:iCs/>
          <w:sz w:val="23"/>
          <w:szCs w:val="23"/>
        </w:rPr>
        <w:t>35</w:t>
      </w:r>
      <w:r w:rsidRPr="00D85A9B">
        <w:rPr>
          <w:sz w:val="23"/>
          <w:szCs w:val="23"/>
        </w:rPr>
        <w:t>, 85–106.</w:t>
      </w:r>
    </w:p>
    <w:p w14:paraId="2ADAA056"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Yeung, T. H., </w:t>
      </w:r>
      <w:r w:rsidRPr="00D85A9B">
        <w:rPr>
          <w:sz w:val="23"/>
          <w:szCs w:val="23"/>
        </w:rPr>
        <w:t xml:space="preserve">Horyniak, D. R., Vella, A. M., Hellard, M. E., &amp; Lim, M. S. (2014). Prevalence, correlates and attitudes towards sexting among young people in Melbourne, Australia. </w:t>
      </w:r>
      <w:r w:rsidRPr="00D85A9B">
        <w:rPr>
          <w:i/>
          <w:iCs/>
          <w:sz w:val="23"/>
          <w:szCs w:val="23"/>
        </w:rPr>
        <w:t>Sexual Health</w:t>
      </w:r>
      <w:r w:rsidRPr="00D85A9B">
        <w:rPr>
          <w:sz w:val="23"/>
          <w:szCs w:val="23"/>
        </w:rPr>
        <w:t xml:space="preserve">, </w:t>
      </w:r>
      <w:r w:rsidRPr="00D85A9B">
        <w:rPr>
          <w:i/>
          <w:iCs/>
          <w:sz w:val="23"/>
          <w:szCs w:val="23"/>
        </w:rPr>
        <w:t>11</w:t>
      </w:r>
      <w:r w:rsidRPr="00D85A9B">
        <w:rPr>
          <w:sz w:val="23"/>
          <w:szCs w:val="23"/>
        </w:rPr>
        <w:t>(4), 332–339.</w:t>
      </w:r>
    </w:p>
  </w:endnote>
  <w:endnote w:id="111">
    <w:p w14:paraId="2045D511" w14:textId="1E7401D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Albury, K., Crawford, K., Byron, P., &amp; Mathews, B. P. (2013). </w:t>
      </w:r>
      <w:r w:rsidRPr="00D85A9B">
        <w:rPr>
          <w:i/>
          <w:iCs/>
          <w:sz w:val="23"/>
          <w:szCs w:val="23"/>
        </w:rPr>
        <w:t>Young people and sexting in Australia: Ethics, representation and the law</w:t>
      </w:r>
      <w:r w:rsidRPr="00D85A9B">
        <w:rPr>
          <w:sz w:val="23"/>
          <w:szCs w:val="23"/>
        </w:rPr>
        <w:t>. ARC Centre for Creative Industries and Innovation, &amp; Journalism and Media Research Centre, University of New South Wales.</w:t>
      </w:r>
    </w:p>
    <w:p w14:paraId="320BAE24"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Ringrose, J., Harvey, L., Gill, R., &amp; Livingstone, S. (2013). Teen girls, sexual double standards and ‘sexting’: Gendered value in digital image exchange. </w:t>
      </w:r>
      <w:r w:rsidRPr="00D85A9B">
        <w:rPr>
          <w:i/>
          <w:iCs/>
          <w:sz w:val="23"/>
          <w:szCs w:val="23"/>
        </w:rPr>
        <w:t>Feminist Theory</w:t>
      </w:r>
      <w:r w:rsidRPr="00D85A9B">
        <w:rPr>
          <w:sz w:val="23"/>
          <w:szCs w:val="23"/>
        </w:rPr>
        <w:t xml:space="preserve">, </w:t>
      </w:r>
      <w:r w:rsidRPr="00D85A9B">
        <w:rPr>
          <w:i/>
          <w:iCs/>
          <w:sz w:val="23"/>
          <w:szCs w:val="23"/>
        </w:rPr>
        <w:t>14</w:t>
      </w:r>
      <w:r w:rsidRPr="00D85A9B">
        <w:rPr>
          <w:sz w:val="23"/>
          <w:szCs w:val="23"/>
        </w:rPr>
        <w:t>(3), 305–323.</w:t>
      </w:r>
    </w:p>
  </w:endnote>
  <w:endnote w:id="112">
    <w:p w14:paraId="05246111" w14:textId="4242F9C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Klettke, B., Hallford, D. J., &amp; Mellor, D. J. (2014). Sexting prevalence and correlates: A systematic literature review. </w:t>
      </w:r>
      <w:r w:rsidRPr="00D85A9B">
        <w:rPr>
          <w:i/>
          <w:iCs/>
          <w:sz w:val="23"/>
          <w:szCs w:val="23"/>
        </w:rPr>
        <w:t>Clinical Psychology Review</w:t>
      </w:r>
      <w:r w:rsidRPr="00D85A9B">
        <w:rPr>
          <w:sz w:val="23"/>
          <w:szCs w:val="23"/>
        </w:rPr>
        <w:t xml:space="preserve">, </w:t>
      </w:r>
      <w:r w:rsidRPr="00D85A9B">
        <w:rPr>
          <w:i/>
          <w:iCs/>
          <w:sz w:val="23"/>
          <w:szCs w:val="23"/>
        </w:rPr>
        <w:t>34</w:t>
      </w:r>
      <w:r w:rsidRPr="00D85A9B">
        <w:rPr>
          <w:sz w:val="23"/>
          <w:szCs w:val="23"/>
        </w:rPr>
        <w:t>(1), 44–53.</w:t>
      </w:r>
    </w:p>
    <w:p w14:paraId="5FAC6F50"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Lim, M. S., Vella, A. M., </w:t>
      </w:r>
      <w:r w:rsidRPr="00D85A9B">
        <w:rPr>
          <w:sz w:val="23"/>
          <w:szCs w:val="23"/>
        </w:rPr>
        <w:t xml:space="preserve">Horyniak, D. R., &amp; Hellard, M. E. (2016). Exploring attitudes towards sexting of young people: A cross-sectional study. </w:t>
      </w:r>
      <w:r w:rsidRPr="00D85A9B">
        <w:rPr>
          <w:i/>
          <w:iCs/>
          <w:sz w:val="23"/>
          <w:szCs w:val="23"/>
        </w:rPr>
        <w:t>Sexual Health</w:t>
      </w:r>
      <w:r w:rsidRPr="00D85A9B">
        <w:rPr>
          <w:sz w:val="23"/>
          <w:szCs w:val="23"/>
        </w:rPr>
        <w:t xml:space="preserve">, </w:t>
      </w:r>
      <w:r w:rsidRPr="00D85A9B">
        <w:rPr>
          <w:i/>
          <w:iCs/>
          <w:sz w:val="23"/>
          <w:szCs w:val="23"/>
        </w:rPr>
        <w:t>13</w:t>
      </w:r>
      <w:r w:rsidRPr="00D85A9B">
        <w:rPr>
          <w:sz w:val="23"/>
          <w:szCs w:val="23"/>
        </w:rPr>
        <w:t>(6), 530–535.</w:t>
      </w:r>
    </w:p>
    <w:p w14:paraId="75373B5B"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Quadara, A., El-Murr, A., &amp; Latham, J. (2017). </w:t>
      </w:r>
      <w:r w:rsidRPr="00D85A9B">
        <w:rPr>
          <w:i/>
          <w:iCs/>
          <w:sz w:val="23"/>
          <w:szCs w:val="23"/>
        </w:rPr>
        <w:t>The effects of pornography on children and young people: An evidence scan</w:t>
      </w:r>
      <w:r w:rsidRPr="00D85A9B">
        <w:rPr>
          <w:sz w:val="23"/>
          <w:szCs w:val="23"/>
        </w:rPr>
        <w:t>. Australian Institute of Family Studies.</w:t>
      </w:r>
    </w:p>
    <w:p w14:paraId="62ED1675" w14:textId="77777777" w:rsidR="004D1500" w:rsidRPr="00D85A9B" w:rsidRDefault="004D1500" w:rsidP="0093658C">
      <w:pPr>
        <w:pStyle w:val="Endnotes"/>
        <w:spacing w:after="120" w:line="214" w:lineRule="auto"/>
        <w:ind w:firstLine="0"/>
        <w:rPr>
          <w:sz w:val="23"/>
          <w:szCs w:val="23"/>
        </w:rPr>
      </w:pPr>
      <w:r w:rsidRPr="00D85A9B">
        <w:rPr>
          <w:sz w:val="23"/>
          <w:szCs w:val="23"/>
        </w:rPr>
        <w:t xml:space="preserve">Walker, S., Temple-Smith, M., Higgs, P., &amp; Sanci, L. (2015). ‘It’s always just there in your face’: Young people’s views on porn. </w:t>
      </w:r>
      <w:r w:rsidRPr="00D85A9B">
        <w:rPr>
          <w:i/>
          <w:iCs/>
          <w:sz w:val="23"/>
          <w:szCs w:val="23"/>
        </w:rPr>
        <w:t>Sexual Health</w:t>
      </w:r>
      <w:r w:rsidRPr="00D85A9B">
        <w:rPr>
          <w:sz w:val="23"/>
          <w:szCs w:val="23"/>
        </w:rPr>
        <w:t xml:space="preserve">, </w:t>
      </w:r>
      <w:r w:rsidRPr="00D85A9B">
        <w:rPr>
          <w:i/>
          <w:iCs/>
          <w:sz w:val="23"/>
          <w:szCs w:val="23"/>
        </w:rPr>
        <w:t>12</w:t>
      </w:r>
      <w:r w:rsidRPr="00D85A9B">
        <w:rPr>
          <w:sz w:val="23"/>
          <w:szCs w:val="23"/>
        </w:rPr>
        <w:t xml:space="preserve">(3), 200–206. </w:t>
      </w:r>
    </w:p>
  </w:endnote>
  <w:endnote w:id="113">
    <w:p w14:paraId="3C835ED8" w14:textId="7907FB5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Quadara, A., El-Murr, A., &amp; Latham, J. (2017), see note 107.</w:t>
      </w:r>
    </w:p>
  </w:endnote>
  <w:endnote w:id="114">
    <w:p w14:paraId="16DA643B" w14:textId="2E5E770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Horvath, M. A., Alys, L., Massey, K., Pina, A., Scally, M., &amp; Adler, J. R. (2013). </w:t>
      </w:r>
      <w:r w:rsidRPr="00D85A9B">
        <w:rPr>
          <w:i/>
          <w:iCs/>
          <w:sz w:val="23"/>
          <w:szCs w:val="23"/>
        </w:rPr>
        <w:t>Basically … porn is everywhere: A rapid evidence assessment on the effects that access and exposure to pornography has on children and young people.</w:t>
      </w:r>
      <w:r w:rsidRPr="00D85A9B">
        <w:rPr>
          <w:sz w:val="23"/>
          <w:szCs w:val="23"/>
        </w:rPr>
        <w:t xml:space="preserve"> Office of the Children’s Commissioner for England.</w:t>
      </w:r>
    </w:p>
    <w:p w14:paraId="5343E427"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Livingstone, S., &amp; </w:t>
      </w:r>
      <w:r w:rsidRPr="00D85A9B">
        <w:rPr>
          <w:sz w:val="23"/>
          <w:szCs w:val="23"/>
        </w:rPr>
        <w:t xml:space="preserve">Görzig, A. (2012). ‘Sexting’: The exchange of sexual messages online among European youth. In </w:t>
      </w:r>
      <w:r w:rsidRPr="00D85A9B">
        <w:rPr>
          <w:i/>
          <w:iCs/>
          <w:sz w:val="23"/>
          <w:szCs w:val="23"/>
        </w:rPr>
        <w:t>Children, risk and safety on the internet: Kids online in comparative perspective</w:t>
      </w:r>
      <w:r w:rsidRPr="00D85A9B">
        <w:rPr>
          <w:sz w:val="23"/>
          <w:szCs w:val="23"/>
        </w:rPr>
        <w:t xml:space="preserve"> (pp. 151–164).</w:t>
      </w:r>
    </w:p>
    <w:p w14:paraId="6E949943" w14:textId="77777777" w:rsidR="004D1500" w:rsidRPr="00D85A9B" w:rsidRDefault="004D1500" w:rsidP="00833BF7">
      <w:pPr>
        <w:pStyle w:val="Endnotes"/>
        <w:spacing w:after="120" w:line="214" w:lineRule="auto"/>
        <w:ind w:firstLine="0"/>
        <w:rPr>
          <w:sz w:val="23"/>
          <w:szCs w:val="23"/>
        </w:rPr>
      </w:pPr>
      <w:r w:rsidRPr="00D85A9B">
        <w:rPr>
          <w:sz w:val="23"/>
          <w:szCs w:val="23"/>
        </w:rPr>
        <w:t>Wright, C. J., Davis, A. C., Vella, A. M., McGrath-Lester, R., &amp; Lim, M. S. (2019), see note 99.</w:t>
      </w:r>
    </w:p>
  </w:endnote>
  <w:endnote w:id="115">
    <w:p w14:paraId="55C88B29" w14:textId="7FCE74A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Englander, E. (2012). Low risk associated with most teenage sexting: A study of 617 18-year-olds. In </w:t>
      </w:r>
      <w:r w:rsidRPr="00D85A9B">
        <w:rPr>
          <w:i/>
          <w:iCs/>
          <w:sz w:val="23"/>
          <w:szCs w:val="23"/>
        </w:rPr>
        <w:t>MARC Research Reports</w:t>
      </w:r>
      <w:r w:rsidRPr="00D85A9B">
        <w:rPr>
          <w:sz w:val="23"/>
          <w:szCs w:val="23"/>
        </w:rPr>
        <w:t xml:space="preserve"> (Paper 6). </w:t>
      </w:r>
    </w:p>
  </w:endnote>
  <w:endnote w:id="116">
    <w:p w14:paraId="098F8C6C" w14:textId="6BF0613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Mitchell, K. J., </w:t>
      </w:r>
      <w:r w:rsidRPr="00D85A9B">
        <w:rPr>
          <w:sz w:val="23"/>
          <w:szCs w:val="23"/>
        </w:rPr>
        <w:t xml:space="preserve">Finkelhor, D., Jones, L. M., &amp; Wolak, J. (2012). Prevalence and characteristics of youth sexting: A national study. </w:t>
      </w:r>
      <w:r w:rsidRPr="00D85A9B">
        <w:rPr>
          <w:i/>
          <w:iCs/>
          <w:sz w:val="23"/>
          <w:szCs w:val="23"/>
        </w:rPr>
        <w:t>Pediatrics</w:t>
      </w:r>
      <w:r w:rsidRPr="00D85A9B">
        <w:rPr>
          <w:sz w:val="23"/>
          <w:szCs w:val="23"/>
        </w:rPr>
        <w:t xml:space="preserve">, </w:t>
      </w:r>
      <w:r w:rsidRPr="00D85A9B">
        <w:rPr>
          <w:i/>
          <w:iCs/>
          <w:sz w:val="23"/>
          <w:szCs w:val="23"/>
        </w:rPr>
        <w:t>129</w:t>
      </w:r>
      <w:r w:rsidRPr="00D85A9B">
        <w:rPr>
          <w:sz w:val="23"/>
          <w:szCs w:val="23"/>
        </w:rPr>
        <w:t xml:space="preserve">(1), 13–20. </w:t>
      </w:r>
    </w:p>
  </w:endnote>
  <w:endnote w:id="117">
    <w:p w14:paraId="630ACD9E" w14:textId="4A7B015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Power, J., Kauer, S., Fisher, C., Bellamy, R., &amp; Bourne, A. (2022), see note 91. </w:t>
      </w:r>
    </w:p>
  </w:endnote>
  <w:endnote w:id="118">
    <w:p w14:paraId="307F240E" w14:textId="6B20201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Horvath, M. A., Alys, L., Massey, K., Pina, A., Scally, M., &amp; Adler, J. R. (2013), see note 109.</w:t>
      </w:r>
    </w:p>
    <w:p w14:paraId="1896F804"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Martellozzo, E., Monaghan, A., Adler, J. R., Davidson, J., Leyva, R., &amp; Horvath, M. A. (2016). </w:t>
      </w:r>
      <w:r w:rsidRPr="00D85A9B">
        <w:rPr>
          <w:i/>
          <w:iCs/>
          <w:sz w:val="23"/>
          <w:szCs w:val="23"/>
        </w:rPr>
        <w:t>‘I wasn’t sure it was normal to watch it …’ A quantitative and qualitative examination of the impact of online pornography on the values, attitudes, beliefs and behaviours of children and young people</w:t>
      </w:r>
      <w:r w:rsidRPr="00D85A9B">
        <w:rPr>
          <w:sz w:val="23"/>
          <w:szCs w:val="23"/>
        </w:rPr>
        <w:t>. NSPCC.</w:t>
      </w:r>
    </w:p>
  </w:endnote>
  <w:endnote w:id="119">
    <w:p w14:paraId="72B57D81" w14:textId="41BF836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Englander, E. (2012), see note 110. </w:t>
      </w:r>
    </w:p>
  </w:endnote>
  <w:endnote w:id="120">
    <w:p w14:paraId="379CA5B7" w14:textId="228E221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Quadara, A., El-Murr, A., &amp; Latham, J. (2017), see note 107</w:t>
      </w:r>
      <w:r w:rsidRPr="00D85A9B">
        <w:rPr>
          <w:i/>
          <w:iCs/>
          <w:sz w:val="23"/>
          <w:szCs w:val="23"/>
        </w:rPr>
        <w:t>.</w:t>
      </w:r>
    </w:p>
  </w:endnote>
  <w:endnote w:id="121">
    <w:p w14:paraId="0F8E2DE2" w14:textId="538B5023"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Henry, N., McGlynn, C., Flynn, A., Johnson, K., Powell, A., Scott, A. J., &amp; Vera-Gray, F. (2022). Deepfakes and digitally altered imagery abuse: A cross-country exploration of an emerging form of image-based sexual abuse. </w:t>
      </w:r>
      <w:r w:rsidRPr="00D85A9B">
        <w:rPr>
          <w:i/>
          <w:iCs/>
          <w:sz w:val="23"/>
          <w:szCs w:val="23"/>
        </w:rPr>
        <w:t>The British Journal of Criminology</w:t>
      </w:r>
      <w:r w:rsidRPr="00D85A9B">
        <w:rPr>
          <w:sz w:val="23"/>
          <w:szCs w:val="23"/>
        </w:rPr>
        <w:t xml:space="preserve">, </w:t>
      </w:r>
      <w:r w:rsidRPr="00D85A9B">
        <w:rPr>
          <w:i/>
          <w:iCs/>
          <w:sz w:val="23"/>
          <w:szCs w:val="23"/>
        </w:rPr>
        <w:t>62</w:t>
      </w:r>
      <w:r w:rsidRPr="00D85A9B">
        <w:rPr>
          <w:sz w:val="23"/>
          <w:szCs w:val="23"/>
        </w:rPr>
        <w:t xml:space="preserve">(6), 1341–1361. </w:t>
      </w:r>
    </w:p>
  </w:endnote>
  <w:endnote w:id="122">
    <w:p w14:paraId="5C82E6C1" w14:textId="02B7783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 xml:space="preserve">Okolie, C. (2023). Artificial intelligence-altered videos (deepfakes) and data privacy concerns. </w:t>
      </w:r>
      <w:r w:rsidRPr="00D85A9B">
        <w:rPr>
          <w:i/>
          <w:iCs/>
          <w:sz w:val="23"/>
          <w:szCs w:val="23"/>
        </w:rPr>
        <w:t>Journal of International Women's Studies, 25</w:t>
      </w:r>
      <w:r w:rsidRPr="00D85A9B">
        <w:rPr>
          <w:sz w:val="23"/>
          <w:szCs w:val="23"/>
        </w:rPr>
        <w:t xml:space="preserve">(2), 13. </w:t>
      </w:r>
    </w:p>
  </w:endnote>
  <w:endnote w:id="123">
    <w:p w14:paraId="24DB6809" w14:textId="64072F8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D8617F" w:rsidRPr="00D85A9B">
        <w:rPr>
          <w:sz w:val="23"/>
          <w:szCs w:val="23"/>
        </w:rPr>
        <w:tab/>
      </w:r>
      <w:r w:rsidRPr="00D85A9B">
        <w:rPr>
          <w:sz w:val="23"/>
          <w:szCs w:val="23"/>
        </w:rPr>
        <w:t>Henry, N., McGlynn, C., Flynn, A., Johnson, K., Powell, A., Scott, A. J., &amp; Vera-Gray, F. (2022), see note 116.</w:t>
      </w:r>
    </w:p>
  </w:endnote>
  <w:endnote w:id="124">
    <w:p w14:paraId="1032E6A8" w14:textId="0BB96FEB" w:rsidR="004D1500" w:rsidRPr="007F402D" w:rsidRDefault="004D1500" w:rsidP="00563C41">
      <w:pPr>
        <w:pStyle w:val="Endnotes"/>
        <w:spacing w:after="120" w:line="214" w:lineRule="auto"/>
        <w:rPr>
          <w:sz w:val="23"/>
          <w:szCs w:val="23"/>
        </w:rPr>
      </w:pPr>
      <w:r w:rsidRPr="007F402D">
        <w:rPr>
          <w:rStyle w:val="EndnoteReference"/>
          <w:sz w:val="23"/>
          <w:szCs w:val="23"/>
          <w:vertAlign w:val="baseline"/>
        </w:rPr>
        <w:endnoteRef/>
      </w:r>
      <w:r w:rsidRPr="007F402D">
        <w:rPr>
          <w:sz w:val="23"/>
          <w:szCs w:val="23"/>
        </w:rPr>
        <w:t xml:space="preserve"> </w:t>
      </w:r>
      <w:r w:rsidR="00D8617F" w:rsidRPr="007F402D">
        <w:rPr>
          <w:sz w:val="23"/>
          <w:szCs w:val="23"/>
        </w:rPr>
        <w:tab/>
      </w:r>
      <w:r w:rsidRPr="007F402D">
        <w:rPr>
          <w:sz w:val="23"/>
          <w:szCs w:val="23"/>
        </w:rPr>
        <w:t>Okolie, C. (2023), see note 117.</w:t>
      </w:r>
    </w:p>
  </w:endnote>
  <w:endnote w:id="125">
    <w:p w14:paraId="66635D1D" w14:textId="44D1B07C" w:rsidR="007F402D" w:rsidRPr="007F402D" w:rsidRDefault="0098651A" w:rsidP="007F402D">
      <w:pPr>
        <w:pStyle w:val="Endnotes"/>
        <w:rPr>
          <w:sz w:val="23"/>
          <w:szCs w:val="23"/>
        </w:rPr>
      </w:pPr>
      <w:r w:rsidRPr="007F402D">
        <w:rPr>
          <w:rStyle w:val="EndnoteReference"/>
          <w:sz w:val="23"/>
          <w:szCs w:val="23"/>
          <w:vertAlign w:val="baseline"/>
        </w:rPr>
        <w:endnoteRef/>
      </w:r>
      <w:r w:rsidRPr="007F402D">
        <w:rPr>
          <w:rStyle w:val="EndnoteReference"/>
          <w:sz w:val="23"/>
          <w:szCs w:val="23"/>
          <w:vertAlign w:val="baseline"/>
        </w:rPr>
        <w:t xml:space="preserve"> </w:t>
      </w:r>
      <w:r w:rsidR="00AA7EDC" w:rsidRPr="007F402D">
        <w:rPr>
          <w:rStyle w:val="EndnoteReference"/>
          <w:sz w:val="23"/>
          <w:szCs w:val="23"/>
          <w:vertAlign w:val="baseline"/>
        </w:rPr>
        <w:tab/>
        <w:t xml:space="preserve">Okolie, C. (2023), see </w:t>
      </w:r>
      <w:r w:rsidR="00AA7EDC" w:rsidRPr="007F402D">
        <w:rPr>
          <w:sz w:val="23"/>
          <w:szCs w:val="23"/>
        </w:rPr>
        <w:t>note 117.</w:t>
      </w:r>
    </w:p>
  </w:endnote>
  <w:endnote w:id="126">
    <w:p w14:paraId="0BC77627" w14:textId="1EFDDAA3" w:rsidR="004D1500" w:rsidRPr="007F402D" w:rsidRDefault="004D1500" w:rsidP="00563C41">
      <w:pPr>
        <w:pStyle w:val="Endnotes"/>
        <w:spacing w:after="120" w:line="214" w:lineRule="auto"/>
        <w:rPr>
          <w:rStyle w:val="Emphasis"/>
          <w:rFonts w:eastAsiaTheme="majorEastAsia"/>
          <w:sz w:val="23"/>
          <w:szCs w:val="23"/>
        </w:rPr>
      </w:pPr>
      <w:r w:rsidRPr="007F402D">
        <w:rPr>
          <w:rStyle w:val="EndnoteReference"/>
          <w:sz w:val="23"/>
          <w:szCs w:val="23"/>
          <w:vertAlign w:val="baseline"/>
        </w:rPr>
        <w:endnoteRef/>
      </w:r>
      <w:r w:rsidRPr="007F402D">
        <w:rPr>
          <w:sz w:val="23"/>
          <w:szCs w:val="23"/>
        </w:rPr>
        <w:t xml:space="preserve"> </w:t>
      </w:r>
      <w:r w:rsidR="00D8617F" w:rsidRPr="007F402D">
        <w:rPr>
          <w:sz w:val="23"/>
          <w:szCs w:val="23"/>
        </w:rPr>
        <w:tab/>
      </w:r>
      <w:r w:rsidRPr="007F402D">
        <w:rPr>
          <w:sz w:val="23"/>
          <w:szCs w:val="23"/>
        </w:rPr>
        <w:t>Henry, N., McGlynn, C., Flynn, A., Johnson, K., Powell, A., Scott, A. J., &amp; Vera-Gray, F. (2022), see note 116.</w:t>
      </w:r>
    </w:p>
  </w:endnote>
  <w:endnote w:id="127">
    <w:p w14:paraId="7E0C75B4" w14:textId="5DEA5734" w:rsidR="004D1500" w:rsidRPr="00D85A9B" w:rsidRDefault="004D1500" w:rsidP="00563C41">
      <w:pPr>
        <w:pStyle w:val="Endnotes"/>
        <w:spacing w:after="120" w:line="214" w:lineRule="auto"/>
        <w:rPr>
          <w:rStyle w:val="Emphasis"/>
          <w:rFonts w:eastAsiaTheme="majorEastAsia"/>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Henry, N., McGlynn, C., Flynn, A., Johnson, K., Powell, A., Scott, A. J., &amp; Vera-Gray, F. (2022), see note 116.</w:t>
      </w:r>
    </w:p>
  </w:endnote>
  <w:endnote w:id="128">
    <w:p w14:paraId="3F0C7BCB" w14:textId="2A321207" w:rsidR="004D1500" w:rsidRPr="00D85A9B" w:rsidRDefault="004D1500" w:rsidP="00563C41">
      <w:pPr>
        <w:pStyle w:val="Endnotes"/>
        <w:spacing w:after="120" w:line="214" w:lineRule="auto"/>
        <w:rPr>
          <w:rStyle w:val="Emphasis"/>
          <w:rFonts w:eastAsiaTheme="majorEastAsia"/>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Henry, N., McGlynn, C., Flynn, A., Johnson, K., Powell, A., Scott, A. J., &amp; Vera-Gray, F. (2022), see note 116.</w:t>
      </w:r>
    </w:p>
  </w:endnote>
  <w:endnote w:id="129">
    <w:p w14:paraId="5CF5E8E5" w14:textId="641F9207" w:rsidR="004D1500" w:rsidRPr="00D85A9B" w:rsidRDefault="004D1500" w:rsidP="00563C41">
      <w:pPr>
        <w:pStyle w:val="Endnotes"/>
        <w:spacing w:after="120" w:line="214" w:lineRule="auto"/>
        <w:rPr>
          <w:rStyle w:val="Emphasis"/>
          <w:rFonts w:eastAsiaTheme="majorEastAsia"/>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Henry, N., McGlynn, C., Flynn, A., Johnson, K., Powell, A., Scott, A. J., &amp; Vera-Gray, F. (2022), see note 116.</w:t>
      </w:r>
    </w:p>
  </w:endnote>
  <w:endnote w:id="130">
    <w:p w14:paraId="60F48456" w14:textId="2F86DED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Roberts, S., &amp; Wescott, S. (2024). To quell the problem, we must name the problem: The role of social media ‘</w:t>
      </w:r>
      <w:r w:rsidRPr="00D85A9B">
        <w:rPr>
          <w:sz w:val="23"/>
          <w:szCs w:val="23"/>
        </w:rPr>
        <w:t xml:space="preserve">manfluencers’ in boys’ sexist behaviours in school settings. </w:t>
      </w:r>
      <w:r w:rsidRPr="00D85A9B">
        <w:rPr>
          <w:i/>
          <w:iCs/>
          <w:sz w:val="23"/>
          <w:szCs w:val="23"/>
        </w:rPr>
        <w:t>Educational and Developmental Psychologist</w:t>
      </w:r>
      <w:r w:rsidRPr="00D85A9B">
        <w:rPr>
          <w:sz w:val="23"/>
          <w:szCs w:val="23"/>
        </w:rPr>
        <w:t xml:space="preserve">, </w:t>
      </w:r>
      <w:r w:rsidRPr="00D85A9B">
        <w:rPr>
          <w:i/>
          <w:iCs/>
          <w:sz w:val="23"/>
          <w:szCs w:val="23"/>
        </w:rPr>
        <w:t>41</w:t>
      </w:r>
      <w:r w:rsidRPr="00D85A9B">
        <w:rPr>
          <w:sz w:val="23"/>
          <w:szCs w:val="23"/>
        </w:rPr>
        <w:t>(2), 125–128.</w:t>
      </w:r>
    </w:p>
    <w:p w14:paraId="1F85CDB5"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Wescott, S., Roberts, S., &amp; Zhao, X. (2024). The problem of anti-feminist ‘manfluencer’ Andrew Tate in Australian schools: Women teachers’ experiences of resurgent male supremacy. </w:t>
      </w:r>
      <w:r w:rsidRPr="00D85A9B">
        <w:rPr>
          <w:i/>
          <w:iCs/>
          <w:sz w:val="23"/>
          <w:szCs w:val="23"/>
        </w:rPr>
        <w:t>Gender and Education</w:t>
      </w:r>
      <w:r w:rsidRPr="00D85A9B">
        <w:rPr>
          <w:sz w:val="23"/>
          <w:szCs w:val="23"/>
        </w:rPr>
        <w:t xml:space="preserve">, </w:t>
      </w:r>
      <w:r w:rsidRPr="00D85A9B">
        <w:rPr>
          <w:i/>
          <w:iCs/>
          <w:sz w:val="23"/>
          <w:szCs w:val="23"/>
        </w:rPr>
        <w:t>36</w:t>
      </w:r>
      <w:r w:rsidRPr="00D85A9B">
        <w:rPr>
          <w:sz w:val="23"/>
          <w:szCs w:val="23"/>
        </w:rPr>
        <w:t>(2), 167–182.</w:t>
      </w:r>
    </w:p>
  </w:endnote>
  <w:endnote w:id="131">
    <w:p w14:paraId="6B3152E5" w14:textId="4C0D266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Roberts, S., &amp; Wescott, S. (2024), see note 125.</w:t>
      </w:r>
    </w:p>
    <w:p w14:paraId="5E461998"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Wescott, S., Roberts, S., &amp; Zhao, X. (2024), see note 125. </w:t>
      </w:r>
    </w:p>
  </w:endnote>
  <w:endnote w:id="132">
    <w:p w14:paraId="4250C68B" w14:textId="2C6F7CA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Roberts, S., &amp; Wescott, S. (2024), see note 125.</w:t>
      </w:r>
    </w:p>
    <w:p w14:paraId="2FDD92AC"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Wescott, S., Roberts, S., &amp; Zhao, X. (2024), see note 125. </w:t>
      </w:r>
    </w:p>
  </w:endnote>
  <w:endnote w:id="133">
    <w:p w14:paraId="62509198" w14:textId="7B48A1A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Roberts, S., &amp; Wescott, S. (2024), see note 125.</w:t>
      </w:r>
    </w:p>
    <w:p w14:paraId="47EE6E80" w14:textId="77777777" w:rsidR="004D1500" w:rsidRPr="00D85A9B" w:rsidRDefault="004D1500" w:rsidP="00833BF7">
      <w:pPr>
        <w:pStyle w:val="Endnotes"/>
        <w:spacing w:after="120" w:line="214" w:lineRule="auto"/>
        <w:ind w:firstLine="0"/>
        <w:rPr>
          <w:sz w:val="23"/>
          <w:szCs w:val="23"/>
        </w:rPr>
      </w:pPr>
      <w:r w:rsidRPr="00D85A9B">
        <w:rPr>
          <w:sz w:val="23"/>
          <w:szCs w:val="23"/>
        </w:rPr>
        <w:t>Wescott, S., Roberts, S., &amp; Zhao, X. (2024), see note 125.</w:t>
      </w:r>
    </w:p>
  </w:endnote>
  <w:endnote w:id="134">
    <w:p w14:paraId="21120F20" w14:textId="34431A1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Roberts, S., &amp; Wescott, S. (2024), see note 125.</w:t>
      </w:r>
    </w:p>
    <w:p w14:paraId="4CDB044F"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Wescott, S., Roberts, S., &amp; Zhao, X. (2024), see note 125. </w:t>
      </w:r>
    </w:p>
  </w:endnote>
  <w:endnote w:id="135">
    <w:p w14:paraId="094121B2" w14:textId="5AAF6E7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Roberts, S., &amp; Wescott, S. (2024), see note 125.</w:t>
      </w:r>
    </w:p>
    <w:p w14:paraId="22B658B9" w14:textId="77777777" w:rsidR="004D1500" w:rsidRPr="00D85A9B" w:rsidRDefault="004D1500" w:rsidP="00833BF7">
      <w:pPr>
        <w:pStyle w:val="Endnotes"/>
        <w:spacing w:after="120" w:line="214" w:lineRule="auto"/>
        <w:ind w:firstLine="0"/>
        <w:rPr>
          <w:sz w:val="23"/>
          <w:szCs w:val="23"/>
        </w:rPr>
      </w:pPr>
      <w:r w:rsidRPr="00D85A9B">
        <w:rPr>
          <w:sz w:val="23"/>
          <w:szCs w:val="23"/>
        </w:rPr>
        <w:t>Wescott, S., Roberts, S., &amp; Zhao, X. (2024), see note 125.</w:t>
      </w:r>
    </w:p>
  </w:endnote>
  <w:endnote w:id="136">
    <w:p w14:paraId="48766761" w14:textId="45BC0F9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443051" w:rsidRPr="00D85A9B">
        <w:rPr>
          <w:sz w:val="23"/>
          <w:szCs w:val="23"/>
        </w:rPr>
        <w:tab/>
      </w:r>
      <w:r w:rsidRPr="00D85A9B">
        <w:rPr>
          <w:sz w:val="23"/>
          <w:szCs w:val="23"/>
        </w:rPr>
        <w:t>Roberts, S., &amp; Wescott, S. (2024), see note 125.</w:t>
      </w:r>
    </w:p>
    <w:p w14:paraId="0168DA98" w14:textId="77777777" w:rsidR="004D1500" w:rsidRPr="00D85A9B" w:rsidRDefault="004D1500" w:rsidP="00833BF7">
      <w:pPr>
        <w:pStyle w:val="Endnotes"/>
        <w:spacing w:after="120" w:line="214" w:lineRule="auto"/>
        <w:ind w:firstLine="0"/>
        <w:rPr>
          <w:sz w:val="23"/>
          <w:szCs w:val="23"/>
        </w:rPr>
      </w:pPr>
      <w:r w:rsidRPr="00D85A9B">
        <w:rPr>
          <w:sz w:val="23"/>
          <w:szCs w:val="23"/>
        </w:rPr>
        <w:t>Wescott, S., Roberts, S., &amp; Zhao, X. (2024), see note 125.</w:t>
      </w:r>
    </w:p>
  </w:endnote>
  <w:endnote w:id="137">
    <w:p w14:paraId="2E96B157" w14:textId="4673AF3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Quadara, A., El-Murr, A., &amp; Latham, J. (2017), see note 107. </w:t>
      </w:r>
    </w:p>
  </w:endnote>
  <w:endnote w:id="138">
    <w:p w14:paraId="661E3251" w14:textId="0EC8BFD3"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Quadara, A., El-Murr, A., &amp; Latham, J. (2017), see note 107</w:t>
      </w:r>
      <w:r w:rsidRPr="00D85A9B">
        <w:rPr>
          <w:i/>
          <w:iCs/>
          <w:sz w:val="23"/>
          <w:szCs w:val="23"/>
        </w:rPr>
        <w:t>.</w:t>
      </w:r>
    </w:p>
  </w:endnote>
  <w:endnote w:id="139">
    <w:p w14:paraId="2F7D3F5B" w14:textId="19E2043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Davis, A., Wright, C., Curtis, M., Hellard, M., Lim, M., &amp; Temple-Smith, M. (2019). ‘Not my child’: Parenting, pornography, and views on education. </w:t>
      </w:r>
      <w:r w:rsidRPr="00D85A9B">
        <w:rPr>
          <w:i/>
          <w:iCs/>
          <w:sz w:val="23"/>
          <w:szCs w:val="23"/>
        </w:rPr>
        <w:t>Journal of Family Studies</w:t>
      </w:r>
      <w:r w:rsidRPr="00D85A9B">
        <w:rPr>
          <w:sz w:val="23"/>
          <w:szCs w:val="23"/>
        </w:rPr>
        <w:t>, 1–16.</w:t>
      </w:r>
    </w:p>
  </w:endnote>
  <w:endnote w:id="140">
    <w:p w14:paraId="72F453D5" w14:textId="6F5B3A8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eSafety Commissioner. (2023). </w:t>
      </w:r>
      <w:r w:rsidRPr="00D85A9B">
        <w:rPr>
          <w:i/>
          <w:iCs/>
          <w:sz w:val="23"/>
          <w:szCs w:val="23"/>
        </w:rPr>
        <w:t>Accidental, unsolicited and in your face: Young people’s encounters with online pornography – A matter of platform responsibility, education and choice.</w:t>
      </w:r>
      <w:r w:rsidRPr="00D85A9B">
        <w:rPr>
          <w:sz w:val="23"/>
          <w:szCs w:val="23"/>
        </w:rPr>
        <w:t xml:space="preserve"> Australian Government.</w:t>
      </w:r>
    </w:p>
  </w:endnote>
  <w:endnote w:id="141">
    <w:p w14:paraId="2241010D" w14:textId="7AD242D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eSafety Commissioner (2023), see note 135.</w:t>
      </w:r>
    </w:p>
  </w:endnote>
  <w:endnote w:id="142">
    <w:p w14:paraId="32D20E24" w14:textId="4555776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Vera-Gray, F., McGlynn, C., Kureshi, I., &amp; </w:t>
      </w:r>
      <w:r w:rsidRPr="00D85A9B">
        <w:rPr>
          <w:sz w:val="23"/>
          <w:szCs w:val="23"/>
        </w:rPr>
        <w:t xml:space="preserve">Butterby, K. (2021). Sexual violence as a sexual script in mainstream online pornography. </w:t>
      </w:r>
      <w:r w:rsidRPr="00D85A9B">
        <w:rPr>
          <w:i/>
          <w:iCs/>
          <w:sz w:val="23"/>
          <w:szCs w:val="23"/>
        </w:rPr>
        <w:t>British Journal of Criminology</w:t>
      </w:r>
      <w:r w:rsidRPr="00D85A9B">
        <w:rPr>
          <w:sz w:val="23"/>
          <w:szCs w:val="23"/>
        </w:rPr>
        <w:t xml:space="preserve">, </w:t>
      </w:r>
      <w:r w:rsidRPr="00D85A9B">
        <w:rPr>
          <w:i/>
          <w:iCs/>
          <w:sz w:val="23"/>
          <w:szCs w:val="23"/>
        </w:rPr>
        <w:t>61</w:t>
      </w:r>
      <w:r w:rsidRPr="00D85A9B">
        <w:rPr>
          <w:sz w:val="23"/>
          <w:szCs w:val="23"/>
        </w:rPr>
        <w:t xml:space="preserve">(5), 1243–1260. </w:t>
      </w:r>
    </w:p>
  </w:endnote>
  <w:endnote w:id="143">
    <w:p w14:paraId="3F753A51" w14:textId="61E9119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Vera-Gray, F., McGlynn, C., Kureshi, I., &amp; </w:t>
      </w:r>
      <w:r w:rsidRPr="00D85A9B">
        <w:rPr>
          <w:sz w:val="23"/>
          <w:szCs w:val="23"/>
        </w:rPr>
        <w:t xml:space="preserve">Butterby, K. (2021), see note 137. </w:t>
      </w:r>
    </w:p>
  </w:endnote>
  <w:endnote w:id="144">
    <w:p w14:paraId="0F4B1AF5" w14:textId="67A28C3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Vera-Gray, F., McGlynn, C., Kureshi, I., &amp; </w:t>
      </w:r>
      <w:r w:rsidRPr="00D85A9B">
        <w:rPr>
          <w:sz w:val="23"/>
          <w:szCs w:val="23"/>
        </w:rPr>
        <w:t>Butterby, K. (2021), see note 137.</w:t>
      </w:r>
    </w:p>
  </w:endnote>
  <w:endnote w:id="145">
    <w:p w14:paraId="4F55E133" w14:textId="35DFD95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Vera-Gray, F., McGlynn, C., Kureshi, I., &amp; </w:t>
      </w:r>
      <w:r w:rsidRPr="00D85A9B">
        <w:rPr>
          <w:sz w:val="23"/>
          <w:szCs w:val="23"/>
        </w:rPr>
        <w:t>Butterby, K. (2021), see note 137.</w:t>
      </w:r>
    </w:p>
  </w:endnote>
  <w:endnote w:id="146">
    <w:p w14:paraId="2CAD4436" w14:textId="07D9495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Gorman, S., Monk-Turner, E., &amp; Fish, J. N. (2010). Free adult internet web sites: How prevalent are degrading acts? </w:t>
      </w:r>
      <w:r w:rsidRPr="00D85A9B">
        <w:rPr>
          <w:i/>
          <w:iCs/>
          <w:sz w:val="23"/>
          <w:szCs w:val="23"/>
        </w:rPr>
        <w:t>Gender Issues</w:t>
      </w:r>
      <w:r w:rsidRPr="00D85A9B">
        <w:rPr>
          <w:sz w:val="23"/>
          <w:szCs w:val="23"/>
        </w:rPr>
        <w:t xml:space="preserve">, </w:t>
      </w:r>
      <w:r w:rsidRPr="00D85A9B">
        <w:rPr>
          <w:i/>
          <w:iCs/>
          <w:sz w:val="23"/>
          <w:szCs w:val="23"/>
        </w:rPr>
        <w:t>27</w:t>
      </w:r>
      <w:r w:rsidRPr="00D85A9B">
        <w:rPr>
          <w:sz w:val="23"/>
          <w:szCs w:val="23"/>
        </w:rPr>
        <w:t>(3–4), 131–145.</w:t>
      </w:r>
    </w:p>
  </w:endnote>
  <w:endnote w:id="147">
    <w:p w14:paraId="0E1E8790" w14:textId="7D612DD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Gorman, S., Monk-Turner, E., &amp; Fish, J. N. (2010), see note 141.</w:t>
      </w:r>
    </w:p>
  </w:endnote>
  <w:endnote w:id="148">
    <w:p w14:paraId="44435EC7" w14:textId="14291A0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Fritz, N., Malic, V., Paul, B., &amp; Zhou, Y. (2020). A descriptive analysis of the types, targets, and relative frequency of aggression in mainstream pornography. </w:t>
      </w:r>
      <w:r w:rsidRPr="00D85A9B">
        <w:rPr>
          <w:i/>
          <w:iCs/>
          <w:sz w:val="23"/>
          <w:szCs w:val="23"/>
        </w:rPr>
        <w:t>Archives of Sexual Behavior</w:t>
      </w:r>
      <w:r w:rsidRPr="00D85A9B">
        <w:rPr>
          <w:sz w:val="23"/>
          <w:szCs w:val="23"/>
        </w:rPr>
        <w:t xml:space="preserve">, </w:t>
      </w:r>
      <w:r w:rsidRPr="00D85A9B">
        <w:rPr>
          <w:i/>
          <w:iCs/>
          <w:sz w:val="23"/>
          <w:szCs w:val="23"/>
        </w:rPr>
        <w:t>49</w:t>
      </w:r>
      <w:r w:rsidRPr="00D85A9B">
        <w:rPr>
          <w:sz w:val="23"/>
          <w:szCs w:val="23"/>
        </w:rPr>
        <w:t>(8), 3041–3053.</w:t>
      </w:r>
    </w:p>
  </w:endnote>
  <w:endnote w:id="149">
    <w:p w14:paraId="6797CC5C" w14:textId="35F46F5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Fritz, N., Malic, V., Paul, B., &amp; Zhou, Y. (2020), see note 143.</w:t>
      </w:r>
    </w:p>
    <w:p w14:paraId="4587DDFB" w14:textId="77777777" w:rsidR="004D1500" w:rsidRPr="00D85A9B" w:rsidRDefault="004D1500" w:rsidP="00833BF7">
      <w:pPr>
        <w:pStyle w:val="Endnotes"/>
        <w:spacing w:after="120" w:line="214" w:lineRule="auto"/>
        <w:ind w:firstLine="0"/>
        <w:rPr>
          <w:sz w:val="23"/>
          <w:szCs w:val="23"/>
        </w:rPr>
      </w:pPr>
      <w:r w:rsidRPr="00D85A9B">
        <w:rPr>
          <w:sz w:val="23"/>
          <w:szCs w:val="23"/>
        </w:rPr>
        <w:t>Quadara, A., El-Murr, A., &amp; Latham, J. (2017), see note 107.</w:t>
      </w:r>
    </w:p>
  </w:endnote>
  <w:endnote w:id="150">
    <w:p w14:paraId="085BC9FE" w14:textId="75DCE2C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eSafety Commissioner (2023), see note 135. </w:t>
      </w:r>
    </w:p>
  </w:endnote>
  <w:endnote w:id="151">
    <w:p w14:paraId="4460C6A7" w14:textId="71B9898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Our Watch. (2020). </w:t>
      </w:r>
      <w:r w:rsidRPr="00D85A9B">
        <w:rPr>
          <w:i/>
          <w:iCs/>
          <w:sz w:val="23"/>
          <w:szCs w:val="23"/>
        </w:rPr>
        <w:t>Pornography, young people and preventing violence against women.</w:t>
      </w:r>
      <w:r w:rsidRPr="00D85A9B">
        <w:rPr>
          <w:sz w:val="23"/>
          <w:szCs w:val="23"/>
        </w:rPr>
        <w:t xml:space="preserve"> </w:t>
      </w:r>
    </w:p>
  </w:endnote>
  <w:endnote w:id="152">
    <w:p w14:paraId="4FB1C30B" w14:textId="7728C27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Our Watch. (2024). </w:t>
      </w:r>
      <w:r w:rsidRPr="00D85A9B">
        <w:rPr>
          <w:i/>
          <w:iCs/>
          <w:sz w:val="23"/>
          <w:szCs w:val="23"/>
        </w:rPr>
        <w:t>Impacts of pornography on young people – Survey report summary</w:t>
      </w:r>
      <w:r w:rsidRPr="00D85A9B">
        <w:rPr>
          <w:sz w:val="23"/>
          <w:szCs w:val="23"/>
        </w:rPr>
        <w:t xml:space="preserve">. </w:t>
      </w:r>
    </w:p>
  </w:endnote>
  <w:endnote w:id="153">
    <w:p w14:paraId="719456AF" w14:textId="53DD984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eSafety Commissioner (2023), see note 135.</w:t>
      </w:r>
    </w:p>
  </w:endnote>
  <w:endnote w:id="154">
    <w:p w14:paraId="62CE61AC" w14:textId="72236B7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1216C" w:rsidRPr="00D85A9B">
        <w:rPr>
          <w:sz w:val="23"/>
          <w:szCs w:val="23"/>
        </w:rPr>
        <w:tab/>
      </w:r>
      <w:r w:rsidRPr="00D85A9B">
        <w:rPr>
          <w:sz w:val="23"/>
          <w:szCs w:val="23"/>
        </w:rPr>
        <w:t xml:space="preserve">eSafety Commissioner (2023), see note 135. </w:t>
      </w:r>
    </w:p>
  </w:endnote>
  <w:endnote w:id="155">
    <w:p w14:paraId="2285E51E" w14:textId="40103A8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Our Watch (2024), see note 147.</w:t>
      </w:r>
    </w:p>
  </w:endnote>
  <w:endnote w:id="156">
    <w:p w14:paraId="05B37D61" w14:textId="1159E0C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 xml:space="preserve">eSafety Commissioner (2023), see note 135. </w:t>
      </w:r>
    </w:p>
  </w:endnote>
  <w:endnote w:id="157">
    <w:p w14:paraId="51DD9EAC" w14:textId="6743066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 xml:space="preserve">Fisher, C. M., Waling, A., Kerr, L., Bellamy, R., Ezer, P., Mikolajczak, G., Brown, G., Carman, M., &amp; Lucke, J. (2019). </w:t>
      </w:r>
      <w:r w:rsidRPr="00D85A9B">
        <w:rPr>
          <w:rStyle w:val="Emphasis"/>
          <w:rFonts w:eastAsiaTheme="majorEastAsia"/>
          <w:sz w:val="23"/>
          <w:szCs w:val="23"/>
        </w:rPr>
        <w:t>6th National Survey of Australian Secondary Students and Sexual Health 2018</w:t>
      </w:r>
      <w:r w:rsidRPr="00D85A9B">
        <w:rPr>
          <w:sz w:val="23"/>
          <w:szCs w:val="23"/>
        </w:rPr>
        <w:t xml:space="preserve"> (</w:t>
      </w:r>
      <w:r w:rsidRPr="00D85A9B">
        <w:rPr>
          <w:sz w:val="23"/>
          <w:szCs w:val="23"/>
        </w:rPr>
        <w:t>ARCSHS Monograph Series No. 113). Australian Research Centre in Sex, Health &amp; Society, La Trobe University.</w:t>
      </w:r>
    </w:p>
    <w:p w14:paraId="3E1CFB4F"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Lewis, L., Somers, J. M., Guy, R., Watchirs-Smith, L., &amp; Skinner, S. R. (2018). ‘I see it everywhere’: Young Australians’ unintended exposure to sexual content online. </w:t>
      </w:r>
      <w:r w:rsidRPr="00D85A9B">
        <w:rPr>
          <w:i/>
          <w:iCs/>
          <w:sz w:val="23"/>
          <w:szCs w:val="23"/>
        </w:rPr>
        <w:t>Sexual Health</w:t>
      </w:r>
      <w:r w:rsidRPr="00D85A9B">
        <w:rPr>
          <w:sz w:val="23"/>
          <w:szCs w:val="23"/>
        </w:rPr>
        <w:t xml:space="preserve">, </w:t>
      </w:r>
      <w:r w:rsidRPr="00D85A9B">
        <w:rPr>
          <w:i/>
          <w:iCs/>
          <w:sz w:val="23"/>
          <w:szCs w:val="23"/>
        </w:rPr>
        <w:t>15</w:t>
      </w:r>
      <w:r w:rsidRPr="00D85A9B">
        <w:rPr>
          <w:sz w:val="23"/>
          <w:szCs w:val="23"/>
        </w:rPr>
        <w:t>(4), 335–341.</w:t>
      </w:r>
    </w:p>
    <w:p w14:paraId="78E1E2D5"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Owens, E. W., Behun, R. J., Manning, J. C., &amp; Reid, R. C. (2012). The impact of internet pornography on adolescents: A review of the research. </w:t>
      </w:r>
      <w:r w:rsidRPr="00D85A9B">
        <w:rPr>
          <w:i/>
          <w:iCs/>
          <w:sz w:val="23"/>
          <w:szCs w:val="23"/>
        </w:rPr>
        <w:t>Sexual Addiction &amp; Compulsivity</w:t>
      </w:r>
      <w:r w:rsidRPr="00D85A9B">
        <w:rPr>
          <w:sz w:val="23"/>
          <w:szCs w:val="23"/>
        </w:rPr>
        <w:t xml:space="preserve">, </w:t>
      </w:r>
      <w:r w:rsidRPr="00D85A9B">
        <w:rPr>
          <w:i/>
          <w:iCs/>
          <w:sz w:val="23"/>
          <w:szCs w:val="23"/>
        </w:rPr>
        <w:t>19</w:t>
      </w:r>
      <w:r w:rsidRPr="00D85A9B">
        <w:rPr>
          <w:sz w:val="23"/>
          <w:szCs w:val="23"/>
        </w:rPr>
        <w:t>(1–2), 99–122.</w:t>
      </w:r>
    </w:p>
  </w:endnote>
  <w:endnote w:id="158">
    <w:p w14:paraId="0CC7FD1E" w14:textId="6E69ADF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 xml:space="preserve">Crabbe, M. (2014). </w:t>
      </w:r>
      <w:r w:rsidRPr="00D85A9B">
        <w:rPr>
          <w:i/>
          <w:iCs/>
          <w:sz w:val="23"/>
          <w:szCs w:val="23"/>
        </w:rPr>
        <w:t>In the Picture: Supporting young people in an era of explicit sexual imagery.</w:t>
      </w:r>
      <w:r w:rsidRPr="00D85A9B">
        <w:rPr>
          <w:sz w:val="23"/>
          <w:szCs w:val="23"/>
        </w:rPr>
        <w:t xml:space="preserve"> Nalu Productions.</w:t>
      </w:r>
    </w:p>
  </w:endnote>
  <w:endnote w:id="159">
    <w:p w14:paraId="6F462569" w14:textId="45C695B2"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Our Watch (2024), see note 147.</w:t>
      </w:r>
    </w:p>
  </w:endnote>
  <w:endnote w:id="160">
    <w:p w14:paraId="71163237" w14:textId="7D306CB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 xml:space="preserve">Talbot, H. (2018). </w:t>
      </w:r>
      <w:r w:rsidRPr="00D85A9B">
        <w:rPr>
          <w:i/>
          <w:iCs/>
          <w:sz w:val="23"/>
          <w:szCs w:val="23"/>
        </w:rPr>
        <w:t>NZ youth and porn: Research findings of a survey on how and why young New Zealanders view online pornography</w:t>
      </w:r>
      <w:r w:rsidRPr="00D85A9B">
        <w:rPr>
          <w:sz w:val="23"/>
          <w:szCs w:val="23"/>
        </w:rPr>
        <w:t>. Office of Film and Literature Classification.</w:t>
      </w:r>
    </w:p>
  </w:endnote>
  <w:endnote w:id="161">
    <w:p w14:paraId="7B915898" w14:textId="0A30621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Talbot, H. (2018), see note 155.</w:t>
      </w:r>
    </w:p>
  </w:endnote>
  <w:endnote w:id="162">
    <w:p w14:paraId="1200BFB9" w14:textId="11D096A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 xml:space="preserve">Löfgren-Mårtenson, L., &amp; Månsson, S.-A. (2010). Lust, love, and life: A qualitative study of Swedish adolescents' perceptions and experiences with pornography. </w:t>
      </w:r>
      <w:r w:rsidRPr="00D85A9B">
        <w:rPr>
          <w:i/>
          <w:iCs/>
          <w:sz w:val="23"/>
          <w:szCs w:val="23"/>
        </w:rPr>
        <w:t>Journal of Sex Research</w:t>
      </w:r>
      <w:r w:rsidRPr="00D85A9B">
        <w:rPr>
          <w:sz w:val="23"/>
          <w:szCs w:val="23"/>
        </w:rPr>
        <w:t xml:space="preserve">, </w:t>
      </w:r>
      <w:r w:rsidRPr="00D85A9B">
        <w:rPr>
          <w:i/>
          <w:iCs/>
          <w:sz w:val="23"/>
          <w:szCs w:val="23"/>
        </w:rPr>
        <w:t>47</w:t>
      </w:r>
      <w:r w:rsidRPr="00D85A9B">
        <w:rPr>
          <w:sz w:val="23"/>
          <w:szCs w:val="23"/>
        </w:rPr>
        <w:t>(6), 568–579.</w:t>
      </w:r>
    </w:p>
  </w:endnote>
  <w:endnote w:id="163">
    <w:p w14:paraId="41C7E377" w14:textId="16DC05A0"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Our Watch (2024), see note 147.</w:t>
      </w:r>
    </w:p>
  </w:endnote>
  <w:endnote w:id="164">
    <w:p w14:paraId="2C6E1C1B" w14:textId="394B3FD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 xml:space="preserve">Goldstein, A. (2020). Beyond porn literacy: Drawing on young people’s pornography narratives to expand sex education pedagogies. </w:t>
      </w:r>
      <w:r w:rsidRPr="00D85A9B">
        <w:rPr>
          <w:rStyle w:val="Emphasis"/>
          <w:rFonts w:eastAsiaTheme="majorEastAsia"/>
          <w:sz w:val="23"/>
          <w:szCs w:val="23"/>
        </w:rPr>
        <w:t>Sex Education</w:t>
      </w:r>
      <w:r w:rsidRPr="00D85A9B">
        <w:rPr>
          <w:sz w:val="23"/>
          <w:szCs w:val="23"/>
        </w:rPr>
        <w:t xml:space="preserve">, </w:t>
      </w:r>
      <w:r w:rsidRPr="00D85A9B">
        <w:rPr>
          <w:rStyle w:val="Emphasis"/>
          <w:rFonts w:eastAsiaTheme="majorEastAsia"/>
          <w:sz w:val="23"/>
          <w:szCs w:val="23"/>
        </w:rPr>
        <w:t>20</w:t>
      </w:r>
      <w:r w:rsidRPr="00D85A9B">
        <w:rPr>
          <w:sz w:val="23"/>
          <w:szCs w:val="23"/>
        </w:rPr>
        <w:t>(1), 59–74.</w:t>
      </w:r>
    </w:p>
  </w:endnote>
  <w:endnote w:id="165">
    <w:p w14:paraId="1739036A" w14:textId="35592E2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9E185F" w:rsidRPr="00D85A9B">
        <w:rPr>
          <w:sz w:val="23"/>
          <w:szCs w:val="23"/>
        </w:rPr>
        <w:tab/>
      </w:r>
      <w:r w:rsidRPr="00D85A9B">
        <w:rPr>
          <w:sz w:val="23"/>
          <w:szCs w:val="23"/>
        </w:rPr>
        <w:t xml:space="preserve">Lim, M. S., Agius, P. A., </w:t>
      </w:r>
      <w:r w:rsidRPr="00D85A9B">
        <w:rPr>
          <w:sz w:val="23"/>
          <w:szCs w:val="23"/>
        </w:rPr>
        <w:t xml:space="preserve">Carrotte, E. R., Vella, A. M., &amp; Hellard, M. E. (2017). Young Australians’ use of pornography and associations with sexual risk behaviours. </w:t>
      </w:r>
      <w:r w:rsidRPr="00D85A9B">
        <w:rPr>
          <w:i/>
          <w:iCs/>
          <w:sz w:val="23"/>
          <w:szCs w:val="23"/>
        </w:rPr>
        <w:t>Australian and New Zealand Journal of Public Health, 41</w:t>
      </w:r>
      <w:r w:rsidRPr="00D85A9B">
        <w:rPr>
          <w:sz w:val="23"/>
          <w:szCs w:val="23"/>
        </w:rPr>
        <w:t>(4), 438-443.</w:t>
      </w:r>
    </w:p>
    <w:p w14:paraId="0144B78D"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Marston, C., &amp; Lewis, R. (2014). Anal heterosex among young people and implications for health promotion: A qualitative study in the UK. </w:t>
      </w:r>
      <w:r w:rsidRPr="00D85A9B">
        <w:rPr>
          <w:rStyle w:val="Emphasis"/>
          <w:rFonts w:eastAsiaTheme="majorEastAsia"/>
          <w:sz w:val="23"/>
          <w:szCs w:val="23"/>
        </w:rPr>
        <w:t>BMJ Open</w:t>
      </w:r>
      <w:r w:rsidRPr="00D85A9B">
        <w:rPr>
          <w:sz w:val="23"/>
          <w:szCs w:val="23"/>
        </w:rPr>
        <w:t xml:space="preserve">, </w:t>
      </w:r>
      <w:r w:rsidRPr="00D85A9B">
        <w:rPr>
          <w:rStyle w:val="Emphasis"/>
          <w:rFonts w:eastAsiaTheme="majorEastAsia"/>
          <w:sz w:val="23"/>
          <w:szCs w:val="23"/>
        </w:rPr>
        <w:t>4</w:t>
      </w:r>
      <w:r w:rsidRPr="00D85A9B">
        <w:rPr>
          <w:sz w:val="23"/>
          <w:szCs w:val="23"/>
        </w:rPr>
        <w:t xml:space="preserve">(8). </w:t>
      </w:r>
    </w:p>
  </w:endnote>
  <w:endnote w:id="166">
    <w:p w14:paraId="44425EFC" w14:textId="7DAC3D6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Tokunaga, R. S., Wright, P. J., &amp; </w:t>
      </w:r>
      <w:r w:rsidRPr="00D85A9B">
        <w:rPr>
          <w:sz w:val="23"/>
          <w:szCs w:val="23"/>
        </w:rPr>
        <w:t xml:space="preserve">Vangeel, L. (2020). Is pornography consumption a risk factor for condomless sex? </w:t>
      </w:r>
      <w:r w:rsidRPr="00D85A9B">
        <w:rPr>
          <w:i/>
          <w:iCs/>
          <w:sz w:val="23"/>
          <w:szCs w:val="23"/>
        </w:rPr>
        <w:t>Human Communication Research</w:t>
      </w:r>
      <w:r w:rsidRPr="00D85A9B">
        <w:rPr>
          <w:sz w:val="23"/>
          <w:szCs w:val="23"/>
        </w:rPr>
        <w:t xml:space="preserve">, </w:t>
      </w:r>
      <w:r w:rsidRPr="00D85A9B">
        <w:rPr>
          <w:i/>
          <w:iCs/>
          <w:sz w:val="23"/>
          <w:szCs w:val="23"/>
        </w:rPr>
        <w:t>46</w:t>
      </w:r>
      <w:r w:rsidRPr="00D85A9B">
        <w:rPr>
          <w:sz w:val="23"/>
          <w:szCs w:val="23"/>
        </w:rPr>
        <w:t>(2–3), 273–299.</w:t>
      </w:r>
    </w:p>
  </w:endnote>
  <w:endnote w:id="167">
    <w:p w14:paraId="4142BD51" w14:textId="6ED1B22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Brown, J., &amp; L’Engle, K. (2009). X-rated: Sexual attitudes and behaviors associated with US early adolescents’ exposure to sexually explicit media. </w:t>
      </w:r>
      <w:r w:rsidRPr="00D85A9B">
        <w:rPr>
          <w:i/>
          <w:iCs/>
          <w:sz w:val="23"/>
          <w:szCs w:val="23"/>
        </w:rPr>
        <w:t>Journal of Geriatric Psychiatry and Neurology</w:t>
      </w:r>
      <w:r w:rsidRPr="00D85A9B">
        <w:rPr>
          <w:sz w:val="23"/>
          <w:szCs w:val="23"/>
        </w:rPr>
        <w:t xml:space="preserve">, </w:t>
      </w:r>
      <w:r w:rsidRPr="00D85A9B">
        <w:rPr>
          <w:i/>
          <w:iCs/>
          <w:sz w:val="23"/>
          <w:szCs w:val="23"/>
        </w:rPr>
        <w:t>36.</w:t>
      </w:r>
    </w:p>
    <w:p w14:paraId="3865B494"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Lin, W. H., Liu, C. H., &amp; Yi, C. C. (2020). Exposure to sexually explicit media in early adolescence is related to risky sexual behavior in emerging adulthood. </w:t>
      </w:r>
      <w:r w:rsidRPr="00D85A9B">
        <w:rPr>
          <w:i/>
          <w:iCs/>
          <w:sz w:val="23"/>
          <w:szCs w:val="23"/>
        </w:rPr>
        <w:t>PLoS One</w:t>
      </w:r>
      <w:r w:rsidRPr="00D85A9B">
        <w:rPr>
          <w:sz w:val="23"/>
          <w:szCs w:val="23"/>
        </w:rPr>
        <w:t xml:space="preserve">, </w:t>
      </w:r>
      <w:r w:rsidRPr="00D85A9B">
        <w:rPr>
          <w:i/>
          <w:iCs/>
          <w:sz w:val="23"/>
          <w:szCs w:val="23"/>
        </w:rPr>
        <w:t>15</w:t>
      </w:r>
      <w:r w:rsidRPr="00D85A9B">
        <w:rPr>
          <w:sz w:val="23"/>
          <w:szCs w:val="23"/>
        </w:rPr>
        <w:t>(4), e0230242.</w:t>
      </w:r>
    </w:p>
  </w:endnote>
  <w:endnote w:id="168">
    <w:p w14:paraId="30CD57AD" w14:textId="1673AD7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Tokunaga, R. S., Wright, P. J., &amp; </w:t>
      </w:r>
      <w:r w:rsidRPr="00D85A9B">
        <w:rPr>
          <w:sz w:val="23"/>
          <w:szCs w:val="23"/>
        </w:rPr>
        <w:t xml:space="preserve">Vangeel, L. (2020), see note 161. </w:t>
      </w:r>
    </w:p>
  </w:endnote>
  <w:endnote w:id="169">
    <w:p w14:paraId="50A94D61" w14:textId="0DD744B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Löfgren-Mårtenson, L., &amp; Månsson, S.-A. (2010), see note 157.</w:t>
      </w:r>
    </w:p>
    <w:p w14:paraId="0A0A71A9"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Peter, J., &amp; Valkenburg, P. M. (2016). Adolescents and pornography: A review of 20 years of research. </w:t>
      </w:r>
      <w:r w:rsidRPr="00D85A9B">
        <w:rPr>
          <w:i/>
          <w:iCs/>
          <w:sz w:val="23"/>
          <w:szCs w:val="23"/>
        </w:rPr>
        <w:t>The Journal of Sex Research</w:t>
      </w:r>
      <w:r w:rsidRPr="00D85A9B">
        <w:rPr>
          <w:sz w:val="23"/>
          <w:szCs w:val="23"/>
        </w:rPr>
        <w:t xml:space="preserve">, </w:t>
      </w:r>
      <w:r w:rsidRPr="00D85A9B">
        <w:rPr>
          <w:i/>
          <w:iCs/>
          <w:sz w:val="23"/>
          <w:szCs w:val="23"/>
        </w:rPr>
        <w:t>53</w:t>
      </w:r>
      <w:r w:rsidRPr="00D85A9B">
        <w:rPr>
          <w:sz w:val="23"/>
          <w:szCs w:val="23"/>
        </w:rPr>
        <w:t>(4–5), 509–531.</w:t>
      </w:r>
    </w:p>
    <w:p w14:paraId="4DB717B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Stanley, N., Barter, C., Wood, M., </w:t>
      </w:r>
      <w:r w:rsidRPr="00D85A9B">
        <w:rPr>
          <w:sz w:val="23"/>
          <w:szCs w:val="23"/>
        </w:rPr>
        <w:t>Aghtaie, N., Larkins, C., Lanau, A., &amp; Överlien, C. (2018), see note 100.</w:t>
      </w:r>
    </w:p>
  </w:endnote>
  <w:endnote w:id="170">
    <w:p w14:paraId="0414BD18" w14:textId="339FA05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Rostad, W. L., Gittins-Stone, D., Huntington, C., Rizzo, C. J., Pearlman, D., &amp; Orchowski, L. (2019). The association between exposure to violent pornography and teen dating violence in Grade 10 high school students. </w:t>
      </w:r>
      <w:r w:rsidRPr="00D85A9B">
        <w:rPr>
          <w:i/>
          <w:iCs/>
          <w:sz w:val="23"/>
          <w:szCs w:val="23"/>
        </w:rPr>
        <w:t>Archives of Sexual Behavior</w:t>
      </w:r>
      <w:r w:rsidRPr="00D85A9B">
        <w:rPr>
          <w:sz w:val="23"/>
          <w:szCs w:val="23"/>
        </w:rPr>
        <w:t xml:space="preserve">, </w:t>
      </w:r>
      <w:r w:rsidRPr="00D85A9B">
        <w:rPr>
          <w:i/>
          <w:iCs/>
          <w:sz w:val="23"/>
          <w:szCs w:val="23"/>
        </w:rPr>
        <w:t>48</w:t>
      </w:r>
      <w:r w:rsidRPr="00D85A9B">
        <w:rPr>
          <w:sz w:val="23"/>
          <w:szCs w:val="23"/>
        </w:rPr>
        <w:t>(7), 2137–2147.</w:t>
      </w:r>
    </w:p>
    <w:p w14:paraId="2AA6E264"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Ybarra, M. L., Mitchell, K. J., Hamburger, M., Diener-West, M., &amp; Leaf, P. J. (2011). X-rated material and perpetration of sexually aggressive behavior among children and adolescents: Is there a link? </w:t>
      </w:r>
      <w:r w:rsidRPr="00D85A9B">
        <w:rPr>
          <w:rStyle w:val="Emphasis"/>
          <w:rFonts w:eastAsiaTheme="majorEastAsia"/>
          <w:sz w:val="23"/>
          <w:szCs w:val="23"/>
        </w:rPr>
        <w:t>Aggressive Behavior</w:t>
      </w:r>
      <w:r w:rsidRPr="00D85A9B">
        <w:rPr>
          <w:sz w:val="23"/>
          <w:szCs w:val="23"/>
        </w:rPr>
        <w:t xml:space="preserve">, </w:t>
      </w:r>
      <w:r w:rsidRPr="00D85A9B">
        <w:rPr>
          <w:rStyle w:val="Emphasis"/>
          <w:rFonts w:eastAsiaTheme="majorEastAsia"/>
          <w:sz w:val="23"/>
          <w:szCs w:val="23"/>
        </w:rPr>
        <w:t>37</w:t>
      </w:r>
      <w:r w:rsidRPr="00D85A9B">
        <w:rPr>
          <w:sz w:val="23"/>
          <w:szCs w:val="23"/>
        </w:rPr>
        <w:t>(1), 1–18.</w:t>
      </w:r>
    </w:p>
    <w:p w14:paraId="5F47D14C" w14:textId="77777777" w:rsidR="004D1500" w:rsidRPr="00D85A9B" w:rsidRDefault="004D1500" w:rsidP="00833BF7">
      <w:pPr>
        <w:pStyle w:val="Endnotes"/>
        <w:spacing w:after="120" w:line="214" w:lineRule="auto"/>
        <w:ind w:firstLine="0"/>
        <w:rPr>
          <w:sz w:val="23"/>
          <w:szCs w:val="23"/>
        </w:rPr>
      </w:pPr>
      <w:r w:rsidRPr="00D85A9B">
        <w:rPr>
          <w:sz w:val="23"/>
          <w:szCs w:val="23"/>
        </w:rPr>
        <w:t>The Men’s Project, &amp; Flood, M. (2018), see note 24.</w:t>
      </w:r>
    </w:p>
  </w:endnote>
  <w:endnote w:id="171">
    <w:p w14:paraId="61352893" w14:textId="4CE2CB5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Brown, J. D., &amp; L’Engle, K. L. (2009). X-rated: Sexual attitudes and behaviors associated with US early adolescents’ exposure to sexually explicit media. </w:t>
      </w:r>
      <w:r w:rsidRPr="00D85A9B">
        <w:rPr>
          <w:i/>
          <w:iCs/>
          <w:sz w:val="23"/>
          <w:szCs w:val="23"/>
        </w:rPr>
        <w:t>Communication Research</w:t>
      </w:r>
      <w:r w:rsidRPr="00D85A9B">
        <w:rPr>
          <w:sz w:val="23"/>
          <w:szCs w:val="23"/>
        </w:rPr>
        <w:t xml:space="preserve">, </w:t>
      </w:r>
      <w:r w:rsidRPr="00D85A9B">
        <w:rPr>
          <w:i/>
          <w:iCs/>
          <w:sz w:val="23"/>
          <w:szCs w:val="23"/>
        </w:rPr>
        <w:t>36</w:t>
      </w:r>
      <w:r w:rsidRPr="00D85A9B">
        <w:rPr>
          <w:sz w:val="23"/>
          <w:szCs w:val="23"/>
        </w:rPr>
        <w:t>(1), 129–151.</w:t>
      </w:r>
    </w:p>
  </w:endnote>
  <w:endnote w:id="172">
    <w:p w14:paraId="4F6272AF" w14:textId="4500DB1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Herbenick, D., Patterson, C., Wright, P. J., Kawata, K., &amp; Fu, T.-c. (2023). Sexual choking/strangulation during sex: A review of the literature. </w:t>
      </w:r>
      <w:r w:rsidRPr="00D85A9B">
        <w:rPr>
          <w:i/>
          <w:iCs/>
          <w:sz w:val="23"/>
          <w:szCs w:val="23"/>
        </w:rPr>
        <w:t>Current Sexual Health Reports, 15</w:t>
      </w:r>
      <w:r w:rsidRPr="00D85A9B">
        <w:rPr>
          <w:sz w:val="23"/>
          <w:szCs w:val="23"/>
        </w:rPr>
        <w:t xml:space="preserve">(4), 253–260. </w:t>
      </w:r>
    </w:p>
  </w:endnote>
  <w:endnote w:id="173">
    <w:p w14:paraId="0ED670E7" w14:textId="59CA67E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Sharman, L. S., Fitzgerald, R., &amp; Douglas, H. (2024). Prevalence of sexual strangulation/choking among Australian 18–35 year-olds. </w:t>
      </w:r>
    </w:p>
  </w:endnote>
  <w:endnote w:id="174">
    <w:p w14:paraId="53B612C7" w14:textId="31425BD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Attwood, F., Smith, C., &amp; Barker M. (2018) ‘I’m just curious and still exploring myself’: Young people and pornography. </w:t>
      </w:r>
      <w:r w:rsidRPr="00D85A9B">
        <w:rPr>
          <w:i/>
          <w:iCs/>
          <w:sz w:val="23"/>
          <w:szCs w:val="23"/>
        </w:rPr>
        <w:t>New Media &amp; Society</w:t>
      </w:r>
      <w:r w:rsidRPr="00D85A9B">
        <w:rPr>
          <w:sz w:val="23"/>
          <w:szCs w:val="23"/>
        </w:rPr>
        <w:t xml:space="preserve">, </w:t>
      </w:r>
      <w:r w:rsidRPr="00D85A9B">
        <w:rPr>
          <w:i/>
          <w:iCs/>
          <w:sz w:val="23"/>
          <w:szCs w:val="23"/>
        </w:rPr>
        <w:t>20</w:t>
      </w:r>
      <w:r w:rsidRPr="00D85A9B">
        <w:rPr>
          <w:sz w:val="23"/>
          <w:szCs w:val="23"/>
        </w:rPr>
        <w:t>(10), 3738–3759.</w:t>
      </w:r>
    </w:p>
    <w:p w14:paraId="0AFB335D" w14:textId="77777777" w:rsidR="004D1500" w:rsidRPr="00D85A9B" w:rsidRDefault="004D1500" w:rsidP="00833BF7">
      <w:pPr>
        <w:pStyle w:val="Endnotes"/>
        <w:spacing w:after="120" w:line="214" w:lineRule="auto"/>
        <w:ind w:firstLine="0"/>
        <w:rPr>
          <w:sz w:val="23"/>
          <w:szCs w:val="23"/>
        </w:rPr>
      </w:pPr>
      <w:r w:rsidRPr="00D85A9B">
        <w:rPr>
          <w:sz w:val="23"/>
          <w:szCs w:val="23"/>
        </w:rPr>
        <w:t>McKee, A., Albury, K., &amp; Lumby. C. (2008).</w:t>
      </w:r>
      <w:r w:rsidRPr="00D85A9B">
        <w:rPr>
          <w:i/>
          <w:iCs/>
          <w:sz w:val="23"/>
          <w:szCs w:val="23"/>
        </w:rPr>
        <w:t xml:space="preserve"> The porn report.</w:t>
      </w:r>
      <w:r w:rsidRPr="00D85A9B">
        <w:rPr>
          <w:sz w:val="23"/>
          <w:szCs w:val="23"/>
        </w:rPr>
        <w:t xml:space="preserve"> Melbourne University Publishing.</w:t>
      </w:r>
    </w:p>
  </w:endnote>
  <w:endnote w:id="175">
    <w:p w14:paraId="61EE2CCF" w14:textId="417143C9"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eSafety Commissioner (2023), see note 135.</w:t>
      </w:r>
      <w:r w:rsidRPr="00D85A9B">
        <w:rPr>
          <w:i/>
          <w:iCs/>
          <w:sz w:val="23"/>
          <w:szCs w:val="23"/>
        </w:rPr>
        <w:t xml:space="preserve"> </w:t>
      </w:r>
    </w:p>
  </w:endnote>
  <w:endnote w:id="176">
    <w:p w14:paraId="0939D99E" w14:textId="745379B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eSafety Commissioner (2023), see note 135.</w:t>
      </w:r>
      <w:r w:rsidRPr="00D85A9B">
        <w:rPr>
          <w:i/>
          <w:iCs/>
          <w:sz w:val="23"/>
          <w:szCs w:val="23"/>
        </w:rPr>
        <w:t xml:space="preserve"> </w:t>
      </w:r>
    </w:p>
  </w:endnote>
  <w:endnote w:id="177">
    <w:p w14:paraId="0B5E42C4" w14:textId="0ADA509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Crabbe, M., Flood, M., &amp; Adams, K. (2024). Pornography exposure and access among young Australians: A cross-sectional study, </w:t>
      </w:r>
      <w:r w:rsidRPr="00D85A9B">
        <w:rPr>
          <w:i/>
          <w:iCs/>
          <w:sz w:val="23"/>
          <w:szCs w:val="23"/>
        </w:rPr>
        <w:t>Australian and New Zealand Journal of Public Health, 48</w:t>
      </w:r>
      <w:r w:rsidRPr="00D85A9B">
        <w:rPr>
          <w:sz w:val="23"/>
          <w:szCs w:val="23"/>
        </w:rPr>
        <w:t>(3), 1.</w:t>
      </w:r>
    </w:p>
    <w:p w14:paraId="3A340DCE" w14:textId="77777777" w:rsidR="004D1500" w:rsidRPr="00D85A9B" w:rsidRDefault="004D1500" w:rsidP="00833BF7">
      <w:pPr>
        <w:pStyle w:val="Endnotes"/>
        <w:spacing w:after="120" w:line="214" w:lineRule="auto"/>
        <w:ind w:firstLine="0"/>
        <w:rPr>
          <w:sz w:val="23"/>
          <w:szCs w:val="23"/>
        </w:rPr>
      </w:pPr>
      <w:r w:rsidRPr="00D85A9B">
        <w:rPr>
          <w:sz w:val="23"/>
          <w:szCs w:val="23"/>
        </w:rPr>
        <w:t>Attwood, F., Smith, C., &amp; Barker M. (2018), see note 169.</w:t>
      </w:r>
    </w:p>
    <w:p w14:paraId="7A025EF1" w14:textId="77777777" w:rsidR="004D1500" w:rsidRPr="00D85A9B" w:rsidRDefault="004D1500" w:rsidP="00833BF7">
      <w:pPr>
        <w:pStyle w:val="Endnotes"/>
        <w:spacing w:after="120" w:line="214" w:lineRule="auto"/>
        <w:ind w:firstLine="0"/>
        <w:rPr>
          <w:sz w:val="23"/>
          <w:szCs w:val="23"/>
        </w:rPr>
      </w:pPr>
      <w:r w:rsidRPr="00D85A9B">
        <w:rPr>
          <w:sz w:val="23"/>
          <w:szCs w:val="23"/>
        </w:rPr>
        <w:t>McKee, A., Albury, K., &amp; Lumby. C. (2008), see note 169.</w:t>
      </w:r>
    </w:p>
  </w:endnote>
  <w:endnote w:id="178">
    <w:p w14:paraId="48012BDA" w14:textId="23623D67"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eSafety Commissioner (2023), see note 135.</w:t>
      </w:r>
    </w:p>
  </w:endnote>
  <w:endnote w:id="179">
    <w:p w14:paraId="6FFC1E0A" w14:textId="2E879B6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Our Watch. (2020). </w:t>
      </w:r>
      <w:r w:rsidRPr="00D85A9B">
        <w:rPr>
          <w:i/>
          <w:iCs/>
          <w:sz w:val="23"/>
          <w:szCs w:val="23"/>
        </w:rPr>
        <w:t>Pornography, young people, and preventing violence against women: Background paper</w:t>
      </w:r>
      <w:r w:rsidRPr="00D85A9B">
        <w:rPr>
          <w:sz w:val="23"/>
          <w:szCs w:val="23"/>
        </w:rPr>
        <w:t xml:space="preserve">. </w:t>
      </w:r>
    </w:p>
  </w:endnote>
  <w:endnote w:id="180">
    <w:p w14:paraId="3619494A" w14:textId="23166E0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Our Watch. (2020). </w:t>
      </w:r>
      <w:r w:rsidRPr="00D85A9B">
        <w:rPr>
          <w:i/>
          <w:iCs/>
          <w:sz w:val="23"/>
          <w:szCs w:val="23"/>
        </w:rPr>
        <w:t>Pornography, young people, and preventing violence against women: Background paper</w:t>
      </w:r>
      <w:r w:rsidRPr="00D85A9B">
        <w:rPr>
          <w:sz w:val="23"/>
          <w:szCs w:val="23"/>
        </w:rPr>
        <w:t xml:space="preserve">. </w:t>
      </w:r>
    </w:p>
  </w:endnote>
  <w:endnote w:id="181">
    <w:p w14:paraId="031D65B1" w14:textId="2618DE5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eSafety Commissioner. (2023). </w:t>
      </w:r>
      <w:r w:rsidRPr="00D85A9B">
        <w:rPr>
          <w:i/>
          <w:iCs/>
          <w:sz w:val="23"/>
          <w:szCs w:val="23"/>
        </w:rPr>
        <w:t>Questions, doubts and hopes: Young people's attitudes towards age assurance and the age-based restriction of access to online pornography</w:t>
      </w:r>
      <w:r w:rsidRPr="00D85A9B">
        <w:rPr>
          <w:sz w:val="23"/>
          <w:szCs w:val="23"/>
        </w:rPr>
        <w:t xml:space="preserve">. Australian Government. </w:t>
      </w:r>
    </w:p>
  </w:endnote>
  <w:endnote w:id="182">
    <w:p w14:paraId="19D2E78F" w14:textId="19C7EE9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eSafety Commissioner. (2023). </w:t>
      </w:r>
      <w:r w:rsidRPr="00D85A9B">
        <w:rPr>
          <w:i/>
          <w:iCs/>
          <w:sz w:val="23"/>
          <w:szCs w:val="23"/>
        </w:rPr>
        <w:t>Questions, doubts and hopes: Young people's attitudes towards age assurance and the age-based restriction of access to online pornography</w:t>
      </w:r>
      <w:r w:rsidRPr="00D85A9B">
        <w:rPr>
          <w:sz w:val="23"/>
          <w:szCs w:val="23"/>
        </w:rPr>
        <w:t xml:space="preserve"> (p. 4). Australian Government. </w:t>
      </w:r>
    </w:p>
  </w:endnote>
  <w:endnote w:id="183">
    <w:p w14:paraId="4B0A0B87" w14:textId="186C9CC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Crabbe, M., &amp; Flood, M. (2021). School-based education to address pornography’s influence on young people: A proposed practice framework. </w:t>
      </w:r>
      <w:r w:rsidRPr="00D85A9B">
        <w:rPr>
          <w:i/>
          <w:iCs/>
          <w:sz w:val="23"/>
          <w:szCs w:val="23"/>
        </w:rPr>
        <w:t>American Journal of Sexuality Education, 16</w:t>
      </w:r>
      <w:r w:rsidRPr="00D85A9B">
        <w:rPr>
          <w:sz w:val="23"/>
          <w:szCs w:val="23"/>
        </w:rPr>
        <w:t>(1), 1–37.</w:t>
      </w:r>
    </w:p>
    <w:p w14:paraId="5B691BD3" w14:textId="77777777" w:rsidR="004D1500" w:rsidRPr="00D85A9B" w:rsidRDefault="004D1500" w:rsidP="00833BF7">
      <w:pPr>
        <w:pStyle w:val="Endnotes"/>
        <w:spacing w:after="120" w:line="214" w:lineRule="auto"/>
        <w:ind w:firstLine="0"/>
        <w:rPr>
          <w:sz w:val="23"/>
          <w:szCs w:val="23"/>
        </w:rPr>
      </w:pPr>
      <w:r w:rsidRPr="00D85A9B">
        <w:rPr>
          <w:rStyle w:val="Strong"/>
          <w:rFonts w:ascii="Roboto" w:eastAsiaTheme="majorEastAsia" w:hAnsi="Roboto"/>
          <w:b w:val="0"/>
          <w:bCs w:val="0"/>
          <w:sz w:val="23"/>
          <w:szCs w:val="23"/>
        </w:rPr>
        <w:t>eSafety Commissioner. (2023).</w:t>
      </w:r>
      <w:r w:rsidRPr="00D85A9B">
        <w:rPr>
          <w:b/>
          <w:bCs/>
          <w:sz w:val="23"/>
          <w:szCs w:val="23"/>
        </w:rPr>
        <w:t xml:space="preserve"> </w:t>
      </w:r>
      <w:r w:rsidRPr="00D85A9B">
        <w:rPr>
          <w:rStyle w:val="Emphasis"/>
          <w:rFonts w:eastAsiaTheme="majorEastAsia"/>
          <w:sz w:val="23"/>
          <w:szCs w:val="23"/>
        </w:rPr>
        <w:t>Being a young man online: Tensions, complexities and possibilities</w:t>
      </w:r>
      <w:r w:rsidRPr="00D85A9B">
        <w:rPr>
          <w:sz w:val="23"/>
          <w:szCs w:val="23"/>
        </w:rPr>
        <w:t>. Australian Government.</w:t>
      </w:r>
    </w:p>
    <w:p w14:paraId="6A5D4910"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Ollis, D. (2016). The challenges, contradictions and possibilities of teaching about pornography in sex and relationships education (SRE): The Australian context. In V. Sundaram, &amp; H. Sauntson (Eds.), </w:t>
      </w:r>
      <w:r w:rsidRPr="00D85A9B">
        <w:rPr>
          <w:i/>
          <w:iCs/>
          <w:sz w:val="23"/>
          <w:szCs w:val="23"/>
        </w:rPr>
        <w:t>Global perspectives and key debates in sex and relationships education: Addressing issues of gender, sexuality, plurality and power</w:t>
      </w:r>
      <w:r w:rsidRPr="00D85A9B">
        <w:rPr>
          <w:sz w:val="23"/>
          <w:szCs w:val="23"/>
        </w:rPr>
        <w:t xml:space="preserve"> (pp. 48–67). Palgrave Macmillan. </w:t>
      </w:r>
    </w:p>
  </w:endnote>
  <w:endnote w:id="184">
    <w:p w14:paraId="17C8DBBB" w14:textId="738A36F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Bőthe, B., Vaillancourt-Morel, M.-P., Girouard, A., </w:t>
      </w:r>
      <w:r w:rsidRPr="00D85A9B">
        <w:rPr>
          <w:sz w:val="23"/>
          <w:szCs w:val="23"/>
        </w:rPr>
        <w:t xml:space="preserve">Štulhofer, A., Dion, J., &amp; Bergeron, S. (2020). A large-scale comparison of Canadian sexual/gender minority and heterosexual, cisgender adolescents’ pornography use characteristics. </w:t>
      </w:r>
      <w:r w:rsidRPr="00D85A9B">
        <w:rPr>
          <w:i/>
          <w:iCs/>
          <w:sz w:val="23"/>
          <w:szCs w:val="23"/>
        </w:rPr>
        <w:t>The Journal of Sexual Medicine, 17</w:t>
      </w:r>
      <w:r w:rsidRPr="00D85A9B">
        <w:rPr>
          <w:sz w:val="23"/>
          <w:szCs w:val="23"/>
        </w:rPr>
        <w:t>(6), 1156–1167.</w:t>
      </w:r>
    </w:p>
    <w:p w14:paraId="0FA26483" w14:textId="77777777" w:rsidR="004D1500" w:rsidRPr="00D85A9B" w:rsidRDefault="004D1500" w:rsidP="00833BF7">
      <w:pPr>
        <w:pStyle w:val="Endnotes"/>
        <w:spacing w:after="120" w:line="214" w:lineRule="auto"/>
        <w:ind w:firstLine="0"/>
        <w:rPr>
          <w:sz w:val="23"/>
          <w:szCs w:val="23"/>
        </w:rPr>
      </w:pPr>
      <w:r w:rsidRPr="00D85A9B">
        <w:rPr>
          <w:sz w:val="23"/>
          <w:szCs w:val="23"/>
        </w:rPr>
        <w:t>Lim, M. S., Agius, P. A., Carrotte, E. R., Vella, A. M., &amp; Hellard, M. E. (2017), see note 160.</w:t>
      </w:r>
    </w:p>
    <w:p w14:paraId="63F6A55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Our Watch (2024), see note 147. </w:t>
      </w:r>
    </w:p>
  </w:endnote>
  <w:endnote w:id="185">
    <w:p w14:paraId="08310951" w14:textId="4FBF28B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Ollis, D. (2016), see note 179.</w:t>
      </w:r>
    </w:p>
    <w:p w14:paraId="5C3F29B0"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Wright, P. J., Tokunaga, R. S., Kraus, A., &amp; Klann, E. (2019). Pornography consumption and satisfaction: A meta-analysis. </w:t>
      </w:r>
      <w:r w:rsidRPr="00D85A9B">
        <w:rPr>
          <w:i/>
          <w:iCs/>
          <w:sz w:val="23"/>
          <w:szCs w:val="23"/>
        </w:rPr>
        <w:t>Human Communication Research</w:t>
      </w:r>
      <w:r w:rsidRPr="00D85A9B">
        <w:rPr>
          <w:sz w:val="23"/>
          <w:szCs w:val="23"/>
        </w:rPr>
        <w:t xml:space="preserve">, </w:t>
      </w:r>
      <w:r w:rsidRPr="00D85A9B">
        <w:rPr>
          <w:i/>
          <w:iCs/>
          <w:sz w:val="23"/>
          <w:szCs w:val="23"/>
        </w:rPr>
        <w:t>45</w:t>
      </w:r>
      <w:r w:rsidRPr="00D85A9B">
        <w:rPr>
          <w:sz w:val="23"/>
          <w:szCs w:val="23"/>
        </w:rPr>
        <w:t xml:space="preserve">(3), 297–315. </w:t>
      </w:r>
    </w:p>
  </w:endnote>
  <w:endnote w:id="186">
    <w:p w14:paraId="7E2F26CA" w14:textId="2C583A3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Johnson, B., Harrison, L., Ollis, D., Flentje, J., Arnold, P., &amp; Bartholomaeus, C. (2016). </w:t>
      </w:r>
      <w:r w:rsidRPr="00D85A9B">
        <w:rPr>
          <w:i/>
          <w:iCs/>
          <w:sz w:val="23"/>
          <w:szCs w:val="23"/>
        </w:rPr>
        <w:t>‘It is not all about sex’: Young people’s views about sexuality and relationships education</w:t>
      </w:r>
      <w:r w:rsidRPr="00D85A9B">
        <w:rPr>
          <w:sz w:val="23"/>
          <w:szCs w:val="23"/>
        </w:rPr>
        <w:t xml:space="preserve">. University of South Australia. </w:t>
      </w:r>
    </w:p>
    <w:p w14:paraId="71F01C20"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Baker, K. E. (2016). Online pornography – Should schools be teaching young people about the risks? An exploration of the views of young people and teaching professionals. </w:t>
      </w:r>
      <w:r w:rsidRPr="00D85A9B">
        <w:rPr>
          <w:i/>
          <w:iCs/>
          <w:sz w:val="23"/>
          <w:szCs w:val="23"/>
        </w:rPr>
        <w:t>Sex Education, 16</w:t>
      </w:r>
      <w:r w:rsidRPr="00D85A9B">
        <w:rPr>
          <w:sz w:val="23"/>
          <w:szCs w:val="23"/>
        </w:rPr>
        <w:t>(2), 213–228.</w:t>
      </w:r>
    </w:p>
    <w:p w14:paraId="2373E47F"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Martellozzo, E., Monaghan, A., Adler, J. R., Davidson, J., Leyva, R., &amp; Horvath, M. A. H. (2016), see note 113. </w:t>
      </w:r>
    </w:p>
    <w:p w14:paraId="3011B32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Walker, S., Temple-Smith, M., Higgs, P., &amp; Sanci, L. (2015). ‘It’s always just there in your face’: Young people’s views on pornography in the media. </w:t>
      </w:r>
      <w:r w:rsidRPr="00D85A9B">
        <w:rPr>
          <w:rStyle w:val="Emphasis"/>
          <w:rFonts w:eastAsiaTheme="majorEastAsia"/>
          <w:sz w:val="23"/>
          <w:szCs w:val="23"/>
        </w:rPr>
        <w:t>Sexual Health</w:t>
      </w:r>
      <w:r w:rsidRPr="00D85A9B">
        <w:rPr>
          <w:sz w:val="23"/>
          <w:szCs w:val="23"/>
        </w:rPr>
        <w:t xml:space="preserve">, </w:t>
      </w:r>
      <w:r w:rsidRPr="00D85A9B">
        <w:rPr>
          <w:rStyle w:val="Emphasis"/>
          <w:rFonts w:eastAsiaTheme="majorEastAsia"/>
          <w:sz w:val="23"/>
          <w:szCs w:val="23"/>
        </w:rPr>
        <w:t>12</w:t>
      </w:r>
      <w:r w:rsidRPr="00D85A9B">
        <w:rPr>
          <w:sz w:val="23"/>
          <w:szCs w:val="23"/>
        </w:rPr>
        <w:t>(4), 303–309.</w:t>
      </w:r>
    </w:p>
    <w:p w14:paraId="3211CE68"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Wright, P. J., Tokunaga, R. S., Kraus, A., &amp; Klann, E. (2019), see note 181. </w:t>
      </w:r>
    </w:p>
  </w:endnote>
  <w:endnote w:id="187">
    <w:p w14:paraId="70284851" w14:textId="37ED796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Quadara, A., El-Murr, A., &amp; Latham, J. (2017), see note 107.</w:t>
      </w:r>
    </w:p>
  </w:endnote>
  <w:endnote w:id="188">
    <w:p w14:paraId="546B31C7" w14:textId="631BADF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Albury, K. (2014). Porn and sex education, porn as sex education. </w:t>
      </w:r>
      <w:r w:rsidRPr="00D85A9B">
        <w:rPr>
          <w:i/>
          <w:iCs/>
          <w:sz w:val="23"/>
          <w:szCs w:val="23"/>
        </w:rPr>
        <w:t>Porn Studies, 1</w:t>
      </w:r>
      <w:r w:rsidRPr="00D85A9B">
        <w:rPr>
          <w:sz w:val="23"/>
          <w:szCs w:val="23"/>
        </w:rPr>
        <w:t>(1–2), 172–181.</w:t>
      </w:r>
    </w:p>
    <w:p w14:paraId="2F617DC7"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Vandenbosch, L., &amp; van Oosten, J. M. (2017). The relationship between online pornography and the sexual objectification of women: The attenuating role of porn literacy education. </w:t>
      </w:r>
      <w:r w:rsidRPr="00D85A9B">
        <w:rPr>
          <w:i/>
          <w:iCs/>
          <w:sz w:val="23"/>
          <w:szCs w:val="23"/>
        </w:rPr>
        <w:t>Journal of Communication, 67</w:t>
      </w:r>
      <w:r w:rsidRPr="00D85A9B">
        <w:rPr>
          <w:sz w:val="23"/>
          <w:szCs w:val="23"/>
        </w:rPr>
        <w:t xml:space="preserve">(6), 1015–1036. </w:t>
      </w:r>
    </w:p>
  </w:endnote>
  <w:endnote w:id="189">
    <w:p w14:paraId="4A231701" w14:textId="769C3EA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Bengry-Howell, A. (2012). Planet porn.</w:t>
      </w:r>
    </w:p>
    <w:p w14:paraId="3F3667CA"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Haste, P. (2013). Sex education and masculinity: The ‘problem’ of boys. </w:t>
      </w:r>
      <w:r w:rsidRPr="00D85A9B">
        <w:rPr>
          <w:i/>
          <w:iCs/>
          <w:sz w:val="23"/>
          <w:szCs w:val="23"/>
        </w:rPr>
        <w:t>Gender and Education, 25</w:t>
      </w:r>
      <w:r w:rsidRPr="00D85A9B">
        <w:rPr>
          <w:sz w:val="23"/>
          <w:szCs w:val="23"/>
        </w:rPr>
        <w:t xml:space="preserve">(4), 515–527. </w:t>
      </w:r>
    </w:p>
  </w:endnote>
  <w:endnote w:id="190">
    <w:p w14:paraId="253895D6" w14:textId="1D69959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Albury, K. (2014), see note 184.</w:t>
      </w:r>
    </w:p>
    <w:p w14:paraId="06D90A56" w14:textId="77777777" w:rsidR="004D1500" w:rsidRPr="00D85A9B" w:rsidRDefault="004D1500" w:rsidP="00833BF7">
      <w:pPr>
        <w:pStyle w:val="Endnotes"/>
        <w:spacing w:after="120" w:line="214" w:lineRule="auto"/>
        <w:ind w:firstLine="0"/>
        <w:rPr>
          <w:sz w:val="23"/>
          <w:szCs w:val="23"/>
        </w:rPr>
      </w:pPr>
      <w:r w:rsidRPr="00D85A9B">
        <w:rPr>
          <w:sz w:val="23"/>
          <w:szCs w:val="23"/>
        </w:rPr>
        <w:t>Bengry-Howell, A. (2012), see note 185.</w:t>
      </w:r>
    </w:p>
    <w:p w14:paraId="4F6E45AE" w14:textId="77777777" w:rsidR="004D1500" w:rsidRPr="00D85A9B" w:rsidRDefault="004D1500" w:rsidP="00833BF7">
      <w:pPr>
        <w:pStyle w:val="Endnotes"/>
        <w:spacing w:after="120" w:line="214" w:lineRule="auto"/>
        <w:ind w:firstLine="0"/>
        <w:rPr>
          <w:sz w:val="23"/>
          <w:szCs w:val="23"/>
        </w:rPr>
      </w:pPr>
      <w:r w:rsidRPr="00D85A9B">
        <w:rPr>
          <w:sz w:val="23"/>
          <w:szCs w:val="23"/>
        </w:rPr>
        <w:t>Haste, P. (2013), see note 185.</w:t>
      </w:r>
    </w:p>
  </w:endnote>
  <w:endnote w:id="191">
    <w:p w14:paraId="54740624" w14:textId="73F51D1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Carmody, M. (2008). </w:t>
      </w:r>
      <w:r w:rsidRPr="00D85A9B">
        <w:rPr>
          <w:i/>
          <w:iCs/>
          <w:sz w:val="23"/>
          <w:szCs w:val="23"/>
        </w:rPr>
        <w:t>Sex and ethics: Young people and ethical sex</w:t>
      </w:r>
      <w:r w:rsidRPr="00D85A9B">
        <w:rPr>
          <w:sz w:val="23"/>
          <w:szCs w:val="23"/>
        </w:rPr>
        <w:t xml:space="preserve"> (Vol. 1): Palgrave Macmillan Australia. Crabbe, M. (2014), see note 153.</w:t>
      </w:r>
    </w:p>
    <w:p w14:paraId="021C7C6E" w14:textId="77777777" w:rsidR="004D1500" w:rsidRPr="00D85A9B" w:rsidRDefault="004D1500" w:rsidP="00833BF7">
      <w:pPr>
        <w:pStyle w:val="Endnotes"/>
        <w:spacing w:after="120" w:line="214" w:lineRule="auto"/>
        <w:ind w:firstLine="0"/>
        <w:rPr>
          <w:sz w:val="23"/>
          <w:szCs w:val="23"/>
        </w:rPr>
      </w:pPr>
      <w:r w:rsidRPr="00D85A9B">
        <w:rPr>
          <w:sz w:val="23"/>
          <w:szCs w:val="23"/>
        </w:rPr>
        <w:t>Crabbe, M., &amp; Flood, M. (2021), see note 179.</w:t>
      </w:r>
    </w:p>
    <w:p w14:paraId="19DE4A46"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Ollis, D. (2014). The role of teachers in delivering education about respectful relationships: Exploring teacher and student perspectives. </w:t>
      </w:r>
      <w:r w:rsidRPr="00D85A9B">
        <w:rPr>
          <w:i/>
          <w:iCs/>
          <w:sz w:val="23"/>
          <w:szCs w:val="23"/>
        </w:rPr>
        <w:t>Health Education Research, 29</w:t>
      </w:r>
      <w:r w:rsidRPr="00D85A9B">
        <w:rPr>
          <w:sz w:val="23"/>
          <w:szCs w:val="23"/>
        </w:rPr>
        <w:t xml:space="preserve">(4), 702–713. </w:t>
      </w:r>
    </w:p>
  </w:endnote>
  <w:endnote w:id="192">
    <w:p w14:paraId="7FD42FC0" w14:textId="4E5A297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Albury, K. (2014), see note 184.</w:t>
      </w:r>
    </w:p>
  </w:endnote>
  <w:endnote w:id="193">
    <w:p w14:paraId="0A38E52B" w14:textId="0B0B5F7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Vandenbosch, L., &amp; van Oosten, J. M. (2017), see note 184. </w:t>
      </w:r>
    </w:p>
  </w:endnote>
  <w:endnote w:id="194">
    <w:p w14:paraId="43BC653C" w14:textId="66955C8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Martellozzo, E., Monaghan, A., Adler, J. R., Davidson, J., Leyva, R., &amp; Horvath, M. A. (2016), see note 113.</w:t>
      </w:r>
    </w:p>
  </w:endnote>
  <w:endnote w:id="195">
    <w:p w14:paraId="2D8474A2" w14:textId="44F0D7D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Martellozzo, E., Monaghan, A., Adler, J. R., Davidson, J., Leyva, R., &amp; Horvath, M. A. (2016), see note 113.</w:t>
      </w:r>
    </w:p>
  </w:endnote>
  <w:endnote w:id="196">
    <w:p w14:paraId="4D7B296B" w14:textId="595C4C8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Rothman, E. F., </w:t>
      </w:r>
      <w:r w:rsidRPr="00D85A9B">
        <w:rPr>
          <w:sz w:val="23"/>
          <w:szCs w:val="23"/>
        </w:rPr>
        <w:t xml:space="preserve">Adhia, A., Christensen, T. T., Paruk, J., Alder, J., &amp; Daley, N. (2018). A pornography literacy class for youth: Results of a feasibility and efficacy pilot study. </w:t>
      </w:r>
      <w:r w:rsidRPr="00D85A9B">
        <w:rPr>
          <w:i/>
          <w:iCs/>
          <w:sz w:val="23"/>
          <w:szCs w:val="23"/>
        </w:rPr>
        <w:t>American Journal of Sexuality Education, 13</w:t>
      </w:r>
      <w:r w:rsidRPr="00D85A9B">
        <w:rPr>
          <w:sz w:val="23"/>
          <w:szCs w:val="23"/>
        </w:rPr>
        <w:t xml:space="preserve">(1), 1–17. </w:t>
      </w:r>
    </w:p>
  </w:endnote>
  <w:endnote w:id="197">
    <w:p w14:paraId="08F0BB0D" w14:textId="7AC7AD9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Rothman, E. F., </w:t>
      </w:r>
      <w:r w:rsidRPr="00D85A9B">
        <w:rPr>
          <w:sz w:val="23"/>
          <w:szCs w:val="23"/>
        </w:rPr>
        <w:t>Adhia, A., Christensen, T. T., Paruk, J., Alder, J., &amp; Daley, N. (2018), see note 192.</w:t>
      </w:r>
    </w:p>
  </w:endnote>
  <w:endnote w:id="198">
    <w:p w14:paraId="164498A6" w14:textId="664B88B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Rothman, E. F., </w:t>
      </w:r>
      <w:r w:rsidRPr="00D85A9B">
        <w:rPr>
          <w:sz w:val="23"/>
          <w:szCs w:val="23"/>
        </w:rPr>
        <w:t>Adhia, A., Christensen, T. T., Paruk, J., Alder, J., &amp; Daley, N. (2018), see note 192.</w:t>
      </w:r>
    </w:p>
  </w:endnote>
  <w:endnote w:id="199">
    <w:p w14:paraId="60A0D140" w14:textId="5465F3E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Davis, A., Wright, C., Curtis, M., Hellard, M., Lim, M., &amp; Temple-Smith, M. (2019), see note 134. </w:t>
      </w:r>
    </w:p>
  </w:endnote>
  <w:endnote w:id="200">
    <w:p w14:paraId="14885FE4" w14:textId="0D38BAE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Davis, A., Wright, C., Curtis, M., Hellard, M., Lim, M., &amp; Temple-Smith, M. (2019), see note 134.</w:t>
      </w:r>
    </w:p>
  </w:endnote>
  <w:endnote w:id="201">
    <w:p w14:paraId="4ED366EC" w14:textId="49B7049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Crabbe, M., &amp; Flood, M. (2021), see note 179.</w:t>
      </w:r>
    </w:p>
  </w:endnote>
  <w:endnote w:id="202">
    <w:p w14:paraId="1F205550" w14:textId="28CFDF5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Crabbe, M., &amp; Flood, M. (2021), see note 179.</w:t>
      </w:r>
    </w:p>
  </w:endnote>
  <w:endnote w:id="203">
    <w:p w14:paraId="36758EEB" w14:textId="55F4BBA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Pound, P., Langford, R., &amp; Campbell, R. (2016). What do young people think about their school-based sex and relationship education? A qualitative synthesis of young people’s views and experiences. </w:t>
      </w:r>
      <w:r w:rsidRPr="00D85A9B">
        <w:rPr>
          <w:i/>
          <w:iCs/>
          <w:sz w:val="23"/>
          <w:szCs w:val="23"/>
        </w:rPr>
        <w:t>BMJ Open, 6</w:t>
      </w:r>
      <w:r w:rsidRPr="00D85A9B">
        <w:rPr>
          <w:sz w:val="23"/>
          <w:szCs w:val="23"/>
        </w:rPr>
        <w:t xml:space="preserve">(9), 1–14. </w:t>
      </w:r>
    </w:p>
    <w:p w14:paraId="56F89154"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UNESCO. (2015). </w:t>
      </w:r>
      <w:r w:rsidRPr="00D85A9B">
        <w:rPr>
          <w:i/>
          <w:iCs/>
          <w:sz w:val="23"/>
          <w:szCs w:val="23"/>
        </w:rPr>
        <w:t>Emerging evidence, lessons and practice in comprehensive sexuality education: A global review</w:t>
      </w:r>
      <w:r w:rsidRPr="00D85A9B">
        <w:rPr>
          <w:sz w:val="23"/>
          <w:szCs w:val="23"/>
        </w:rPr>
        <w:t>. UNESCO Publishing.</w:t>
      </w:r>
    </w:p>
  </w:endnote>
  <w:endnote w:id="204">
    <w:p w14:paraId="18EC3A0E" w14:textId="7630ABF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Cameron-Lewis, V., &amp; Allen, L. (2013). Teaching pleasure and danger in sexuality education. </w:t>
      </w:r>
      <w:r w:rsidRPr="00D85A9B">
        <w:rPr>
          <w:i/>
          <w:iCs/>
          <w:sz w:val="23"/>
          <w:szCs w:val="23"/>
        </w:rPr>
        <w:t>Sex Education</w:t>
      </w:r>
      <w:r w:rsidRPr="00D85A9B">
        <w:rPr>
          <w:sz w:val="23"/>
          <w:szCs w:val="23"/>
        </w:rPr>
        <w:t xml:space="preserve">, </w:t>
      </w:r>
      <w:r w:rsidRPr="00D85A9B">
        <w:rPr>
          <w:i/>
          <w:iCs/>
          <w:sz w:val="23"/>
          <w:szCs w:val="23"/>
        </w:rPr>
        <w:t>13</w:t>
      </w:r>
      <w:r w:rsidRPr="00D85A9B">
        <w:rPr>
          <w:sz w:val="23"/>
          <w:szCs w:val="23"/>
        </w:rPr>
        <w:t>(2), 121–132.</w:t>
      </w:r>
    </w:p>
  </w:endnote>
  <w:endnote w:id="205">
    <w:p w14:paraId="397BEC33" w14:textId="603BEE45"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6974FA" w:rsidRPr="00D85A9B">
        <w:rPr>
          <w:sz w:val="23"/>
          <w:szCs w:val="23"/>
        </w:rPr>
        <w:tab/>
      </w:r>
      <w:r w:rsidRPr="00D85A9B">
        <w:rPr>
          <w:sz w:val="23"/>
          <w:szCs w:val="23"/>
        </w:rPr>
        <w:t>Crooks, C., Jaffe, P., Dunlop, C., Kerry, A., &amp; Exner-</w:t>
      </w:r>
      <w:r w:rsidRPr="00D85A9B">
        <w:rPr>
          <w:sz w:val="23"/>
          <w:szCs w:val="23"/>
        </w:rPr>
        <w:t xml:space="preserve">Cortens, D. (2019). Preventing gender-based violence among adolescents and young people: Lessons from 25 years of program development and evaluation. </w:t>
      </w:r>
      <w:r w:rsidRPr="00D85A9B">
        <w:rPr>
          <w:i/>
          <w:iCs/>
          <w:sz w:val="23"/>
          <w:szCs w:val="23"/>
        </w:rPr>
        <w:t>Violence Against Women</w:t>
      </w:r>
      <w:r w:rsidRPr="00D85A9B">
        <w:rPr>
          <w:sz w:val="23"/>
          <w:szCs w:val="23"/>
        </w:rPr>
        <w:t xml:space="preserve">, </w:t>
      </w:r>
      <w:r w:rsidRPr="00D85A9B">
        <w:rPr>
          <w:i/>
          <w:iCs/>
          <w:sz w:val="23"/>
          <w:szCs w:val="23"/>
        </w:rPr>
        <w:t>25</w:t>
      </w:r>
      <w:r w:rsidRPr="00D85A9B">
        <w:rPr>
          <w:sz w:val="23"/>
          <w:szCs w:val="23"/>
        </w:rPr>
        <w:t>(1), 29–55.</w:t>
      </w:r>
    </w:p>
  </w:endnote>
  <w:endnote w:id="206">
    <w:p w14:paraId="62213472" w14:textId="495F188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Ollis, D. (2011) ‘A “respectful relationships” approach: Could it be the answer to preventing gender-based violence?’. </w:t>
      </w:r>
      <w:r w:rsidRPr="00D85A9B">
        <w:rPr>
          <w:i/>
          <w:iCs/>
          <w:sz w:val="23"/>
          <w:szCs w:val="23"/>
        </w:rPr>
        <w:t>Redress, 20</w:t>
      </w:r>
      <w:r w:rsidRPr="00D85A9B">
        <w:rPr>
          <w:sz w:val="23"/>
          <w:szCs w:val="23"/>
        </w:rPr>
        <w:t>(2), 19–26.</w:t>
      </w:r>
    </w:p>
    <w:p w14:paraId="2EE5E40A"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Stanley, N., Ellis, J., Farrelly, N., Hollinghurst, S., &amp; Downe, S. (2015). Preventing domestic abuse for children and young people: A review of school-based interventions. </w:t>
      </w:r>
      <w:r w:rsidRPr="00D85A9B">
        <w:rPr>
          <w:i/>
          <w:iCs/>
          <w:sz w:val="23"/>
          <w:szCs w:val="23"/>
        </w:rPr>
        <w:t>Children and Youth Services Review</w:t>
      </w:r>
      <w:r w:rsidRPr="00D85A9B">
        <w:rPr>
          <w:sz w:val="23"/>
          <w:szCs w:val="23"/>
        </w:rPr>
        <w:t xml:space="preserve">, </w:t>
      </w:r>
      <w:r w:rsidRPr="00D85A9B">
        <w:rPr>
          <w:i/>
          <w:iCs/>
          <w:sz w:val="23"/>
          <w:szCs w:val="23"/>
        </w:rPr>
        <w:t>59</w:t>
      </w:r>
      <w:r w:rsidRPr="00D85A9B">
        <w:rPr>
          <w:sz w:val="23"/>
          <w:szCs w:val="23"/>
        </w:rPr>
        <w:t>, 120–31.</w:t>
      </w:r>
    </w:p>
  </w:endnote>
  <w:endnote w:id="207">
    <w:p w14:paraId="446A1951" w14:textId="5EA05EB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Our Watch. (2022). </w:t>
      </w:r>
      <w:r w:rsidRPr="00D85A9B">
        <w:rPr>
          <w:i/>
          <w:iCs/>
          <w:sz w:val="23"/>
          <w:szCs w:val="23"/>
        </w:rPr>
        <w:t>Respectful relationships education toolkit: Implementation steps</w:t>
      </w:r>
      <w:r w:rsidRPr="00D85A9B">
        <w:rPr>
          <w:sz w:val="23"/>
          <w:szCs w:val="23"/>
        </w:rPr>
        <w:t xml:space="preserve">. </w:t>
      </w:r>
    </w:p>
  </w:endnote>
  <w:endnote w:id="208">
    <w:p w14:paraId="355A0F6B" w14:textId="6AF1F06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974FA" w:rsidRPr="00D85A9B">
        <w:rPr>
          <w:sz w:val="23"/>
          <w:szCs w:val="23"/>
        </w:rPr>
        <w:tab/>
      </w:r>
      <w:r w:rsidRPr="00D85A9B">
        <w:rPr>
          <w:sz w:val="23"/>
          <w:szCs w:val="23"/>
        </w:rPr>
        <w:t xml:space="preserve">Our Watch. (2021). </w:t>
      </w:r>
      <w:r w:rsidRPr="00D85A9B">
        <w:rPr>
          <w:i/>
          <w:iCs/>
          <w:sz w:val="23"/>
          <w:szCs w:val="23"/>
        </w:rPr>
        <w:t>Respectful relationships education in schools: Evidence paper.</w:t>
      </w:r>
      <w:r w:rsidRPr="00D85A9B">
        <w:rPr>
          <w:sz w:val="23"/>
          <w:szCs w:val="23"/>
        </w:rPr>
        <w:t xml:space="preserve"> </w:t>
      </w:r>
      <w:hyperlink r:id="rId14" w:history="1">
        <w:r w:rsidRPr="00D85A9B">
          <w:rPr>
            <w:rStyle w:val="Hyperlink"/>
            <w:sz w:val="23"/>
            <w:szCs w:val="23"/>
          </w:rPr>
          <w:t>https://www.ourwatch.org.au/education/the-evidence-for-respectful-relationships-education</w:t>
        </w:r>
      </w:hyperlink>
      <w:r w:rsidRPr="00D85A9B">
        <w:rPr>
          <w:sz w:val="23"/>
          <w:szCs w:val="23"/>
        </w:rPr>
        <w:t xml:space="preserve"> </w:t>
      </w:r>
    </w:p>
  </w:endnote>
  <w:endnote w:id="209">
    <w:p w14:paraId="5B0E514A" w14:textId="38EBBDB6"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6D556A" w:rsidRPr="00D85A9B">
        <w:rPr>
          <w:sz w:val="23"/>
          <w:szCs w:val="23"/>
        </w:rPr>
        <w:tab/>
      </w:r>
      <w:r w:rsidRPr="00D85A9B">
        <w:rPr>
          <w:sz w:val="23"/>
          <w:szCs w:val="23"/>
        </w:rPr>
        <w:t xml:space="preserve">Fitz-Gibbon, K., McGowan, J., &amp; Stewart, R. (2023). </w:t>
      </w:r>
      <w:r w:rsidRPr="00D85A9B">
        <w:rPr>
          <w:rStyle w:val="Emphasis"/>
          <w:rFonts w:eastAsiaTheme="majorEastAsia"/>
          <w:sz w:val="23"/>
          <w:szCs w:val="23"/>
        </w:rPr>
        <w:t>I believe you: Children and young people’s experiences of seeking help, securing help and navigating the family violence system</w:t>
      </w:r>
      <w:r w:rsidRPr="00D85A9B">
        <w:rPr>
          <w:sz w:val="23"/>
          <w:szCs w:val="23"/>
        </w:rPr>
        <w:t xml:space="preserve"> (Version 2; p. 33). Monash University.</w:t>
      </w:r>
    </w:p>
  </w:endnote>
  <w:endnote w:id="210">
    <w:p w14:paraId="4F51606B" w14:textId="71ADF06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Eliot, M., Cornell, D., Gregory, A., &amp; Fan, X. (2010). Supportive school climate and student willingness to seek help for bullying and threats of violence. </w:t>
      </w:r>
      <w:r w:rsidRPr="00D85A9B">
        <w:rPr>
          <w:i/>
          <w:iCs/>
          <w:sz w:val="23"/>
          <w:szCs w:val="23"/>
        </w:rPr>
        <w:t>Journal of School Psychology</w:t>
      </w:r>
      <w:r w:rsidRPr="00D85A9B">
        <w:rPr>
          <w:sz w:val="23"/>
          <w:szCs w:val="23"/>
        </w:rPr>
        <w:t xml:space="preserve">, </w:t>
      </w:r>
      <w:r w:rsidRPr="00D85A9B">
        <w:rPr>
          <w:i/>
          <w:iCs/>
          <w:sz w:val="23"/>
          <w:szCs w:val="23"/>
        </w:rPr>
        <w:t>48</w:t>
      </w:r>
      <w:r w:rsidRPr="00D85A9B">
        <w:rPr>
          <w:sz w:val="23"/>
          <w:szCs w:val="23"/>
        </w:rPr>
        <w:t>(6), 533–553.</w:t>
      </w:r>
    </w:p>
    <w:p w14:paraId="7FECCF38"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Hong, J. S., &amp; Espelage, D. L. (2012). A review of research on bullying and peer victimization in school: An ecological system analysis. </w:t>
      </w:r>
      <w:r w:rsidRPr="00D85A9B">
        <w:rPr>
          <w:i/>
          <w:iCs/>
          <w:sz w:val="23"/>
          <w:szCs w:val="23"/>
        </w:rPr>
        <w:t>Aggression and Violent Behavior</w:t>
      </w:r>
      <w:r w:rsidRPr="00D85A9B">
        <w:rPr>
          <w:sz w:val="23"/>
          <w:szCs w:val="23"/>
        </w:rPr>
        <w:t xml:space="preserve">, </w:t>
      </w:r>
      <w:r w:rsidRPr="00D85A9B">
        <w:rPr>
          <w:i/>
          <w:iCs/>
          <w:sz w:val="23"/>
          <w:szCs w:val="23"/>
        </w:rPr>
        <w:t>17</w:t>
      </w:r>
      <w:r w:rsidRPr="00D85A9B">
        <w:rPr>
          <w:sz w:val="23"/>
          <w:szCs w:val="23"/>
        </w:rPr>
        <w:t>(4), 311–322.</w:t>
      </w:r>
    </w:p>
    <w:p w14:paraId="3AD69C3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Pearce, N., Cross, D., Monks, H., Waters, S., &amp; Falconer, S. (2011). Current evidence of best practice in whole-school bullying intervention and its potential to inform cyberbullying interventions. </w:t>
      </w:r>
      <w:r w:rsidRPr="00D85A9B">
        <w:rPr>
          <w:i/>
          <w:iCs/>
          <w:sz w:val="23"/>
          <w:szCs w:val="23"/>
        </w:rPr>
        <w:t>Australian Journal of Guidance and Counselling</w:t>
      </w:r>
      <w:r w:rsidRPr="00D85A9B">
        <w:rPr>
          <w:sz w:val="23"/>
          <w:szCs w:val="23"/>
        </w:rPr>
        <w:t xml:space="preserve">, </w:t>
      </w:r>
      <w:r w:rsidRPr="00D85A9B">
        <w:rPr>
          <w:i/>
          <w:iCs/>
          <w:sz w:val="23"/>
          <w:szCs w:val="23"/>
        </w:rPr>
        <w:t>21</w:t>
      </w:r>
      <w:r w:rsidRPr="00D85A9B">
        <w:rPr>
          <w:sz w:val="23"/>
          <w:szCs w:val="23"/>
        </w:rPr>
        <w:t>(1), 1–21.</w:t>
      </w:r>
    </w:p>
    <w:p w14:paraId="5632DF96"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Ttofi, M. M., &amp; Farrington, D. P. (2011). Effectiveness of school-based programs to reduce bullying: A systematic and meta-analytic review. </w:t>
      </w:r>
      <w:r w:rsidRPr="00D85A9B">
        <w:rPr>
          <w:i/>
          <w:iCs/>
          <w:sz w:val="23"/>
          <w:szCs w:val="23"/>
        </w:rPr>
        <w:t>Journal of Experimental Criminology</w:t>
      </w:r>
      <w:r w:rsidRPr="00D85A9B">
        <w:rPr>
          <w:sz w:val="23"/>
          <w:szCs w:val="23"/>
        </w:rPr>
        <w:t xml:space="preserve">, </w:t>
      </w:r>
      <w:r w:rsidRPr="00D85A9B">
        <w:rPr>
          <w:i/>
          <w:iCs/>
          <w:sz w:val="23"/>
          <w:szCs w:val="23"/>
        </w:rPr>
        <w:t>7</w:t>
      </w:r>
      <w:r w:rsidRPr="00D85A9B">
        <w:rPr>
          <w:sz w:val="23"/>
          <w:szCs w:val="23"/>
        </w:rPr>
        <w:t xml:space="preserve">(1), 27–56. </w:t>
      </w:r>
    </w:p>
  </w:endnote>
  <w:endnote w:id="211">
    <w:p w14:paraId="78B86AE2" w14:textId="26FDCCF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Our Watch. (2022). </w:t>
      </w:r>
      <w:r w:rsidRPr="00D85A9B">
        <w:rPr>
          <w:i/>
          <w:sz w:val="23"/>
          <w:szCs w:val="23"/>
        </w:rPr>
        <w:t>Respectful relationships education toolkit.</w:t>
      </w:r>
    </w:p>
  </w:endnote>
  <w:endnote w:id="212">
    <w:p w14:paraId="55E967CC" w14:textId="6D21065B" w:rsidR="004D1500" w:rsidRPr="00D85A9B" w:rsidRDefault="004D1500" w:rsidP="00563C41">
      <w:pPr>
        <w:pStyle w:val="Endnotes"/>
        <w:spacing w:after="120" w:line="214" w:lineRule="auto"/>
        <w:rPr>
          <w:i/>
          <w:iCs/>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Our Watch. (2022). </w:t>
      </w:r>
      <w:r w:rsidRPr="00D85A9B">
        <w:rPr>
          <w:i/>
          <w:iCs/>
          <w:sz w:val="23"/>
          <w:szCs w:val="23"/>
        </w:rPr>
        <w:t>Respectful relationships education toolkit.</w:t>
      </w:r>
    </w:p>
  </w:endnote>
  <w:endnote w:id="213">
    <w:p w14:paraId="763FD526" w14:textId="5C275CD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Rinehart, S. J., &amp; Espelage, D. L. (2016). A multilevel analysis of school climate, homophobic name-calling, and sexual harassment victimization/perpetration among middle school youth. </w:t>
      </w:r>
      <w:r w:rsidRPr="00D85A9B">
        <w:rPr>
          <w:i/>
          <w:iCs/>
          <w:sz w:val="23"/>
          <w:szCs w:val="23"/>
        </w:rPr>
        <w:t>Psychology of Violence</w:t>
      </w:r>
      <w:r w:rsidRPr="00D85A9B">
        <w:rPr>
          <w:sz w:val="23"/>
          <w:szCs w:val="23"/>
        </w:rPr>
        <w:t xml:space="preserve">, </w:t>
      </w:r>
      <w:r w:rsidRPr="00D85A9B">
        <w:rPr>
          <w:i/>
          <w:iCs/>
          <w:sz w:val="23"/>
          <w:szCs w:val="23"/>
        </w:rPr>
        <w:t>6</w:t>
      </w:r>
      <w:r w:rsidRPr="00D85A9B">
        <w:rPr>
          <w:sz w:val="23"/>
          <w:szCs w:val="23"/>
        </w:rPr>
        <w:t>(2), 213.</w:t>
      </w:r>
    </w:p>
  </w:endnote>
  <w:endnote w:id="214">
    <w:p w14:paraId="09E0FD0E" w14:textId="70ADF1E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Molina, A., Cahill, H., &amp; </w:t>
      </w:r>
      <w:r w:rsidRPr="00D85A9B">
        <w:rPr>
          <w:sz w:val="23"/>
          <w:szCs w:val="23"/>
        </w:rPr>
        <w:t xml:space="preserve">Dadvand, B. (2022). The role of gender, setting and experience in teacher beliefs and intentions in social and emotional learning and respectful relationships education. </w:t>
      </w:r>
      <w:r w:rsidRPr="00D85A9B">
        <w:rPr>
          <w:i/>
          <w:iCs/>
          <w:sz w:val="23"/>
          <w:szCs w:val="23"/>
        </w:rPr>
        <w:t>The Australian Educational Researcher</w:t>
      </w:r>
      <w:r w:rsidRPr="00D85A9B">
        <w:rPr>
          <w:sz w:val="23"/>
          <w:szCs w:val="23"/>
        </w:rPr>
        <w:t xml:space="preserve">, </w:t>
      </w:r>
      <w:r w:rsidRPr="00D85A9B">
        <w:rPr>
          <w:i/>
          <w:iCs/>
          <w:sz w:val="23"/>
          <w:szCs w:val="23"/>
        </w:rPr>
        <w:t>49</w:t>
      </w:r>
      <w:r w:rsidRPr="00D85A9B">
        <w:rPr>
          <w:sz w:val="23"/>
          <w:szCs w:val="23"/>
        </w:rPr>
        <w:t>(1), 63–79.</w:t>
      </w:r>
    </w:p>
  </w:endnote>
  <w:endnote w:id="215">
    <w:p w14:paraId="1758CB4B" w14:textId="71053ACE"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Villardón-Gallego, L., García-Cid, A., Estévez, A., &amp; García-Carrión, R. (2023). Early educational interventions to prevent gender-based violence: A systematic review. </w:t>
      </w:r>
      <w:r w:rsidRPr="00D85A9B">
        <w:rPr>
          <w:i/>
          <w:iCs/>
          <w:sz w:val="23"/>
          <w:szCs w:val="23"/>
        </w:rPr>
        <w:t>Healthcare, 11</w:t>
      </w:r>
      <w:r w:rsidRPr="00D85A9B">
        <w:rPr>
          <w:sz w:val="23"/>
          <w:szCs w:val="23"/>
        </w:rPr>
        <w:t xml:space="preserve">(1), 142. </w:t>
      </w:r>
    </w:p>
  </w:endnote>
  <w:endnote w:id="216">
    <w:p w14:paraId="447BC17B" w14:textId="7335C64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Ttofi, M. M., &amp; Farrington, D. P. (2011), see note 205.</w:t>
      </w:r>
    </w:p>
    <w:p w14:paraId="5ABA5F3A"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Cipriano, C., Strambler, M., Naples, L., Ha, C., Kirk, M., Wood, M., Sehgal, K., Zieher, A, K., Eveleigh, A., McCarthy, M., Funaro, M., Ponnock, A., Chow, J., &amp; Durlak, J. (2023). The state of evidence for social and emotional learning: A contemporary meta-analysis of universal school-based SEL interventions. </w:t>
      </w:r>
      <w:r w:rsidRPr="00D85A9B">
        <w:rPr>
          <w:i/>
          <w:iCs/>
          <w:sz w:val="23"/>
          <w:szCs w:val="23"/>
        </w:rPr>
        <w:t>Child Development</w:t>
      </w:r>
      <w:r w:rsidRPr="00D85A9B">
        <w:rPr>
          <w:sz w:val="23"/>
          <w:szCs w:val="23"/>
        </w:rPr>
        <w:t xml:space="preserve">, </w:t>
      </w:r>
      <w:r w:rsidRPr="00D85A9B">
        <w:rPr>
          <w:i/>
          <w:iCs/>
          <w:sz w:val="23"/>
          <w:szCs w:val="23"/>
        </w:rPr>
        <w:t>94</w:t>
      </w:r>
      <w:r w:rsidRPr="00D85A9B">
        <w:rPr>
          <w:sz w:val="23"/>
          <w:szCs w:val="23"/>
        </w:rPr>
        <w:t>(5), 1181–1204.</w:t>
      </w:r>
    </w:p>
    <w:p w14:paraId="3AE42237"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Durlak, J., Mahoney, J., &amp; Boyle, A. (2022). What we know, and what we need to find out about universal, school-based social and emotional learning programs for children and adolescents: A review of meta-analyses and directions for future research. </w:t>
      </w:r>
      <w:r w:rsidRPr="00D85A9B">
        <w:rPr>
          <w:i/>
          <w:iCs/>
          <w:sz w:val="23"/>
          <w:szCs w:val="23"/>
        </w:rPr>
        <w:t>Psychological Bulletin</w:t>
      </w:r>
      <w:r w:rsidRPr="00D85A9B">
        <w:rPr>
          <w:sz w:val="23"/>
          <w:szCs w:val="23"/>
        </w:rPr>
        <w:t xml:space="preserve">, </w:t>
      </w:r>
      <w:r w:rsidRPr="00D85A9B">
        <w:rPr>
          <w:i/>
          <w:iCs/>
          <w:sz w:val="23"/>
          <w:szCs w:val="23"/>
        </w:rPr>
        <w:t>148</w:t>
      </w:r>
      <w:r w:rsidRPr="00D85A9B">
        <w:rPr>
          <w:sz w:val="23"/>
          <w:szCs w:val="23"/>
        </w:rPr>
        <w:t xml:space="preserve">(11–12), 765–782. </w:t>
      </w:r>
    </w:p>
  </w:endnote>
  <w:endnote w:id="217">
    <w:p w14:paraId="5D017245" w14:textId="09A7A5C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Vanner, C., &amp; </w:t>
      </w:r>
      <w:r w:rsidRPr="00D85A9B">
        <w:rPr>
          <w:sz w:val="23"/>
          <w:szCs w:val="23"/>
        </w:rPr>
        <w:t xml:space="preserve">Almanssori, S. (2024). ‘The whole truth’: Student perspectives on how Canadian teachers should teach about gender-based violence. </w:t>
      </w:r>
      <w:r w:rsidRPr="00D85A9B">
        <w:rPr>
          <w:i/>
          <w:iCs/>
          <w:sz w:val="23"/>
          <w:szCs w:val="23"/>
        </w:rPr>
        <w:t>Pedagogy, Culture &amp; Society, 32</w:t>
      </w:r>
      <w:r w:rsidRPr="00D85A9B">
        <w:rPr>
          <w:sz w:val="23"/>
          <w:szCs w:val="23"/>
        </w:rPr>
        <w:t xml:space="preserve">(1), 21–40. </w:t>
      </w:r>
    </w:p>
  </w:endnote>
  <w:endnote w:id="218">
    <w:p w14:paraId="1B899630" w14:textId="1691D21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Cahill, H. (2022). Using metaphors to cross the divide between feminist theory and pedagogical design. </w:t>
      </w:r>
      <w:r w:rsidRPr="00D85A9B">
        <w:rPr>
          <w:i/>
          <w:iCs/>
          <w:sz w:val="23"/>
          <w:szCs w:val="23"/>
        </w:rPr>
        <w:t>Gender and Education</w:t>
      </w:r>
      <w:r w:rsidRPr="00D85A9B">
        <w:rPr>
          <w:sz w:val="23"/>
          <w:szCs w:val="23"/>
        </w:rPr>
        <w:t xml:space="preserve">, </w:t>
      </w:r>
      <w:r w:rsidRPr="00D85A9B">
        <w:rPr>
          <w:i/>
          <w:iCs/>
          <w:sz w:val="23"/>
          <w:szCs w:val="23"/>
        </w:rPr>
        <w:t>34</w:t>
      </w:r>
      <w:r w:rsidRPr="00D85A9B">
        <w:rPr>
          <w:sz w:val="23"/>
          <w:szCs w:val="23"/>
        </w:rPr>
        <w:t>(1), 49–63.</w:t>
      </w:r>
    </w:p>
  </w:endnote>
  <w:endnote w:id="219">
    <w:p w14:paraId="0853701B" w14:textId="4BC9D419"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Cahill, H., </w:t>
      </w:r>
      <w:r w:rsidRPr="00D85A9B">
        <w:rPr>
          <w:sz w:val="23"/>
          <w:szCs w:val="23"/>
        </w:rPr>
        <w:t xml:space="preserve">Dadvand, B., Fox, A., Smith, L., &amp; Farrelly, C. (2023). </w:t>
      </w:r>
      <w:r w:rsidRPr="00D85A9B">
        <w:rPr>
          <w:i/>
          <w:iCs/>
          <w:sz w:val="23"/>
          <w:szCs w:val="23"/>
        </w:rPr>
        <w:t>Building skills for respectful relationships: Evidence-informed practice in schools</w:t>
      </w:r>
      <w:r w:rsidRPr="00D85A9B">
        <w:rPr>
          <w:sz w:val="23"/>
          <w:szCs w:val="23"/>
        </w:rPr>
        <w:t>. University of Melbourne.</w:t>
      </w:r>
    </w:p>
    <w:p w14:paraId="040065EC"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Cahill, H., Lusher, D., Theobald, R., Smith, L., &amp; Farrelly, C. (2023). </w:t>
      </w:r>
      <w:r w:rsidRPr="00D85A9B">
        <w:rPr>
          <w:i/>
          <w:iCs/>
          <w:sz w:val="23"/>
          <w:szCs w:val="23"/>
        </w:rPr>
        <w:t>Using social network analysis to evaluate respectful relationships education</w:t>
      </w:r>
      <w:r w:rsidRPr="00D85A9B">
        <w:rPr>
          <w:sz w:val="23"/>
          <w:szCs w:val="23"/>
        </w:rPr>
        <w:t>. University of Melbourne.</w:t>
      </w:r>
    </w:p>
    <w:p w14:paraId="1E52C55C"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Cornelius, T. L., &amp; Resseguie, N. (2007). Primary and secondary prevention programs for dating violence: A review of the literature. </w:t>
      </w:r>
      <w:r w:rsidRPr="00D85A9B">
        <w:rPr>
          <w:i/>
          <w:iCs/>
          <w:sz w:val="23"/>
          <w:szCs w:val="23"/>
        </w:rPr>
        <w:t>Aggression and Violent Behavior</w:t>
      </w:r>
      <w:r w:rsidRPr="00D85A9B">
        <w:rPr>
          <w:sz w:val="23"/>
          <w:szCs w:val="23"/>
        </w:rPr>
        <w:t xml:space="preserve">, </w:t>
      </w:r>
      <w:r w:rsidRPr="00D85A9B">
        <w:rPr>
          <w:i/>
          <w:iCs/>
          <w:sz w:val="23"/>
          <w:szCs w:val="23"/>
        </w:rPr>
        <w:t>12</w:t>
      </w:r>
      <w:r w:rsidRPr="00D85A9B">
        <w:rPr>
          <w:sz w:val="23"/>
          <w:szCs w:val="23"/>
        </w:rPr>
        <w:t>(3), 364–375.</w:t>
      </w:r>
    </w:p>
    <w:p w14:paraId="686A1DDB"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Ellsberg, M., Arango, D. J., Morton, M., Gennari, F., Kiplesund, S., Contreras, M., &amp; Watts, C. (2015). Prevention of violence against women and girls: What does the evidence say? </w:t>
      </w:r>
      <w:r w:rsidRPr="00D85A9B">
        <w:rPr>
          <w:i/>
          <w:iCs/>
          <w:sz w:val="23"/>
          <w:szCs w:val="23"/>
        </w:rPr>
        <w:t>The Lancet</w:t>
      </w:r>
      <w:r w:rsidRPr="00D85A9B">
        <w:rPr>
          <w:sz w:val="23"/>
          <w:szCs w:val="23"/>
        </w:rPr>
        <w:t xml:space="preserve">, </w:t>
      </w:r>
      <w:r w:rsidRPr="00D85A9B">
        <w:rPr>
          <w:i/>
          <w:iCs/>
          <w:sz w:val="23"/>
          <w:szCs w:val="23"/>
        </w:rPr>
        <w:t>385</w:t>
      </w:r>
      <w:r w:rsidRPr="00D85A9B">
        <w:rPr>
          <w:sz w:val="23"/>
          <w:szCs w:val="23"/>
        </w:rPr>
        <w:t>(9977), 1555–1566.</w:t>
      </w:r>
    </w:p>
    <w:p w14:paraId="4A0846AE"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Flood, M. (2006). </w:t>
      </w:r>
      <w:r w:rsidRPr="00D85A9B">
        <w:rPr>
          <w:i/>
          <w:iCs/>
          <w:sz w:val="23"/>
          <w:szCs w:val="23"/>
        </w:rPr>
        <w:t>Violence against women and men in Australia: What the personal safety survey tells us</w:t>
      </w:r>
      <w:r w:rsidRPr="00D85A9B">
        <w:rPr>
          <w:sz w:val="23"/>
          <w:szCs w:val="23"/>
        </w:rPr>
        <w:t>. Australian Centre for the Study of Sexual Assault.</w:t>
      </w:r>
    </w:p>
    <w:p w14:paraId="3A8C5F2C"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Flood, M., &amp; Kendrick, V. (2012). </w:t>
      </w:r>
      <w:r w:rsidRPr="00D85A9B">
        <w:rPr>
          <w:i/>
          <w:iCs/>
          <w:sz w:val="23"/>
          <w:szCs w:val="23"/>
        </w:rPr>
        <w:t>Love, sex and ethics: Sexual ethics and young people</w:t>
      </w:r>
      <w:r w:rsidRPr="00D85A9B">
        <w:rPr>
          <w:sz w:val="23"/>
          <w:szCs w:val="23"/>
        </w:rPr>
        <w:t>. University of New South Wales Press.</w:t>
      </w:r>
    </w:p>
    <w:p w14:paraId="362BEC48"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Kearney, S., Leung, L., Joyce, A., Ollis, D., &amp; Green, C. (2016). Respectful relationships education in schools: The beginnings of change. </w:t>
      </w:r>
      <w:r w:rsidRPr="00D85A9B">
        <w:rPr>
          <w:i/>
          <w:iCs/>
          <w:sz w:val="23"/>
          <w:szCs w:val="23"/>
        </w:rPr>
        <w:t>Australian Journal of Education</w:t>
      </w:r>
      <w:r w:rsidRPr="00D85A9B">
        <w:rPr>
          <w:sz w:val="23"/>
          <w:szCs w:val="23"/>
        </w:rPr>
        <w:t xml:space="preserve">, </w:t>
      </w:r>
      <w:r w:rsidRPr="00D85A9B">
        <w:rPr>
          <w:i/>
          <w:iCs/>
          <w:sz w:val="23"/>
          <w:szCs w:val="23"/>
        </w:rPr>
        <w:t>60</w:t>
      </w:r>
      <w:r w:rsidRPr="00D85A9B">
        <w:rPr>
          <w:sz w:val="23"/>
          <w:szCs w:val="23"/>
        </w:rPr>
        <w:t>(3), 239–255.</w:t>
      </w:r>
    </w:p>
    <w:p w14:paraId="4E14631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Keddie, A., &amp; Ollis, D. (2019). Addressing gender-based violence through respectful relationships education: A theoretical exploration. </w:t>
      </w:r>
      <w:r w:rsidRPr="00D85A9B">
        <w:rPr>
          <w:i/>
          <w:iCs/>
          <w:sz w:val="23"/>
          <w:szCs w:val="23"/>
        </w:rPr>
        <w:t>Gender and Education</w:t>
      </w:r>
      <w:r w:rsidRPr="00D85A9B">
        <w:rPr>
          <w:sz w:val="23"/>
          <w:szCs w:val="23"/>
        </w:rPr>
        <w:t xml:space="preserve">, </w:t>
      </w:r>
      <w:r w:rsidRPr="00D85A9B">
        <w:rPr>
          <w:i/>
          <w:iCs/>
          <w:sz w:val="23"/>
          <w:szCs w:val="23"/>
        </w:rPr>
        <w:t>31</w:t>
      </w:r>
      <w:r w:rsidRPr="00D85A9B">
        <w:rPr>
          <w:sz w:val="23"/>
          <w:szCs w:val="23"/>
        </w:rPr>
        <w:t>(7), 850–865.</w:t>
      </w:r>
    </w:p>
    <w:p w14:paraId="7F29660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Keddie, A., &amp; Ollis, D. (2021). </w:t>
      </w:r>
      <w:r w:rsidRPr="00D85A9B">
        <w:rPr>
          <w:i/>
          <w:iCs/>
          <w:sz w:val="23"/>
          <w:szCs w:val="23"/>
        </w:rPr>
        <w:t>Teaching and learning for social justice and diversity in schools</w:t>
      </w:r>
      <w:r w:rsidRPr="00D85A9B">
        <w:rPr>
          <w:sz w:val="23"/>
          <w:szCs w:val="23"/>
        </w:rPr>
        <w:t xml:space="preserve">. Routledge. </w:t>
      </w:r>
    </w:p>
    <w:p w14:paraId="723B249A"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Struthers, H., O’Sullivan, K., &amp; Cahill, H. (2019). </w:t>
      </w:r>
      <w:r w:rsidRPr="00D85A9B">
        <w:rPr>
          <w:i/>
          <w:iCs/>
          <w:sz w:val="23"/>
          <w:szCs w:val="23"/>
        </w:rPr>
        <w:t>Creating gender equality: What works to prevent violence against women</w:t>
      </w:r>
      <w:r w:rsidRPr="00D85A9B">
        <w:rPr>
          <w:sz w:val="23"/>
          <w:szCs w:val="23"/>
        </w:rPr>
        <w:t>. Our Watch.</w:t>
      </w:r>
    </w:p>
    <w:p w14:paraId="61F82BE4"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Whitaker, D. J., Morrison, S., Lindquist, C., Hawkins, S. R., O’Neil, J. A., Nesius, A. M., Mathew, A., &amp; Reese, L. (2006). A critical review of interventions for the primary prevention of perpetration of partner violence. </w:t>
      </w:r>
      <w:r w:rsidRPr="00D85A9B">
        <w:rPr>
          <w:i/>
          <w:iCs/>
          <w:sz w:val="23"/>
          <w:szCs w:val="23"/>
        </w:rPr>
        <w:t>Aggression and Violent Behavior</w:t>
      </w:r>
      <w:r w:rsidRPr="00D85A9B">
        <w:rPr>
          <w:sz w:val="23"/>
          <w:szCs w:val="23"/>
        </w:rPr>
        <w:t xml:space="preserve">, </w:t>
      </w:r>
      <w:r w:rsidRPr="00D85A9B">
        <w:rPr>
          <w:i/>
          <w:iCs/>
          <w:sz w:val="23"/>
          <w:szCs w:val="23"/>
        </w:rPr>
        <w:t>11</w:t>
      </w:r>
      <w:r w:rsidRPr="00D85A9B">
        <w:rPr>
          <w:sz w:val="23"/>
          <w:szCs w:val="23"/>
        </w:rPr>
        <w:t xml:space="preserve">(2), 151–166. </w:t>
      </w:r>
    </w:p>
  </w:endnote>
  <w:endnote w:id="220">
    <w:p w14:paraId="08B8C517" w14:textId="553FBFA3"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Our Watch. (2022). </w:t>
      </w:r>
      <w:r w:rsidRPr="00D85A9B">
        <w:rPr>
          <w:i/>
          <w:sz w:val="23"/>
          <w:szCs w:val="23"/>
        </w:rPr>
        <w:t>Respectful relationships education toolkit.</w:t>
      </w:r>
    </w:p>
  </w:endnote>
  <w:endnote w:id="221">
    <w:p w14:paraId="336DAF1D" w14:textId="63E7F8C6"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rStyle w:val="EndnoteReference"/>
          <w:sz w:val="23"/>
          <w:szCs w:val="23"/>
          <w:vertAlign w:val="baseline"/>
        </w:rPr>
        <w:t xml:space="preserve"> </w:t>
      </w:r>
      <w:r w:rsidR="006D556A" w:rsidRPr="00D85A9B">
        <w:rPr>
          <w:sz w:val="23"/>
          <w:szCs w:val="23"/>
        </w:rPr>
        <w:tab/>
      </w:r>
      <w:r w:rsidRPr="00D85A9B">
        <w:rPr>
          <w:sz w:val="23"/>
          <w:szCs w:val="23"/>
        </w:rPr>
        <w:t xml:space="preserve">UNESCO. (2018). </w:t>
      </w:r>
      <w:r w:rsidRPr="00D85A9B">
        <w:rPr>
          <w:i/>
          <w:iCs/>
          <w:sz w:val="23"/>
          <w:szCs w:val="23"/>
        </w:rPr>
        <w:t>International technical guidance on sexuality education: An evidence-informed approach</w:t>
      </w:r>
      <w:r w:rsidRPr="00D85A9B">
        <w:rPr>
          <w:sz w:val="23"/>
          <w:szCs w:val="23"/>
        </w:rPr>
        <w:t>. UNESCO Publishing.</w:t>
      </w:r>
    </w:p>
  </w:endnote>
  <w:endnote w:id="222">
    <w:p w14:paraId="11E3C860" w14:textId="1F60E96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World Health Organization. (n.d.). </w:t>
      </w:r>
      <w:r w:rsidRPr="00D85A9B">
        <w:rPr>
          <w:i/>
          <w:iCs/>
          <w:sz w:val="23"/>
          <w:szCs w:val="23"/>
        </w:rPr>
        <w:t>Comprehensive sexuality education: Questions and answers</w:t>
      </w:r>
      <w:r w:rsidRPr="00D85A9B">
        <w:rPr>
          <w:sz w:val="23"/>
          <w:szCs w:val="23"/>
        </w:rPr>
        <w:t>.</w:t>
      </w:r>
    </w:p>
  </w:endnote>
  <w:endnote w:id="223">
    <w:p w14:paraId="6A8AC05F" w14:textId="220E731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Family Planning Alliance Australia. (2024</w:t>
      </w:r>
      <w:r w:rsidRPr="00D85A9B">
        <w:rPr>
          <w:i/>
          <w:iCs/>
          <w:sz w:val="23"/>
          <w:szCs w:val="23"/>
        </w:rPr>
        <w:t>). Comprehensive relationships and sexual health education in Australia</w:t>
      </w:r>
      <w:r w:rsidRPr="00D85A9B">
        <w:rPr>
          <w:sz w:val="23"/>
          <w:szCs w:val="23"/>
        </w:rPr>
        <w:t xml:space="preserve">. </w:t>
      </w:r>
    </w:p>
  </w:endnote>
  <w:endnote w:id="224">
    <w:p w14:paraId="6802F0E0" w14:textId="55BE4C81"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rStyle w:val="EndnoteReference"/>
          <w:sz w:val="23"/>
          <w:szCs w:val="23"/>
          <w:vertAlign w:val="baseline"/>
        </w:rPr>
        <w:t xml:space="preserve"> </w:t>
      </w:r>
      <w:r w:rsidR="006D556A" w:rsidRPr="00D85A9B">
        <w:rPr>
          <w:sz w:val="23"/>
          <w:szCs w:val="23"/>
        </w:rPr>
        <w:tab/>
      </w:r>
      <w:r w:rsidRPr="00D85A9B">
        <w:rPr>
          <w:sz w:val="23"/>
          <w:szCs w:val="23"/>
        </w:rPr>
        <w:t>UNESCO (2018), see note 216.</w:t>
      </w:r>
    </w:p>
  </w:endnote>
  <w:endnote w:id="225">
    <w:p w14:paraId="53DF9E96" w14:textId="62F114F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noProof/>
          <w:sz w:val="23"/>
          <w:szCs w:val="23"/>
        </w:rPr>
        <w:t>Power, J., Kauer, S., Fisher, C., Bellamy, R., &amp; Bourne, A</w:t>
      </w:r>
      <w:r w:rsidRPr="00D85A9B">
        <w:rPr>
          <w:sz w:val="23"/>
          <w:szCs w:val="23"/>
        </w:rPr>
        <w:t xml:space="preserve">. (2022), see note 91. </w:t>
      </w:r>
    </w:p>
  </w:endnote>
  <w:endnote w:id="226">
    <w:p w14:paraId="44D3B8D5" w14:textId="5953124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Ezer, P., Roberts, S., Carmody, M., &amp; O’Sullivan, G. (2020). Young people’s views on sexting education and the need for gender equity. </w:t>
      </w:r>
      <w:r w:rsidRPr="00D85A9B">
        <w:rPr>
          <w:i/>
          <w:iCs/>
          <w:sz w:val="23"/>
          <w:szCs w:val="23"/>
        </w:rPr>
        <w:t>Sex Education</w:t>
      </w:r>
      <w:r w:rsidRPr="00D85A9B">
        <w:rPr>
          <w:sz w:val="23"/>
          <w:szCs w:val="23"/>
        </w:rPr>
        <w:t xml:space="preserve">, </w:t>
      </w:r>
      <w:r w:rsidRPr="00D85A9B">
        <w:rPr>
          <w:i/>
          <w:iCs/>
          <w:sz w:val="23"/>
          <w:szCs w:val="23"/>
        </w:rPr>
        <w:t>20</w:t>
      </w:r>
      <w:r w:rsidRPr="00D85A9B">
        <w:rPr>
          <w:sz w:val="23"/>
          <w:szCs w:val="23"/>
        </w:rPr>
        <w:t xml:space="preserve">(1), 81–96. </w:t>
      </w:r>
    </w:p>
  </w:endnote>
  <w:endnote w:id="227">
    <w:p w14:paraId="0966A324" w14:textId="0E61CF1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noProof/>
          <w:sz w:val="23"/>
          <w:szCs w:val="23"/>
        </w:rPr>
        <w:t>Power, J., Kauer, S., Fisher, C., Bellamy, R., &amp; Bourne, A</w:t>
      </w:r>
      <w:r w:rsidRPr="00D85A9B">
        <w:rPr>
          <w:sz w:val="23"/>
          <w:szCs w:val="23"/>
        </w:rPr>
        <w:t>. (2022), see note 91.</w:t>
      </w:r>
    </w:p>
  </w:endnote>
  <w:endnote w:id="228">
    <w:p w14:paraId="418D54CD" w14:textId="20BD047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noProof/>
          <w:sz w:val="23"/>
          <w:szCs w:val="23"/>
        </w:rPr>
        <w:t>Power, J., Kauer, S., Fisher, C., Bellamy, R., &amp; Bourne, A</w:t>
      </w:r>
      <w:r w:rsidRPr="00D85A9B">
        <w:rPr>
          <w:sz w:val="23"/>
          <w:szCs w:val="23"/>
        </w:rPr>
        <w:t>. (2022), see note 91.</w:t>
      </w:r>
    </w:p>
  </w:endnote>
  <w:endnote w:id="229">
    <w:p w14:paraId="65FB0334" w14:textId="3609603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noProof/>
          <w:sz w:val="23"/>
          <w:szCs w:val="23"/>
        </w:rPr>
        <w:t>Power, J., Kauer, S., Fisher, C., Bellamy, R., &amp; Bourne, A</w:t>
      </w:r>
      <w:r w:rsidRPr="00D85A9B">
        <w:rPr>
          <w:sz w:val="23"/>
          <w:szCs w:val="23"/>
        </w:rPr>
        <w:t>. (2022), see note 91.</w:t>
      </w:r>
    </w:p>
  </w:endnote>
  <w:endnote w:id="230">
    <w:p w14:paraId="69B6CDB6" w14:textId="3D991D6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noProof/>
          <w:sz w:val="23"/>
          <w:szCs w:val="23"/>
        </w:rPr>
        <w:t>Power, J., Kauer, S., Fisher, C., Bellamy, R., &amp; Bourne, A</w:t>
      </w:r>
      <w:r w:rsidRPr="00D85A9B">
        <w:rPr>
          <w:sz w:val="23"/>
          <w:szCs w:val="23"/>
        </w:rPr>
        <w:t>. (2022), see note 91.</w:t>
      </w:r>
    </w:p>
  </w:endnote>
  <w:endnote w:id="231">
    <w:p w14:paraId="24FEA792" w14:textId="21A121C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Waling, A., Bellamy, R., Ezer, P., Kerr, L., Lucke, J., &amp; Fisher, C. (2020). ‘It’s </w:t>
      </w:r>
      <w:r w:rsidRPr="00D85A9B">
        <w:rPr>
          <w:sz w:val="23"/>
          <w:szCs w:val="23"/>
        </w:rPr>
        <w:t xml:space="preserve">kinda bad, honestly’: Australian students’ experiences of relationships and sexuality education. </w:t>
      </w:r>
      <w:r w:rsidRPr="00D85A9B">
        <w:rPr>
          <w:i/>
          <w:iCs/>
          <w:sz w:val="23"/>
          <w:szCs w:val="23"/>
        </w:rPr>
        <w:t>Health Education Research, 35</w:t>
      </w:r>
      <w:r w:rsidRPr="00D85A9B">
        <w:rPr>
          <w:sz w:val="23"/>
          <w:szCs w:val="23"/>
        </w:rPr>
        <w:t xml:space="preserve">(6), 538–552. </w:t>
      </w:r>
    </w:p>
  </w:endnote>
  <w:endnote w:id="232">
    <w:p w14:paraId="586F4775" w14:textId="24426172"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Waling, A., Bellamy, R., Ezer, P., Kerr, L., Lucke, J., &amp; Fisher, C. (2020), see note 228.</w:t>
      </w:r>
    </w:p>
  </w:endnote>
  <w:endnote w:id="233">
    <w:p w14:paraId="40152EEB" w14:textId="3472696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Waling, A., Bellamy, R., Ezer, P., Kerr, L., Lucke, J., &amp; Fisher, C. (2020), see note 228.</w:t>
      </w:r>
    </w:p>
  </w:endnote>
  <w:endnote w:id="234">
    <w:p w14:paraId="07B5B7EE" w14:textId="54895AEF"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Waling, A., Bellamy, R., Ezer, P., Kerr, L., Lucke, J., &amp; Fisher, C. (2020), see note 228.</w:t>
      </w:r>
    </w:p>
  </w:endnote>
  <w:endnote w:id="235">
    <w:p w14:paraId="615DCEAB" w14:textId="6D3CE77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Vanner, C., &amp; </w:t>
      </w:r>
      <w:r w:rsidRPr="00D85A9B">
        <w:rPr>
          <w:sz w:val="23"/>
          <w:szCs w:val="23"/>
        </w:rPr>
        <w:t xml:space="preserve">Almanssori, S. (2024), see note 212. </w:t>
      </w:r>
    </w:p>
  </w:endnote>
  <w:endnote w:id="236">
    <w:p w14:paraId="66CE7293" w14:textId="05F042B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6D556A" w:rsidRPr="00D85A9B">
        <w:rPr>
          <w:sz w:val="23"/>
          <w:szCs w:val="23"/>
        </w:rPr>
        <w:tab/>
      </w:r>
      <w:r w:rsidRPr="00D85A9B">
        <w:rPr>
          <w:sz w:val="23"/>
          <w:szCs w:val="23"/>
        </w:rPr>
        <w:t xml:space="preserve">Cahill, H., </w:t>
      </w:r>
      <w:r w:rsidRPr="00D85A9B">
        <w:rPr>
          <w:sz w:val="23"/>
          <w:szCs w:val="23"/>
        </w:rPr>
        <w:t xml:space="preserve">Dadvand, B., Walter-Cruickshank, E., &amp; Shlezinger, K. (2019). </w:t>
      </w:r>
      <w:r w:rsidRPr="00D85A9B">
        <w:rPr>
          <w:i/>
          <w:iCs/>
          <w:sz w:val="23"/>
          <w:szCs w:val="23"/>
        </w:rPr>
        <w:t>An integrated approach to educating for social and emotional learning, gender education and comprehensive sexuality education.</w:t>
      </w:r>
      <w:r w:rsidRPr="00D85A9B">
        <w:rPr>
          <w:sz w:val="23"/>
          <w:szCs w:val="23"/>
        </w:rPr>
        <w:t xml:space="preserve"> Youth Research Centre.</w:t>
      </w:r>
    </w:p>
    <w:p w14:paraId="190E664B"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Struthers, K., Parmenter, N., &amp; Tilbury, C. (2019). </w:t>
      </w:r>
      <w:r w:rsidRPr="00D85A9B">
        <w:rPr>
          <w:i/>
          <w:iCs/>
          <w:sz w:val="23"/>
          <w:szCs w:val="23"/>
        </w:rPr>
        <w:t>Young people as agents of change in preventing violence against women</w:t>
      </w:r>
      <w:r w:rsidRPr="00D85A9B">
        <w:rPr>
          <w:sz w:val="23"/>
          <w:szCs w:val="23"/>
        </w:rPr>
        <w:t xml:space="preserve"> (Research report, 02/2019). ANROWS.</w:t>
      </w:r>
    </w:p>
  </w:endnote>
  <w:endnote w:id="237">
    <w:p w14:paraId="58770C82" w14:textId="745FF137"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 xml:space="preserve">Cahill, H., Lusher, D., Farrelly, A., Calleja, N., Wang, P., &amp; Hassani, A. (2023). </w:t>
      </w:r>
      <w:r w:rsidRPr="00D85A9B">
        <w:rPr>
          <w:i/>
          <w:iCs/>
          <w:sz w:val="23"/>
          <w:szCs w:val="23"/>
        </w:rPr>
        <w:t>A social network analysis and implementation study of an intervention designed to advance social and emotional learning and respectful relationships in secondary schools.</w:t>
      </w:r>
      <w:r w:rsidRPr="00D85A9B">
        <w:rPr>
          <w:sz w:val="23"/>
          <w:szCs w:val="23"/>
        </w:rPr>
        <w:t xml:space="preserve"> </w:t>
      </w:r>
      <w:r w:rsidRPr="00D85A9B">
        <w:rPr>
          <w:sz w:val="23"/>
          <w:szCs w:val="23"/>
        </w:rPr>
        <w:t>ANROWS.</w:t>
      </w:r>
    </w:p>
    <w:p w14:paraId="6A27B915"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Setty, E. (2022). Educating teenage boys about consent: The law and affirmative consent in boys’ socio-sexual cultures and subjectivities. </w:t>
      </w:r>
      <w:r w:rsidRPr="00D85A9B">
        <w:rPr>
          <w:i/>
          <w:iCs/>
          <w:sz w:val="23"/>
          <w:szCs w:val="23"/>
        </w:rPr>
        <w:t>Sex Roles,</w:t>
      </w:r>
      <w:r w:rsidRPr="00D85A9B">
        <w:rPr>
          <w:sz w:val="23"/>
          <w:szCs w:val="23"/>
        </w:rPr>
        <w:t xml:space="preserve"> </w:t>
      </w:r>
      <w:r w:rsidRPr="00D85A9B">
        <w:rPr>
          <w:i/>
          <w:iCs/>
          <w:sz w:val="23"/>
          <w:szCs w:val="23"/>
        </w:rPr>
        <w:t>87</w:t>
      </w:r>
      <w:r w:rsidRPr="00D85A9B">
        <w:rPr>
          <w:sz w:val="23"/>
          <w:szCs w:val="23"/>
        </w:rPr>
        <w:t xml:space="preserve">(9), 515–535. </w:t>
      </w:r>
    </w:p>
  </w:endnote>
  <w:endnote w:id="238">
    <w:p w14:paraId="10F43D03" w14:textId="3FA33CCA"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Cahill, H., Lusher, D., Farrelly, A., Calleja, N., Wang, P., &amp; Hassani, A. (2023), see note 234.</w:t>
      </w:r>
    </w:p>
    <w:p w14:paraId="04D56287"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Setty, E. (2022), see note 234. </w:t>
      </w:r>
    </w:p>
  </w:endnote>
  <w:endnote w:id="239">
    <w:p w14:paraId="09317EA2" w14:textId="0DE259FF"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 xml:space="preserve">Loney-Howes, R., MacPhail, C., Hanley, N., &amp; </w:t>
      </w:r>
      <w:r w:rsidRPr="00D85A9B">
        <w:rPr>
          <w:sz w:val="23"/>
          <w:szCs w:val="23"/>
        </w:rPr>
        <w:t xml:space="preserve">Fabrianesi, B. (2023). Youth attitudes to domestic and family violence: A scoping review of young people’s attitudes and perceptions in Australia. </w:t>
      </w:r>
      <w:r w:rsidRPr="00D85A9B">
        <w:rPr>
          <w:i/>
          <w:iCs/>
          <w:sz w:val="23"/>
          <w:szCs w:val="23"/>
        </w:rPr>
        <w:t>Trauma, Violence, &amp; Abuse</w:t>
      </w:r>
      <w:r w:rsidRPr="00D85A9B">
        <w:rPr>
          <w:sz w:val="23"/>
          <w:szCs w:val="23"/>
        </w:rPr>
        <w:t xml:space="preserve">, </w:t>
      </w:r>
      <w:r w:rsidRPr="00D85A9B">
        <w:rPr>
          <w:i/>
          <w:iCs/>
          <w:sz w:val="23"/>
          <w:szCs w:val="23"/>
        </w:rPr>
        <w:t>24</w:t>
      </w:r>
      <w:r w:rsidRPr="00D85A9B">
        <w:rPr>
          <w:sz w:val="23"/>
          <w:szCs w:val="23"/>
        </w:rPr>
        <w:t xml:space="preserve">(2), 702–718. </w:t>
      </w:r>
    </w:p>
  </w:endnote>
  <w:endnote w:id="240">
    <w:p w14:paraId="4AD3B90F" w14:textId="3403B924"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 xml:space="preserve">Jørgensen, C. R., Weckesser, A., Turner, J., &amp; Wade, A. (2019). Young people’s views on sexting education and support needs: Findings and recommendations from a UK-based study. </w:t>
      </w:r>
      <w:r w:rsidRPr="00D85A9B">
        <w:rPr>
          <w:i/>
          <w:iCs/>
          <w:sz w:val="23"/>
          <w:szCs w:val="23"/>
        </w:rPr>
        <w:t>Sex Education, 19</w:t>
      </w:r>
      <w:r w:rsidRPr="00D85A9B">
        <w:rPr>
          <w:sz w:val="23"/>
          <w:szCs w:val="23"/>
        </w:rPr>
        <w:t>(1), 25–40.</w:t>
      </w:r>
    </w:p>
    <w:p w14:paraId="376F54BC" w14:textId="77777777" w:rsidR="004D1500" w:rsidRPr="00D85A9B" w:rsidRDefault="004D1500" w:rsidP="00833BF7">
      <w:pPr>
        <w:pStyle w:val="Endnotes"/>
        <w:spacing w:after="120" w:line="214" w:lineRule="auto"/>
        <w:ind w:firstLine="0"/>
        <w:rPr>
          <w:sz w:val="23"/>
          <w:szCs w:val="23"/>
        </w:rPr>
      </w:pPr>
      <w:r w:rsidRPr="00D85A9B">
        <w:rPr>
          <w:sz w:val="23"/>
          <w:szCs w:val="23"/>
        </w:rPr>
        <w:t>Wright, C., Davis, A., Vella, A., McGrath-Lester, R., &amp; Lim, M. (2019), see note 99.</w:t>
      </w:r>
    </w:p>
    <w:p w14:paraId="4512736F"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Albury, K., Hasinoff, A. A., &amp; Senft, T. (2017). From media abstinence to media production: Sexting, young people and education. In L. Allen, &amp; M. L. Rasmussen (Eds.), </w:t>
      </w:r>
      <w:r w:rsidRPr="00D85A9B">
        <w:rPr>
          <w:i/>
          <w:iCs/>
          <w:sz w:val="23"/>
          <w:szCs w:val="23"/>
        </w:rPr>
        <w:t>The Palgrave handbook of sexuality education</w:t>
      </w:r>
      <w:r w:rsidRPr="00D85A9B">
        <w:rPr>
          <w:sz w:val="23"/>
          <w:szCs w:val="23"/>
        </w:rPr>
        <w:t xml:space="preserve"> (pp. 527–545). Springer.</w:t>
      </w:r>
    </w:p>
  </w:endnote>
  <w:endnote w:id="241">
    <w:p w14:paraId="6FE33992" w14:textId="2EE22073"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 xml:space="preserve">Coy, M., Kelly, L., Vera-Gray, F., Garner, M., &amp; </w:t>
      </w:r>
      <w:r w:rsidRPr="00D85A9B">
        <w:rPr>
          <w:sz w:val="23"/>
          <w:szCs w:val="23"/>
        </w:rPr>
        <w:t>Kanyeredzi, A. (2016), see note 68.</w:t>
      </w:r>
    </w:p>
  </w:endnote>
  <w:endnote w:id="242">
    <w:p w14:paraId="7B24847B" w14:textId="29BC10ED" w:rsidR="004D1500" w:rsidRPr="00D85A9B" w:rsidRDefault="004D1500" w:rsidP="00563C41">
      <w:pPr>
        <w:pStyle w:val="Endnotes"/>
        <w:spacing w:after="120" w:line="214" w:lineRule="auto"/>
        <w:rPr>
          <w:kern w:val="2"/>
          <w:sz w:val="23"/>
          <w:szCs w:val="23"/>
          <w14:ligatures w14:val="standardContextual"/>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Beres, M. A. (2014), see note 65.</w:t>
      </w:r>
    </w:p>
    <w:p w14:paraId="42FB58D8"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Fenner, L. (2017). Sexual consent as a scientific subject: A Literature Review. </w:t>
      </w:r>
      <w:r w:rsidRPr="00D85A9B">
        <w:rPr>
          <w:i/>
          <w:iCs/>
          <w:sz w:val="23"/>
          <w:szCs w:val="23"/>
        </w:rPr>
        <w:t>American Journal of Sexuality Education, 12</w:t>
      </w:r>
      <w:r w:rsidRPr="00D85A9B">
        <w:rPr>
          <w:sz w:val="23"/>
          <w:szCs w:val="23"/>
        </w:rPr>
        <w:t xml:space="preserve">(4), 451–471. </w:t>
      </w:r>
    </w:p>
  </w:endnote>
  <w:endnote w:id="243">
    <w:p w14:paraId="3F8C418B" w14:textId="78C7F2D7"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Beres, M. A. (2014), see note 65.</w:t>
      </w:r>
    </w:p>
    <w:p w14:paraId="02BB3AA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Jozkowski, K. N., Peterson, Z. D., Sanders, S. A., Dennis, B., &amp; Reece, M. (2014). Gender differences in heterosexual college students’ conceptualizations and indicators of sexual consent: Implications for contemporary sexual assault prevention education. </w:t>
      </w:r>
      <w:r w:rsidRPr="00D85A9B">
        <w:rPr>
          <w:i/>
          <w:iCs/>
          <w:sz w:val="23"/>
          <w:szCs w:val="23"/>
        </w:rPr>
        <w:t>The Journal of Sex Research, 51</w:t>
      </w:r>
      <w:r w:rsidRPr="00D85A9B">
        <w:rPr>
          <w:sz w:val="23"/>
          <w:szCs w:val="23"/>
        </w:rPr>
        <w:t xml:space="preserve">(8), 904–916. </w:t>
      </w:r>
    </w:p>
  </w:endnote>
  <w:endnote w:id="244">
    <w:p w14:paraId="63C4F0C0" w14:textId="205F0823"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Setty, E. (2022), see note 234.</w:t>
      </w:r>
    </w:p>
  </w:endnote>
  <w:endnote w:id="245">
    <w:p w14:paraId="1554F3C9" w14:textId="344A45A8"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 xml:space="preserve">Burton, O., </w:t>
      </w:r>
      <w:r w:rsidRPr="00D85A9B">
        <w:rPr>
          <w:sz w:val="23"/>
          <w:szCs w:val="23"/>
        </w:rPr>
        <w:t xml:space="preserve">Rawstorne, P., Watchirs-Smith, L., Nathan, S., &amp; Carter, A. (2023). Teaching sexual consent to young people in education settings: A narrative systematic review. </w:t>
      </w:r>
      <w:r w:rsidRPr="00D85A9B">
        <w:rPr>
          <w:i/>
          <w:iCs/>
          <w:sz w:val="23"/>
          <w:szCs w:val="23"/>
        </w:rPr>
        <w:t>Sex Education, 23</w:t>
      </w:r>
      <w:r w:rsidRPr="00D85A9B">
        <w:rPr>
          <w:sz w:val="23"/>
          <w:szCs w:val="23"/>
        </w:rPr>
        <w:t xml:space="preserve">(1), 18–34. </w:t>
      </w:r>
    </w:p>
  </w:endnote>
  <w:endnote w:id="246">
    <w:p w14:paraId="77191E10" w14:textId="54008DBC"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Cahill. H., Lusher, D., Farrelly, A., Calleja, N., Wang, P., &amp; Hassani, A. (2023), see note 234.</w:t>
      </w:r>
    </w:p>
    <w:p w14:paraId="19A346EC" w14:textId="77777777" w:rsidR="004D1500" w:rsidRPr="00D85A9B" w:rsidRDefault="004D1500" w:rsidP="00833BF7">
      <w:pPr>
        <w:pStyle w:val="Endnotes"/>
        <w:spacing w:after="120" w:line="214" w:lineRule="auto"/>
        <w:ind w:firstLine="0"/>
        <w:rPr>
          <w:sz w:val="23"/>
          <w:szCs w:val="23"/>
        </w:rPr>
      </w:pPr>
      <w:r w:rsidRPr="00D85A9B">
        <w:rPr>
          <w:sz w:val="23"/>
          <w:szCs w:val="23"/>
        </w:rPr>
        <w:t>Setty, E. (2022), see note 234.</w:t>
      </w:r>
    </w:p>
    <w:p w14:paraId="27E48FFF"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Whittington, E., &amp; Thomson, R. (2018). </w:t>
      </w:r>
      <w:r w:rsidRPr="00D85A9B">
        <w:rPr>
          <w:i/>
          <w:iCs/>
          <w:sz w:val="23"/>
          <w:szCs w:val="23"/>
        </w:rPr>
        <w:t>Educating for consent: Beyond the binary</w:t>
      </w:r>
      <w:r w:rsidRPr="00D85A9B">
        <w:rPr>
          <w:sz w:val="23"/>
          <w:szCs w:val="23"/>
        </w:rPr>
        <w:t>. Peter Lang Incorporated, International Academic Publishers.</w:t>
      </w:r>
    </w:p>
  </w:endnote>
  <w:endnote w:id="247">
    <w:p w14:paraId="0674EF53" w14:textId="2AE95221"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Setty, E. (2022), see note 234.</w:t>
      </w:r>
    </w:p>
  </w:endnote>
  <w:endnote w:id="248">
    <w:p w14:paraId="4F0DF3C8" w14:textId="5C0AF1C1"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 xml:space="preserve">Hayes, H. M. R., Burns, K., &amp; Egan, S. (2024). Becoming ‘good men.’ </w:t>
      </w:r>
    </w:p>
  </w:endnote>
  <w:endnote w:id="249">
    <w:p w14:paraId="654E1513" w14:textId="668A206D"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Hayes, H. M. R., Burns, K., &amp; Egan, S. (2024), see note 245.</w:t>
      </w:r>
    </w:p>
  </w:endnote>
  <w:endnote w:id="250">
    <w:p w14:paraId="7F8B566F" w14:textId="728EACDA"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 xml:space="preserve">Cahill, H., Lusher, D., Farrelly, A., Coffey, J., &amp; Devine, A. (2023). </w:t>
      </w:r>
      <w:r w:rsidRPr="00D85A9B">
        <w:rPr>
          <w:i/>
          <w:iCs/>
          <w:sz w:val="23"/>
          <w:szCs w:val="23"/>
        </w:rPr>
        <w:t>Respectful relationships education in schools: The beginnings of change</w:t>
      </w:r>
      <w:r w:rsidRPr="00D85A9B">
        <w:rPr>
          <w:sz w:val="23"/>
          <w:szCs w:val="23"/>
        </w:rPr>
        <w:t>. Department of Education and Training, Victoria.</w:t>
      </w:r>
    </w:p>
    <w:p w14:paraId="1F7FED0B"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Christensen, P. (2014). Children’s participation in ethnographic research: Issues of power and representation. </w:t>
      </w:r>
      <w:r w:rsidRPr="00D85A9B">
        <w:rPr>
          <w:i/>
          <w:iCs/>
          <w:sz w:val="23"/>
          <w:szCs w:val="23"/>
        </w:rPr>
        <w:t>Children &amp; Society</w:t>
      </w:r>
      <w:r w:rsidRPr="00D85A9B">
        <w:rPr>
          <w:sz w:val="23"/>
          <w:szCs w:val="23"/>
        </w:rPr>
        <w:t xml:space="preserve">, </w:t>
      </w:r>
      <w:r w:rsidRPr="00D85A9B">
        <w:rPr>
          <w:i/>
          <w:iCs/>
          <w:sz w:val="23"/>
          <w:szCs w:val="23"/>
        </w:rPr>
        <w:t>18</w:t>
      </w:r>
      <w:r w:rsidRPr="00D85A9B">
        <w:rPr>
          <w:sz w:val="23"/>
          <w:szCs w:val="23"/>
        </w:rPr>
        <w:t>(2), 165–176.</w:t>
      </w:r>
    </w:p>
    <w:p w14:paraId="09B5771F" w14:textId="77777777" w:rsidR="004D1500" w:rsidRPr="00D85A9B" w:rsidRDefault="004D1500" w:rsidP="00833BF7">
      <w:pPr>
        <w:pStyle w:val="Endnotes"/>
        <w:spacing w:after="120" w:line="214" w:lineRule="auto"/>
        <w:ind w:firstLine="0"/>
        <w:rPr>
          <w:sz w:val="23"/>
          <w:szCs w:val="23"/>
        </w:rPr>
      </w:pPr>
      <w:r w:rsidRPr="00D85A9B">
        <w:rPr>
          <w:sz w:val="23"/>
          <w:szCs w:val="23"/>
        </w:rPr>
        <w:t>Crabbe, M., &amp; Flood, M. (2021), see note 179.</w:t>
      </w:r>
    </w:p>
    <w:p w14:paraId="11A7959D"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Keddie, A. (2020). Student voice in school-based gender violence prevention: A feminist framing. </w:t>
      </w:r>
      <w:r w:rsidRPr="00D85A9B">
        <w:rPr>
          <w:i/>
          <w:iCs/>
          <w:sz w:val="23"/>
          <w:szCs w:val="23"/>
        </w:rPr>
        <w:t>Children’s Geographies</w:t>
      </w:r>
      <w:r w:rsidRPr="00D85A9B">
        <w:rPr>
          <w:sz w:val="23"/>
          <w:szCs w:val="23"/>
        </w:rPr>
        <w:t xml:space="preserve">, </w:t>
      </w:r>
      <w:r w:rsidRPr="00D85A9B">
        <w:rPr>
          <w:i/>
          <w:iCs/>
          <w:sz w:val="23"/>
          <w:szCs w:val="23"/>
        </w:rPr>
        <w:t>18</w:t>
      </w:r>
      <w:r w:rsidRPr="00D85A9B">
        <w:rPr>
          <w:sz w:val="23"/>
          <w:szCs w:val="23"/>
        </w:rPr>
        <w:t xml:space="preserve">(4), 452–465. </w:t>
      </w:r>
    </w:p>
  </w:endnote>
  <w:endnote w:id="251">
    <w:p w14:paraId="65236819" w14:textId="0BFADCC7" w:rsidR="004D1500" w:rsidRPr="00D85A9B" w:rsidRDefault="004D1500" w:rsidP="00563C41">
      <w:pPr>
        <w:pStyle w:val="Endnotes"/>
        <w:spacing w:after="120" w:line="214" w:lineRule="auto"/>
        <w:rPr>
          <w:sz w:val="23"/>
          <w:szCs w:val="23"/>
        </w:rPr>
      </w:pPr>
      <w:r w:rsidRPr="00D85A9B">
        <w:rPr>
          <w:rStyle w:val="normaltextrun"/>
          <w:sz w:val="23"/>
          <w:szCs w:val="23"/>
        </w:rPr>
        <w:endnoteRef/>
      </w:r>
      <w:r w:rsidRPr="00D85A9B">
        <w:rPr>
          <w:sz w:val="23"/>
          <w:szCs w:val="23"/>
        </w:rPr>
        <w:t xml:space="preserve"> </w:t>
      </w:r>
      <w:r w:rsidR="00534537" w:rsidRPr="00D85A9B">
        <w:rPr>
          <w:sz w:val="23"/>
          <w:szCs w:val="23"/>
        </w:rPr>
        <w:tab/>
      </w:r>
      <w:r w:rsidRPr="00D85A9B">
        <w:rPr>
          <w:sz w:val="23"/>
          <w:szCs w:val="23"/>
        </w:rPr>
        <w:t>Beres, M. A. (2014), see note 65.</w:t>
      </w:r>
    </w:p>
  </w:endnote>
  <w:endnote w:id="252">
    <w:p w14:paraId="1A5D6C8A" w14:textId="5F8BA9B8"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CASEL. (2013). </w:t>
      </w:r>
      <w:r w:rsidRPr="00D85A9B">
        <w:rPr>
          <w:i/>
          <w:iCs/>
          <w:sz w:val="23"/>
          <w:szCs w:val="23"/>
        </w:rPr>
        <w:t>What is social and emotional learning?</w:t>
      </w:r>
      <w:r w:rsidRPr="00D85A9B">
        <w:rPr>
          <w:sz w:val="23"/>
          <w:szCs w:val="23"/>
        </w:rPr>
        <w:t xml:space="preserve"> </w:t>
      </w:r>
      <w:hyperlink r:id="rId15" w:history="1">
        <w:r w:rsidRPr="00D85A9B">
          <w:rPr>
            <w:rStyle w:val="Hyperlink"/>
            <w:sz w:val="23"/>
            <w:szCs w:val="23"/>
          </w:rPr>
          <w:t>http://</w:t>
        </w:r>
        <w:r w:rsidRPr="00D85A9B">
          <w:rPr>
            <w:rStyle w:val="Hyperlink"/>
            <w:sz w:val="23"/>
            <w:szCs w:val="23"/>
          </w:rPr>
          <w:t>www.casel.org/social-and-emotional-learning/</w:t>
        </w:r>
      </w:hyperlink>
    </w:p>
  </w:endnote>
  <w:endnote w:id="253">
    <w:p w14:paraId="0D199B5D" w14:textId="7BAE0F3E"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CASEL (2013), see note 249.</w:t>
      </w:r>
    </w:p>
  </w:endnote>
  <w:endnote w:id="254">
    <w:p w14:paraId="2A69FF3A" w14:textId="19E8310A"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Steponavičius, M., Gress-Wright, C., &amp; </w:t>
      </w:r>
      <w:r w:rsidRPr="00D85A9B">
        <w:rPr>
          <w:sz w:val="23"/>
          <w:szCs w:val="23"/>
        </w:rPr>
        <w:t xml:space="preserve">Linzarini, A. (2023). </w:t>
      </w:r>
      <w:r w:rsidRPr="00D85A9B">
        <w:rPr>
          <w:i/>
          <w:iCs/>
          <w:sz w:val="23"/>
          <w:szCs w:val="23"/>
        </w:rPr>
        <w:t>Social and emotional skills: Latest evidence on teachability and impact on life outcomes</w:t>
      </w:r>
      <w:r w:rsidRPr="00D85A9B">
        <w:rPr>
          <w:sz w:val="23"/>
          <w:szCs w:val="23"/>
        </w:rPr>
        <w:t xml:space="preserve"> (Working paper No. 301). OECD Education.</w:t>
      </w:r>
    </w:p>
  </w:endnote>
  <w:endnote w:id="255">
    <w:p w14:paraId="3F710FA3" w14:textId="53164F2C"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Steponavičius, M., Gress-Wright, C., &amp; </w:t>
      </w:r>
      <w:r w:rsidRPr="00D85A9B">
        <w:rPr>
          <w:sz w:val="23"/>
          <w:szCs w:val="23"/>
        </w:rPr>
        <w:t>Linzarini, A. (2023), see note 251.</w:t>
      </w:r>
    </w:p>
  </w:endnote>
  <w:endnote w:id="256">
    <w:p w14:paraId="6F71C990" w14:textId="569CA943"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Cipriano, C., Strambler, M., Naples, L., Ha, C., Kirk, M., Wood, M., Sehgal, K., </w:t>
      </w:r>
      <w:r w:rsidRPr="00D85A9B">
        <w:rPr>
          <w:sz w:val="23"/>
          <w:szCs w:val="23"/>
        </w:rPr>
        <w:t xml:space="preserve">Zieher, A, K., Eveleigh, A., McCarthy, M., Funaro, M., Ponnock, A., Chow, J., &amp; Durlak, J. (2023), see note 211. </w:t>
      </w:r>
    </w:p>
  </w:endnote>
  <w:endnote w:id="257">
    <w:p w14:paraId="7B4E81FC" w14:textId="6E949EC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534537" w:rsidRPr="00D85A9B">
        <w:rPr>
          <w:sz w:val="23"/>
          <w:szCs w:val="23"/>
        </w:rPr>
        <w:tab/>
      </w:r>
      <w:r w:rsidRPr="00D85A9B">
        <w:rPr>
          <w:sz w:val="23"/>
          <w:szCs w:val="23"/>
        </w:rPr>
        <w:t xml:space="preserve">Cipriano, C., Strambler, M., Naples, L., Ha, C., Kirk, M., Wood, M., Sehgal, K., </w:t>
      </w:r>
      <w:r w:rsidRPr="00D85A9B">
        <w:rPr>
          <w:sz w:val="23"/>
          <w:szCs w:val="23"/>
        </w:rPr>
        <w:t>Zieher, A, K., Eveleigh, A., McCarthy, M., Funaro, M., Ponnock, A., Chow, J., &amp; Durlak, J. (2023), see note 211.</w:t>
      </w:r>
    </w:p>
  </w:endnote>
  <w:endnote w:id="258">
    <w:p w14:paraId="0DDD9750" w14:textId="13318A55"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Taylor, R. D., Oberle, E., Durlak, J. A., &amp; Weissberg, R. P. (2017). Promoting positive youth development through school-based social and emotional learning interventions: A meta-analysis of follow-up effects. </w:t>
      </w:r>
      <w:r w:rsidRPr="00D85A9B">
        <w:rPr>
          <w:i/>
          <w:iCs/>
          <w:sz w:val="23"/>
          <w:szCs w:val="23"/>
        </w:rPr>
        <w:t>Child Development, 88</w:t>
      </w:r>
      <w:r w:rsidRPr="00D85A9B">
        <w:rPr>
          <w:sz w:val="23"/>
          <w:szCs w:val="23"/>
        </w:rPr>
        <w:t>(4), 1156–1171.</w:t>
      </w:r>
    </w:p>
  </w:endnote>
  <w:endnote w:id="259">
    <w:p w14:paraId="090287CC" w14:textId="301EEE4F"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Cahill, H., </w:t>
      </w:r>
      <w:r w:rsidRPr="00D85A9B">
        <w:rPr>
          <w:sz w:val="23"/>
          <w:szCs w:val="23"/>
        </w:rPr>
        <w:t xml:space="preserve">Dadvand, B., Shlezinger, K., Romei, K., &amp; Farrelly, A. (2020). Strategies for supporting student and teacher wellbeing post emergency. </w:t>
      </w:r>
      <w:r w:rsidRPr="00D85A9B">
        <w:rPr>
          <w:i/>
          <w:iCs/>
          <w:sz w:val="23"/>
          <w:szCs w:val="23"/>
        </w:rPr>
        <w:t>RicercAzione, 12</w:t>
      </w:r>
      <w:r w:rsidRPr="00D85A9B">
        <w:rPr>
          <w:sz w:val="23"/>
          <w:szCs w:val="23"/>
        </w:rPr>
        <w:t xml:space="preserve">(1), 19–35. </w:t>
      </w:r>
    </w:p>
  </w:endnote>
  <w:endnote w:id="260">
    <w:p w14:paraId="41204545" w14:textId="65635E20"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Cahill, H., </w:t>
      </w:r>
      <w:r w:rsidRPr="00D85A9B">
        <w:rPr>
          <w:sz w:val="23"/>
          <w:szCs w:val="23"/>
        </w:rPr>
        <w:t xml:space="preserve">Dadvand, B., Shlezinger, K., Romei, K., &amp; Farrelly, A. (2020), see note 256.. </w:t>
      </w:r>
    </w:p>
  </w:endnote>
  <w:endnote w:id="261">
    <w:p w14:paraId="0E0E4FB2" w14:textId="1C32D6B3"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 xml:space="preserve">OECD. (2015). </w:t>
      </w:r>
      <w:r w:rsidRPr="00D85A9B">
        <w:rPr>
          <w:i/>
          <w:iCs/>
          <w:sz w:val="23"/>
          <w:szCs w:val="23"/>
        </w:rPr>
        <w:t xml:space="preserve">Skills for social progress: The power of social and emotional skills. </w:t>
      </w:r>
      <w:r w:rsidRPr="00D85A9B">
        <w:rPr>
          <w:sz w:val="23"/>
          <w:szCs w:val="23"/>
        </w:rPr>
        <w:t>OECD Publishing.</w:t>
      </w:r>
    </w:p>
    <w:p w14:paraId="56141B28"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Peña-López, I. (2015). </w:t>
      </w:r>
      <w:r w:rsidRPr="00D85A9B">
        <w:rPr>
          <w:i/>
          <w:iCs/>
          <w:sz w:val="23"/>
          <w:szCs w:val="23"/>
        </w:rPr>
        <w:t>Rethinking education. Towards a global common good</w:t>
      </w:r>
      <w:r w:rsidRPr="00D85A9B">
        <w:rPr>
          <w:sz w:val="23"/>
          <w:szCs w:val="23"/>
        </w:rPr>
        <w:t>?</w:t>
      </w:r>
    </w:p>
    <w:p w14:paraId="5C62AFE9"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World Health Organization. (2022). </w:t>
      </w:r>
      <w:r w:rsidRPr="00D85A9B">
        <w:rPr>
          <w:i/>
          <w:iCs/>
          <w:sz w:val="23"/>
          <w:szCs w:val="23"/>
        </w:rPr>
        <w:t>Mental health of adolescents</w:t>
      </w:r>
      <w:r w:rsidRPr="00D85A9B">
        <w:rPr>
          <w:sz w:val="23"/>
          <w:szCs w:val="23"/>
        </w:rPr>
        <w:t>.</w:t>
      </w:r>
    </w:p>
    <w:p w14:paraId="51036A71" w14:textId="77777777" w:rsidR="004D1500" w:rsidRPr="00D85A9B" w:rsidRDefault="004D1500" w:rsidP="00833BF7">
      <w:pPr>
        <w:pStyle w:val="Endnotes"/>
        <w:spacing w:after="120" w:line="214" w:lineRule="auto"/>
        <w:ind w:firstLine="0"/>
        <w:rPr>
          <w:sz w:val="23"/>
          <w:szCs w:val="23"/>
        </w:rPr>
      </w:pPr>
      <w:r w:rsidRPr="00D85A9B">
        <w:rPr>
          <w:sz w:val="23"/>
          <w:szCs w:val="23"/>
        </w:rPr>
        <w:t xml:space="preserve">Sanchez Puerta, M. L., Valerio, A., &amp; Bernal, M. (2016). </w:t>
      </w:r>
      <w:r w:rsidRPr="00D85A9B">
        <w:rPr>
          <w:i/>
          <w:iCs/>
          <w:sz w:val="23"/>
          <w:szCs w:val="23"/>
        </w:rPr>
        <w:t xml:space="preserve">Taking stock of programs to develop socioemotional skills: A systematic review of program evidence. </w:t>
      </w:r>
      <w:r w:rsidRPr="00D85A9B">
        <w:rPr>
          <w:sz w:val="23"/>
          <w:szCs w:val="23"/>
        </w:rPr>
        <w:t xml:space="preserve">World Bank. </w:t>
      </w:r>
    </w:p>
  </w:endnote>
  <w:endnote w:id="262">
    <w:p w14:paraId="0B174101" w14:textId="1502819B"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534537" w:rsidRPr="00D85A9B">
        <w:rPr>
          <w:sz w:val="23"/>
          <w:szCs w:val="23"/>
        </w:rPr>
        <w:tab/>
      </w:r>
      <w:r w:rsidRPr="00D85A9B">
        <w:rPr>
          <w:sz w:val="23"/>
          <w:szCs w:val="23"/>
        </w:rPr>
        <w:t>Ercikan, K., Roth, W., &amp; Asil, M. (2015). Cautions about inferences from international assessments: The case of PISA 2009.</w:t>
      </w:r>
      <w:r w:rsidRPr="00D85A9B">
        <w:rPr>
          <w:i/>
          <w:iCs/>
          <w:sz w:val="23"/>
          <w:szCs w:val="23"/>
        </w:rPr>
        <w:t xml:space="preserve"> Teachers College Record, 117</w:t>
      </w:r>
      <w:r w:rsidRPr="00D85A9B">
        <w:rPr>
          <w:sz w:val="23"/>
          <w:szCs w:val="23"/>
        </w:rPr>
        <w:t xml:space="preserve">(1), 1–28. </w:t>
      </w:r>
    </w:p>
  </w:endnote>
  <w:endnote w:id="263">
    <w:p w14:paraId="16256F93" w14:textId="455AD891"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833BF7">
        <w:rPr>
          <w:sz w:val="23"/>
          <w:szCs w:val="23"/>
        </w:rPr>
        <w:tab/>
      </w:r>
      <w:r w:rsidRPr="00D85A9B">
        <w:rPr>
          <w:sz w:val="23"/>
          <w:szCs w:val="23"/>
        </w:rPr>
        <w:t xml:space="preserve">Lendrum, A., &amp; Wigelsworth, M. (2013). Social and emotional aspects of learning (SEAL) for secondary schools: Implementation difﬁculties and their implications for school-based mental health promotion. </w:t>
      </w:r>
      <w:r w:rsidRPr="00D85A9B">
        <w:rPr>
          <w:i/>
          <w:iCs/>
          <w:sz w:val="23"/>
          <w:szCs w:val="23"/>
        </w:rPr>
        <w:t>Child and Adolescent Mental Health, 18</w:t>
      </w:r>
      <w:r w:rsidRPr="00D85A9B">
        <w:rPr>
          <w:sz w:val="23"/>
          <w:szCs w:val="23"/>
        </w:rPr>
        <w:t xml:space="preserve">(3), 158–164. </w:t>
      </w:r>
    </w:p>
  </w:endnote>
  <w:endnote w:id="264">
    <w:p w14:paraId="35361453" w14:textId="2DAC4835" w:rsidR="004D1500" w:rsidRPr="00D85A9B" w:rsidRDefault="004D1500" w:rsidP="00563C41">
      <w:pPr>
        <w:pStyle w:val="Endnotes"/>
        <w:spacing w:after="120" w:line="214" w:lineRule="auto"/>
        <w:rPr>
          <w:sz w:val="23"/>
          <w:szCs w:val="23"/>
        </w:rPr>
      </w:pPr>
      <w:r w:rsidRPr="00D85A9B">
        <w:rPr>
          <w:sz w:val="23"/>
          <w:szCs w:val="23"/>
        </w:rPr>
        <w:endnoteRef/>
      </w:r>
      <w:r w:rsidRPr="00D85A9B">
        <w:rPr>
          <w:sz w:val="23"/>
          <w:szCs w:val="23"/>
        </w:rPr>
        <w:t xml:space="preserve"> </w:t>
      </w:r>
      <w:r w:rsidR="00833BF7">
        <w:rPr>
          <w:sz w:val="23"/>
          <w:szCs w:val="23"/>
        </w:rPr>
        <w:tab/>
      </w:r>
      <w:r w:rsidRPr="00D85A9B">
        <w:rPr>
          <w:sz w:val="23"/>
          <w:szCs w:val="23"/>
        </w:rPr>
        <w:t xml:space="preserve">Our Watch. (2022). </w:t>
      </w:r>
      <w:r w:rsidRPr="00D85A9B">
        <w:rPr>
          <w:i/>
          <w:iCs/>
          <w:sz w:val="23"/>
          <w:szCs w:val="23"/>
        </w:rPr>
        <w:t>Respectful relationships education toolkit: Implementation steps</w:t>
      </w:r>
      <w:r w:rsidRPr="00D85A9B">
        <w:rPr>
          <w:sz w:val="23"/>
          <w:szCs w:val="23"/>
        </w:rPr>
        <w:t>.</w:t>
      </w:r>
    </w:p>
  </w:endnote>
  <w:endnote w:id="265">
    <w:p w14:paraId="76B67749" w14:textId="49331F2C" w:rsidR="004D1500" w:rsidRPr="00D85A9B" w:rsidRDefault="004D1500" w:rsidP="00563C41">
      <w:pPr>
        <w:pStyle w:val="Endnotes"/>
        <w:spacing w:after="120" w:line="214" w:lineRule="auto"/>
        <w:rPr>
          <w:color w:val="002060"/>
          <w:sz w:val="23"/>
          <w:szCs w:val="23"/>
        </w:rPr>
      </w:pPr>
      <w:r w:rsidRPr="00833BF7">
        <w:rPr>
          <w:rStyle w:val="EndnoteReference"/>
          <w:color w:val="002060"/>
          <w:sz w:val="23"/>
          <w:szCs w:val="23"/>
          <w:vertAlign w:val="baseline"/>
        </w:rPr>
        <w:endnoteRef/>
      </w:r>
      <w:r w:rsidRPr="00833BF7">
        <w:rPr>
          <w:color w:val="002060"/>
          <w:sz w:val="23"/>
          <w:szCs w:val="23"/>
        </w:rPr>
        <w:t xml:space="preserve"> </w:t>
      </w:r>
      <w:r w:rsidR="00833BF7">
        <w:rPr>
          <w:color w:val="002060"/>
          <w:sz w:val="23"/>
          <w:szCs w:val="23"/>
        </w:rPr>
        <w:tab/>
      </w:r>
      <w:r w:rsidRPr="00D85A9B">
        <w:rPr>
          <w:color w:val="002060"/>
          <w:sz w:val="23"/>
          <w:szCs w:val="23"/>
        </w:rPr>
        <w:t xml:space="preserve">Flood, M., et al. (2020). </w:t>
      </w:r>
      <w:r w:rsidRPr="00D85A9B">
        <w:rPr>
          <w:i/>
          <w:color w:val="002060"/>
          <w:sz w:val="23"/>
          <w:szCs w:val="23"/>
        </w:rPr>
        <w:t>Engaging men and boys in violence prevention</w:t>
      </w:r>
      <w:r w:rsidRPr="00D85A9B">
        <w:rPr>
          <w:color w:val="002060"/>
          <w:sz w:val="23"/>
          <w:szCs w:val="23"/>
        </w:rPr>
        <w:t>. UN Women.</w:t>
      </w:r>
    </w:p>
    <w:p w14:paraId="510B2221" w14:textId="77777777" w:rsidR="004D1500" w:rsidRPr="00D85A9B" w:rsidRDefault="004D1500" w:rsidP="00833BF7">
      <w:pPr>
        <w:pStyle w:val="Endnotes"/>
        <w:spacing w:after="120" w:line="214" w:lineRule="auto"/>
        <w:ind w:firstLine="0"/>
        <w:rPr>
          <w:color w:val="002060"/>
          <w:sz w:val="23"/>
          <w:szCs w:val="23"/>
        </w:rPr>
      </w:pPr>
      <w:r w:rsidRPr="00D85A9B">
        <w:rPr>
          <w:color w:val="002060"/>
          <w:sz w:val="23"/>
          <w:szCs w:val="23"/>
        </w:rPr>
        <w:t xml:space="preserve">Jewkes, R., Flood, M., &amp; Lang, J. (2015). </w:t>
      </w:r>
      <w:r w:rsidRPr="00D85A9B">
        <w:rPr>
          <w:i/>
          <w:color w:val="002060"/>
          <w:sz w:val="23"/>
          <w:szCs w:val="23"/>
        </w:rPr>
        <w:t>From work with men and boys to changes of social norms and reduction of inequities in gender relations: A conceptual shift in prevention of violence against women and girls</w:t>
      </w:r>
      <w:r w:rsidRPr="00D85A9B">
        <w:rPr>
          <w:color w:val="002060"/>
          <w:sz w:val="23"/>
          <w:szCs w:val="23"/>
        </w:rPr>
        <w:t>. The Lancet, 385(9977), 1580–1589.</w:t>
      </w:r>
    </w:p>
    <w:p w14:paraId="33293A82" w14:textId="77777777" w:rsidR="004D1500" w:rsidRPr="00D85A9B" w:rsidRDefault="004D1500" w:rsidP="00833BF7">
      <w:pPr>
        <w:pStyle w:val="Endnotes"/>
        <w:spacing w:after="120" w:line="214" w:lineRule="auto"/>
        <w:ind w:firstLine="0"/>
        <w:rPr>
          <w:color w:val="002060"/>
          <w:sz w:val="23"/>
          <w:szCs w:val="23"/>
        </w:rPr>
      </w:pPr>
      <w:r w:rsidRPr="00D85A9B">
        <w:rPr>
          <w:color w:val="002060"/>
          <w:sz w:val="23"/>
          <w:szCs w:val="23"/>
        </w:rPr>
        <w:t xml:space="preserve">OECD. (2015). </w:t>
      </w:r>
      <w:r w:rsidRPr="00D85A9B">
        <w:rPr>
          <w:i/>
          <w:color w:val="002060"/>
          <w:sz w:val="23"/>
          <w:szCs w:val="23"/>
        </w:rPr>
        <w:t>Skills for social progress: The power of social and emotional skills</w:t>
      </w:r>
      <w:r w:rsidRPr="00D85A9B">
        <w:rPr>
          <w:color w:val="002060"/>
          <w:sz w:val="23"/>
          <w:szCs w:val="23"/>
        </w:rPr>
        <w:t>. OECD Publishing.</w:t>
      </w:r>
    </w:p>
    <w:p w14:paraId="4FB663FE" w14:textId="77777777" w:rsidR="004D1500" w:rsidRPr="00D85A9B" w:rsidRDefault="004D1500" w:rsidP="00833BF7">
      <w:pPr>
        <w:pStyle w:val="Endnotes"/>
        <w:spacing w:after="120" w:line="214" w:lineRule="auto"/>
        <w:ind w:firstLine="0"/>
        <w:rPr>
          <w:color w:val="002060"/>
          <w:sz w:val="23"/>
          <w:szCs w:val="23"/>
        </w:rPr>
      </w:pPr>
      <w:r w:rsidRPr="00D85A9B">
        <w:rPr>
          <w:color w:val="002060"/>
          <w:sz w:val="23"/>
          <w:szCs w:val="23"/>
        </w:rPr>
        <w:t>Our Watch. (2021). See note 1.</w:t>
      </w:r>
    </w:p>
    <w:p w14:paraId="2326EE27" w14:textId="77777777" w:rsidR="004D1500" w:rsidRPr="00D85A9B" w:rsidRDefault="004D1500" w:rsidP="00833BF7">
      <w:pPr>
        <w:pStyle w:val="Endnotes"/>
        <w:spacing w:after="120" w:line="214" w:lineRule="auto"/>
        <w:ind w:firstLine="0"/>
        <w:rPr>
          <w:color w:val="002060"/>
          <w:sz w:val="23"/>
          <w:szCs w:val="23"/>
        </w:rPr>
      </w:pPr>
      <w:r w:rsidRPr="00D85A9B">
        <w:rPr>
          <w:color w:val="002060"/>
          <w:sz w:val="23"/>
          <w:szCs w:val="23"/>
        </w:rPr>
        <w:t xml:space="preserve">Our Watch. (2021). </w:t>
      </w:r>
      <w:r w:rsidRPr="00D85A9B">
        <w:rPr>
          <w:i/>
          <w:color w:val="002060"/>
          <w:sz w:val="23"/>
          <w:szCs w:val="23"/>
        </w:rPr>
        <w:t>Respectful relationships education toolkit: A whole-school approach to respectful relationships education</w:t>
      </w:r>
      <w:r w:rsidRPr="00D85A9B">
        <w:rPr>
          <w:color w:val="002060"/>
          <w:sz w:val="23"/>
          <w:szCs w:val="23"/>
        </w:rPr>
        <w:t>. Our Watch.</w:t>
      </w:r>
    </w:p>
    <w:p w14:paraId="278B10B5" w14:textId="77777777" w:rsidR="004D1500" w:rsidRPr="00D85A9B" w:rsidRDefault="004D1500" w:rsidP="00833BF7">
      <w:pPr>
        <w:pStyle w:val="Endnotes"/>
        <w:spacing w:after="120" w:line="214" w:lineRule="auto"/>
        <w:ind w:firstLine="0"/>
        <w:rPr>
          <w:color w:val="002060"/>
          <w:sz w:val="23"/>
          <w:szCs w:val="23"/>
        </w:rPr>
      </w:pPr>
      <w:r w:rsidRPr="00D85A9B">
        <w:rPr>
          <w:color w:val="002060"/>
          <w:sz w:val="23"/>
          <w:szCs w:val="23"/>
        </w:rPr>
        <w:t xml:space="preserve">UNESCO. (2019). </w:t>
      </w:r>
      <w:r w:rsidRPr="00D85A9B">
        <w:rPr>
          <w:i/>
          <w:color w:val="002060"/>
          <w:sz w:val="23"/>
          <w:szCs w:val="23"/>
        </w:rPr>
        <w:t>International technical guidance on sexuality education: An evidence-informed approach</w:t>
      </w:r>
      <w:r w:rsidRPr="00D85A9B">
        <w:rPr>
          <w:color w:val="002060"/>
          <w:sz w:val="23"/>
          <w:szCs w:val="23"/>
        </w:rPr>
        <w:t xml:space="preserve"> (Revised edition). UNESCO Publishing.</w:t>
      </w:r>
    </w:p>
    <w:p w14:paraId="1D0CAE9F" w14:textId="77777777" w:rsidR="004D1500" w:rsidRPr="00D85A9B" w:rsidRDefault="004D1500" w:rsidP="00833BF7">
      <w:pPr>
        <w:pStyle w:val="Endnotes"/>
        <w:spacing w:after="120" w:line="214" w:lineRule="auto"/>
        <w:ind w:firstLine="0"/>
        <w:rPr>
          <w:color w:val="002060"/>
          <w:sz w:val="23"/>
          <w:szCs w:val="23"/>
        </w:rPr>
      </w:pPr>
      <w:r w:rsidRPr="00D85A9B">
        <w:rPr>
          <w:color w:val="002060"/>
          <w:sz w:val="23"/>
          <w:szCs w:val="23"/>
        </w:rPr>
        <w:t xml:space="preserve">World Health Organization. (2021). </w:t>
      </w:r>
      <w:r w:rsidRPr="00D85A9B">
        <w:rPr>
          <w:i/>
          <w:color w:val="002060"/>
          <w:sz w:val="23"/>
          <w:szCs w:val="23"/>
        </w:rPr>
        <w:t>Violence against women: Prevalence estimates 2018</w:t>
      </w:r>
      <w:r w:rsidRPr="00D85A9B">
        <w:rPr>
          <w:color w:val="002060"/>
          <w:sz w:val="23"/>
          <w:szCs w:val="23"/>
        </w:rPr>
        <w:t>. WHO Press.</w:t>
      </w:r>
    </w:p>
    <w:p w14:paraId="0A93CC74" w14:textId="77777777" w:rsidR="004D1500" w:rsidRPr="00D85A9B" w:rsidRDefault="004D1500" w:rsidP="00086CFD">
      <w:pPr>
        <w:pStyle w:val="Endnotes"/>
        <w:spacing w:after="120" w:line="214" w:lineRule="auto"/>
        <w:ind w:firstLine="0"/>
        <w:rPr>
          <w:color w:val="002060"/>
          <w:sz w:val="23"/>
          <w:szCs w:val="23"/>
        </w:rPr>
      </w:pPr>
      <w:r w:rsidRPr="00D85A9B">
        <w:rPr>
          <w:color w:val="002060"/>
          <w:sz w:val="23"/>
          <w:szCs w:val="23"/>
        </w:rPr>
        <w:t xml:space="preserve">World Health Organization &amp; UN Women. (2019). </w:t>
      </w:r>
      <w:r w:rsidRPr="00D85A9B">
        <w:rPr>
          <w:i/>
          <w:color w:val="002060"/>
          <w:sz w:val="23"/>
          <w:szCs w:val="23"/>
        </w:rPr>
        <w:t>RESPECT women: Preventing violence against women</w:t>
      </w:r>
      <w:r w:rsidRPr="00D85A9B">
        <w:rPr>
          <w:color w:val="002060"/>
          <w:sz w:val="23"/>
          <w:szCs w:val="23"/>
        </w:rPr>
        <w:t>. WHO Press.</w:t>
      </w:r>
    </w:p>
  </w:endnote>
  <w:endnote w:id="266">
    <w:p w14:paraId="63172494" w14:textId="62797DD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 xml:space="preserve">UNESCO (2018), see note 216. </w:t>
      </w:r>
    </w:p>
  </w:endnote>
  <w:endnote w:id="267">
    <w:p w14:paraId="09E32294" w14:textId="69DD1364"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UNESCO (2018), see note 216</w:t>
      </w:r>
      <w:r w:rsidRPr="00D85A9B">
        <w:rPr>
          <w:i/>
          <w:iCs/>
          <w:sz w:val="23"/>
          <w:szCs w:val="23"/>
        </w:rPr>
        <w:t>.</w:t>
      </w:r>
    </w:p>
  </w:endnote>
  <w:endnote w:id="268">
    <w:p w14:paraId="69B22EF3" w14:textId="613DDA5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UNESCO (2018), see note 216</w:t>
      </w:r>
      <w:r w:rsidRPr="00D85A9B">
        <w:rPr>
          <w:i/>
          <w:iCs/>
          <w:sz w:val="23"/>
          <w:szCs w:val="23"/>
        </w:rPr>
        <w:t>.</w:t>
      </w:r>
    </w:p>
  </w:endnote>
  <w:endnote w:id="269">
    <w:p w14:paraId="73C02067" w14:textId="1CED19F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UNESCO (2018), see note 216</w:t>
      </w:r>
      <w:r w:rsidRPr="00D85A9B">
        <w:rPr>
          <w:i/>
          <w:iCs/>
          <w:sz w:val="23"/>
          <w:szCs w:val="23"/>
        </w:rPr>
        <w:t>.</w:t>
      </w:r>
    </w:p>
  </w:endnote>
  <w:endnote w:id="270">
    <w:p w14:paraId="2CA8007C" w14:textId="4F0ABA1A"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UNESCO (2018), see note 216</w:t>
      </w:r>
      <w:r w:rsidRPr="00D85A9B">
        <w:rPr>
          <w:i/>
          <w:iCs/>
          <w:sz w:val="23"/>
          <w:szCs w:val="23"/>
        </w:rPr>
        <w:t>.</w:t>
      </w:r>
    </w:p>
  </w:endnote>
  <w:endnote w:id="271">
    <w:p w14:paraId="442772A2" w14:textId="69926450"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UNESCO (2018), see note 216</w:t>
      </w:r>
      <w:r w:rsidRPr="00D85A9B">
        <w:rPr>
          <w:i/>
          <w:iCs/>
          <w:sz w:val="23"/>
          <w:szCs w:val="23"/>
        </w:rPr>
        <w:t>.</w:t>
      </w:r>
    </w:p>
  </w:endnote>
  <w:endnote w:id="272">
    <w:p w14:paraId="386585AC" w14:textId="301F4E58"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UNESCO (2018), see note 216</w:t>
      </w:r>
      <w:r w:rsidRPr="00D85A9B">
        <w:rPr>
          <w:i/>
          <w:iCs/>
          <w:sz w:val="23"/>
          <w:szCs w:val="23"/>
        </w:rPr>
        <w:t>.</w:t>
      </w:r>
    </w:p>
  </w:endnote>
  <w:endnote w:id="273">
    <w:p w14:paraId="29C5E2A4" w14:textId="3C0D546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 xml:space="preserve">Stewart, R., Wright, B., Smith, L., Roberts, S., &amp; Russell, N. (2021). Gendered stereotypes and norms: A systematic review of interventions designed to shift attitudes and </w:t>
      </w:r>
      <w:r w:rsidRPr="00D85A9B">
        <w:rPr>
          <w:sz w:val="23"/>
          <w:szCs w:val="23"/>
        </w:rPr>
        <w:t xml:space="preserve">behaviour. </w:t>
      </w:r>
      <w:r w:rsidRPr="00D85A9B">
        <w:rPr>
          <w:i/>
          <w:sz w:val="23"/>
          <w:szCs w:val="23"/>
        </w:rPr>
        <w:t>Heliyon, 7</w:t>
      </w:r>
      <w:r w:rsidRPr="00D85A9B">
        <w:rPr>
          <w:sz w:val="23"/>
          <w:szCs w:val="23"/>
        </w:rPr>
        <w:t xml:space="preserve">(4), e06660. </w:t>
      </w:r>
    </w:p>
  </w:endnote>
  <w:endnote w:id="274">
    <w:p w14:paraId="2794682D" w14:textId="666C6D87"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Stewart, R., Wright, B., Smith, L., Roberts, S., &amp; Russell, N. (2021)., see note 269.</w:t>
      </w:r>
    </w:p>
  </w:endnote>
  <w:endnote w:id="275">
    <w:p w14:paraId="036D3B7A" w14:textId="68B2BA05"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 xml:space="preserve">Sell, K., Oliver, K., &amp; </w:t>
      </w:r>
      <w:r w:rsidRPr="00D85A9B">
        <w:rPr>
          <w:sz w:val="23"/>
          <w:szCs w:val="23"/>
        </w:rPr>
        <w:t xml:space="preserve">Meiksin, R. (2021). Comprehensive sex education addressing gender and power: A systematic review to investigate implementation and mechanisms of impact. </w:t>
      </w:r>
      <w:r w:rsidRPr="00D85A9B">
        <w:rPr>
          <w:i/>
          <w:iCs/>
          <w:sz w:val="23"/>
          <w:szCs w:val="23"/>
        </w:rPr>
        <w:t>Sexuality Research and Social Policy, 20</w:t>
      </w:r>
      <w:r w:rsidRPr="00D85A9B">
        <w:rPr>
          <w:sz w:val="23"/>
          <w:szCs w:val="23"/>
        </w:rPr>
        <w:t xml:space="preserve">, 58–74. </w:t>
      </w:r>
    </w:p>
  </w:endnote>
  <w:endnote w:id="276">
    <w:p w14:paraId="108F627B" w14:textId="2B9733D3"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 xml:space="preserve">Sell, K., Oliver, K., &amp; </w:t>
      </w:r>
      <w:r w:rsidRPr="00D85A9B">
        <w:rPr>
          <w:sz w:val="23"/>
          <w:szCs w:val="23"/>
        </w:rPr>
        <w:t xml:space="preserve">Meiksin, R. (2021), see note 271. </w:t>
      </w:r>
    </w:p>
  </w:endnote>
  <w:endnote w:id="277">
    <w:p w14:paraId="67C1D422" w14:textId="62ABEF9B"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 xml:space="preserve">Gegenfurtner, A., &amp; Gebhardt, M. (2017). Sexuality education including lesbian, gay, bisexual, and transgender (LGBT) issues in schools. </w:t>
      </w:r>
      <w:r w:rsidRPr="00D85A9B">
        <w:rPr>
          <w:i/>
          <w:iCs/>
          <w:sz w:val="23"/>
          <w:szCs w:val="23"/>
        </w:rPr>
        <w:t>Educational Research Review, 22</w:t>
      </w:r>
      <w:r w:rsidRPr="00D85A9B">
        <w:rPr>
          <w:sz w:val="23"/>
          <w:szCs w:val="23"/>
        </w:rPr>
        <w:t xml:space="preserve">, 215–222. </w:t>
      </w:r>
    </w:p>
  </w:endnote>
  <w:endnote w:id="278">
    <w:p w14:paraId="11F4192F" w14:textId="7913F1DC"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 xml:space="preserve">Gegenfurtner, A., &amp; Gebhardt, M. (2017), see note 273. </w:t>
      </w:r>
    </w:p>
  </w:endnote>
  <w:endnote w:id="279">
    <w:p w14:paraId="5C76EB13" w14:textId="0D327BFD" w:rsidR="004D1500" w:rsidRPr="00D85A9B" w:rsidRDefault="004D1500" w:rsidP="00563C41">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Gegenfurtner, A., &amp; Gebhardt, M. (2017), see note 273.</w:t>
      </w:r>
    </w:p>
    <w:p w14:paraId="59253149" w14:textId="77777777" w:rsidR="004D1500" w:rsidRPr="00D85A9B" w:rsidRDefault="004D1500" w:rsidP="00086CFD">
      <w:pPr>
        <w:pStyle w:val="Endnotes"/>
        <w:spacing w:after="120" w:line="214" w:lineRule="auto"/>
        <w:ind w:firstLine="0"/>
        <w:rPr>
          <w:sz w:val="23"/>
          <w:szCs w:val="23"/>
        </w:rPr>
      </w:pPr>
      <w:r w:rsidRPr="00D85A9B">
        <w:rPr>
          <w:sz w:val="23"/>
          <w:szCs w:val="23"/>
        </w:rPr>
        <w:t xml:space="preserve">Hill, A. O., et al. (2021). </w:t>
      </w:r>
      <w:r w:rsidRPr="00D85A9B">
        <w:rPr>
          <w:i/>
          <w:iCs/>
          <w:sz w:val="23"/>
          <w:szCs w:val="23"/>
        </w:rPr>
        <w:t>Writing Themselves In 4.</w:t>
      </w:r>
    </w:p>
  </w:endnote>
  <w:endnote w:id="280">
    <w:p w14:paraId="7720FBDE" w14:textId="29D36B78" w:rsidR="00D4184C" w:rsidRPr="009F2CF7" w:rsidRDefault="004D1500" w:rsidP="00560E1C">
      <w:pPr>
        <w:pStyle w:val="Endnotes"/>
        <w:spacing w:after="120" w:line="214" w:lineRule="auto"/>
        <w:rPr>
          <w:sz w:val="23"/>
          <w:szCs w:val="23"/>
        </w:rPr>
      </w:pPr>
      <w:r w:rsidRPr="00D85A9B">
        <w:rPr>
          <w:rStyle w:val="EndnoteReference"/>
          <w:sz w:val="23"/>
          <w:szCs w:val="23"/>
          <w:vertAlign w:val="baseline"/>
        </w:rPr>
        <w:endnoteRef/>
      </w:r>
      <w:r w:rsidRPr="00D85A9B">
        <w:rPr>
          <w:sz w:val="23"/>
          <w:szCs w:val="23"/>
        </w:rPr>
        <w:t xml:space="preserve"> </w:t>
      </w:r>
      <w:r w:rsidR="00086CFD">
        <w:rPr>
          <w:sz w:val="23"/>
          <w:szCs w:val="23"/>
        </w:rPr>
        <w:tab/>
      </w:r>
      <w:r w:rsidRPr="00D85A9B">
        <w:rPr>
          <w:sz w:val="23"/>
          <w:szCs w:val="23"/>
        </w:rPr>
        <w:t xml:space="preserve">Su, R., Guo, L., Tang, H., Ye, P., Zhang, S., Xiao, Y., Liu, C. (2020). Comprehensive sexuality education weakens the effect of in-group bias on trust and fairness. </w:t>
      </w:r>
      <w:r w:rsidRPr="00D85A9B">
        <w:rPr>
          <w:i/>
          <w:iCs/>
          <w:sz w:val="23"/>
          <w:szCs w:val="23"/>
        </w:rPr>
        <w:t xml:space="preserve">Sex </w:t>
      </w:r>
      <w:r w:rsidRPr="009F2CF7">
        <w:rPr>
          <w:i/>
          <w:iCs/>
          <w:sz w:val="23"/>
          <w:szCs w:val="23"/>
        </w:rPr>
        <w:t>Education, 20</w:t>
      </w:r>
      <w:r w:rsidRPr="009F2CF7">
        <w:rPr>
          <w:sz w:val="23"/>
          <w:szCs w:val="23"/>
        </w:rPr>
        <w:t>(1), 33–45.</w:t>
      </w:r>
    </w:p>
    <w:p w14:paraId="410DE469" w14:textId="77777777" w:rsidR="00D4184C" w:rsidRPr="009F2CF7" w:rsidRDefault="00D4184C" w:rsidP="00EE133C">
      <w:pPr>
        <w:ind w:left="567" w:hanging="567"/>
        <w:rPr>
          <w:rFonts w:eastAsia="Poppins Light" w:cs="Times New Roman"/>
          <w:spacing w:val="-5"/>
          <w:szCs w:val="23"/>
          <w:u w:val="thick"/>
          <w:lang w:val="en-US"/>
        </w:rPr>
      </w:pPr>
      <w:r w:rsidRPr="009F2CF7">
        <w:rPr>
          <w:rFonts w:eastAsia="Poppins Light" w:cs="Times New Roman"/>
          <w:spacing w:val="-5"/>
          <w:szCs w:val="23"/>
          <w:vertAlign w:val="superscript"/>
          <w:lang w:val="en-AU"/>
        </w:rPr>
        <w:endnoteRef/>
      </w:r>
      <w:r w:rsidRPr="009F2CF7">
        <w:rPr>
          <w:rFonts w:eastAsia="Poppins Light" w:cs="Times New Roman"/>
          <w:spacing w:val="-5"/>
          <w:szCs w:val="23"/>
          <w:lang w:val="en-AU"/>
        </w:rPr>
        <w:t xml:space="preserve"> </w:t>
      </w:r>
      <w:r w:rsidRPr="009F2CF7">
        <w:rPr>
          <w:rFonts w:eastAsia="Poppins Light" w:cs="Times New Roman"/>
          <w:spacing w:val="-5"/>
          <w:szCs w:val="23"/>
          <w:lang w:val="en-AU"/>
        </w:rPr>
        <w:tab/>
      </w:r>
      <w:r w:rsidRPr="009F2CF7">
        <w:rPr>
          <w:rFonts w:eastAsia="Poppins Light" w:cs="Times New Roman"/>
          <w:spacing w:val="-5"/>
          <w:szCs w:val="23"/>
          <w:lang w:val="en-US"/>
        </w:rPr>
        <w:t xml:space="preserve">Cripps, K. (2021). Media constructions of Indigenous women in sexual assault cases: Reflections from Australia and Canada, </w:t>
      </w:r>
      <w:r w:rsidRPr="009F2CF7">
        <w:rPr>
          <w:rFonts w:eastAsia="Poppins Light" w:cs="AcuminProSemiCond-Italic"/>
          <w:i/>
          <w:iCs/>
          <w:spacing w:val="-5"/>
          <w:szCs w:val="23"/>
          <w:lang w:val="en-US"/>
        </w:rPr>
        <w:t>Current Issues in Criminal Justice</w:t>
      </w:r>
      <w:r w:rsidRPr="009F2CF7">
        <w:rPr>
          <w:rFonts w:eastAsia="Poppins Light" w:cs="Times New Roman"/>
          <w:spacing w:val="-5"/>
          <w:szCs w:val="23"/>
          <w:lang w:val="en-US"/>
        </w:rPr>
        <w:t xml:space="preserve">, </w:t>
      </w:r>
      <w:r w:rsidRPr="009F2CF7">
        <w:rPr>
          <w:rFonts w:eastAsia="Poppins Light" w:cs="AcuminProSemiCond-Italic"/>
          <w:i/>
          <w:iCs/>
          <w:spacing w:val="-5"/>
          <w:szCs w:val="23"/>
          <w:lang w:val="en-US"/>
        </w:rPr>
        <w:t>33</w:t>
      </w:r>
      <w:r w:rsidRPr="009F2CF7">
        <w:rPr>
          <w:rFonts w:eastAsia="Poppins Light" w:cs="Times New Roman"/>
          <w:spacing w:val="-5"/>
          <w:szCs w:val="23"/>
          <w:lang w:val="en-US"/>
        </w:rPr>
        <w:t xml:space="preserve">(3), 300–321. </w:t>
      </w:r>
    </w:p>
    <w:p w14:paraId="4D00572D" w14:textId="77777777" w:rsidR="00D4184C" w:rsidRPr="009F2CF7" w:rsidRDefault="00D4184C" w:rsidP="00EE133C">
      <w:pPr>
        <w:ind w:left="567" w:hanging="567"/>
        <w:rPr>
          <w:rFonts w:eastAsia="Poppins Light" w:cs="Times New Roman"/>
          <w:spacing w:val="-5"/>
          <w:szCs w:val="23"/>
          <w:lang w:val="en-AU"/>
        </w:rPr>
      </w:pPr>
      <w:r w:rsidRPr="009F2CF7">
        <w:rPr>
          <w:rFonts w:eastAsia="Poppins Light" w:cs="Times New Roman"/>
          <w:spacing w:val="-5"/>
          <w:szCs w:val="23"/>
          <w:vertAlign w:val="superscript"/>
          <w:lang w:val="en-AU"/>
        </w:rPr>
        <w:endnoteRef/>
      </w:r>
      <w:r w:rsidRPr="009F2CF7">
        <w:rPr>
          <w:rFonts w:eastAsia="Poppins Light" w:cs="Times New Roman"/>
          <w:spacing w:val="-5"/>
          <w:szCs w:val="23"/>
          <w:lang w:val="en-AU"/>
        </w:rPr>
        <w:t xml:space="preserve"> </w:t>
      </w:r>
      <w:r w:rsidRPr="009F2CF7">
        <w:rPr>
          <w:rFonts w:eastAsia="Poppins Light" w:cs="Times New Roman"/>
          <w:spacing w:val="-5"/>
          <w:szCs w:val="23"/>
          <w:lang w:val="en-AU"/>
        </w:rPr>
        <w:tab/>
      </w:r>
      <w:r w:rsidRPr="009F2CF7">
        <w:rPr>
          <w:rFonts w:eastAsia="Poppins Light" w:cs="Times New Roman"/>
          <w:spacing w:val="-5"/>
          <w:szCs w:val="23"/>
          <w:lang w:val="en-US"/>
        </w:rPr>
        <w:t>Rodrigues (2022), see note 5.</w:t>
      </w:r>
    </w:p>
    <w:p w14:paraId="01453891" w14:textId="211D3AAF" w:rsidR="00D4184C" w:rsidRPr="009F2CF7" w:rsidRDefault="00D4184C" w:rsidP="00EE133C">
      <w:pPr>
        <w:pStyle w:val="EndnoteText"/>
        <w:spacing w:after="120"/>
        <w:ind w:left="567" w:hanging="567"/>
        <w:rPr>
          <w:rFonts w:ascii="Roboto" w:eastAsia="Poppins Light" w:hAnsi="Roboto" w:cs="Times New Roman"/>
          <w:color w:val="002554"/>
          <w:spacing w:val="-5"/>
          <w:sz w:val="23"/>
          <w:szCs w:val="23"/>
          <w:lang w:val="en-US"/>
        </w:rPr>
      </w:pPr>
      <w:r w:rsidRPr="009F2CF7">
        <w:rPr>
          <w:rFonts w:ascii="Roboto" w:eastAsia="Poppins Light" w:hAnsi="Roboto" w:cs="Times New Roman"/>
          <w:color w:val="002554"/>
          <w:spacing w:val="-5"/>
          <w:sz w:val="23"/>
          <w:szCs w:val="23"/>
          <w:vertAlign w:val="superscript"/>
        </w:rPr>
        <w:endnoteRef/>
      </w:r>
      <w:r w:rsidRPr="009F2CF7">
        <w:rPr>
          <w:rFonts w:ascii="Roboto" w:eastAsia="Poppins Light" w:hAnsi="Roboto" w:cs="Times New Roman"/>
          <w:color w:val="002554"/>
          <w:spacing w:val="-5"/>
          <w:sz w:val="23"/>
          <w:szCs w:val="23"/>
        </w:rPr>
        <w:t xml:space="preserve"> </w:t>
      </w:r>
      <w:r w:rsidRPr="009F2CF7">
        <w:rPr>
          <w:rFonts w:ascii="Roboto" w:eastAsia="Poppins Light" w:hAnsi="Roboto" w:cs="Times New Roman"/>
          <w:color w:val="002554"/>
          <w:spacing w:val="-5"/>
          <w:sz w:val="23"/>
          <w:szCs w:val="23"/>
        </w:rPr>
        <w:tab/>
      </w:r>
      <w:r w:rsidRPr="009F2CF7">
        <w:rPr>
          <w:rFonts w:ascii="Roboto" w:eastAsia="Poppins Light" w:hAnsi="Roboto" w:cs="Times New Roman"/>
          <w:color w:val="002554"/>
          <w:spacing w:val="-5"/>
          <w:sz w:val="23"/>
          <w:szCs w:val="23"/>
          <w:lang w:val="en-US"/>
        </w:rPr>
        <w:t>Karageorgos et al. (2023), see note 1.</w:t>
      </w:r>
    </w:p>
    <w:p w14:paraId="158C6CC4" w14:textId="77777777" w:rsidR="00535AC4" w:rsidRPr="009F2CF7" w:rsidRDefault="00535AC4" w:rsidP="00EE133C">
      <w:pPr>
        <w:pStyle w:val="EndnoteText"/>
        <w:spacing w:after="120"/>
        <w:ind w:left="567" w:hanging="567"/>
        <w:rPr>
          <w:rFonts w:ascii="Roboto" w:eastAsia="Poppins Light" w:hAnsi="Roboto" w:cs="Times New Roman"/>
          <w:color w:val="002554"/>
          <w:spacing w:val="-5"/>
          <w:sz w:val="23"/>
          <w:szCs w:val="23"/>
          <w:lang w:val="en-US"/>
        </w:rPr>
      </w:pPr>
    </w:p>
    <w:p w14:paraId="0AA2CBAA" w14:textId="77777777" w:rsidR="00535AC4" w:rsidRPr="009F2CF7" w:rsidRDefault="00535AC4" w:rsidP="00EE133C">
      <w:pPr>
        <w:pStyle w:val="EndnoteText"/>
        <w:spacing w:after="120"/>
        <w:ind w:left="567" w:hanging="567"/>
        <w:rPr>
          <w:rFonts w:ascii="Roboto" w:eastAsia="Poppins Light" w:hAnsi="Roboto" w:cs="Times New Roman"/>
          <w:color w:val="002554"/>
          <w:spacing w:val="-5"/>
          <w:sz w:val="23"/>
          <w:szCs w:val="23"/>
          <w:lang w:val="en-US"/>
        </w:rPr>
      </w:pPr>
    </w:p>
    <w:p w14:paraId="4B952546" w14:textId="7245F842" w:rsidR="00535AC4" w:rsidRPr="009F2CF7" w:rsidRDefault="00535AC4" w:rsidP="00EE133C">
      <w:pPr>
        <w:pStyle w:val="EndnoteText"/>
        <w:spacing w:after="120"/>
        <w:ind w:left="567" w:hanging="567"/>
        <w:rPr>
          <w:rFonts w:ascii="Roboto" w:eastAsia="Poppins Light" w:hAnsi="Roboto" w:cs="Times New Roman"/>
          <w:color w:val="002554"/>
          <w:spacing w:val="-5"/>
          <w:sz w:val="23"/>
          <w:szCs w:val="23"/>
          <w:lang w:val="en-US"/>
        </w:rPr>
      </w:pPr>
    </w:p>
    <w:p w14:paraId="416DC122" w14:textId="5AF2E339" w:rsidR="00B83AFB" w:rsidRPr="00D85A9B" w:rsidRDefault="00B83AFB" w:rsidP="00EE133C">
      <w:pPr>
        <w:pStyle w:val="EndnoteText"/>
        <w:spacing w:after="120"/>
        <w:ind w:left="567" w:hanging="567"/>
        <w:rPr>
          <w:rFonts w:ascii="Roboto" w:hAnsi="Roboto"/>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ody CS)">
    <w:altName w:val="Arial"/>
    <w:panose1 w:val="020B0604020202020204"/>
    <w:charset w:val="00"/>
    <w:family w:val="roman"/>
    <w:pitch w:val="default"/>
  </w:font>
  <w:font w:name="Roboto Black">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Bold">
    <w:altName w:val="Calibri"/>
    <w:panose1 w:val="020B0604020202020204"/>
    <w:charset w:val="00"/>
    <w:family w:val="auto"/>
    <w:pitch w:val="variable"/>
    <w:sig w:usb0="E00002FF" w:usb1="4000ACFF" w:usb2="00000001"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cumin Pro Black">
    <w:altName w:val="Calibri"/>
    <w:panose1 w:val="020B0604020202020204"/>
    <w:charset w:val="00"/>
    <w:family w:val="swiss"/>
    <w:notTrueType/>
    <w:pitch w:val="default"/>
    <w:sig w:usb0="00000003" w:usb1="00000000" w:usb2="00000000" w:usb3="00000000" w:csb0="00000001" w:csb1="00000000"/>
  </w:font>
  <w:font w:name="Acumin Pro">
    <w:altName w:val="Calibri"/>
    <w:panose1 w:val="020B0604020202020204"/>
    <w:charset w:val="00"/>
    <w:family w:val="swiss"/>
    <w:pitch w:val="default"/>
    <w:sig w:usb0="00000003" w:usb1="00000000" w:usb2="00000000" w:usb3="00000000" w:csb0="00000001" w:csb1="00000000"/>
  </w:font>
  <w:font w:name="Roboto Light">
    <w:panose1 w:val="02000000000000000000"/>
    <w:charset w:val="00"/>
    <w:family w:val="auto"/>
    <w:pitch w:val="variable"/>
    <w:sig w:usb0="E00002FF" w:usb1="5000205B" w:usb2="0000002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AcuminProSemiCond-Italic">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A805" w14:textId="2240AECD" w:rsidR="008A3BFF" w:rsidRDefault="008A3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127F" w14:textId="77777777" w:rsidR="00B70306" w:rsidRPr="00532E6C" w:rsidRDefault="00B70306" w:rsidP="00B70306">
    <w:pPr>
      <w:pStyle w:val="Footer"/>
      <w:framePr w:w="721" w:wrap="none" w:vAnchor="text" w:hAnchor="page" w:x="10177" w:y="-1"/>
      <w:jc w:val="right"/>
      <w:rPr>
        <w:rStyle w:val="PageNumber"/>
        <w:sz w:val="18"/>
        <w:szCs w:val="18"/>
      </w:rPr>
    </w:pPr>
    <w:r>
      <w:rPr>
        <w:rStyle w:val="PageNumber"/>
        <w:sz w:val="18"/>
        <w:szCs w:val="18"/>
      </w:rPr>
      <w:t xml:space="preserve">Page </w:t>
    </w:r>
    <w:sdt>
      <w:sdtPr>
        <w:rPr>
          <w:rStyle w:val="PageNumber"/>
          <w:sz w:val="18"/>
          <w:szCs w:val="18"/>
        </w:rPr>
        <w:id w:val="640386218"/>
        <w:docPartObj>
          <w:docPartGallery w:val="Page Numbers (Bottom of Page)"/>
          <w:docPartUnique/>
        </w:docPartObj>
      </w:sdtPr>
      <w:sdtEndPr>
        <w:rPr>
          <w:rStyle w:val="PageNumber"/>
        </w:rPr>
      </w:sdtEndPr>
      <w:sdtContent>
        <w:r w:rsidRPr="0C596B65">
          <w:rPr>
            <w:rStyle w:val="PageNumber"/>
            <w:sz w:val="18"/>
            <w:szCs w:val="18"/>
          </w:rPr>
          <w:fldChar w:fldCharType="begin"/>
        </w:r>
        <w:r w:rsidRPr="0C596B65">
          <w:rPr>
            <w:rStyle w:val="PageNumber"/>
            <w:sz w:val="18"/>
            <w:szCs w:val="18"/>
          </w:rPr>
          <w:instrText xml:space="preserve"> PAGE </w:instrText>
        </w:r>
        <w:r w:rsidRPr="0C596B65">
          <w:rPr>
            <w:rStyle w:val="PageNumber"/>
            <w:sz w:val="18"/>
            <w:szCs w:val="18"/>
          </w:rPr>
          <w:fldChar w:fldCharType="separate"/>
        </w:r>
        <w:r>
          <w:rPr>
            <w:rStyle w:val="PageNumber"/>
            <w:sz w:val="18"/>
            <w:szCs w:val="18"/>
          </w:rPr>
          <w:t>1</w:t>
        </w:r>
        <w:r w:rsidRPr="0C596B65">
          <w:rPr>
            <w:rStyle w:val="PageNumber"/>
            <w:sz w:val="18"/>
            <w:szCs w:val="18"/>
          </w:rPr>
          <w:fldChar w:fldCharType="end"/>
        </w:r>
      </w:sdtContent>
    </w:sdt>
  </w:p>
  <w:p w14:paraId="49F68680" w14:textId="77777777" w:rsidR="00B70306" w:rsidRPr="00E40D8A" w:rsidRDefault="00B70306" w:rsidP="00B70306">
    <w:pPr>
      <w:pStyle w:val="Footer"/>
      <w:ind w:right="360"/>
      <w:jc w:val="right"/>
      <w:rPr>
        <w:rFonts w:cs="Times New Roman"/>
        <w:sz w:val="18"/>
        <w:szCs w:val="18"/>
      </w:rPr>
    </w:pPr>
    <w:r w:rsidRPr="00E40D8A">
      <w:rPr>
        <w:rFonts w:cs="Times New Roman"/>
        <w:noProof/>
        <w:color w:val="022146"/>
        <w:sz w:val="18"/>
        <w:szCs w:val="18"/>
      </w:rPr>
      <w:drawing>
        <wp:anchor distT="0" distB="0" distL="114300" distR="114300" simplePos="0" relativeHeight="251658240" behindDoc="0" locked="0" layoutInCell="1" allowOverlap="1" wp14:anchorId="491E0854" wp14:editId="5E6F9D0B">
          <wp:simplePos x="0" y="0"/>
          <wp:positionH relativeFrom="column">
            <wp:posOffset>-140335</wp:posOffset>
          </wp:positionH>
          <wp:positionV relativeFrom="paragraph">
            <wp:posOffset>-74295</wp:posOffset>
          </wp:positionV>
          <wp:extent cx="981710" cy="355600"/>
          <wp:effectExtent l="0" t="0" r="0" b="0"/>
          <wp:wrapSquare wrapText="bothSides"/>
          <wp:docPr id="85407877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78770"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21909"/>
                  <a:stretch>
                    <a:fillRect/>
                  </a:stretch>
                </pic:blipFill>
                <pic:spPr bwMode="auto">
                  <a:xfrm>
                    <a:off x="0" y="0"/>
                    <a:ext cx="981710" cy="3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DB01" w14:textId="267EAE3D" w:rsidR="008A3BFF" w:rsidRDefault="008A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B65B" w14:textId="77777777" w:rsidR="000E71F1" w:rsidRDefault="000E71F1" w:rsidP="000004C2">
      <w:r>
        <w:separator/>
      </w:r>
    </w:p>
    <w:p w14:paraId="5CC8732F" w14:textId="77777777" w:rsidR="000E71F1" w:rsidRDefault="000E71F1" w:rsidP="000004C2"/>
    <w:p w14:paraId="10F7BFC6" w14:textId="77777777" w:rsidR="000E71F1" w:rsidRDefault="000E71F1"/>
  </w:footnote>
  <w:footnote w:type="continuationSeparator" w:id="0">
    <w:p w14:paraId="7EAFE69F" w14:textId="77777777" w:rsidR="000E71F1" w:rsidRDefault="000E71F1" w:rsidP="000004C2">
      <w:r>
        <w:continuationSeparator/>
      </w:r>
    </w:p>
    <w:p w14:paraId="3D2F6CE7" w14:textId="77777777" w:rsidR="000E71F1" w:rsidRDefault="000E71F1" w:rsidP="000004C2"/>
    <w:p w14:paraId="5F71BF98" w14:textId="77777777" w:rsidR="000E71F1" w:rsidRDefault="000E71F1"/>
  </w:footnote>
  <w:footnote w:type="continuationNotice" w:id="1">
    <w:p w14:paraId="2F0444EC" w14:textId="77777777" w:rsidR="000E71F1" w:rsidRDefault="000E71F1" w:rsidP="000004C2"/>
    <w:p w14:paraId="51D4CE6D" w14:textId="77777777" w:rsidR="000E71F1" w:rsidRDefault="000E71F1" w:rsidP="000004C2"/>
    <w:p w14:paraId="6C000A61" w14:textId="77777777" w:rsidR="000E71F1" w:rsidRDefault="000E7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DD4E" w14:textId="77777777" w:rsidR="008A3BFF" w:rsidRDefault="008A3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0405" w14:textId="6B741FF0" w:rsidR="007C673B" w:rsidRDefault="007C673B"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21EC0475" w14:textId="77777777" w:rsidR="002D0998" w:rsidRDefault="002D0998"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1FAB003E" w14:textId="08E3683E" w:rsidR="007C673B" w:rsidRPr="008736DA" w:rsidRDefault="007D29F5" w:rsidP="00DA29B7">
    <w:pPr>
      <w:pBdr>
        <w:bottom w:val="single" w:sz="2" w:space="4" w:color="002453"/>
      </w:pBdr>
      <w:tabs>
        <w:tab w:val="center" w:pos="4513"/>
        <w:tab w:val="right" w:pos="9026"/>
      </w:tabs>
      <w:spacing w:after="960"/>
      <w:ind w:right="-3119"/>
      <w:contextualSpacing/>
      <w:rPr>
        <w:rFonts w:eastAsia="Poppins Light" w:cs="Times New Roman"/>
        <w:spacing w:val="-3"/>
        <w:sz w:val="16"/>
        <w:lang w:val="en-AU"/>
      </w:rPr>
    </w:pPr>
    <w:r w:rsidRPr="007D29F5">
      <w:rPr>
        <w:rFonts w:eastAsia="Poppins Light" w:cs="Times New Roman"/>
        <w:spacing w:val="-3"/>
        <w:sz w:val="16"/>
      </w:rPr>
      <w:t>Young people, online worlds and respectful relationships education</w:t>
    </w:r>
    <w:r w:rsidR="00DA29B7" w:rsidRPr="00DA29B7">
      <w:rPr>
        <w:rFonts w:eastAsia="Poppins Light" w:cs="Times New Roman"/>
        <w:spacing w:val="-3"/>
        <w:sz w:val="16"/>
        <w:lang w:val="en-AU"/>
      </w:rPr>
      <w:t>: What the research tell</w:t>
    </w:r>
    <w:r w:rsidR="000C0711">
      <w:rPr>
        <w:rFonts w:eastAsia="Poppins Light" w:cs="Times New Roman"/>
        <w:spacing w:val="-3"/>
        <w:sz w:val="16"/>
        <w:lang w:val="en-AU"/>
      </w:rPr>
      <w:t>s</w:t>
    </w:r>
    <w:r w:rsidR="00DA29B7" w:rsidRPr="00DA29B7">
      <w:rPr>
        <w:rFonts w:eastAsia="Poppins Light" w:cs="Times New Roman"/>
        <w:spacing w:val="-3"/>
        <w:sz w:val="16"/>
        <w:lang w:val="en-AU"/>
      </w:rPr>
      <w:t xml:space="preserve"> 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5375" w14:textId="77777777" w:rsidR="002959BA" w:rsidRPr="00513119" w:rsidRDefault="00A91867" w:rsidP="009A4748">
    <w:pPr>
      <w:pStyle w:val="Header"/>
      <w:rPr>
        <w:color w:val="002454"/>
        <w:sz w:val="16"/>
        <w:szCs w:val="16"/>
      </w:rPr>
    </w:pPr>
    <w:r w:rsidRPr="00513119">
      <w:rPr>
        <w:color w:val="002454"/>
        <w:sz w:val="16"/>
        <w:szCs w:val="16"/>
        <w:lang w:val="en-AU" w:eastAsia="en-GB"/>
      </w:rPr>
      <w:t xml:space="preserve">Respect and Equality in TAFE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6515" w14:textId="55CA0240" w:rsidR="00B20075" w:rsidRDefault="00B20075"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57D9B2F0" w14:textId="77777777" w:rsidR="00B20075" w:rsidRDefault="00B20075"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55B298FF" w14:textId="77777777" w:rsidR="00B20075" w:rsidRDefault="00B20075"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3FA4597C" w14:textId="77777777" w:rsidR="00B20075" w:rsidRPr="008736DA" w:rsidRDefault="00B20075" w:rsidP="00B20075">
    <w:pPr>
      <w:pBdr>
        <w:bottom w:val="single" w:sz="2" w:space="4" w:color="002453"/>
      </w:pBdr>
      <w:tabs>
        <w:tab w:val="center" w:pos="4513"/>
        <w:tab w:val="right" w:pos="9026"/>
      </w:tabs>
      <w:spacing w:after="960"/>
      <w:ind w:right="-3119"/>
      <w:contextualSpacing/>
      <w:rPr>
        <w:rFonts w:eastAsia="Poppins Light" w:cs="Times New Roman"/>
        <w:spacing w:val="-3"/>
        <w:sz w:val="16"/>
        <w:lang w:val="en-AU"/>
      </w:rPr>
    </w:pPr>
    <w:r w:rsidRPr="00B20075">
      <w:rPr>
        <w:rFonts w:eastAsia="Poppins Light" w:cs="Times New Roman"/>
        <w:spacing w:val="-3"/>
        <w:sz w:val="16"/>
        <w:lang w:val="en-AU"/>
      </w:rPr>
      <w:t>Section 1: Sex, gender and relationships – what children and young people know and experience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B462"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2945D743"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77600000"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38ECF7F6" w14:textId="77777777" w:rsidR="00EE379F" w:rsidRPr="008736DA" w:rsidRDefault="00EE379F" w:rsidP="00EE379F">
    <w:pPr>
      <w:pBdr>
        <w:bottom w:val="single" w:sz="2" w:space="4" w:color="002453"/>
      </w:pBdr>
      <w:tabs>
        <w:tab w:val="center" w:pos="4513"/>
        <w:tab w:val="right" w:pos="9026"/>
      </w:tabs>
      <w:spacing w:after="960"/>
      <w:ind w:right="-3119"/>
      <w:contextualSpacing/>
      <w:rPr>
        <w:rFonts w:eastAsia="Poppins Light" w:cs="Times New Roman"/>
        <w:spacing w:val="-3"/>
        <w:sz w:val="16"/>
        <w:lang w:val="en-AU"/>
      </w:rPr>
    </w:pPr>
    <w:r w:rsidRPr="00EE379F">
      <w:rPr>
        <w:rFonts w:eastAsia="Poppins Light" w:cs="Times New Roman"/>
        <w:spacing w:val="-3"/>
        <w:sz w:val="16"/>
        <w:lang w:val="en-AU"/>
      </w:rPr>
      <w:t>Section 2: The role of digital technologies in shaping young people’s experiences and beliefs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6EB2"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7EA15FA7"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0FDF8454"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0CE44B55" w14:textId="77777777" w:rsidR="00EE379F" w:rsidRPr="008736DA" w:rsidRDefault="00EE379F" w:rsidP="00EE379F">
    <w:pPr>
      <w:pBdr>
        <w:bottom w:val="single" w:sz="2" w:space="4" w:color="002453"/>
      </w:pBdr>
      <w:tabs>
        <w:tab w:val="center" w:pos="4513"/>
        <w:tab w:val="right" w:pos="9026"/>
      </w:tabs>
      <w:spacing w:after="960"/>
      <w:ind w:right="-3119"/>
      <w:contextualSpacing/>
      <w:rPr>
        <w:rFonts w:eastAsia="Poppins Light" w:cs="Times New Roman"/>
        <w:spacing w:val="-3"/>
        <w:sz w:val="16"/>
        <w:lang w:val="en-AU"/>
      </w:rPr>
    </w:pPr>
    <w:r w:rsidRPr="00EE379F">
      <w:rPr>
        <w:rFonts w:eastAsia="Poppins Light" w:cs="Times New Roman"/>
        <w:spacing w:val="-3"/>
        <w:sz w:val="16"/>
        <w:lang w:val="en-AU"/>
      </w:rPr>
      <w:t>Section 3: Children, young people and pornography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4245"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68201C83" w14:textId="77777777" w:rsidR="0081662E" w:rsidRPr="0081662E" w:rsidRDefault="0081662E" w:rsidP="0081662E">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370BD2FC" w14:textId="3EAF8565" w:rsidR="00EE379F" w:rsidRPr="008736DA" w:rsidRDefault="0081662E" w:rsidP="0081662E">
    <w:pPr>
      <w:pBdr>
        <w:bottom w:val="single" w:sz="2" w:space="4" w:color="002453"/>
      </w:pBdr>
      <w:tabs>
        <w:tab w:val="center" w:pos="4513"/>
        <w:tab w:val="right" w:pos="9026"/>
      </w:tabs>
      <w:spacing w:after="960"/>
      <w:ind w:right="-3119"/>
      <w:contextualSpacing/>
      <w:rPr>
        <w:rFonts w:eastAsia="Poppins Light" w:cs="Times New Roman"/>
        <w:spacing w:val="-3"/>
        <w:sz w:val="16"/>
        <w:lang w:val="en-AU"/>
      </w:rPr>
    </w:pPr>
    <w:r w:rsidRPr="0081662E">
      <w:rPr>
        <w:rFonts w:eastAsia="Poppins Light" w:cs="Times New Roman"/>
        <w:spacing w:val="-3"/>
        <w:sz w:val="16"/>
      </w:rPr>
      <w:t>Young people, online worlds and respectful relationships education</w:t>
    </w:r>
    <w:r w:rsidRPr="0081662E">
      <w:rPr>
        <w:rFonts w:eastAsia="Poppins Light" w:cs="Times New Roman"/>
        <w:spacing w:val="-3"/>
        <w:sz w:val="16"/>
        <w:lang w:val="en-AU"/>
      </w:rPr>
      <w:t>: What the research tell 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9848F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6AC09A"/>
    <w:lvl w:ilvl="0">
      <w:start w:val="1"/>
      <w:numFmt w:val="decimal"/>
      <w:pStyle w:val="ListNumber3"/>
      <w:lvlText w:val="%1."/>
      <w:lvlJc w:val="left"/>
      <w:pPr>
        <w:tabs>
          <w:tab w:val="num" w:pos="926"/>
        </w:tabs>
        <w:ind w:left="926" w:hanging="360"/>
      </w:pPr>
    </w:lvl>
  </w:abstractNum>
  <w:abstractNum w:abstractNumId="2" w15:restartNumberingAfterBreak="0">
    <w:nsid w:val="08E746F3"/>
    <w:multiLevelType w:val="multilevel"/>
    <w:tmpl w:val="E6D2BB52"/>
    <w:styleLink w:val="CurrentList3"/>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6E447F"/>
    <w:multiLevelType w:val="multilevel"/>
    <w:tmpl w:val="E6D2BB52"/>
    <w:styleLink w:val="CurrentList2"/>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D405E5"/>
    <w:multiLevelType w:val="multilevel"/>
    <w:tmpl w:val="5F00153C"/>
    <w:styleLink w:val="CurrentList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F37EA"/>
    <w:multiLevelType w:val="multilevel"/>
    <w:tmpl w:val="B17C737A"/>
    <w:styleLink w:val="Numbering"/>
    <w:lvl w:ilvl="0">
      <w:start w:val="1"/>
      <w:numFmt w:val="decimal"/>
      <w:lvlText w:val="%1."/>
      <w:lvlJc w:val="left"/>
      <w:pPr>
        <w:ind w:left="340" w:hanging="340"/>
      </w:pPr>
      <w:rPr>
        <w:rFonts w:hint="default"/>
      </w:rPr>
    </w:lvl>
    <w:lvl w:ilvl="1">
      <w:start w:val="1"/>
      <w:numFmt w:val="decimal"/>
      <w:lvlText w:val="%1.%2."/>
      <w:lvlJc w:val="left"/>
      <w:pPr>
        <w:ind w:left="737" w:hanging="73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1552C53"/>
    <w:multiLevelType w:val="hybridMultilevel"/>
    <w:tmpl w:val="0088D70A"/>
    <w:lvl w:ilvl="0" w:tplc="3CACF9BE">
      <w:start w:val="1"/>
      <w:numFmt w:val="decimal"/>
      <w:pStyle w:val="OW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47FC9"/>
    <w:multiLevelType w:val="multilevel"/>
    <w:tmpl w:val="91C6BDD2"/>
    <w:lvl w:ilvl="0">
      <w:start w:val="5"/>
      <w:numFmt w:val="decimal"/>
      <w:lvlText w:val="%1"/>
      <w:lvlJc w:val="left"/>
      <w:pPr>
        <w:ind w:left="360" w:hanging="360"/>
      </w:pPr>
      <w:rPr>
        <w:rFonts w:hint="default"/>
      </w:rPr>
    </w:lvl>
    <w:lvl w:ilvl="1">
      <w:start w:val="1"/>
      <w:numFmt w:val="decimal"/>
      <w:pStyle w:val="List5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06352B"/>
    <w:multiLevelType w:val="multilevel"/>
    <w:tmpl w:val="1A0EE586"/>
    <w:styleLink w:val="CurrentList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22E28D3"/>
    <w:multiLevelType w:val="hybridMultilevel"/>
    <w:tmpl w:val="80141714"/>
    <w:lvl w:ilvl="0" w:tplc="C408141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D82B9F"/>
    <w:multiLevelType w:val="hybridMultilevel"/>
    <w:tmpl w:val="782816F0"/>
    <w:lvl w:ilvl="0" w:tplc="59F8D1AC">
      <w:start w:val="1"/>
      <w:numFmt w:val="decimal"/>
      <w:pStyle w:val="Keyfindingnumberedheading"/>
      <w:lvlText w:val="%1."/>
      <w:lvlJc w:val="left"/>
      <w:pPr>
        <w:ind w:left="720" w:hanging="360"/>
      </w:pPr>
    </w:lvl>
    <w:lvl w:ilvl="1" w:tplc="C1266710">
      <w:start w:val="1"/>
      <w:numFmt w:val="lowerLetter"/>
      <w:lvlText w:val="%2."/>
      <w:lvlJc w:val="left"/>
      <w:pPr>
        <w:ind w:left="1440" w:hanging="360"/>
      </w:pPr>
    </w:lvl>
    <w:lvl w:ilvl="2" w:tplc="6E74DB38">
      <w:start w:val="1"/>
      <w:numFmt w:val="lowerRoman"/>
      <w:lvlText w:val="%3."/>
      <w:lvlJc w:val="right"/>
      <w:pPr>
        <w:ind w:left="2160" w:hanging="180"/>
      </w:pPr>
    </w:lvl>
    <w:lvl w:ilvl="3" w:tplc="9DB0D036">
      <w:start w:val="1"/>
      <w:numFmt w:val="decimal"/>
      <w:lvlText w:val="%4."/>
      <w:lvlJc w:val="left"/>
      <w:pPr>
        <w:ind w:left="2880" w:hanging="360"/>
      </w:pPr>
    </w:lvl>
    <w:lvl w:ilvl="4" w:tplc="4ADA22AE">
      <w:start w:val="1"/>
      <w:numFmt w:val="lowerLetter"/>
      <w:lvlText w:val="%5."/>
      <w:lvlJc w:val="left"/>
      <w:pPr>
        <w:ind w:left="3600" w:hanging="360"/>
      </w:pPr>
    </w:lvl>
    <w:lvl w:ilvl="5" w:tplc="AFDC065A">
      <w:start w:val="1"/>
      <w:numFmt w:val="lowerRoman"/>
      <w:lvlText w:val="%6."/>
      <w:lvlJc w:val="right"/>
      <w:pPr>
        <w:ind w:left="4320" w:hanging="180"/>
      </w:pPr>
    </w:lvl>
    <w:lvl w:ilvl="6" w:tplc="2BF6D42E">
      <w:start w:val="1"/>
      <w:numFmt w:val="decimal"/>
      <w:lvlText w:val="%7."/>
      <w:lvlJc w:val="left"/>
      <w:pPr>
        <w:ind w:left="5040" w:hanging="360"/>
      </w:pPr>
    </w:lvl>
    <w:lvl w:ilvl="7" w:tplc="9F946ADA">
      <w:start w:val="1"/>
      <w:numFmt w:val="lowerLetter"/>
      <w:lvlText w:val="%8."/>
      <w:lvlJc w:val="left"/>
      <w:pPr>
        <w:ind w:left="5760" w:hanging="360"/>
      </w:pPr>
    </w:lvl>
    <w:lvl w:ilvl="8" w:tplc="C18CC184">
      <w:start w:val="1"/>
      <w:numFmt w:val="lowerRoman"/>
      <w:lvlText w:val="%9."/>
      <w:lvlJc w:val="right"/>
      <w:pPr>
        <w:ind w:left="6480" w:hanging="180"/>
      </w:pPr>
    </w:lvl>
  </w:abstractNum>
  <w:abstractNum w:abstractNumId="12" w15:restartNumberingAfterBreak="0">
    <w:nsid w:val="16155739"/>
    <w:multiLevelType w:val="multilevel"/>
    <w:tmpl w:val="50D80332"/>
    <w:styleLink w:val="LetteredList"/>
    <w:lvl w:ilvl="0">
      <w:start w:val="1"/>
      <w:numFmt w:val="lowerLetter"/>
      <w:lvlText w:val="%1."/>
      <w:lvlJc w:val="left"/>
      <w:pPr>
        <w:ind w:left="284" w:hanging="284"/>
      </w:pPr>
      <w:rPr>
        <w:rFonts w:hint="default"/>
      </w:rPr>
    </w:lvl>
    <w:lvl w:ilvl="1">
      <w:start w:val="1"/>
      <w:numFmt w:val="lowerRoman"/>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124B0B"/>
    <w:multiLevelType w:val="multilevel"/>
    <w:tmpl w:val="927C342C"/>
    <w:styleLink w:val="CurrentList8"/>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B6E71"/>
    <w:multiLevelType w:val="multilevel"/>
    <w:tmpl w:val="EC589C80"/>
    <w:lvl w:ilvl="0">
      <w:start w:val="3"/>
      <w:numFmt w:val="decimal"/>
      <w:lvlText w:val="%1"/>
      <w:lvlJc w:val="left"/>
      <w:pPr>
        <w:ind w:left="360" w:hanging="360"/>
      </w:pPr>
      <w:rPr>
        <w:rFonts w:hint="default"/>
      </w:rPr>
    </w:lvl>
    <w:lvl w:ilvl="1">
      <w:start w:val="1"/>
      <w:numFmt w:val="decimal"/>
      <w:pStyle w:val="List3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925DA"/>
    <w:multiLevelType w:val="hybridMultilevel"/>
    <w:tmpl w:val="31E8DF8A"/>
    <w:lvl w:ilvl="0" w:tplc="19B0BC7E">
      <w:start w:val="1"/>
      <w:numFmt w:val="bullet"/>
      <w:pStyle w:val="ListParagraph"/>
      <w:lvlText w:val=""/>
      <w:lvlJc w:val="left"/>
      <w:pPr>
        <w:ind w:left="360" w:hanging="360"/>
      </w:pPr>
      <w:rPr>
        <w:rFonts w:ascii="Wingdings" w:hAnsi="Wingdings" w:hint="default"/>
      </w:rPr>
    </w:lvl>
    <w:lvl w:ilvl="1" w:tplc="2966B61E">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E03F66"/>
    <w:multiLevelType w:val="multilevel"/>
    <w:tmpl w:val="62E2E22A"/>
    <w:styleLink w:val="ZZTablenumbers"/>
    <w:lvl w:ilvl="0">
      <w:start w:val="1"/>
      <w:numFmt w:val="decimal"/>
      <w:pStyle w:val="Tablenumberedlist"/>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2A605E01"/>
    <w:multiLevelType w:val="hybridMultilevel"/>
    <w:tmpl w:val="2B9C4A2A"/>
    <w:lvl w:ilvl="0" w:tplc="1022567C">
      <w:start w:val="1"/>
      <w:numFmt w:val="decimal"/>
      <w:pStyle w:val="Numbered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5B6C44"/>
    <w:multiLevelType w:val="hybridMultilevel"/>
    <w:tmpl w:val="57FCF3B6"/>
    <w:lvl w:ilvl="0" w:tplc="4746C036">
      <w:start w:val="1"/>
      <w:numFmt w:val="decimal"/>
      <w:pStyle w:val="Endnotetex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245860"/>
    <w:multiLevelType w:val="multilevel"/>
    <w:tmpl w:val="070CAB22"/>
    <w:styleLink w:val="Quotes"/>
    <w:lvl w:ilvl="0">
      <w:start w:val="1"/>
      <w:numFmt w:val="bullet"/>
      <w:suff w:val="space"/>
      <w:lvlText w:val="—"/>
      <w:lvlJc w:val="left"/>
      <w:pPr>
        <w:ind w:left="0" w:firstLine="0"/>
      </w:pPr>
      <w:rPr>
        <w:rFonts w:ascii="Calibri" w:hAnsi="Calibri" w:hint="default"/>
        <w:color w:val="auto"/>
        <w:w w:val="85"/>
        <w:position w:val="2"/>
      </w:rPr>
    </w:lvl>
    <w:lvl w:ilvl="1">
      <w:start w:val="1"/>
      <w:numFmt w:val="bullet"/>
      <w:suff w:val="space"/>
      <w:lvlText w:val="—"/>
      <w:lvlJc w:val="left"/>
      <w:pPr>
        <w:ind w:left="0" w:firstLine="0"/>
      </w:pPr>
      <w:rPr>
        <w:rFonts w:ascii="Poppins Light" w:hAnsi="Poppins Light" w:hint="default"/>
        <w:color w:val="auto"/>
        <w:w w:val="90"/>
      </w:rPr>
    </w:lvl>
    <w:lvl w:ilvl="2">
      <w:start w:val="1"/>
      <w:numFmt w:val="bullet"/>
      <w:lvlText w:val="–"/>
      <w:lvlJc w:val="left"/>
      <w:pPr>
        <w:ind w:left="510" w:hanging="283"/>
      </w:pPr>
      <w:rPr>
        <w:rFonts w:ascii="Poppins Light" w:hAnsi="Poppins Light"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BC0286"/>
    <w:multiLevelType w:val="multilevel"/>
    <w:tmpl w:val="5AD04446"/>
    <w:styleLink w:val="CurrentList7"/>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C36EF1"/>
    <w:multiLevelType w:val="hybridMultilevel"/>
    <w:tmpl w:val="3A74FB70"/>
    <w:lvl w:ilvl="0" w:tplc="9D4E5F6E">
      <w:start w:val="1"/>
      <w:numFmt w:val="bullet"/>
      <w:pStyle w:val="OW-Bullet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975B5"/>
    <w:multiLevelType w:val="multilevel"/>
    <w:tmpl w:val="A7D41AA0"/>
    <w:styleLink w:val="CurrentList1"/>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61F7AD"/>
    <w:multiLevelType w:val="hybridMultilevel"/>
    <w:tmpl w:val="D7265542"/>
    <w:lvl w:ilvl="0" w:tplc="5FF4A01C">
      <w:start w:val="23"/>
      <w:numFmt w:val="bullet"/>
      <w:pStyle w:val="Tablebullet"/>
      <w:lvlText w:val="-"/>
      <w:lvlJc w:val="left"/>
      <w:pPr>
        <w:ind w:left="720" w:hanging="360"/>
      </w:pPr>
      <w:rPr>
        <w:rFonts w:ascii="Calibri" w:eastAsiaTheme="minorHAnsi" w:hAnsi="Calibri" w:cs="Calibri" w:hint="default"/>
      </w:rPr>
    </w:lvl>
    <w:lvl w:ilvl="1" w:tplc="5B16EBEC">
      <w:start w:val="1"/>
      <w:numFmt w:val="lowerLetter"/>
      <w:lvlText w:val="%2."/>
      <w:lvlJc w:val="left"/>
      <w:pPr>
        <w:ind w:left="1440" w:hanging="360"/>
      </w:pPr>
    </w:lvl>
    <w:lvl w:ilvl="2" w:tplc="476E932E">
      <w:start w:val="1"/>
      <w:numFmt w:val="lowerRoman"/>
      <w:lvlText w:val="%3."/>
      <w:lvlJc w:val="right"/>
      <w:pPr>
        <w:ind w:left="2160" w:hanging="180"/>
      </w:pPr>
    </w:lvl>
    <w:lvl w:ilvl="3" w:tplc="B4B660B8">
      <w:start w:val="1"/>
      <w:numFmt w:val="decimal"/>
      <w:lvlText w:val="%4."/>
      <w:lvlJc w:val="left"/>
      <w:pPr>
        <w:ind w:left="2880" w:hanging="360"/>
      </w:pPr>
    </w:lvl>
    <w:lvl w:ilvl="4" w:tplc="F4B66BF8">
      <w:start w:val="1"/>
      <w:numFmt w:val="lowerLetter"/>
      <w:lvlText w:val="%5."/>
      <w:lvlJc w:val="left"/>
      <w:pPr>
        <w:ind w:left="3600" w:hanging="360"/>
      </w:pPr>
    </w:lvl>
    <w:lvl w:ilvl="5" w:tplc="9222CB46">
      <w:start w:val="1"/>
      <w:numFmt w:val="lowerRoman"/>
      <w:lvlText w:val="%6."/>
      <w:lvlJc w:val="right"/>
      <w:pPr>
        <w:ind w:left="4320" w:hanging="180"/>
      </w:pPr>
    </w:lvl>
    <w:lvl w:ilvl="6" w:tplc="DB224B46">
      <w:start w:val="1"/>
      <w:numFmt w:val="decimal"/>
      <w:lvlText w:val="%7."/>
      <w:lvlJc w:val="left"/>
      <w:pPr>
        <w:ind w:left="5040" w:hanging="360"/>
      </w:pPr>
    </w:lvl>
    <w:lvl w:ilvl="7" w:tplc="426695EC">
      <w:start w:val="1"/>
      <w:numFmt w:val="lowerLetter"/>
      <w:lvlText w:val="%8."/>
      <w:lvlJc w:val="left"/>
      <w:pPr>
        <w:ind w:left="5760" w:hanging="360"/>
      </w:pPr>
    </w:lvl>
    <w:lvl w:ilvl="8" w:tplc="0A6C1682">
      <w:start w:val="1"/>
      <w:numFmt w:val="lowerRoman"/>
      <w:lvlText w:val="%9."/>
      <w:lvlJc w:val="right"/>
      <w:pPr>
        <w:ind w:left="6480" w:hanging="180"/>
      </w:pPr>
    </w:lvl>
  </w:abstractNum>
  <w:abstractNum w:abstractNumId="24" w15:restartNumberingAfterBreak="0">
    <w:nsid w:val="4B6F2510"/>
    <w:multiLevelType w:val="multilevel"/>
    <w:tmpl w:val="6D4A25AC"/>
    <w:lvl w:ilvl="0">
      <w:start w:val="4"/>
      <w:numFmt w:val="decimal"/>
      <w:lvlText w:val="%1"/>
      <w:lvlJc w:val="left"/>
      <w:pPr>
        <w:ind w:left="360" w:hanging="360"/>
      </w:pPr>
      <w:rPr>
        <w:rFonts w:hint="default"/>
      </w:rPr>
    </w:lvl>
    <w:lvl w:ilvl="1">
      <w:start w:val="1"/>
      <w:numFmt w:val="decimal"/>
      <w:pStyle w:val="List4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107905"/>
    <w:multiLevelType w:val="hybridMultilevel"/>
    <w:tmpl w:val="009005A0"/>
    <w:lvl w:ilvl="0" w:tplc="F7ECBF4C">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39D6A24"/>
    <w:multiLevelType w:val="multilevel"/>
    <w:tmpl w:val="B4DCE76A"/>
    <w:styleLink w:val="CurrentList6"/>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B73BA"/>
    <w:multiLevelType w:val="multilevel"/>
    <w:tmpl w:val="FECEAFC6"/>
    <w:lvl w:ilvl="0">
      <w:start w:val="2"/>
      <w:numFmt w:val="decimal"/>
      <w:lvlText w:val="%1"/>
      <w:lvlJc w:val="left"/>
      <w:pPr>
        <w:ind w:left="360" w:hanging="360"/>
      </w:pPr>
      <w:rPr>
        <w:rFonts w:hint="default"/>
      </w:rPr>
    </w:lvl>
    <w:lvl w:ilvl="1">
      <w:start w:val="1"/>
      <w:numFmt w:val="decimal"/>
      <w:pStyle w:val="List2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D560C"/>
    <w:multiLevelType w:val="multilevel"/>
    <w:tmpl w:val="0CDA6008"/>
    <w:styleLink w:val="CurrentList5"/>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1502C"/>
    <w:multiLevelType w:val="multilevel"/>
    <w:tmpl w:val="C38C6D14"/>
    <w:styleLink w:val="Bullets"/>
    <w:lvl w:ilvl="0">
      <w:start w:val="1"/>
      <w:numFmt w:val="bullet"/>
      <w:lvlText w:val=""/>
      <w:lvlJc w:val="left"/>
      <w:pPr>
        <w:ind w:left="340" w:hanging="340"/>
      </w:pPr>
      <w:rPr>
        <w:rFonts w:ascii="Wingdings 2" w:hAnsi="Wingdings 2" w:hint="default"/>
        <w:color w:val="auto"/>
        <w:position w:val="-2"/>
        <w:sz w:val="13"/>
      </w:rPr>
    </w:lvl>
    <w:lvl w:ilvl="1">
      <w:start w:val="1"/>
      <w:numFmt w:val="bullet"/>
      <w:lvlText w:val="–"/>
      <w:lvlJc w:val="left"/>
      <w:pPr>
        <w:ind w:left="737" w:hanging="397"/>
      </w:pPr>
      <w:rPr>
        <w:rFonts w:ascii="Calibri" w:hAnsi="Calibri" w:hint="default"/>
        <w:color w:val="auto"/>
      </w:rPr>
    </w:lvl>
    <w:lvl w:ilvl="2">
      <w:start w:val="1"/>
      <w:numFmt w:val="bullet"/>
      <w:lvlText w:val="–"/>
      <w:lvlJc w:val="left"/>
      <w:pPr>
        <w:ind w:left="1134" w:hanging="397"/>
      </w:pPr>
      <w:rPr>
        <w:rFonts w:ascii="Calibri" w:hAnsi="Calibri" w:hint="default"/>
        <w:color w:val="auto"/>
      </w:rPr>
    </w:lvl>
    <w:lvl w:ilvl="3">
      <w:start w:val="1"/>
      <w:numFmt w:val="bullet"/>
      <w:lvlText w:val=""/>
      <w:lvlJc w:val="left"/>
      <w:pPr>
        <w:ind w:left="340" w:hanging="340"/>
      </w:pPr>
      <w:rPr>
        <w:rFonts w:ascii="Wingdings 2" w:hAnsi="Wingdings 2" w:hint="default"/>
        <w:color w:val="auto"/>
        <w:position w:val="-2"/>
        <w:sz w:val="13"/>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5E37C50"/>
    <w:multiLevelType w:val="multilevel"/>
    <w:tmpl w:val="0CDA6008"/>
    <w:styleLink w:val="CurrentList4"/>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573870"/>
    <w:multiLevelType w:val="hybridMultilevel"/>
    <w:tmpl w:val="D752085E"/>
    <w:lvl w:ilvl="0" w:tplc="584A6F96">
      <w:start w:val="1"/>
      <w:numFmt w:val="bullet"/>
      <w:pStyle w:val="Bulletedlis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E255008"/>
    <w:multiLevelType w:val="hybridMultilevel"/>
    <w:tmpl w:val="21807848"/>
    <w:lvl w:ilvl="0" w:tplc="BD982B76">
      <w:start w:val="1"/>
      <w:numFmt w:val="bullet"/>
      <w:pStyle w:val="List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626E9"/>
    <w:multiLevelType w:val="multilevel"/>
    <w:tmpl w:val="5A84063E"/>
    <w:styleLink w:val="ZZBullets"/>
    <w:lvl w:ilvl="0">
      <w:start w:val="1"/>
      <w:numFmt w:val="bullet"/>
      <w:pStyle w:val="OWBullet1"/>
      <w:lvlText w:val="•"/>
      <w:lvlJc w:val="left"/>
      <w:pPr>
        <w:ind w:left="397" w:hanging="397"/>
      </w:pPr>
      <w:rPr>
        <w:rFonts w:ascii="Calibri" w:hAnsi="Calibri" w:hint="default"/>
      </w:rPr>
    </w:lvl>
    <w:lvl w:ilvl="1">
      <w:start w:val="1"/>
      <w:numFmt w:val="bullet"/>
      <w:lvlRestart w:val="0"/>
      <w:pStyle w:val="OWBullet2"/>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F117883"/>
    <w:multiLevelType w:val="hybridMultilevel"/>
    <w:tmpl w:val="B04842E2"/>
    <w:lvl w:ilvl="0" w:tplc="890E811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7826037">
    <w:abstractNumId w:val="33"/>
  </w:num>
  <w:num w:numId="2" w16cid:durableId="17121067">
    <w:abstractNumId w:val="21"/>
  </w:num>
  <w:num w:numId="3" w16cid:durableId="1941840116">
    <w:abstractNumId w:val="7"/>
  </w:num>
  <w:num w:numId="4" w16cid:durableId="25568884">
    <w:abstractNumId w:val="16"/>
  </w:num>
  <w:num w:numId="5" w16cid:durableId="810101594">
    <w:abstractNumId w:val="17"/>
  </w:num>
  <w:num w:numId="6" w16cid:durableId="579215178">
    <w:abstractNumId w:val="18"/>
  </w:num>
  <w:num w:numId="7" w16cid:durableId="2019506330">
    <w:abstractNumId w:val="15"/>
  </w:num>
  <w:num w:numId="8" w16cid:durableId="2116247664">
    <w:abstractNumId w:val="22"/>
  </w:num>
  <w:num w:numId="9" w16cid:durableId="265507656">
    <w:abstractNumId w:val="4"/>
  </w:num>
  <w:num w:numId="10" w16cid:durableId="294027090">
    <w:abstractNumId w:val="2"/>
  </w:num>
  <w:num w:numId="11" w16cid:durableId="1316302149">
    <w:abstractNumId w:val="30"/>
  </w:num>
  <w:num w:numId="12" w16cid:durableId="1289823748">
    <w:abstractNumId w:val="28"/>
  </w:num>
  <w:num w:numId="13" w16cid:durableId="838690940">
    <w:abstractNumId w:val="26"/>
  </w:num>
  <w:num w:numId="14" w16cid:durableId="386876637">
    <w:abstractNumId w:val="1"/>
  </w:num>
  <w:num w:numId="15" w16cid:durableId="1975719570">
    <w:abstractNumId w:val="0"/>
  </w:num>
  <w:num w:numId="16" w16cid:durableId="169772816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2182793">
    <w:abstractNumId w:val="20"/>
  </w:num>
  <w:num w:numId="18" w16cid:durableId="2960296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996469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784248">
    <w:abstractNumId w:val="23"/>
  </w:num>
  <w:num w:numId="21" w16cid:durableId="32343975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2788123">
    <w:abstractNumId w:val="11"/>
  </w:num>
  <w:num w:numId="23" w16cid:durableId="212887353">
    <w:abstractNumId w:val="29"/>
  </w:num>
  <w:num w:numId="24" w16cid:durableId="252445112">
    <w:abstractNumId w:val="6"/>
  </w:num>
  <w:num w:numId="25" w16cid:durableId="448009589">
    <w:abstractNumId w:val="3"/>
  </w:num>
  <w:num w:numId="26" w16cid:durableId="121655067">
    <w:abstractNumId w:val="12"/>
  </w:num>
  <w:num w:numId="27" w16cid:durableId="1112750581">
    <w:abstractNumId w:val="19"/>
  </w:num>
  <w:num w:numId="28" w16cid:durableId="1656952690">
    <w:abstractNumId w:val="31"/>
  </w:num>
  <w:num w:numId="29" w16cid:durableId="2069919365">
    <w:abstractNumId w:val="10"/>
  </w:num>
  <w:num w:numId="30" w16cid:durableId="600332335">
    <w:abstractNumId w:val="13"/>
  </w:num>
  <w:num w:numId="31" w16cid:durableId="2143453148">
    <w:abstractNumId w:val="25"/>
    <w:lvlOverride w:ilvl="0">
      <w:startOverride w:val="1"/>
    </w:lvlOverride>
  </w:num>
  <w:num w:numId="32" w16cid:durableId="1073047955">
    <w:abstractNumId w:val="25"/>
  </w:num>
  <w:num w:numId="33" w16cid:durableId="71124882">
    <w:abstractNumId w:val="34"/>
  </w:num>
  <w:num w:numId="34" w16cid:durableId="1696300822">
    <w:abstractNumId w:val="9"/>
  </w:num>
  <w:num w:numId="35" w16cid:durableId="620114954">
    <w:abstractNumId w:val="34"/>
    <w:lvlOverride w:ilvl="0">
      <w:startOverride w:val="1"/>
    </w:lvlOverride>
  </w:num>
  <w:num w:numId="36" w16cid:durableId="2102292574">
    <w:abstractNumId w:val="34"/>
    <w:lvlOverride w:ilvl="0">
      <w:startOverride w:val="1"/>
    </w:lvlOverride>
  </w:num>
  <w:num w:numId="37" w16cid:durableId="1237283318">
    <w:abstractNumId w:val="5"/>
  </w:num>
  <w:num w:numId="38" w16cid:durableId="1481000963">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9"/>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DA"/>
    <w:rsid w:val="000004C2"/>
    <w:rsid w:val="0000078E"/>
    <w:rsid w:val="000035C4"/>
    <w:rsid w:val="000052ED"/>
    <w:rsid w:val="00007CF8"/>
    <w:rsid w:val="00010EA4"/>
    <w:rsid w:val="000115FA"/>
    <w:rsid w:val="00012EFF"/>
    <w:rsid w:val="00014471"/>
    <w:rsid w:val="00015B90"/>
    <w:rsid w:val="00017B7F"/>
    <w:rsid w:val="00022A2C"/>
    <w:rsid w:val="00024092"/>
    <w:rsid w:val="000324B6"/>
    <w:rsid w:val="00033A65"/>
    <w:rsid w:val="00036D5C"/>
    <w:rsid w:val="0003756F"/>
    <w:rsid w:val="00040EE4"/>
    <w:rsid w:val="00041CE1"/>
    <w:rsid w:val="00043985"/>
    <w:rsid w:val="00051090"/>
    <w:rsid w:val="00055D06"/>
    <w:rsid w:val="00056601"/>
    <w:rsid w:val="00056B30"/>
    <w:rsid w:val="00057EE7"/>
    <w:rsid w:val="000634B0"/>
    <w:rsid w:val="0006366F"/>
    <w:rsid w:val="00065994"/>
    <w:rsid w:val="00065CAD"/>
    <w:rsid w:val="0006626E"/>
    <w:rsid w:val="0006709F"/>
    <w:rsid w:val="00067657"/>
    <w:rsid w:val="00072F41"/>
    <w:rsid w:val="000743DB"/>
    <w:rsid w:val="00074CB6"/>
    <w:rsid w:val="0007784B"/>
    <w:rsid w:val="00081DAE"/>
    <w:rsid w:val="00081EC9"/>
    <w:rsid w:val="000850F8"/>
    <w:rsid w:val="00086CFD"/>
    <w:rsid w:val="00087899"/>
    <w:rsid w:val="00092447"/>
    <w:rsid w:val="00093614"/>
    <w:rsid w:val="000967D6"/>
    <w:rsid w:val="000A091D"/>
    <w:rsid w:val="000A7195"/>
    <w:rsid w:val="000B1239"/>
    <w:rsid w:val="000B2489"/>
    <w:rsid w:val="000B3343"/>
    <w:rsid w:val="000B3C5D"/>
    <w:rsid w:val="000B4FD7"/>
    <w:rsid w:val="000B562D"/>
    <w:rsid w:val="000B639C"/>
    <w:rsid w:val="000C02F8"/>
    <w:rsid w:val="000C0711"/>
    <w:rsid w:val="000C175F"/>
    <w:rsid w:val="000C1E1F"/>
    <w:rsid w:val="000C2B6E"/>
    <w:rsid w:val="000C4C8F"/>
    <w:rsid w:val="000C4CC6"/>
    <w:rsid w:val="000C55F8"/>
    <w:rsid w:val="000C77CC"/>
    <w:rsid w:val="000D132F"/>
    <w:rsid w:val="000D4612"/>
    <w:rsid w:val="000D752B"/>
    <w:rsid w:val="000E25D4"/>
    <w:rsid w:val="000E50A6"/>
    <w:rsid w:val="000E6F6F"/>
    <w:rsid w:val="000E71F1"/>
    <w:rsid w:val="000F117A"/>
    <w:rsid w:val="000F40CA"/>
    <w:rsid w:val="000F62DE"/>
    <w:rsid w:val="000F74F3"/>
    <w:rsid w:val="001012A8"/>
    <w:rsid w:val="00102411"/>
    <w:rsid w:val="001063DA"/>
    <w:rsid w:val="001119A5"/>
    <w:rsid w:val="00112172"/>
    <w:rsid w:val="00113C69"/>
    <w:rsid w:val="00113E13"/>
    <w:rsid w:val="00117C37"/>
    <w:rsid w:val="00122069"/>
    <w:rsid w:val="001251B2"/>
    <w:rsid w:val="00125A07"/>
    <w:rsid w:val="00126E37"/>
    <w:rsid w:val="00134F72"/>
    <w:rsid w:val="0013685B"/>
    <w:rsid w:val="00137C39"/>
    <w:rsid w:val="001425F6"/>
    <w:rsid w:val="001506B6"/>
    <w:rsid w:val="00150A9B"/>
    <w:rsid w:val="001532A5"/>
    <w:rsid w:val="001551FC"/>
    <w:rsid w:val="00155528"/>
    <w:rsid w:val="00155B63"/>
    <w:rsid w:val="00163B37"/>
    <w:rsid w:val="001643A5"/>
    <w:rsid w:val="00164715"/>
    <w:rsid w:val="00164A7B"/>
    <w:rsid w:val="00165F66"/>
    <w:rsid w:val="0016736F"/>
    <w:rsid w:val="001750BD"/>
    <w:rsid w:val="0017596A"/>
    <w:rsid w:val="00180EB5"/>
    <w:rsid w:val="00183990"/>
    <w:rsid w:val="001847E6"/>
    <w:rsid w:val="00184B76"/>
    <w:rsid w:val="001873C6"/>
    <w:rsid w:val="001920A0"/>
    <w:rsid w:val="0019284F"/>
    <w:rsid w:val="0019304C"/>
    <w:rsid w:val="0019575E"/>
    <w:rsid w:val="001A1737"/>
    <w:rsid w:val="001A6F22"/>
    <w:rsid w:val="001A71AB"/>
    <w:rsid w:val="001A751D"/>
    <w:rsid w:val="001B466B"/>
    <w:rsid w:val="001C0163"/>
    <w:rsid w:val="001C07BA"/>
    <w:rsid w:val="001C173F"/>
    <w:rsid w:val="001C34AA"/>
    <w:rsid w:val="001C3783"/>
    <w:rsid w:val="001C6112"/>
    <w:rsid w:val="001C6E8E"/>
    <w:rsid w:val="001C756B"/>
    <w:rsid w:val="001D1AF2"/>
    <w:rsid w:val="001D4403"/>
    <w:rsid w:val="001D50B8"/>
    <w:rsid w:val="001D557C"/>
    <w:rsid w:val="001D715B"/>
    <w:rsid w:val="001E0158"/>
    <w:rsid w:val="001E3271"/>
    <w:rsid w:val="001E4702"/>
    <w:rsid w:val="001E4B99"/>
    <w:rsid w:val="001F1216"/>
    <w:rsid w:val="001F1EF7"/>
    <w:rsid w:val="001F2DB8"/>
    <w:rsid w:val="00200C04"/>
    <w:rsid w:val="002038BE"/>
    <w:rsid w:val="00203B02"/>
    <w:rsid w:val="00205965"/>
    <w:rsid w:val="00206458"/>
    <w:rsid w:val="0020679D"/>
    <w:rsid w:val="00206B38"/>
    <w:rsid w:val="00207379"/>
    <w:rsid w:val="00207C1E"/>
    <w:rsid w:val="0021132A"/>
    <w:rsid w:val="002122DE"/>
    <w:rsid w:val="00216EB9"/>
    <w:rsid w:val="00217586"/>
    <w:rsid w:val="00217AE4"/>
    <w:rsid w:val="00220ECD"/>
    <w:rsid w:val="00221D29"/>
    <w:rsid w:val="00225B44"/>
    <w:rsid w:val="002262AB"/>
    <w:rsid w:val="00226941"/>
    <w:rsid w:val="00230E10"/>
    <w:rsid w:val="0023129A"/>
    <w:rsid w:val="00233870"/>
    <w:rsid w:val="00234226"/>
    <w:rsid w:val="00234B01"/>
    <w:rsid w:val="002363F9"/>
    <w:rsid w:val="00236866"/>
    <w:rsid w:val="0023741E"/>
    <w:rsid w:val="00237EBA"/>
    <w:rsid w:val="0024060D"/>
    <w:rsid w:val="002415D5"/>
    <w:rsid w:val="00241C6E"/>
    <w:rsid w:val="00246C1D"/>
    <w:rsid w:val="00247955"/>
    <w:rsid w:val="00251ECF"/>
    <w:rsid w:val="00252537"/>
    <w:rsid w:val="00252713"/>
    <w:rsid w:val="00256E86"/>
    <w:rsid w:val="002631AB"/>
    <w:rsid w:val="00264A40"/>
    <w:rsid w:val="00265394"/>
    <w:rsid w:val="00266E6E"/>
    <w:rsid w:val="0026769E"/>
    <w:rsid w:val="00276466"/>
    <w:rsid w:val="00276A8B"/>
    <w:rsid w:val="00277A9B"/>
    <w:rsid w:val="00284C95"/>
    <w:rsid w:val="002959BA"/>
    <w:rsid w:val="0029608C"/>
    <w:rsid w:val="002A08B7"/>
    <w:rsid w:val="002A5568"/>
    <w:rsid w:val="002A5A13"/>
    <w:rsid w:val="002A5FEE"/>
    <w:rsid w:val="002B1132"/>
    <w:rsid w:val="002B1D6F"/>
    <w:rsid w:val="002B4A7C"/>
    <w:rsid w:val="002B62E7"/>
    <w:rsid w:val="002C0138"/>
    <w:rsid w:val="002C181C"/>
    <w:rsid w:val="002C1E57"/>
    <w:rsid w:val="002C2A47"/>
    <w:rsid w:val="002C4DF0"/>
    <w:rsid w:val="002D0998"/>
    <w:rsid w:val="002D16DA"/>
    <w:rsid w:val="002D19F5"/>
    <w:rsid w:val="002D348C"/>
    <w:rsid w:val="002D4BA9"/>
    <w:rsid w:val="002D608A"/>
    <w:rsid w:val="002D62F3"/>
    <w:rsid w:val="002D67A5"/>
    <w:rsid w:val="002E11A1"/>
    <w:rsid w:val="002E2858"/>
    <w:rsid w:val="002E2EC1"/>
    <w:rsid w:val="002E4D8F"/>
    <w:rsid w:val="002E5909"/>
    <w:rsid w:val="002E7CA6"/>
    <w:rsid w:val="002F00AF"/>
    <w:rsid w:val="002F0154"/>
    <w:rsid w:val="002F0B3C"/>
    <w:rsid w:val="002F258A"/>
    <w:rsid w:val="002F402F"/>
    <w:rsid w:val="002F7043"/>
    <w:rsid w:val="0030007B"/>
    <w:rsid w:val="00301280"/>
    <w:rsid w:val="00302048"/>
    <w:rsid w:val="0030221E"/>
    <w:rsid w:val="003023B9"/>
    <w:rsid w:val="003026D8"/>
    <w:rsid w:val="003042E3"/>
    <w:rsid w:val="00304746"/>
    <w:rsid w:val="00304F16"/>
    <w:rsid w:val="00305853"/>
    <w:rsid w:val="00306B48"/>
    <w:rsid w:val="00307215"/>
    <w:rsid w:val="00307692"/>
    <w:rsid w:val="00311069"/>
    <w:rsid w:val="00311746"/>
    <w:rsid w:val="00312F4C"/>
    <w:rsid w:val="003151C2"/>
    <w:rsid w:val="00315B45"/>
    <w:rsid w:val="00316B94"/>
    <w:rsid w:val="00320E4D"/>
    <w:rsid w:val="00321BFA"/>
    <w:rsid w:val="00331592"/>
    <w:rsid w:val="00333923"/>
    <w:rsid w:val="0033584F"/>
    <w:rsid w:val="003402BB"/>
    <w:rsid w:val="003414BF"/>
    <w:rsid w:val="0034478A"/>
    <w:rsid w:val="003510B4"/>
    <w:rsid w:val="00351F28"/>
    <w:rsid w:val="0035299A"/>
    <w:rsid w:val="00354B71"/>
    <w:rsid w:val="0035558F"/>
    <w:rsid w:val="00361DAA"/>
    <w:rsid w:val="00362A0C"/>
    <w:rsid w:val="00363205"/>
    <w:rsid w:val="003644C8"/>
    <w:rsid w:val="00365965"/>
    <w:rsid w:val="00366380"/>
    <w:rsid w:val="00371E3E"/>
    <w:rsid w:val="003727FF"/>
    <w:rsid w:val="00372AC2"/>
    <w:rsid w:val="00373520"/>
    <w:rsid w:val="003742B3"/>
    <w:rsid w:val="0037593C"/>
    <w:rsid w:val="00380584"/>
    <w:rsid w:val="00382003"/>
    <w:rsid w:val="003829CB"/>
    <w:rsid w:val="003857A6"/>
    <w:rsid w:val="003902E3"/>
    <w:rsid w:val="00391548"/>
    <w:rsid w:val="00392A3A"/>
    <w:rsid w:val="00392C7D"/>
    <w:rsid w:val="00392D20"/>
    <w:rsid w:val="0039481E"/>
    <w:rsid w:val="003952E1"/>
    <w:rsid w:val="0039564A"/>
    <w:rsid w:val="00395D34"/>
    <w:rsid w:val="00396DEE"/>
    <w:rsid w:val="003A1B4B"/>
    <w:rsid w:val="003A1D41"/>
    <w:rsid w:val="003A1E2A"/>
    <w:rsid w:val="003A4AA0"/>
    <w:rsid w:val="003A4AEE"/>
    <w:rsid w:val="003A4D80"/>
    <w:rsid w:val="003A5BFA"/>
    <w:rsid w:val="003B1ED0"/>
    <w:rsid w:val="003B2D12"/>
    <w:rsid w:val="003B30CE"/>
    <w:rsid w:val="003B61DE"/>
    <w:rsid w:val="003B7B41"/>
    <w:rsid w:val="003C191A"/>
    <w:rsid w:val="003C2FA9"/>
    <w:rsid w:val="003C6D26"/>
    <w:rsid w:val="003C6D77"/>
    <w:rsid w:val="003D0109"/>
    <w:rsid w:val="003D026A"/>
    <w:rsid w:val="003E0C00"/>
    <w:rsid w:val="003E168C"/>
    <w:rsid w:val="003E1932"/>
    <w:rsid w:val="003E4679"/>
    <w:rsid w:val="003E5527"/>
    <w:rsid w:val="003F4C3F"/>
    <w:rsid w:val="003F5FB6"/>
    <w:rsid w:val="004001BA"/>
    <w:rsid w:val="00400720"/>
    <w:rsid w:val="004014A3"/>
    <w:rsid w:val="00401BDD"/>
    <w:rsid w:val="00402961"/>
    <w:rsid w:val="00403481"/>
    <w:rsid w:val="004064D7"/>
    <w:rsid w:val="00407722"/>
    <w:rsid w:val="00410F52"/>
    <w:rsid w:val="004115E6"/>
    <w:rsid w:val="00412BAE"/>
    <w:rsid w:val="004146F6"/>
    <w:rsid w:val="00414958"/>
    <w:rsid w:val="00414ED3"/>
    <w:rsid w:val="00415BAF"/>
    <w:rsid w:val="00420937"/>
    <w:rsid w:val="004263AC"/>
    <w:rsid w:val="00426E84"/>
    <w:rsid w:val="00430544"/>
    <w:rsid w:val="004308E7"/>
    <w:rsid w:val="00430A96"/>
    <w:rsid w:val="00434E6F"/>
    <w:rsid w:val="0043633A"/>
    <w:rsid w:val="00441A5E"/>
    <w:rsid w:val="00442EE8"/>
    <w:rsid w:val="00443051"/>
    <w:rsid w:val="00443526"/>
    <w:rsid w:val="004440DC"/>
    <w:rsid w:val="0044523A"/>
    <w:rsid w:val="0044673D"/>
    <w:rsid w:val="004472AD"/>
    <w:rsid w:val="00451FD9"/>
    <w:rsid w:val="004552FD"/>
    <w:rsid w:val="00456065"/>
    <w:rsid w:val="00456E30"/>
    <w:rsid w:val="004575C6"/>
    <w:rsid w:val="00457DD9"/>
    <w:rsid w:val="004614D3"/>
    <w:rsid w:val="00462320"/>
    <w:rsid w:val="00464691"/>
    <w:rsid w:val="004770E6"/>
    <w:rsid w:val="00477F3A"/>
    <w:rsid w:val="00482414"/>
    <w:rsid w:val="00486294"/>
    <w:rsid w:val="00490472"/>
    <w:rsid w:val="00490EF4"/>
    <w:rsid w:val="004932E1"/>
    <w:rsid w:val="00493EC0"/>
    <w:rsid w:val="00495ACE"/>
    <w:rsid w:val="00495E7F"/>
    <w:rsid w:val="00496BC6"/>
    <w:rsid w:val="0049722D"/>
    <w:rsid w:val="004A24E8"/>
    <w:rsid w:val="004A516C"/>
    <w:rsid w:val="004B0CAE"/>
    <w:rsid w:val="004B46C5"/>
    <w:rsid w:val="004B4F20"/>
    <w:rsid w:val="004B599D"/>
    <w:rsid w:val="004B5F6B"/>
    <w:rsid w:val="004B787E"/>
    <w:rsid w:val="004B7BC6"/>
    <w:rsid w:val="004C19FF"/>
    <w:rsid w:val="004D1500"/>
    <w:rsid w:val="004D16B3"/>
    <w:rsid w:val="004D1D7A"/>
    <w:rsid w:val="004D2749"/>
    <w:rsid w:val="004D2F5F"/>
    <w:rsid w:val="004D314B"/>
    <w:rsid w:val="004D351A"/>
    <w:rsid w:val="004D4265"/>
    <w:rsid w:val="004D555B"/>
    <w:rsid w:val="004D6C82"/>
    <w:rsid w:val="004E20F8"/>
    <w:rsid w:val="004E38C9"/>
    <w:rsid w:val="004E3F79"/>
    <w:rsid w:val="004E450B"/>
    <w:rsid w:val="004E45DF"/>
    <w:rsid w:val="004F1875"/>
    <w:rsid w:val="004F2C6C"/>
    <w:rsid w:val="004F3A6C"/>
    <w:rsid w:val="004F48A4"/>
    <w:rsid w:val="004F5CD7"/>
    <w:rsid w:val="004F7125"/>
    <w:rsid w:val="00503F08"/>
    <w:rsid w:val="00504497"/>
    <w:rsid w:val="00513119"/>
    <w:rsid w:val="0051730B"/>
    <w:rsid w:val="00517CDD"/>
    <w:rsid w:val="00517DDD"/>
    <w:rsid w:val="00524A03"/>
    <w:rsid w:val="005258F6"/>
    <w:rsid w:val="00526583"/>
    <w:rsid w:val="00526734"/>
    <w:rsid w:val="00526C0D"/>
    <w:rsid w:val="0052775F"/>
    <w:rsid w:val="005311AE"/>
    <w:rsid w:val="00534537"/>
    <w:rsid w:val="00535AC4"/>
    <w:rsid w:val="00540D99"/>
    <w:rsid w:val="00540F32"/>
    <w:rsid w:val="00544608"/>
    <w:rsid w:val="00544FCC"/>
    <w:rsid w:val="005454C6"/>
    <w:rsid w:val="00552732"/>
    <w:rsid w:val="00552BB3"/>
    <w:rsid w:val="00552CB9"/>
    <w:rsid w:val="005556E1"/>
    <w:rsid w:val="00560DC8"/>
    <w:rsid w:val="00560E1C"/>
    <w:rsid w:val="00562192"/>
    <w:rsid w:val="00562794"/>
    <w:rsid w:val="00563C41"/>
    <w:rsid w:val="005641BE"/>
    <w:rsid w:val="005649B0"/>
    <w:rsid w:val="00564A83"/>
    <w:rsid w:val="00564DC8"/>
    <w:rsid w:val="005659F7"/>
    <w:rsid w:val="005722F1"/>
    <w:rsid w:val="005749FC"/>
    <w:rsid w:val="00576BB7"/>
    <w:rsid w:val="00576CB8"/>
    <w:rsid w:val="005829DD"/>
    <w:rsid w:val="00585DFD"/>
    <w:rsid w:val="00587077"/>
    <w:rsid w:val="00591FD7"/>
    <w:rsid w:val="0059533E"/>
    <w:rsid w:val="005A016B"/>
    <w:rsid w:val="005A2CE3"/>
    <w:rsid w:val="005A528F"/>
    <w:rsid w:val="005A6FB6"/>
    <w:rsid w:val="005A76C9"/>
    <w:rsid w:val="005B6825"/>
    <w:rsid w:val="005C3632"/>
    <w:rsid w:val="005C6344"/>
    <w:rsid w:val="005C693B"/>
    <w:rsid w:val="005C7852"/>
    <w:rsid w:val="005C795A"/>
    <w:rsid w:val="005D0FFB"/>
    <w:rsid w:val="005D61F0"/>
    <w:rsid w:val="005D7C11"/>
    <w:rsid w:val="005E0576"/>
    <w:rsid w:val="005E194F"/>
    <w:rsid w:val="005E3942"/>
    <w:rsid w:val="005E53F4"/>
    <w:rsid w:val="0060077B"/>
    <w:rsid w:val="00602295"/>
    <w:rsid w:val="0060396D"/>
    <w:rsid w:val="00604AFE"/>
    <w:rsid w:val="00607D7D"/>
    <w:rsid w:val="0061177F"/>
    <w:rsid w:val="00612400"/>
    <w:rsid w:val="00616D40"/>
    <w:rsid w:val="006203B6"/>
    <w:rsid w:val="0062337C"/>
    <w:rsid w:val="006234EA"/>
    <w:rsid w:val="00624370"/>
    <w:rsid w:val="0063686C"/>
    <w:rsid w:val="00640D6E"/>
    <w:rsid w:val="00647ADB"/>
    <w:rsid w:val="0065005B"/>
    <w:rsid w:val="00650AC4"/>
    <w:rsid w:val="00653ABE"/>
    <w:rsid w:val="00656989"/>
    <w:rsid w:val="00660986"/>
    <w:rsid w:val="00671D22"/>
    <w:rsid w:val="0067401A"/>
    <w:rsid w:val="00674BE5"/>
    <w:rsid w:val="00677D56"/>
    <w:rsid w:val="0068260B"/>
    <w:rsid w:val="00682E54"/>
    <w:rsid w:val="00683A41"/>
    <w:rsid w:val="0068419F"/>
    <w:rsid w:val="00690D1C"/>
    <w:rsid w:val="00690D2E"/>
    <w:rsid w:val="00693263"/>
    <w:rsid w:val="006932BC"/>
    <w:rsid w:val="00695C8B"/>
    <w:rsid w:val="006974FA"/>
    <w:rsid w:val="006A020E"/>
    <w:rsid w:val="006A0723"/>
    <w:rsid w:val="006A2C3B"/>
    <w:rsid w:val="006A2D75"/>
    <w:rsid w:val="006B1019"/>
    <w:rsid w:val="006B2552"/>
    <w:rsid w:val="006B4700"/>
    <w:rsid w:val="006B59F4"/>
    <w:rsid w:val="006B7462"/>
    <w:rsid w:val="006B75F1"/>
    <w:rsid w:val="006C22A0"/>
    <w:rsid w:val="006C2D9C"/>
    <w:rsid w:val="006C2E49"/>
    <w:rsid w:val="006C499E"/>
    <w:rsid w:val="006C4E23"/>
    <w:rsid w:val="006C5CE8"/>
    <w:rsid w:val="006C798E"/>
    <w:rsid w:val="006D2F5C"/>
    <w:rsid w:val="006D348A"/>
    <w:rsid w:val="006D4B01"/>
    <w:rsid w:val="006D533C"/>
    <w:rsid w:val="006D556A"/>
    <w:rsid w:val="006D618F"/>
    <w:rsid w:val="006F2BED"/>
    <w:rsid w:val="006F3A0F"/>
    <w:rsid w:val="006F3FC7"/>
    <w:rsid w:val="00700352"/>
    <w:rsid w:val="007013C1"/>
    <w:rsid w:val="00701EAD"/>
    <w:rsid w:val="0070202B"/>
    <w:rsid w:val="00703EBC"/>
    <w:rsid w:val="00705206"/>
    <w:rsid w:val="00707978"/>
    <w:rsid w:val="00710177"/>
    <w:rsid w:val="00714BF9"/>
    <w:rsid w:val="0071671D"/>
    <w:rsid w:val="007203ED"/>
    <w:rsid w:val="007218FB"/>
    <w:rsid w:val="007222D3"/>
    <w:rsid w:val="00722E53"/>
    <w:rsid w:val="00727283"/>
    <w:rsid w:val="00732B1E"/>
    <w:rsid w:val="00733CC8"/>
    <w:rsid w:val="00735345"/>
    <w:rsid w:val="00737292"/>
    <w:rsid w:val="00737A04"/>
    <w:rsid w:val="00743865"/>
    <w:rsid w:val="00746C06"/>
    <w:rsid w:val="00750CBF"/>
    <w:rsid w:val="00752DB0"/>
    <w:rsid w:val="00753716"/>
    <w:rsid w:val="007554E3"/>
    <w:rsid w:val="0076050C"/>
    <w:rsid w:val="0076087D"/>
    <w:rsid w:val="00761A11"/>
    <w:rsid w:val="00761F06"/>
    <w:rsid w:val="00761F71"/>
    <w:rsid w:val="00764384"/>
    <w:rsid w:val="00764C96"/>
    <w:rsid w:val="007661FD"/>
    <w:rsid w:val="007676EA"/>
    <w:rsid w:val="00767A5D"/>
    <w:rsid w:val="007703A4"/>
    <w:rsid w:val="0077401E"/>
    <w:rsid w:val="00775A4F"/>
    <w:rsid w:val="00776ECA"/>
    <w:rsid w:val="00777F32"/>
    <w:rsid w:val="007815CA"/>
    <w:rsid w:val="007823CA"/>
    <w:rsid w:val="00783E39"/>
    <w:rsid w:val="00790953"/>
    <w:rsid w:val="00792830"/>
    <w:rsid w:val="00794AC3"/>
    <w:rsid w:val="007A0FA5"/>
    <w:rsid w:val="007A2B01"/>
    <w:rsid w:val="007A798F"/>
    <w:rsid w:val="007A7C30"/>
    <w:rsid w:val="007B02E9"/>
    <w:rsid w:val="007B5CF6"/>
    <w:rsid w:val="007B73FD"/>
    <w:rsid w:val="007B79ED"/>
    <w:rsid w:val="007B7E3E"/>
    <w:rsid w:val="007C04EE"/>
    <w:rsid w:val="007C3C91"/>
    <w:rsid w:val="007C4D9E"/>
    <w:rsid w:val="007C5E32"/>
    <w:rsid w:val="007C673B"/>
    <w:rsid w:val="007C75F1"/>
    <w:rsid w:val="007D29F5"/>
    <w:rsid w:val="007D2D0D"/>
    <w:rsid w:val="007D52AB"/>
    <w:rsid w:val="007D54AA"/>
    <w:rsid w:val="007D7B4A"/>
    <w:rsid w:val="007D7BD0"/>
    <w:rsid w:val="007E0218"/>
    <w:rsid w:val="007E0D12"/>
    <w:rsid w:val="007E2C0A"/>
    <w:rsid w:val="007E5B3E"/>
    <w:rsid w:val="007E75C1"/>
    <w:rsid w:val="007F1B02"/>
    <w:rsid w:val="007F402D"/>
    <w:rsid w:val="007F73BD"/>
    <w:rsid w:val="007F7429"/>
    <w:rsid w:val="00811A03"/>
    <w:rsid w:val="00812C3E"/>
    <w:rsid w:val="00812D08"/>
    <w:rsid w:val="0081662E"/>
    <w:rsid w:val="00816A26"/>
    <w:rsid w:val="00821865"/>
    <w:rsid w:val="008221C8"/>
    <w:rsid w:val="0082312D"/>
    <w:rsid w:val="0082685B"/>
    <w:rsid w:val="008308B4"/>
    <w:rsid w:val="00830B38"/>
    <w:rsid w:val="00830F09"/>
    <w:rsid w:val="008317EF"/>
    <w:rsid w:val="00833BF7"/>
    <w:rsid w:val="00834279"/>
    <w:rsid w:val="00835FBE"/>
    <w:rsid w:val="00836389"/>
    <w:rsid w:val="00837058"/>
    <w:rsid w:val="0083724E"/>
    <w:rsid w:val="00842306"/>
    <w:rsid w:val="0084323E"/>
    <w:rsid w:val="00844F03"/>
    <w:rsid w:val="00846434"/>
    <w:rsid w:val="008522A3"/>
    <w:rsid w:val="00853B27"/>
    <w:rsid w:val="00860C1D"/>
    <w:rsid w:val="00861663"/>
    <w:rsid w:val="0086199E"/>
    <w:rsid w:val="008641B7"/>
    <w:rsid w:val="0086499C"/>
    <w:rsid w:val="00864B56"/>
    <w:rsid w:val="00866AA1"/>
    <w:rsid w:val="00867695"/>
    <w:rsid w:val="00872210"/>
    <w:rsid w:val="00872A08"/>
    <w:rsid w:val="008736DA"/>
    <w:rsid w:val="0087393F"/>
    <w:rsid w:val="00877FF1"/>
    <w:rsid w:val="008807DC"/>
    <w:rsid w:val="00885618"/>
    <w:rsid w:val="008871FE"/>
    <w:rsid w:val="008877F3"/>
    <w:rsid w:val="00887CE1"/>
    <w:rsid w:val="00890E0E"/>
    <w:rsid w:val="00890E4A"/>
    <w:rsid w:val="008935E1"/>
    <w:rsid w:val="00893CB4"/>
    <w:rsid w:val="008A0ECD"/>
    <w:rsid w:val="008A1661"/>
    <w:rsid w:val="008A2386"/>
    <w:rsid w:val="008A25A4"/>
    <w:rsid w:val="008A304C"/>
    <w:rsid w:val="008A3BFF"/>
    <w:rsid w:val="008A5411"/>
    <w:rsid w:val="008A66D4"/>
    <w:rsid w:val="008A6D9A"/>
    <w:rsid w:val="008A7FAF"/>
    <w:rsid w:val="008B1E6B"/>
    <w:rsid w:val="008B2EAC"/>
    <w:rsid w:val="008B31F5"/>
    <w:rsid w:val="008B6920"/>
    <w:rsid w:val="008C00BD"/>
    <w:rsid w:val="008C0E98"/>
    <w:rsid w:val="008C2819"/>
    <w:rsid w:val="008C46B4"/>
    <w:rsid w:val="008C4AAB"/>
    <w:rsid w:val="008C6A78"/>
    <w:rsid w:val="008D187F"/>
    <w:rsid w:val="008D6E96"/>
    <w:rsid w:val="008E3BE8"/>
    <w:rsid w:val="008E4336"/>
    <w:rsid w:val="008E5962"/>
    <w:rsid w:val="008E622E"/>
    <w:rsid w:val="008E6929"/>
    <w:rsid w:val="008E6CFD"/>
    <w:rsid w:val="008E709E"/>
    <w:rsid w:val="008F09F1"/>
    <w:rsid w:val="008F13AD"/>
    <w:rsid w:val="008F15FE"/>
    <w:rsid w:val="008F228F"/>
    <w:rsid w:val="008F23C4"/>
    <w:rsid w:val="008F372E"/>
    <w:rsid w:val="008F3EBC"/>
    <w:rsid w:val="008F40F9"/>
    <w:rsid w:val="008F47B0"/>
    <w:rsid w:val="008F4C5E"/>
    <w:rsid w:val="008F6215"/>
    <w:rsid w:val="008F74A8"/>
    <w:rsid w:val="00902C4C"/>
    <w:rsid w:val="00903787"/>
    <w:rsid w:val="0090641B"/>
    <w:rsid w:val="009070CF"/>
    <w:rsid w:val="00910652"/>
    <w:rsid w:val="00910938"/>
    <w:rsid w:val="00910A60"/>
    <w:rsid w:val="0091216C"/>
    <w:rsid w:val="00914B0C"/>
    <w:rsid w:val="00917EF6"/>
    <w:rsid w:val="009210D5"/>
    <w:rsid w:val="009213C3"/>
    <w:rsid w:val="009217F1"/>
    <w:rsid w:val="00921ACF"/>
    <w:rsid w:val="009233B6"/>
    <w:rsid w:val="00930F66"/>
    <w:rsid w:val="00931158"/>
    <w:rsid w:val="009336BB"/>
    <w:rsid w:val="009345AC"/>
    <w:rsid w:val="00934B0A"/>
    <w:rsid w:val="0093658C"/>
    <w:rsid w:val="00936E81"/>
    <w:rsid w:val="0094312F"/>
    <w:rsid w:val="00943CD5"/>
    <w:rsid w:val="00944271"/>
    <w:rsid w:val="00946C91"/>
    <w:rsid w:val="009473B6"/>
    <w:rsid w:val="00963082"/>
    <w:rsid w:val="0097073E"/>
    <w:rsid w:val="009721F9"/>
    <w:rsid w:val="00973E30"/>
    <w:rsid w:val="0097423C"/>
    <w:rsid w:val="00974498"/>
    <w:rsid w:val="0097481B"/>
    <w:rsid w:val="0097496B"/>
    <w:rsid w:val="00974F3F"/>
    <w:rsid w:val="009754B0"/>
    <w:rsid w:val="00981268"/>
    <w:rsid w:val="009861E1"/>
    <w:rsid w:val="0098651A"/>
    <w:rsid w:val="00986CB6"/>
    <w:rsid w:val="0098700E"/>
    <w:rsid w:val="009917A2"/>
    <w:rsid w:val="00992CD6"/>
    <w:rsid w:val="0099349A"/>
    <w:rsid w:val="009A131E"/>
    <w:rsid w:val="009A1FA2"/>
    <w:rsid w:val="009A36DD"/>
    <w:rsid w:val="009A4748"/>
    <w:rsid w:val="009B2122"/>
    <w:rsid w:val="009B33C9"/>
    <w:rsid w:val="009B39A0"/>
    <w:rsid w:val="009B3EA4"/>
    <w:rsid w:val="009B4164"/>
    <w:rsid w:val="009B676A"/>
    <w:rsid w:val="009C221D"/>
    <w:rsid w:val="009C5E43"/>
    <w:rsid w:val="009D149B"/>
    <w:rsid w:val="009D35FB"/>
    <w:rsid w:val="009D4311"/>
    <w:rsid w:val="009D7180"/>
    <w:rsid w:val="009E008A"/>
    <w:rsid w:val="009E185F"/>
    <w:rsid w:val="009E2496"/>
    <w:rsid w:val="009E2ABD"/>
    <w:rsid w:val="009E3ABA"/>
    <w:rsid w:val="009F0688"/>
    <w:rsid w:val="009F0CB6"/>
    <w:rsid w:val="009F275B"/>
    <w:rsid w:val="009F2C61"/>
    <w:rsid w:val="009F2CF7"/>
    <w:rsid w:val="009F3BB0"/>
    <w:rsid w:val="009F4391"/>
    <w:rsid w:val="009F4F3B"/>
    <w:rsid w:val="009F69CA"/>
    <w:rsid w:val="00A01BFD"/>
    <w:rsid w:val="00A0438A"/>
    <w:rsid w:val="00A043EA"/>
    <w:rsid w:val="00A04DFE"/>
    <w:rsid w:val="00A05A97"/>
    <w:rsid w:val="00A06BA7"/>
    <w:rsid w:val="00A10680"/>
    <w:rsid w:val="00A1286C"/>
    <w:rsid w:val="00A13CD4"/>
    <w:rsid w:val="00A16C01"/>
    <w:rsid w:val="00A16FD1"/>
    <w:rsid w:val="00A20143"/>
    <w:rsid w:val="00A20CB9"/>
    <w:rsid w:val="00A22EF7"/>
    <w:rsid w:val="00A30433"/>
    <w:rsid w:val="00A31CCF"/>
    <w:rsid w:val="00A32F46"/>
    <w:rsid w:val="00A34932"/>
    <w:rsid w:val="00A35F71"/>
    <w:rsid w:val="00A41190"/>
    <w:rsid w:val="00A42AB0"/>
    <w:rsid w:val="00A43604"/>
    <w:rsid w:val="00A43FE3"/>
    <w:rsid w:val="00A45A1C"/>
    <w:rsid w:val="00A53210"/>
    <w:rsid w:val="00A53641"/>
    <w:rsid w:val="00A54841"/>
    <w:rsid w:val="00A554FB"/>
    <w:rsid w:val="00A56765"/>
    <w:rsid w:val="00A569F3"/>
    <w:rsid w:val="00A5725A"/>
    <w:rsid w:val="00A633E4"/>
    <w:rsid w:val="00A6340B"/>
    <w:rsid w:val="00A64407"/>
    <w:rsid w:val="00A64BC3"/>
    <w:rsid w:val="00A64DA4"/>
    <w:rsid w:val="00A65B35"/>
    <w:rsid w:val="00A65D4D"/>
    <w:rsid w:val="00A67E87"/>
    <w:rsid w:val="00A701EF"/>
    <w:rsid w:val="00A704E1"/>
    <w:rsid w:val="00A71905"/>
    <w:rsid w:val="00A729A4"/>
    <w:rsid w:val="00A7338F"/>
    <w:rsid w:val="00A754B5"/>
    <w:rsid w:val="00A75C3B"/>
    <w:rsid w:val="00A83C96"/>
    <w:rsid w:val="00A91763"/>
    <w:rsid w:val="00A91867"/>
    <w:rsid w:val="00A91E79"/>
    <w:rsid w:val="00A923C8"/>
    <w:rsid w:val="00A954FE"/>
    <w:rsid w:val="00A97A3E"/>
    <w:rsid w:val="00AA034D"/>
    <w:rsid w:val="00AA06D6"/>
    <w:rsid w:val="00AA10EB"/>
    <w:rsid w:val="00AA2DBC"/>
    <w:rsid w:val="00AA399B"/>
    <w:rsid w:val="00AA3AD2"/>
    <w:rsid w:val="00AA4AC1"/>
    <w:rsid w:val="00AA5BDB"/>
    <w:rsid w:val="00AA64D9"/>
    <w:rsid w:val="00AA7EDC"/>
    <w:rsid w:val="00AB1757"/>
    <w:rsid w:val="00AB20E1"/>
    <w:rsid w:val="00AB2486"/>
    <w:rsid w:val="00AB76ED"/>
    <w:rsid w:val="00AC39A5"/>
    <w:rsid w:val="00AC41CD"/>
    <w:rsid w:val="00AC5A55"/>
    <w:rsid w:val="00AC6E0D"/>
    <w:rsid w:val="00AC7121"/>
    <w:rsid w:val="00AD3CA7"/>
    <w:rsid w:val="00AD5FE3"/>
    <w:rsid w:val="00AD6C52"/>
    <w:rsid w:val="00AE09A5"/>
    <w:rsid w:val="00AE4145"/>
    <w:rsid w:val="00AE57F6"/>
    <w:rsid w:val="00AE6819"/>
    <w:rsid w:val="00AF05B2"/>
    <w:rsid w:val="00AF10E9"/>
    <w:rsid w:val="00AF2EA2"/>
    <w:rsid w:val="00AF49D5"/>
    <w:rsid w:val="00AF6E53"/>
    <w:rsid w:val="00B03623"/>
    <w:rsid w:val="00B03638"/>
    <w:rsid w:val="00B0750C"/>
    <w:rsid w:val="00B07581"/>
    <w:rsid w:val="00B10636"/>
    <w:rsid w:val="00B11046"/>
    <w:rsid w:val="00B125CA"/>
    <w:rsid w:val="00B20075"/>
    <w:rsid w:val="00B20EA7"/>
    <w:rsid w:val="00B21424"/>
    <w:rsid w:val="00B25115"/>
    <w:rsid w:val="00B275DC"/>
    <w:rsid w:val="00B324A1"/>
    <w:rsid w:val="00B331EC"/>
    <w:rsid w:val="00B33FE6"/>
    <w:rsid w:val="00B34719"/>
    <w:rsid w:val="00B34EF5"/>
    <w:rsid w:val="00B35345"/>
    <w:rsid w:val="00B36DF9"/>
    <w:rsid w:val="00B379E2"/>
    <w:rsid w:val="00B37D13"/>
    <w:rsid w:val="00B401EC"/>
    <w:rsid w:val="00B4087C"/>
    <w:rsid w:val="00B4245D"/>
    <w:rsid w:val="00B428FE"/>
    <w:rsid w:val="00B436B1"/>
    <w:rsid w:val="00B4546C"/>
    <w:rsid w:val="00B46740"/>
    <w:rsid w:val="00B53955"/>
    <w:rsid w:val="00B5494F"/>
    <w:rsid w:val="00B54CEF"/>
    <w:rsid w:val="00B5519D"/>
    <w:rsid w:val="00B551B8"/>
    <w:rsid w:val="00B5524E"/>
    <w:rsid w:val="00B5557D"/>
    <w:rsid w:val="00B555EF"/>
    <w:rsid w:val="00B60E69"/>
    <w:rsid w:val="00B630FA"/>
    <w:rsid w:val="00B65AE4"/>
    <w:rsid w:val="00B67A1E"/>
    <w:rsid w:val="00B70306"/>
    <w:rsid w:val="00B70F6F"/>
    <w:rsid w:val="00B73DF8"/>
    <w:rsid w:val="00B74467"/>
    <w:rsid w:val="00B7458F"/>
    <w:rsid w:val="00B758EF"/>
    <w:rsid w:val="00B75F5B"/>
    <w:rsid w:val="00B81A27"/>
    <w:rsid w:val="00B83AFB"/>
    <w:rsid w:val="00B8506A"/>
    <w:rsid w:val="00B85CA7"/>
    <w:rsid w:val="00B87381"/>
    <w:rsid w:val="00B93390"/>
    <w:rsid w:val="00B9438C"/>
    <w:rsid w:val="00B95EF9"/>
    <w:rsid w:val="00B97F6B"/>
    <w:rsid w:val="00BA2FDF"/>
    <w:rsid w:val="00BA316E"/>
    <w:rsid w:val="00BA3591"/>
    <w:rsid w:val="00BA3733"/>
    <w:rsid w:val="00BA6E39"/>
    <w:rsid w:val="00BB05B4"/>
    <w:rsid w:val="00BB2F96"/>
    <w:rsid w:val="00BB33B5"/>
    <w:rsid w:val="00BB3739"/>
    <w:rsid w:val="00BB5367"/>
    <w:rsid w:val="00BD01E9"/>
    <w:rsid w:val="00BD2A39"/>
    <w:rsid w:val="00BD3403"/>
    <w:rsid w:val="00BD3548"/>
    <w:rsid w:val="00BD5B17"/>
    <w:rsid w:val="00BD63C4"/>
    <w:rsid w:val="00BE2135"/>
    <w:rsid w:val="00BE2564"/>
    <w:rsid w:val="00BE3953"/>
    <w:rsid w:val="00BF0052"/>
    <w:rsid w:val="00BF2A47"/>
    <w:rsid w:val="00BF5398"/>
    <w:rsid w:val="00C01D27"/>
    <w:rsid w:val="00C03418"/>
    <w:rsid w:val="00C13C7D"/>
    <w:rsid w:val="00C14734"/>
    <w:rsid w:val="00C16C0B"/>
    <w:rsid w:val="00C17899"/>
    <w:rsid w:val="00C22A8C"/>
    <w:rsid w:val="00C240BE"/>
    <w:rsid w:val="00C31148"/>
    <w:rsid w:val="00C3212A"/>
    <w:rsid w:val="00C369DB"/>
    <w:rsid w:val="00C37F11"/>
    <w:rsid w:val="00C43195"/>
    <w:rsid w:val="00C47B87"/>
    <w:rsid w:val="00C53771"/>
    <w:rsid w:val="00C54658"/>
    <w:rsid w:val="00C56EC1"/>
    <w:rsid w:val="00C60933"/>
    <w:rsid w:val="00C648C5"/>
    <w:rsid w:val="00C652AD"/>
    <w:rsid w:val="00C670DB"/>
    <w:rsid w:val="00C6763C"/>
    <w:rsid w:val="00C71123"/>
    <w:rsid w:val="00C722F6"/>
    <w:rsid w:val="00C733EC"/>
    <w:rsid w:val="00C73DF7"/>
    <w:rsid w:val="00C75135"/>
    <w:rsid w:val="00C7769B"/>
    <w:rsid w:val="00C81770"/>
    <w:rsid w:val="00C8287F"/>
    <w:rsid w:val="00C925B2"/>
    <w:rsid w:val="00C931C1"/>
    <w:rsid w:val="00C9455A"/>
    <w:rsid w:val="00C94B6F"/>
    <w:rsid w:val="00C952C3"/>
    <w:rsid w:val="00C96078"/>
    <w:rsid w:val="00C97A06"/>
    <w:rsid w:val="00CA0893"/>
    <w:rsid w:val="00CA38DB"/>
    <w:rsid w:val="00CA50F9"/>
    <w:rsid w:val="00CA5671"/>
    <w:rsid w:val="00CA6A88"/>
    <w:rsid w:val="00CA792A"/>
    <w:rsid w:val="00CB152A"/>
    <w:rsid w:val="00CB348C"/>
    <w:rsid w:val="00CB4E58"/>
    <w:rsid w:val="00CB6334"/>
    <w:rsid w:val="00CB7214"/>
    <w:rsid w:val="00CC1EF5"/>
    <w:rsid w:val="00CC2557"/>
    <w:rsid w:val="00CC54CF"/>
    <w:rsid w:val="00CC6878"/>
    <w:rsid w:val="00CC6AD3"/>
    <w:rsid w:val="00CD2E5C"/>
    <w:rsid w:val="00CD4A8D"/>
    <w:rsid w:val="00CD5B78"/>
    <w:rsid w:val="00CE0B1E"/>
    <w:rsid w:val="00CE0B75"/>
    <w:rsid w:val="00CE31EE"/>
    <w:rsid w:val="00CE7522"/>
    <w:rsid w:val="00CF5862"/>
    <w:rsid w:val="00CF5952"/>
    <w:rsid w:val="00CF64A5"/>
    <w:rsid w:val="00CF7357"/>
    <w:rsid w:val="00CF7F3F"/>
    <w:rsid w:val="00D001FD"/>
    <w:rsid w:val="00D0222C"/>
    <w:rsid w:val="00D054B5"/>
    <w:rsid w:val="00D05817"/>
    <w:rsid w:val="00D078C7"/>
    <w:rsid w:val="00D10685"/>
    <w:rsid w:val="00D15407"/>
    <w:rsid w:val="00D16087"/>
    <w:rsid w:val="00D173E0"/>
    <w:rsid w:val="00D21DF3"/>
    <w:rsid w:val="00D233D9"/>
    <w:rsid w:val="00D26CC5"/>
    <w:rsid w:val="00D26D35"/>
    <w:rsid w:val="00D26DAB"/>
    <w:rsid w:val="00D32261"/>
    <w:rsid w:val="00D32445"/>
    <w:rsid w:val="00D344A3"/>
    <w:rsid w:val="00D36C0B"/>
    <w:rsid w:val="00D402BD"/>
    <w:rsid w:val="00D40990"/>
    <w:rsid w:val="00D41725"/>
    <w:rsid w:val="00D4184C"/>
    <w:rsid w:val="00D45B9D"/>
    <w:rsid w:val="00D462EB"/>
    <w:rsid w:val="00D475D6"/>
    <w:rsid w:val="00D4774C"/>
    <w:rsid w:val="00D47DF9"/>
    <w:rsid w:val="00D57100"/>
    <w:rsid w:val="00D57695"/>
    <w:rsid w:val="00D60A10"/>
    <w:rsid w:val="00D62300"/>
    <w:rsid w:val="00D631EF"/>
    <w:rsid w:val="00D6455E"/>
    <w:rsid w:val="00D65822"/>
    <w:rsid w:val="00D660E0"/>
    <w:rsid w:val="00D6682F"/>
    <w:rsid w:val="00D67785"/>
    <w:rsid w:val="00D7015A"/>
    <w:rsid w:val="00D752FF"/>
    <w:rsid w:val="00D77A9E"/>
    <w:rsid w:val="00D8028B"/>
    <w:rsid w:val="00D83A94"/>
    <w:rsid w:val="00D858C3"/>
    <w:rsid w:val="00D85A9B"/>
    <w:rsid w:val="00D86066"/>
    <w:rsid w:val="00D8617F"/>
    <w:rsid w:val="00D91EA0"/>
    <w:rsid w:val="00D92F80"/>
    <w:rsid w:val="00D93BF7"/>
    <w:rsid w:val="00D93D0A"/>
    <w:rsid w:val="00D95654"/>
    <w:rsid w:val="00DA11D1"/>
    <w:rsid w:val="00DA2356"/>
    <w:rsid w:val="00DA29B7"/>
    <w:rsid w:val="00DA409A"/>
    <w:rsid w:val="00DA5637"/>
    <w:rsid w:val="00DA6AB6"/>
    <w:rsid w:val="00DA7912"/>
    <w:rsid w:val="00DB226F"/>
    <w:rsid w:val="00DB2447"/>
    <w:rsid w:val="00DB4448"/>
    <w:rsid w:val="00DB5433"/>
    <w:rsid w:val="00DC0CA5"/>
    <w:rsid w:val="00DC4ED2"/>
    <w:rsid w:val="00DC57F9"/>
    <w:rsid w:val="00DD05BB"/>
    <w:rsid w:val="00DD75B4"/>
    <w:rsid w:val="00DE3613"/>
    <w:rsid w:val="00DE58BC"/>
    <w:rsid w:val="00DF036D"/>
    <w:rsid w:val="00DF14E9"/>
    <w:rsid w:val="00DF215A"/>
    <w:rsid w:val="00DF291E"/>
    <w:rsid w:val="00DF30C1"/>
    <w:rsid w:val="00DF47FB"/>
    <w:rsid w:val="00DF6044"/>
    <w:rsid w:val="00E0304E"/>
    <w:rsid w:val="00E055E0"/>
    <w:rsid w:val="00E069FA"/>
    <w:rsid w:val="00E11BF1"/>
    <w:rsid w:val="00E14211"/>
    <w:rsid w:val="00E17A04"/>
    <w:rsid w:val="00E20F6B"/>
    <w:rsid w:val="00E2498D"/>
    <w:rsid w:val="00E268BF"/>
    <w:rsid w:val="00E2734B"/>
    <w:rsid w:val="00E27432"/>
    <w:rsid w:val="00E309BD"/>
    <w:rsid w:val="00E33F0D"/>
    <w:rsid w:val="00E35888"/>
    <w:rsid w:val="00E37348"/>
    <w:rsid w:val="00E436AC"/>
    <w:rsid w:val="00E457C0"/>
    <w:rsid w:val="00E46AC2"/>
    <w:rsid w:val="00E477FB"/>
    <w:rsid w:val="00E52E41"/>
    <w:rsid w:val="00E53433"/>
    <w:rsid w:val="00E53DA2"/>
    <w:rsid w:val="00E5449D"/>
    <w:rsid w:val="00E5660E"/>
    <w:rsid w:val="00E56D27"/>
    <w:rsid w:val="00E604A4"/>
    <w:rsid w:val="00E6215A"/>
    <w:rsid w:val="00E62674"/>
    <w:rsid w:val="00E630B8"/>
    <w:rsid w:val="00E6559E"/>
    <w:rsid w:val="00E66D3B"/>
    <w:rsid w:val="00E70D6A"/>
    <w:rsid w:val="00E71973"/>
    <w:rsid w:val="00E71B1D"/>
    <w:rsid w:val="00E73B51"/>
    <w:rsid w:val="00E7572B"/>
    <w:rsid w:val="00E77BA4"/>
    <w:rsid w:val="00E83C60"/>
    <w:rsid w:val="00E87232"/>
    <w:rsid w:val="00E87D77"/>
    <w:rsid w:val="00E93788"/>
    <w:rsid w:val="00E960A7"/>
    <w:rsid w:val="00E96B17"/>
    <w:rsid w:val="00E97871"/>
    <w:rsid w:val="00EA00FF"/>
    <w:rsid w:val="00EA2075"/>
    <w:rsid w:val="00EA35D7"/>
    <w:rsid w:val="00EA4239"/>
    <w:rsid w:val="00EA5161"/>
    <w:rsid w:val="00EA54BB"/>
    <w:rsid w:val="00EB0A98"/>
    <w:rsid w:val="00EB16ED"/>
    <w:rsid w:val="00EB1911"/>
    <w:rsid w:val="00EB3AAC"/>
    <w:rsid w:val="00EB5862"/>
    <w:rsid w:val="00EB6D21"/>
    <w:rsid w:val="00EB7468"/>
    <w:rsid w:val="00EC0155"/>
    <w:rsid w:val="00EC10F4"/>
    <w:rsid w:val="00EC59CA"/>
    <w:rsid w:val="00EC634D"/>
    <w:rsid w:val="00EC7026"/>
    <w:rsid w:val="00ED0EFF"/>
    <w:rsid w:val="00ED1351"/>
    <w:rsid w:val="00ED140B"/>
    <w:rsid w:val="00ED1A20"/>
    <w:rsid w:val="00ED4B2C"/>
    <w:rsid w:val="00ED6C4B"/>
    <w:rsid w:val="00EE133C"/>
    <w:rsid w:val="00EE1501"/>
    <w:rsid w:val="00EE379F"/>
    <w:rsid w:val="00EF326E"/>
    <w:rsid w:val="00EFA198"/>
    <w:rsid w:val="00F02C3B"/>
    <w:rsid w:val="00F03D1E"/>
    <w:rsid w:val="00F05CD9"/>
    <w:rsid w:val="00F06E04"/>
    <w:rsid w:val="00F07A48"/>
    <w:rsid w:val="00F1014C"/>
    <w:rsid w:val="00F10DFF"/>
    <w:rsid w:val="00F119C6"/>
    <w:rsid w:val="00F142D4"/>
    <w:rsid w:val="00F17BFC"/>
    <w:rsid w:val="00F2153E"/>
    <w:rsid w:val="00F21CC9"/>
    <w:rsid w:val="00F24AC4"/>
    <w:rsid w:val="00F3110B"/>
    <w:rsid w:val="00F31AEA"/>
    <w:rsid w:val="00F31B68"/>
    <w:rsid w:val="00F330F9"/>
    <w:rsid w:val="00F3493F"/>
    <w:rsid w:val="00F349AE"/>
    <w:rsid w:val="00F35BDF"/>
    <w:rsid w:val="00F378DF"/>
    <w:rsid w:val="00F405A5"/>
    <w:rsid w:val="00F40838"/>
    <w:rsid w:val="00F4149F"/>
    <w:rsid w:val="00F41D1F"/>
    <w:rsid w:val="00F42856"/>
    <w:rsid w:val="00F476AE"/>
    <w:rsid w:val="00F47A54"/>
    <w:rsid w:val="00F5364C"/>
    <w:rsid w:val="00F567E8"/>
    <w:rsid w:val="00F5735A"/>
    <w:rsid w:val="00F60324"/>
    <w:rsid w:val="00F63FDA"/>
    <w:rsid w:val="00F64A92"/>
    <w:rsid w:val="00F7160F"/>
    <w:rsid w:val="00F7266D"/>
    <w:rsid w:val="00F727A0"/>
    <w:rsid w:val="00F7386E"/>
    <w:rsid w:val="00F81549"/>
    <w:rsid w:val="00F849DF"/>
    <w:rsid w:val="00F9060B"/>
    <w:rsid w:val="00F91BD7"/>
    <w:rsid w:val="00F939D2"/>
    <w:rsid w:val="00F96693"/>
    <w:rsid w:val="00F979E6"/>
    <w:rsid w:val="00F97E90"/>
    <w:rsid w:val="00FA4254"/>
    <w:rsid w:val="00FA5EED"/>
    <w:rsid w:val="00FB1700"/>
    <w:rsid w:val="00FB35F2"/>
    <w:rsid w:val="00FB3753"/>
    <w:rsid w:val="00FB3C9F"/>
    <w:rsid w:val="00FB494D"/>
    <w:rsid w:val="00FB721E"/>
    <w:rsid w:val="00FC1A7D"/>
    <w:rsid w:val="00FC4159"/>
    <w:rsid w:val="00FD2CB4"/>
    <w:rsid w:val="00FD30F9"/>
    <w:rsid w:val="00FD402C"/>
    <w:rsid w:val="00FD45BF"/>
    <w:rsid w:val="00FD7DA9"/>
    <w:rsid w:val="00FE16E4"/>
    <w:rsid w:val="00FE1936"/>
    <w:rsid w:val="00FF045C"/>
    <w:rsid w:val="00FF0B3D"/>
    <w:rsid w:val="010A7194"/>
    <w:rsid w:val="0153596A"/>
    <w:rsid w:val="01E3FBE3"/>
    <w:rsid w:val="01E70C47"/>
    <w:rsid w:val="01EB0AA4"/>
    <w:rsid w:val="023876BA"/>
    <w:rsid w:val="024F44BC"/>
    <w:rsid w:val="02A8DAFE"/>
    <w:rsid w:val="03A1E753"/>
    <w:rsid w:val="03CD1F72"/>
    <w:rsid w:val="03CD4222"/>
    <w:rsid w:val="04CD88AF"/>
    <w:rsid w:val="04EE840B"/>
    <w:rsid w:val="04F8A344"/>
    <w:rsid w:val="05198454"/>
    <w:rsid w:val="0554AA6F"/>
    <w:rsid w:val="055F1D73"/>
    <w:rsid w:val="0642CFCD"/>
    <w:rsid w:val="069222C5"/>
    <w:rsid w:val="0704E2E4"/>
    <w:rsid w:val="070C35C6"/>
    <w:rsid w:val="07895080"/>
    <w:rsid w:val="07A71135"/>
    <w:rsid w:val="07B9751A"/>
    <w:rsid w:val="07D477AA"/>
    <w:rsid w:val="081DE7F1"/>
    <w:rsid w:val="09249F3D"/>
    <w:rsid w:val="0AE69E84"/>
    <w:rsid w:val="0B0182B1"/>
    <w:rsid w:val="0B308241"/>
    <w:rsid w:val="0B64BADD"/>
    <w:rsid w:val="0B739430"/>
    <w:rsid w:val="0C11F026"/>
    <w:rsid w:val="0C3A0811"/>
    <w:rsid w:val="0DB3E35B"/>
    <w:rsid w:val="0DC10D96"/>
    <w:rsid w:val="0DC4F9B2"/>
    <w:rsid w:val="0E030979"/>
    <w:rsid w:val="0E46BE34"/>
    <w:rsid w:val="0E4E3C61"/>
    <w:rsid w:val="0EF3E9AE"/>
    <w:rsid w:val="0F5A7155"/>
    <w:rsid w:val="0FB236D0"/>
    <w:rsid w:val="0FF621CC"/>
    <w:rsid w:val="100EE3FA"/>
    <w:rsid w:val="10604122"/>
    <w:rsid w:val="11DE33CF"/>
    <w:rsid w:val="125592AB"/>
    <w:rsid w:val="128E3FCB"/>
    <w:rsid w:val="1352C180"/>
    <w:rsid w:val="135391A3"/>
    <w:rsid w:val="135A60FD"/>
    <w:rsid w:val="135C9544"/>
    <w:rsid w:val="1388E8A0"/>
    <w:rsid w:val="13B0EDB5"/>
    <w:rsid w:val="1447F522"/>
    <w:rsid w:val="14647150"/>
    <w:rsid w:val="1475BB27"/>
    <w:rsid w:val="14B37977"/>
    <w:rsid w:val="14CC2B3E"/>
    <w:rsid w:val="14FB8155"/>
    <w:rsid w:val="15615E06"/>
    <w:rsid w:val="15FCBE54"/>
    <w:rsid w:val="1675B1E0"/>
    <w:rsid w:val="16CFB370"/>
    <w:rsid w:val="1722015E"/>
    <w:rsid w:val="175FB662"/>
    <w:rsid w:val="1771EFF6"/>
    <w:rsid w:val="19225B23"/>
    <w:rsid w:val="19233AA3"/>
    <w:rsid w:val="19F32016"/>
    <w:rsid w:val="1A2D358E"/>
    <w:rsid w:val="1B049C70"/>
    <w:rsid w:val="1B40DAF9"/>
    <w:rsid w:val="1B72F439"/>
    <w:rsid w:val="1BE18FBD"/>
    <w:rsid w:val="1BF8B02A"/>
    <w:rsid w:val="1C19DBF8"/>
    <w:rsid w:val="1C344CB2"/>
    <w:rsid w:val="1C4E59DB"/>
    <w:rsid w:val="1C6F993F"/>
    <w:rsid w:val="1CEF4978"/>
    <w:rsid w:val="1CF18C27"/>
    <w:rsid w:val="1D3876DF"/>
    <w:rsid w:val="1DAD339B"/>
    <w:rsid w:val="1DF2BEEB"/>
    <w:rsid w:val="1E1B22A7"/>
    <w:rsid w:val="1E458786"/>
    <w:rsid w:val="1E84DBC8"/>
    <w:rsid w:val="209AE6EA"/>
    <w:rsid w:val="20B788FE"/>
    <w:rsid w:val="20D05AA3"/>
    <w:rsid w:val="21150CFB"/>
    <w:rsid w:val="2156D8C9"/>
    <w:rsid w:val="22DDD207"/>
    <w:rsid w:val="22ED61C8"/>
    <w:rsid w:val="23110CD7"/>
    <w:rsid w:val="23BAC421"/>
    <w:rsid w:val="240DE071"/>
    <w:rsid w:val="24BF00D7"/>
    <w:rsid w:val="24BFC5B1"/>
    <w:rsid w:val="24DFA6DB"/>
    <w:rsid w:val="25877FE1"/>
    <w:rsid w:val="2646836F"/>
    <w:rsid w:val="26A71371"/>
    <w:rsid w:val="27393D0B"/>
    <w:rsid w:val="27E4EED2"/>
    <w:rsid w:val="280BC50E"/>
    <w:rsid w:val="28D910E7"/>
    <w:rsid w:val="28E065D2"/>
    <w:rsid w:val="296E7BA5"/>
    <w:rsid w:val="29D82BF8"/>
    <w:rsid w:val="29D82F35"/>
    <w:rsid w:val="2ACA9836"/>
    <w:rsid w:val="2ACDC6D3"/>
    <w:rsid w:val="2AE02115"/>
    <w:rsid w:val="2BDA8345"/>
    <w:rsid w:val="2C36DF9B"/>
    <w:rsid w:val="2C80CC64"/>
    <w:rsid w:val="2D8077BC"/>
    <w:rsid w:val="2ED79D46"/>
    <w:rsid w:val="2EE0FAF8"/>
    <w:rsid w:val="2EE24EC0"/>
    <w:rsid w:val="2F35475A"/>
    <w:rsid w:val="2F6AA4DB"/>
    <w:rsid w:val="2FBACCD5"/>
    <w:rsid w:val="30069144"/>
    <w:rsid w:val="304CDADE"/>
    <w:rsid w:val="3084ADD3"/>
    <w:rsid w:val="308F79A0"/>
    <w:rsid w:val="30A98E4E"/>
    <w:rsid w:val="3178002E"/>
    <w:rsid w:val="31795E64"/>
    <w:rsid w:val="31BD30E7"/>
    <w:rsid w:val="32372734"/>
    <w:rsid w:val="32C314CE"/>
    <w:rsid w:val="32EF4EBC"/>
    <w:rsid w:val="3302000D"/>
    <w:rsid w:val="33075E48"/>
    <w:rsid w:val="336AEAFC"/>
    <w:rsid w:val="33B90704"/>
    <w:rsid w:val="341DF521"/>
    <w:rsid w:val="34CFA6A3"/>
    <w:rsid w:val="350F8911"/>
    <w:rsid w:val="3518D487"/>
    <w:rsid w:val="358F5F4B"/>
    <w:rsid w:val="35EA9900"/>
    <w:rsid w:val="361D7CAA"/>
    <w:rsid w:val="36D50513"/>
    <w:rsid w:val="3752C760"/>
    <w:rsid w:val="380BA273"/>
    <w:rsid w:val="38609F5D"/>
    <w:rsid w:val="38AFD274"/>
    <w:rsid w:val="38D0D0BA"/>
    <w:rsid w:val="38D82553"/>
    <w:rsid w:val="392E17D4"/>
    <w:rsid w:val="39420751"/>
    <w:rsid w:val="39491711"/>
    <w:rsid w:val="3A581E7A"/>
    <w:rsid w:val="3B049CF8"/>
    <w:rsid w:val="3B11CDF6"/>
    <w:rsid w:val="3BCC1C4A"/>
    <w:rsid w:val="3C20A257"/>
    <w:rsid w:val="3C284CD9"/>
    <w:rsid w:val="3CE43454"/>
    <w:rsid w:val="3D079C03"/>
    <w:rsid w:val="3E271EE3"/>
    <w:rsid w:val="3EA376E7"/>
    <w:rsid w:val="3EE0DB5D"/>
    <w:rsid w:val="3F0ED496"/>
    <w:rsid w:val="3F571EE4"/>
    <w:rsid w:val="3F634A6E"/>
    <w:rsid w:val="3F9DEFFD"/>
    <w:rsid w:val="4021A725"/>
    <w:rsid w:val="4030AA7D"/>
    <w:rsid w:val="4076DA5D"/>
    <w:rsid w:val="40BBA70E"/>
    <w:rsid w:val="40C31705"/>
    <w:rsid w:val="419921E4"/>
    <w:rsid w:val="4209E940"/>
    <w:rsid w:val="4304170E"/>
    <w:rsid w:val="43049259"/>
    <w:rsid w:val="4325D2C4"/>
    <w:rsid w:val="435360A8"/>
    <w:rsid w:val="438B74D8"/>
    <w:rsid w:val="43D60415"/>
    <w:rsid w:val="43E245B9"/>
    <w:rsid w:val="43E46D5D"/>
    <w:rsid w:val="44024ABB"/>
    <w:rsid w:val="44E9C378"/>
    <w:rsid w:val="44FA286A"/>
    <w:rsid w:val="45E156BB"/>
    <w:rsid w:val="462C27DB"/>
    <w:rsid w:val="465320E5"/>
    <w:rsid w:val="471BA8C9"/>
    <w:rsid w:val="47888C80"/>
    <w:rsid w:val="47919D20"/>
    <w:rsid w:val="481DD474"/>
    <w:rsid w:val="486CE558"/>
    <w:rsid w:val="48833114"/>
    <w:rsid w:val="48B6E52D"/>
    <w:rsid w:val="490F1CC1"/>
    <w:rsid w:val="4998385B"/>
    <w:rsid w:val="49CB30D7"/>
    <w:rsid w:val="49CD1621"/>
    <w:rsid w:val="49D1472F"/>
    <w:rsid w:val="4A114778"/>
    <w:rsid w:val="4AC9A6B9"/>
    <w:rsid w:val="4B82992A"/>
    <w:rsid w:val="4B897A22"/>
    <w:rsid w:val="4C1C1145"/>
    <w:rsid w:val="4CD6C54B"/>
    <w:rsid w:val="4CF31894"/>
    <w:rsid w:val="4D203019"/>
    <w:rsid w:val="4DAF22CF"/>
    <w:rsid w:val="4E1CF324"/>
    <w:rsid w:val="4ED1B205"/>
    <w:rsid w:val="4F29A1EA"/>
    <w:rsid w:val="4F4925FE"/>
    <w:rsid w:val="4F531A13"/>
    <w:rsid w:val="4F56F82C"/>
    <w:rsid w:val="4F989B81"/>
    <w:rsid w:val="4F9D0C04"/>
    <w:rsid w:val="4FCBEF62"/>
    <w:rsid w:val="50217154"/>
    <w:rsid w:val="504B4166"/>
    <w:rsid w:val="50923E99"/>
    <w:rsid w:val="50C8B647"/>
    <w:rsid w:val="51585948"/>
    <w:rsid w:val="51BDF19F"/>
    <w:rsid w:val="521E2C66"/>
    <w:rsid w:val="52C7D149"/>
    <w:rsid w:val="52FE9244"/>
    <w:rsid w:val="53C15285"/>
    <w:rsid w:val="53E6DE59"/>
    <w:rsid w:val="550D5789"/>
    <w:rsid w:val="55102893"/>
    <w:rsid w:val="559D8131"/>
    <w:rsid w:val="5637DF1A"/>
    <w:rsid w:val="5719AB2A"/>
    <w:rsid w:val="57C6C12C"/>
    <w:rsid w:val="57EE8540"/>
    <w:rsid w:val="57FDC452"/>
    <w:rsid w:val="581D7171"/>
    <w:rsid w:val="5835783D"/>
    <w:rsid w:val="585BDC57"/>
    <w:rsid w:val="586AB951"/>
    <w:rsid w:val="588696EB"/>
    <w:rsid w:val="5892733D"/>
    <w:rsid w:val="592067F5"/>
    <w:rsid w:val="5948BBFB"/>
    <w:rsid w:val="5992BBD0"/>
    <w:rsid w:val="5A0AD75F"/>
    <w:rsid w:val="5A1978C5"/>
    <w:rsid w:val="5AA7B80D"/>
    <w:rsid w:val="5B4214ED"/>
    <w:rsid w:val="5B9C0FD4"/>
    <w:rsid w:val="5BD21F4D"/>
    <w:rsid w:val="5BD7254D"/>
    <w:rsid w:val="5C079EC6"/>
    <w:rsid w:val="5C2ED0AF"/>
    <w:rsid w:val="5C3213C2"/>
    <w:rsid w:val="5C434A91"/>
    <w:rsid w:val="5C864C7A"/>
    <w:rsid w:val="5D5A73CC"/>
    <w:rsid w:val="5D8F6780"/>
    <w:rsid w:val="5DA9AC5F"/>
    <w:rsid w:val="5E11EDDD"/>
    <w:rsid w:val="5E400B68"/>
    <w:rsid w:val="5F035B93"/>
    <w:rsid w:val="5F4E03F2"/>
    <w:rsid w:val="5F899DCC"/>
    <w:rsid w:val="5FAB129C"/>
    <w:rsid w:val="5FB9ABBE"/>
    <w:rsid w:val="6034CF1F"/>
    <w:rsid w:val="60378B41"/>
    <w:rsid w:val="604FD32C"/>
    <w:rsid w:val="60725C1A"/>
    <w:rsid w:val="60DE69FD"/>
    <w:rsid w:val="60FF890B"/>
    <w:rsid w:val="6147D58C"/>
    <w:rsid w:val="615531AF"/>
    <w:rsid w:val="616CDA06"/>
    <w:rsid w:val="61C8C4B9"/>
    <w:rsid w:val="61E91265"/>
    <w:rsid w:val="6203F846"/>
    <w:rsid w:val="6258EA7C"/>
    <w:rsid w:val="62910193"/>
    <w:rsid w:val="62BA05AD"/>
    <w:rsid w:val="62E52324"/>
    <w:rsid w:val="631ACC1D"/>
    <w:rsid w:val="640C8907"/>
    <w:rsid w:val="6413D6F5"/>
    <w:rsid w:val="6431F1B4"/>
    <w:rsid w:val="64BC1F03"/>
    <w:rsid w:val="64CC9AF5"/>
    <w:rsid w:val="65B9DCA7"/>
    <w:rsid w:val="65BF29EE"/>
    <w:rsid w:val="66E8ECFD"/>
    <w:rsid w:val="67FDF729"/>
    <w:rsid w:val="68596934"/>
    <w:rsid w:val="6885BBB7"/>
    <w:rsid w:val="688B46E3"/>
    <w:rsid w:val="68BF5167"/>
    <w:rsid w:val="690048E1"/>
    <w:rsid w:val="6942F9AC"/>
    <w:rsid w:val="6979214C"/>
    <w:rsid w:val="697EE6FE"/>
    <w:rsid w:val="69C5DF00"/>
    <w:rsid w:val="6A2F72A0"/>
    <w:rsid w:val="6A6A63AD"/>
    <w:rsid w:val="6A9A43B3"/>
    <w:rsid w:val="6B4E0D9F"/>
    <w:rsid w:val="6B974F50"/>
    <w:rsid w:val="6BD4990B"/>
    <w:rsid w:val="6BF4D796"/>
    <w:rsid w:val="6C28FC56"/>
    <w:rsid w:val="6E192D87"/>
    <w:rsid w:val="6E642AD3"/>
    <w:rsid w:val="6E8E412B"/>
    <w:rsid w:val="6EDC1D05"/>
    <w:rsid w:val="6F31F49B"/>
    <w:rsid w:val="6F710652"/>
    <w:rsid w:val="6F822610"/>
    <w:rsid w:val="6F9242B2"/>
    <w:rsid w:val="7056BABC"/>
    <w:rsid w:val="71C8F7AE"/>
    <w:rsid w:val="7227666D"/>
    <w:rsid w:val="725573E0"/>
    <w:rsid w:val="726A4124"/>
    <w:rsid w:val="728844DE"/>
    <w:rsid w:val="72AF7F84"/>
    <w:rsid w:val="7302FF73"/>
    <w:rsid w:val="736A9A93"/>
    <w:rsid w:val="7407B910"/>
    <w:rsid w:val="7544EACB"/>
    <w:rsid w:val="7589633D"/>
    <w:rsid w:val="7597ADAB"/>
    <w:rsid w:val="75A45B08"/>
    <w:rsid w:val="766766CC"/>
    <w:rsid w:val="76C7228C"/>
    <w:rsid w:val="76D7FE3E"/>
    <w:rsid w:val="772F4F8E"/>
    <w:rsid w:val="77733281"/>
    <w:rsid w:val="77773DFB"/>
    <w:rsid w:val="7782751A"/>
    <w:rsid w:val="778AACDB"/>
    <w:rsid w:val="77DBE6FE"/>
    <w:rsid w:val="782A4B86"/>
    <w:rsid w:val="78BB9562"/>
    <w:rsid w:val="78C60345"/>
    <w:rsid w:val="7A2F16A6"/>
    <w:rsid w:val="7A35E910"/>
    <w:rsid w:val="7A3F9D68"/>
    <w:rsid w:val="7A93AA82"/>
    <w:rsid w:val="7BCE920D"/>
    <w:rsid w:val="7BDFC2FE"/>
    <w:rsid w:val="7C843211"/>
    <w:rsid w:val="7CA01F1A"/>
    <w:rsid w:val="7CBBC1FF"/>
    <w:rsid w:val="7D27A27E"/>
    <w:rsid w:val="7D461512"/>
    <w:rsid w:val="7DC55282"/>
    <w:rsid w:val="7DDF4D6D"/>
    <w:rsid w:val="7DE78597"/>
    <w:rsid w:val="7E0665A5"/>
    <w:rsid w:val="7E19574B"/>
    <w:rsid w:val="7E3610E3"/>
    <w:rsid w:val="7E5662BA"/>
    <w:rsid w:val="7E8CD830"/>
    <w:rsid w:val="7F130E8B"/>
    <w:rsid w:val="7F7DECE8"/>
    <w:rsid w:val="7F8B4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F68D"/>
  <w15:chartTrackingRefBased/>
  <w15:docId w15:val="{8370DC90-B4A8-42FE-8E1C-80EA4EE5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B6"/>
    <w:pPr>
      <w:spacing w:after="200" w:line="238" w:lineRule="auto"/>
    </w:pPr>
    <w:rPr>
      <w:rFonts w:cs="Arial (Body CS)"/>
      <w:color w:val="002554"/>
      <w:spacing w:val="-2"/>
      <w:kern w:val="0"/>
      <w:sz w:val="23"/>
      <w:lang w:val="en-GB"/>
      <w14:ligatures w14:val="none"/>
    </w:rPr>
  </w:style>
  <w:style w:type="paragraph" w:styleId="Heading1">
    <w:name w:val="heading 1"/>
    <w:basedOn w:val="Normal"/>
    <w:next w:val="Normal"/>
    <w:link w:val="Heading1Char"/>
    <w:uiPriority w:val="9"/>
    <w:qFormat/>
    <w:rsid w:val="003F5FB6"/>
    <w:pPr>
      <w:keepNext/>
      <w:keepLines/>
      <w:spacing w:before="480" w:after="240" w:line="216" w:lineRule="auto"/>
      <w:outlineLvl w:val="0"/>
    </w:pPr>
    <w:rPr>
      <w:rFonts w:ascii="Roboto Black" w:eastAsiaTheme="majorEastAsia" w:hAnsi="Roboto Black" w:cstheme="majorBidi"/>
      <w:b/>
      <w:color w:val="022146"/>
      <w:sz w:val="60"/>
      <w:szCs w:val="48"/>
    </w:rPr>
  </w:style>
  <w:style w:type="paragraph" w:styleId="Heading2">
    <w:name w:val="heading 2"/>
    <w:basedOn w:val="Normal"/>
    <w:next w:val="Normal"/>
    <w:link w:val="Heading2Char"/>
    <w:uiPriority w:val="9"/>
    <w:unhideWhenUsed/>
    <w:qFormat/>
    <w:rsid w:val="00936E81"/>
    <w:pPr>
      <w:keepNext/>
      <w:keepLines/>
      <w:spacing w:before="240" w:line="216" w:lineRule="auto"/>
      <w:outlineLvl w:val="1"/>
    </w:pPr>
    <w:rPr>
      <w:rFonts w:eastAsiaTheme="majorEastAsia" w:cs="Times New Roman (Headings CS)"/>
      <w:b/>
      <w:bCs/>
      <w:color w:val="022146"/>
      <w:sz w:val="42"/>
      <w:szCs w:val="38"/>
    </w:rPr>
  </w:style>
  <w:style w:type="paragraph" w:styleId="Heading3">
    <w:name w:val="heading 3"/>
    <w:next w:val="Normal"/>
    <w:link w:val="Heading3Char"/>
    <w:uiPriority w:val="9"/>
    <w:unhideWhenUsed/>
    <w:qFormat/>
    <w:rsid w:val="00E268BF"/>
    <w:pPr>
      <w:spacing w:before="240" w:after="240"/>
      <w:outlineLvl w:val="2"/>
    </w:pPr>
    <w:rPr>
      <w:rFonts w:eastAsiaTheme="majorEastAsia" w:cstheme="majorBidi"/>
      <w:b/>
      <w:bCs/>
      <w:color w:val="022146"/>
      <w:spacing w:val="-5"/>
      <w:kern w:val="0"/>
      <w:sz w:val="28"/>
      <w:szCs w:val="32"/>
      <w:lang w:val="en-GB"/>
      <w14:ligatures w14:val="none"/>
    </w:rPr>
  </w:style>
  <w:style w:type="paragraph" w:styleId="Heading4">
    <w:name w:val="heading 4"/>
    <w:next w:val="Normal"/>
    <w:link w:val="Heading4Char"/>
    <w:uiPriority w:val="9"/>
    <w:unhideWhenUsed/>
    <w:qFormat/>
    <w:rsid w:val="00753716"/>
    <w:pPr>
      <w:spacing w:before="200" w:after="40"/>
      <w:outlineLvl w:val="3"/>
    </w:pPr>
    <w:rPr>
      <w:rFonts w:eastAsiaTheme="majorEastAsia" w:cstheme="majorBidi"/>
      <w:b/>
      <w:bCs/>
      <w:color w:val="022146"/>
      <w:spacing w:val="-5"/>
      <w:kern w:val="0"/>
      <w:szCs w:val="28"/>
      <w:lang w:val="en-AU"/>
      <w14:ligatures w14:val="none"/>
    </w:rPr>
  </w:style>
  <w:style w:type="paragraph" w:styleId="Heading5">
    <w:name w:val="heading 5"/>
    <w:basedOn w:val="Normal"/>
    <w:next w:val="Normal"/>
    <w:link w:val="Heading5Char"/>
    <w:uiPriority w:val="9"/>
    <w:unhideWhenUsed/>
    <w:rsid w:val="00216EB9"/>
    <w:pPr>
      <w:keepNext/>
      <w:keepLines/>
      <w:spacing w:before="40" w:line="240" w:lineRule="auto"/>
      <w:outlineLvl w:val="4"/>
    </w:pPr>
    <w:rPr>
      <w:rFonts w:asciiTheme="majorHAnsi" w:eastAsiaTheme="majorEastAsia" w:hAnsiTheme="majorHAnsi" w:cstheme="majorBidi"/>
      <w:color w:val="000000" w:themeColor="text1"/>
      <w:spacing w:val="0"/>
      <w:szCs w:val="24"/>
      <w:lang w:val="en-AU"/>
    </w:rPr>
  </w:style>
  <w:style w:type="paragraph" w:styleId="Heading6">
    <w:name w:val="heading 6"/>
    <w:basedOn w:val="Normal"/>
    <w:next w:val="Normal"/>
    <w:link w:val="Heading6Char"/>
    <w:uiPriority w:val="9"/>
    <w:semiHidden/>
    <w:unhideWhenUsed/>
    <w:rsid w:val="004D1500"/>
    <w:pPr>
      <w:keepNext/>
      <w:keepLines/>
      <w:spacing w:before="40" w:after="0" w:line="240" w:lineRule="auto"/>
      <w:outlineLvl w:val="5"/>
    </w:pPr>
    <w:rPr>
      <w:rFonts w:eastAsiaTheme="majorEastAsia" w:cstheme="majorBidi"/>
      <w:spacing w:val="-5"/>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21CC9"/>
  </w:style>
  <w:style w:type="paragraph" w:customStyle="1" w:styleId="paragraph">
    <w:name w:val="paragraph"/>
    <w:basedOn w:val="Normal"/>
    <w:rsid w:val="00F21CC9"/>
    <w:pPr>
      <w:spacing w:before="100" w:beforeAutospacing="1" w:after="100" w:afterAutospacing="1"/>
    </w:pPr>
    <w:rPr>
      <w:rFonts w:ascii="Times New Roman" w:eastAsia="Times New Roman" w:hAnsi="Times New Roman" w:cs="Times New Roman"/>
      <w:lang w:eastAsia="en-AU"/>
    </w:rPr>
  </w:style>
  <w:style w:type="paragraph" w:customStyle="1" w:styleId="Tablecolumnheadleft">
    <w:name w:val="Table column head left"/>
    <w:basedOn w:val="Normal"/>
    <w:uiPriority w:val="99"/>
    <w:qFormat/>
    <w:rsid w:val="00F21CC9"/>
    <w:pPr>
      <w:keepNext/>
      <w:suppressAutoHyphens/>
      <w:autoSpaceDE w:val="0"/>
      <w:autoSpaceDN w:val="0"/>
      <w:adjustRightInd w:val="0"/>
      <w:spacing w:before="80" w:after="100" w:line="290" w:lineRule="atLeast"/>
      <w:textAlignment w:val="center"/>
    </w:pPr>
    <w:rPr>
      <w:rFonts w:cs="Calibri-Bold"/>
      <w:b/>
      <w:bCs/>
      <w:color w:val="FFFFFF"/>
      <w:lang w:eastAsia="en-AU"/>
    </w:rPr>
  </w:style>
  <w:style w:type="table" w:customStyle="1" w:styleId="Tableumberheaderrow">
    <w:name w:val="Table umber header row"/>
    <w:basedOn w:val="TableNormal"/>
    <w:uiPriority w:val="99"/>
    <w:rsid w:val="00A31CCF"/>
    <w:pPr>
      <w:spacing w:after="0" w:line="240" w:lineRule="auto"/>
    </w:pPr>
    <w:rPr>
      <w:rFonts w:eastAsiaTheme="minorEastAsia"/>
      <w:color w:val="002454"/>
      <w:kern w:val="0"/>
      <w:sz w:val="22"/>
      <w:lang w:val="en-AU" w:eastAsia="en-AU"/>
      <w14:ligatures w14:val="none"/>
    </w:rPr>
    <w:tblPr>
      <w:tblBorders>
        <w:top w:val="single" w:sz="2" w:space="0" w:color="ABD7CA"/>
        <w:left w:val="single" w:sz="2" w:space="0" w:color="ABD7CA"/>
        <w:bottom w:val="single" w:sz="2" w:space="0" w:color="ABD7CA"/>
        <w:right w:val="single" w:sz="2" w:space="0" w:color="ABD7CA"/>
        <w:insideH w:val="single" w:sz="2" w:space="0" w:color="ABD7CA"/>
        <w:insideV w:val="single" w:sz="2" w:space="0" w:color="ABD7CA"/>
      </w:tblBorders>
      <w:tblCellMar>
        <w:top w:w="57" w:type="dxa"/>
        <w:left w:w="113" w:type="dxa"/>
        <w:bottom w:w="57" w:type="dxa"/>
        <w:right w:w="113" w:type="dxa"/>
      </w:tblCellMar>
    </w:tblPr>
    <w:tcPr>
      <w:shd w:val="clear" w:color="auto" w:fill="auto"/>
    </w:tcPr>
    <w:tblStylePr w:type="firstRow">
      <w:rPr>
        <w:color w:val="FFFFFF" w:themeColor="background1"/>
      </w:rPr>
      <w:tblPr/>
      <w:tcPr>
        <w:shd w:val="clear" w:color="auto" w:fill="ABD7CA"/>
      </w:tcPr>
    </w:tblStylePr>
  </w:style>
  <w:style w:type="paragraph" w:styleId="Header">
    <w:name w:val="header"/>
    <w:basedOn w:val="Normal"/>
    <w:link w:val="HeaderChar"/>
    <w:uiPriority w:val="99"/>
    <w:unhideWhenUsed/>
    <w:qFormat/>
    <w:rsid w:val="004D4265"/>
    <w:pPr>
      <w:pBdr>
        <w:bottom w:val="single" w:sz="4" w:space="1" w:color="auto"/>
      </w:pBdr>
      <w:tabs>
        <w:tab w:val="center" w:pos="4513"/>
        <w:tab w:val="right" w:pos="9026"/>
      </w:tabs>
      <w:spacing w:after="0"/>
    </w:pPr>
    <w:rPr>
      <w:color w:val="44546A" w:themeColor="text2"/>
    </w:rPr>
  </w:style>
  <w:style w:type="character" w:customStyle="1" w:styleId="HeaderChar">
    <w:name w:val="Header Char"/>
    <w:basedOn w:val="DefaultParagraphFont"/>
    <w:link w:val="Header"/>
    <w:uiPriority w:val="99"/>
    <w:rsid w:val="004D4265"/>
    <w:rPr>
      <w:rFonts w:eastAsiaTheme="minorEastAsia"/>
      <w:color w:val="44546A" w:themeColor="text2"/>
      <w:kern w:val="0"/>
      <w:szCs w:val="24"/>
      <w:lang w:val="en-AU"/>
      <w14:ligatures w14:val="none"/>
    </w:rPr>
  </w:style>
  <w:style w:type="paragraph" w:styleId="Footer">
    <w:name w:val="footer"/>
    <w:basedOn w:val="Normal"/>
    <w:link w:val="FooterChar"/>
    <w:uiPriority w:val="99"/>
    <w:unhideWhenUsed/>
    <w:qFormat/>
    <w:rsid w:val="00221D29"/>
    <w:pPr>
      <w:tabs>
        <w:tab w:val="center" w:pos="4513"/>
        <w:tab w:val="right" w:pos="9026"/>
      </w:tabs>
      <w:spacing w:after="0"/>
    </w:pPr>
  </w:style>
  <w:style w:type="character" w:customStyle="1" w:styleId="FooterChar">
    <w:name w:val="Footer Char"/>
    <w:basedOn w:val="DefaultParagraphFont"/>
    <w:link w:val="Footer"/>
    <w:uiPriority w:val="99"/>
    <w:rsid w:val="00221D29"/>
    <w:rPr>
      <w:rFonts w:asciiTheme="minorHAnsi" w:eastAsiaTheme="minorEastAsia" w:hAnsiTheme="minorHAnsi"/>
      <w:color w:val="000000" w:themeColor="text1"/>
      <w:kern w:val="0"/>
      <w:szCs w:val="24"/>
      <w:lang w:val="en-AU"/>
      <w14:ligatures w14:val="none"/>
    </w:rPr>
  </w:style>
  <w:style w:type="paragraph" w:styleId="ListParagraph">
    <w:name w:val="List Paragraph"/>
    <w:aliases w:val="Level 1 list,Recommendation,List Paragraph1,List Paragraph11,Bullet point,NAST Quote,L,CV text,F5 List Paragraph,Dot pt,List Paragraph111,Medium Grid 1 - Accent 21,Numbered Paragraph,List Paragraph2,NFP GP Bulleted List,FooterText,Number"/>
    <w:basedOn w:val="Normal"/>
    <w:link w:val="ListParagraphChar"/>
    <w:uiPriority w:val="34"/>
    <w:qFormat/>
    <w:rsid w:val="003E5527"/>
    <w:pPr>
      <w:numPr>
        <w:numId w:val="7"/>
      </w:numPr>
      <w:spacing w:after="80"/>
    </w:pPr>
    <w:rPr>
      <w:lang w:val="en-AU"/>
    </w:rPr>
  </w:style>
  <w:style w:type="character" w:styleId="PageNumber">
    <w:name w:val="page number"/>
    <w:basedOn w:val="DefaultParagraphFont"/>
    <w:uiPriority w:val="99"/>
    <w:semiHidden/>
    <w:unhideWhenUsed/>
    <w:rsid w:val="00B4245D"/>
  </w:style>
  <w:style w:type="paragraph" w:styleId="Title">
    <w:name w:val="Title"/>
    <w:aliases w:val="OW Quote"/>
    <w:basedOn w:val="Normal"/>
    <w:next w:val="Normal"/>
    <w:link w:val="TitleChar"/>
    <w:uiPriority w:val="10"/>
    <w:qFormat/>
    <w:rsid w:val="00AF49D5"/>
    <w:pPr>
      <w:adjustRightInd w:val="0"/>
      <w:snapToGrid w:val="0"/>
      <w:spacing w:after="0" w:line="1100" w:lineRule="exact"/>
    </w:pPr>
    <w:rPr>
      <w:b/>
      <w:bCs/>
      <w:color w:val="002454"/>
      <w:spacing w:val="-20"/>
      <w:sz w:val="120"/>
      <w:szCs w:val="120"/>
      <w:lang w:val="en-AU"/>
    </w:rPr>
  </w:style>
  <w:style w:type="character" w:customStyle="1" w:styleId="TitleChar">
    <w:name w:val="Title Char"/>
    <w:aliases w:val="OW Quote Char"/>
    <w:basedOn w:val="DefaultParagraphFont"/>
    <w:link w:val="Title"/>
    <w:uiPriority w:val="10"/>
    <w:rsid w:val="00AF49D5"/>
    <w:rPr>
      <w:rFonts w:cs="Arial (Body CS)"/>
      <w:b/>
      <w:bCs/>
      <w:color w:val="002454"/>
      <w:spacing w:val="-20"/>
      <w:kern w:val="0"/>
      <w:sz w:val="120"/>
      <w:szCs w:val="120"/>
      <w:lang w:val="en-AU"/>
      <w14:ligatures w14:val="none"/>
    </w:rPr>
  </w:style>
  <w:style w:type="character" w:customStyle="1" w:styleId="Heading1Char">
    <w:name w:val="Heading 1 Char"/>
    <w:basedOn w:val="DefaultParagraphFont"/>
    <w:link w:val="Heading1"/>
    <w:uiPriority w:val="9"/>
    <w:rsid w:val="003F5FB6"/>
    <w:rPr>
      <w:rFonts w:ascii="Roboto Black" w:eastAsiaTheme="majorEastAsia" w:hAnsi="Roboto Black" w:cstheme="majorBidi"/>
      <w:b/>
      <w:color w:val="022146"/>
      <w:spacing w:val="-2"/>
      <w:kern w:val="0"/>
      <w:sz w:val="60"/>
      <w:szCs w:val="48"/>
      <w:lang w:val="en-GB"/>
      <w14:ligatures w14:val="none"/>
    </w:rPr>
  </w:style>
  <w:style w:type="character" w:customStyle="1" w:styleId="Heading2Char">
    <w:name w:val="Heading 2 Char"/>
    <w:basedOn w:val="DefaultParagraphFont"/>
    <w:link w:val="Heading2"/>
    <w:uiPriority w:val="9"/>
    <w:rsid w:val="00936E81"/>
    <w:rPr>
      <w:rFonts w:eastAsiaTheme="majorEastAsia" w:cs="Times New Roman (Headings CS)"/>
      <w:b/>
      <w:bCs/>
      <w:color w:val="022146"/>
      <w:spacing w:val="-2"/>
      <w:kern w:val="0"/>
      <w:sz w:val="42"/>
      <w:szCs w:val="38"/>
      <w:lang w:val="en-GB"/>
      <w14:ligatures w14:val="none"/>
    </w:rPr>
  </w:style>
  <w:style w:type="paragraph" w:styleId="Revision">
    <w:name w:val="Revision"/>
    <w:hidden/>
    <w:uiPriority w:val="99"/>
    <w:semiHidden/>
    <w:rsid w:val="00837058"/>
    <w:pPr>
      <w:spacing w:after="0" w:line="240" w:lineRule="auto"/>
    </w:pPr>
    <w:rPr>
      <w:color w:val="002554"/>
      <w:spacing w:val="-5"/>
      <w:kern w:val="0"/>
      <w:lang w:val="en-GB"/>
      <w14:ligatures w14:val="none"/>
    </w:rPr>
  </w:style>
  <w:style w:type="paragraph" w:customStyle="1" w:styleId="Tableheader">
    <w:name w:val="Table header"/>
    <w:basedOn w:val="paragraph"/>
    <w:qFormat/>
    <w:rsid w:val="00837058"/>
    <w:pPr>
      <w:framePr w:hSpace="180" w:wrap="around" w:hAnchor="margin" w:xAlign="center" w:y="465"/>
      <w:spacing w:before="120" w:beforeAutospacing="0" w:after="120" w:afterAutospacing="0" w:line="276" w:lineRule="auto"/>
    </w:pPr>
    <w:rPr>
      <w:rFonts w:ascii="Roboto Medium" w:hAnsi="Roboto Medium"/>
      <w:bCs/>
      <w:color w:val="F9F2EC"/>
      <w:szCs w:val="24"/>
    </w:rPr>
  </w:style>
  <w:style w:type="paragraph" w:customStyle="1" w:styleId="TableCopy">
    <w:name w:val="Table Copy"/>
    <w:basedOn w:val="Tablecolumnheadleft"/>
    <w:qFormat/>
    <w:rsid w:val="0099349A"/>
    <w:pPr>
      <w:framePr w:hSpace="180" w:wrap="around" w:hAnchor="margin" w:xAlign="center" w:y="465"/>
    </w:pPr>
    <w:rPr>
      <w:rFonts w:eastAsiaTheme="minorEastAsia" w:cstheme="minorBidi"/>
      <w:b w:val="0"/>
      <w:bCs w:val="0"/>
      <w:color w:val="022146"/>
    </w:rPr>
  </w:style>
  <w:style w:type="character" w:styleId="Hyperlink">
    <w:name w:val="Hyperlink"/>
    <w:basedOn w:val="DefaultParagraphFont"/>
    <w:uiPriority w:val="99"/>
    <w:unhideWhenUsed/>
    <w:rsid w:val="00BD5B17"/>
    <w:rPr>
      <w:color w:val="0563C1" w:themeColor="hyperlink"/>
      <w:u w:val="single"/>
    </w:rPr>
  </w:style>
  <w:style w:type="character" w:styleId="UnresolvedMention">
    <w:name w:val="Unresolved Mention"/>
    <w:basedOn w:val="DefaultParagraphFont"/>
    <w:uiPriority w:val="99"/>
    <w:semiHidden/>
    <w:unhideWhenUsed/>
    <w:rsid w:val="00BD5B17"/>
    <w:rPr>
      <w:color w:val="605E5C"/>
      <w:shd w:val="clear" w:color="auto" w:fill="E1DFDD"/>
    </w:rPr>
  </w:style>
  <w:style w:type="character" w:styleId="CommentReference">
    <w:name w:val="annotation reference"/>
    <w:basedOn w:val="DefaultParagraphFont"/>
    <w:uiPriority w:val="99"/>
    <w:semiHidden/>
    <w:unhideWhenUsed/>
    <w:rsid w:val="00F64A92"/>
    <w:rPr>
      <w:sz w:val="16"/>
      <w:szCs w:val="16"/>
    </w:rPr>
  </w:style>
  <w:style w:type="paragraph" w:styleId="CommentText">
    <w:name w:val="annotation text"/>
    <w:basedOn w:val="Normal"/>
    <w:link w:val="CommentTextChar"/>
    <w:uiPriority w:val="99"/>
    <w:unhideWhenUsed/>
    <w:rsid w:val="00F64A92"/>
    <w:pPr>
      <w:spacing w:line="240" w:lineRule="auto"/>
    </w:pPr>
    <w:rPr>
      <w:sz w:val="20"/>
      <w:szCs w:val="20"/>
    </w:rPr>
  </w:style>
  <w:style w:type="character" w:customStyle="1" w:styleId="CommentTextChar">
    <w:name w:val="Comment Text Char"/>
    <w:basedOn w:val="DefaultParagraphFont"/>
    <w:link w:val="CommentText"/>
    <w:uiPriority w:val="99"/>
    <w:rsid w:val="00F64A92"/>
    <w:rPr>
      <w:color w:val="002554"/>
      <w:spacing w:val="-5"/>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64A92"/>
    <w:rPr>
      <w:b/>
      <w:bCs/>
    </w:rPr>
  </w:style>
  <w:style w:type="character" w:customStyle="1" w:styleId="CommentSubjectChar">
    <w:name w:val="Comment Subject Char"/>
    <w:basedOn w:val="CommentTextChar"/>
    <w:link w:val="CommentSubject"/>
    <w:uiPriority w:val="99"/>
    <w:semiHidden/>
    <w:rsid w:val="00F64A92"/>
    <w:rPr>
      <w:b/>
      <w:bCs/>
      <w:color w:val="002554"/>
      <w:spacing w:val="-5"/>
      <w:kern w:val="0"/>
      <w:sz w:val="20"/>
      <w:szCs w:val="20"/>
      <w:lang w:val="en-GB"/>
      <w14:ligatures w14:val="none"/>
    </w:rPr>
  </w:style>
  <w:style w:type="paragraph" w:customStyle="1" w:styleId="OWBullet1">
    <w:name w:val="OW Bullet 1"/>
    <w:basedOn w:val="BodyText"/>
    <w:uiPriority w:val="99"/>
    <w:rsid w:val="00A64DA4"/>
    <w:pPr>
      <w:numPr>
        <w:numId w:val="1"/>
      </w:numPr>
      <w:suppressAutoHyphens/>
      <w:autoSpaceDE w:val="0"/>
      <w:autoSpaceDN w:val="0"/>
      <w:adjustRightInd w:val="0"/>
      <w:spacing w:after="60" w:line="290" w:lineRule="atLeast"/>
      <w:textAlignment w:val="center"/>
    </w:pPr>
    <w:rPr>
      <w:rFonts w:asciiTheme="minorHAnsi" w:eastAsiaTheme="minorEastAsia" w:hAnsiTheme="minorHAnsi" w:cs="Calibri"/>
      <w:color w:val="44546A" w:themeColor="text2"/>
      <w:spacing w:val="0"/>
      <w:szCs w:val="24"/>
      <w:lang w:val="en-AU" w:eastAsia="en-AU"/>
    </w:rPr>
  </w:style>
  <w:style w:type="numbering" w:customStyle="1" w:styleId="ZZBullets">
    <w:name w:val="ZZ Bullets"/>
    <w:basedOn w:val="NoList"/>
    <w:uiPriority w:val="99"/>
    <w:rsid w:val="00A64DA4"/>
    <w:pPr>
      <w:numPr>
        <w:numId w:val="1"/>
      </w:numPr>
    </w:pPr>
  </w:style>
  <w:style w:type="paragraph" w:customStyle="1" w:styleId="OWBullet2">
    <w:name w:val="OW Bullet 2"/>
    <w:basedOn w:val="BodyText"/>
    <w:uiPriority w:val="99"/>
    <w:rsid w:val="00A64DA4"/>
    <w:pPr>
      <w:numPr>
        <w:ilvl w:val="1"/>
        <w:numId w:val="1"/>
      </w:numPr>
      <w:suppressAutoHyphens/>
      <w:autoSpaceDE w:val="0"/>
      <w:autoSpaceDN w:val="0"/>
      <w:adjustRightInd w:val="0"/>
      <w:spacing w:after="60" w:line="290" w:lineRule="atLeast"/>
      <w:textAlignment w:val="center"/>
    </w:pPr>
    <w:rPr>
      <w:rFonts w:ascii="Calibri" w:eastAsiaTheme="minorEastAsia" w:hAnsi="Calibri" w:cs="Calibri"/>
      <w:color w:val="000000"/>
      <w:spacing w:val="0"/>
      <w:szCs w:val="24"/>
      <w:lang w:val="en-AU" w:eastAsia="en-AU"/>
    </w:rPr>
  </w:style>
  <w:style w:type="paragraph" w:styleId="BodyText">
    <w:name w:val="Body Text"/>
    <w:aliases w:val="OW Body text,ACARA - Body Copy"/>
    <w:basedOn w:val="Normal"/>
    <w:link w:val="BodyTextChar"/>
    <w:uiPriority w:val="1"/>
    <w:unhideWhenUsed/>
    <w:qFormat/>
    <w:rsid w:val="00A64DA4"/>
  </w:style>
  <w:style w:type="character" w:customStyle="1" w:styleId="BodyTextChar">
    <w:name w:val="Body Text Char"/>
    <w:aliases w:val="OW Body text Char,ACARA - Body Copy Char"/>
    <w:basedOn w:val="DefaultParagraphFont"/>
    <w:link w:val="BodyText"/>
    <w:uiPriority w:val="1"/>
    <w:rsid w:val="00A64DA4"/>
    <w:rPr>
      <w:color w:val="002554"/>
      <w:spacing w:val="-5"/>
      <w:kern w:val="0"/>
      <w:lang w:val="en-GB"/>
      <w14:ligatures w14:val="none"/>
    </w:rPr>
  </w:style>
  <w:style w:type="paragraph" w:customStyle="1" w:styleId="TableHeading1">
    <w:name w:val="Table Heading 1"/>
    <w:basedOn w:val="Normal"/>
    <w:qFormat/>
    <w:rsid w:val="00A704E1"/>
    <w:pPr>
      <w:spacing w:before="60" w:after="60" w:line="300" w:lineRule="exact"/>
    </w:pPr>
    <w:rPr>
      <w:b/>
      <w:bCs/>
      <w:sz w:val="24"/>
      <w:lang w:val="en-AU"/>
    </w:rPr>
  </w:style>
  <w:style w:type="paragraph" w:styleId="ListNumber">
    <w:name w:val="List Number"/>
    <w:basedOn w:val="Normal"/>
    <w:uiPriority w:val="99"/>
    <w:unhideWhenUsed/>
    <w:qFormat/>
    <w:rsid w:val="00552732"/>
    <w:pPr>
      <w:numPr>
        <w:numId w:val="32"/>
      </w:numPr>
      <w:spacing w:after="120" w:line="260" w:lineRule="exact"/>
    </w:pPr>
    <w:rPr>
      <w:szCs w:val="20"/>
      <w:lang w:val="en-AU"/>
    </w:rPr>
  </w:style>
  <w:style w:type="character" w:customStyle="1" w:styleId="Heading3Char">
    <w:name w:val="Heading 3 Char"/>
    <w:basedOn w:val="DefaultParagraphFont"/>
    <w:link w:val="Heading3"/>
    <w:uiPriority w:val="9"/>
    <w:rsid w:val="00E268BF"/>
    <w:rPr>
      <w:rFonts w:eastAsiaTheme="majorEastAsia" w:cstheme="majorBidi"/>
      <w:b/>
      <w:bCs/>
      <w:color w:val="022146"/>
      <w:spacing w:val="-5"/>
      <w:kern w:val="0"/>
      <w:sz w:val="28"/>
      <w:szCs w:val="32"/>
      <w:lang w:val="en-GB"/>
      <w14:ligatures w14:val="none"/>
    </w:rPr>
  </w:style>
  <w:style w:type="character" w:customStyle="1" w:styleId="Heading4Char">
    <w:name w:val="Heading 4 Char"/>
    <w:basedOn w:val="DefaultParagraphFont"/>
    <w:link w:val="Heading4"/>
    <w:uiPriority w:val="9"/>
    <w:rsid w:val="00753716"/>
    <w:rPr>
      <w:rFonts w:eastAsiaTheme="majorEastAsia" w:cstheme="majorBidi"/>
      <w:b/>
      <w:bCs/>
      <w:color w:val="022146"/>
      <w:spacing w:val="-5"/>
      <w:kern w:val="0"/>
      <w:szCs w:val="28"/>
      <w:lang w:val="en-AU"/>
      <w14:ligatures w14:val="none"/>
    </w:rPr>
  </w:style>
  <w:style w:type="character" w:customStyle="1" w:styleId="Heading5Char">
    <w:name w:val="Heading 5 Char"/>
    <w:basedOn w:val="DefaultParagraphFont"/>
    <w:link w:val="Heading5"/>
    <w:uiPriority w:val="9"/>
    <w:rsid w:val="00216EB9"/>
    <w:rPr>
      <w:rFonts w:asciiTheme="majorHAnsi" w:eastAsiaTheme="majorEastAsia" w:hAnsiTheme="majorHAnsi" w:cstheme="majorBidi"/>
      <w:color w:val="000000" w:themeColor="text1"/>
      <w:kern w:val="0"/>
      <w:szCs w:val="24"/>
      <w:lang w:val="en-AU"/>
      <w14:ligatures w14:val="none"/>
    </w:rPr>
  </w:style>
  <w:style w:type="table" w:styleId="TableGrid">
    <w:name w:val="Table Grid"/>
    <w:basedOn w:val="TableNormal"/>
    <w:uiPriority w:val="39"/>
    <w:rsid w:val="00216EB9"/>
    <w:pPr>
      <w:spacing w:after="0" w:line="240" w:lineRule="auto"/>
    </w:pPr>
    <w:rPr>
      <w:rFonts w:asciiTheme="minorHAnsi" w:hAnsiTheme="minorHAnsi"/>
      <w:kern w:val="0"/>
      <w:szCs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16EB9"/>
  </w:style>
  <w:style w:type="paragraph" w:styleId="BalloonText">
    <w:name w:val="Balloon Text"/>
    <w:basedOn w:val="Normal"/>
    <w:link w:val="BalloonTextChar"/>
    <w:uiPriority w:val="99"/>
    <w:semiHidden/>
    <w:unhideWhenUsed/>
    <w:rsid w:val="00216EB9"/>
    <w:pPr>
      <w:spacing w:after="0" w:line="240" w:lineRule="auto"/>
    </w:pPr>
    <w:rPr>
      <w:rFonts w:asciiTheme="minorHAnsi" w:eastAsiaTheme="minorEastAsia" w:hAnsiTheme="minorHAnsi" w:cs="Segoe UI"/>
      <w:color w:val="000000" w:themeColor="text1"/>
      <w:spacing w:val="0"/>
      <w:szCs w:val="18"/>
      <w:lang w:val="en-AU"/>
    </w:rPr>
  </w:style>
  <w:style w:type="character" w:customStyle="1" w:styleId="BalloonTextChar">
    <w:name w:val="Balloon Text Char"/>
    <w:basedOn w:val="DefaultParagraphFont"/>
    <w:link w:val="BalloonText"/>
    <w:uiPriority w:val="99"/>
    <w:semiHidden/>
    <w:rsid w:val="00216EB9"/>
    <w:rPr>
      <w:rFonts w:asciiTheme="minorHAnsi" w:eastAsiaTheme="minorEastAsia" w:hAnsiTheme="minorHAnsi" w:cs="Segoe UI"/>
      <w:color w:val="000000" w:themeColor="text1"/>
      <w:kern w:val="0"/>
      <w:szCs w:val="18"/>
      <w:lang w:val="en-AU"/>
      <w14:ligatures w14:val="none"/>
    </w:rPr>
  </w:style>
  <w:style w:type="paragraph" w:customStyle="1" w:styleId="m3986777986693454308msolistparagraph">
    <w:name w:val="m_3986777986693454308msolistparagraph"/>
    <w:basedOn w:val="Normal"/>
    <w:rsid w:val="00216EB9"/>
    <w:pPr>
      <w:spacing w:before="100" w:beforeAutospacing="1" w:after="100" w:afterAutospacing="1" w:line="240" w:lineRule="auto"/>
    </w:pPr>
    <w:rPr>
      <w:rFonts w:ascii="Times New Roman" w:eastAsia="Times New Roman" w:hAnsi="Times New Roman" w:cs="Times New Roman"/>
      <w:color w:val="000000" w:themeColor="text1"/>
      <w:spacing w:val="0"/>
      <w:szCs w:val="24"/>
      <w:lang w:val="en-AU" w:eastAsia="en-GB"/>
    </w:rPr>
  </w:style>
  <w:style w:type="paragraph" w:customStyle="1" w:styleId="Default">
    <w:name w:val="Default"/>
    <w:rsid w:val="00216EB9"/>
    <w:pPr>
      <w:autoSpaceDE w:val="0"/>
      <w:autoSpaceDN w:val="0"/>
      <w:adjustRightInd w:val="0"/>
      <w:spacing w:after="0" w:line="240" w:lineRule="auto"/>
    </w:pPr>
    <w:rPr>
      <w:rFonts w:ascii="Calibri" w:hAnsi="Calibri" w:cs="Calibri"/>
      <w:color w:val="000000"/>
      <w:kern w:val="0"/>
      <w:szCs w:val="24"/>
      <w:lang w:val="en-AU"/>
      <w14:ligatures w14:val="none"/>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Char Char,Char,fn"/>
    <w:basedOn w:val="Normal"/>
    <w:link w:val="FootnoteTextChar"/>
    <w:uiPriority w:val="99"/>
    <w:unhideWhenUsed/>
    <w:rsid w:val="00216EB9"/>
    <w:pPr>
      <w:spacing w:after="0" w:line="240" w:lineRule="auto"/>
    </w:pPr>
    <w:rPr>
      <w:rFonts w:asciiTheme="minorHAnsi" w:eastAsiaTheme="minorEastAsia" w:hAnsiTheme="minorHAnsi"/>
      <w:color w:val="000000" w:themeColor="text1"/>
      <w:spacing w:val="0"/>
      <w:sz w:val="20"/>
      <w:szCs w:val="20"/>
      <w:lang w:val="en-AU"/>
    </w:rPr>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fn Char"/>
    <w:basedOn w:val="DefaultParagraphFont"/>
    <w:link w:val="FootnoteText"/>
    <w:uiPriority w:val="99"/>
    <w:rsid w:val="00216EB9"/>
    <w:rPr>
      <w:rFonts w:asciiTheme="minorHAnsi" w:eastAsiaTheme="minorEastAsia" w:hAnsiTheme="minorHAnsi"/>
      <w:color w:val="000000" w:themeColor="text1"/>
      <w:kern w:val="0"/>
      <w:sz w:val="20"/>
      <w:szCs w:val="20"/>
      <w:lang w:val="en-AU"/>
      <w14:ligatures w14:val="none"/>
    </w:rPr>
  </w:style>
  <w:style w:type="character" w:styleId="FootnoteReference">
    <w:name w:val="footnote reference"/>
    <w:basedOn w:val="DefaultParagraphFont"/>
    <w:uiPriority w:val="99"/>
    <w:semiHidden/>
    <w:unhideWhenUsed/>
    <w:rsid w:val="00216EB9"/>
    <w:rPr>
      <w:vertAlign w:val="superscript"/>
    </w:rPr>
  </w:style>
  <w:style w:type="paragraph" w:customStyle="1" w:styleId="Heading2TOCheading">
    <w:name w:val="Heading 2 TOC heading"/>
    <w:basedOn w:val="Heading1"/>
    <w:uiPriority w:val="99"/>
    <w:rsid w:val="00216EB9"/>
    <w:pPr>
      <w:pageBreakBefore/>
      <w:suppressAutoHyphens/>
      <w:spacing w:after="400"/>
      <w:outlineLvl w:val="1"/>
    </w:pPr>
    <w:rPr>
      <w:rFonts w:asciiTheme="majorHAnsi" w:eastAsiaTheme="minorEastAsia" w:hAnsiTheme="majorHAnsi" w:cs="Calibri-Bold"/>
      <w:color w:val="AA381D"/>
      <w:spacing w:val="0"/>
      <w:sz w:val="48"/>
      <w:szCs w:val="44"/>
      <w:lang w:val="en-AU" w:eastAsia="en-AU"/>
    </w:rPr>
  </w:style>
  <w:style w:type="character" w:customStyle="1" w:styleId="OWPagenumber">
    <w:name w:val="OW Page number"/>
    <w:basedOn w:val="DefaultParagraphFont"/>
    <w:uiPriority w:val="1"/>
    <w:rsid w:val="00216EB9"/>
    <w:rPr>
      <w:rFonts w:asciiTheme="minorHAnsi" w:hAnsiTheme="minorHAnsi"/>
      <w:b/>
      <w:color w:val="4D4D4F"/>
      <w:sz w:val="21"/>
    </w:rPr>
  </w:style>
  <w:style w:type="paragraph" w:customStyle="1" w:styleId="OW-Bullettedlist">
    <w:name w:val="OW - Bulletted list"/>
    <w:basedOn w:val="ListParagraph"/>
    <w:rsid w:val="00216EB9"/>
    <w:pPr>
      <w:numPr>
        <w:numId w:val="2"/>
      </w:numPr>
      <w:spacing w:after="120" w:line="240" w:lineRule="auto"/>
    </w:pPr>
    <w:rPr>
      <w:rFonts w:asciiTheme="minorHAnsi" w:eastAsiaTheme="minorEastAsia" w:hAnsiTheme="minorHAnsi"/>
      <w:color w:val="000000" w:themeColor="text1"/>
      <w:spacing w:val="0"/>
      <w:szCs w:val="24"/>
    </w:rPr>
  </w:style>
  <w:style w:type="paragraph" w:customStyle="1" w:styleId="OWNumberedlist">
    <w:name w:val="OW Numbered list"/>
    <w:basedOn w:val="ListParagraph"/>
    <w:rsid w:val="00216EB9"/>
    <w:pPr>
      <w:numPr>
        <w:numId w:val="3"/>
      </w:numPr>
      <w:spacing w:after="120" w:line="240" w:lineRule="auto"/>
    </w:pPr>
    <w:rPr>
      <w:rFonts w:asciiTheme="minorHAnsi" w:eastAsiaTheme="minorEastAsia" w:hAnsiTheme="minorHAnsi"/>
      <w:color w:val="000000" w:themeColor="text1"/>
      <w:spacing w:val="0"/>
      <w:szCs w:val="24"/>
    </w:rPr>
  </w:style>
  <w:style w:type="paragraph" w:customStyle="1" w:styleId="Tablebodyleft">
    <w:name w:val="Table body left"/>
    <w:basedOn w:val="BodyText"/>
    <w:uiPriority w:val="99"/>
    <w:qFormat/>
    <w:rsid w:val="00216EB9"/>
    <w:pPr>
      <w:suppressAutoHyphens/>
      <w:autoSpaceDE w:val="0"/>
      <w:autoSpaceDN w:val="0"/>
      <w:adjustRightInd w:val="0"/>
      <w:spacing w:before="80" w:after="100" w:line="290" w:lineRule="atLeast"/>
      <w:textAlignment w:val="center"/>
    </w:pPr>
    <w:rPr>
      <w:rFonts w:asciiTheme="minorHAnsi" w:eastAsiaTheme="minorEastAsia" w:hAnsiTheme="minorHAnsi" w:cs="Calibri"/>
      <w:color w:val="auto"/>
      <w:spacing w:val="0"/>
      <w:szCs w:val="24"/>
      <w:lang w:val="en-AU" w:eastAsia="en-AU"/>
    </w:rPr>
  </w:style>
  <w:style w:type="paragraph" w:customStyle="1" w:styleId="OWTablebodyleft">
    <w:name w:val="OW Table body left"/>
    <w:basedOn w:val="BodyText"/>
    <w:uiPriority w:val="99"/>
    <w:rsid w:val="00216EB9"/>
    <w:pPr>
      <w:suppressAutoHyphens/>
      <w:autoSpaceDE w:val="0"/>
      <w:autoSpaceDN w:val="0"/>
      <w:adjustRightInd w:val="0"/>
      <w:spacing w:before="80" w:after="100" w:line="290" w:lineRule="atLeast"/>
      <w:textAlignment w:val="center"/>
    </w:pPr>
    <w:rPr>
      <w:rFonts w:asciiTheme="minorHAnsi" w:eastAsiaTheme="minorEastAsia" w:hAnsiTheme="minorHAnsi" w:cs="Calibri"/>
      <w:color w:val="44546A" w:themeColor="text2"/>
      <w:spacing w:val="0"/>
      <w:szCs w:val="24"/>
      <w:lang w:val="en-AU" w:eastAsia="en-AU"/>
    </w:rPr>
  </w:style>
  <w:style w:type="paragraph" w:styleId="TOC1">
    <w:name w:val="toc 1"/>
    <w:next w:val="Normal"/>
    <w:uiPriority w:val="39"/>
    <w:unhideWhenUsed/>
    <w:rsid w:val="00B67A1E"/>
    <w:pPr>
      <w:tabs>
        <w:tab w:val="right" w:pos="9072"/>
      </w:tabs>
      <w:suppressAutoHyphens/>
      <w:spacing w:before="240" w:after="60" w:line="310" w:lineRule="atLeast"/>
    </w:pPr>
    <w:rPr>
      <w:rFonts w:ascii="Roboto Black" w:eastAsiaTheme="minorEastAsia" w:hAnsi="Roboto Black" w:cstheme="majorHAnsi"/>
      <w:b/>
      <w:bCs/>
      <w:color w:val="002654"/>
      <w:kern w:val="0"/>
      <w:sz w:val="28"/>
      <w:szCs w:val="26"/>
      <w:lang w:val="en-GB" w:eastAsia="en-AU"/>
      <w14:ligatures w14:val="none"/>
    </w:rPr>
  </w:style>
  <w:style w:type="paragraph" w:styleId="TOC2">
    <w:name w:val="toc 2"/>
    <w:next w:val="Normal"/>
    <w:uiPriority w:val="39"/>
    <w:unhideWhenUsed/>
    <w:rsid w:val="00B67A1E"/>
    <w:pPr>
      <w:tabs>
        <w:tab w:val="right" w:pos="9072"/>
      </w:tabs>
      <w:suppressAutoHyphens/>
      <w:spacing w:after="60" w:line="228" w:lineRule="auto"/>
      <w:ind w:left="227"/>
    </w:pPr>
    <w:rPr>
      <w:rFonts w:eastAsiaTheme="minorEastAsia" w:cstheme="minorHAnsi"/>
      <w:color w:val="002654"/>
      <w:kern w:val="0"/>
      <w:sz w:val="22"/>
      <w:szCs w:val="26"/>
      <w:lang w:val="en-AU" w:eastAsia="en-AU"/>
      <w14:ligatures w14:val="none"/>
    </w:rPr>
  </w:style>
  <w:style w:type="paragraph" w:customStyle="1" w:styleId="OWTextbox-text">
    <w:name w:val="OW Text box - text"/>
    <w:basedOn w:val="Normal"/>
    <w:rsid w:val="00216EB9"/>
    <w:pPr>
      <w:spacing w:after="100" w:afterAutospacing="1" w:line="240" w:lineRule="auto"/>
      <w:ind w:left="284" w:right="284"/>
    </w:pPr>
    <w:rPr>
      <w:rFonts w:asciiTheme="minorHAnsi" w:eastAsiaTheme="minorEastAsia" w:hAnsiTheme="minorHAnsi"/>
      <w:color w:val="702652"/>
      <w:spacing w:val="0"/>
      <w:sz w:val="28"/>
      <w:szCs w:val="24"/>
      <w:lang w:val="en-AU"/>
    </w:rPr>
  </w:style>
  <w:style w:type="paragraph" w:customStyle="1" w:styleId="OWitalic">
    <w:name w:val="OW italic"/>
    <w:basedOn w:val="Normal"/>
    <w:rsid w:val="00216EB9"/>
    <w:pPr>
      <w:spacing w:line="240" w:lineRule="auto"/>
    </w:pPr>
    <w:rPr>
      <w:rFonts w:ascii="Calibri" w:eastAsiaTheme="minorEastAsia" w:hAnsi="Calibri"/>
      <w:i/>
      <w:color w:val="000000" w:themeColor="text1"/>
      <w:spacing w:val="0"/>
      <w:szCs w:val="24"/>
      <w:lang w:val="en-AU"/>
    </w:rPr>
  </w:style>
  <w:style w:type="paragraph" w:customStyle="1" w:styleId="OWTableBody">
    <w:name w:val="OW Table Body"/>
    <w:basedOn w:val="Normal"/>
    <w:rsid w:val="00216EB9"/>
    <w:pPr>
      <w:spacing w:before="120" w:line="240" w:lineRule="auto"/>
      <w:ind w:left="284" w:right="284"/>
    </w:pPr>
    <w:rPr>
      <w:rFonts w:asciiTheme="minorHAnsi" w:eastAsia="Calibri" w:hAnsiTheme="minorHAnsi"/>
      <w:color w:val="000000" w:themeColor="text1"/>
      <w:spacing w:val="0"/>
      <w:lang w:val="en-AU" w:eastAsia="en-AU"/>
    </w:rPr>
  </w:style>
  <w:style w:type="paragraph" w:customStyle="1" w:styleId="OWTableHeader">
    <w:name w:val="OW Table Header"/>
    <w:basedOn w:val="Tablecolumnheadleft"/>
    <w:rsid w:val="00216EB9"/>
    <w:rPr>
      <w:rFonts w:asciiTheme="minorHAnsi" w:eastAsiaTheme="minorEastAsia" w:hAnsiTheme="minorHAnsi"/>
      <w:color w:val="4D4D4F"/>
      <w:spacing w:val="0"/>
      <w:lang w:val="en-AU"/>
    </w:rPr>
  </w:style>
  <w:style w:type="paragraph" w:customStyle="1" w:styleId="OWReference">
    <w:name w:val="OW Reference"/>
    <w:basedOn w:val="Normal"/>
    <w:rsid w:val="00216EB9"/>
    <w:pPr>
      <w:spacing w:line="240" w:lineRule="auto"/>
    </w:pPr>
    <w:rPr>
      <w:rFonts w:asciiTheme="majorHAnsi" w:eastAsiaTheme="minorEastAsia" w:hAnsiTheme="majorHAnsi"/>
      <w:color w:val="000000" w:themeColor="text1"/>
      <w:spacing w:val="0"/>
      <w:szCs w:val="24"/>
      <w:lang w:val="en-AU"/>
    </w:rPr>
  </w:style>
  <w:style w:type="character" w:customStyle="1" w:styleId="UnresolvedMention1">
    <w:name w:val="Unresolved Mention1"/>
    <w:basedOn w:val="DefaultParagraphFont"/>
    <w:uiPriority w:val="99"/>
    <w:unhideWhenUsed/>
    <w:rsid w:val="00216EB9"/>
    <w:rPr>
      <w:color w:val="605E5C"/>
      <w:shd w:val="clear" w:color="auto" w:fill="E1DFDD"/>
    </w:rPr>
  </w:style>
  <w:style w:type="paragraph" w:customStyle="1" w:styleId="OWHyperlink">
    <w:name w:val="OW Hyperlink"/>
    <w:basedOn w:val="Normal"/>
    <w:rsid w:val="00216EB9"/>
    <w:pPr>
      <w:spacing w:line="240" w:lineRule="auto"/>
    </w:pPr>
    <w:rPr>
      <w:rFonts w:asciiTheme="minorHAnsi" w:eastAsiaTheme="minorEastAsia" w:hAnsiTheme="minorHAnsi"/>
      <w:color w:val="702652"/>
      <w:spacing w:val="0"/>
      <w:szCs w:val="24"/>
      <w:lang w:val="en-AU"/>
    </w:rPr>
  </w:style>
  <w:style w:type="paragraph" w:styleId="NoSpacing">
    <w:name w:val="No Spacing"/>
    <w:link w:val="NoSpacingChar"/>
    <w:uiPriority w:val="1"/>
    <w:qFormat/>
    <w:rsid w:val="00216EB9"/>
    <w:pPr>
      <w:spacing w:after="0" w:line="240" w:lineRule="auto"/>
    </w:pPr>
    <w:rPr>
      <w:rFonts w:asciiTheme="minorHAnsi" w:hAnsiTheme="minorHAnsi"/>
      <w:color w:val="4D4D4F"/>
      <w:kern w:val="0"/>
      <w:szCs w:val="24"/>
      <w:lang w:val="en-AU"/>
      <w14:ligatures w14:val="none"/>
    </w:rPr>
  </w:style>
  <w:style w:type="character" w:styleId="Strong">
    <w:name w:val="Strong"/>
    <w:basedOn w:val="DefaultParagraphFont"/>
    <w:uiPriority w:val="22"/>
    <w:qFormat/>
    <w:rsid w:val="00526734"/>
    <w:rPr>
      <w:rFonts w:ascii="Roboto Black" w:hAnsi="Roboto Black"/>
      <w:b/>
      <w:bCs/>
      <w:i w:val="0"/>
      <w:color w:val="002654"/>
    </w:rPr>
  </w:style>
  <w:style w:type="character" w:styleId="PlaceholderText">
    <w:name w:val="Placeholder Text"/>
    <w:basedOn w:val="DefaultParagraphFont"/>
    <w:uiPriority w:val="99"/>
    <w:semiHidden/>
    <w:rsid w:val="00216EB9"/>
    <w:rPr>
      <w:color w:val="808080"/>
    </w:rPr>
  </w:style>
  <w:style w:type="paragraph" w:customStyle="1" w:styleId="Tablecolumnheadcentre">
    <w:name w:val="Table column head centre"/>
    <w:basedOn w:val="Tablecolumnheadleft"/>
    <w:uiPriority w:val="99"/>
    <w:qFormat/>
    <w:rsid w:val="00216EB9"/>
    <w:pPr>
      <w:jc w:val="center"/>
    </w:pPr>
    <w:rPr>
      <w:rFonts w:asciiTheme="minorHAnsi" w:eastAsiaTheme="minorEastAsia" w:hAnsiTheme="minorHAnsi"/>
      <w:spacing w:val="0"/>
      <w:szCs w:val="24"/>
      <w:lang w:val="en-AU"/>
    </w:rPr>
  </w:style>
  <w:style w:type="paragraph" w:customStyle="1" w:styleId="Tablebodycentre">
    <w:name w:val="Table body centre"/>
    <w:basedOn w:val="Tablebodyleft"/>
    <w:uiPriority w:val="99"/>
    <w:qFormat/>
    <w:rsid w:val="00216EB9"/>
    <w:pPr>
      <w:jc w:val="center"/>
    </w:pPr>
  </w:style>
  <w:style w:type="paragraph" w:customStyle="1" w:styleId="OWTablebodyindent1">
    <w:name w:val="OW Table body indent 1"/>
    <w:basedOn w:val="Tablebodyleft"/>
    <w:uiPriority w:val="99"/>
    <w:rsid w:val="00216EB9"/>
    <w:pPr>
      <w:ind w:left="283"/>
    </w:pPr>
  </w:style>
  <w:style w:type="paragraph" w:customStyle="1" w:styleId="OWTablebodyindent2">
    <w:name w:val="OW Table body indent 2"/>
    <w:basedOn w:val="OWTablebodyindent1"/>
    <w:uiPriority w:val="99"/>
    <w:rsid w:val="00216EB9"/>
    <w:pPr>
      <w:ind w:left="567"/>
    </w:pPr>
  </w:style>
  <w:style w:type="table" w:customStyle="1" w:styleId="Tablecharcoalheaderrow">
    <w:name w:val="Table charcoal header row"/>
    <w:basedOn w:val="Tableumberheaderrow"/>
    <w:uiPriority w:val="99"/>
    <w:rsid w:val="00216EB9"/>
    <w:tblPr/>
    <w:tblStylePr w:type="firstRow">
      <w:rPr>
        <w:rFonts w:asciiTheme="minorHAnsi" w:hAnsiTheme="minorHAnsi"/>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D4D4F"/>
      </w:tcPr>
    </w:tblStylePr>
  </w:style>
  <w:style w:type="paragraph" w:customStyle="1" w:styleId="Tablenumberedlist">
    <w:name w:val="Table numbered list"/>
    <w:basedOn w:val="Normal"/>
    <w:uiPriority w:val="99"/>
    <w:qFormat/>
    <w:rsid w:val="00216EB9"/>
    <w:pPr>
      <w:numPr>
        <w:numId w:val="4"/>
      </w:numPr>
      <w:suppressAutoHyphens/>
      <w:autoSpaceDE w:val="0"/>
      <w:autoSpaceDN w:val="0"/>
      <w:adjustRightInd w:val="0"/>
      <w:spacing w:before="80" w:after="100" w:line="290" w:lineRule="atLeast"/>
      <w:textAlignment w:val="center"/>
    </w:pPr>
    <w:rPr>
      <w:rFonts w:asciiTheme="minorHAnsi" w:eastAsiaTheme="minorEastAsia" w:hAnsiTheme="minorHAnsi" w:cs="Calibri"/>
      <w:color w:val="auto"/>
      <w:spacing w:val="0"/>
      <w:szCs w:val="24"/>
      <w:lang w:val="en-AU" w:eastAsia="en-AU"/>
    </w:rPr>
  </w:style>
  <w:style w:type="numbering" w:customStyle="1" w:styleId="ZZTablenumbers">
    <w:name w:val="ZZ Table numbers"/>
    <w:basedOn w:val="NoList"/>
    <w:uiPriority w:val="99"/>
    <w:rsid w:val="00216EB9"/>
    <w:pPr>
      <w:numPr>
        <w:numId w:val="4"/>
      </w:numPr>
    </w:pPr>
  </w:style>
  <w:style w:type="paragraph" w:customStyle="1" w:styleId="Numberedlist">
    <w:name w:val="Numbered list"/>
    <w:basedOn w:val="ListParagraph"/>
    <w:qFormat/>
    <w:rsid w:val="00216EB9"/>
    <w:pPr>
      <w:numPr>
        <w:numId w:val="5"/>
      </w:numPr>
      <w:spacing w:after="120" w:line="240" w:lineRule="auto"/>
    </w:pPr>
    <w:rPr>
      <w:rFonts w:asciiTheme="minorHAnsi" w:eastAsiaTheme="minorEastAsia" w:hAnsiTheme="minorHAnsi"/>
      <w:color w:val="000000" w:themeColor="text1"/>
      <w:spacing w:val="0"/>
      <w:szCs w:val="24"/>
    </w:rPr>
  </w:style>
  <w:style w:type="paragraph" w:customStyle="1" w:styleId="Endnotetextnonumber">
    <w:name w:val="Endnote text no number"/>
    <w:basedOn w:val="EndnoteText"/>
    <w:uiPriority w:val="99"/>
    <w:rsid w:val="00216EB9"/>
    <w:pPr>
      <w:keepLines/>
      <w:widowControl w:val="0"/>
      <w:suppressAutoHyphens/>
      <w:autoSpaceDE w:val="0"/>
      <w:autoSpaceDN w:val="0"/>
      <w:adjustRightInd w:val="0"/>
      <w:spacing w:after="113" w:line="250" w:lineRule="atLeast"/>
      <w:textAlignment w:val="center"/>
    </w:pPr>
    <w:rPr>
      <w:rFonts w:ascii="Calibri" w:hAnsi="Calibri" w:cs="Calibri"/>
      <w:color w:val="auto"/>
      <w:sz w:val="21"/>
      <w:szCs w:val="21"/>
      <w:lang w:val="en-GB" w:eastAsia="en-AU"/>
    </w:rPr>
  </w:style>
  <w:style w:type="character" w:customStyle="1" w:styleId="HyperlinkItalic">
    <w:name w:val="Hyperlink Italic"/>
    <w:basedOn w:val="Hyperlink"/>
    <w:uiPriority w:val="1"/>
    <w:rsid w:val="00216EB9"/>
    <w:rPr>
      <w:i/>
      <w:color w:val="1B5997"/>
      <w:w w:val="100"/>
      <w:u w:val="single" w:color="1B5997"/>
    </w:rPr>
  </w:style>
  <w:style w:type="paragraph" w:styleId="EndnoteText">
    <w:name w:val="endnote text"/>
    <w:aliases w:val="OW Endnote Text"/>
    <w:basedOn w:val="Normal"/>
    <w:link w:val="EndnoteTextChar"/>
    <w:uiPriority w:val="99"/>
    <w:unhideWhenUsed/>
    <w:qFormat/>
    <w:rsid w:val="00216EB9"/>
    <w:pPr>
      <w:spacing w:after="0" w:line="240" w:lineRule="auto"/>
    </w:pPr>
    <w:rPr>
      <w:rFonts w:asciiTheme="minorHAnsi" w:eastAsiaTheme="minorEastAsia" w:hAnsiTheme="minorHAnsi"/>
      <w:color w:val="000000" w:themeColor="text1"/>
      <w:spacing w:val="0"/>
      <w:sz w:val="20"/>
      <w:szCs w:val="20"/>
      <w:lang w:val="en-AU"/>
    </w:rPr>
  </w:style>
  <w:style w:type="character" w:customStyle="1" w:styleId="EndnoteTextChar">
    <w:name w:val="Endnote Text Char"/>
    <w:aliases w:val="OW Endnote Text Char"/>
    <w:basedOn w:val="DefaultParagraphFont"/>
    <w:link w:val="EndnoteText"/>
    <w:uiPriority w:val="99"/>
    <w:rsid w:val="00216EB9"/>
    <w:rPr>
      <w:rFonts w:asciiTheme="minorHAnsi" w:eastAsiaTheme="minorEastAsia" w:hAnsiTheme="minorHAnsi"/>
      <w:color w:val="000000" w:themeColor="text1"/>
      <w:kern w:val="0"/>
      <w:sz w:val="20"/>
      <w:szCs w:val="20"/>
      <w:lang w:val="en-AU"/>
      <w14:ligatures w14:val="none"/>
    </w:rPr>
  </w:style>
  <w:style w:type="paragraph" w:customStyle="1" w:styleId="Endnotetextnumbered">
    <w:name w:val="Endnote text numbered"/>
    <w:basedOn w:val="Endnotetextnonumber"/>
    <w:autoRedefine/>
    <w:qFormat/>
    <w:rsid w:val="00216EB9"/>
    <w:pPr>
      <w:numPr>
        <w:numId w:val="6"/>
      </w:numPr>
    </w:pPr>
  </w:style>
  <w:style w:type="character" w:customStyle="1" w:styleId="Mention1">
    <w:name w:val="Mention1"/>
    <w:basedOn w:val="DefaultParagraphFont"/>
    <w:uiPriority w:val="99"/>
    <w:unhideWhenUsed/>
    <w:rsid w:val="00216EB9"/>
    <w:rPr>
      <w:color w:val="2B579A"/>
      <w:shd w:val="clear" w:color="auto" w:fill="E1DFDD"/>
    </w:rPr>
  </w:style>
  <w:style w:type="paragraph" w:styleId="Caption">
    <w:name w:val="caption"/>
    <w:basedOn w:val="Normal"/>
    <w:next w:val="Normal"/>
    <w:autoRedefine/>
    <w:uiPriority w:val="35"/>
    <w:unhideWhenUsed/>
    <w:qFormat/>
    <w:rsid w:val="00216EB9"/>
    <w:pPr>
      <w:spacing w:line="240" w:lineRule="auto"/>
    </w:pPr>
    <w:rPr>
      <w:rFonts w:asciiTheme="minorHAnsi" w:eastAsiaTheme="minorEastAsia" w:hAnsiTheme="minorHAnsi"/>
      <w:b/>
      <w:i/>
      <w:iCs/>
      <w:color w:val="AA381D"/>
      <w:spacing w:val="0"/>
      <w:szCs w:val="18"/>
      <w:lang w:val="en-AU"/>
    </w:rPr>
  </w:style>
  <w:style w:type="character" w:styleId="FollowedHyperlink">
    <w:name w:val="FollowedHyperlink"/>
    <w:basedOn w:val="DefaultParagraphFont"/>
    <w:uiPriority w:val="99"/>
    <w:semiHidden/>
    <w:unhideWhenUsed/>
    <w:rsid w:val="00216EB9"/>
    <w:rPr>
      <w:color w:val="954F72" w:themeColor="followedHyperlink"/>
      <w:u w:val="single"/>
    </w:rPr>
  </w:style>
  <w:style w:type="paragraph" w:styleId="TOCHeading">
    <w:name w:val="TOC Heading"/>
    <w:basedOn w:val="Heading1"/>
    <w:next w:val="Normal"/>
    <w:uiPriority w:val="39"/>
    <w:unhideWhenUsed/>
    <w:qFormat/>
    <w:rsid w:val="00216EB9"/>
    <w:pPr>
      <w:spacing w:after="0" w:line="259" w:lineRule="auto"/>
      <w:outlineLvl w:val="9"/>
    </w:pPr>
    <w:rPr>
      <w:rFonts w:asciiTheme="majorHAnsi" w:hAnsiTheme="majorHAnsi"/>
      <w:b w:val="0"/>
      <w:color w:val="2F5496" w:themeColor="accent1" w:themeShade="BF"/>
      <w:spacing w:val="0"/>
      <w:sz w:val="32"/>
      <w:szCs w:val="32"/>
      <w:lang w:val="en-US"/>
    </w:rPr>
  </w:style>
  <w:style w:type="paragraph" w:styleId="TOC3">
    <w:name w:val="toc 3"/>
    <w:basedOn w:val="Normal"/>
    <w:next w:val="Normal"/>
    <w:autoRedefine/>
    <w:uiPriority w:val="39"/>
    <w:unhideWhenUsed/>
    <w:rsid w:val="00216EB9"/>
    <w:pPr>
      <w:tabs>
        <w:tab w:val="right" w:leader="dot" w:pos="9072"/>
      </w:tabs>
      <w:spacing w:after="100" w:line="240" w:lineRule="auto"/>
      <w:ind w:left="480"/>
    </w:pPr>
    <w:rPr>
      <w:rFonts w:asciiTheme="minorHAnsi" w:eastAsiaTheme="minorEastAsia" w:hAnsiTheme="minorHAnsi"/>
      <w:color w:val="000000" w:themeColor="text1"/>
      <w:spacing w:val="0"/>
      <w:szCs w:val="24"/>
      <w:lang w:val="en-AU"/>
    </w:rPr>
  </w:style>
  <w:style w:type="character" w:styleId="Mention">
    <w:name w:val="Mention"/>
    <w:basedOn w:val="DefaultParagraphFont"/>
    <w:uiPriority w:val="99"/>
    <w:unhideWhenUsed/>
    <w:rsid w:val="00216EB9"/>
    <w:rPr>
      <w:color w:val="2B579A"/>
      <w:shd w:val="clear" w:color="auto" w:fill="E1DFDD"/>
    </w:rPr>
  </w:style>
  <w:style w:type="character" w:customStyle="1" w:styleId="ListParagraphChar">
    <w:name w:val="List Paragraph Char"/>
    <w:aliases w:val="Level 1 list Char,Recommendation Char,List Paragraph1 Char,List Paragraph11 Char,Bullet point Char,NAST Quote Char,L Char,CV text Char,F5 List Paragraph Char,Dot pt Char,List Paragraph111 Char,Medium Grid 1 - Accent 21 Char"/>
    <w:basedOn w:val="DefaultParagraphFont"/>
    <w:link w:val="ListParagraph"/>
    <w:uiPriority w:val="34"/>
    <w:qFormat/>
    <w:rsid w:val="003E5527"/>
    <w:rPr>
      <w:rFonts w:cs="Arial (Body CS)"/>
      <w:color w:val="002554"/>
      <w:spacing w:val="-2"/>
      <w:kern w:val="0"/>
      <w:sz w:val="23"/>
      <w:lang w:val="en-AU"/>
      <w14:ligatures w14:val="none"/>
    </w:rPr>
  </w:style>
  <w:style w:type="paragraph" w:customStyle="1" w:styleId="BreakoutBoxHeading">
    <w:name w:val="Breakout Box Heading"/>
    <w:basedOn w:val="Normal"/>
    <w:qFormat/>
    <w:rsid w:val="00E055E0"/>
    <w:pPr>
      <w:pBdr>
        <w:top w:val="single" w:sz="4" w:space="12" w:color="D4EBE2"/>
        <w:left w:val="single" w:sz="4" w:space="12" w:color="D4EBE2"/>
        <w:bottom w:val="single" w:sz="4" w:space="12" w:color="D4EBE2"/>
        <w:right w:val="single" w:sz="4" w:space="12" w:color="D4EBE2"/>
      </w:pBdr>
      <w:shd w:val="clear" w:color="auto" w:fill="D4EBE2"/>
      <w:spacing w:before="240" w:after="90" w:line="240" w:lineRule="auto"/>
      <w:ind w:left="851"/>
    </w:pPr>
    <w:rPr>
      <w:rFonts w:ascii="Roboto Black" w:eastAsiaTheme="minorEastAsia" w:hAnsi="Roboto Black" w:cs="Arial"/>
      <w:b/>
      <w:bCs/>
      <w:color w:val="00285E"/>
      <w:spacing w:val="0"/>
      <w:position w:val="6"/>
      <w:sz w:val="27"/>
      <w:szCs w:val="27"/>
      <w:lang w:val="en-US" w:eastAsia="en-GB"/>
    </w:rPr>
  </w:style>
  <w:style w:type="paragraph" w:customStyle="1" w:styleId="BreakoutBoxBulletPoints">
    <w:name w:val="Breakout Box Bullet Points"/>
    <w:basedOn w:val="ListBullet4"/>
    <w:qFormat/>
    <w:rsid w:val="00842306"/>
    <w:pPr>
      <w:pBdr>
        <w:top w:val="single" w:sz="4" w:space="12" w:color="D4EBE2"/>
        <w:left w:val="single" w:sz="4" w:space="12" w:color="D4EBE2"/>
        <w:bottom w:val="single" w:sz="4" w:space="12" w:color="D4EBE2"/>
        <w:right w:val="single" w:sz="4" w:space="12" w:color="D4EBE2"/>
      </w:pBdr>
      <w:shd w:val="clear" w:color="auto" w:fill="D4EBE2"/>
      <w:spacing w:after="60" w:line="260" w:lineRule="exact"/>
      <w:ind w:left="568" w:hanging="284"/>
      <w:contextualSpacing w:val="0"/>
    </w:pPr>
    <w:rPr>
      <w:rFonts w:eastAsia="Poppins Light" w:cs="Times New Roman (Body CS)"/>
      <w:color w:val="002657"/>
      <w:spacing w:val="0"/>
      <w:lang w:val="en-US"/>
    </w:rPr>
  </w:style>
  <w:style w:type="paragraph" w:styleId="ListBullet4">
    <w:name w:val="List Bullet 4"/>
    <w:basedOn w:val="Normal"/>
    <w:uiPriority w:val="99"/>
    <w:unhideWhenUsed/>
    <w:rsid w:val="00E055E0"/>
    <w:pPr>
      <w:ind w:left="360" w:hanging="360"/>
      <w:contextualSpacing/>
    </w:pPr>
  </w:style>
  <w:style w:type="paragraph" w:customStyle="1" w:styleId="TableHeading">
    <w:name w:val="Table Heading"/>
    <w:basedOn w:val="Normal"/>
    <w:next w:val="Normal"/>
    <w:qFormat/>
    <w:rsid w:val="00A64407"/>
    <w:pPr>
      <w:spacing w:before="60" w:after="60" w:line="300" w:lineRule="exact"/>
    </w:pPr>
    <w:rPr>
      <w:b/>
      <w:bCs/>
      <w:sz w:val="24"/>
      <w:lang w:val="en-AU"/>
    </w:rPr>
  </w:style>
  <w:style w:type="numbering" w:customStyle="1" w:styleId="CurrentList1">
    <w:name w:val="Current List1"/>
    <w:uiPriority w:val="99"/>
    <w:rsid w:val="00861663"/>
    <w:pPr>
      <w:numPr>
        <w:numId w:val="8"/>
      </w:numPr>
    </w:pPr>
  </w:style>
  <w:style w:type="numbering" w:customStyle="1" w:styleId="CurrentList2">
    <w:name w:val="Current List2"/>
    <w:uiPriority w:val="99"/>
    <w:rsid w:val="00E5660E"/>
    <w:pPr>
      <w:numPr>
        <w:numId w:val="9"/>
      </w:numPr>
    </w:pPr>
  </w:style>
  <w:style w:type="numbering" w:customStyle="1" w:styleId="CurrentList3">
    <w:name w:val="Current List3"/>
    <w:uiPriority w:val="99"/>
    <w:rsid w:val="00E5660E"/>
    <w:pPr>
      <w:numPr>
        <w:numId w:val="10"/>
      </w:numPr>
    </w:pPr>
  </w:style>
  <w:style w:type="paragraph" w:styleId="ListNumber2">
    <w:name w:val="List Number 2"/>
    <w:basedOn w:val="Normal"/>
    <w:uiPriority w:val="99"/>
    <w:unhideWhenUsed/>
    <w:rsid w:val="00E5660E"/>
    <w:pPr>
      <w:contextualSpacing/>
    </w:pPr>
  </w:style>
  <w:style w:type="numbering" w:customStyle="1" w:styleId="CurrentList4">
    <w:name w:val="Current List4"/>
    <w:uiPriority w:val="99"/>
    <w:rsid w:val="008F13AD"/>
    <w:pPr>
      <w:numPr>
        <w:numId w:val="11"/>
      </w:numPr>
    </w:pPr>
  </w:style>
  <w:style w:type="numbering" w:customStyle="1" w:styleId="CurrentList5">
    <w:name w:val="Current List5"/>
    <w:uiPriority w:val="99"/>
    <w:rsid w:val="008F13AD"/>
    <w:pPr>
      <w:numPr>
        <w:numId w:val="12"/>
      </w:numPr>
    </w:pPr>
  </w:style>
  <w:style w:type="numbering" w:customStyle="1" w:styleId="CurrentList6">
    <w:name w:val="Current List6"/>
    <w:uiPriority w:val="99"/>
    <w:rsid w:val="008F13AD"/>
    <w:pPr>
      <w:numPr>
        <w:numId w:val="13"/>
      </w:numPr>
    </w:pPr>
  </w:style>
  <w:style w:type="paragraph" w:styleId="ListNumber3">
    <w:name w:val="List Number 3"/>
    <w:basedOn w:val="Normal"/>
    <w:uiPriority w:val="99"/>
    <w:unhideWhenUsed/>
    <w:rsid w:val="00B5519D"/>
    <w:pPr>
      <w:numPr>
        <w:numId w:val="14"/>
      </w:numPr>
      <w:spacing w:after="120"/>
      <w:contextualSpacing/>
    </w:pPr>
  </w:style>
  <w:style w:type="paragraph" w:styleId="ListNumber4">
    <w:name w:val="List Number 4"/>
    <w:basedOn w:val="Normal"/>
    <w:uiPriority w:val="99"/>
    <w:unhideWhenUsed/>
    <w:rsid w:val="00B5519D"/>
    <w:pPr>
      <w:numPr>
        <w:numId w:val="15"/>
      </w:numPr>
      <w:spacing w:after="120"/>
      <w:contextualSpacing/>
    </w:pPr>
  </w:style>
  <w:style w:type="paragraph" w:styleId="ListContinue">
    <w:name w:val="List Continue"/>
    <w:basedOn w:val="Normal"/>
    <w:uiPriority w:val="99"/>
    <w:unhideWhenUsed/>
    <w:qFormat/>
    <w:rsid w:val="00B5519D"/>
    <w:pPr>
      <w:ind w:left="283"/>
      <w:contextualSpacing/>
    </w:pPr>
  </w:style>
  <w:style w:type="paragraph" w:styleId="ListContinue2">
    <w:name w:val="List Continue 2"/>
    <w:basedOn w:val="Normal"/>
    <w:uiPriority w:val="99"/>
    <w:unhideWhenUsed/>
    <w:qFormat/>
    <w:rsid w:val="00B5519D"/>
    <w:pPr>
      <w:ind w:left="566"/>
      <w:contextualSpacing/>
    </w:pPr>
  </w:style>
  <w:style w:type="paragraph" w:styleId="List">
    <w:name w:val="List"/>
    <w:basedOn w:val="Normal"/>
    <w:uiPriority w:val="99"/>
    <w:unhideWhenUsed/>
    <w:rsid w:val="00B5519D"/>
    <w:pPr>
      <w:ind w:left="283" w:hanging="283"/>
      <w:contextualSpacing/>
    </w:pPr>
  </w:style>
  <w:style w:type="paragraph" w:customStyle="1" w:styleId="List21">
    <w:name w:val="List 21"/>
    <w:basedOn w:val="Normal"/>
    <w:qFormat/>
    <w:rsid w:val="00DF30C1"/>
    <w:pPr>
      <w:numPr>
        <w:ilvl w:val="1"/>
        <w:numId w:val="16"/>
      </w:numPr>
      <w:spacing w:after="0" w:line="240" w:lineRule="auto"/>
      <w:textAlignment w:val="baseline"/>
    </w:pPr>
    <w:rPr>
      <w:rFonts w:eastAsiaTheme="minorEastAsia"/>
      <w:lang w:eastAsia="en-AU"/>
    </w:rPr>
  </w:style>
  <w:style w:type="paragraph" w:customStyle="1" w:styleId="TableListBullet">
    <w:name w:val="Table List Bullet"/>
    <w:basedOn w:val="ListParagraph"/>
    <w:qFormat/>
    <w:rsid w:val="00836389"/>
    <w:pPr>
      <w:spacing w:after="60" w:line="260" w:lineRule="exact"/>
    </w:pPr>
    <w:rPr>
      <w:rFonts w:eastAsiaTheme="minorEastAsia"/>
      <w:lang w:eastAsia="en-AU"/>
    </w:rPr>
  </w:style>
  <w:style w:type="numbering" w:customStyle="1" w:styleId="CurrentList7">
    <w:name w:val="Current List7"/>
    <w:uiPriority w:val="99"/>
    <w:rsid w:val="00872210"/>
    <w:pPr>
      <w:numPr>
        <w:numId w:val="17"/>
      </w:numPr>
    </w:pPr>
  </w:style>
  <w:style w:type="paragraph" w:customStyle="1" w:styleId="List31">
    <w:name w:val="List 3.1"/>
    <w:basedOn w:val="Normal"/>
    <w:qFormat/>
    <w:rsid w:val="00056601"/>
    <w:pPr>
      <w:numPr>
        <w:ilvl w:val="1"/>
        <w:numId w:val="18"/>
      </w:numPr>
      <w:spacing w:before="100" w:beforeAutospacing="1" w:after="100" w:afterAutospacing="1"/>
    </w:pPr>
    <w:rPr>
      <w:rFonts w:eastAsiaTheme="minorEastAsia" w:cstheme="minorHAnsi"/>
      <w:lang w:eastAsia="en-AU"/>
    </w:rPr>
  </w:style>
  <w:style w:type="paragraph" w:customStyle="1" w:styleId="List41">
    <w:name w:val="List 4.1"/>
    <w:basedOn w:val="Normal"/>
    <w:qFormat/>
    <w:rsid w:val="004D351A"/>
    <w:pPr>
      <w:numPr>
        <w:ilvl w:val="1"/>
        <w:numId w:val="19"/>
      </w:numPr>
      <w:spacing w:before="100" w:beforeAutospacing="1" w:after="100" w:afterAutospacing="1"/>
    </w:pPr>
    <w:rPr>
      <w:lang w:val="en-AU" w:eastAsia="en-AU"/>
    </w:rPr>
  </w:style>
  <w:style w:type="paragraph" w:customStyle="1" w:styleId="List51">
    <w:name w:val="List 5.1"/>
    <w:basedOn w:val="Normal"/>
    <w:qFormat/>
    <w:rsid w:val="004D351A"/>
    <w:pPr>
      <w:numPr>
        <w:ilvl w:val="1"/>
        <w:numId w:val="21"/>
      </w:numPr>
      <w:spacing w:after="0"/>
    </w:pPr>
    <w:rPr>
      <w:lang w:val="en-AU" w:eastAsia="en-AU"/>
    </w:rPr>
  </w:style>
  <w:style w:type="paragraph" w:customStyle="1" w:styleId="61List">
    <w:name w:val="6.1 List"/>
    <w:basedOn w:val="List51"/>
    <w:qFormat/>
    <w:rsid w:val="005E194F"/>
    <w:pPr>
      <w:numPr>
        <w:ilvl w:val="0"/>
        <w:numId w:val="0"/>
      </w:numPr>
      <w:ind w:left="357" w:hanging="357"/>
    </w:pPr>
    <w:rPr>
      <w:rFonts w:eastAsiaTheme="minorEastAsia"/>
    </w:rPr>
  </w:style>
  <w:style w:type="paragraph" w:customStyle="1" w:styleId="Tablebullet">
    <w:name w:val="Table bullet"/>
    <w:basedOn w:val="OWBullet1"/>
    <w:uiPriority w:val="99"/>
    <w:qFormat/>
    <w:rsid w:val="00C94B6F"/>
    <w:pPr>
      <w:numPr>
        <w:numId w:val="20"/>
      </w:numPr>
    </w:pPr>
    <w:rPr>
      <w:color w:val="auto"/>
      <w:sz w:val="24"/>
    </w:rPr>
  </w:style>
  <w:style w:type="character" w:customStyle="1" w:styleId="Heading6Char">
    <w:name w:val="Heading 6 Char"/>
    <w:basedOn w:val="DefaultParagraphFont"/>
    <w:link w:val="Heading6"/>
    <w:uiPriority w:val="9"/>
    <w:semiHidden/>
    <w:rsid w:val="004D1500"/>
    <w:rPr>
      <w:rFonts w:eastAsiaTheme="majorEastAsia" w:cstheme="majorBidi"/>
      <w:color w:val="002554"/>
      <w:spacing w:val="-5"/>
      <w:kern w:val="0"/>
      <w:lang w:val="en-AU"/>
      <w14:ligatures w14:val="none"/>
    </w:rPr>
  </w:style>
  <w:style w:type="numbering" w:customStyle="1" w:styleId="NoList1">
    <w:name w:val="No List1"/>
    <w:next w:val="NoList"/>
    <w:uiPriority w:val="99"/>
    <w:semiHidden/>
    <w:unhideWhenUsed/>
    <w:rsid w:val="004D1500"/>
  </w:style>
  <w:style w:type="character" w:customStyle="1" w:styleId="contextualspellingandgrammarerror">
    <w:name w:val="contextualspellingandgrammarerror"/>
    <w:basedOn w:val="DefaultParagraphFont"/>
    <w:rsid w:val="004D1500"/>
  </w:style>
  <w:style w:type="character" w:customStyle="1" w:styleId="spellingerror">
    <w:name w:val="spellingerror"/>
    <w:basedOn w:val="DefaultParagraphFont"/>
    <w:rsid w:val="004D1500"/>
  </w:style>
  <w:style w:type="paragraph" w:styleId="NormalWeb">
    <w:name w:val="Normal (Web)"/>
    <w:basedOn w:val="Normal"/>
    <w:link w:val="NormalWebChar"/>
    <w:uiPriority w:val="99"/>
    <w:unhideWhenUsed/>
    <w:rsid w:val="004D1500"/>
    <w:pPr>
      <w:spacing w:before="100" w:beforeAutospacing="1" w:after="100" w:afterAutospacing="1" w:line="240" w:lineRule="auto"/>
    </w:pPr>
    <w:rPr>
      <w:rFonts w:ascii="Times New Roman" w:hAnsi="Times New Roman" w:cs="Times New Roman"/>
      <w:spacing w:val="-5"/>
      <w:sz w:val="24"/>
      <w:lang w:val="en-AU" w:eastAsia="en-GB"/>
    </w:rPr>
  </w:style>
  <w:style w:type="table" w:customStyle="1" w:styleId="TableGrid1">
    <w:name w:val="Table Grid1"/>
    <w:basedOn w:val="TableNormal"/>
    <w:next w:val="TableGrid"/>
    <w:uiPriority w:val="39"/>
    <w:rsid w:val="004D1500"/>
    <w:pPr>
      <w:spacing w:after="0" w:line="240" w:lineRule="auto"/>
    </w:pPr>
    <w:rPr>
      <w:rFonts w:asciiTheme="minorHAnsi" w:hAnsiTheme="minorHAnsi"/>
      <w:kern w:val="0"/>
      <w:sz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D1500"/>
    <w:pPr>
      <w:spacing w:before="100" w:beforeAutospacing="1" w:after="100" w:afterAutospacing="1" w:line="240" w:lineRule="auto"/>
    </w:pPr>
    <w:rPr>
      <w:rFonts w:ascii="Times New Roman" w:hAnsi="Times New Roman" w:cs="Times New Roman"/>
      <w:spacing w:val="-5"/>
      <w:sz w:val="24"/>
      <w:lang w:val="en-AU"/>
    </w:rPr>
  </w:style>
  <w:style w:type="character" w:styleId="Emphasis">
    <w:name w:val="Emphasis"/>
    <w:basedOn w:val="DefaultParagraphFont"/>
    <w:uiPriority w:val="20"/>
    <w:qFormat/>
    <w:rsid w:val="004D1500"/>
    <w:rPr>
      <w:i/>
      <w:iCs/>
    </w:rPr>
  </w:style>
  <w:style w:type="character" w:customStyle="1" w:styleId="findhit">
    <w:name w:val="findhit"/>
    <w:basedOn w:val="DefaultParagraphFont"/>
    <w:rsid w:val="004D1500"/>
  </w:style>
  <w:style w:type="paragraph" w:styleId="TOC4">
    <w:name w:val="toc 4"/>
    <w:basedOn w:val="Normal"/>
    <w:next w:val="Normal"/>
    <w:autoRedefine/>
    <w:uiPriority w:val="39"/>
    <w:unhideWhenUsed/>
    <w:rsid w:val="004D1500"/>
    <w:pPr>
      <w:spacing w:after="100" w:line="240" w:lineRule="auto"/>
      <w:ind w:left="660"/>
    </w:pPr>
    <w:rPr>
      <w:rFonts w:eastAsiaTheme="minorEastAsia" w:cstheme="minorBidi"/>
      <w:spacing w:val="-5"/>
      <w:sz w:val="24"/>
      <w:lang w:val="en-AU"/>
    </w:rPr>
  </w:style>
  <w:style w:type="paragraph" w:styleId="TOC5">
    <w:name w:val="toc 5"/>
    <w:basedOn w:val="Normal"/>
    <w:next w:val="Normal"/>
    <w:autoRedefine/>
    <w:uiPriority w:val="39"/>
    <w:unhideWhenUsed/>
    <w:rsid w:val="004D1500"/>
    <w:pPr>
      <w:spacing w:after="100" w:line="240" w:lineRule="auto"/>
      <w:ind w:left="880"/>
    </w:pPr>
    <w:rPr>
      <w:rFonts w:eastAsiaTheme="minorEastAsia" w:cstheme="minorBidi"/>
      <w:spacing w:val="-5"/>
      <w:sz w:val="24"/>
      <w:lang w:val="en-AU"/>
    </w:rPr>
  </w:style>
  <w:style w:type="paragraph" w:styleId="TOC6">
    <w:name w:val="toc 6"/>
    <w:basedOn w:val="Normal"/>
    <w:next w:val="Normal"/>
    <w:autoRedefine/>
    <w:uiPriority w:val="39"/>
    <w:unhideWhenUsed/>
    <w:rsid w:val="004D1500"/>
    <w:pPr>
      <w:spacing w:after="100" w:line="240" w:lineRule="auto"/>
      <w:ind w:left="1100"/>
    </w:pPr>
    <w:rPr>
      <w:rFonts w:eastAsiaTheme="minorEastAsia" w:cstheme="minorBidi"/>
      <w:spacing w:val="-5"/>
      <w:sz w:val="24"/>
      <w:lang w:val="en-AU"/>
    </w:rPr>
  </w:style>
  <w:style w:type="paragraph" w:styleId="TOC7">
    <w:name w:val="toc 7"/>
    <w:basedOn w:val="Normal"/>
    <w:next w:val="Normal"/>
    <w:autoRedefine/>
    <w:uiPriority w:val="39"/>
    <w:unhideWhenUsed/>
    <w:rsid w:val="004D1500"/>
    <w:pPr>
      <w:spacing w:after="100" w:line="240" w:lineRule="auto"/>
      <w:ind w:left="1320"/>
    </w:pPr>
    <w:rPr>
      <w:rFonts w:eastAsiaTheme="minorEastAsia" w:cstheme="minorBidi"/>
      <w:spacing w:val="-5"/>
      <w:sz w:val="24"/>
      <w:lang w:val="en-AU"/>
    </w:rPr>
  </w:style>
  <w:style w:type="paragraph" w:styleId="TOC8">
    <w:name w:val="toc 8"/>
    <w:basedOn w:val="Normal"/>
    <w:next w:val="Normal"/>
    <w:autoRedefine/>
    <w:uiPriority w:val="39"/>
    <w:unhideWhenUsed/>
    <w:rsid w:val="004D1500"/>
    <w:pPr>
      <w:spacing w:after="100" w:line="240" w:lineRule="auto"/>
      <w:ind w:left="1540"/>
    </w:pPr>
    <w:rPr>
      <w:rFonts w:eastAsiaTheme="minorEastAsia" w:cstheme="minorBidi"/>
      <w:spacing w:val="-5"/>
      <w:sz w:val="24"/>
      <w:lang w:val="en-AU"/>
    </w:rPr>
  </w:style>
  <w:style w:type="paragraph" w:styleId="TOC9">
    <w:name w:val="toc 9"/>
    <w:basedOn w:val="Normal"/>
    <w:next w:val="Normal"/>
    <w:autoRedefine/>
    <w:uiPriority w:val="39"/>
    <w:unhideWhenUsed/>
    <w:rsid w:val="004D1500"/>
    <w:pPr>
      <w:spacing w:after="100" w:line="240" w:lineRule="auto"/>
      <w:ind w:left="1760"/>
    </w:pPr>
    <w:rPr>
      <w:rFonts w:eastAsiaTheme="minorEastAsia" w:cstheme="minorBidi"/>
      <w:spacing w:val="-5"/>
      <w:sz w:val="24"/>
      <w:lang w:val="en-AU"/>
    </w:rPr>
  </w:style>
  <w:style w:type="paragraph" w:customStyle="1" w:styleId="EndNoteBibliographyTitle">
    <w:name w:val="EndNote Bibliography Title"/>
    <w:basedOn w:val="Normal"/>
    <w:link w:val="EndNoteBibliographyTitleChar"/>
    <w:rsid w:val="004D1500"/>
    <w:pPr>
      <w:spacing w:after="0" w:line="240" w:lineRule="auto"/>
      <w:jc w:val="center"/>
    </w:pPr>
    <w:rPr>
      <w:rFonts w:ascii="Calibri" w:hAnsi="Calibri" w:cs="Calibri"/>
      <w:spacing w:val="-5"/>
      <w:lang w:val="en-US"/>
    </w:rPr>
  </w:style>
  <w:style w:type="character" w:customStyle="1" w:styleId="EndNoteBibliographyTitleChar">
    <w:name w:val="EndNote Bibliography Title Char"/>
    <w:basedOn w:val="DefaultParagraphFont"/>
    <w:link w:val="EndNoteBibliographyTitle"/>
    <w:rsid w:val="004D1500"/>
    <w:rPr>
      <w:rFonts w:ascii="Calibri" w:hAnsi="Calibri" w:cs="Calibri"/>
      <w:color w:val="002554"/>
      <w:spacing w:val="-5"/>
      <w:kern w:val="0"/>
      <w:sz w:val="22"/>
      <w14:ligatures w14:val="none"/>
    </w:rPr>
  </w:style>
  <w:style w:type="paragraph" w:customStyle="1" w:styleId="EndNoteBibliography">
    <w:name w:val="EndNote Bibliography"/>
    <w:basedOn w:val="Normal"/>
    <w:link w:val="EndNoteBibliographyChar"/>
    <w:rsid w:val="004D1500"/>
    <w:pPr>
      <w:spacing w:line="240" w:lineRule="auto"/>
    </w:pPr>
    <w:rPr>
      <w:rFonts w:ascii="Calibri" w:hAnsi="Calibri" w:cs="Calibri"/>
      <w:spacing w:val="-5"/>
      <w:lang w:val="en-US"/>
    </w:rPr>
  </w:style>
  <w:style w:type="character" w:customStyle="1" w:styleId="EndNoteBibliographyChar">
    <w:name w:val="EndNote Bibliography Char"/>
    <w:basedOn w:val="DefaultParagraphFont"/>
    <w:link w:val="EndNoteBibliography"/>
    <w:rsid w:val="004D1500"/>
    <w:rPr>
      <w:rFonts w:ascii="Calibri" w:hAnsi="Calibri" w:cs="Calibri"/>
      <w:color w:val="002554"/>
      <w:spacing w:val="-5"/>
      <w:kern w:val="0"/>
      <w:sz w:val="22"/>
      <w14:ligatures w14:val="none"/>
    </w:rPr>
  </w:style>
  <w:style w:type="table" w:styleId="GridTable1LightAccent2">
    <w:name w:val="Grid Table 1 Light Accent 2"/>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4">
    <w:name w:val="Grid Table 1 Light Accent 4"/>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7ColourfulAccent4">
    <w:name w:val="List Table 7 Colorful Accent 4"/>
    <w:basedOn w:val="TableNormal"/>
    <w:uiPriority w:val="52"/>
    <w:rsid w:val="004D1500"/>
    <w:pPr>
      <w:spacing w:after="0" w:line="240" w:lineRule="auto"/>
    </w:pPr>
    <w:rPr>
      <w:rFonts w:asciiTheme="minorHAnsi" w:hAnsiTheme="minorHAnsi"/>
      <w:color w:val="BF8F00" w:themeColor="accent4" w:themeShade="BF"/>
      <w:kern w:val="0"/>
      <w:sz w:val="22"/>
      <w:lang w:val="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4">
    <w:name w:val="List Table 6 Colorful Accent 4"/>
    <w:basedOn w:val="TableNormal"/>
    <w:uiPriority w:val="51"/>
    <w:rsid w:val="004D1500"/>
    <w:pPr>
      <w:spacing w:after="0" w:line="240" w:lineRule="auto"/>
    </w:pPr>
    <w:rPr>
      <w:rFonts w:asciiTheme="minorHAnsi" w:hAnsiTheme="minorHAnsi"/>
      <w:color w:val="BF8F00" w:themeColor="accent4" w:themeShade="BF"/>
      <w:kern w:val="0"/>
      <w:sz w:val="22"/>
      <w:lang w:val="en-AU"/>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1">
    <w:name w:val="List Table 6 Colorful Accent 1"/>
    <w:basedOn w:val="TableNormal"/>
    <w:uiPriority w:val="51"/>
    <w:rsid w:val="004D1500"/>
    <w:pPr>
      <w:spacing w:after="0" w:line="240" w:lineRule="auto"/>
    </w:pPr>
    <w:rPr>
      <w:rFonts w:asciiTheme="minorHAnsi" w:hAnsiTheme="minorHAnsi"/>
      <w:color w:val="2F5496" w:themeColor="accent1" w:themeShade="BF"/>
      <w:kern w:val="0"/>
      <w:sz w:val="22"/>
      <w:lang w:val="en-AU"/>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A">
    <w:name w:val="Body A"/>
    <w:rsid w:val="004D1500"/>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Cs w:val="24"/>
      <w:u w:color="000000"/>
      <w:bdr w:val="nil"/>
      <w:lang w:val="en-AU" w:eastAsia="en-AU"/>
      <w14:ligatures w14:val="none"/>
    </w:rPr>
  </w:style>
  <w:style w:type="paragraph" w:styleId="ListBullet">
    <w:name w:val="List Bullet"/>
    <w:basedOn w:val="Normal"/>
    <w:uiPriority w:val="99"/>
    <w:unhideWhenUsed/>
    <w:qFormat/>
    <w:rsid w:val="00F5735A"/>
    <w:pPr>
      <w:numPr>
        <w:numId w:val="38"/>
      </w:numPr>
      <w:spacing w:after="120"/>
      <w:contextualSpacing/>
    </w:pPr>
    <w:rPr>
      <w:lang w:val="en-AU"/>
    </w:rPr>
  </w:style>
  <w:style w:type="table" w:styleId="GridTable1Light-Accent1">
    <w:name w:val="Grid Table 1 Light Accent 1"/>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DefaultParagraphFont"/>
    <w:rsid w:val="004D1500"/>
  </w:style>
  <w:style w:type="character" w:styleId="SubtleEmphasis">
    <w:name w:val="Subtle Emphasis"/>
    <w:aliases w:val="ACARA - Table Text,Table Text"/>
    <w:basedOn w:val="DefaultParagraphFont"/>
    <w:uiPriority w:val="19"/>
    <w:qFormat/>
    <w:rsid w:val="004D1500"/>
    <w:rPr>
      <w:rFonts w:ascii="Arial" w:hAnsi="Arial"/>
      <w:i w:val="0"/>
      <w:iCs/>
      <w:color w:val="auto"/>
      <w:sz w:val="20"/>
    </w:rPr>
  </w:style>
  <w:style w:type="paragraph" w:customStyle="1" w:styleId="ACARAtabletext">
    <w:name w:val="ACARA table text"/>
    <w:basedOn w:val="BodyText"/>
    <w:qFormat/>
    <w:rsid w:val="004D1500"/>
    <w:pPr>
      <w:spacing w:before="120" w:line="240" w:lineRule="auto"/>
      <w:ind w:left="227" w:right="227"/>
    </w:pPr>
    <w:rPr>
      <w:rFonts w:ascii="Arial" w:hAnsi="Arial" w:cs="Arial"/>
      <w:spacing w:val="-5"/>
      <w:sz w:val="20"/>
      <w:szCs w:val="24"/>
      <w:lang w:val="en-IN"/>
    </w:rPr>
  </w:style>
  <w:style w:type="paragraph" w:customStyle="1" w:styleId="CD">
    <w:name w:val="CD"/>
    <w:basedOn w:val="Normal"/>
    <w:qFormat/>
    <w:rsid w:val="004D1500"/>
    <w:pPr>
      <w:spacing w:after="0" w:line="240" w:lineRule="auto"/>
    </w:pPr>
    <w:rPr>
      <w:rFonts w:ascii="Arial" w:eastAsia="Helvetica" w:hAnsi="Arial" w:cstheme="minorHAnsi"/>
      <w:b/>
      <w:bCs/>
      <w:i/>
      <w:iCs/>
      <w:spacing w:val="-5"/>
      <w:szCs w:val="20"/>
      <w:lang w:val="en-NZ"/>
    </w:rPr>
  </w:style>
  <w:style w:type="character" w:customStyle="1" w:styleId="NormalWebChar">
    <w:name w:val="Normal (Web) Char"/>
    <w:basedOn w:val="DefaultParagraphFont"/>
    <w:link w:val="NormalWeb"/>
    <w:uiPriority w:val="99"/>
    <w:rsid w:val="004D1500"/>
    <w:rPr>
      <w:rFonts w:ascii="Times New Roman" w:hAnsi="Times New Roman" w:cs="Times New Roman"/>
      <w:color w:val="002554"/>
      <w:spacing w:val="-5"/>
      <w:kern w:val="0"/>
      <w:lang w:val="en-AU" w:eastAsia="en-GB"/>
      <w14:ligatures w14:val="none"/>
    </w:rPr>
  </w:style>
  <w:style w:type="paragraph" w:styleId="Subtitle">
    <w:name w:val="Subtitle"/>
    <w:basedOn w:val="NoSpacing"/>
    <w:next w:val="Normal"/>
    <w:link w:val="SubtitleChar"/>
    <w:uiPriority w:val="11"/>
    <w:rsid w:val="004D1500"/>
    <w:pPr>
      <w:spacing w:after="320" w:line="247" w:lineRule="auto"/>
      <w:ind w:right="1134"/>
    </w:pPr>
    <w:rPr>
      <w:rFonts w:ascii="Roboto" w:hAnsi="Roboto"/>
      <w:b/>
      <w:bCs/>
      <w:color w:val="002554"/>
      <w:spacing w:val="-7"/>
      <w:sz w:val="36"/>
      <w:szCs w:val="36"/>
    </w:rPr>
  </w:style>
  <w:style w:type="character" w:customStyle="1" w:styleId="SubtitleChar">
    <w:name w:val="Subtitle Char"/>
    <w:basedOn w:val="DefaultParagraphFont"/>
    <w:link w:val="Subtitle"/>
    <w:uiPriority w:val="11"/>
    <w:rsid w:val="004D1500"/>
    <w:rPr>
      <w:b/>
      <w:bCs/>
      <w:color w:val="002554"/>
      <w:spacing w:val="-7"/>
      <w:kern w:val="0"/>
      <w:sz w:val="36"/>
      <w:szCs w:val="36"/>
      <w:lang w:val="en-AU"/>
      <w14:ligatures w14:val="none"/>
    </w:rPr>
  </w:style>
  <w:style w:type="character" w:customStyle="1" w:styleId="cf01">
    <w:name w:val="cf01"/>
    <w:basedOn w:val="DefaultParagraphFont"/>
    <w:rsid w:val="004D1500"/>
    <w:rPr>
      <w:rFonts w:ascii="Segoe UI" w:hAnsi="Segoe UI" w:cs="Segoe UI" w:hint="default"/>
      <w:sz w:val="18"/>
      <w:szCs w:val="18"/>
    </w:rPr>
  </w:style>
  <w:style w:type="character" w:customStyle="1" w:styleId="cf11">
    <w:name w:val="cf11"/>
    <w:basedOn w:val="DefaultParagraphFont"/>
    <w:rsid w:val="004D1500"/>
    <w:rPr>
      <w:rFonts w:ascii="Segoe UI" w:hAnsi="Segoe UI" w:cs="Segoe UI" w:hint="default"/>
      <w:color w:val="002060"/>
      <w:sz w:val="18"/>
      <w:szCs w:val="18"/>
    </w:rPr>
  </w:style>
  <w:style w:type="character" w:styleId="EndnoteReference">
    <w:name w:val="endnote reference"/>
    <w:basedOn w:val="DefaultParagraphFont"/>
    <w:uiPriority w:val="99"/>
    <w:unhideWhenUsed/>
    <w:qFormat/>
    <w:rsid w:val="004D1500"/>
    <w:rPr>
      <w:vertAlign w:val="superscript"/>
    </w:rPr>
  </w:style>
  <w:style w:type="paragraph" w:customStyle="1" w:styleId="pf0">
    <w:name w:val="pf0"/>
    <w:basedOn w:val="Normal"/>
    <w:rsid w:val="004D1500"/>
    <w:pPr>
      <w:spacing w:before="100" w:beforeAutospacing="1" w:after="100" w:afterAutospacing="1" w:line="240" w:lineRule="auto"/>
    </w:pPr>
    <w:rPr>
      <w:rFonts w:ascii="Times New Roman" w:hAnsi="Times New Roman" w:cs="Times New Roman"/>
      <w:spacing w:val="-5"/>
      <w:sz w:val="24"/>
      <w:lang w:val="en-AU"/>
    </w:rPr>
  </w:style>
  <w:style w:type="character" w:customStyle="1" w:styleId="Strong1">
    <w:name w:val="Strong1"/>
    <w:basedOn w:val="DefaultParagraphFont"/>
    <w:rsid w:val="004D1500"/>
    <w:rPr>
      <w:rFonts w:ascii="Roboto" w:hAnsi="Roboto" w:hint="default"/>
      <w:b/>
      <w:bCs/>
      <w:i w:val="0"/>
      <w:iCs w:val="0"/>
      <w:color w:val="002657"/>
      <w:sz w:val="26"/>
    </w:rPr>
  </w:style>
  <w:style w:type="character" w:customStyle="1" w:styleId="relative">
    <w:name w:val="relative"/>
    <w:basedOn w:val="DefaultParagraphFont"/>
    <w:rsid w:val="004D1500"/>
  </w:style>
  <w:style w:type="character" w:customStyle="1" w:styleId="BulletedlistChar">
    <w:name w:val="Bulleted list Char"/>
    <w:basedOn w:val="DefaultParagraphFont"/>
    <w:link w:val="Bulletedlist"/>
    <w:locked/>
    <w:rsid w:val="004D1500"/>
    <w:rPr>
      <w:color w:val="002554"/>
      <w:spacing w:val="-5"/>
    </w:rPr>
  </w:style>
  <w:style w:type="paragraph" w:customStyle="1" w:styleId="Bulletedlist">
    <w:name w:val="Bulleted list"/>
    <w:basedOn w:val="ListParagraph"/>
    <w:link w:val="BulletedlistChar"/>
    <w:qFormat/>
    <w:rsid w:val="004D1500"/>
    <w:pPr>
      <w:numPr>
        <w:numId w:val="28"/>
      </w:numPr>
      <w:spacing w:after="120" w:line="240" w:lineRule="auto"/>
      <w:ind w:left="0" w:firstLine="0"/>
      <w:contextualSpacing/>
    </w:pPr>
    <w:rPr>
      <w:rFonts w:cstheme="minorBidi"/>
      <w:spacing w:val="-5"/>
      <w:kern w:val="2"/>
      <w:sz w:val="24"/>
      <w:lang w:val="en-US"/>
      <w14:ligatures w14:val="standardContextual"/>
    </w:rPr>
  </w:style>
  <w:style w:type="character" w:customStyle="1" w:styleId="NoSpacingChar">
    <w:name w:val="No Spacing Char"/>
    <w:basedOn w:val="DefaultParagraphFont"/>
    <w:link w:val="NoSpacing"/>
    <w:uiPriority w:val="1"/>
    <w:locked/>
    <w:rsid w:val="004D1500"/>
    <w:rPr>
      <w:rFonts w:asciiTheme="minorHAnsi" w:hAnsiTheme="minorHAnsi"/>
      <w:color w:val="4D4D4F"/>
      <w:kern w:val="0"/>
      <w:szCs w:val="24"/>
      <w:lang w:val="en-AU"/>
      <w14:ligatures w14:val="none"/>
    </w:rPr>
  </w:style>
  <w:style w:type="paragraph" w:customStyle="1" w:styleId="adbestyle001005">
    <w:name w:val="adbe_style_001005"/>
    <w:basedOn w:val="Default"/>
    <w:next w:val="Default"/>
    <w:uiPriority w:val="99"/>
    <w:rsid w:val="004D1500"/>
    <w:rPr>
      <w:rFonts w:ascii="Acumin Pro Black" w:hAnsi="Acumin Pro Black" w:cstheme="minorBidi"/>
      <w:color w:val="auto"/>
    </w:rPr>
  </w:style>
  <w:style w:type="character" w:customStyle="1" w:styleId="adbetext01bd">
    <w:name w:val="adbe_text_01bd"/>
    <w:uiPriority w:val="99"/>
    <w:rsid w:val="004D1500"/>
    <w:rPr>
      <w:rFonts w:cs="Acumin Pro Black"/>
      <w:b/>
      <w:bCs/>
      <w:color w:val="00255D"/>
      <w:sz w:val="23"/>
      <w:szCs w:val="23"/>
    </w:rPr>
  </w:style>
  <w:style w:type="paragraph" w:customStyle="1" w:styleId="adbestyle002001">
    <w:name w:val="adbe_style_002001"/>
    <w:basedOn w:val="Default"/>
    <w:next w:val="Default"/>
    <w:uiPriority w:val="99"/>
    <w:rsid w:val="004D1500"/>
    <w:rPr>
      <w:rFonts w:ascii="Acumin Pro Black" w:hAnsi="Acumin Pro Black" w:cstheme="minorBidi"/>
      <w:color w:val="auto"/>
    </w:rPr>
  </w:style>
  <w:style w:type="character" w:customStyle="1" w:styleId="adbestyle002002">
    <w:name w:val="adbe_style_002002"/>
    <w:uiPriority w:val="99"/>
    <w:rsid w:val="004D1500"/>
    <w:rPr>
      <w:rFonts w:ascii="Acumin Pro" w:hAnsi="Acumin Pro" w:cs="Acumin Pro"/>
      <w:color w:val="00255D"/>
      <w:sz w:val="13"/>
      <w:szCs w:val="13"/>
    </w:rPr>
  </w:style>
  <w:style w:type="paragraph" w:customStyle="1" w:styleId="adbestyle00e000">
    <w:name w:val="adbe_style_00e000"/>
    <w:basedOn w:val="Default"/>
    <w:next w:val="Default"/>
    <w:uiPriority w:val="99"/>
    <w:rsid w:val="004D1500"/>
    <w:rPr>
      <w:rFonts w:ascii="Acumin Pro Black" w:hAnsi="Acumin Pro Black" w:cstheme="minorBidi"/>
      <w:color w:val="auto"/>
    </w:rPr>
  </w:style>
  <w:style w:type="paragraph" w:customStyle="1" w:styleId="adbestyle00f000">
    <w:name w:val="adbe_style_00f000"/>
    <w:basedOn w:val="Default"/>
    <w:next w:val="Default"/>
    <w:uiPriority w:val="99"/>
    <w:rsid w:val="004D1500"/>
    <w:rPr>
      <w:rFonts w:ascii="Acumin Pro Black" w:hAnsi="Acumin Pro Black" w:cstheme="minorBidi"/>
      <w:color w:val="auto"/>
    </w:rPr>
  </w:style>
  <w:style w:type="paragraph" w:customStyle="1" w:styleId="adbestyle001001">
    <w:name w:val="adbe_style_001001"/>
    <w:basedOn w:val="Default"/>
    <w:next w:val="Default"/>
    <w:uiPriority w:val="99"/>
    <w:rsid w:val="004D1500"/>
    <w:rPr>
      <w:rFonts w:ascii="Acumin Pro Black" w:hAnsi="Acumin Pro Black" w:cstheme="minorBidi"/>
      <w:color w:val="auto"/>
    </w:rPr>
  </w:style>
  <w:style w:type="character" w:customStyle="1" w:styleId="adbetext01d1">
    <w:name w:val="adbe_text_01d1"/>
    <w:uiPriority w:val="99"/>
    <w:rsid w:val="004D1500"/>
    <w:rPr>
      <w:rFonts w:cs="Acumin Pro Black"/>
      <w:b/>
      <w:bCs/>
      <w:color w:val="00255D"/>
      <w:sz w:val="23"/>
      <w:szCs w:val="23"/>
    </w:rPr>
  </w:style>
  <w:style w:type="paragraph" w:styleId="Date">
    <w:name w:val="Date"/>
    <w:basedOn w:val="NoSpacing"/>
    <w:next w:val="Normal"/>
    <w:link w:val="DateChar"/>
    <w:uiPriority w:val="99"/>
    <w:unhideWhenUsed/>
    <w:rsid w:val="004D1500"/>
    <w:pPr>
      <w:spacing w:after="360"/>
    </w:pPr>
    <w:rPr>
      <w:rFonts w:ascii="Roboto" w:hAnsi="Roboto"/>
      <w:color w:val="002554"/>
      <w:spacing w:val="-5"/>
      <w:sz w:val="28"/>
    </w:rPr>
  </w:style>
  <w:style w:type="character" w:customStyle="1" w:styleId="DateChar">
    <w:name w:val="Date Char"/>
    <w:basedOn w:val="DefaultParagraphFont"/>
    <w:link w:val="Date"/>
    <w:uiPriority w:val="99"/>
    <w:rsid w:val="004D1500"/>
    <w:rPr>
      <w:color w:val="002554"/>
      <w:spacing w:val="-5"/>
      <w:kern w:val="0"/>
      <w:sz w:val="28"/>
      <w:szCs w:val="24"/>
      <w:lang w:val="en-AU"/>
      <w14:ligatures w14:val="none"/>
    </w:rPr>
  </w:style>
  <w:style w:type="paragraph" w:styleId="ListBullet2">
    <w:name w:val="List Bullet 2"/>
    <w:basedOn w:val="Normal"/>
    <w:uiPriority w:val="99"/>
    <w:unhideWhenUsed/>
    <w:qFormat/>
    <w:rsid w:val="004D1500"/>
    <w:pPr>
      <w:spacing w:after="130" w:line="192" w:lineRule="auto"/>
    </w:pPr>
    <w:rPr>
      <w:rFonts w:cstheme="minorBidi"/>
      <w:spacing w:val="-5"/>
      <w:sz w:val="24"/>
      <w:lang w:val="en-AU"/>
    </w:rPr>
  </w:style>
  <w:style w:type="numbering" w:customStyle="1" w:styleId="Bullets">
    <w:name w:val="Bullets"/>
    <w:uiPriority w:val="99"/>
    <w:rsid w:val="004D1500"/>
    <w:pPr>
      <w:numPr>
        <w:numId w:val="23"/>
      </w:numPr>
    </w:pPr>
  </w:style>
  <w:style w:type="numbering" w:customStyle="1" w:styleId="Numbering">
    <w:name w:val="Numbering"/>
    <w:uiPriority w:val="99"/>
    <w:rsid w:val="004D1500"/>
    <w:pPr>
      <w:numPr>
        <w:numId w:val="24"/>
      </w:numPr>
    </w:pPr>
  </w:style>
  <w:style w:type="paragraph" w:styleId="ListBullet3">
    <w:name w:val="List Bullet 3"/>
    <w:basedOn w:val="Normal"/>
    <w:uiPriority w:val="99"/>
    <w:unhideWhenUsed/>
    <w:rsid w:val="004D1500"/>
    <w:pPr>
      <w:tabs>
        <w:tab w:val="num" w:pos="1134"/>
      </w:tabs>
      <w:spacing w:after="130" w:line="192" w:lineRule="auto"/>
    </w:pPr>
    <w:rPr>
      <w:rFonts w:cstheme="minorBidi"/>
      <w:spacing w:val="-5"/>
      <w:sz w:val="24"/>
      <w:lang w:val="en-AU"/>
    </w:rPr>
  </w:style>
  <w:style w:type="paragraph" w:styleId="ListNumber5">
    <w:name w:val="List Number 5"/>
    <w:basedOn w:val="Normal"/>
    <w:uiPriority w:val="99"/>
    <w:unhideWhenUsed/>
    <w:rsid w:val="004D1500"/>
    <w:pPr>
      <w:spacing w:line="240" w:lineRule="auto"/>
      <w:contextualSpacing/>
    </w:pPr>
    <w:rPr>
      <w:rFonts w:cstheme="minorBidi"/>
      <w:spacing w:val="-5"/>
      <w:sz w:val="24"/>
      <w:lang w:val="en-AU"/>
    </w:rPr>
  </w:style>
  <w:style w:type="paragraph" w:styleId="ListContinue3">
    <w:name w:val="List Continue 3"/>
    <w:basedOn w:val="Normal"/>
    <w:uiPriority w:val="99"/>
    <w:unhideWhenUsed/>
    <w:rsid w:val="004D1500"/>
    <w:pPr>
      <w:spacing w:line="240" w:lineRule="auto"/>
      <w:ind w:left="1134"/>
    </w:pPr>
    <w:rPr>
      <w:rFonts w:cstheme="minorBidi"/>
      <w:spacing w:val="-5"/>
      <w:sz w:val="24"/>
      <w:lang w:val="en-AU"/>
    </w:rPr>
  </w:style>
  <w:style w:type="paragraph" w:styleId="ListContinue4">
    <w:name w:val="List Continue 4"/>
    <w:basedOn w:val="Normal"/>
    <w:uiPriority w:val="99"/>
    <w:unhideWhenUsed/>
    <w:rsid w:val="004D1500"/>
    <w:pPr>
      <w:spacing w:line="240" w:lineRule="auto"/>
      <w:ind w:left="1132"/>
      <w:contextualSpacing/>
    </w:pPr>
    <w:rPr>
      <w:rFonts w:cstheme="minorBidi"/>
      <w:spacing w:val="-5"/>
      <w:sz w:val="24"/>
      <w:lang w:val="en-AU"/>
    </w:rPr>
  </w:style>
  <w:style w:type="numbering" w:customStyle="1" w:styleId="ListHeadings">
    <w:name w:val="List Headings"/>
    <w:uiPriority w:val="99"/>
    <w:rsid w:val="004D1500"/>
    <w:pPr>
      <w:numPr>
        <w:numId w:val="25"/>
      </w:numPr>
    </w:pPr>
  </w:style>
  <w:style w:type="paragraph" w:customStyle="1" w:styleId="Pull-outQuote">
    <w:name w:val="Pull-out Quote"/>
    <w:basedOn w:val="Normal"/>
    <w:link w:val="Pull-outQuoteChar"/>
    <w:semiHidden/>
    <w:rsid w:val="004D1500"/>
    <w:pPr>
      <w:pBdr>
        <w:top w:val="single" w:sz="4" w:space="4" w:color="44546A" w:themeColor="text2"/>
        <w:left w:val="single" w:sz="4" w:space="4" w:color="44546A" w:themeColor="text2"/>
        <w:bottom w:val="single" w:sz="4" w:space="4" w:color="44546A" w:themeColor="text2"/>
        <w:right w:val="single" w:sz="4" w:space="4" w:color="44546A" w:themeColor="text2"/>
      </w:pBdr>
      <w:shd w:val="clear" w:color="auto" w:fill="44546A" w:themeFill="text2"/>
      <w:spacing w:line="240" w:lineRule="auto"/>
      <w:ind w:left="113" w:right="113"/>
    </w:pPr>
    <w:rPr>
      <w:rFonts w:cstheme="minorBidi"/>
      <w:color w:val="FFFFFF" w:themeColor="background1"/>
      <w:spacing w:val="-5"/>
      <w:sz w:val="24"/>
      <w:lang w:val="en-AU"/>
    </w:rPr>
  </w:style>
  <w:style w:type="paragraph" w:customStyle="1" w:styleId="Pull-outQuoteHeading">
    <w:name w:val="Pull-out Quote Heading"/>
    <w:basedOn w:val="Pull-outQuote"/>
    <w:next w:val="Pull-outQuote"/>
    <w:link w:val="Pull-outQuoteHeadingChar"/>
    <w:semiHidden/>
    <w:rsid w:val="004D1500"/>
    <w:rPr>
      <w:b/>
    </w:rPr>
  </w:style>
  <w:style w:type="character" w:customStyle="1" w:styleId="Pull-outQuoteChar">
    <w:name w:val="Pull-out Quote Char"/>
    <w:basedOn w:val="DefaultParagraphFont"/>
    <w:link w:val="Pull-outQuote"/>
    <w:semiHidden/>
    <w:rsid w:val="004D1500"/>
    <w:rPr>
      <w:color w:val="FFFFFF" w:themeColor="background1"/>
      <w:spacing w:val="-5"/>
      <w:kern w:val="0"/>
      <w:shd w:val="clear" w:color="auto" w:fill="44546A" w:themeFill="text2"/>
      <w:lang w:val="en-AU"/>
      <w14:ligatures w14:val="none"/>
    </w:rPr>
  </w:style>
  <w:style w:type="character" w:customStyle="1" w:styleId="Pull-outQuoteHeadingChar">
    <w:name w:val="Pull-out Quote Heading Char"/>
    <w:basedOn w:val="Pull-outQuoteChar"/>
    <w:link w:val="Pull-outQuoteHeading"/>
    <w:semiHidden/>
    <w:rsid w:val="004D1500"/>
    <w:rPr>
      <w:b/>
      <w:color w:val="FFFFFF" w:themeColor="background1"/>
      <w:spacing w:val="-5"/>
      <w:kern w:val="0"/>
      <w:shd w:val="clear" w:color="auto" w:fill="44546A" w:themeFill="text2"/>
      <w:lang w:val="en-AU"/>
      <w14:ligatures w14:val="none"/>
    </w:rPr>
  </w:style>
  <w:style w:type="paragraph" w:customStyle="1" w:styleId="Introduction">
    <w:name w:val="Introduction"/>
    <w:basedOn w:val="Normal"/>
    <w:next w:val="Normal"/>
    <w:link w:val="IntroductionChar"/>
    <w:uiPriority w:val="3"/>
    <w:qFormat/>
    <w:rsid w:val="004D1500"/>
    <w:pPr>
      <w:framePr w:w="5954" w:vSpace="284" w:wrap="notBeside" w:vAnchor="text" w:hAnchor="text" w:y="1"/>
      <w:spacing w:before="120" w:line="240" w:lineRule="auto"/>
    </w:pPr>
    <w:rPr>
      <w:rFonts w:cstheme="majorHAnsi"/>
      <w:b/>
      <w:bCs/>
      <w:spacing w:val="-5"/>
      <w:sz w:val="24"/>
      <w:lang w:val="en-AU"/>
    </w:rPr>
  </w:style>
  <w:style w:type="table" w:customStyle="1" w:styleId="OurWatchTable">
    <w:name w:val="Our Watch Table"/>
    <w:basedOn w:val="TableNormal"/>
    <w:uiPriority w:val="99"/>
    <w:rsid w:val="004D1500"/>
    <w:pPr>
      <w:spacing w:after="0" w:line="240" w:lineRule="auto"/>
    </w:pPr>
    <w:rPr>
      <w:rFonts w:asciiTheme="minorHAnsi" w:hAnsiTheme="minorHAnsi"/>
      <w:kern w:val="0"/>
      <w:sz w:val="22"/>
      <w:lang w:val="en-AU"/>
      <w14:ligatures w14:val="none"/>
    </w:rPr>
    <w:tblPr>
      <w:tblBorders>
        <w:top w:val="single" w:sz="2" w:space="0" w:color="ED7D31" w:themeColor="accent2"/>
        <w:bottom w:val="single" w:sz="2" w:space="0" w:color="ED7D31" w:themeColor="accent2"/>
        <w:insideH w:val="single" w:sz="2" w:space="0" w:color="ED7D31" w:themeColor="accent2"/>
      </w:tblBorders>
      <w:tblCellMar>
        <w:top w:w="57" w:type="dxa"/>
        <w:left w:w="0" w:type="dxa"/>
        <w:right w:w="0" w:type="dxa"/>
      </w:tblCellMar>
    </w:tblPr>
    <w:tblStylePr w:type="firstRow">
      <w:rPr>
        <w:rFonts w:ascii="Roboto" w:hAnsi="Roboto"/>
        <w:b/>
      </w:rPr>
    </w:tblStylePr>
    <w:tblStylePr w:type="lastRow">
      <w:rPr>
        <w:rFonts w:ascii="Roboto" w:hAnsi="Roboto"/>
        <w:b/>
      </w:rPr>
    </w:tblStylePr>
    <w:tblStylePr w:type="firstCol">
      <w:rPr>
        <w:rFonts w:ascii="Roboto" w:hAnsi="Roboto"/>
        <w:b/>
      </w:rPr>
    </w:tblStylePr>
  </w:style>
  <w:style w:type="character" w:customStyle="1" w:styleId="IntroductionChar">
    <w:name w:val="Introduction Char"/>
    <w:basedOn w:val="DefaultParagraphFont"/>
    <w:link w:val="Introduction"/>
    <w:uiPriority w:val="3"/>
    <w:rsid w:val="004D1500"/>
    <w:rPr>
      <w:rFonts w:cstheme="majorHAnsi"/>
      <w:b/>
      <w:bCs/>
      <w:color w:val="002554"/>
      <w:spacing w:val="-5"/>
      <w:kern w:val="0"/>
      <w:lang w:val="en-AU"/>
      <w14:ligatures w14:val="none"/>
    </w:rPr>
  </w:style>
  <w:style w:type="paragraph" w:styleId="ListContinue5">
    <w:name w:val="List Continue 5"/>
    <w:basedOn w:val="Normal"/>
    <w:uiPriority w:val="99"/>
    <w:unhideWhenUsed/>
    <w:rsid w:val="004D1500"/>
    <w:pPr>
      <w:spacing w:line="240" w:lineRule="auto"/>
      <w:ind w:left="1415"/>
      <w:contextualSpacing/>
    </w:pPr>
    <w:rPr>
      <w:rFonts w:cstheme="minorBidi"/>
      <w:spacing w:val="-5"/>
      <w:sz w:val="24"/>
      <w:lang w:val="en-AU"/>
    </w:rPr>
  </w:style>
  <w:style w:type="paragraph" w:styleId="List2">
    <w:name w:val="List 2"/>
    <w:basedOn w:val="Normal"/>
    <w:uiPriority w:val="99"/>
    <w:unhideWhenUsed/>
    <w:rsid w:val="004D1500"/>
    <w:pPr>
      <w:spacing w:line="240" w:lineRule="auto"/>
      <w:contextualSpacing/>
    </w:pPr>
    <w:rPr>
      <w:rFonts w:cstheme="minorBidi"/>
      <w:spacing w:val="-5"/>
      <w:sz w:val="24"/>
      <w:lang w:val="en-AU"/>
    </w:rPr>
  </w:style>
  <w:style w:type="numbering" w:customStyle="1" w:styleId="LetteredList">
    <w:name w:val="Lettered List"/>
    <w:uiPriority w:val="99"/>
    <w:rsid w:val="004D1500"/>
    <w:pPr>
      <w:numPr>
        <w:numId w:val="26"/>
      </w:numPr>
    </w:pPr>
  </w:style>
  <w:style w:type="table" w:customStyle="1" w:styleId="Blank">
    <w:name w:val="Blank"/>
    <w:basedOn w:val="TableNormal"/>
    <w:uiPriority w:val="99"/>
    <w:rsid w:val="004D1500"/>
    <w:pPr>
      <w:spacing w:after="0" w:line="240" w:lineRule="auto"/>
    </w:pPr>
    <w:rPr>
      <w:rFonts w:asciiTheme="minorHAnsi" w:hAnsiTheme="minorHAnsi"/>
      <w:kern w:val="0"/>
      <w:sz w:val="22"/>
      <w:lang w:val="en-AU"/>
      <w14:ligatures w14:val="none"/>
    </w:rPr>
    <w:tblPr>
      <w:tblCellMar>
        <w:left w:w="0" w:type="dxa"/>
        <w:right w:w="0" w:type="dxa"/>
      </w:tblCellMar>
    </w:tblPr>
  </w:style>
  <w:style w:type="paragraph" w:customStyle="1" w:styleId="PageHeading">
    <w:name w:val="Page Heading"/>
    <w:link w:val="PageHeadingChar"/>
    <w:uiPriority w:val="2"/>
    <w:rsid w:val="004D1500"/>
    <w:pPr>
      <w:pageBreakBefore/>
      <w:spacing w:after="840" w:line="223" w:lineRule="auto"/>
      <w:outlineLvl w:val="0"/>
    </w:pPr>
    <w:rPr>
      <w:b/>
      <w:bCs/>
      <w:color w:val="002554"/>
      <w:spacing w:val="-11"/>
      <w:kern w:val="0"/>
      <w:sz w:val="60"/>
      <w:szCs w:val="60"/>
      <w:lang w:val="en-AU"/>
      <w14:ligatures w14:val="none"/>
    </w:rPr>
  </w:style>
  <w:style w:type="paragraph" w:customStyle="1" w:styleId="PullQuote-margin">
    <w:name w:val="Pull Quote-margin"/>
    <w:basedOn w:val="Normal"/>
    <w:next w:val="PullQuote"/>
    <w:link w:val="PullQuote-marginChar"/>
    <w:uiPriority w:val="4"/>
    <w:qFormat/>
    <w:rsid w:val="004D1500"/>
    <w:pPr>
      <w:framePr w:w="2835" w:hSpace="567" w:vSpace="17010" w:wrap="around" w:vAnchor="text" w:hAnchor="page" w:x="8506" w:y="1"/>
      <w:spacing w:after="300" w:line="278" w:lineRule="auto"/>
    </w:pPr>
    <w:rPr>
      <w:rFonts w:cstheme="minorBidi"/>
      <w:b/>
      <w:spacing w:val="-5"/>
      <w:sz w:val="26"/>
      <w:lang w:val="en-AU"/>
    </w:rPr>
  </w:style>
  <w:style w:type="character" w:customStyle="1" w:styleId="PageHeadingChar">
    <w:name w:val="Page Heading Char"/>
    <w:basedOn w:val="DefaultParagraphFont"/>
    <w:link w:val="PageHeading"/>
    <w:uiPriority w:val="2"/>
    <w:rsid w:val="004D1500"/>
    <w:rPr>
      <w:b/>
      <w:bCs/>
      <w:color w:val="002554"/>
      <w:spacing w:val="-11"/>
      <w:kern w:val="0"/>
      <w:sz w:val="60"/>
      <w:szCs w:val="60"/>
      <w:lang w:val="en-AU"/>
      <w14:ligatures w14:val="none"/>
    </w:rPr>
  </w:style>
  <w:style w:type="paragraph" w:customStyle="1" w:styleId="PullQuote">
    <w:name w:val="Pull Quote"/>
    <w:basedOn w:val="PullQuote-margin"/>
    <w:link w:val="PullQuoteChar"/>
    <w:uiPriority w:val="4"/>
    <w:qFormat/>
    <w:rsid w:val="0083724E"/>
    <w:pPr>
      <w:framePr w:wrap="around"/>
      <w:spacing w:after="0" w:line="228" w:lineRule="auto"/>
    </w:pPr>
    <w:rPr>
      <w:rFonts w:cs="Arial (Body CS)"/>
      <w:b w:val="0"/>
      <w:spacing w:val="-2"/>
      <w:sz w:val="23"/>
    </w:rPr>
  </w:style>
  <w:style w:type="character" w:customStyle="1" w:styleId="PullQuote-marginChar">
    <w:name w:val="Pull Quote-margin Char"/>
    <w:basedOn w:val="DefaultParagraphFont"/>
    <w:link w:val="PullQuote-margin"/>
    <w:uiPriority w:val="4"/>
    <w:rsid w:val="004D1500"/>
    <w:rPr>
      <w:b/>
      <w:color w:val="002554"/>
      <w:spacing w:val="-5"/>
      <w:kern w:val="0"/>
      <w:sz w:val="26"/>
      <w:lang w:val="en-AU"/>
      <w14:ligatures w14:val="none"/>
    </w:rPr>
  </w:style>
  <w:style w:type="character" w:customStyle="1" w:styleId="PullQuoteChar">
    <w:name w:val="Pull Quote Char"/>
    <w:basedOn w:val="PullQuote-marginChar"/>
    <w:link w:val="PullQuote"/>
    <w:uiPriority w:val="4"/>
    <w:rsid w:val="0083724E"/>
    <w:rPr>
      <w:rFonts w:cs="Arial (Body CS)"/>
      <w:b w:val="0"/>
      <w:color w:val="002554"/>
      <w:spacing w:val="-2"/>
      <w:kern w:val="0"/>
      <w:sz w:val="23"/>
      <w:lang w:val="en-AU"/>
      <w14:ligatures w14:val="none"/>
    </w:rPr>
  </w:style>
  <w:style w:type="paragraph" w:customStyle="1" w:styleId="CoverKeyline">
    <w:name w:val="Cover Keyline"/>
    <w:basedOn w:val="Normal"/>
    <w:next w:val="Normal"/>
    <w:link w:val="CoverKeylineChar"/>
    <w:rsid w:val="004D1500"/>
    <w:pPr>
      <w:spacing w:after="360" w:line="240" w:lineRule="auto"/>
      <w:ind w:left="-113" w:right="-3119"/>
      <w:contextualSpacing/>
    </w:pPr>
    <w:rPr>
      <w:rFonts w:cstheme="minorBidi"/>
      <w:spacing w:val="-5"/>
      <w:sz w:val="24"/>
      <w:lang w:val="en-AU"/>
    </w:rPr>
  </w:style>
  <w:style w:type="paragraph" w:customStyle="1" w:styleId="Subtitle2">
    <w:name w:val="Subtitle 2"/>
    <w:basedOn w:val="NoSpacing"/>
    <w:next w:val="Normal"/>
    <w:link w:val="Subtitle2Char"/>
    <w:uiPriority w:val="11"/>
    <w:rsid w:val="004D1500"/>
    <w:pPr>
      <w:spacing w:after="240"/>
      <w:contextualSpacing/>
    </w:pPr>
    <w:rPr>
      <w:color w:val="002554"/>
      <w:spacing w:val="-8"/>
      <w:sz w:val="36"/>
      <w:szCs w:val="36"/>
    </w:rPr>
  </w:style>
  <w:style w:type="character" w:customStyle="1" w:styleId="CoverKeylineChar">
    <w:name w:val="Cover Keyline Char"/>
    <w:basedOn w:val="DefaultParagraphFont"/>
    <w:link w:val="CoverKeyline"/>
    <w:rsid w:val="004D1500"/>
    <w:rPr>
      <w:color w:val="002554"/>
      <w:spacing w:val="-5"/>
      <w:kern w:val="0"/>
      <w:lang w:val="en-AU"/>
      <w14:ligatures w14:val="none"/>
    </w:rPr>
  </w:style>
  <w:style w:type="numbering" w:customStyle="1" w:styleId="Quotes">
    <w:name w:val="Quotes"/>
    <w:uiPriority w:val="99"/>
    <w:rsid w:val="004D1500"/>
    <w:pPr>
      <w:numPr>
        <w:numId w:val="27"/>
      </w:numPr>
    </w:pPr>
  </w:style>
  <w:style w:type="character" w:customStyle="1" w:styleId="Subtitle2Char">
    <w:name w:val="Subtitle 2 Char"/>
    <w:basedOn w:val="NoSpacingChar"/>
    <w:link w:val="Subtitle2"/>
    <w:uiPriority w:val="11"/>
    <w:rsid w:val="004D1500"/>
    <w:rPr>
      <w:rFonts w:asciiTheme="minorHAnsi" w:hAnsiTheme="minorHAnsi"/>
      <w:color w:val="002554"/>
      <w:spacing w:val="-8"/>
      <w:kern w:val="0"/>
      <w:sz w:val="36"/>
      <w:szCs w:val="36"/>
      <w:lang w:val="en-AU"/>
      <w14:ligatures w14:val="none"/>
    </w:rPr>
  </w:style>
  <w:style w:type="paragraph" w:customStyle="1" w:styleId="IntroductoryQuote">
    <w:name w:val="Introductory Quote"/>
    <w:basedOn w:val="Normal"/>
    <w:next w:val="IntroQuoteAttribute"/>
    <w:link w:val="IntroductoryQuoteChar"/>
    <w:uiPriority w:val="4"/>
    <w:qFormat/>
    <w:rsid w:val="004D1500"/>
    <w:pPr>
      <w:spacing w:after="340" w:line="245" w:lineRule="auto"/>
    </w:pPr>
    <w:rPr>
      <w:rFonts w:cstheme="minorBidi"/>
      <w:b/>
      <w:bCs/>
      <w:spacing w:val="-8"/>
      <w:sz w:val="36"/>
      <w:szCs w:val="36"/>
      <w:lang w:val="en-AU"/>
    </w:rPr>
  </w:style>
  <w:style w:type="paragraph" w:customStyle="1" w:styleId="IntroQuoteAttribute">
    <w:name w:val="Intro Quote Attribute"/>
    <w:basedOn w:val="IntroductoryQuote"/>
    <w:link w:val="IntroQuoteAttributeChar"/>
    <w:uiPriority w:val="4"/>
    <w:qFormat/>
    <w:rsid w:val="004D1500"/>
    <w:pPr>
      <w:contextualSpacing/>
    </w:pPr>
    <w:rPr>
      <w:b w:val="0"/>
      <w:bCs w:val="0"/>
      <w:spacing w:val="-6"/>
      <w:sz w:val="28"/>
      <w:szCs w:val="28"/>
    </w:rPr>
  </w:style>
  <w:style w:type="character" w:customStyle="1" w:styleId="IntroductoryQuoteChar">
    <w:name w:val="Introductory Quote Char"/>
    <w:basedOn w:val="DefaultParagraphFont"/>
    <w:link w:val="IntroductoryQuote"/>
    <w:uiPriority w:val="4"/>
    <w:rsid w:val="004D1500"/>
    <w:rPr>
      <w:b/>
      <w:bCs/>
      <w:color w:val="002554"/>
      <w:spacing w:val="-8"/>
      <w:kern w:val="0"/>
      <w:sz w:val="36"/>
      <w:szCs w:val="36"/>
      <w:lang w:val="en-AU"/>
      <w14:ligatures w14:val="none"/>
    </w:rPr>
  </w:style>
  <w:style w:type="character" w:customStyle="1" w:styleId="IntroQuoteAttributeChar">
    <w:name w:val="Intro Quote Attribute Char"/>
    <w:basedOn w:val="IntroductoryQuoteChar"/>
    <w:link w:val="IntroQuoteAttribute"/>
    <w:uiPriority w:val="4"/>
    <w:rsid w:val="004D1500"/>
    <w:rPr>
      <w:b w:val="0"/>
      <w:bCs w:val="0"/>
      <w:color w:val="002554"/>
      <w:spacing w:val="-6"/>
      <w:kern w:val="0"/>
      <w:sz w:val="28"/>
      <w:szCs w:val="28"/>
      <w:lang w:val="en-AU"/>
      <w14:ligatures w14:val="none"/>
    </w:rPr>
  </w:style>
  <w:style w:type="paragraph" w:customStyle="1" w:styleId="elementtoproof">
    <w:name w:val="elementtoproof"/>
    <w:basedOn w:val="Normal"/>
    <w:rsid w:val="004D1500"/>
    <w:pPr>
      <w:spacing w:before="100" w:beforeAutospacing="1" w:after="100" w:afterAutospacing="1" w:line="240" w:lineRule="auto"/>
    </w:pPr>
    <w:rPr>
      <w:rFonts w:ascii="Calibri" w:hAnsi="Calibri" w:cs="Calibri"/>
      <w:color w:val="auto"/>
      <w:spacing w:val="0"/>
      <w:lang w:val="en-AU" w:eastAsia="en-AU"/>
    </w:rPr>
  </w:style>
  <w:style w:type="paragraph" w:customStyle="1" w:styleId="Keyfindingnumberedheading">
    <w:name w:val="Key finding numbered heading"/>
    <w:basedOn w:val="Normal"/>
    <w:qFormat/>
    <w:rsid w:val="00495E7F"/>
    <w:pPr>
      <w:numPr>
        <w:numId w:val="22"/>
      </w:numPr>
      <w:spacing w:before="120" w:after="120"/>
      <w:ind w:left="357" w:hanging="357"/>
    </w:pPr>
    <w:rPr>
      <w:rFonts w:cstheme="minorBidi"/>
      <w:b/>
      <w:bCs/>
      <w:spacing w:val="-5"/>
      <w:sz w:val="24"/>
      <w:lang w:val="en-US"/>
    </w:rPr>
  </w:style>
  <w:style w:type="paragraph" w:styleId="BodyTextIndent">
    <w:name w:val="Body Text Indent"/>
    <w:basedOn w:val="Normal"/>
    <w:link w:val="BodyTextIndentChar"/>
    <w:uiPriority w:val="99"/>
    <w:unhideWhenUsed/>
    <w:rsid w:val="004472AD"/>
    <w:pPr>
      <w:ind w:left="283"/>
    </w:pPr>
  </w:style>
  <w:style w:type="character" w:customStyle="1" w:styleId="BodyTextIndentChar">
    <w:name w:val="Body Text Indent Char"/>
    <w:basedOn w:val="DefaultParagraphFont"/>
    <w:link w:val="BodyTextIndent"/>
    <w:uiPriority w:val="99"/>
    <w:rsid w:val="004472AD"/>
    <w:rPr>
      <w:rFonts w:cs="Arial (Body CS)"/>
      <w:color w:val="002554"/>
      <w:spacing w:val="-2"/>
      <w:kern w:val="0"/>
      <w:sz w:val="23"/>
      <w:lang w:val="en-GB"/>
      <w14:ligatures w14:val="none"/>
    </w:rPr>
  </w:style>
  <w:style w:type="numbering" w:customStyle="1" w:styleId="CurrentList8">
    <w:name w:val="Current List8"/>
    <w:uiPriority w:val="99"/>
    <w:rsid w:val="00552732"/>
    <w:pPr>
      <w:numPr>
        <w:numId w:val="30"/>
      </w:numPr>
    </w:pPr>
  </w:style>
  <w:style w:type="numbering" w:customStyle="1" w:styleId="Numbering1">
    <w:name w:val="Numbering1"/>
    <w:uiPriority w:val="99"/>
    <w:rsid w:val="00D4184C"/>
  </w:style>
  <w:style w:type="paragraph" w:customStyle="1" w:styleId="Endnotes">
    <w:name w:val="Endnotes"/>
    <w:basedOn w:val="Normal"/>
    <w:qFormat/>
    <w:rsid w:val="000B2489"/>
    <w:pPr>
      <w:spacing w:after="240"/>
      <w:ind w:left="567" w:hanging="567"/>
    </w:pPr>
    <w:rPr>
      <w:rFonts w:eastAsia="Poppins Light" w:cs="Times New Roman"/>
      <w:spacing w:val="-5"/>
      <w:sz w:val="20"/>
      <w:szCs w:val="20"/>
      <w:lang w:val="en-US"/>
    </w:rPr>
  </w:style>
  <w:style w:type="numbering" w:customStyle="1" w:styleId="CurrentList9">
    <w:name w:val="Current List9"/>
    <w:uiPriority w:val="99"/>
    <w:rsid w:val="008E5962"/>
    <w:pPr>
      <w:numPr>
        <w:numId w:val="34"/>
      </w:numPr>
    </w:pPr>
  </w:style>
  <w:style w:type="character" w:customStyle="1" w:styleId="Empahsis">
    <w:name w:val="Empahsis"/>
    <w:basedOn w:val="DefaultParagraphFont"/>
    <w:uiPriority w:val="1"/>
    <w:qFormat/>
    <w:rsid w:val="003B30CE"/>
    <w:rPr>
      <w:rFonts w:ascii="Roboto Black" w:hAnsi="Roboto Black" w:cstheme="minorBidi"/>
      <w:b/>
      <w:bCs/>
      <w:color w:val="002654"/>
      <w:spacing w:val="-5"/>
      <w:sz w:val="24"/>
      <w:lang w:val="en-AU"/>
    </w:rPr>
  </w:style>
  <w:style w:type="numbering" w:customStyle="1" w:styleId="CurrentList10">
    <w:name w:val="Current List10"/>
    <w:uiPriority w:val="99"/>
    <w:rsid w:val="00F5735A"/>
    <w:pPr>
      <w:numPr>
        <w:numId w:val="37"/>
      </w:numPr>
    </w:pPr>
  </w:style>
  <w:style w:type="paragraph" w:customStyle="1" w:styleId="Breakoutboxheading0">
    <w:name w:val="Breakoutbox heading"/>
    <w:basedOn w:val="Subtitle"/>
    <w:qFormat/>
    <w:rsid w:val="00164A7B"/>
    <w:pPr>
      <w:tabs>
        <w:tab w:val="left" w:pos="567"/>
      </w:tabs>
      <w:spacing w:line="216" w:lineRule="auto"/>
      <w:ind w:left="567"/>
    </w:pPr>
    <w:rPr>
      <w:b w:val="0"/>
      <w:bCs w:val="0"/>
      <w:sz w:val="38"/>
      <w:szCs w:val="38"/>
    </w:rPr>
  </w:style>
  <w:style w:type="paragraph" w:customStyle="1" w:styleId="Style1">
    <w:name w:val="Style1"/>
    <w:basedOn w:val="Subtitle"/>
    <w:qFormat/>
    <w:rsid w:val="00055D06"/>
    <w:pPr>
      <w:tabs>
        <w:tab w:val="left" w:pos="567"/>
      </w:tabs>
      <w:spacing w:line="216" w:lineRule="auto"/>
      <w:ind w:left="567"/>
    </w:pPr>
    <w:rPr>
      <w:b w:val="0"/>
      <w:bCs w:val="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974">
      <w:bodyDiv w:val="1"/>
      <w:marLeft w:val="0"/>
      <w:marRight w:val="0"/>
      <w:marTop w:val="0"/>
      <w:marBottom w:val="0"/>
      <w:divBdr>
        <w:top w:val="none" w:sz="0" w:space="0" w:color="auto"/>
        <w:left w:val="none" w:sz="0" w:space="0" w:color="auto"/>
        <w:bottom w:val="none" w:sz="0" w:space="0" w:color="auto"/>
        <w:right w:val="none" w:sz="0" w:space="0" w:color="auto"/>
      </w:divBdr>
    </w:div>
    <w:div w:id="205797733">
      <w:bodyDiv w:val="1"/>
      <w:marLeft w:val="0"/>
      <w:marRight w:val="0"/>
      <w:marTop w:val="0"/>
      <w:marBottom w:val="0"/>
      <w:divBdr>
        <w:top w:val="none" w:sz="0" w:space="0" w:color="auto"/>
        <w:left w:val="none" w:sz="0" w:space="0" w:color="auto"/>
        <w:bottom w:val="none" w:sz="0" w:space="0" w:color="auto"/>
        <w:right w:val="none" w:sz="0" w:space="0" w:color="auto"/>
      </w:divBdr>
    </w:div>
    <w:div w:id="391347161">
      <w:bodyDiv w:val="1"/>
      <w:marLeft w:val="0"/>
      <w:marRight w:val="0"/>
      <w:marTop w:val="0"/>
      <w:marBottom w:val="0"/>
      <w:divBdr>
        <w:top w:val="none" w:sz="0" w:space="0" w:color="auto"/>
        <w:left w:val="none" w:sz="0" w:space="0" w:color="auto"/>
        <w:bottom w:val="none" w:sz="0" w:space="0" w:color="auto"/>
        <w:right w:val="none" w:sz="0" w:space="0" w:color="auto"/>
      </w:divBdr>
    </w:div>
    <w:div w:id="393356431">
      <w:bodyDiv w:val="1"/>
      <w:marLeft w:val="0"/>
      <w:marRight w:val="0"/>
      <w:marTop w:val="0"/>
      <w:marBottom w:val="0"/>
      <w:divBdr>
        <w:top w:val="none" w:sz="0" w:space="0" w:color="auto"/>
        <w:left w:val="none" w:sz="0" w:space="0" w:color="auto"/>
        <w:bottom w:val="none" w:sz="0" w:space="0" w:color="auto"/>
        <w:right w:val="none" w:sz="0" w:space="0" w:color="auto"/>
      </w:divBdr>
    </w:div>
    <w:div w:id="554394263">
      <w:bodyDiv w:val="1"/>
      <w:marLeft w:val="0"/>
      <w:marRight w:val="0"/>
      <w:marTop w:val="0"/>
      <w:marBottom w:val="0"/>
      <w:divBdr>
        <w:top w:val="none" w:sz="0" w:space="0" w:color="auto"/>
        <w:left w:val="none" w:sz="0" w:space="0" w:color="auto"/>
        <w:bottom w:val="none" w:sz="0" w:space="0" w:color="auto"/>
        <w:right w:val="none" w:sz="0" w:space="0" w:color="auto"/>
      </w:divBdr>
    </w:div>
    <w:div w:id="601104893">
      <w:bodyDiv w:val="1"/>
      <w:marLeft w:val="0"/>
      <w:marRight w:val="0"/>
      <w:marTop w:val="0"/>
      <w:marBottom w:val="0"/>
      <w:divBdr>
        <w:top w:val="none" w:sz="0" w:space="0" w:color="auto"/>
        <w:left w:val="none" w:sz="0" w:space="0" w:color="auto"/>
        <w:bottom w:val="none" w:sz="0" w:space="0" w:color="auto"/>
        <w:right w:val="none" w:sz="0" w:space="0" w:color="auto"/>
      </w:divBdr>
    </w:div>
    <w:div w:id="711420168">
      <w:bodyDiv w:val="1"/>
      <w:marLeft w:val="0"/>
      <w:marRight w:val="0"/>
      <w:marTop w:val="0"/>
      <w:marBottom w:val="0"/>
      <w:divBdr>
        <w:top w:val="none" w:sz="0" w:space="0" w:color="auto"/>
        <w:left w:val="none" w:sz="0" w:space="0" w:color="auto"/>
        <w:bottom w:val="none" w:sz="0" w:space="0" w:color="auto"/>
        <w:right w:val="none" w:sz="0" w:space="0" w:color="auto"/>
      </w:divBdr>
    </w:div>
    <w:div w:id="726340856">
      <w:bodyDiv w:val="1"/>
      <w:marLeft w:val="0"/>
      <w:marRight w:val="0"/>
      <w:marTop w:val="0"/>
      <w:marBottom w:val="0"/>
      <w:divBdr>
        <w:top w:val="none" w:sz="0" w:space="0" w:color="auto"/>
        <w:left w:val="none" w:sz="0" w:space="0" w:color="auto"/>
        <w:bottom w:val="none" w:sz="0" w:space="0" w:color="auto"/>
        <w:right w:val="none" w:sz="0" w:space="0" w:color="auto"/>
      </w:divBdr>
    </w:div>
    <w:div w:id="742029247">
      <w:bodyDiv w:val="1"/>
      <w:marLeft w:val="0"/>
      <w:marRight w:val="0"/>
      <w:marTop w:val="0"/>
      <w:marBottom w:val="0"/>
      <w:divBdr>
        <w:top w:val="none" w:sz="0" w:space="0" w:color="auto"/>
        <w:left w:val="none" w:sz="0" w:space="0" w:color="auto"/>
        <w:bottom w:val="none" w:sz="0" w:space="0" w:color="auto"/>
        <w:right w:val="none" w:sz="0" w:space="0" w:color="auto"/>
      </w:divBdr>
    </w:div>
    <w:div w:id="785127238">
      <w:bodyDiv w:val="1"/>
      <w:marLeft w:val="0"/>
      <w:marRight w:val="0"/>
      <w:marTop w:val="0"/>
      <w:marBottom w:val="0"/>
      <w:divBdr>
        <w:top w:val="none" w:sz="0" w:space="0" w:color="auto"/>
        <w:left w:val="none" w:sz="0" w:space="0" w:color="auto"/>
        <w:bottom w:val="none" w:sz="0" w:space="0" w:color="auto"/>
        <w:right w:val="none" w:sz="0" w:space="0" w:color="auto"/>
      </w:divBdr>
    </w:div>
    <w:div w:id="861741598">
      <w:bodyDiv w:val="1"/>
      <w:marLeft w:val="0"/>
      <w:marRight w:val="0"/>
      <w:marTop w:val="0"/>
      <w:marBottom w:val="0"/>
      <w:divBdr>
        <w:top w:val="none" w:sz="0" w:space="0" w:color="auto"/>
        <w:left w:val="none" w:sz="0" w:space="0" w:color="auto"/>
        <w:bottom w:val="none" w:sz="0" w:space="0" w:color="auto"/>
        <w:right w:val="none" w:sz="0" w:space="0" w:color="auto"/>
      </w:divBdr>
      <w:divsChild>
        <w:div w:id="148791971">
          <w:marLeft w:val="0"/>
          <w:marRight w:val="0"/>
          <w:marTop w:val="0"/>
          <w:marBottom w:val="0"/>
          <w:divBdr>
            <w:top w:val="none" w:sz="0" w:space="0" w:color="auto"/>
            <w:left w:val="none" w:sz="0" w:space="0" w:color="auto"/>
            <w:bottom w:val="none" w:sz="0" w:space="0" w:color="auto"/>
            <w:right w:val="none" w:sz="0" w:space="0" w:color="auto"/>
          </w:divBdr>
          <w:divsChild>
            <w:div w:id="860976313">
              <w:marLeft w:val="0"/>
              <w:marRight w:val="0"/>
              <w:marTop w:val="0"/>
              <w:marBottom w:val="0"/>
              <w:divBdr>
                <w:top w:val="none" w:sz="0" w:space="0" w:color="auto"/>
                <w:left w:val="none" w:sz="0" w:space="0" w:color="auto"/>
                <w:bottom w:val="none" w:sz="0" w:space="0" w:color="auto"/>
                <w:right w:val="none" w:sz="0" w:space="0" w:color="auto"/>
              </w:divBdr>
            </w:div>
          </w:divsChild>
        </w:div>
        <w:div w:id="477310406">
          <w:marLeft w:val="0"/>
          <w:marRight w:val="0"/>
          <w:marTop w:val="0"/>
          <w:marBottom w:val="0"/>
          <w:divBdr>
            <w:top w:val="none" w:sz="0" w:space="0" w:color="auto"/>
            <w:left w:val="none" w:sz="0" w:space="0" w:color="auto"/>
            <w:bottom w:val="none" w:sz="0" w:space="0" w:color="auto"/>
            <w:right w:val="none" w:sz="0" w:space="0" w:color="auto"/>
          </w:divBdr>
          <w:divsChild>
            <w:div w:id="564073074">
              <w:marLeft w:val="0"/>
              <w:marRight w:val="0"/>
              <w:marTop w:val="0"/>
              <w:marBottom w:val="0"/>
              <w:divBdr>
                <w:top w:val="none" w:sz="0" w:space="0" w:color="auto"/>
                <w:left w:val="none" w:sz="0" w:space="0" w:color="auto"/>
                <w:bottom w:val="none" w:sz="0" w:space="0" w:color="auto"/>
                <w:right w:val="none" w:sz="0" w:space="0" w:color="auto"/>
              </w:divBdr>
            </w:div>
          </w:divsChild>
        </w:div>
        <w:div w:id="1548713141">
          <w:marLeft w:val="0"/>
          <w:marRight w:val="0"/>
          <w:marTop w:val="0"/>
          <w:marBottom w:val="0"/>
          <w:divBdr>
            <w:top w:val="none" w:sz="0" w:space="0" w:color="auto"/>
            <w:left w:val="none" w:sz="0" w:space="0" w:color="auto"/>
            <w:bottom w:val="none" w:sz="0" w:space="0" w:color="auto"/>
            <w:right w:val="none" w:sz="0" w:space="0" w:color="auto"/>
          </w:divBdr>
          <w:divsChild>
            <w:div w:id="3860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28645">
      <w:bodyDiv w:val="1"/>
      <w:marLeft w:val="0"/>
      <w:marRight w:val="0"/>
      <w:marTop w:val="0"/>
      <w:marBottom w:val="0"/>
      <w:divBdr>
        <w:top w:val="none" w:sz="0" w:space="0" w:color="auto"/>
        <w:left w:val="none" w:sz="0" w:space="0" w:color="auto"/>
        <w:bottom w:val="none" w:sz="0" w:space="0" w:color="auto"/>
        <w:right w:val="none" w:sz="0" w:space="0" w:color="auto"/>
      </w:divBdr>
    </w:div>
    <w:div w:id="994065446">
      <w:bodyDiv w:val="1"/>
      <w:marLeft w:val="0"/>
      <w:marRight w:val="0"/>
      <w:marTop w:val="0"/>
      <w:marBottom w:val="0"/>
      <w:divBdr>
        <w:top w:val="none" w:sz="0" w:space="0" w:color="auto"/>
        <w:left w:val="none" w:sz="0" w:space="0" w:color="auto"/>
        <w:bottom w:val="none" w:sz="0" w:space="0" w:color="auto"/>
        <w:right w:val="none" w:sz="0" w:space="0" w:color="auto"/>
      </w:divBdr>
    </w:div>
    <w:div w:id="1137381854">
      <w:bodyDiv w:val="1"/>
      <w:marLeft w:val="0"/>
      <w:marRight w:val="0"/>
      <w:marTop w:val="0"/>
      <w:marBottom w:val="0"/>
      <w:divBdr>
        <w:top w:val="none" w:sz="0" w:space="0" w:color="auto"/>
        <w:left w:val="none" w:sz="0" w:space="0" w:color="auto"/>
        <w:bottom w:val="none" w:sz="0" w:space="0" w:color="auto"/>
        <w:right w:val="none" w:sz="0" w:space="0" w:color="auto"/>
      </w:divBdr>
    </w:div>
    <w:div w:id="1137913320">
      <w:bodyDiv w:val="1"/>
      <w:marLeft w:val="0"/>
      <w:marRight w:val="0"/>
      <w:marTop w:val="0"/>
      <w:marBottom w:val="0"/>
      <w:divBdr>
        <w:top w:val="none" w:sz="0" w:space="0" w:color="auto"/>
        <w:left w:val="none" w:sz="0" w:space="0" w:color="auto"/>
        <w:bottom w:val="none" w:sz="0" w:space="0" w:color="auto"/>
        <w:right w:val="none" w:sz="0" w:space="0" w:color="auto"/>
      </w:divBdr>
    </w:div>
    <w:div w:id="1285772493">
      <w:bodyDiv w:val="1"/>
      <w:marLeft w:val="0"/>
      <w:marRight w:val="0"/>
      <w:marTop w:val="0"/>
      <w:marBottom w:val="0"/>
      <w:divBdr>
        <w:top w:val="none" w:sz="0" w:space="0" w:color="auto"/>
        <w:left w:val="none" w:sz="0" w:space="0" w:color="auto"/>
        <w:bottom w:val="none" w:sz="0" w:space="0" w:color="auto"/>
        <w:right w:val="none" w:sz="0" w:space="0" w:color="auto"/>
      </w:divBdr>
    </w:div>
    <w:div w:id="1291279174">
      <w:bodyDiv w:val="1"/>
      <w:marLeft w:val="0"/>
      <w:marRight w:val="0"/>
      <w:marTop w:val="0"/>
      <w:marBottom w:val="0"/>
      <w:divBdr>
        <w:top w:val="none" w:sz="0" w:space="0" w:color="auto"/>
        <w:left w:val="none" w:sz="0" w:space="0" w:color="auto"/>
        <w:bottom w:val="none" w:sz="0" w:space="0" w:color="auto"/>
        <w:right w:val="none" w:sz="0" w:space="0" w:color="auto"/>
      </w:divBdr>
    </w:div>
    <w:div w:id="1494494516">
      <w:bodyDiv w:val="1"/>
      <w:marLeft w:val="0"/>
      <w:marRight w:val="0"/>
      <w:marTop w:val="0"/>
      <w:marBottom w:val="0"/>
      <w:divBdr>
        <w:top w:val="none" w:sz="0" w:space="0" w:color="auto"/>
        <w:left w:val="none" w:sz="0" w:space="0" w:color="auto"/>
        <w:bottom w:val="none" w:sz="0" w:space="0" w:color="auto"/>
        <w:right w:val="none" w:sz="0" w:space="0" w:color="auto"/>
      </w:divBdr>
    </w:div>
    <w:div w:id="1858497191">
      <w:bodyDiv w:val="1"/>
      <w:marLeft w:val="0"/>
      <w:marRight w:val="0"/>
      <w:marTop w:val="0"/>
      <w:marBottom w:val="0"/>
      <w:divBdr>
        <w:top w:val="none" w:sz="0" w:space="0" w:color="auto"/>
        <w:left w:val="none" w:sz="0" w:space="0" w:color="auto"/>
        <w:bottom w:val="none" w:sz="0" w:space="0" w:color="auto"/>
        <w:right w:val="none" w:sz="0" w:space="0" w:color="auto"/>
      </w:divBdr>
    </w:div>
    <w:div w:id="1971669723">
      <w:bodyDiv w:val="1"/>
      <w:marLeft w:val="0"/>
      <w:marRight w:val="0"/>
      <w:marTop w:val="0"/>
      <w:marBottom w:val="0"/>
      <w:divBdr>
        <w:top w:val="none" w:sz="0" w:space="0" w:color="auto"/>
        <w:left w:val="none" w:sz="0" w:space="0" w:color="auto"/>
        <w:bottom w:val="none" w:sz="0" w:space="0" w:color="auto"/>
        <w:right w:val="none" w:sz="0" w:space="0" w:color="auto"/>
      </w:divBdr>
    </w:div>
    <w:div w:id="2004813921">
      <w:bodyDiv w:val="1"/>
      <w:marLeft w:val="0"/>
      <w:marRight w:val="0"/>
      <w:marTop w:val="0"/>
      <w:marBottom w:val="0"/>
      <w:divBdr>
        <w:top w:val="none" w:sz="0" w:space="0" w:color="auto"/>
        <w:left w:val="none" w:sz="0" w:space="0" w:color="auto"/>
        <w:bottom w:val="none" w:sz="0" w:space="0" w:color="auto"/>
        <w:right w:val="none" w:sz="0" w:space="0" w:color="auto"/>
      </w:divBdr>
    </w:div>
    <w:div w:id="2067214289">
      <w:bodyDiv w:val="1"/>
      <w:marLeft w:val="0"/>
      <w:marRight w:val="0"/>
      <w:marTop w:val="0"/>
      <w:marBottom w:val="0"/>
      <w:divBdr>
        <w:top w:val="none" w:sz="0" w:space="0" w:color="auto"/>
        <w:left w:val="none" w:sz="0" w:space="0" w:color="auto"/>
        <w:bottom w:val="none" w:sz="0" w:space="0" w:color="auto"/>
        <w:right w:val="none" w:sz="0" w:space="0" w:color="auto"/>
      </w:divBdr>
    </w:div>
    <w:div w:id="21283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ourwatch.org.au/change-the-story/changing-the-landscap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urwatch.org.au/change-the-story/changing-the-pic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urwatch.org.au/resource/change-the-story-a-shared-framework-for-the-primary-prevention-of-violence-against-women-in-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assets.ourwatch.org.au/assets/Key-frameworks/Men-in-focus-Evidence-review.pdf" TargetMode="External"/><Relationship Id="rId13" Type="http://schemas.openxmlformats.org/officeDocument/2006/relationships/hyperlink" Target="https://parlinfo.aph.gov.au/parlInfo/search/display/display.w3p;query=Id%3A%22legislation%2Fems%2Fr7284_ems_b9c134ac-a19a-47b2-9879-b03dda6e3c1a%22" TargetMode="External"/><Relationship Id="rId3" Type="http://schemas.openxmlformats.org/officeDocument/2006/relationships/hyperlink" Target="https://australianwomenshealth.org/resource/health-and-the-primary-prevention-of-violence-against-women/" TargetMode="External"/><Relationship Id="rId7" Type="http://schemas.openxmlformats.org/officeDocument/2006/relationships/hyperlink" Target="https://openresearch-repository.anu.edu.au/server/api/core/bitstreams/d50d4f57-325e-4b72-8096-c52794508bbe/content" TargetMode="External"/><Relationship Id="rId12" Type="http://schemas.openxmlformats.org/officeDocument/2006/relationships/hyperlink" Target="https://www.aihw.gov.au/reports/illicit-use-of-drugs/national-drug-strategy-household-survey/contents/about" TargetMode="External"/><Relationship Id="rId2" Type="http://schemas.openxmlformats.org/officeDocument/2006/relationships/hyperlink" Target="https://www.theline.org.au/" TargetMode="External"/><Relationship Id="rId1" Type="http://schemas.openxmlformats.org/officeDocument/2006/relationships/hyperlink" Target="https://www.ourwatch.org.au/change-the-story/" TargetMode="External"/><Relationship Id="rId6" Type="http://schemas.openxmlformats.org/officeDocument/2006/relationships/hyperlink" Target="https://openresearch-repository.anu.edu.au/server/api/core/bitstreams/d50d4f57-325e-4b72-8096-c52794508bbe/content" TargetMode="External"/><Relationship Id="rId11" Type="http://schemas.openxmlformats.org/officeDocument/2006/relationships/hyperlink" Target="https://www.ncas.au/ncas-2021-findings-for-young-australians" TargetMode="External"/><Relationship Id="rId5" Type="http://schemas.openxmlformats.org/officeDocument/2006/relationships/hyperlink" Target="https://www.pridetraining.org.au/pages/glossary-of-lgbtq-terms?utm_source=chatgpt.com" TargetMode="External"/><Relationship Id="rId15" Type="http://schemas.openxmlformats.org/officeDocument/2006/relationships/hyperlink" Target="http://www.casel.org/social-and-emotional-learning/" TargetMode="External"/><Relationship Id="rId10" Type="http://schemas.openxmlformats.org/officeDocument/2006/relationships/hyperlink" Target="https://www.anrows.org.au/publication/attitudes-matter-the-2021-national-community-attitudes-towards-violence-against-women-survey-ncas-findings-for-australia/" TargetMode="External"/><Relationship Id="rId4" Type="http://schemas.openxmlformats.org/officeDocument/2006/relationships/hyperlink" Target="https://www.who.int/health-topics/gender" TargetMode="External"/><Relationship Id="rId9" Type="http://schemas.openxmlformats.org/officeDocument/2006/relationships/hyperlink" Target="https://jss.org.au/programs/the-mens-project/tmp-research/the-man-box-2018/" TargetMode="External"/><Relationship Id="rId14" Type="http://schemas.openxmlformats.org/officeDocument/2006/relationships/hyperlink" Target="https://www.ourwatch.org.au/education/the-evidence-for-respectful-relationships-edu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1A826C1EF2843A6F1E33FAC872B97" ma:contentTypeVersion="21" ma:contentTypeDescription="Create a new document." ma:contentTypeScope="" ma:versionID="3a1c860a57bc03e2f6c2ace4cab459ad">
  <xsd:schema xmlns:xsd="http://www.w3.org/2001/XMLSchema" xmlns:xs="http://www.w3.org/2001/XMLSchema" xmlns:p="http://schemas.microsoft.com/office/2006/metadata/properties" xmlns:ns2="412e9ae0-0c32-4f4e-a2d9-5dc41845983c" xmlns:ns3="ef89dfe1-2fd6-4ffd-966a-b6a657178080" targetNamespace="http://schemas.microsoft.com/office/2006/metadata/properties" ma:root="true" ma:fieldsID="e8282c45d0c8074f2ba35f38668c1707" ns2:_="" ns3:_="">
    <xsd:import namespace="412e9ae0-0c32-4f4e-a2d9-5dc41845983c"/>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Order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9ae0-0c32-4f4e-a2d9-5dc4184598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rder0" ma:index="25" nillable="true" ma:displayName="Order" ma:format="Dropdown"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SharedWithUsers xmlns="ef89dfe1-2fd6-4ffd-966a-b6a657178080">
      <UserInfo>
        <DisplayName/>
        <AccountId xsi:nil="true"/>
        <AccountType/>
      </UserInfo>
    </SharedWithUsers>
    <lcf76f155ced4ddcb4097134ff3c332f xmlns="412e9ae0-0c32-4f4e-a2d9-5dc41845983c">
      <Terms xmlns="http://schemas.microsoft.com/office/infopath/2007/PartnerControls"/>
    </lcf76f155ced4ddcb4097134ff3c332f>
    <MediaLengthInSeconds xmlns="412e9ae0-0c32-4f4e-a2d9-5dc41845983c" xsi:nil="true"/>
    <Order0 xmlns="412e9ae0-0c32-4f4e-a2d9-5dc4184598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D41A3-919F-4722-9FA5-4B60BC16A457}">
  <ds:schemaRefs>
    <ds:schemaRef ds:uri="http://schemas.microsoft.com/sharepoint/v3/contenttype/forms"/>
  </ds:schemaRefs>
</ds:datastoreItem>
</file>

<file path=customXml/itemProps2.xml><?xml version="1.0" encoding="utf-8"?>
<ds:datastoreItem xmlns:ds="http://schemas.openxmlformats.org/officeDocument/2006/customXml" ds:itemID="{7FD8EF86-66F2-4F06-AD04-DFD5C336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9ae0-0c32-4f4e-a2d9-5dc41845983c"/>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CD2F7-9B49-473F-85DD-BBF9C58812A8}">
  <ds:schemaRefs>
    <ds:schemaRef ds:uri="http://schemas.microsoft.com/office/2006/metadata/properties"/>
    <ds:schemaRef ds:uri="http://schemas.microsoft.com/office/infopath/2007/PartnerControls"/>
    <ds:schemaRef ds:uri="ef89dfe1-2fd6-4ffd-966a-b6a657178080"/>
    <ds:schemaRef ds:uri="412e9ae0-0c32-4f4e-a2d9-5dc41845983c"/>
  </ds:schemaRefs>
</ds:datastoreItem>
</file>

<file path=customXml/itemProps4.xml><?xml version="1.0" encoding="utf-8"?>
<ds:datastoreItem xmlns:ds="http://schemas.openxmlformats.org/officeDocument/2006/customXml" ds:itemID="{BC984BEA-DFB9-424F-A00E-1B6B67CC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80</Pages>
  <Words>23167</Words>
  <Characters>136920</Characters>
  <Application>Microsoft Office Word</Application>
  <DocSecurity>2</DocSecurity>
  <Lines>2402</Lines>
  <Paragraphs>640</Paragraphs>
  <ScaleCrop>false</ScaleCrop>
  <Manager/>
  <Company/>
  <LinksUpToDate>false</LinksUpToDate>
  <CharactersWithSpaces>159447</CharactersWithSpaces>
  <SharedDoc>false</SharedDoc>
  <HyperlinkBase/>
  <HLinks>
    <vt:vector size="312" baseType="variant">
      <vt:variant>
        <vt:i4>1900601</vt:i4>
      </vt:variant>
      <vt:variant>
        <vt:i4>206</vt:i4>
      </vt:variant>
      <vt:variant>
        <vt:i4>0</vt:i4>
      </vt:variant>
      <vt:variant>
        <vt:i4>5</vt:i4>
      </vt:variant>
      <vt:variant>
        <vt:lpwstr/>
      </vt:variant>
      <vt:variant>
        <vt:lpwstr>_Toc216956845</vt:lpwstr>
      </vt:variant>
      <vt:variant>
        <vt:i4>1900601</vt:i4>
      </vt:variant>
      <vt:variant>
        <vt:i4>200</vt:i4>
      </vt:variant>
      <vt:variant>
        <vt:i4>0</vt:i4>
      </vt:variant>
      <vt:variant>
        <vt:i4>5</vt:i4>
      </vt:variant>
      <vt:variant>
        <vt:lpwstr/>
      </vt:variant>
      <vt:variant>
        <vt:lpwstr>_Toc216956844</vt:lpwstr>
      </vt:variant>
      <vt:variant>
        <vt:i4>1900601</vt:i4>
      </vt:variant>
      <vt:variant>
        <vt:i4>194</vt:i4>
      </vt:variant>
      <vt:variant>
        <vt:i4>0</vt:i4>
      </vt:variant>
      <vt:variant>
        <vt:i4>5</vt:i4>
      </vt:variant>
      <vt:variant>
        <vt:lpwstr/>
      </vt:variant>
      <vt:variant>
        <vt:lpwstr>_Toc216956843</vt:lpwstr>
      </vt:variant>
      <vt:variant>
        <vt:i4>1900601</vt:i4>
      </vt:variant>
      <vt:variant>
        <vt:i4>188</vt:i4>
      </vt:variant>
      <vt:variant>
        <vt:i4>0</vt:i4>
      </vt:variant>
      <vt:variant>
        <vt:i4>5</vt:i4>
      </vt:variant>
      <vt:variant>
        <vt:lpwstr/>
      </vt:variant>
      <vt:variant>
        <vt:lpwstr>_Toc216956842</vt:lpwstr>
      </vt:variant>
      <vt:variant>
        <vt:i4>1900601</vt:i4>
      </vt:variant>
      <vt:variant>
        <vt:i4>182</vt:i4>
      </vt:variant>
      <vt:variant>
        <vt:i4>0</vt:i4>
      </vt:variant>
      <vt:variant>
        <vt:i4>5</vt:i4>
      </vt:variant>
      <vt:variant>
        <vt:lpwstr/>
      </vt:variant>
      <vt:variant>
        <vt:lpwstr>_Toc216956841</vt:lpwstr>
      </vt:variant>
      <vt:variant>
        <vt:i4>1900601</vt:i4>
      </vt:variant>
      <vt:variant>
        <vt:i4>176</vt:i4>
      </vt:variant>
      <vt:variant>
        <vt:i4>0</vt:i4>
      </vt:variant>
      <vt:variant>
        <vt:i4>5</vt:i4>
      </vt:variant>
      <vt:variant>
        <vt:lpwstr/>
      </vt:variant>
      <vt:variant>
        <vt:lpwstr>_Toc216956840</vt:lpwstr>
      </vt:variant>
      <vt:variant>
        <vt:i4>1703993</vt:i4>
      </vt:variant>
      <vt:variant>
        <vt:i4>170</vt:i4>
      </vt:variant>
      <vt:variant>
        <vt:i4>0</vt:i4>
      </vt:variant>
      <vt:variant>
        <vt:i4>5</vt:i4>
      </vt:variant>
      <vt:variant>
        <vt:lpwstr/>
      </vt:variant>
      <vt:variant>
        <vt:lpwstr>_Toc216956839</vt:lpwstr>
      </vt:variant>
      <vt:variant>
        <vt:i4>1703993</vt:i4>
      </vt:variant>
      <vt:variant>
        <vt:i4>164</vt:i4>
      </vt:variant>
      <vt:variant>
        <vt:i4>0</vt:i4>
      </vt:variant>
      <vt:variant>
        <vt:i4>5</vt:i4>
      </vt:variant>
      <vt:variant>
        <vt:lpwstr/>
      </vt:variant>
      <vt:variant>
        <vt:lpwstr>_Toc216956838</vt:lpwstr>
      </vt:variant>
      <vt:variant>
        <vt:i4>1703993</vt:i4>
      </vt:variant>
      <vt:variant>
        <vt:i4>158</vt:i4>
      </vt:variant>
      <vt:variant>
        <vt:i4>0</vt:i4>
      </vt:variant>
      <vt:variant>
        <vt:i4>5</vt:i4>
      </vt:variant>
      <vt:variant>
        <vt:lpwstr/>
      </vt:variant>
      <vt:variant>
        <vt:lpwstr>_Toc216956837</vt:lpwstr>
      </vt:variant>
      <vt:variant>
        <vt:i4>1703993</vt:i4>
      </vt:variant>
      <vt:variant>
        <vt:i4>152</vt:i4>
      </vt:variant>
      <vt:variant>
        <vt:i4>0</vt:i4>
      </vt:variant>
      <vt:variant>
        <vt:i4>5</vt:i4>
      </vt:variant>
      <vt:variant>
        <vt:lpwstr/>
      </vt:variant>
      <vt:variant>
        <vt:lpwstr>_Toc216956836</vt:lpwstr>
      </vt:variant>
      <vt:variant>
        <vt:i4>1703993</vt:i4>
      </vt:variant>
      <vt:variant>
        <vt:i4>146</vt:i4>
      </vt:variant>
      <vt:variant>
        <vt:i4>0</vt:i4>
      </vt:variant>
      <vt:variant>
        <vt:i4>5</vt:i4>
      </vt:variant>
      <vt:variant>
        <vt:lpwstr/>
      </vt:variant>
      <vt:variant>
        <vt:lpwstr>_Toc216956835</vt:lpwstr>
      </vt:variant>
      <vt:variant>
        <vt:i4>1703993</vt:i4>
      </vt:variant>
      <vt:variant>
        <vt:i4>140</vt:i4>
      </vt:variant>
      <vt:variant>
        <vt:i4>0</vt:i4>
      </vt:variant>
      <vt:variant>
        <vt:i4>5</vt:i4>
      </vt:variant>
      <vt:variant>
        <vt:lpwstr/>
      </vt:variant>
      <vt:variant>
        <vt:lpwstr>_Toc216956834</vt:lpwstr>
      </vt:variant>
      <vt:variant>
        <vt:i4>1703993</vt:i4>
      </vt:variant>
      <vt:variant>
        <vt:i4>134</vt:i4>
      </vt:variant>
      <vt:variant>
        <vt:i4>0</vt:i4>
      </vt:variant>
      <vt:variant>
        <vt:i4>5</vt:i4>
      </vt:variant>
      <vt:variant>
        <vt:lpwstr/>
      </vt:variant>
      <vt:variant>
        <vt:lpwstr>_Toc216956833</vt:lpwstr>
      </vt:variant>
      <vt:variant>
        <vt:i4>1703993</vt:i4>
      </vt:variant>
      <vt:variant>
        <vt:i4>128</vt:i4>
      </vt:variant>
      <vt:variant>
        <vt:i4>0</vt:i4>
      </vt:variant>
      <vt:variant>
        <vt:i4>5</vt:i4>
      </vt:variant>
      <vt:variant>
        <vt:lpwstr/>
      </vt:variant>
      <vt:variant>
        <vt:lpwstr>_Toc216956832</vt:lpwstr>
      </vt:variant>
      <vt:variant>
        <vt:i4>1703993</vt:i4>
      </vt:variant>
      <vt:variant>
        <vt:i4>122</vt:i4>
      </vt:variant>
      <vt:variant>
        <vt:i4>0</vt:i4>
      </vt:variant>
      <vt:variant>
        <vt:i4>5</vt:i4>
      </vt:variant>
      <vt:variant>
        <vt:lpwstr/>
      </vt:variant>
      <vt:variant>
        <vt:lpwstr>_Toc216956831</vt:lpwstr>
      </vt:variant>
      <vt:variant>
        <vt:i4>1703993</vt:i4>
      </vt:variant>
      <vt:variant>
        <vt:i4>116</vt:i4>
      </vt:variant>
      <vt:variant>
        <vt:i4>0</vt:i4>
      </vt:variant>
      <vt:variant>
        <vt:i4>5</vt:i4>
      </vt:variant>
      <vt:variant>
        <vt:lpwstr/>
      </vt:variant>
      <vt:variant>
        <vt:lpwstr>_Toc216956830</vt:lpwstr>
      </vt:variant>
      <vt:variant>
        <vt:i4>1769529</vt:i4>
      </vt:variant>
      <vt:variant>
        <vt:i4>110</vt:i4>
      </vt:variant>
      <vt:variant>
        <vt:i4>0</vt:i4>
      </vt:variant>
      <vt:variant>
        <vt:i4>5</vt:i4>
      </vt:variant>
      <vt:variant>
        <vt:lpwstr/>
      </vt:variant>
      <vt:variant>
        <vt:lpwstr>_Toc216956829</vt:lpwstr>
      </vt:variant>
      <vt:variant>
        <vt:i4>1769529</vt:i4>
      </vt:variant>
      <vt:variant>
        <vt:i4>104</vt:i4>
      </vt:variant>
      <vt:variant>
        <vt:i4>0</vt:i4>
      </vt:variant>
      <vt:variant>
        <vt:i4>5</vt:i4>
      </vt:variant>
      <vt:variant>
        <vt:lpwstr/>
      </vt:variant>
      <vt:variant>
        <vt:lpwstr>_Toc216956828</vt:lpwstr>
      </vt:variant>
      <vt:variant>
        <vt:i4>1769529</vt:i4>
      </vt:variant>
      <vt:variant>
        <vt:i4>98</vt:i4>
      </vt:variant>
      <vt:variant>
        <vt:i4>0</vt:i4>
      </vt:variant>
      <vt:variant>
        <vt:i4>5</vt:i4>
      </vt:variant>
      <vt:variant>
        <vt:lpwstr/>
      </vt:variant>
      <vt:variant>
        <vt:lpwstr>_Toc216956827</vt:lpwstr>
      </vt:variant>
      <vt:variant>
        <vt:i4>1769529</vt:i4>
      </vt:variant>
      <vt:variant>
        <vt:i4>92</vt:i4>
      </vt:variant>
      <vt:variant>
        <vt:i4>0</vt:i4>
      </vt:variant>
      <vt:variant>
        <vt:i4>5</vt:i4>
      </vt:variant>
      <vt:variant>
        <vt:lpwstr/>
      </vt:variant>
      <vt:variant>
        <vt:lpwstr>_Toc216956826</vt:lpwstr>
      </vt:variant>
      <vt:variant>
        <vt:i4>1769529</vt:i4>
      </vt:variant>
      <vt:variant>
        <vt:i4>86</vt:i4>
      </vt:variant>
      <vt:variant>
        <vt:i4>0</vt:i4>
      </vt:variant>
      <vt:variant>
        <vt:i4>5</vt:i4>
      </vt:variant>
      <vt:variant>
        <vt:lpwstr/>
      </vt:variant>
      <vt:variant>
        <vt:lpwstr>_Toc216956825</vt:lpwstr>
      </vt:variant>
      <vt:variant>
        <vt:i4>1769529</vt:i4>
      </vt:variant>
      <vt:variant>
        <vt:i4>80</vt:i4>
      </vt:variant>
      <vt:variant>
        <vt:i4>0</vt:i4>
      </vt:variant>
      <vt:variant>
        <vt:i4>5</vt:i4>
      </vt:variant>
      <vt:variant>
        <vt:lpwstr/>
      </vt:variant>
      <vt:variant>
        <vt:lpwstr>_Toc216956824</vt:lpwstr>
      </vt:variant>
      <vt:variant>
        <vt:i4>1769529</vt:i4>
      </vt:variant>
      <vt:variant>
        <vt:i4>74</vt:i4>
      </vt:variant>
      <vt:variant>
        <vt:i4>0</vt:i4>
      </vt:variant>
      <vt:variant>
        <vt:i4>5</vt:i4>
      </vt:variant>
      <vt:variant>
        <vt:lpwstr/>
      </vt:variant>
      <vt:variant>
        <vt:lpwstr>_Toc216956823</vt:lpwstr>
      </vt:variant>
      <vt:variant>
        <vt:i4>1769529</vt:i4>
      </vt:variant>
      <vt:variant>
        <vt:i4>68</vt:i4>
      </vt:variant>
      <vt:variant>
        <vt:i4>0</vt:i4>
      </vt:variant>
      <vt:variant>
        <vt:i4>5</vt:i4>
      </vt:variant>
      <vt:variant>
        <vt:lpwstr/>
      </vt:variant>
      <vt:variant>
        <vt:lpwstr>_Toc216956822</vt:lpwstr>
      </vt:variant>
      <vt:variant>
        <vt:i4>1769529</vt:i4>
      </vt:variant>
      <vt:variant>
        <vt:i4>62</vt:i4>
      </vt:variant>
      <vt:variant>
        <vt:i4>0</vt:i4>
      </vt:variant>
      <vt:variant>
        <vt:i4>5</vt:i4>
      </vt:variant>
      <vt:variant>
        <vt:lpwstr/>
      </vt:variant>
      <vt:variant>
        <vt:lpwstr>_Toc216956821</vt:lpwstr>
      </vt:variant>
      <vt:variant>
        <vt:i4>1769529</vt:i4>
      </vt:variant>
      <vt:variant>
        <vt:i4>56</vt:i4>
      </vt:variant>
      <vt:variant>
        <vt:i4>0</vt:i4>
      </vt:variant>
      <vt:variant>
        <vt:i4>5</vt:i4>
      </vt:variant>
      <vt:variant>
        <vt:lpwstr/>
      </vt:variant>
      <vt:variant>
        <vt:lpwstr>_Toc216956820</vt:lpwstr>
      </vt:variant>
      <vt:variant>
        <vt:i4>1572921</vt:i4>
      </vt:variant>
      <vt:variant>
        <vt:i4>50</vt:i4>
      </vt:variant>
      <vt:variant>
        <vt:i4>0</vt:i4>
      </vt:variant>
      <vt:variant>
        <vt:i4>5</vt:i4>
      </vt:variant>
      <vt:variant>
        <vt:lpwstr/>
      </vt:variant>
      <vt:variant>
        <vt:lpwstr>_Toc216956819</vt:lpwstr>
      </vt:variant>
      <vt:variant>
        <vt:i4>1572921</vt:i4>
      </vt:variant>
      <vt:variant>
        <vt:i4>44</vt:i4>
      </vt:variant>
      <vt:variant>
        <vt:i4>0</vt:i4>
      </vt:variant>
      <vt:variant>
        <vt:i4>5</vt:i4>
      </vt:variant>
      <vt:variant>
        <vt:lpwstr/>
      </vt:variant>
      <vt:variant>
        <vt:lpwstr>_Toc216956818</vt:lpwstr>
      </vt:variant>
      <vt:variant>
        <vt:i4>1572921</vt:i4>
      </vt:variant>
      <vt:variant>
        <vt:i4>38</vt:i4>
      </vt:variant>
      <vt:variant>
        <vt:i4>0</vt:i4>
      </vt:variant>
      <vt:variant>
        <vt:i4>5</vt:i4>
      </vt:variant>
      <vt:variant>
        <vt:lpwstr/>
      </vt:variant>
      <vt:variant>
        <vt:lpwstr>_Toc216956817</vt:lpwstr>
      </vt:variant>
      <vt:variant>
        <vt:i4>1572921</vt:i4>
      </vt:variant>
      <vt:variant>
        <vt:i4>32</vt:i4>
      </vt:variant>
      <vt:variant>
        <vt:i4>0</vt:i4>
      </vt:variant>
      <vt:variant>
        <vt:i4>5</vt:i4>
      </vt:variant>
      <vt:variant>
        <vt:lpwstr/>
      </vt:variant>
      <vt:variant>
        <vt:lpwstr>_Toc216956816</vt:lpwstr>
      </vt:variant>
      <vt:variant>
        <vt:i4>1572921</vt:i4>
      </vt:variant>
      <vt:variant>
        <vt:i4>26</vt:i4>
      </vt:variant>
      <vt:variant>
        <vt:i4>0</vt:i4>
      </vt:variant>
      <vt:variant>
        <vt:i4>5</vt:i4>
      </vt:variant>
      <vt:variant>
        <vt:lpwstr/>
      </vt:variant>
      <vt:variant>
        <vt:lpwstr>_Toc216956815</vt:lpwstr>
      </vt:variant>
      <vt:variant>
        <vt:i4>1572921</vt:i4>
      </vt:variant>
      <vt:variant>
        <vt:i4>20</vt:i4>
      </vt:variant>
      <vt:variant>
        <vt:i4>0</vt:i4>
      </vt:variant>
      <vt:variant>
        <vt:i4>5</vt:i4>
      </vt:variant>
      <vt:variant>
        <vt:lpwstr/>
      </vt:variant>
      <vt:variant>
        <vt:lpwstr>_Toc216956814</vt:lpwstr>
      </vt:variant>
      <vt:variant>
        <vt:i4>1572921</vt:i4>
      </vt:variant>
      <vt:variant>
        <vt:i4>14</vt:i4>
      </vt:variant>
      <vt:variant>
        <vt:i4>0</vt:i4>
      </vt:variant>
      <vt:variant>
        <vt:i4>5</vt:i4>
      </vt:variant>
      <vt:variant>
        <vt:lpwstr/>
      </vt:variant>
      <vt:variant>
        <vt:lpwstr>_Toc216956813</vt:lpwstr>
      </vt:variant>
      <vt:variant>
        <vt:i4>7471221</vt:i4>
      </vt:variant>
      <vt:variant>
        <vt:i4>9</vt:i4>
      </vt:variant>
      <vt:variant>
        <vt:i4>0</vt:i4>
      </vt:variant>
      <vt:variant>
        <vt:i4>5</vt:i4>
      </vt:variant>
      <vt:variant>
        <vt:lpwstr>https://www.ourwatch.org.au/change-the-story/changing-the-landscape</vt:lpwstr>
      </vt:variant>
      <vt:variant>
        <vt:lpwstr/>
      </vt:variant>
      <vt:variant>
        <vt:i4>720899</vt:i4>
      </vt:variant>
      <vt:variant>
        <vt:i4>6</vt:i4>
      </vt:variant>
      <vt:variant>
        <vt:i4>0</vt:i4>
      </vt:variant>
      <vt:variant>
        <vt:i4>5</vt:i4>
      </vt:variant>
      <vt:variant>
        <vt:lpwstr>https://www.ourwatch.org.au/change-the-story/changing-the-picture</vt:lpwstr>
      </vt:variant>
      <vt:variant>
        <vt:lpwstr/>
      </vt:variant>
      <vt:variant>
        <vt:i4>8126526</vt:i4>
      </vt:variant>
      <vt:variant>
        <vt:i4>3</vt:i4>
      </vt:variant>
      <vt:variant>
        <vt:i4>0</vt:i4>
      </vt:variant>
      <vt:variant>
        <vt:i4>5</vt:i4>
      </vt:variant>
      <vt:variant>
        <vt:lpwstr>https://www.ourwatch.org.au/resource/change-the-story-a-shared-framework-for-the-primary-prevention-of-violence-against-women-in-australia</vt:lpwstr>
      </vt:variant>
      <vt:variant>
        <vt:lpwstr/>
      </vt:variant>
      <vt:variant>
        <vt:i4>1048664</vt:i4>
      </vt:variant>
      <vt:variant>
        <vt:i4>0</vt:i4>
      </vt:variant>
      <vt:variant>
        <vt:i4>0</vt:i4>
      </vt:variant>
      <vt:variant>
        <vt:i4>5</vt:i4>
      </vt:variant>
      <vt:variant>
        <vt:lpwstr>https://www.ourwatch.org.au/</vt:lpwstr>
      </vt:variant>
      <vt:variant>
        <vt:lpwstr/>
      </vt:variant>
      <vt:variant>
        <vt:i4>6488100</vt:i4>
      </vt:variant>
      <vt:variant>
        <vt:i4>48</vt:i4>
      </vt:variant>
      <vt:variant>
        <vt:i4>0</vt:i4>
      </vt:variant>
      <vt:variant>
        <vt:i4>5</vt:i4>
      </vt:variant>
      <vt:variant>
        <vt:lpwstr>http://www.casel.org/social-and-emotional-learning/</vt:lpwstr>
      </vt:variant>
      <vt:variant>
        <vt:lpwstr/>
      </vt:variant>
      <vt:variant>
        <vt:i4>589906</vt:i4>
      </vt:variant>
      <vt:variant>
        <vt:i4>45</vt:i4>
      </vt:variant>
      <vt:variant>
        <vt:i4>0</vt:i4>
      </vt:variant>
      <vt:variant>
        <vt:i4>5</vt:i4>
      </vt:variant>
      <vt:variant>
        <vt:lpwstr>https://www.ourwatch.org.au/education/the-evidence-for-respectful-relationships-education</vt:lpwstr>
      </vt:variant>
      <vt:variant>
        <vt:lpwstr/>
      </vt:variant>
      <vt:variant>
        <vt:i4>7471163</vt:i4>
      </vt:variant>
      <vt:variant>
        <vt:i4>42</vt:i4>
      </vt:variant>
      <vt:variant>
        <vt:i4>0</vt:i4>
      </vt:variant>
      <vt:variant>
        <vt:i4>5</vt:i4>
      </vt:variant>
      <vt:variant>
        <vt:lpwstr>https://parlinfo.aph.gov.au/parlInfo/search/display/display.w3p;query=Id%3A%22legislation%2Fems%2Fr7284_ems_b9c134ac-a19a-47b2-9879-b03dda6e3c1a%22</vt:lpwstr>
      </vt:variant>
      <vt:variant>
        <vt:lpwstr/>
      </vt:variant>
      <vt:variant>
        <vt:i4>3866661</vt:i4>
      </vt:variant>
      <vt:variant>
        <vt:i4>39</vt:i4>
      </vt:variant>
      <vt:variant>
        <vt:i4>0</vt:i4>
      </vt:variant>
      <vt:variant>
        <vt:i4>5</vt:i4>
      </vt:variant>
      <vt:variant>
        <vt:lpwstr>https://www.aihw.gov.au/reports/illicit-use-of-drugs/national-drug-strategy-household-survey/contents/about</vt:lpwstr>
      </vt:variant>
      <vt:variant>
        <vt:lpwstr/>
      </vt:variant>
      <vt:variant>
        <vt:i4>5898261</vt:i4>
      </vt:variant>
      <vt:variant>
        <vt:i4>33</vt:i4>
      </vt:variant>
      <vt:variant>
        <vt:i4>0</vt:i4>
      </vt:variant>
      <vt:variant>
        <vt:i4>5</vt:i4>
      </vt:variant>
      <vt:variant>
        <vt:lpwstr>https://www.ncas.au/ncas-2021-findings-for-young-australians</vt:lpwstr>
      </vt:variant>
      <vt:variant>
        <vt:lpwstr/>
      </vt:variant>
      <vt:variant>
        <vt:i4>2621551</vt:i4>
      </vt:variant>
      <vt:variant>
        <vt:i4>30</vt:i4>
      </vt:variant>
      <vt:variant>
        <vt:i4>0</vt:i4>
      </vt:variant>
      <vt:variant>
        <vt:i4>5</vt:i4>
      </vt:variant>
      <vt:variant>
        <vt:lpwstr>https://www.anrows.org.au/publication/attitudes-matter-the-2021-national-community-attitudes-towards-violence-against-women-survey-ncas-findings-for-australia/</vt:lpwstr>
      </vt:variant>
      <vt:variant>
        <vt:lpwstr/>
      </vt:variant>
      <vt:variant>
        <vt:i4>8126498</vt:i4>
      </vt:variant>
      <vt:variant>
        <vt:i4>24</vt:i4>
      </vt:variant>
      <vt:variant>
        <vt:i4>0</vt:i4>
      </vt:variant>
      <vt:variant>
        <vt:i4>5</vt:i4>
      </vt:variant>
      <vt:variant>
        <vt:lpwstr>https://jss.org.au/programs/the-mens-project/tmp-research/the-man-box-2018/</vt:lpwstr>
      </vt:variant>
      <vt:variant>
        <vt:lpwstr/>
      </vt:variant>
      <vt:variant>
        <vt:i4>4587538</vt:i4>
      </vt:variant>
      <vt:variant>
        <vt:i4>21</vt:i4>
      </vt:variant>
      <vt:variant>
        <vt:i4>0</vt:i4>
      </vt:variant>
      <vt:variant>
        <vt:i4>5</vt:i4>
      </vt:variant>
      <vt:variant>
        <vt:lpwstr>https://assets.ourwatch.org.au/assets/Key-frameworks/Men-in-focus-Evidence-review.pdf</vt:lpwstr>
      </vt:variant>
      <vt:variant>
        <vt:lpwstr/>
      </vt:variant>
      <vt:variant>
        <vt:i4>2228268</vt:i4>
      </vt:variant>
      <vt:variant>
        <vt:i4>18</vt:i4>
      </vt:variant>
      <vt:variant>
        <vt:i4>0</vt:i4>
      </vt:variant>
      <vt:variant>
        <vt:i4>5</vt:i4>
      </vt:variant>
      <vt:variant>
        <vt:lpwstr>https://openresearch-repository.anu.edu.au/server/api/core/bitstreams/d50d4f57-325e-4b72-8096-c52794508bbe/content</vt:lpwstr>
      </vt:variant>
      <vt:variant>
        <vt:lpwstr/>
      </vt:variant>
      <vt:variant>
        <vt:i4>2228268</vt:i4>
      </vt:variant>
      <vt:variant>
        <vt:i4>15</vt:i4>
      </vt:variant>
      <vt:variant>
        <vt:i4>0</vt:i4>
      </vt:variant>
      <vt:variant>
        <vt:i4>5</vt:i4>
      </vt:variant>
      <vt:variant>
        <vt:lpwstr>https://openresearch-repository.anu.edu.au/server/api/core/bitstreams/d50d4f57-325e-4b72-8096-c52794508bbe/content</vt:lpwstr>
      </vt:variant>
      <vt:variant>
        <vt:lpwstr/>
      </vt:variant>
      <vt:variant>
        <vt:i4>852009</vt:i4>
      </vt:variant>
      <vt:variant>
        <vt:i4>12</vt:i4>
      </vt:variant>
      <vt:variant>
        <vt:i4>0</vt:i4>
      </vt:variant>
      <vt:variant>
        <vt:i4>5</vt:i4>
      </vt:variant>
      <vt:variant>
        <vt:lpwstr>https://www.pridetraining.org.au/pages/glossary-of-lgbtq-terms?utm_source=chatgpt.com</vt:lpwstr>
      </vt:variant>
      <vt:variant>
        <vt:lpwstr/>
      </vt:variant>
      <vt:variant>
        <vt:i4>1376268</vt:i4>
      </vt:variant>
      <vt:variant>
        <vt:i4>9</vt:i4>
      </vt:variant>
      <vt:variant>
        <vt:i4>0</vt:i4>
      </vt:variant>
      <vt:variant>
        <vt:i4>5</vt:i4>
      </vt:variant>
      <vt:variant>
        <vt:lpwstr>https://www.who.int/health-topics/gender</vt:lpwstr>
      </vt:variant>
      <vt:variant>
        <vt:lpwstr/>
      </vt:variant>
      <vt:variant>
        <vt:i4>5046291</vt:i4>
      </vt:variant>
      <vt:variant>
        <vt:i4>6</vt:i4>
      </vt:variant>
      <vt:variant>
        <vt:i4>0</vt:i4>
      </vt:variant>
      <vt:variant>
        <vt:i4>5</vt:i4>
      </vt:variant>
      <vt:variant>
        <vt:lpwstr>https://australianwomenshealth.org/resource/health-and-the-primary-prevention-of-violence-against-women/</vt:lpwstr>
      </vt:variant>
      <vt:variant>
        <vt:lpwstr/>
      </vt:variant>
      <vt:variant>
        <vt:i4>2424884</vt:i4>
      </vt:variant>
      <vt:variant>
        <vt:i4>3</vt:i4>
      </vt:variant>
      <vt:variant>
        <vt:i4>0</vt:i4>
      </vt:variant>
      <vt:variant>
        <vt:i4>5</vt:i4>
      </vt:variant>
      <vt:variant>
        <vt:lpwstr>https://www.theline.org.au/</vt:lpwstr>
      </vt:variant>
      <vt:variant>
        <vt:lpwstr/>
      </vt:variant>
      <vt:variant>
        <vt:i4>458835</vt:i4>
      </vt:variant>
      <vt:variant>
        <vt:i4>0</vt:i4>
      </vt:variant>
      <vt:variant>
        <vt:i4>0</vt:i4>
      </vt:variant>
      <vt:variant>
        <vt:i4>5</vt:i4>
      </vt:variant>
      <vt:variant>
        <vt:lpwstr>https://www.ourwatch.org.au/change-the-story/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people, online worlds and respectful relationships: What the research tell us</dc:title>
  <dc:subject/>
  <dc:creator>Our Watch</dc:creator>
  <cp:keywords/>
  <dc:description/>
  <cp:lastModifiedBy>Eleanor Shepherd</cp:lastModifiedBy>
  <cp:revision>63</cp:revision>
  <dcterms:created xsi:type="dcterms:W3CDTF">2025-12-21T11:29:00Z</dcterms:created>
  <dcterms:modified xsi:type="dcterms:W3CDTF">2026-05-22T04:08:00Z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0x0101006911A826C1EF2843A6F1E33FAC872B97</vt:lpwstr>
  </property>
  <property fmtid="{D5CDD505-2E9C-101B-9397-08002B2CF9AE}" pid="3" name="MediaServiceImageTags">
    <vt:lpwstr/>
  </property>
  <property fmtid="{D5CDD505-2E9C-101B-9397-08002B2CF9AE}" pid="4" name="Order">
    <vt:i4>8723000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0d506ea5-314f-4fc3-b7b2-209c1064edc9</vt:lpwstr>
  </property>
</Properties>
</file>