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2993" w14:textId="77777777" w:rsidR="00142223" w:rsidRPr="00142223" w:rsidRDefault="00142223" w:rsidP="000A79DB"/>
    <w:p w14:paraId="0EBEAAF5" w14:textId="77777777" w:rsidR="00142223" w:rsidRDefault="00142223" w:rsidP="000A79DB"/>
    <w:p w14:paraId="5158618D" w14:textId="77777777" w:rsidR="000A79DB" w:rsidRPr="00F172BA" w:rsidRDefault="000A79DB" w:rsidP="000A79DB">
      <w:pPr>
        <w:rPr>
          <w:sz w:val="32"/>
          <w:szCs w:val="28"/>
        </w:rPr>
      </w:pPr>
    </w:p>
    <w:p w14:paraId="11DADF6A" w14:textId="071DE9FA" w:rsidR="00692C2B" w:rsidRPr="00142223" w:rsidRDefault="00977CDF" w:rsidP="0089087D">
      <w:pPr>
        <w:pStyle w:val="Heading1"/>
      </w:pPr>
      <w:r>
        <w:t>Submission to the</w:t>
      </w:r>
      <w:r w:rsidR="00F172BA">
        <w:t xml:space="preserve"> Parliamentary Joint Committee</w:t>
      </w:r>
      <w:r w:rsidR="003548E5">
        <w:t xml:space="preserve"> on Human Rights</w:t>
      </w:r>
      <w:r w:rsidR="00F172BA">
        <w:t xml:space="preserve"> </w:t>
      </w:r>
      <w:r w:rsidR="003548E5">
        <w:t xml:space="preserve">Inquiry into </w:t>
      </w:r>
      <w:r w:rsidR="006260A7">
        <w:t>Australia's Human Rights Framework</w:t>
      </w:r>
      <w:r w:rsidR="00117421">
        <w:t xml:space="preserve"> (June 2023)</w:t>
      </w:r>
    </w:p>
    <w:p w14:paraId="1928612C" w14:textId="77777777" w:rsidR="00977CDF" w:rsidRPr="00977CDF" w:rsidRDefault="00977CDF" w:rsidP="005F6A3E">
      <w:pPr>
        <w:pStyle w:val="Heading2"/>
        <w:rPr>
          <w:szCs w:val="24"/>
          <w:lang w:eastAsia="en-AU"/>
        </w:rPr>
      </w:pPr>
      <w:r w:rsidRPr="00977CDF">
        <w:rPr>
          <w:lang w:eastAsia="en-AU"/>
        </w:rPr>
        <w:t>About Our Watch </w:t>
      </w:r>
    </w:p>
    <w:p w14:paraId="3D248C95" w14:textId="77777777" w:rsidR="00977CDF" w:rsidRPr="00977CDF" w:rsidRDefault="00977CDF" w:rsidP="005F6A3E">
      <w:pPr>
        <w:pStyle w:val="Heading3"/>
        <w:rPr>
          <w:szCs w:val="24"/>
          <w:lang w:eastAsia="en-AU"/>
        </w:rPr>
      </w:pPr>
      <w:r w:rsidRPr="00977CDF">
        <w:rPr>
          <w:lang w:eastAsia="en-AU"/>
        </w:rPr>
        <w:t>A national leader in prevention </w:t>
      </w:r>
    </w:p>
    <w:p w14:paraId="27A88BA0" w14:textId="6CDDD0E6" w:rsidR="6F20EB43" w:rsidRDefault="00977CDF" w:rsidP="009F3EB3">
      <w:pPr>
        <w:spacing w:before="100" w:beforeAutospacing="1" w:after="100" w:afterAutospacing="1"/>
        <w:textAlignment w:val="baseline"/>
        <w:rPr>
          <w:rFonts w:cs="Calibri"/>
          <w:lang w:eastAsia="en-AU"/>
        </w:rPr>
      </w:pPr>
      <w:r w:rsidRPr="6F20EB43">
        <w:rPr>
          <w:rFonts w:cs="Calibri"/>
          <w:shd w:val="clear" w:color="auto" w:fill="FFFFFF"/>
          <w:lang w:val="en-US" w:eastAsia="en-AU"/>
        </w:rPr>
        <w:t xml:space="preserve">Our Watch is a national leader in the primary prevention of violence against women and their children in Australia. </w:t>
      </w:r>
      <w:r w:rsidRPr="6F20EB43">
        <w:rPr>
          <w:rFonts w:cs="Calibri"/>
          <w:lang w:eastAsia="en-AU"/>
        </w:rPr>
        <w:t xml:space="preserve">We are an independent, not for profit organisation established in 2013. </w:t>
      </w:r>
      <w:r w:rsidRPr="6F20EB43">
        <w:rPr>
          <w:rFonts w:cs="Calibri"/>
          <w:shd w:val="clear" w:color="auto" w:fill="FFFFFF"/>
          <w:lang w:val="en-US" w:eastAsia="en-AU"/>
        </w:rPr>
        <w:t>All Australian governments are members of Our Watch. </w:t>
      </w:r>
      <w:r w:rsidRPr="6F20EB43">
        <w:rPr>
          <w:rFonts w:cs="Calibri"/>
          <w:lang w:eastAsia="en-AU"/>
        </w:rPr>
        <w:t> </w:t>
      </w:r>
    </w:p>
    <w:p w14:paraId="3E880A27" w14:textId="6E717F87" w:rsidR="6F20EB43" w:rsidRDefault="00977CDF" w:rsidP="009F3EB3">
      <w:pPr>
        <w:spacing w:before="100" w:beforeAutospacing="1" w:after="100" w:afterAutospacing="1"/>
        <w:textAlignment w:val="baseline"/>
        <w:rPr>
          <w:rFonts w:cs="Calibri"/>
          <w:lang w:eastAsia="en-AU"/>
        </w:rPr>
      </w:pPr>
      <w:r w:rsidRPr="6F20EB43">
        <w:rPr>
          <w:rFonts w:cs="Calibri"/>
          <w:lang w:eastAsia="en-AU"/>
        </w:rPr>
        <w:t>Our vision is an Australia where women and their children live free from all forms of violence. We aim to drive nation-wide change in the culture, behaviours, attitudes and social structures that drive violence against women and their children.  </w:t>
      </w:r>
    </w:p>
    <w:p w14:paraId="4927510F" w14:textId="230DFC8A" w:rsidR="00977CDF" w:rsidRPr="00977CDF" w:rsidRDefault="00977CDF" w:rsidP="009F3EB3">
      <w:pPr>
        <w:spacing w:before="100" w:beforeAutospacing="1" w:after="100" w:afterAutospacing="1"/>
        <w:textAlignment w:val="baseline"/>
        <w:rPr>
          <w:lang w:eastAsia="en-AU"/>
        </w:rPr>
      </w:pPr>
      <w:r w:rsidRPr="6F20EB43">
        <w:rPr>
          <w:rFonts w:cs="Calibri"/>
          <w:lang w:eastAsia="en-AU"/>
        </w:rPr>
        <w:t xml:space="preserve">Guided by our ground-breaking national framework, </w:t>
      </w:r>
      <w:hyperlink r:id="rId11">
        <w:r w:rsidRPr="6F20EB43">
          <w:rPr>
            <w:rStyle w:val="Hyperlink"/>
            <w:rFonts w:cs="Calibri"/>
            <w:i/>
            <w:iCs/>
            <w:lang w:eastAsia="en-AU"/>
          </w:rPr>
          <w:t>Change the story</w:t>
        </w:r>
      </w:hyperlink>
      <w:r w:rsidR="00321FFD">
        <w:rPr>
          <w:rStyle w:val="Hyperlink"/>
          <w:rFonts w:cs="Calibri"/>
          <w:i/>
          <w:iCs/>
          <w:lang w:eastAsia="en-AU"/>
        </w:rPr>
        <w:t xml:space="preserve"> </w:t>
      </w:r>
      <w:r w:rsidR="00321FFD">
        <w:rPr>
          <w:rStyle w:val="Hyperlink"/>
          <w:rFonts w:cs="Calibri"/>
          <w:lang w:eastAsia="en-AU"/>
        </w:rPr>
        <w:t>(2</w:t>
      </w:r>
      <w:r w:rsidR="00321FFD" w:rsidRPr="00321FFD">
        <w:rPr>
          <w:rStyle w:val="Hyperlink"/>
          <w:rFonts w:cs="Calibri"/>
          <w:vertAlign w:val="superscript"/>
          <w:lang w:eastAsia="en-AU"/>
        </w:rPr>
        <w:t>nd</w:t>
      </w:r>
      <w:r w:rsidR="00321FFD">
        <w:rPr>
          <w:rStyle w:val="Hyperlink"/>
          <w:rFonts w:cs="Calibri"/>
          <w:lang w:eastAsia="en-AU"/>
        </w:rPr>
        <w:t xml:space="preserve"> ed, 2021)</w:t>
      </w:r>
      <w:r w:rsidRPr="6F20EB43">
        <w:rPr>
          <w:rFonts w:cs="Calibri"/>
          <w:lang w:eastAsia="en-AU"/>
        </w:rPr>
        <w:t>, we work at all levels of our society to address the deeply entrenched, underlying drivers of violence against women, especially those stemming from gender inequality. We work with governments</w:t>
      </w:r>
      <w:r w:rsidR="00292783">
        <w:rPr>
          <w:rFonts w:cs="Calibri"/>
          <w:lang w:eastAsia="en-AU"/>
        </w:rPr>
        <w:t>,</w:t>
      </w:r>
      <w:r w:rsidRPr="6F20EB43">
        <w:rPr>
          <w:rFonts w:cs="Calibri"/>
          <w:lang w:eastAsia="en-AU"/>
        </w:rPr>
        <w:t xml:space="preserve"> practitioners</w:t>
      </w:r>
      <w:r w:rsidR="00292783">
        <w:rPr>
          <w:rFonts w:cs="Calibri"/>
          <w:lang w:eastAsia="en-AU"/>
        </w:rPr>
        <w:t>,</w:t>
      </w:r>
      <w:r w:rsidRPr="6F20EB43">
        <w:rPr>
          <w:rFonts w:cs="Calibri"/>
          <w:lang w:eastAsia="en-AU"/>
        </w:rPr>
        <w:t xml:space="preserve"> and the community, at all levels of Australian society, to address these drivers of violence in all settings where people live, learn, work and socialise. </w:t>
      </w:r>
    </w:p>
    <w:p w14:paraId="5455D4EB" w14:textId="77777777" w:rsidR="0070170E" w:rsidRDefault="0070170E" w:rsidP="005F6A3E">
      <w:pPr>
        <w:pStyle w:val="Heading2"/>
        <w:rPr>
          <w:lang w:eastAsia="en-AU"/>
        </w:rPr>
      </w:pPr>
      <w:r w:rsidRPr="00142223">
        <w:rPr>
          <w:lang w:eastAsia="en-AU"/>
        </w:rPr>
        <w:t>About this submission </w:t>
      </w:r>
    </w:p>
    <w:p w14:paraId="6C2650ED" w14:textId="796981B8" w:rsidR="00BB1202" w:rsidRDefault="00955543" w:rsidP="00980ECA">
      <w:pPr>
        <w:spacing w:before="100" w:beforeAutospacing="1" w:after="100" w:afterAutospacing="1"/>
        <w:textAlignment w:val="baseline"/>
      </w:pPr>
      <w:r w:rsidRPr="6F20EB43">
        <w:rPr>
          <w:rFonts w:cs="Calibri"/>
          <w:lang w:val="en-US" w:eastAsia="en-AU"/>
        </w:rPr>
        <w:t xml:space="preserve">Our Watch </w:t>
      </w:r>
      <w:r>
        <w:rPr>
          <w:rFonts w:cs="Calibri"/>
          <w:lang w:val="en-US" w:eastAsia="en-AU"/>
        </w:rPr>
        <w:t>welcomes the opportunity to</w:t>
      </w:r>
      <w:r w:rsidRPr="6F20EB43">
        <w:rPr>
          <w:rFonts w:cs="Calibri"/>
          <w:lang w:val="en-US" w:eastAsia="en-AU"/>
        </w:rPr>
        <w:t xml:space="preserve"> contribute to the Australian </w:t>
      </w:r>
      <w:r>
        <w:t xml:space="preserve">Parliamentary Joint Committee on Human Rights’ inquiry into Australia’s Human Rights Framework. </w:t>
      </w:r>
      <w:r w:rsidR="00BB1202" w:rsidRPr="0070170E">
        <w:rPr>
          <w:rFonts w:cs="Calibri"/>
          <w:szCs w:val="24"/>
          <w:lang w:eastAsia="en-AU"/>
        </w:rPr>
        <w:t>T</w:t>
      </w:r>
      <w:r w:rsidR="00BB1202">
        <w:rPr>
          <w:rFonts w:cs="Calibri"/>
          <w:szCs w:val="24"/>
          <w:lang w:eastAsia="en-AU"/>
        </w:rPr>
        <w:t xml:space="preserve">his submission responds to the second Term of Reference that the </w:t>
      </w:r>
      <w:r w:rsidR="00F172BA">
        <w:rPr>
          <w:rFonts w:cs="Calibri"/>
          <w:szCs w:val="24"/>
          <w:lang w:eastAsia="en-AU"/>
        </w:rPr>
        <w:t xml:space="preserve">Parliamentary </w:t>
      </w:r>
      <w:r w:rsidR="00BB1202">
        <w:rPr>
          <w:rFonts w:cs="Calibri"/>
          <w:szCs w:val="24"/>
          <w:lang w:eastAsia="en-AU"/>
        </w:rPr>
        <w:t xml:space="preserve">Joint Committee </w:t>
      </w:r>
      <w:r w:rsidR="00F172BA">
        <w:rPr>
          <w:rFonts w:cs="Calibri"/>
          <w:szCs w:val="24"/>
          <w:lang w:eastAsia="en-AU"/>
        </w:rPr>
        <w:t xml:space="preserve">on Human Rights </w:t>
      </w:r>
      <w:r w:rsidR="00BB1202">
        <w:rPr>
          <w:rFonts w:cs="Calibri"/>
          <w:szCs w:val="24"/>
          <w:lang w:eastAsia="en-AU"/>
        </w:rPr>
        <w:t>has been asked to consider, namely</w:t>
      </w:r>
      <w:r w:rsidR="00980ECA">
        <w:rPr>
          <w:rFonts w:cs="Calibri"/>
          <w:szCs w:val="24"/>
          <w:lang w:eastAsia="en-AU"/>
        </w:rPr>
        <w:t xml:space="preserve"> ‘</w:t>
      </w:r>
      <w:r w:rsidR="00BB1202">
        <w:t>whether the Framework should be re-established, as well as the components of the Framework, and any improvements that should be made</w:t>
      </w:r>
      <w:r w:rsidR="00980ECA">
        <w:t>’</w:t>
      </w:r>
      <w:r w:rsidR="00BB1202">
        <w:t>.</w:t>
      </w:r>
    </w:p>
    <w:p w14:paraId="1CB4E688" w14:textId="77777777" w:rsidR="00215F6B" w:rsidRPr="00955543" w:rsidRDefault="00215F6B" w:rsidP="00980ECA">
      <w:pPr>
        <w:spacing w:before="100" w:beforeAutospacing="1" w:after="100" w:afterAutospacing="1"/>
        <w:textAlignment w:val="baseline"/>
      </w:pPr>
    </w:p>
    <w:p w14:paraId="14FB8DDC" w14:textId="36E30709" w:rsidR="00BB1202" w:rsidRDefault="00BB1202" w:rsidP="009F3EB3">
      <w:pPr>
        <w:spacing w:before="100" w:beforeAutospacing="1" w:after="100" w:afterAutospacing="1"/>
        <w:textAlignment w:val="baseline"/>
        <w:rPr>
          <w:rFonts w:cs="Calibri"/>
          <w:szCs w:val="24"/>
          <w:lang w:eastAsia="en-AU"/>
        </w:rPr>
      </w:pPr>
      <w:r w:rsidRPr="0070170E">
        <w:rPr>
          <w:rFonts w:cs="Calibri"/>
          <w:szCs w:val="24"/>
          <w:lang w:eastAsia="en-AU"/>
        </w:rPr>
        <w:lastRenderedPageBreak/>
        <w:t>Our Watch</w:t>
      </w:r>
      <w:r w:rsidR="00955543">
        <w:rPr>
          <w:rFonts w:cs="Calibri"/>
          <w:szCs w:val="24"/>
          <w:lang w:eastAsia="en-AU"/>
        </w:rPr>
        <w:t xml:space="preserve"> w</w:t>
      </w:r>
      <w:r w:rsidR="00181797">
        <w:rPr>
          <w:rFonts w:cs="Calibri"/>
          <w:szCs w:val="24"/>
          <w:lang w:eastAsia="en-AU"/>
        </w:rPr>
        <w:t xml:space="preserve">ould be pleased to </w:t>
      </w:r>
      <w:r w:rsidRPr="0070170E">
        <w:rPr>
          <w:rFonts w:cs="Calibri"/>
          <w:szCs w:val="24"/>
          <w:lang w:eastAsia="en-AU"/>
        </w:rPr>
        <w:t xml:space="preserve">provide further advice or assistance to the Committee in relation to the issues outlined in this submission. Please contact Director Government Relations, Policy and Evidence, Amanda Alford at </w:t>
      </w:r>
      <w:hyperlink r:id="rId12" w:tgtFrame="_blank" w:history="1">
        <w:r w:rsidRPr="0070170E">
          <w:rPr>
            <w:rFonts w:cs="Calibri"/>
            <w:szCs w:val="24"/>
            <w:u w:val="single"/>
            <w:lang w:eastAsia="en-AU"/>
          </w:rPr>
          <w:t>amanda.alford@ourwatch.org.au</w:t>
        </w:r>
      </w:hyperlink>
      <w:r w:rsidRPr="0070170E">
        <w:rPr>
          <w:rFonts w:cs="Calibri"/>
          <w:szCs w:val="24"/>
          <w:lang w:eastAsia="en-AU"/>
        </w:rPr>
        <w:t>. </w:t>
      </w:r>
    </w:p>
    <w:p w14:paraId="0CCFE89E" w14:textId="4717DF6E" w:rsidR="0031683A" w:rsidRDefault="0031683A" w:rsidP="005F6A3E">
      <w:pPr>
        <w:pStyle w:val="Heading2"/>
        <w:rPr>
          <w:lang w:eastAsia="en-AU"/>
        </w:rPr>
      </w:pPr>
      <w:r>
        <w:rPr>
          <w:lang w:eastAsia="en-AU"/>
        </w:rPr>
        <w:t>Summary of recommendations</w:t>
      </w:r>
    </w:p>
    <w:p w14:paraId="73A2EF1E" w14:textId="3317A2A4" w:rsidR="00AD6EC5" w:rsidRPr="005F6A3E" w:rsidRDefault="17118C17" w:rsidP="00AD6EC5">
      <w:pPr>
        <w:rPr>
          <w:rFonts w:cs="Calibri"/>
          <w:lang w:eastAsia="en-AU"/>
        </w:rPr>
      </w:pPr>
      <w:r w:rsidRPr="005F6A3E">
        <w:rPr>
          <w:rFonts w:cs="Calibri"/>
          <w:lang w:eastAsia="en-AU"/>
        </w:rPr>
        <w:t>Our Watch recommends that</w:t>
      </w:r>
      <w:r w:rsidR="372A2154" w:rsidRPr="005F6A3E">
        <w:rPr>
          <w:rFonts w:cs="Calibri"/>
          <w:lang w:eastAsia="en-AU"/>
        </w:rPr>
        <w:t>:</w:t>
      </w:r>
    </w:p>
    <w:p w14:paraId="1A52A136" w14:textId="066DCC75" w:rsidR="006E4BA8" w:rsidRDefault="00755DA4" w:rsidP="006E4BA8">
      <w:pPr>
        <w:pStyle w:val="ListParagraph"/>
        <w:numPr>
          <w:ilvl w:val="0"/>
          <w:numId w:val="43"/>
        </w:numPr>
        <w:rPr>
          <w:rFonts w:cs="Calibri"/>
          <w:szCs w:val="24"/>
          <w:lang w:eastAsia="en-AU"/>
        </w:rPr>
      </w:pPr>
      <w:r w:rsidRPr="00755DA4">
        <w:rPr>
          <w:rFonts w:cs="Calibri"/>
          <w:szCs w:val="24"/>
          <w:lang w:eastAsia="en-AU"/>
        </w:rPr>
        <w:t>Any Human Rights Framework and Action Plan</w:t>
      </w:r>
      <w:r w:rsidR="00005804">
        <w:rPr>
          <w:rFonts w:cs="Calibri"/>
          <w:szCs w:val="24"/>
          <w:lang w:eastAsia="en-AU"/>
        </w:rPr>
        <w:t xml:space="preserve"> </w:t>
      </w:r>
      <w:r w:rsidRPr="00755DA4">
        <w:rPr>
          <w:rFonts w:cs="Calibri"/>
          <w:szCs w:val="24"/>
          <w:lang w:eastAsia="en-AU"/>
        </w:rPr>
        <w:t xml:space="preserve">include a clear articulation of and commitment to primary prevention of violence against women to reaffirm Australia’s obligations as a State Party to CEDAW. </w:t>
      </w:r>
    </w:p>
    <w:p w14:paraId="3DD2CD51" w14:textId="3D49464C" w:rsidR="00AD6EC5" w:rsidRPr="006E4BA8" w:rsidRDefault="00005804" w:rsidP="006E4BA8">
      <w:pPr>
        <w:pStyle w:val="ListParagraph"/>
        <w:numPr>
          <w:ilvl w:val="0"/>
          <w:numId w:val="43"/>
        </w:numPr>
        <w:rPr>
          <w:rFonts w:cs="Calibri"/>
          <w:szCs w:val="24"/>
          <w:lang w:eastAsia="en-AU"/>
        </w:rPr>
      </w:pPr>
      <w:r>
        <w:rPr>
          <w:lang w:eastAsia="en-AU"/>
        </w:rPr>
        <w:t xml:space="preserve">Any Human Rights Framework and Action Plan </w:t>
      </w:r>
      <w:r w:rsidR="006E4BA8">
        <w:rPr>
          <w:lang w:eastAsia="en-AU"/>
        </w:rPr>
        <w:t xml:space="preserve">acknowledge and commit to </w:t>
      </w:r>
      <w:r w:rsidR="00AD6EC5" w:rsidRPr="00AD6EC5">
        <w:rPr>
          <w:lang w:eastAsia="en-AU"/>
        </w:rPr>
        <w:t>education initiatives that support promotion of gender equality, the elimination of violence against women and the realisation of women rights as human rights.</w:t>
      </w:r>
    </w:p>
    <w:p w14:paraId="4837FE20" w14:textId="14349489" w:rsidR="00AD6EC5" w:rsidRPr="00AD6EC5" w:rsidRDefault="001D7331" w:rsidP="00AD6EC5">
      <w:pPr>
        <w:pStyle w:val="ListParagraph"/>
        <w:numPr>
          <w:ilvl w:val="0"/>
          <w:numId w:val="43"/>
        </w:numPr>
        <w:rPr>
          <w:rFonts w:cs="Calibri"/>
          <w:szCs w:val="24"/>
          <w:lang w:eastAsia="en-AU"/>
        </w:rPr>
      </w:pPr>
      <w:r>
        <w:rPr>
          <w:lang w:eastAsia="en-AU"/>
        </w:rPr>
        <w:t xml:space="preserve">Any Human Rights Framework and Action Plan </w:t>
      </w:r>
      <w:r w:rsidR="00AD6EC5" w:rsidRPr="00AD6EC5">
        <w:rPr>
          <w:lang w:eastAsia="en-AU"/>
        </w:rPr>
        <w:t>include commitments to gender responsive policymaking</w:t>
      </w:r>
      <w:r w:rsidR="004E4B1E">
        <w:rPr>
          <w:lang w:eastAsia="en-AU"/>
        </w:rPr>
        <w:t>,</w:t>
      </w:r>
      <w:r w:rsidR="00AD6EC5" w:rsidRPr="00AD6EC5">
        <w:rPr>
          <w:lang w:eastAsia="en-AU"/>
        </w:rPr>
        <w:t xml:space="preserve"> budgeting</w:t>
      </w:r>
      <w:r w:rsidR="004E4B1E">
        <w:rPr>
          <w:lang w:eastAsia="en-AU"/>
        </w:rPr>
        <w:t>, and legislative review</w:t>
      </w:r>
      <w:r w:rsidR="00AD6EC5" w:rsidRPr="00AD6EC5">
        <w:rPr>
          <w:lang w:eastAsia="en-AU"/>
        </w:rPr>
        <w:t xml:space="preserve"> to enhance the focus on women’s rights in the development of government policies and practices.</w:t>
      </w:r>
    </w:p>
    <w:p w14:paraId="61C449CC" w14:textId="72681184" w:rsidR="00AD6EC5" w:rsidRPr="00AD6EC5" w:rsidRDefault="00AD6EC5" w:rsidP="00AD6EC5">
      <w:pPr>
        <w:pStyle w:val="ListParagraph"/>
        <w:numPr>
          <w:ilvl w:val="0"/>
          <w:numId w:val="43"/>
        </w:numPr>
        <w:rPr>
          <w:rFonts w:cs="Calibri"/>
          <w:szCs w:val="24"/>
          <w:lang w:eastAsia="en-AU"/>
        </w:rPr>
      </w:pPr>
      <w:r w:rsidRPr="00AD6EC5">
        <w:rPr>
          <w:lang w:eastAsia="en-AU"/>
        </w:rPr>
        <w:t xml:space="preserve">The Australian Government embed an intersectional approach across all components of </w:t>
      </w:r>
      <w:r w:rsidR="00672444">
        <w:rPr>
          <w:lang w:eastAsia="en-AU"/>
        </w:rPr>
        <w:t>any Human Rights Framework and Action Plan.</w:t>
      </w:r>
    </w:p>
    <w:p w14:paraId="7AED4A22" w14:textId="77777777" w:rsidR="0031683A" w:rsidRPr="0031683A" w:rsidRDefault="0031683A" w:rsidP="004C0DBE">
      <w:pPr>
        <w:pBdr>
          <w:bottom w:val="single" w:sz="4" w:space="1" w:color="auto"/>
        </w:pBdr>
        <w:rPr>
          <w:lang w:eastAsia="en-AU"/>
        </w:rPr>
      </w:pPr>
    </w:p>
    <w:p w14:paraId="7BD61475" w14:textId="3D053BB2" w:rsidR="0070170E" w:rsidRPr="00142223" w:rsidRDefault="00D34E46" w:rsidP="005F6A3E">
      <w:pPr>
        <w:pStyle w:val="Heading2"/>
        <w:rPr>
          <w:lang w:eastAsia="en-AU"/>
        </w:rPr>
      </w:pPr>
      <w:r>
        <w:rPr>
          <w:lang w:eastAsia="en-AU"/>
        </w:rPr>
        <w:t>P</w:t>
      </w:r>
      <w:r w:rsidR="00E07EAC">
        <w:rPr>
          <w:lang w:eastAsia="en-AU"/>
        </w:rPr>
        <w:t>revent</w:t>
      </w:r>
      <w:r>
        <w:rPr>
          <w:lang w:eastAsia="en-AU"/>
        </w:rPr>
        <w:t>ing</w:t>
      </w:r>
      <w:r w:rsidR="00E07EAC">
        <w:rPr>
          <w:lang w:eastAsia="en-AU"/>
        </w:rPr>
        <w:t xml:space="preserve"> all forms of violence against women</w:t>
      </w:r>
      <w:r>
        <w:rPr>
          <w:lang w:eastAsia="en-AU"/>
        </w:rPr>
        <w:t>: A national responsibility</w:t>
      </w:r>
    </w:p>
    <w:p w14:paraId="50A876CB" w14:textId="26699005" w:rsidR="6F20EB43" w:rsidRDefault="00613489" w:rsidP="009F3EB3">
      <w:pPr>
        <w:spacing w:before="100" w:beforeAutospacing="1" w:after="100" w:afterAutospacing="1"/>
        <w:textAlignment w:val="baseline"/>
        <w:rPr>
          <w:rFonts w:cs="Calibri"/>
          <w:lang w:val="en-US" w:eastAsia="en-AU"/>
        </w:rPr>
      </w:pPr>
      <w:r>
        <w:t>As</w:t>
      </w:r>
      <w:r w:rsidR="002D7C35">
        <w:t xml:space="preserve"> a State Party to the Convention on the Elimination of All Forms of Discrimination </w:t>
      </w:r>
      <w:r w:rsidR="0001432D">
        <w:t>against Women (CEDAW),</w:t>
      </w:r>
      <w:r w:rsidR="00F057AD">
        <w:t xml:space="preserve"> Australia has joined the majority of </w:t>
      </w:r>
      <w:r w:rsidR="00E25B08">
        <w:t xml:space="preserve">the world’s nations in recognising </w:t>
      </w:r>
      <w:r w:rsidR="00321419">
        <w:t>discrimination against women, including vio</w:t>
      </w:r>
      <w:r>
        <w:t>lence against</w:t>
      </w:r>
      <w:r w:rsidR="00030029" w:rsidRPr="6F20EB43">
        <w:rPr>
          <w:rFonts w:cs="Calibri"/>
          <w:lang w:val="en-US" w:eastAsia="en-AU"/>
        </w:rPr>
        <w:t xml:space="preserve"> women</w:t>
      </w:r>
      <w:r w:rsidR="00321419" w:rsidRPr="6F20EB43">
        <w:rPr>
          <w:rFonts w:cs="Calibri"/>
          <w:lang w:val="en-US" w:eastAsia="en-AU"/>
        </w:rPr>
        <w:t>,</w:t>
      </w:r>
      <w:r w:rsidR="00450D0C" w:rsidRPr="6F20EB43">
        <w:rPr>
          <w:rFonts w:cs="Calibri"/>
          <w:lang w:val="en-US" w:eastAsia="en-AU"/>
        </w:rPr>
        <w:t xml:space="preserve"> as a </w:t>
      </w:r>
      <w:r w:rsidR="0081467A" w:rsidRPr="6F20EB43">
        <w:rPr>
          <w:rFonts w:cs="Calibri"/>
          <w:lang w:val="en-US" w:eastAsia="en-AU"/>
        </w:rPr>
        <w:t>serious and preventable human rights abuse</w:t>
      </w:r>
      <w:r w:rsidR="00030029" w:rsidRPr="6F20EB43">
        <w:rPr>
          <w:rFonts w:cs="Calibri"/>
          <w:lang w:val="en-US" w:eastAsia="en-AU"/>
        </w:rPr>
        <w:t>.</w:t>
      </w:r>
    </w:p>
    <w:p w14:paraId="7F56E56F" w14:textId="1E9F1D33" w:rsidR="6F20EB43" w:rsidRDefault="00964547" w:rsidP="009F3EB3">
      <w:pPr>
        <w:spacing w:before="100" w:beforeAutospacing="1" w:after="100" w:afterAutospacing="1"/>
        <w:textAlignment w:val="baseline"/>
        <w:rPr>
          <w:lang w:eastAsia="en-AU"/>
        </w:rPr>
      </w:pPr>
      <w:r>
        <w:rPr>
          <w:lang w:eastAsia="en-AU"/>
        </w:rPr>
        <w:t xml:space="preserve">Through General Recommendation 35 and its precursors, the CEDAW Committee </w:t>
      </w:r>
      <w:r w:rsidR="00C16181">
        <w:rPr>
          <w:lang w:eastAsia="en-AU"/>
        </w:rPr>
        <w:t xml:space="preserve">has </w:t>
      </w:r>
      <w:r>
        <w:rPr>
          <w:lang w:eastAsia="en-AU"/>
        </w:rPr>
        <w:t xml:space="preserve">clarified that discrimination against women, as defined in </w:t>
      </w:r>
      <w:r w:rsidR="00015C53">
        <w:rPr>
          <w:lang w:eastAsia="en-AU"/>
        </w:rPr>
        <w:t>A</w:t>
      </w:r>
      <w:r>
        <w:rPr>
          <w:lang w:eastAsia="en-AU"/>
        </w:rPr>
        <w:t xml:space="preserve">rticle 1 of the Convention, </w:t>
      </w:r>
      <w:r w:rsidRPr="6F20EB43">
        <w:rPr>
          <w:lang w:eastAsia="en-AU"/>
        </w:rPr>
        <w:t>include</w:t>
      </w:r>
      <w:r w:rsidR="78274891" w:rsidRPr="6F20EB43">
        <w:rPr>
          <w:lang w:eastAsia="en-AU"/>
        </w:rPr>
        <w:t>s</w:t>
      </w:r>
      <w:r>
        <w:rPr>
          <w:lang w:eastAsia="en-AU"/>
        </w:rPr>
        <w:t xml:space="preserve"> gender-based violence, that is “violence which is directed against a woman because she is a woman or that affects women disproportionately”, and that it constitute</w:t>
      </w:r>
      <w:r w:rsidR="004F4F0E">
        <w:rPr>
          <w:lang w:eastAsia="en-AU"/>
        </w:rPr>
        <w:t>s</w:t>
      </w:r>
      <w:r>
        <w:rPr>
          <w:lang w:eastAsia="en-AU"/>
        </w:rPr>
        <w:t xml:space="preserve"> a violation of their human rights. The Convention is supported by the 1993 United Nations Declaration on the Elimination of Violence against Women, the 1995 United Nations Beijing Declaration and Platform for Action, and the 1989 United Nations Convention on the Rights of the Child.</w:t>
      </w:r>
    </w:p>
    <w:p w14:paraId="5D7896D7" w14:textId="07E5FD5E" w:rsidR="6F20EB43" w:rsidRDefault="00916205" w:rsidP="009F3EB3">
      <w:pPr>
        <w:spacing w:before="100" w:beforeAutospacing="1" w:after="100" w:afterAutospacing="1"/>
        <w:textAlignment w:val="baseline"/>
        <w:rPr>
          <w:rFonts w:cs="Calibri"/>
          <w:lang w:val="en-US" w:eastAsia="en-AU"/>
        </w:rPr>
      </w:pPr>
      <w:r w:rsidRPr="6F20EB43">
        <w:rPr>
          <w:rFonts w:cs="Calibri"/>
          <w:lang w:val="en-US" w:eastAsia="en-AU"/>
        </w:rPr>
        <w:t xml:space="preserve">Violence against women is </w:t>
      </w:r>
      <w:proofErr w:type="spellStart"/>
      <w:r w:rsidRPr="6F20EB43">
        <w:rPr>
          <w:rFonts w:cs="Calibri"/>
          <w:lang w:val="en-US" w:eastAsia="en-AU"/>
        </w:rPr>
        <w:t>recognised</w:t>
      </w:r>
      <w:proofErr w:type="spellEnd"/>
      <w:r w:rsidRPr="6F20EB43">
        <w:rPr>
          <w:rFonts w:cs="Calibri"/>
          <w:lang w:val="en-US" w:eastAsia="en-AU"/>
        </w:rPr>
        <w:t xml:space="preserve"> as a serious and widespread problem in Australia, with enormous individual and community impacts and social costs. 1 in 3 Australian women has experienced physical violence since the age of 15 and 1 in 5 has experienced sexual violence.</w:t>
      </w:r>
      <w:r w:rsidR="00545A63" w:rsidRPr="6F20EB43">
        <w:rPr>
          <w:rFonts w:cs="Calibri"/>
          <w:lang w:val="en-US" w:eastAsia="en-AU"/>
        </w:rPr>
        <w:t xml:space="preserve"> While it is important to </w:t>
      </w:r>
      <w:r w:rsidR="00545A63" w:rsidRPr="6F20EB43">
        <w:rPr>
          <w:rFonts w:cs="Calibri"/>
          <w:lang w:val="en-US" w:eastAsia="en-AU"/>
        </w:rPr>
        <w:lastRenderedPageBreak/>
        <w:t xml:space="preserve">improve responses to this violence, effective prevention strategies that tackle the underlying drivers of violence </w:t>
      </w:r>
      <w:r w:rsidR="00CE6946">
        <w:rPr>
          <w:rFonts w:cs="Calibri"/>
          <w:lang w:val="en-US" w:eastAsia="en-AU"/>
        </w:rPr>
        <w:t>are</w:t>
      </w:r>
      <w:r w:rsidR="00545A63" w:rsidRPr="6F20EB43">
        <w:rPr>
          <w:rFonts w:cs="Calibri"/>
          <w:lang w:val="en-US" w:eastAsia="en-AU"/>
        </w:rPr>
        <w:t xml:space="preserve"> </w:t>
      </w:r>
      <w:r w:rsidR="00CE6946">
        <w:rPr>
          <w:rFonts w:cs="Calibri"/>
          <w:lang w:val="en-US" w:eastAsia="en-AU"/>
        </w:rPr>
        <w:t xml:space="preserve">necessary to </w:t>
      </w:r>
      <w:r w:rsidR="00876E74">
        <w:rPr>
          <w:rFonts w:cs="Calibri"/>
          <w:lang w:val="en-US" w:eastAsia="en-AU"/>
        </w:rPr>
        <w:t xml:space="preserve">meet the </w:t>
      </w:r>
      <w:r w:rsidR="00876E74" w:rsidRPr="63B32D4A">
        <w:rPr>
          <w:rFonts w:cs="Calibri"/>
          <w:lang w:val="en-US" w:eastAsia="en-AU"/>
        </w:rPr>
        <w:t>long</w:t>
      </w:r>
      <w:r w:rsidR="7874BCE3" w:rsidRPr="63B32D4A">
        <w:rPr>
          <w:rFonts w:cs="Calibri"/>
          <w:lang w:val="en-US" w:eastAsia="en-AU"/>
        </w:rPr>
        <w:t>-</w:t>
      </w:r>
      <w:r w:rsidR="00876E74" w:rsidRPr="63B32D4A">
        <w:rPr>
          <w:rFonts w:cs="Calibri"/>
          <w:lang w:val="en-US" w:eastAsia="en-AU"/>
        </w:rPr>
        <w:t>term</w:t>
      </w:r>
      <w:r w:rsidR="00876E74">
        <w:rPr>
          <w:rFonts w:cs="Calibri"/>
          <w:lang w:val="en-US" w:eastAsia="en-AU"/>
        </w:rPr>
        <w:t xml:space="preserve"> goal of eliminating </w:t>
      </w:r>
      <w:r w:rsidR="00EE2159">
        <w:rPr>
          <w:rFonts w:cs="Calibri"/>
          <w:lang w:val="en-US" w:eastAsia="en-AU"/>
        </w:rPr>
        <w:t>violence against women</w:t>
      </w:r>
      <w:r w:rsidR="00545A63" w:rsidRPr="6F20EB43">
        <w:rPr>
          <w:rFonts w:cs="Calibri"/>
          <w:lang w:val="en-US" w:eastAsia="en-AU"/>
        </w:rPr>
        <w:t>.</w:t>
      </w:r>
    </w:p>
    <w:p w14:paraId="0C56172A" w14:textId="7FB42EC0" w:rsidR="6F20EB43" w:rsidRDefault="0081467A" w:rsidP="009F3EB3">
      <w:pPr>
        <w:spacing w:before="100" w:beforeAutospacing="1" w:after="100" w:afterAutospacing="1"/>
        <w:textAlignment w:val="baseline"/>
        <w:rPr>
          <w:rFonts w:cs="Calibri"/>
          <w:lang w:eastAsia="en-AU"/>
        </w:rPr>
      </w:pPr>
      <w:r w:rsidRPr="6F20EB43">
        <w:rPr>
          <w:rFonts w:cs="Calibri"/>
          <w:lang w:val="en-US" w:eastAsia="en-AU"/>
        </w:rPr>
        <w:t xml:space="preserve">This submission draws upon </w:t>
      </w:r>
      <w:r w:rsidR="00D70060" w:rsidRPr="6F20EB43">
        <w:rPr>
          <w:rFonts w:cs="Calibri"/>
          <w:lang w:val="en-US" w:eastAsia="en-AU"/>
        </w:rPr>
        <w:t xml:space="preserve">the evidence from </w:t>
      </w:r>
      <w:hyperlink r:id="rId13">
        <w:r w:rsidR="00D70060" w:rsidRPr="6F20EB43">
          <w:rPr>
            <w:rStyle w:val="Hyperlink"/>
            <w:rFonts w:cs="Calibri"/>
            <w:i/>
            <w:iCs/>
            <w:lang w:val="en-US" w:eastAsia="en-AU"/>
          </w:rPr>
          <w:t xml:space="preserve">Change the </w:t>
        </w:r>
        <w:r w:rsidR="009859C7" w:rsidRPr="6F20EB43">
          <w:rPr>
            <w:rStyle w:val="Hyperlink"/>
            <w:rFonts w:cs="Calibri"/>
            <w:i/>
            <w:iCs/>
            <w:lang w:val="en-US" w:eastAsia="en-AU"/>
          </w:rPr>
          <w:t>S</w:t>
        </w:r>
        <w:r w:rsidR="00D70060" w:rsidRPr="6F20EB43">
          <w:rPr>
            <w:rStyle w:val="Hyperlink"/>
            <w:rFonts w:cs="Calibri"/>
            <w:i/>
            <w:iCs/>
            <w:lang w:val="en-US" w:eastAsia="en-AU"/>
          </w:rPr>
          <w:t>tory</w:t>
        </w:r>
      </w:hyperlink>
      <w:r w:rsidR="00F75F4E">
        <w:rPr>
          <w:rStyle w:val="Hyperlink"/>
          <w:rFonts w:cs="Calibri"/>
          <w:i/>
          <w:iCs/>
          <w:lang w:val="en-US" w:eastAsia="en-AU"/>
        </w:rPr>
        <w:t xml:space="preserve"> </w:t>
      </w:r>
      <w:r w:rsidR="00F75F4E">
        <w:rPr>
          <w:rStyle w:val="Hyperlink"/>
          <w:rFonts w:cs="Calibri"/>
          <w:lang w:val="en-US" w:eastAsia="en-AU"/>
        </w:rPr>
        <w:t>(2021)</w:t>
      </w:r>
      <w:r w:rsidR="00D70060" w:rsidRPr="6F20EB43">
        <w:rPr>
          <w:rFonts w:cs="Calibri"/>
          <w:i/>
          <w:iCs/>
          <w:lang w:val="en-US" w:eastAsia="en-AU"/>
        </w:rPr>
        <w:t xml:space="preserve">, </w:t>
      </w:r>
      <w:hyperlink r:id="rId14">
        <w:r w:rsidR="009859C7" w:rsidRPr="6F20EB43">
          <w:rPr>
            <w:rStyle w:val="Hyperlink"/>
            <w:rFonts w:cs="Calibri"/>
            <w:i/>
            <w:iCs/>
            <w:lang w:val="en-US" w:eastAsia="en-AU"/>
          </w:rPr>
          <w:t>Changing the Picture</w:t>
        </w:r>
      </w:hyperlink>
      <w:r w:rsidR="00F75F4E">
        <w:rPr>
          <w:rStyle w:val="Hyperlink"/>
          <w:rFonts w:cs="Calibri"/>
          <w:i/>
          <w:iCs/>
          <w:lang w:val="en-US" w:eastAsia="en-AU"/>
        </w:rPr>
        <w:t xml:space="preserve"> </w:t>
      </w:r>
      <w:r w:rsidR="00F75F4E">
        <w:rPr>
          <w:rStyle w:val="Hyperlink"/>
          <w:rFonts w:cs="Calibri"/>
          <w:lang w:val="en-US" w:eastAsia="en-AU"/>
        </w:rPr>
        <w:t>(2020)</w:t>
      </w:r>
      <w:r w:rsidR="009859C7" w:rsidRPr="6F20EB43">
        <w:rPr>
          <w:rFonts w:cs="Calibri"/>
          <w:i/>
          <w:iCs/>
          <w:lang w:val="en-US" w:eastAsia="en-AU"/>
        </w:rPr>
        <w:t xml:space="preserve">, </w:t>
      </w:r>
      <w:r w:rsidR="009859C7" w:rsidRPr="6F20EB43">
        <w:rPr>
          <w:rFonts w:cs="Calibri"/>
          <w:lang w:val="en-US" w:eastAsia="en-AU"/>
        </w:rPr>
        <w:t xml:space="preserve">and </w:t>
      </w:r>
      <w:hyperlink r:id="rId15">
        <w:r w:rsidR="009859C7" w:rsidRPr="6F20EB43">
          <w:rPr>
            <w:rStyle w:val="Hyperlink"/>
            <w:rFonts w:cs="Calibri"/>
            <w:i/>
            <w:iCs/>
            <w:lang w:val="en-US" w:eastAsia="en-AU"/>
          </w:rPr>
          <w:t>Changing the Landscape</w:t>
        </w:r>
      </w:hyperlink>
      <w:r w:rsidR="006F2C84">
        <w:rPr>
          <w:rStyle w:val="Hyperlink"/>
          <w:rFonts w:cs="Calibri"/>
          <w:i/>
          <w:iCs/>
          <w:lang w:val="en-US" w:eastAsia="en-AU"/>
        </w:rPr>
        <w:t xml:space="preserve"> </w:t>
      </w:r>
      <w:r w:rsidR="006F2C84" w:rsidRPr="006F2C84">
        <w:rPr>
          <w:rStyle w:val="Hyperlink"/>
          <w:rFonts w:cs="Calibri"/>
          <w:lang w:val="en-US" w:eastAsia="en-AU"/>
        </w:rPr>
        <w:t>(2022)</w:t>
      </w:r>
      <w:r w:rsidR="009859C7" w:rsidRPr="6F20EB43">
        <w:rPr>
          <w:rFonts w:cs="Calibri"/>
          <w:i/>
          <w:iCs/>
          <w:lang w:val="en-US" w:eastAsia="en-AU"/>
        </w:rPr>
        <w:t xml:space="preserve"> </w:t>
      </w:r>
      <w:r w:rsidR="009859C7" w:rsidRPr="6F20EB43">
        <w:rPr>
          <w:rFonts w:cs="Calibri"/>
          <w:lang w:eastAsia="en-AU"/>
        </w:rPr>
        <w:t xml:space="preserve">to </w:t>
      </w:r>
      <w:r w:rsidR="005F7921" w:rsidRPr="6F20EB43">
        <w:rPr>
          <w:rFonts w:cs="Calibri"/>
          <w:lang w:eastAsia="en-AU"/>
        </w:rPr>
        <w:t xml:space="preserve">inform </w:t>
      </w:r>
      <w:r w:rsidR="00932A4E" w:rsidRPr="6F20EB43">
        <w:rPr>
          <w:rFonts w:cs="Calibri"/>
          <w:lang w:eastAsia="en-AU"/>
        </w:rPr>
        <w:t>its recommendations.</w:t>
      </w:r>
      <w:r w:rsidR="00090C41" w:rsidRPr="6F20EB43">
        <w:rPr>
          <w:rFonts w:cs="Calibri"/>
          <w:lang w:eastAsia="en-AU"/>
        </w:rPr>
        <w:t xml:space="preserve"> </w:t>
      </w:r>
      <w:r w:rsidR="00FA2F68" w:rsidRPr="6F20EB43">
        <w:rPr>
          <w:rFonts w:cs="Calibri"/>
          <w:lang w:eastAsia="en-AU"/>
        </w:rPr>
        <w:t xml:space="preserve">These frameworks </w:t>
      </w:r>
      <w:r w:rsidR="00FA592F" w:rsidRPr="6F20EB43">
        <w:rPr>
          <w:rFonts w:cs="Calibri"/>
          <w:lang w:eastAsia="en-AU"/>
        </w:rPr>
        <w:t>adopt th</w:t>
      </w:r>
      <w:r w:rsidR="00CF7D23" w:rsidRPr="6F20EB43">
        <w:rPr>
          <w:rFonts w:cs="Calibri"/>
          <w:lang w:eastAsia="en-AU"/>
        </w:rPr>
        <w:t>e</w:t>
      </w:r>
      <w:r w:rsidR="00FA592F" w:rsidRPr="6F20EB43">
        <w:rPr>
          <w:rFonts w:cs="Calibri"/>
          <w:lang w:eastAsia="en-AU"/>
        </w:rPr>
        <w:t xml:space="preserve"> United Nations</w:t>
      </w:r>
      <w:r w:rsidR="00CF7D23" w:rsidRPr="6F20EB43">
        <w:rPr>
          <w:rFonts w:cs="Calibri"/>
          <w:lang w:eastAsia="en-AU"/>
        </w:rPr>
        <w:t>’</w:t>
      </w:r>
      <w:r w:rsidR="00FA592F" w:rsidRPr="6F20EB43">
        <w:rPr>
          <w:rFonts w:cs="Calibri"/>
          <w:lang w:eastAsia="en-AU"/>
        </w:rPr>
        <w:t xml:space="preserve"> </w:t>
      </w:r>
      <w:r w:rsidR="00026B32" w:rsidRPr="6F20EB43">
        <w:rPr>
          <w:rFonts w:cs="Calibri"/>
          <w:lang w:eastAsia="en-AU"/>
        </w:rPr>
        <w:t>Declaration on the Elimination of Violence Against Women</w:t>
      </w:r>
      <w:r w:rsidR="00CF7D23" w:rsidRPr="6F20EB43">
        <w:rPr>
          <w:rFonts w:cs="Calibri"/>
          <w:lang w:eastAsia="en-AU"/>
        </w:rPr>
        <w:t xml:space="preserve"> definition of </w:t>
      </w:r>
      <w:r w:rsidR="000F071E" w:rsidRPr="6F20EB43">
        <w:rPr>
          <w:rFonts w:cs="Calibri"/>
          <w:lang w:eastAsia="en-AU"/>
        </w:rPr>
        <w:t>violence against women,</w:t>
      </w:r>
      <w:r w:rsidR="00CC5BA0" w:rsidRPr="6F20EB43">
        <w:rPr>
          <w:rFonts w:cs="Calibri"/>
          <w:lang w:eastAsia="en-AU"/>
        </w:rPr>
        <w:t xml:space="preserve"> </w:t>
      </w:r>
      <w:r w:rsidR="00970384" w:rsidRPr="6F20EB43">
        <w:rPr>
          <w:rFonts w:cs="Calibri"/>
          <w:lang w:eastAsia="en-AU"/>
        </w:rPr>
        <w:t>recognise violence against women as a fundame</w:t>
      </w:r>
      <w:r w:rsidR="00733365" w:rsidRPr="6F20EB43">
        <w:rPr>
          <w:rFonts w:cs="Calibri"/>
          <w:lang w:eastAsia="en-AU"/>
        </w:rPr>
        <w:t xml:space="preserve">ntal violation </w:t>
      </w:r>
      <w:r w:rsidR="00C05921" w:rsidRPr="6F20EB43">
        <w:rPr>
          <w:rFonts w:cs="Calibri"/>
          <w:lang w:eastAsia="en-AU"/>
        </w:rPr>
        <w:t xml:space="preserve">of human rights, </w:t>
      </w:r>
      <w:r w:rsidR="00033DB4" w:rsidRPr="6F20EB43">
        <w:rPr>
          <w:rFonts w:cs="Calibri"/>
          <w:lang w:eastAsia="en-AU"/>
        </w:rPr>
        <w:t xml:space="preserve">and </w:t>
      </w:r>
      <w:r w:rsidR="00E448EF" w:rsidRPr="6F20EB43">
        <w:rPr>
          <w:rFonts w:cs="Calibri"/>
          <w:lang w:eastAsia="en-AU"/>
        </w:rPr>
        <w:t xml:space="preserve">draw attention to Australia’s </w:t>
      </w:r>
      <w:r w:rsidR="00EE4A7A" w:rsidRPr="6F20EB43">
        <w:rPr>
          <w:rFonts w:cs="Calibri"/>
          <w:lang w:eastAsia="en-AU"/>
        </w:rPr>
        <w:t>international treaty obligations</w:t>
      </w:r>
      <w:r w:rsidR="00894A95" w:rsidRPr="6F20EB43">
        <w:rPr>
          <w:rFonts w:cs="Calibri"/>
          <w:lang w:eastAsia="en-AU"/>
        </w:rPr>
        <w:t xml:space="preserve"> </w:t>
      </w:r>
      <w:r w:rsidR="00C500B7" w:rsidRPr="6F20EB43">
        <w:rPr>
          <w:rFonts w:cs="Calibri"/>
          <w:lang w:eastAsia="en-AU"/>
        </w:rPr>
        <w:t xml:space="preserve">to prevent this violence. </w:t>
      </w:r>
    </w:p>
    <w:p w14:paraId="1954053E" w14:textId="5425857D" w:rsidR="009B29D9" w:rsidRDefault="00BE4041" w:rsidP="00BE4041">
      <w:pPr>
        <w:spacing w:before="100" w:beforeAutospacing="1" w:after="100" w:afterAutospacing="1"/>
        <w:textAlignment w:val="baseline"/>
        <w:rPr>
          <w:rFonts w:cs="Calibri"/>
          <w:lang w:eastAsia="en-AU"/>
        </w:rPr>
      </w:pPr>
      <w:r w:rsidRPr="6F20EB43">
        <w:rPr>
          <w:rFonts w:cs="Calibri"/>
          <w:i/>
          <w:lang w:eastAsia="en-AU"/>
        </w:rPr>
        <w:t xml:space="preserve">Changing the Landscape </w:t>
      </w:r>
      <w:r w:rsidRPr="6F20EB43">
        <w:rPr>
          <w:rFonts w:cs="Calibri"/>
          <w:lang w:eastAsia="en-AU"/>
        </w:rPr>
        <w:t>also</w:t>
      </w:r>
      <w:r w:rsidRPr="6F20EB43">
        <w:rPr>
          <w:rFonts w:cs="Calibri"/>
          <w:i/>
          <w:lang w:eastAsia="en-AU"/>
        </w:rPr>
        <w:t xml:space="preserve"> </w:t>
      </w:r>
      <w:r w:rsidRPr="6F20EB43">
        <w:rPr>
          <w:rFonts w:cs="Calibri"/>
          <w:lang w:eastAsia="en-AU"/>
        </w:rPr>
        <w:t>notes the primary responsibility of Australian governments for ensuring the health, safety and equality of women and people with disabilities as part of their international human rights obligations, including under the Convention on the Rights of Persons with Disabilities.</w:t>
      </w:r>
      <w:r>
        <w:rPr>
          <w:rFonts w:cs="Calibri"/>
          <w:lang w:eastAsia="en-AU"/>
        </w:rPr>
        <w:t xml:space="preserve"> </w:t>
      </w:r>
      <w:r w:rsidR="004C1A39" w:rsidRPr="6F20EB43">
        <w:rPr>
          <w:rFonts w:cs="Calibri"/>
          <w:i/>
          <w:lang w:eastAsia="en-AU"/>
        </w:rPr>
        <w:t xml:space="preserve">Changing the Picture </w:t>
      </w:r>
      <w:r w:rsidR="004C1A39" w:rsidRPr="6F20EB43">
        <w:rPr>
          <w:rFonts w:cs="Calibri"/>
          <w:lang w:eastAsia="en-AU"/>
        </w:rPr>
        <w:t>further draws on the U</w:t>
      </w:r>
      <w:r w:rsidR="6DF6614B" w:rsidRPr="6F20EB43">
        <w:rPr>
          <w:rFonts w:cs="Calibri"/>
          <w:lang w:eastAsia="en-AU"/>
        </w:rPr>
        <w:t xml:space="preserve">nited </w:t>
      </w:r>
      <w:r w:rsidR="004C1A39" w:rsidRPr="6F20EB43">
        <w:rPr>
          <w:rFonts w:cs="Calibri"/>
          <w:lang w:eastAsia="en-AU"/>
        </w:rPr>
        <w:t>N</w:t>
      </w:r>
      <w:r w:rsidR="234B2660" w:rsidRPr="6F20EB43">
        <w:rPr>
          <w:rFonts w:cs="Calibri"/>
          <w:lang w:eastAsia="en-AU"/>
        </w:rPr>
        <w:t>ations</w:t>
      </w:r>
      <w:r w:rsidR="004C1A39" w:rsidRPr="6F20EB43">
        <w:rPr>
          <w:rFonts w:cs="Calibri"/>
          <w:lang w:eastAsia="en-AU"/>
        </w:rPr>
        <w:t xml:space="preserve"> Declaration on the Rights of Indigenous Peoples; work by the Special Rapporteur on the Rights of Indigenous Peoples, </w:t>
      </w:r>
      <w:r w:rsidR="47A5B717" w:rsidRPr="6F20EB43">
        <w:rPr>
          <w:rFonts w:cs="Calibri"/>
          <w:lang w:eastAsia="en-AU"/>
        </w:rPr>
        <w:t xml:space="preserve">the </w:t>
      </w:r>
      <w:r w:rsidR="004C1A39" w:rsidRPr="6F20EB43">
        <w:rPr>
          <w:rFonts w:cs="Calibri"/>
          <w:lang w:eastAsia="en-AU"/>
        </w:rPr>
        <w:t xml:space="preserve">Special Rapporteur on Violence against Women and </w:t>
      </w:r>
      <w:r w:rsidR="40322CC2" w:rsidRPr="6F20EB43">
        <w:rPr>
          <w:rFonts w:cs="Calibri"/>
          <w:lang w:eastAsia="en-AU"/>
        </w:rPr>
        <w:t>the</w:t>
      </w:r>
      <w:r w:rsidR="004C1A39" w:rsidRPr="6F20EB43">
        <w:rPr>
          <w:rFonts w:cs="Calibri"/>
          <w:lang w:eastAsia="en-AU"/>
        </w:rPr>
        <w:t xml:space="preserve"> CEDAW committee; and resolutions by the U</w:t>
      </w:r>
      <w:r w:rsidR="56DD5E16" w:rsidRPr="6F20EB43">
        <w:rPr>
          <w:rFonts w:cs="Calibri"/>
          <w:lang w:eastAsia="en-AU"/>
        </w:rPr>
        <w:t xml:space="preserve">nited </w:t>
      </w:r>
      <w:r w:rsidR="004C1A39" w:rsidRPr="6F20EB43">
        <w:rPr>
          <w:rFonts w:cs="Calibri"/>
          <w:lang w:eastAsia="en-AU"/>
        </w:rPr>
        <w:t>N</w:t>
      </w:r>
      <w:r w:rsidR="18AB14D1" w:rsidRPr="6F20EB43">
        <w:rPr>
          <w:rFonts w:cs="Calibri"/>
          <w:lang w:eastAsia="en-AU"/>
        </w:rPr>
        <w:t>ations</w:t>
      </w:r>
      <w:r w:rsidR="004C1A39" w:rsidRPr="6F20EB43">
        <w:rPr>
          <w:rFonts w:cs="Calibri"/>
          <w:lang w:eastAsia="en-AU"/>
        </w:rPr>
        <w:t xml:space="preserve"> Human Rights Council.</w:t>
      </w:r>
      <w:r w:rsidR="009B29D9">
        <w:rPr>
          <w:rFonts w:cs="Calibri"/>
          <w:lang w:eastAsia="en-AU"/>
        </w:rPr>
        <w:t xml:space="preserve"> </w:t>
      </w:r>
    </w:p>
    <w:p w14:paraId="635FEC70" w14:textId="3E6DB7CD" w:rsidR="009B29D9" w:rsidRDefault="009B29D9" w:rsidP="009B29D9">
      <w:pPr>
        <w:spacing w:after="160"/>
        <w:rPr>
          <w:rFonts w:eastAsia="Roboto" w:cs="Roboto"/>
          <w:szCs w:val="24"/>
        </w:rPr>
      </w:pPr>
      <w:r w:rsidRPr="001354E9">
        <w:rPr>
          <w:rFonts w:eastAsia="Roboto" w:cs="Roboto"/>
          <w:szCs w:val="24"/>
        </w:rPr>
        <w:t xml:space="preserve">As a non-Indigenous organisation, Our Watch </w:t>
      </w:r>
      <w:r>
        <w:rPr>
          <w:rFonts w:eastAsia="Roboto" w:cs="Roboto"/>
          <w:szCs w:val="24"/>
        </w:rPr>
        <w:t>emphasises the importance of meaningful engagement with Aboriginal and Torres Strait Islander communities, leaders, and organisations to ensure that any actions or decisions that affect Aboriginal and Torres Strait Islander peoples are carried out in accordance with the internationally recognised principles of the United Nations Declaration on the Rights of Indigenous Peoples. Our Watch is</w:t>
      </w:r>
      <w:r w:rsidRPr="001354E9">
        <w:rPr>
          <w:rFonts w:eastAsia="Roboto" w:cs="Roboto"/>
          <w:szCs w:val="24"/>
        </w:rPr>
        <w:t xml:space="preserve"> committed to playing our part in addressing racism, power inequalities and other ongoing</w:t>
      </w:r>
      <w:r>
        <w:rPr>
          <w:rFonts w:eastAsia="Roboto" w:cs="Roboto"/>
          <w:szCs w:val="24"/>
        </w:rPr>
        <w:t xml:space="preserve"> </w:t>
      </w:r>
      <w:r w:rsidRPr="001354E9">
        <w:rPr>
          <w:rFonts w:eastAsia="Roboto" w:cs="Roboto"/>
          <w:szCs w:val="24"/>
        </w:rPr>
        <w:t>impacts of colonisation, and to working in solidarity with Aboriginal and Torres Strait Islander people</w:t>
      </w:r>
      <w:r>
        <w:rPr>
          <w:rFonts w:eastAsia="Roboto" w:cs="Roboto"/>
          <w:szCs w:val="24"/>
        </w:rPr>
        <w:t xml:space="preserve"> </w:t>
      </w:r>
      <w:r w:rsidRPr="001354E9">
        <w:rPr>
          <w:rFonts w:eastAsia="Roboto" w:cs="Roboto"/>
          <w:szCs w:val="24"/>
        </w:rPr>
        <w:t xml:space="preserve">to support culturally safe, </w:t>
      </w:r>
      <w:r w:rsidR="00D27771">
        <w:rPr>
          <w:rFonts w:eastAsia="Roboto" w:cs="Roboto"/>
          <w:szCs w:val="24"/>
        </w:rPr>
        <w:t xml:space="preserve">and </w:t>
      </w:r>
      <w:r w:rsidRPr="001354E9">
        <w:rPr>
          <w:rFonts w:eastAsia="Roboto" w:cs="Roboto"/>
          <w:szCs w:val="24"/>
        </w:rPr>
        <w:t>community-owned and led solutions.</w:t>
      </w:r>
    </w:p>
    <w:p w14:paraId="44396570" w14:textId="77777777" w:rsidR="00E533A0" w:rsidRPr="0070170E" w:rsidRDefault="00E533A0" w:rsidP="009F3EB3">
      <w:pPr>
        <w:pBdr>
          <w:bottom w:val="single" w:sz="4" w:space="1" w:color="auto"/>
        </w:pBdr>
        <w:spacing w:before="100" w:beforeAutospacing="1" w:after="100" w:afterAutospacing="1"/>
        <w:textAlignment w:val="baseline"/>
        <w:rPr>
          <w:szCs w:val="24"/>
          <w:lang w:eastAsia="en-AU"/>
        </w:rPr>
      </w:pPr>
    </w:p>
    <w:p w14:paraId="06D6A2F0" w14:textId="77777777" w:rsidR="0070170E" w:rsidRPr="00142223" w:rsidRDefault="0070170E" w:rsidP="009F3EB3">
      <w:pPr>
        <w:pStyle w:val="Heading2"/>
        <w:rPr>
          <w:szCs w:val="24"/>
          <w:lang w:eastAsia="en-AU"/>
        </w:rPr>
      </w:pPr>
      <w:r w:rsidRPr="00142223">
        <w:rPr>
          <w:lang w:eastAsia="en-AU"/>
        </w:rPr>
        <w:t>Response to Terms of Reference </w:t>
      </w:r>
    </w:p>
    <w:p w14:paraId="42E9A6CF" w14:textId="6B2E19B0" w:rsidR="0086346A" w:rsidRPr="0086346A" w:rsidRDefault="00F7433E" w:rsidP="005E7723">
      <w:pPr>
        <w:pStyle w:val="Heading3"/>
      </w:pPr>
      <w:r w:rsidRPr="00F7433E">
        <w:t>Question: C</w:t>
      </w:r>
      <w:r w:rsidR="00932026" w:rsidRPr="00F7433E">
        <w:t>onsider whether the Framework should be re-established, as well as the components of the Framework, and any improvements that should be made</w:t>
      </w:r>
      <w:r>
        <w:t>.</w:t>
      </w:r>
    </w:p>
    <w:p w14:paraId="2696BA24" w14:textId="1B0C0CFD" w:rsidR="00221497" w:rsidRDefault="00221497" w:rsidP="00C075F9">
      <w:pPr>
        <w:rPr>
          <w:lang w:eastAsia="en-AU"/>
        </w:rPr>
      </w:pPr>
      <w:r>
        <w:rPr>
          <w:lang w:eastAsia="en-AU"/>
        </w:rPr>
        <w:t xml:space="preserve">At a high level, Our Watch </w:t>
      </w:r>
      <w:r w:rsidR="002B76CC">
        <w:rPr>
          <w:lang w:eastAsia="en-AU"/>
        </w:rPr>
        <w:t xml:space="preserve">supports </w:t>
      </w:r>
      <w:r w:rsidR="000A74E0">
        <w:rPr>
          <w:lang w:eastAsia="en-AU"/>
        </w:rPr>
        <w:t>development of a strong and clear framework for the protection of human rights in Australia</w:t>
      </w:r>
      <w:r w:rsidR="00641766">
        <w:rPr>
          <w:lang w:eastAsia="en-AU"/>
        </w:rPr>
        <w:t xml:space="preserve">. This could, for example, include </w:t>
      </w:r>
      <w:r w:rsidR="001F14D6">
        <w:rPr>
          <w:lang w:eastAsia="en-AU"/>
        </w:rPr>
        <w:t>re-</w:t>
      </w:r>
      <w:r w:rsidR="00181797">
        <w:rPr>
          <w:lang w:eastAsia="en-AU"/>
        </w:rPr>
        <w:t>establishment</w:t>
      </w:r>
      <w:r w:rsidR="001F14D6">
        <w:rPr>
          <w:lang w:eastAsia="en-AU"/>
        </w:rPr>
        <w:t xml:space="preserve"> of </w:t>
      </w:r>
      <w:r w:rsidR="002B76CC">
        <w:rPr>
          <w:lang w:eastAsia="en-AU"/>
        </w:rPr>
        <w:t>a Human Rights Framework</w:t>
      </w:r>
      <w:r w:rsidR="00C075F9">
        <w:rPr>
          <w:lang w:eastAsia="en-AU"/>
        </w:rPr>
        <w:t xml:space="preserve"> and associated Action Plan</w:t>
      </w:r>
      <w:r w:rsidR="002B76CC">
        <w:rPr>
          <w:lang w:eastAsia="en-AU"/>
        </w:rPr>
        <w:t xml:space="preserve"> </w:t>
      </w:r>
      <w:r w:rsidR="001F14D6">
        <w:rPr>
          <w:lang w:eastAsia="en-AU"/>
        </w:rPr>
        <w:t xml:space="preserve">provided it </w:t>
      </w:r>
      <w:r w:rsidR="005B4B4D">
        <w:rPr>
          <w:lang w:eastAsia="en-AU"/>
        </w:rPr>
        <w:t xml:space="preserve">includes clear </w:t>
      </w:r>
      <w:r w:rsidR="00091C41">
        <w:rPr>
          <w:lang w:eastAsia="en-AU"/>
        </w:rPr>
        <w:t>commitments and actions</w:t>
      </w:r>
      <w:r w:rsidR="00002AE0">
        <w:rPr>
          <w:lang w:eastAsia="en-AU"/>
        </w:rPr>
        <w:t xml:space="preserve"> at a Commonwealth and state and territory level</w:t>
      </w:r>
      <w:r w:rsidR="00091C41">
        <w:rPr>
          <w:lang w:eastAsia="en-AU"/>
        </w:rPr>
        <w:t>, and</w:t>
      </w:r>
      <w:r w:rsidR="005B4B4D">
        <w:rPr>
          <w:lang w:eastAsia="en-AU"/>
        </w:rPr>
        <w:t xml:space="preserve"> is</w:t>
      </w:r>
      <w:r w:rsidR="00091C41">
        <w:rPr>
          <w:lang w:eastAsia="en-AU"/>
        </w:rPr>
        <w:t xml:space="preserve"> supported by appropriate governance and accountability mechanisms to ensure it is meaningful and effective. </w:t>
      </w:r>
    </w:p>
    <w:p w14:paraId="671FAE8D" w14:textId="1C049B0C" w:rsidR="005D5A1E" w:rsidRDefault="005B4B4D" w:rsidP="00C075F9">
      <w:pPr>
        <w:rPr>
          <w:lang w:eastAsia="en-AU"/>
        </w:rPr>
      </w:pPr>
      <w:proofErr w:type="gramStart"/>
      <w:r>
        <w:rPr>
          <w:lang w:eastAsia="en-AU"/>
        </w:rPr>
        <w:lastRenderedPageBreak/>
        <w:t xml:space="preserve">In re-establishing a </w:t>
      </w:r>
      <w:r w:rsidR="00A254FE">
        <w:rPr>
          <w:lang w:eastAsia="en-AU"/>
        </w:rPr>
        <w:t>Human Rights Framework</w:t>
      </w:r>
      <w:r>
        <w:rPr>
          <w:lang w:eastAsia="en-AU"/>
        </w:rPr>
        <w:t>, there</w:t>
      </w:r>
      <w:proofErr w:type="gramEnd"/>
      <w:r>
        <w:rPr>
          <w:lang w:eastAsia="en-AU"/>
        </w:rPr>
        <w:t xml:space="preserve"> is an </w:t>
      </w:r>
      <w:r w:rsidR="007C2885">
        <w:rPr>
          <w:lang w:eastAsia="en-AU"/>
        </w:rPr>
        <w:t xml:space="preserve">opportunity to </w:t>
      </w:r>
      <w:r w:rsidR="002A44A5">
        <w:rPr>
          <w:lang w:eastAsia="en-AU"/>
        </w:rPr>
        <w:t xml:space="preserve">enhance other </w:t>
      </w:r>
      <w:r w:rsidR="00A254FE">
        <w:rPr>
          <w:lang w:eastAsia="en-AU"/>
        </w:rPr>
        <w:t>national frameworks, strategies and plans</w:t>
      </w:r>
      <w:r w:rsidR="007C2885">
        <w:rPr>
          <w:lang w:eastAsia="en-AU"/>
        </w:rPr>
        <w:t xml:space="preserve"> </w:t>
      </w:r>
      <w:r w:rsidR="002A44A5">
        <w:rPr>
          <w:lang w:eastAsia="en-AU"/>
        </w:rPr>
        <w:t xml:space="preserve">to ensure they take a human rights approach </w:t>
      </w:r>
      <w:r w:rsidR="007C2885">
        <w:rPr>
          <w:lang w:eastAsia="en-AU"/>
        </w:rPr>
        <w:t xml:space="preserve">and </w:t>
      </w:r>
      <w:r w:rsidR="002A44A5">
        <w:rPr>
          <w:lang w:eastAsia="en-AU"/>
        </w:rPr>
        <w:t xml:space="preserve">to encourage </w:t>
      </w:r>
      <w:r w:rsidR="007C2885">
        <w:rPr>
          <w:lang w:eastAsia="en-AU"/>
        </w:rPr>
        <w:t xml:space="preserve">appropriate alignment. This includes, for example, the </w:t>
      </w:r>
      <w:r w:rsidR="00A254FE">
        <w:rPr>
          <w:lang w:eastAsia="en-AU"/>
        </w:rPr>
        <w:t xml:space="preserve">National Plan to End Violence against Women and Children 2022-2032. </w:t>
      </w:r>
    </w:p>
    <w:p w14:paraId="14DF8AD2" w14:textId="49B5CDE8" w:rsidR="0086346A" w:rsidRPr="00C075F9" w:rsidRDefault="00D34D07" w:rsidP="00C075F9">
      <w:pPr>
        <w:rPr>
          <w:lang w:eastAsia="en-AU"/>
        </w:rPr>
      </w:pPr>
      <w:r>
        <w:rPr>
          <w:lang w:eastAsia="en-AU"/>
        </w:rPr>
        <w:t>In addition</w:t>
      </w:r>
      <w:r w:rsidR="0086346A">
        <w:rPr>
          <w:lang w:eastAsia="en-AU"/>
        </w:rPr>
        <w:t xml:space="preserve"> to these high level points</w:t>
      </w:r>
      <w:r>
        <w:rPr>
          <w:lang w:eastAsia="en-AU"/>
        </w:rPr>
        <w:t>, Our Watch provides additional feedback</w:t>
      </w:r>
      <w:r w:rsidR="0086346A">
        <w:rPr>
          <w:lang w:eastAsia="en-AU"/>
        </w:rPr>
        <w:t xml:space="preserve"> below in relation to </w:t>
      </w:r>
      <w:r w:rsidR="00E44BBD">
        <w:rPr>
          <w:lang w:eastAsia="en-AU"/>
        </w:rPr>
        <w:t>potential o</w:t>
      </w:r>
      <w:r w:rsidR="0086346A">
        <w:rPr>
          <w:lang w:eastAsia="en-AU"/>
        </w:rPr>
        <w:t>verarching improvements to the 2010 Framework and</w:t>
      </w:r>
      <w:r>
        <w:rPr>
          <w:lang w:eastAsia="en-AU"/>
        </w:rPr>
        <w:t xml:space="preserve"> </w:t>
      </w:r>
      <w:r w:rsidR="00FA33EB">
        <w:rPr>
          <w:lang w:eastAsia="en-AU"/>
        </w:rPr>
        <w:t xml:space="preserve">its specific components: reaffirm, educate, respect and protect. </w:t>
      </w:r>
    </w:p>
    <w:p w14:paraId="409972DA" w14:textId="56D78F06" w:rsidR="00D2723E" w:rsidRPr="00B06857" w:rsidRDefault="00D2723E" w:rsidP="009F3EB3">
      <w:pPr>
        <w:pStyle w:val="Heading4"/>
        <w:rPr>
          <w:b/>
          <w:bCs/>
          <w:lang w:eastAsia="en-AU"/>
        </w:rPr>
      </w:pPr>
      <w:r w:rsidRPr="00B06857">
        <w:rPr>
          <w:b/>
          <w:bCs/>
          <w:lang w:eastAsia="en-AU"/>
        </w:rPr>
        <w:t>Reaffirm</w:t>
      </w:r>
      <w:r w:rsidR="009926AA" w:rsidRPr="00B06857">
        <w:rPr>
          <w:b/>
          <w:bCs/>
          <w:lang w:eastAsia="en-AU"/>
        </w:rPr>
        <w:t xml:space="preserve"> Australia’s obligations to eliminate</w:t>
      </w:r>
      <w:r w:rsidR="00BB0BC2" w:rsidRPr="00B06857">
        <w:rPr>
          <w:b/>
          <w:bCs/>
          <w:lang w:eastAsia="en-AU"/>
        </w:rPr>
        <w:t xml:space="preserve"> all forms of discrimination</w:t>
      </w:r>
      <w:r w:rsidR="006149B1" w:rsidRPr="00B06857">
        <w:rPr>
          <w:b/>
          <w:bCs/>
          <w:lang w:eastAsia="en-AU"/>
        </w:rPr>
        <w:t xml:space="preserve"> against women, including violence against women</w:t>
      </w:r>
    </w:p>
    <w:p w14:paraId="7AF503D9" w14:textId="205EBF80" w:rsidR="005F3EDE" w:rsidRDefault="00A71821" w:rsidP="009F3EB3">
      <w:pPr>
        <w:rPr>
          <w:lang w:eastAsia="en-AU"/>
        </w:rPr>
      </w:pPr>
      <w:r>
        <w:rPr>
          <w:lang w:eastAsia="en-AU"/>
        </w:rPr>
        <w:t>In re-instating the Framework</w:t>
      </w:r>
      <w:r w:rsidR="00641766">
        <w:rPr>
          <w:lang w:eastAsia="en-AU"/>
        </w:rPr>
        <w:t xml:space="preserve"> or developing a new Framework</w:t>
      </w:r>
      <w:r>
        <w:rPr>
          <w:lang w:eastAsia="en-AU"/>
        </w:rPr>
        <w:t xml:space="preserve">, Our Watch </w:t>
      </w:r>
      <w:r w:rsidR="00E44BBD">
        <w:rPr>
          <w:lang w:eastAsia="en-AU"/>
        </w:rPr>
        <w:t>suggests that there is an</w:t>
      </w:r>
      <w:r>
        <w:rPr>
          <w:lang w:eastAsia="en-AU"/>
        </w:rPr>
        <w:t xml:space="preserve"> opportunity to modify </w:t>
      </w:r>
      <w:r w:rsidR="00951B9A" w:rsidRPr="6F20EB43">
        <w:rPr>
          <w:lang w:eastAsia="en-AU"/>
        </w:rPr>
        <w:t>th</w:t>
      </w:r>
      <w:r w:rsidR="4B672C9B" w:rsidRPr="6F20EB43">
        <w:rPr>
          <w:lang w:eastAsia="en-AU"/>
        </w:rPr>
        <w:t>e</w:t>
      </w:r>
      <w:r w:rsidR="00951B9A" w:rsidRPr="6F20EB43">
        <w:rPr>
          <w:lang w:eastAsia="en-AU"/>
        </w:rPr>
        <w:t xml:space="preserve"> </w:t>
      </w:r>
      <w:r w:rsidR="00951B9A">
        <w:rPr>
          <w:lang w:eastAsia="en-AU"/>
        </w:rPr>
        <w:t xml:space="preserve">component </w:t>
      </w:r>
      <w:r w:rsidR="50DCB997" w:rsidRPr="6F20EB43">
        <w:rPr>
          <w:lang w:eastAsia="en-AU"/>
        </w:rPr>
        <w:t xml:space="preserve">of </w:t>
      </w:r>
      <w:r w:rsidR="50DCB997" w:rsidRPr="00DB2FCB">
        <w:rPr>
          <w:i/>
          <w:iCs/>
          <w:lang w:eastAsia="en-AU"/>
        </w:rPr>
        <w:t>Reaffirm</w:t>
      </w:r>
      <w:r w:rsidR="00951B9A" w:rsidRPr="6F20EB43">
        <w:rPr>
          <w:lang w:eastAsia="en-AU"/>
        </w:rPr>
        <w:t xml:space="preserve"> </w:t>
      </w:r>
      <w:r w:rsidR="00B044BA">
        <w:rPr>
          <w:lang w:eastAsia="en-AU"/>
        </w:rPr>
        <w:t xml:space="preserve">to more clearly articulate </w:t>
      </w:r>
      <w:r>
        <w:rPr>
          <w:lang w:eastAsia="en-AU"/>
        </w:rPr>
        <w:t xml:space="preserve">concrete </w:t>
      </w:r>
      <w:r w:rsidR="00D43550">
        <w:rPr>
          <w:lang w:eastAsia="en-AU"/>
        </w:rPr>
        <w:t xml:space="preserve">actions that can be measured and reported against in line with </w:t>
      </w:r>
      <w:r w:rsidR="00E44BBD">
        <w:rPr>
          <w:lang w:eastAsia="en-AU"/>
        </w:rPr>
        <w:t>Australia’s</w:t>
      </w:r>
      <w:r w:rsidR="00D43550">
        <w:rPr>
          <w:lang w:eastAsia="en-AU"/>
        </w:rPr>
        <w:t xml:space="preserve"> </w:t>
      </w:r>
      <w:r w:rsidR="00FD3B73">
        <w:rPr>
          <w:lang w:eastAsia="en-AU"/>
        </w:rPr>
        <w:t xml:space="preserve">commitments under </w:t>
      </w:r>
      <w:r w:rsidR="00FD3B73" w:rsidRPr="6F20EB43">
        <w:rPr>
          <w:lang w:eastAsia="en-AU"/>
        </w:rPr>
        <w:t>U</w:t>
      </w:r>
      <w:r w:rsidR="19718BDF" w:rsidRPr="6F20EB43">
        <w:rPr>
          <w:lang w:eastAsia="en-AU"/>
        </w:rPr>
        <w:t xml:space="preserve">nited </w:t>
      </w:r>
      <w:r w:rsidR="00FD3B73" w:rsidRPr="6F20EB43">
        <w:rPr>
          <w:lang w:eastAsia="en-AU"/>
        </w:rPr>
        <w:t>N</w:t>
      </w:r>
      <w:r w:rsidR="5D9F48AD" w:rsidRPr="6F20EB43">
        <w:rPr>
          <w:lang w:eastAsia="en-AU"/>
        </w:rPr>
        <w:t>ations</w:t>
      </w:r>
      <w:r w:rsidR="00FD3B73">
        <w:rPr>
          <w:lang w:eastAsia="en-AU"/>
        </w:rPr>
        <w:t xml:space="preserve"> human rights treaties.</w:t>
      </w:r>
    </w:p>
    <w:p w14:paraId="49F2160D" w14:textId="7F711EAE" w:rsidR="009A7FD5" w:rsidRDefault="00503AB4" w:rsidP="009F3EB3">
      <w:pPr>
        <w:rPr>
          <w:lang w:eastAsia="en-AU"/>
        </w:rPr>
      </w:pPr>
      <w:r>
        <w:rPr>
          <w:lang w:eastAsia="en-AU"/>
        </w:rPr>
        <w:t>As a party to CEDAW</w:t>
      </w:r>
      <w:r w:rsidR="008F3B53">
        <w:rPr>
          <w:lang w:eastAsia="en-AU"/>
        </w:rPr>
        <w:t xml:space="preserve">, </w:t>
      </w:r>
      <w:r w:rsidR="224DD289" w:rsidRPr="6F20EB43">
        <w:rPr>
          <w:lang w:eastAsia="en-AU"/>
        </w:rPr>
        <w:t>Australia</w:t>
      </w:r>
      <w:r w:rsidR="00136DB7" w:rsidRPr="6F20EB43">
        <w:rPr>
          <w:lang w:eastAsia="en-AU"/>
        </w:rPr>
        <w:t xml:space="preserve"> ha</w:t>
      </w:r>
      <w:r w:rsidR="4306F50A" w:rsidRPr="6F20EB43">
        <w:rPr>
          <w:lang w:eastAsia="en-AU"/>
        </w:rPr>
        <w:t>s</w:t>
      </w:r>
      <w:r w:rsidR="00136DB7">
        <w:rPr>
          <w:lang w:eastAsia="en-AU"/>
        </w:rPr>
        <w:t xml:space="preserve"> committed to </w:t>
      </w:r>
      <w:r w:rsidR="00941211">
        <w:rPr>
          <w:lang w:eastAsia="en-AU"/>
        </w:rPr>
        <w:t xml:space="preserve">“pursue by all appropriate means and without delay a policy of eliminating discrimination against women” (Article 2). </w:t>
      </w:r>
      <w:r w:rsidR="4624F202" w:rsidRPr="6F20EB43">
        <w:rPr>
          <w:lang w:eastAsia="en-AU"/>
        </w:rPr>
        <w:t xml:space="preserve">General Recommendation 35 of CEDAW explicitly </w:t>
      </w:r>
      <w:r w:rsidR="273D3BFF" w:rsidRPr="6F20EB43">
        <w:rPr>
          <w:lang w:eastAsia="en-AU"/>
        </w:rPr>
        <w:t>recognises gender-based violence against women as a human rights violation</w:t>
      </w:r>
      <w:r w:rsidR="2572D0D0" w:rsidRPr="6F20EB43">
        <w:rPr>
          <w:lang w:eastAsia="en-AU"/>
        </w:rPr>
        <w:t xml:space="preserve"> and that States have an obligation to purse all appropriate means to eliminate gender-based violence. It further lays out a series of actions States should take in order to </w:t>
      </w:r>
      <w:r w:rsidR="2572D0D0" w:rsidRPr="6F20EB43">
        <w:rPr>
          <w:b/>
          <w:bCs/>
          <w:lang w:eastAsia="en-AU"/>
        </w:rPr>
        <w:t>prevent</w:t>
      </w:r>
      <w:r w:rsidR="2572D0D0" w:rsidRPr="6F20EB43">
        <w:rPr>
          <w:lang w:eastAsia="en-AU"/>
        </w:rPr>
        <w:t xml:space="preserve"> violence against women.</w:t>
      </w:r>
    </w:p>
    <w:p w14:paraId="70A489DD" w14:textId="2AE10E33" w:rsidR="00FD3B73" w:rsidRDefault="003B5924" w:rsidP="009F3EB3">
      <w:pPr>
        <w:rPr>
          <w:lang w:eastAsia="en-AU"/>
        </w:rPr>
      </w:pPr>
      <w:r>
        <w:rPr>
          <w:lang w:eastAsia="en-AU"/>
        </w:rPr>
        <w:t>Under the previous Framework and Action Plan</w:t>
      </w:r>
      <w:r w:rsidR="00B4250C">
        <w:rPr>
          <w:lang w:eastAsia="en-AU"/>
        </w:rPr>
        <w:t xml:space="preserve"> (pages 37-41), </w:t>
      </w:r>
      <w:r w:rsidR="000D0D78">
        <w:rPr>
          <w:lang w:eastAsia="en-AU"/>
        </w:rPr>
        <w:t>however, the</w:t>
      </w:r>
      <w:r w:rsidR="00CC5C91">
        <w:rPr>
          <w:lang w:eastAsia="en-AU"/>
        </w:rPr>
        <w:t xml:space="preserve">re </w:t>
      </w:r>
      <w:r w:rsidR="00761770">
        <w:rPr>
          <w:lang w:eastAsia="en-AU"/>
        </w:rPr>
        <w:t xml:space="preserve">was </w:t>
      </w:r>
      <w:r w:rsidR="00034B40">
        <w:rPr>
          <w:lang w:eastAsia="en-AU"/>
        </w:rPr>
        <w:t>a limited</w:t>
      </w:r>
      <w:r w:rsidR="00761770">
        <w:rPr>
          <w:lang w:eastAsia="en-AU"/>
        </w:rPr>
        <w:t xml:space="preserve"> </w:t>
      </w:r>
      <w:r w:rsidR="006717D5">
        <w:rPr>
          <w:lang w:eastAsia="en-AU"/>
        </w:rPr>
        <w:t>focus on</w:t>
      </w:r>
      <w:r w:rsidR="0006054B">
        <w:rPr>
          <w:lang w:eastAsia="en-AU"/>
        </w:rPr>
        <w:t xml:space="preserve"> the</w:t>
      </w:r>
      <w:r w:rsidR="006717D5">
        <w:rPr>
          <w:lang w:eastAsia="en-AU"/>
        </w:rPr>
        <w:t xml:space="preserve"> </w:t>
      </w:r>
      <w:r w:rsidR="0006054B">
        <w:rPr>
          <w:lang w:eastAsia="en-AU"/>
        </w:rPr>
        <w:t>primary prevention of violence against women</w:t>
      </w:r>
      <w:r w:rsidR="00C12C8B">
        <w:rPr>
          <w:lang w:eastAsia="en-AU"/>
        </w:rPr>
        <w:t xml:space="preserve">, as </w:t>
      </w:r>
      <w:r w:rsidR="00F638D7">
        <w:rPr>
          <w:lang w:eastAsia="en-AU"/>
        </w:rPr>
        <w:t>distinct from</w:t>
      </w:r>
      <w:r w:rsidR="00C12C8B">
        <w:rPr>
          <w:lang w:eastAsia="en-AU"/>
        </w:rPr>
        <w:t xml:space="preserve"> </w:t>
      </w:r>
      <w:r w:rsidR="00FB652C">
        <w:rPr>
          <w:lang w:eastAsia="en-AU"/>
        </w:rPr>
        <w:t>early intervention or response</w:t>
      </w:r>
      <w:r w:rsidR="00D354D1">
        <w:rPr>
          <w:lang w:eastAsia="en-AU"/>
        </w:rPr>
        <w:t xml:space="preserve"> services.</w:t>
      </w:r>
      <w:r w:rsidR="59C1823A" w:rsidRPr="066FCCF7">
        <w:rPr>
          <w:lang w:eastAsia="en-AU"/>
        </w:rPr>
        <w:t xml:space="preserve"> </w:t>
      </w:r>
      <w:r w:rsidR="00AC77D9">
        <w:rPr>
          <w:lang w:eastAsia="en-AU"/>
        </w:rPr>
        <w:t xml:space="preserve">Primary prevention means stopping violence against women from occurring in the first place by addressing its underlying </w:t>
      </w:r>
      <w:r w:rsidR="01A04522" w:rsidRPr="6F20EB43">
        <w:rPr>
          <w:lang w:eastAsia="en-AU"/>
        </w:rPr>
        <w:t>gendered</w:t>
      </w:r>
      <w:r w:rsidR="00AC77D9" w:rsidRPr="6F20EB43">
        <w:rPr>
          <w:lang w:eastAsia="en-AU"/>
        </w:rPr>
        <w:t xml:space="preserve"> </w:t>
      </w:r>
      <w:r w:rsidR="00AC77D9">
        <w:rPr>
          <w:lang w:eastAsia="en-AU"/>
        </w:rPr>
        <w:t xml:space="preserve">drivers. </w:t>
      </w:r>
      <w:r w:rsidR="00577942">
        <w:rPr>
          <w:lang w:eastAsia="en-AU"/>
        </w:rPr>
        <w:t>Without changing the underlying</w:t>
      </w:r>
      <w:r w:rsidR="00143B9E">
        <w:rPr>
          <w:lang w:eastAsia="en-AU"/>
        </w:rPr>
        <w:t xml:space="preserve"> social norms, power imbalances, </w:t>
      </w:r>
      <w:r w:rsidR="006E760A">
        <w:rPr>
          <w:lang w:eastAsia="en-AU"/>
        </w:rPr>
        <w:t xml:space="preserve">institutions and practices that </w:t>
      </w:r>
      <w:r w:rsidR="0059616E">
        <w:rPr>
          <w:lang w:eastAsia="en-AU"/>
        </w:rPr>
        <w:t xml:space="preserve">excuse, justify, or even promote </w:t>
      </w:r>
      <w:r w:rsidR="00067619">
        <w:rPr>
          <w:lang w:eastAsia="en-AU"/>
        </w:rPr>
        <w:t>violence against women,</w:t>
      </w:r>
      <w:r w:rsidR="00BB4C08">
        <w:rPr>
          <w:lang w:eastAsia="en-AU"/>
        </w:rPr>
        <w:t xml:space="preserve"> the problem </w:t>
      </w:r>
      <w:r w:rsidR="007832B4">
        <w:rPr>
          <w:lang w:eastAsia="en-AU"/>
        </w:rPr>
        <w:t>of violence and all forms of discrimination against women cannot be eliminated.</w:t>
      </w:r>
    </w:p>
    <w:p w14:paraId="61B24ADF" w14:textId="6BBBB063" w:rsidR="007832B4" w:rsidRPr="005F3EDE" w:rsidRDefault="00FB04B2" w:rsidP="009F3EB3">
      <w:pPr>
        <w:rPr>
          <w:lang w:eastAsia="en-AU"/>
        </w:rPr>
      </w:pPr>
      <w:r>
        <w:rPr>
          <w:lang w:eastAsia="en-AU"/>
        </w:rPr>
        <w:t>Concrete commitments to f</w:t>
      </w:r>
      <w:r w:rsidR="00E104F0">
        <w:rPr>
          <w:lang w:eastAsia="en-AU"/>
        </w:rPr>
        <w:t>und an</w:t>
      </w:r>
      <w:r w:rsidR="00DA0A49">
        <w:rPr>
          <w:lang w:eastAsia="en-AU"/>
        </w:rPr>
        <w:t xml:space="preserve">d </w:t>
      </w:r>
      <w:r w:rsidR="006706E1">
        <w:rPr>
          <w:lang w:eastAsia="en-AU"/>
        </w:rPr>
        <w:t xml:space="preserve">support </w:t>
      </w:r>
      <w:r w:rsidR="00520927">
        <w:rPr>
          <w:lang w:eastAsia="en-AU"/>
        </w:rPr>
        <w:t>actions t</w:t>
      </w:r>
      <w:r w:rsidR="00F04238">
        <w:rPr>
          <w:lang w:eastAsia="en-AU"/>
        </w:rPr>
        <w:t xml:space="preserve">owards </w:t>
      </w:r>
      <w:r w:rsidR="006B53D2">
        <w:rPr>
          <w:lang w:eastAsia="en-AU"/>
        </w:rPr>
        <w:t xml:space="preserve">the </w:t>
      </w:r>
      <w:r w:rsidR="008E0403">
        <w:rPr>
          <w:lang w:eastAsia="en-AU"/>
        </w:rPr>
        <w:t>primary prevention of violence against women a</w:t>
      </w:r>
      <w:r w:rsidR="0005087F">
        <w:rPr>
          <w:lang w:eastAsia="en-AU"/>
        </w:rPr>
        <w:t>t all l</w:t>
      </w:r>
      <w:r w:rsidR="00F04238">
        <w:rPr>
          <w:lang w:eastAsia="en-AU"/>
        </w:rPr>
        <w:t xml:space="preserve">evels of </w:t>
      </w:r>
      <w:r w:rsidR="0059166B">
        <w:rPr>
          <w:lang w:eastAsia="en-AU"/>
        </w:rPr>
        <w:t xml:space="preserve">society </w:t>
      </w:r>
      <w:r>
        <w:rPr>
          <w:lang w:eastAsia="en-AU"/>
        </w:rPr>
        <w:t xml:space="preserve">are </w:t>
      </w:r>
      <w:r w:rsidR="00A16DD9">
        <w:rPr>
          <w:lang w:eastAsia="en-AU"/>
        </w:rPr>
        <w:t xml:space="preserve">important ways for </w:t>
      </w:r>
      <w:r w:rsidR="000945B7">
        <w:rPr>
          <w:lang w:eastAsia="en-AU"/>
        </w:rPr>
        <w:t xml:space="preserve">the Australian Government </w:t>
      </w:r>
      <w:r w:rsidR="00A16DD9">
        <w:rPr>
          <w:lang w:eastAsia="en-AU"/>
        </w:rPr>
        <w:t>to</w:t>
      </w:r>
      <w:r w:rsidR="004E39A6">
        <w:rPr>
          <w:lang w:eastAsia="en-AU"/>
        </w:rPr>
        <w:t xml:space="preserve"> reaffirm its obligations under CEDAW.</w:t>
      </w:r>
    </w:p>
    <w:p w14:paraId="642F99B4" w14:textId="34BA7907" w:rsidR="0070170E" w:rsidRDefault="0070170E" w:rsidP="009F3EB3">
      <w:pPr>
        <w:shd w:val="clear" w:color="auto" w:fill="DEEAF6" w:themeFill="accent1" w:themeFillTint="33"/>
        <w:spacing w:before="100" w:beforeAutospacing="1" w:after="100" w:afterAutospacing="1"/>
        <w:textAlignment w:val="baseline"/>
        <w:rPr>
          <w:rFonts w:cs="Calibri"/>
          <w:b/>
          <w:bCs/>
          <w:szCs w:val="24"/>
          <w:lang w:eastAsia="en-AU"/>
        </w:rPr>
      </w:pPr>
      <w:r w:rsidRPr="0070170E">
        <w:rPr>
          <w:rFonts w:cs="Calibri"/>
          <w:b/>
          <w:bCs/>
          <w:szCs w:val="24"/>
          <w:lang w:eastAsia="en-AU"/>
        </w:rPr>
        <w:t xml:space="preserve">Recommendation 1: </w:t>
      </w:r>
      <w:r w:rsidR="00F638D7" w:rsidRPr="00181797">
        <w:rPr>
          <w:rFonts w:cs="Calibri"/>
          <w:szCs w:val="24"/>
          <w:lang w:eastAsia="en-AU"/>
        </w:rPr>
        <w:t xml:space="preserve">Any Human Rights </w:t>
      </w:r>
      <w:r w:rsidR="004E39A6" w:rsidRPr="00181797">
        <w:rPr>
          <w:rFonts w:cs="Calibri"/>
          <w:szCs w:val="24"/>
          <w:lang w:eastAsia="en-AU"/>
        </w:rPr>
        <w:t>Framework</w:t>
      </w:r>
      <w:r w:rsidR="00267BF6" w:rsidRPr="00181797">
        <w:rPr>
          <w:rFonts w:cs="Calibri"/>
          <w:szCs w:val="24"/>
          <w:lang w:eastAsia="en-AU"/>
        </w:rPr>
        <w:t xml:space="preserve"> and Action Plan</w:t>
      </w:r>
      <w:r w:rsidR="00F638D7" w:rsidRPr="00181797">
        <w:rPr>
          <w:rFonts w:cs="Calibri"/>
          <w:szCs w:val="24"/>
          <w:lang w:eastAsia="en-AU"/>
        </w:rPr>
        <w:t xml:space="preserve">s should </w:t>
      </w:r>
      <w:r w:rsidR="004E39A6" w:rsidRPr="00181797">
        <w:rPr>
          <w:rFonts w:cs="Calibri"/>
          <w:szCs w:val="24"/>
          <w:lang w:eastAsia="en-AU"/>
        </w:rPr>
        <w:t xml:space="preserve">include </w:t>
      </w:r>
      <w:r w:rsidR="00F638D7" w:rsidRPr="00181797">
        <w:rPr>
          <w:rFonts w:cs="Calibri"/>
          <w:szCs w:val="24"/>
          <w:lang w:eastAsia="en-AU"/>
        </w:rPr>
        <w:t>a</w:t>
      </w:r>
      <w:r w:rsidR="001E598E" w:rsidRPr="00181797">
        <w:rPr>
          <w:rFonts w:cs="Calibri"/>
          <w:szCs w:val="24"/>
          <w:lang w:eastAsia="en-AU"/>
        </w:rPr>
        <w:t xml:space="preserve"> </w:t>
      </w:r>
      <w:r w:rsidR="004E39A6" w:rsidRPr="00181797">
        <w:rPr>
          <w:rFonts w:cs="Calibri"/>
          <w:szCs w:val="24"/>
          <w:lang w:eastAsia="en-AU"/>
        </w:rPr>
        <w:t>clear articulation of</w:t>
      </w:r>
      <w:r w:rsidR="00755DA4" w:rsidRPr="00181797">
        <w:rPr>
          <w:rFonts w:cs="Calibri"/>
          <w:szCs w:val="24"/>
          <w:lang w:eastAsia="en-AU"/>
        </w:rPr>
        <w:t xml:space="preserve"> and commitment to</w:t>
      </w:r>
      <w:r w:rsidR="004E39A6" w:rsidRPr="00181797">
        <w:rPr>
          <w:rFonts w:cs="Calibri"/>
          <w:szCs w:val="24"/>
          <w:lang w:eastAsia="en-AU"/>
        </w:rPr>
        <w:t xml:space="preserve"> </w:t>
      </w:r>
      <w:r w:rsidR="00267BF6" w:rsidRPr="00181797">
        <w:rPr>
          <w:rFonts w:cs="Calibri"/>
          <w:szCs w:val="24"/>
          <w:lang w:eastAsia="en-AU"/>
        </w:rPr>
        <w:t xml:space="preserve">primary prevention </w:t>
      </w:r>
      <w:r w:rsidR="001E598E" w:rsidRPr="00181797">
        <w:rPr>
          <w:rFonts w:cs="Calibri"/>
          <w:szCs w:val="24"/>
          <w:lang w:eastAsia="en-AU"/>
        </w:rPr>
        <w:t xml:space="preserve">of violence against women </w:t>
      </w:r>
      <w:r w:rsidR="00F60337" w:rsidRPr="00181797">
        <w:rPr>
          <w:rFonts w:cs="Calibri"/>
          <w:szCs w:val="24"/>
          <w:lang w:eastAsia="en-AU"/>
        </w:rPr>
        <w:t>to reaffirm Australia’s obligations as a State Party to CEDAW.</w:t>
      </w:r>
    </w:p>
    <w:p w14:paraId="1D3A6C59" w14:textId="795C8018" w:rsidR="00DF50BB" w:rsidRPr="00B06857" w:rsidRDefault="00CC2DC6" w:rsidP="009F3EB3">
      <w:pPr>
        <w:pStyle w:val="Heading4"/>
        <w:rPr>
          <w:b/>
          <w:bCs/>
          <w:lang w:eastAsia="en-AU"/>
        </w:rPr>
      </w:pPr>
      <w:r w:rsidRPr="00B06857">
        <w:rPr>
          <w:b/>
          <w:bCs/>
          <w:lang w:eastAsia="en-AU"/>
        </w:rPr>
        <w:t>Educate</w:t>
      </w:r>
      <w:r w:rsidR="00AF7298" w:rsidRPr="00B06857">
        <w:rPr>
          <w:b/>
          <w:bCs/>
          <w:lang w:eastAsia="en-AU"/>
        </w:rPr>
        <w:t xml:space="preserve"> </w:t>
      </w:r>
      <w:r w:rsidR="00DB4783" w:rsidRPr="00B06857">
        <w:rPr>
          <w:b/>
          <w:bCs/>
          <w:lang w:eastAsia="en-AU"/>
        </w:rPr>
        <w:t xml:space="preserve">and engage all Australians, </w:t>
      </w:r>
      <w:r w:rsidR="004D73A1" w:rsidRPr="00B06857">
        <w:rPr>
          <w:b/>
          <w:bCs/>
          <w:lang w:eastAsia="en-AU"/>
        </w:rPr>
        <w:t xml:space="preserve">at every age and stage of life, </w:t>
      </w:r>
      <w:r w:rsidR="00AB7C8B" w:rsidRPr="00B06857">
        <w:rPr>
          <w:b/>
          <w:bCs/>
          <w:lang w:eastAsia="en-AU"/>
        </w:rPr>
        <w:t>to understand</w:t>
      </w:r>
      <w:r w:rsidR="0032271E" w:rsidRPr="00B06857">
        <w:rPr>
          <w:b/>
          <w:bCs/>
          <w:lang w:eastAsia="en-AU"/>
        </w:rPr>
        <w:t xml:space="preserve"> and reject the gendered drivers of violence against women.</w:t>
      </w:r>
      <w:r w:rsidR="00AB7C8B" w:rsidRPr="00B06857">
        <w:rPr>
          <w:b/>
          <w:bCs/>
          <w:lang w:eastAsia="en-AU"/>
        </w:rPr>
        <w:t xml:space="preserve"> </w:t>
      </w:r>
    </w:p>
    <w:p w14:paraId="0F862F41" w14:textId="77777777" w:rsidR="00987ED7" w:rsidRDefault="00656088" w:rsidP="009F3EB3">
      <w:pPr>
        <w:spacing w:before="100" w:beforeAutospacing="1" w:after="100" w:afterAutospacing="1"/>
        <w:textAlignment w:val="baseline"/>
        <w:rPr>
          <w:rFonts w:cs="Calibri"/>
          <w:lang w:eastAsia="en-AU"/>
        </w:rPr>
      </w:pPr>
      <w:r w:rsidRPr="6F20EB43">
        <w:rPr>
          <w:rFonts w:cs="Calibri"/>
          <w:lang w:eastAsia="en-AU"/>
        </w:rPr>
        <w:t>Under the previous Framework, the</w:t>
      </w:r>
      <w:r w:rsidR="00C0709D" w:rsidRPr="6F20EB43">
        <w:rPr>
          <w:rFonts w:cs="Calibri"/>
          <w:lang w:eastAsia="en-AU"/>
        </w:rPr>
        <w:t xml:space="preserve"> Australian Government </w:t>
      </w:r>
      <w:r w:rsidR="002212F1" w:rsidRPr="6F20EB43">
        <w:rPr>
          <w:rFonts w:cs="Calibri"/>
          <w:lang w:eastAsia="en-AU"/>
        </w:rPr>
        <w:t xml:space="preserve">committed to </w:t>
      </w:r>
      <w:r w:rsidR="00F60223" w:rsidRPr="6F20EB43">
        <w:rPr>
          <w:rFonts w:cs="Calibri"/>
          <w:lang w:eastAsia="en-AU"/>
        </w:rPr>
        <w:t xml:space="preserve">supporting human rights education across the community, including through primary and secondary </w:t>
      </w:r>
      <w:r w:rsidR="00F418DA" w:rsidRPr="6F20EB43">
        <w:rPr>
          <w:rFonts w:cs="Calibri"/>
          <w:lang w:eastAsia="en-AU"/>
        </w:rPr>
        <w:t xml:space="preserve">school education programs, non-profit community </w:t>
      </w:r>
      <w:r w:rsidR="00F418DA" w:rsidRPr="6F20EB43">
        <w:rPr>
          <w:rFonts w:cs="Calibri"/>
          <w:lang w:eastAsia="en-AU"/>
        </w:rPr>
        <w:lastRenderedPageBreak/>
        <w:t>education programs</w:t>
      </w:r>
      <w:r w:rsidR="002E40F5" w:rsidRPr="6F20EB43">
        <w:rPr>
          <w:rFonts w:cs="Calibri"/>
          <w:lang w:eastAsia="en-AU"/>
        </w:rPr>
        <w:t xml:space="preserve"> and </w:t>
      </w:r>
      <w:r w:rsidR="00B33F0B" w:rsidRPr="6F20EB43">
        <w:rPr>
          <w:rFonts w:cs="Calibri"/>
          <w:lang w:eastAsia="en-AU"/>
        </w:rPr>
        <w:t xml:space="preserve">new education initiatives by the Australian Human Rights Commission. </w:t>
      </w:r>
    </w:p>
    <w:p w14:paraId="11E2C4B2" w14:textId="4FC9CA41" w:rsidR="62F78877" w:rsidRDefault="00B33F0B" w:rsidP="005E3EA5">
      <w:pPr>
        <w:spacing w:before="100" w:beforeAutospacing="1" w:after="100" w:afterAutospacing="1"/>
        <w:textAlignment w:val="baseline"/>
        <w:rPr>
          <w:rFonts w:cs="Calibri"/>
          <w:lang w:eastAsia="en-AU"/>
        </w:rPr>
      </w:pPr>
      <w:r w:rsidRPr="6F20EB43">
        <w:rPr>
          <w:rFonts w:cs="Calibri"/>
          <w:lang w:eastAsia="en-AU"/>
        </w:rPr>
        <w:t xml:space="preserve">Our Watch supports the continuation of human rights </w:t>
      </w:r>
      <w:r w:rsidR="00F0256C" w:rsidRPr="6F20EB43">
        <w:rPr>
          <w:rFonts w:cs="Calibri"/>
          <w:lang w:eastAsia="en-AU"/>
        </w:rPr>
        <w:t xml:space="preserve">education for all </w:t>
      </w:r>
      <w:r w:rsidR="00987ED7">
        <w:rPr>
          <w:rFonts w:cs="Calibri"/>
          <w:lang w:eastAsia="en-AU"/>
        </w:rPr>
        <w:t>people in Australia</w:t>
      </w:r>
      <w:r w:rsidR="00F0256C" w:rsidRPr="6F20EB43">
        <w:rPr>
          <w:rFonts w:cs="Calibri"/>
          <w:lang w:eastAsia="en-AU"/>
        </w:rPr>
        <w:t xml:space="preserve"> and </w:t>
      </w:r>
      <w:r w:rsidR="0028533C" w:rsidRPr="6F20EB43">
        <w:rPr>
          <w:rFonts w:cs="Calibri"/>
          <w:lang w:eastAsia="en-AU"/>
        </w:rPr>
        <w:t xml:space="preserve">encourages </w:t>
      </w:r>
      <w:r w:rsidR="00243C75" w:rsidRPr="6F20EB43">
        <w:rPr>
          <w:rFonts w:cs="Calibri"/>
          <w:lang w:eastAsia="en-AU"/>
        </w:rPr>
        <w:t xml:space="preserve">the </w:t>
      </w:r>
      <w:r w:rsidR="00EF379D" w:rsidRPr="6F20EB43">
        <w:rPr>
          <w:rFonts w:cs="Calibri"/>
          <w:lang w:eastAsia="en-AU"/>
        </w:rPr>
        <w:t xml:space="preserve">Australian Government to strengthen </w:t>
      </w:r>
      <w:r w:rsidR="007A5F1E" w:rsidRPr="6F20EB43">
        <w:rPr>
          <w:rFonts w:cs="Calibri"/>
          <w:lang w:eastAsia="en-AU"/>
        </w:rPr>
        <w:t>this</w:t>
      </w:r>
      <w:r w:rsidR="003D18E6" w:rsidRPr="6F20EB43">
        <w:rPr>
          <w:rFonts w:cs="Calibri"/>
          <w:lang w:eastAsia="en-AU"/>
        </w:rPr>
        <w:t xml:space="preserve"> commitment </w:t>
      </w:r>
      <w:r w:rsidR="001F1408" w:rsidRPr="6F20EB43">
        <w:rPr>
          <w:rFonts w:cs="Calibri"/>
          <w:lang w:eastAsia="en-AU"/>
        </w:rPr>
        <w:t xml:space="preserve">by </w:t>
      </w:r>
      <w:r w:rsidR="00790183" w:rsidRPr="6F20EB43">
        <w:rPr>
          <w:rFonts w:cs="Calibri"/>
          <w:lang w:eastAsia="en-AU"/>
        </w:rPr>
        <w:t xml:space="preserve">articulating the need for </w:t>
      </w:r>
      <w:r w:rsidR="00612614" w:rsidRPr="6F20EB43">
        <w:rPr>
          <w:rFonts w:cs="Calibri"/>
          <w:lang w:eastAsia="en-AU"/>
        </w:rPr>
        <w:t xml:space="preserve">education </w:t>
      </w:r>
      <w:r w:rsidR="00B843FF" w:rsidRPr="6F20EB43">
        <w:rPr>
          <w:rFonts w:cs="Calibri"/>
          <w:lang w:eastAsia="en-AU"/>
        </w:rPr>
        <w:t xml:space="preserve">initiatives that </w:t>
      </w:r>
      <w:r w:rsidR="00971D37" w:rsidRPr="6F20EB43">
        <w:rPr>
          <w:rFonts w:cs="Calibri"/>
          <w:lang w:eastAsia="en-AU"/>
        </w:rPr>
        <w:t xml:space="preserve">support </w:t>
      </w:r>
      <w:r w:rsidR="00D11EAA" w:rsidRPr="6F20EB43">
        <w:rPr>
          <w:rFonts w:cs="Calibri"/>
          <w:lang w:eastAsia="en-AU"/>
        </w:rPr>
        <w:t xml:space="preserve">the </w:t>
      </w:r>
      <w:r w:rsidR="003D56E3" w:rsidRPr="6F20EB43">
        <w:rPr>
          <w:rFonts w:cs="Calibri"/>
          <w:lang w:eastAsia="en-AU"/>
        </w:rPr>
        <w:t xml:space="preserve">elimination of </w:t>
      </w:r>
      <w:r w:rsidR="006A1E32" w:rsidRPr="6F20EB43">
        <w:rPr>
          <w:rFonts w:cs="Calibri"/>
          <w:lang w:eastAsia="en-AU"/>
        </w:rPr>
        <w:t>violence against women a</w:t>
      </w:r>
      <w:r w:rsidR="00D3118E" w:rsidRPr="6F20EB43">
        <w:rPr>
          <w:rFonts w:cs="Calibri"/>
          <w:lang w:eastAsia="en-AU"/>
        </w:rPr>
        <w:t xml:space="preserve">nd the realisation of women’s </w:t>
      </w:r>
      <w:r w:rsidR="00540B73" w:rsidRPr="6F20EB43">
        <w:rPr>
          <w:rFonts w:cs="Calibri"/>
          <w:lang w:eastAsia="en-AU"/>
        </w:rPr>
        <w:t>rights as human rights.</w:t>
      </w:r>
    </w:p>
    <w:p w14:paraId="2C447631" w14:textId="683D1A87" w:rsidR="00540B73" w:rsidRDefault="00BB3C1E" w:rsidP="009F3EB3">
      <w:pPr>
        <w:spacing w:before="100" w:beforeAutospacing="1" w:after="100" w:afterAutospacing="1"/>
        <w:textAlignment w:val="baseline"/>
        <w:rPr>
          <w:rFonts w:cs="Calibri"/>
          <w:lang w:eastAsia="en-AU"/>
        </w:rPr>
      </w:pPr>
      <w:r w:rsidRPr="6F20EB43">
        <w:rPr>
          <w:rFonts w:cs="Calibri"/>
          <w:lang w:eastAsia="en-AU"/>
        </w:rPr>
        <w:t xml:space="preserve">While many different strategies are needed to contribute to this population-wide approach, </w:t>
      </w:r>
      <w:r w:rsidR="31C2FBD4" w:rsidRPr="6F20EB43">
        <w:rPr>
          <w:rFonts w:cs="Calibri"/>
          <w:lang w:eastAsia="en-AU"/>
        </w:rPr>
        <w:t>R</w:t>
      </w:r>
      <w:r w:rsidRPr="6F20EB43">
        <w:rPr>
          <w:rFonts w:cs="Calibri"/>
          <w:lang w:eastAsia="en-AU"/>
        </w:rPr>
        <w:t xml:space="preserve">espectful </w:t>
      </w:r>
      <w:r w:rsidR="4D41CB59" w:rsidRPr="6F20EB43">
        <w:rPr>
          <w:rFonts w:cs="Calibri"/>
          <w:lang w:eastAsia="en-AU"/>
        </w:rPr>
        <w:t>R</w:t>
      </w:r>
      <w:r w:rsidRPr="6F20EB43">
        <w:rPr>
          <w:rFonts w:cs="Calibri"/>
          <w:lang w:eastAsia="en-AU"/>
        </w:rPr>
        <w:t xml:space="preserve">elationships </w:t>
      </w:r>
      <w:r w:rsidR="7BD95237" w:rsidRPr="6F20EB43">
        <w:rPr>
          <w:rFonts w:cs="Calibri"/>
          <w:lang w:eastAsia="en-AU"/>
        </w:rPr>
        <w:t>E</w:t>
      </w:r>
      <w:r w:rsidRPr="6F20EB43">
        <w:rPr>
          <w:rFonts w:cs="Calibri"/>
          <w:lang w:eastAsia="en-AU"/>
        </w:rPr>
        <w:t xml:space="preserve">ducation is a key example of prevention work in education settings. </w:t>
      </w:r>
      <w:r w:rsidR="000042CB">
        <w:rPr>
          <w:rFonts w:cs="Calibri"/>
          <w:lang w:eastAsia="en-AU"/>
        </w:rPr>
        <w:t>As detail</w:t>
      </w:r>
      <w:r w:rsidR="007A6E66">
        <w:rPr>
          <w:rFonts w:cs="Calibri"/>
          <w:lang w:eastAsia="en-AU"/>
        </w:rPr>
        <w:t xml:space="preserve">ed in Our Watch’s </w:t>
      </w:r>
      <w:hyperlink r:id="rId16" w:history="1">
        <w:r w:rsidR="007A6E66" w:rsidRPr="0017153D">
          <w:rPr>
            <w:rStyle w:val="Hyperlink"/>
            <w:rFonts w:cs="Calibri"/>
            <w:lang w:eastAsia="en-AU"/>
          </w:rPr>
          <w:t>Evidence Paper on Respectful Relationships Education in Schools (2021)</w:t>
        </w:r>
      </w:hyperlink>
      <w:r w:rsidR="007A6E66">
        <w:rPr>
          <w:rFonts w:cs="Calibri"/>
          <w:lang w:eastAsia="en-AU"/>
        </w:rPr>
        <w:t>, e</w:t>
      </w:r>
      <w:r w:rsidRPr="6F20EB43">
        <w:rPr>
          <w:rFonts w:cs="Calibri"/>
          <w:lang w:eastAsia="en-AU"/>
        </w:rPr>
        <w:t xml:space="preserve">vidence-based and well-resourced </w:t>
      </w:r>
      <w:r w:rsidR="42ED26D6" w:rsidRPr="6F20EB43">
        <w:rPr>
          <w:rFonts w:cs="Calibri"/>
          <w:lang w:eastAsia="en-AU"/>
        </w:rPr>
        <w:t>R</w:t>
      </w:r>
      <w:r w:rsidRPr="6F20EB43">
        <w:rPr>
          <w:rFonts w:cs="Calibri"/>
          <w:lang w:eastAsia="en-AU"/>
        </w:rPr>
        <w:t xml:space="preserve">espectful </w:t>
      </w:r>
      <w:r w:rsidR="3ED2B447" w:rsidRPr="6F20EB43">
        <w:rPr>
          <w:rFonts w:cs="Calibri"/>
          <w:lang w:eastAsia="en-AU"/>
        </w:rPr>
        <w:t>R</w:t>
      </w:r>
      <w:r w:rsidRPr="6F20EB43">
        <w:rPr>
          <w:rFonts w:cs="Calibri"/>
          <w:lang w:eastAsia="en-AU"/>
        </w:rPr>
        <w:t xml:space="preserve">elationships </w:t>
      </w:r>
      <w:r w:rsidR="41EA6EB8" w:rsidRPr="6F20EB43">
        <w:rPr>
          <w:rFonts w:cs="Calibri"/>
          <w:lang w:eastAsia="en-AU"/>
        </w:rPr>
        <w:t>E</w:t>
      </w:r>
      <w:r w:rsidRPr="6F20EB43">
        <w:rPr>
          <w:rFonts w:cs="Calibri"/>
          <w:lang w:eastAsia="en-AU"/>
        </w:rPr>
        <w:t xml:space="preserve">ducation can help create the generational change needed to </w:t>
      </w:r>
      <w:r w:rsidR="00D471A3">
        <w:rPr>
          <w:rFonts w:cs="Calibri"/>
          <w:lang w:eastAsia="en-AU"/>
        </w:rPr>
        <w:t>prevent</w:t>
      </w:r>
      <w:r w:rsidRPr="6F20EB43">
        <w:rPr>
          <w:rFonts w:cs="Calibri"/>
          <w:lang w:eastAsia="en-AU"/>
        </w:rPr>
        <w:t xml:space="preserve"> gender-based violence and </w:t>
      </w:r>
      <w:r w:rsidR="006A6E5C" w:rsidRPr="6F20EB43">
        <w:rPr>
          <w:rFonts w:cs="Calibri"/>
          <w:lang w:eastAsia="en-AU"/>
        </w:rPr>
        <w:t>meet our international human rights commitments.</w:t>
      </w:r>
    </w:p>
    <w:p w14:paraId="0A3BDB21" w14:textId="446A298D" w:rsidR="001933A1" w:rsidRDefault="001933A1" w:rsidP="009F3EB3">
      <w:pPr>
        <w:spacing w:before="100" w:beforeAutospacing="1" w:after="100" w:afterAutospacing="1"/>
        <w:textAlignment w:val="baseline"/>
        <w:rPr>
          <w:rFonts w:cs="Calibri"/>
          <w:lang w:eastAsia="en-AU"/>
        </w:rPr>
      </w:pPr>
      <w:r w:rsidRPr="6F20EB43">
        <w:rPr>
          <w:rFonts w:cs="Calibri"/>
          <w:lang w:eastAsia="en-AU"/>
        </w:rPr>
        <w:t xml:space="preserve">Respectful </w:t>
      </w:r>
      <w:r w:rsidR="52864098" w:rsidRPr="6F20EB43">
        <w:rPr>
          <w:rFonts w:cs="Calibri"/>
          <w:lang w:eastAsia="en-AU"/>
        </w:rPr>
        <w:t>R</w:t>
      </w:r>
      <w:r w:rsidRPr="6F20EB43">
        <w:rPr>
          <w:rFonts w:cs="Calibri"/>
          <w:lang w:eastAsia="en-AU"/>
        </w:rPr>
        <w:t xml:space="preserve">elationships </w:t>
      </w:r>
      <w:r w:rsidR="35EF09C6" w:rsidRPr="6F20EB43">
        <w:rPr>
          <w:rFonts w:cs="Calibri"/>
          <w:lang w:eastAsia="en-AU"/>
        </w:rPr>
        <w:t>E</w:t>
      </w:r>
      <w:r w:rsidRPr="6F20EB43">
        <w:rPr>
          <w:rFonts w:cs="Calibri"/>
          <w:lang w:eastAsia="en-AU"/>
        </w:rPr>
        <w:t>ducation is the holistic approach to school-based, primary prevention of gender-based violence.</w:t>
      </w:r>
      <w:r w:rsidR="00115E73" w:rsidRPr="6F20EB43">
        <w:rPr>
          <w:rFonts w:cs="Calibri"/>
          <w:lang w:eastAsia="en-AU"/>
        </w:rPr>
        <w:t xml:space="preserve"> It uses the education system as a catalyst for generational and cultural change by engaging schools, as both education institutions and workplaces, to comprehensively address the drivers of gender-based violence and create a future free from such violence. </w:t>
      </w:r>
    </w:p>
    <w:p w14:paraId="13DF2F6E" w14:textId="256B1019" w:rsidR="003F2295" w:rsidRDefault="003F2295" w:rsidP="009F3EB3">
      <w:pPr>
        <w:spacing w:before="100" w:beforeAutospacing="1" w:after="100" w:afterAutospacing="1"/>
        <w:textAlignment w:val="baseline"/>
        <w:rPr>
          <w:rFonts w:cs="Calibri"/>
          <w:lang w:eastAsia="en-AU"/>
        </w:rPr>
      </w:pPr>
      <w:r w:rsidRPr="6F20EB43">
        <w:rPr>
          <w:rFonts w:cs="Calibri"/>
          <w:lang w:eastAsia="en-AU"/>
        </w:rPr>
        <w:t xml:space="preserve">The deeply entrenched nature of the drivers of gender-based violence means that a long-term commitment and systemic approach are needed for </w:t>
      </w:r>
      <w:r w:rsidR="13BD6AF0" w:rsidRPr="6F20EB43">
        <w:rPr>
          <w:rFonts w:cs="Calibri"/>
          <w:lang w:eastAsia="en-AU"/>
        </w:rPr>
        <w:t>R</w:t>
      </w:r>
      <w:r w:rsidRPr="6F20EB43">
        <w:rPr>
          <w:rFonts w:cs="Calibri"/>
          <w:lang w:eastAsia="en-AU"/>
        </w:rPr>
        <w:t xml:space="preserve">espectful </w:t>
      </w:r>
      <w:r w:rsidR="4407C8A7" w:rsidRPr="6F20EB43">
        <w:rPr>
          <w:rFonts w:cs="Calibri"/>
          <w:lang w:eastAsia="en-AU"/>
        </w:rPr>
        <w:t>R</w:t>
      </w:r>
      <w:r w:rsidRPr="6F20EB43">
        <w:rPr>
          <w:rFonts w:cs="Calibri"/>
          <w:lang w:eastAsia="en-AU"/>
        </w:rPr>
        <w:t xml:space="preserve">elationships </w:t>
      </w:r>
      <w:r w:rsidR="70BC0CAC" w:rsidRPr="6F20EB43">
        <w:rPr>
          <w:rFonts w:cs="Calibri"/>
          <w:lang w:eastAsia="en-AU"/>
        </w:rPr>
        <w:t>E</w:t>
      </w:r>
      <w:r w:rsidRPr="6F20EB43">
        <w:rPr>
          <w:rFonts w:cs="Calibri"/>
          <w:lang w:eastAsia="en-AU"/>
        </w:rPr>
        <w:t xml:space="preserve">ducation to </w:t>
      </w:r>
      <w:r w:rsidR="003A1259">
        <w:rPr>
          <w:rFonts w:cs="Calibri"/>
          <w:lang w:eastAsia="en-AU"/>
        </w:rPr>
        <w:t>foster</w:t>
      </w:r>
      <w:r w:rsidR="00F174C8">
        <w:rPr>
          <w:rFonts w:cs="Calibri"/>
          <w:lang w:eastAsia="en-AU"/>
        </w:rPr>
        <w:t xml:space="preserve"> </w:t>
      </w:r>
      <w:r w:rsidRPr="6F20EB43">
        <w:rPr>
          <w:rFonts w:cs="Calibri"/>
          <w:lang w:eastAsia="en-AU"/>
        </w:rPr>
        <w:t xml:space="preserve">generational change. Political leadership and sustainable resourcing are necessary to drive such broad and long-term change, by ensuring that </w:t>
      </w:r>
      <w:r w:rsidR="20C1494B" w:rsidRPr="6F20EB43">
        <w:rPr>
          <w:rFonts w:cs="Calibri"/>
          <w:lang w:eastAsia="en-AU"/>
        </w:rPr>
        <w:t>R</w:t>
      </w:r>
      <w:r w:rsidRPr="6F20EB43">
        <w:rPr>
          <w:rFonts w:cs="Calibri"/>
          <w:lang w:eastAsia="en-AU"/>
        </w:rPr>
        <w:t xml:space="preserve">espectful </w:t>
      </w:r>
      <w:r w:rsidR="53B264F1" w:rsidRPr="6F20EB43">
        <w:rPr>
          <w:rFonts w:cs="Calibri"/>
          <w:lang w:eastAsia="en-AU"/>
        </w:rPr>
        <w:t>R</w:t>
      </w:r>
      <w:r w:rsidRPr="6F20EB43">
        <w:rPr>
          <w:rFonts w:cs="Calibri"/>
          <w:lang w:eastAsia="en-AU"/>
        </w:rPr>
        <w:t xml:space="preserve">elationships </w:t>
      </w:r>
      <w:r w:rsidR="4FC0583F" w:rsidRPr="6F20EB43">
        <w:rPr>
          <w:rFonts w:cs="Calibri"/>
          <w:lang w:eastAsia="en-AU"/>
        </w:rPr>
        <w:t>E</w:t>
      </w:r>
      <w:r w:rsidRPr="6F20EB43">
        <w:rPr>
          <w:rFonts w:cs="Calibri"/>
          <w:lang w:eastAsia="en-AU"/>
        </w:rPr>
        <w:t xml:space="preserve">ducation is recognised as core business for education departments and schools. A best-practice and sustainable model to </w:t>
      </w:r>
      <w:r w:rsidR="2E5EC993" w:rsidRPr="6F20EB43">
        <w:rPr>
          <w:rFonts w:cs="Calibri"/>
          <w:lang w:eastAsia="en-AU"/>
        </w:rPr>
        <w:t>R</w:t>
      </w:r>
      <w:r w:rsidRPr="6F20EB43">
        <w:rPr>
          <w:rFonts w:cs="Calibri"/>
          <w:lang w:eastAsia="en-AU"/>
        </w:rPr>
        <w:t xml:space="preserve">espectful </w:t>
      </w:r>
      <w:r w:rsidR="1656AF85" w:rsidRPr="6F20EB43">
        <w:rPr>
          <w:rFonts w:cs="Calibri"/>
          <w:lang w:eastAsia="en-AU"/>
        </w:rPr>
        <w:t>R</w:t>
      </w:r>
      <w:r w:rsidRPr="6F20EB43">
        <w:rPr>
          <w:rFonts w:cs="Calibri"/>
          <w:lang w:eastAsia="en-AU"/>
        </w:rPr>
        <w:t xml:space="preserve">elationships </w:t>
      </w:r>
      <w:r w:rsidR="37507469" w:rsidRPr="6F20EB43">
        <w:rPr>
          <w:rFonts w:cs="Calibri"/>
          <w:lang w:eastAsia="en-AU"/>
        </w:rPr>
        <w:t>E</w:t>
      </w:r>
      <w:r w:rsidRPr="6F20EB43">
        <w:rPr>
          <w:rFonts w:cs="Calibri"/>
          <w:lang w:eastAsia="en-AU"/>
        </w:rPr>
        <w:t>ducation requires all stakeholders – from schools to education departments and governments – to lead the way in supporting an evidence-based, consistent and unified approach.</w:t>
      </w:r>
    </w:p>
    <w:p w14:paraId="4815B2F3" w14:textId="2D8098F4" w:rsidR="00540B73" w:rsidRPr="0011418E" w:rsidRDefault="00AD560A" w:rsidP="009F3EB3">
      <w:pPr>
        <w:spacing w:before="100" w:beforeAutospacing="1" w:after="100" w:afterAutospacing="1"/>
        <w:textAlignment w:val="baseline"/>
        <w:rPr>
          <w:rFonts w:cs="Calibri"/>
          <w:lang w:eastAsia="en-AU"/>
        </w:rPr>
      </w:pPr>
      <w:r w:rsidRPr="6F20EB43">
        <w:rPr>
          <w:rFonts w:cs="Calibri"/>
          <w:lang w:eastAsia="en-AU"/>
        </w:rPr>
        <w:t>The Australian Government</w:t>
      </w:r>
      <w:r w:rsidR="00A64B7C" w:rsidRPr="6F20EB43">
        <w:rPr>
          <w:rFonts w:cs="Calibri"/>
          <w:lang w:eastAsia="en-AU"/>
        </w:rPr>
        <w:t xml:space="preserve"> has a role to play in expressing </w:t>
      </w:r>
      <w:r w:rsidR="0083256A" w:rsidRPr="6F20EB43">
        <w:rPr>
          <w:rFonts w:cs="Calibri"/>
          <w:lang w:eastAsia="en-AU"/>
        </w:rPr>
        <w:t xml:space="preserve">public support for gender equality and </w:t>
      </w:r>
      <w:r w:rsidR="6E356C20" w:rsidRPr="6F20EB43">
        <w:rPr>
          <w:rFonts w:cs="Calibri"/>
          <w:lang w:eastAsia="en-AU"/>
        </w:rPr>
        <w:t>R</w:t>
      </w:r>
      <w:r w:rsidR="0083256A" w:rsidRPr="6F20EB43">
        <w:rPr>
          <w:rFonts w:cs="Calibri"/>
          <w:lang w:eastAsia="en-AU"/>
        </w:rPr>
        <w:t xml:space="preserve">espectful </w:t>
      </w:r>
      <w:r w:rsidR="4493D12E" w:rsidRPr="6F20EB43">
        <w:rPr>
          <w:rFonts w:cs="Calibri"/>
          <w:lang w:eastAsia="en-AU"/>
        </w:rPr>
        <w:t>R</w:t>
      </w:r>
      <w:r w:rsidR="0083256A" w:rsidRPr="6F20EB43">
        <w:rPr>
          <w:rFonts w:cs="Calibri"/>
          <w:lang w:eastAsia="en-AU"/>
        </w:rPr>
        <w:t xml:space="preserve">elationships </w:t>
      </w:r>
      <w:r w:rsidR="213011F5" w:rsidRPr="6F20EB43">
        <w:rPr>
          <w:rFonts w:cs="Calibri"/>
          <w:lang w:eastAsia="en-AU"/>
        </w:rPr>
        <w:t>E</w:t>
      </w:r>
      <w:r w:rsidR="0083256A" w:rsidRPr="6F20EB43">
        <w:rPr>
          <w:rFonts w:cs="Calibri"/>
          <w:lang w:eastAsia="en-AU"/>
        </w:rPr>
        <w:t>ducation that addresses the drivers of violence against women, and</w:t>
      </w:r>
      <w:r w:rsidR="002B10B3" w:rsidRPr="6F20EB43">
        <w:rPr>
          <w:rFonts w:cs="Calibri"/>
          <w:lang w:eastAsia="en-AU"/>
        </w:rPr>
        <w:t xml:space="preserve"> providing national resources, guidance and regulatory support to promote consistent policy and practice across jurisdictions in line with evolving evidence.</w:t>
      </w:r>
      <w:r w:rsidR="00714D75" w:rsidRPr="6F20EB43">
        <w:rPr>
          <w:rFonts w:cs="Calibri"/>
          <w:lang w:eastAsia="en-AU"/>
        </w:rPr>
        <w:t xml:space="preserve"> Further </w:t>
      </w:r>
      <w:r w:rsidR="005167E6" w:rsidRPr="6F20EB43">
        <w:rPr>
          <w:rFonts w:cs="Calibri"/>
          <w:lang w:eastAsia="en-AU"/>
        </w:rPr>
        <w:t xml:space="preserve">detail on the roles of other stakeholders </w:t>
      </w:r>
      <w:r w:rsidR="00217A97" w:rsidRPr="6F20EB43">
        <w:rPr>
          <w:rFonts w:cs="Calibri"/>
          <w:lang w:eastAsia="en-AU"/>
        </w:rPr>
        <w:t xml:space="preserve">can be </w:t>
      </w:r>
      <w:r w:rsidR="00D57C99" w:rsidRPr="6F20EB43">
        <w:rPr>
          <w:rFonts w:cs="Calibri"/>
          <w:lang w:eastAsia="en-AU"/>
        </w:rPr>
        <w:t xml:space="preserve">found in </w:t>
      </w:r>
      <w:hyperlink r:id="rId17">
        <w:r w:rsidR="00D57C99" w:rsidRPr="6F20EB43">
          <w:rPr>
            <w:rStyle w:val="Hyperlink"/>
            <w:rFonts w:cs="Calibri"/>
            <w:lang w:eastAsia="en-AU"/>
          </w:rPr>
          <w:t>Our Watch’s RRE Policy Brief</w:t>
        </w:r>
      </w:hyperlink>
      <w:r w:rsidR="00D57C99" w:rsidRPr="6F20EB43">
        <w:rPr>
          <w:rFonts w:cs="Calibri"/>
          <w:lang w:eastAsia="en-AU"/>
        </w:rPr>
        <w:t xml:space="preserve"> (2021).</w:t>
      </w:r>
    </w:p>
    <w:p w14:paraId="00C80DAC" w14:textId="7AEF7D3D" w:rsidR="007E7BBB" w:rsidRPr="00B06857" w:rsidRDefault="007E7BBB" w:rsidP="00240C4F">
      <w:pPr>
        <w:shd w:val="clear" w:color="auto" w:fill="DEEAF6" w:themeFill="accent1" w:themeFillTint="33"/>
        <w:rPr>
          <w:b/>
          <w:bCs/>
          <w:lang w:eastAsia="en-AU"/>
        </w:rPr>
      </w:pPr>
      <w:r w:rsidRPr="0E77AE36">
        <w:rPr>
          <w:b/>
          <w:bCs/>
          <w:lang w:eastAsia="en-AU"/>
        </w:rPr>
        <w:t>Recommendation</w:t>
      </w:r>
      <w:r w:rsidR="5D2A2679" w:rsidRPr="0E77AE36">
        <w:rPr>
          <w:b/>
          <w:bCs/>
          <w:lang w:eastAsia="en-AU"/>
        </w:rPr>
        <w:t xml:space="preserve"> 2: </w:t>
      </w:r>
      <w:r w:rsidR="006E4BA8">
        <w:rPr>
          <w:lang w:eastAsia="en-AU"/>
        </w:rPr>
        <w:t xml:space="preserve">Any Human Rights Framework and Action Plan should acknowledge and commit to </w:t>
      </w:r>
      <w:r w:rsidR="006E4BA8" w:rsidRPr="00AD6EC5">
        <w:rPr>
          <w:lang w:eastAsia="en-AU"/>
        </w:rPr>
        <w:t>education initiatives that support promotion of gender equality, the elimination of violence against women and the realisation of women rights as human rights</w:t>
      </w:r>
      <w:r w:rsidR="006E4BA8">
        <w:rPr>
          <w:lang w:eastAsia="en-AU"/>
        </w:rPr>
        <w:t>.</w:t>
      </w:r>
    </w:p>
    <w:p w14:paraId="15C1313D" w14:textId="77777777" w:rsidR="007E7BBB" w:rsidRPr="00B06857" w:rsidRDefault="007E7BBB" w:rsidP="009F3EB3">
      <w:pPr>
        <w:pStyle w:val="Heading4"/>
        <w:rPr>
          <w:b/>
          <w:bCs/>
        </w:rPr>
      </w:pPr>
      <w:r w:rsidRPr="00B06857">
        <w:rPr>
          <w:b/>
          <w:bCs/>
        </w:rPr>
        <w:t>Protect and Respect</w:t>
      </w:r>
    </w:p>
    <w:p w14:paraId="632D7F3F" w14:textId="477179F1" w:rsidR="000664FF" w:rsidRDefault="00FE4089" w:rsidP="009F3EB3">
      <w:r>
        <w:t xml:space="preserve">Under the previous Framework, the Australian Government </w:t>
      </w:r>
      <w:r w:rsidR="00EE7F73">
        <w:t>committed t</w:t>
      </w:r>
      <w:r w:rsidR="00624C43">
        <w:t xml:space="preserve">o </w:t>
      </w:r>
      <w:r w:rsidR="0078022B">
        <w:t xml:space="preserve">undertake broad reviews of </w:t>
      </w:r>
      <w:r w:rsidR="0028760A">
        <w:t xml:space="preserve">legislation, </w:t>
      </w:r>
      <w:r w:rsidR="0078022B">
        <w:t>policy</w:t>
      </w:r>
      <w:r w:rsidR="0028760A">
        <w:t>, and practices,</w:t>
      </w:r>
      <w:r w:rsidR="0088342B">
        <w:t xml:space="preserve"> and </w:t>
      </w:r>
      <w:r w:rsidR="00EF1E52">
        <w:t>to improve parliamentary scrutiny of new laws,</w:t>
      </w:r>
      <w:r w:rsidR="00FD4E59">
        <w:t xml:space="preserve"> to ensure compliance </w:t>
      </w:r>
      <w:r w:rsidR="00764614">
        <w:t xml:space="preserve">with Australia’s </w:t>
      </w:r>
      <w:r w:rsidR="00764614">
        <w:lastRenderedPageBreak/>
        <w:t xml:space="preserve">human rights obligations. </w:t>
      </w:r>
      <w:r w:rsidR="00FE1FD7">
        <w:t>In re-instating the Framework,</w:t>
      </w:r>
      <w:r w:rsidR="00792A47">
        <w:t xml:space="preserve"> Our Watch </w:t>
      </w:r>
      <w:r w:rsidR="00072977">
        <w:t xml:space="preserve">suggests </w:t>
      </w:r>
      <w:r w:rsidR="00035FC3">
        <w:t>that</w:t>
      </w:r>
      <w:r w:rsidR="00FE1FD7">
        <w:t xml:space="preserve"> </w:t>
      </w:r>
      <w:r w:rsidR="006A087F">
        <w:t xml:space="preserve">these actions be </w:t>
      </w:r>
      <w:r w:rsidR="00D91BE5">
        <w:t>expanded to in</w:t>
      </w:r>
      <w:r w:rsidR="008B5C3B">
        <w:t xml:space="preserve">clude specific commitments to gender responsive </w:t>
      </w:r>
      <w:r w:rsidR="000664FF">
        <w:t xml:space="preserve">policymaking and </w:t>
      </w:r>
      <w:r w:rsidR="008B5C3B">
        <w:t>budgeting</w:t>
      </w:r>
      <w:r w:rsidR="000664FF">
        <w:t>.</w:t>
      </w:r>
      <w:r w:rsidR="008C7D30">
        <w:t xml:space="preserve"> </w:t>
      </w:r>
    </w:p>
    <w:p w14:paraId="66112A49" w14:textId="4ED91A22" w:rsidR="00642DF9" w:rsidRPr="00642DF9" w:rsidRDefault="00A14DE5" w:rsidP="00216DAC">
      <w:pPr>
        <w:spacing w:before="240"/>
      </w:pPr>
      <w:r w:rsidRPr="00642DF9">
        <w:t>Together with gender impact analys</w:t>
      </w:r>
      <w:r>
        <w:t>e</w:t>
      </w:r>
      <w:r w:rsidRPr="00642DF9">
        <w:t xml:space="preserve">s of policies and programs more broadly, </w:t>
      </w:r>
      <w:r>
        <w:t>t</w:t>
      </w:r>
      <w:r w:rsidR="00642DF9" w:rsidRPr="00642DF9">
        <w:t>he introduction of gender responsive budgeting into a government’s budget processes can contribute to the establishment of important foundations for government action to achieve gender equality and prevent violence against women</w:t>
      </w:r>
      <w:r w:rsidR="00642DF9">
        <w:t>.</w:t>
      </w:r>
      <w:r w:rsidR="00642DF9" w:rsidRPr="00642DF9">
        <w:rPr>
          <w:rStyle w:val="FootnoteReference"/>
        </w:rPr>
        <w:footnoteReference w:id="2"/>
      </w:r>
      <w:r w:rsidR="00642DF9" w:rsidRPr="00642DF9">
        <w:t xml:space="preserve"> Legislative mechanisms that </w:t>
      </w:r>
      <w:r w:rsidR="000C7B6C">
        <w:t>ensure</w:t>
      </w:r>
      <w:r w:rsidR="00642DF9" w:rsidRPr="00642DF9">
        <w:t xml:space="preserve"> the institutionalisation, accountability and sustainability of gender-responsive policymaking and budgeting are critical to creating the long-term structural change necessary to achieve gender equality. </w:t>
      </w:r>
    </w:p>
    <w:p w14:paraId="2261BE23" w14:textId="29D47423" w:rsidR="00642DF9" w:rsidRPr="00642DF9" w:rsidRDefault="00642DF9" w:rsidP="00216DAC">
      <w:pPr>
        <w:spacing w:before="240"/>
      </w:pPr>
      <w:r w:rsidRPr="00642DF9">
        <w:t xml:space="preserve">Our Watch acknowledges the Commonwealth Government’s </w:t>
      </w:r>
      <w:r w:rsidR="002666E0">
        <w:t>introduction of</w:t>
      </w:r>
      <w:r w:rsidRPr="00642DF9">
        <w:t xml:space="preserve"> gender responsive budgeting and gender impact assessments</w:t>
      </w:r>
      <w:r w:rsidR="00A6649B">
        <w:t>,</w:t>
      </w:r>
      <w:r w:rsidR="004C7A7B">
        <w:rPr>
          <w:rStyle w:val="FootnoteReference"/>
        </w:rPr>
        <w:footnoteReference w:id="3"/>
      </w:r>
      <w:r w:rsidR="00A6649B">
        <w:t xml:space="preserve"> and</w:t>
      </w:r>
      <w:r w:rsidRPr="00642DF9">
        <w:t xml:space="preserve"> encourages the Commonwealth Government to further embed this change </w:t>
      </w:r>
      <w:r w:rsidR="00E96896">
        <w:t>through</w:t>
      </w:r>
      <w:r w:rsidRPr="00642DF9">
        <w:t xml:space="preserve"> institutional reform of national gender policy machinery. The</w:t>
      </w:r>
      <w:r w:rsidR="00FB6B1D">
        <w:t xml:space="preserve"> current </w:t>
      </w:r>
      <w:r w:rsidR="00D85456">
        <w:t xml:space="preserve">drafting of </w:t>
      </w:r>
      <w:r w:rsidR="001068DD">
        <w:t xml:space="preserve">a </w:t>
      </w:r>
      <w:r w:rsidRPr="00642DF9">
        <w:t xml:space="preserve">National Strategy </w:t>
      </w:r>
      <w:r w:rsidR="00FB6B1D">
        <w:t xml:space="preserve">to Achieve Gender Equality </w:t>
      </w:r>
      <w:r w:rsidR="00C816A9">
        <w:t xml:space="preserve">offers an opportunity to </w:t>
      </w:r>
      <w:r w:rsidR="00FB5212">
        <w:t xml:space="preserve">establish </w:t>
      </w:r>
      <w:r w:rsidR="00037384">
        <w:t xml:space="preserve">principles and processes for best practice </w:t>
      </w:r>
      <w:r w:rsidR="00503B9E">
        <w:t>gender responsive policymaking and budgeting</w:t>
      </w:r>
      <w:r w:rsidR="0096386F">
        <w:t>.</w:t>
      </w:r>
      <w:r w:rsidR="005326F4">
        <w:t xml:space="preserve"> </w:t>
      </w:r>
    </w:p>
    <w:p w14:paraId="0D5FDB0B" w14:textId="77777777" w:rsidR="00642DF9" w:rsidRPr="003F75EE" w:rsidRDefault="00642DF9" w:rsidP="00216DAC">
      <w:pPr>
        <w:spacing w:before="240"/>
        <w:rPr>
          <w:lang w:eastAsia="en-AU"/>
        </w:rPr>
      </w:pPr>
      <w:r w:rsidRPr="003371B6">
        <w:rPr>
          <w:lang w:eastAsia="en-AU"/>
        </w:rPr>
        <w:t xml:space="preserve">One option the Commonwealth Government may wish to consider is the enactment of gender equality legislation which mandates and institutionalises whole-of-government gender-responsive policymaking. The </w:t>
      </w:r>
      <w:hyperlink r:id="rId18" w:history="1">
        <w:r w:rsidRPr="004B2B89">
          <w:rPr>
            <w:rStyle w:val="Hyperlink"/>
            <w:i/>
            <w:iCs/>
            <w:lang w:eastAsia="en-AU"/>
          </w:rPr>
          <w:t>Gender Equality Act 2020</w:t>
        </w:r>
        <w:r w:rsidRPr="004B2B89">
          <w:rPr>
            <w:rStyle w:val="Hyperlink"/>
            <w:lang w:eastAsia="en-AU"/>
          </w:rPr>
          <w:t xml:space="preserve"> (Vic)</w:t>
        </w:r>
      </w:hyperlink>
      <w:r w:rsidRPr="003371B6">
        <w:rPr>
          <w:lang w:eastAsia="en-AU"/>
        </w:rPr>
        <w:t xml:space="preserve"> provides an example of a legislated approach to embedding gender equality in the core business of government and the public service.</w:t>
      </w:r>
    </w:p>
    <w:p w14:paraId="716371E3" w14:textId="01BE6B4F" w:rsidR="007E7BBB" w:rsidRPr="00B06857" w:rsidRDefault="007E7BBB" w:rsidP="009F3EB3">
      <w:pPr>
        <w:shd w:val="clear" w:color="auto" w:fill="DEEAF6" w:themeFill="accent1" w:themeFillTint="33"/>
        <w:rPr>
          <w:b/>
          <w:bCs/>
        </w:rPr>
      </w:pPr>
      <w:r w:rsidRPr="00B06857">
        <w:rPr>
          <w:b/>
          <w:bCs/>
          <w:lang w:eastAsia="en-AU"/>
        </w:rPr>
        <w:t>Recommendation</w:t>
      </w:r>
      <w:r w:rsidR="00116C3F">
        <w:rPr>
          <w:b/>
          <w:bCs/>
          <w:lang w:eastAsia="en-AU"/>
        </w:rPr>
        <w:t xml:space="preserve"> 3</w:t>
      </w:r>
      <w:r w:rsidR="00C85843">
        <w:rPr>
          <w:b/>
          <w:bCs/>
          <w:lang w:eastAsia="en-AU"/>
        </w:rPr>
        <w:t xml:space="preserve">: </w:t>
      </w:r>
      <w:r w:rsidR="001D7331" w:rsidRPr="001D7331">
        <w:rPr>
          <w:lang w:eastAsia="en-AU"/>
        </w:rPr>
        <w:t xml:space="preserve">Any Human Rights Framework and Action Plan </w:t>
      </w:r>
      <w:r w:rsidR="001741B9" w:rsidRPr="001D7331">
        <w:rPr>
          <w:lang w:eastAsia="en-AU"/>
        </w:rPr>
        <w:t>include</w:t>
      </w:r>
      <w:r w:rsidR="00C779EC" w:rsidRPr="001D7331">
        <w:rPr>
          <w:lang w:eastAsia="en-AU"/>
        </w:rPr>
        <w:t xml:space="preserve"> </w:t>
      </w:r>
      <w:r w:rsidR="00CB516C" w:rsidRPr="001D7331">
        <w:rPr>
          <w:lang w:eastAsia="en-AU"/>
        </w:rPr>
        <w:t xml:space="preserve">commitments to </w:t>
      </w:r>
      <w:r w:rsidR="007B4643" w:rsidRPr="001D7331">
        <w:rPr>
          <w:lang w:eastAsia="en-AU"/>
        </w:rPr>
        <w:t>gender responsive policymaking</w:t>
      </w:r>
      <w:r w:rsidR="00313775" w:rsidRPr="001D7331">
        <w:rPr>
          <w:lang w:eastAsia="en-AU"/>
        </w:rPr>
        <w:t>,</w:t>
      </w:r>
      <w:r w:rsidR="007B4643" w:rsidRPr="001D7331">
        <w:rPr>
          <w:lang w:eastAsia="en-AU"/>
        </w:rPr>
        <w:t xml:space="preserve"> budgeting</w:t>
      </w:r>
      <w:r w:rsidR="00313775" w:rsidRPr="001D7331">
        <w:rPr>
          <w:lang w:eastAsia="en-AU"/>
        </w:rPr>
        <w:t>, and legislative review</w:t>
      </w:r>
      <w:r w:rsidR="007B4643" w:rsidRPr="001D7331">
        <w:rPr>
          <w:lang w:eastAsia="en-AU"/>
        </w:rPr>
        <w:t xml:space="preserve"> </w:t>
      </w:r>
      <w:r w:rsidR="00D91855" w:rsidRPr="001D7331">
        <w:rPr>
          <w:lang w:eastAsia="en-AU"/>
        </w:rPr>
        <w:t xml:space="preserve">to </w:t>
      </w:r>
      <w:r w:rsidR="004A5EF3" w:rsidRPr="001D7331">
        <w:rPr>
          <w:lang w:eastAsia="en-AU"/>
        </w:rPr>
        <w:t xml:space="preserve">enhance the </w:t>
      </w:r>
      <w:r w:rsidR="00295012" w:rsidRPr="001D7331">
        <w:rPr>
          <w:lang w:eastAsia="en-AU"/>
        </w:rPr>
        <w:t>focus on women’s rights in the development of</w:t>
      </w:r>
      <w:r w:rsidR="005A0A48" w:rsidRPr="001D7331">
        <w:rPr>
          <w:lang w:eastAsia="en-AU"/>
        </w:rPr>
        <w:t xml:space="preserve"> </w:t>
      </w:r>
      <w:r w:rsidR="004C33A7" w:rsidRPr="001D7331">
        <w:rPr>
          <w:lang w:eastAsia="en-AU"/>
        </w:rPr>
        <w:t>government</w:t>
      </w:r>
      <w:r w:rsidR="00F90BF7" w:rsidRPr="001D7331">
        <w:rPr>
          <w:lang w:eastAsia="en-AU"/>
        </w:rPr>
        <w:t xml:space="preserve"> policies and practices.</w:t>
      </w:r>
    </w:p>
    <w:p w14:paraId="36D93E59" w14:textId="5D55FD9E" w:rsidR="00697ED2" w:rsidRPr="00B06857" w:rsidRDefault="008C74FC" w:rsidP="009F3EB3">
      <w:pPr>
        <w:pStyle w:val="Heading4"/>
        <w:rPr>
          <w:b/>
          <w:bCs/>
          <w:lang w:eastAsia="en-AU"/>
        </w:rPr>
      </w:pPr>
      <w:r w:rsidRPr="00B06857">
        <w:rPr>
          <w:b/>
          <w:bCs/>
          <w:lang w:eastAsia="en-AU"/>
        </w:rPr>
        <w:t>Overarching impr</w:t>
      </w:r>
      <w:r w:rsidR="007E7BBB" w:rsidRPr="00B06857">
        <w:rPr>
          <w:b/>
          <w:bCs/>
          <w:lang w:eastAsia="en-AU"/>
        </w:rPr>
        <w:t>ovements to the Framework</w:t>
      </w:r>
    </w:p>
    <w:p w14:paraId="3CE8E9A5" w14:textId="188E9AB4" w:rsidR="683FA0FC" w:rsidRDefault="00AB0C13" w:rsidP="009F3EB3">
      <w:pPr>
        <w:spacing w:after="160"/>
        <w:rPr>
          <w:lang w:eastAsia="en-AU"/>
        </w:rPr>
      </w:pPr>
      <w:r>
        <w:rPr>
          <w:lang w:eastAsia="en-AU"/>
        </w:rPr>
        <w:t xml:space="preserve">Our Watch </w:t>
      </w:r>
      <w:r w:rsidR="00387C97">
        <w:rPr>
          <w:lang w:eastAsia="en-AU"/>
        </w:rPr>
        <w:t xml:space="preserve">welcomes the opportunity for the Australian Government to </w:t>
      </w:r>
      <w:r w:rsidR="00AE1284">
        <w:rPr>
          <w:lang w:eastAsia="en-AU"/>
        </w:rPr>
        <w:t>outline further commitments to support and fund</w:t>
      </w:r>
      <w:r w:rsidR="683FA0FC" w:rsidRPr="6F20EB43">
        <w:rPr>
          <w:szCs w:val="24"/>
          <w:lang w:eastAsia="en-AU"/>
        </w:rPr>
        <w:t xml:space="preserve"> primary prevention </w:t>
      </w:r>
      <w:r w:rsidR="003301E9">
        <w:rPr>
          <w:szCs w:val="24"/>
          <w:lang w:eastAsia="en-AU"/>
        </w:rPr>
        <w:t>action</w:t>
      </w:r>
      <w:r w:rsidR="683FA0FC" w:rsidRPr="6F20EB43">
        <w:rPr>
          <w:szCs w:val="24"/>
          <w:lang w:eastAsia="en-AU"/>
        </w:rPr>
        <w:t>s t</w:t>
      </w:r>
      <w:r w:rsidR="009C3F7C">
        <w:rPr>
          <w:szCs w:val="24"/>
          <w:lang w:eastAsia="en-AU"/>
        </w:rPr>
        <w:t>hat will</w:t>
      </w:r>
      <w:r w:rsidR="683FA0FC" w:rsidRPr="6F20EB43">
        <w:rPr>
          <w:szCs w:val="24"/>
          <w:lang w:eastAsia="en-AU"/>
        </w:rPr>
        <w:t xml:space="preserve"> prevent human rights abuses</w:t>
      </w:r>
      <w:r w:rsidR="009C3F7C">
        <w:rPr>
          <w:szCs w:val="24"/>
          <w:lang w:eastAsia="en-AU"/>
        </w:rPr>
        <w:t>,</w:t>
      </w:r>
      <w:r w:rsidR="683FA0FC" w:rsidRPr="6F20EB43">
        <w:rPr>
          <w:szCs w:val="24"/>
          <w:lang w:eastAsia="en-AU"/>
        </w:rPr>
        <w:t xml:space="preserve"> rather than relying on reactive human rights </w:t>
      </w:r>
      <w:r w:rsidR="009C3F7C">
        <w:rPr>
          <w:szCs w:val="24"/>
          <w:lang w:eastAsia="en-AU"/>
        </w:rPr>
        <w:t xml:space="preserve">enforcement </w:t>
      </w:r>
      <w:r w:rsidR="683FA0FC" w:rsidRPr="6F20EB43">
        <w:rPr>
          <w:szCs w:val="24"/>
          <w:lang w:eastAsia="en-AU"/>
        </w:rPr>
        <w:t>mechanisms.</w:t>
      </w:r>
    </w:p>
    <w:p w14:paraId="6B5393B7" w14:textId="1F291EFE" w:rsidR="683FA0FC" w:rsidRDefault="002B1DCE" w:rsidP="00216DAC">
      <w:pPr>
        <w:spacing w:before="240" w:after="160"/>
        <w:rPr>
          <w:lang w:eastAsia="en-AU"/>
        </w:rPr>
      </w:pPr>
      <w:r w:rsidRPr="63B32D4A">
        <w:rPr>
          <w:lang w:eastAsia="en-AU"/>
        </w:rPr>
        <w:t xml:space="preserve">As identified in </w:t>
      </w:r>
      <w:r w:rsidRPr="63B32D4A">
        <w:rPr>
          <w:i/>
          <w:iCs/>
          <w:lang w:eastAsia="en-AU"/>
        </w:rPr>
        <w:t xml:space="preserve">Change the </w:t>
      </w:r>
      <w:r w:rsidR="69164BA9" w:rsidRPr="63B32D4A">
        <w:rPr>
          <w:i/>
          <w:iCs/>
          <w:lang w:eastAsia="en-AU"/>
        </w:rPr>
        <w:t>S</w:t>
      </w:r>
      <w:r w:rsidRPr="63B32D4A">
        <w:rPr>
          <w:i/>
          <w:iCs/>
          <w:lang w:eastAsia="en-AU"/>
        </w:rPr>
        <w:t>tory</w:t>
      </w:r>
      <w:r w:rsidR="683FA0FC" w:rsidRPr="63B32D4A">
        <w:rPr>
          <w:lang w:eastAsia="en-AU"/>
        </w:rPr>
        <w:t>, primary prevention requires changing the social conditions</w:t>
      </w:r>
      <w:r w:rsidR="00926A65" w:rsidRPr="63B32D4A">
        <w:rPr>
          <w:lang w:eastAsia="en-AU"/>
        </w:rPr>
        <w:t xml:space="preserve"> — </w:t>
      </w:r>
      <w:r w:rsidR="00A36DAB" w:rsidRPr="63B32D4A">
        <w:rPr>
          <w:lang w:eastAsia="en-AU"/>
        </w:rPr>
        <w:t xml:space="preserve">especially those </w:t>
      </w:r>
      <w:r w:rsidR="00926A65" w:rsidRPr="63B32D4A">
        <w:rPr>
          <w:lang w:eastAsia="en-AU"/>
        </w:rPr>
        <w:t>grounded in</w:t>
      </w:r>
      <w:r w:rsidR="683FA0FC" w:rsidRPr="63B32D4A">
        <w:rPr>
          <w:lang w:eastAsia="en-AU"/>
        </w:rPr>
        <w:t xml:space="preserve"> gender inequality</w:t>
      </w:r>
      <w:r w:rsidR="00926A65" w:rsidRPr="63B32D4A">
        <w:rPr>
          <w:lang w:eastAsia="en-AU"/>
        </w:rPr>
        <w:t xml:space="preserve"> —</w:t>
      </w:r>
      <w:r w:rsidR="683FA0FC" w:rsidRPr="63B32D4A">
        <w:rPr>
          <w:lang w:eastAsia="en-AU"/>
        </w:rPr>
        <w:t xml:space="preserve"> that excuse, justify or even promote this violence. A primary prevention approach works across the whole population to address the attitudes, practices and </w:t>
      </w:r>
      <w:r w:rsidR="683FA0FC" w:rsidRPr="63B32D4A">
        <w:rPr>
          <w:lang w:eastAsia="en-AU"/>
        </w:rPr>
        <w:lastRenderedPageBreak/>
        <w:t xml:space="preserve">power differentials that drive violence against women; it reaches people where they live, work, learn and play to address the drivers of violence and promote gender equity. This approach </w:t>
      </w:r>
      <w:r w:rsidR="00FC31DD" w:rsidRPr="63B32D4A">
        <w:rPr>
          <w:lang w:eastAsia="en-AU"/>
        </w:rPr>
        <w:t>works best when</w:t>
      </w:r>
      <w:r w:rsidR="683FA0FC" w:rsidRPr="63B32D4A">
        <w:rPr>
          <w:lang w:eastAsia="en-AU"/>
        </w:rPr>
        <w:t xml:space="preserve"> supported by complementary political and institutional strategies, including public policy, legislation and regulation in order to shift the social structures that enable, drive or effectively condone this violence.</w:t>
      </w:r>
    </w:p>
    <w:p w14:paraId="67551754" w14:textId="27AB5D61" w:rsidR="00622D64" w:rsidRPr="00622D64" w:rsidRDefault="00622D64" w:rsidP="00216DAC">
      <w:pPr>
        <w:spacing w:before="240" w:after="160"/>
        <w:rPr>
          <w:lang w:eastAsia="en-AU"/>
        </w:rPr>
      </w:pPr>
      <w:r w:rsidRPr="00622D64">
        <w:rPr>
          <w:lang w:eastAsia="en-AU"/>
        </w:rPr>
        <w:t xml:space="preserve">As a result, Our Watch suggests that there may be an opportunity to include a new operational component (in addition to reaffirm, educate, engage, respect, and protect), namely </w:t>
      </w:r>
      <w:r w:rsidRPr="00622D64">
        <w:rPr>
          <w:i/>
          <w:iCs/>
          <w:lang w:eastAsia="en-AU"/>
        </w:rPr>
        <w:t>Prevent</w:t>
      </w:r>
      <w:r w:rsidRPr="00622D64">
        <w:rPr>
          <w:lang w:eastAsia="en-AU"/>
        </w:rPr>
        <w:t xml:space="preserve">. The component of </w:t>
      </w:r>
      <w:r w:rsidRPr="00622D64">
        <w:rPr>
          <w:i/>
          <w:iCs/>
          <w:lang w:eastAsia="en-AU"/>
        </w:rPr>
        <w:t>Prevent</w:t>
      </w:r>
      <w:r w:rsidRPr="00622D64">
        <w:rPr>
          <w:lang w:eastAsia="en-AU"/>
        </w:rPr>
        <w:t xml:space="preserve"> could include an explicit commitment to prevent violence against women by addressing the gendered drivers of violence against women identified in </w:t>
      </w:r>
      <w:r w:rsidRPr="00622D64">
        <w:rPr>
          <w:i/>
          <w:iCs/>
          <w:lang w:eastAsia="en-AU"/>
        </w:rPr>
        <w:t>Change the Story.</w:t>
      </w:r>
    </w:p>
    <w:p w14:paraId="291172D6" w14:textId="0C348215" w:rsidR="00301A8B" w:rsidRPr="00622D64" w:rsidRDefault="00301A8B" w:rsidP="009F3EB3">
      <w:pPr>
        <w:rPr>
          <w:u w:val="single"/>
          <w:lang w:eastAsia="en-AU"/>
        </w:rPr>
      </w:pPr>
      <w:r w:rsidRPr="00622D64">
        <w:rPr>
          <w:u w:val="single"/>
          <w:lang w:eastAsia="en-AU"/>
        </w:rPr>
        <w:t xml:space="preserve">An intersectional approach </w:t>
      </w:r>
    </w:p>
    <w:p w14:paraId="6DA0E1E9" w14:textId="23CDF2EE" w:rsidR="00697ED2" w:rsidRDefault="00697ED2" w:rsidP="009F3EB3">
      <w:pPr>
        <w:rPr>
          <w:lang w:eastAsia="en-AU"/>
        </w:rPr>
      </w:pPr>
      <w:r w:rsidRPr="6F20EB43">
        <w:rPr>
          <w:lang w:eastAsia="en-AU"/>
        </w:rPr>
        <w:t>In 2018, the U</w:t>
      </w:r>
      <w:r w:rsidR="601A351D" w:rsidRPr="6F20EB43">
        <w:rPr>
          <w:lang w:eastAsia="en-AU"/>
        </w:rPr>
        <w:t xml:space="preserve">nited </w:t>
      </w:r>
      <w:r w:rsidRPr="6F20EB43">
        <w:rPr>
          <w:lang w:eastAsia="en-AU"/>
        </w:rPr>
        <w:t>N</w:t>
      </w:r>
      <w:r w:rsidR="66AC1F5C" w:rsidRPr="6F20EB43">
        <w:rPr>
          <w:lang w:eastAsia="en-AU"/>
        </w:rPr>
        <w:t>ations</w:t>
      </w:r>
      <w:r w:rsidRPr="6F20EB43">
        <w:rPr>
          <w:lang w:eastAsia="en-AU"/>
        </w:rPr>
        <w:t xml:space="preserve"> Special Rapporteur </w:t>
      </w:r>
      <w:r w:rsidR="6217776A" w:rsidRPr="6F20EB43">
        <w:rPr>
          <w:lang w:eastAsia="en-AU"/>
        </w:rPr>
        <w:t>on Violence Against Women</w:t>
      </w:r>
      <w:r w:rsidR="008562B2">
        <w:rPr>
          <w:lang w:eastAsia="en-AU"/>
        </w:rPr>
        <w:t xml:space="preserve"> </w:t>
      </w:r>
      <w:r w:rsidRPr="6F20EB43">
        <w:rPr>
          <w:lang w:eastAsia="en-AU"/>
        </w:rPr>
        <w:t xml:space="preserve">made </w:t>
      </w:r>
      <w:hyperlink r:id="rId19">
        <w:r w:rsidRPr="6F20EB43">
          <w:rPr>
            <w:rStyle w:val="Hyperlink"/>
            <w:lang w:eastAsia="en-AU"/>
          </w:rPr>
          <w:t>specific recommendations for Australia</w:t>
        </w:r>
      </w:hyperlink>
      <w:r w:rsidRPr="6F20EB43">
        <w:rPr>
          <w:lang w:eastAsia="en-AU"/>
        </w:rPr>
        <w:t xml:space="preserve"> to address violence experienced by Aboriginal and Torres Strait Islander women, women with disabilities, women who are incarcerated, women from refugee, asylum seeker and migrant backgrounds, and older women. As such,</w:t>
      </w:r>
      <w:r w:rsidR="004D58DA">
        <w:rPr>
          <w:lang w:eastAsia="en-AU"/>
        </w:rPr>
        <w:t xml:space="preserve"> and as supported by </w:t>
      </w:r>
      <w:r w:rsidR="0091436D">
        <w:rPr>
          <w:lang w:eastAsia="en-AU"/>
        </w:rPr>
        <w:t xml:space="preserve">the evidence in </w:t>
      </w:r>
      <w:r w:rsidR="0091436D">
        <w:rPr>
          <w:i/>
          <w:iCs/>
          <w:lang w:eastAsia="en-AU"/>
        </w:rPr>
        <w:t>Change the Story,</w:t>
      </w:r>
      <w:r w:rsidRPr="6F20EB43">
        <w:rPr>
          <w:lang w:eastAsia="en-AU"/>
        </w:rPr>
        <w:t xml:space="preserve"> Our Watch encourages the Australian government to </w:t>
      </w:r>
      <w:r w:rsidR="00E61514" w:rsidRPr="6F20EB43">
        <w:rPr>
          <w:lang w:eastAsia="en-AU"/>
        </w:rPr>
        <w:t xml:space="preserve">embed an intersectional </w:t>
      </w:r>
      <w:r w:rsidR="006A31C5">
        <w:rPr>
          <w:lang w:eastAsia="en-AU"/>
        </w:rPr>
        <w:t>lens</w:t>
      </w:r>
      <w:r w:rsidR="00E61514" w:rsidRPr="6F20EB43">
        <w:rPr>
          <w:lang w:eastAsia="en-AU"/>
        </w:rPr>
        <w:t xml:space="preserve"> across al</w:t>
      </w:r>
      <w:r w:rsidR="00DB0CB3" w:rsidRPr="6F20EB43">
        <w:rPr>
          <w:lang w:eastAsia="en-AU"/>
        </w:rPr>
        <w:t xml:space="preserve">l components of </w:t>
      </w:r>
      <w:r w:rsidR="00BD5479">
        <w:rPr>
          <w:lang w:eastAsia="en-AU"/>
        </w:rPr>
        <w:t xml:space="preserve">any Framework and Action Plan. </w:t>
      </w:r>
      <w:r w:rsidR="00DB0CB3" w:rsidRPr="6F20EB43">
        <w:rPr>
          <w:lang w:eastAsia="en-AU"/>
        </w:rPr>
        <w:t xml:space="preserve"> </w:t>
      </w:r>
    </w:p>
    <w:p w14:paraId="60056BCD" w14:textId="0A8F54B7" w:rsidR="00DA039E" w:rsidRPr="00B45AF4" w:rsidRDefault="006A31C5" w:rsidP="00216DAC">
      <w:pPr>
        <w:spacing w:before="240"/>
        <w:rPr>
          <w:lang w:eastAsia="en-AU"/>
        </w:rPr>
      </w:pPr>
      <w:r>
        <w:rPr>
          <w:lang w:eastAsia="en-AU"/>
        </w:rPr>
        <w:t xml:space="preserve">While the previous </w:t>
      </w:r>
      <w:r w:rsidR="00C10592">
        <w:rPr>
          <w:lang w:eastAsia="en-AU"/>
        </w:rPr>
        <w:t xml:space="preserve">Action Plan identified </w:t>
      </w:r>
      <w:r w:rsidR="00DB0F29">
        <w:rPr>
          <w:lang w:eastAsia="en-AU"/>
        </w:rPr>
        <w:t>a range of specific and priority</w:t>
      </w:r>
      <w:r w:rsidR="006E3C2F">
        <w:rPr>
          <w:lang w:eastAsia="en-AU"/>
        </w:rPr>
        <w:t xml:space="preserve"> areas/groups </w:t>
      </w:r>
      <w:r w:rsidR="00103191">
        <w:rPr>
          <w:lang w:eastAsia="en-AU"/>
        </w:rPr>
        <w:t xml:space="preserve">and structured its </w:t>
      </w:r>
      <w:r w:rsidR="0072191D">
        <w:rPr>
          <w:lang w:eastAsia="en-AU"/>
        </w:rPr>
        <w:t xml:space="preserve">actions accordingly, </w:t>
      </w:r>
      <w:r w:rsidR="00D27D3D">
        <w:rPr>
          <w:lang w:eastAsia="en-AU"/>
        </w:rPr>
        <w:t xml:space="preserve">the </w:t>
      </w:r>
      <w:r w:rsidR="003D1206">
        <w:rPr>
          <w:lang w:eastAsia="en-AU"/>
        </w:rPr>
        <w:t>Action Plan also noted that, “</w:t>
      </w:r>
      <w:r w:rsidR="003D1206" w:rsidRPr="003D1206">
        <w:rPr>
          <w:i/>
          <w:iCs/>
          <w:lang w:eastAsia="en-AU"/>
        </w:rPr>
        <w:t>for reasons of brevity and to avoid duplication, initiatives that address multiple groups and issues will appear only once in the plan, under the most relevant priority area</w:t>
      </w:r>
      <w:r w:rsidR="003D1206">
        <w:rPr>
          <w:lang w:eastAsia="en-AU"/>
        </w:rPr>
        <w:t>”</w:t>
      </w:r>
      <w:r w:rsidR="00B45AF4">
        <w:rPr>
          <w:lang w:eastAsia="en-AU"/>
        </w:rPr>
        <w:t xml:space="preserve"> and structured the priority actions accordingly.</w:t>
      </w:r>
    </w:p>
    <w:p w14:paraId="4853263D" w14:textId="7F955319" w:rsidR="003D1206" w:rsidRDefault="009B6456" w:rsidP="00216DAC">
      <w:pPr>
        <w:spacing w:before="240"/>
        <w:rPr>
          <w:lang w:eastAsia="en-AU"/>
        </w:rPr>
      </w:pPr>
      <w:r>
        <w:rPr>
          <w:lang w:eastAsia="en-AU"/>
        </w:rPr>
        <w:t xml:space="preserve">Our Watch </w:t>
      </w:r>
      <w:r w:rsidR="00FC31DD">
        <w:rPr>
          <w:lang w:eastAsia="en-AU"/>
        </w:rPr>
        <w:t xml:space="preserve">encourages </w:t>
      </w:r>
      <w:r>
        <w:rPr>
          <w:lang w:eastAsia="en-AU"/>
        </w:rPr>
        <w:t>the Australian Government to reconsider this approach in the development of any future Action Plans</w:t>
      </w:r>
      <w:r w:rsidR="00BD5479">
        <w:rPr>
          <w:lang w:eastAsia="en-AU"/>
        </w:rPr>
        <w:t xml:space="preserve">. </w:t>
      </w:r>
      <w:r w:rsidR="000D414D">
        <w:rPr>
          <w:lang w:eastAsia="en-AU"/>
        </w:rPr>
        <w:t>While Our Watch understands the considerations behind t</w:t>
      </w:r>
      <w:r w:rsidR="00FC31DD">
        <w:rPr>
          <w:lang w:eastAsia="en-AU"/>
        </w:rPr>
        <w:t xml:space="preserve">he approach taken </w:t>
      </w:r>
      <w:r w:rsidR="009D4E41">
        <w:rPr>
          <w:lang w:eastAsia="en-AU"/>
        </w:rPr>
        <w:t xml:space="preserve">under the previous Action Plan, </w:t>
      </w:r>
      <w:r w:rsidR="0030534E">
        <w:rPr>
          <w:lang w:eastAsia="en-AU"/>
        </w:rPr>
        <w:t xml:space="preserve">we note that this approach risks </w:t>
      </w:r>
      <w:r w:rsidR="000F5587">
        <w:rPr>
          <w:lang w:eastAsia="en-AU"/>
        </w:rPr>
        <w:t>eras</w:t>
      </w:r>
      <w:r w:rsidR="00FC31DD">
        <w:rPr>
          <w:lang w:eastAsia="en-AU"/>
        </w:rPr>
        <w:t>ing</w:t>
      </w:r>
      <w:r w:rsidR="000F5587">
        <w:rPr>
          <w:lang w:eastAsia="en-AU"/>
        </w:rPr>
        <w:t xml:space="preserve"> intersectional experiences from the agenda and</w:t>
      </w:r>
      <w:r w:rsidR="0030534E">
        <w:rPr>
          <w:lang w:eastAsia="en-AU"/>
        </w:rPr>
        <w:t xml:space="preserve"> can</w:t>
      </w:r>
      <w:r w:rsidR="000F5587">
        <w:rPr>
          <w:lang w:eastAsia="en-AU"/>
        </w:rPr>
        <w:t xml:space="preserve"> </w:t>
      </w:r>
      <w:r w:rsidR="0042244E">
        <w:rPr>
          <w:lang w:eastAsia="en-AU"/>
        </w:rPr>
        <w:t xml:space="preserve">result in </w:t>
      </w:r>
      <w:r w:rsidR="001C74FE">
        <w:rPr>
          <w:lang w:eastAsia="en-AU"/>
        </w:rPr>
        <w:t xml:space="preserve">actions that ignore, or even reinforce, </w:t>
      </w:r>
      <w:r w:rsidR="008C4E49">
        <w:rPr>
          <w:lang w:eastAsia="en-AU"/>
        </w:rPr>
        <w:t>exclusion and marginalisation.</w:t>
      </w:r>
      <w:r w:rsidR="00B60E4E">
        <w:rPr>
          <w:lang w:eastAsia="en-AU"/>
        </w:rPr>
        <w:t xml:space="preserve"> </w:t>
      </w:r>
      <w:r w:rsidR="00296470">
        <w:rPr>
          <w:lang w:eastAsia="en-AU"/>
        </w:rPr>
        <w:t>This is because intersectional experiences of violen</w:t>
      </w:r>
      <w:r w:rsidR="002B4669">
        <w:rPr>
          <w:lang w:eastAsia="en-AU"/>
        </w:rPr>
        <w:t xml:space="preserve">ce and discrimination are not just </w:t>
      </w:r>
      <w:r w:rsidR="00181797">
        <w:rPr>
          <w:lang w:eastAsia="en-AU"/>
        </w:rPr>
        <w:t>additive but</w:t>
      </w:r>
      <w:r w:rsidR="00F448CB">
        <w:rPr>
          <w:lang w:eastAsia="en-AU"/>
        </w:rPr>
        <w:t xml:space="preserve"> </w:t>
      </w:r>
      <w:r w:rsidR="003917E8">
        <w:rPr>
          <w:lang w:eastAsia="en-AU"/>
        </w:rPr>
        <w:t xml:space="preserve">have </w:t>
      </w:r>
      <w:r w:rsidR="00FF2333">
        <w:rPr>
          <w:lang w:eastAsia="en-AU"/>
        </w:rPr>
        <w:t xml:space="preserve">their own unique </w:t>
      </w:r>
      <w:r w:rsidR="00BF0DFA">
        <w:rPr>
          <w:lang w:eastAsia="en-AU"/>
        </w:rPr>
        <w:t>impacts on individuals and communities</w:t>
      </w:r>
      <w:r w:rsidR="003917E8">
        <w:rPr>
          <w:lang w:eastAsia="en-AU"/>
        </w:rPr>
        <w:t>.</w:t>
      </w:r>
      <w:r w:rsidR="00BF0DFA">
        <w:rPr>
          <w:lang w:eastAsia="en-AU"/>
        </w:rPr>
        <w:t xml:space="preserve"> These impacts</w:t>
      </w:r>
      <w:r w:rsidR="002B4669">
        <w:rPr>
          <w:lang w:eastAsia="en-AU"/>
        </w:rPr>
        <w:t xml:space="preserve"> cannot be addressed by </w:t>
      </w:r>
      <w:r w:rsidR="00401F3D">
        <w:rPr>
          <w:lang w:eastAsia="en-AU"/>
        </w:rPr>
        <w:t xml:space="preserve">considering groups such as women, LGBTQIA+ people, people with disabilities, </w:t>
      </w:r>
      <w:r w:rsidR="00BF7646">
        <w:rPr>
          <w:lang w:eastAsia="en-AU"/>
        </w:rPr>
        <w:t>or refugees and asylum seekers — for example — as homogenous groups.</w:t>
      </w:r>
      <w:r w:rsidR="00F46506">
        <w:rPr>
          <w:lang w:eastAsia="en-AU"/>
        </w:rPr>
        <w:t xml:space="preserve"> </w:t>
      </w:r>
      <w:r w:rsidR="0030534E">
        <w:rPr>
          <w:lang w:eastAsia="en-AU"/>
        </w:rPr>
        <w:t xml:space="preserve">Rather, </w:t>
      </w:r>
      <w:r w:rsidR="00E00F78">
        <w:rPr>
          <w:lang w:eastAsia="en-AU"/>
        </w:rPr>
        <w:t xml:space="preserve">as explained in </w:t>
      </w:r>
      <w:hyperlink r:id="rId20" w:history="1">
        <w:r w:rsidR="00E00F78" w:rsidRPr="008E2FF7">
          <w:rPr>
            <w:rStyle w:val="Hyperlink"/>
            <w:i/>
            <w:iCs/>
            <w:lang w:eastAsia="en-AU"/>
          </w:rPr>
          <w:t>Change the Story</w:t>
        </w:r>
      </w:hyperlink>
      <w:r w:rsidR="00E00F78">
        <w:rPr>
          <w:i/>
          <w:iCs/>
          <w:lang w:eastAsia="en-AU"/>
        </w:rPr>
        <w:t xml:space="preserve"> </w:t>
      </w:r>
      <w:r w:rsidR="00E00F78">
        <w:rPr>
          <w:lang w:eastAsia="en-AU"/>
        </w:rPr>
        <w:t>pages</w:t>
      </w:r>
      <w:r w:rsidR="002923FD">
        <w:rPr>
          <w:lang w:eastAsia="en-AU"/>
        </w:rPr>
        <w:t xml:space="preserve"> 17,</w:t>
      </w:r>
      <w:r w:rsidR="00E00F78">
        <w:rPr>
          <w:lang w:eastAsia="en-AU"/>
        </w:rPr>
        <w:t xml:space="preserve"> </w:t>
      </w:r>
      <w:r w:rsidR="008E2FF7">
        <w:rPr>
          <w:lang w:eastAsia="en-AU"/>
        </w:rPr>
        <w:t xml:space="preserve">46-47, </w:t>
      </w:r>
      <w:r w:rsidR="0030534E">
        <w:rPr>
          <w:lang w:eastAsia="en-AU"/>
        </w:rPr>
        <w:t xml:space="preserve">priority actions </w:t>
      </w:r>
      <w:r w:rsidR="00D01C10">
        <w:rPr>
          <w:lang w:eastAsia="en-AU"/>
        </w:rPr>
        <w:t xml:space="preserve">that </w:t>
      </w:r>
      <w:r w:rsidR="00773C4F">
        <w:rPr>
          <w:lang w:eastAsia="en-AU"/>
        </w:rPr>
        <w:t xml:space="preserve">are developed with specific </w:t>
      </w:r>
      <w:r w:rsidR="00545C5F">
        <w:rPr>
          <w:lang w:eastAsia="en-AU"/>
        </w:rPr>
        <w:t xml:space="preserve">attention to the </w:t>
      </w:r>
      <w:r w:rsidR="006D3EC5">
        <w:rPr>
          <w:lang w:eastAsia="en-AU"/>
        </w:rPr>
        <w:t xml:space="preserve">intersections of violence </w:t>
      </w:r>
      <w:r w:rsidR="00DF728D">
        <w:rPr>
          <w:lang w:eastAsia="en-AU"/>
        </w:rPr>
        <w:t xml:space="preserve">and their </w:t>
      </w:r>
      <w:r w:rsidR="009A1C99">
        <w:rPr>
          <w:lang w:eastAsia="en-AU"/>
        </w:rPr>
        <w:t>various</w:t>
      </w:r>
      <w:r w:rsidR="00DF728D">
        <w:rPr>
          <w:lang w:eastAsia="en-AU"/>
        </w:rPr>
        <w:t xml:space="preserve"> impacts</w:t>
      </w:r>
      <w:r w:rsidR="00773C4F">
        <w:rPr>
          <w:lang w:eastAsia="en-AU"/>
        </w:rPr>
        <w:t xml:space="preserve"> within broader communities </w:t>
      </w:r>
      <w:r w:rsidR="00DB4A45">
        <w:rPr>
          <w:lang w:eastAsia="en-AU"/>
        </w:rPr>
        <w:t xml:space="preserve">are more likely to </w:t>
      </w:r>
      <w:r w:rsidR="00C235FB">
        <w:rPr>
          <w:lang w:eastAsia="en-AU"/>
        </w:rPr>
        <w:t>produce an effective national approach</w:t>
      </w:r>
      <w:r w:rsidR="00DF728D">
        <w:rPr>
          <w:lang w:eastAsia="en-AU"/>
        </w:rPr>
        <w:t>.</w:t>
      </w:r>
      <w:r w:rsidR="00F21571">
        <w:rPr>
          <w:lang w:eastAsia="en-AU"/>
        </w:rPr>
        <w:t xml:space="preserve"> This </w:t>
      </w:r>
      <w:r w:rsidR="00EE54DE">
        <w:rPr>
          <w:lang w:eastAsia="en-AU"/>
        </w:rPr>
        <w:t>ca</w:t>
      </w:r>
      <w:r w:rsidR="00216DAC">
        <w:rPr>
          <w:lang w:eastAsia="en-AU"/>
        </w:rPr>
        <w:t>n be supported by</w:t>
      </w:r>
      <w:r w:rsidR="00F21571">
        <w:rPr>
          <w:lang w:eastAsia="en-AU"/>
        </w:rPr>
        <w:t xml:space="preserve"> </w:t>
      </w:r>
      <w:r w:rsidR="001D113B">
        <w:rPr>
          <w:lang w:eastAsia="en-AU"/>
        </w:rPr>
        <w:t xml:space="preserve">inclusive </w:t>
      </w:r>
      <w:r w:rsidR="00EE54DE">
        <w:rPr>
          <w:lang w:eastAsia="en-AU"/>
        </w:rPr>
        <w:t xml:space="preserve">community </w:t>
      </w:r>
      <w:r w:rsidR="001D113B">
        <w:rPr>
          <w:lang w:eastAsia="en-AU"/>
        </w:rPr>
        <w:t xml:space="preserve">consultation processes </w:t>
      </w:r>
      <w:r w:rsidR="00EE54DE">
        <w:rPr>
          <w:lang w:eastAsia="en-AU"/>
        </w:rPr>
        <w:t xml:space="preserve">during the </w:t>
      </w:r>
      <w:r w:rsidR="00F17C8E">
        <w:rPr>
          <w:lang w:eastAsia="en-AU"/>
        </w:rPr>
        <w:t>design phase of the Action Plan.</w:t>
      </w:r>
    </w:p>
    <w:p w14:paraId="158C3E59" w14:textId="536617E8" w:rsidR="00BF7646" w:rsidRPr="005E7723" w:rsidRDefault="007E7BBB" w:rsidP="005E7723">
      <w:pPr>
        <w:shd w:val="clear" w:color="auto" w:fill="DEEAF6" w:themeFill="accent1" w:themeFillTint="33"/>
        <w:spacing w:before="240"/>
        <w:rPr>
          <w:b/>
          <w:bCs/>
          <w:lang w:eastAsia="en-AU"/>
        </w:rPr>
      </w:pPr>
      <w:r w:rsidRPr="6F20EB43">
        <w:rPr>
          <w:b/>
          <w:bCs/>
          <w:lang w:eastAsia="en-AU"/>
        </w:rPr>
        <w:t>Recommendation</w:t>
      </w:r>
      <w:r w:rsidR="3D95F3D2" w:rsidRPr="6F20EB43">
        <w:rPr>
          <w:b/>
          <w:bCs/>
          <w:lang w:eastAsia="en-AU"/>
        </w:rPr>
        <w:t xml:space="preserve"> </w:t>
      </w:r>
      <w:r w:rsidR="00672444">
        <w:rPr>
          <w:b/>
          <w:bCs/>
          <w:lang w:eastAsia="en-AU"/>
        </w:rPr>
        <w:t>4</w:t>
      </w:r>
      <w:r w:rsidR="3D95F3D2" w:rsidRPr="6F20EB43">
        <w:rPr>
          <w:b/>
          <w:bCs/>
          <w:lang w:eastAsia="en-AU"/>
        </w:rPr>
        <w:t xml:space="preserve">: </w:t>
      </w:r>
      <w:r w:rsidR="00672444" w:rsidRPr="00672444">
        <w:rPr>
          <w:lang w:eastAsia="en-AU"/>
        </w:rPr>
        <w:t>The</w:t>
      </w:r>
      <w:r w:rsidR="3D95F3D2" w:rsidRPr="00672444">
        <w:rPr>
          <w:lang w:eastAsia="en-AU"/>
        </w:rPr>
        <w:t xml:space="preserve"> Australian Government embed an intersectional approach across all components of </w:t>
      </w:r>
      <w:r w:rsidR="00672444" w:rsidRPr="00672444">
        <w:rPr>
          <w:lang w:eastAsia="en-AU"/>
        </w:rPr>
        <w:t>any Human Rights</w:t>
      </w:r>
      <w:r w:rsidR="3D95F3D2" w:rsidRPr="00672444">
        <w:rPr>
          <w:lang w:eastAsia="en-AU"/>
        </w:rPr>
        <w:t xml:space="preserve"> Framework</w:t>
      </w:r>
      <w:r w:rsidR="003D2D80" w:rsidRPr="00672444">
        <w:rPr>
          <w:lang w:eastAsia="en-AU"/>
        </w:rPr>
        <w:t xml:space="preserve"> and</w:t>
      </w:r>
      <w:r w:rsidR="00672444" w:rsidRPr="00672444">
        <w:rPr>
          <w:lang w:eastAsia="en-AU"/>
        </w:rPr>
        <w:t xml:space="preserve"> Action Plan.</w:t>
      </w:r>
      <w:r w:rsidR="00672444">
        <w:rPr>
          <w:b/>
          <w:bCs/>
          <w:lang w:eastAsia="en-AU"/>
        </w:rPr>
        <w:t xml:space="preserve"> </w:t>
      </w:r>
      <w:r w:rsidR="003D2D80" w:rsidRPr="6F20EB43">
        <w:rPr>
          <w:b/>
          <w:bCs/>
          <w:lang w:eastAsia="en-AU"/>
        </w:rPr>
        <w:t xml:space="preserve"> </w:t>
      </w:r>
    </w:p>
    <w:p w14:paraId="7B16E9F0" w14:textId="0EE5E45D" w:rsidR="00B13763" w:rsidRDefault="000B787D" w:rsidP="009F3EB3">
      <w:pPr>
        <w:spacing w:after="160"/>
        <w:rPr>
          <w:rFonts w:eastAsia="Roboto" w:cs="Roboto"/>
          <w:szCs w:val="24"/>
        </w:rPr>
      </w:pPr>
      <w:r>
        <w:rPr>
          <w:rFonts w:eastAsia="Roboto" w:cs="Roboto"/>
          <w:szCs w:val="24"/>
        </w:rPr>
        <w:lastRenderedPageBreak/>
        <w:t xml:space="preserve">Working closely with </w:t>
      </w:r>
      <w:r w:rsidR="008E4EF7">
        <w:rPr>
          <w:rFonts w:eastAsia="Roboto" w:cs="Roboto"/>
          <w:szCs w:val="24"/>
        </w:rPr>
        <w:t xml:space="preserve">Aboriginal and Torres Strait Islander peoples, Our Watch has produced a national resource to </w:t>
      </w:r>
      <w:r w:rsidR="00EF4C60">
        <w:rPr>
          <w:rFonts w:eastAsia="Roboto" w:cs="Roboto"/>
          <w:szCs w:val="24"/>
        </w:rPr>
        <w:t>support the prevention of violence against Aboriginal and Torres Strait Islander women and their children</w:t>
      </w:r>
      <w:r w:rsidR="00AB0FED">
        <w:rPr>
          <w:rFonts w:eastAsia="Roboto" w:cs="Roboto"/>
          <w:szCs w:val="24"/>
        </w:rPr>
        <w:t xml:space="preserve">, </w:t>
      </w:r>
      <w:hyperlink r:id="rId21" w:history="1">
        <w:r w:rsidR="00AB0FED" w:rsidRPr="00574F4F">
          <w:rPr>
            <w:rStyle w:val="Hyperlink"/>
            <w:rFonts w:eastAsia="Roboto" w:cs="Roboto"/>
            <w:i/>
            <w:iCs/>
            <w:szCs w:val="24"/>
          </w:rPr>
          <w:t>Changing the Picture</w:t>
        </w:r>
      </w:hyperlink>
      <w:r w:rsidR="00AB0FED">
        <w:rPr>
          <w:rFonts w:eastAsia="Roboto" w:cs="Roboto"/>
          <w:i/>
          <w:iCs/>
          <w:szCs w:val="24"/>
        </w:rPr>
        <w:t xml:space="preserve">. </w:t>
      </w:r>
      <w:r w:rsidR="1AAEA0DE" w:rsidRPr="6F20EB43">
        <w:rPr>
          <w:rFonts w:eastAsia="Roboto" w:cs="Roboto"/>
          <w:szCs w:val="24"/>
        </w:rPr>
        <w:t>A</w:t>
      </w:r>
      <w:r w:rsidR="006C24A5">
        <w:rPr>
          <w:rFonts w:eastAsia="Roboto" w:cs="Roboto"/>
          <w:szCs w:val="24"/>
        </w:rPr>
        <w:t xml:space="preserve">s explained in </w:t>
      </w:r>
      <w:r w:rsidR="006C24A5">
        <w:rPr>
          <w:rFonts w:eastAsia="Roboto" w:cs="Roboto"/>
          <w:i/>
          <w:iCs/>
          <w:szCs w:val="24"/>
        </w:rPr>
        <w:t xml:space="preserve">Changing the Picture, </w:t>
      </w:r>
      <w:r w:rsidR="006C24A5">
        <w:rPr>
          <w:rFonts w:eastAsia="Roboto" w:cs="Roboto"/>
          <w:szCs w:val="24"/>
        </w:rPr>
        <w:t>A</w:t>
      </w:r>
      <w:r w:rsidR="1AAEA0DE" w:rsidRPr="6F20EB43">
        <w:rPr>
          <w:rFonts w:eastAsia="Roboto" w:cs="Roboto"/>
          <w:szCs w:val="24"/>
        </w:rPr>
        <w:t xml:space="preserve">boriginal and Torres Strait Islander women experience disproportionate rates of violence, and violence that is often more severe and more complex in its impacts. </w:t>
      </w:r>
      <w:r w:rsidR="001D402B">
        <w:rPr>
          <w:rFonts w:eastAsia="Roboto" w:cs="Roboto"/>
          <w:szCs w:val="24"/>
        </w:rPr>
        <w:t>This resource further explains that i</w:t>
      </w:r>
      <w:r w:rsidR="00E55F86">
        <w:rPr>
          <w:rFonts w:eastAsia="Roboto" w:cs="Roboto"/>
          <w:szCs w:val="24"/>
        </w:rPr>
        <w:t>t is important not to treat v</w:t>
      </w:r>
      <w:r w:rsidR="00E01F4F" w:rsidRPr="00E01F4F">
        <w:rPr>
          <w:rFonts w:eastAsia="Roboto" w:cs="Roboto"/>
          <w:szCs w:val="24"/>
        </w:rPr>
        <w:t xml:space="preserve">iolence against Aboriginal and Torres Strait Islander women </w:t>
      </w:r>
      <w:r w:rsidR="00E55F86">
        <w:rPr>
          <w:rFonts w:eastAsia="Roboto" w:cs="Roboto"/>
          <w:szCs w:val="24"/>
        </w:rPr>
        <w:t xml:space="preserve">as </w:t>
      </w:r>
      <w:r w:rsidR="00E01F4F" w:rsidRPr="00E01F4F">
        <w:rPr>
          <w:rFonts w:eastAsia="Roboto" w:cs="Roboto"/>
          <w:szCs w:val="24"/>
        </w:rPr>
        <w:t>an ‘Aboriginal and Torres Strait</w:t>
      </w:r>
      <w:r w:rsidR="00E01F4F">
        <w:rPr>
          <w:rFonts w:eastAsia="Roboto" w:cs="Roboto"/>
          <w:szCs w:val="24"/>
        </w:rPr>
        <w:t xml:space="preserve"> </w:t>
      </w:r>
      <w:r w:rsidR="00E01F4F" w:rsidRPr="00E01F4F">
        <w:rPr>
          <w:rFonts w:eastAsia="Roboto" w:cs="Roboto"/>
          <w:szCs w:val="24"/>
        </w:rPr>
        <w:t>Islander problem’</w:t>
      </w:r>
      <w:r w:rsidR="00E01F4F">
        <w:rPr>
          <w:rFonts w:eastAsia="Roboto" w:cs="Roboto"/>
          <w:szCs w:val="24"/>
        </w:rPr>
        <w:t xml:space="preserve">; </w:t>
      </w:r>
      <w:r w:rsidR="001B1463">
        <w:rPr>
          <w:rFonts w:eastAsia="Roboto" w:cs="Roboto"/>
          <w:szCs w:val="24"/>
        </w:rPr>
        <w:t xml:space="preserve">this </w:t>
      </w:r>
      <w:r w:rsidR="001B1463" w:rsidRPr="001B1463">
        <w:rPr>
          <w:rFonts w:eastAsia="Roboto" w:cs="Roboto"/>
          <w:szCs w:val="24"/>
        </w:rPr>
        <w:t>violence is an Australian problem, and</w:t>
      </w:r>
      <w:r w:rsidR="001D402B">
        <w:rPr>
          <w:rFonts w:eastAsia="Roboto" w:cs="Roboto"/>
          <w:szCs w:val="24"/>
        </w:rPr>
        <w:t xml:space="preserve"> the evidence shows that</w:t>
      </w:r>
      <w:r w:rsidR="001B1463" w:rsidRPr="001B1463">
        <w:rPr>
          <w:rFonts w:eastAsia="Roboto" w:cs="Roboto"/>
          <w:szCs w:val="24"/>
        </w:rPr>
        <w:t xml:space="preserve"> it is perpetrated by men of all</w:t>
      </w:r>
      <w:r w:rsidR="001B1463">
        <w:rPr>
          <w:rFonts w:eastAsia="Roboto" w:cs="Roboto"/>
          <w:szCs w:val="24"/>
        </w:rPr>
        <w:t xml:space="preserve"> </w:t>
      </w:r>
      <w:r w:rsidR="001B1463" w:rsidRPr="001B1463">
        <w:rPr>
          <w:rFonts w:eastAsia="Roboto" w:cs="Roboto"/>
          <w:szCs w:val="24"/>
        </w:rPr>
        <w:t>cultural backgrounds</w:t>
      </w:r>
      <w:r w:rsidR="001B1463">
        <w:rPr>
          <w:rFonts w:eastAsia="Roboto" w:cs="Roboto"/>
          <w:szCs w:val="24"/>
        </w:rPr>
        <w:t>.</w:t>
      </w:r>
      <w:r w:rsidR="001354E9">
        <w:rPr>
          <w:rFonts w:eastAsia="Roboto" w:cs="Roboto"/>
          <w:szCs w:val="24"/>
        </w:rPr>
        <w:t xml:space="preserve"> </w:t>
      </w:r>
    </w:p>
    <w:p w14:paraId="6C351506" w14:textId="54644E3F" w:rsidR="1AAEA0DE" w:rsidRDefault="7AFB16FE" w:rsidP="00216DAC">
      <w:pPr>
        <w:spacing w:before="240" w:after="160"/>
        <w:rPr>
          <w:lang w:eastAsia="en-AU"/>
        </w:rPr>
      </w:pPr>
      <w:r w:rsidRPr="6F20EB43">
        <w:rPr>
          <w:i/>
          <w:iCs/>
          <w:szCs w:val="24"/>
          <w:lang w:eastAsia="en-AU"/>
        </w:rPr>
        <w:t>Changing the Picture</w:t>
      </w:r>
      <w:r w:rsidRPr="6F20EB43">
        <w:rPr>
          <w:szCs w:val="24"/>
          <w:lang w:eastAsia="en-AU"/>
        </w:rPr>
        <w:t xml:space="preserve"> identifies the importance of addressing the intersecting drivers of violence against Aboriginal and Torres Strait Islander women in order to prevent this violence. Those drivers are:</w:t>
      </w:r>
    </w:p>
    <w:p w14:paraId="4AA16823" w14:textId="2FB97091" w:rsidR="7AFB16FE" w:rsidRDefault="7AFB16FE" w:rsidP="009F3EB3">
      <w:pPr>
        <w:pStyle w:val="ListParagraph"/>
        <w:numPr>
          <w:ilvl w:val="0"/>
          <w:numId w:val="42"/>
        </w:numPr>
        <w:spacing w:after="160"/>
        <w:rPr>
          <w:lang w:eastAsia="en-AU"/>
        </w:rPr>
      </w:pPr>
      <w:r w:rsidRPr="6F20EB43">
        <w:rPr>
          <w:szCs w:val="24"/>
          <w:lang w:eastAsia="en-AU"/>
        </w:rPr>
        <w:t>The ongoing impacts of colonisation for Aboriginal and Torres Strait Islander people</w:t>
      </w:r>
    </w:p>
    <w:p w14:paraId="356CEBB6" w14:textId="4A295BF4" w:rsidR="7AFB16FE" w:rsidRDefault="7AFB16FE" w:rsidP="009F3EB3">
      <w:pPr>
        <w:pStyle w:val="ListParagraph"/>
        <w:numPr>
          <w:ilvl w:val="0"/>
          <w:numId w:val="42"/>
        </w:numPr>
        <w:spacing w:after="160"/>
        <w:rPr>
          <w:lang w:eastAsia="en-AU"/>
        </w:rPr>
      </w:pPr>
      <w:r w:rsidRPr="6F20EB43">
        <w:rPr>
          <w:szCs w:val="24"/>
          <w:lang w:eastAsia="en-AU"/>
        </w:rPr>
        <w:t>The ongoing impacts of colonisation for non-Indigenous people and in Australian society</w:t>
      </w:r>
    </w:p>
    <w:p w14:paraId="2D3532B7" w14:textId="782024BE" w:rsidR="7AFB16FE" w:rsidRDefault="7AFB16FE" w:rsidP="009F3EB3">
      <w:pPr>
        <w:pStyle w:val="ListParagraph"/>
        <w:numPr>
          <w:ilvl w:val="0"/>
          <w:numId w:val="42"/>
        </w:numPr>
        <w:spacing w:after="160"/>
        <w:rPr>
          <w:lang w:eastAsia="en-AU"/>
        </w:rPr>
      </w:pPr>
      <w:r w:rsidRPr="6F20EB43">
        <w:rPr>
          <w:szCs w:val="24"/>
          <w:lang w:eastAsia="en-AU"/>
        </w:rPr>
        <w:t>Gendered factors – both gender and inequality in a general sense, and specific gendered drivers of violence that are a consequence of colonisation</w:t>
      </w:r>
    </w:p>
    <w:p w14:paraId="70C21B0B" w14:textId="7F715816" w:rsidR="7AFB16FE" w:rsidRDefault="00EE5584" w:rsidP="009F3EB3">
      <w:pPr>
        <w:spacing w:after="160"/>
        <w:rPr>
          <w:szCs w:val="24"/>
          <w:lang w:eastAsia="en-AU"/>
        </w:rPr>
      </w:pPr>
      <w:r w:rsidRPr="00EE5584">
        <w:rPr>
          <w:i/>
          <w:iCs/>
          <w:szCs w:val="24"/>
          <w:lang w:eastAsia="en-AU"/>
        </w:rPr>
        <w:t>Changing the picture</w:t>
      </w:r>
      <w:r>
        <w:rPr>
          <w:szCs w:val="24"/>
          <w:lang w:eastAsia="en-AU"/>
        </w:rPr>
        <w:t xml:space="preserve"> makes clear that a</w:t>
      </w:r>
      <w:r w:rsidR="7AFB16FE" w:rsidRPr="6F20EB43">
        <w:rPr>
          <w:szCs w:val="24"/>
          <w:lang w:eastAsia="en-AU"/>
        </w:rPr>
        <w:t xml:space="preserve">s part of a national effort to prevent violence against Aboriginal and Torres Strait Islander women, </w:t>
      </w:r>
      <w:r>
        <w:rPr>
          <w:szCs w:val="24"/>
          <w:lang w:eastAsia="en-AU"/>
        </w:rPr>
        <w:t>it is important for governments to</w:t>
      </w:r>
      <w:r w:rsidR="7AFB16FE" w:rsidRPr="6F20EB43">
        <w:rPr>
          <w:szCs w:val="24"/>
          <w:lang w:eastAsia="en-AU"/>
        </w:rPr>
        <w:t xml:space="preserve"> address the legacies and ongoing impacts of colonisation by identifying and amending discriminatory laws, policies and organisational and institutional practices; addressing power inequalities, particularly in decision making positions; and challenging and preventing all forms of racism.</w:t>
      </w:r>
    </w:p>
    <w:p w14:paraId="22D352DF" w14:textId="4D814469" w:rsidR="00281603" w:rsidRPr="00281603" w:rsidRDefault="00281603" w:rsidP="009F3EB3">
      <w:pPr>
        <w:spacing w:after="160"/>
        <w:rPr>
          <w:szCs w:val="24"/>
          <w:lang w:eastAsia="en-AU"/>
        </w:rPr>
      </w:pPr>
      <w:r w:rsidRPr="00281603">
        <w:rPr>
          <w:szCs w:val="24"/>
          <w:lang w:eastAsia="en-AU"/>
        </w:rPr>
        <w:t xml:space="preserve">As a result, </w:t>
      </w:r>
      <w:r w:rsidRPr="00281603">
        <w:rPr>
          <w:lang w:eastAsia="en-AU"/>
        </w:rPr>
        <w:t>Our Watch suggests that there is an opportunity in any new Framework or Action Plan to acknowledge the drivers of human rights abuses against Aboriginal and Torres Strait Islander people in particular, including drivers of violence against Aboriginal and Torres Strait Islander women, and commit to addressing these drivers, including the legacy and ongoing impact of colonisation.</w:t>
      </w:r>
    </w:p>
    <w:p w14:paraId="45DF9302" w14:textId="444B5618" w:rsidR="009F18FF" w:rsidRPr="003B5BD6" w:rsidRDefault="009F18FF" w:rsidP="003B5BD6">
      <w:pPr>
        <w:rPr>
          <w:lang w:eastAsia="en-AU"/>
        </w:rPr>
      </w:pPr>
    </w:p>
    <w:sectPr w:rsidR="009F18FF" w:rsidRPr="003B5BD6" w:rsidSect="00E533A0">
      <w:footerReference w:type="default" r:id="rId22"/>
      <w:headerReference w:type="first" r:id="rId23"/>
      <w:footerReference w:type="first" r:id="rId24"/>
      <w:type w:val="continuous"/>
      <w:pgSz w:w="11906" w:h="16838"/>
      <w:pgMar w:top="1134" w:right="2552" w:bottom="1134"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F1F0" w14:textId="77777777" w:rsidR="009E7622" w:rsidRDefault="009E7622" w:rsidP="00B4211E">
      <w:r>
        <w:separator/>
      </w:r>
    </w:p>
    <w:p w14:paraId="25D9533D" w14:textId="77777777" w:rsidR="009E7622" w:rsidRDefault="009E7622" w:rsidP="00B4211E"/>
  </w:endnote>
  <w:endnote w:type="continuationSeparator" w:id="0">
    <w:p w14:paraId="4A87FB1D" w14:textId="77777777" w:rsidR="009E7622" w:rsidRDefault="009E7622" w:rsidP="00B4211E">
      <w:r>
        <w:continuationSeparator/>
      </w:r>
    </w:p>
    <w:p w14:paraId="5DB96C89" w14:textId="77777777" w:rsidR="009E7622" w:rsidRDefault="009E7622" w:rsidP="00B4211E"/>
  </w:endnote>
  <w:endnote w:type="continuationNotice" w:id="1">
    <w:p w14:paraId="7EE182F4" w14:textId="77777777" w:rsidR="009E7622" w:rsidRDefault="009E76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058393504"/>
      <w:docPartObj>
        <w:docPartGallery w:val="Page Numbers (Bottom of Page)"/>
        <w:docPartUnique/>
      </w:docPartObj>
    </w:sdtPr>
    <w:sdtEndPr/>
    <w:sdtContent>
      <w:sdt>
        <w:sdtPr>
          <w:rPr>
            <w:sz w:val="18"/>
          </w:rPr>
          <w:id w:val="-312180022"/>
          <w:docPartObj>
            <w:docPartGallery w:val="Page Numbers (Top of Page)"/>
            <w:docPartUnique/>
          </w:docPartObj>
        </w:sdtPr>
        <w:sdtEndPr/>
        <w:sdtContent>
          <w:p w14:paraId="5558F0B4" w14:textId="77777777" w:rsidR="00DE5C7B" w:rsidRPr="00560A03" w:rsidRDefault="00DE5C7B" w:rsidP="00DB7087">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rsidRPr="000D05B7">
              <w:rPr>
                <w:noProof/>
              </w:rPr>
              <w:t>5</w:t>
            </w:r>
            <w:r w:rsidRPr="000D05B7">
              <w:rPr>
                <w:color w:val="2B579A"/>
                <w:shd w:val="clear" w:color="auto" w:fill="E6E6E6"/>
              </w:rPr>
              <w:fldChar w:fldCharType="end"/>
            </w:r>
            <w:r w:rsidRPr="000D05B7">
              <w:t xml:space="preserve"> of </w:t>
            </w:r>
            <w:r>
              <w:fldChar w:fldCharType="begin"/>
            </w:r>
            <w:r>
              <w:instrText>NUMPAGES</w:instrText>
            </w:r>
            <w:r>
              <w:fldChar w:fldCharType="separate"/>
            </w:r>
            <w:r w:rsidRPr="000D05B7">
              <w:rPr>
                <w:noProof/>
              </w:rPr>
              <w:t>5</w:t>
            </w:r>
            <w:r>
              <w:fldChar w:fldCharType="end"/>
            </w:r>
            <w:r w:rsidRPr="00990FD7">
              <w:rPr>
                <w:noProof/>
              </w:rPr>
              <w:drawing>
                <wp:anchor distT="0" distB="0" distL="114300" distR="114300" simplePos="0" relativeHeight="251658241" behindDoc="1" locked="1" layoutInCell="1" allowOverlap="1" wp14:anchorId="1ACB8D73" wp14:editId="0DFE3179">
                  <wp:simplePos x="0" y="0"/>
                  <wp:positionH relativeFrom="page">
                    <wp:align>right</wp:align>
                  </wp:positionH>
                  <wp:positionV relativeFrom="page">
                    <wp:align>bottom</wp:align>
                  </wp:positionV>
                  <wp:extent cx="1594800" cy="712800"/>
                  <wp:effectExtent l="0" t="0" r="0" b="0"/>
                  <wp:wrapNone/>
                  <wp:docPr id="3" name="Picture 3">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2FEC" w14:textId="77777777" w:rsidR="00DE5C7B" w:rsidRPr="00560A03" w:rsidRDefault="00DE5C7B" w:rsidP="00F043B8">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t>2</w:t>
    </w:r>
    <w:r w:rsidRPr="000D05B7">
      <w:rPr>
        <w:color w:val="2B579A"/>
        <w:shd w:val="clear" w:color="auto" w:fill="E6E6E6"/>
      </w:rPr>
      <w:fldChar w:fldCharType="end"/>
    </w:r>
    <w:r w:rsidRPr="000D05B7">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0AC80" w14:textId="77777777" w:rsidR="009E7622" w:rsidRDefault="009E7622" w:rsidP="00B4211E">
      <w:r>
        <w:separator/>
      </w:r>
    </w:p>
    <w:p w14:paraId="75F66338" w14:textId="77777777" w:rsidR="009E7622" w:rsidRDefault="009E7622" w:rsidP="00B4211E"/>
  </w:footnote>
  <w:footnote w:type="continuationSeparator" w:id="0">
    <w:p w14:paraId="7E6CDC81" w14:textId="77777777" w:rsidR="009E7622" w:rsidRDefault="009E7622" w:rsidP="00B4211E">
      <w:r>
        <w:continuationSeparator/>
      </w:r>
    </w:p>
    <w:p w14:paraId="31544FAE" w14:textId="77777777" w:rsidR="009E7622" w:rsidRDefault="009E7622" w:rsidP="00B4211E"/>
  </w:footnote>
  <w:footnote w:type="continuationNotice" w:id="1">
    <w:p w14:paraId="255C98A5" w14:textId="77777777" w:rsidR="009E7622" w:rsidRDefault="009E7622">
      <w:pPr>
        <w:spacing w:after="0"/>
      </w:pPr>
    </w:p>
  </w:footnote>
  <w:footnote w:id="2">
    <w:p w14:paraId="3162F31D" w14:textId="77777777" w:rsidR="00642DF9" w:rsidRPr="000A7518" w:rsidRDefault="00642DF9" w:rsidP="00642DF9">
      <w:pPr>
        <w:pStyle w:val="NoSpacing"/>
        <w:contextualSpacing/>
        <w:rPr>
          <w:rFonts w:ascii="Roboto" w:hAnsi="Roboto" w:cstheme="minorHAnsi"/>
          <w:bCs/>
          <w:color w:val="002554"/>
          <w:sz w:val="18"/>
          <w:szCs w:val="18"/>
        </w:rPr>
      </w:pPr>
      <w:r w:rsidRPr="000A7518">
        <w:rPr>
          <w:rStyle w:val="FootnoteReference"/>
          <w:rFonts w:ascii="Roboto" w:hAnsi="Roboto" w:cstheme="minorHAnsi"/>
          <w:bCs/>
          <w:sz w:val="18"/>
          <w:szCs w:val="18"/>
        </w:rPr>
        <w:footnoteRef/>
      </w:r>
      <w:r w:rsidRPr="000A7518">
        <w:rPr>
          <w:rFonts w:ascii="Roboto" w:hAnsi="Roboto" w:cstheme="minorHAnsi"/>
          <w:bCs/>
          <w:color w:val="002554"/>
          <w:sz w:val="18"/>
          <w:szCs w:val="18"/>
        </w:rPr>
        <w:t xml:space="preserve"> Organisation for Economic Co</w:t>
      </w:r>
      <w:r w:rsidRPr="000A7518">
        <w:rPr>
          <w:rFonts w:ascii="Roboto" w:hAnsi="Roboto" w:cs="Cambria Math"/>
          <w:bCs/>
          <w:color w:val="002554"/>
          <w:sz w:val="18"/>
          <w:szCs w:val="18"/>
        </w:rPr>
        <w:t>‑</w:t>
      </w:r>
      <w:r w:rsidRPr="000A7518">
        <w:rPr>
          <w:rFonts w:ascii="Roboto" w:hAnsi="Roboto" w:cstheme="minorHAnsi"/>
          <w:bCs/>
          <w:color w:val="002554"/>
          <w:sz w:val="18"/>
          <w:szCs w:val="18"/>
        </w:rPr>
        <w:t xml:space="preserve">operation and Development (OECD). (2015). </w:t>
      </w:r>
      <w:r w:rsidRPr="000A7518">
        <w:rPr>
          <w:rFonts w:ascii="Roboto" w:hAnsi="Roboto" w:cstheme="minorHAnsi"/>
          <w:bCs/>
          <w:i/>
          <w:iCs/>
          <w:color w:val="002554"/>
          <w:sz w:val="18"/>
          <w:szCs w:val="18"/>
        </w:rPr>
        <w:t>Toolkit for Mainstreaming and Implementing Gender Equality: Implementing the 2015 OECD Recommendation on Gender Equality in Public Life</w:t>
      </w:r>
      <w:r w:rsidRPr="000A7518">
        <w:rPr>
          <w:rFonts w:ascii="Roboto" w:hAnsi="Roboto" w:cstheme="minorHAnsi"/>
          <w:bCs/>
          <w:color w:val="002554"/>
          <w:sz w:val="18"/>
          <w:szCs w:val="18"/>
        </w:rPr>
        <w:t>, OECD Publishing, Paris, p. 30.</w:t>
      </w:r>
    </w:p>
  </w:footnote>
  <w:footnote w:id="3">
    <w:p w14:paraId="0771D691" w14:textId="4DC39861" w:rsidR="004C7A7B" w:rsidRPr="000A7518" w:rsidRDefault="004C7A7B">
      <w:pPr>
        <w:pStyle w:val="FootnoteText"/>
        <w:rPr>
          <w:sz w:val="18"/>
          <w:szCs w:val="18"/>
        </w:rPr>
      </w:pPr>
      <w:r w:rsidRPr="000A7518">
        <w:rPr>
          <w:rStyle w:val="FootnoteReference"/>
          <w:sz w:val="18"/>
          <w:szCs w:val="18"/>
        </w:rPr>
        <w:footnoteRef/>
      </w:r>
      <w:r w:rsidRPr="000A7518">
        <w:rPr>
          <w:sz w:val="18"/>
          <w:szCs w:val="18"/>
        </w:rPr>
        <w:t xml:space="preserve"> Australian Government Department of the Prime Minister and Cabinet (2023)</w:t>
      </w:r>
      <w:r w:rsidR="000A7518" w:rsidRPr="000A7518">
        <w:rPr>
          <w:sz w:val="18"/>
          <w:szCs w:val="18"/>
        </w:rPr>
        <w:t xml:space="preserve">. </w:t>
      </w:r>
      <w:r w:rsidR="000A7518" w:rsidRPr="000A7518">
        <w:rPr>
          <w:i/>
          <w:iCs/>
          <w:sz w:val="18"/>
          <w:szCs w:val="18"/>
        </w:rPr>
        <w:t>Women’s Economic Equality</w:t>
      </w:r>
      <w:r w:rsidR="000A7518" w:rsidRPr="000A7518">
        <w:rPr>
          <w:sz w:val="18"/>
          <w:szCs w:val="18"/>
        </w:rPr>
        <w:t xml:space="preserve">. Available at: </w:t>
      </w:r>
      <w:hyperlink r:id="rId1" w:history="1">
        <w:r w:rsidR="000A7518" w:rsidRPr="000A7518">
          <w:rPr>
            <w:rStyle w:val="Hyperlink"/>
            <w:sz w:val="18"/>
            <w:szCs w:val="18"/>
          </w:rPr>
          <w:t>https://www.pmc.gov.au/office-women/womens-economic-equality</w:t>
        </w:r>
      </w:hyperlink>
      <w:r w:rsidR="000A7518" w:rsidRPr="000A751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3859" w14:textId="77777777" w:rsidR="00DE5C7B" w:rsidRDefault="00DE5C7B" w:rsidP="00B4211E">
    <w:pPr>
      <w:pStyle w:val="Header"/>
    </w:pPr>
    <w:r>
      <w:rPr>
        <w:noProof/>
      </w:rPr>
      <mc:AlternateContent>
        <mc:Choice Requires="wps">
          <w:drawing>
            <wp:anchor distT="0" distB="0" distL="114300" distR="114300" simplePos="0" relativeHeight="251658242" behindDoc="0" locked="0" layoutInCell="1" allowOverlap="1" wp14:anchorId="6BBCA760" wp14:editId="79A7F65D">
              <wp:simplePos x="0" y="0"/>
              <wp:positionH relativeFrom="column">
                <wp:posOffset>4318635</wp:posOffset>
              </wp:positionH>
              <wp:positionV relativeFrom="paragraph">
                <wp:posOffset>-161924</wp:posOffset>
              </wp:positionV>
              <wp:extent cx="2162004" cy="1066800"/>
              <wp:effectExtent l="0" t="0" r="10160" b="19050"/>
              <wp:wrapNone/>
              <wp:docPr id="2" name="Text Box 2"/>
              <wp:cNvGraphicFramePr/>
              <a:graphic xmlns:a="http://schemas.openxmlformats.org/drawingml/2006/main">
                <a:graphicData uri="http://schemas.microsoft.com/office/word/2010/wordprocessingShape">
                  <wps:wsp>
                    <wps:cNvSpPr txBox="1"/>
                    <wps:spPr>
                      <a:xfrm>
                        <a:off x="0" y="0"/>
                        <a:ext cx="2162004" cy="1066800"/>
                      </a:xfrm>
                      <a:prstGeom prst="rect">
                        <a:avLst/>
                      </a:prstGeom>
                      <a:solidFill>
                        <a:schemeClr val="lt1"/>
                      </a:solidFill>
                      <a:ln w="6350">
                        <a:solidFill>
                          <a:prstClr val="black"/>
                        </a:solidFill>
                      </a:ln>
                    </wps:spPr>
                    <wps:txbx>
                      <w:txbxContent>
                        <w:p w14:paraId="2FA69C5A" w14:textId="77777777" w:rsidR="00DE5C7B" w:rsidRPr="00A07405" w:rsidRDefault="00DE5C7B" w:rsidP="005F0BD9">
                          <w:pPr>
                            <w:pStyle w:val="Header"/>
                            <w:rPr>
                              <w:b/>
                              <w:bCs/>
                            </w:rPr>
                          </w:pPr>
                          <w:r w:rsidRPr="00A07405">
                            <w:rPr>
                              <w:b/>
                              <w:bCs/>
                            </w:rPr>
                            <w:t>Our Watch Limited</w:t>
                          </w:r>
                        </w:p>
                        <w:p w14:paraId="25C8FE0A" w14:textId="77777777" w:rsidR="00DE5C7B" w:rsidRDefault="00DE5C7B" w:rsidP="005F0BD9">
                          <w:pPr>
                            <w:pStyle w:val="Header"/>
                          </w:pPr>
                          <w:r>
                            <w:t>GPO Box 23229 Melbourne VIC 3012</w:t>
                          </w:r>
                        </w:p>
                        <w:p w14:paraId="2AC69B34" w14:textId="77777777" w:rsidR="00DE5C7B" w:rsidRDefault="00DE5C7B" w:rsidP="005F0BD9">
                          <w:pPr>
                            <w:pStyle w:val="Header"/>
                          </w:pPr>
                        </w:p>
                        <w:p w14:paraId="203CDE01" w14:textId="77777777" w:rsidR="00DE5C7B" w:rsidRDefault="00DE5C7B" w:rsidP="005F0BD9">
                          <w:pPr>
                            <w:pStyle w:val="Header"/>
                          </w:pPr>
                          <w:r>
                            <w:t>Phone: 03 8692 9500</w:t>
                          </w:r>
                        </w:p>
                        <w:p w14:paraId="5A1D841C" w14:textId="77777777" w:rsidR="00DE5C7B" w:rsidRDefault="00215F6B" w:rsidP="005F0BD9">
                          <w:pPr>
                            <w:pStyle w:val="Header"/>
                          </w:pPr>
                          <w:hyperlink r:id="rId1" w:history="1">
                            <w:r w:rsidR="00DE5C7B" w:rsidRPr="004C4DD1">
                              <w:rPr>
                                <w:rStyle w:val="Hyperlink"/>
                              </w:rPr>
                              <w:t>enquiries@ourwatch.org.au</w:t>
                            </w:r>
                          </w:hyperlink>
                        </w:p>
                        <w:p w14:paraId="39620568" w14:textId="77777777" w:rsidR="00DE5C7B" w:rsidRPr="00A07405" w:rsidRDefault="00215F6B" w:rsidP="005F0BD9">
                          <w:pPr>
                            <w:pStyle w:val="Header"/>
                            <w:rPr>
                              <w:rStyle w:val="Hyperlink"/>
                            </w:rPr>
                          </w:pPr>
                          <w:hyperlink r:id="rId2" w:history="1">
                            <w:r w:rsidR="00DE5C7B" w:rsidRPr="00616806">
                              <w:rPr>
                                <w:rStyle w:val="Hyperlink"/>
                              </w:rPr>
                              <w:t>ourwatch.org.au</w:t>
                            </w:r>
                          </w:hyperlink>
                        </w:p>
                        <w:p w14:paraId="00763B74" w14:textId="77777777" w:rsidR="00DE5C7B" w:rsidRDefault="00DE5C7B" w:rsidP="005F0BD9">
                          <w:pPr>
                            <w:pStyle w:val="Header"/>
                          </w:pPr>
                          <w:r>
                            <w:t>ABN 60 164 123 844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v:shapetype id="_x0000_t202" coordsize="21600,21600" o:spt="202" path="m,l,21600r21600,l21600,xe" w14:anchorId="6BBCA760">
              <v:stroke joinstyle="miter"/>
              <v:path gradientshapeok="t" o:connecttype="rect"/>
            </v:shapetype>
            <v:shape id="Text Box 2" style="position:absolute;margin-left:340.05pt;margin-top:-12.75pt;width:170.25pt;height: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">
              <v:textbox>
                <w:txbxContent>
                  <w:p w:rsidRPr="00A07405" w:rsidR="00DE5C7B" w:rsidP="005F0BD9" w:rsidRDefault="00DE5C7B" w14:paraId="2FA69C5A" w14:textId="77777777">
                    <w:pPr>
                      <w:pStyle w:val="Header"/>
                      <w:rPr>
                        <w:b/>
                        <w:bCs/>
                      </w:rPr>
                    </w:pPr>
                    <w:r w:rsidRPr="00A07405">
                      <w:rPr>
                        <w:b/>
                        <w:bCs/>
                      </w:rPr>
                      <w:t>Our Watch Limited</w:t>
                    </w:r>
                  </w:p>
                  <w:p w:rsidR="00DE5C7B" w:rsidP="005F0BD9" w:rsidRDefault="00DE5C7B" w14:paraId="25C8FE0A" w14:textId="77777777">
                    <w:pPr>
                      <w:pStyle w:val="Header"/>
                    </w:pPr>
                    <w:r>
                      <w:t>GPO Box 23229 Melbourne VIC 3012</w:t>
                    </w:r>
                  </w:p>
                  <w:p w:rsidR="00DE5C7B" w:rsidP="005F0BD9" w:rsidRDefault="00DE5C7B" w14:paraId="2AC69B34" w14:textId="77777777">
                    <w:pPr>
                      <w:pStyle w:val="Header"/>
                    </w:pPr>
                  </w:p>
                  <w:p w:rsidR="00DE5C7B" w:rsidP="005F0BD9" w:rsidRDefault="00DE5C7B" w14:paraId="203CDE01" w14:textId="77777777">
                    <w:pPr>
                      <w:pStyle w:val="Header"/>
                    </w:pPr>
                    <w:r>
                      <w:t>Phone: 03 8692 9500</w:t>
                    </w:r>
                  </w:p>
                  <w:p w:rsidR="00DE5C7B" w:rsidP="005F0BD9" w:rsidRDefault="00181797" w14:paraId="5A1D841C" w14:textId="77777777">
                    <w:pPr>
                      <w:pStyle w:val="Header"/>
                    </w:pPr>
                    <w:hyperlink w:history="1" r:id="rId3">
                      <w:r w:rsidRPr="004C4DD1" w:rsidR="00DE5C7B">
                        <w:rPr>
                          <w:rStyle w:val="Hyperlink"/>
                        </w:rPr>
                        <w:t>enquiries@ourwatch.org.au</w:t>
                      </w:r>
                    </w:hyperlink>
                  </w:p>
                  <w:p w:rsidRPr="00A07405" w:rsidR="00DE5C7B" w:rsidP="005F0BD9" w:rsidRDefault="00181797" w14:paraId="39620568" w14:textId="77777777">
                    <w:pPr>
                      <w:pStyle w:val="Header"/>
                      <w:rPr>
                        <w:rStyle w:val="Hyperlink"/>
                      </w:rPr>
                    </w:pPr>
                    <w:hyperlink w:history="1" r:id="rId4">
                      <w:r w:rsidRPr="00616806" w:rsidR="00DE5C7B">
                        <w:rPr>
                          <w:rStyle w:val="Hyperlink"/>
                        </w:rPr>
                        <w:t>ourwatch.org.au</w:t>
                      </w:r>
                    </w:hyperlink>
                  </w:p>
                  <w:p w:rsidR="00DE5C7B" w:rsidP="005F0BD9" w:rsidRDefault="00DE5C7B" w14:paraId="00763B74" w14:textId="77777777">
                    <w:pPr>
                      <w:pStyle w:val="Header"/>
                    </w:pPr>
                    <w:r>
                      <w:t>ABN 60 164 123 844</w:t>
                    </w:r>
                  </w:p>
                </w:txbxContent>
              </v:textbox>
            </v:shape>
          </w:pict>
        </mc:Fallback>
      </mc:AlternateContent>
    </w:r>
    <w:r w:rsidRPr="00313324">
      <w:rPr>
        <w:noProof/>
      </w:rPr>
      <w:drawing>
        <wp:anchor distT="0" distB="0" distL="114300" distR="114300" simplePos="0" relativeHeight="251658240" behindDoc="1" locked="1" layoutInCell="1" allowOverlap="1" wp14:anchorId="7AD455CF" wp14:editId="3EECCD27">
          <wp:simplePos x="0" y="0"/>
          <wp:positionH relativeFrom="leftMargin">
            <wp:posOffset>467995</wp:posOffset>
          </wp:positionH>
          <wp:positionV relativeFrom="page">
            <wp:align>top</wp:align>
          </wp:positionV>
          <wp:extent cx="2138400" cy="2044800"/>
          <wp:effectExtent l="0" t="0" r="0" b="0"/>
          <wp:wrapNone/>
          <wp:docPr id="4" name="Picture 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3A60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22D4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6867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386C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82AD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5450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29B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F6D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D4D7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726C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206D2"/>
    <w:multiLevelType w:val="multilevel"/>
    <w:tmpl w:val="012C31A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63E52"/>
    <w:multiLevelType w:val="hybridMultilevel"/>
    <w:tmpl w:val="66A65138"/>
    <w:lvl w:ilvl="0" w:tplc="547EF876">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35551"/>
    <w:multiLevelType w:val="hybridMultilevel"/>
    <w:tmpl w:val="2820AB4C"/>
    <w:lvl w:ilvl="0" w:tplc="1DE075B2">
      <w:start w:val="1"/>
      <w:numFmt w:val="bullet"/>
      <w:lvlText w:val=""/>
      <w:lvlJc w:val="left"/>
      <w:pPr>
        <w:ind w:left="720" w:hanging="360"/>
      </w:pPr>
      <w:rPr>
        <w:rFonts w:ascii="Symbol" w:hAnsi="Symbol" w:hint="default"/>
      </w:rPr>
    </w:lvl>
    <w:lvl w:ilvl="1" w:tplc="C2ACDD16">
      <w:start w:val="1"/>
      <w:numFmt w:val="bullet"/>
      <w:lvlText w:val="o"/>
      <w:lvlJc w:val="left"/>
      <w:pPr>
        <w:ind w:left="1440" w:hanging="360"/>
      </w:pPr>
      <w:rPr>
        <w:rFonts w:ascii="Courier New" w:hAnsi="Courier New" w:hint="default"/>
      </w:rPr>
    </w:lvl>
    <w:lvl w:ilvl="2" w:tplc="1AF23958">
      <w:start w:val="1"/>
      <w:numFmt w:val="bullet"/>
      <w:lvlText w:val=""/>
      <w:lvlJc w:val="left"/>
      <w:pPr>
        <w:ind w:left="2160" w:hanging="360"/>
      </w:pPr>
      <w:rPr>
        <w:rFonts w:ascii="Wingdings" w:hAnsi="Wingdings" w:hint="default"/>
      </w:rPr>
    </w:lvl>
    <w:lvl w:ilvl="3" w:tplc="35EE767A">
      <w:start w:val="1"/>
      <w:numFmt w:val="bullet"/>
      <w:lvlText w:val=""/>
      <w:lvlJc w:val="left"/>
      <w:pPr>
        <w:ind w:left="2880" w:hanging="360"/>
      </w:pPr>
      <w:rPr>
        <w:rFonts w:ascii="Symbol" w:hAnsi="Symbol" w:hint="default"/>
      </w:rPr>
    </w:lvl>
    <w:lvl w:ilvl="4" w:tplc="C46CF3DE">
      <w:start w:val="1"/>
      <w:numFmt w:val="bullet"/>
      <w:lvlText w:val="o"/>
      <w:lvlJc w:val="left"/>
      <w:pPr>
        <w:ind w:left="3600" w:hanging="360"/>
      </w:pPr>
      <w:rPr>
        <w:rFonts w:ascii="Courier New" w:hAnsi="Courier New" w:hint="default"/>
      </w:rPr>
    </w:lvl>
    <w:lvl w:ilvl="5" w:tplc="34F292C6">
      <w:start w:val="1"/>
      <w:numFmt w:val="bullet"/>
      <w:lvlText w:val=""/>
      <w:lvlJc w:val="left"/>
      <w:pPr>
        <w:ind w:left="4320" w:hanging="360"/>
      </w:pPr>
      <w:rPr>
        <w:rFonts w:ascii="Wingdings" w:hAnsi="Wingdings" w:hint="default"/>
      </w:rPr>
    </w:lvl>
    <w:lvl w:ilvl="6" w:tplc="259E87FA">
      <w:start w:val="1"/>
      <w:numFmt w:val="bullet"/>
      <w:lvlText w:val=""/>
      <w:lvlJc w:val="left"/>
      <w:pPr>
        <w:ind w:left="5040" w:hanging="360"/>
      </w:pPr>
      <w:rPr>
        <w:rFonts w:ascii="Symbol" w:hAnsi="Symbol" w:hint="default"/>
      </w:rPr>
    </w:lvl>
    <w:lvl w:ilvl="7" w:tplc="F2DC878E">
      <w:start w:val="1"/>
      <w:numFmt w:val="bullet"/>
      <w:lvlText w:val="o"/>
      <w:lvlJc w:val="left"/>
      <w:pPr>
        <w:ind w:left="5760" w:hanging="360"/>
      </w:pPr>
      <w:rPr>
        <w:rFonts w:ascii="Courier New" w:hAnsi="Courier New" w:hint="default"/>
      </w:rPr>
    </w:lvl>
    <w:lvl w:ilvl="8" w:tplc="B46E54F8">
      <w:start w:val="1"/>
      <w:numFmt w:val="bullet"/>
      <w:lvlText w:val=""/>
      <w:lvlJc w:val="left"/>
      <w:pPr>
        <w:ind w:left="6480" w:hanging="360"/>
      </w:pPr>
      <w:rPr>
        <w:rFonts w:ascii="Wingdings" w:hAnsi="Wingdings" w:hint="default"/>
      </w:rPr>
    </w:lvl>
  </w:abstractNum>
  <w:abstractNum w:abstractNumId="13" w15:restartNumberingAfterBreak="0">
    <w:nsid w:val="3F931C4F"/>
    <w:multiLevelType w:val="multilevel"/>
    <w:tmpl w:val="DF3C822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DE6A89"/>
    <w:multiLevelType w:val="hybridMultilevel"/>
    <w:tmpl w:val="9A24D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7A05BA"/>
    <w:multiLevelType w:val="hybridMultilevel"/>
    <w:tmpl w:val="C1D2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D9BA00"/>
    <w:multiLevelType w:val="hybridMultilevel"/>
    <w:tmpl w:val="334EC92C"/>
    <w:lvl w:ilvl="0" w:tplc="449C7E54">
      <w:start w:val="1"/>
      <w:numFmt w:val="bullet"/>
      <w:lvlText w:val=""/>
      <w:lvlJc w:val="left"/>
      <w:pPr>
        <w:ind w:left="720" w:hanging="360"/>
      </w:pPr>
      <w:rPr>
        <w:rFonts w:ascii="Symbol" w:hAnsi="Symbol" w:hint="default"/>
      </w:rPr>
    </w:lvl>
    <w:lvl w:ilvl="1" w:tplc="D6E6CA4C">
      <w:start w:val="1"/>
      <w:numFmt w:val="bullet"/>
      <w:lvlText w:val="o"/>
      <w:lvlJc w:val="left"/>
      <w:pPr>
        <w:ind w:left="1440" w:hanging="360"/>
      </w:pPr>
      <w:rPr>
        <w:rFonts w:ascii="Courier New" w:hAnsi="Courier New" w:hint="default"/>
      </w:rPr>
    </w:lvl>
    <w:lvl w:ilvl="2" w:tplc="418054E8">
      <w:start w:val="1"/>
      <w:numFmt w:val="bullet"/>
      <w:lvlText w:val=""/>
      <w:lvlJc w:val="left"/>
      <w:pPr>
        <w:ind w:left="2160" w:hanging="360"/>
      </w:pPr>
      <w:rPr>
        <w:rFonts w:ascii="Wingdings" w:hAnsi="Wingdings" w:hint="default"/>
      </w:rPr>
    </w:lvl>
    <w:lvl w:ilvl="3" w:tplc="B1FC965A">
      <w:start w:val="1"/>
      <w:numFmt w:val="bullet"/>
      <w:lvlText w:val=""/>
      <w:lvlJc w:val="left"/>
      <w:pPr>
        <w:ind w:left="2880" w:hanging="360"/>
      </w:pPr>
      <w:rPr>
        <w:rFonts w:ascii="Symbol" w:hAnsi="Symbol" w:hint="default"/>
      </w:rPr>
    </w:lvl>
    <w:lvl w:ilvl="4" w:tplc="606C7078">
      <w:start w:val="1"/>
      <w:numFmt w:val="bullet"/>
      <w:lvlText w:val="o"/>
      <w:lvlJc w:val="left"/>
      <w:pPr>
        <w:ind w:left="3600" w:hanging="360"/>
      </w:pPr>
      <w:rPr>
        <w:rFonts w:ascii="Courier New" w:hAnsi="Courier New" w:hint="default"/>
      </w:rPr>
    </w:lvl>
    <w:lvl w:ilvl="5" w:tplc="1952BC80">
      <w:start w:val="1"/>
      <w:numFmt w:val="bullet"/>
      <w:lvlText w:val=""/>
      <w:lvlJc w:val="left"/>
      <w:pPr>
        <w:ind w:left="4320" w:hanging="360"/>
      </w:pPr>
      <w:rPr>
        <w:rFonts w:ascii="Wingdings" w:hAnsi="Wingdings" w:hint="default"/>
      </w:rPr>
    </w:lvl>
    <w:lvl w:ilvl="6" w:tplc="07AE1FB4">
      <w:start w:val="1"/>
      <w:numFmt w:val="bullet"/>
      <w:lvlText w:val=""/>
      <w:lvlJc w:val="left"/>
      <w:pPr>
        <w:ind w:left="5040" w:hanging="360"/>
      </w:pPr>
      <w:rPr>
        <w:rFonts w:ascii="Symbol" w:hAnsi="Symbol" w:hint="default"/>
      </w:rPr>
    </w:lvl>
    <w:lvl w:ilvl="7" w:tplc="839A40CC">
      <w:start w:val="1"/>
      <w:numFmt w:val="bullet"/>
      <w:lvlText w:val="o"/>
      <w:lvlJc w:val="left"/>
      <w:pPr>
        <w:ind w:left="5760" w:hanging="360"/>
      </w:pPr>
      <w:rPr>
        <w:rFonts w:ascii="Courier New" w:hAnsi="Courier New" w:hint="default"/>
      </w:rPr>
    </w:lvl>
    <w:lvl w:ilvl="8" w:tplc="30CEAD4A">
      <w:start w:val="1"/>
      <w:numFmt w:val="bullet"/>
      <w:lvlText w:val=""/>
      <w:lvlJc w:val="left"/>
      <w:pPr>
        <w:ind w:left="6480" w:hanging="360"/>
      </w:pPr>
      <w:rPr>
        <w:rFonts w:ascii="Wingdings" w:hAnsi="Wingdings" w:hint="default"/>
      </w:rPr>
    </w:lvl>
  </w:abstractNum>
  <w:abstractNum w:abstractNumId="17" w15:restartNumberingAfterBreak="0">
    <w:nsid w:val="68D3A279"/>
    <w:multiLevelType w:val="hybridMultilevel"/>
    <w:tmpl w:val="239A541C"/>
    <w:lvl w:ilvl="0" w:tplc="4DB46318">
      <w:start w:val="1"/>
      <w:numFmt w:val="bullet"/>
      <w:lvlText w:val=""/>
      <w:lvlJc w:val="left"/>
      <w:pPr>
        <w:ind w:left="720" w:hanging="360"/>
      </w:pPr>
      <w:rPr>
        <w:rFonts w:ascii="Symbol" w:hAnsi="Symbol" w:hint="default"/>
      </w:rPr>
    </w:lvl>
    <w:lvl w:ilvl="1" w:tplc="F836E552">
      <w:start w:val="1"/>
      <w:numFmt w:val="bullet"/>
      <w:lvlText w:val="o"/>
      <w:lvlJc w:val="left"/>
      <w:pPr>
        <w:ind w:left="1440" w:hanging="360"/>
      </w:pPr>
      <w:rPr>
        <w:rFonts w:ascii="Courier New" w:hAnsi="Courier New" w:hint="default"/>
      </w:rPr>
    </w:lvl>
    <w:lvl w:ilvl="2" w:tplc="032C1B3E">
      <w:start w:val="1"/>
      <w:numFmt w:val="bullet"/>
      <w:lvlText w:val=""/>
      <w:lvlJc w:val="left"/>
      <w:pPr>
        <w:ind w:left="2160" w:hanging="360"/>
      </w:pPr>
      <w:rPr>
        <w:rFonts w:ascii="Wingdings" w:hAnsi="Wingdings" w:hint="default"/>
      </w:rPr>
    </w:lvl>
    <w:lvl w:ilvl="3" w:tplc="86420440">
      <w:start w:val="1"/>
      <w:numFmt w:val="bullet"/>
      <w:lvlText w:val=""/>
      <w:lvlJc w:val="left"/>
      <w:pPr>
        <w:ind w:left="2880" w:hanging="360"/>
      </w:pPr>
      <w:rPr>
        <w:rFonts w:ascii="Symbol" w:hAnsi="Symbol" w:hint="default"/>
      </w:rPr>
    </w:lvl>
    <w:lvl w:ilvl="4" w:tplc="44B8C86A">
      <w:start w:val="1"/>
      <w:numFmt w:val="bullet"/>
      <w:lvlText w:val="o"/>
      <w:lvlJc w:val="left"/>
      <w:pPr>
        <w:ind w:left="3600" w:hanging="360"/>
      </w:pPr>
      <w:rPr>
        <w:rFonts w:ascii="Courier New" w:hAnsi="Courier New" w:hint="default"/>
      </w:rPr>
    </w:lvl>
    <w:lvl w:ilvl="5" w:tplc="049875D0">
      <w:start w:val="1"/>
      <w:numFmt w:val="bullet"/>
      <w:lvlText w:val=""/>
      <w:lvlJc w:val="left"/>
      <w:pPr>
        <w:ind w:left="4320" w:hanging="360"/>
      </w:pPr>
      <w:rPr>
        <w:rFonts w:ascii="Wingdings" w:hAnsi="Wingdings" w:hint="default"/>
      </w:rPr>
    </w:lvl>
    <w:lvl w:ilvl="6" w:tplc="3AECF6C6">
      <w:start w:val="1"/>
      <w:numFmt w:val="bullet"/>
      <w:lvlText w:val=""/>
      <w:lvlJc w:val="left"/>
      <w:pPr>
        <w:ind w:left="5040" w:hanging="360"/>
      </w:pPr>
      <w:rPr>
        <w:rFonts w:ascii="Symbol" w:hAnsi="Symbol" w:hint="default"/>
      </w:rPr>
    </w:lvl>
    <w:lvl w:ilvl="7" w:tplc="A4BEA5C2">
      <w:start w:val="1"/>
      <w:numFmt w:val="bullet"/>
      <w:lvlText w:val="o"/>
      <w:lvlJc w:val="left"/>
      <w:pPr>
        <w:ind w:left="5760" w:hanging="360"/>
      </w:pPr>
      <w:rPr>
        <w:rFonts w:ascii="Courier New" w:hAnsi="Courier New" w:hint="default"/>
      </w:rPr>
    </w:lvl>
    <w:lvl w:ilvl="8" w:tplc="A9D617FC">
      <w:start w:val="1"/>
      <w:numFmt w:val="bullet"/>
      <w:lvlText w:val=""/>
      <w:lvlJc w:val="left"/>
      <w:pPr>
        <w:ind w:left="6480" w:hanging="360"/>
      </w:pPr>
      <w:rPr>
        <w:rFonts w:ascii="Wingdings" w:hAnsi="Wingdings" w:hint="default"/>
      </w:rPr>
    </w:lvl>
  </w:abstractNum>
  <w:abstractNum w:abstractNumId="18" w15:restartNumberingAfterBreak="0">
    <w:nsid w:val="6CA8266B"/>
    <w:multiLevelType w:val="hybridMultilevel"/>
    <w:tmpl w:val="28824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9046230">
    <w:abstractNumId w:val="11"/>
  </w:num>
  <w:num w:numId="2" w16cid:durableId="1731923966">
    <w:abstractNumId w:val="10"/>
  </w:num>
  <w:num w:numId="3" w16cid:durableId="1046023255">
    <w:abstractNumId w:val="8"/>
  </w:num>
  <w:num w:numId="4" w16cid:durableId="1551065729">
    <w:abstractNumId w:val="3"/>
  </w:num>
  <w:num w:numId="5" w16cid:durableId="651176553">
    <w:abstractNumId w:val="0"/>
  </w:num>
  <w:num w:numId="6" w16cid:durableId="484857147">
    <w:abstractNumId w:val="1"/>
  </w:num>
  <w:num w:numId="7" w16cid:durableId="1715276474">
    <w:abstractNumId w:val="2"/>
  </w:num>
  <w:num w:numId="8" w16cid:durableId="776483117">
    <w:abstractNumId w:val="4"/>
  </w:num>
  <w:num w:numId="9" w16cid:durableId="1636370022">
    <w:abstractNumId w:val="5"/>
  </w:num>
  <w:num w:numId="10" w16cid:durableId="40905775">
    <w:abstractNumId w:val="6"/>
  </w:num>
  <w:num w:numId="11" w16cid:durableId="1989556895">
    <w:abstractNumId w:val="7"/>
  </w:num>
  <w:num w:numId="12" w16cid:durableId="1784881790">
    <w:abstractNumId w:val="9"/>
  </w:num>
  <w:num w:numId="13" w16cid:durableId="290214143">
    <w:abstractNumId w:val="0"/>
  </w:num>
  <w:num w:numId="14" w16cid:durableId="1370765791">
    <w:abstractNumId w:val="1"/>
  </w:num>
  <w:num w:numId="15" w16cid:durableId="1634940016">
    <w:abstractNumId w:val="2"/>
  </w:num>
  <w:num w:numId="16" w16cid:durableId="688608893">
    <w:abstractNumId w:val="4"/>
  </w:num>
  <w:num w:numId="17" w16cid:durableId="165246795">
    <w:abstractNumId w:val="5"/>
  </w:num>
  <w:num w:numId="18" w16cid:durableId="1394693747">
    <w:abstractNumId w:val="6"/>
  </w:num>
  <w:num w:numId="19" w16cid:durableId="1334062576">
    <w:abstractNumId w:val="7"/>
  </w:num>
  <w:num w:numId="20" w16cid:durableId="81146908">
    <w:abstractNumId w:val="9"/>
  </w:num>
  <w:num w:numId="21" w16cid:durableId="2046516910">
    <w:abstractNumId w:val="0"/>
  </w:num>
  <w:num w:numId="22" w16cid:durableId="542062508">
    <w:abstractNumId w:val="1"/>
  </w:num>
  <w:num w:numId="23" w16cid:durableId="1990017937">
    <w:abstractNumId w:val="2"/>
  </w:num>
  <w:num w:numId="24" w16cid:durableId="1183016020">
    <w:abstractNumId w:val="4"/>
  </w:num>
  <w:num w:numId="25" w16cid:durableId="828402501">
    <w:abstractNumId w:val="5"/>
  </w:num>
  <w:num w:numId="26" w16cid:durableId="23600188">
    <w:abstractNumId w:val="6"/>
  </w:num>
  <w:num w:numId="27" w16cid:durableId="1792894011">
    <w:abstractNumId w:val="7"/>
  </w:num>
  <w:num w:numId="28" w16cid:durableId="1791825853">
    <w:abstractNumId w:val="9"/>
  </w:num>
  <w:num w:numId="29" w16cid:durableId="1281449627">
    <w:abstractNumId w:val="0"/>
  </w:num>
  <w:num w:numId="30" w16cid:durableId="1101728019">
    <w:abstractNumId w:val="1"/>
  </w:num>
  <w:num w:numId="31" w16cid:durableId="1123693589">
    <w:abstractNumId w:val="2"/>
  </w:num>
  <w:num w:numId="32" w16cid:durableId="609556781">
    <w:abstractNumId w:val="4"/>
  </w:num>
  <w:num w:numId="33" w16cid:durableId="1156459053">
    <w:abstractNumId w:val="5"/>
  </w:num>
  <w:num w:numId="34" w16cid:durableId="1523284052">
    <w:abstractNumId w:val="6"/>
  </w:num>
  <w:num w:numId="35" w16cid:durableId="1385834939">
    <w:abstractNumId w:val="7"/>
  </w:num>
  <w:num w:numId="36" w16cid:durableId="1438328842">
    <w:abstractNumId w:val="9"/>
  </w:num>
  <w:num w:numId="37" w16cid:durableId="589234908">
    <w:abstractNumId w:val="18"/>
  </w:num>
  <w:num w:numId="38" w16cid:durableId="1418601463">
    <w:abstractNumId w:val="15"/>
  </w:num>
  <w:num w:numId="39" w16cid:durableId="2058822220">
    <w:abstractNumId w:val="13"/>
  </w:num>
  <w:num w:numId="40" w16cid:durableId="1036195652">
    <w:abstractNumId w:val="12"/>
  </w:num>
  <w:num w:numId="41" w16cid:durableId="823279645">
    <w:abstractNumId w:val="17"/>
  </w:num>
  <w:num w:numId="42" w16cid:durableId="1474180838">
    <w:abstractNumId w:val="16"/>
  </w:num>
  <w:num w:numId="43" w16cid:durableId="100994072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5DD"/>
    <w:rsid w:val="000002B2"/>
    <w:rsid w:val="000015F3"/>
    <w:rsid w:val="00002AE0"/>
    <w:rsid w:val="00003942"/>
    <w:rsid w:val="00003FBF"/>
    <w:rsid w:val="000042CB"/>
    <w:rsid w:val="000048CD"/>
    <w:rsid w:val="00005804"/>
    <w:rsid w:val="00011300"/>
    <w:rsid w:val="0001432D"/>
    <w:rsid w:val="00015C53"/>
    <w:rsid w:val="00015E9B"/>
    <w:rsid w:val="00015F18"/>
    <w:rsid w:val="000178EB"/>
    <w:rsid w:val="00021EC4"/>
    <w:rsid w:val="000230BA"/>
    <w:rsid w:val="00023664"/>
    <w:rsid w:val="00024B05"/>
    <w:rsid w:val="00025FA1"/>
    <w:rsid w:val="00026B32"/>
    <w:rsid w:val="00027F4D"/>
    <w:rsid w:val="00030029"/>
    <w:rsid w:val="0003030A"/>
    <w:rsid w:val="00032016"/>
    <w:rsid w:val="00033DB4"/>
    <w:rsid w:val="00034B40"/>
    <w:rsid w:val="000357D8"/>
    <w:rsid w:val="00035FC3"/>
    <w:rsid w:val="000367DA"/>
    <w:rsid w:val="00036897"/>
    <w:rsid w:val="00037384"/>
    <w:rsid w:val="00041DB8"/>
    <w:rsid w:val="000447D1"/>
    <w:rsid w:val="00044F9C"/>
    <w:rsid w:val="00046E11"/>
    <w:rsid w:val="0005087F"/>
    <w:rsid w:val="000510D1"/>
    <w:rsid w:val="00051A58"/>
    <w:rsid w:val="00057676"/>
    <w:rsid w:val="0006054B"/>
    <w:rsid w:val="000614A7"/>
    <w:rsid w:val="00062084"/>
    <w:rsid w:val="0006230B"/>
    <w:rsid w:val="00062E83"/>
    <w:rsid w:val="00063C4B"/>
    <w:rsid w:val="00064437"/>
    <w:rsid w:val="00065B1A"/>
    <w:rsid w:val="000664FF"/>
    <w:rsid w:val="00067619"/>
    <w:rsid w:val="00072977"/>
    <w:rsid w:val="000729B9"/>
    <w:rsid w:val="0007315F"/>
    <w:rsid w:val="0007337D"/>
    <w:rsid w:val="00073D84"/>
    <w:rsid w:val="00074D2B"/>
    <w:rsid w:val="00077A8E"/>
    <w:rsid w:val="00080B58"/>
    <w:rsid w:val="00081798"/>
    <w:rsid w:val="000826FC"/>
    <w:rsid w:val="000855CB"/>
    <w:rsid w:val="000856A3"/>
    <w:rsid w:val="00090746"/>
    <w:rsid w:val="00090C41"/>
    <w:rsid w:val="000910E2"/>
    <w:rsid w:val="00091C41"/>
    <w:rsid w:val="0009205F"/>
    <w:rsid w:val="000945B7"/>
    <w:rsid w:val="0009593A"/>
    <w:rsid w:val="00097900"/>
    <w:rsid w:val="000A0342"/>
    <w:rsid w:val="000A6DF7"/>
    <w:rsid w:val="000A74E0"/>
    <w:rsid w:val="000A7518"/>
    <w:rsid w:val="000A79DB"/>
    <w:rsid w:val="000B2241"/>
    <w:rsid w:val="000B2C35"/>
    <w:rsid w:val="000B49DD"/>
    <w:rsid w:val="000B5E2C"/>
    <w:rsid w:val="000B787D"/>
    <w:rsid w:val="000C0AA5"/>
    <w:rsid w:val="000C1240"/>
    <w:rsid w:val="000C16AB"/>
    <w:rsid w:val="000C7B6C"/>
    <w:rsid w:val="000D04E9"/>
    <w:rsid w:val="000D05B7"/>
    <w:rsid w:val="000D0D78"/>
    <w:rsid w:val="000D1044"/>
    <w:rsid w:val="000D10E0"/>
    <w:rsid w:val="000D3021"/>
    <w:rsid w:val="000D414D"/>
    <w:rsid w:val="000D4419"/>
    <w:rsid w:val="000D764E"/>
    <w:rsid w:val="000E0E42"/>
    <w:rsid w:val="000E130D"/>
    <w:rsid w:val="000E245E"/>
    <w:rsid w:val="000E3A9E"/>
    <w:rsid w:val="000E6C39"/>
    <w:rsid w:val="000F071E"/>
    <w:rsid w:val="000F3922"/>
    <w:rsid w:val="000F447C"/>
    <w:rsid w:val="000F53B0"/>
    <w:rsid w:val="000F5587"/>
    <w:rsid w:val="000F6530"/>
    <w:rsid w:val="000F6F21"/>
    <w:rsid w:val="00103191"/>
    <w:rsid w:val="00105CE3"/>
    <w:rsid w:val="001068DD"/>
    <w:rsid w:val="0010716C"/>
    <w:rsid w:val="00107A2A"/>
    <w:rsid w:val="00110693"/>
    <w:rsid w:val="00110ED7"/>
    <w:rsid w:val="0011418E"/>
    <w:rsid w:val="001143C2"/>
    <w:rsid w:val="00115E73"/>
    <w:rsid w:val="00116C3F"/>
    <w:rsid w:val="00117421"/>
    <w:rsid w:val="00121381"/>
    <w:rsid w:val="00122D49"/>
    <w:rsid w:val="00123B51"/>
    <w:rsid w:val="00126CAE"/>
    <w:rsid w:val="00127136"/>
    <w:rsid w:val="00131B49"/>
    <w:rsid w:val="00134870"/>
    <w:rsid w:val="001354E9"/>
    <w:rsid w:val="00136DB7"/>
    <w:rsid w:val="001371F7"/>
    <w:rsid w:val="00142223"/>
    <w:rsid w:val="00143B9E"/>
    <w:rsid w:val="00144372"/>
    <w:rsid w:val="00146A2C"/>
    <w:rsid w:val="00146C19"/>
    <w:rsid w:val="001503BF"/>
    <w:rsid w:val="00150719"/>
    <w:rsid w:val="001516DC"/>
    <w:rsid w:val="001531B5"/>
    <w:rsid w:val="0015331C"/>
    <w:rsid w:val="0015335A"/>
    <w:rsid w:val="0015425B"/>
    <w:rsid w:val="00155D95"/>
    <w:rsid w:val="00160316"/>
    <w:rsid w:val="00161FF1"/>
    <w:rsid w:val="00162228"/>
    <w:rsid w:val="001637AA"/>
    <w:rsid w:val="001668B7"/>
    <w:rsid w:val="00166E6D"/>
    <w:rsid w:val="00170ACD"/>
    <w:rsid w:val="0017153D"/>
    <w:rsid w:val="00172E10"/>
    <w:rsid w:val="00174009"/>
    <w:rsid w:val="001741B9"/>
    <w:rsid w:val="00174919"/>
    <w:rsid w:val="00175D88"/>
    <w:rsid w:val="001814A6"/>
    <w:rsid w:val="00181797"/>
    <w:rsid w:val="00181C51"/>
    <w:rsid w:val="001820FE"/>
    <w:rsid w:val="001821C9"/>
    <w:rsid w:val="0018448B"/>
    <w:rsid w:val="0018485F"/>
    <w:rsid w:val="0018502E"/>
    <w:rsid w:val="001850EF"/>
    <w:rsid w:val="001858AE"/>
    <w:rsid w:val="00186E14"/>
    <w:rsid w:val="00191AFE"/>
    <w:rsid w:val="00191D19"/>
    <w:rsid w:val="001933A1"/>
    <w:rsid w:val="00195922"/>
    <w:rsid w:val="001968ED"/>
    <w:rsid w:val="00196C7D"/>
    <w:rsid w:val="00196F91"/>
    <w:rsid w:val="00197AC5"/>
    <w:rsid w:val="001B11E0"/>
    <w:rsid w:val="001B137D"/>
    <w:rsid w:val="001B1463"/>
    <w:rsid w:val="001B26AC"/>
    <w:rsid w:val="001B3E28"/>
    <w:rsid w:val="001B798E"/>
    <w:rsid w:val="001C121F"/>
    <w:rsid w:val="001C1BC8"/>
    <w:rsid w:val="001C1D55"/>
    <w:rsid w:val="001C28BB"/>
    <w:rsid w:val="001C3F0C"/>
    <w:rsid w:val="001C4F9D"/>
    <w:rsid w:val="001C5973"/>
    <w:rsid w:val="001C643B"/>
    <w:rsid w:val="001C7438"/>
    <w:rsid w:val="001C74FE"/>
    <w:rsid w:val="001D113B"/>
    <w:rsid w:val="001D402B"/>
    <w:rsid w:val="001D4C84"/>
    <w:rsid w:val="001D7331"/>
    <w:rsid w:val="001E000C"/>
    <w:rsid w:val="001E0DF5"/>
    <w:rsid w:val="001E1A51"/>
    <w:rsid w:val="001E336C"/>
    <w:rsid w:val="001E34BD"/>
    <w:rsid w:val="001E587A"/>
    <w:rsid w:val="001E598E"/>
    <w:rsid w:val="001E6C61"/>
    <w:rsid w:val="001E753E"/>
    <w:rsid w:val="001E7F12"/>
    <w:rsid w:val="001F04C3"/>
    <w:rsid w:val="001F0514"/>
    <w:rsid w:val="001F1408"/>
    <w:rsid w:val="001F14D6"/>
    <w:rsid w:val="001F3551"/>
    <w:rsid w:val="001F570B"/>
    <w:rsid w:val="001F5E89"/>
    <w:rsid w:val="001F74E2"/>
    <w:rsid w:val="00201271"/>
    <w:rsid w:val="00202834"/>
    <w:rsid w:val="00203EC7"/>
    <w:rsid w:val="00203F18"/>
    <w:rsid w:val="002042A0"/>
    <w:rsid w:val="002052C4"/>
    <w:rsid w:val="002100AA"/>
    <w:rsid w:val="00212E87"/>
    <w:rsid w:val="002131B4"/>
    <w:rsid w:val="00213F25"/>
    <w:rsid w:val="00215BE3"/>
    <w:rsid w:val="00215F6B"/>
    <w:rsid w:val="00216DAC"/>
    <w:rsid w:val="002174A0"/>
    <w:rsid w:val="002179F2"/>
    <w:rsid w:val="00217A97"/>
    <w:rsid w:val="002204AA"/>
    <w:rsid w:val="00220E42"/>
    <w:rsid w:val="002212F1"/>
    <w:rsid w:val="00221497"/>
    <w:rsid w:val="002219EC"/>
    <w:rsid w:val="00225412"/>
    <w:rsid w:val="00226F4E"/>
    <w:rsid w:val="00232C37"/>
    <w:rsid w:val="002353C1"/>
    <w:rsid w:val="002359A8"/>
    <w:rsid w:val="00240C4F"/>
    <w:rsid w:val="0024178B"/>
    <w:rsid w:val="002426CE"/>
    <w:rsid w:val="00242EC2"/>
    <w:rsid w:val="002434E8"/>
    <w:rsid w:val="0024358B"/>
    <w:rsid w:val="0024360C"/>
    <w:rsid w:val="00243C75"/>
    <w:rsid w:val="0024422A"/>
    <w:rsid w:val="002470CA"/>
    <w:rsid w:val="00247B10"/>
    <w:rsid w:val="00247EAE"/>
    <w:rsid w:val="00252651"/>
    <w:rsid w:val="002527FE"/>
    <w:rsid w:val="0025360F"/>
    <w:rsid w:val="0025582E"/>
    <w:rsid w:val="002606B4"/>
    <w:rsid w:val="002666E0"/>
    <w:rsid w:val="00266977"/>
    <w:rsid w:val="00267BF6"/>
    <w:rsid w:val="00273ECC"/>
    <w:rsid w:val="00273ED9"/>
    <w:rsid w:val="002761CF"/>
    <w:rsid w:val="00281603"/>
    <w:rsid w:val="0028283A"/>
    <w:rsid w:val="002830F7"/>
    <w:rsid w:val="0028533C"/>
    <w:rsid w:val="002854D2"/>
    <w:rsid w:val="0028592F"/>
    <w:rsid w:val="002859CD"/>
    <w:rsid w:val="0028760A"/>
    <w:rsid w:val="00287B8E"/>
    <w:rsid w:val="002915AD"/>
    <w:rsid w:val="0029221A"/>
    <w:rsid w:val="002923FD"/>
    <w:rsid w:val="00292783"/>
    <w:rsid w:val="00295012"/>
    <w:rsid w:val="00296470"/>
    <w:rsid w:val="002975E6"/>
    <w:rsid w:val="00297F17"/>
    <w:rsid w:val="002A0072"/>
    <w:rsid w:val="002A2D83"/>
    <w:rsid w:val="002A44A5"/>
    <w:rsid w:val="002A5B34"/>
    <w:rsid w:val="002A7F13"/>
    <w:rsid w:val="002B0330"/>
    <w:rsid w:val="002B10B3"/>
    <w:rsid w:val="002B13FF"/>
    <w:rsid w:val="002B1DCE"/>
    <w:rsid w:val="002B2CB9"/>
    <w:rsid w:val="002B363D"/>
    <w:rsid w:val="002B4669"/>
    <w:rsid w:val="002B76CC"/>
    <w:rsid w:val="002C2F69"/>
    <w:rsid w:val="002C5BEA"/>
    <w:rsid w:val="002D122F"/>
    <w:rsid w:val="002D3A3A"/>
    <w:rsid w:val="002D7C35"/>
    <w:rsid w:val="002E0652"/>
    <w:rsid w:val="002E4035"/>
    <w:rsid w:val="002E40F5"/>
    <w:rsid w:val="002E47FE"/>
    <w:rsid w:val="002E4F7D"/>
    <w:rsid w:val="002F0CE8"/>
    <w:rsid w:val="002F1D85"/>
    <w:rsid w:val="002F23D8"/>
    <w:rsid w:val="002F4CAD"/>
    <w:rsid w:val="002F5D80"/>
    <w:rsid w:val="002F5F1E"/>
    <w:rsid w:val="0030122C"/>
    <w:rsid w:val="00301A8B"/>
    <w:rsid w:val="00304DD7"/>
    <w:rsid w:val="0030534E"/>
    <w:rsid w:val="003053D6"/>
    <w:rsid w:val="00306C3E"/>
    <w:rsid w:val="003074F3"/>
    <w:rsid w:val="00307A4F"/>
    <w:rsid w:val="003113DF"/>
    <w:rsid w:val="003119ED"/>
    <w:rsid w:val="00313775"/>
    <w:rsid w:val="0031683A"/>
    <w:rsid w:val="003178C6"/>
    <w:rsid w:val="00321419"/>
    <w:rsid w:val="00321FFD"/>
    <w:rsid w:val="00322033"/>
    <w:rsid w:val="0032271E"/>
    <w:rsid w:val="003301E9"/>
    <w:rsid w:val="003350DD"/>
    <w:rsid w:val="00335312"/>
    <w:rsid w:val="00335EB8"/>
    <w:rsid w:val="00336452"/>
    <w:rsid w:val="00336539"/>
    <w:rsid w:val="003371B6"/>
    <w:rsid w:val="003371DE"/>
    <w:rsid w:val="00340041"/>
    <w:rsid w:val="0034083A"/>
    <w:rsid w:val="0034261A"/>
    <w:rsid w:val="00343855"/>
    <w:rsid w:val="0034467C"/>
    <w:rsid w:val="00344750"/>
    <w:rsid w:val="0034546F"/>
    <w:rsid w:val="0034623D"/>
    <w:rsid w:val="00346A42"/>
    <w:rsid w:val="00351C34"/>
    <w:rsid w:val="003548E5"/>
    <w:rsid w:val="003571AD"/>
    <w:rsid w:val="00360CCE"/>
    <w:rsid w:val="00360D50"/>
    <w:rsid w:val="0036220A"/>
    <w:rsid w:val="00362578"/>
    <w:rsid w:val="00362785"/>
    <w:rsid w:val="00362EB8"/>
    <w:rsid w:val="003647B2"/>
    <w:rsid w:val="003668CC"/>
    <w:rsid w:val="00366C5B"/>
    <w:rsid w:val="00377595"/>
    <w:rsid w:val="00377C2F"/>
    <w:rsid w:val="00380FA3"/>
    <w:rsid w:val="003834E1"/>
    <w:rsid w:val="003849F7"/>
    <w:rsid w:val="00386AE1"/>
    <w:rsid w:val="003879AD"/>
    <w:rsid w:val="00387C97"/>
    <w:rsid w:val="00390F9A"/>
    <w:rsid w:val="0039124E"/>
    <w:rsid w:val="00391379"/>
    <w:rsid w:val="003917E8"/>
    <w:rsid w:val="00392042"/>
    <w:rsid w:val="00397966"/>
    <w:rsid w:val="00397BAC"/>
    <w:rsid w:val="003A1259"/>
    <w:rsid w:val="003A1639"/>
    <w:rsid w:val="003A1EEE"/>
    <w:rsid w:val="003A2726"/>
    <w:rsid w:val="003A7148"/>
    <w:rsid w:val="003A7498"/>
    <w:rsid w:val="003A761B"/>
    <w:rsid w:val="003B1D3B"/>
    <w:rsid w:val="003B32EC"/>
    <w:rsid w:val="003B3FAF"/>
    <w:rsid w:val="003B482A"/>
    <w:rsid w:val="003B4A48"/>
    <w:rsid w:val="003B5924"/>
    <w:rsid w:val="003B5BD6"/>
    <w:rsid w:val="003C2208"/>
    <w:rsid w:val="003C33C4"/>
    <w:rsid w:val="003C3B11"/>
    <w:rsid w:val="003C552F"/>
    <w:rsid w:val="003C5C18"/>
    <w:rsid w:val="003C62CD"/>
    <w:rsid w:val="003C689C"/>
    <w:rsid w:val="003D1206"/>
    <w:rsid w:val="003D18E6"/>
    <w:rsid w:val="003D2280"/>
    <w:rsid w:val="003D2D80"/>
    <w:rsid w:val="003D3604"/>
    <w:rsid w:val="003D56E3"/>
    <w:rsid w:val="003D65D1"/>
    <w:rsid w:val="003D73D8"/>
    <w:rsid w:val="003E1466"/>
    <w:rsid w:val="003E3066"/>
    <w:rsid w:val="003E3864"/>
    <w:rsid w:val="003E7993"/>
    <w:rsid w:val="003F0CDD"/>
    <w:rsid w:val="003F0E03"/>
    <w:rsid w:val="003F2295"/>
    <w:rsid w:val="003F3053"/>
    <w:rsid w:val="003F419B"/>
    <w:rsid w:val="003F4880"/>
    <w:rsid w:val="003F4B50"/>
    <w:rsid w:val="003F5137"/>
    <w:rsid w:val="003F75EE"/>
    <w:rsid w:val="0040017D"/>
    <w:rsid w:val="00401E94"/>
    <w:rsid w:val="00401F3D"/>
    <w:rsid w:val="00404DE4"/>
    <w:rsid w:val="00410908"/>
    <w:rsid w:val="004117D7"/>
    <w:rsid w:val="0041382A"/>
    <w:rsid w:val="00414E5B"/>
    <w:rsid w:val="004177F3"/>
    <w:rsid w:val="0042085F"/>
    <w:rsid w:val="00420EFB"/>
    <w:rsid w:val="0042244E"/>
    <w:rsid w:val="00423A35"/>
    <w:rsid w:val="0042445E"/>
    <w:rsid w:val="0042642C"/>
    <w:rsid w:val="0043088F"/>
    <w:rsid w:val="004312E8"/>
    <w:rsid w:val="00432798"/>
    <w:rsid w:val="00433101"/>
    <w:rsid w:val="004331DA"/>
    <w:rsid w:val="00433216"/>
    <w:rsid w:val="00434761"/>
    <w:rsid w:val="00435FF2"/>
    <w:rsid w:val="004372FA"/>
    <w:rsid w:val="004405A2"/>
    <w:rsid w:val="004452F0"/>
    <w:rsid w:val="00450228"/>
    <w:rsid w:val="00450B28"/>
    <w:rsid w:val="00450D0C"/>
    <w:rsid w:val="00450D53"/>
    <w:rsid w:val="00455C0C"/>
    <w:rsid w:val="00460ACF"/>
    <w:rsid w:val="00463F40"/>
    <w:rsid w:val="00465A09"/>
    <w:rsid w:val="004674DE"/>
    <w:rsid w:val="00467D10"/>
    <w:rsid w:val="00467DB7"/>
    <w:rsid w:val="00472383"/>
    <w:rsid w:val="00473758"/>
    <w:rsid w:val="004751EA"/>
    <w:rsid w:val="00476931"/>
    <w:rsid w:val="00477BA5"/>
    <w:rsid w:val="0048099C"/>
    <w:rsid w:val="00482F25"/>
    <w:rsid w:val="0048326D"/>
    <w:rsid w:val="00484053"/>
    <w:rsid w:val="00491BEA"/>
    <w:rsid w:val="00492453"/>
    <w:rsid w:val="00494ABC"/>
    <w:rsid w:val="004952D4"/>
    <w:rsid w:val="004970D8"/>
    <w:rsid w:val="0049724C"/>
    <w:rsid w:val="00497DF2"/>
    <w:rsid w:val="004A0600"/>
    <w:rsid w:val="004A07E5"/>
    <w:rsid w:val="004A10CC"/>
    <w:rsid w:val="004A153D"/>
    <w:rsid w:val="004A1766"/>
    <w:rsid w:val="004A1A27"/>
    <w:rsid w:val="004A3577"/>
    <w:rsid w:val="004A3DF7"/>
    <w:rsid w:val="004A5EF3"/>
    <w:rsid w:val="004B2B89"/>
    <w:rsid w:val="004B4093"/>
    <w:rsid w:val="004B5D25"/>
    <w:rsid w:val="004B7F88"/>
    <w:rsid w:val="004B7FA9"/>
    <w:rsid w:val="004C0D10"/>
    <w:rsid w:val="004C0DBE"/>
    <w:rsid w:val="004C1A39"/>
    <w:rsid w:val="004C2773"/>
    <w:rsid w:val="004C33A7"/>
    <w:rsid w:val="004C37F0"/>
    <w:rsid w:val="004C3D34"/>
    <w:rsid w:val="004C43D0"/>
    <w:rsid w:val="004C4A30"/>
    <w:rsid w:val="004C7A7B"/>
    <w:rsid w:val="004D26A5"/>
    <w:rsid w:val="004D4921"/>
    <w:rsid w:val="004D58DA"/>
    <w:rsid w:val="004D5AFD"/>
    <w:rsid w:val="004D6246"/>
    <w:rsid w:val="004D73A1"/>
    <w:rsid w:val="004D78A8"/>
    <w:rsid w:val="004E23AE"/>
    <w:rsid w:val="004E29D3"/>
    <w:rsid w:val="004E39A6"/>
    <w:rsid w:val="004E4B1E"/>
    <w:rsid w:val="004E4BEF"/>
    <w:rsid w:val="004F0262"/>
    <w:rsid w:val="004F0612"/>
    <w:rsid w:val="004F3145"/>
    <w:rsid w:val="004F4F0E"/>
    <w:rsid w:val="004F6EAF"/>
    <w:rsid w:val="004F713E"/>
    <w:rsid w:val="0050059B"/>
    <w:rsid w:val="005025B1"/>
    <w:rsid w:val="00503A74"/>
    <w:rsid w:val="00503AB4"/>
    <w:rsid w:val="00503B9E"/>
    <w:rsid w:val="00505A10"/>
    <w:rsid w:val="005104BC"/>
    <w:rsid w:val="00511835"/>
    <w:rsid w:val="005167E6"/>
    <w:rsid w:val="00520065"/>
    <w:rsid w:val="00520355"/>
    <w:rsid w:val="00520927"/>
    <w:rsid w:val="00525853"/>
    <w:rsid w:val="00525C01"/>
    <w:rsid w:val="00526780"/>
    <w:rsid w:val="00526D2E"/>
    <w:rsid w:val="00530B19"/>
    <w:rsid w:val="005326F4"/>
    <w:rsid w:val="00537A62"/>
    <w:rsid w:val="00540B73"/>
    <w:rsid w:val="00541C11"/>
    <w:rsid w:val="00541EC5"/>
    <w:rsid w:val="00544066"/>
    <w:rsid w:val="005446EA"/>
    <w:rsid w:val="00545A63"/>
    <w:rsid w:val="00545C5F"/>
    <w:rsid w:val="005464A7"/>
    <w:rsid w:val="005517B5"/>
    <w:rsid w:val="00551DB2"/>
    <w:rsid w:val="005549B9"/>
    <w:rsid w:val="0055535A"/>
    <w:rsid w:val="005559E6"/>
    <w:rsid w:val="00560A03"/>
    <w:rsid w:val="005620E1"/>
    <w:rsid w:val="005624F0"/>
    <w:rsid w:val="00564CA7"/>
    <w:rsid w:val="00571549"/>
    <w:rsid w:val="00572040"/>
    <w:rsid w:val="00572F16"/>
    <w:rsid w:val="00574B98"/>
    <w:rsid w:val="00574F4F"/>
    <w:rsid w:val="005758BF"/>
    <w:rsid w:val="0057727F"/>
    <w:rsid w:val="00577942"/>
    <w:rsid w:val="00581946"/>
    <w:rsid w:val="005820F6"/>
    <w:rsid w:val="005834D7"/>
    <w:rsid w:val="00585A2C"/>
    <w:rsid w:val="005866AC"/>
    <w:rsid w:val="00590CDF"/>
    <w:rsid w:val="0059166B"/>
    <w:rsid w:val="00594915"/>
    <w:rsid w:val="005951C4"/>
    <w:rsid w:val="0059616E"/>
    <w:rsid w:val="00596A40"/>
    <w:rsid w:val="005A0A48"/>
    <w:rsid w:val="005A154D"/>
    <w:rsid w:val="005A33BA"/>
    <w:rsid w:val="005A34D4"/>
    <w:rsid w:val="005A6A0D"/>
    <w:rsid w:val="005B1617"/>
    <w:rsid w:val="005B16A3"/>
    <w:rsid w:val="005B1ABA"/>
    <w:rsid w:val="005B4B4D"/>
    <w:rsid w:val="005B6CBB"/>
    <w:rsid w:val="005B7C82"/>
    <w:rsid w:val="005C0C56"/>
    <w:rsid w:val="005C26AD"/>
    <w:rsid w:val="005C2966"/>
    <w:rsid w:val="005C4911"/>
    <w:rsid w:val="005C59C5"/>
    <w:rsid w:val="005C5E7B"/>
    <w:rsid w:val="005C5FEF"/>
    <w:rsid w:val="005D0844"/>
    <w:rsid w:val="005D0A23"/>
    <w:rsid w:val="005D1444"/>
    <w:rsid w:val="005D23B7"/>
    <w:rsid w:val="005D2C56"/>
    <w:rsid w:val="005D38CF"/>
    <w:rsid w:val="005D435E"/>
    <w:rsid w:val="005D5A1E"/>
    <w:rsid w:val="005D6929"/>
    <w:rsid w:val="005D745B"/>
    <w:rsid w:val="005E3EA5"/>
    <w:rsid w:val="005E6CF4"/>
    <w:rsid w:val="005E716D"/>
    <w:rsid w:val="005E7723"/>
    <w:rsid w:val="005F0BD9"/>
    <w:rsid w:val="005F3EDE"/>
    <w:rsid w:val="005F48C8"/>
    <w:rsid w:val="005F4AE2"/>
    <w:rsid w:val="005F4B9C"/>
    <w:rsid w:val="005F4E2F"/>
    <w:rsid w:val="005F6A3E"/>
    <w:rsid w:val="005F6E58"/>
    <w:rsid w:val="005F7921"/>
    <w:rsid w:val="005F7BAD"/>
    <w:rsid w:val="005F7FA5"/>
    <w:rsid w:val="006019A0"/>
    <w:rsid w:val="00601CC9"/>
    <w:rsid w:val="00601E73"/>
    <w:rsid w:val="00602A37"/>
    <w:rsid w:val="00604259"/>
    <w:rsid w:val="00604E78"/>
    <w:rsid w:val="006072C6"/>
    <w:rsid w:val="00607709"/>
    <w:rsid w:val="00607F90"/>
    <w:rsid w:val="00610350"/>
    <w:rsid w:val="006123AA"/>
    <w:rsid w:val="00612614"/>
    <w:rsid w:val="0061303C"/>
    <w:rsid w:val="00613489"/>
    <w:rsid w:val="006149B1"/>
    <w:rsid w:val="00614D0F"/>
    <w:rsid w:val="00616806"/>
    <w:rsid w:val="00622042"/>
    <w:rsid w:val="00622D64"/>
    <w:rsid w:val="00623517"/>
    <w:rsid w:val="00624546"/>
    <w:rsid w:val="00624C43"/>
    <w:rsid w:val="00624D2A"/>
    <w:rsid w:val="006260A7"/>
    <w:rsid w:val="00627C54"/>
    <w:rsid w:val="00630046"/>
    <w:rsid w:val="0063228A"/>
    <w:rsid w:val="00634174"/>
    <w:rsid w:val="006347A6"/>
    <w:rsid w:val="006359A8"/>
    <w:rsid w:val="00640A7C"/>
    <w:rsid w:val="00641766"/>
    <w:rsid w:val="006419F3"/>
    <w:rsid w:val="0064244F"/>
    <w:rsid w:val="00642DF9"/>
    <w:rsid w:val="00650655"/>
    <w:rsid w:val="0065163D"/>
    <w:rsid w:val="00652A7D"/>
    <w:rsid w:val="00652F75"/>
    <w:rsid w:val="006536AE"/>
    <w:rsid w:val="00654328"/>
    <w:rsid w:val="0065498A"/>
    <w:rsid w:val="00655999"/>
    <w:rsid w:val="00656088"/>
    <w:rsid w:val="00656BD7"/>
    <w:rsid w:val="00656FF8"/>
    <w:rsid w:val="00657009"/>
    <w:rsid w:val="006570B5"/>
    <w:rsid w:val="00657941"/>
    <w:rsid w:val="0066009C"/>
    <w:rsid w:val="006601C7"/>
    <w:rsid w:val="00661D57"/>
    <w:rsid w:val="00662ECE"/>
    <w:rsid w:val="006656F8"/>
    <w:rsid w:val="0066674F"/>
    <w:rsid w:val="006673AD"/>
    <w:rsid w:val="00667579"/>
    <w:rsid w:val="006675DA"/>
    <w:rsid w:val="00670546"/>
    <w:rsid w:val="006706E1"/>
    <w:rsid w:val="006717D5"/>
    <w:rsid w:val="006719A6"/>
    <w:rsid w:val="00672444"/>
    <w:rsid w:val="00673BDA"/>
    <w:rsid w:val="00676D9C"/>
    <w:rsid w:val="0067750C"/>
    <w:rsid w:val="006778FD"/>
    <w:rsid w:val="0068086B"/>
    <w:rsid w:val="006822D5"/>
    <w:rsid w:val="00682536"/>
    <w:rsid w:val="006828D1"/>
    <w:rsid w:val="00682CA5"/>
    <w:rsid w:val="006854C5"/>
    <w:rsid w:val="00692C2B"/>
    <w:rsid w:val="00693550"/>
    <w:rsid w:val="00696B9B"/>
    <w:rsid w:val="00696D7D"/>
    <w:rsid w:val="00697ED2"/>
    <w:rsid w:val="006A03BE"/>
    <w:rsid w:val="006A087F"/>
    <w:rsid w:val="006A18BD"/>
    <w:rsid w:val="006A1E32"/>
    <w:rsid w:val="006A2595"/>
    <w:rsid w:val="006A2871"/>
    <w:rsid w:val="006A287D"/>
    <w:rsid w:val="006A3063"/>
    <w:rsid w:val="006A31C5"/>
    <w:rsid w:val="006A4AD2"/>
    <w:rsid w:val="006A6E5C"/>
    <w:rsid w:val="006A7C4D"/>
    <w:rsid w:val="006B0AA0"/>
    <w:rsid w:val="006B1E06"/>
    <w:rsid w:val="006B21CE"/>
    <w:rsid w:val="006B3B85"/>
    <w:rsid w:val="006B4463"/>
    <w:rsid w:val="006B53D2"/>
    <w:rsid w:val="006B7168"/>
    <w:rsid w:val="006C09E1"/>
    <w:rsid w:val="006C24A5"/>
    <w:rsid w:val="006C4BFC"/>
    <w:rsid w:val="006C51F2"/>
    <w:rsid w:val="006C5421"/>
    <w:rsid w:val="006C69E6"/>
    <w:rsid w:val="006C6F09"/>
    <w:rsid w:val="006C7D32"/>
    <w:rsid w:val="006D0691"/>
    <w:rsid w:val="006D3EC5"/>
    <w:rsid w:val="006D47EC"/>
    <w:rsid w:val="006D6812"/>
    <w:rsid w:val="006D6A54"/>
    <w:rsid w:val="006D7CD5"/>
    <w:rsid w:val="006E0BBB"/>
    <w:rsid w:val="006E13DE"/>
    <w:rsid w:val="006E1854"/>
    <w:rsid w:val="006E3C2F"/>
    <w:rsid w:val="006E4BA8"/>
    <w:rsid w:val="006E545E"/>
    <w:rsid w:val="006E760A"/>
    <w:rsid w:val="006F184F"/>
    <w:rsid w:val="006F2C84"/>
    <w:rsid w:val="006F30C4"/>
    <w:rsid w:val="006F32B7"/>
    <w:rsid w:val="006F6729"/>
    <w:rsid w:val="006F6C28"/>
    <w:rsid w:val="007004F2"/>
    <w:rsid w:val="0070170E"/>
    <w:rsid w:val="007037E0"/>
    <w:rsid w:val="00707831"/>
    <w:rsid w:val="00711CA8"/>
    <w:rsid w:val="00711FF6"/>
    <w:rsid w:val="00712BD7"/>
    <w:rsid w:val="007132BA"/>
    <w:rsid w:val="00713B32"/>
    <w:rsid w:val="00714D75"/>
    <w:rsid w:val="00717865"/>
    <w:rsid w:val="0072191D"/>
    <w:rsid w:val="0072308F"/>
    <w:rsid w:val="00723975"/>
    <w:rsid w:val="007249F5"/>
    <w:rsid w:val="00724CF9"/>
    <w:rsid w:val="0072632A"/>
    <w:rsid w:val="007266C2"/>
    <w:rsid w:val="00726FA1"/>
    <w:rsid w:val="007274B4"/>
    <w:rsid w:val="00727B71"/>
    <w:rsid w:val="00733365"/>
    <w:rsid w:val="00734359"/>
    <w:rsid w:val="00737F60"/>
    <w:rsid w:val="007406C1"/>
    <w:rsid w:val="007417A9"/>
    <w:rsid w:val="00741854"/>
    <w:rsid w:val="00751824"/>
    <w:rsid w:val="00754C62"/>
    <w:rsid w:val="00755DA4"/>
    <w:rsid w:val="007564A5"/>
    <w:rsid w:val="00756EAA"/>
    <w:rsid w:val="007571BF"/>
    <w:rsid w:val="00760ABE"/>
    <w:rsid w:val="007612D5"/>
    <w:rsid w:val="00761770"/>
    <w:rsid w:val="007621B1"/>
    <w:rsid w:val="00764614"/>
    <w:rsid w:val="00764CDC"/>
    <w:rsid w:val="00764EBE"/>
    <w:rsid w:val="0076660A"/>
    <w:rsid w:val="007669EC"/>
    <w:rsid w:val="00766D0D"/>
    <w:rsid w:val="0077120B"/>
    <w:rsid w:val="00771D0B"/>
    <w:rsid w:val="00772534"/>
    <w:rsid w:val="0077371A"/>
    <w:rsid w:val="00773C4F"/>
    <w:rsid w:val="00774918"/>
    <w:rsid w:val="00774FE2"/>
    <w:rsid w:val="0077537C"/>
    <w:rsid w:val="007759B9"/>
    <w:rsid w:val="0077670F"/>
    <w:rsid w:val="00776904"/>
    <w:rsid w:val="0078022B"/>
    <w:rsid w:val="007832B4"/>
    <w:rsid w:val="00785E18"/>
    <w:rsid w:val="00787A28"/>
    <w:rsid w:val="00790183"/>
    <w:rsid w:val="00792A47"/>
    <w:rsid w:val="0079396E"/>
    <w:rsid w:val="00796A32"/>
    <w:rsid w:val="00796B54"/>
    <w:rsid w:val="007A04D1"/>
    <w:rsid w:val="007A330F"/>
    <w:rsid w:val="007A4B66"/>
    <w:rsid w:val="007A5F1E"/>
    <w:rsid w:val="007A62F0"/>
    <w:rsid w:val="007A6E66"/>
    <w:rsid w:val="007A6EA8"/>
    <w:rsid w:val="007A7550"/>
    <w:rsid w:val="007B17D9"/>
    <w:rsid w:val="007B2365"/>
    <w:rsid w:val="007B350F"/>
    <w:rsid w:val="007B3FBF"/>
    <w:rsid w:val="007B40A0"/>
    <w:rsid w:val="007B4643"/>
    <w:rsid w:val="007C1D6C"/>
    <w:rsid w:val="007C2686"/>
    <w:rsid w:val="007C2885"/>
    <w:rsid w:val="007C3DE4"/>
    <w:rsid w:val="007C4C77"/>
    <w:rsid w:val="007D163D"/>
    <w:rsid w:val="007D1A8C"/>
    <w:rsid w:val="007D1C55"/>
    <w:rsid w:val="007D2D17"/>
    <w:rsid w:val="007D8D4F"/>
    <w:rsid w:val="007E1929"/>
    <w:rsid w:val="007E334B"/>
    <w:rsid w:val="007E445D"/>
    <w:rsid w:val="007E52BA"/>
    <w:rsid w:val="007E5B1F"/>
    <w:rsid w:val="007E6513"/>
    <w:rsid w:val="007E6B06"/>
    <w:rsid w:val="007E7BBB"/>
    <w:rsid w:val="007F50DB"/>
    <w:rsid w:val="007F6341"/>
    <w:rsid w:val="007F7275"/>
    <w:rsid w:val="00801A82"/>
    <w:rsid w:val="00810059"/>
    <w:rsid w:val="00810D91"/>
    <w:rsid w:val="008115BB"/>
    <w:rsid w:val="00813FD3"/>
    <w:rsid w:val="0081467A"/>
    <w:rsid w:val="00814AB9"/>
    <w:rsid w:val="00814F14"/>
    <w:rsid w:val="00815B6B"/>
    <w:rsid w:val="00821079"/>
    <w:rsid w:val="0082243C"/>
    <w:rsid w:val="00826438"/>
    <w:rsid w:val="00830A8A"/>
    <w:rsid w:val="008312CF"/>
    <w:rsid w:val="0083256A"/>
    <w:rsid w:val="00837274"/>
    <w:rsid w:val="0084156C"/>
    <w:rsid w:val="008424D9"/>
    <w:rsid w:val="008427E6"/>
    <w:rsid w:val="00842E8E"/>
    <w:rsid w:val="00850CAC"/>
    <w:rsid w:val="00851622"/>
    <w:rsid w:val="00854416"/>
    <w:rsid w:val="00854692"/>
    <w:rsid w:val="008546E9"/>
    <w:rsid w:val="008549DA"/>
    <w:rsid w:val="008560F9"/>
    <w:rsid w:val="008562B2"/>
    <w:rsid w:val="008564C8"/>
    <w:rsid w:val="00856F09"/>
    <w:rsid w:val="00857158"/>
    <w:rsid w:val="00862C24"/>
    <w:rsid w:val="0086346A"/>
    <w:rsid w:val="008638C5"/>
    <w:rsid w:val="00863B04"/>
    <w:rsid w:val="00864225"/>
    <w:rsid w:val="008662E8"/>
    <w:rsid w:val="00866E1C"/>
    <w:rsid w:val="00872A8F"/>
    <w:rsid w:val="008748F9"/>
    <w:rsid w:val="008757D2"/>
    <w:rsid w:val="00875AC5"/>
    <w:rsid w:val="008764D9"/>
    <w:rsid w:val="00876735"/>
    <w:rsid w:val="00876AE9"/>
    <w:rsid w:val="00876E74"/>
    <w:rsid w:val="00877D9F"/>
    <w:rsid w:val="0088342B"/>
    <w:rsid w:val="008900E4"/>
    <w:rsid w:val="0089087D"/>
    <w:rsid w:val="00893CAE"/>
    <w:rsid w:val="00894058"/>
    <w:rsid w:val="00894462"/>
    <w:rsid w:val="00894A95"/>
    <w:rsid w:val="00895F77"/>
    <w:rsid w:val="00895F85"/>
    <w:rsid w:val="008A0E7F"/>
    <w:rsid w:val="008A2914"/>
    <w:rsid w:val="008A52D0"/>
    <w:rsid w:val="008A58B6"/>
    <w:rsid w:val="008A791D"/>
    <w:rsid w:val="008A7FFA"/>
    <w:rsid w:val="008B0619"/>
    <w:rsid w:val="008B33C1"/>
    <w:rsid w:val="008B3525"/>
    <w:rsid w:val="008B3C6A"/>
    <w:rsid w:val="008B4AB5"/>
    <w:rsid w:val="008B5C3B"/>
    <w:rsid w:val="008B5CC1"/>
    <w:rsid w:val="008B7F7C"/>
    <w:rsid w:val="008C0895"/>
    <w:rsid w:val="008C2248"/>
    <w:rsid w:val="008C492D"/>
    <w:rsid w:val="008C4E49"/>
    <w:rsid w:val="008C5A6E"/>
    <w:rsid w:val="008C6C1D"/>
    <w:rsid w:val="008C74FC"/>
    <w:rsid w:val="008C7D30"/>
    <w:rsid w:val="008C7EEA"/>
    <w:rsid w:val="008D13A8"/>
    <w:rsid w:val="008D344B"/>
    <w:rsid w:val="008D3C24"/>
    <w:rsid w:val="008D3E85"/>
    <w:rsid w:val="008D5276"/>
    <w:rsid w:val="008D5674"/>
    <w:rsid w:val="008E0403"/>
    <w:rsid w:val="008E0CBE"/>
    <w:rsid w:val="008E17BB"/>
    <w:rsid w:val="008E1851"/>
    <w:rsid w:val="008E1C25"/>
    <w:rsid w:val="008E2FF7"/>
    <w:rsid w:val="008E3702"/>
    <w:rsid w:val="008E4EF7"/>
    <w:rsid w:val="008E571A"/>
    <w:rsid w:val="008F022E"/>
    <w:rsid w:val="008F1427"/>
    <w:rsid w:val="008F3B53"/>
    <w:rsid w:val="008F5376"/>
    <w:rsid w:val="008F557E"/>
    <w:rsid w:val="008F5E78"/>
    <w:rsid w:val="008F63BA"/>
    <w:rsid w:val="008F693F"/>
    <w:rsid w:val="008F6FDF"/>
    <w:rsid w:val="008F7810"/>
    <w:rsid w:val="00902E6A"/>
    <w:rsid w:val="00906388"/>
    <w:rsid w:val="00906968"/>
    <w:rsid w:val="00906F97"/>
    <w:rsid w:val="0090749E"/>
    <w:rsid w:val="0090756A"/>
    <w:rsid w:val="00907EE6"/>
    <w:rsid w:val="009123C3"/>
    <w:rsid w:val="0091242F"/>
    <w:rsid w:val="0091436D"/>
    <w:rsid w:val="00915387"/>
    <w:rsid w:val="00915CF2"/>
    <w:rsid w:val="00916205"/>
    <w:rsid w:val="00916D61"/>
    <w:rsid w:val="009205C9"/>
    <w:rsid w:val="00922AFA"/>
    <w:rsid w:val="009246FD"/>
    <w:rsid w:val="00926A65"/>
    <w:rsid w:val="00927FE8"/>
    <w:rsid w:val="00932026"/>
    <w:rsid w:val="00932925"/>
    <w:rsid w:val="00932A4E"/>
    <w:rsid w:val="00934B99"/>
    <w:rsid w:val="0093511B"/>
    <w:rsid w:val="00935F1D"/>
    <w:rsid w:val="00940588"/>
    <w:rsid w:val="0094072F"/>
    <w:rsid w:val="00941211"/>
    <w:rsid w:val="00941C69"/>
    <w:rsid w:val="00942970"/>
    <w:rsid w:val="00944DD3"/>
    <w:rsid w:val="00944FEC"/>
    <w:rsid w:val="00945789"/>
    <w:rsid w:val="009502C4"/>
    <w:rsid w:val="00951030"/>
    <w:rsid w:val="00951AC6"/>
    <w:rsid w:val="00951B9A"/>
    <w:rsid w:val="00952564"/>
    <w:rsid w:val="0095461C"/>
    <w:rsid w:val="00955470"/>
    <w:rsid w:val="00955543"/>
    <w:rsid w:val="009577EE"/>
    <w:rsid w:val="0096386F"/>
    <w:rsid w:val="00963D4E"/>
    <w:rsid w:val="00964547"/>
    <w:rsid w:val="009650F7"/>
    <w:rsid w:val="00967899"/>
    <w:rsid w:val="0097031E"/>
    <w:rsid w:val="00970384"/>
    <w:rsid w:val="0097143B"/>
    <w:rsid w:val="00971D30"/>
    <w:rsid w:val="00971D37"/>
    <w:rsid w:val="00971F59"/>
    <w:rsid w:val="009729F0"/>
    <w:rsid w:val="00974ED9"/>
    <w:rsid w:val="009759E7"/>
    <w:rsid w:val="0097619F"/>
    <w:rsid w:val="009777BA"/>
    <w:rsid w:val="00977CDF"/>
    <w:rsid w:val="0098022A"/>
    <w:rsid w:val="00980B00"/>
    <w:rsid w:val="00980ECA"/>
    <w:rsid w:val="00984AF0"/>
    <w:rsid w:val="009859C7"/>
    <w:rsid w:val="009876CB"/>
    <w:rsid w:val="00987ED7"/>
    <w:rsid w:val="009913ED"/>
    <w:rsid w:val="00991BC8"/>
    <w:rsid w:val="009926AA"/>
    <w:rsid w:val="00992BF8"/>
    <w:rsid w:val="009932F1"/>
    <w:rsid w:val="009959FE"/>
    <w:rsid w:val="00997E9C"/>
    <w:rsid w:val="009A1C99"/>
    <w:rsid w:val="009A2C60"/>
    <w:rsid w:val="009A385A"/>
    <w:rsid w:val="009A41DF"/>
    <w:rsid w:val="009A449A"/>
    <w:rsid w:val="009A61EA"/>
    <w:rsid w:val="009A7FD5"/>
    <w:rsid w:val="009B0E52"/>
    <w:rsid w:val="009B1EDD"/>
    <w:rsid w:val="009B29D9"/>
    <w:rsid w:val="009B2FCD"/>
    <w:rsid w:val="009B5381"/>
    <w:rsid w:val="009B5C14"/>
    <w:rsid w:val="009B6445"/>
    <w:rsid w:val="009B6456"/>
    <w:rsid w:val="009B6601"/>
    <w:rsid w:val="009B6F13"/>
    <w:rsid w:val="009C1382"/>
    <w:rsid w:val="009C3F7C"/>
    <w:rsid w:val="009C58E6"/>
    <w:rsid w:val="009C7F36"/>
    <w:rsid w:val="009D0A9E"/>
    <w:rsid w:val="009D0B7A"/>
    <w:rsid w:val="009D1F38"/>
    <w:rsid w:val="009D3A61"/>
    <w:rsid w:val="009D4E41"/>
    <w:rsid w:val="009E234C"/>
    <w:rsid w:val="009E24E7"/>
    <w:rsid w:val="009E4567"/>
    <w:rsid w:val="009E6A66"/>
    <w:rsid w:val="009E6FE8"/>
    <w:rsid w:val="009E7622"/>
    <w:rsid w:val="009F0347"/>
    <w:rsid w:val="009F0BDE"/>
    <w:rsid w:val="009F15C9"/>
    <w:rsid w:val="009F18FF"/>
    <w:rsid w:val="009F3DBA"/>
    <w:rsid w:val="009F3EB3"/>
    <w:rsid w:val="009F7A99"/>
    <w:rsid w:val="009F7F33"/>
    <w:rsid w:val="00A00000"/>
    <w:rsid w:val="00A04A00"/>
    <w:rsid w:val="00A05B2B"/>
    <w:rsid w:val="00A06BEA"/>
    <w:rsid w:val="00A06F96"/>
    <w:rsid w:val="00A07405"/>
    <w:rsid w:val="00A107EE"/>
    <w:rsid w:val="00A12B39"/>
    <w:rsid w:val="00A148E8"/>
    <w:rsid w:val="00A14DE5"/>
    <w:rsid w:val="00A16111"/>
    <w:rsid w:val="00A16927"/>
    <w:rsid w:val="00A16DD9"/>
    <w:rsid w:val="00A1725E"/>
    <w:rsid w:val="00A22ACB"/>
    <w:rsid w:val="00A254FE"/>
    <w:rsid w:val="00A25E5E"/>
    <w:rsid w:val="00A26663"/>
    <w:rsid w:val="00A26D5E"/>
    <w:rsid w:val="00A27A56"/>
    <w:rsid w:val="00A32BA3"/>
    <w:rsid w:val="00A36DAB"/>
    <w:rsid w:val="00A36FC3"/>
    <w:rsid w:val="00A407BA"/>
    <w:rsid w:val="00A45372"/>
    <w:rsid w:val="00A46ABB"/>
    <w:rsid w:val="00A47422"/>
    <w:rsid w:val="00A52098"/>
    <w:rsid w:val="00A55F33"/>
    <w:rsid w:val="00A56AC1"/>
    <w:rsid w:val="00A56DA7"/>
    <w:rsid w:val="00A62533"/>
    <w:rsid w:val="00A62CA9"/>
    <w:rsid w:val="00A64B7C"/>
    <w:rsid w:val="00A6649B"/>
    <w:rsid w:val="00A70B24"/>
    <w:rsid w:val="00A71821"/>
    <w:rsid w:val="00A74F41"/>
    <w:rsid w:val="00A77E95"/>
    <w:rsid w:val="00A825FE"/>
    <w:rsid w:val="00A830E3"/>
    <w:rsid w:val="00A833F6"/>
    <w:rsid w:val="00A9078A"/>
    <w:rsid w:val="00A91DBF"/>
    <w:rsid w:val="00A91F02"/>
    <w:rsid w:val="00A96361"/>
    <w:rsid w:val="00A97794"/>
    <w:rsid w:val="00A97B0F"/>
    <w:rsid w:val="00AA2041"/>
    <w:rsid w:val="00AA52EF"/>
    <w:rsid w:val="00AB0C13"/>
    <w:rsid w:val="00AB0FED"/>
    <w:rsid w:val="00AB12D6"/>
    <w:rsid w:val="00AB2307"/>
    <w:rsid w:val="00AB2BA8"/>
    <w:rsid w:val="00AB3ECE"/>
    <w:rsid w:val="00AB4AF0"/>
    <w:rsid w:val="00AB5BB8"/>
    <w:rsid w:val="00AB5F34"/>
    <w:rsid w:val="00AB654E"/>
    <w:rsid w:val="00AB7C8B"/>
    <w:rsid w:val="00AC0334"/>
    <w:rsid w:val="00AC08E5"/>
    <w:rsid w:val="00AC1E4E"/>
    <w:rsid w:val="00AC2A1E"/>
    <w:rsid w:val="00AC45E4"/>
    <w:rsid w:val="00AC77D9"/>
    <w:rsid w:val="00AD1CC1"/>
    <w:rsid w:val="00AD2183"/>
    <w:rsid w:val="00AD2FCC"/>
    <w:rsid w:val="00AD448C"/>
    <w:rsid w:val="00AD560A"/>
    <w:rsid w:val="00AD6EC5"/>
    <w:rsid w:val="00AD733D"/>
    <w:rsid w:val="00AE062A"/>
    <w:rsid w:val="00AE0E8F"/>
    <w:rsid w:val="00AE1284"/>
    <w:rsid w:val="00AE1B17"/>
    <w:rsid w:val="00AE49DE"/>
    <w:rsid w:val="00AF0AD9"/>
    <w:rsid w:val="00AF1074"/>
    <w:rsid w:val="00AF11E0"/>
    <w:rsid w:val="00AF2667"/>
    <w:rsid w:val="00AF7298"/>
    <w:rsid w:val="00B01AAB"/>
    <w:rsid w:val="00B0212F"/>
    <w:rsid w:val="00B044BA"/>
    <w:rsid w:val="00B06857"/>
    <w:rsid w:val="00B06A0D"/>
    <w:rsid w:val="00B07D5A"/>
    <w:rsid w:val="00B10779"/>
    <w:rsid w:val="00B11D41"/>
    <w:rsid w:val="00B13763"/>
    <w:rsid w:val="00B27B0A"/>
    <w:rsid w:val="00B31F35"/>
    <w:rsid w:val="00B327B5"/>
    <w:rsid w:val="00B32C2C"/>
    <w:rsid w:val="00B33F0B"/>
    <w:rsid w:val="00B37539"/>
    <w:rsid w:val="00B40121"/>
    <w:rsid w:val="00B40C04"/>
    <w:rsid w:val="00B4190C"/>
    <w:rsid w:val="00B4211E"/>
    <w:rsid w:val="00B4250C"/>
    <w:rsid w:val="00B43C0A"/>
    <w:rsid w:val="00B4430F"/>
    <w:rsid w:val="00B4517C"/>
    <w:rsid w:val="00B45AF4"/>
    <w:rsid w:val="00B52108"/>
    <w:rsid w:val="00B5355A"/>
    <w:rsid w:val="00B53AEB"/>
    <w:rsid w:val="00B53D87"/>
    <w:rsid w:val="00B54E9F"/>
    <w:rsid w:val="00B54ED8"/>
    <w:rsid w:val="00B60E4E"/>
    <w:rsid w:val="00B613F1"/>
    <w:rsid w:val="00B6725D"/>
    <w:rsid w:val="00B67613"/>
    <w:rsid w:val="00B67E41"/>
    <w:rsid w:val="00B75E5E"/>
    <w:rsid w:val="00B7759F"/>
    <w:rsid w:val="00B81F4D"/>
    <w:rsid w:val="00B820E6"/>
    <w:rsid w:val="00B843FF"/>
    <w:rsid w:val="00B84578"/>
    <w:rsid w:val="00B85014"/>
    <w:rsid w:val="00B86D54"/>
    <w:rsid w:val="00B876F2"/>
    <w:rsid w:val="00B91813"/>
    <w:rsid w:val="00B934BD"/>
    <w:rsid w:val="00B93F30"/>
    <w:rsid w:val="00B943B2"/>
    <w:rsid w:val="00B94B1C"/>
    <w:rsid w:val="00B965B9"/>
    <w:rsid w:val="00B97CCA"/>
    <w:rsid w:val="00BA0306"/>
    <w:rsid w:val="00BA4095"/>
    <w:rsid w:val="00BB0BC2"/>
    <w:rsid w:val="00BB1202"/>
    <w:rsid w:val="00BB146F"/>
    <w:rsid w:val="00BB1977"/>
    <w:rsid w:val="00BB1AA6"/>
    <w:rsid w:val="00BB1F0E"/>
    <w:rsid w:val="00BB22DD"/>
    <w:rsid w:val="00BB27EA"/>
    <w:rsid w:val="00BB2F94"/>
    <w:rsid w:val="00BB3C1E"/>
    <w:rsid w:val="00BB4C08"/>
    <w:rsid w:val="00BB5430"/>
    <w:rsid w:val="00BB5547"/>
    <w:rsid w:val="00BB63AD"/>
    <w:rsid w:val="00BB6D3C"/>
    <w:rsid w:val="00BB76C3"/>
    <w:rsid w:val="00BC3BED"/>
    <w:rsid w:val="00BC41F5"/>
    <w:rsid w:val="00BC46E6"/>
    <w:rsid w:val="00BC64C6"/>
    <w:rsid w:val="00BC7C92"/>
    <w:rsid w:val="00BD047A"/>
    <w:rsid w:val="00BD2CAB"/>
    <w:rsid w:val="00BD3C91"/>
    <w:rsid w:val="00BD46B1"/>
    <w:rsid w:val="00BD5479"/>
    <w:rsid w:val="00BD59DF"/>
    <w:rsid w:val="00BD7FB3"/>
    <w:rsid w:val="00BE240B"/>
    <w:rsid w:val="00BE2CEF"/>
    <w:rsid w:val="00BE383B"/>
    <w:rsid w:val="00BE4041"/>
    <w:rsid w:val="00BE489A"/>
    <w:rsid w:val="00BE5391"/>
    <w:rsid w:val="00BF0DFA"/>
    <w:rsid w:val="00BF1224"/>
    <w:rsid w:val="00BF13A5"/>
    <w:rsid w:val="00BF1CE5"/>
    <w:rsid w:val="00BF1D65"/>
    <w:rsid w:val="00BF34BD"/>
    <w:rsid w:val="00BF5715"/>
    <w:rsid w:val="00BF7646"/>
    <w:rsid w:val="00C028AF"/>
    <w:rsid w:val="00C03516"/>
    <w:rsid w:val="00C05921"/>
    <w:rsid w:val="00C0709D"/>
    <w:rsid w:val="00C075F9"/>
    <w:rsid w:val="00C07800"/>
    <w:rsid w:val="00C0783E"/>
    <w:rsid w:val="00C079C8"/>
    <w:rsid w:val="00C10592"/>
    <w:rsid w:val="00C10CCD"/>
    <w:rsid w:val="00C1245A"/>
    <w:rsid w:val="00C12C8B"/>
    <w:rsid w:val="00C12D5B"/>
    <w:rsid w:val="00C13232"/>
    <w:rsid w:val="00C147D3"/>
    <w:rsid w:val="00C1492D"/>
    <w:rsid w:val="00C1521A"/>
    <w:rsid w:val="00C16181"/>
    <w:rsid w:val="00C16607"/>
    <w:rsid w:val="00C20845"/>
    <w:rsid w:val="00C22373"/>
    <w:rsid w:val="00C235FB"/>
    <w:rsid w:val="00C251D3"/>
    <w:rsid w:val="00C25BF6"/>
    <w:rsid w:val="00C26377"/>
    <w:rsid w:val="00C267DE"/>
    <w:rsid w:val="00C278C2"/>
    <w:rsid w:val="00C27BC9"/>
    <w:rsid w:val="00C31A80"/>
    <w:rsid w:val="00C31ACB"/>
    <w:rsid w:val="00C31C5C"/>
    <w:rsid w:val="00C31E44"/>
    <w:rsid w:val="00C363E0"/>
    <w:rsid w:val="00C36ACB"/>
    <w:rsid w:val="00C376B5"/>
    <w:rsid w:val="00C4004C"/>
    <w:rsid w:val="00C4266A"/>
    <w:rsid w:val="00C42F93"/>
    <w:rsid w:val="00C439C9"/>
    <w:rsid w:val="00C44827"/>
    <w:rsid w:val="00C47D36"/>
    <w:rsid w:val="00C500B7"/>
    <w:rsid w:val="00C516AF"/>
    <w:rsid w:val="00C519A7"/>
    <w:rsid w:val="00C5427E"/>
    <w:rsid w:val="00C5455E"/>
    <w:rsid w:val="00C5628E"/>
    <w:rsid w:val="00C563F9"/>
    <w:rsid w:val="00C56BEB"/>
    <w:rsid w:val="00C60E1E"/>
    <w:rsid w:val="00C61AE8"/>
    <w:rsid w:val="00C628D8"/>
    <w:rsid w:val="00C64017"/>
    <w:rsid w:val="00C64278"/>
    <w:rsid w:val="00C64D5F"/>
    <w:rsid w:val="00C6594D"/>
    <w:rsid w:val="00C662A6"/>
    <w:rsid w:val="00C66F03"/>
    <w:rsid w:val="00C6770F"/>
    <w:rsid w:val="00C6790A"/>
    <w:rsid w:val="00C7652D"/>
    <w:rsid w:val="00C767E6"/>
    <w:rsid w:val="00C779EC"/>
    <w:rsid w:val="00C8103E"/>
    <w:rsid w:val="00C816A9"/>
    <w:rsid w:val="00C824C7"/>
    <w:rsid w:val="00C82AD6"/>
    <w:rsid w:val="00C83B5A"/>
    <w:rsid w:val="00C8546C"/>
    <w:rsid w:val="00C85666"/>
    <w:rsid w:val="00C85843"/>
    <w:rsid w:val="00C86612"/>
    <w:rsid w:val="00C866CF"/>
    <w:rsid w:val="00C86CF1"/>
    <w:rsid w:val="00C87FD4"/>
    <w:rsid w:val="00C90AA4"/>
    <w:rsid w:val="00C90EFB"/>
    <w:rsid w:val="00C91218"/>
    <w:rsid w:val="00C91964"/>
    <w:rsid w:val="00C92503"/>
    <w:rsid w:val="00C92950"/>
    <w:rsid w:val="00C93EDA"/>
    <w:rsid w:val="00C94970"/>
    <w:rsid w:val="00C94E4A"/>
    <w:rsid w:val="00C96172"/>
    <w:rsid w:val="00C963AA"/>
    <w:rsid w:val="00C97027"/>
    <w:rsid w:val="00C97A27"/>
    <w:rsid w:val="00CA1386"/>
    <w:rsid w:val="00CA613A"/>
    <w:rsid w:val="00CB0409"/>
    <w:rsid w:val="00CB2ED7"/>
    <w:rsid w:val="00CB3453"/>
    <w:rsid w:val="00CB516C"/>
    <w:rsid w:val="00CC0677"/>
    <w:rsid w:val="00CC2DC6"/>
    <w:rsid w:val="00CC31AA"/>
    <w:rsid w:val="00CC52DB"/>
    <w:rsid w:val="00CC5BA0"/>
    <w:rsid w:val="00CC5C91"/>
    <w:rsid w:val="00CC5DBB"/>
    <w:rsid w:val="00CD06A1"/>
    <w:rsid w:val="00CD41E4"/>
    <w:rsid w:val="00CD5828"/>
    <w:rsid w:val="00CD5B03"/>
    <w:rsid w:val="00CD7E28"/>
    <w:rsid w:val="00CE3937"/>
    <w:rsid w:val="00CE419B"/>
    <w:rsid w:val="00CE6946"/>
    <w:rsid w:val="00CF2310"/>
    <w:rsid w:val="00CF3581"/>
    <w:rsid w:val="00CF52C6"/>
    <w:rsid w:val="00CF7D23"/>
    <w:rsid w:val="00CF7E40"/>
    <w:rsid w:val="00D01C10"/>
    <w:rsid w:val="00D01C2D"/>
    <w:rsid w:val="00D02551"/>
    <w:rsid w:val="00D03D3C"/>
    <w:rsid w:val="00D03E8F"/>
    <w:rsid w:val="00D04578"/>
    <w:rsid w:val="00D0479E"/>
    <w:rsid w:val="00D063F3"/>
    <w:rsid w:val="00D119D2"/>
    <w:rsid w:val="00D119E1"/>
    <w:rsid w:val="00D11EAA"/>
    <w:rsid w:val="00D13157"/>
    <w:rsid w:val="00D14928"/>
    <w:rsid w:val="00D1492D"/>
    <w:rsid w:val="00D169E3"/>
    <w:rsid w:val="00D17705"/>
    <w:rsid w:val="00D21B22"/>
    <w:rsid w:val="00D2203C"/>
    <w:rsid w:val="00D261DE"/>
    <w:rsid w:val="00D2723E"/>
    <w:rsid w:val="00D27771"/>
    <w:rsid w:val="00D27D3D"/>
    <w:rsid w:val="00D3118E"/>
    <w:rsid w:val="00D313D7"/>
    <w:rsid w:val="00D327FB"/>
    <w:rsid w:val="00D32FC5"/>
    <w:rsid w:val="00D34493"/>
    <w:rsid w:val="00D34D07"/>
    <w:rsid w:val="00D34E46"/>
    <w:rsid w:val="00D354D1"/>
    <w:rsid w:val="00D43550"/>
    <w:rsid w:val="00D44615"/>
    <w:rsid w:val="00D45288"/>
    <w:rsid w:val="00D471A3"/>
    <w:rsid w:val="00D51DAD"/>
    <w:rsid w:val="00D52E5A"/>
    <w:rsid w:val="00D544B0"/>
    <w:rsid w:val="00D549C2"/>
    <w:rsid w:val="00D57764"/>
    <w:rsid w:val="00D57C99"/>
    <w:rsid w:val="00D62D5B"/>
    <w:rsid w:val="00D70060"/>
    <w:rsid w:val="00D70B90"/>
    <w:rsid w:val="00D70E5A"/>
    <w:rsid w:val="00D712F4"/>
    <w:rsid w:val="00D73AD6"/>
    <w:rsid w:val="00D74331"/>
    <w:rsid w:val="00D75108"/>
    <w:rsid w:val="00D76AF4"/>
    <w:rsid w:val="00D806B3"/>
    <w:rsid w:val="00D812E6"/>
    <w:rsid w:val="00D81F38"/>
    <w:rsid w:val="00D82E06"/>
    <w:rsid w:val="00D8306A"/>
    <w:rsid w:val="00D84D0E"/>
    <w:rsid w:val="00D85456"/>
    <w:rsid w:val="00D86454"/>
    <w:rsid w:val="00D8782B"/>
    <w:rsid w:val="00D87F5A"/>
    <w:rsid w:val="00D91659"/>
    <w:rsid w:val="00D91855"/>
    <w:rsid w:val="00D91BE5"/>
    <w:rsid w:val="00D9295B"/>
    <w:rsid w:val="00D92A10"/>
    <w:rsid w:val="00D9385D"/>
    <w:rsid w:val="00D93D9A"/>
    <w:rsid w:val="00D9432F"/>
    <w:rsid w:val="00D9506F"/>
    <w:rsid w:val="00D96627"/>
    <w:rsid w:val="00DA039E"/>
    <w:rsid w:val="00DA0A49"/>
    <w:rsid w:val="00DA0FAC"/>
    <w:rsid w:val="00DA1CFD"/>
    <w:rsid w:val="00DA2732"/>
    <w:rsid w:val="00DA2847"/>
    <w:rsid w:val="00DA5B87"/>
    <w:rsid w:val="00DA651D"/>
    <w:rsid w:val="00DB0CB3"/>
    <w:rsid w:val="00DB0F29"/>
    <w:rsid w:val="00DB1039"/>
    <w:rsid w:val="00DB1101"/>
    <w:rsid w:val="00DB2020"/>
    <w:rsid w:val="00DB2FCB"/>
    <w:rsid w:val="00DB339E"/>
    <w:rsid w:val="00DB3667"/>
    <w:rsid w:val="00DB3892"/>
    <w:rsid w:val="00DB4783"/>
    <w:rsid w:val="00DB4A45"/>
    <w:rsid w:val="00DB6C46"/>
    <w:rsid w:val="00DB7087"/>
    <w:rsid w:val="00DC0C9D"/>
    <w:rsid w:val="00DC1B27"/>
    <w:rsid w:val="00DC251E"/>
    <w:rsid w:val="00DC3FFB"/>
    <w:rsid w:val="00DC4FE9"/>
    <w:rsid w:val="00DC5DB0"/>
    <w:rsid w:val="00DD08C1"/>
    <w:rsid w:val="00DD0B55"/>
    <w:rsid w:val="00DD1FBA"/>
    <w:rsid w:val="00DD4979"/>
    <w:rsid w:val="00DE504D"/>
    <w:rsid w:val="00DE5C7B"/>
    <w:rsid w:val="00DE734E"/>
    <w:rsid w:val="00DE7DE2"/>
    <w:rsid w:val="00DF2E26"/>
    <w:rsid w:val="00DF4389"/>
    <w:rsid w:val="00DF43D3"/>
    <w:rsid w:val="00DF4E09"/>
    <w:rsid w:val="00DF50BB"/>
    <w:rsid w:val="00DF512F"/>
    <w:rsid w:val="00DF728D"/>
    <w:rsid w:val="00DF7B4F"/>
    <w:rsid w:val="00DF7F3D"/>
    <w:rsid w:val="00E00F78"/>
    <w:rsid w:val="00E01BD5"/>
    <w:rsid w:val="00E01F4F"/>
    <w:rsid w:val="00E02796"/>
    <w:rsid w:val="00E06D5F"/>
    <w:rsid w:val="00E07EAC"/>
    <w:rsid w:val="00E104F0"/>
    <w:rsid w:val="00E11229"/>
    <w:rsid w:val="00E12556"/>
    <w:rsid w:val="00E208A9"/>
    <w:rsid w:val="00E21F7E"/>
    <w:rsid w:val="00E24F17"/>
    <w:rsid w:val="00E254E1"/>
    <w:rsid w:val="00E25B08"/>
    <w:rsid w:val="00E30943"/>
    <w:rsid w:val="00E310F2"/>
    <w:rsid w:val="00E321A5"/>
    <w:rsid w:val="00E325A2"/>
    <w:rsid w:val="00E33C1F"/>
    <w:rsid w:val="00E3562F"/>
    <w:rsid w:val="00E35CE1"/>
    <w:rsid w:val="00E408BB"/>
    <w:rsid w:val="00E40A89"/>
    <w:rsid w:val="00E42164"/>
    <w:rsid w:val="00E448EF"/>
    <w:rsid w:val="00E44BBD"/>
    <w:rsid w:val="00E44F85"/>
    <w:rsid w:val="00E451AC"/>
    <w:rsid w:val="00E475CF"/>
    <w:rsid w:val="00E50A68"/>
    <w:rsid w:val="00E533A0"/>
    <w:rsid w:val="00E55DFE"/>
    <w:rsid w:val="00E55F86"/>
    <w:rsid w:val="00E61514"/>
    <w:rsid w:val="00E62F30"/>
    <w:rsid w:val="00E630CA"/>
    <w:rsid w:val="00E64D37"/>
    <w:rsid w:val="00E64D3D"/>
    <w:rsid w:val="00E64FE6"/>
    <w:rsid w:val="00E6622C"/>
    <w:rsid w:val="00E726AE"/>
    <w:rsid w:val="00E72A82"/>
    <w:rsid w:val="00E73CC8"/>
    <w:rsid w:val="00E770C1"/>
    <w:rsid w:val="00E817FE"/>
    <w:rsid w:val="00E85B70"/>
    <w:rsid w:val="00E86974"/>
    <w:rsid w:val="00E87EF1"/>
    <w:rsid w:val="00E9628D"/>
    <w:rsid w:val="00E96896"/>
    <w:rsid w:val="00E96A17"/>
    <w:rsid w:val="00EA066E"/>
    <w:rsid w:val="00EA1A65"/>
    <w:rsid w:val="00EA1AEC"/>
    <w:rsid w:val="00EA26C5"/>
    <w:rsid w:val="00EA46F6"/>
    <w:rsid w:val="00EA5BD3"/>
    <w:rsid w:val="00EA76D2"/>
    <w:rsid w:val="00EB6FFF"/>
    <w:rsid w:val="00EC06F5"/>
    <w:rsid w:val="00EC0DE9"/>
    <w:rsid w:val="00EC38EE"/>
    <w:rsid w:val="00EC39C2"/>
    <w:rsid w:val="00EC4361"/>
    <w:rsid w:val="00EC5CEC"/>
    <w:rsid w:val="00EC727E"/>
    <w:rsid w:val="00ED0027"/>
    <w:rsid w:val="00ED03EA"/>
    <w:rsid w:val="00ED3805"/>
    <w:rsid w:val="00ED6F9C"/>
    <w:rsid w:val="00EE19A4"/>
    <w:rsid w:val="00EE2159"/>
    <w:rsid w:val="00EE2B69"/>
    <w:rsid w:val="00EE4A7A"/>
    <w:rsid w:val="00EE4C15"/>
    <w:rsid w:val="00EE54DE"/>
    <w:rsid w:val="00EE5584"/>
    <w:rsid w:val="00EE7F73"/>
    <w:rsid w:val="00EF096A"/>
    <w:rsid w:val="00EF1E52"/>
    <w:rsid w:val="00EF379D"/>
    <w:rsid w:val="00EF4C60"/>
    <w:rsid w:val="00EF52CF"/>
    <w:rsid w:val="00EF5E10"/>
    <w:rsid w:val="00EF6443"/>
    <w:rsid w:val="00EF7F5A"/>
    <w:rsid w:val="00F0019C"/>
    <w:rsid w:val="00F01271"/>
    <w:rsid w:val="00F0256C"/>
    <w:rsid w:val="00F03CB2"/>
    <w:rsid w:val="00F04238"/>
    <w:rsid w:val="00F043B8"/>
    <w:rsid w:val="00F054A1"/>
    <w:rsid w:val="00F057AD"/>
    <w:rsid w:val="00F0605A"/>
    <w:rsid w:val="00F06853"/>
    <w:rsid w:val="00F074DA"/>
    <w:rsid w:val="00F1415D"/>
    <w:rsid w:val="00F15E8B"/>
    <w:rsid w:val="00F172BA"/>
    <w:rsid w:val="00F174C8"/>
    <w:rsid w:val="00F17C8E"/>
    <w:rsid w:val="00F21571"/>
    <w:rsid w:val="00F21701"/>
    <w:rsid w:val="00F21D46"/>
    <w:rsid w:val="00F224A2"/>
    <w:rsid w:val="00F22B85"/>
    <w:rsid w:val="00F23584"/>
    <w:rsid w:val="00F264B5"/>
    <w:rsid w:val="00F31C14"/>
    <w:rsid w:val="00F33143"/>
    <w:rsid w:val="00F333C7"/>
    <w:rsid w:val="00F353F6"/>
    <w:rsid w:val="00F35F81"/>
    <w:rsid w:val="00F40F59"/>
    <w:rsid w:val="00F41493"/>
    <w:rsid w:val="00F418DA"/>
    <w:rsid w:val="00F41BE0"/>
    <w:rsid w:val="00F435DD"/>
    <w:rsid w:val="00F448CB"/>
    <w:rsid w:val="00F44DBF"/>
    <w:rsid w:val="00F4628E"/>
    <w:rsid w:val="00F46506"/>
    <w:rsid w:val="00F46835"/>
    <w:rsid w:val="00F47FBB"/>
    <w:rsid w:val="00F5040D"/>
    <w:rsid w:val="00F508AF"/>
    <w:rsid w:val="00F51E0A"/>
    <w:rsid w:val="00F5467F"/>
    <w:rsid w:val="00F54980"/>
    <w:rsid w:val="00F5507D"/>
    <w:rsid w:val="00F55865"/>
    <w:rsid w:val="00F57AB5"/>
    <w:rsid w:val="00F60052"/>
    <w:rsid w:val="00F60223"/>
    <w:rsid w:val="00F60337"/>
    <w:rsid w:val="00F60506"/>
    <w:rsid w:val="00F6183F"/>
    <w:rsid w:val="00F623B4"/>
    <w:rsid w:val="00F62D36"/>
    <w:rsid w:val="00F638D7"/>
    <w:rsid w:val="00F67243"/>
    <w:rsid w:val="00F70554"/>
    <w:rsid w:val="00F70E64"/>
    <w:rsid w:val="00F73006"/>
    <w:rsid w:val="00F7433E"/>
    <w:rsid w:val="00F75F4E"/>
    <w:rsid w:val="00F76265"/>
    <w:rsid w:val="00F768C1"/>
    <w:rsid w:val="00F779FA"/>
    <w:rsid w:val="00F80738"/>
    <w:rsid w:val="00F81FC9"/>
    <w:rsid w:val="00F827D5"/>
    <w:rsid w:val="00F8333F"/>
    <w:rsid w:val="00F84829"/>
    <w:rsid w:val="00F875D4"/>
    <w:rsid w:val="00F87687"/>
    <w:rsid w:val="00F903E4"/>
    <w:rsid w:val="00F90BF7"/>
    <w:rsid w:val="00F96B62"/>
    <w:rsid w:val="00FA1904"/>
    <w:rsid w:val="00FA2F68"/>
    <w:rsid w:val="00FA33EB"/>
    <w:rsid w:val="00FA4870"/>
    <w:rsid w:val="00FA48CB"/>
    <w:rsid w:val="00FA592F"/>
    <w:rsid w:val="00FA5A05"/>
    <w:rsid w:val="00FA70AC"/>
    <w:rsid w:val="00FB04B2"/>
    <w:rsid w:val="00FB0E32"/>
    <w:rsid w:val="00FB469E"/>
    <w:rsid w:val="00FB4D3F"/>
    <w:rsid w:val="00FB5212"/>
    <w:rsid w:val="00FB652C"/>
    <w:rsid w:val="00FB6B1D"/>
    <w:rsid w:val="00FC31DD"/>
    <w:rsid w:val="00FC448F"/>
    <w:rsid w:val="00FC47B3"/>
    <w:rsid w:val="00FC4DAC"/>
    <w:rsid w:val="00FC4EFA"/>
    <w:rsid w:val="00FC73CD"/>
    <w:rsid w:val="00FD0ABE"/>
    <w:rsid w:val="00FD3B73"/>
    <w:rsid w:val="00FD4E59"/>
    <w:rsid w:val="00FD4E70"/>
    <w:rsid w:val="00FD551D"/>
    <w:rsid w:val="00FD5AA4"/>
    <w:rsid w:val="00FD7D8E"/>
    <w:rsid w:val="00FD7FD2"/>
    <w:rsid w:val="00FE1BB4"/>
    <w:rsid w:val="00FE1FD7"/>
    <w:rsid w:val="00FE2468"/>
    <w:rsid w:val="00FE33BA"/>
    <w:rsid w:val="00FE4089"/>
    <w:rsid w:val="00FE4856"/>
    <w:rsid w:val="00FE6C91"/>
    <w:rsid w:val="00FE7A23"/>
    <w:rsid w:val="00FF0255"/>
    <w:rsid w:val="00FF16EE"/>
    <w:rsid w:val="00FF1A4D"/>
    <w:rsid w:val="00FF2333"/>
    <w:rsid w:val="00FF403B"/>
    <w:rsid w:val="00FF4377"/>
    <w:rsid w:val="00FF634A"/>
    <w:rsid w:val="0125C6BA"/>
    <w:rsid w:val="0199B663"/>
    <w:rsid w:val="01A04522"/>
    <w:rsid w:val="02A36A79"/>
    <w:rsid w:val="04254D38"/>
    <w:rsid w:val="05345C3F"/>
    <w:rsid w:val="066FCCF7"/>
    <w:rsid w:val="06A543B8"/>
    <w:rsid w:val="073C0DCF"/>
    <w:rsid w:val="07B2A97C"/>
    <w:rsid w:val="08442A31"/>
    <w:rsid w:val="084A340A"/>
    <w:rsid w:val="097CF45A"/>
    <w:rsid w:val="09E8AC67"/>
    <w:rsid w:val="0A4B4496"/>
    <w:rsid w:val="0B6BC41C"/>
    <w:rsid w:val="0BF69CAA"/>
    <w:rsid w:val="0CBD738A"/>
    <w:rsid w:val="0DDA0FDD"/>
    <w:rsid w:val="0E77AE36"/>
    <w:rsid w:val="0EBD3A82"/>
    <w:rsid w:val="0F0235E3"/>
    <w:rsid w:val="0F31CE86"/>
    <w:rsid w:val="0F862B02"/>
    <w:rsid w:val="10EAA7E3"/>
    <w:rsid w:val="12436572"/>
    <w:rsid w:val="1305191D"/>
    <w:rsid w:val="133FDD45"/>
    <w:rsid w:val="13BD6AF0"/>
    <w:rsid w:val="13E52296"/>
    <w:rsid w:val="13E704A9"/>
    <w:rsid w:val="1562DF37"/>
    <w:rsid w:val="1570069C"/>
    <w:rsid w:val="158DC46C"/>
    <w:rsid w:val="15FF612C"/>
    <w:rsid w:val="1656AF85"/>
    <w:rsid w:val="17118C17"/>
    <w:rsid w:val="172994CD"/>
    <w:rsid w:val="17D98FC1"/>
    <w:rsid w:val="18266623"/>
    <w:rsid w:val="18AB14D1"/>
    <w:rsid w:val="18C5652E"/>
    <w:rsid w:val="18E06B81"/>
    <w:rsid w:val="1903DAF0"/>
    <w:rsid w:val="1957DFBB"/>
    <w:rsid w:val="19718BDF"/>
    <w:rsid w:val="19FC7A9B"/>
    <w:rsid w:val="1AAEA0DE"/>
    <w:rsid w:val="1AF3B01C"/>
    <w:rsid w:val="1B2A7956"/>
    <w:rsid w:val="1B53F301"/>
    <w:rsid w:val="1B6F4B6B"/>
    <w:rsid w:val="1B9A6B4C"/>
    <w:rsid w:val="1BCE92BF"/>
    <w:rsid w:val="1DB007D3"/>
    <w:rsid w:val="1E138F28"/>
    <w:rsid w:val="1EE2CAFD"/>
    <w:rsid w:val="1F23F535"/>
    <w:rsid w:val="1F4BD834"/>
    <w:rsid w:val="1F783C14"/>
    <w:rsid w:val="20223564"/>
    <w:rsid w:val="20C1494B"/>
    <w:rsid w:val="21143F12"/>
    <w:rsid w:val="213011F5"/>
    <w:rsid w:val="217CCF8E"/>
    <w:rsid w:val="21A09281"/>
    <w:rsid w:val="21E89B82"/>
    <w:rsid w:val="224DD289"/>
    <w:rsid w:val="2291F794"/>
    <w:rsid w:val="2294F3E7"/>
    <w:rsid w:val="22E02770"/>
    <w:rsid w:val="22F29BFE"/>
    <w:rsid w:val="234B2660"/>
    <w:rsid w:val="2561D0B4"/>
    <w:rsid w:val="2572D0D0"/>
    <w:rsid w:val="2679DDB9"/>
    <w:rsid w:val="26D683A6"/>
    <w:rsid w:val="273D3BFF"/>
    <w:rsid w:val="285CDA28"/>
    <w:rsid w:val="28C35FB7"/>
    <w:rsid w:val="291098B3"/>
    <w:rsid w:val="2A7EFFC4"/>
    <w:rsid w:val="2B6C3A9C"/>
    <w:rsid w:val="2CD00680"/>
    <w:rsid w:val="2CD2FBD8"/>
    <w:rsid w:val="2CEDC450"/>
    <w:rsid w:val="2D6D1D2C"/>
    <w:rsid w:val="2D803EDD"/>
    <w:rsid w:val="2DD7B795"/>
    <w:rsid w:val="2E5EC993"/>
    <w:rsid w:val="2EB39AEF"/>
    <w:rsid w:val="2EE903F3"/>
    <w:rsid w:val="2FD0F045"/>
    <w:rsid w:val="304D96D5"/>
    <w:rsid w:val="31C2FBD4"/>
    <w:rsid w:val="320B2623"/>
    <w:rsid w:val="332914FF"/>
    <w:rsid w:val="3492AF20"/>
    <w:rsid w:val="34B27B99"/>
    <w:rsid w:val="35EF09C6"/>
    <w:rsid w:val="362721AF"/>
    <w:rsid w:val="36CBF13A"/>
    <w:rsid w:val="372A2154"/>
    <w:rsid w:val="37507469"/>
    <w:rsid w:val="3774FB69"/>
    <w:rsid w:val="38ED905B"/>
    <w:rsid w:val="39009265"/>
    <w:rsid w:val="3910CBCA"/>
    <w:rsid w:val="39636C76"/>
    <w:rsid w:val="396D2654"/>
    <w:rsid w:val="39F2C706"/>
    <w:rsid w:val="3AD932A8"/>
    <w:rsid w:val="3BA0B0E8"/>
    <w:rsid w:val="3BCE98C9"/>
    <w:rsid w:val="3BE06067"/>
    <w:rsid w:val="3CB1AF6E"/>
    <w:rsid w:val="3D95F3D2"/>
    <w:rsid w:val="3ED2B447"/>
    <w:rsid w:val="3F826072"/>
    <w:rsid w:val="40322CC2"/>
    <w:rsid w:val="40CF34FD"/>
    <w:rsid w:val="40F1DA39"/>
    <w:rsid w:val="41EA6EB8"/>
    <w:rsid w:val="42ED26D6"/>
    <w:rsid w:val="4306F50A"/>
    <w:rsid w:val="4407C8A7"/>
    <w:rsid w:val="4493D12E"/>
    <w:rsid w:val="44C7980D"/>
    <w:rsid w:val="453A7CA5"/>
    <w:rsid w:val="45A59D1E"/>
    <w:rsid w:val="45BBF317"/>
    <w:rsid w:val="4624F202"/>
    <w:rsid w:val="4694FA16"/>
    <w:rsid w:val="46F67FE5"/>
    <w:rsid w:val="4754F7D1"/>
    <w:rsid w:val="47A5B717"/>
    <w:rsid w:val="48788E85"/>
    <w:rsid w:val="493F863C"/>
    <w:rsid w:val="49B667D3"/>
    <w:rsid w:val="4A9476DD"/>
    <w:rsid w:val="4B672C9B"/>
    <w:rsid w:val="4CE72738"/>
    <w:rsid w:val="4CF5B3A5"/>
    <w:rsid w:val="4D41CB59"/>
    <w:rsid w:val="4D8FC7A7"/>
    <w:rsid w:val="4E0ACCFB"/>
    <w:rsid w:val="4E2F9D89"/>
    <w:rsid w:val="4E3BC016"/>
    <w:rsid w:val="4E9F387C"/>
    <w:rsid w:val="4F371BFB"/>
    <w:rsid w:val="4FAACCAC"/>
    <w:rsid w:val="4FC0583F"/>
    <w:rsid w:val="4FDB92FC"/>
    <w:rsid w:val="4FE082CE"/>
    <w:rsid w:val="4FE419E6"/>
    <w:rsid w:val="50617D30"/>
    <w:rsid w:val="5065D819"/>
    <w:rsid w:val="506E031A"/>
    <w:rsid w:val="50DCB997"/>
    <w:rsid w:val="50FFE132"/>
    <w:rsid w:val="513A8DB6"/>
    <w:rsid w:val="517F3CB4"/>
    <w:rsid w:val="51BA35FE"/>
    <w:rsid w:val="52680B17"/>
    <w:rsid w:val="52864098"/>
    <w:rsid w:val="53B264F1"/>
    <w:rsid w:val="54CD1917"/>
    <w:rsid w:val="56D85A36"/>
    <w:rsid w:val="56DD5E16"/>
    <w:rsid w:val="595613C5"/>
    <w:rsid w:val="59586F04"/>
    <w:rsid w:val="59C1823A"/>
    <w:rsid w:val="59F95B93"/>
    <w:rsid w:val="59FE8597"/>
    <w:rsid w:val="5A028D39"/>
    <w:rsid w:val="5AC9282C"/>
    <w:rsid w:val="5B9E5D9A"/>
    <w:rsid w:val="5BC4D0A3"/>
    <w:rsid w:val="5C20E356"/>
    <w:rsid w:val="5C6A15F4"/>
    <w:rsid w:val="5CBABE78"/>
    <w:rsid w:val="5D2A2679"/>
    <w:rsid w:val="5D9F48AD"/>
    <w:rsid w:val="5DD71A68"/>
    <w:rsid w:val="5E05E655"/>
    <w:rsid w:val="5ED1F6BA"/>
    <w:rsid w:val="5FB53A63"/>
    <w:rsid w:val="601A351D"/>
    <w:rsid w:val="610F90E2"/>
    <w:rsid w:val="6165ABF4"/>
    <w:rsid w:val="617E0131"/>
    <w:rsid w:val="61FAAD69"/>
    <w:rsid w:val="62144CDC"/>
    <w:rsid w:val="6217776A"/>
    <w:rsid w:val="621C3E4D"/>
    <w:rsid w:val="62F78877"/>
    <w:rsid w:val="6365599B"/>
    <w:rsid w:val="63B32D4A"/>
    <w:rsid w:val="66AC1F5C"/>
    <w:rsid w:val="66E9DDD7"/>
    <w:rsid w:val="675BD951"/>
    <w:rsid w:val="67D6A03B"/>
    <w:rsid w:val="68028538"/>
    <w:rsid w:val="683FA0FC"/>
    <w:rsid w:val="68457D45"/>
    <w:rsid w:val="688DC9E7"/>
    <w:rsid w:val="69164BA9"/>
    <w:rsid w:val="697B85AC"/>
    <w:rsid w:val="69CEBCA1"/>
    <w:rsid w:val="6A2DD609"/>
    <w:rsid w:val="6AA421A0"/>
    <w:rsid w:val="6B9EA6BF"/>
    <w:rsid w:val="6C1A87F6"/>
    <w:rsid w:val="6C2212C8"/>
    <w:rsid w:val="6CB2BB53"/>
    <w:rsid w:val="6DF6614B"/>
    <w:rsid w:val="6E356C20"/>
    <w:rsid w:val="6E672A26"/>
    <w:rsid w:val="6F20EB43"/>
    <w:rsid w:val="6F94BA16"/>
    <w:rsid w:val="6FD3AE9A"/>
    <w:rsid w:val="70880949"/>
    <w:rsid w:val="70BC0CAC"/>
    <w:rsid w:val="716DBA11"/>
    <w:rsid w:val="72204E74"/>
    <w:rsid w:val="7260B4DD"/>
    <w:rsid w:val="72D9D709"/>
    <w:rsid w:val="732E6F84"/>
    <w:rsid w:val="746ACE33"/>
    <w:rsid w:val="76711302"/>
    <w:rsid w:val="76DDF0DE"/>
    <w:rsid w:val="770C6C3D"/>
    <w:rsid w:val="78274891"/>
    <w:rsid w:val="7874BCE3"/>
    <w:rsid w:val="78A83C9E"/>
    <w:rsid w:val="78E84A6A"/>
    <w:rsid w:val="7A7E1747"/>
    <w:rsid w:val="7AFB16FE"/>
    <w:rsid w:val="7BD95237"/>
    <w:rsid w:val="7BE1F932"/>
    <w:rsid w:val="7C07601B"/>
    <w:rsid w:val="7C3078EF"/>
    <w:rsid w:val="7C59F12D"/>
    <w:rsid w:val="7CBB65D3"/>
    <w:rsid w:val="7D684BDF"/>
    <w:rsid w:val="7E573634"/>
    <w:rsid w:val="7E57CAC5"/>
    <w:rsid w:val="7F311320"/>
    <w:rsid w:val="7F8143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CC943"/>
  <w15:docId w15:val="{C4969BF3-3E43-4532-8DD6-626D7585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88"/>
    <w:pPr>
      <w:spacing w:after="200" w:line="240" w:lineRule="auto"/>
    </w:pPr>
    <w:rPr>
      <w:rFonts w:ascii="Roboto" w:eastAsia="Times New Roman" w:hAnsi="Roboto" w:cs="Times New Roman"/>
      <w:color w:val="002554"/>
      <w:sz w:val="24"/>
      <w:szCs w:val="20"/>
    </w:rPr>
  </w:style>
  <w:style w:type="paragraph" w:styleId="Heading1">
    <w:name w:val="heading 1"/>
    <w:basedOn w:val="Normal"/>
    <w:next w:val="Normal"/>
    <w:link w:val="Heading1Char"/>
    <w:uiPriority w:val="9"/>
    <w:qFormat/>
    <w:rsid w:val="002434E8"/>
    <w:pPr>
      <w:keepNext/>
      <w:keepLines/>
      <w:spacing w:after="600" w:line="276" w:lineRule="auto"/>
      <w:outlineLvl w:val="0"/>
    </w:pPr>
    <w:rPr>
      <w:rFonts w:eastAsiaTheme="majorEastAsia" w:cstheme="minorHAnsi"/>
      <w:b/>
      <w:sz w:val="40"/>
      <w:szCs w:val="32"/>
    </w:rPr>
  </w:style>
  <w:style w:type="paragraph" w:styleId="Heading2">
    <w:name w:val="heading 2"/>
    <w:basedOn w:val="Normal"/>
    <w:next w:val="Normal"/>
    <w:link w:val="Heading2Char"/>
    <w:uiPriority w:val="9"/>
    <w:unhideWhenUsed/>
    <w:qFormat/>
    <w:rsid w:val="00CF3581"/>
    <w:pPr>
      <w:keepNext/>
      <w:keepLines/>
      <w:spacing w:before="480" w:after="240" w:line="276" w:lineRule="auto"/>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D92A10"/>
    <w:pPr>
      <w:keepNext/>
      <w:keepLines/>
      <w:spacing w:before="40"/>
      <w:outlineLvl w:val="2"/>
    </w:pPr>
    <w:rPr>
      <w:rFonts w:eastAsiaTheme="majorEastAsia" w:cstheme="minorHAnsi"/>
      <w:b/>
      <w:sz w:val="26"/>
      <w:szCs w:val="26"/>
    </w:rPr>
  </w:style>
  <w:style w:type="paragraph" w:styleId="Heading4">
    <w:name w:val="heading 4"/>
    <w:basedOn w:val="Normal"/>
    <w:next w:val="Normal"/>
    <w:link w:val="Heading4Char"/>
    <w:uiPriority w:val="9"/>
    <w:unhideWhenUsed/>
    <w:qFormat/>
    <w:rsid w:val="002E0652"/>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A1EEE"/>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A1EEE"/>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A1EEE"/>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A1EEE"/>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A1EEE"/>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Number"/>
    <w:basedOn w:val="Normal"/>
    <w:link w:val="ListParagraphChar"/>
    <w:uiPriority w:val="34"/>
    <w:qFormat/>
    <w:rsid w:val="00863B04"/>
    <w:pPr>
      <w:ind w:left="720"/>
      <w:contextualSpacing/>
    </w:pPr>
  </w:style>
  <w:style w:type="table" w:styleId="TableGrid">
    <w:name w:val="Table Grid"/>
    <w:basedOn w:val="TableNormal"/>
    <w:uiPriority w:val="39"/>
    <w:rsid w:val="0086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3B04"/>
    <w:rPr>
      <w:color w:val="002554"/>
      <w:sz w:val="16"/>
      <w:szCs w:val="16"/>
    </w:rPr>
  </w:style>
  <w:style w:type="paragraph" w:styleId="CommentText">
    <w:name w:val="annotation text"/>
    <w:basedOn w:val="Normal"/>
    <w:link w:val="CommentTextChar"/>
    <w:uiPriority w:val="99"/>
    <w:unhideWhenUsed/>
    <w:rsid w:val="00863B04"/>
  </w:style>
  <w:style w:type="character" w:customStyle="1" w:styleId="CommentTextChar">
    <w:name w:val="Comment Text Char"/>
    <w:basedOn w:val="DefaultParagraphFont"/>
    <w:link w:val="CommentText"/>
    <w:uiPriority w:val="99"/>
    <w:rsid w:val="00863B04"/>
    <w:rPr>
      <w:rFonts w:ascii="Times New Roman" w:eastAsia="Times New Roman" w:hAnsi="Times New Roman" w:cs="Times New Roman"/>
      <w:color w:val="002554"/>
      <w:sz w:val="20"/>
      <w:szCs w:val="20"/>
    </w:rPr>
  </w:style>
  <w:style w:type="paragraph" w:styleId="CommentSubject">
    <w:name w:val="annotation subject"/>
    <w:basedOn w:val="CommentText"/>
    <w:next w:val="CommentText"/>
    <w:link w:val="CommentSubjectChar"/>
    <w:uiPriority w:val="99"/>
    <w:semiHidden/>
    <w:unhideWhenUsed/>
    <w:rsid w:val="00863B04"/>
    <w:rPr>
      <w:b/>
      <w:bCs/>
    </w:rPr>
  </w:style>
  <w:style w:type="character" w:customStyle="1" w:styleId="CommentSubjectChar">
    <w:name w:val="Comment Subject Char"/>
    <w:basedOn w:val="CommentTextChar"/>
    <w:link w:val="CommentSubject"/>
    <w:uiPriority w:val="99"/>
    <w:semiHidden/>
    <w:rsid w:val="00863B04"/>
    <w:rPr>
      <w:rFonts w:ascii="Times New Roman" w:eastAsia="Times New Roman" w:hAnsi="Times New Roman" w:cs="Times New Roman"/>
      <w:b/>
      <w:bCs/>
      <w:color w:val="002554"/>
      <w:sz w:val="20"/>
      <w:szCs w:val="20"/>
    </w:rPr>
  </w:style>
  <w:style w:type="paragraph" w:styleId="BalloonText">
    <w:name w:val="Balloon Text"/>
    <w:basedOn w:val="Normal"/>
    <w:link w:val="BalloonTextChar"/>
    <w:uiPriority w:val="99"/>
    <w:semiHidden/>
    <w:unhideWhenUsed/>
    <w:rsid w:val="0086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04"/>
    <w:rPr>
      <w:rFonts w:ascii="Segoe UI" w:eastAsia="Times New Roman" w:hAnsi="Segoe UI" w:cs="Segoe UI"/>
      <w:color w:val="002554"/>
      <w:sz w:val="18"/>
      <w:szCs w:val="18"/>
    </w:rPr>
  </w:style>
  <w:style w:type="character" w:styleId="BookTitle">
    <w:name w:val="Book Title"/>
    <w:uiPriority w:val="33"/>
    <w:qFormat/>
    <w:rsid w:val="002E0652"/>
    <w:rPr>
      <w:rFonts w:ascii="Roboto" w:hAnsi="Roboto"/>
      <w:i/>
      <w:iCs/>
      <w:smallCaps/>
      <w:spacing w:val="5"/>
    </w:rPr>
  </w:style>
  <w:style w:type="paragraph" w:customStyle="1" w:styleId="Default">
    <w:name w:val="Default"/>
    <w:rsid w:val="002E0652"/>
    <w:pPr>
      <w:autoSpaceDE w:val="0"/>
      <w:autoSpaceDN w:val="0"/>
      <w:adjustRightInd w:val="0"/>
      <w:spacing w:after="0" w:line="240" w:lineRule="auto"/>
    </w:pPr>
    <w:rPr>
      <w:rFonts w:ascii="Palatino Linotype" w:hAnsi="Palatino Linotype" w:cs="Palatino Linotype"/>
      <w:color w:val="002554"/>
      <w:sz w:val="24"/>
      <w:szCs w:val="24"/>
    </w:rPr>
  </w:style>
  <w:style w:type="paragraph" w:styleId="FootnoteText">
    <w:name w:val="footnote text"/>
    <w:basedOn w:val="Normal"/>
    <w:link w:val="FootnoteTextChar"/>
    <w:uiPriority w:val="99"/>
    <w:semiHidden/>
    <w:unhideWhenUsed/>
    <w:rsid w:val="00146C19"/>
  </w:style>
  <w:style w:type="character" w:customStyle="1" w:styleId="FootnoteTextChar">
    <w:name w:val="Footnote Text Char"/>
    <w:basedOn w:val="DefaultParagraphFont"/>
    <w:link w:val="FootnoteText"/>
    <w:uiPriority w:val="99"/>
    <w:semiHidden/>
    <w:rsid w:val="00146C19"/>
    <w:rPr>
      <w:rFonts w:ascii="Times New Roman" w:eastAsia="Times New Roman" w:hAnsi="Times New Roman" w:cs="Times New Roman"/>
      <w:color w:val="002554"/>
      <w:sz w:val="20"/>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146C19"/>
    <w:rPr>
      <w:color w:val="002554"/>
      <w:vertAlign w:val="superscript"/>
    </w:rPr>
  </w:style>
  <w:style w:type="character" w:customStyle="1" w:styleId="Heading1Char">
    <w:name w:val="Heading 1 Char"/>
    <w:basedOn w:val="DefaultParagraphFont"/>
    <w:link w:val="Heading1"/>
    <w:uiPriority w:val="9"/>
    <w:rsid w:val="002434E8"/>
    <w:rPr>
      <w:rFonts w:ascii="Roboto" w:eastAsiaTheme="majorEastAsia" w:hAnsi="Roboto" w:cstheme="minorHAnsi"/>
      <w:b/>
      <w:color w:val="002554"/>
      <w:sz w:val="40"/>
      <w:szCs w:val="32"/>
    </w:rPr>
  </w:style>
  <w:style w:type="paragraph" w:styleId="Header">
    <w:name w:val="header"/>
    <w:basedOn w:val="Normal"/>
    <w:link w:val="HeaderChar"/>
    <w:uiPriority w:val="99"/>
    <w:unhideWhenUsed/>
    <w:rsid w:val="00D04578"/>
    <w:pPr>
      <w:tabs>
        <w:tab w:val="center" w:pos="4513"/>
        <w:tab w:val="right" w:pos="9026"/>
      </w:tabs>
      <w:spacing w:after="0"/>
    </w:pPr>
    <w:rPr>
      <w:sz w:val="18"/>
    </w:rPr>
  </w:style>
  <w:style w:type="character" w:customStyle="1" w:styleId="HeaderChar">
    <w:name w:val="Header Char"/>
    <w:basedOn w:val="DefaultParagraphFont"/>
    <w:link w:val="Header"/>
    <w:uiPriority w:val="99"/>
    <w:rsid w:val="00D04578"/>
    <w:rPr>
      <w:rFonts w:ascii="Roboto" w:eastAsia="Times New Roman" w:hAnsi="Roboto" w:cs="Times New Roman"/>
      <w:color w:val="002554"/>
      <w:sz w:val="18"/>
      <w:szCs w:val="20"/>
    </w:rPr>
  </w:style>
  <w:style w:type="paragraph" w:styleId="Footer">
    <w:name w:val="footer"/>
    <w:basedOn w:val="Normal"/>
    <w:link w:val="FooterChar"/>
    <w:uiPriority w:val="99"/>
    <w:unhideWhenUsed/>
    <w:rsid w:val="002E0652"/>
    <w:pPr>
      <w:tabs>
        <w:tab w:val="center" w:pos="4513"/>
        <w:tab w:val="right" w:pos="9026"/>
      </w:tabs>
    </w:pPr>
    <w:rPr>
      <w:sz w:val="16"/>
    </w:rPr>
  </w:style>
  <w:style w:type="character" w:customStyle="1" w:styleId="FooterChar">
    <w:name w:val="Footer Char"/>
    <w:basedOn w:val="DefaultParagraphFont"/>
    <w:link w:val="Footer"/>
    <w:uiPriority w:val="99"/>
    <w:rsid w:val="002E0652"/>
    <w:rPr>
      <w:rFonts w:ascii="Roboto" w:eastAsia="Times New Roman" w:hAnsi="Roboto" w:cs="Times New Roman"/>
      <w:color w:val="002554"/>
      <w:sz w:val="16"/>
      <w:szCs w:val="20"/>
    </w:rPr>
  </w:style>
  <w:style w:type="character" w:customStyle="1" w:styleId="Heading2Char">
    <w:name w:val="Heading 2 Char"/>
    <w:basedOn w:val="DefaultParagraphFont"/>
    <w:link w:val="Heading2"/>
    <w:uiPriority w:val="9"/>
    <w:rsid w:val="00CF3581"/>
    <w:rPr>
      <w:rFonts w:ascii="Roboto" w:eastAsiaTheme="majorEastAsia" w:hAnsi="Roboto" w:cstheme="minorHAnsi"/>
      <w:b/>
      <w:color w:val="002554"/>
      <w:sz w:val="28"/>
      <w:szCs w:val="26"/>
    </w:rPr>
  </w:style>
  <w:style w:type="paragraph" w:styleId="NoSpacing">
    <w:name w:val="No Spacing"/>
    <w:link w:val="NoSpacingChar"/>
    <w:uiPriority w:val="1"/>
    <w:qFormat/>
    <w:rsid w:val="00B43C0A"/>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D92A10"/>
    <w:rPr>
      <w:rFonts w:ascii="Roboto" w:eastAsiaTheme="majorEastAsia" w:hAnsi="Roboto" w:cstheme="minorHAnsi"/>
      <w:b/>
      <w:color w:val="002554"/>
      <w:sz w:val="26"/>
      <w:szCs w:val="26"/>
    </w:rPr>
  </w:style>
  <w:style w:type="character" w:styleId="Hyperlink">
    <w:name w:val="Hyperlink"/>
    <w:basedOn w:val="DefaultParagraphFont"/>
    <w:uiPriority w:val="99"/>
    <w:unhideWhenUsed/>
    <w:rsid w:val="00D04578"/>
    <w:rPr>
      <w:color w:val="002554"/>
      <w:u w:val="single"/>
    </w:rPr>
  </w:style>
  <w:style w:type="paragraph" w:styleId="Revision">
    <w:name w:val="Revision"/>
    <w:hidden/>
    <w:uiPriority w:val="99"/>
    <w:semiHidden/>
    <w:rsid w:val="006778FD"/>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CF3581"/>
    <w:rPr>
      <w:rFonts w:ascii="Roboto" w:hAnsi="Roboto"/>
      <w:color w:val="002554"/>
    </w:rPr>
  </w:style>
  <w:style w:type="character" w:customStyle="1" w:styleId="spellingerror">
    <w:name w:val="spellingerror"/>
    <w:basedOn w:val="DefaultParagraphFont"/>
    <w:rsid w:val="00D549C2"/>
    <w:rPr>
      <w:color w:val="002554"/>
    </w:rPr>
  </w:style>
  <w:style w:type="paragraph" w:customStyle="1" w:styleId="paragraph">
    <w:name w:val="paragraph"/>
    <w:basedOn w:val="Normal"/>
    <w:rsid w:val="000230BA"/>
    <w:pPr>
      <w:spacing w:before="100" w:beforeAutospacing="1" w:after="100" w:afterAutospacing="1"/>
    </w:pPr>
    <w:rPr>
      <w:szCs w:val="24"/>
      <w:lang w:eastAsia="en-AU"/>
    </w:rPr>
  </w:style>
  <w:style w:type="character" w:customStyle="1" w:styleId="eop">
    <w:name w:val="eop"/>
    <w:basedOn w:val="DefaultParagraphFont"/>
    <w:rsid w:val="000230BA"/>
    <w:rPr>
      <w:color w:val="002554"/>
    </w:rPr>
  </w:style>
  <w:style w:type="paragraph" w:customStyle="1" w:styleId="ColorfulList-Accent11">
    <w:name w:val="Colorful List - Accent 11"/>
    <w:basedOn w:val="Normal"/>
    <w:uiPriority w:val="34"/>
    <w:qFormat/>
    <w:rsid w:val="002E0652"/>
    <w:pPr>
      <w:ind w:left="720"/>
      <w:contextualSpacing/>
    </w:pPr>
    <w:rPr>
      <w:rFonts w:eastAsia="MS Mincho"/>
      <w:szCs w:val="24"/>
      <w:lang w:val="en-US"/>
    </w:rPr>
  </w:style>
  <w:style w:type="character" w:customStyle="1" w:styleId="Heading4Char">
    <w:name w:val="Heading 4 Char"/>
    <w:basedOn w:val="DefaultParagraphFont"/>
    <w:link w:val="Heading4"/>
    <w:uiPriority w:val="9"/>
    <w:rsid w:val="002E0652"/>
    <w:rPr>
      <w:rFonts w:ascii="Roboto" w:eastAsiaTheme="majorEastAsia" w:hAnsi="Roboto" w:cstheme="majorBidi"/>
      <w:i/>
      <w:iCs/>
      <w:color w:val="002554"/>
      <w:sz w:val="24"/>
      <w:szCs w:val="20"/>
    </w:rPr>
  </w:style>
  <w:style w:type="paragraph" w:customStyle="1" w:styleId="Bulletedlist">
    <w:name w:val="Bulleted list"/>
    <w:basedOn w:val="ListParagraph"/>
    <w:link w:val="BulletedlistChar"/>
    <w:qFormat/>
    <w:rsid w:val="00C85666"/>
    <w:pPr>
      <w:numPr>
        <w:numId w:val="1"/>
      </w:numPr>
      <w:spacing w:line="192" w:lineRule="auto"/>
      <w:ind w:left="340" w:hanging="340"/>
    </w:pPr>
    <w:rPr>
      <w:rFonts w:eastAsiaTheme="majorEastAsia"/>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E64D37"/>
    <w:rPr>
      <w:rFonts w:eastAsia="Times New Roman" w:cs="Times New Roman"/>
      <w:color w:val="002554"/>
      <w:szCs w:val="20"/>
    </w:rPr>
  </w:style>
  <w:style w:type="character" w:customStyle="1" w:styleId="BulletedlistChar">
    <w:name w:val="Bulleted list Char"/>
    <w:basedOn w:val="ListParagraphChar"/>
    <w:link w:val="Bulletedlist"/>
    <w:rsid w:val="00C85666"/>
    <w:rPr>
      <w:rFonts w:ascii="Roboto" w:eastAsiaTheme="majorEastAsia" w:hAnsi="Roboto" w:cs="Times New Roman"/>
      <w:color w:val="002554"/>
      <w:sz w:val="24"/>
      <w:szCs w:val="20"/>
    </w:rPr>
  </w:style>
  <w:style w:type="character" w:styleId="Mention">
    <w:name w:val="Mention"/>
    <w:basedOn w:val="DefaultParagraphFont"/>
    <w:uiPriority w:val="99"/>
    <w:unhideWhenUsed/>
    <w:rPr>
      <w:color w:val="2B579A"/>
      <w:shd w:val="clear" w:color="auto" w:fill="E6E6E6"/>
    </w:rPr>
  </w:style>
  <w:style w:type="paragraph" w:customStyle="1" w:styleId="p1">
    <w:name w:val="p1"/>
    <w:basedOn w:val="Normal"/>
    <w:rsid w:val="003A1EEE"/>
    <w:pPr>
      <w:spacing w:before="100" w:beforeAutospacing="1" w:after="100" w:afterAutospacing="1"/>
    </w:pPr>
    <w:rPr>
      <w:szCs w:val="24"/>
      <w:lang w:eastAsia="en-AU"/>
    </w:rPr>
  </w:style>
  <w:style w:type="character" w:customStyle="1" w:styleId="s1">
    <w:name w:val="s1"/>
    <w:basedOn w:val="DefaultParagraphFont"/>
    <w:rsid w:val="002E0652"/>
    <w:rPr>
      <w:color w:val="002554"/>
    </w:rPr>
  </w:style>
  <w:style w:type="character" w:customStyle="1" w:styleId="Heading5Char">
    <w:name w:val="Heading 5 Char"/>
    <w:basedOn w:val="DefaultParagraphFont"/>
    <w:link w:val="Heading5"/>
    <w:uiPriority w:val="9"/>
    <w:semiHidden/>
    <w:rsid w:val="003A1EEE"/>
    <w:rPr>
      <w:rFonts w:ascii="Roboto" w:eastAsiaTheme="majorEastAsia" w:hAnsi="Roboto" w:cstheme="majorBidi"/>
      <w:color w:val="002554"/>
      <w:szCs w:val="20"/>
    </w:rPr>
  </w:style>
  <w:style w:type="numbering" w:customStyle="1" w:styleId="CurrentList1">
    <w:name w:val="Current List1"/>
    <w:uiPriority w:val="99"/>
    <w:rsid w:val="00CF3581"/>
    <w:pPr>
      <w:numPr>
        <w:numId w:val="2"/>
      </w:numPr>
    </w:pPr>
  </w:style>
  <w:style w:type="character" w:customStyle="1" w:styleId="Heading6Char">
    <w:name w:val="Heading 6 Char"/>
    <w:basedOn w:val="DefaultParagraphFont"/>
    <w:link w:val="Heading6"/>
    <w:uiPriority w:val="9"/>
    <w:semiHidden/>
    <w:rsid w:val="003A1EEE"/>
    <w:rPr>
      <w:rFonts w:ascii="Roboto" w:eastAsiaTheme="majorEastAsia" w:hAnsi="Roboto" w:cstheme="majorBidi"/>
      <w:color w:val="002554"/>
      <w:szCs w:val="20"/>
    </w:rPr>
  </w:style>
  <w:style w:type="character" w:customStyle="1" w:styleId="Heading7Char">
    <w:name w:val="Heading 7 Char"/>
    <w:basedOn w:val="DefaultParagraphFont"/>
    <w:link w:val="Heading7"/>
    <w:uiPriority w:val="9"/>
    <w:semiHidden/>
    <w:rsid w:val="003A1EEE"/>
    <w:rPr>
      <w:rFonts w:ascii="Roboto" w:eastAsiaTheme="majorEastAsia" w:hAnsi="Roboto" w:cstheme="majorBidi"/>
      <w:i/>
      <w:iCs/>
      <w:color w:val="002554"/>
      <w:szCs w:val="20"/>
    </w:rPr>
  </w:style>
  <w:style w:type="character" w:customStyle="1" w:styleId="Heading8Char">
    <w:name w:val="Heading 8 Char"/>
    <w:basedOn w:val="DefaultParagraphFont"/>
    <w:link w:val="Heading8"/>
    <w:uiPriority w:val="9"/>
    <w:semiHidden/>
    <w:rsid w:val="003A1EEE"/>
    <w:rPr>
      <w:rFonts w:ascii="Roboto" w:eastAsiaTheme="majorEastAsia" w:hAnsi="Roboto" w:cstheme="majorBidi"/>
      <w:color w:val="002554"/>
      <w:sz w:val="21"/>
      <w:szCs w:val="21"/>
    </w:rPr>
  </w:style>
  <w:style w:type="character" w:customStyle="1" w:styleId="Heading9Char">
    <w:name w:val="Heading 9 Char"/>
    <w:basedOn w:val="DefaultParagraphFont"/>
    <w:link w:val="Heading9"/>
    <w:uiPriority w:val="9"/>
    <w:semiHidden/>
    <w:rsid w:val="003A1EEE"/>
    <w:rPr>
      <w:rFonts w:ascii="Roboto" w:eastAsiaTheme="majorEastAsia" w:hAnsi="Roboto" w:cstheme="majorBidi"/>
      <w:i/>
      <w:iCs/>
      <w:color w:val="002554"/>
      <w:sz w:val="21"/>
      <w:szCs w:val="21"/>
    </w:rPr>
  </w:style>
  <w:style w:type="paragraph" w:styleId="Title">
    <w:name w:val="Title"/>
    <w:basedOn w:val="Normal"/>
    <w:next w:val="Normal"/>
    <w:link w:val="TitleChar"/>
    <w:uiPriority w:val="10"/>
    <w:qFormat/>
    <w:rsid w:val="003A1EE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A1EEE"/>
    <w:rPr>
      <w:rFonts w:ascii="Roboto" w:eastAsiaTheme="majorEastAsia" w:hAnsi="Roboto" w:cstheme="majorBidi"/>
      <w:color w:val="002554"/>
      <w:spacing w:val="-10"/>
      <w:kern w:val="28"/>
      <w:sz w:val="56"/>
      <w:szCs w:val="56"/>
    </w:rPr>
  </w:style>
  <w:style w:type="paragraph" w:styleId="Subtitle">
    <w:name w:val="Subtitle"/>
    <w:basedOn w:val="Normal"/>
    <w:next w:val="Normal"/>
    <w:link w:val="SubtitleChar"/>
    <w:uiPriority w:val="11"/>
    <w:qFormat/>
    <w:rsid w:val="003A1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EEE"/>
    <w:rPr>
      <w:rFonts w:ascii="Roboto" w:eastAsiaTheme="minorEastAsia" w:hAnsi="Roboto"/>
      <w:color w:val="5A5A5A" w:themeColor="text1" w:themeTint="A5"/>
      <w:spacing w:val="15"/>
    </w:rPr>
  </w:style>
  <w:style w:type="character" w:styleId="SubtleEmphasis">
    <w:name w:val="Subtle Emphasis"/>
    <w:basedOn w:val="DefaultParagraphFont"/>
    <w:uiPriority w:val="19"/>
    <w:qFormat/>
    <w:rsid w:val="003A1EEE"/>
    <w:rPr>
      <w:i/>
      <w:iCs/>
      <w:color w:val="002554"/>
    </w:rPr>
  </w:style>
  <w:style w:type="character" w:styleId="Emphasis">
    <w:name w:val="Emphasis"/>
    <w:basedOn w:val="DefaultParagraphFont"/>
    <w:uiPriority w:val="20"/>
    <w:qFormat/>
    <w:rsid w:val="003A1EEE"/>
    <w:rPr>
      <w:i/>
      <w:iCs/>
      <w:color w:val="002554"/>
    </w:rPr>
  </w:style>
  <w:style w:type="character" w:styleId="Strong">
    <w:name w:val="Strong"/>
    <w:basedOn w:val="DefaultParagraphFont"/>
    <w:uiPriority w:val="22"/>
    <w:qFormat/>
    <w:rsid w:val="003A1EEE"/>
    <w:rPr>
      <w:b/>
      <w:bCs/>
      <w:color w:val="002554"/>
    </w:rPr>
  </w:style>
  <w:style w:type="paragraph" w:styleId="IntenseQuote">
    <w:name w:val="Intense Quote"/>
    <w:basedOn w:val="Normal"/>
    <w:next w:val="Normal"/>
    <w:link w:val="IntenseQuoteChar"/>
    <w:uiPriority w:val="30"/>
    <w:qFormat/>
    <w:rsid w:val="003A1EEE"/>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A1EEE"/>
    <w:rPr>
      <w:rFonts w:ascii="Roboto" w:eastAsia="Times New Roman" w:hAnsi="Roboto" w:cs="Times New Roman"/>
      <w:i/>
      <w:iCs/>
      <w:color w:val="002554"/>
      <w:szCs w:val="20"/>
    </w:rPr>
  </w:style>
  <w:style w:type="paragraph" w:styleId="TOCHeading">
    <w:name w:val="TOC Heading"/>
    <w:basedOn w:val="Heading1"/>
    <w:next w:val="Normal"/>
    <w:uiPriority w:val="39"/>
    <w:semiHidden/>
    <w:unhideWhenUsed/>
    <w:qFormat/>
    <w:rsid w:val="00CB2ED7"/>
    <w:pPr>
      <w:spacing w:before="240" w:after="0" w:line="240" w:lineRule="auto"/>
      <w:outlineLvl w:val="9"/>
    </w:pPr>
    <w:rPr>
      <w:rFonts w:cstheme="majorBidi"/>
      <w:b w:val="0"/>
      <w:sz w:val="32"/>
    </w:rPr>
  </w:style>
  <w:style w:type="paragraph" w:styleId="BlockText">
    <w:name w:val="Block Text"/>
    <w:basedOn w:val="Normal"/>
    <w:uiPriority w:val="99"/>
    <w:semiHidden/>
    <w:unhideWhenUsed/>
    <w:rsid w:val="00CB2E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character" w:styleId="UnresolvedMention">
    <w:name w:val="Unresolved Mention"/>
    <w:basedOn w:val="DefaultParagraphFont"/>
    <w:uiPriority w:val="99"/>
    <w:semiHidden/>
    <w:unhideWhenUsed/>
    <w:rsid w:val="00D04578"/>
    <w:rPr>
      <w:color w:val="605E5C"/>
      <w:shd w:val="clear" w:color="auto" w:fill="E1DFDD"/>
    </w:rPr>
  </w:style>
  <w:style w:type="paragraph" w:styleId="ListNumber">
    <w:name w:val="List Number"/>
    <w:basedOn w:val="Normal"/>
    <w:uiPriority w:val="99"/>
    <w:unhideWhenUsed/>
    <w:rsid w:val="009876CB"/>
    <w:pPr>
      <w:numPr>
        <w:numId w:val="3"/>
      </w:numPr>
      <w:contextualSpacing/>
    </w:pPr>
  </w:style>
  <w:style w:type="paragraph" w:styleId="ListNumber2">
    <w:name w:val="List Number 2"/>
    <w:basedOn w:val="Normal"/>
    <w:uiPriority w:val="99"/>
    <w:unhideWhenUsed/>
    <w:rsid w:val="004312E8"/>
    <w:pPr>
      <w:numPr>
        <w:numId w:val="4"/>
      </w:numPr>
      <w:contextualSpacing/>
    </w:pPr>
  </w:style>
  <w:style w:type="character" w:styleId="FollowedHyperlink">
    <w:name w:val="FollowedHyperlink"/>
    <w:basedOn w:val="DefaultParagraphFont"/>
    <w:uiPriority w:val="99"/>
    <w:semiHidden/>
    <w:unhideWhenUsed/>
    <w:rsid w:val="005464A7"/>
    <w:rPr>
      <w:color w:val="954F72" w:themeColor="followedHyperlink"/>
      <w:u w:val="single"/>
    </w:rPr>
  </w:style>
  <w:style w:type="paragraph" w:styleId="NormalWeb">
    <w:name w:val="Normal (Web)"/>
    <w:basedOn w:val="Normal"/>
    <w:uiPriority w:val="99"/>
    <w:semiHidden/>
    <w:unhideWhenUsed/>
    <w:rsid w:val="000856A3"/>
    <w:pPr>
      <w:spacing w:before="100" w:beforeAutospacing="1" w:after="100" w:afterAutospacing="1"/>
    </w:pPr>
    <w:rPr>
      <w:rFonts w:ascii="Times New Roman" w:hAnsi="Times New Roman"/>
      <w:color w:val="auto"/>
      <w:szCs w:val="24"/>
      <w:lang w:eastAsia="en-GB"/>
    </w:rPr>
  </w:style>
  <w:style w:type="character" w:customStyle="1" w:styleId="NoSpacingChar">
    <w:name w:val="No Spacing Char"/>
    <w:basedOn w:val="DefaultParagraphFont"/>
    <w:link w:val="NoSpacing"/>
    <w:uiPriority w:val="1"/>
    <w:rsid w:val="00642DF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662">
      <w:bodyDiv w:val="1"/>
      <w:marLeft w:val="0"/>
      <w:marRight w:val="0"/>
      <w:marTop w:val="0"/>
      <w:marBottom w:val="0"/>
      <w:divBdr>
        <w:top w:val="none" w:sz="0" w:space="0" w:color="auto"/>
        <w:left w:val="none" w:sz="0" w:space="0" w:color="auto"/>
        <w:bottom w:val="none" w:sz="0" w:space="0" w:color="auto"/>
        <w:right w:val="none" w:sz="0" w:space="0" w:color="auto"/>
      </w:divBdr>
    </w:div>
    <w:div w:id="180318385">
      <w:bodyDiv w:val="1"/>
      <w:marLeft w:val="0"/>
      <w:marRight w:val="0"/>
      <w:marTop w:val="0"/>
      <w:marBottom w:val="0"/>
      <w:divBdr>
        <w:top w:val="none" w:sz="0" w:space="0" w:color="auto"/>
        <w:left w:val="none" w:sz="0" w:space="0" w:color="auto"/>
        <w:bottom w:val="none" w:sz="0" w:space="0" w:color="auto"/>
        <w:right w:val="none" w:sz="0" w:space="0" w:color="auto"/>
      </w:divBdr>
    </w:div>
    <w:div w:id="208537040">
      <w:bodyDiv w:val="1"/>
      <w:marLeft w:val="0"/>
      <w:marRight w:val="0"/>
      <w:marTop w:val="0"/>
      <w:marBottom w:val="0"/>
      <w:divBdr>
        <w:top w:val="none" w:sz="0" w:space="0" w:color="auto"/>
        <w:left w:val="none" w:sz="0" w:space="0" w:color="auto"/>
        <w:bottom w:val="none" w:sz="0" w:space="0" w:color="auto"/>
        <w:right w:val="none" w:sz="0" w:space="0" w:color="auto"/>
      </w:divBdr>
    </w:div>
    <w:div w:id="526067446">
      <w:bodyDiv w:val="1"/>
      <w:marLeft w:val="0"/>
      <w:marRight w:val="0"/>
      <w:marTop w:val="0"/>
      <w:marBottom w:val="0"/>
      <w:divBdr>
        <w:top w:val="none" w:sz="0" w:space="0" w:color="auto"/>
        <w:left w:val="none" w:sz="0" w:space="0" w:color="auto"/>
        <w:bottom w:val="none" w:sz="0" w:space="0" w:color="auto"/>
        <w:right w:val="none" w:sz="0" w:space="0" w:color="auto"/>
      </w:divBdr>
    </w:div>
    <w:div w:id="566065636">
      <w:bodyDiv w:val="1"/>
      <w:marLeft w:val="0"/>
      <w:marRight w:val="0"/>
      <w:marTop w:val="0"/>
      <w:marBottom w:val="0"/>
      <w:divBdr>
        <w:top w:val="none" w:sz="0" w:space="0" w:color="auto"/>
        <w:left w:val="none" w:sz="0" w:space="0" w:color="auto"/>
        <w:bottom w:val="none" w:sz="0" w:space="0" w:color="auto"/>
        <w:right w:val="none" w:sz="0" w:space="0" w:color="auto"/>
      </w:divBdr>
    </w:div>
    <w:div w:id="868445724">
      <w:bodyDiv w:val="1"/>
      <w:marLeft w:val="0"/>
      <w:marRight w:val="0"/>
      <w:marTop w:val="0"/>
      <w:marBottom w:val="0"/>
      <w:divBdr>
        <w:top w:val="none" w:sz="0" w:space="0" w:color="auto"/>
        <w:left w:val="none" w:sz="0" w:space="0" w:color="auto"/>
        <w:bottom w:val="none" w:sz="0" w:space="0" w:color="auto"/>
        <w:right w:val="none" w:sz="0" w:space="0" w:color="auto"/>
      </w:divBdr>
    </w:div>
    <w:div w:id="894394639">
      <w:bodyDiv w:val="1"/>
      <w:marLeft w:val="0"/>
      <w:marRight w:val="0"/>
      <w:marTop w:val="0"/>
      <w:marBottom w:val="0"/>
      <w:divBdr>
        <w:top w:val="none" w:sz="0" w:space="0" w:color="auto"/>
        <w:left w:val="none" w:sz="0" w:space="0" w:color="auto"/>
        <w:bottom w:val="none" w:sz="0" w:space="0" w:color="auto"/>
        <w:right w:val="none" w:sz="0" w:space="0" w:color="auto"/>
      </w:divBdr>
      <w:divsChild>
        <w:div w:id="1538393173">
          <w:marLeft w:val="0"/>
          <w:marRight w:val="0"/>
          <w:marTop w:val="0"/>
          <w:marBottom w:val="0"/>
          <w:divBdr>
            <w:top w:val="none" w:sz="0" w:space="0" w:color="auto"/>
            <w:left w:val="none" w:sz="0" w:space="0" w:color="auto"/>
            <w:bottom w:val="none" w:sz="0" w:space="0" w:color="auto"/>
            <w:right w:val="none" w:sz="0" w:space="0" w:color="auto"/>
          </w:divBdr>
          <w:divsChild>
            <w:div w:id="246229224">
              <w:marLeft w:val="0"/>
              <w:marRight w:val="0"/>
              <w:marTop w:val="0"/>
              <w:marBottom w:val="0"/>
              <w:divBdr>
                <w:top w:val="none" w:sz="0" w:space="0" w:color="auto"/>
                <w:left w:val="none" w:sz="0" w:space="0" w:color="auto"/>
                <w:bottom w:val="none" w:sz="0" w:space="0" w:color="auto"/>
                <w:right w:val="none" w:sz="0" w:space="0" w:color="auto"/>
              </w:divBdr>
            </w:div>
            <w:div w:id="515580026">
              <w:marLeft w:val="0"/>
              <w:marRight w:val="0"/>
              <w:marTop w:val="0"/>
              <w:marBottom w:val="0"/>
              <w:divBdr>
                <w:top w:val="none" w:sz="0" w:space="0" w:color="auto"/>
                <w:left w:val="none" w:sz="0" w:space="0" w:color="auto"/>
                <w:bottom w:val="none" w:sz="0" w:space="0" w:color="auto"/>
                <w:right w:val="none" w:sz="0" w:space="0" w:color="auto"/>
              </w:divBdr>
            </w:div>
            <w:div w:id="594440529">
              <w:marLeft w:val="0"/>
              <w:marRight w:val="0"/>
              <w:marTop w:val="0"/>
              <w:marBottom w:val="0"/>
              <w:divBdr>
                <w:top w:val="none" w:sz="0" w:space="0" w:color="auto"/>
                <w:left w:val="none" w:sz="0" w:space="0" w:color="auto"/>
                <w:bottom w:val="none" w:sz="0" w:space="0" w:color="auto"/>
                <w:right w:val="none" w:sz="0" w:space="0" w:color="auto"/>
              </w:divBdr>
            </w:div>
            <w:div w:id="773719023">
              <w:marLeft w:val="0"/>
              <w:marRight w:val="0"/>
              <w:marTop w:val="0"/>
              <w:marBottom w:val="0"/>
              <w:divBdr>
                <w:top w:val="none" w:sz="0" w:space="0" w:color="auto"/>
                <w:left w:val="none" w:sz="0" w:space="0" w:color="auto"/>
                <w:bottom w:val="none" w:sz="0" w:space="0" w:color="auto"/>
                <w:right w:val="none" w:sz="0" w:space="0" w:color="auto"/>
              </w:divBdr>
            </w:div>
            <w:div w:id="834108802">
              <w:marLeft w:val="0"/>
              <w:marRight w:val="0"/>
              <w:marTop w:val="0"/>
              <w:marBottom w:val="0"/>
              <w:divBdr>
                <w:top w:val="none" w:sz="0" w:space="0" w:color="auto"/>
                <w:left w:val="none" w:sz="0" w:space="0" w:color="auto"/>
                <w:bottom w:val="none" w:sz="0" w:space="0" w:color="auto"/>
                <w:right w:val="none" w:sz="0" w:space="0" w:color="auto"/>
              </w:divBdr>
            </w:div>
            <w:div w:id="1064180923">
              <w:marLeft w:val="0"/>
              <w:marRight w:val="0"/>
              <w:marTop w:val="0"/>
              <w:marBottom w:val="0"/>
              <w:divBdr>
                <w:top w:val="none" w:sz="0" w:space="0" w:color="auto"/>
                <w:left w:val="none" w:sz="0" w:space="0" w:color="auto"/>
                <w:bottom w:val="none" w:sz="0" w:space="0" w:color="auto"/>
                <w:right w:val="none" w:sz="0" w:space="0" w:color="auto"/>
              </w:divBdr>
            </w:div>
            <w:div w:id="1274020902">
              <w:marLeft w:val="0"/>
              <w:marRight w:val="0"/>
              <w:marTop w:val="0"/>
              <w:marBottom w:val="0"/>
              <w:divBdr>
                <w:top w:val="none" w:sz="0" w:space="0" w:color="auto"/>
                <w:left w:val="none" w:sz="0" w:space="0" w:color="auto"/>
                <w:bottom w:val="none" w:sz="0" w:space="0" w:color="auto"/>
                <w:right w:val="none" w:sz="0" w:space="0" w:color="auto"/>
              </w:divBdr>
            </w:div>
            <w:div w:id="1277833584">
              <w:marLeft w:val="0"/>
              <w:marRight w:val="0"/>
              <w:marTop w:val="0"/>
              <w:marBottom w:val="0"/>
              <w:divBdr>
                <w:top w:val="none" w:sz="0" w:space="0" w:color="auto"/>
                <w:left w:val="none" w:sz="0" w:space="0" w:color="auto"/>
                <w:bottom w:val="none" w:sz="0" w:space="0" w:color="auto"/>
                <w:right w:val="none" w:sz="0" w:space="0" w:color="auto"/>
              </w:divBdr>
            </w:div>
            <w:div w:id="1565289118">
              <w:marLeft w:val="0"/>
              <w:marRight w:val="0"/>
              <w:marTop w:val="0"/>
              <w:marBottom w:val="0"/>
              <w:divBdr>
                <w:top w:val="none" w:sz="0" w:space="0" w:color="auto"/>
                <w:left w:val="none" w:sz="0" w:space="0" w:color="auto"/>
                <w:bottom w:val="none" w:sz="0" w:space="0" w:color="auto"/>
                <w:right w:val="none" w:sz="0" w:space="0" w:color="auto"/>
              </w:divBdr>
            </w:div>
            <w:div w:id="1644969877">
              <w:marLeft w:val="0"/>
              <w:marRight w:val="0"/>
              <w:marTop w:val="0"/>
              <w:marBottom w:val="0"/>
              <w:divBdr>
                <w:top w:val="none" w:sz="0" w:space="0" w:color="auto"/>
                <w:left w:val="none" w:sz="0" w:space="0" w:color="auto"/>
                <w:bottom w:val="none" w:sz="0" w:space="0" w:color="auto"/>
                <w:right w:val="none" w:sz="0" w:space="0" w:color="auto"/>
              </w:divBdr>
            </w:div>
            <w:div w:id="1709063178">
              <w:marLeft w:val="0"/>
              <w:marRight w:val="0"/>
              <w:marTop w:val="0"/>
              <w:marBottom w:val="0"/>
              <w:divBdr>
                <w:top w:val="none" w:sz="0" w:space="0" w:color="auto"/>
                <w:left w:val="none" w:sz="0" w:space="0" w:color="auto"/>
                <w:bottom w:val="none" w:sz="0" w:space="0" w:color="auto"/>
                <w:right w:val="none" w:sz="0" w:space="0" w:color="auto"/>
              </w:divBdr>
            </w:div>
            <w:div w:id="1719235572">
              <w:marLeft w:val="0"/>
              <w:marRight w:val="0"/>
              <w:marTop w:val="0"/>
              <w:marBottom w:val="0"/>
              <w:divBdr>
                <w:top w:val="none" w:sz="0" w:space="0" w:color="auto"/>
                <w:left w:val="none" w:sz="0" w:space="0" w:color="auto"/>
                <w:bottom w:val="none" w:sz="0" w:space="0" w:color="auto"/>
                <w:right w:val="none" w:sz="0" w:space="0" w:color="auto"/>
              </w:divBdr>
            </w:div>
            <w:div w:id="1906182983">
              <w:marLeft w:val="0"/>
              <w:marRight w:val="0"/>
              <w:marTop w:val="0"/>
              <w:marBottom w:val="0"/>
              <w:divBdr>
                <w:top w:val="none" w:sz="0" w:space="0" w:color="auto"/>
                <w:left w:val="none" w:sz="0" w:space="0" w:color="auto"/>
                <w:bottom w:val="none" w:sz="0" w:space="0" w:color="auto"/>
                <w:right w:val="none" w:sz="0" w:space="0" w:color="auto"/>
              </w:divBdr>
            </w:div>
            <w:div w:id="2078087046">
              <w:marLeft w:val="0"/>
              <w:marRight w:val="0"/>
              <w:marTop w:val="0"/>
              <w:marBottom w:val="0"/>
              <w:divBdr>
                <w:top w:val="none" w:sz="0" w:space="0" w:color="auto"/>
                <w:left w:val="none" w:sz="0" w:space="0" w:color="auto"/>
                <w:bottom w:val="none" w:sz="0" w:space="0" w:color="auto"/>
                <w:right w:val="none" w:sz="0" w:space="0" w:color="auto"/>
              </w:divBdr>
            </w:div>
            <w:div w:id="21191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5076">
      <w:bodyDiv w:val="1"/>
      <w:marLeft w:val="0"/>
      <w:marRight w:val="0"/>
      <w:marTop w:val="0"/>
      <w:marBottom w:val="0"/>
      <w:divBdr>
        <w:top w:val="none" w:sz="0" w:space="0" w:color="auto"/>
        <w:left w:val="none" w:sz="0" w:space="0" w:color="auto"/>
        <w:bottom w:val="none" w:sz="0" w:space="0" w:color="auto"/>
        <w:right w:val="none" w:sz="0" w:space="0" w:color="auto"/>
      </w:divBdr>
    </w:div>
    <w:div w:id="1128738975">
      <w:bodyDiv w:val="1"/>
      <w:marLeft w:val="0"/>
      <w:marRight w:val="0"/>
      <w:marTop w:val="0"/>
      <w:marBottom w:val="0"/>
      <w:divBdr>
        <w:top w:val="none" w:sz="0" w:space="0" w:color="auto"/>
        <w:left w:val="none" w:sz="0" w:space="0" w:color="auto"/>
        <w:bottom w:val="none" w:sz="0" w:space="0" w:color="auto"/>
        <w:right w:val="none" w:sz="0" w:space="0" w:color="auto"/>
      </w:divBdr>
    </w:div>
    <w:div w:id="1173377263">
      <w:bodyDiv w:val="1"/>
      <w:marLeft w:val="0"/>
      <w:marRight w:val="0"/>
      <w:marTop w:val="0"/>
      <w:marBottom w:val="0"/>
      <w:divBdr>
        <w:top w:val="none" w:sz="0" w:space="0" w:color="auto"/>
        <w:left w:val="none" w:sz="0" w:space="0" w:color="auto"/>
        <w:bottom w:val="none" w:sz="0" w:space="0" w:color="auto"/>
        <w:right w:val="none" w:sz="0" w:space="0" w:color="auto"/>
      </w:divBdr>
    </w:div>
    <w:div w:id="1292632184">
      <w:bodyDiv w:val="1"/>
      <w:marLeft w:val="0"/>
      <w:marRight w:val="0"/>
      <w:marTop w:val="0"/>
      <w:marBottom w:val="0"/>
      <w:divBdr>
        <w:top w:val="none" w:sz="0" w:space="0" w:color="auto"/>
        <w:left w:val="none" w:sz="0" w:space="0" w:color="auto"/>
        <w:bottom w:val="none" w:sz="0" w:space="0" w:color="auto"/>
        <w:right w:val="none" w:sz="0" w:space="0" w:color="auto"/>
      </w:divBdr>
      <w:divsChild>
        <w:div w:id="1518151805">
          <w:marLeft w:val="0"/>
          <w:marRight w:val="0"/>
          <w:marTop w:val="0"/>
          <w:marBottom w:val="0"/>
          <w:divBdr>
            <w:top w:val="none" w:sz="0" w:space="0" w:color="auto"/>
            <w:left w:val="none" w:sz="0" w:space="0" w:color="auto"/>
            <w:bottom w:val="none" w:sz="0" w:space="0" w:color="auto"/>
            <w:right w:val="none" w:sz="0" w:space="0" w:color="auto"/>
          </w:divBdr>
          <w:divsChild>
            <w:div w:id="19526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4168">
      <w:bodyDiv w:val="1"/>
      <w:marLeft w:val="0"/>
      <w:marRight w:val="0"/>
      <w:marTop w:val="0"/>
      <w:marBottom w:val="0"/>
      <w:divBdr>
        <w:top w:val="none" w:sz="0" w:space="0" w:color="auto"/>
        <w:left w:val="none" w:sz="0" w:space="0" w:color="auto"/>
        <w:bottom w:val="none" w:sz="0" w:space="0" w:color="auto"/>
        <w:right w:val="none" w:sz="0" w:space="0" w:color="auto"/>
      </w:divBdr>
      <w:divsChild>
        <w:div w:id="991642828">
          <w:marLeft w:val="0"/>
          <w:marRight w:val="0"/>
          <w:marTop w:val="0"/>
          <w:marBottom w:val="0"/>
          <w:divBdr>
            <w:top w:val="none" w:sz="0" w:space="0" w:color="auto"/>
            <w:left w:val="none" w:sz="0" w:space="0" w:color="auto"/>
            <w:bottom w:val="none" w:sz="0" w:space="0" w:color="auto"/>
            <w:right w:val="none" w:sz="0" w:space="0" w:color="auto"/>
          </w:divBdr>
          <w:divsChild>
            <w:div w:id="603535353">
              <w:marLeft w:val="0"/>
              <w:marRight w:val="0"/>
              <w:marTop w:val="0"/>
              <w:marBottom w:val="0"/>
              <w:divBdr>
                <w:top w:val="none" w:sz="0" w:space="0" w:color="auto"/>
                <w:left w:val="none" w:sz="0" w:space="0" w:color="auto"/>
                <w:bottom w:val="none" w:sz="0" w:space="0" w:color="auto"/>
                <w:right w:val="none" w:sz="0" w:space="0" w:color="auto"/>
              </w:divBdr>
            </w:div>
            <w:div w:id="673603819">
              <w:marLeft w:val="0"/>
              <w:marRight w:val="0"/>
              <w:marTop w:val="0"/>
              <w:marBottom w:val="0"/>
              <w:divBdr>
                <w:top w:val="none" w:sz="0" w:space="0" w:color="auto"/>
                <w:left w:val="none" w:sz="0" w:space="0" w:color="auto"/>
                <w:bottom w:val="none" w:sz="0" w:space="0" w:color="auto"/>
                <w:right w:val="none" w:sz="0" w:space="0" w:color="auto"/>
              </w:divBdr>
            </w:div>
            <w:div w:id="1679387862">
              <w:marLeft w:val="0"/>
              <w:marRight w:val="0"/>
              <w:marTop w:val="0"/>
              <w:marBottom w:val="0"/>
              <w:divBdr>
                <w:top w:val="none" w:sz="0" w:space="0" w:color="auto"/>
                <w:left w:val="none" w:sz="0" w:space="0" w:color="auto"/>
                <w:bottom w:val="none" w:sz="0" w:space="0" w:color="auto"/>
                <w:right w:val="none" w:sz="0" w:space="0" w:color="auto"/>
              </w:divBdr>
            </w:div>
            <w:div w:id="1861435331">
              <w:marLeft w:val="0"/>
              <w:marRight w:val="0"/>
              <w:marTop w:val="0"/>
              <w:marBottom w:val="0"/>
              <w:divBdr>
                <w:top w:val="none" w:sz="0" w:space="0" w:color="auto"/>
                <w:left w:val="none" w:sz="0" w:space="0" w:color="auto"/>
                <w:bottom w:val="none" w:sz="0" w:space="0" w:color="auto"/>
                <w:right w:val="none" w:sz="0" w:space="0" w:color="auto"/>
              </w:divBdr>
            </w:div>
            <w:div w:id="18916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966">
      <w:bodyDiv w:val="1"/>
      <w:marLeft w:val="0"/>
      <w:marRight w:val="0"/>
      <w:marTop w:val="0"/>
      <w:marBottom w:val="0"/>
      <w:divBdr>
        <w:top w:val="none" w:sz="0" w:space="0" w:color="auto"/>
        <w:left w:val="none" w:sz="0" w:space="0" w:color="auto"/>
        <w:bottom w:val="none" w:sz="0" w:space="0" w:color="auto"/>
        <w:right w:val="none" w:sz="0" w:space="0" w:color="auto"/>
      </w:divBdr>
    </w:div>
    <w:div w:id="1519153146">
      <w:bodyDiv w:val="1"/>
      <w:marLeft w:val="0"/>
      <w:marRight w:val="0"/>
      <w:marTop w:val="0"/>
      <w:marBottom w:val="0"/>
      <w:divBdr>
        <w:top w:val="none" w:sz="0" w:space="0" w:color="auto"/>
        <w:left w:val="none" w:sz="0" w:space="0" w:color="auto"/>
        <w:bottom w:val="none" w:sz="0" w:space="0" w:color="auto"/>
        <w:right w:val="none" w:sz="0" w:space="0" w:color="auto"/>
      </w:divBdr>
    </w:div>
    <w:div w:id="1576939040">
      <w:bodyDiv w:val="1"/>
      <w:marLeft w:val="0"/>
      <w:marRight w:val="0"/>
      <w:marTop w:val="0"/>
      <w:marBottom w:val="0"/>
      <w:divBdr>
        <w:top w:val="none" w:sz="0" w:space="0" w:color="auto"/>
        <w:left w:val="none" w:sz="0" w:space="0" w:color="auto"/>
        <w:bottom w:val="none" w:sz="0" w:space="0" w:color="auto"/>
        <w:right w:val="none" w:sz="0" w:space="0" w:color="auto"/>
      </w:divBdr>
      <w:divsChild>
        <w:div w:id="1117987718">
          <w:marLeft w:val="0"/>
          <w:marRight w:val="0"/>
          <w:marTop w:val="30"/>
          <w:marBottom w:val="30"/>
          <w:divBdr>
            <w:top w:val="none" w:sz="0" w:space="0" w:color="auto"/>
            <w:left w:val="none" w:sz="0" w:space="0" w:color="auto"/>
            <w:bottom w:val="none" w:sz="0" w:space="0" w:color="auto"/>
            <w:right w:val="none" w:sz="0" w:space="0" w:color="auto"/>
          </w:divBdr>
          <w:divsChild>
            <w:div w:id="232007954">
              <w:marLeft w:val="0"/>
              <w:marRight w:val="0"/>
              <w:marTop w:val="0"/>
              <w:marBottom w:val="0"/>
              <w:divBdr>
                <w:top w:val="none" w:sz="0" w:space="0" w:color="auto"/>
                <w:left w:val="none" w:sz="0" w:space="0" w:color="auto"/>
                <w:bottom w:val="none" w:sz="0" w:space="0" w:color="auto"/>
                <w:right w:val="none" w:sz="0" w:space="0" w:color="auto"/>
              </w:divBdr>
              <w:divsChild>
                <w:div w:id="590813950">
                  <w:marLeft w:val="0"/>
                  <w:marRight w:val="0"/>
                  <w:marTop w:val="0"/>
                  <w:marBottom w:val="0"/>
                  <w:divBdr>
                    <w:top w:val="none" w:sz="0" w:space="0" w:color="auto"/>
                    <w:left w:val="none" w:sz="0" w:space="0" w:color="auto"/>
                    <w:bottom w:val="none" w:sz="0" w:space="0" w:color="auto"/>
                    <w:right w:val="none" w:sz="0" w:space="0" w:color="auto"/>
                  </w:divBdr>
                </w:div>
              </w:divsChild>
            </w:div>
            <w:div w:id="300186531">
              <w:marLeft w:val="0"/>
              <w:marRight w:val="0"/>
              <w:marTop w:val="0"/>
              <w:marBottom w:val="0"/>
              <w:divBdr>
                <w:top w:val="none" w:sz="0" w:space="0" w:color="auto"/>
                <w:left w:val="none" w:sz="0" w:space="0" w:color="auto"/>
                <w:bottom w:val="none" w:sz="0" w:space="0" w:color="auto"/>
                <w:right w:val="none" w:sz="0" w:space="0" w:color="auto"/>
              </w:divBdr>
              <w:divsChild>
                <w:div w:id="1011420962">
                  <w:marLeft w:val="0"/>
                  <w:marRight w:val="0"/>
                  <w:marTop w:val="0"/>
                  <w:marBottom w:val="0"/>
                  <w:divBdr>
                    <w:top w:val="none" w:sz="0" w:space="0" w:color="auto"/>
                    <w:left w:val="none" w:sz="0" w:space="0" w:color="auto"/>
                    <w:bottom w:val="none" w:sz="0" w:space="0" w:color="auto"/>
                    <w:right w:val="none" w:sz="0" w:space="0" w:color="auto"/>
                  </w:divBdr>
                </w:div>
              </w:divsChild>
            </w:div>
            <w:div w:id="335619591">
              <w:marLeft w:val="0"/>
              <w:marRight w:val="0"/>
              <w:marTop w:val="0"/>
              <w:marBottom w:val="0"/>
              <w:divBdr>
                <w:top w:val="none" w:sz="0" w:space="0" w:color="auto"/>
                <w:left w:val="none" w:sz="0" w:space="0" w:color="auto"/>
                <w:bottom w:val="none" w:sz="0" w:space="0" w:color="auto"/>
                <w:right w:val="none" w:sz="0" w:space="0" w:color="auto"/>
              </w:divBdr>
              <w:divsChild>
                <w:div w:id="714426126">
                  <w:marLeft w:val="0"/>
                  <w:marRight w:val="0"/>
                  <w:marTop w:val="0"/>
                  <w:marBottom w:val="0"/>
                  <w:divBdr>
                    <w:top w:val="none" w:sz="0" w:space="0" w:color="auto"/>
                    <w:left w:val="none" w:sz="0" w:space="0" w:color="auto"/>
                    <w:bottom w:val="none" w:sz="0" w:space="0" w:color="auto"/>
                    <w:right w:val="none" w:sz="0" w:space="0" w:color="auto"/>
                  </w:divBdr>
                </w:div>
              </w:divsChild>
            </w:div>
            <w:div w:id="399717672">
              <w:marLeft w:val="0"/>
              <w:marRight w:val="0"/>
              <w:marTop w:val="0"/>
              <w:marBottom w:val="0"/>
              <w:divBdr>
                <w:top w:val="none" w:sz="0" w:space="0" w:color="auto"/>
                <w:left w:val="none" w:sz="0" w:space="0" w:color="auto"/>
                <w:bottom w:val="none" w:sz="0" w:space="0" w:color="auto"/>
                <w:right w:val="none" w:sz="0" w:space="0" w:color="auto"/>
              </w:divBdr>
              <w:divsChild>
                <w:div w:id="1989624046">
                  <w:marLeft w:val="0"/>
                  <w:marRight w:val="0"/>
                  <w:marTop w:val="0"/>
                  <w:marBottom w:val="0"/>
                  <w:divBdr>
                    <w:top w:val="none" w:sz="0" w:space="0" w:color="auto"/>
                    <w:left w:val="none" w:sz="0" w:space="0" w:color="auto"/>
                    <w:bottom w:val="none" w:sz="0" w:space="0" w:color="auto"/>
                    <w:right w:val="none" w:sz="0" w:space="0" w:color="auto"/>
                  </w:divBdr>
                </w:div>
              </w:divsChild>
            </w:div>
            <w:div w:id="406926765">
              <w:marLeft w:val="0"/>
              <w:marRight w:val="0"/>
              <w:marTop w:val="0"/>
              <w:marBottom w:val="0"/>
              <w:divBdr>
                <w:top w:val="none" w:sz="0" w:space="0" w:color="auto"/>
                <w:left w:val="none" w:sz="0" w:space="0" w:color="auto"/>
                <w:bottom w:val="none" w:sz="0" w:space="0" w:color="auto"/>
                <w:right w:val="none" w:sz="0" w:space="0" w:color="auto"/>
              </w:divBdr>
              <w:divsChild>
                <w:div w:id="732198904">
                  <w:marLeft w:val="0"/>
                  <w:marRight w:val="0"/>
                  <w:marTop w:val="0"/>
                  <w:marBottom w:val="0"/>
                  <w:divBdr>
                    <w:top w:val="none" w:sz="0" w:space="0" w:color="auto"/>
                    <w:left w:val="none" w:sz="0" w:space="0" w:color="auto"/>
                    <w:bottom w:val="none" w:sz="0" w:space="0" w:color="auto"/>
                    <w:right w:val="none" w:sz="0" w:space="0" w:color="auto"/>
                  </w:divBdr>
                </w:div>
                <w:div w:id="827945840">
                  <w:marLeft w:val="0"/>
                  <w:marRight w:val="0"/>
                  <w:marTop w:val="0"/>
                  <w:marBottom w:val="0"/>
                  <w:divBdr>
                    <w:top w:val="none" w:sz="0" w:space="0" w:color="auto"/>
                    <w:left w:val="none" w:sz="0" w:space="0" w:color="auto"/>
                    <w:bottom w:val="none" w:sz="0" w:space="0" w:color="auto"/>
                    <w:right w:val="none" w:sz="0" w:space="0" w:color="auto"/>
                  </w:divBdr>
                </w:div>
              </w:divsChild>
            </w:div>
            <w:div w:id="590624543">
              <w:marLeft w:val="0"/>
              <w:marRight w:val="0"/>
              <w:marTop w:val="0"/>
              <w:marBottom w:val="0"/>
              <w:divBdr>
                <w:top w:val="none" w:sz="0" w:space="0" w:color="auto"/>
                <w:left w:val="none" w:sz="0" w:space="0" w:color="auto"/>
                <w:bottom w:val="none" w:sz="0" w:space="0" w:color="auto"/>
                <w:right w:val="none" w:sz="0" w:space="0" w:color="auto"/>
              </w:divBdr>
              <w:divsChild>
                <w:div w:id="1131246868">
                  <w:marLeft w:val="0"/>
                  <w:marRight w:val="0"/>
                  <w:marTop w:val="0"/>
                  <w:marBottom w:val="0"/>
                  <w:divBdr>
                    <w:top w:val="none" w:sz="0" w:space="0" w:color="auto"/>
                    <w:left w:val="none" w:sz="0" w:space="0" w:color="auto"/>
                    <w:bottom w:val="none" w:sz="0" w:space="0" w:color="auto"/>
                    <w:right w:val="none" w:sz="0" w:space="0" w:color="auto"/>
                  </w:divBdr>
                </w:div>
              </w:divsChild>
            </w:div>
            <w:div w:id="698244170">
              <w:marLeft w:val="0"/>
              <w:marRight w:val="0"/>
              <w:marTop w:val="0"/>
              <w:marBottom w:val="0"/>
              <w:divBdr>
                <w:top w:val="none" w:sz="0" w:space="0" w:color="auto"/>
                <w:left w:val="none" w:sz="0" w:space="0" w:color="auto"/>
                <w:bottom w:val="none" w:sz="0" w:space="0" w:color="auto"/>
                <w:right w:val="none" w:sz="0" w:space="0" w:color="auto"/>
              </w:divBdr>
              <w:divsChild>
                <w:div w:id="1568105056">
                  <w:marLeft w:val="0"/>
                  <w:marRight w:val="0"/>
                  <w:marTop w:val="0"/>
                  <w:marBottom w:val="0"/>
                  <w:divBdr>
                    <w:top w:val="none" w:sz="0" w:space="0" w:color="auto"/>
                    <w:left w:val="none" w:sz="0" w:space="0" w:color="auto"/>
                    <w:bottom w:val="none" w:sz="0" w:space="0" w:color="auto"/>
                    <w:right w:val="none" w:sz="0" w:space="0" w:color="auto"/>
                  </w:divBdr>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806361011">
                  <w:marLeft w:val="0"/>
                  <w:marRight w:val="0"/>
                  <w:marTop w:val="0"/>
                  <w:marBottom w:val="0"/>
                  <w:divBdr>
                    <w:top w:val="none" w:sz="0" w:space="0" w:color="auto"/>
                    <w:left w:val="none" w:sz="0" w:space="0" w:color="auto"/>
                    <w:bottom w:val="none" w:sz="0" w:space="0" w:color="auto"/>
                    <w:right w:val="none" w:sz="0" w:space="0" w:color="auto"/>
                  </w:divBdr>
                </w:div>
              </w:divsChild>
            </w:div>
            <w:div w:id="822241446">
              <w:marLeft w:val="0"/>
              <w:marRight w:val="0"/>
              <w:marTop w:val="0"/>
              <w:marBottom w:val="0"/>
              <w:divBdr>
                <w:top w:val="none" w:sz="0" w:space="0" w:color="auto"/>
                <w:left w:val="none" w:sz="0" w:space="0" w:color="auto"/>
                <w:bottom w:val="none" w:sz="0" w:space="0" w:color="auto"/>
                <w:right w:val="none" w:sz="0" w:space="0" w:color="auto"/>
              </w:divBdr>
              <w:divsChild>
                <w:div w:id="1983389749">
                  <w:marLeft w:val="0"/>
                  <w:marRight w:val="0"/>
                  <w:marTop w:val="0"/>
                  <w:marBottom w:val="0"/>
                  <w:divBdr>
                    <w:top w:val="none" w:sz="0" w:space="0" w:color="auto"/>
                    <w:left w:val="none" w:sz="0" w:space="0" w:color="auto"/>
                    <w:bottom w:val="none" w:sz="0" w:space="0" w:color="auto"/>
                    <w:right w:val="none" w:sz="0" w:space="0" w:color="auto"/>
                  </w:divBdr>
                </w:div>
              </w:divsChild>
            </w:div>
            <w:div w:id="938370563">
              <w:marLeft w:val="0"/>
              <w:marRight w:val="0"/>
              <w:marTop w:val="0"/>
              <w:marBottom w:val="0"/>
              <w:divBdr>
                <w:top w:val="none" w:sz="0" w:space="0" w:color="auto"/>
                <w:left w:val="none" w:sz="0" w:space="0" w:color="auto"/>
                <w:bottom w:val="none" w:sz="0" w:space="0" w:color="auto"/>
                <w:right w:val="none" w:sz="0" w:space="0" w:color="auto"/>
              </w:divBdr>
              <w:divsChild>
                <w:div w:id="2094887875">
                  <w:marLeft w:val="0"/>
                  <w:marRight w:val="0"/>
                  <w:marTop w:val="0"/>
                  <w:marBottom w:val="0"/>
                  <w:divBdr>
                    <w:top w:val="none" w:sz="0" w:space="0" w:color="auto"/>
                    <w:left w:val="none" w:sz="0" w:space="0" w:color="auto"/>
                    <w:bottom w:val="none" w:sz="0" w:space="0" w:color="auto"/>
                    <w:right w:val="none" w:sz="0" w:space="0" w:color="auto"/>
                  </w:divBdr>
                </w:div>
              </w:divsChild>
            </w:div>
            <w:div w:id="995912429">
              <w:marLeft w:val="0"/>
              <w:marRight w:val="0"/>
              <w:marTop w:val="0"/>
              <w:marBottom w:val="0"/>
              <w:divBdr>
                <w:top w:val="none" w:sz="0" w:space="0" w:color="auto"/>
                <w:left w:val="none" w:sz="0" w:space="0" w:color="auto"/>
                <w:bottom w:val="none" w:sz="0" w:space="0" w:color="auto"/>
                <w:right w:val="none" w:sz="0" w:space="0" w:color="auto"/>
              </w:divBdr>
              <w:divsChild>
                <w:div w:id="1478955688">
                  <w:marLeft w:val="0"/>
                  <w:marRight w:val="0"/>
                  <w:marTop w:val="0"/>
                  <w:marBottom w:val="0"/>
                  <w:divBdr>
                    <w:top w:val="none" w:sz="0" w:space="0" w:color="auto"/>
                    <w:left w:val="none" w:sz="0" w:space="0" w:color="auto"/>
                    <w:bottom w:val="none" w:sz="0" w:space="0" w:color="auto"/>
                    <w:right w:val="none" w:sz="0" w:space="0" w:color="auto"/>
                  </w:divBdr>
                </w:div>
              </w:divsChild>
            </w:div>
            <w:div w:id="1081024077">
              <w:marLeft w:val="0"/>
              <w:marRight w:val="0"/>
              <w:marTop w:val="0"/>
              <w:marBottom w:val="0"/>
              <w:divBdr>
                <w:top w:val="none" w:sz="0" w:space="0" w:color="auto"/>
                <w:left w:val="none" w:sz="0" w:space="0" w:color="auto"/>
                <w:bottom w:val="none" w:sz="0" w:space="0" w:color="auto"/>
                <w:right w:val="none" w:sz="0" w:space="0" w:color="auto"/>
              </w:divBdr>
              <w:divsChild>
                <w:div w:id="2136020198">
                  <w:marLeft w:val="0"/>
                  <w:marRight w:val="0"/>
                  <w:marTop w:val="0"/>
                  <w:marBottom w:val="0"/>
                  <w:divBdr>
                    <w:top w:val="none" w:sz="0" w:space="0" w:color="auto"/>
                    <w:left w:val="none" w:sz="0" w:space="0" w:color="auto"/>
                    <w:bottom w:val="none" w:sz="0" w:space="0" w:color="auto"/>
                    <w:right w:val="none" w:sz="0" w:space="0" w:color="auto"/>
                  </w:divBdr>
                </w:div>
              </w:divsChild>
            </w:div>
            <w:div w:id="1201819784">
              <w:marLeft w:val="0"/>
              <w:marRight w:val="0"/>
              <w:marTop w:val="0"/>
              <w:marBottom w:val="0"/>
              <w:divBdr>
                <w:top w:val="none" w:sz="0" w:space="0" w:color="auto"/>
                <w:left w:val="none" w:sz="0" w:space="0" w:color="auto"/>
                <w:bottom w:val="none" w:sz="0" w:space="0" w:color="auto"/>
                <w:right w:val="none" w:sz="0" w:space="0" w:color="auto"/>
              </w:divBdr>
              <w:divsChild>
                <w:div w:id="1915580292">
                  <w:marLeft w:val="0"/>
                  <w:marRight w:val="0"/>
                  <w:marTop w:val="0"/>
                  <w:marBottom w:val="0"/>
                  <w:divBdr>
                    <w:top w:val="none" w:sz="0" w:space="0" w:color="auto"/>
                    <w:left w:val="none" w:sz="0" w:space="0" w:color="auto"/>
                    <w:bottom w:val="none" w:sz="0" w:space="0" w:color="auto"/>
                    <w:right w:val="none" w:sz="0" w:space="0" w:color="auto"/>
                  </w:divBdr>
                </w:div>
              </w:divsChild>
            </w:div>
            <w:div w:id="1247110747">
              <w:marLeft w:val="0"/>
              <w:marRight w:val="0"/>
              <w:marTop w:val="0"/>
              <w:marBottom w:val="0"/>
              <w:divBdr>
                <w:top w:val="none" w:sz="0" w:space="0" w:color="auto"/>
                <w:left w:val="none" w:sz="0" w:space="0" w:color="auto"/>
                <w:bottom w:val="none" w:sz="0" w:space="0" w:color="auto"/>
                <w:right w:val="none" w:sz="0" w:space="0" w:color="auto"/>
              </w:divBdr>
              <w:divsChild>
                <w:div w:id="1371109209">
                  <w:marLeft w:val="0"/>
                  <w:marRight w:val="0"/>
                  <w:marTop w:val="0"/>
                  <w:marBottom w:val="0"/>
                  <w:divBdr>
                    <w:top w:val="none" w:sz="0" w:space="0" w:color="auto"/>
                    <w:left w:val="none" w:sz="0" w:space="0" w:color="auto"/>
                    <w:bottom w:val="none" w:sz="0" w:space="0" w:color="auto"/>
                    <w:right w:val="none" w:sz="0" w:space="0" w:color="auto"/>
                  </w:divBdr>
                </w:div>
              </w:divsChild>
            </w:div>
            <w:div w:id="1280261257">
              <w:marLeft w:val="0"/>
              <w:marRight w:val="0"/>
              <w:marTop w:val="0"/>
              <w:marBottom w:val="0"/>
              <w:divBdr>
                <w:top w:val="none" w:sz="0" w:space="0" w:color="auto"/>
                <w:left w:val="none" w:sz="0" w:space="0" w:color="auto"/>
                <w:bottom w:val="none" w:sz="0" w:space="0" w:color="auto"/>
                <w:right w:val="none" w:sz="0" w:space="0" w:color="auto"/>
              </w:divBdr>
              <w:divsChild>
                <w:div w:id="392853020">
                  <w:marLeft w:val="0"/>
                  <w:marRight w:val="0"/>
                  <w:marTop w:val="0"/>
                  <w:marBottom w:val="0"/>
                  <w:divBdr>
                    <w:top w:val="none" w:sz="0" w:space="0" w:color="auto"/>
                    <w:left w:val="none" w:sz="0" w:space="0" w:color="auto"/>
                    <w:bottom w:val="none" w:sz="0" w:space="0" w:color="auto"/>
                    <w:right w:val="none" w:sz="0" w:space="0" w:color="auto"/>
                  </w:divBdr>
                </w:div>
              </w:divsChild>
            </w:div>
            <w:div w:id="1394620949">
              <w:marLeft w:val="0"/>
              <w:marRight w:val="0"/>
              <w:marTop w:val="0"/>
              <w:marBottom w:val="0"/>
              <w:divBdr>
                <w:top w:val="none" w:sz="0" w:space="0" w:color="auto"/>
                <w:left w:val="none" w:sz="0" w:space="0" w:color="auto"/>
                <w:bottom w:val="none" w:sz="0" w:space="0" w:color="auto"/>
                <w:right w:val="none" w:sz="0" w:space="0" w:color="auto"/>
              </w:divBdr>
              <w:divsChild>
                <w:div w:id="1780754724">
                  <w:marLeft w:val="0"/>
                  <w:marRight w:val="0"/>
                  <w:marTop w:val="0"/>
                  <w:marBottom w:val="0"/>
                  <w:divBdr>
                    <w:top w:val="none" w:sz="0" w:space="0" w:color="auto"/>
                    <w:left w:val="none" w:sz="0" w:space="0" w:color="auto"/>
                    <w:bottom w:val="none" w:sz="0" w:space="0" w:color="auto"/>
                    <w:right w:val="none" w:sz="0" w:space="0" w:color="auto"/>
                  </w:divBdr>
                </w:div>
              </w:divsChild>
            </w:div>
            <w:div w:id="1708027049">
              <w:marLeft w:val="0"/>
              <w:marRight w:val="0"/>
              <w:marTop w:val="0"/>
              <w:marBottom w:val="0"/>
              <w:divBdr>
                <w:top w:val="none" w:sz="0" w:space="0" w:color="auto"/>
                <w:left w:val="none" w:sz="0" w:space="0" w:color="auto"/>
                <w:bottom w:val="none" w:sz="0" w:space="0" w:color="auto"/>
                <w:right w:val="none" w:sz="0" w:space="0" w:color="auto"/>
              </w:divBdr>
              <w:divsChild>
                <w:div w:id="573589702">
                  <w:marLeft w:val="0"/>
                  <w:marRight w:val="0"/>
                  <w:marTop w:val="0"/>
                  <w:marBottom w:val="0"/>
                  <w:divBdr>
                    <w:top w:val="none" w:sz="0" w:space="0" w:color="auto"/>
                    <w:left w:val="none" w:sz="0" w:space="0" w:color="auto"/>
                    <w:bottom w:val="none" w:sz="0" w:space="0" w:color="auto"/>
                    <w:right w:val="none" w:sz="0" w:space="0" w:color="auto"/>
                  </w:divBdr>
                </w:div>
              </w:divsChild>
            </w:div>
            <w:div w:id="1973752409">
              <w:marLeft w:val="0"/>
              <w:marRight w:val="0"/>
              <w:marTop w:val="0"/>
              <w:marBottom w:val="0"/>
              <w:divBdr>
                <w:top w:val="none" w:sz="0" w:space="0" w:color="auto"/>
                <w:left w:val="none" w:sz="0" w:space="0" w:color="auto"/>
                <w:bottom w:val="none" w:sz="0" w:space="0" w:color="auto"/>
                <w:right w:val="none" w:sz="0" w:space="0" w:color="auto"/>
              </w:divBdr>
              <w:divsChild>
                <w:div w:id="1117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77207">
      <w:bodyDiv w:val="1"/>
      <w:marLeft w:val="0"/>
      <w:marRight w:val="0"/>
      <w:marTop w:val="0"/>
      <w:marBottom w:val="0"/>
      <w:divBdr>
        <w:top w:val="none" w:sz="0" w:space="0" w:color="auto"/>
        <w:left w:val="none" w:sz="0" w:space="0" w:color="auto"/>
        <w:bottom w:val="none" w:sz="0" w:space="0" w:color="auto"/>
        <w:right w:val="none" w:sz="0" w:space="0" w:color="auto"/>
      </w:divBdr>
    </w:div>
    <w:div w:id="1644308872">
      <w:bodyDiv w:val="1"/>
      <w:marLeft w:val="0"/>
      <w:marRight w:val="0"/>
      <w:marTop w:val="0"/>
      <w:marBottom w:val="0"/>
      <w:divBdr>
        <w:top w:val="none" w:sz="0" w:space="0" w:color="auto"/>
        <w:left w:val="none" w:sz="0" w:space="0" w:color="auto"/>
        <w:bottom w:val="none" w:sz="0" w:space="0" w:color="auto"/>
        <w:right w:val="none" w:sz="0" w:space="0" w:color="auto"/>
      </w:divBdr>
    </w:div>
    <w:div w:id="1706514700">
      <w:bodyDiv w:val="1"/>
      <w:marLeft w:val="0"/>
      <w:marRight w:val="0"/>
      <w:marTop w:val="0"/>
      <w:marBottom w:val="0"/>
      <w:divBdr>
        <w:top w:val="none" w:sz="0" w:space="0" w:color="auto"/>
        <w:left w:val="none" w:sz="0" w:space="0" w:color="auto"/>
        <w:bottom w:val="none" w:sz="0" w:space="0" w:color="auto"/>
        <w:right w:val="none" w:sz="0" w:space="0" w:color="auto"/>
      </w:divBdr>
    </w:div>
    <w:div w:id="1721975003">
      <w:bodyDiv w:val="1"/>
      <w:marLeft w:val="0"/>
      <w:marRight w:val="0"/>
      <w:marTop w:val="0"/>
      <w:marBottom w:val="0"/>
      <w:divBdr>
        <w:top w:val="none" w:sz="0" w:space="0" w:color="auto"/>
        <w:left w:val="none" w:sz="0" w:space="0" w:color="auto"/>
        <w:bottom w:val="none" w:sz="0" w:space="0" w:color="auto"/>
        <w:right w:val="none" w:sz="0" w:space="0" w:color="auto"/>
      </w:divBdr>
    </w:div>
    <w:div w:id="1773282286">
      <w:bodyDiv w:val="1"/>
      <w:marLeft w:val="0"/>
      <w:marRight w:val="0"/>
      <w:marTop w:val="0"/>
      <w:marBottom w:val="0"/>
      <w:divBdr>
        <w:top w:val="none" w:sz="0" w:space="0" w:color="auto"/>
        <w:left w:val="none" w:sz="0" w:space="0" w:color="auto"/>
        <w:bottom w:val="none" w:sz="0" w:space="0" w:color="auto"/>
        <w:right w:val="none" w:sz="0" w:space="0" w:color="auto"/>
      </w:divBdr>
      <w:divsChild>
        <w:div w:id="1996105180">
          <w:marLeft w:val="0"/>
          <w:marRight w:val="0"/>
          <w:marTop w:val="0"/>
          <w:marBottom w:val="0"/>
          <w:divBdr>
            <w:top w:val="none" w:sz="0" w:space="0" w:color="auto"/>
            <w:left w:val="none" w:sz="0" w:space="0" w:color="auto"/>
            <w:bottom w:val="none" w:sz="0" w:space="0" w:color="auto"/>
            <w:right w:val="none" w:sz="0" w:space="0" w:color="auto"/>
          </w:divBdr>
          <w:divsChild>
            <w:div w:id="7402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urwatch.org.au/resource/change-the-story-a-shared-framework-for-the-primary-prevention-of-violence-against-women-in-australia" TargetMode="External"/><Relationship Id="rId18" Type="http://schemas.openxmlformats.org/officeDocument/2006/relationships/hyperlink" Target="https://www.genderequalitycommission.vic.gov.au/about-gender-equality-act-202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media-cdn.ourwatch.org.au/wp-content/uploads/sites/2/2019/11/05233003/Changing-the-picture-AA-3.pdf" TargetMode="External"/><Relationship Id="rId7" Type="http://schemas.openxmlformats.org/officeDocument/2006/relationships/settings" Target="settings.xml"/><Relationship Id="rId12" Type="http://schemas.openxmlformats.org/officeDocument/2006/relationships/hyperlink" Target="mailto:amanda.alford@ourwatch.org.au" TargetMode="External"/><Relationship Id="rId17" Type="http://schemas.openxmlformats.org/officeDocument/2006/relationships/hyperlink" Target="https://media-cdn.ourwatch.org.au/wp-content/uploads/sites/2/2021/03/29130251/RRE-Policy-Brief-accessible-250221.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dia-cdn.ourwatch.org.au/wp-content/uploads/sites/2/2021/03/29130252/RRE-Evidence-paper-accessible-100321.pdf" TargetMode="External"/><Relationship Id="rId20" Type="http://schemas.openxmlformats.org/officeDocument/2006/relationships/hyperlink" Target="https://media-cdn.ourwatch.org.au/wp-content/uploads/sites/2/2021/11/18101814/Change-the-story-Our-Watch-A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urwatch.org.au/resource/change-the-story-a-shared-framework-for-the-primary-prevention-of-violence-against-women-in-australia"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ourwatch.org.au/resource/changing-the-landscap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C:/Users/sarah.copland/Downloads/A_HRC_38_47_Add.1-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rwatch.org.au/resource/changing-the-pictur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office-women/womens-economic-equality"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nquiries@ourwatch.org.au" TargetMode="External"/><Relationship Id="rId2" Type="http://schemas.openxmlformats.org/officeDocument/2006/relationships/hyperlink" Target="https://www.ourwatch.org.au/" TargetMode="External"/><Relationship Id="rId1" Type="http://schemas.openxmlformats.org/officeDocument/2006/relationships/hyperlink" Target="mailto:enquiries@ourwatch.org.au" TargetMode="External"/><Relationship Id="rId5" Type="http://schemas.openxmlformats.org/officeDocument/2006/relationships/image" Target="media/image2.png"/><Relationship Id="rId4" Type="http://schemas.openxmlformats.org/officeDocument/2006/relationships/hyperlink" Target="https://www.ourwatch.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ia.burgess\OneDrive%20-%20ourwatch\Desktop\Our%20Watch%20-%20Word%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4" ma:contentTypeDescription="Create a new document." ma:contentTypeScope="" ma:versionID="51cf52e2274bfac35d3c22bd69fe7225">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f9bef34e62e3f77f33ab58ed9cf3e452"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5F4AE7-A86F-4DAD-8B50-5F568F7AD193}">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ef89dfe1-2fd6-4ffd-966a-b6a657178080"/>
    <ds:schemaRef ds:uri="http://purl.org/dc/terms/"/>
    <ds:schemaRef ds:uri="9b65d406-1a41-489f-810e-00adeea62ff5"/>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5F389E9C-8A5F-40FC-B667-359B61433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662B6B-16C7-4F55-B2FF-CB783A956387}">
  <ds:schemaRefs>
    <ds:schemaRef ds:uri="http://schemas.openxmlformats.org/officeDocument/2006/bibliography"/>
  </ds:schemaRefs>
</ds:datastoreItem>
</file>

<file path=customXml/itemProps4.xml><?xml version="1.0" encoding="utf-8"?>
<ds:datastoreItem xmlns:ds="http://schemas.openxmlformats.org/officeDocument/2006/customXml" ds:itemID="{2471F38A-BB3A-4991-9243-FCDBA0DD31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Our Watch - Word letterhead template</Template>
  <TotalTime>1</TotalTime>
  <Pages>8</Pages>
  <Words>3150</Words>
  <Characters>17959</Characters>
  <Application>Microsoft Office Word</Application>
  <DocSecurity>0</DocSecurity>
  <Lines>149</Lines>
  <Paragraphs>42</Paragraphs>
  <ScaleCrop>false</ScaleCrop>
  <Manager/>
  <Company>Our Watch</Company>
  <LinksUpToDate>false</LinksUpToDate>
  <CharactersWithSpaces>21067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Letterhead</dc:subject>
  <dc:creator>Bethia Burgess</dc:creator>
  <cp:keywords/>
  <dc:description/>
  <cp:lastModifiedBy>Amanda Alford</cp:lastModifiedBy>
  <cp:revision>49</cp:revision>
  <cp:lastPrinted>2018-10-11T18:40:00Z</cp:lastPrinted>
  <dcterms:created xsi:type="dcterms:W3CDTF">2023-07-06T06:31:00Z</dcterms:created>
  <dcterms:modified xsi:type="dcterms:W3CDTF">2023-07-11T04:36:00Z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Resource topic">
    <vt:lpwstr>2;#Human Resources​|891f3b2e-31d8-4e10-b722-b6aa05761426</vt:lpwstr>
  </property>
  <property fmtid="{D5CDD505-2E9C-101B-9397-08002B2CF9AE}" pid="4" name="Document Type">
    <vt:lpwstr>50;#Template|f56ca8d8-20d6-4804-b4a3-7a1d87ff7ac6</vt:lpwstr>
  </property>
  <property fmtid="{D5CDD505-2E9C-101B-9397-08002B2CF9AE}" pid="5" name="Sub topic">
    <vt:lpwstr>39;#Selection, Recruitment and Contracting|743e46ba-11be-4679-baaa-684d04e1c999</vt:lpwstr>
  </property>
  <property fmtid="{D5CDD505-2E9C-101B-9397-08002B2CF9AE}" pid="6" name="Resource page">
    <vt:lpwstr>48;#Human resources|a80eb382-9f0e-42af-9f36-d13e42b7e82f</vt:lpwstr>
  </property>
  <property fmtid="{D5CDD505-2E9C-101B-9397-08002B2CF9AE}" pid="7" name="AuthorIds_UIVersion_2560">
    <vt:lpwstr>3099</vt:lpwstr>
  </property>
</Properties>
</file>