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7EA40A" w14:textId="1055B3D7" w:rsidR="00CF74C4" w:rsidRPr="007436A9" w:rsidRDefault="205B8667" w:rsidP="005D36CE">
      <w:pPr>
        <w:pStyle w:val="Heading1"/>
        <w:spacing w:before="120" w:after="120"/>
        <w:rPr>
          <w:color w:val="002060"/>
        </w:rPr>
      </w:pPr>
      <w:r w:rsidRPr="007436A9">
        <w:rPr>
          <w:color w:val="002060"/>
        </w:rPr>
        <w:t xml:space="preserve"> </w:t>
      </w:r>
    </w:p>
    <w:p w14:paraId="7C09266F" w14:textId="77777777" w:rsidR="00CF74C4" w:rsidRPr="007436A9" w:rsidRDefault="00CF74C4" w:rsidP="005D36CE">
      <w:pPr>
        <w:spacing w:before="120" w:after="120"/>
        <w:rPr>
          <w:color w:val="002060"/>
        </w:rPr>
      </w:pPr>
    </w:p>
    <w:p w14:paraId="58A1B3D4" w14:textId="77777777" w:rsidR="00282BAC" w:rsidRPr="007436A9" w:rsidRDefault="00282BAC" w:rsidP="005D36CE">
      <w:pPr>
        <w:pStyle w:val="Title"/>
        <w:spacing w:before="120" w:after="120"/>
        <w:rPr>
          <w:color w:val="002060"/>
        </w:rPr>
      </w:pPr>
    </w:p>
    <w:p w14:paraId="213B19FB" w14:textId="77777777" w:rsidR="00282BAC" w:rsidRPr="007436A9" w:rsidRDefault="00282BAC" w:rsidP="005D36CE">
      <w:pPr>
        <w:pStyle w:val="Title"/>
        <w:spacing w:before="120" w:after="120"/>
        <w:rPr>
          <w:color w:val="002060"/>
        </w:rPr>
      </w:pPr>
    </w:p>
    <w:p w14:paraId="55342A0A" w14:textId="77777777" w:rsidR="00282BAC" w:rsidRPr="007436A9" w:rsidRDefault="00282BAC" w:rsidP="005D36CE">
      <w:pPr>
        <w:pStyle w:val="Title"/>
        <w:spacing w:before="120" w:after="120"/>
        <w:rPr>
          <w:color w:val="002060"/>
        </w:rPr>
      </w:pPr>
    </w:p>
    <w:p w14:paraId="4F8242A1" w14:textId="77777777" w:rsidR="00282BAC" w:rsidRPr="007436A9" w:rsidRDefault="00282BAC" w:rsidP="005D36CE">
      <w:pPr>
        <w:pStyle w:val="Title"/>
        <w:spacing w:before="120" w:after="120"/>
        <w:rPr>
          <w:color w:val="002060"/>
        </w:rPr>
      </w:pPr>
    </w:p>
    <w:p w14:paraId="75E979A8" w14:textId="77777777" w:rsidR="00282BAC" w:rsidRPr="007436A9" w:rsidRDefault="00282BAC" w:rsidP="00282BAC">
      <w:pPr>
        <w:rPr>
          <w:color w:val="002060"/>
        </w:rPr>
      </w:pPr>
    </w:p>
    <w:p w14:paraId="5ADFD9C8" w14:textId="77777777" w:rsidR="00282BAC" w:rsidRPr="007436A9" w:rsidRDefault="00282BAC" w:rsidP="00282BAC">
      <w:pPr>
        <w:rPr>
          <w:color w:val="002060"/>
        </w:rPr>
      </w:pPr>
    </w:p>
    <w:p w14:paraId="5D4B7135" w14:textId="77777777" w:rsidR="00282BAC" w:rsidRPr="007436A9" w:rsidRDefault="00282BAC" w:rsidP="00282BAC">
      <w:pPr>
        <w:rPr>
          <w:color w:val="002060"/>
        </w:rPr>
      </w:pPr>
    </w:p>
    <w:p w14:paraId="4A23B9FC" w14:textId="77777777" w:rsidR="00282BAC" w:rsidRPr="007436A9" w:rsidRDefault="00282BAC" w:rsidP="00282BAC">
      <w:pPr>
        <w:rPr>
          <w:color w:val="002060"/>
        </w:rPr>
      </w:pPr>
    </w:p>
    <w:p w14:paraId="1C769140" w14:textId="77777777" w:rsidR="00282BAC" w:rsidRPr="007436A9" w:rsidRDefault="00282BAC" w:rsidP="00282BAC">
      <w:pPr>
        <w:rPr>
          <w:color w:val="002060"/>
        </w:rPr>
      </w:pPr>
    </w:p>
    <w:p w14:paraId="5636A024" w14:textId="77777777" w:rsidR="00282BAC" w:rsidRPr="007436A9" w:rsidRDefault="00282BAC" w:rsidP="00282BAC">
      <w:pPr>
        <w:rPr>
          <w:color w:val="002060"/>
        </w:rPr>
      </w:pPr>
    </w:p>
    <w:p w14:paraId="322A857A" w14:textId="0E58CBD2" w:rsidR="00CF74C4" w:rsidRPr="007436A9" w:rsidRDefault="1D9DB960" w:rsidP="005D36CE">
      <w:pPr>
        <w:pStyle w:val="Title"/>
        <w:spacing w:before="120" w:after="120"/>
        <w:rPr>
          <w:color w:val="002060"/>
        </w:rPr>
      </w:pPr>
      <w:r w:rsidRPr="007436A9">
        <w:rPr>
          <w:color w:val="002060"/>
        </w:rPr>
        <w:t xml:space="preserve">Our Watch </w:t>
      </w:r>
      <w:r w:rsidR="0B186B27" w:rsidRPr="007436A9">
        <w:rPr>
          <w:color w:val="002060"/>
        </w:rPr>
        <w:t xml:space="preserve">Submission to Review of </w:t>
      </w:r>
      <w:r w:rsidR="00700DF3">
        <w:rPr>
          <w:color w:val="002060"/>
        </w:rPr>
        <w:t>S</w:t>
      </w:r>
      <w:r w:rsidR="0B186B27" w:rsidRPr="007436A9">
        <w:rPr>
          <w:color w:val="002060"/>
        </w:rPr>
        <w:t xml:space="preserve">exual </w:t>
      </w:r>
      <w:r w:rsidR="00700DF3">
        <w:rPr>
          <w:color w:val="002060"/>
        </w:rPr>
        <w:t>C</w:t>
      </w:r>
      <w:r w:rsidR="2ECA2B2A" w:rsidRPr="007436A9">
        <w:rPr>
          <w:color w:val="002060"/>
        </w:rPr>
        <w:t>on</w:t>
      </w:r>
      <w:r w:rsidR="07754C9C" w:rsidRPr="007436A9">
        <w:rPr>
          <w:color w:val="002060"/>
        </w:rPr>
        <w:t>s</w:t>
      </w:r>
      <w:r w:rsidR="2ECA2B2A" w:rsidRPr="007436A9">
        <w:rPr>
          <w:color w:val="002060"/>
        </w:rPr>
        <w:t>ent</w:t>
      </w:r>
      <w:r w:rsidR="0B186B27" w:rsidRPr="007436A9">
        <w:rPr>
          <w:color w:val="002060"/>
        </w:rPr>
        <w:t xml:space="preserve"> </w:t>
      </w:r>
      <w:r w:rsidR="00700DF3">
        <w:rPr>
          <w:color w:val="002060"/>
        </w:rPr>
        <w:t>L</w:t>
      </w:r>
      <w:r w:rsidR="0B186B27" w:rsidRPr="007436A9">
        <w:rPr>
          <w:color w:val="002060"/>
        </w:rPr>
        <w:t>aws in South Australia</w:t>
      </w:r>
    </w:p>
    <w:p w14:paraId="4FE24189" w14:textId="4B25EAA7" w:rsidR="00525A0E" w:rsidRPr="007436A9" w:rsidRDefault="00282BAC" w:rsidP="005D36CE">
      <w:pPr>
        <w:spacing w:before="120" w:after="120"/>
        <w:rPr>
          <w:color w:val="002060"/>
        </w:rPr>
      </w:pPr>
      <w:r w:rsidRPr="007436A9">
        <w:rPr>
          <w:color w:val="002060"/>
        </w:rPr>
        <w:t>Februar</w:t>
      </w:r>
      <w:r w:rsidR="00525A0E" w:rsidRPr="007436A9">
        <w:rPr>
          <w:color w:val="002060"/>
        </w:rPr>
        <w:t>y 2024</w:t>
      </w:r>
    </w:p>
    <w:p w14:paraId="4A92CCF7" w14:textId="77777777" w:rsidR="00282BAC" w:rsidRPr="007436A9" w:rsidRDefault="00282BAC" w:rsidP="005D36CE">
      <w:pPr>
        <w:spacing w:before="120" w:after="120"/>
        <w:rPr>
          <w:color w:val="002060"/>
        </w:rPr>
      </w:pPr>
    </w:p>
    <w:p w14:paraId="02CFC007" w14:textId="77777777" w:rsidR="00282BAC" w:rsidRPr="007436A9" w:rsidRDefault="00282BAC" w:rsidP="005D36CE">
      <w:pPr>
        <w:spacing w:before="120" w:after="120"/>
        <w:rPr>
          <w:color w:val="002060"/>
        </w:rPr>
      </w:pPr>
    </w:p>
    <w:p w14:paraId="507E0513" w14:textId="77777777" w:rsidR="00282BAC" w:rsidRPr="007436A9" w:rsidRDefault="00282BAC" w:rsidP="005D36CE">
      <w:pPr>
        <w:spacing w:before="120" w:after="120"/>
        <w:rPr>
          <w:color w:val="002060"/>
        </w:rPr>
      </w:pPr>
    </w:p>
    <w:p w14:paraId="3D840F55" w14:textId="77777777" w:rsidR="00282BAC" w:rsidRPr="007436A9" w:rsidRDefault="00282BAC" w:rsidP="005D36CE">
      <w:pPr>
        <w:spacing w:before="120" w:after="120"/>
        <w:rPr>
          <w:color w:val="002060"/>
        </w:rPr>
      </w:pPr>
    </w:p>
    <w:p w14:paraId="3AF3BB1B" w14:textId="77777777" w:rsidR="00282BAC" w:rsidRPr="007436A9" w:rsidRDefault="00282BAC" w:rsidP="005D36CE">
      <w:pPr>
        <w:spacing w:before="120" w:after="120"/>
        <w:rPr>
          <w:color w:val="002060"/>
        </w:rPr>
      </w:pPr>
    </w:p>
    <w:p w14:paraId="2F63909E" w14:textId="77777777" w:rsidR="00282BAC" w:rsidRPr="007436A9" w:rsidRDefault="00282BAC" w:rsidP="005D36CE">
      <w:pPr>
        <w:spacing w:before="120" w:after="120"/>
        <w:rPr>
          <w:color w:val="002060"/>
        </w:rPr>
      </w:pPr>
    </w:p>
    <w:p w14:paraId="0A8D8913" w14:textId="77777777" w:rsidR="00282BAC" w:rsidRPr="007436A9" w:rsidRDefault="00282BAC" w:rsidP="005D36CE">
      <w:pPr>
        <w:spacing w:before="120" w:after="120"/>
        <w:rPr>
          <w:color w:val="002060"/>
        </w:rPr>
      </w:pPr>
    </w:p>
    <w:p w14:paraId="3FEDE3F5" w14:textId="77777777" w:rsidR="00282BAC" w:rsidRPr="007436A9" w:rsidRDefault="00282BAC" w:rsidP="005D36CE">
      <w:pPr>
        <w:spacing w:before="120" w:after="120"/>
        <w:rPr>
          <w:color w:val="002060"/>
        </w:rPr>
      </w:pPr>
    </w:p>
    <w:p w14:paraId="07A4B2DE" w14:textId="77777777" w:rsidR="00282BAC" w:rsidRPr="007436A9" w:rsidRDefault="00282BAC" w:rsidP="005D36CE">
      <w:pPr>
        <w:spacing w:before="120" w:after="120"/>
        <w:rPr>
          <w:color w:val="002060"/>
        </w:rPr>
      </w:pPr>
    </w:p>
    <w:p w14:paraId="55DC1BA3" w14:textId="77777777" w:rsidR="00282BAC" w:rsidRPr="007436A9" w:rsidRDefault="00282BAC" w:rsidP="005D36CE">
      <w:pPr>
        <w:spacing w:before="120" w:after="120"/>
        <w:rPr>
          <w:color w:val="002060"/>
        </w:rPr>
      </w:pPr>
    </w:p>
    <w:p w14:paraId="0DBEB5F4" w14:textId="77777777" w:rsidR="00282BAC" w:rsidRPr="007436A9" w:rsidRDefault="00282BAC" w:rsidP="005D36CE">
      <w:pPr>
        <w:spacing w:before="120" w:after="120"/>
        <w:rPr>
          <w:color w:val="002060"/>
        </w:rPr>
      </w:pPr>
    </w:p>
    <w:p w14:paraId="6D1BA530" w14:textId="77777777" w:rsidR="00282BAC" w:rsidRPr="007436A9" w:rsidRDefault="00282BAC" w:rsidP="005D36CE">
      <w:pPr>
        <w:spacing w:before="120" w:after="120"/>
        <w:rPr>
          <w:color w:val="002060"/>
        </w:rPr>
      </w:pPr>
    </w:p>
    <w:p w14:paraId="1F40FF96" w14:textId="77777777" w:rsidR="00282BAC" w:rsidRPr="007436A9" w:rsidRDefault="00282BAC" w:rsidP="005D36CE">
      <w:pPr>
        <w:spacing w:before="120" w:after="120"/>
        <w:rPr>
          <w:color w:val="002060"/>
        </w:rPr>
      </w:pPr>
    </w:p>
    <w:p w14:paraId="7928D249" w14:textId="77777777" w:rsidR="00282BAC" w:rsidRPr="007436A9" w:rsidRDefault="00282BAC" w:rsidP="005D36CE">
      <w:pPr>
        <w:spacing w:before="120" w:after="120"/>
        <w:rPr>
          <w:color w:val="002060"/>
        </w:rPr>
      </w:pPr>
    </w:p>
    <w:p w14:paraId="7191C889" w14:textId="77777777" w:rsidR="00282BAC" w:rsidRPr="007436A9" w:rsidRDefault="00282BAC" w:rsidP="005D36CE">
      <w:pPr>
        <w:spacing w:before="120" w:after="120"/>
        <w:rPr>
          <w:color w:val="002060"/>
        </w:rPr>
      </w:pPr>
    </w:p>
    <w:p w14:paraId="7406DB18" w14:textId="77777777" w:rsidR="00282BAC" w:rsidRPr="007436A9" w:rsidRDefault="00282BAC" w:rsidP="005D36CE">
      <w:pPr>
        <w:spacing w:before="120" w:after="120"/>
        <w:rPr>
          <w:color w:val="002060"/>
        </w:rPr>
      </w:pPr>
    </w:p>
    <w:sdt>
      <w:sdtPr>
        <w:rPr>
          <w:rFonts w:eastAsia="Times New Roman" w:cs="Times New Roman"/>
          <w:color w:val="002060"/>
          <w:sz w:val="24"/>
          <w:szCs w:val="20"/>
        </w:rPr>
        <w:id w:val="1635054471"/>
        <w:docPartObj>
          <w:docPartGallery w:val="Table of Contents"/>
          <w:docPartUnique/>
        </w:docPartObj>
      </w:sdtPr>
      <w:sdtEndPr>
        <w:rPr>
          <w:b/>
        </w:rPr>
      </w:sdtEndPr>
      <w:sdtContent>
        <w:p w14:paraId="3EFE6986" w14:textId="5EB06909" w:rsidR="0072057C" w:rsidRPr="007436A9" w:rsidRDefault="0072057C" w:rsidP="005D36CE">
          <w:pPr>
            <w:pStyle w:val="TOCHeading"/>
            <w:spacing w:before="120" w:after="120" w:line="360" w:lineRule="auto"/>
            <w:rPr>
              <w:b/>
              <w:color w:val="002060"/>
            </w:rPr>
          </w:pPr>
          <w:r w:rsidRPr="007436A9">
            <w:rPr>
              <w:b/>
              <w:color w:val="002060"/>
            </w:rPr>
            <w:t>Contents</w:t>
          </w:r>
        </w:p>
        <w:p w14:paraId="569C787A" w14:textId="714C7C43" w:rsidR="000C13F0" w:rsidRDefault="0072057C">
          <w:pPr>
            <w:pStyle w:val="TOC1"/>
            <w:rPr>
              <w:rFonts w:asciiTheme="minorHAnsi" w:eastAsiaTheme="minorEastAsia" w:hAnsiTheme="minorHAnsi" w:cstheme="minorBidi"/>
              <w:noProof/>
              <w:color w:val="auto"/>
              <w:kern w:val="2"/>
              <w:sz w:val="22"/>
              <w:szCs w:val="22"/>
              <w:lang w:eastAsia="en-AU"/>
              <w14:ligatures w14:val="standardContextual"/>
            </w:rPr>
          </w:pPr>
          <w:r w:rsidRPr="007436A9">
            <w:rPr>
              <w:color w:val="002060"/>
            </w:rPr>
            <w:fldChar w:fldCharType="begin"/>
          </w:r>
          <w:r w:rsidRPr="007436A9">
            <w:rPr>
              <w:color w:val="002060"/>
            </w:rPr>
            <w:instrText xml:space="preserve"> TOC \o "1-3" \h \z \u </w:instrText>
          </w:r>
          <w:r w:rsidRPr="007436A9">
            <w:rPr>
              <w:color w:val="002060"/>
            </w:rPr>
            <w:fldChar w:fldCharType="separate"/>
          </w:r>
          <w:hyperlink w:anchor="_Toc157848837" w:history="1">
            <w:r w:rsidR="000C13F0" w:rsidRPr="000D7F54">
              <w:rPr>
                <w:rStyle w:val="Hyperlink"/>
                <w:noProof/>
              </w:rPr>
              <w:t>Acknowledgement of country</w:t>
            </w:r>
            <w:r w:rsidR="000C13F0">
              <w:rPr>
                <w:noProof/>
                <w:webHidden/>
              </w:rPr>
              <w:tab/>
            </w:r>
            <w:r w:rsidR="000C13F0">
              <w:rPr>
                <w:noProof/>
                <w:webHidden/>
              </w:rPr>
              <w:fldChar w:fldCharType="begin"/>
            </w:r>
            <w:r w:rsidR="000C13F0">
              <w:rPr>
                <w:noProof/>
                <w:webHidden/>
              </w:rPr>
              <w:instrText xml:space="preserve"> PAGEREF _Toc157848837 \h </w:instrText>
            </w:r>
            <w:r w:rsidR="000C13F0">
              <w:rPr>
                <w:noProof/>
                <w:webHidden/>
              </w:rPr>
            </w:r>
            <w:r w:rsidR="000C13F0">
              <w:rPr>
                <w:noProof/>
                <w:webHidden/>
              </w:rPr>
              <w:fldChar w:fldCharType="separate"/>
            </w:r>
            <w:r w:rsidR="000C13F0">
              <w:rPr>
                <w:noProof/>
                <w:webHidden/>
              </w:rPr>
              <w:t>3</w:t>
            </w:r>
            <w:r w:rsidR="000C13F0">
              <w:rPr>
                <w:noProof/>
                <w:webHidden/>
              </w:rPr>
              <w:fldChar w:fldCharType="end"/>
            </w:r>
          </w:hyperlink>
        </w:p>
        <w:p w14:paraId="4BC6D210" w14:textId="4CFA96A9" w:rsidR="000C13F0" w:rsidRDefault="00475766">
          <w:pPr>
            <w:pStyle w:val="TOC1"/>
            <w:rPr>
              <w:rFonts w:asciiTheme="minorHAnsi" w:eastAsiaTheme="minorEastAsia" w:hAnsiTheme="minorHAnsi" w:cstheme="minorBidi"/>
              <w:noProof/>
              <w:color w:val="auto"/>
              <w:kern w:val="2"/>
              <w:sz w:val="22"/>
              <w:szCs w:val="22"/>
              <w:lang w:eastAsia="en-AU"/>
              <w14:ligatures w14:val="standardContextual"/>
            </w:rPr>
          </w:pPr>
          <w:hyperlink w:anchor="_Toc157848838" w:history="1">
            <w:r w:rsidR="000C13F0" w:rsidRPr="000D7F54">
              <w:rPr>
                <w:rStyle w:val="Hyperlink"/>
                <w:noProof/>
              </w:rPr>
              <w:t>Summary of advice and recommendations</w:t>
            </w:r>
            <w:r w:rsidR="000C13F0">
              <w:rPr>
                <w:noProof/>
                <w:webHidden/>
              </w:rPr>
              <w:tab/>
            </w:r>
            <w:r w:rsidR="000C13F0">
              <w:rPr>
                <w:noProof/>
                <w:webHidden/>
              </w:rPr>
              <w:fldChar w:fldCharType="begin"/>
            </w:r>
            <w:r w:rsidR="000C13F0">
              <w:rPr>
                <w:noProof/>
                <w:webHidden/>
              </w:rPr>
              <w:instrText xml:space="preserve"> PAGEREF _Toc157848838 \h </w:instrText>
            </w:r>
            <w:r w:rsidR="000C13F0">
              <w:rPr>
                <w:noProof/>
                <w:webHidden/>
              </w:rPr>
            </w:r>
            <w:r w:rsidR="000C13F0">
              <w:rPr>
                <w:noProof/>
                <w:webHidden/>
              </w:rPr>
              <w:fldChar w:fldCharType="separate"/>
            </w:r>
            <w:r w:rsidR="000C13F0">
              <w:rPr>
                <w:noProof/>
                <w:webHidden/>
              </w:rPr>
              <w:t>4</w:t>
            </w:r>
            <w:r w:rsidR="000C13F0">
              <w:rPr>
                <w:noProof/>
                <w:webHidden/>
              </w:rPr>
              <w:fldChar w:fldCharType="end"/>
            </w:r>
          </w:hyperlink>
        </w:p>
        <w:p w14:paraId="25757F50" w14:textId="00227753" w:rsidR="000C13F0" w:rsidRDefault="00475766">
          <w:pPr>
            <w:pStyle w:val="TOC1"/>
            <w:rPr>
              <w:rFonts w:asciiTheme="minorHAnsi" w:eastAsiaTheme="minorEastAsia" w:hAnsiTheme="minorHAnsi" w:cstheme="minorBidi"/>
              <w:noProof/>
              <w:color w:val="auto"/>
              <w:kern w:val="2"/>
              <w:sz w:val="22"/>
              <w:szCs w:val="22"/>
              <w:lang w:eastAsia="en-AU"/>
              <w14:ligatures w14:val="standardContextual"/>
            </w:rPr>
          </w:pPr>
          <w:hyperlink w:anchor="_Toc157848839" w:history="1">
            <w:r w:rsidR="000C13F0" w:rsidRPr="000D7F54">
              <w:rPr>
                <w:rStyle w:val="Hyperlink"/>
                <w:noProof/>
              </w:rPr>
              <w:t>About Our Watch</w:t>
            </w:r>
            <w:r w:rsidR="000C13F0">
              <w:rPr>
                <w:noProof/>
                <w:webHidden/>
              </w:rPr>
              <w:tab/>
            </w:r>
            <w:r w:rsidR="000C13F0">
              <w:rPr>
                <w:noProof/>
                <w:webHidden/>
              </w:rPr>
              <w:fldChar w:fldCharType="begin"/>
            </w:r>
            <w:r w:rsidR="000C13F0">
              <w:rPr>
                <w:noProof/>
                <w:webHidden/>
              </w:rPr>
              <w:instrText xml:space="preserve"> PAGEREF _Toc157848839 \h </w:instrText>
            </w:r>
            <w:r w:rsidR="000C13F0">
              <w:rPr>
                <w:noProof/>
                <w:webHidden/>
              </w:rPr>
            </w:r>
            <w:r w:rsidR="000C13F0">
              <w:rPr>
                <w:noProof/>
                <w:webHidden/>
              </w:rPr>
              <w:fldChar w:fldCharType="separate"/>
            </w:r>
            <w:r w:rsidR="000C13F0">
              <w:rPr>
                <w:noProof/>
                <w:webHidden/>
              </w:rPr>
              <w:t>5</w:t>
            </w:r>
            <w:r w:rsidR="000C13F0">
              <w:rPr>
                <w:noProof/>
                <w:webHidden/>
              </w:rPr>
              <w:fldChar w:fldCharType="end"/>
            </w:r>
          </w:hyperlink>
        </w:p>
        <w:p w14:paraId="27A1EF30" w14:textId="03018813" w:rsidR="000C13F0" w:rsidRDefault="00475766">
          <w:pPr>
            <w:pStyle w:val="TOC1"/>
            <w:rPr>
              <w:rFonts w:asciiTheme="minorHAnsi" w:eastAsiaTheme="minorEastAsia" w:hAnsiTheme="minorHAnsi" w:cstheme="minorBidi"/>
              <w:noProof/>
              <w:color w:val="auto"/>
              <w:kern w:val="2"/>
              <w:sz w:val="22"/>
              <w:szCs w:val="22"/>
              <w:lang w:eastAsia="en-AU"/>
              <w14:ligatures w14:val="standardContextual"/>
            </w:rPr>
          </w:pPr>
          <w:hyperlink w:anchor="_Toc157848840" w:history="1">
            <w:r w:rsidR="000C13F0" w:rsidRPr="000D7F54">
              <w:rPr>
                <w:rStyle w:val="Hyperlink"/>
                <w:rFonts w:eastAsia="Roboto" w:cs="Roboto"/>
                <w:noProof/>
              </w:rPr>
              <w:t>Background</w:t>
            </w:r>
            <w:r w:rsidR="000C13F0">
              <w:rPr>
                <w:noProof/>
                <w:webHidden/>
              </w:rPr>
              <w:tab/>
            </w:r>
            <w:r w:rsidR="000C13F0">
              <w:rPr>
                <w:noProof/>
                <w:webHidden/>
              </w:rPr>
              <w:fldChar w:fldCharType="begin"/>
            </w:r>
            <w:r w:rsidR="000C13F0">
              <w:rPr>
                <w:noProof/>
                <w:webHidden/>
              </w:rPr>
              <w:instrText xml:space="preserve"> PAGEREF _Toc157848840 \h </w:instrText>
            </w:r>
            <w:r w:rsidR="000C13F0">
              <w:rPr>
                <w:noProof/>
                <w:webHidden/>
              </w:rPr>
            </w:r>
            <w:r w:rsidR="000C13F0">
              <w:rPr>
                <w:noProof/>
                <w:webHidden/>
              </w:rPr>
              <w:fldChar w:fldCharType="separate"/>
            </w:r>
            <w:r w:rsidR="000C13F0">
              <w:rPr>
                <w:noProof/>
                <w:webHidden/>
              </w:rPr>
              <w:t>5</w:t>
            </w:r>
            <w:r w:rsidR="000C13F0">
              <w:rPr>
                <w:noProof/>
                <w:webHidden/>
              </w:rPr>
              <w:fldChar w:fldCharType="end"/>
            </w:r>
          </w:hyperlink>
        </w:p>
        <w:p w14:paraId="0A61D716" w14:textId="31B53AFA" w:rsidR="000C13F0" w:rsidRDefault="00475766">
          <w:pPr>
            <w:pStyle w:val="TOC1"/>
            <w:rPr>
              <w:rFonts w:asciiTheme="minorHAnsi" w:eastAsiaTheme="minorEastAsia" w:hAnsiTheme="minorHAnsi" w:cstheme="minorBidi"/>
              <w:noProof/>
              <w:color w:val="auto"/>
              <w:kern w:val="2"/>
              <w:sz w:val="22"/>
              <w:szCs w:val="22"/>
              <w:lang w:eastAsia="en-AU"/>
              <w14:ligatures w14:val="standardContextual"/>
            </w:rPr>
          </w:pPr>
          <w:hyperlink w:anchor="_Toc157848841" w:history="1">
            <w:r w:rsidR="000C13F0" w:rsidRPr="000D7F54">
              <w:rPr>
                <w:rStyle w:val="Hyperlink"/>
                <w:noProof/>
              </w:rPr>
              <w:t>Discussion questions</w:t>
            </w:r>
            <w:r w:rsidR="000C13F0">
              <w:rPr>
                <w:noProof/>
                <w:webHidden/>
              </w:rPr>
              <w:tab/>
            </w:r>
            <w:r w:rsidR="000C13F0">
              <w:rPr>
                <w:noProof/>
                <w:webHidden/>
              </w:rPr>
              <w:fldChar w:fldCharType="begin"/>
            </w:r>
            <w:r w:rsidR="000C13F0">
              <w:rPr>
                <w:noProof/>
                <w:webHidden/>
              </w:rPr>
              <w:instrText xml:space="preserve"> PAGEREF _Toc157848841 \h </w:instrText>
            </w:r>
            <w:r w:rsidR="000C13F0">
              <w:rPr>
                <w:noProof/>
                <w:webHidden/>
              </w:rPr>
            </w:r>
            <w:r w:rsidR="000C13F0">
              <w:rPr>
                <w:noProof/>
                <w:webHidden/>
              </w:rPr>
              <w:fldChar w:fldCharType="separate"/>
            </w:r>
            <w:r w:rsidR="000C13F0">
              <w:rPr>
                <w:noProof/>
                <w:webHidden/>
              </w:rPr>
              <w:t>8</w:t>
            </w:r>
            <w:r w:rsidR="000C13F0">
              <w:rPr>
                <w:noProof/>
                <w:webHidden/>
              </w:rPr>
              <w:fldChar w:fldCharType="end"/>
            </w:r>
          </w:hyperlink>
        </w:p>
        <w:p w14:paraId="668527E1" w14:textId="0CD445CB" w:rsidR="000C13F0" w:rsidRDefault="00475766">
          <w:pPr>
            <w:pStyle w:val="TOC2"/>
            <w:tabs>
              <w:tab w:val="right" w:leader="dot" w:pos="9488"/>
            </w:tabs>
            <w:rPr>
              <w:rFonts w:asciiTheme="minorHAnsi" w:eastAsiaTheme="minorEastAsia" w:hAnsiTheme="minorHAnsi" w:cstheme="minorBidi"/>
              <w:noProof/>
              <w:color w:val="auto"/>
              <w:kern w:val="2"/>
              <w:sz w:val="22"/>
              <w:szCs w:val="22"/>
              <w:lang w:eastAsia="en-AU"/>
              <w14:ligatures w14:val="standardContextual"/>
            </w:rPr>
          </w:pPr>
          <w:hyperlink w:anchor="_Toc157848842" w:history="1">
            <w:r w:rsidR="000C13F0" w:rsidRPr="000D7F54">
              <w:rPr>
                <w:rStyle w:val="Hyperlink"/>
                <w:noProof/>
              </w:rPr>
              <w:t>Should the definition of consent in South Australia include a positive obligation to obtain consent, consistent with an affirmative model of consent?</w:t>
            </w:r>
            <w:r w:rsidR="000C13F0">
              <w:rPr>
                <w:noProof/>
                <w:webHidden/>
              </w:rPr>
              <w:tab/>
            </w:r>
            <w:r w:rsidR="000C13F0">
              <w:rPr>
                <w:noProof/>
                <w:webHidden/>
              </w:rPr>
              <w:fldChar w:fldCharType="begin"/>
            </w:r>
            <w:r w:rsidR="000C13F0">
              <w:rPr>
                <w:noProof/>
                <w:webHidden/>
              </w:rPr>
              <w:instrText xml:space="preserve"> PAGEREF _Toc157848842 \h </w:instrText>
            </w:r>
            <w:r w:rsidR="000C13F0">
              <w:rPr>
                <w:noProof/>
                <w:webHidden/>
              </w:rPr>
            </w:r>
            <w:r w:rsidR="000C13F0">
              <w:rPr>
                <w:noProof/>
                <w:webHidden/>
              </w:rPr>
              <w:fldChar w:fldCharType="separate"/>
            </w:r>
            <w:r w:rsidR="000C13F0">
              <w:rPr>
                <w:noProof/>
                <w:webHidden/>
              </w:rPr>
              <w:t>8</w:t>
            </w:r>
            <w:r w:rsidR="000C13F0">
              <w:rPr>
                <w:noProof/>
                <w:webHidden/>
              </w:rPr>
              <w:fldChar w:fldCharType="end"/>
            </w:r>
          </w:hyperlink>
        </w:p>
        <w:p w14:paraId="1D57C81E" w14:textId="2841E65C" w:rsidR="000C13F0" w:rsidRDefault="00475766">
          <w:pPr>
            <w:pStyle w:val="TOC3"/>
            <w:tabs>
              <w:tab w:val="right" w:leader="dot" w:pos="9488"/>
            </w:tabs>
            <w:rPr>
              <w:rFonts w:asciiTheme="minorHAnsi" w:eastAsiaTheme="minorEastAsia" w:hAnsiTheme="minorHAnsi" w:cstheme="minorBidi"/>
              <w:noProof/>
              <w:color w:val="auto"/>
              <w:kern w:val="2"/>
              <w:sz w:val="22"/>
              <w:szCs w:val="22"/>
              <w:lang w:eastAsia="en-AU"/>
              <w14:ligatures w14:val="standardContextual"/>
            </w:rPr>
          </w:pPr>
          <w:hyperlink w:anchor="_Toc157848843" w:history="1">
            <w:r w:rsidR="000C13F0" w:rsidRPr="000D7F54">
              <w:rPr>
                <w:rStyle w:val="Hyperlink"/>
                <w:noProof/>
              </w:rPr>
              <w:t>The impact of consent laws on consent education</w:t>
            </w:r>
            <w:r w:rsidR="000C13F0">
              <w:rPr>
                <w:noProof/>
                <w:webHidden/>
              </w:rPr>
              <w:tab/>
            </w:r>
            <w:r w:rsidR="000C13F0">
              <w:rPr>
                <w:noProof/>
                <w:webHidden/>
              </w:rPr>
              <w:fldChar w:fldCharType="begin"/>
            </w:r>
            <w:r w:rsidR="000C13F0">
              <w:rPr>
                <w:noProof/>
                <w:webHidden/>
              </w:rPr>
              <w:instrText xml:space="preserve"> PAGEREF _Toc157848843 \h </w:instrText>
            </w:r>
            <w:r w:rsidR="000C13F0">
              <w:rPr>
                <w:noProof/>
                <w:webHidden/>
              </w:rPr>
            </w:r>
            <w:r w:rsidR="000C13F0">
              <w:rPr>
                <w:noProof/>
                <w:webHidden/>
              </w:rPr>
              <w:fldChar w:fldCharType="separate"/>
            </w:r>
            <w:r w:rsidR="000C13F0">
              <w:rPr>
                <w:noProof/>
                <w:webHidden/>
              </w:rPr>
              <w:t>8</w:t>
            </w:r>
            <w:r w:rsidR="000C13F0">
              <w:rPr>
                <w:noProof/>
                <w:webHidden/>
              </w:rPr>
              <w:fldChar w:fldCharType="end"/>
            </w:r>
          </w:hyperlink>
        </w:p>
        <w:p w14:paraId="4BA4F785" w14:textId="4117D054" w:rsidR="000C13F0" w:rsidRDefault="00475766">
          <w:pPr>
            <w:pStyle w:val="TOC3"/>
            <w:tabs>
              <w:tab w:val="right" w:leader="dot" w:pos="9488"/>
            </w:tabs>
            <w:rPr>
              <w:rFonts w:asciiTheme="minorHAnsi" w:eastAsiaTheme="minorEastAsia" w:hAnsiTheme="minorHAnsi" w:cstheme="minorBidi"/>
              <w:noProof/>
              <w:color w:val="auto"/>
              <w:kern w:val="2"/>
              <w:sz w:val="22"/>
              <w:szCs w:val="22"/>
              <w:lang w:eastAsia="en-AU"/>
              <w14:ligatures w14:val="standardContextual"/>
            </w:rPr>
          </w:pPr>
          <w:hyperlink w:anchor="_Toc157848844" w:history="1">
            <w:r w:rsidR="000C13F0" w:rsidRPr="000D7F54">
              <w:rPr>
                <w:rStyle w:val="Hyperlink"/>
                <w:noProof/>
              </w:rPr>
              <w:t>An evidence-based approach to respectful relationships education</w:t>
            </w:r>
            <w:r w:rsidR="000C13F0">
              <w:rPr>
                <w:noProof/>
                <w:webHidden/>
              </w:rPr>
              <w:tab/>
            </w:r>
            <w:r w:rsidR="000C13F0">
              <w:rPr>
                <w:noProof/>
                <w:webHidden/>
              </w:rPr>
              <w:fldChar w:fldCharType="begin"/>
            </w:r>
            <w:r w:rsidR="000C13F0">
              <w:rPr>
                <w:noProof/>
                <w:webHidden/>
              </w:rPr>
              <w:instrText xml:space="preserve"> PAGEREF _Toc157848844 \h </w:instrText>
            </w:r>
            <w:r w:rsidR="000C13F0">
              <w:rPr>
                <w:noProof/>
                <w:webHidden/>
              </w:rPr>
            </w:r>
            <w:r w:rsidR="000C13F0">
              <w:rPr>
                <w:noProof/>
                <w:webHidden/>
              </w:rPr>
              <w:fldChar w:fldCharType="separate"/>
            </w:r>
            <w:r w:rsidR="000C13F0">
              <w:rPr>
                <w:noProof/>
                <w:webHidden/>
              </w:rPr>
              <w:t>10</w:t>
            </w:r>
            <w:r w:rsidR="000C13F0">
              <w:rPr>
                <w:noProof/>
                <w:webHidden/>
              </w:rPr>
              <w:fldChar w:fldCharType="end"/>
            </w:r>
          </w:hyperlink>
        </w:p>
        <w:p w14:paraId="12B8943E" w14:textId="182F6346" w:rsidR="000C13F0" w:rsidRDefault="00475766">
          <w:pPr>
            <w:pStyle w:val="TOC3"/>
            <w:tabs>
              <w:tab w:val="right" w:leader="dot" w:pos="9488"/>
            </w:tabs>
            <w:rPr>
              <w:rFonts w:asciiTheme="minorHAnsi" w:eastAsiaTheme="minorEastAsia" w:hAnsiTheme="minorHAnsi" w:cstheme="minorBidi"/>
              <w:noProof/>
              <w:color w:val="auto"/>
              <w:kern w:val="2"/>
              <w:sz w:val="22"/>
              <w:szCs w:val="22"/>
              <w:lang w:eastAsia="en-AU"/>
              <w14:ligatures w14:val="standardContextual"/>
            </w:rPr>
          </w:pPr>
          <w:hyperlink w:anchor="_Toc157848845" w:history="1">
            <w:r w:rsidR="000C13F0" w:rsidRPr="000D7F54">
              <w:rPr>
                <w:rStyle w:val="Hyperlink"/>
                <w:noProof/>
              </w:rPr>
              <w:t>Consent education as part of an evidence-based approach to RRE</w:t>
            </w:r>
            <w:r w:rsidR="000C13F0">
              <w:rPr>
                <w:noProof/>
                <w:webHidden/>
              </w:rPr>
              <w:tab/>
            </w:r>
            <w:r w:rsidR="000C13F0">
              <w:rPr>
                <w:noProof/>
                <w:webHidden/>
              </w:rPr>
              <w:fldChar w:fldCharType="begin"/>
            </w:r>
            <w:r w:rsidR="000C13F0">
              <w:rPr>
                <w:noProof/>
                <w:webHidden/>
              </w:rPr>
              <w:instrText xml:space="preserve"> PAGEREF _Toc157848845 \h </w:instrText>
            </w:r>
            <w:r w:rsidR="000C13F0">
              <w:rPr>
                <w:noProof/>
                <w:webHidden/>
              </w:rPr>
            </w:r>
            <w:r w:rsidR="000C13F0">
              <w:rPr>
                <w:noProof/>
                <w:webHidden/>
              </w:rPr>
              <w:fldChar w:fldCharType="separate"/>
            </w:r>
            <w:r w:rsidR="000C13F0">
              <w:rPr>
                <w:noProof/>
                <w:webHidden/>
              </w:rPr>
              <w:t>10</w:t>
            </w:r>
            <w:r w:rsidR="000C13F0">
              <w:rPr>
                <w:noProof/>
                <w:webHidden/>
              </w:rPr>
              <w:fldChar w:fldCharType="end"/>
            </w:r>
          </w:hyperlink>
        </w:p>
        <w:p w14:paraId="4122FD91" w14:textId="4E1BC9B7" w:rsidR="0072057C" w:rsidRPr="007436A9" w:rsidRDefault="0072057C" w:rsidP="005D36CE">
          <w:pPr>
            <w:spacing w:before="120" w:after="120" w:line="360" w:lineRule="auto"/>
            <w:rPr>
              <w:color w:val="002060"/>
            </w:rPr>
          </w:pPr>
          <w:r w:rsidRPr="007436A9">
            <w:rPr>
              <w:b/>
              <w:bCs/>
              <w:noProof/>
              <w:color w:val="002060"/>
            </w:rPr>
            <w:fldChar w:fldCharType="end"/>
          </w:r>
        </w:p>
      </w:sdtContent>
    </w:sdt>
    <w:p w14:paraId="50028E6E" w14:textId="77777777" w:rsidR="0072057C" w:rsidRPr="007436A9" w:rsidRDefault="0072057C" w:rsidP="005D36CE">
      <w:pPr>
        <w:spacing w:before="120" w:after="120"/>
        <w:rPr>
          <w:color w:val="002060"/>
        </w:rPr>
      </w:pPr>
    </w:p>
    <w:p w14:paraId="27F003C3" w14:textId="5BE901F5" w:rsidR="0072057C" w:rsidRPr="007436A9" w:rsidRDefault="0072057C" w:rsidP="005D36CE">
      <w:pPr>
        <w:spacing w:before="120" w:after="120" w:line="259" w:lineRule="auto"/>
        <w:rPr>
          <w:color w:val="002060"/>
        </w:rPr>
      </w:pPr>
      <w:r w:rsidRPr="007436A9">
        <w:rPr>
          <w:color w:val="002060"/>
        </w:rPr>
        <w:br w:type="page"/>
      </w:r>
    </w:p>
    <w:p w14:paraId="3FCF5708" w14:textId="1A5365E0" w:rsidR="1AD84316" w:rsidRPr="007436A9" w:rsidRDefault="1AD84316" w:rsidP="005D36CE">
      <w:pPr>
        <w:pStyle w:val="Heading1"/>
        <w:spacing w:before="120" w:after="120"/>
        <w:rPr>
          <w:rFonts w:eastAsia="Roboto" w:cs="Roboto"/>
          <w:color w:val="002060"/>
          <w:sz w:val="24"/>
          <w:szCs w:val="24"/>
        </w:rPr>
      </w:pPr>
      <w:bookmarkStart w:id="0" w:name="_Toc157848837"/>
      <w:r w:rsidRPr="007436A9">
        <w:rPr>
          <w:color w:val="002060"/>
        </w:rPr>
        <w:t xml:space="preserve">Acknowledgement of </w:t>
      </w:r>
      <w:bookmarkEnd w:id="0"/>
      <w:r w:rsidR="00686C2B">
        <w:rPr>
          <w:color w:val="002060"/>
        </w:rPr>
        <w:t>C</w:t>
      </w:r>
      <w:r w:rsidRPr="007436A9">
        <w:rPr>
          <w:color w:val="002060"/>
        </w:rPr>
        <w:t xml:space="preserve">ountry </w:t>
      </w:r>
    </w:p>
    <w:p w14:paraId="2B9A1FD2" w14:textId="77777777" w:rsidR="009530AC" w:rsidRPr="007436A9" w:rsidRDefault="009530AC" w:rsidP="005D36CE">
      <w:pPr>
        <w:spacing w:before="120" w:after="120"/>
        <w:textAlignment w:val="baseline"/>
        <w:rPr>
          <w:rFonts w:cs="Segoe UI"/>
          <w:color w:val="002060"/>
          <w:szCs w:val="24"/>
          <w:lang w:eastAsia="en-AU"/>
        </w:rPr>
      </w:pPr>
      <w:r w:rsidRPr="007436A9">
        <w:rPr>
          <w:rFonts w:cs="Segoe UI"/>
          <w:color w:val="002060"/>
          <w:szCs w:val="24"/>
          <w:lang w:eastAsia="en-AU"/>
        </w:rPr>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7436A9">
        <w:rPr>
          <w:rFonts w:cs="Segoe UI"/>
          <w:color w:val="002060"/>
          <w:szCs w:val="24"/>
          <w:lang w:eastAsia="en-AU"/>
        </w:rPr>
        <w:t>have to</w:t>
      </w:r>
      <w:proofErr w:type="gramEnd"/>
      <w:r w:rsidRPr="007436A9">
        <w:rPr>
          <w:rFonts w:cs="Segoe UI"/>
          <w:color w:val="002060"/>
          <w:szCs w:val="24"/>
          <w:lang w:eastAsia="en-AU"/>
        </w:rPr>
        <w:t xml:space="preserve"> land, culture, knowledge, and language for over 65,000 years and that this land was never ceded. </w:t>
      </w:r>
    </w:p>
    <w:p w14:paraId="52C37E59" w14:textId="77777777" w:rsidR="009530AC" w:rsidRPr="007436A9" w:rsidRDefault="009530AC" w:rsidP="005D36CE">
      <w:pPr>
        <w:spacing w:before="120" w:after="120"/>
        <w:textAlignment w:val="baseline"/>
        <w:rPr>
          <w:rFonts w:cs="Segoe UI"/>
          <w:color w:val="002060"/>
          <w:szCs w:val="24"/>
          <w:lang w:eastAsia="en-AU"/>
        </w:rPr>
      </w:pPr>
      <w:r w:rsidRPr="007436A9">
        <w:rPr>
          <w:rFonts w:cs="Segoe UI"/>
          <w:color w:val="002060"/>
          <w:szCs w:val="24"/>
          <w:lang w:eastAsia="en-AU"/>
        </w:rPr>
        <w:t xml:space="preserve">As a non-Indigenous organisation, Our Watch understands that violence against Aboriginal and Torres Strait Islander women and children is not an ‘Aboriginal and Torres Strait Islander problem.’ As highlighted in Our Watch’s national resource </w:t>
      </w:r>
      <w:r w:rsidRPr="007436A9">
        <w:rPr>
          <w:rFonts w:cs="Segoe UI"/>
          <w:i/>
          <w:color w:val="002060"/>
          <w:szCs w:val="24"/>
          <w:lang w:eastAsia="en-AU"/>
        </w:rPr>
        <w:t>Changing the picture</w:t>
      </w:r>
      <w:r w:rsidRPr="007436A9">
        <w:rPr>
          <w:rFonts w:cs="Segoe UI"/>
          <w:color w:val="002060"/>
          <w:szCs w:val="24"/>
          <w:lang w:eastAsia="en-AU"/>
        </w:rPr>
        <w:t xml:space="preserve">, there is an intersection between racism, </w:t>
      </w:r>
      <w:proofErr w:type="gramStart"/>
      <w:r w:rsidRPr="007436A9">
        <w:rPr>
          <w:rFonts w:cs="Segoe UI"/>
          <w:color w:val="002060"/>
          <w:szCs w:val="24"/>
          <w:lang w:eastAsia="en-AU"/>
        </w:rPr>
        <w:t>sexism</w:t>
      </w:r>
      <w:proofErr w:type="gramEnd"/>
      <w:r w:rsidRPr="007436A9">
        <w:rPr>
          <w:rFonts w:cs="Segoe UI"/>
          <w:color w:val="002060"/>
          <w:szCs w:val="24"/>
          <w:lang w:eastAsia="en-AU"/>
        </w:rPr>
        <w:t xml:space="preserve"> and violence against Aboriginal and Torres Strait Islander women. </w:t>
      </w:r>
    </w:p>
    <w:p w14:paraId="0F9123C8" w14:textId="0C11E906" w:rsidR="009530AC" w:rsidRPr="007436A9" w:rsidRDefault="009530AC" w:rsidP="005D36CE">
      <w:pPr>
        <w:spacing w:before="120" w:after="120"/>
        <w:textAlignment w:val="baseline"/>
        <w:rPr>
          <w:rFonts w:cs="Segoe UI"/>
          <w:color w:val="002060"/>
          <w:szCs w:val="24"/>
          <w:lang w:eastAsia="en-AU"/>
        </w:rPr>
      </w:pPr>
      <w:r w:rsidRPr="007436A9">
        <w:rPr>
          <w:rFonts w:cs="Segoe UI"/>
          <w:color w:val="002060"/>
          <w:szCs w:val="24"/>
          <w:lang w:eastAsia="en-AU"/>
        </w:rPr>
        <w:t>Our Watch has an ongoing commitment to the prevention of violence against Aboriginal and Torres Strait Islander women and children, who continue to experience violence at a significantly higher rate than non-</w:t>
      </w:r>
      <w:r w:rsidR="001C15CA" w:rsidRPr="007436A9">
        <w:rPr>
          <w:rFonts w:cs="Segoe UI"/>
          <w:color w:val="002060"/>
          <w:szCs w:val="24"/>
          <w:lang w:eastAsia="en-AU"/>
        </w:rPr>
        <w:t>Aboriginal</w:t>
      </w:r>
      <w:r w:rsidRPr="007436A9">
        <w:rPr>
          <w:rFonts w:cs="Segoe UI"/>
          <w:color w:val="002060"/>
          <w:szCs w:val="24"/>
          <w:lang w:eastAsia="en-AU"/>
        </w:rPr>
        <w:t xml:space="preserve"> women. We acknowledge all Aboriginal and Torres Strait Islander people who continue to lead the work of sharing knowledge with non-</w:t>
      </w:r>
      <w:r w:rsidR="001C15CA" w:rsidRPr="007436A9">
        <w:rPr>
          <w:rFonts w:cs="Segoe UI"/>
          <w:color w:val="002060"/>
          <w:szCs w:val="24"/>
          <w:lang w:eastAsia="en-AU"/>
        </w:rPr>
        <w:t>Aboriginal</w:t>
      </w:r>
      <w:r w:rsidRPr="007436A9">
        <w:rPr>
          <w:rFonts w:cs="Segoe UI"/>
          <w:color w:val="002060"/>
          <w:szCs w:val="24"/>
          <w:lang w:eastAsia="en-AU"/>
        </w:rPr>
        <w:t xml:space="preserve"> people and relentlessly advocate for an equitable, violence-free future in Australia. </w:t>
      </w:r>
    </w:p>
    <w:p w14:paraId="772E7F22" w14:textId="77777777" w:rsidR="00527AF8" w:rsidRPr="007436A9" w:rsidRDefault="00527AF8" w:rsidP="005D36CE">
      <w:pPr>
        <w:spacing w:before="120" w:after="120"/>
        <w:textAlignment w:val="baseline"/>
        <w:rPr>
          <w:rFonts w:cs="Segoe UI"/>
          <w:color w:val="002060"/>
          <w:szCs w:val="24"/>
          <w:lang w:eastAsia="en-AU"/>
        </w:rPr>
      </w:pPr>
    </w:p>
    <w:p w14:paraId="48AEE694" w14:textId="77777777" w:rsidR="00527AF8" w:rsidRPr="007436A9" w:rsidRDefault="00527AF8" w:rsidP="005D36CE">
      <w:pPr>
        <w:spacing w:before="120" w:after="120"/>
        <w:textAlignment w:val="baseline"/>
        <w:rPr>
          <w:rFonts w:cs="Segoe UI"/>
          <w:color w:val="002060"/>
          <w:szCs w:val="24"/>
          <w:lang w:eastAsia="en-AU"/>
        </w:rPr>
      </w:pPr>
    </w:p>
    <w:p w14:paraId="3CA944E2" w14:textId="77777777" w:rsidR="00527AF8" w:rsidRPr="007436A9" w:rsidRDefault="00527AF8" w:rsidP="005D36CE">
      <w:pPr>
        <w:spacing w:before="120" w:after="120"/>
        <w:textAlignment w:val="baseline"/>
        <w:rPr>
          <w:rFonts w:cs="Segoe UI"/>
          <w:color w:val="002060"/>
          <w:szCs w:val="24"/>
          <w:lang w:eastAsia="en-AU"/>
        </w:rPr>
      </w:pPr>
    </w:p>
    <w:p w14:paraId="2966E714" w14:textId="77777777" w:rsidR="00527AF8" w:rsidRPr="007436A9" w:rsidRDefault="00527AF8" w:rsidP="005D36CE">
      <w:pPr>
        <w:spacing w:before="120" w:after="120"/>
        <w:textAlignment w:val="baseline"/>
        <w:rPr>
          <w:rFonts w:cs="Segoe UI"/>
          <w:color w:val="002060"/>
          <w:szCs w:val="24"/>
          <w:lang w:eastAsia="en-AU"/>
        </w:rPr>
      </w:pPr>
    </w:p>
    <w:p w14:paraId="003479CE" w14:textId="77777777" w:rsidR="00527AF8" w:rsidRPr="007436A9" w:rsidRDefault="00527AF8" w:rsidP="005D36CE">
      <w:pPr>
        <w:spacing w:before="120" w:after="120"/>
        <w:textAlignment w:val="baseline"/>
        <w:rPr>
          <w:rFonts w:cs="Segoe UI"/>
          <w:color w:val="002060"/>
          <w:szCs w:val="24"/>
          <w:lang w:eastAsia="en-AU"/>
        </w:rPr>
      </w:pPr>
    </w:p>
    <w:p w14:paraId="38235980" w14:textId="77777777" w:rsidR="00527AF8" w:rsidRPr="007436A9" w:rsidRDefault="00527AF8" w:rsidP="005D36CE">
      <w:pPr>
        <w:spacing w:before="120" w:after="120"/>
        <w:textAlignment w:val="baseline"/>
        <w:rPr>
          <w:rFonts w:cs="Segoe UI"/>
          <w:color w:val="002060"/>
          <w:szCs w:val="24"/>
          <w:lang w:eastAsia="en-AU"/>
        </w:rPr>
      </w:pPr>
    </w:p>
    <w:p w14:paraId="6CAAAC5B" w14:textId="77777777" w:rsidR="00527AF8" w:rsidRPr="007436A9" w:rsidRDefault="00527AF8" w:rsidP="005D36CE">
      <w:pPr>
        <w:spacing w:before="120" w:after="120"/>
        <w:textAlignment w:val="baseline"/>
        <w:rPr>
          <w:rFonts w:cs="Segoe UI"/>
          <w:color w:val="002060"/>
          <w:szCs w:val="24"/>
          <w:lang w:eastAsia="en-AU"/>
        </w:rPr>
      </w:pPr>
    </w:p>
    <w:p w14:paraId="2A55F1EF" w14:textId="77777777" w:rsidR="00527AF8" w:rsidRPr="007436A9" w:rsidRDefault="00527AF8" w:rsidP="005D36CE">
      <w:pPr>
        <w:spacing w:before="120" w:after="120"/>
        <w:textAlignment w:val="baseline"/>
        <w:rPr>
          <w:rFonts w:cs="Segoe UI"/>
          <w:color w:val="002060"/>
          <w:szCs w:val="24"/>
          <w:lang w:eastAsia="en-AU"/>
        </w:rPr>
      </w:pPr>
    </w:p>
    <w:p w14:paraId="6A89E3B3" w14:textId="77777777" w:rsidR="00527AF8" w:rsidRPr="007436A9" w:rsidRDefault="00527AF8" w:rsidP="005D36CE">
      <w:pPr>
        <w:spacing w:before="120" w:after="120"/>
        <w:textAlignment w:val="baseline"/>
        <w:rPr>
          <w:rFonts w:cs="Segoe UI"/>
          <w:color w:val="002060"/>
          <w:szCs w:val="24"/>
          <w:lang w:eastAsia="en-AU"/>
        </w:rPr>
      </w:pPr>
    </w:p>
    <w:p w14:paraId="4893432B" w14:textId="77777777" w:rsidR="00527AF8" w:rsidRPr="007436A9" w:rsidRDefault="00527AF8" w:rsidP="005D36CE">
      <w:pPr>
        <w:spacing w:before="120" w:after="120"/>
        <w:textAlignment w:val="baseline"/>
        <w:rPr>
          <w:rFonts w:cs="Segoe UI"/>
          <w:color w:val="002060"/>
          <w:szCs w:val="24"/>
          <w:lang w:eastAsia="en-AU"/>
        </w:rPr>
      </w:pPr>
    </w:p>
    <w:p w14:paraId="1037FCDD" w14:textId="77777777" w:rsidR="00527AF8" w:rsidRPr="007436A9" w:rsidRDefault="00527AF8" w:rsidP="005D36CE">
      <w:pPr>
        <w:spacing w:before="120" w:after="120"/>
        <w:textAlignment w:val="baseline"/>
        <w:rPr>
          <w:rFonts w:cs="Segoe UI"/>
          <w:color w:val="002060"/>
          <w:szCs w:val="24"/>
          <w:lang w:eastAsia="en-AU"/>
        </w:rPr>
      </w:pPr>
    </w:p>
    <w:p w14:paraId="697544AB" w14:textId="77777777" w:rsidR="00527AF8" w:rsidRPr="007436A9" w:rsidRDefault="00527AF8" w:rsidP="005D36CE">
      <w:pPr>
        <w:spacing w:before="120" w:after="120"/>
        <w:textAlignment w:val="baseline"/>
        <w:rPr>
          <w:rFonts w:cs="Segoe UI"/>
          <w:color w:val="002060"/>
          <w:szCs w:val="24"/>
          <w:lang w:eastAsia="en-AU"/>
        </w:rPr>
      </w:pPr>
    </w:p>
    <w:p w14:paraId="490B61D8" w14:textId="77777777" w:rsidR="00527AF8" w:rsidRPr="007436A9" w:rsidRDefault="00527AF8" w:rsidP="005D36CE">
      <w:pPr>
        <w:spacing w:before="120" w:after="120"/>
        <w:textAlignment w:val="baseline"/>
        <w:rPr>
          <w:rFonts w:cs="Segoe UI"/>
          <w:color w:val="002060"/>
          <w:szCs w:val="24"/>
          <w:lang w:eastAsia="en-AU"/>
        </w:rPr>
      </w:pPr>
    </w:p>
    <w:p w14:paraId="37029429" w14:textId="77777777" w:rsidR="00527AF8" w:rsidRPr="007436A9" w:rsidRDefault="00527AF8" w:rsidP="005D36CE">
      <w:pPr>
        <w:spacing w:before="120" w:after="120"/>
        <w:textAlignment w:val="baseline"/>
        <w:rPr>
          <w:rFonts w:cs="Segoe UI"/>
          <w:color w:val="002060"/>
          <w:szCs w:val="24"/>
          <w:lang w:eastAsia="en-AU"/>
        </w:rPr>
      </w:pPr>
    </w:p>
    <w:p w14:paraId="26B632BD" w14:textId="77777777" w:rsidR="00527AF8" w:rsidRPr="007436A9" w:rsidRDefault="00527AF8" w:rsidP="005D36CE">
      <w:pPr>
        <w:spacing w:before="120" w:after="120"/>
        <w:textAlignment w:val="baseline"/>
        <w:rPr>
          <w:rFonts w:cs="Segoe UI"/>
          <w:color w:val="002060"/>
          <w:szCs w:val="24"/>
          <w:lang w:eastAsia="en-AU"/>
        </w:rPr>
      </w:pPr>
    </w:p>
    <w:p w14:paraId="263602C5" w14:textId="77777777" w:rsidR="00527AF8" w:rsidRPr="007436A9" w:rsidRDefault="00527AF8" w:rsidP="005D36CE">
      <w:pPr>
        <w:spacing w:before="120" w:after="120"/>
        <w:textAlignment w:val="baseline"/>
        <w:rPr>
          <w:rFonts w:cs="Segoe UI"/>
          <w:color w:val="002060"/>
          <w:szCs w:val="24"/>
          <w:lang w:eastAsia="en-AU"/>
        </w:rPr>
      </w:pPr>
    </w:p>
    <w:p w14:paraId="5132DAB8" w14:textId="77777777" w:rsidR="00527AF8" w:rsidRPr="007436A9" w:rsidRDefault="00527AF8" w:rsidP="005D36CE">
      <w:pPr>
        <w:spacing w:before="120" w:after="120"/>
        <w:textAlignment w:val="baseline"/>
        <w:rPr>
          <w:rFonts w:cs="Segoe UI"/>
          <w:color w:val="002060"/>
          <w:szCs w:val="24"/>
          <w:lang w:eastAsia="en-AU"/>
        </w:rPr>
      </w:pPr>
    </w:p>
    <w:p w14:paraId="67C5A810" w14:textId="77777777" w:rsidR="00527AF8" w:rsidRPr="007436A9" w:rsidRDefault="00527AF8" w:rsidP="005D36CE">
      <w:pPr>
        <w:spacing w:before="120" w:after="120"/>
        <w:textAlignment w:val="baseline"/>
        <w:rPr>
          <w:rFonts w:cs="Segoe UI"/>
          <w:color w:val="002060"/>
          <w:szCs w:val="24"/>
          <w:lang w:eastAsia="en-AU"/>
        </w:rPr>
      </w:pPr>
    </w:p>
    <w:p w14:paraId="153582F2" w14:textId="77777777" w:rsidR="00527AF8" w:rsidRPr="007436A9" w:rsidRDefault="00527AF8" w:rsidP="005D36CE">
      <w:pPr>
        <w:spacing w:before="120" w:after="120"/>
        <w:textAlignment w:val="baseline"/>
        <w:rPr>
          <w:rFonts w:cs="Segoe UI"/>
          <w:color w:val="002060"/>
          <w:szCs w:val="24"/>
          <w:lang w:eastAsia="en-AU"/>
        </w:rPr>
      </w:pPr>
    </w:p>
    <w:p w14:paraId="78704BC1" w14:textId="77777777" w:rsidR="00527AF8" w:rsidRPr="007436A9" w:rsidRDefault="00527AF8" w:rsidP="005D36CE">
      <w:pPr>
        <w:spacing w:before="120" w:after="120"/>
        <w:textAlignment w:val="baseline"/>
        <w:rPr>
          <w:rFonts w:cs="Segoe UI"/>
          <w:color w:val="002060"/>
          <w:szCs w:val="24"/>
          <w:lang w:eastAsia="en-AU"/>
        </w:rPr>
      </w:pPr>
    </w:p>
    <w:p w14:paraId="523BBA14" w14:textId="13CA5488" w:rsidR="00692C2B" w:rsidRPr="007436A9" w:rsidRDefault="650FBBA3" w:rsidP="005D36CE">
      <w:pPr>
        <w:pStyle w:val="Heading1"/>
        <w:spacing w:before="120" w:after="120"/>
        <w:rPr>
          <w:color w:val="002060"/>
        </w:rPr>
      </w:pPr>
      <w:bookmarkStart w:id="1" w:name="_Toc157848838"/>
      <w:r w:rsidRPr="007436A9">
        <w:rPr>
          <w:color w:val="002060"/>
        </w:rPr>
        <w:t>Summary</w:t>
      </w:r>
      <w:r w:rsidR="384C7B95" w:rsidRPr="007436A9">
        <w:rPr>
          <w:color w:val="002060"/>
        </w:rPr>
        <w:t xml:space="preserve"> of advice and recommendations</w:t>
      </w:r>
      <w:bookmarkEnd w:id="1"/>
    </w:p>
    <w:p w14:paraId="2F4EB46E" w14:textId="56FFF2A5" w:rsidR="00CE786C" w:rsidRDefault="6EF2F35E" w:rsidP="005D36CE">
      <w:pPr>
        <w:spacing w:before="120" w:after="120"/>
        <w:rPr>
          <w:rFonts w:eastAsia="Roboto" w:cs="Roboto"/>
          <w:color w:val="002060"/>
          <w:szCs w:val="24"/>
        </w:rPr>
      </w:pPr>
      <w:r w:rsidRPr="12A527AC">
        <w:rPr>
          <w:rFonts w:eastAsia="Roboto" w:cs="Roboto"/>
          <w:color w:val="002060"/>
          <w:szCs w:val="24"/>
        </w:rPr>
        <w:t xml:space="preserve">Our Watch welcomes the opportunity to provide this submission to the Attorney-General's </w:t>
      </w:r>
      <w:r w:rsidR="1C781A83" w:rsidRPr="12A527AC">
        <w:rPr>
          <w:rFonts w:eastAsia="Roboto" w:cs="Roboto"/>
          <w:color w:val="002060"/>
          <w:szCs w:val="24"/>
        </w:rPr>
        <w:t>Department of South Australia</w:t>
      </w:r>
      <w:r w:rsidRPr="12A527AC">
        <w:rPr>
          <w:rFonts w:eastAsia="Roboto" w:cs="Roboto"/>
          <w:color w:val="002060"/>
          <w:szCs w:val="24"/>
        </w:rPr>
        <w:t xml:space="preserve"> as part of its current </w:t>
      </w:r>
      <w:r w:rsidR="49B2307D" w:rsidRPr="009B0D2A">
        <w:rPr>
          <w:rFonts w:eastAsia="Roboto" w:cs="Roboto"/>
          <w:i/>
          <w:color w:val="002060"/>
          <w:szCs w:val="24"/>
        </w:rPr>
        <w:t>R</w:t>
      </w:r>
      <w:r w:rsidR="1EC79E05" w:rsidRPr="009B0D2A">
        <w:rPr>
          <w:rFonts w:eastAsia="Roboto" w:cs="Roboto"/>
          <w:i/>
          <w:color w:val="002060"/>
          <w:szCs w:val="24"/>
        </w:rPr>
        <w:t>eview of sexual consent laws</w:t>
      </w:r>
      <w:r w:rsidR="1EC79E05" w:rsidRPr="12A527AC">
        <w:rPr>
          <w:rFonts w:eastAsia="Roboto" w:cs="Roboto"/>
          <w:color w:val="002060"/>
          <w:szCs w:val="24"/>
        </w:rPr>
        <w:t xml:space="preserve">. As an organisation with extensive experience and expertise in the primary prevention of gender-based violence within the education system, Our Watch offers this submission </w:t>
      </w:r>
      <w:r w:rsidR="00AC2A56">
        <w:rPr>
          <w:rFonts w:eastAsia="Roboto" w:cs="Roboto"/>
          <w:color w:val="002060"/>
          <w:szCs w:val="24"/>
        </w:rPr>
        <w:t>regarding</w:t>
      </w:r>
      <w:r w:rsidR="1EC79E05" w:rsidRPr="12A527AC">
        <w:rPr>
          <w:rFonts w:eastAsia="Roboto" w:cs="Roboto"/>
          <w:color w:val="002060"/>
          <w:szCs w:val="24"/>
        </w:rPr>
        <w:t xml:space="preserve"> the</w:t>
      </w:r>
      <w:r w:rsidR="00CE786C" w:rsidRPr="12A527AC">
        <w:rPr>
          <w:rFonts w:eastAsia="Roboto" w:cs="Roboto"/>
          <w:color w:val="002060"/>
          <w:szCs w:val="24"/>
        </w:rPr>
        <w:t xml:space="preserve"> role of consent law </w:t>
      </w:r>
      <w:r w:rsidR="009B0D2A">
        <w:rPr>
          <w:rFonts w:eastAsia="Roboto" w:cs="Roboto"/>
          <w:color w:val="002060"/>
          <w:szCs w:val="24"/>
        </w:rPr>
        <w:t>and</w:t>
      </w:r>
      <w:r w:rsidR="009B0D2A" w:rsidRPr="12A527AC">
        <w:rPr>
          <w:rFonts w:eastAsia="Roboto" w:cs="Roboto"/>
          <w:color w:val="002060"/>
          <w:szCs w:val="24"/>
        </w:rPr>
        <w:t xml:space="preserve"> </w:t>
      </w:r>
      <w:r w:rsidR="00CE786C" w:rsidRPr="12A527AC">
        <w:rPr>
          <w:rFonts w:eastAsia="Roboto" w:cs="Roboto"/>
          <w:color w:val="002060"/>
          <w:szCs w:val="24"/>
        </w:rPr>
        <w:t>consent education</w:t>
      </w:r>
      <w:r w:rsidR="1EC79E05" w:rsidRPr="12A527AC">
        <w:rPr>
          <w:rFonts w:eastAsia="Roboto" w:cs="Roboto"/>
          <w:color w:val="002060"/>
          <w:szCs w:val="24"/>
        </w:rPr>
        <w:t xml:space="preserve">. </w:t>
      </w:r>
    </w:p>
    <w:p w14:paraId="6D25784E" w14:textId="1114E00D" w:rsidR="009C55AE" w:rsidRPr="004C3E2E" w:rsidRDefault="009C55AE" w:rsidP="005D36CE">
      <w:pPr>
        <w:spacing w:before="120" w:after="120"/>
        <w:rPr>
          <w:rFonts w:cs="Arial"/>
          <w:color w:val="002060"/>
          <w:shd w:val="clear" w:color="auto" w:fill="FFFFFF"/>
        </w:rPr>
      </w:pPr>
      <w:r w:rsidRPr="7CB9593A">
        <w:rPr>
          <w:rFonts w:cs="Arial"/>
          <w:color w:val="002060"/>
          <w:shd w:val="clear" w:color="auto" w:fill="FFFFFF"/>
        </w:rPr>
        <w:t xml:space="preserve">Given the significant focus on consent laws and consent education across Australia, which emphasises the need for </w:t>
      </w:r>
      <w:r w:rsidR="009B3534">
        <w:rPr>
          <w:rFonts w:cs="Arial"/>
          <w:color w:val="002060"/>
          <w:shd w:val="clear" w:color="auto" w:fill="FFFFFF"/>
        </w:rPr>
        <w:t xml:space="preserve">an </w:t>
      </w:r>
      <w:r w:rsidRPr="7CB9593A">
        <w:rPr>
          <w:rFonts w:cs="Arial"/>
          <w:color w:val="002060"/>
          <w:shd w:val="clear" w:color="auto" w:fill="FFFFFF"/>
        </w:rPr>
        <w:t xml:space="preserve">evidenced base approach to </w:t>
      </w:r>
      <w:r w:rsidR="00872460">
        <w:rPr>
          <w:rFonts w:cs="Arial"/>
          <w:color w:val="002060"/>
          <w:shd w:val="clear" w:color="auto" w:fill="FFFFFF"/>
        </w:rPr>
        <w:t>Respectful Relationships Education (</w:t>
      </w:r>
      <w:r w:rsidRPr="7CB9593A">
        <w:rPr>
          <w:rFonts w:cs="Arial"/>
          <w:color w:val="002060"/>
          <w:shd w:val="clear" w:color="auto" w:fill="FFFFFF"/>
        </w:rPr>
        <w:t>RRE</w:t>
      </w:r>
      <w:r w:rsidR="00872460">
        <w:rPr>
          <w:rFonts w:cs="Arial"/>
          <w:color w:val="002060"/>
          <w:shd w:val="clear" w:color="auto" w:fill="FFFFFF"/>
        </w:rPr>
        <w:t>)</w:t>
      </w:r>
      <w:r w:rsidRPr="7CB9593A">
        <w:rPr>
          <w:rFonts w:cs="Arial"/>
          <w:color w:val="002060"/>
          <w:shd w:val="clear" w:color="auto" w:fill="FFFFFF"/>
        </w:rPr>
        <w:t xml:space="preserve">, </w:t>
      </w:r>
      <w:r w:rsidRPr="700F95E7">
        <w:rPr>
          <w:rFonts w:eastAsia="Roboto" w:cs="Roboto"/>
          <w:color w:val="002060"/>
        </w:rPr>
        <w:t xml:space="preserve">Our Watch’s feedback </w:t>
      </w:r>
      <w:r w:rsidRPr="7803C318">
        <w:rPr>
          <w:rFonts w:eastAsia="Roboto" w:cs="Roboto"/>
          <w:color w:val="002060"/>
        </w:rPr>
        <w:t>highlight</w:t>
      </w:r>
      <w:r>
        <w:rPr>
          <w:rFonts w:eastAsia="Roboto" w:cs="Roboto"/>
          <w:color w:val="002060"/>
        </w:rPr>
        <w:t>s</w:t>
      </w:r>
      <w:r w:rsidRPr="700F95E7">
        <w:rPr>
          <w:rFonts w:eastAsia="Roboto" w:cs="Roboto"/>
          <w:color w:val="002060"/>
        </w:rPr>
        <w:t xml:space="preserve"> existing evidence on consent education, including limitations and opportunities for improvement</w:t>
      </w:r>
      <w:r>
        <w:rPr>
          <w:rFonts w:eastAsia="Roboto" w:cs="Roboto"/>
          <w:color w:val="002060"/>
        </w:rPr>
        <w:t xml:space="preserve"> in South Australia.</w:t>
      </w:r>
      <w:r w:rsidRPr="700F95E7">
        <w:rPr>
          <w:rFonts w:eastAsia="Roboto" w:cs="Roboto"/>
          <w:color w:val="002060"/>
        </w:rPr>
        <w:t xml:space="preserve"> In the context of </w:t>
      </w:r>
      <w:r>
        <w:rPr>
          <w:rFonts w:eastAsia="Roboto" w:cs="Roboto"/>
          <w:color w:val="002060"/>
        </w:rPr>
        <w:t>RRE</w:t>
      </w:r>
      <w:r w:rsidRPr="7803C318">
        <w:rPr>
          <w:rFonts w:eastAsia="Roboto" w:cs="Roboto"/>
          <w:color w:val="002060"/>
        </w:rPr>
        <w:t>,</w:t>
      </w:r>
      <w:r w:rsidRPr="700F95E7">
        <w:rPr>
          <w:rFonts w:eastAsia="Roboto" w:cs="Roboto"/>
          <w:color w:val="002060"/>
        </w:rPr>
        <w:t xml:space="preserve"> and in line with our expertise, Our Watch’s submission focusses on the discussion question </w:t>
      </w:r>
      <w:r>
        <w:rPr>
          <w:rFonts w:eastAsia="Roboto" w:cs="Roboto"/>
          <w:color w:val="002060"/>
        </w:rPr>
        <w:t xml:space="preserve">1, </w:t>
      </w:r>
      <w:r w:rsidRPr="7CB9593A">
        <w:rPr>
          <w:rFonts w:eastAsia="Roboto" w:cs="Roboto"/>
          <w:i/>
          <w:iCs/>
          <w:color w:val="002060"/>
        </w:rPr>
        <w:t>‘Should the definition of consent in South Australia include a positive obligation to obtain consent, consistent with an affirmative model of consent?’</w:t>
      </w:r>
      <w:r w:rsidRPr="007436A9">
        <w:rPr>
          <w:rFonts w:eastAsia="Roboto" w:cs="Roboto"/>
          <w:color w:val="002060"/>
        </w:rPr>
        <w:t xml:space="preserve"> </w:t>
      </w:r>
    </w:p>
    <w:p w14:paraId="0BBCA383" w14:textId="1EF39884" w:rsidR="006544BB" w:rsidRPr="007436A9" w:rsidRDefault="00E8480E" w:rsidP="005D36CE">
      <w:pPr>
        <w:spacing w:before="120" w:after="120"/>
        <w:rPr>
          <w:color w:val="002060"/>
        </w:rPr>
      </w:pPr>
      <w:r>
        <w:rPr>
          <w:color w:val="002060"/>
        </w:rPr>
        <w:t>In response to</w:t>
      </w:r>
      <w:r w:rsidR="006544BB" w:rsidRPr="007436A9">
        <w:rPr>
          <w:color w:val="002060"/>
        </w:rPr>
        <w:t xml:space="preserve"> this discussion question, </w:t>
      </w:r>
      <w:r w:rsidR="005274A7" w:rsidRPr="007436A9">
        <w:rPr>
          <w:color w:val="002060"/>
        </w:rPr>
        <w:t>Our Watch</w:t>
      </w:r>
      <w:r w:rsidR="00BA2079" w:rsidRPr="007436A9">
        <w:rPr>
          <w:color w:val="002060"/>
        </w:rPr>
        <w:t xml:space="preserve"> </w:t>
      </w:r>
      <w:r w:rsidR="00B20948">
        <w:rPr>
          <w:color w:val="002060"/>
        </w:rPr>
        <w:t>notes</w:t>
      </w:r>
      <w:r w:rsidR="006544BB" w:rsidRPr="007436A9">
        <w:rPr>
          <w:color w:val="002060"/>
        </w:rPr>
        <w:t>:</w:t>
      </w:r>
    </w:p>
    <w:p w14:paraId="7226C8D9" w14:textId="77777777" w:rsidR="006544BB" w:rsidRPr="007436A9" w:rsidRDefault="00BA2079">
      <w:pPr>
        <w:pStyle w:val="ListParagraph"/>
        <w:numPr>
          <w:ilvl w:val="0"/>
          <w:numId w:val="9"/>
        </w:numPr>
        <w:spacing w:before="120" w:after="120"/>
        <w:contextualSpacing w:val="0"/>
        <w:rPr>
          <w:color w:val="002060"/>
        </w:rPr>
      </w:pPr>
      <w:r w:rsidRPr="007436A9">
        <w:rPr>
          <w:color w:val="002060"/>
        </w:rPr>
        <w:t>In</w:t>
      </w:r>
      <w:r w:rsidR="005274A7" w:rsidRPr="007436A9">
        <w:rPr>
          <w:color w:val="002060"/>
        </w:rPr>
        <w:t xml:space="preserve"> </w:t>
      </w:r>
      <w:r w:rsidR="006164E5" w:rsidRPr="007436A9">
        <w:rPr>
          <w:color w:val="002060"/>
        </w:rPr>
        <w:t>principle support for the</w:t>
      </w:r>
      <w:r w:rsidR="00031AD8" w:rsidRPr="007436A9">
        <w:rPr>
          <w:color w:val="002060"/>
        </w:rPr>
        <w:t xml:space="preserve"> South Australian Government’s</w:t>
      </w:r>
      <w:r w:rsidR="006164E5" w:rsidRPr="007436A9">
        <w:rPr>
          <w:color w:val="002060"/>
        </w:rPr>
        <w:t xml:space="preserve"> strengthening of consent laws, i</w:t>
      </w:r>
      <w:r w:rsidR="000E7F7E" w:rsidRPr="007436A9">
        <w:rPr>
          <w:color w:val="002060"/>
        </w:rPr>
        <w:t xml:space="preserve">ncluding </w:t>
      </w:r>
      <w:r w:rsidR="001265DB" w:rsidRPr="007436A9">
        <w:rPr>
          <w:color w:val="002060"/>
        </w:rPr>
        <w:t xml:space="preserve">the </w:t>
      </w:r>
      <w:r w:rsidR="000E7F7E" w:rsidRPr="007436A9">
        <w:rPr>
          <w:color w:val="002060"/>
        </w:rPr>
        <w:t>adoption of an affirmative model of consent.</w:t>
      </w:r>
    </w:p>
    <w:p w14:paraId="56FDD817" w14:textId="203F0742" w:rsidR="002B45C0" w:rsidRPr="007436A9" w:rsidRDefault="00BA2079">
      <w:pPr>
        <w:pStyle w:val="ListParagraph"/>
        <w:numPr>
          <w:ilvl w:val="0"/>
          <w:numId w:val="9"/>
        </w:numPr>
        <w:spacing w:before="120" w:after="120"/>
        <w:contextualSpacing w:val="0"/>
        <w:rPr>
          <w:color w:val="002060"/>
        </w:rPr>
      </w:pPr>
      <w:r w:rsidRPr="007436A9">
        <w:rPr>
          <w:color w:val="002060"/>
        </w:rPr>
        <w:t>Legal frameworks</w:t>
      </w:r>
      <w:r w:rsidR="00382995" w:rsidRPr="007436A9">
        <w:rPr>
          <w:color w:val="002060"/>
        </w:rPr>
        <w:t xml:space="preserve"> which assess</w:t>
      </w:r>
      <w:r w:rsidRPr="007436A9">
        <w:rPr>
          <w:color w:val="002060"/>
        </w:rPr>
        <w:t xml:space="preserve"> </w:t>
      </w:r>
      <w:r w:rsidR="00382995" w:rsidRPr="007436A9">
        <w:rPr>
          <w:color w:val="002060"/>
        </w:rPr>
        <w:t xml:space="preserve">consent </w:t>
      </w:r>
      <w:r w:rsidR="001265DB" w:rsidRPr="007436A9">
        <w:rPr>
          <w:color w:val="002060"/>
        </w:rPr>
        <w:t>based on</w:t>
      </w:r>
      <w:r w:rsidR="00382995" w:rsidRPr="007436A9">
        <w:rPr>
          <w:color w:val="002060"/>
        </w:rPr>
        <w:t xml:space="preserve"> a set of physical actions or verbal responses</w:t>
      </w:r>
      <w:r w:rsidR="001265DB" w:rsidRPr="007436A9">
        <w:rPr>
          <w:color w:val="002060"/>
        </w:rPr>
        <w:t xml:space="preserve"> </w:t>
      </w:r>
      <w:r w:rsidRPr="007436A9">
        <w:rPr>
          <w:color w:val="002060"/>
        </w:rPr>
        <w:t>are</w:t>
      </w:r>
      <w:r w:rsidR="001265DB" w:rsidRPr="007436A9">
        <w:rPr>
          <w:color w:val="002060"/>
        </w:rPr>
        <w:t xml:space="preserve"> unlikely</w:t>
      </w:r>
      <w:r w:rsidR="00AE62E9" w:rsidRPr="007436A9">
        <w:rPr>
          <w:color w:val="002060"/>
        </w:rPr>
        <w:t xml:space="preserve"> to, on their own,</w:t>
      </w:r>
      <w:r w:rsidR="001265DB" w:rsidRPr="007436A9">
        <w:rPr>
          <w:color w:val="002060"/>
        </w:rPr>
        <w:t xml:space="preserve"> achieve the broader societal change required to reduce and prevent sexual violence in the long term. </w:t>
      </w:r>
      <w:r w:rsidR="00A775BD" w:rsidRPr="007436A9">
        <w:rPr>
          <w:color w:val="002060"/>
        </w:rPr>
        <w:t xml:space="preserve">The fundamental principles of bodily autonomy, mutual respect, </w:t>
      </w:r>
      <w:proofErr w:type="gramStart"/>
      <w:r w:rsidR="00A775BD" w:rsidRPr="007436A9">
        <w:rPr>
          <w:color w:val="002060"/>
        </w:rPr>
        <w:t>enthusiasm</w:t>
      </w:r>
      <w:proofErr w:type="gramEnd"/>
      <w:r w:rsidR="00A775BD" w:rsidRPr="007436A9">
        <w:rPr>
          <w:color w:val="002060"/>
        </w:rPr>
        <w:t xml:space="preserve"> and willingness </w:t>
      </w:r>
      <w:r w:rsidR="00C674C8" w:rsidRPr="007436A9">
        <w:rPr>
          <w:color w:val="002060"/>
        </w:rPr>
        <w:t>should be the focus of</w:t>
      </w:r>
      <w:r w:rsidR="00D25AA8" w:rsidRPr="007436A9">
        <w:rPr>
          <w:color w:val="002060"/>
        </w:rPr>
        <w:t xml:space="preserve"> </w:t>
      </w:r>
      <w:r w:rsidR="00C674C8" w:rsidRPr="007436A9">
        <w:rPr>
          <w:color w:val="002060"/>
        </w:rPr>
        <w:t xml:space="preserve">a comprehensive approach to consent </w:t>
      </w:r>
      <w:r w:rsidR="002B45C0" w:rsidRPr="007436A9">
        <w:rPr>
          <w:color w:val="002060"/>
        </w:rPr>
        <w:t>education</w:t>
      </w:r>
      <w:r w:rsidR="00DE210E" w:rsidRPr="007436A9">
        <w:rPr>
          <w:color w:val="002060"/>
        </w:rPr>
        <w:t xml:space="preserve">, as opposed to a focus </w:t>
      </w:r>
      <w:r w:rsidR="006A0488" w:rsidRPr="007436A9">
        <w:rPr>
          <w:color w:val="002060"/>
        </w:rPr>
        <w:t>only</w:t>
      </w:r>
      <w:r w:rsidR="00AD05BF" w:rsidRPr="007436A9">
        <w:rPr>
          <w:color w:val="002060"/>
        </w:rPr>
        <w:t xml:space="preserve"> </w:t>
      </w:r>
      <w:r w:rsidR="00DE210E" w:rsidRPr="007436A9">
        <w:rPr>
          <w:color w:val="002060"/>
        </w:rPr>
        <w:t>on legal definitions.</w:t>
      </w:r>
    </w:p>
    <w:p w14:paraId="68E0319D" w14:textId="7E9934A1" w:rsidR="002B45C0" w:rsidRPr="002B45C0" w:rsidRDefault="002B45C0" w:rsidP="005D36CE">
      <w:pPr>
        <w:pStyle w:val="ListParagraph"/>
        <w:numPr>
          <w:ilvl w:val="0"/>
          <w:numId w:val="9"/>
        </w:numPr>
        <w:spacing w:before="120" w:after="120"/>
        <w:rPr>
          <w:color w:val="002060"/>
        </w:rPr>
      </w:pPr>
      <w:r w:rsidRPr="002B45C0">
        <w:rPr>
          <w:rFonts w:cs="Calibri"/>
          <w:color w:val="002060"/>
          <w:shd w:val="clear" w:color="auto" w:fill="FFFFFF"/>
          <w:lang w:val="en-US"/>
        </w:rPr>
        <w:t>Consent education</w:t>
      </w:r>
      <w:r>
        <w:rPr>
          <w:rFonts w:cs="Calibri"/>
          <w:color w:val="002060"/>
          <w:shd w:val="clear" w:color="auto" w:fill="FFFFFF"/>
          <w:lang w:val="en-US"/>
        </w:rPr>
        <w:t xml:space="preserve"> </w:t>
      </w:r>
      <w:r w:rsidR="00A43522">
        <w:rPr>
          <w:rFonts w:cs="Calibri"/>
          <w:color w:val="002060"/>
          <w:shd w:val="clear" w:color="auto" w:fill="FFFFFF"/>
          <w:lang w:val="en-US"/>
        </w:rPr>
        <w:t>should</w:t>
      </w:r>
      <w:r w:rsidRPr="002B45C0">
        <w:rPr>
          <w:rFonts w:cs="Calibri"/>
          <w:color w:val="002060"/>
          <w:shd w:val="clear" w:color="auto" w:fill="FFFFFF"/>
          <w:lang w:val="en-US"/>
        </w:rPr>
        <w:t xml:space="preserve"> occur </w:t>
      </w:r>
      <w:r w:rsidRPr="002B45C0">
        <w:rPr>
          <w:rFonts w:cs="Calibri"/>
          <w:color w:val="002060"/>
          <w:shd w:val="clear" w:color="auto" w:fill="FFFFFF"/>
        </w:rPr>
        <w:t>as part of a</w:t>
      </w:r>
      <w:r w:rsidR="00B966C9">
        <w:rPr>
          <w:rFonts w:cs="Calibri"/>
          <w:color w:val="002060"/>
          <w:shd w:val="clear" w:color="auto" w:fill="FFFFFF"/>
        </w:rPr>
        <w:t>n evidence</w:t>
      </w:r>
      <w:r w:rsidR="00657C10">
        <w:rPr>
          <w:rFonts w:cs="Calibri"/>
          <w:color w:val="002060"/>
          <w:shd w:val="clear" w:color="auto" w:fill="FFFFFF"/>
        </w:rPr>
        <w:t>-</w:t>
      </w:r>
      <w:r w:rsidR="00B966C9">
        <w:rPr>
          <w:rFonts w:cs="Calibri"/>
          <w:color w:val="002060"/>
          <w:shd w:val="clear" w:color="auto" w:fill="FFFFFF"/>
        </w:rPr>
        <w:t>based approach to respectful relationships education which inc</w:t>
      </w:r>
      <w:r w:rsidR="002A26B0">
        <w:rPr>
          <w:rFonts w:cs="Calibri"/>
          <w:color w:val="002060"/>
          <w:shd w:val="clear" w:color="auto" w:fill="FFFFFF"/>
        </w:rPr>
        <w:t>ludes</w:t>
      </w:r>
      <w:r w:rsidRPr="002B45C0">
        <w:rPr>
          <w:rFonts w:cs="Calibri"/>
          <w:color w:val="002060"/>
          <w:shd w:val="clear" w:color="auto" w:fill="FFFFFF"/>
        </w:rPr>
        <w:t xml:space="preserve"> teaching and learning about</w:t>
      </w:r>
      <w:r w:rsidRPr="002B45C0">
        <w:rPr>
          <w:rFonts w:ascii="Times New Roman" w:hAnsi="Times New Roman"/>
          <w:color w:val="002060"/>
          <w:shd w:val="clear" w:color="auto" w:fill="FFFFFF"/>
        </w:rPr>
        <w:t> </w:t>
      </w:r>
      <w:r w:rsidRPr="002B45C0">
        <w:rPr>
          <w:rFonts w:cs="Calibri"/>
          <w:color w:val="002060"/>
          <w:shd w:val="clear" w:color="auto" w:fill="FFFFFF"/>
        </w:rPr>
        <w:t>gender equality, sexuality, and respectful relationships, rather than</w:t>
      </w:r>
      <w:r w:rsidR="00B966C9">
        <w:rPr>
          <w:rFonts w:cs="Calibri"/>
          <w:color w:val="002060"/>
          <w:shd w:val="clear" w:color="auto" w:fill="FFFFFF"/>
        </w:rPr>
        <w:t xml:space="preserve"> consent</w:t>
      </w:r>
      <w:r w:rsidRPr="002B45C0">
        <w:rPr>
          <w:rFonts w:cs="Calibri"/>
          <w:color w:val="002060"/>
          <w:shd w:val="clear" w:color="auto" w:fill="FFFFFF"/>
        </w:rPr>
        <w:t xml:space="preserve"> being taught as a stand-alone topic</w:t>
      </w:r>
      <w:r w:rsidR="00DE210E">
        <w:rPr>
          <w:rFonts w:cs="Calibri"/>
          <w:color w:val="002060"/>
          <w:shd w:val="clear" w:color="auto" w:fill="FFFFFF"/>
        </w:rPr>
        <w:t>.</w:t>
      </w:r>
    </w:p>
    <w:p w14:paraId="5A58A45D" w14:textId="76E8AE09" w:rsidR="00BA2079" w:rsidRPr="007436A9" w:rsidRDefault="00BA2079" w:rsidP="005D36CE">
      <w:pPr>
        <w:spacing w:before="120" w:after="120"/>
        <w:rPr>
          <w:b/>
          <w:color w:val="002060"/>
        </w:rPr>
      </w:pPr>
      <w:r w:rsidRPr="007436A9">
        <w:rPr>
          <w:b/>
          <w:color w:val="002060"/>
        </w:rPr>
        <w:t>Our Watch therefore recommends</w:t>
      </w:r>
      <w:r w:rsidR="009B08FB" w:rsidRPr="007436A9">
        <w:rPr>
          <w:b/>
          <w:color w:val="002060"/>
        </w:rPr>
        <w:t xml:space="preserve"> that the South Australian Government:</w:t>
      </w:r>
    </w:p>
    <w:p w14:paraId="62EEF194" w14:textId="543DE0C9" w:rsidR="00A2443E" w:rsidRPr="007436A9" w:rsidRDefault="00546DD0" w:rsidP="005D36CE">
      <w:pPr>
        <w:pStyle w:val="ListParagraph"/>
        <w:numPr>
          <w:ilvl w:val="0"/>
          <w:numId w:val="7"/>
        </w:numPr>
        <w:spacing w:before="120" w:after="120"/>
        <w:rPr>
          <w:color w:val="002060"/>
        </w:rPr>
      </w:pPr>
      <w:r w:rsidRPr="007436A9">
        <w:rPr>
          <w:color w:val="002060"/>
        </w:rPr>
        <w:t xml:space="preserve">Ensure </w:t>
      </w:r>
      <w:r w:rsidR="00AE62E9" w:rsidRPr="007436A9">
        <w:rPr>
          <w:color w:val="002060"/>
        </w:rPr>
        <w:t>an affirmative model of consent is</w:t>
      </w:r>
      <w:r w:rsidRPr="007436A9">
        <w:rPr>
          <w:color w:val="002060"/>
        </w:rPr>
        <w:t xml:space="preserve"> supp</w:t>
      </w:r>
      <w:r w:rsidR="003755B0" w:rsidRPr="007436A9">
        <w:rPr>
          <w:color w:val="002060"/>
        </w:rPr>
        <w:t xml:space="preserve">orted by a </w:t>
      </w:r>
      <w:r w:rsidR="00693EF7" w:rsidRPr="007436A9">
        <w:rPr>
          <w:color w:val="002060"/>
        </w:rPr>
        <w:t>long-term</w:t>
      </w:r>
      <w:r w:rsidR="003755B0" w:rsidRPr="007436A9">
        <w:rPr>
          <w:color w:val="002060"/>
        </w:rPr>
        <w:t xml:space="preserve"> vision</w:t>
      </w:r>
      <w:r w:rsidR="00925B61" w:rsidRPr="007436A9">
        <w:rPr>
          <w:color w:val="002060"/>
        </w:rPr>
        <w:t xml:space="preserve"> and </w:t>
      </w:r>
      <w:r w:rsidR="003755B0" w:rsidRPr="007436A9">
        <w:rPr>
          <w:color w:val="002060"/>
        </w:rPr>
        <w:t>commitment</w:t>
      </w:r>
      <w:r w:rsidR="00296CDE" w:rsidRPr="007436A9">
        <w:rPr>
          <w:color w:val="002060"/>
        </w:rPr>
        <w:t xml:space="preserve"> </w:t>
      </w:r>
      <w:r w:rsidR="008C6B5A" w:rsidRPr="007436A9">
        <w:rPr>
          <w:color w:val="002060"/>
        </w:rPr>
        <w:t>for</w:t>
      </w:r>
      <w:r w:rsidR="003755B0" w:rsidRPr="007436A9">
        <w:rPr>
          <w:color w:val="002060"/>
        </w:rPr>
        <w:t xml:space="preserve"> evidence based respectful relationships education</w:t>
      </w:r>
      <w:r w:rsidR="001B158E" w:rsidRPr="007436A9">
        <w:rPr>
          <w:color w:val="002060"/>
        </w:rPr>
        <w:t xml:space="preserve"> in all South Australian schools.</w:t>
      </w:r>
      <w:r w:rsidR="003755B0" w:rsidRPr="007436A9">
        <w:rPr>
          <w:color w:val="002060"/>
        </w:rPr>
        <w:t xml:space="preserve"> </w:t>
      </w:r>
    </w:p>
    <w:p w14:paraId="4893DFDF" w14:textId="435721D9" w:rsidR="00012665" w:rsidRPr="007436A9" w:rsidRDefault="00A2443E" w:rsidP="005D36CE">
      <w:pPr>
        <w:pStyle w:val="ListParagraph"/>
        <w:numPr>
          <w:ilvl w:val="0"/>
          <w:numId w:val="7"/>
        </w:numPr>
        <w:spacing w:before="120" w:after="120"/>
        <w:rPr>
          <w:color w:val="002060"/>
        </w:rPr>
      </w:pPr>
      <w:r w:rsidRPr="007436A9">
        <w:rPr>
          <w:color w:val="002060"/>
        </w:rPr>
        <w:t>Ensure</w:t>
      </w:r>
      <w:r w:rsidR="00A54FFC" w:rsidRPr="007436A9">
        <w:rPr>
          <w:color w:val="002060"/>
        </w:rPr>
        <w:t xml:space="preserve"> </w:t>
      </w:r>
      <w:r w:rsidR="007E5331" w:rsidRPr="007436A9">
        <w:rPr>
          <w:color w:val="002060"/>
        </w:rPr>
        <w:t>age-appropriate</w:t>
      </w:r>
      <w:r w:rsidRPr="007436A9">
        <w:rPr>
          <w:color w:val="002060"/>
        </w:rPr>
        <w:t xml:space="preserve"> consent education occurs as part of a broader program of teaching and learning about gender equality, sexuality, and respectful relationships, </w:t>
      </w:r>
      <w:r w:rsidR="009726F0" w:rsidRPr="007436A9">
        <w:rPr>
          <w:color w:val="002060"/>
        </w:rPr>
        <w:t xml:space="preserve">across all year levels, </w:t>
      </w:r>
      <w:r w:rsidR="00894B55" w:rsidRPr="007436A9">
        <w:rPr>
          <w:color w:val="002060"/>
        </w:rPr>
        <w:t>as opposed to</w:t>
      </w:r>
      <w:r w:rsidRPr="007436A9">
        <w:rPr>
          <w:color w:val="002060"/>
        </w:rPr>
        <w:t xml:space="preserve"> being taught as a stand-alone topic</w:t>
      </w:r>
      <w:r w:rsidR="00894B55" w:rsidRPr="007436A9">
        <w:rPr>
          <w:color w:val="002060"/>
        </w:rPr>
        <w:t xml:space="preserve"> in one</w:t>
      </w:r>
      <w:r w:rsidR="00660584" w:rsidRPr="007436A9">
        <w:rPr>
          <w:color w:val="002060"/>
        </w:rPr>
        <w:t>-</w:t>
      </w:r>
      <w:r w:rsidR="00894B55" w:rsidRPr="007436A9">
        <w:rPr>
          <w:color w:val="002060"/>
        </w:rPr>
        <w:t>off sessions.</w:t>
      </w:r>
    </w:p>
    <w:p w14:paraId="0BB02D03" w14:textId="00BA627E" w:rsidR="006C440E" w:rsidRPr="007436A9" w:rsidRDefault="00C33674" w:rsidP="005D36CE">
      <w:pPr>
        <w:pStyle w:val="ListParagraph"/>
        <w:numPr>
          <w:ilvl w:val="0"/>
          <w:numId w:val="7"/>
        </w:numPr>
        <w:spacing w:before="120" w:after="120"/>
        <w:rPr>
          <w:color w:val="002060"/>
        </w:rPr>
      </w:pPr>
      <w:r w:rsidRPr="007436A9">
        <w:rPr>
          <w:color w:val="002060"/>
        </w:rPr>
        <w:t>R</w:t>
      </w:r>
      <w:r w:rsidR="00B31B35" w:rsidRPr="007436A9">
        <w:rPr>
          <w:color w:val="002060"/>
        </w:rPr>
        <w:t>ecognise respectful relationships education as a</w:t>
      </w:r>
      <w:r w:rsidR="008729DE" w:rsidRPr="007436A9">
        <w:rPr>
          <w:color w:val="002060"/>
        </w:rPr>
        <w:t xml:space="preserve"> </w:t>
      </w:r>
      <w:r w:rsidR="0007100C" w:rsidRPr="007436A9">
        <w:rPr>
          <w:color w:val="002060"/>
        </w:rPr>
        <w:t xml:space="preserve">key </w:t>
      </w:r>
      <w:r w:rsidR="00455327" w:rsidRPr="007436A9">
        <w:rPr>
          <w:color w:val="002060"/>
        </w:rPr>
        <w:t>priority</w:t>
      </w:r>
      <w:r w:rsidR="008729DE" w:rsidRPr="007436A9">
        <w:rPr>
          <w:color w:val="002060"/>
        </w:rPr>
        <w:t xml:space="preserve"> for the prevention of violence against women and </w:t>
      </w:r>
      <w:r w:rsidR="000471E3" w:rsidRPr="007436A9">
        <w:rPr>
          <w:color w:val="002060"/>
        </w:rPr>
        <w:t xml:space="preserve">embed a </w:t>
      </w:r>
      <w:r w:rsidR="00D8261C" w:rsidRPr="007436A9">
        <w:rPr>
          <w:color w:val="002060"/>
        </w:rPr>
        <w:t>long-term</w:t>
      </w:r>
      <w:r w:rsidR="000471E3" w:rsidRPr="007436A9">
        <w:rPr>
          <w:color w:val="002060"/>
        </w:rPr>
        <w:t xml:space="preserve"> vision and </w:t>
      </w:r>
      <w:r w:rsidR="004B4782" w:rsidRPr="007436A9">
        <w:rPr>
          <w:color w:val="002060"/>
        </w:rPr>
        <w:t xml:space="preserve">commitment </w:t>
      </w:r>
      <w:r w:rsidR="000471E3" w:rsidRPr="007436A9">
        <w:rPr>
          <w:color w:val="002060"/>
        </w:rPr>
        <w:t xml:space="preserve">as part of </w:t>
      </w:r>
      <w:r w:rsidR="004B4782" w:rsidRPr="007436A9">
        <w:rPr>
          <w:color w:val="002060"/>
        </w:rPr>
        <w:t>state-based</w:t>
      </w:r>
      <w:r w:rsidR="000471E3" w:rsidRPr="007436A9">
        <w:rPr>
          <w:color w:val="002060"/>
        </w:rPr>
        <w:t xml:space="preserve"> prevention</w:t>
      </w:r>
      <w:r w:rsidR="004B4782" w:rsidRPr="007436A9">
        <w:rPr>
          <w:color w:val="002060"/>
        </w:rPr>
        <w:t xml:space="preserve"> of violence</w:t>
      </w:r>
      <w:r w:rsidR="000471E3" w:rsidRPr="007436A9">
        <w:rPr>
          <w:color w:val="002060"/>
        </w:rPr>
        <w:t xml:space="preserve"> </w:t>
      </w:r>
      <w:r w:rsidR="004B4782" w:rsidRPr="007436A9">
        <w:rPr>
          <w:color w:val="002060"/>
        </w:rPr>
        <w:t>strategies</w:t>
      </w:r>
      <w:r w:rsidR="000471E3" w:rsidRPr="007436A9">
        <w:rPr>
          <w:color w:val="002060"/>
        </w:rPr>
        <w:t xml:space="preserve">. </w:t>
      </w:r>
      <w:r w:rsidR="003A1C77" w:rsidRPr="007436A9">
        <w:rPr>
          <w:color w:val="002060"/>
        </w:rPr>
        <w:t xml:space="preserve"> </w:t>
      </w:r>
    </w:p>
    <w:p w14:paraId="79C96815" w14:textId="77777777" w:rsidR="007436A9" w:rsidRDefault="007436A9" w:rsidP="005D36CE">
      <w:pPr>
        <w:spacing w:before="120" w:after="120"/>
        <w:rPr>
          <w:color w:val="002060"/>
        </w:rPr>
      </w:pPr>
    </w:p>
    <w:p w14:paraId="55C3C6FE" w14:textId="4E669ED7" w:rsidR="004C61C4" w:rsidRPr="007436A9" w:rsidRDefault="60340B50" w:rsidP="005D36CE">
      <w:pPr>
        <w:spacing w:before="120" w:after="120"/>
        <w:rPr>
          <w:rStyle w:val="Hyperlink"/>
          <w:color w:val="002060"/>
        </w:rPr>
      </w:pPr>
      <w:r w:rsidRPr="007436A9">
        <w:rPr>
          <w:color w:val="002060"/>
        </w:rPr>
        <w:t xml:space="preserve">Our Watch welcomes the opportunity to provide further advice or assistance to the </w:t>
      </w:r>
      <w:r w:rsidR="003926F7" w:rsidRPr="007436A9">
        <w:rPr>
          <w:color w:val="002060"/>
        </w:rPr>
        <w:t xml:space="preserve">South Australian </w:t>
      </w:r>
      <w:r w:rsidR="7C4B8E73" w:rsidRPr="007436A9">
        <w:rPr>
          <w:color w:val="002060"/>
        </w:rPr>
        <w:t xml:space="preserve">Attorney-General's Department </w:t>
      </w:r>
      <w:r w:rsidRPr="007436A9">
        <w:rPr>
          <w:color w:val="002060"/>
        </w:rPr>
        <w:t xml:space="preserve">in relation to the issues outlined in this submission. Please contact </w:t>
      </w:r>
      <w:r w:rsidR="004C61C4" w:rsidRPr="007436A9">
        <w:rPr>
          <w:color w:val="002060"/>
        </w:rPr>
        <w:t>Amanda Alford</w:t>
      </w:r>
      <w:r w:rsidR="003926F7" w:rsidRPr="007436A9">
        <w:rPr>
          <w:color w:val="002060"/>
        </w:rPr>
        <w:t>,</w:t>
      </w:r>
      <w:r w:rsidR="4F550666" w:rsidRPr="007436A9">
        <w:rPr>
          <w:color w:val="002060"/>
        </w:rPr>
        <w:t xml:space="preserve"> </w:t>
      </w:r>
      <w:r w:rsidRPr="007436A9">
        <w:rPr>
          <w:color w:val="002060"/>
        </w:rPr>
        <w:t xml:space="preserve">Director </w:t>
      </w:r>
      <w:r w:rsidR="00A43522">
        <w:rPr>
          <w:color w:val="002060"/>
        </w:rPr>
        <w:t xml:space="preserve">of </w:t>
      </w:r>
      <w:r w:rsidRPr="007436A9">
        <w:rPr>
          <w:color w:val="002060"/>
        </w:rPr>
        <w:t>Government Relations</w:t>
      </w:r>
      <w:r w:rsidR="003926F7" w:rsidRPr="007436A9">
        <w:rPr>
          <w:color w:val="002060"/>
        </w:rPr>
        <w:t xml:space="preserve">, </w:t>
      </w:r>
      <w:proofErr w:type="gramStart"/>
      <w:r w:rsidR="00AF0BC5" w:rsidRPr="007436A9">
        <w:rPr>
          <w:color w:val="002060"/>
        </w:rPr>
        <w:t>Policy</w:t>
      </w:r>
      <w:proofErr w:type="gramEnd"/>
      <w:r w:rsidR="00AF0BC5" w:rsidRPr="007436A9">
        <w:rPr>
          <w:color w:val="002060"/>
        </w:rPr>
        <w:t xml:space="preserve"> and Evidence</w:t>
      </w:r>
      <w:r w:rsidR="003926F7" w:rsidRPr="007436A9">
        <w:rPr>
          <w:color w:val="002060"/>
        </w:rPr>
        <w:t xml:space="preserve"> </w:t>
      </w:r>
      <w:r w:rsidRPr="007436A9">
        <w:rPr>
          <w:color w:val="002060"/>
        </w:rPr>
        <w:t xml:space="preserve">at </w:t>
      </w:r>
      <w:hyperlink r:id="rId11" w:history="1">
        <w:r w:rsidR="004C61C4" w:rsidRPr="007436A9">
          <w:rPr>
            <w:rStyle w:val="Hyperlink"/>
            <w:color w:val="002060"/>
          </w:rPr>
          <w:t>Amanda.alford@ourwatch.org.au</w:t>
        </w:r>
      </w:hyperlink>
    </w:p>
    <w:p w14:paraId="4D6DCF7E" w14:textId="77777777" w:rsidR="0057522B" w:rsidRPr="007436A9" w:rsidRDefault="0057522B" w:rsidP="005D36CE">
      <w:pPr>
        <w:spacing w:before="120" w:after="120"/>
        <w:rPr>
          <w:color w:val="002060"/>
        </w:rPr>
      </w:pPr>
    </w:p>
    <w:p w14:paraId="503B276D" w14:textId="138F539D" w:rsidR="00525A0E" w:rsidRPr="007436A9" w:rsidRDefault="650FBBA3" w:rsidP="005D36CE">
      <w:pPr>
        <w:pStyle w:val="Heading1"/>
        <w:spacing w:before="120" w:after="120"/>
        <w:rPr>
          <w:color w:val="002060"/>
        </w:rPr>
      </w:pPr>
      <w:bookmarkStart w:id="2" w:name="_Toc157848839"/>
      <w:r w:rsidRPr="007436A9">
        <w:rPr>
          <w:color w:val="002060"/>
        </w:rPr>
        <w:t>About Our Watch</w:t>
      </w:r>
      <w:bookmarkEnd w:id="2"/>
    </w:p>
    <w:p w14:paraId="0D661494" w14:textId="3338F3A0" w:rsidR="7A12407D" w:rsidRPr="007436A9" w:rsidRDefault="7A12407D" w:rsidP="005D36CE">
      <w:pPr>
        <w:spacing w:before="120" w:after="120"/>
        <w:rPr>
          <w:rFonts w:ascii="Calibri" w:eastAsia="Calibri" w:hAnsi="Calibri" w:cs="Calibri"/>
          <w:b/>
          <w:color w:val="002060"/>
          <w:sz w:val="28"/>
          <w:szCs w:val="28"/>
        </w:rPr>
      </w:pPr>
      <w:r w:rsidRPr="007436A9">
        <w:rPr>
          <w:b/>
          <w:color w:val="002060"/>
        </w:rPr>
        <w:t>A national leader in prevention</w:t>
      </w:r>
    </w:p>
    <w:p w14:paraId="0260AB91" w14:textId="415425E0" w:rsidR="7A12407D" w:rsidRDefault="7A12407D" w:rsidP="005D36CE">
      <w:pPr>
        <w:spacing w:before="120" w:after="120"/>
        <w:rPr>
          <w:rFonts w:eastAsia="Roboto" w:cs="Roboto"/>
          <w:color w:val="002060"/>
          <w:szCs w:val="24"/>
        </w:rPr>
      </w:pPr>
      <w:r w:rsidRPr="12A527AC">
        <w:rPr>
          <w:rFonts w:eastAsia="Roboto" w:cs="Roboto"/>
          <w:color w:val="002060"/>
          <w:szCs w:val="24"/>
          <w:lang w:val="en-US"/>
        </w:rPr>
        <w:t xml:space="preserve">Our Watch is a national leader in the primary prevention of violence against women and their children in Australia. </w:t>
      </w:r>
      <w:r w:rsidRPr="12A527AC">
        <w:rPr>
          <w:rFonts w:eastAsia="Roboto" w:cs="Roboto"/>
          <w:color w:val="002060"/>
          <w:szCs w:val="24"/>
        </w:rPr>
        <w:t>We are an independent, not</w:t>
      </w:r>
      <w:r w:rsidR="0005282C">
        <w:rPr>
          <w:rFonts w:eastAsia="Roboto" w:cs="Roboto"/>
          <w:color w:val="002060"/>
          <w:szCs w:val="24"/>
        </w:rPr>
        <w:t>-</w:t>
      </w:r>
      <w:r w:rsidRPr="12A527AC">
        <w:rPr>
          <w:rFonts w:eastAsia="Roboto" w:cs="Roboto"/>
          <w:color w:val="002060"/>
          <w:szCs w:val="24"/>
        </w:rPr>
        <w:t>for</w:t>
      </w:r>
      <w:r w:rsidR="0005282C">
        <w:rPr>
          <w:rFonts w:eastAsia="Roboto" w:cs="Roboto"/>
          <w:color w:val="002060"/>
          <w:szCs w:val="24"/>
        </w:rPr>
        <w:t>-</w:t>
      </w:r>
      <w:r w:rsidRPr="12A527AC">
        <w:rPr>
          <w:rFonts w:eastAsia="Roboto" w:cs="Roboto"/>
          <w:color w:val="002060"/>
          <w:szCs w:val="24"/>
        </w:rPr>
        <w:t xml:space="preserve">profit organisation established by the Commonwealth and Victorian Governments in 2013. </w:t>
      </w:r>
      <w:r w:rsidRPr="12A527AC">
        <w:rPr>
          <w:rFonts w:eastAsia="Roboto" w:cs="Roboto"/>
          <w:color w:val="002060"/>
          <w:szCs w:val="24"/>
          <w:lang w:val="en-US"/>
        </w:rPr>
        <w:t>All Australian governments are members of Our Watch</w:t>
      </w:r>
      <w:r w:rsidR="004A0F13">
        <w:rPr>
          <w:rFonts w:eastAsia="Roboto" w:cs="Roboto"/>
          <w:color w:val="002060"/>
          <w:szCs w:val="24"/>
          <w:lang w:val="en-US"/>
        </w:rPr>
        <w:t xml:space="preserve">, including the </w:t>
      </w:r>
      <w:r w:rsidR="00D935E8">
        <w:rPr>
          <w:rFonts w:eastAsia="Roboto" w:cs="Roboto"/>
          <w:color w:val="002060"/>
          <w:szCs w:val="24"/>
          <w:lang w:val="en-US"/>
        </w:rPr>
        <w:t>g</w:t>
      </w:r>
      <w:r w:rsidR="004A0F13">
        <w:rPr>
          <w:rFonts w:eastAsia="Roboto" w:cs="Roboto"/>
          <w:color w:val="002060"/>
          <w:szCs w:val="24"/>
          <w:lang w:val="en-US"/>
        </w:rPr>
        <w:t>overnment of South Australia</w:t>
      </w:r>
      <w:r w:rsidRPr="12A527AC">
        <w:rPr>
          <w:rFonts w:eastAsia="Roboto" w:cs="Roboto"/>
          <w:color w:val="002060"/>
          <w:szCs w:val="24"/>
          <w:lang w:val="en-US"/>
        </w:rPr>
        <w:t xml:space="preserve">. </w:t>
      </w:r>
    </w:p>
    <w:p w14:paraId="1673870E" w14:textId="5E982D5D" w:rsidR="7A12407D" w:rsidRDefault="7A12407D" w:rsidP="005D36CE">
      <w:pPr>
        <w:spacing w:before="120" w:after="120"/>
        <w:rPr>
          <w:rFonts w:eastAsia="Roboto" w:cs="Roboto"/>
          <w:color w:val="002060"/>
          <w:szCs w:val="24"/>
        </w:rPr>
      </w:pPr>
      <w:r w:rsidRPr="12A527AC">
        <w:rPr>
          <w:rFonts w:eastAsia="Roboto" w:cs="Roboto"/>
          <w:color w:val="002060"/>
          <w:szCs w:val="24"/>
        </w:rPr>
        <w:t xml:space="preserve">Our vision is an Australia where women and their children live free from all forms of violence. We aim to drive nation-wide change in the culture, behaviours, attitudes, and social structures that drive violence against women and their children. </w:t>
      </w:r>
    </w:p>
    <w:p w14:paraId="54BB339B" w14:textId="6A6CF1C9" w:rsidR="00AE2EF9" w:rsidRPr="005D36CE" w:rsidRDefault="7A12407D" w:rsidP="005D36CE">
      <w:pPr>
        <w:spacing w:before="120" w:after="120"/>
        <w:rPr>
          <w:rStyle w:val="normaltextrun"/>
          <w:rFonts w:eastAsia="Roboto" w:cs="Roboto"/>
          <w:color w:val="002060"/>
          <w:szCs w:val="24"/>
        </w:rPr>
      </w:pPr>
      <w:r w:rsidRPr="12A527AC">
        <w:rPr>
          <w:rFonts w:eastAsia="Roboto" w:cs="Roboto"/>
          <w:color w:val="002060"/>
          <w:szCs w:val="24"/>
        </w:rPr>
        <w:t xml:space="preserve">Guided by our ground-breaking national framework, </w:t>
      </w:r>
      <w:r w:rsidRPr="12A527AC">
        <w:rPr>
          <w:rFonts w:eastAsia="Roboto" w:cs="Roboto"/>
          <w:i/>
          <w:iCs/>
          <w:color w:val="002060"/>
          <w:szCs w:val="24"/>
        </w:rPr>
        <w:t>Change the story</w:t>
      </w:r>
      <w:r w:rsidRPr="12A527AC">
        <w:rPr>
          <w:rFonts w:eastAsia="Roboto" w:cs="Roboto"/>
          <w:color w:val="002060"/>
          <w:szCs w:val="24"/>
        </w:rPr>
        <w:t>, we work at all levels of our society to address the deeply entrenched, underlying drivers of violence against women, especially those stemming from gender inequality. We work with governments</w:t>
      </w:r>
      <w:r w:rsidR="009D4C31">
        <w:rPr>
          <w:rFonts w:eastAsia="Roboto" w:cs="Roboto"/>
          <w:color w:val="002060"/>
          <w:szCs w:val="24"/>
        </w:rPr>
        <w:t>,</w:t>
      </w:r>
      <w:r w:rsidRPr="12A527AC">
        <w:rPr>
          <w:rFonts w:eastAsia="Roboto" w:cs="Roboto"/>
          <w:color w:val="002060"/>
          <w:szCs w:val="24"/>
        </w:rPr>
        <w:t xml:space="preserve"> </w:t>
      </w:r>
      <w:proofErr w:type="gramStart"/>
      <w:r w:rsidRPr="12A527AC">
        <w:rPr>
          <w:rFonts w:eastAsia="Roboto" w:cs="Roboto"/>
          <w:color w:val="002060"/>
          <w:szCs w:val="24"/>
        </w:rPr>
        <w:t>practitioners</w:t>
      </w:r>
      <w:proofErr w:type="gramEnd"/>
      <w:r w:rsidRPr="12A527AC">
        <w:rPr>
          <w:rFonts w:eastAsia="Roboto" w:cs="Roboto"/>
          <w:color w:val="002060"/>
          <w:szCs w:val="24"/>
        </w:rPr>
        <w:t xml:space="preserve"> and the community, at all levels of Australian society, to address the drivers of violence in all settings where people live, learn, work, and socialise.</w:t>
      </w:r>
    </w:p>
    <w:p w14:paraId="51210363" w14:textId="57FB09FE" w:rsidR="00AE2EF9" w:rsidRPr="00872460" w:rsidRDefault="00AE2EF9" w:rsidP="005D36CE">
      <w:pPr>
        <w:pStyle w:val="Heading1"/>
        <w:spacing w:before="120" w:after="120"/>
        <w:rPr>
          <w:rStyle w:val="normaltextrun"/>
          <w:rFonts w:eastAsia="Roboto" w:cs="Roboto"/>
          <w:color w:val="002060"/>
        </w:rPr>
      </w:pPr>
      <w:bookmarkStart w:id="3" w:name="_Toc157848840"/>
      <w:r w:rsidRPr="00872460">
        <w:rPr>
          <w:rStyle w:val="normaltextrun"/>
          <w:rFonts w:eastAsia="Roboto" w:cs="Roboto"/>
          <w:color w:val="002060"/>
        </w:rPr>
        <w:t>Background</w:t>
      </w:r>
      <w:bookmarkEnd w:id="3"/>
    </w:p>
    <w:p w14:paraId="470499C8" w14:textId="7AB00DBC" w:rsidR="00DD69B9" w:rsidRDefault="00DD69B9" w:rsidP="005D36CE">
      <w:pPr>
        <w:spacing w:before="120" w:after="120"/>
        <w:rPr>
          <w:rStyle w:val="normaltextrun"/>
          <w:rFonts w:eastAsia="Roboto" w:cs="Roboto"/>
          <w:color w:val="002060"/>
        </w:rPr>
      </w:pPr>
      <w:r w:rsidRPr="700F95E7">
        <w:rPr>
          <w:rStyle w:val="normaltextrun"/>
          <w:rFonts w:eastAsia="Roboto" w:cs="Roboto"/>
          <w:color w:val="002060"/>
        </w:rPr>
        <w:t xml:space="preserve">One of Our Watch’s key areas of focus since our establishment in 2013 </w:t>
      </w:r>
      <w:r w:rsidR="00E25A79">
        <w:rPr>
          <w:rStyle w:val="normaltextrun"/>
          <w:rFonts w:eastAsia="Roboto" w:cs="Roboto"/>
          <w:color w:val="002060"/>
        </w:rPr>
        <w:t>has been</w:t>
      </w:r>
      <w:r w:rsidRPr="700F95E7">
        <w:rPr>
          <w:rStyle w:val="normaltextrun"/>
          <w:rFonts w:eastAsia="Roboto" w:cs="Roboto"/>
          <w:color w:val="002060"/>
        </w:rPr>
        <w:t xml:space="preserve"> developing the evidence base for </w:t>
      </w:r>
      <w:r w:rsidRPr="007436A9">
        <w:rPr>
          <w:rStyle w:val="normaltextrun"/>
          <w:rFonts w:eastAsia="Roboto" w:cs="Roboto"/>
          <w:color w:val="002060"/>
        </w:rPr>
        <w:t>R</w:t>
      </w:r>
      <w:r w:rsidR="008A7A76">
        <w:rPr>
          <w:rStyle w:val="normaltextrun"/>
          <w:rFonts w:eastAsia="Roboto" w:cs="Roboto"/>
          <w:color w:val="002060"/>
        </w:rPr>
        <w:t xml:space="preserve">espectful </w:t>
      </w:r>
      <w:r w:rsidRPr="007436A9">
        <w:rPr>
          <w:rStyle w:val="normaltextrun"/>
          <w:rFonts w:eastAsia="Roboto" w:cs="Roboto"/>
          <w:color w:val="002060"/>
        </w:rPr>
        <w:t>R</w:t>
      </w:r>
      <w:r w:rsidR="008A7A76">
        <w:rPr>
          <w:rStyle w:val="normaltextrun"/>
          <w:rFonts w:eastAsia="Roboto" w:cs="Roboto"/>
          <w:color w:val="002060"/>
        </w:rPr>
        <w:t xml:space="preserve">elationships </w:t>
      </w:r>
      <w:r w:rsidRPr="007436A9">
        <w:rPr>
          <w:rStyle w:val="normaltextrun"/>
          <w:rFonts w:eastAsia="Roboto" w:cs="Roboto"/>
          <w:color w:val="002060"/>
        </w:rPr>
        <w:t>E</w:t>
      </w:r>
      <w:r w:rsidR="008A7A76">
        <w:rPr>
          <w:rStyle w:val="normaltextrun"/>
          <w:rFonts w:eastAsia="Roboto" w:cs="Roboto"/>
          <w:color w:val="002060"/>
        </w:rPr>
        <w:t>ducation (</w:t>
      </w:r>
      <w:r w:rsidRPr="700F95E7">
        <w:rPr>
          <w:rStyle w:val="normaltextrun"/>
          <w:rFonts w:eastAsia="Roboto" w:cs="Roboto"/>
          <w:color w:val="002060"/>
        </w:rPr>
        <w:t>RRE</w:t>
      </w:r>
      <w:r w:rsidR="008A7A76">
        <w:rPr>
          <w:rStyle w:val="normaltextrun"/>
          <w:rFonts w:eastAsia="Roboto" w:cs="Roboto"/>
          <w:color w:val="002060"/>
        </w:rPr>
        <w:t>)</w:t>
      </w:r>
      <w:r w:rsidRPr="007436A9">
        <w:rPr>
          <w:rStyle w:val="normaltextrun"/>
          <w:rFonts w:eastAsia="Roboto" w:cs="Roboto"/>
          <w:color w:val="002060"/>
        </w:rPr>
        <w:t>.</w:t>
      </w:r>
      <w:r w:rsidRPr="700F95E7">
        <w:rPr>
          <w:rStyle w:val="normaltextrun"/>
          <w:rFonts w:eastAsia="Roboto" w:cs="Roboto"/>
          <w:color w:val="002060"/>
        </w:rPr>
        <w:t xml:space="preserve"> We have extensive history</w:t>
      </w:r>
      <w:r>
        <w:rPr>
          <w:rStyle w:val="normaltextrun"/>
          <w:rFonts w:eastAsia="Roboto" w:cs="Roboto"/>
          <w:color w:val="002060"/>
        </w:rPr>
        <w:t xml:space="preserve">, experience and expertise in </w:t>
      </w:r>
      <w:r w:rsidRPr="700F95E7">
        <w:rPr>
          <w:rStyle w:val="normaltextrun"/>
          <w:rFonts w:eastAsia="Roboto" w:cs="Roboto"/>
          <w:color w:val="002060"/>
        </w:rPr>
        <w:t>RRE and have led pilots in secondary and primary schools, working alongside policy makers, educators, students, school leadership and experts in designing, implementing, and evaluating RRE across Australian jurisdictions</w:t>
      </w:r>
      <w:r w:rsidR="004D307F">
        <w:rPr>
          <w:rStyle w:val="normaltextrun"/>
          <w:rFonts w:eastAsia="Roboto" w:cs="Roboto"/>
          <w:color w:val="002060"/>
        </w:rPr>
        <w:t xml:space="preserve"> (</w:t>
      </w:r>
      <w:r w:rsidR="00411D8E">
        <w:rPr>
          <w:rStyle w:val="normaltextrun"/>
          <w:rFonts w:eastAsia="Roboto" w:cs="Roboto"/>
          <w:color w:val="002060"/>
        </w:rPr>
        <w:t>s</w:t>
      </w:r>
      <w:r w:rsidR="004D307F">
        <w:rPr>
          <w:rStyle w:val="normaltextrun"/>
          <w:rFonts w:eastAsia="Roboto" w:cs="Roboto"/>
          <w:color w:val="002060"/>
        </w:rPr>
        <w:t>ee page 9)</w:t>
      </w:r>
      <w:r w:rsidRPr="007436A9">
        <w:rPr>
          <w:rStyle w:val="normaltextrun"/>
          <w:rFonts w:eastAsia="Roboto" w:cs="Roboto"/>
          <w:color w:val="002060"/>
        </w:rPr>
        <w:t xml:space="preserve">. </w:t>
      </w:r>
    </w:p>
    <w:p w14:paraId="7B8DF3F3" w14:textId="77777777" w:rsidR="00106767" w:rsidRPr="007436A9" w:rsidRDefault="00106767" w:rsidP="00106767">
      <w:pPr>
        <w:spacing w:before="120" w:after="120"/>
        <w:rPr>
          <w:rFonts w:eastAsia="Roboto"/>
          <w:color w:val="002060"/>
        </w:rPr>
      </w:pPr>
      <w:r w:rsidRPr="007436A9">
        <w:rPr>
          <w:rFonts w:eastAsia="Roboto"/>
          <w:color w:val="002060"/>
        </w:rPr>
        <w:t xml:space="preserve">Schools are a key setting for the prevention of gender-based violence, including sexual violence. As quoted from ANROWS </w:t>
      </w:r>
      <w:r w:rsidRPr="007436A9">
        <w:rPr>
          <w:rFonts w:eastAsia="Roboto"/>
          <w:i/>
          <w:iCs/>
          <w:color w:val="002060"/>
        </w:rPr>
        <w:t>Attitudes Matter: The 2021 National Community Attitudes towards Violence against Women Survey</w:t>
      </w:r>
      <w:r w:rsidRPr="007436A9">
        <w:rPr>
          <w:rFonts w:eastAsia="Roboto"/>
          <w:color w:val="002060"/>
        </w:rPr>
        <w:t xml:space="preserve"> </w:t>
      </w:r>
      <w:r w:rsidRPr="007436A9">
        <w:rPr>
          <w:rFonts w:eastAsia="Roboto"/>
          <w:i/>
          <w:color w:val="002060"/>
        </w:rPr>
        <w:t xml:space="preserve">- </w:t>
      </w:r>
      <w:r w:rsidRPr="007436A9">
        <w:rPr>
          <w:rFonts w:eastAsia="Roboto"/>
          <w:i/>
          <w:iCs/>
          <w:color w:val="002060"/>
        </w:rPr>
        <w:t>Findings for young Australians</w:t>
      </w:r>
      <w:r w:rsidRPr="007436A9">
        <w:rPr>
          <w:rFonts w:eastAsia="Roboto"/>
          <w:color w:val="002060"/>
        </w:rPr>
        <w:t xml:space="preserve"> (2023)</w:t>
      </w:r>
    </w:p>
    <w:p w14:paraId="0FD4AC2A" w14:textId="56191386" w:rsidR="00106767" w:rsidRPr="007436A9" w:rsidRDefault="00106767" w:rsidP="00106767">
      <w:pPr>
        <w:spacing w:before="120" w:after="0"/>
        <w:ind w:left="720"/>
        <w:rPr>
          <w:rFonts w:eastAsia="Roboto"/>
          <w:color w:val="002060"/>
          <w:sz w:val="22"/>
          <w:szCs w:val="22"/>
        </w:rPr>
      </w:pPr>
      <w:r w:rsidRPr="007436A9">
        <w:rPr>
          <w:rFonts w:eastAsia="Roboto"/>
          <w:color w:val="002060"/>
          <w:sz w:val="22"/>
          <w:szCs w:val="22"/>
        </w:rPr>
        <w:t>…intervention in early childhood and school-aged settings are timely for beginning to address stereotyped ideas, attitudes and practices about gender roles and relationships that underpin gender inequalities and violence against women.</w:t>
      </w:r>
      <w:r w:rsidR="00083E82" w:rsidRPr="007436A9">
        <w:rPr>
          <w:rStyle w:val="EndnoteReference"/>
          <w:rFonts w:eastAsia="Roboto"/>
          <w:color w:val="002060"/>
          <w:sz w:val="22"/>
          <w:szCs w:val="22"/>
        </w:rPr>
        <w:endnoteReference w:id="2"/>
      </w:r>
    </w:p>
    <w:p w14:paraId="4326675D" w14:textId="77777777" w:rsidR="00083E82" w:rsidRPr="007436A9" w:rsidRDefault="00083E82" w:rsidP="000902DE">
      <w:pPr>
        <w:spacing w:before="120" w:after="120"/>
        <w:rPr>
          <w:color w:val="002060"/>
        </w:rPr>
      </w:pPr>
      <w:r w:rsidRPr="007436A9">
        <w:rPr>
          <w:color w:val="002060"/>
        </w:rPr>
        <w:t>Young women and girls</w:t>
      </w:r>
      <w:proofErr w:type="gramStart"/>
      <w:r w:rsidRPr="007436A9">
        <w:rPr>
          <w:color w:val="002060"/>
        </w:rPr>
        <w:t>, in particular, are</w:t>
      </w:r>
      <w:proofErr w:type="gramEnd"/>
      <w:r w:rsidRPr="007436A9">
        <w:rPr>
          <w:color w:val="002060"/>
        </w:rPr>
        <w:t xml:space="preserve"> disproportionately affected by sexual violence. Global estimates suggest that almost one in four young women between 15 and 19 years of age have experienced physical and/or sexual violence from an intimate partner since the age of 15.</w:t>
      </w:r>
      <w:r w:rsidRPr="007436A9">
        <w:rPr>
          <w:rStyle w:val="EndnoteReference"/>
          <w:color w:val="002060"/>
        </w:rPr>
        <w:endnoteReference w:id="3"/>
      </w:r>
      <w:r w:rsidRPr="007436A9">
        <w:rPr>
          <w:color w:val="002060"/>
        </w:rPr>
        <w:t xml:space="preserve"> </w:t>
      </w:r>
      <w:r w:rsidRPr="007436A9">
        <w:rPr>
          <w:rFonts w:cs="Calibri"/>
          <w:color w:val="002060"/>
          <w:shd w:val="clear" w:color="auto" w:fill="FFFFFF"/>
        </w:rPr>
        <w:t>In Australia, young women experience the highest rates of sexual violence perpetrated by men, including sexual assault and harassment. However, homophobic and transphobic harassment and abuse are also common in Australia, and young LGBTIQA+ people are particularly vulnerable to the harmful effects of peer-based victimisation</w:t>
      </w:r>
      <w:r w:rsidRPr="007436A9">
        <w:rPr>
          <w:color w:val="002060"/>
        </w:rPr>
        <w:t xml:space="preserve">. </w:t>
      </w:r>
    </w:p>
    <w:p w14:paraId="33583D64" w14:textId="77777777" w:rsidR="00083E82" w:rsidRPr="007436A9" w:rsidRDefault="00083E82" w:rsidP="000902DE">
      <w:pPr>
        <w:spacing w:before="120" w:after="120"/>
        <w:rPr>
          <w:color w:val="002060"/>
        </w:rPr>
      </w:pPr>
      <w:r w:rsidRPr="007436A9">
        <w:rPr>
          <w:color w:val="002060"/>
        </w:rPr>
        <w:t>A Sex Education Survey of South Australian children and young people by the South Australian Commissioner for Children and Young People found that almost half of girls aged 16-17 years (49%) and almost one in three boys (31%) disclosed having experienced some form of unwanted sexual behaviour in the past 12 months.</w:t>
      </w:r>
      <w:r w:rsidRPr="007436A9">
        <w:rPr>
          <w:rStyle w:val="EndnoteReference"/>
          <w:color w:val="002060"/>
        </w:rPr>
        <w:endnoteReference w:id="4"/>
      </w:r>
      <w:r w:rsidRPr="007436A9">
        <w:rPr>
          <w:color w:val="002060"/>
        </w:rPr>
        <w:t xml:space="preserve"> More than one quarter of young people (28.4%) reported having had unwanted sex, with female students twice as likely as male students to have had unwanted sex (36.8% compared to 15.9%).</w:t>
      </w:r>
      <w:r w:rsidRPr="007436A9">
        <w:rPr>
          <w:rStyle w:val="EndnoteReference"/>
          <w:color w:val="002060"/>
        </w:rPr>
        <w:endnoteReference w:id="5"/>
      </w:r>
    </w:p>
    <w:p w14:paraId="5B3800AA" w14:textId="77777777" w:rsidR="00083E82" w:rsidRPr="007436A9" w:rsidRDefault="00083E82" w:rsidP="000902DE">
      <w:pPr>
        <w:spacing w:before="120" w:after="120"/>
        <w:rPr>
          <w:rFonts w:eastAsia="Roboto" w:cs="Roboto"/>
          <w:color w:val="002060"/>
        </w:rPr>
      </w:pPr>
      <w:r w:rsidRPr="007436A9">
        <w:rPr>
          <w:rFonts w:eastAsia="Roboto" w:cs="Roboto"/>
          <w:color w:val="002060"/>
        </w:rPr>
        <w:t>Pornography may influence understandings about gender roles, sex and consent, particularly as young people are still forming their ideas and attitudes about these issues and are accessing pornography often years before they start having sexual relationships.</w:t>
      </w:r>
      <w:r w:rsidRPr="007436A9">
        <w:rPr>
          <w:rStyle w:val="EndnoteReference"/>
          <w:rFonts w:eastAsia="Roboto" w:cs="Roboto"/>
          <w:color w:val="002060"/>
        </w:rPr>
        <w:endnoteReference w:id="6"/>
      </w:r>
      <w:r w:rsidRPr="007436A9">
        <w:rPr>
          <w:rFonts w:eastAsia="Roboto" w:cs="Roboto"/>
          <w:color w:val="002060"/>
        </w:rPr>
        <w:t xml:space="preserve"> Given that mainstream porn</w:t>
      </w:r>
      <w:r>
        <w:rPr>
          <w:rFonts w:eastAsia="Roboto" w:cs="Roboto"/>
          <w:color w:val="002060"/>
        </w:rPr>
        <w:t>ography</w:t>
      </w:r>
      <w:r w:rsidRPr="007436A9">
        <w:rPr>
          <w:rFonts w:eastAsia="Roboto" w:cs="Roboto"/>
          <w:color w:val="002060"/>
        </w:rPr>
        <w:t xml:space="preserve"> includes ‘significant levels of violent, sexually hostile, sexist and racist content’, teachers, parents and the broader community must be equipped with the educational skills and resources to address the influence of pornography.</w:t>
      </w:r>
      <w:r w:rsidRPr="007436A9">
        <w:rPr>
          <w:rStyle w:val="EndnoteReference"/>
          <w:rFonts w:eastAsia="Roboto" w:cs="Roboto"/>
          <w:color w:val="002060"/>
        </w:rPr>
        <w:endnoteReference w:id="7"/>
      </w:r>
      <w:r w:rsidRPr="007436A9">
        <w:rPr>
          <w:rFonts w:eastAsia="Roboto" w:cs="Roboto"/>
          <w:color w:val="002060"/>
        </w:rPr>
        <w:t xml:space="preserve"> This is especially necessary as the consumption of pornography is common, usually occurs in private, and often – particularly for children and young people – is not accompanied by access to critique or education about its potential impacts.</w:t>
      </w:r>
      <w:r w:rsidRPr="007436A9">
        <w:rPr>
          <w:rStyle w:val="EndnoteReference"/>
          <w:rFonts w:eastAsia="Roboto" w:cs="Roboto"/>
          <w:color w:val="002060"/>
        </w:rPr>
        <w:endnoteReference w:id="8"/>
      </w:r>
    </w:p>
    <w:p w14:paraId="0E7E63B6" w14:textId="77777777" w:rsidR="00083E82" w:rsidRPr="007436A9" w:rsidRDefault="00083E82" w:rsidP="000902DE">
      <w:pPr>
        <w:spacing w:before="120" w:after="120"/>
        <w:rPr>
          <w:color w:val="002060"/>
        </w:rPr>
      </w:pPr>
      <w:r w:rsidRPr="007436A9">
        <w:rPr>
          <w:color w:val="002060"/>
        </w:rPr>
        <w:t>Independent research commissioned by Our Watch to measure attitudinal changes of young people (aged 12 to 20 years) and 500 parents found that there are still concerning attitudes around sexual consent and pressure for sex. Almost 60% of young respondents believed that if a boy wanted to have sex with a girl, it was up to the girl to make it very clear she did not want to.</w:t>
      </w:r>
      <w:r w:rsidRPr="007436A9">
        <w:rPr>
          <w:rStyle w:val="EndnoteReference"/>
          <w:color w:val="002060"/>
        </w:rPr>
        <w:endnoteReference w:id="9"/>
      </w:r>
      <w:r w:rsidRPr="007436A9">
        <w:rPr>
          <w:color w:val="002060"/>
        </w:rPr>
        <w:t xml:space="preserve"> </w:t>
      </w:r>
    </w:p>
    <w:p w14:paraId="21C3EA73" w14:textId="77777777" w:rsidR="00083E82" w:rsidRPr="007436A9" w:rsidRDefault="00083E82" w:rsidP="000902DE">
      <w:pPr>
        <w:spacing w:before="120" w:after="120"/>
        <w:rPr>
          <w:color w:val="002060"/>
        </w:rPr>
      </w:pPr>
      <w:r w:rsidRPr="007436A9">
        <w:rPr>
          <w:color w:val="002060"/>
        </w:rPr>
        <w:t>The results of the latest ANROWS National Community Attitudes towards Violence against Women Survey (NCAS) indicate significant improvements by young respondents between 2017 and 2021 in their attitudinal rejection of violence against women. This includes rejection of attitudes that mistrust women’s reports of violence and those that objectify women and disregard consent, as well as rejection of sexual violence, including sexual assault and sexual harassment.</w:t>
      </w:r>
      <w:r w:rsidRPr="007436A9">
        <w:rPr>
          <w:rStyle w:val="EndnoteReference"/>
          <w:color w:val="002060"/>
        </w:rPr>
        <w:endnoteReference w:id="10"/>
      </w:r>
      <w:r w:rsidRPr="007436A9">
        <w:rPr>
          <w:color w:val="002060"/>
        </w:rPr>
        <w:t xml:space="preserve"> However, like the gendered nature of the findings from the independent research commissioned by Our Watch, young respondents tended to see rape as more justifiable if the sexual activity was initiated by the woman.</w:t>
      </w:r>
      <w:r w:rsidRPr="007436A9">
        <w:rPr>
          <w:rStyle w:val="EndnoteReference"/>
          <w:color w:val="002060"/>
        </w:rPr>
        <w:endnoteReference w:id="11"/>
      </w:r>
      <w:r w:rsidRPr="007436A9">
        <w:rPr>
          <w:color w:val="002060"/>
        </w:rPr>
        <w:t xml:space="preserve"> Young women were also significantly more likely than young men to “strongly disagree” with attitudes that disregard consent.</w:t>
      </w:r>
      <w:r w:rsidRPr="007436A9">
        <w:rPr>
          <w:rStyle w:val="EndnoteReference"/>
          <w:color w:val="002060"/>
        </w:rPr>
        <w:endnoteReference w:id="12"/>
      </w:r>
      <w:r w:rsidRPr="007436A9">
        <w:rPr>
          <w:color w:val="002060"/>
        </w:rPr>
        <w:t xml:space="preserve"> </w:t>
      </w:r>
    </w:p>
    <w:p w14:paraId="4F6DD237" w14:textId="48192348" w:rsidR="000902DE" w:rsidRPr="00E350DB" w:rsidRDefault="00083E82" w:rsidP="005D36CE">
      <w:pPr>
        <w:spacing w:before="120" w:after="120"/>
        <w:rPr>
          <w:rStyle w:val="normaltextrun"/>
          <w:color w:val="002060"/>
        </w:rPr>
      </w:pPr>
      <w:r w:rsidRPr="007436A9">
        <w:rPr>
          <w:color w:val="002060"/>
        </w:rPr>
        <w:t>As noted by ANROWS, such findings may reveal a lack of understanding that consent is an active and ongoing communication process. It also emphasises the importance of positively influencing the attitudes and behaviour of young people. This includes societal expectations around masculinity which can constrain young men and contribute to sexist attitudes and behaviours, including violence against women. Our Watch’s ‘</w:t>
      </w:r>
      <w:hyperlink r:id="rId12" w:history="1">
        <w:r w:rsidRPr="007436A9">
          <w:rPr>
            <w:rStyle w:val="Hyperlink"/>
            <w:color w:val="002060"/>
          </w:rPr>
          <w:t>The Line</w:t>
        </w:r>
      </w:hyperlink>
      <w:r w:rsidRPr="007436A9">
        <w:rPr>
          <w:color w:val="002060"/>
        </w:rPr>
        <w:t>’ campaign, for example, is targeted specifically at young people in Australia (aged 14 to 20 years) to promote respectful relationships and drive</w:t>
      </w:r>
      <w:r w:rsidRPr="007436A9">
        <w:rPr>
          <w:rFonts w:ascii="Times New Roman" w:hAnsi="Times New Roman"/>
          <w:color w:val="002060"/>
        </w:rPr>
        <w:t> </w:t>
      </w:r>
      <w:r w:rsidRPr="007436A9">
        <w:rPr>
          <w:color w:val="002060"/>
        </w:rPr>
        <w:t>online and interpersonal</w:t>
      </w:r>
      <w:r w:rsidRPr="007436A9">
        <w:rPr>
          <w:rFonts w:ascii="Times New Roman" w:hAnsi="Times New Roman"/>
          <w:color w:val="002060"/>
        </w:rPr>
        <w:t> </w:t>
      </w:r>
      <w:r w:rsidRPr="007436A9">
        <w:rPr>
          <w:color w:val="002060"/>
        </w:rPr>
        <w:t xml:space="preserve">behavioural change. The Line includes conversations on important topics like relationships, consent, dating, </w:t>
      </w:r>
      <w:proofErr w:type="gramStart"/>
      <w:r w:rsidRPr="007436A9">
        <w:rPr>
          <w:color w:val="002060"/>
        </w:rPr>
        <w:t>masculinity</w:t>
      </w:r>
      <w:proofErr w:type="gramEnd"/>
      <w:r w:rsidRPr="007436A9">
        <w:rPr>
          <w:color w:val="002060"/>
        </w:rPr>
        <w:t xml:space="preserve"> and gender stereotypes.</w:t>
      </w:r>
      <w:r w:rsidRPr="007436A9">
        <w:rPr>
          <w:rStyle w:val="EndnoteReference"/>
          <w:color w:val="002060"/>
        </w:rPr>
        <w:endnoteReference w:id="13"/>
      </w:r>
      <w:r w:rsidRPr="007436A9">
        <w:rPr>
          <w:color w:val="002060"/>
        </w:rPr>
        <w:t xml:space="preserve"> </w:t>
      </w:r>
    </w:p>
    <w:p w14:paraId="65EA6EDD" w14:textId="33FCF527" w:rsidR="00083E82" w:rsidRPr="007436A9" w:rsidRDefault="00083E82" w:rsidP="005D36CE">
      <w:pPr>
        <w:spacing w:before="120" w:after="120"/>
        <w:rPr>
          <w:rFonts w:eastAsia="Roboto" w:cs="Roboto"/>
          <w:color w:val="002060"/>
          <w:szCs w:val="24"/>
        </w:rPr>
      </w:pPr>
      <w:r w:rsidRPr="007436A9">
        <w:rPr>
          <w:rFonts w:eastAsia="Roboto" w:cs="Roboto"/>
          <w:color w:val="002060"/>
          <w:szCs w:val="24"/>
        </w:rPr>
        <w:t xml:space="preserve">In September 2023, the Commonwealth released its recommendations into the Senate Legal and Constitutional Affairs Committee Inquiry into the current and propose sexual consent laws in Australia. As a witness at the hearing, Our Watch provided guidance and advice on the role of evidence-based RRE as a fundamental component of supporting young people to build healthy, </w:t>
      </w:r>
      <w:proofErr w:type="gramStart"/>
      <w:r w:rsidRPr="007436A9">
        <w:rPr>
          <w:rFonts w:eastAsia="Roboto" w:cs="Roboto"/>
          <w:color w:val="002060"/>
          <w:szCs w:val="24"/>
        </w:rPr>
        <w:t>inclusive</w:t>
      </w:r>
      <w:proofErr w:type="gramEnd"/>
      <w:r w:rsidRPr="007436A9">
        <w:rPr>
          <w:rFonts w:eastAsia="Roboto" w:cs="Roboto"/>
          <w:color w:val="002060"/>
          <w:szCs w:val="24"/>
        </w:rPr>
        <w:t xml:space="preserve"> and respectful relationships free from all forms of violence, including sexual violence. As a result, Our Watch welcomed the findings of the Inquiry in relation to respectful relationships in schools, in particular Recommendation 13: </w:t>
      </w:r>
    </w:p>
    <w:p w14:paraId="16467799" w14:textId="77777777" w:rsidR="00083E82" w:rsidRPr="007436A9" w:rsidRDefault="00083E82" w:rsidP="005D36CE">
      <w:pPr>
        <w:spacing w:before="120" w:after="120"/>
        <w:ind w:left="720"/>
        <w:rPr>
          <w:rFonts w:eastAsia="Roboto" w:cs="Roboto"/>
          <w:color w:val="002060"/>
          <w:sz w:val="22"/>
          <w:szCs w:val="22"/>
        </w:rPr>
      </w:pPr>
      <w:r w:rsidRPr="007436A9">
        <w:rPr>
          <w:color w:val="002060"/>
          <w:sz w:val="22"/>
          <w:szCs w:val="22"/>
        </w:rPr>
        <w:t>The committee recommends that the Commonwealth government, through the Education Ministers Meeting and in consultation with relevant stakeholders, develops a strategy and delivers funding (in conjunction with the states and territories) for upskilling the education workforce, to achieve the consistent and effective delivery of comprehensive Respectful Relationships Education in Australian schools. This should include consideration of mandatory education in the Initial Teacher Education Curriculum.</w:t>
      </w:r>
      <w:r w:rsidRPr="007436A9">
        <w:rPr>
          <w:rStyle w:val="EndnoteReference"/>
          <w:color w:val="002060"/>
          <w:sz w:val="22"/>
          <w:szCs w:val="22"/>
        </w:rPr>
        <w:endnoteReference w:id="14"/>
      </w:r>
    </w:p>
    <w:p w14:paraId="2866ED11" w14:textId="77777777" w:rsidR="00083E82" w:rsidRPr="007436A9" w:rsidRDefault="00083E82" w:rsidP="005D36CE">
      <w:pPr>
        <w:spacing w:before="120" w:after="120"/>
        <w:rPr>
          <w:rFonts w:cs="Arial"/>
          <w:color w:val="002060"/>
          <w:shd w:val="clear" w:color="auto" w:fill="FFFFFF"/>
        </w:rPr>
      </w:pPr>
      <w:r w:rsidRPr="007436A9">
        <w:rPr>
          <w:rFonts w:eastAsia="Roboto" w:cs="Roboto"/>
          <w:color w:val="002060"/>
        </w:rPr>
        <w:t xml:space="preserve">In addition to the Inquiry into current and proposed sexual consent laws in Australia, in January 2024, the Commonwealth Government released the </w:t>
      </w:r>
      <w:r w:rsidRPr="007436A9">
        <w:rPr>
          <w:rFonts w:eastAsia="Roboto" w:cs="Roboto"/>
          <w:i/>
          <w:iCs/>
          <w:color w:val="002060"/>
        </w:rPr>
        <w:t>Commonwealth Consent Policy Framework: Promoting healthy sexual relationships and consent among young people</w:t>
      </w:r>
      <w:r w:rsidRPr="007436A9">
        <w:rPr>
          <w:rFonts w:eastAsia="Roboto" w:cs="Roboto"/>
          <w:color w:val="002060"/>
        </w:rPr>
        <w:t>,</w:t>
      </w:r>
      <w:r w:rsidRPr="007436A9">
        <w:rPr>
          <w:rStyle w:val="EndnoteReference"/>
          <w:rFonts w:eastAsia="Roboto" w:cs="Roboto"/>
          <w:color w:val="002060"/>
        </w:rPr>
        <w:endnoteReference w:id="15"/>
      </w:r>
      <w:r w:rsidRPr="007436A9">
        <w:rPr>
          <w:rFonts w:eastAsia="Roboto" w:cs="Roboto"/>
          <w:color w:val="002060"/>
        </w:rPr>
        <w:t xml:space="preserve"> which is a </w:t>
      </w:r>
      <w:r w:rsidRPr="007436A9">
        <w:rPr>
          <w:rFonts w:cs="Arial"/>
          <w:color w:val="002060"/>
          <w:shd w:val="clear" w:color="auto" w:fill="FFFFFF"/>
        </w:rPr>
        <w:t>framework to support organisations working to prevent sexual violence, to promote healthy sexual relationships and sexual consent to young people. It outlines a shared community definition of sexual consent, including core concepts and key principles for promoting consent and healthy sexual relationships.</w:t>
      </w:r>
    </w:p>
    <w:p w14:paraId="0FA17FC4" w14:textId="77777777" w:rsidR="00083E82" w:rsidRDefault="00083E82" w:rsidP="005D36CE">
      <w:pPr>
        <w:spacing w:before="120" w:after="120"/>
        <w:rPr>
          <w:rStyle w:val="normaltextrun"/>
          <w:rFonts w:eastAsia="Roboto" w:cs="Roboto"/>
          <w:color w:val="002060"/>
        </w:rPr>
      </w:pPr>
      <w:r w:rsidRPr="007436A9">
        <w:rPr>
          <w:rFonts w:eastAsia="Roboto" w:cs="Roboto"/>
          <w:color w:val="002060"/>
          <w:szCs w:val="24"/>
        </w:rPr>
        <w:t xml:space="preserve">Our Watch recognises the importance of consent education from early years settings through to universities. </w:t>
      </w:r>
      <w:r w:rsidRPr="007436A9">
        <w:rPr>
          <w:rStyle w:val="normaltextrun"/>
          <w:rFonts w:eastAsia="Roboto" w:cs="Roboto"/>
          <w:color w:val="002060"/>
        </w:rPr>
        <w:t>Our Watch has also supported information sharing and coordination of practice and best-practice policy nationally, including by convening the National Respectful Relationships Education Expert Group (2017–2020). We have provided ongoing advice to departments of education and other stakeholders across the country on how to design and deliver best RRE.</w:t>
      </w:r>
    </w:p>
    <w:p w14:paraId="41AF4CD5" w14:textId="77777777" w:rsidR="00083E82" w:rsidRPr="007436A9" w:rsidRDefault="00083E82" w:rsidP="005D36CE">
      <w:pPr>
        <w:spacing w:before="120" w:after="120"/>
        <w:rPr>
          <w:rFonts w:eastAsia="Roboto" w:cs="Roboto"/>
          <w:color w:val="002060"/>
        </w:rPr>
      </w:pPr>
    </w:p>
    <w:p w14:paraId="7D235DEB" w14:textId="77777777" w:rsidR="00083E82" w:rsidRPr="007436A9" w:rsidRDefault="00083E82" w:rsidP="005D36CE">
      <w:pPr>
        <w:spacing w:before="120" w:after="120"/>
        <w:rPr>
          <w:rFonts w:eastAsia="Roboto"/>
          <w:color w:val="002060"/>
          <w:szCs w:val="24"/>
        </w:rPr>
      </w:pPr>
    </w:p>
    <w:p w14:paraId="50D6F8B5" w14:textId="77777777" w:rsidR="00083E82" w:rsidRPr="007436A9" w:rsidRDefault="00083E82" w:rsidP="005D36CE">
      <w:pPr>
        <w:pStyle w:val="Heading1"/>
        <w:spacing w:before="120" w:after="120"/>
        <w:rPr>
          <w:color w:val="002060"/>
        </w:rPr>
      </w:pPr>
      <w:r w:rsidRPr="007436A9">
        <w:rPr>
          <w:color w:val="002060"/>
        </w:rPr>
        <w:t>Discussion questions</w:t>
      </w:r>
    </w:p>
    <w:p w14:paraId="621006CD" w14:textId="77777777" w:rsidR="00083E82" w:rsidRPr="007436A9" w:rsidRDefault="00083E82" w:rsidP="005D36CE">
      <w:pPr>
        <w:pStyle w:val="Heading2"/>
        <w:spacing w:before="120" w:after="120"/>
        <w:rPr>
          <w:color w:val="002060"/>
        </w:rPr>
      </w:pPr>
      <w:r w:rsidRPr="007436A9">
        <w:rPr>
          <w:color w:val="002060"/>
        </w:rPr>
        <w:t xml:space="preserve">Should the definition of consent in South Australia include a positive obligation to obtain consent, consistent with an affirmative model of consent? </w:t>
      </w:r>
    </w:p>
    <w:p w14:paraId="1BE1D884" w14:textId="77777777" w:rsidR="00083E82" w:rsidRPr="007436A9" w:rsidRDefault="00083E82" w:rsidP="005D36CE">
      <w:pPr>
        <w:spacing w:before="120" w:after="120"/>
        <w:rPr>
          <w:color w:val="002060"/>
        </w:rPr>
      </w:pPr>
      <w:r w:rsidRPr="007436A9">
        <w:rPr>
          <w:color w:val="002060"/>
        </w:rPr>
        <w:t>Our Watch supports the strengthening of consent laws in South Australia as a prevention mechanism, including through the implementation of an affirmative consent model, supported by an evidenced-based approach to RRE.</w:t>
      </w:r>
      <w:r>
        <w:rPr>
          <w:color w:val="002060"/>
        </w:rPr>
        <w:t xml:space="preserve"> </w:t>
      </w:r>
      <w:r w:rsidRPr="007436A9">
        <w:rPr>
          <w:color w:val="002060"/>
        </w:rPr>
        <w:t xml:space="preserve">Comprehensive primary prevention, including the prevention of sexual violence, aims to influence laws, policies, practices and behaviours of organisations, groups and individuals to promote gender equality and accountability for violence and discrimination. A focus of prevention includes ensuring sexual relationships are based on the principles of consent, agency, communication and mutual pleasure. </w:t>
      </w:r>
    </w:p>
    <w:p w14:paraId="423C04F6" w14:textId="1522634C" w:rsidR="00083E82" w:rsidRDefault="00083E82" w:rsidP="005D36CE">
      <w:pPr>
        <w:spacing w:before="120" w:after="120"/>
        <w:rPr>
          <w:b/>
          <w:bCs/>
          <w:color w:val="002060"/>
          <w:szCs w:val="24"/>
          <w:shd w:val="clear" w:color="auto" w:fill="FFFFFF"/>
          <w:lang w:val="en-US"/>
        </w:rPr>
      </w:pPr>
      <w:r w:rsidRPr="007436A9">
        <w:rPr>
          <w:color w:val="002060"/>
        </w:rPr>
        <w:t xml:space="preserve">Any change to consent legislation </w:t>
      </w:r>
      <w:r w:rsidR="00C603C3">
        <w:rPr>
          <w:color w:val="002060"/>
        </w:rPr>
        <w:t>should</w:t>
      </w:r>
      <w:r w:rsidRPr="007436A9">
        <w:rPr>
          <w:color w:val="002060"/>
        </w:rPr>
        <w:t xml:space="preserve"> be supported by an evidence-based approach to RRE, which includes consent education</w:t>
      </w:r>
      <w:r w:rsidRPr="007436A9">
        <w:rPr>
          <w:rFonts w:eastAsia="Roboto" w:cs="Roboto"/>
          <w:color w:val="002060"/>
        </w:rPr>
        <w:t xml:space="preserve">. </w:t>
      </w:r>
      <w:r w:rsidRPr="007436A9">
        <w:rPr>
          <w:color w:val="002060"/>
          <w:szCs w:val="24"/>
          <w:shd w:val="clear" w:color="auto" w:fill="FFFFFF"/>
          <w:lang w:val="en-US"/>
        </w:rPr>
        <w:t>More broadly, appropriate consent laws are important in providing protection for those who have experienced sexual violence and promote accountability for perpetrators. However, their impact on improving understanding of the fundamental principles of consent within the education system can best be enabled by a comprehensive, whole-of-school approach to RRE</w:t>
      </w:r>
      <w:r w:rsidRPr="007436A9">
        <w:rPr>
          <w:b/>
          <w:bCs/>
          <w:color w:val="002060"/>
          <w:szCs w:val="24"/>
          <w:shd w:val="clear" w:color="auto" w:fill="FFFFFF"/>
          <w:lang w:val="en-US"/>
        </w:rPr>
        <w:t xml:space="preserve">. </w:t>
      </w:r>
    </w:p>
    <w:p w14:paraId="13973660" w14:textId="250EC1C2" w:rsidR="00083E82" w:rsidRPr="00241766" w:rsidRDefault="00083E82" w:rsidP="005D36CE">
      <w:pPr>
        <w:spacing w:before="120" w:after="120"/>
        <w:rPr>
          <w:color w:val="002060"/>
        </w:rPr>
      </w:pPr>
      <w:r>
        <w:rPr>
          <w:rFonts w:eastAsia="Roboto" w:cs="Roboto"/>
          <w:color w:val="002060"/>
        </w:rPr>
        <w:t xml:space="preserve">Our Watch </w:t>
      </w:r>
      <w:r w:rsidR="00C603C3">
        <w:rPr>
          <w:rFonts w:eastAsia="Roboto" w:cs="Roboto"/>
          <w:color w:val="002060"/>
        </w:rPr>
        <w:t>suggests</w:t>
      </w:r>
      <w:r>
        <w:rPr>
          <w:rFonts w:eastAsia="Roboto" w:cs="Roboto"/>
          <w:color w:val="002060"/>
        </w:rPr>
        <w:t xml:space="preserve"> </w:t>
      </w:r>
      <w:r w:rsidRPr="007436A9">
        <w:rPr>
          <w:color w:val="002060"/>
        </w:rPr>
        <w:t>that the South Australian Government utilise evidence-based approaches to RRE</w:t>
      </w:r>
      <w:r w:rsidRPr="007436A9">
        <w:rPr>
          <w:rFonts w:eastAsia="Roboto" w:cs="Roboto"/>
          <w:color w:val="002060"/>
        </w:rPr>
        <w:t xml:space="preserve"> as a tool to ensure concepts including gender equality, gender-based violence, the impact of stereotypes and consent</w:t>
      </w:r>
      <w:r w:rsidRPr="007436A9">
        <w:rPr>
          <w:color w:val="002060"/>
        </w:rPr>
        <w:t xml:space="preserve"> are understood and supported at the whole of society level, particularly by young people who are disproportionately affected by sexual violence. </w:t>
      </w:r>
    </w:p>
    <w:p w14:paraId="2B0DAEA8" w14:textId="533EAFA5" w:rsidR="00083E82" w:rsidRPr="007436A9" w:rsidRDefault="005C2D0B" w:rsidP="005D36CE">
      <w:pPr>
        <w:spacing w:before="120" w:after="120"/>
        <w:rPr>
          <w:rFonts w:eastAsia="Roboto"/>
          <w:color w:val="002060"/>
        </w:rPr>
      </w:pPr>
      <w:r>
        <w:rPr>
          <w:color w:val="002060"/>
        </w:rPr>
        <w:t>The</w:t>
      </w:r>
      <w:r w:rsidR="00083E82" w:rsidRPr="007436A9">
        <w:rPr>
          <w:color w:val="002060"/>
        </w:rPr>
        <w:t xml:space="preserve"> effectiveness of </w:t>
      </w:r>
      <w:r>
        <w:rPr>
          <w:color w:val="002060"/>
        </w:rPr>
        <w:t>the</w:t>
      </w:r>
      <w:r w:rsidR="00083E82" w:rsidRPr="007436A9">
        <w:rPr>
          <w:color w:val="002060"/>
        </w:rPr>
        <w:t xml:space="preserve"> reform in achieving the broader societal change required to reduce and prevent sexual violence </w:t>
      </w:r>
      <w:r w:rsidR="000E2CE2">
        <w:rPr>
          <w:color w:val="002060"/>
        </w:rPr>
        <w:t>(that is, to enact legislative change in isolation)</w:t>
      </w:r>
      <w:r>
        <w:rPr>
          <w:color w:val="002060"/>
        </w:rPr>
        <w:t xml:space="preserve"> may not be achieved without introduction of </w:t>
      </w:r>
      <w:r w:rsidR="00083E82" w:rsidRPr="007436A9">
        <w:rPr>
          <w:color w:val="002060"/>
        </w:rPr>
        <w:t>an affirmative model of consent supplemented by RRE</w:t>
      </w:r>
      <w:r w:rsidR="000E2CE2">
        <w:rPr>
          <w:color w:val="002060"/>
        </w:rPr>
        <w:t>.</w:t>
      </w:r>
      <w:r w:rsidR="00083E82" w:rsidRPr="007436A9">
        <w:rPr>
          <w:color w:val="002060"/>
        </w:rPr>
        <w:t xml:space="preserve"> As the </w:t>
      </w:r>
      <w:r w:rsidR="00083E82" w:rsidRPr="007436A9">
        <w:rPr>
          <w:i/>
          <w:iCs/>
          <w:color w:val="002060"/>
        </w:rPr>
        <w:t>Commonwealth Consent Policy Framework</w:t>
      </w:r>
      <w:r w:rsidR="00083E82" w:rsidRPr="007436A9">
        <w:rPr>
          <w:color w:val="002060"/>
        </w:rPr>
        <w:t xml:space="preserve"> (2023) states</w:t>
      </w:r>
    </w:p>
    <w:p w14:paraId="46F23C32" w14:textId="77777777" w:rsidR="00083E82" w:rsidRPr="007436A9" w:rsidRDefault="00083E82" w:rsidP="005D36CE">
      <w:pPr>
        <w:spacing w:before="120" w:after="120"/>
        <w:ind w:left="720"/>
        <w:rPr>
          <w:color w:val="002060"/>
          <w:sz w:val="22"/>
          <w:szCs w:val="22"/>
        </w:rPr>
      </w:pPr>
      <w:r w:rsidRPr="007436A9">
        <w:rPr>
          <w:color w:val="002060"/>
          <w:sz w:val="22"/>
          <w:szCs w:val="22"/>
        </w:rPr>
        <w:t>While conversations about consent and healthy sexual relationships should include an understanding of sexual assault and consent laws, the aim … is to support a cultural shift in community attitudes, to promote respectful sexual behaviour and relationships and prevent violence.</w:t>
      </w:r>
      <w:r w:rsidRPr="007436A9">
        <w:rPr>
          <w:rStyle w:val="EndnoteReference"/>
          <w:color w:val="002060"/>
          <w:sz w:val="22"/>
          <w:szCs w:val="22"/>
        </w:rPr>
        <w:endnoteReference w:id="16"/>
      </w:r>
    </w:p>
    <w:p w14:paraId="55FC29D9" w14:textId="6499A7E7" w:rsidR="00083E82" w:rsidRPr="007436A9" w:rsidRDefault="000E2CE2" w:rsidP="005D36CE">
      <w:pPr>
        <w:spacing w:before="120" w:after="120"/>
        <w:rPr>
          <w:color w:val="002060"/>
        </w:rPr>
      </w:pPr>
      <w:r>
        <w:rPr>
          <w:color w:val="002060"/>
        </w:rPr>
        <w:t>I</w:t>
      </w:r>
      <w:r w:rsidR="00083E82">
        <w:rPr>
          <w:color w:val="002060"/>
        </w:rPr>
        <w:t xml:space="preserve">t is important to note that </w:t>
      </w:r>
      <w:r w:rsidR="00083E82" w:rsidRPr="007436A9">
        <w:rPr>
          <w:color w:val="002060"/>
        </w:rPr>
        <w:t>navigating consent is not limited to sexual relationships</w:t>
      </w:r>
      <w:r w:rsidR="00083E82">
        <w:rPr>
          <w:color w:val="002060"/>
        </w:rPr>
        <w:t>, rather</w:t>
      </w:r>
      <w:r w:rsidR="00083E82" w:rsidRPr="007436A9">
        <w:rPr>
          <w:color w:val="002060"/>
        </w:rPr>
        <w:t xml:space="preserve"> is a process that applies to many areas of people’s lives and interactions with one another. </w:t>
      </w:r>
      <w:r w:rsidR="00083E82" w:rsidRPr="007436A9">
        <w:rPr>
          <w:color w:val="002060"/>
          <w:shd w:val="clear" w:color="auto" w:fill="FFFFFF"/>
        </w:rPr>
        <w:t>Consent negotiations should assist in building foundational relationship and communication skills.</w:t>
      </w:r>
      <w:r w:rsidR="00083E82" w:rsidRPr="007436A9">
        <w:rPr>
          <w:color w:val="002060"/>
        </w:rPr>
        <w:t xml:space="preserve"> As such, education on respectful relationships, including consent must be an ongoing process that builds on young people’s skills and knowledge in relevant and age-appropriate ways.</w:t>
      </w:r>
    </w:p>
    <w:p w14:paraId="45DE41F3" w14:textId="77777777" w:rsidR="00083E82" w:rsidRPr="007436A9" w:rsidRDefault="00083E82" w:rsidP="005D36CE">
      <w:pPr>
        <w:pStyle w:val="Heading3"/>
        <w:spacing w:before="120" w:after="120"/>
        <w:rPr>
          <w:color w:val="002060"/>
        </w:rPr>
      </w:pPr>
      <w:r w:rsidRPr="007436A9">
        <w:rPr>
          <w:color w:val="002060"/>
        </w:rPr>
        <w:t>The impact of consent laws on consent education</w:t>
      </w:r>
    </w:p>
    <w:p w14:paraId="7A94D221" w14:textId="01CA6C9F" w:rsidR="00083E82" w:rsidRPr="007436A9" w:rsidRDefault="00083E82" w:rsidP="005D36CE">
      <w:pPr>
        <w:spacing w:before="120" w:after="120"/>
        <w:rPr>
          <w:color w:val="002060"/>
        </w:rPr>
      </w:pPr>
      <w:r w:rsidRPr="007436A9">
        <w:rPr>
          <w:color w:val="002060"/>
        </w:rPr>
        <w:t xml:space="preserve">The evidence suggests that the primary focus of sexual consent education should be on understanding the fundamental principles of bodily autonomy, mutual respect, and enthusiasm and willingness, rather than taking a solely legal approach. </w:t>
      </w:r>
      <w:r w:rsidR="002912E8">
        <w:rPr>
          <w:color w:val="002060"/>
        </w:rPr>
        <w:t>The</w:t>
      </w:r>
      <w:r w:rsidRPr="007436A9">
        <w:rPr>
          <w:color w:val="002060"/>
        </w:rPr>
        <w:t xml:space="preserve"> </w:t>
      </w:r>
      <w:r w:rsidRPr="007436A9">
        <w:rPr>
          <w:i/>
          <w:iCs/>
          <w:color w:val="002060"/>
        </w:rPr>
        <w:t>Commonwealth Consent Policy Framework</w:t>
      </w:r>
      <w:r w:rsidRPr="007436A9">
        <w:rPr>
          <w:color w:val="002060"/>
        </w:rPr>
        <w:t xml:space="preserve"> (2023)</w:t>
      </w:r>
      <w:r w:rsidR="002912E8">
        <w:rPr>
          <w:color w:val="002060"/>
        </w:rPr>
        <w:t xml:space="preserve"> states</w:t>
      </w:r>
      <w:r w:rsidRPr="007436A9">
        <w:rPr>
          <w:color w:val="002060"/>
        </w:rPr>
        <w:t xml:space="preserve">: </w:t>
      </w:r>
    </w:p>
    <w:p w14:paraId="3A4E2770" w14:textId="77777777" w:rsidR="00083E82" w:rsidRPr="007436A9" w:rsidRDefault="00083E82" w:rsidP="005D36CE">
      <w:pPr>
        <w:spacing w:before="120" w:after="120"/>
        <w:ind w:left="720"/>
        <w:rPr>
          <w:color w:val="002060"/>
          <w:sz w:val="22"/>
          <w:szCs w:val="22"/>
        </w:rPr>
      </w:pPr>
      <w:r w:rsidRPr="007436A9">
        <w:rPr>
          <w:color w:val="002060"/>
          <w:sz w:val="22"/>
          <w:szCs w:val="22"/>
        </w:rPr>
        <w:t>A balanced approach [to consent education] acknowledges concerning and harmful sexual behaviours, associated laws criminalising sexual assault and how these frame societal expectations around sexual behaviour. It is valuable to understand, consult and provide information on the laws that apply... However, this should be balanced with articulating what healthy sexual activity and relationships founded on consent look like, and the benefits of acquiring related consent skills.</w:t>
      </w:r>
      <w:r w:rsidRPr="007436A9">
        <w:rPr>
          <w:rStyle w:val="EndnoteReference"/>
          <w:color w:val="002060"/>
          <w:sz w:val="22"/>
          <w:szCs w:val="22"/>
        </w:rPr>
        <w:endnoteReference w:id="17"/>
      </w:r>
    </w:p>
    <w:p w14:paraId="634BB972" w14:textId="77777777" w:rsidR="00083E82" w:rsidRPr="007436A9" w:rsidRDefault="00083E82" w:rsidP="005D36CE">
      <w:pPr>
        <w:spacing w:before="120" w:after="120"/>
        <w:rPr>
          <w:color w:val="002060"/>
        </w:rPr>
      </w:pPr>
      <w:r w:rsidRPr="007436A9">
        <w:rPr>
          <w:color w:val="002060"/>
        </w:rPr>
        <w:t>Current approaches to consent education in Australia often focus on legality – at what age and under what circumstances sexual activity is legal or illegal. Whilst educating students on the law has its place, knowing the legal definition of a term is not enough, on its own, to change individual behaviour. The prevalence of underage drinking and smoking, despite laws that seek to prohibit these behaviours, demonstrates the gap between people’s familiarity of legislation and how they behave. For this reason, consent education should not rely or focus solely on teaching legal definitions of consent but rather on communication, pleasure, diversity of experiences and healthy, respectful relationships between young people.</w:t>
      </w:r>
      <w:r w:rsidRPr="007436A9">
        <w:rPr>
          <w:rStyle w:val="EndnoteReference"/>
          <w:color w:val="002060"/>
        </w:rPr>
        <w:endnoteReference w:id="18"/>
      </w:r>
    </w:p>
    <w:p w14:paraId="6B16285F" w14:textId="77777777" w:rsidR="00083E82" w:rsidRPr="007436A9" w:rsidRDefault="00083E82" w:rsidP="005D36CE">
      <w:pPr>
        <w:spacing w:before="120" w:after="120"/>
        <w:rPr>
          <w:color w:val="002060"/>
        </w:rPr>
      </w:pPr>
      <w:r w:rsidRPr="007436A9">
        <w:rPr>
          <w:color w:val="002060"/>
        </w:rPr>
        <w:t>A recent report from the South Australian Commissioner for Children and Young People found that many young people are dissatisfied with their current sex education and want to be taught comprehensive sexuality education that includes “an understanding of the social and practical complexity of consent, rather than just a knowledge of legal definitions” as well as a greater focus on gender, power, respectful relationships and gender inequality.</w:t>
      </w:r>
      <w:r w:rsidRPr="007436A9">
        <w:rPr>
          <w:rStyle w:val="EndnoteReference"/>
          <w:color w:val="002060"/>
        </w:rPr>
        <w:endnoteReference w:id="19"/>
      </w:r>
      <w:r w:rsidRPr="007436A9">
        <w:rPr>
          <w:color w:val="002060"/>
        </w:rPr>
        <w:t xml:space="preserve"> The 2021 National Secondary School Student Survey on Sexual Health identified that students would like Respect and Sexuality Education (RSE) to be more affirming, more frequent, and delivered by teachers who are comfortable with the topic areas. They also reported wanting RSE to attend more directly to issues of sexual communication, pleasure and relationships.</w:t>
      </w:r>
      <w:r w:rsidRPr="007436A9">
        <w:rPr>
          <w:rStyle w:val="EndnoteReference"/>
          <w:color w:val="002060"/>
        </w:rPr>
        <w:endnoteReference w:id="20"/>
      </w:r>
      <w:r w:rsidRPr="007436A9">
        <w:rPr>
          <w:color w:val="002060"/>
        </w:rPr>
        <w:t xml:space="preserve"> </w:t>
      </w:r>
    </w:p>
    <w:p w14:paraId="4C17BC2C" w14:textId="77777777" w:rsidR="00083E82" w:rsidRPr="007436A9" w:rsidRDefault="00083E82" w:rsidP="005D36CE">
      <w:pPr>
        <w:spacing w:before="120" w:after="120"/>
        <w:rPr>
          <w:color w:val="002060"/>
        </w:rPr>
      </w:pPr>
      <w:r w:rsidRPr="007436A9">
        <w:rPr>
          <w:color w:val="002060"/>
        </w:rPr>
        <w:t>These findings are consistent with other Australian research that has shown young people feel RSE is not adequately inclusive of gender and sexual diversity,</w:t>
      </w:r>
      <w:r w:rsidRPr="007436A9">
        <w:rPr>
          <w:rStyle w:val="EndnoteReference"/>
          <w:color w:val="002060"/>
        </w:rPr>
        <w:endnoteReference w:id="21"/>
      </w:r>
      <w:r w:rsidRPr="007436A9">
        <w:rPr>
          <w:color w:val="002060"/>
        </w:rPr>
        <w:t xml:space="preserve"> and does not focus enough on relationships, navigating sexual intimacy or the social and cultural dynamics of sex and relationships.</w:t>
      </w:r>
      <w:r w:rsidRPr="007436A9">
        <w:rPr>
          <w:rStyle w:val="EndnoteReference"/>
          <w:color w:val="002060"/>
        </w:rPr>
        <w:endnoteReference w:id="22"/>
      </w:r>
      <w:r w:rsidRPr="007436A9">
        <w:rPr>
          <w:color w:val="002060"/>
        </w:rPr>
        <w:t xml:space="preserve"> There is an opportunity to ensure that consent education reflects the reality of students’ lives, focuses on the importance of respectful, honest and open communication</w:t>
      </w:r>
      <w:r>
        <w:rPr>
          <w:color w:val="002060"/>
        </w:rPr>
        <w:t xml:space="preserve">, </w:t>
      </w:r>
      <w:r w:rsidRPr="007436A9">
        <w:rPr>
          <w:color w:val="002060"/>
        </w:rPr>
        <w:t xml:space="preserve">mutual enthusiasm and </w:t>
      </w:r>
      <w:r>
        <w:rPr>
          <w:color w:val="002060"/>
        </w:rPr>
        <w:t>enjoyment</w:t>
      </w:r>
      <w:r w:rsidRPr="007436A9">
        <w:rPr>
          <w:color w:val="002060"/>
        </w:rPr>
        <w:t>. Strengthening consent education in these ways supports young people in their development of healthy, respectful and consensual intimate relationships. </w:t>
      </w:r>
    </w:p>
    <w:p w14:paraId="459AC0F8" w14:textId="77777777" w:rsidR="00083E82" w:rsidRPr="007436A9" w:rsidRDefault="00083E82" w:rsidP="005D36CE">
      <w:pPr>
        <w:pStyle w:val="Heading3"/>
        <w:spacing w:before="120" w:after="120"/>
        <w:rPr>
          <w:color w:val="002060"/>
        </w:rPr>
      </w:pPr>
      <w:r w:rsidRPr="007436A9">
        <w:rPr>
          <w:color w:val="002060"/>
        </w:rPr>
        <w:t>An evidence-based approach to respectful relationships education</w:t>
      </w:r>
    </w:p>
    <w:p w14:paraId="5CE9D3E4" w14:textId="77777777" w:rsidR="007C58C8" w:rsidRPr="007436A9" w:rsidRDefault="00083E82" w:rsidP="005D36CE">
      <w:pPr>
        <w:pStyle w:val="paragraph"/>
        <w:spacing w:before="120" w:beforeAutospacing="0" w:after="120" w:afterAutospacing="0"/>
        <w:rPr>
          <w:rFonts w:eastAsia="Roboto"/>
          <w:color w:val="002060"/>
        </w:rPr>
      </w:pPr>
      <w:r w:rsidRPr="007436A9">
        <w:rPr>
          <w:rFonts w:eastAsia="Roboto" w:cs="Roboto"/>
          <w:color w:val="002060"/>
        </w:rPr>
        <w:t>Respectful relationships education is the holistic approach to school-based, primary prevention of gender-based violence, which includes teaching and learning about healthy relationships, gender, power and control in relationships and consent.</w:t>
      </w:r>
      <w:r w:rsidRPr="007436A9">
        <w:rPr>
          <w:rStyle w:val="EndnoteReference"/>
          <w:color w:val="002060"/>
        </w:rPr>
        <w:endnoteReference w:id="23"/>
      </w:r>
      <w:r w:rsidRPr="007436A9">
        <w:rPr>
          <w:rFonts w:eastAsia="Roboto" w:cs="Roboto"/>
          <w:color w:val="002060"/>
        </w:rPr>
        <w:t xml:space="preserve"> </w:t>
      </w:r>
      <w:r w:rsidR="007C58C8" w:rsidRPr="007436A9">
        <w:rPr>
          <w:rFonts w:eastAsia="Roboto"/>
          <w:color w:val="002060"/>
        </w:rPr>
        <w:t>RRE uses the education system as a catalyst for generational and cultural change by engaging schools, as both education institutions and workplaces, to comprehensively address the drivers of gender-based violence, including sexual violence, and create a future free from such violence. </w:t>
      </w:r>
    </w:p>
    <w:p w14:paraId="1172BDF4" w14:textId="5EF944F1" w:rsidR="00D903FF" w:rsidRPr="00431807" w:rsidRDefault="00315392" w:rsidP="005D36CE">
      <w:pPr>
        <w:spacing w:before="120" w:after="120"/>
        <w:rPr>
          <w:color w:val="002060"/>
        </w:rPr>
      </w:pPr>
      <w:r w:rsidRPr="00B02206">
        <w:rPr>
          <w:color w:val="002060"/>
        </w:rPr>
        <w:t>RRE</w:t>
      </w:r>
      <w:r w:rsidR="007C58C8" w:rsidRPr="00B02206">
        <w:rPr>
          <w:color w:val="002060"/>
        </w:rPr>
        <w:t xml:space="preserve"> </w:t>
      </w:r>
      <w:r w:rsidR="00845147">
        <w:rPr>
          <w:color w:val="002060"/>
        </w:rPr>
        <w:t>goes beyond</w:t>
      </w:r>
      <w:r w:rsidR="007C58C8" w:rsidRPr="00B02206">
        <w:rPr>
          <w:color w:val="002060"/>
        </w:rPr>
        <w:t xml:space="preserve"> what is delivered in the classroom. Whilst classroom instruction that enables students to identify, question and challenge the drivers of gender-based violence is a major facet of </w:t>
      </w:r>
      <w:r w:rsidRPr="00B02206">
        <w:rPr>
          <w:color w:val="002060"/>
        </w:rPr>
        <w:t>RRE</w:t>
      </w:r>
      <w:r w:rsidR="007C58C8" w:rsidRPr="00B02206">
        <w:rPr>
          <w:color w:val="002060"/>
        </w:rPr>
        <w:t xml:space="preserve">, evidence shows that to achieve maximum effectiveness, </w:t>
      </w:r>
      <w:r w:rsidRPr="00B02206">
        <w:rPr>
          <w:color w:val="002060"/>
        </w:rPr>
        <w:t>RRE</w:t>
      </w:r>
      <w:r w:rsidR="007C58C8" w:rsidRPr="00B02206">
        <w:rPr>
          <w:color w:val="002060"/>
        </w:rPr>
        <w:t xml:space="preserve"> should be realised through a whole-of-school approach. This means addressing the overlapping domains that shape the social climate surrounding students and staff, including curriculum, school policy and practices, school culture and ethos, the working conditions and culture experienced by staff, and the relationships modelled to students by their school community, including staff, parents, </w:t>
      </w:r>
      <w:proofErr w:type="gramStart"/>
      <w:r w:rsidR="007C58C8" w:rsidRPr="00B02206">
        <w:rPr>
          <w:color w:val="002060"/>
        </w:rPr>
        <w:t>guardians</w:t>
      </w:r>
      <w:proofErr w:type="gramEnd"/>
      <w:r w:rsidR="007C58C8" w:rsidRPr="00B02206">
        <w:rPr>
          <w:color w:val="002060"/>
        </w:rPr>
        <w:t xml:space="preserve"> and community groups.</w:t>
      </w:r>
    </w:p>
    <w:p w14:paraId="79EDF13C" w14:textId="77777777" w:rsidR="00B669E9" w:rsidRPr="007436A9" w:rsidRDefault="00B669E9" w:rsidP="005D36CE">
      <w:pPr>
        <w:spacing w:before="120" w:after="120"/>
        <w:rPr>
          <w:rFonts w:cs="Calibri"/>
          <w:color w:val="002060"/>
          <w:shd w:val="clear" w:color="auto" w:fill="FFFFFF"/>
        </w:rPr>
      </w:pPr>
      <w:r w:rsidRPr="007436A9">
        <w:rPr>
          <w:rFonts w:cs="Calibri"/>
          <w:color w:val="002060"/>
          <w:shd w:val="clear" w:color="auto" w:fill="FFFFFF"/>
        </w:rPr>
        <w:t>Schools are a key setting for the prevention of gender-based violence. RRE in school settings is one of the most promising strategies to prevent gender-based violence, including sexual violence. It provides an opportunity to reach young children early in their development and shape their attitudes, beliefs and behaviour around gender equality and respect. By continuing this education in later years, it provides crucial support and skills to adolescents who are experiencing their first intimate relationships.</w:t>
      </w:r>
      <w:r w:rsidRPr="007436A9">
        <w:rPr>
          <w:rFonts w:ascii="Times New Roman" w:hAnsi="Times New Roman"/>
          <w:color w:val="002060"/>
          <w:shd w:val="clear" w:color="auto" w:fill="FFFFFF"/>
        </w:rPr>
        <w:t> </w:t>
      </w:r>
      <w:r w:rsidRPr="007436A9">
        <w:rPr>
          <w:rFonts w:cs="Calibri"/>
          <w:color w:val="002060"/>
          <w:shd w:val="clear" w:color="auto" w:fill="FFFFFF"/>
        </w:rPr>
        <w:t>RRE also supports the creation of safe learning environments for all children and young people, through the transformation of school cultures to create environments that promote gender equality, respect, and non-violence.</w:t>
      </w:r>
      <w:r w:rsidRPr="007436A9">
        <w:rPr>
          <w:rFonts w:ascii="Times New Roman" w:hAnsi="Times New Roman"/>
          <w:color w:val="002060"/>
          <w:shd w:val="clear" w:color="auto" w:fill="FFFFFF"/>
        </w:rPr>
        <w:t>  </w:t>
      </w:r>
      <w:r w:rsidRPr="007436A9">
        <w:rPr>
          <w:rFonts w:cs="Calibri"/>
          <w:color w:val="002060"/>
          <w:shd w:val="clear" w:color="auto" w:fill="FFFFFF"/>
        </w:rPr>
        <w:t> </w:t>
      </w:r>
    </w:p>
    <w:p w14:paraId="384C8275" w14:textId="77777777" w:rsidR="007C58C8" w:rsidRPr="007436A9" w:rsidRDefault="007C58C8" w:rsidP="005D36CE">
      <w:pPr>
        <w:spacing w:before="120" w:after="120"/>
        <w:rPr>
          <w:b/>
          <w:bCs/>
          <w:color w:val="002060"/>
        </w:rPr>
      </w:pPr>
      <w:r w:rsidRPr="007436A9">
        <w:rPr>
          <w:rFonts w:eastAsia="Roboto"/>
          <w:color w:val="002060"/>
          <w:szCs w:val="24"/>
          <w:lang w:val="en-US"/>
        </w:rPr>
        <w:t>A whole</w:t>
      </w:r>
      <w:r w:rsidR="00A1250B" w:rsidRPr="007436A9">
        <w:rPr>
          <w:rFonts w:eastAsia="Roboto"/>
          <w:color w:val="002060"/>
          <w:szCs w:val="24"/>
          <w:lang w:val="en-US"/>
        </w:rPr>
        <w:t>-</w:t>
      </w:r>
      <w:r w:rsidRPr="007436A9">
        <w:rPr>
          <w:rFonts w:eastAsia="Roboto"/>
          <w:color w:val="002060"/>
          <w:szCs w:val="24"/>
          <w:lang w:val="en-US"/>
        </w:rPr>
        <w:t>of</w:t>
      </w:r>
      <w:r w:rsidR="00A1250B" w:rsidRPr="007436A9">
        <w:rPr>
          <w:rFonts w:eastAsia="Roboto"/>
          <w:color w:val="002060"/>
          <w:szCs w:val="24"/>
          <w:lang w:val="en-US"/>
        </w:rPr>
        <w:t>-</w:t>
      </w:r>
      <w:r w:rsidRPr="007436A9">
        <w:rPr>
          <w:rFonts w:eastAsia="Roboto"/>
          <w:color w:val="002060"/>
          <w:szCs w:val="24"/>
          <w:lang w:val="en-US"/>
        </w:rPr>
        <w:t>school approach ensures</w:t>
      </w:r>
      <w:r w:rsidRPr="007436A9">
        <w:rPr>
          <w:rFonts w:eastAsia="Roboto"/>
          <w:color w:val="002060"/>
          <w:szCs w:val="24"/>
        </w:rPr>
        <w:t xml:space="preserve"> a culture among both staff and students where gender stereotypes are challenged, gender-based discrimination is unacceptable, and gender equality is actively promoted, </w:t>
      </w:r>
      <w:proofErr w:type="gramStart"/>
      <w:r w:rsidRPr="007436A9">
        <w:rPr>
          <w:rFonts w:eastAsia="Roboto"/>
          <w:color w:val="002060"/>
          <w:szCs w:val="24"/>
        </w:rPr>
        <w:t>modelled</w:t>
      </w:r>
      <w:proofErr w:type="gramEnd"/>
      <w:r w:rsidRPr="007436A9">
        <w:rPr>
          <w:rFonts w:eastAsia="Roboto"/>
          <w:color w:val="002060"/>
          <w:szCs w:val="24"/>
        </w:rPr>
        <w:t xml:space="preserve"> and embedded across the entire school, not only in the curriculum. </w:t>
      </w:r>
      <w:r w:rsidRPr="007436A9">
        <w:rPr>
          <w:rFonts w:cs="Calibri"/>
          <w:color w:val="002060"/>
          <w:szCs w:val="24"/>
          <w:shd w:val="clear" w:color="auto" w:fill="FFFFFF"/>
        </w:rPr>
        <w:t>It is essential that any work undertaken in RRE, including consent education, is inclusive for young people of all genders and does not reinforce gender binaries or stereotypes. </w:t>
      </w:r>
    </w:p>
    <w:p w14:paraId="6A359F7D" w14:textId="77777777" w:rsidR="00A1716A" w:rsidRPr="007436A9" w:rsidRDefault="007C58C8" w:rsidP="005D36CE">
      <w:pPr>
        <w:pStyle w:val="Heading3"/>
        <w:spacing w:before="120" w:after="120"/>
        <w:rPr>
          <w:color w:val="002060"/>
        </w:rPr>
      </w:pPr>
      <w:r w:rsidRPr="007436A9">
        <w:rPr>
          <w:color w:val="002060"/>
        </w:rPr>
        <w:t xml:space="preserve">Consent education </w:t>
      </w:r>
      <w:r w:rsidR="003F15C9" w:rsidRPr="007436A9">
        <w:rPr>
          <w:color w:val="002060"/>
        </w:rPr>
        <w:t>a</w:t>
      </w:r>
      <w:r w:rsidRPr="007436A9">
        <w:rPr>
          <w:color w:val="002060"/>
        </w:rPr>
        <w:t xml:space="preserve">s part of an </w:t>
      </w:r>
      <w:r w:rsidR="00114A06" w:rsidRPr="007436A9">
        <w:rPr>
          <w:color w:val="002060"/>
        </w:rPr>
        <w:t>evidence-based</w:t>
      </w:r>
      <w:r w:rsidRPr="007436A9">
        <w:rPr>
          <w:color w:val="002060"/>
        </w:rPr>
        <w:t xml:space="preserve"> approach to RRE</w:t>
      </w:r>
    </w:p>
    <w:p w14:paraId="26346836" w14:textId="77777777" w:rsidR="00A1716A" w:rsidRDefault="00043758" w:rsidP="005D36CE">
      <w:pPr>
        <w:spacing w:before="120" w:after="120"/>
        <w:rPr>
          <w:color w:val="002060"/>
          <w:szCs w:val="24"/>
          <w:shd w:val="clear" w:color="auto" w:fill="FFFFFF"/>
          <w:lang w:val="en-US"/>
        </w:rPr>
      </w:pPr>
      <w:r w:rsidRPr="007436A9">
        <w:rPr>
          <w:color w:val="002060"/>
          <w:szCs w:val="24"/>
          <w:shd w:val="clear" w:color="auto" w:fill="FFFFFF"/>
          <w:lang w:val="en-US"/>
        </w:rPr>
        <w:t>National and international</w:t>
      </w:r>
      <w:r w:rsidR="00A1716A" w:rsidRPr="007436A9">
        <w:rPr>
          <w:color w:val="002060"/>
          <w:szCs w:val="24"/>
          <w:shd w:val="clear" w:color="auto" w:fill="FFFFFF"/>
          <w:lang w:val="en-US"/>
        </w:rPr>
        <w:t xml:space="preserve"> evidence demonstrates that best practice consent education</w:t>
      </w:r>
      <w:r w:rsidR="00A1716A" w:rsidRPr="007436A9">
        <w:rPr>
          <w:rFonts w:ascii="Times New Roman" w:hAnsi="Times New Roman"/>
          <w:color w:val="002060"/>
          <w:szCs w:val="24"/>
          <w:shd w:val="clear" w:color="auto" w:fill="FFFFFF"/>
          <w:lang w:val="en-US"/>
        </w:rPr>
        <w:t> </w:t>
      </w:r>
      <w:r w:rsidR="00A1716A" w:rsidRPr="007436A9">
        <w:rPr>
          <w:color w:val="002060"/>
          <w:szCs w:val="24"/>
          <w:shd w:val="clear" w:color="auto" w:fill="FFFFFF"/>
          <w:lang w:val="en-US"/>
        </w:rPr>
        <w:t>must</w:t>
      </w:r>
      <w:r w:rsidR="00A1716A" w:rsidRPr="007436A9">
        <w:rPr>
          <w:rFonts w:ascii="Times New Roman" w:hAnsi="Times New Roman"/>
          <w:color w:val="002060"/>
          <w:szCs w:val="24"/>
          <w:shd w:val="clear" w:color="auto" w:fill="FFFFFF"/>
          <w:lang w:val="en-US"/>
        </w:rPr>
        <w:t> </w:t>
      </w:r>
      <w:r w:rsidR="00A1716A" w:rsidRPr="007436A9">
        <w:rPr>
          <w:color w:val="002060"/>
          <w:szCs w:val="24"/>
          <w:shd w:val="clear" w:color="auto" w:fill="FFFFFF"/>
          <w:lang w:val="en-US"/>
        </w:rPr>
        <w:t>occur</w:t>
      </w:r>
      <w:r w:rsidR="00A1716A" w:rsidRPr="007436A9">
        <w:rPr>
          <w:rFonts w:ascii="Times New Roman" w:hAnsi="Times New Roman"/>
          <w:color w:val="002060"/>
          <w:szCs w:val="24"/>
          <w:shd w:val="clear" w:color="auto" w:fill="FFFFFF"/>
          <w:lang w:val="en-US"/>
        </w:rPr>
        <w:t> </w:t>
      </w:r>
      <w:r w:rsidR="00A1716A" w:rsidRPr="007436A9">
        <w:rPr>
          <w:color w:val="002060"/>
          <w:szCs w:val="24"/>
          <w:shd w:val="clear" w:color="auto" w:fill="FFFFFF"/>
          <w:lang w:val="en-US"/>
        </w:rPr>
        <w:t>as part of a whole</w:t>
      </w:r>
      <w:r w:rsidR="00C4443D" w:rsidRPr="007436A9">
        <w:rPr>
          <w:color w:val="002060"/>
          <w:szCs w:val="24"/>
          <w:shd w:val="clear" w:color="auto" w:fill="FFFFFF"/>
          <w:lang w:val="en-US"/>
        </w:rPr>
        <w:t>-</w:t>
      </w:r>
      <w:r w:rsidR="00A1716A" w:rsidRPr="007436A9">
        <w:rPr>
          <w:color w:val="002060"/>
          <w:szCs w:val="24"/>
          <w:shd w:val="clear" w:color="auto" w:fill="FFFFFF"/>
          <w:lang w:val="en-US"/>
        </w:rPr>
        <w:t>of</w:t>
      </w:r>
      <w:r w:rsidR="00C4443D" w:rsidRPr="007436A9">
        <w:rPr>
          <w:color w:val="002060"/>
          <w:szCs w:val="24"/>
          <w:shd w:val="clear" w:color="auto" w:fill="FFFFFF"/>
          <w:lang w:val="en-US"/>
        </w:rPr>
        <w:t>-</w:t>
      </w:r>
      <w:r w:rsidR="00A1716A" w:rsidRPr="007436A9">
        <w:rPr>
          <w:color w:val="002060"/>
          <w:szCs w:val="24"/>
          <w:shd w:val="clear" w:color="auto" w:fill="FFFFFF"/>
          <w:lang w:val="en-US"/>
        </w:rPr>
        <w:t>school approach, within a broader program of teaching and learning about</w:t>
      </w:r>
      <w:r w:rsidR="00A1716A" w:rsidRPr="007436A9">
        <w:rPr>
          <w:rFonts w:ascii="Times New Roman" w:hAnsi="Times New Roman"/>
          <w:color w:val="002060"/>
          <w:szCs w:val="24"/>
          <w:shd w:val="clear" w:color="auto" w:fill="FFFFFF"/>
          <w:lang w:val="en-US"/>
        </w:rPr>
        <w:t> </w:t>
      </w:r>
      <w:r w:rsidR="00A1716A" w:rsidRPr="007436A9">
        <w:rPr>
          <w:color w:val="002060"/>
          <w:szCs w:val="24"/>
          <w:shd w:val="clear" w:color="auto" w:fill="FFFFFF"/>
          <w:lang w:val="en-US"/>
        </w:rPr>
        <w:t>gender equality and respectful relationships</w:t>
      </w:r>
      <w:r w:rsidR="00236BD1" w:rsidRPr="007436A9">
        <w:rPr>
          <w:color w:val="002060"/>
          <w:szCs w:val="24"/>
          <w:shd w:val="clear" w:color="auto" w:fill="FFFFFF"/>
          <w:lang w:val="en-US"/>
        </w:rPr>
        <w:t>.</w:t>
      </w:r>
    </w:p>
    <w:p w14:paraId="438EA560" w14:textId="77777777" w:rsidR="00431807" w:rsidRPr="00431807" w:rsidRDefault="00431807" w:rsidP="005D36CE">
      <w:pPr>
        <w:spacing w:before="120" w:after="120"/>
        <w:rPr>
          <w:rFonts w:ascii="Times New Roman" w:eastAsia="Roboto" w:hAnsi="Times New Roman"/>
          <w:color w:val="002060"/>
        </w:rPr>
      </w:pPr>
      <w:r w:rsidRPr="007436A9">
        <w:rPr>
          <w:rFonts w:eastAsia="Roboto"/>
          <w:color w:val="002060"/>
          <w:lang w:val="en-US"/>
        </w:rPr>
        <w:t>Teaching and learning about RRE, including consent, should commence in early childhood and should be taught in an ongoing, developmentally staged way as children grow older, through a comprehensive approach to respectful relationships and sexuality education</w:t>
      </w:r>
      <w:r w:rsidR="00043AF4">
        <w:rPr>
          <w:rFonts w:eastAsia="Roboto"/>
          <w:color w:val="002060"/>
          <w:lang w:val="en-US"/>
        </w:rPr>
        <w:t>.</w:t>
      </w:r>
      <w:r w:rsidR="00043AF4" w:rsidRPr="007436A9">
        <w:rPr>
          <w:rFonts w:eastAsia="Roboto"/>
          <w:color w:val="002060"/>
          <w:vertAlign w:val="superscript"/>
        </w:rPr>
        <w:t>7</w:t>
      </w:r>
      <w:r w:rsidRPr="007436A9">
        <w:rPr>
          <w:rFonts w:eastAsia="Roboto"/>
          <w:color w:val="002060"/>
          <w:lang w:val="en-US"/>
        </w:rPr>
        <w:t xml:space="preserve"> This enables students to incrementally build their knowledge and understanding as they progress through year levels. For example, materials for younger children may involve topics including gender stereotypes and foundational concepts of consent such as needing to ask and give consent for physical touch (like hugging), while older students may have more detailed conversations about consent in sexual relationships and about sexual violence.</w:t>
      </w:r>
      <w:r w:rsidRPr="007436A9">
        <w:rPr>
          <w:rFonts w:ascii="Times New Roman" w:eastAsia="Roboto" w:hAnsi="Times New Roman"/>
          <w:color w:val="002060"/>
        </w:rPr>
        <w:t> </w:t>
      </w:r>
    </w:p>
    <w:p w14:paraId="526B31D6" w14:textId="77777777" w:rsidR="00A1716A" w:rsidRPr="007436A9" w:rsidRDefault="00A1716A" w:rsidP="005D36CE">
      <w:pPr>
        <w:spacing w:before="120" w:after="120"/>
        <w:rPr>
          <w:rFonts w:eastAsia="Roboto"/>
          <w:color w:val="002060"/>
        </w:rPr>
      </w:pPr>
      <w:r w:rsidRPr="007436A9">
        <w:rPr>
          <w:rFonts w:eastAsia="Roboto"/>
          <w:color w:val="002060"/>
        </w:rPr>
        <w:t xml:space="preserve">Consent education should be </w:t>
      </w:r>
      <w:r w:rsidR="00E26521" w:rsidRPr="007436A9">
        <w:rPr>
          <w:rFonts w:eastAsia="Roboto"/>
          <w:color w:val="002060"/>
        </w:rPr>
        <w:t xml:space="preserve">taught by teachers </w:t>
      </w:r>
      <w:r w:rsidRPr="007436A9">
        <w:rPr>
          <w:rFonts w:eastAsia="Roboto"/>
          <w:color w:val="002060"/>
        </w:rPr>
        <w:t>who have access to ongoing, comprehensive professional development to ensure they are confident, engaged and have the skills and knowledge to deliver respectful relationships content, including consent education</w:t>
      </w:r>
      <w:r w:rsidR="00EE2C8A" w:rsidRPr="007436A9">
        <w:rPr>
          <w:rFonts w:eastAsia="Roboto"/>
          <w:color w:val="002060"/>
        </w:rPr>
        <w:t xml:space="preserve">. </w:t>
      </w:r>
      <w:r w:rsidRPr="007436A9">
        <w:rPr>
          <w:rFonts w:eastAsia="Roboto"/>
          <w:color w:val="002060"/>
        </w:rPr>
        <w:t>School staff need system</w:t>
      </w:r>
      <w:r w:rsidR="00F05415" w:rsidRPr="007436A9">
        <w:rPr>
          <w:rFonts w:eastAsia="Roboto"/>
          <w:color w:val="002060"/>
        </w:rPr>
        <w:t>-</w:t>
      </w:r>
      <w:r w:rsidRPr="007436A9">
        <w:rPr>
          <w:rFonts w:eastAsia="Roboto"/>
          <w:color w:val="002060"/>
        </w:rPr>
        <w:t>wide implementation support and ongoing, evidence</w:t>
      </w:r>
      <w:r w:rsidR="00D62376" w:rsidRPr="007436A9">
        <w:rPr>
          <w:rFonts w:eastAsia="Roboto"/>
          <w:color w:val="002060"/>
        </w:rPr>
        <w:t>-</w:t>
      </w:r>
      <w:r w:rsidRPr="007436A9">
        <w:rPr>
          <w:rFonts w:eastAsia="Roboto"/>
          <w:color w:val="002060"/>
        </w:rPr>
        <w:t>based professional development to develop the skills and knowledge necessary to deliver consent education safely, confidently and effectively across all year levels.</w:t>
      </w:r>
    </w:p>
    <w:p w14:paraId="47EBB0D9" w14:textId="19E91419" w:rsidR="000C13F0" w:rsidRPr="007436A9" w:rsidRDefault="00A1716A" w:rsidP="005D36CE">
      <w:pPr>
        <w:spacing w:before="120" w:after="120"/>
        <w:rPr>
          <w:rFonts w:eastAsia="Roboto" w:cs="Roboto"/>
          <w:color w:val="002060"/>
        </w:rPr>
      </w:pPr>
      <w:r w:rsidRPr="007436A9">
        <w:rPr>
          <w:rFonts w:eastAsia="Roboto"/>
          <w:color w:val="002060"/>
        </w:rPr>
        <w:t xml:space="preserve">Our Watch emphasises the important principle that children and young people have meaningful participation in their own learning and encourages consideration of this in all areas of young people’s education, including relationship and sexuality curriculum. Ensuring young people have a voice in their education and learning affirms their agency, independence and leadership. In practice, it helps create more diverse, relevant, </w:t>
      </w:r>
      <w:proofErr w:type="gramStart"/>
      <w:r w:rsidRPr="007436A9">
        <w:rPr>
          <w:rFonts w:eastAsia="Roboto"/>
          <w:color w:val="002060"/>
        </w:rPr>
        <w:t>meaningful</w:t>
      </w:r>
      <w:proofErr w:type="gramEnd"/>
      <w:r w:rsidRPr="007436A9">
        <w:rPr>
          <w:rFonts w:eastAsia="Roboto"/>
          <w:color w:val="002060"/>
        </w:rPr>
        <w:t xml:space="preserve"> and positive learning experiences and empowers students to make decisions about their own lives. </w:t>
      </w:r>
    </w:p>
    <w:p w14:paraId="1141CFAE" w14:textId="762202E2" w:rsidR="12A527AC" w:rsidRPr="007C58C8" w:rsidRDefault="12A527AC" w:rsidP="005D36CE">
      <w:pPr>
        <w:spacing w:before="120" w:after="120"/>
        <w:rPr>
          <w:rFonts w:eastAsia="Roboto"/>
          <w:color w:val="002060"/>
          <w:szCs w:val="24"/>
        </w:rPr>
      </w:pPr>
    </w:p>
    <w:p w14:paraId="33A692EB" w14:textId="73767A24" w:rsidR="416E5DAB" w:rsidRPr="007436A9" w:rsidRDefault="416E5DAB" w:rsidP="005D36CE">
      <w:pPr>
        <w:pStyle w:val="Heading1"/>
        <w:spacing w:before="120" w:after="120"/>
        <w:rPr>
          <w:color w:val="002060"/>
        </w:rPr>
      </w:pPr>
      <w:bookmarkStart w:id="4" w:name="_Toc157848841"/>
      <w:r w:rsidRPr="007436A9">
        <w:rPr>
          <w:color w:val="002060"/>
        </w:rPr>
        <w:t>Discussion questions</w:t>
      </w:r>
      <w:bookmarkEnd w:id="4"/>
    </w:p>
    <w:p w14:paraId="111D7C4E" w14:textId="231E5082" w:rsidR="3C599EAE" w:rsidRPr="007436A9" w:rsidRDefault="00C2137C" w:rsidP="005D36CE">
      <w:pPr>
        <w:pStyle w:val="Heading2"/>
        <w:spacing w:before="120" w:after="120"/>
        <w:rPr>
          <w:color w:val="002060"/>
        </w:rPr>
      </w:pPr>
      <w:bookmarkStart w:id="5" w:name="_Toc157848842"/>
      <w:r w:rsidRPr="007436A9">
        <w:rPr>
          <w:color w:val="002060"/>
        </w:rPr>
        <w:t>Should the definition of consent in South Australia include a positive obligation to obtain consent, consistent with an affirmative model of consent</w:t>
      </w:r>
      <w:r w:rsidR="3C599EAE" w:rsidRPr="007436A9">
        <w:rPr>
          <w:color w:val="002060"/>
        </w:rPr>
        <w:t>?</w:t>
      </w:r>
      <w:bookmarkEnd w:id="5"/>
      <w:r w:rsidR="3C599EAE" w:rsidRPr="007436A9">
        <w:rPr>
          <w:color w:val="002060"/>
        </w:rPr>
        <w:t xml:space="preserve"> </w:t>
      </w:r>
    </w:p>
    <w:p w14:paraId="663C61E1" w14:textId="1E3D67C5" w:rsidR="00457711" w:rsidRPr="007436A9" w:rsidRDefault="006A1CBD" w:rsidP="005D36CE">
      <w:pPr>
        <w:spacing w:before="120" w:after="120"/>
        <w:rPr>
          <w:color w:val="002060"/>
        </w:rPr>
      </w:pPr>
      <w:r w:rsidRPr="007436A9">
        <w:rPr>
          <w:color w:val="002060"/>
        </w:rPr>
        <w:t>Our Watch supports the strengthening of consent laws in South Australia as a prevention mechanism, including through the implementation of an affirmative consent model</w:t>
      </w:r>
      <w:r w:rsidR="00A65BA7" w:rsidRPr="007436A9">
        <w:rPr>
          <w:color w:val="002060"/>
        </w:rPr>
        <w:t>, supported by an evidenced</w:t>
      </w:r>
      <w:r w:rsidR="00B25C3A" w:rsidRPr="007436A9">
        <w:rPr>
          <w:color w:val="002060"/>
        </w:rPr>
        <w:t>-</w:t>
      </w:r>
      <w:r w:rsidR="00A65BA7" w:rsidRPr="007436A9">
        <w:rPr>
          <w:color w:val="002060"/>
        </w:rPr>
        <w:t xml:space="preserve">based approach to </w:t>
      </w:r>
      <w:r w:rsidR="00E9624A" w:rsidRPr="007436A9">
        <w:rPr>
          <w:color w:val="002060"/>
        </w:rPr>
        <w:t>RRE</w:t>
      </w:r>
      <w:r w:rsidR="00A65BA7" w:rsidRPr="007436A9">
        <w:rPr>
          <w:color w:val="002060"/>
        </w:rPr>
        <w:t>.</w:t>
      </w:r>
      <w:r w:rsidR="00EE2CBF">
        <w:rPr>
          <w:color w:val="002060"/>
        </w:rPr>
        <w:t xml:space="preserve"> </w:t>
      </w:r>
      <w:r w:rsidR="00457711" w:rsidRPr="007436A9">
        <w:rPr>
          <w:color w:val="002060"/>
        </w:rPr>
        <w:t xml:space="preserve">Comprehensive primary prevention, including the prevention of sexual violence, aims to influence laws, policies, practices and behaviours of organisations, </w:t>
      </w:r>
      <w:proofErr w:type="gramStart"/>
      <w:r w:rsidR="00457711" w:rsidRPr="007436A9">
        <w:rPr>
          <w:color w:val="002060"/>
        </w:rPr>
        <w:t>groups</w:t>
      </w:r>
      <w:proofErr w:type="gramEnd"/>
      <w:r w:rsidR="00457711" w:rsidRPr="007436A9">
        <w:rPr>
          <w:color w:val="002060"/>
        </w:rPr>
        <w:t xml:space="preserve"> and individuals to promote gender equality and accountability for violence and discrimination. A focus of prevention includes ensuring sexual relationships are based on the principles of consent, agency, </w:t>
      </w:r>
      <w:proofErr w:type="gramStart"/>
      <w:r w:rsidR="00457711" w:rsidRPr="007436A9">
        <w:rPr>
          <w:color w:val="002060"/>
        </w:rPr>
        <w:t>communication</w:t>
      </w:r>
      <w:proofErr w:type="gramEnd"/>
      <w:r w:rsidR="00457711" w:rsidRPr="007436A9">
        <w:rPr>
          <w:color w:val="002060"/>
        </w:rPr>
        <w:t xml:space="preserve"> and mutual pleasure. </w:t>
      </w:r>
    </w:p>
    <w:p w14:paraId="32BD8514" w14:textId="78E9C035" w:rsidR="00DB1724" w:rsidRDefault="00835A17" w:rsidP="005D36CE">
      <w:pPr>
        <w:spacing w:before="120" w:after="120"/>
        <w:rPr>
          <w:b/>
          <w:color w:val="002060"/>
          <w:szCs w:val="24"/>
          <w:shd w:val="clear" w:color="auto" w:fill="FFFFFF"/>
          <w:lang w:val="en-US"/>
        </w:rPr>
      </w:pPr>
      <w:r w:rsidRPr="007436A9">
        <w:rPr>
          <w:color w:val="002060"/>
        </w:rPr>
        <w:t>A</w:t>
      </w:r>
      <w:r w:rsidR="001B55E4" w:rsidRPr="007436A9">
        <w:rPr>
          <w:color w:val="002060"/>
        </w:rPr>
        <w:t xml:space="preserve">ny change to </w:t>
      </w:r>
      <w:r w:rsidR="00433497" w:rsidRPr="007436A9">
        <w:rPr>
          <w:color w:val="002060"/>
        </w:rPr>
        <w:t xml:space="preserve">consent </w:t>
      </w:r>
      <w:r w:rsidR="00A31F46" w:rsidRPr="007436A9">
        <w:rPr>
          <w:color w:val="002060"/>
        </w:rPr>
        <w:t xml:space="preserve">legislation </w:t>
      </w:r>
      <w:r w:rsidR="00433497" w:rsidRPr="007436A9">
        <w:rPr>
          <w:color w:val="002060"/>
        </w:rPr>
        <w:t>must</w:t>
      </w:r>
      <w:r w:rsidR="004111FA" w:rsidRPr="007436A9">
        <w:rPr>
          <w:color w:val="002060"/>
        </w:rPr>
        <w:t xml:space="preserve"> </w:t>
      </w:r>
      <w:r w:rsidR="00433497" w:rsidRPr="007436A9">
        <w:rPr>
          <w:color w:val="002060"/>
        </w:rPr>
        <w:t xml:space="preserve">be supported by </w:t>
      </w:r>
      <w:r w:rsidR="006A0B40" w:rsidRPr="007436A9">
        <w:rPr>
          <w:color w:val="002060"/>
        </w:rPr>
        <w:t>an</w:t>
      </w:r>
      <w:r w:rsidR="002B4E31" w:rsidRPr="007436A9">
        <w:rPr>
          <w:color w:val="002060"/>
        </w:rPr>
        <w:t xml:space="preserve"> </w:t>
      </w:r>
      <w:r w:rsidR="000F31FD" w:rsidRPr="007436A9">
        <w:rPr>
          <w:color w:val="002060"/>
        </w:rPr>
        <w:t>evidence-based</w:t>
      </w:r>
      <w:r w:rsidR="00A56521" w:rsidRPr="007436A9">
        <w:rPr>
          <w:color w:val="002060"/>
        </w:rPr>
        <w:t xml:space="preserve"> approach to RRE</w:t>
      </w:r>
      <w:r w:rsidR="001829DA" w:rsidRPr="007436A9">
        <w:rPr>
          <w:color w:val="002060"/>
        </w:rPr>
        <w:t>, which includes consent education</w:t>
      </w:r>
      <w:r w:rsidR="004111FA" w:rsidRPr="007436A9">
        <w:rPr>
          <w:rFonts w:eastAsia="Roboto" w:cs="Roboto"/>
          <w:color w:val="002060"/>
        </w:rPr>
        <w:t xml:space="preserve">. </w:t>
      </w:r>
      <w:r w:rsidR="00DB1724" w:rsidRPr="00DB1724">
        <w:rPr>
          <w:color w:val="002060"/>
          <w:szCs w:val="24"/>
          <w:shd w:val="clear" w:color="auto" w:fill="FFFFFF"/>
          <w:lang w:val="en-US"/>
        </w:rPr>
        <w:t xml:space="preserve">More broadly, appropriate consent laws are important in providing protection for those who have experienced sexual violence and promote accountability for perpetrators. However, their impact on </w:t>
      </w:r>
      <w:r w:rsidR="00A31F46">
        <w:rPr>
          <w:color w:val="002060"/>
          <w:szCs w:val="24"/>
          <w:shd w:val="clear" w:color="auto" w:fill="FFFFFF"/>
          <w:lang w:val="en-US"/>
        </w:rPr>
        <w:t xml:space="preserve">improving </w:t>
      </w:r>
      <w:r w:rsidR="00DB1724" w:rsidRPr="00DB1724">
        <w:rPr>
          <w:color w:val="002060"/>
          <w:szCs w:val="24"/>
          <w:shd w:val="clear" w:color="auto" w:fill="FFFFFF"/>
          <w:lang w:val="en-US"/>
        </w:rPr>
        <w:t xml:space="preserve">understanding </w:t>
      </w:r>
      <w:r w:rsidR="00A31F46">
        <w:rPr>
          <w:color w:val="002060"/>
          <w:szCs w:val="24"/>
          <w:shd w:val="clear" w:color="auto" w:fill="FFFFFF"/>
          <w:lang w:val="en-US"/>
        </w:rPr>
        <w:t xml:space="preserve">of </w:t>
      </w:r>
      <w:r w:rsidR="00DB1724" w:rsidRPr="00DB1724">
        <w:rPr>
          <w:color w:val="002060"/>
          <w:szCs w:val="24"/>
          <w:shd w:val="clear" w:color="auto" w:fill="FFFFFF"/>
          <w:lang w:val="en-US"/>
        </w:rPr>
        <w:t xml:space="preserve">the fundamental principles of consent within the education system </w:t>
      </w:r>
      <w:r w:rsidR="003F5AB1">
        <w:rPr>
          <w:color w:val="002060"/>
          <w:szCs w:val="24"/>
          <w:shd w:val="clear" w:color="auto" w:fill="FFFFFF"/>
          <w:lang w:val="en-US"/>
        </w:rPr>
        <w:t>can best be enabled by a</w:t>
      </w:r>
      <w:r w:rsidR="00DB1724" w:rsidRPr="00DB1724">
        <w:rPr>
          <w:color w:val="002060"/>
          <w:szCs w:val="24"/>
          <w:shd w:val="clear" w:color="auto" w:fill="FFFFFF"/>
          <w:lang w:val="en-US"/>
        </w:rPr>
        <w:t xml:space="preserve"> comprehensive, whole</w:t>
      </w:r>
      <w:r w:rsidR="00F95C55">
        <w:rPr>
          <w:color w:val="002060"/>
          <w:szCs w:val="24"/>
          <w:shd w:val="clear" w:color="auto" w:fill="FFFFFF"/>
          <w:lang w:val="en-US"/>
        </w:rPr>
        <w:t>-</w:t>
      </w:r>
      <w:r w:rsidR="00DB1724" w:rsidRPr="00DB1724">
        <w:rPr>
          <w:color w:val="002060"/>
          <w:szCs w:val="24"/>
          <w:shd w:val="clear" w:color="auto" w:fill="FFFFFF"/>
          <w:lang w:val="en-US"/>
        </w:rPr>
        <w:t>of</w:t>
      </w:r>
      <w:r w:rsidR="00F95C55">
        <w:rPr>
          <w:color w:val="002060"/>
          <w:szCs w:val="24"/>
          <w:shd w:val="clear" w:color="auto" w:fill="FFFFFF"/>
          <w:lang w:val="en-US"/>
        </w:rPr>
        <w:t>-</w:t>
      </w:r>
      <w:r w:rsidR="00DB1724" w:rsidRPr="00DB1724">
        <w:rPr>
          <w:color w:val="002060"/>
          <w:szCs w:val="24"/>
          <w:shd w:val="clear" w:color="auto" w:fill="FFFFFF"/>
          <w:lang w:val="en-US"/>
        </w:rPr>
        <w:t xml:space="preserve">school approach to </w:t>
      </w:r>
      <w:r w:rsidR="008D3F44">
        <w:rPr>
          <w:color w:val="002060"/>
          <w:szCs w:val="24"/>
          <w:shd w:val="clear" w:color="auto" w:fill="FFFFFF"/>
          <w:lang w:val="en-US"/>
        </w:rPr>
        <w:t>RRE</w:t>
      </w:r>
      <w:r w:rsidR="00DB1724" w:rsidRPr="00DB1724">
        <w:rPr>
          <w:b/>
          <w:bCs/>
          <w:color w:val="002060"/>
          <w:szCs w:val="24"/>
          <w:shd w:val="clear" w:color="auto" w:fill="FFFFFF"/>
          <w:lang w:val="en-US"/>
        </w:rPr>
        <w:t xml:space="preserve">. </w:t>
      </w:r>
    </w:p>
    <w:p w14:paraId="64C2C136" w14:textId="5DCFED69" w:rsidR="00241766" w:rsidRPr="00241766" w:rsidRDefault="00241766" w:rsidP="005D36CE">
      <w:pPr>
        <w:spacing w:before="120" w:after="120"/>
        <w:rPr>
          <w:color w:val="002060"/>
        </w:rPr>
      </w:pPr>
      <w:r>
        <w:rPr>
          <w:rFonts w:eastAsia="Roboto" w:cs="Roboto"/>
          <w:color w:val="002060"/>
        </w:rPr>
        <w:t xml:space="preserve">Our Watch advise </w:t>
      </w:r>
      <w:r w:rsidRPr="007436A9">
        <w:rPr>
          <w:color w:val="002060"/>
        </w:rPr>
        <w:t>that the South Australian Government utilise evidence-based approaches to RRE</w:t>
      </w:r>
      <w:r w:rsidRPr="007436A9">
        <w:rPr>
          <w:rFonts w:eastAsia="Roboto" w:cs="Roboto"/>
          <w:color w:val="002060"/>
        </w:rPr>
        <w:t xml:space="preserve"> as a tool to ensure concepts including gender equality, gender-based violence, the impact of stereotypes and consent</w:t>
      </w:r>
      <w:r w:rsidRPr="007436A9">
        <w:rPr>
          <w:color w:val="002060"/>
        </w:rPr>
        <w:t xml:space="preserve"> are understood and supported at the whole of society level, particularly by young people who are disproportionately affected by sexual violence. </w:t>
      </w:r>
    </w:p>
    <w:p w14:paraId="0AA9AA9C" w14:textId="6BD75B32" w:rsidR="007E68DE" w:rsidRPr="007436A9" w:rsidRDefault="47672E59" w:rsidP="005D36CE">
      <w:pPr>
        <w:spacing w:before="120" w:after="120"/>
        <w:rPr>
          <w:rFonts w:eastAsia="Roboto"/>
          <w:color w:val="002060"/>
        </w:rPr>
      </w:pPr>
      <w:r w:rsidRPr="007436A9">
        <w:rPr>
          <w:color w:val="002060"/>
        </w:rPr>
        <w:t>F</w:t>
      </w:r>
      <w:r w:rsidR="007E68DE" w:rsidRPr="007436A9">
        <w:rPr>
          <w:color w:val="002060"/>
        </w:rPr>
        <w:t xml:space="preserve">ailure to implement an affirmative model of consent supplemented by </w:t>
      </w:r>
      <w:r w:rsidR="00A56521" w:rsidRPr="007436A9">
        <w:rPr>
          <w:color w:val="002060"/>
        </w:rPr>
        <w:t>RRE</w:t>
      </w:r>
      <w:r w:rsidR="006A0B40" w:rsidRPr="007436A9">
        <w:rPr>
          <w:color w:val="002060"/>
        </w:rPr>
        <w:t xml:space="preserve"> </w:t>
      </w:r>
      <w:r w:rsidR="00AF12B2" w:rsidRPr="007436A9">
        <w:rPr>
          <w:color w:val="002060"/>
        </w:rPr>
        <w:t>(</w:t>
      </w:r>
      <w:r w:rsidR="00D730FD" w:rsidRPr="007436A9">
        <w:rPr>
          <w:color w:val="002060"/>
        </w:rPr>
        <w:t>that is</w:t>
      </w:r>
      <w:r w:rsidR="00472CBC" w:rsidRPr="007436A9">
        <w:rPr>
          <w:color w:val="002060"/>
        </w:rPr>
        <w:t>,</w:t>
      </w:r>
      <w:r w:rsidR="00D730FD" w:rsidRPr="007436A9">
        <w:rPr>
          <w:color w:val="002060"/>
        </w:rPr>
        <w:t xml:space="preserve"> to </w:t>
      </w:r>
      <w:r w:rsidR="2708599D" w:rsidRPr="007436A9">
        <w:rPr>
          <w:color w:val="002060"/>
        </w:rPr>
        <w:t xml:space="preserve">enact </w:t>
      </w:r>
      <w:r w:rsidR="64A78AB0" w:rsidRPr="007436A9">
        <w:rPr>
          <w:color w:val="002060"/>
        </w:rPr>
        <w:t>legislative</w:t>
      </w:r>
      <w:r w:rsidR="00D730FD" w:rsidRPr="007436A9">
        <w:rPr>
          <w:color w:val="002060"/>
        </w:rPr>
        <w:t xml:space="preserve"> change in isolation</w:t>
      </w:r>
      <w:r w:rsidR="00AF12B2" w:rsidRPr="007436A9">
        <w:rPr>
          <w:color w:val="002060"/>
        </w:rPr>
        <w:t>)</w:t>
      </w:r>
      <w:r w:rsidR="001829DA" w:rsidRPr="007436A9">
        <w:rPr>
          <w:color w:val="002060"/>
        </w:rPr>
        <w:t>,</w:t>
      </w:r>
      <w:r w:rsidR="007E68DE" w:rsidRPr="007436A9">
        <w:rPr>
          <w:color w:val="002060"/>
        </w:rPr>
        <w:t xml:space="preserve"> </w:t>
      </w:r>
      <w:r w:rsidR="00096AE6" w:rsidRPr="007436A9">
        <w:rPr>
          <w:color w:val="002060"/>
        </w:rPr>
        <w:t>will</w:t>
      </w:r>
      <w:r w:rsidR="00F173ED" w:rsidRPr="007436A9">
        <w:rPr>
          <w:color w:val="002060"/>
        </w:rPr>
        <w:t xml:space="preserve"> </w:t>
      </w:r>
      <w:r w:rsidR="00096AE6" w:rsidRPr="007436A9">
        <w:rPr>
          <w:color w:val="002060"/>
        </w:rPr>
        <w:t xml:space="preserve">likely </w:t>
      </w:r>
      <w:r w:rsidR="616FE9EE" w:rsidRPr="007436A9">
        <w:rPr>
          <w:color w:val="002060"/>
        </w:rPr>
        <w:t>limit</w:t>
      </w:r>
      <w:r w:rsidR="00AB44A1" w:rsidRPr="007436A9">
        <w:rPr>
          <w:color w:val="002060"/>
        </w:rPr>
        <w:t xml:space="preserve"> </w:t>
      </w:r>
      <w:r w:rsidR="00472CBC" w:rsidRPr="007436A9">
        <w:rPr>
          <w:color w:val="002060"/>
        </w:rPr>
        <w:t xml:space="preserve">the </w:t>
      </w:r>
      <w:r w:rsidR="00AB44A1" w:rsidRPr="007436A9">
        <w:rPr>
          <w:color w:val="002060"/>
        </w:rPr>
        <w:t>effectiveness</w:t>
      </w:r>
      <w:r w:rsidR="00D311F9" w:rsidRPr="007436A9">
        <w:rPr>
          <w:color w:val="002060"/>
        </w:rPr>
        <w:t xml:space="preserve"> </w:t>
      </w:r>
      <w:r w:rsidR="00AB44A1" w:rsidRPr="007436A9">
        <w:rPr>
          <w:color w:val="002060"/>
        </w:rPr>
        <w:t xml:space="preserve">of </w:t>
      </w:r>
      <w:r w:rsidR="00096AE6" w:rsidRPr="007436A9">
        <w:rPr>
          <w:color w:val="002060"/>
        </w:rPr>
        <w:t xml:space="preserve">this </w:t>
      </w:r>
      <w:r w:rsidR="639A9F60" w:rsidRPr="007436A9">
        <w:rPr>
          <w:color w:val="002060"/>
        </w:rPr>
        <w:t>legal reform</w:t>
      </w:r>
      <w:r w:rsidR="00AB44A1" w:rsidRPr="007436A9">
        <w:rPr>
          <w:color w:val="002060"/>
        </w:rPr>
        <w:t xml:space="preserve"> in </w:t>
      </w:r>
      <w:r w:rsidR="0B995A16" w:rsidRPr="007436A9">
        <w:rPr>
          <w:color w:val="002060"/>
        </w:rPr>
        <w:t>achieving</w:t>
      </w:r>
      <w:r w:rsidR="39F1D8BA" w:rsidRPr="007436A9">
        <w:rPr>
          <w:color w:val="002060"/>
        </w:rPr>
        <w:t xml:space="preserve"> the broader societal change required to</w:t>
      </w:r>
      <w:r w:rsidR="00AB44A1" w:rsidRPr="007436A9">
        <w:rPr>
          <w:color w:val="002060"/>
        </w:rPr>
        <w:t xml:space="preserve"> </w:t>
      </w:r>
      <w:r w:rsidR="0B18B095" w:rsidRPr="007436A9">
        <w:rPr>
          <w:color w:val="002060"/>
        </w:rPr>
        <w:t xml:space="preserve">reduce and </w:t>
      </w:r>
      <w:r w:rsidR="00AB44A1" w:rsidRPr="007436A9">
        <w:rPr>
          <w:color w:val="002060"/>
        </w:rPr>
        <w:t>prevent</w:t>
      </w:r>
      <w:r w:rsidR="00886E48" w:rsidRPr="007436A9">
        <w:rPr>
          <w:color w:val="002060"/>
        </w:rPr>
        <w:t xml:space="preserve"> </w:t>
      </w:r>
      <w:r w:rsidR="00AB44A1" w:rsidRPr="007436A9">
        <w:rPr>
          <w:color w:val="002060"/>
        </w:rPr>
        <w:t>sexual violence</w:t>
      </w:r>
      <w:r w:rsidR="00472CBC" w:rsidRPr="007436A9">
        <w:rPr>
          <w:color w:val="002060"/>
        </w:rPr>
        <w:t xml:space="preserve"> in the long term</w:t>
      </w:r>
      <w:r w:rsidR="00392AE9" w:rsidRPr="007436A9">
        <w:rPr>
          <w:color w:val="002060"/>
        </w:rPr>
        <w:t xml:space="preserve">. As the </w:t>
      </w:r>
      <w:r w:rsidR="007D4C34" w:rsidRPr="007436A9">
        <w:rPr>
          <w:i/>
          <w:color w:val="002060"/>
        </w:rPr>
        <w:t>Commonwealth Consent Policy Framework</w:t>
      </w:r>
      <w:r w:rsidR="00281E0E" w:rsidRPr="007436A9">
        <w:rPr>
          <w:color w:val="002060"/>
        </w:rPr>
        <w:t xml:space="preserve"> (2023)</w:t>
      </w:r>
      <w:r w:rsidR="00392AE9" w:rsidRPr="007436A9">
        <w:rPr>
          <w:color w:val="002060"/>
        </w:rPr>
        <w:t xml:space="preserve"> states</w:t>
      </w:r>
    </w:p>
    <w:p w14:paraId="1BAB1974" w14:textId="738538BB" w:rsidR="0052536B" w:rsidRPr="007436A9" w:rsidRDefault="0052536B" w:rsidP="005D36CE">
      <w:pPr>
        <w:spacing w:before="120" w:after="120"/>
        <w:ind w:left="720"/>
        <w:rPr>
          <w:color w:val="002060"/>
          <w:sz w:val="22"/>
          <w:szCs w:val="22"/>
        </w:rPr>
      </w:pPr>
      <w:r w:rsidRPr="007436A9">
        <w:rPr>
          <w:color w:val="002060"/>
          <w:sz w:val="22"/>
          <w:szCs w:val="22"/>
        </w:rPr>
        <w:t>While conversations about consent and healthy sexual relationships should include an understanding of sexual assault and consent laws, the aim</w:t>
      </w:r>
      <w:r w:rsidR="008E207A" w:rsidRPr="007436A9">
        <w:rPr>
          <w:color w:val="002060"/>
          <w:sz w:val="22"/>
          <w:szCs w:val="22"/>
        </w:rPr>
        <w:t xml:space="preserve"> </w:t>
      </w:r>
      <w:r w:rsidRPr="007436A9">
        <w:rPr>
          <w:color w:val="002060"/>
          <w:sz w:val="22"/>
          <w:szCs w:val="22"/>
        </w:rPr>
        <w:t>…</w:t>
      </w:r>
      <w:r w:rsidR="008E207A" w:rsidRPr="007436A9">
        <w:rPr>
          <w:color w:val="002060"/>
          <w:sz w:val="22"/>
          <w:szCs w:val="22"/>
        </w:rPr>
        <w:t xml:space="preserve"> </w:t>
      </w:r>
      <w:r w:rsidRPr="007436A9">
        <w:rPr>
          <w:color w:val="002060"/>
          <w:sz w:val="22"/>
          <w:szCs w:val="22"/>
        </w:rPr>
        <w:t>is to support a cultural shift in community attitudes, to promote respectful sexual behaviour and relationships and prevent violence.</w:t>
      </w:r>
      <w:r w:rsidR="00932FBD" w:rsidRPr="007436A9">
        <w:rPr>
          <w:rStyle w:val="FootnoteReference"/>
          <w:color w:val="002060"/>
          <w:sz w:val="22"/>
          <w:szCs w:val="22"/>
        </w:rPr>
        <w:footnoteReference w:id="2"/>
      </w:r>
    </w:p>
    <w:p w14:paraId="3FE3D9A5" w14:textId="483CD3DF" w:rsidR="00432875" w:rsidRPr="007436A9" w:rsidRDefault="00432875" w:rsidP="005D36CE">
      <w:pPr>
        <w:spacing w:before="120" w:after="120"/>
        <w:rPr>
          <w:color w:val="002060"/>
        </w:rPr>
      </w:pPr>
      <w:r w:rsidRPr="007436A9">
        <w:rPr>
          <w:color w:val="002060"/>
        </w:rPr>
        <w:t xml:space="preserve">Moreover, </w:t>
      </w:r>
      <w:r w:rsidR="00E030C6">
        <w:rPr>
          <w:color w:val="002060"/>
        </w:rPr>
        <w:t xml:space="preserve">it is important to note that </w:t>
      </w:r>
      <w:r w:rsidRPr="007436A9">
        <w:rPr>
          <w:color w:val="002060"/>
        </w:rPr>
        <w:t>navigating consent is not limited to sexual relationships</w:t>
      </w:r>
      <w:r w:rsidR="003C6468">
        <w:rPr>
          <w:color w:val="002060"/>
        </w:rPr>
        <w:t>, rather</w:t>
      </w:r>
      <w:r w:rsidR="003C6468" w:rsidRPr="007436A9">
        <w:rPr>
          <w:color w:val="002060"/>
        </w:rPr>
        <w:t xml:space="preserve"> is a process that applies to many areas of people’s lives and interactions with one another</w:t>
      </w:r>
      <w:r w:rsidRPr="007436A9">
        <w:rPr>
          <w:color w:val="002060"/>
        </w:rPr>
        <w:t xml:space="preserve">. </w:t>
      </w:r>
      <w:r w:rsidRPr="00F37721">
        <w:rPr>
          <w:color w:val="002060"/>
          <w:shd w:val="clear" w:color="auto" w:fill="FFFFFF"/>
        </w:rPr>
        <w:t xml:space="preserve">Consent negotiations should assist in building foundational relationship </w:t>
      </w:r>
      <w:r>
        <w:rPr>
          <w:color w:val="002060"/>
          <w:shd w:val="clear" w:color="auto" w:fill="FFFFFF"/>
        </w:rPr>
        <w:t xml:space="preserve">and communication </w:t>
      </w:r>
      <w:r w:rsidRPr="00F37721">
        <w:rPr>
          <w:color w:val="002060"/>
          <w:shd w:val="clear" w:color="auto" w:fill="FFFFFF"/>
        </w:rPr>
        <w:t>skills.</w:t>
      </w:r>
      <w:r w:rsidRPr="00F37721">
        <w:rPr>
          <w:color w:val="002060"/>
        </w:rPr>
        <w:t xml:space="preserve"> </w:t>
      </w:r>
      <w:r w:rsidRPr="007436A9">
        <w:rPr>
          <w:color w:val="002060"/>
        </w:rPr>
        <w:t>As such, education on respectful relationships, including consent must be an ongoing process that build</w:t>
      </w:r>
      <w:r w:rsidR="000B5CB1" w:rsidRPr="007436A9">
        <w:rPr>
          <w:color w:val="002060"/>
        </w:rPr>
        <w:t>s</w:t>
      </w:r>
      <w:r w:rsidRPr="007436A9">
        <w:rPr>
          <w:color w:val="002060"/>
        </w:rPr>
        <w:t xml:space="preserve"> on young people’s skills and knowledge in relevant and </w:t>
      </w:r>
      <w:r w:rsidR="00831D23" w:rsidRPr="007436A9">
        <w:rPr>
          <w:color w:val="002060"/>
        </w:rPr>
        <w:t>age-appropriate</w:t>
      </w:r>
      <w:r w:rsidRPr="007436A9">
        <w:rPr>
          <w:color w:val="002060"/>
        </w:rPr>
        <w:t xml:space="preserve"> ways.</w:t>
      </w:r>
    </w:p>
    <w:p w14:paraId="22383579" w14:textId="77777777" w:rsidR="008D125D" w:rsidRPr="007436A9" w:rsidRDefault="008D125D" w:rsidP="005D36CE">
      <w:pPr>
        <w:pStyle w:val="Heading3"/>
        <w:spacing w:before="120" w:after="120"/>
        <w:rPr>
          <w:color w:val="002060"/>
        </w:rPr>
      </w:pPr>
      <w:bookmarkStart w:id="6" w:name="_Toc157848843"/>
      <w:r w:rsidRPr="007436A9">
        <w:rPr>
          <w:color w:val="002060"/>
        </w:rPr>
        <w:t>The impact of consent laws on consent education</w:t>
      </w:r>
      <w:bookmarkEnd w:id="6"/>
    </w:p>
    <w:p w14:paraId="61682844" w14:textId="0721E621" w:rsidR="008D125D" w:rsidRPr="007436A9" w:rsidRDefault="008D125D" w:rsidP="005D36CE">
      <w:pPr>
        <w:spacing w:before="120" w:after="120"/>
        <w:rPr>
          <w:color w:val="002060"/>
        </w:rPr>
      </w:pPr>
      <w:r w:rsidRPr="007436A9">
        <w:rPr>
          <w:color w:val="002060"/>
        </w:rPr>
        <w:t>The evidence suggests that the primary focus of sexual consent education should be on understanding the fundamental principles of bodily autonomy, mutual respect, and enthusiasm and willingness, rather than taking a solely legal approach</w:t>
      </w:r>
      <w:r w:rsidR="00D032F8" w:rsidRPr="007436A9">
        <w:rPr>
          <w:color w:val="002060"/>
        </w:rPr>
        <w:t>.</w:t>
      </w:r>
      <w:r w:rsidR="00711019" w:rsidRPr="007436A9">
        <w:rPr>
          <w:color w:val="002060"/>
        </w:rPr>
        <w:t xml:space="preserve"> </w:t>
      </w:r>
      <w:r w:rsidR="0011348C" w:rsidRPr="007436A9">
        <w:rPr>
          <w:color w:val="002060"/>
        </w:rPr>
        <w:t xml:space="preserve">Quoting again from the </w:t>
      </w:r>
      <w:r w:rsidR="00281E0E" w:rsidRPr="007436A9">
        <w:rPr>
          <w:i/>
          <w:color w:val="002060"/>
        </w:rPr>
        <w:t>Commonwealth Consent Policy Framework</w:t>
      </w:r>
      <w:r w:rsidR="00281E0E" w:rsidRPr="007436A9">
        <w:rPr>
          <w:color w:val="002060"/>
        </w:rPr>
        <w:t xml:space="preserve"> (2023)</w:t>
      </w:r>
      <w:r w:rsidRPr="007436A9">
        <w:rPr>
          <w:color w:val="002060"/>
        </w:rPr>
        <w:t xml:space="preserve">: </w:t>
      </w:r>
    </w:p>
    <w:p w14:paraId="73DD9337" w14:textId="77777777" w:rsidR="008D125D" w:rsidRPr="007436A9" w:rsidRDefault="008D125D" w:rsidP="005D36CE">
      <w:pPr>
        <w:spacing w:before="120" w:after="120"/>
        <w:ind w:left="720"/>
        <w:rPr>
          <w:color w:val="002060"/>
          <w:sz w:val="22"/>
          <w:szCs w:val="22"/>
        </w:rPr>
      </w:pPr>
      <w:r w:rsidRPr="007436A9">
        <w:rPr>
          <w:color w:val="002060"/>
          <w:sz w:val="22"/>
          <w:szCs w:val="22"/>
        </w:rPr>
        <w:t>A balanced approach [to consent education] acknowledges concerning and harmful sexual behaviours, associated laws criminalising sexual assault and how these frame societal expectations around sexual behaviour. It is valuable to understand, consult and provide information on the laws that apply... However, this should be balanced with articulating what healthy sexual activity and relationships founded on consent look like, and the benefits of acquiring related consent skills.</w:t>
      </w:r>
      <w:r w:rsidRPr="007436A9">
        <w:rPr>
          <w:rStyle w:val="FootnoteReference"/>
          <w:color w:val="002060"/>
          <w:sz w:val="22"/>
          <w:szCs w:val="22"/>
        </w:rPr>
        <w:footnoteReference w:id="3"/>
      </w:r>
    </w:p>
    <w:p w14:paraId="16658F02" w14:textId="3351B95E" w:rsidR="008D125D" w:rsidRPr="007436A9" w:rsidRDefault="008D125D" w:rsidP="005D36CE">
      <w:pPr>
        <w:spacing w:before="120" w:after="120"/>
        <w:rPr>
          <w:color w:val="002060"/>
        </w:rPr>
      </w:pPr>
      <w:r w:rsidRPr="007436A9">
        <w:rPr>
          <w:color w:val="002060"/>
        </w:rPr>
        <w:t xml:space="preserve">Current approaches to consent education in Australia often focus on legality – at what age and under what circumstances sexual activity is legal or illegal. Whilst educating students on the law has its place, knowing the legal definition of a term is not enough, on its own, to change individual behaviour. The prevalence of underage drinking and smoking, despite laws that seek to prohibit these behaviours, demonstrates the gap between people’s </w:t>
      </w:r>
      <w:r w:rsidR="00540361" w:rsidRPr="007436A9">
        <w:rPr>
          <w:color w:val="002060"/>
        </w:rPr>
        <w:t xml:space="preserve">familiarity </w:t>
      </w:r>
      <w:r w:rsidRPr="007436A9">
        <w:rPr>
          <w:color w:val="002060"/>
        </w:rPr>
        <w:t xml:space="preserve">of </w:t>
      </w:r>
      <w:r w:rsidR="00CC5C18" w:rsidRPr="007436A9">
        <w:rPr>
          <w:color w:val="002060"/>
        </w:rPr>
        <w:t>legislation</w:t>
      </w:r>
      <w:r w:rsidRPr="007436A9">
        <w:rPr>
          <w:color w:val="002060"/>
        </w:rPr>
        <w:t xml:space="preserve"> and how they behave. For this reason, consent education should not rely or focus solely on teaching legal definitions of consent but rather on communication, pleasure, diversity of experiences and healthy, respectful relationships between young people.</w:t>
      </w:r>
      <w:r w:rsidRPr="007436A9">
        <w:rPr>
          <w:rStyle w:val="FootnoteReference"/>
          <w:color w:val="002060"/>
        </w:rPr>
        <w:footnoteReference w:id="4"/>
      </w:r>
    </w:p>
    <w:p w14:paraId="512BF41A" w14:textId="77777777" w:rsidR="008D125D" w:rsidRPr="007436A9" w:rsidRDefault="008D125D" w:rsidP="005D36CE">
      <w:pPr>
        <w:spacing w:before="120" w:after="120"/>
        <w:rPr>
          <w:color w:val="002060"/>
        </w:rPr>
      </w:pPr>
      <w:r w:rsidRPr="007436A9">
        <w:rPr>
          <w:color w:val="002060"/>
        </w:rPr>
        <w:t>A recent report from the South Australian Commissioner for Children and Young People found that many young people are dissatisfied with their current sex education and want to be taught comprehensive sexuality education that includes “an understanding of the social and practical complexity of consent, rather than just a knowledge of legal definitions” as well as a greater focus on gender, power, respectful relationships and gender inequality.</w:t>
      </w:r>
      <w:r w:rsidRPr="007436A9">
        <w:rPr>
          <w:rStyle w:val="FootnoteReference"/>
          <w:color w:val="002060"/>
        </w:rPr>
        <w:footnoteReference w:id="5"/>
      </w:r>
      <w:r w:rsidRPr="007436A9">
        <w:rPr>
          <w:color w:val="002060"/>
        </w:rPr>
        <w:t xml:space="preserve"> The 2021 National Secondary School Student Survey on Sexual Health identified that students would like Respect and Sexuality Education (RSE) to be more affirming, more frequent, and delivered by teachers who are comfortable with the topic areas. They also reported wanting RSE to attend more directly to issues of sexual communication, </w:t>
      </w:r>
      <w:proofErr w:type="gramStart"/>
      <w:r w:rsidRPr="007436A9">
        <w:rPr>
          <w:color w:val="002060"/>
        </w:rPr>
        <w:t>pleasure</w:t>
      </w:r>
      <w:proofErr w:type="gramEnd"/>
      <w:r w:rsidRPr="007436A9">
        <w:rPr>
          <w:color w:val="002060"/>
        </w:rPr>
        <w:t xml:space="preserve"> and relationships.</w:t>
      </w:r>
      <w:r w:rsidRPr="007436A9">
        <w:rPr>
          <w:rStyle w:val="FootnoteReference"/>
          <w:color w:val="002060"/>
        </w:rPr>
        <w:footnoteReference w:id="6"/>
      </w:r>
      <w:r w:rsidRPr="007436A9">
        <w:rPr>
          <w:color w:val="002060"/>
        </w:rPr>
        <w:t xml:space="preserve"> </w:t>
      </w:r>
    </w:p>
    <w:p w14:paraId="31847732" w14:textId="04BA14A4" w:rsidR="008D125D" w:rsidRPr="007436A9" w:rsidRDefault="008D125D" w:rsidP="005D36CE">
      <w:pPr>
        <w:spacing w:before="120" w:after="120"/>
        <w:rPr>
          <w:color w:val="002060"/>
        </w:rPr>
      </w:pPr>
      <w:r w:rsidRPr="007436A9">
        <w:rPr>
          <w:color w:val="002060"/>
        </w:rPr>
        <w:t>These findings are consistent with other Australian research that has shown young people feel RSE is not adequately inclusive of gender and sexual diversity</w:t>
      </w:r>
      <w:r w:rsidR="00D23994" w:rsidRPr="007436A9">
        <w:rPr>
          <w:color w:val="002060"/>
        </w:rPr>
        <w:t>,</w:t>
      </w:r>
      <w:r w:rsidRPr="007436A9">
        <w:rPr>
          <w:rStyle w:val="FootnoteReference"/>
          <w:color w:val="002060"/>
        </w:rPr>
        <w:footnoteReference w:id="7"/>
      </w:r>
      <w:r w:rsidRPr="007436A9">
        <w:rPr>
          <w:color w:val="002060"/>
        </w:rPr>
        <w:t xml:space="preserve"> and does not focus enough on relationships, navigating sexual intimacy or the social and cultural dynamics of sex and relationships.</w:t>
      </w:r>
      <w:r w:rsidRPr="007436A9">
        <w:rPr>
          <w:rStyle w:val="FootnoteReference"/>
          <w:color w:val="002060"/>
        </w:rPr>
        <w:footnoteReference w:id="8"/>
      </w:r>
      <w:r w:rsidRPr="007436A9">
        <w:rPr>
          <w:color w:val="002060"/>
        </w:rPr>
        <w:t xml:space="preserve"> There is an opportunity to ensure that consent education reflects the reality of students’ lives, focuses on the importance of respectful, honest and open communication</w:t>
      </w:r>
      <w:r>
        <w:rPr>
          <w:color w:val="002060"/>
        </w:rPr>
        <w:t xml:space="preserve">, </w:t>
      </w:r>
      <w:r w:rsidRPr="007436A9">
        <w:rPr>
          <w:color w:val="002060"/>
        </w:rPr>
        <w:t xml:space="preserve">mutual enthusiasm and </w:t>
      </w:r>
      <w:r w:rsidR="00C928F0">
        <w:rPr>
          <w:color w:val="002060"/>
        </w:rPr>
        <w:t>enjoyment</w:t>
      </w:r>
      <w:r w:rsidRPr="007436A9">
        <w:rPr>
          <w:color w:val="002060"/>
        </w:rPr>
        <w:t xml:space="preserve">. Strengthening consent education in these ways supports young people in their development of healthy, </w:t>
      </w:r>
      <w:proofErr w:type="gramStart"/>
      <w:r w:rsidRPr="007436A9">
        <w:rPr>
          <w:color w:val="002060"/>
        </w:rPr>
        <w:t>respectful</w:t>
      </w:r>
      <w:proofErr w:type="gramEnd"/>
      <w:r w:rsidRPr="007436A9">
        <w:rPr>
          <w:color w:val="002060"/>
        </w:rPr>
        <w:t xml:space="preserve"> and consensual intimate relationships. </w:t>
      </w:r>
    </w:p>
    <w:p w14:paraId="0278B51B" w14:textId="3B12973F" w:rsidR="007C58C8" w:rsidRPr="007436A9" w:rsidRDefault="007C58C8" w:rsidP="005D36CE">
      <w:pPr>
        <w:pStyle w:val="Heading3"/>
        <w:spacing w:before="120" w:after="120"/>
        <w:rPr>
          <w:color w:val="002060"/>
        </w:rPr>
      </w:pPr>
      <w:bookmarkStart w:id="7" w:name="_Toc157848844"/>
      <w:r w:rsidRPr="007436A9">
        <w:rPr>
          <w:color w:val="002060"/>
        </w:rPr>
        <w:t>An evidence-based approach to respectful relationships education</w:t>
      </w:r>
      <w:bookmarkEnd w:id="7"/>
    </w:p>
    <w:p w14:paraId="2F466BB8" w14:textId="727385B9" w:rsidR="007C58C8" w:rsidRPr="007436A9" w:rsidRDefault="007C58C8" w:rsidP="005D36CE">
      <w:pPr>
        <w:pStyle w:val="paragraph"/>
        <w:spacing w:before="120" w:beforeAutospacing="0" w:after="120" w:afterAutospacing="0"/>
        <w:rPr>
          <w:rFonts w:eastAsia="Roboto"/>
          <w:color w:val="002060"/>
        </w:rPr>
      </w:pPr>
      <w:r w:rsidRPr="12A527AC">
        <w:rPr>
          <w:rFonts w:eastAsia="Roboto" w:cs="Roboto"/>
          <w:color w:val="002060"/>
        </w:rPr>
        <w:t>Respectful relationships education is the holistic approach to school-based, primary prevention of gender-based violence, which includes teaching and learning about healthy relationships, gender, power and control in relationships and consent.</w:t>
      </w:r>
      <w:r w:rsidR="00C928F0" w:rsidRPr="007436A9">
        <w:rPr>
          <w:rStyle w:val="FootnoteReference"/>
          <w:color w:val="002060"/>
        </w:rPr>
        <w:footnoteReference w:id="9"/>
      </w:r>
      <w:r w:rsidRPr="12A527AC">
        <w:rPr>
          <w:rFonts w:eastAsia="Roboto" w:cs="Roboto"/>
          <w:color w:val="002060"/>
        </w:rPr>
        <w:t xml:space="preserve"> </w:t>
      </w:r>
      <w:r w:rsidRPr="007436A9">
        <w:rPr>
          <w:rFonts w:eastAsia="Roboto"/>
          <w:color w:val="002060"/>
        </w:rPr>
        <w:t>RRE uses the education system as a catalyst for generational and cultural change by engaging schools, as both education institutions and workplaces, to comprehensively address the drivers of gender-based violence, including sexual violence, and create a future free from such violence. </w:t>
      </w:r>
    </w:p>
    <w:p w14:paraId="028FF047" w14:textId="2A4B9174" w:rsidR="007C58C8" w:rsidRPr="00431807" w:rsidRDefault="00315392" w:rsidP="005D36CE">
      <w:pPr>
        <w:spacing w:before="120" w:after="120"/>
        <w:rPr>
          <w:rFonts w:eastAsia="Roboto"/>
          <w:color w:val="002060"/>
          <w:szCs w:val="24"/>
        </w:rPr>
      </w:pPr>
      <w:r>
        <w:rPr>
          <w:color w:val="002060"/>
          <w:szCs w:val="24"/>
        </w:rPr>
        <w:t>RRE</w:t>
      </w:r>
      <w:r w:rsidR="007C58C8" w:rsidRPr="00871542">
        <w:rPr>
          <w:color w:val="002060"/>
          <w:szCs w:val="24"/>
        </w:rPr>
        <w:t xml:space="preserve"> is often considered as only what is delivered in the classroom. Whilst classroom instruction that enables students to identify, question and challenge the drivers of gender-based violence is a major facet of </w:t>
      </w:r>
      <w:r>
        <w:rPr>
          <w:color w:val="002060"/>
          <w:szCs w:val="24"/>
        </w:rPr>
        <w:t>RRE</w:t>
      </w:r>
      <w:r w:rsidR="007C58C8" w:rsidRPr="00871542">
        <w:rPr>
          <w:color w:val="002060"/>
          <w:szCs w:val="24"/>
        </w:rPr>
        <w:t xml:space="preserve">, evidence shows that to achieve maximum effectiveness, </w:t>
      </w:r>
      <w:r>
        <w:rPr>
          <w:color w:val="002060"/>
          <w:szCs w:val="24"/>
        </w:rPr>
        <w:t>RRE</w:t>
      </w:r>
      <w:r w:rsidR="007C58C8" w:rsidRPr="00871542">
        <w:rPr>
          <w:color w:val="002060"/>
          <w:szCs w:val="24"/>
        </w:rPr>
        <w:t xml:space="preserve"> should be realised through a whole-of-school approach. This means addressing the overlapping domains that shape the social climate surrounding students and staff, including curriculum, school policy and practices, school culture and ethos, the working conditions and culture experienced by staff, and the relationships modelled to students by their school community, including staff, parents, </w:t>
      </w:r>
      <w:proofErr w:type="gramStart"/>
      <w:r w:rsidR="007C58C8" w:rsidRPr="00871542">
        <w:rPr>
          <w:color w:val="002060"/>
          <w:szCs w:val="24"/>
        </w:rPr>
        <w:t>guardians</w:t>
      </w:r>
      <w:proofErr w:type="gramEnd"/>
      <w:r w:rsidR="007C58C8" w:rsidRPr="00871542">
        <w:rPr>
          <w:color w:val="002060"/>
          <w:szCs w:val="24"/>
        </w:rPr>
        <w:t xml:space="preserve"> and community groups.</w:t>
      </w:r>
    </w:p>
    <w:p w14:paraId="4D17A8E6" w14:textId="43CB9E64" w:rsidR="00B669E9" w:rsidRDefault="00B669E9" w:rsidP="005D36CE">
      <w:pPr>
        <w:spacing w:before="120" w:after="120"/>
        <w:rPr>
          <w:rFonts w:cs="Calibri"/>
          <w:color w:val="002060"/>
          <w:shd w:val="clear" w:color="auto" w:fill="FFFFFF"/>
        </w:rPr>
      </w:pPr>
      <w:r w:rsidRPr="00C62357">
        <w:rPr>
          <w:rFonts w:cs="Calibri"/>
          <w:color w:val="002060"/>
          <w:shd w:val="clear" w:color="auto" w:fill="FFFFFF"/>
        </w:rPr>
        <w:t>Schools are a key setting for the prevention of gender-based violence. R</w:t>
      </w:r>
      <w:r>
        <w:rPr>
          <w:rFonts w:cs="Calibri"/>
          <w:color w:val="002060"/>
          <w:shd w:val="clear" w:color="auto" w:fill="FFFFFF"/>
        </w:rPr>
        <w:t>RE</w:t>
      </w:r>
      <w:r w:rsidRPr="00C62357">
        <w:rPr>
          <w:rFonts w:cs="Calibri"/>
          <w:color w:val="002060"/>
          <w:shd w:val="clear" w:color="auto" w:fill="FFFFFF"/>
        </w:rPr>
        <w:t xml:space="preserve"> in school settings is one of the most promising strategies to prevent gender-based violence, including sexual violence. It provides an opportunity to reach young children early in their development and shape their attitudes, beliefs and behaviour around gender equality and respect. By continuing this education in later years, it provides crucial support and skills to adolescents who are experiencing their first intimate relationships.</w:t>
      </w:r>
      <w:r w:rsidRPr="00C62357">
        <w:rPr>
          <w:rFonts w:ascii="Times New Roman" w:hAnsi="Times New Roman"/>
          <w:color w:val="002060"/>
          <w:shd w:val="clear" w:color="auto" w:fill="FFFFFF"/>
        </w:rPr>
        <w:t> </w:t>
      </w:r>
      <w:r>
        <w:rPr>
          <w:rFonts w:cs="Calibri"/>
          <w:color w:val="002060"/>
          <w:shd w:val="clear" w:color="auto" w:fill="FFFFFF"/>
        </w:rPr>
        <w:t>RRE</w:t>
      </w:r>
      <w:r w:rsidRPr="00C62357">
        <w:rPr>
          <w:rFonts w:cs="Calibri"/>
          <w:color w:val="002060"/>
          <w:shd w:val="clear" w:color="auto" w:fill="FFFFFF"/>
        </w:rPr>
        <w:t xml:space="preserve"> also supports the creation of safe learning environments for all children and young people, through the transformation of school cultures to create environments that promote gender equality, respect, and non-violence.</w:t>
      </w:r>
      <w:r w:rsidRPr="00C62357">
        <w:rPr>
          <w:rFonts w:ascii="Times New Roman" w:hAnsi="Times New Roman"/>
          <w:color w:val="002060"/>
          <w:shd w:val="clear" w:color="auto" w:fill="FFFFFF"/>
        </w:rPr>
        <w:t>  </w:t>
      </w:r>
      <w:r w:rsidRPr="00C62357">
        <w:rPr>
          <w:rFonts w:cs="Calibri"/>
          <w:color w:val="002060"/>
          <w:shd w:val="clear" w:color="auto" w:fill="FFFFFF"/>
        </w:rPr>
        <w:t> </w:t>
      </w:r>
    </w:p>
    <w:p w14:paraId="05FCA18D" w14:textId="2B40FF34" w:rsidR="007C58C8" w:rsidRPr="007436A9" w:rsidRDefault="007C58C8" w:rsidP="005D36CE">
      <w:pPr>
        <w:spacing w:before="120" w:after="120"/>
        <w:rPr>
          <w:b/>
          <w:color w:val="002060"/>
        </w:rPr>
      </w:pPr>
      <w:r w:rsidRPr="00871542">
        <w:rPr>
          <w:rFonts w:eastAsia="Roboto"/>
          <w:color w:val="002060"/>
          <w:szCs w:val="24"/>
          <w:lang w:val="en-US"/>
        </w:rPr>
        <w:t>A whole</w:t>
      </w:r>
      <w:r w:rsidR="00A1250B">
        <w:rPr>
          <w:rFonts w:eastAsia="Roboto"/>
          <w:color w:val="002060"/>
          <w:szCs w:val="24"/>
          <w:lang w:val="en-US"/>
        </w:rPr>
        <w:t>-</w:t>
      </w:r>
      <w:r w:rsidRPr="00871542">
        <w:rPr>
          <w:rFonts w:eastAsia="Roboto"/>
          <w:color w:val="002060"/>
          <w:szCs w:val="24"/>
          <w:lang w:val="en-US"/>
        </w:rPr>
        <w:t>of</w:t>
      </w:r>
      <w:r w:rsidR="00A1250B">
        <w:rPr>
          <w:rFonts w:eastAsia="Roboto"/>
          <w:color w:val="002060"/>
          <w:szCs w:val="24"/>
          <w:lang w:val="en-US"/>
        </w:rPr>
        <w:t>-</w:t>
      </w:r>
      <w:r w:rsidRPr="00871542">
        <w:rPr>
          <w:rFonts w:eastAsia="Roboto"/>
          <w:color w:val="002060"/>
          <w:szCs w:val="24"/>
          <w:lang w:val="en-US"/>
        </w:rPr>
        <w:t>school approach ensures</w:t>
      </w:r>
      <w:r w:rsidRPr="00871542">
        <w:rPr>
          <w:rFonts w:eastAsia="Roboto"/>
          <w:color w:val="002060"/>
          <w:szCs w:val="24"/>
        </w:rPr>
        <w:t xml:space="preserve"> a culture among both staff and students where gender stereotypes are challenged, gender-based discrimination is unacceptable, and gender equality is actively promoted, </w:t>
      </w:r>
      <w:proofErr w:type="gramStart"/>
      <w:r w:rsidRPr="00871542">
        <w:rPr>
          <w:rFonts w:eastAsia="Roboto"/>
          <w:color w:val="002060"/>
          <w:szCs w:val="24"/>
        </w:rPr>
        <w:t>modelled</w:t>
      </w:r>
      <w:proofErr w:type="gramEnd"/>
      <w:r w:rsidRPr="00871542">
        <w:rPr>
          <w:rFonts w:eastAsia="Roboto"/>
          <w:color w:val="002060"/>
          <w:szCs w:val="24"/>
        </w:rPr>
        <w:t xml:space="preserve"> and embedded across the entire school, not only in the curriculum. </w:t>
      </w:r>
      <w:r w:rsidRPr="00871542">
        <w:rPr>
          <w:rFonts w:cs="Calibri"/>
          <w:color w:val="002060"/>
          <w:szCs w:val="24"/>
          <w:shd w:val="clear" w:color="auto" w:fill="FFFFFF"/>
        </w:rPr>
        <w:t>It is essential that any work undertaken in RRE, including consent education, is inclusive for young people of all genders and does not reinforce gender binaries or stereotypes. </w:t>
      </w:r>
    </w:p>
    <w:p w14:paraId="698FF584" w14:textId="76CA69B7" w:rsidR="00A1716A" w:rsidRPr="007436A9" w:rsidRDefault="007C58C8" w:rsidP="005D36CE">
      <w:pPr>
        <w:pStyle w:val="Heading3"/>
        <w:spacing w:before="120" w:after="120"/>
        <w:rPr>
          <w:color w:val="002060"/>
        </w:rPr>
      </w:pPr>
      <w:bookmarkStart w:id="8" w:name="_Toc157848845"/>
      <w:r w:rsidRPr="007436A9">
        <w:rPr>
          <w:color w:val="002060"/>
        </w:rPr>
        <w:t xml:space="preserve">Consent education </w:t>
      </w:r>
      <w:r w:rsidR="003F15C9" w:rsidRPr="007436A9">
        <w:rPr>
          <w:color w:val="002060"/>
        </w:rPr>
        <w:t>a</w:t>
      </w:r>
      <w:r w:rsidRPr="007436A9">
        <w:rPr>
          <w:color w:val="002060"/>
        </w:rPr>
        <w:t xml:space="preserve">s part of an </w:t>
      </w:r>
      <w:r w:rsidR="00114A06" w:rsidRPr="007436A9">
        <w:rPr>
          <w:color w:val="002060"/>
        </w:rPr>
        <w:t>evidence-based</w:t>
      </w:r>
      <w:r w:rsidRPr="007436A9">
        <w:rPr>
          <w:color w:val="002060"/>
        </w:rPr>
        <w:t xml:space="preserve"> approach to RRE</w:t>
      </w:r>
      <w:bookmarkEnd w:id="8"/>
    </w:p>
    <w:p w14:paraId="52CABE97" w14:textId="050BFFB9" w:rsidR="00A1716A" w:rsidRDefault="00043758" w:rsidP="005D36CE">
      <w:pPr>
        <w:spacing w:before="120" w:after="120"/>
        <w:rPr>
          <w:rFonts w:eastAsia="Roboto"/>
          <w:color w:val="002060"/>
          <w:szCs w:val="24"/>
          <w:shd w:val="clear" w:color="auto" w:fill="FFFFFF"/>
          <w:lang w:val="en-US"/>
        </w:rPr>
      </w:pPr>
      <w:r>
        <w:rPr>
          <w:color w:val="002060"/>
          <w:szCs w:val="24"/>
          <w:shd w:val="clear" w:color="auto" w:fill="FFFFFF"/>
          <w:lang w:val="en-US"/>
        </w:rPr>
        <w:t>National and international</w:t>
      </w:r>
      <w:r w:rsidR="00A1716A" w:rsidRPr="00BF144F">
        <w:rPr>
          <w:color w:val="002060"/>
          <w:szCs w:val="24"/>
          <w:shd w:val="clear" w:color="auto" w:fill="FFFFFF"/>
          <w:lang w:val="en-US"/>
        </w:rPr>
        <w:t xml:space="preserve"> evidence demonstrates that best practice consent education</w:t>
      </w:r>
      <w:r w:rsidR="00A1716A" w:rsidRPr="00BF144F">
        <w:rPr>
          <w:rFonts w:ascii="Times New Roman" w:hAnsi="Times New Roman"/>
          <w:color w:val="002060"/>
          <w:szCs w:val="24"/>
          <w:shd w:val="clear" w:color="auto" w:fill="FFFFFF"/>
          <w:lang w:val="en-US"/>
        </w:rPr>
        <w:t> </w:t>
      </w:r>
      <w:r w:rsidR="00A1716A" w:rsidRPr="00BF144F">
        <w:rPr>
          <w:color w:val="002060"/>
          <w:szCs w:val="24"/>
          <w:shd w:val="clear" w:color="auto" w:fill="FFFFFF"/>
          <w:lang w:val="en-US"/>
        </w:rPr>
        <w:t>must</w:t>
      </w:r>
      <w:r w:rsidR="00A1716A" w:rsidRPr="00BF144F">
        <w:rPr>
          <w:rFonts w:ascii="Times New Roman" w:hAnsi="Times New Roman"/>
          <w:color w:val="002060"/>
          <w:szCs w:val="24"/>
          <w:shd w:val="clear" w:color="auto" w:fill="FFFFFF"/>
          <w:lang w:val="en-US"/>
        </w:rPr>
        <w:t> </w:t>
      </w:r>
      <w:r w:rsidR="00A1716A" w:rsidRPr="00BF144F">
        <w:rPr>
          <w:color w:val="002060"/>
          <w:szCs w:val="24"/>
          <w:shd w:val="clear" w:color="auto" w:fill="FFFFFF"/>
          <w:lang w:val="en-US"/>
        </w:rPr>
        <w:t>occur</w:t>
      </w:r>
      <w:r w:rsidR="00A1716A" w:rsidRPr="00BF144F">
        <w:rPr>
          <w:rFonts w:ascii="Times New Roman" w:hAnsi="Times New Roman"/>
          <w:color w:val="002060"/>
          <w:szCs w:val="24"/>
          <w:shd w:val="clear" w:color="auto" w:fill="FFFFFF"/>
          <w:lang w:val="en-US"/>
        </w:rPr>
        <w:t> </w:t>
      </w:r>
      <w:r w:rsidR="00A1716A" w:rsidRPr="00BF144F">
        <w:rPr>
          <w:color w:val="002060"/>
          <w:szCs w:val="24"/>
          <w:shd w:val="clear" w:color="auto" w:fill="FFFFFF"/>
          <w:lang w:val="en-US"/>
        </w:rPr>
        <w:t>as part of a whole</w:t>
      </w:r>
      <w:r w:rsidR="00C4443D">
        <w:rPr>
          <w:color w:val="002060"/>
          <w:szCs w:val="24"/>
          <w:shd w:val="clear" w:color="auto" w:fill="FFFFFF"/>
          <w:lang w:val="en-US"/>
        </w:rPr>
        <w:t>-</w:t>
      </w:r>
      <w:r w:rsidR="00A1716A" w:rsidRPr="00BF144F">
        <w:rPr>
          <w:color w:val="002060"/>
          <w:szCs w:val="24"/>
          <w:shd w:val="clear" w:color="auto" w:fill="FFFFFF"/>
          <w:lang w:val="en-US"/>
        </w:rPr>
        <w:t>of</w:t>
      </w:r>
      <w:r w:rsidR="00C4443D">
        <w:rPr>
          <w:color w:val="002060"/>
          <w:szCs w:val="24"/>
          <w:shd w:val="clear" w:color="auto" w:fill="FFFFFF"/>
          <w:lang w:val="en-US"/>
        </w:rPr>
        <w:t>-</w:t>
      </w:r>
      <w:r w:rsidR="00A1716A" w:rsidRPr="00BF144F">
        <w:rPr>
          <w:color w:val="002060"/>
          <w:szCs w:val="24"/>
          <w:shd w:val="clear" w:color="auto" w:fill="FFFFFF"/>
          <w:lang w:val="en-US"/>
        </w:rPr>
        <w:t>school approach, within a broader program of teaching and learning about</w:t>
      </w:r>
      <w:r w:rsidR="00A1716A" w:rsidRPr="00BF144F">
        <w:rPr>
          <w:rFonts w:ascii="Times New Roman" w:hAnsi="Times New Roman"/>
          <w:color w:val="002060"/>
          <w:szCs w:val="24"/>
          <w:shd w:val="clear" w:color="auto" w:fill="FFFFFF"/>
          <w:lang w:val="en-US"/>
        </w:rPr>
        <w:t> </w:t>
      </w:r>
      <w:r w:rsidR="00A1716A" w:rsidRPr="00BF144F">
        <w:rPr>
          <w:color w:val="002060"/>
          <w:szCs w:val="24"/>
          <w:shd w:val="clear" w:color="auto" w:fill="FFFFFF"/>
          <w:lang w:val="en-US"/>
        </w:rPr>
        <w:t>gender equality and respectful relationships</w:t>
      </w:r>
      <w:r w:rsidR="00236BD1">
        <w:rPr>
          <w:color w:val="002060"/>
          <w:szCs w:val="24"/>
          <w:shd w:val="clear" w:color="auto" w:fill="FFFFFF"/>
          <w:lang w:val="en-US"/>
        </w:rPr>
        <w:t>.</w:t>
      </w:r>
    </w:p>
    <w:p w14:paraId="4CE5405D" w14:textId="677F65EC" w:rsidR="00431807" w:rsidRPr="00431807" w:rsidRDefault="00431807" w:rsidP="005D36CE">
      <w:pPr>
        <w:spacing w:before="120" w:after="120"/>
        <w:rPr>
          <w:rFonts w:ascii="Times New Roman" w:eastAsia="Roboto" w:hAnsi="Times New Roman"/>
          <w:color w:val="002060"/>
        </w:rPr>
      </w:pPr>
      <w:r w:rsidRPr="007436A9">
        <w:rPr>
          <w:rFonts w:eastAsia="Roboto"/>
          <w:color w:val="002060"/>
          <w:lang w:val="en-US"/>
        </w:rPr>
        <w:t>Teaching and learning about RRE, including consent, should commence in early childhood and should be taught in an ongoing, developmentally staged way as children grow older, through a comprehensive approach to respectful relationships and sexuality education</w:t>
      </w:r>
      <w:r w:rsidR="00043AF4">
        <w:rPr>
          <w:rFonts w:eastAsia="Roboto"/>
          <w:color w:val="002060"/>
          <w:lang w:val="en-US"/>
        </w:rPr>
        <w:t>.</w:t>
      </w:r>
      <w:r w:rsidR="00043AF4" w:rsidRPr="007436A9">
        <w:rPr>
          <w:rFonts w:eastAsia="Roboto"/>
          <w:color w:val="002060"/>
          <w:vertAlign w:val="superscript"/>
        </w:rPr>
        <w:t>7</w:t>
      </w:r>
      <w:r w:rsidRPr="007436A9">
        <w:rPr>
          <w:rFonts w:eastAsia="Roboto"/>
          <w:color w:val="002060"/>
          <w:lang w:val="en-US"/>
        </w:rPr>
        <w:t xml:space="preserve"> This enables students to incrementally build their knowledge and understanding as they progress through year levels. For example, materials for younger children may involve topics including gender stereotypes and foundational concepts of consent such as needing to ask and give consent for physical touch (like hugging), while older students may have more detailed conversations about consent in sexual relationships and about sexual violence.</w:t>
      </w:r>
      <w:r w:rsidRPr="007436A9">
        <w:rPr>
          <w:rFonts w:ascii="Times New Roman" w:eastAsia="Roboto" w:hAnsi="Times New Roman"/>
          <w:color w:val="002060"/>
        </w:rPr>
        <w:t> </w:t>
      </w:r>
    </w:p>
    <w:p w14:paraId="2D9EB2B3" w14:textId="4125F4BF" w:rsidR="00A1716A" w:rsidRPr="007436A9" w:rsidRDefault="00A1716A" w:rsidP="005D36CE">
      <w:pPr>
        <w:spacing w:before="120" w:after="120"/>
        <w:rPr>
          <w:rFonts w:eastAsia="Roboto"/>
          <w:color w:val="002060"/>
        </w:rPr>
      </w:pPr>
      <w:r w:rsidRPr="007436A9">
        <w:rPr>
          <w:rFonts w:eastAsia="Roboto"/>
          <w:color w:val="002060"/>
        </w:rPr>
        <w:t xml:space="preserve">Consent education should be </w:t>
      </w:r>
      <w:r w:rsidR="00E26521" w:rsidRPr="007436A9">
        <w:rPr>
          <w:rFonts w:eastAsia="Roboto"/>
          <w:color w:val="002060"/>
        </w:rPr>
        <w:t xml:space="preserve">taught by teachers </w:t>
      </w:r>
      <w:r w:rsidRPr="007436A9">
        <w:rPr>
          <w:rFonts w:eastAsia="Roboto"/>
          <w:color w:val="002060"/>
        </w:rPr>
        <w:t>who have access to ongoing, comprehensive professional development to ensure they are confident, engaged and have the skills and knowledge to deliver respectful relationships content, including consent education</w:t>
      </w:r>
      <w:r w:rsidR="00EE2C8A" w:rsidRPr="007436A9">
        <w:rPr>
          <w:rFonts w:eastAsia="Roboto"/>
          <w:color w:val="002060"/>
        </w:rPr>
        <w:t xml:space="preserve">. </w:t>
      </w:r>
      <w:r w:rsidRPr="007436A9">
        <w:rPr>
          <w:rFonts w:eastAsia="Roboto"/>
          <w:color w:val="002060"/>
        </w:rPr>
        <w:t>School staff need system</w:t>
      </w:r>
      <w:r w:rsidR="00F05415" w:rsidRPr="007436A9">
        <w:rPr>
          <w:rFonts w:eastAsia="Roboto"/>
          <w:color w:val="002060"/>
        </w:rPr>
        <w:t>-</w:t>
      </w:r>
      <w:r w:rsidRPr="007436A9">
        <w:rPr>
          <w:rFonts w:eastAsia="Roboto"/>
          <w:color w:val="002060"/>
        </w:rPr>
        <w:t>wide implementation support and ongoing, evidence</w:t>
      </w:r>
      <w:r w:rsidR="00D62376" w:rsidRPr="007436A9">
        <w:rPr>
          <w:rFonts w:eastAsia="Roboto"/>
          <w:color w:val="002060"/>
        </w:rPr>
        <w:t>-</w:t>
      </w:r>
      <w:r w:rsidRPr="007436A9">
        <w:rPr>
          <w:rFonts w:eastAsia="Roboto"/>
          <w:color w:val="002060"/>
        </w:rPr>
        <w:t xml:space="preserve">based professional development to develop the skills and knowledge necessary to deliver consent education safely, </w:t>
      </w:r>
      <w:proofErr w:type="gramStart"/>
      <w:r w:rsidRPr="007436A9">
        <w:rPr>
          <w:rFonts w:eastAsia="Roboto"/>
          <w:color w:val="002060"/>
        </w:rPr>
        <w:t>confidently</w:t>
      </w:r>
      <w:proofErr w:type="gramEnd"/>
      <w:r w:rsidRPr="007436A9">
        <w:rPr>
          <w:rFonts w:eastAsia="Roboto"/>
          <w:color w:val="002060"/>
        </w:rPr>
        <w:t xml:space="preserve"> and effectively across all year levels.</w:t>
      </w:r>
    </w:p>
    <w:p w14:paraId="63C9D6BF" w14:textId="1BEE025B" w:rsidR="00A1716A" w:rsidRPr="007436A9" w:rsidRDefault="00A1716A" w:rsidP="005D36CE">
      <w:pPr>
        <w:spacing w:before="120" w:after="120"/>
        <w:rPr>
          <w:rFonts w:eastAsia="Roboto"/>
          <w:color w:val="002060"/>
        </w:rPr>
      </w:pPr>
      <w:r w:rsidRPr="007436A9">
        <w:rPr>
          <w:rFonts w:eastAsia="Roboto"/>
          <w:color w:val="002060"/>
        </w:rPr>
        <w:t xml:space="preserve">Our Watch emphasises the important principle that children and young people have meaningful participation in their own learning and encourages consideration of this in all areas of young people’s education, including relationship and sexuality curriculum. Ensuring young people have a voice in their education and learning affirms their agency, </w:t>
      </w:r>
      <w:proofErr w:type="gramStart"/>
      <w:r w:rsidRPr="007436A9">
        <w:rPr>
          <w:rFonts w:eastAsia="Roboto"/>
          <w:color w:val="002060"/>
        </w:rPr>
        <w:t>independence</w:t>
      </w:r>
      <w:proofErr w:type="gramEnd"/>
      <w:r w:rsidRPr="007436A9">
        <w:rPr>
          <w:rFonts w:eastAsia="Roboto"/>
          <w:color w:val="002060"/>
        </w:rPr>
        <w:t xml:space="preserve"> and leadership. In practice, it helps create more diverse, relevant, </w:t>
      </w:r>
      <w:proofErr w:type="gramStart"/>
      <w:r w:rsidRPr="007436A9">
        <w:rPr>
          <w:rFonts w:eastAsia="Roboto"/>
          <w:color w:val="002060"/>
        </w:rPr>
        <w:t>meaningful</w:t>
      </w:r>
      <w:proofErr w:type="gramEnd"/>
      <w:r w:rsidRPr="007436A9">
        <w:rPr>
          <w:rFonts w:eastAsia="Roboto"/>
          <w:color w:val="002060"/>
        </w:rPr>
        <w:t xml:space="preserve"> and positive learning experiences and empowers students to make decisions about their own lives. </w:t>
      </w:r>
    </w:p>
    <w:p w14:paraId="41719E08" w14:textId="24906271" w:rsidR="00CC3167" w:rsidRPr="007436A9" w:rsidRDefault="00CC3167" w:rsidP="005D36CE">
      <w:pPr>
        <w:pStyle w:val="Heading3"/>
        <w:spacing w:before="120" w:after="120"/>
        <w:rPr>
          <w:color w:val="002060"/>
        </w:rPr>
      </w:pPr>
    </w:p>
    <w:p w14:paraId="310B7B9D" w14:textId="36A6E098" w:rsidR="5C1FD076" w:rsidRPr="007436A9" w:rsidRDefault="5C1FD076" w:rsidP="005D36CE">
      <w:pPr>
        <w:spacing w:before="120" w:after="120"/>
        <w:rPr>
          <w:strike/>
          <w:color w:val="002060"/>
        </w:rPr>
      </w:pPr>
    </w:p>
    <w:sectPr w:rsidR="5C1FD076" w:rsidRPr="007436A9" w:rsidSect="00D17B51">
      <w:footerReference w:type="default" r:id="rId13"/>
      <w:headerReference w:type="first" r:id="rId14"/>
      <w:footerReference w:type="first" r:id="rId15"/>
      <w:endnotePr>
        <w:numFmt w:val="decimal"/>
      </w:endnotePr>
      <w:type w:val="continuous"/>
      <w:pgSz w:w="11906" w:h="16838"/>
      <w:pgMar w:top="1134" w:right="1274" w:bottom="1134"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01404A" w14:textId="77777777" w:rsidR="001E27F8" w:rsidRDefault="001E27F8" w:rsidP="00B4211E">
      <w:r>
        <w:separator/>
      </w:r>
    </w:p>
    <w:p w14:paraId="690C2076" w14:textId="77777777" w:rsidR="001E27F8" w:rsidRDefault="001E27F8" w:rsidP="00B4211E"/>
  </w:endnote>
  <w:endnote w:type="continuationSeparator" w:id="0">
    <w:p w14:paraId="4DB6A0DA" w14:textId="77777777" w:rsidR="001E27F8" w:rsidRDefault="001E27F8" w:rsidP="00B4211E">
      <w:r>
        <w:continuationSeparator/>
      </w:r>
    </w:p>
    <w:p w14:paraId="7245BB36" w14:textId="77777777" w:rsidR="001E27F8" w:rsidRDefault="001E27F8" w:rsidP="00B4211E"/>
  </w:endnote>
  <w:endnote w:type="continuationNotice" w:id="1">
    <w:p w14:paraId="497C35BA" w14:textId="77777777" w:rsidR="001E27F8" w:rsidRDefault="001E27F8">
      <w:pPr>
        <w:spacing w:after="0"/>
      </w:pPr>
    </w:p>
  </w:endnote>
  <w:endnote w:id="2">
    <w:p w14:paraId="07195737" w14:textId="77777777" w:rsidR="00083E82" w:rsidRDefault="00083E82" w:rsidP="00106767">
      <w:pPr>
        <w:pStyle w:val="EndnoteText"/>
        <w:spacing w:line="276" w:lineRule="auto"/>
      </w:pPr>
      <w:r>
        <w:rPr>
          <w:rStyle w:val="EndnoteReference"/>
        </w:rPr>
        <w:endnoteRef/>
      </w:r>
      <w:r>
        <w:t xml:space="preserve"> </w:t>
      </w:r>
      <w:r w:rsidRPr="002008B7">
        <w:rPr>
          <w:szCs w:val="18"/>
        </w:rPr>
        <w:t xml:space="preserve">Coumarelos, C., Roberts, N., Weeks, N., &amp; Rasmussen, V. (2023). </w:t>
      </w:r>
      <w:r w:rsidRPr="002008B7">
        <w:rPr>
          <w:i/>
          <w:iCs/>
          <w:szCs w:val="18"/>
        </w:rPr>
        <w:t xml:space="preserve">Attitudes matter: The 2021 National Community Attitudes towards Violence against Women Survey (NCAS), Findings for young Australians </w:t>
      </w:r>
      <w:r w:rsidRPr="002008B7">
        <w:rPr>
          <w:szCs w:val="18"/>
        </w:rPr>
        <w:t>(Research report, 08/2023) (p. </w:t>
      </w:r>
      <w:r>
        <w:rPr>
          <w:szCs w:val="18"/>
        </w:rPr>
        <w:t>103</w:t>
      </w:r>
      <w:r w:rsidRPr="002008B7">
        <w:rPr>
          <w:szCs w:val="18"/>
        </w:rPr>
        <w:t>). ANROWS.</w:t>
      </w:r>
    </w:p>
  </w:endnote>
  <w:endnote w:id="3">
    <w:p w14:paraId="2826C12F" w14:textId="77777777" w:rsidR="00083E82" w:rsidRDefault="00083E82" w:rsidP="000902DE">
      <w:pPr>
        <w:pStyle w:val="EndnoteText"/>
        <w:spacing w:line="276" w:lineRule="auto"/>
      </w:pPr>
      <w:r>
        <w:rPr>
          <w:rStyle w:val="EndnoteReference"/>
        </w:rPr>
        <w:endnoteRef/>
      </w:r>
      <w:r>
        <w:t xml:space="preserve"> </w:t>
      </w:r>
      <w:r w:rsidRPr="00327A8A">
        <w:t xml:space="preserve">World Health Organization. (2021). </w:t>
      </w:r>
      <w:r w:rsidRPr="00327A8A">
        <w:rPr>
          <w:i/>
          <w:iCs/>
          <w:u w:val="single"/>
        </w:rPr>
        <w:t>Violence against women prevalence estimates, 2018</w:t>
      </w:r>
      <w:r w:rsidRPr="00327A8A">
        <w:t>.</w:t>
      </w:r>
    </w:p>
  </w:endnote>
  <w:endnote w:id="4">
    <w:p w14:paraId="71CDFE04" w14:textId="6A4597E4" w:rsidR="00083E82" w:rsidRDefault="00083E82" w:rsidP="000902DE">
      <w:pPr>
        <w:pStyle w:val="EndnoteText"/>
        <w:spacing w:line="276" w:lineRule="auto"/>
      </w:pPr>
      <w:r>
        <w:rPr>
          <w:rStyle w:val="EndnoteReference"/>
        </w:rPr>
        <w:endnoteRef/>
      </w:r>
      <w:r>
        <w:t xml:space="preserve"> </w:t>
      </w:r>
      <w:r w:rsidR="001B3674" w:rsidRPr="007D1E3A">
        <w:t xml:space="preserve">Connolly, H. Commissioner for Children and Young People, South Australia (2021) </w:t>
      </w:r>
      <w:r w:rsidR="001B3674" w:rsidRPr="007D1E3A">
        <w:rPr>
          <w:i/>
          <w:iCs/>
        </w:rPr>
        <w:t>Sexual Health and Education in South Australia: What young people need to know for sexual health and safety</w:t>
      </w:r>
      <w:r w:rsidR="001B3674" w:rsidRPr="007D1E3A">
        <w:t xml:space="preserve">, </w:t>
      </w:r>
      <w:r w:rsidR="001B3674">
        <w:t xml:space="preserve">(p.19), </w:t>
      </w:r>
      <w:hyperlink r:id="rId1" w:history="1">
        <w:r w:rsidR="001B3674" w:rsidRPr="0087602F">
          <w:rPr>
            <w:rStyle w:val="Hyperlink"/>
          </w:rPr>
          <w:t>https://www.ccyp.com.au/wp-content/uploads/2022/03/Sex-Education-in-South-Australia.pdf</w:t>
        </w:r>
      </w:hyperlink>
      <w:r w:rsidRPr="007D1E3A">
        <w:t>.</w:t>
      </w:r>
    </w:p>
  </w:endnote>
  <w:endnote w:id="5">
    <w:p w14:paraId="0696C669" w14:textId="77777777" w:rsidR="00083E82" w:rsidRDefault="00083E82" w:rsidP="000902DE">
      <w:pPr>
        <w:pStyle w:val="EndnoteText"/>
        <w:spacing w:line="276" w:lineRule="auto"/>
      </w:pPr>
      <w:r>
        <w:rPr>
          <w:rStyle w:val="EndnoteReference"/>
        </w:rPr>
        <w:endnoteRef/>
      </w:r>
      <w:r>
        <w:t xml:space="preserve"> Ibid.</w:t>
      </w:r>
    </w:p>
  </w:endnote>
  <w:endnote w:id="6">
    <w:p w14:paraId="61464D6F" w14:textId="092D4504" w:rsidR="00083E82" w:rsidRDefault="00083E82" w:rsidP="000902DE">
      <w:pPr>
        <w:pStyle w:val="EndnoteText"/>
        <w:spacing w:line="276" w:lineRule="auto"/>
      </w:pPr>
      <w:r>
        <w:rPr>
          <w:rStyle w:val="EndnoteReference"/>
        </w:rPr>
        <w:endnoteRef/>
      </w:r>
      <w:r>
        <w:t xml:space="preserve"> </w:t>
      </w:r>
      <w:r w:rsidRPr="00091515">
        <w:t>Our Watch.</w:t>
      </w:r>
      <w:r w:rsidR="006614EA">
        <w:t xml:space="preserve"> </w:t>
      </w:r>
      <w:r w:rsidRPr="00091515">
        <w:t xml:space="preserve">(2021). </w:t>
      </w:r>
      <w:r w:rsidRPr="00091515">
        <w:rPr>
          <w:i/>
          <w:iCs/>
        </w:rPr>
        <w:t xml:space="preserve">Change the story: A shared framework for the primary prevention of violence against women in Australia </w:t>
      </w:r>
      <w:r w:rsidRPr="00091515">
        <w:t>(2nd ed.)</w:t>
      </w:r>
      <w:r>
        <w:t xml:space="preserve"> (p. 43)</w:t>
      </w:r>
      <w:r w:rsidRPr="00091515">
        <w:t>.</w:t>
      </w:r>
      <w:r>
        <w:t xml:space="preserve"> </w:t>
      </w:r>
    </w:p>
  </w:endnote>
  <w:endnote w:id="7">
    <w:p w14:paraId="61158A5E" w14:textId="77777777" w:rsidR="00083E82" w:rsidRDefault="00083E82" w:rsidP="000902DE">
      <w:pPr>
        <w:pStyle w:val="EndnoteText"/>
        <w:spacing w:line="276" w:lineRule="auto"/>
      </w:pPr>
      <w:r w:rsidRPr="2DE877C8">
        <w:rPr>
          <w:rStyle w:val="EndnoteReference"/>
        </w:rPr>
        <w:endnoteRef/>
      </w:r>
      <w:r>
        <w:t xml:space="preserve"> M. Crabbe and M. Flood, School-based education to address pornography’s influence: A proposed practice framework. Pre-print version. Published in the American Journal of Sexuality Education 2021, (p. 2), </w:t>
      </w:r>
      <w:hyperlink r:id="rId2">
        <w:r w:rsidRPr="401383A1">
          <w:rPr>
            <w:rStyle w:val="Hyperlink"/>
          </w:rPr>
          <w:t>https://www.tandfonline.com/doi/full/10.1080/15546128.2020.1856744</w:t>
        </w:r>
      </w:hyperlink>
    </w:p>
  </w:endnote>
  <w:endnote w:id="8">
    <w:p w14:paraId="126A1955" w14:textId="61441EDA" w:rsidR="00083E82" w:rsidRDefault="00083E82" w:rsidP="000902DE">
      <w:pPr>
        <w:pStyle w:val="EndnoteText"/>
        <w:spacing w:line="276" w:lineRule="auto"/>
      </w:pPr>
      <w:r>
        <w:rPr>
          <w:rStyle w:val="EndnoteReference"/>
        </w:rPr>
        <w:endnoteRef/>
      </w:r>
      <w:r>
        <w:t xml:space="preserve"> </w:t>
      </w:r>
      <w:r w:rsidR="00B05A60">
        <w:t>Our Watch</w:t>
      </w:r>
      <w:r w:rsidR="00A45DA5">
        <w:t xml:space="preserve"> (2021), see note 5</w:t>
      </w:r>
      <w:r>
        <w:t>.</w:t>
      </w:r>
    </w:p>
  </w:endnote>
  <w:endnote w:id="9">
    <w:p w14:paraId="0B5A9BE9" w14:textId="77777777" w:rsidR="00083E82" w:rsidRDefault="00083E82" w:rsidP="000902DE">
      <w:pPr>
        <w:pStyle w:val="EndnoteText"/>
        <w:spacing w:line="276" w:lineRule="auto"/>
      </w:pPr>
      <w:r>
        <w:rPr>
          <w:rStyle w:val="EndnoteReference"/>
        </w:rPr>
        <w:endnoteRef/>
      </w:r>
      <w:r>
        <w:t xml:space="preserve"> Our Watch. </w:t>
      </w:r>
      <w:r w:rsidRPr="00C61954">
        <w:rPr>
          <w:i/>
        </w:rPr>
        <w:t>Background and research</w:t>
      </w:r>
      <w:r>
        <w:t xml:space="preserve">. The Line. </w:t>
      </w:r>
      <w:hyperlink r:id="rId3" w:history="1">
        <w:r w:rsidRPr="00A421D0">
          <w:rPr>
            <w:rStyle w:val="Hyperlink"/>
          </w:rPr>
          <w:t>https://www.theline.org.au/background-and-research/</w:t>
        </w:r>
      </w:hyperlink>
      <w:r>
        <w:t xml:space="preserve">. Our Watch. </w:t>
      </w:r>
      <w:r>
        <w:rPr>
          <w:i/>
          <w:iCs/>
        </w:rPr>
        <w:t xml:space="preserve">Sex, Love and Gender Roles </w:t>
      </w:r>
      <w:r>
        <w:t xml:space="preserve">infographic. The Line. </w:t>
      </w:r>
      <w:hyperlink r:id="rId4" w:history="1">
        <w:r w:rsidRPr="00A421D0">
          <w:rPr>
            <w:rStyle w:val="Hyperlink"/>
          </w:rPr>
          <w:t>https://d2bb010tdzqaq7.cloudfront.net/wp-content/uploads/sites/2/2019/11/06041304/OurWatch-TheLineInfo_final.pdf</w:t>
        </w:r>
      </w:hyperlink>
      <w:r>
        <w:t xml:space="preserve">. </w:t>
      </w:r>
    </w:p>
  </w:endnote>
  <w:endnote w:id="10">
    <w:p w14:paraId="2E1BFECE" w14:textId="18FAC310" w:rsidR="00083E82" w:rsidRPr="002008B7" w:rsidRDefault="00083E82" w:rsidP="000902DE">
      <w:pPr>
        <w:pStyle w:val="EndnoteText"/>
        <w:spacing w:line="276" w:lineRule="auto"/>
        <w:rPr>
          <w:szCs w:val="18"/>
        </w:rPr>
      </w:pPr>
      <w:r w:rsidRPr="002008B7">
        <w:rPr>
          <w:rStyle w:val="EndnoteReference"/>
          <w:szCs w:val="18"/>
        </w:rPr>
        <w:endnoteRef/>
      </w:r>
      <w:r w:rsidRPr="002008B7">
        <w:rPr>
          <w:szCs w:val="18"/>
        </w:rPr>
        <w:t xml:space="preserve"> </w:t>
      </w:r>
      <w:r w:rsidR="00872C36">
        <w:rPr>
          <w:szCs w:val="18"/>
        </w:rPr>
        <w:t>ANROWS (2023)</w:t>
      </w:r>
      <w:r>
        <w:rPr>
          <w:szCs w:val="18"/>
        </w:rPr>
        <w:t>,</w:t>
      </w:r>
      <w:r w:rsidR="00872C36">
        <w:rPr>
          <w:szCs w:val="18"/>
        </w:rPr>
        <w:t xml:space="preserve"> see note 1</w:t>
      </w:r>
      <w:r w:rsidR="00001D4B">
        <w:rPr>
          <w:szCs w:val="18"/>
        </w:rPr>
        <w:t xml:space="preserve">, </w:t>
      </w:r>
      <w:r>
        <w:rPr>
          <w:szCs w:val="18"/>
        </w:rPr>
        <w:t>p. 21</w:t>
      </w:r>
      <w:r w:rsidRPr="002008B7">
        <w:rPr>
          <w:szCs w:val="18"/>
        </w:rPr>
        <w:t>.</w:t>
      </w:r>
    </w:p>
  </w:endnote>
  <w:endnote w:id="11">
    <w:p w14:paraId="030AF16B" w14:textId="77777777" w:rsidR="00083E82" w:rsidRPr="002008B7" w:rsidRDefault="00083E82" w:rsidP="000902DE">
      <w:pPr>
        <w:pStyle w:val="EndnoteText"/>
        <w:spacing w:line="276" w:lineRule="auto"/>
        <w:rPr>
          <w:szCs w:val="18"/>
        </w:rPr>
      </w:pPr>
      <w:r w:rsidRPr="002008B7">
        <w:rPr>
          <w:rStyle w:val="EndnoteReference"/>
          <w:szCs w:val="18"/>
        </w:rPr>
        <w:endnoteRef/>
      </w:r>
      <w:r w:rsidRPr="002008B7">
        <w:rPr>
          <w:szCs w:val="18"/>
        </w:rPr>
        <w:t xml:space="preserve"> Ibid, p. 23.</w:t>
      </w:r>
    </w:p>
  </w:endnote>
  <w:endnote w:id="12">
    <w:p w14:paraId="55DC3B69" w14:textId="77777777" w:rsidR="00083E82" w:rsidRPr="002008B7" w:rsidRDefault="00083E82" w:rsidP="000902DE">
      <w:pPr>
        <w:pStyle w:val="EndnoteText"/>
        <w:spacing w:line="276" w:lineRule="auto"/>
        <w:rPr>
          <w:szCs w:val="18"/>
        </w:rPr>
      </w:pPr>
      <w:r w:rsidRPr="002008B7">
        <w:rPr>
          <w:rStyle w:val="EndnoteReference"/>
          <w:szCs w:val="18"/>
        </w:rPr>
        <w:endnoteRef/>
      </w:r>
      <w:r w:rsidRPr="002008B7">
        <w:rPr>
          <w:szCs w:val="18"/>
        </w:rPr>
        <w:t xml:space="preserve"> Ibid, p. 91.</w:t>
      </w:r>
    </w:p>
  </w:endnote>
  <w:endnote w:id="13">
    <w:p w14:paraId="7CE0050F" w14:textId="6BB0BD4E" w:rsidR="00083E82" w:rsidRPr="002008B7" w:rsidRDefault="00083E82" w:rsidP="000902DE">
      <w:pPr>
        <w:pStyle w:val="EndnoteText"/>
        <w:spacing w:line="276" w:lineRule="auto"/>
        <w:rPr>
          <w:szCs w:val="18"/>
        </w:rPr>
      </w:pPr>
      <w:r w:rsidRPr="002008B7">
        <w:rPr>
          <w:rStyle w:val="EndnoteReference"/>
          <w:szCs w:val="18"/>
        </w:rPr>
        <w:endnoteRef/>
      </w:r>
      <w:r w:rsidRPr="002008B7">
        <w:rPr>
          <w:szCs w:val="18"/>
        </w:rPr>
        <w:t xml:space="preserve"> See, for example</w:t>
      </w:r>
      <w:r>
        <w:rPr>
          <w:szCs w:val="18"/>
        </w:rPr>
        <w:t xml:space="preserve">, Our Watch. </w:t>
      </w:r>
      <w:r w:rsidRPr="002008B7">
        <w:rPr>
          <w:i/>
          <w:iCs/>
          <w:szCs w:val="18"/>
        </w:rPr>
        <w:t>Consent – do you get it?</w:t>
      </w:r>
      <w:r w:rsidRPr="002008B7">
        <w:rPr>
          <w:szCs w:val="18"/>
        </w:rPr>
        <w:t xml:space="preserve"> </w:t>
      </w:r>
      <w:r>
        <w:rPr>
          <w:szCs w:val="18"/>
        </w:rPr>
        <w:t>The Line.</w:t>
      </w:r>
      <w:r w:rsidRPr="002008B7">
        <w:rPr>
          <w:szCs w:val="18"/>
        </w:rPr>
        <w:t xml:space="preserve"> </w:t>
      </w:r>
      <w:hyperlink r:id="rId5" w:history="1">
        <w:r w:rsidRPr="002008B7">
          <w:rPr>
            <w:rStyle w:val="Hyperlink"/>
            <w:szCs w:val="18"/>
          </w:rPr>
          <w:t>https://www.theline.org.au/consent-do-you-get-it/</w:t>
        </w:r>
      </w:hyperlink>
      <w:r w:rsidRPr="00A30C00">
        <w:rPr>
          <w:rStyle w:val="Hyperlink"/>
          <w:szCs w:val="18"/>
          <w:u w:val="none"/>
        </w:rPr>
        <w:t>. Our Watch.</w:t>
      </w:r>
      <w:r w:rsidRPr="002008B7">
        <w:rPr>
          <w:szCs w:val="18"/>
        </w:rPr>
        <w:t xml:space="preserve"> </w:t>
      </w:r>
      <w:r w:rsidRPr="002008B7">
        <w:rPr>
          <w:i/>
          <w:iCs/>
          <w:szCs w:val="18"/>
        </w:rPr>
        <w:t>Do you recognise consent?</w:t>
      </w:r>
      <w:r>
        <w:rPr>
          <w:szCs w:val="18"/>
        </w:rPr>
        <w:t xml:space="preserve"> The Line.</w:t>
      </w:r>
      <w:r w:rsidRPr="002008B7">
        <w:rPr>
          <w:szCs w:val="18"/>
        </w:rPr>
        <w:t xml:space="preserve"> </w:t>
      </w:r>
      <w:hyperlink r:id="rId6" w:history="1">
        <w:r w:rsidRPr="002008B7">
          <w:rPr>
            <w:rStyle w:val="Hyperlink"/>
            <w:szCs w:val="18"/>
          </w:rPr>
          <w:t>https://www.theline.org.au/do-you-recognise-consent/</w:t>
        </w:r>
      </w:hyperlink>
      <w:r w:rsidRPr="002008B7">
        <w:rPr>
          <w:szCs w:val="18"/>
        </w:rPr>
        <w:t xml:space="preserve">. </w:t>
      </w:r>
    </w:p>
  </w:endnote>
  <w:endnote w:id="14">
    <w:p w14:paraId="21BEF9A4" w14:textId="454153E3" w:rsidR="00083E82" w:rsidRPr="00193A8D" w:rsidRDefault="00083E82" w:rsidP="008224A9">
      <w:pPr>
        <w:pStyle w:val="EndnoteText"/>
        <w:spacing w:line="276" w:lineRule="auto"/>
        <w:rPr>
          <w:i/>
          <w:iCs/>
        </w:rPr>
      </w:pPr>
      <w:r>
        <w:rPr>
          <w:rStyle w:val="EndnoteReference"/>
        </w:rPr>
        <w:endnoteRef/>
      </w:r>
      <w:r>
        <w:t xml:space="preserve"> Commonwealth of Australia. (2023). </w:t>
      </w:r>
      <w:r>
        <w:rPr>
          <w:i/>
          <w:iCs/>
        </w:rPr>
        <w:t>Legal and Constitutional Affairs References Committee, Current and proposed sexual consent laws in Australia.</w:t>
      </w:r>
      <w:r>
        <w:t xml:space="preserve">  </w:t>
      </w:r>
      <w:hyperlink r:id="rId7" w:history="1">
        <w:r w:rsidRPr="00C53F0D">
          <w:rPr>
            <w:rStyle w:val="Hyperlink"/>
          </w:rPr>
          <w:t>https://www.aph.gov.au/Parliamentary_Business/Committees/Senate/Legal_and_Constitutional_Affairs/sexualcontentlaws/Report</w:t>
        </w:r>
      </w:hyperlink>
    </w:p>
  </w:endnote>
  <w:endnote w:id="15">
    <w:p w14:paraId="367BB9E2" w14:textId="77777777" w:rsidR="00083E82" w:rsidRDefault="00083E82" w:rsidP="00AE2EF9">
      <w:pPr>
        <w:pStyle w:val="EndnoteText"/>
        <w:spacing w:line="276" w:lineRule="auto"/>
      </w:pPr>
      <w:r>
        <w:rPr>
          <w:rStyle w:val="EndnoteReference"/>
        </w:rPr>
        <w:endnoteRef/>
      </w:r>
      <w:r>
        <w:t xml:space="preserve"> Commonwealth of Australia, Department of Social Services. (2023). </w:t>
      </w:r>
      <w:r w:rsidRPr="00FA133D">
        <w:rPr>
          <w:i/>
          <w:iCs/>
        </w:rPr>
        <w:t>Commonwealth Consent Policy Framework: Promoting healthy sexual relationships and consent among young people</w:t>
      </w:r>
      <w:r>
        <w:t xml:space="preserve">. </w:t>
      </w:r>
      <w:hyperlink r:id="rId8" w:history="1">
        <w:r w:rsidRPr="00942B36">
          <w:rPr>
            <w:rStyle w:val="Hyperlink"/>
          </w:rPr>
          <w:t>https://www.dss.gov.au/sexual-consent/the-commonwealth-consent-policy-framework</w:t>
        </w:r>
      </w:hyperlink>
      <w:r>
        <w:t xml:space="preserve">. </w:t>
      </w:r>
      <w:r w:rsidRPr="00FA133D">
        <w:rPr>
          <w:i/>
          <w:iCs/>
        </w:rPr>
        <w:t xml:space="preserve">  </w:t>
      </w:r>
    </w:p>
  </w:endnote>
  <w:endnote w:id="16">
    <w:p w14:paraId="08EA54B8" w14:textId="10891204" w:rsidR="00083E82" w:rsidRDefault="00083E82" w:rsidP="00932FBD">
      <w:pPr>
        <w:pStyle w:val="EndnoteText"/>
        <w:spacing w:line="276" w:lineRule="auto"/>
      </w:pPr>
      <w:r>
        <w:rPr>
          <w:rStyle w:val="EndnoteReference"/>
        </w:rPr>
        <w:endnoteRef/>
      </w:r>
      <w:r>
        <w:t xml:space="preserve"> Ibid.</w:t>
      </w:r>
    </w:p>
  </w:endnote>
  <w:endnote w:id="17">
    <w:p w14:paraId="4419E094" w14:textId="77777777" w:rsidR="00083E82" w:rsidRDefault="00083E82" w:rsidP="008D125D">
      <w:pPr>
        <w:pStyle w:val="EndnoteText"/>
        <w:spacing w:line="276" w:lineRule="auto"/>
      </w:pPr>
      <w:r>
        <w:rPr>
          <w:rStyle w:val="EndnoteReference"/>
        </w:rPr>
        <w:endnoteRef/>
      </w:r>
      <w:r>
        <w:t xml:space="preserve"> Ibid, p. 16.</w:t>
      </w:r>
    </w:p>
  </w:endnote>
  <w:endnote w:id="18">
    <w:p w14:paraId="2FC96F06" w14:textId="77777777" w:rsidR="00083E82" w:rsidRPr="002008B7" w:rsidRDefault="00083E82" w:rsidP="008D125D">
      <w:pPr>
        <w:pStyle w:val="EndnoteText"/>
        <w:spacing w:line="276" w:lineRule="auto"/>
        <w:rPr>
          <w:szCs w:val="18"/>
        </w:rPr>
      </w:pPr>
      <w:r w:rsidRPr="002008B7">
        <w:rPr>
          <w:rStyle w:val="EndnoteReference"/>
          <w:szCs w:val="18"/>
        </w:rPr>
        <w:endnoteRef/>
      </w:r>
      <w:r w:rsidRPr="002008B7">
        <w:rPr>
          <w:szCs w:val="18"/>
        </w:rPr>
        <w:t xml:space="preserve"> See, for example: Haberland, N. (2015). </w:t>
      </w:r>
      <w:r w:rsidRPr="002008B7">
        <w:rPr>
          <w:i/>
          <w:iCs/>
          <w:szCs w:val="18"/>
        </w:rPr>
        <w:t>The case for addressing gender and power in sexuality and HIV education: a comprehensive review of evaluation studies</w:t>
      </w:r>
      <w:r w:rsidRPr="002008B7">
        <w:rPr>
          <w:szCs w:val="18"/>
        </w:rPr>
        <w:t>. International Perspectives Sexual and Reproductive Health, 41(1), 31-42; United Nations Educational, Scientific and Cultural Organization (UNESCO) (2018), </w:t>
      </w:r>
      <w:r w:rsidRPr="002008B7">
        <w:rPr>
          <w:i/>
          <w:iCs/>
          <w:szCs w:val="18"/>
        </w:rPr>
        <w:t>International Technical Guidance on Sexuality Education, </w:t>
      </w:r>
      <w:r w:rsidRPr="002008B7">
        <w:rPr>
          <w:szCs w:val="18"/>
        </w:rPr>
        <w:t>retrieved online. 07/05/2021 </w:t>
      </w:r>
      <w:hyperlink r:id="rId9" w:tgtFrame="_blank" w:history="1">
        <w:r w:rsidRPr="002008B7">
          <w:rPr>
            <w:rStyle w:val="Hyperlink"/>
            <w:szCs w:val="18"/>
          </w:rPr>
          <w:t>https://www.unaids.org/sites/default/files/media_asset/ITGSE_en.pdf</w:t>
        </w:r>
      </w:hyperlink>
      <w:r w:rsidRPr="002008B7">
        <w:rPr>
          <w:szCs w:val="18"/>
          <w:u w:val="single"/>
        </w:rPr>
        <w:t>. </w:t>
      </w:r>
    </w:p>
  </w:endnote>
  <w:endnote w:id="19">
    <w:p w14:paraId="5DB50A2D" w14:textId="2CE86F61" w:rsidR="00083E82" w:rsidRPr="002008B7" w:rsidRDefault="00083E82" w:rsidP="008D125D">
      <w:pPr>
        <w:pStyle w:val="EndnoteText"/>
        <w:spacing w:line="276" w:lineRule="auto"/>
        <w:rPr>
          <w:szCs w:val="18"/>
        </w:rPr>
      </w:pPr>
      <w:r w:rsidRPr="002008B7">
        <w:rPr>
          <w:rStyle w:val="EndnoteReference"/>
          <w:szCs w:val="18"/>
        </w:rPr>
        <w:endnoteRef/>
      </w:r>
      <w:r w:rsidRPr="002008B7">
        <w:rPr>
          <w:szCs w:val="18"/>
        </w:rPr>
        <w:t xml:space="preserve"> </w:t>
      </w:r>
      <w:r w:rsidR="0022194B" w:rsidRPr="007D1E3A">
        <w:t>Commissioner for Children and Young People, South Australia (2021)</w:t>
      </w:r>
      <w:r w:rsidR="0022194B">
        <w:t>, see note 3</w:t>
      </w:r>
      <w:r>
        <w:rPr>
          <w:szCs w:val="18"/>
        </w:rPr>
        <w:t>.</w:t>
      </w:r>
    </w:p>
  </w:endnote>
  <w:endnote w:id="20">
    <w:p w14:paraId="055447C1" w14:textId="77777777" w:rsidR="00083E82" w:rsidRPr="002008B7" w:rsidRDefault="00083E82" w:rsidP="008D125D">
      <w:pPr>
        <w:pStyle w:val="EndnoteText"/>
        <w:spacing w:line="276" w:lineRule="auto"/>
        <w:rPr>
          <w:szCs w:val="18"/>
        </w:rPr>
      </w:pPr>
      <w:r w:rsidRPr="002008B7">
        <w:rPr>
          <w:rStyle w:val="EndnoteReference"/>
          <w:szCs w:val="18"/>
        </w:rPr>
        <w:endnoteRef/>
      </w:r>
      <w:r w:rsidRPr="002008B7">
        <w:rPr>
          <w:szCs w:val="18"/>
        </w:rPr>
        <w:t xml:space="preserve"> Fisher, C., Waling, A., Kerr, L., Bellamy, R., Ezer, P., Mikołajczak, M., Brown, G., Carman, M., &amp; Lucke, J. (2019). </w:t>
      </w:r>
      <w:r w:rsidRPr="002008B7">
        <w:rPr>
          <w:i/>
          <w:iCs/>
          <w:szCs w:val="18"/>
        </w:rPr>
        <w:t>6th National Survey of Australian Secondary Students and Sexual Health 2018</w:t>
      </w:r>
      <w:r w:rsidRPr="002008B7">
        <w:rPr>
          <w:szCs w:val="18"/>
        </w:rPr>
        <w:t xml:space="preserve"> (ARCSHS Monograph Series No. 113). Australian Research Centre in Sex, Health and Society, La Trobe University.</w:t>
      </w:r>
    </w:p>
  </w:endnote>
  <w:endnote w:id="21">
    <w:p w14:paraId="0D515DB4" w14:textId="77777777" w:rsidR="00083E82" w:rsidRPr="002008B7" w:rsidRDefault="00083E82" w:rsidP="008D125D">
      <w:pPr>
        <w:pStyle w:val="EndnoteText"/>
        <w:spacing w:line="276" w:lineRule="auto"/>
        <w:rPr>
          <w:szCs w:val="18"/>
        </w:rPr>
      </w:pPr>
      <w:r w:rsidRPr="002008B7">
        <w:rPr>
          <w:rStyle w:val="EndnoteReference"/>
          <w:szCs w:val="18"/>
        </w:rPr>
        <w:endnoteRef/>
      </w:r>
      <w:r w:rsidRPr="002008B7">
        <w:rPr>
          <w:szCs w:val="18"/>
        </w:rPr>
        <w:t xml:space="preserve"> Shannon, B. (2022). </w:t>
      </w:r>
      <w:r w:rsidRPr="002008B7">
        <w:rPr>
          <w:i/>
          <w:iCs/>
          <w:szCs w:val="18"/>
        </w:rPr>
        <w:t>Sex(uality) education for trans and gender diverse youth in Australia</w:t>
      </w:r>
      <w:r w:rsidRPr="002008B7">
        <w:rPr>
          <w:szCs w:val="18"/>
        </w:rPr>
        <w:t xml:space="preserve">. Palgrave Macmillan Cham. </w:t>
      </w:r>
      <w:hyperlink r:id="rId10" w:history="1">
        <w:r w:rsidRPr="002008B7">
          <w:rPr>
            <w:rStyle w:val="Hyperlink"/>
            <w:szCs w:val="18"/>
          </w:rPr>
          <w:t>https://doi.org/10.1007/978-3- 030-92446-1</w:t>
        </w:r>
      </w:hyperlink>
      <w:r w:rsidRPr="002008B7">
        <w:rPr>
          <w:szCs w:val="18"/>
        </w:rPr>
        <w:t>.</w:t>
      </w:r>
    </w:p>
  </w:endnote>
  <w:endnote w:id="22">
    <w:p w14:paraId="05848AC6" w14:textId="77777777" w:rsidR="00083E82" w:rsidRPr="002008B7" w:rsidRDefault="00083E82" w:rsidP="008D125D">
      <w:pPr>
        <w:pStyle w:val="EndnoteText"/>
        <w:spacing w:line="276" w:lineRule="auto"/>
        <w:rPr>
          <w:szCs w:val="18"/>
        </w:rPr>
      </w:pPr>
      <w:r w:rsidRPr="002008B7">
        <w:rPr>
          <w:rStyle w:val="EndnoteReference"/>
          <w:szCs w:val="18"/>
        </w:rPr>
        <w:endnoteRef/>
      </w:r>
      <w:r w:rsidRPr="002008B7">
        <w:rPr>
          <w:szCs w:val="18"/>
        </w:rPr>
        <w:t xml:space="preserve"> Cook, M. A., &amp; Wynn, L. L. (2021</w:t>
      </w:r>
      <w:r w:rsidRPr="002008B7">
        <w:rPr>
          <w:i/>
          <w:iCs/>
          <w:szCs w:val="18"/>
        </w:rPr>
        <w:t>). ‘Safe sex’: Evaluation of sex education and sexual risk by young adults in Sydney. Culture, Health &amp; Sexuality</w:t>
      </w:r>
      <w:r w:rsidRPr="002008B7">
        <w:rPr>
          <w:szCs w:val="18"/>
        </w:rPr>
        <w:t>, 23(12), 1733-1747.</w:t>
      </w:r>
    </w:p>
  </w:endnote>
  <w:endnote w:id="23">
    <w:p w14:paraId="01A24CAA" w14:textId="4A4DBEB6" w:rsidR="00083E82" w:rsidRPr="005A113E" w:rsidRDefault="00083E82" w:rsidP="00C928F0">
      <w:pPr>
        <w:pStyle w:val="EndnoteText"/>
        <w:spacing w:line="276" w:lineRule="auto"/>
        <w:rPr>
          <w:szCs w:val="18"/>
        </w:rPr>
      </w:pPr>
      <w:r w:rsidRPr="005A113E">
        <w:rPr>
          <w:rStyle w:val="EndnoteReference"/>
          <w:color w:val="002060"/>
          <w:szCs w:val="18"/>
        </w:rPr>
        <w:endnoteRef/>
      </w:r>
      <w:r w:rsidRPr="005A113E">
        <w:rPr>
          <w:color w:val="002060"/>
          <w:szCs w:val="18"/>
        </w:rPr>
        <w:t xml:space="preserve"> Our Watch</w:t>
      </w:r>
      <w:r w:rsidR="00664877">
        <w:rPr>
          <w:color w:val="002060"/>
          <w:szCs w:val="18"/>
        </w:rPr>
        <w:t>.</w:t>
      </w:r>
      <w:r w:rsidRPr="005A113E">
        <w:rPr>
          <w:color w:val="002060"/>
          <w:szCs w:val="18"/>
        </w:rPr>
        <w:t xml:space="preserve"> (2021). </w:t>
      </w:r>
      <w:r w:rsidRPr="005A113E">
        <w:rPr>
          <w:i/>
          <w:iCs/>
          <w:color w:val="002060"/>
          <w:szCs w:val="18"/>
        </w:rPr>
        <w:t>Respectful relationships education in schools: Evidence paper (2021).</w:t>
      </w:r>
      <w:r w:rsidRPr="005A113E">
        <w:rPr>
          <w:color w:val="002060"/>
          <w:szCs w:val="18"/>
        </w:rPr>
        <w:t xml:space="preserve"> Our Watch, Melbourne, Australia.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rPr>
      <w:id w:val="-1058393504"/>
      <w:docPartObj>
        <w:docPartGallery w:val="Page Numbers (Bottom of Page)"/>
        <w:docPartUnique/>
      </w:docPartObj>
    </w:sdtPr>
    <w:sdtContent>
      <w:sdt>
        <w:sdtPr>
          <w:rPr>
            <w:sz w:val="18"/>
          </w:rPr>
          <w:id w:val="-312180022"/>
          <w:docPartObj>
            <w:docPartGallery w:val="Page Numbers (Top of Page)"/>
            <w:docPartUnique/>
          </w:docPartObj>
        </w:sdtPr>
        <w:sdtContent>
          <w:p w14:paraId="2E9D53FA" w14:textId="77777777" w:rsidR="00DE5C7B" w:rsidRPr="00560A03" w:rsidRDefault="00DE5C7B" w:rsidP="00DB7087">
            <w:pPr>
              <w:pStyle w:val="Footer"/>
              <w:rPr>
                <w:sz w:val="18"/>
              </w:rPr>
            </w:pPr>
            <w:r w:rsidRPr="000D05B7">
              <w:t xml:space="preserve">Page </w:t>
            </w:r>
            <w:r w:rsidRPr="000D05B7">
              <w:rPr>
                <w:color w:val="2B579A"/>
                <w:shd w:val="clear" w:color="auto" w:fill="E6E6E6"/>
              </w:rPr>
              <w:fldChar w:fldCharType="begin"/>
            </w:r>
            <w:r w:rsidRPr="000D05B7">
              <w:instrText xml:space="preserve"> PAGE </w:instrText>
            </w:r>
            <w:r w:rsidRPr="000D05B7">
              <w:rPr>
                <w:color w:val="2B579A"/>
                <w:shd w:val="clear" w:color="auto" w:fill="E6E6E6"/>
              </w:rPr>
              <w:fldChar w:fldCharType="separate"/>
            </w:r>
            <w:r w:rsidRPr="000D05B7">
              <w:rPr>
                <w:noProof/>
              </w:rPr>
              <w:t>5</w:t>
            </w:r>
            <w:r w:rsidRPr="000D05B7">
              <w:rPr>
                <w:color w:val="2B579A"/>
                <w:shd w:val="clear" w:color="auto" w:fill="E6E6E6"/>
              </w:rPr>
              <w:fldChar w:fldCharType="end"/>
            </w:r>
            <w:r w:rsidRPr="000D05B7">
              <w:t xml:space="preserve"> of </w:t>
            </w:r>
            <w:r>
              <w:fldChar w:fldCharType="begin"/>
            </w:r>
            <w:r>
              <w:instrText>NUMPAGES</w:instrText>
            </w:r>
            <w:r>
              <w:fldChar w:fldCharType="separate"/>
            </w:r>
            <w:r w:rsidRPr="000D05B7">
              <w:rPr>
                <w:noProof/>
              </w:rPr>
              <w:t>5</w:t>
            </w:r>
            <w:r>
              <w:fldChar w:fldCharType="end"/>
            </w:r>
            <w:r w:rsidRPr="00990FD7">
              <w:rPr>
                <w:noProof/>
              </w:rPr>
              <w:drawing>
                <wp:anchor distT="0" distB="0" distL="114300" distR="114300" simplePos="0" relativeHeight="251658240" behindDoc="1" locked="1" layoutInCell="1" allowOverlap="1" wp14:anchorId="60FF0043" wp14:editId="119FF6BD">
                  <wp:simplePos x="0" y="0"/>
                  <wp:positionH relativeFrom="page">
                    <wp:align>right</wp:align>
                  </wp:positionH>
                  <wp:positionV relativeFrom="page">
                    <wp:align>bottom</wp:align>
                  </wp:positionV>
                  <wp:extent cx="1594800" cy="712800"/>
                  <wp:effectExtent l="0" t="0" r="0" b="0"/>
                  <wp:wrapNone/>
                  <wp:docPr id="1542841315" name="Picture 1542841315">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D3CB8" w14:textId="77777777" w:rsidR="00DE5C7B" w:rsidRPr="00560A03" w:rsidRDefault="00DE5C7B" w:rsidP="00F043B8">
    <w:pPr>
      <w:pStyle w:val="Footer"/>
      <w:rPr>
        <w:sz w:val="18"/>
      </w:rPr>
    </w:pPr>
    <w:r w:rsidRPr="000D05B7">
      <w:t xml:space="preserve">Page </w:t>
    </w:r>
    <w:r w:rsidRPr="000D05B7">
      <w:rPr>
        <w:color w:val="2B579A"/>
        <w:shd w:val="clear" w:color="auto" w:fill="E6E6E6"/>
      </w:rPr>
      <w:fldChar w:fldCharType="begin"/>
    </w:r>
    <w:r w:rsidRPr="000D05B7">
      <w:instrText xml:space="preserve"> PAGE </w:instrText>
    </w:r>
    <w:r w:rsidRPr="000D05B7">
      <w:rPr>
        <w:color w:val="2B579A"/>
        <w:shd w:val="clear" w:color="auto" w:fill="E6E6E6"/>
      </w:rPr>
      <w:fldChar w:fldCharType="separate"/>
    </w:r>
    <w:r>
      <w:t>2</w:t>
    </w:r>
    <w:r w:rsidRPr="000D05B7">
      <w:rPr>
        <w:color w:val="2B579A"/>
        <w:shd w:val="clear" w:color="auto" w:fill="E6E6E6"/>
      </w:rPr>
      <w:fldChar w:fldCharType="end"/>
    </w:r>
    <w:r w:rsidRPr="000D05B7">
      <w:t xml:space="preserve"> of </w:t>
    </w:r>
    <w:r>
      <w:fldChar w:fldCharType="begin"/>
    </w:r>
    <w:r>
      <w:instrText>NUMPAGES</w:instrText>
    </w:r>
    <w:r>
      <w:fldChar w:fldCharType="separate"/>
    </w:r>
    <w: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7786FA" w14:textId="77777777" w:rsidR="001E27F8" w:rsidRDefault="001E27F8" w:rsidP="00BE695D">
      <w:pPr>
        <w:spacing w:after="0"/>
      </w:pPr>
      <w:r>
        <w:separator/>
      </w:r>
    </w:p>
  </w:footnote>
  <w:footnote w:type="continuationSeparator" w:id="0">
    <w:p w14:paraId="0222CF7C" w14:textId="77777777" w:rsidR="001E27F8" w:rsidRDefault="001E27F8" w:rsidP="00B4211E">
      <w:r>
        <w:continuationSeparator/>
      </w:r>
    </w:p>
    <w:p w14:paraId="0C7E7468" w14:textId="77777777" w:rsidR="001E27F8" w:rsidRDefault="001E27F8" w:rsidP="00B4211E"/>
  </w:footnote>
  <w:footnote w:type="continuationNotice" w:id="1">
    <w:p w14:paraId="612E4277" w14:textId="77777777" w:rsidR="001E27F8" w:rsidRDefault="001E27F8">
      <w:pPr>
        <w:spacing w:after="0"/>
      </w:pPr>
    </w:p>
  </w:footnote>
  <w:footnote w:id="2">
    <w:p w14:paraId="08EA54B8" w14:textId="10891204" w:rsidR="00932FBD" w:rsidRDefault="00932FBD" w:rsidP="00932FBD">
      <w:pPr>
        <w:pStyle w:val="FootnoteText"/>
        <w:spacing w:line="276" w:lineRule="auto"/>
      </w:pPr>
      <w:r>
        <w:rPr>
          <w:rStyle w:val="FootnoteReference"/>
        </w:rPr>
        <w:footnoteRef/>
      </w:r>
      <w:r>
        <w:t xml:space="preserve"> Ibid</w:t>
      </w:r>
      <w:r w:rsidR="00E12369">
        <w:t>.</w:t>
      </w:r>
    </w:p>
  </w:footnote>
  <w:footnote w:id="3">
    <w:p w14:paraId="4419E094" w14:textId="77777777" w:rsidR="008D125D" w:rsidRDefault="008D125D" w:rsidP="008D125D">
      <w:pPr>
        <w:pStyle w:val="FootnoteText"/>
        <w:spacing w:line="276" w:lineRule="auto"/>
      </w:pPr>
      <w:r>
        <w:rPr>
          <w:rStyle w:val="FootnoteReference"/>
        </w:rPr>
        <w:footnoteRef/>
      </w:r>
      <w:r>
        <w:t xml:space="preserve"> Ibid, p. 16.</w:t>
      </w:r>
    </w:p>
  </w:footnote>
  <w:footnote w:id="4">
    <w:p w14:paraId="2FC96F06" w14:textId="77777777" w:rsidR="008D125D" w:rsidRPr="002008B7" w:rsidRDefault="008D125D" w:rsidP="008D125D">
      <w:pPr>
        <w:pStyle w:val="FootnoteText"/>
        <w:spacing w:line="276" w:lineRule="auto"/>
        <w:rPr>
          <w:szCs w:val="18"/>
        </w:rPr>
      </w:pPr>
      <w:r w:rsidRPr="002008B7">
        <w:rPr>
          <w:rStyle w:val="FootnoteReference"/>
          <w:szCs w:val="18"/>
        </w:rPr>
        <w:footnoteRef/>
      </w:r>
      <w:r w:rsidRPr="002008B7">
        <w:rPr>
          <w:szCs w:val="18"/>
        </w:rPr>
        <w:t xml:space="preserve"> See, for example: Haberland, N. (2015). </w:t>
      </w:r>
      <w:r w:rsidRPr="002008B7">
        <w:rPr>
          <w:i/>
          <w:iCs/>
          <w:szCs w:val="18"/>
        </w:rPr>
        <w:t>The case for addressing gender and power in sexuality and HIV education: a comprehensive review of evaluation studies</w:t>
      </w:r>
      <w:r w:rsidRPr="002008B7">
        <w:rPr>
          <w:szCs w:val="18"/>
        </w:rPr>
        <w:t>. International Perspectives Sexual and Reproductive Health, 41(1), 31-42; United Nations Educational, Scientific and Cultural Organization (UNESCO) (2018), </w:t>
      </w:r>
      <w:r w:rsidRPr="002008B7">
        <w:rPr>
          <w:i/>
          <w:iCs/>
          <w:szCs w:val="18"/>
        </w:rPr>
        <w:t>International Technical Guidance on Sexuality Education, </w:t>
      </w:r>
      <w:r w:rsidRPr="002008B7">
        <w:rPr>
          <w:szCs w:val="18"/>
        </w:rPr>
        <w:t>retrieved online. 07/05/2021 </w:t>
      </w:r>
      <w:hyperlink r:id="rId1" w:tgtFrame="_blank" w:history="1">
        <w:r w:rsidRPr="002008B7">
          <w:rPr>
            <w:rStyle w:val="Hyperlink"/>
            <w:szCs w:val="18"/>
          </w:rPr>
          <w:t>https://www.unaids.org/sites/default/files/media_asset/ITGSE_en.pdf</w:t>
        </w:r>
      </w:hyperlink>
      <w:r w:rsidRPr="002008B7">
        <w:rPr>
          <w:szCs w:val="18"/>
          <w:u w:val="single"/>
        </w:rPr>
        <w:t>. </w:t>
      </w:r>
    </w:p>
  </w:footnote>
  <w:footnote w:id="5">
    <w:p w14:paraId="5DB50A2D" w14:textId="77777777" w:rsidR="008D125D" w:rsidRPr="002008B7" w:rsidRDefault="008D125D" w:rsidP="008D125D">
      <w:pPr>
        <w:pStyle w:val="FootnoteText"/>
        <w:spacing w:line="276" w:lineRule="auto"/>
        <w:rPr>
          <w:szCs w:val="18"/>
        </w:rPr>
      </w:pPr>
      <w:r w:rsidRPr="002008B7">
        <w:rPr>
          <w:rStyle w:val="FootnoteReference"/>
          <w:szCs w:val="18"/>
        </w:rPr>
        <w:footnoteRef/>
      </w:r>
      <w:r w:rsidRPr="002008B7">
        <w:rPr>
          <w:szCs w:val="18"/>
        </w:rPr>
        <w:t xml:space="preserve"> </w:t>
      </w:r>
      <w:r w:rsidRPr="007D1E3A">
        <w:t xml:space="preserve">Connolly, H. Commissioner for Children and Young People, South Australia (2021) </w:t>
      </w:r>
      <w:r w:rsidRPr="007D1E3A">
        <w:rPr>
          <w:i/>
          <w:iCs/>
        </w:rPr>
        <w:t>Sexual Health and Education in South Australia: What young people need to know for sexual health and safety</w:t>
      </w:r>
      <w:r w:rsidRPr="007D1E3A">
        <w:t xml:space="preserve">, </w:t>
      </w:r>
      <w:hyperlink r:id="rId2" w:history="1">
        <w:r w:rsidRPr="007D1E3A">
          <w:rPr>
            <w:rStyle w:val="Hyperlink"/>
          </w:rPr>
          <w:t>https://www.ccyp.com.au/wp-content/uploads/2022/03/Sex-Education-in-South-Australia.pdf</w:t>
        </w:r>
      </w:hyperlink>
      <w:r>
        <w:rPr>
          <w:szCs w:val="18"/>
        </w:rPr>
        <w:t>.</w:t>
      </w:r>
    </w:p>
  </w:footnote>
  <w:footnote w:id="6">
    <w:p w14:paraId="055447C1" w14:textId="77777777" w:rsidR="008D125D" w:rsidRPr="002008B7" w:rsidRDefault="008D125D" w:rsidP="008D125D">
      <w:pPr>
        <w:pStyle w:val="FootnoteText"/>
        <w:spacing w:line="276" w:lineRule="auto"/>
        <w:rPr>
          <w:szCs w:val="18"/>
        </w:rPr>
      </w:pPr>
      <w:r w:rsidRPr="002008B7">
        <w:rPr>
          <w:rStyle w:val="FootnoteReference"/>
          <w:szCs w:val="18"/>
        </w:rPr>
        <w:footnoteRef/>
      </w:r>
      <w:r w:rsidRPr="002008B7">
        <w:rPr>
          <w:szCs w:val="18"/>
        </w:rPr>
        <w:t xml:space="preserve"> Fisher, C., Waling, A., Kerr, L., Bellamy, R., Ezer, P., Mikołajczak, M., Brown, G., Carman, M., &amp; Lucke, J. (2019). </w:t>
      </w:r>
      <w:r w:rsidRPr="002008B7">
        <w:rPr>
          <w:i/>
          <w:iCs/>
          <w:szCs w:val="18"/>
        </w:rPr>
        <w:t>6th National Survey of Australian Secondary Students and Sexual Health 2018</w:t>
      </w:r>
      <w:r w:rsidRPr="002008B7">
        <w:rPr>
          <w:szCs w:val="18"/>
        </w:rPr>
        <w:t xml:space="preserve"> (ARCSHS Monograph Series No. 113). Australian Research Centre in Sex, Health and Society, La Trobe University.</w:t>
      </w:r>
    </w:p>
  </w:footnote>
  <w:footnote w:id="7">
    <w:p w14:paraId="0D515DB4" w14:textId="77777777" w:rsidR="008D125D" w:rsidRPr="002008B7" w:rsidRDefault="008D125D" w:rsidP="008D125D">
      <w:pPr>
        <w:pStyle w:val="FootnoteText"/>
        <w:spacing w:line="276" w:lineRule="auto"/>
        <w:rPr>
          <w:szCs w:val="18"/>
        </w:rPr>
      </w:pPr>
      <w:r w:rsidRPr="002008B7">
        <w:rPr>
          <w:rStyle w:val="FootnoteReference"/>
          <w:szCs w:val="18"/>
        </w:rPr>
        <w:footnoteRef/>
      </w:r>
      <w:r w:rsidRPr="002008B7">
        <w:rPr>
          <w:szCs w:val="18"/>
        </w:rPr>
        <w:t xml:space="preserve"> Shannon, B. (2022). </w:t>
      </w:r>
      <w:r w:rsidRPr="002008B7">
        <w:rPr>
          <w:i/>
          <w:iCs/>
          <w:szCs w:val="18"/>
        </w:rPr>
        <w:t>Sex(</w:t>
      </w:r>
      <w:proofErr w:type="spellStart"/>
      <w:r w:rsidRPr="002008B7">
        <w:rPr>
          <w:i/>
          <w:iCs/>
          <w:szCs w:val="18"/>
        </w:rPr>
        <w:t>uality</w:t>
      </w:r>
      <w:proofErr w:type="spellEnd"/>
      <w:r w:rsidRPr="002008B7">
        <w:rPr>
          <w:i/>
          <w:iCs/>
          <w:szCs w:val="18"/>
        </w:rPr>
        <w:t>) education for trans and gender diverse youth in Australia</w:t>
      </w:r>
      <w:r w:rsidRPr="002008B7">
        <w:rPr>
          <w:szCs w:val="18"/>
        </w:rPr>
        <w:t xml:space="preserve">. Palgrave Macmillan Cham. </w:t>
      </w:r>
      <w:hyperlink r:id="rId3" w:history="1">
        <w:r w:rsidRPr="002008B7">
          <w:rPr>
            <w:rStyle w:val="Hyperlink"/>
            <w:szCs w:val="18"/>
          </w:rPr>
          <w:t>https://doi.org/10.1007/978-3- 030-92446-1</w:t>
        </w:r>
      </w:hyperlink>
      <w:r w:rsidRPr="002008B7">
        <w:rPr>
          <w:szCs w:val="18"/>
        </w:rPr>
        <w:t>.</w:t>
      </w:r>
    </w:p>
  </w:footnote>
  <w:footnote w:id="8">
    <w:p w14:paraId="05848AC6" w14:textId="77777777" w:rsidR="008D125D" w:rsidRPr="002008B7" w:rsidRDefault="008D125D" w:rsidP="008D125D">
      <w:pPr>
        <w:pStyle w:val="FootnoteText"/>
        <w:spacing w:line="276" w:lineRule="auto"/>
        <w:rPr>
          <w:szCs w:val="18"/>
        </w:rPr>
      </w:pPr>
      <w:r w:rsidRPr="002008B7">
        <w:rPr>
          <w:rStyle w:val="FootnoteReference"/>
          <w:szCs w:val="18"/>
        </w:rPr>
        <w:footnoteRef/>
      </w:r>
      <w:r w:rsidRPr="002008B7">
        <w:rPr>
          <w:szCs w:val="18"/>
        </w:rPr>
        <w:t xml:space="preserve"> Cook, M. A., &amp; Wynn, L. L. (2021</w:t>
      </w:r>
      <w:r w:rsidRPr="002008B7">
        <w:rPr>
          <w:i/>
          <w:iCs/>
          <w:szCs w:val="18"/>
        </w:rPr>
        <w:t>). ‘Safe sex’: Evaluation of sex education and sexual risk by young adults in Sydney. Culture, Health &amp; Sexuality</w:t>
      </w:r>
      <w:r w:rsidRPr="002008B7">
        <w:rPr>
          <w:szCs w:val="18"/>
        </w:rPr>
        <w:t>, 23(12), 1733-1747.</w:t>
      </w:r>
    </w:p>
  </w:footnote>
  <w:footnote w:id="9">
    <w:p w14:paraId="01A24CAA" w14:textId="77777777" w:rsidR="00C928F0" w:rsidRPr="005A113E" w:rsidRDefault="00C928F0" w:rsidP="00C928F0">
      <w:pPr>
        <w:pStyle w:val="FootnoteText"/>
        <w:spacing w:line="276" w:lineRule="auto"/>
        <w:rPr>
          <w:szCs w:val="18"/>
        </w:rPr>
      </w:pPr>
      <w:r w:rsidRPr="005A113E">
        <w:rPr>
          <w:rStyle w:val="FootnoteReference"/>
          <w:color w:val="002060"/>
          <w:szCs w:val="18"/>
        </w:rPr>
        <w:footnoteRef/>
      </w:r>
      <w:r w:rsidRPr="005A113E">
        <w:rPr>
          <w:color w:val="002060"/>
          <w:szCs w:val="18"/>
        </w:rPr>
        <w:t xml:space="preserve"> Our Watch (2021). </w:t>
      </w:r>
      <w:r w:rsidRPr="005A113E">
        <w:rPr>
          <w:i/>
          <w:iCs/>
          <w:color w:val="002060"/>
          <w:szCs w:val="18"/>
        </w:rPr>
        <w:t>Respectful relationships education in schools: Evidence paper (2021).</w:t>
      </w:r>
      <w:r w:rsidRPr="005A113E">
        <w:rPr>
          <w:color w:val="002060"/>
          <w:szCs w:val="18"/>
        </w:rPr>
        <w:t xml:space="preserve"> Our Watch, Melbourne,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F887A" w14:textId="4DAB1CA2" w:rsidR="00DE5C7B" w:rsidRDefault="00DE5C7B" w:rsidP="00B4211E">
    <w:pPr>
      <w:pStyle w:val="Header"/>
    </w:pPr>
    <w:r w:rsidRPr="00313324">
      <w:rPr>
        <w:noProof/>
      </w:rPr>
      <w:drawing>
        <wp:anchor distT="0" distB="0" distL="114300" distR="114300" simplePos="0" relativeHeight="251658241" behindDoc="1" locked="1" layoutInCell="1" allowOverlap="1" wp14:anchorId="0CCBF4C7" wp14:editId="38764FFD">
          <wp:simplePos x="0" y="0"/>
          <wp:positionH relativeFrom="leftMargin">
            <wp:posOffset>467995</wp:posOffset>
          </wp:positionH>
          <wp:positionV relativeFrom="page">
            <wp:align>top</wp:align>
          </wp:positionV>
          <wp:extent cx="2138400" cy="2044800"/>
          <wp:effectExtent l="0" t="0" r="0" b="0"/>
          <wp:wrapNone/>
          <wp:docPr id="602464832" name="Picture 602464832">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65386CE2"/>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1BD4D7A6"/>
    <w:lvl w:ilvl="0">
      <w:start w:val="1"/>
      <w:numFmt w:val="decimal"/>
      <w:pStyle w:val="ListNumber"/>
      <w:lvlText w:val="%1."/>
      <w:lvlJc w:val="left"/>
      <w:pPr>
        <w:tabs>
          <w:tab w:val="num" w:pos="360"/>
        </w:tabs>
        <w:ind w:left="360" w:hanging="360"/>
      </w:pPr>
    </w:lvl>
  </w:abstractNum>
  <w:abstractNum w:abstractNumId="2" w15:restartNumberingAfterBreak="0">
    <w:nsid w:val="0125109F"/>
    <w:multiLevelType w:val="hybridMultilevel"/>
    <w:tmpl w:val="B1B63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6F37EA"/>
    <w:multiLevelType w:val="multilevel"/>
    <w:tmpl w:val="1BF4A770"/>
    <w:styleLink w:val="Numbering"/>
    <w:lvl w:ilvl="0">
      <w:start w:val="1"/>
      <w:numFmt w:val="decimal"/>
      <w:lvlText w:val="%1."/>
      <w:lvlJc w:val="left"/>
      <w:pPr>
        <w:tabs>
          <w:tab w:val="num" w:pos="340"/>
        </w:tabs>
        <w:ind w:left="340" w:hanging="340"/>
      </w:pPr>
    </w:lvl>
    <w:lvl w:ilvl="1">
      <w:start w:val="1"/>
      <w:numFmt w:val="lowerLetter"/>
      <w:lvlText w:val="%2."/>
      <w:lvlJc w:val="left"/>
      <w:pPr>
        <w:tabs>
          <w:tab w:val="num" w:pos="68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111206D2"/>
    <w:multiLevelType w:val="multilevel"/>
    <w:tmpl w:val="012C31A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B263E52"/>
    <w:multiLevelType w:val="hybridMultilevel"/>
    <w:tmpl w:val="66A65138"/>
    <w:lvl w:ilvl="0" w:tplc="FFFFFFFF">
      <w:start w:val="1"/>
      <w:numFmt w:val="bullet"/>
      <w:pStyle w:val="Bulletedlis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6173EB"/>
    <w:multiLevelType w:val="hybridMultilevel"/>
    <w:tmpl w:val="4508ADB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CA76A37"/>
    <w:multiLevelType w:val="hybridMultilevel"/>
    <w:tmpl w:val="ED6CFC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24F4502"/>
    <w:multiLevelType w:val="hybridMultilevel"/>
    <w:tmpl w:val="0772F9EA"/>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39046230">
    <w:abstractNumId w:val="5"/>
  </w:num>
  <w:num w:numId="2" w16cid:durableId="1731923966">
    <w:abstractNumId w:val="4"/>
  </w:num>
  <w:num w:numId="3" w16cid:durableId="1046023255">
    <w:abstractNumId w:val="1"/>
  </w:num>
  <w:num w:numId="4" w16cid:durableId="1551065729">
    <w:abstractNumId w:val="0"/>
  </w:num>
  <w:num w:numId="5" w16cid:durableId="876282911">
    <w:abstractNumId w:val="3"/>
  </w:num>
  <w:num w:numId="6" w16cid:durableId="1695229672">
    <w:abstractNumId w:val="7"/>
  </w:num>
  <w:num w:numId="7" w16cid:durableId="492525690">
    <w:abstractNumId w:val="8"/>
  </w:num>
  <w:num w:numId="8" w16cid:durableId="2116241919">
    <w:abstractNumId w:val="2"/>
  </w:num>
  <w:num w:numId="9" w16cid:durableId="115182752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F7B"/>
    <w:rsid w:val="000002B2"/>
    <w:rsid w:val="000005B4"/>
    <w:rsid w:val="00000B98"/>
    <w:rsid w:val="00001C5D"/>
    <w:rsid w:val="00001D4B"/>
    <w:rsid w:val="00002792"/>
    <w:rsid w:val="00004203"/>
    <w:rsid w:val="000048CD"/>
    <w:rsid w:val="00006E31"/>
    <w:rsid w:val="00007BB5"/>
    <w:rsid w:val="00011ED5"/>
    <w:rsid w:val="000124B3"/>
    <w:rsid w:val="00012665"/>
    <w:rsid w:val="0001283D"/>
    <w:rsid w:val="00014DBA"/>
    <w:rsid w:val="00015E9B"/>
    <w:rsid w:val="00016228"/>
    <w:rsid w:val="0001685A"/>
    <w:rsid w:val="00020B26"/>
    <w:rsid w:val="00020EE9"/>
    <w:rsid w:val="00021EC4"/>
    <w:rsid w:val="00022DBD"/>
    <w:rsid w:val="00022F37"/>
    <w:rsid w:val="000230BA"/>
    <w:rsid w:val="0002340D"/>
    <w:rsid w:val="00023AF7"/>
    <w:rsid w:val="00023FD3"/>
    <w:rsid w:val="000250E3"/>
    <w:rsid w:val="00025785"/>
    <w:rsid w:val="00025FA1"/>
    <w:rsid w:val="00026609"/>
    <w:rsid w:val="00026904"/>
    <w:rsid w:val="00027F4D"/>
    <w:rsid w:val="00031AD8"/>
    <w:rsid w:val="00032016"/>
    <w:rsid w:val="000348EB"/>
    <w:rsid w:val="000357D8"/>
    <w:rsid w:val="000367DA"/>
    <w:rsid w:val="00036897"/>
    <w:rsid w:val="0004177B"/>
    <w:rsid w:val="00041DB8"/>
    <w:rsid w:val="00041FE8"/>
    <w:rsid w:val="000429CF"/>
    <w:rsid w:val="000436E0"/>
    <w:rsid w:val="00043758"/>
    <w:rsid w:val="00043AF4"/>
    <w:rsid w:val="00043D98"/>
    <w:rsid w:val="000447D1"/>
    <w:rsid w:val="00044F9C"/>
    <w:rsid w:val="00045696"/>
    <w:rsid w:val="00046E11"/>
    <w:rsid w:val="000471E3"/>
    <w:rsid w:val="00050149"/>
    <w:rsid w:val="00050E29"/>
    <w:rsid w:val="000510D1"/>
    <w:rsid w:val="00051A58"/>
    <w:rsid w:val="000526E9"/>
    <w:rsid w:val="0005282C"/>
    <w:rsid w:val="00052C2B"/>
    <w:rsid w:val="000539A9"/>
    <w:rsid w:val="000552E7"/>
    <w:rsid w:val="00057C9E"/>
    <w:rsid w:val="00060248"/>
    <w:rsid w:val="00060CFD"/>
    <w:rsid w:val="000614A7"/>
    <w:rsid w:val="00062084"/>
    <w:rsid w:val="0006230B"/>
    <w:rsid w:val="000625C3"/>
    <w:rsid w:val="00063BA5"/>
    <w:rsid w:val="00063C4B"/>
    <w:rsid w:val="00064CD5"/>
    <w:rsid w:val="00065B1A"/>
    <w:rsid w:val="000668EB"/>
    <w:rsid w:val="00067B29"/>
    <w:rsid w:val="000701AC"/>
    <w:rsid w:val="0007100C"/>
    <w:rsid w:val="00071274"/>
    <w:rsid w:val="0007155B"/>
    <w:rsid w:val="00071BDD"/>
    <w:rsid w:val="000722FC"/>
    <w:rsid w:val="000729B9"/>
    <w:rsid w:val="0007315F"/>
    <w:rsid w:val="0007337D"/>
    <w:rsid w:val="000733FC"/>
    <w:rsid w:val="0007520D"/>
    <w:rsid w:val="0007643B"/>
    <w:rsid w:val="00077A8E"/>
    <w:rsid w:val="00077EF3"/>
    <w:rsid w:val="00080778"/>
    <w:rsid w:val="00080B58"/>
    <w:rsid w:val="00081798"/>
    <w:rsid w:val="000821F1"/>
    <w:rsid w:val="000826FC"/>
    <w:rsid w:val="00082A2A"/>
    <w:rsid w:val="00082BA1"/>
    <w:rsid w:val="000835FC"/>
    <w:rsid w:val="00083E82"/>
    <w:rsid w:val="000855CB"/>
    <w:rsid w:val="000856A3"/>
    <w:rsid w:val="00085888"/>
    <w:rsid w:val="00087254"/>
    <w:rsid w:val="000872CB"/>
    <w:rsid w:val="000874CA"/>
    <w:rsid w:val="000902DE"/>
    <w:rsid w:val="00090746"/>
    <w:rsid w:val="00091013"/>
    <w:rsid w:val="000910E2"/>
    <w:rsid w:val="0009131C"/>
    <w:rsid w:val="00091515"/>
    <w:rsid w:val="0009205F"/>
    <w:rsid w:val="0009593A"/>
    <w:rsid w:val="00095B07"/>
    <w:rsid w:val="0009646B"/>
    <w:rsid w:val="0009665A"/>
    <w:rsid w:val="00096AE6"/>
    <w:rsid w:val="00097456"/>
    <w:rsid w:val="00097900"/>
    <w:rsid w:val="00097A05"/>
    <w:rsid w:val="00097BFE"/>
    <w:rsid w:val="000A0342"/>
    <w:rsid w:val="000A0A07"/>
    <w:rsid w:val="000A3665"/>
    <w:rsid w:val="000A61CB"/>
    <w:rsid w:val="000A671B"/>
    <w:rsid w:val="000A6DF7"/>
    <w:rsid w:val="000A70B4"/>
    <w:rsid w:val="000A72A7"/>
    <w:rsid w:val="000A780B"/>
    <w:rsid w:val="000B1301"/>
    <w:rsid w:val="000B2241"/>
    <w:rsid w:val="000B23E5"/>
    <w:rsid w:val="000B2534"/>
    <w:rsid w:val="000B26A3"/>
    <w:rsid w:val="000B2C35"/>
    <w:rsid w:val="000B49DD"/>
    <w:rsid w:val="000B4C42"/>
    <w:rsid w:val="000B4E9D"/>
    <w:rsid w:val="000B5135"/>
    <w:rsid w:val="000B5CB1"/>
    <w:rsid w:val="000B5E2C"/>
    <w:rsid w:val="000B7B1D"/>
    <w:rsid w:val="000B7CA4"/>
    <w:rsid w:val="000C13F0"/>
    <w:rsid w:val="000C16AB"/>
    <w:rsid w:val="000C2BC6"/>
    <w:rsid w:val="000C2C00"/>
    <w:rsid w:val="000C5925"/>
    <w:rsid w:val="000D02BD"/>
    <w:rsid w:val="000D04AE"/>
    <w:rsid w:val="000D04E9"/>
    <w:rsid w:val="000D05B7"/>
    <w:rsid w:val="000D1044"/>
    <w:rsid w:val="000D10E0"/>
    <w:rsid w:val="000D11CD"/>
    <w:rsid w:val="000D1C8F"/>
    <w:rsid w:val="000D1F18"/>
    <w:rsid w:val="000D3021"/>
    <w:rsid w:val="000D4419"/>
    <w:rsid w:val="000D461C"/>
    <w:rsid w:val="000D6570"/>
    <w:rsid w:val="000D764E"/>
    <w:rsid w:val="000E0E42"/>
    <w:rsid w:val="000E11D8"/>
    <w:rsid w:val="000E130D"/>
    <w:rsid w:val="000E21DC"/>
    <w:rsid w:val="000E245E"/>
    <w:rsid w:val="000E2CE2"/>
    <w:rsid w:val="000E3A9E"/>
    <w:rsid w:val="000E40E0"/>
    <w:rsid w:val="000E69E3"/>
    <w:rsid w:val="000E7541"/>
    <w:rsid w:val="000E7F7E"/>
    <w:rsid w:val="000F0002"/>
    <w:rsid w:val="000F15A3"/>
    <w:rsid w:val="000F31FD"/>
    <w:rsid w:val="000F447C"/>
    <w:rsid w:val="000F487A"/>
    <w:rsid w:val="000F53B0"/>
    <w:rsid w:val="000F6530"/>
    <w:rsid w:val="000F6F21"/>
    <w:rsid w:val="000F6F43"/>
    <w:rsid w:val="000F7FBD"/>
    <w:rsid w:val="0010373E"/>
    <w:rsid w:val="00104D11"/>
    <w:rsid w:val="00105CE3"/>
    <w:rsid w:val="00106767"/>
    <w:rsid w:val="0010716C"/>
    <w:rsid w:val="0010728C"/>
    <w:rsid w:val="001104EB"/>
    <w:rsid w:val="00110693"/>
    <w:rsid w:val="00112C8F"/>
    <w:rsid w:val="0011348C"/>
    <w:rsid w:val="0011372B"/>
    <w:rsid w:val="0011487A"/>
    <w:rsid w:val="00114A06"/>
    <w:rsid w:val="00120FBC"/>
    <w:rsid w:val="00121482"/>
    <w:rsid w:val="00121E9E"/>
    <w:rsid w:val="00122428"/>
    <w:rsid w:val="00122D49"/>
    <w:rsid w:val="00122FEA"/>
    <w:rsid w:val="00123170"/>
    <w:rsid w:val="00123B51"/>
    <w:rsid w:val="0012436A"/>
    <w:rsid w:val="00125967"/>
    <w:rsid w:val="001265DB"/>
    <w:rsid w:val="001270F0"/>
    <w:rsid w:val="0013299F"/>
    <w:rsid w:val="00134870"/>
    <w:rsid w:val="00134B9C"/>
    <w:rsid w:val="00135236"/>
    <w:rsid w:val="001357A9"/>
    <w:rsid w:val="00136CF1"/>
    <w:rsid w:val="00141008"/>
    <w:rsid w:val="00141C4E"/>
    <w:rsid w:val="00143FDB"/>
    <w:rsid w:val="0014400A"/>
    <w:rsid w:val="00144372"/>
    <w:rsid w:val="00144F8A"/>
    <w:rsid w:val="00146098"/>
    <w:rsid w:val="00146A2C"/>
    <w:rsid w:val="00146C19"/>
    <w:rsid w:val="001473B7"/>
    <w:rsid w:val="00147AA8"/>
    <w:rsid w:val="001503BF"/>
    <w:rsid w:val="001506A3"/>
    <w:rsid w:val="00150719"/>
    <w:rsid w:val="001516DC"/>
    <w:rsid w:val="00151D83"/>
    <w:rsid w:val="001531B5"/>
    <w:rsid w:val="0015331C"/>
    <w:rsid w:val="0015335A"/>
    <w:rsid w:val="00153C16"/>
    <w:rsid w:val="00153E0F"/>
    <w:rsid w:val="001541FB"/>
    <w:rsid w:val="0015425B"/>
    <w:rsid w:val="00155D95"/>
    <w:rsid w:val="0015604E"/>
    <w:rsid w:val="001561B7"/>
    <w:rsid w:val="00160A6B"/>
    <w:rsid w:val="00161FF1"/>
    <w:rsid w:val="001621E4"/>
    <w:rsid w:val="00162228"/>
    <w:rsid w:val="00163CA2"/>
    <w:rsid w:val="00165C7E"/>
    <w:rsid w:val="001668B7"/>
    <w:rsid w:val="00166CA5"/>
    <w:rsid w:val="00166E6D"/>
    <w:rsid w:val="00170453"/>
    <w:rsid w:val="00170ACD"/>
    <w:rsid w:val="00171A51"/>
    <w:rsid w:val="00172E10"/>
    <w:rsid w:val="00172ED0"/>
    <w:rsid w:val="00173097"/>
    <w:rsid w:val="00174009"/>
    <w:rsid w:val="00174919"/>
    <w:rsid w:val="00174953"/>
    <w:rsid w:val="0017633C"/>
    <w:rsid w:val="001805C7"/>
    <w:rsid w:val="00181388"/>
    <w:rsid w:val="0018161A"/>
    <w:rsid w:val="001820FE"/>
    <w:rsid w:val="001821C9"/>
    <w:rsid w:val="0018220E"/>
    <w:rsid w:val="001829DA"/>
    <w:rsid w:val="00183AF7"/>
    <w:rsid w:val="0018485F"/>
    <w:rsid w:val="0018502E"/>
    <w:rsid w:val="001850EF"/>
    <w:rsid w:val="001858AE"/>
    <w:rsid w:val="00186156"/>
    <w:rsid w:val="00186530"/>
    <w:rsid w:val="00186E14"/>
    <w:rsid w:val="001873C3"/>
    <w:rsid w:val="001912DF"/>
    <w:rsid w:val="00191AFE"/>
    <w:rsid w:val="00191D19"/>
    <w:rsid w:val="00193A8D"/>
    <w:rsid w:val="00195AAD"/>
    <w:rsid w:val="001968ED"/>
    <w:rsid w:val="00196BDA"/>
    <w:rsid w:val="00196C7D"/>
    <w:rsid w:val="00196F11"/>
    <w:rsid w:val="00197AC5"/>
    <w:rsid w:val="001A0E7B"/>
    <w:rsid w:val="001A3688"/>
    <w:rsid w:val="001A4CCE"/>
    <w:rsid w:val="001A5DEA"/>
    <w:rsid w:val="001A6051"/>
    <w:rsid w:val="001A6A64"/>
    <w:rsid w:val="001A759D"/>
    <w:rsid w:val="001B0F1E"/>
    <w:rsid w:val="001B11E0"/>
    <w:rsid w:val="001B137D"/>
    <w:rsid w:val="001B158E"/>
    <w:rsid w:val="001B1FC8"/>
    <w:rsid w:val="001B26AC"/>
    <w:rsid w:val="001B3674"/>
    <w:rsid w:val="001B3E28"/>
    <w:rsid w:val="001B532D"/>
    <w:rsid w:val="001B55E4"/>
    <w:rsid w:val="001B798E"/>
    <w:rsid w:val="001C121F"/>
    <w:rsid w:val="001C15CA"/>
    <w:rsid w:val="001C1D55"/>
    <w:rsid w:val="001C3F0C"/>
    <w:rsid w:val="001C4378"/>
    <w:rsid w:val="001C4738"/>
    <w:rsid w:val="001C4F9D"/>
    <w:rsid w:val="001C5973"/>
    <w:rsid w:val="001C643B"/>
    <w:rsid w:val="001C6FE4"/>
    <w:rsid w:val="001D0202"/>
    <w:rsid w:val="001D2628"/>
    <w:rsid w:val="001D31CE"/>
    <w:rsid w:val="001D34EF"/>
    <w:rsid w:val="001D3CF3"/>
    <w:rsid w:val="001D4A83"/>
    <w:rsid w:val="001D6DC2"/>
    <w:rsid w:val="001D6E29"/>
    <w:rsid w:val="001E000C"/>
    <w:rsid w:val="001E0DF5"/>
    <w:rsid w:val="001E0E38"/>
    <w:rsid w:val="001E0EA3"/>
    <w:rsid w:val="001E27F8"/>
    <w:rsid w:val="001E54A2"/>
    <w:rsid w:val="001E6476"/>
    <w:rsid w:val="001E6C61"/>
    <w:rsid w:val="001E753E"/>
    <w:rsid w:val="001F03D7"/>
    <w:rsid w:val="001F04C3"/>
    <w:rsid w:val="001F0514"/>
    <w:rsid w:val="001F2288"/>
    <w:rsid w:val="001F3551"/>
    <w:rsid w:val="001F570B"/>
    <w:rsid w:val="001F5E89"/>
    <w:rsid w:val="001F657A"/>
    <w:rsid w:val="001F74E2"/>
    <w:rsid w:val="002006EA"/>
    <w:rsid w:val="002008B7"/>
    <w:rsid w:val="00201271"/>
    <w:rsid w:val="00203233"/>
    <w:rsid w:val="00203EC7"/>
    <w:rsid w:val="00203F18"/>
    <w:rsid w:val="002042A0"/>
    <w:rsid w:val="00204D22"/>
    <w:rsid w:val="002052C4"/>
    <w:rsid w:val="00205F7D"/>
    <w:rsid w:val="00206112"/>
    <w:rsid w:val="002100AA"/>
    <w:rsid w:val="00211974"/>
    <w:rsid w:val="00212E87"/>
    <w:rsid w:val="002131B4"/>
    <w:rsid w:val="00213F25"/>
    <w:rsid w:val="00216BED"/>
    <w:rsid w:val="002174A0"/>
    <w:rsid w:val="00217658"/>
    <w:rsid w:val="002179F2"/>
    <w:rsid w:val="00221069"/>
    <w:rsid w:val="002214EB"/>
    <w:rsid w:val="0022194B"/>
    <w:rsid w:val="002219EC"/>
    <w:rsid w:val="00221A0C"/>
    <w:rsid w:val="0022269E"/>
    <w:rsid w:val="00222E09"/>
    <w:rsid w:val="00223D2B"/>
    <w:rsid w:val="00225412"/>
    <w:rsid w:val="0022565A"/>
    <w:rsid w:val="0022567E"/>
    <w:rsid w:val="0022683A"/>
    <w:rsid w:val="0023047C"/>
    <w:rsid w:val="00232C37"/>
    <w:rsid w:val="00233D1D"/>
    <w:rsid w:val="002359A8"/>
    <w:rsid w:val="00236BD1"/>
    <w:rsid w:val="00240303"/>
    <w:rsid w:val="00240BBF"/>
    <w:rsid w:val="00241766"/>
    <w:rsid w:val="0024178B"/>
    <w:rsid w:val="002426CE"/>
    <w:rsid w:val="00242EC2"/>
    <w:rsid w:val="002434E8"/>
    <w:rsid w:val="0024360C"/>
    <w:rsid w:val="0024422A"/>
    <w:rsid w:val="0024468D"/>
    <w:rsid w:val="00244E59"/>
    <w:rsid w:val="00245171"/>
    <w:rsid w:val="00245859"/>
    <w:rsid w:val="00245CE6"/>
    <w:rsid w:val="00246222"/>
    <w:rsid w:val="002467FB"/>
    <w:rsid w:val="00246B62"/>
    <w:rsid w:val="002473AB"/>
    <w:rsid w:val="00247B10"/>
    <w:rsid w:val="00247EAE"/>
    <w:rsid w:val="00252651"/>
    <w:rsid w:val="002527FE"/>
    <w:rsid w:val="002531D9"/>
    <w:rsid w:val="0025360F"/>
    <w:rsid w:val="00254771"/>
    <w:rsid w:val="002558CD"/>
    <w:rsid w:val="002606B4"/>
    <w:rsid w:val="002617CD"/>
    <w:rsid w:val="00262F33"/>
    <w:rsid w:val="0026451A"/>
    <w:rsid w:val="002651D7"/>
    <w:rsid w:val="00271896"/>
    <w:rsid w:val="002719F7"/>
    <w:rsid w:val="002728D7"/>
    <w:rsid w:val="002735CE"/>
    <w:rsid w:val="00273C25"/>
    <w:rsid w:val="00273D8A"/>
    <w:rsid w:val="00273ECC"/>
    <w:rsid w:val="00273ED9"/>
    <w:rsid w:val="00274049"/>
    <w:rsid w:val="002744B4"/>
    <w:rsid w:val="00274593"/>
    <w:rsid w:val="002747EB"/>
    <w:rsid w:val="00274A0F"/>
    <w:rsid w:val="00276048"/>
    <w:rsid w:val="002761CF"/>
    <w:rsid w:val="002762C8"/>
    <w:rsid w:val="00276715"/>
    <w:rsid w:val="00276FBD"/>
    <w:rsid w:val="00280992"/>
    <w:rsid w:val="00281E0E"/>
    <w:rsid w:val="00282BAC"/>
    <w:rsid w:val="00285033"/>
    <w:rsid w:val="00285305"/>
    <w:rsid w:val="002854D2"/>
    <w:rsid w:val="0028592F"/>
    <w:rsid w:val="002859CD"/>
    <w:rsid w:val="00286418"/>
    <w:rsid w:val="00287B8E"/>
    <w:rsid w:val="00287C39"/>
    <w:rsid w:val="002912E8"/>
    <w:rsid w:val="002915AD"/>
    <w:rsid w:val="0029221A"/>
    <w:rsid w:val="00292384"/>
    <w:rsid w:val="00292CA2"/>
    <w:rsid w:val="00292EC1"/>
    <w:rsid w:val="00296CDE"/>
    <w:rsid w:val="002975E6"/>
    <w:rsid w:val="00297D83"/>
    <w:rsid w:val="00297F17"/>
    <w:rsid w:val="002A0072"/>
    <w:rsid w:val="002A0F9B"/>
    <w:rsid w:val="002A1A18"/>
    <w:rsid w:val="002A1A73"/>
    <w:rsid w:val="002A1CA7"/>
    <w:rsid w:val="002A2670"/>
    <w:rsid w:val="002A26B0"/>
    <w:rsid w:val="002A2946"/>
    <w:rsid w:val="002A2D83"/>
    <w:rsid w:val="002A5B34"/>
    <w:rsid w:val="002A7F13"/>
    <w:rsid w:val="002B047F"/>
    <w:rsid w:val="002B05CF"/>
    <w:rsid w:val="002B13FF"/>
    <w:rsid w:val="002B2CB9"/>
    <w:rsid w:val="002B426B"/>
    <w:rsid w:val="002B45C0"/>
    <w:rsid w:val="002B4669"/>
    <w:rsid w:val="002B48ED"/>
    <w:rsid w:val="002B4E31"/>
    <w:rsid w:val="002B4E59"/>
    <w:rsid w:val="002B6640"/>
    <w:rsid w:val="002B689B"/>
    <w:rsid w:val="002C24CB"/>
    <w:rsid w:val="002C3237"/>
    <w:rsid w:val="002C33AE"/>
    <w:rsid w:val="002C454E"/>
    <w:rsid w:val="002C60CB"/>
    <w:rsid w:val="002C6818"/>
    <w:rsid w:val="002C6D43"/>
    <w:rsid w:val="002C7698"/>
    <w:rsid w:val="002D122F"/>
    <w:rsid w:val="002D12B4"/>
    <w:rsid w:val="002D4EBD"/>
    <w:rsid w:val="002D70B4"/>
    <w:rsid w:val="002D754A"/>
    <w:rsid w:val="002D781B"/>
    <w:rsid w:val="002E0652"/>
    <w:rsid w:val="002E0975"/>
    <w:rsid w:val="002E0B70"/>
    <w:rsid w:val="002E2462"/>
    <w:rsid w:val="002E2AE9"/>
    <w:rsid w:val="002E33CE"/>
    <w:rsid w:val="002E4035"/>
    <w:rsid w:val="002E47FE"/>
    <w:rsid w:val="002E4F7D"/>
    <w:rsid w:val="002E597B"/>
    <w:rsid w:val="002F08DD"/>
    <w:rsid w:val="002F0CE8"/>
    <w:rsid w:val="002F0FE8"/>
    <w:rsid w:val="002F1242"/>
    <w:rsid w:val="002F1D85"/>
    <w:rsid w:val="002F4076"/>
    <w:rsid w:val="002F4249"/>
    <w:rsid w:val="002F45E2"/>
    <w:rsid w:val="002F54EB"/>
    <w:rsid w:val="002F5ACC"/>
    <w:rsid w:val="002F5F1E"/>
    <w:rsid w:val="002F601C"/>
    <w:rsid w:val="002F748C"/>
    <w:rsid w:val="0030122C"/>
    <w:rsid w:val="00301DC9"/>
    <w:rsid w:val="00304DD7"/>
    <w:rsid w:val="00304F50"/>
    <w:rsid w:val="00305657"/>
    <w:rsid w:val="0030713C"/>
    <w:rsid w:val="003074F3"/>
    <w:rsid w:val="00307BD5"/>
    <w:rsid w:val="00310218"/>
    <w:rsid w:val="00310EE4"/>
    <w:rsid w:val="003113DF"/>
    <w:rsid w:val="003119ED"/>
    <w:rsid w:val="00312320"/>
    <w:rsid w:val="00312CC1"/>
    <w:rsid w:val="003132C5"/>
    <w:rsid w:val="00315392"/>
    <w:rsid w:val="00320AC0"/>
    <w:rsid w:val="003210E9"/>
    <w:rsid w:val="00322033"/>
    <w:rsid w:val="00322A2D"/>
    <w:rsid w:val="0032508A"/>
    <w:rsid w:val="0032598D"/>
    <w:rsid w:val="00325C06"/>
    <w:rsid w:val="00325C44"/>
    <w:rsid w:val="00325CF9"/>
    <w:rsid w:val="003263AF"/>
    <w:rsid w:val="00327A8A"/>
    <w:rsid w:val="003300B2"/>
    <w:rsid w:val="00331C00"/>
    <w:rsid w:val="0033215C"/>
    <w:rsid w:val="00334C93"/>
    <w:rsid w:val="003350DD"/>
    <w:rsid w:val="00335312"/>
    <w:rsid w:val="003357B6"/>
    <w:rsid w:val="00336452"/>
    <w:rsid w:val="00336539"/>
    <w:rsid w:val="00336906"/>
    <w:rsid w:val="00336AE0"/>
    <w:rsid w:val="003375D1"/>
    <w:rsid w:val="00340041"/>
    <w:rsid w:val="003405AA"/>
    <w:rsid w:val="0034083A"/>
    <w:rsid w:val="00341986"/>
    <w:rsid w:val="00341BA3"/>
    <w:rsid w:val="0034261A"/>
    <w:rsid w:val="00342A05"/>
    <w:rsid w:val="00343855"/>
    <w:rsid w:val="0034467C"/>
    <w:rsid w:val="00344750"/>
    <w:rsid w:val="0034546F"/>
    <w:rsid w:val="0034623D"/>
    <w:rsid w:val="00346A42"/>
    <w:rsid w:val="00346FF7"/>
    <w:rsid w:val="0035032B"/>
    <w:rsid w:val="00351C34"/>
    <w:rsid w:val="00352879"/>
    <w:rsid w:val="003537FA"/>
    <w:rsid w:val="00354289"/>
    <w:rsid w:val="00354502"/>
    <w:rsid w:val="00355E17"/>
    <w:rsid w:val="00356BD3"/>
    <w:rsid w:val="00356DD3"/>
    <w:rsid w:val="003571AD"/>
    <w:rsid w:val="0035773A"/>
    <w:rsid w:val="00360B26"/>
    <w:rsid w:val="00360D50"/>
    <w:rsid w:val="00361275"/>
    <w:rsid w:val="003621AF"/>
    <w:rsid w:val="0036220A"/>
    <w:rsid w:val="00362578"/>
    <w:rsid w:val="00362ABD"/>
    <w:rsid w:val="0036367F"/>
    <w:rsid w:val="003647B2"/>
    <w:rsid w:val="00364E0E"/>
    <w:rsid w:val="003668CC"/>
    <w:rsid w:val="00372169"/>
    <w:rsid w:val="003755B0"/>
    <w:rsid w:val="00377595"/>
    <w:rsid w:val="00377C2F"/>
    <w:rsid w:val="00380454"/>
    <w:rsid w:val="00380586"/>
    <w:rsid w:val="003809C1"/>
    <w:rsid w:val="00380FA3"/>
    <w:rsid w:val="00381A0D"/>
    <w:rsid w:val="00382995"/>
    <w:rsid w:val="003834E1"/>
    <w:rsid w:val="003849AB"/>
    <w:rsid w:val="003849F7"/>
    <w:rsid w:val="003850E2"/>
    <w:rsid w:val="00385F2E"/>
    <w:rsid w:val="003860DF"/>
    <w:rsid w:val="00386BA1"/>
    <w:rsid w:val="003879AD"/>
    <w:rsid w:val="00387AFB"/>
    <w:rsid w:val="00390F9A"/>
    <w:rsid w:val="0039124E"/>
    <w:rsid w:val="00391379"/>
    <w:rsid w:val="003926F7"/>
    <w:rsid w:val="00392AE9"/>
    <w:rsid w:val="003944FB"/>
    <w:rsid w:val="0039545B"/>
    <w:rsid w:val="00395B09"/>
    <w:rsid w:val="00395B6E"/>
    <w:rsid w:val="00396ACA"/>
    <w:rsid w:val="00397BAC"/>
    <w:rsid w:val="003A0C17"/>
    <w:rsid w:val="003A1639"/>
    <w:rsid w:val="003A1C77"/>
    <w:rsid w:val="003A1EEE"/>
    <w:rsid w:val="003A5369"/>
    <w:rsid w:val="003A7148"/>
    <w:rsid w:val="003A7498"/>
    <w:rsid w:val="003B126C"/>
    <w:rsid w:val="003B1D3B"/>
    <w:rsid w:val="003B240B"/>
    <w:rsid w:val="003B3FAF"/>
    <w:rsid w:val="003B4712"/>
    <w:rsid w:val="003B482A"/>
    <w:rsid w:val="003B4B7B"/>
    <w:rsid w:val="003B53B6"/>
    <w:rsid w:val="003B73D7"/>
    <w:rsid w:val="003C0FF7"/>
    <w:rsid w:val="003C2208"/>
    <w:rsid w:val="003C2AD0"/>
    <w:rsid w:val="003C33C4"/>
    <w:rsid w:val="003C552F"/>
    <w:rsid w:val="003C5C18"/>
    <w:rsid w:val="003C62CD"/>
    <w:rsid w:val="003C6468"/>
    <w:rsid w:val="003C689C"/>
    <w:rsid w:val="003D02B4"/>
    <w:rsid w:val="003D18A5"/>
    <w:rsid w:val="003D2280"/>
    <w:rsid w:val="003D3604"/>
    <w:rsid w:val="003D3CD5"/>
    <w:rsid w:val="003D65D1"/>
    <w:rsid w:val="003D73D8"/>
    <w:rsid w:val="003D7D9E"/>
    <w:rsid w:val="003E08E7"/>
    <w:rsid w:val="003E0FD5"/>
    <w:rsid w:val="003E1466"/>
    <w:rsid w:val="003E19DB"/>
    <w:rsid w:val="003E3066"/>
    <w:rsid w:val="003E330D"/>
    <w:rsid w:val="003E36C3"/>
    <w:rsid w:val="003E3864"/>
    <w:rsid w:val="003E4DB7"/>
    <w:rsid w:val="003E6847"/>
    <w:rsid w:val="003E68E7"/>
    <w:rsid w:val="003E725D"/>
    <w:rsid w:val="003E7993"/>
    <w:rsid w:val="003F0CDD"/>
    <w:rsid w:val="003F0E03"/>
    <w:rsid w:val="003F123A"/>
    <w:rsid w:val="003F15C9"/>
    <w:rsid w:val="003F1A8E"/>
    <w:rsid w:val="003F419B"/>
    <w:rsid w:val="003F4880"/>
    <w:rsid w:val="003F48C2"/>
    <w:rsid w:val="003F4B50"/>
    <w:rsid w:val="003F5137"/>
    <w:rsid w:val="003F5AB1"/>
    <w:rsid w:val="003F662E"/>
    <w:rsid w:val="003F76F6"/>
    <w:rsid w:val="003F7A98"/>
    <w:rsid w:val="0040013B"/>
    <w:rsid w:val="0040017D"/>
    <w:rsid w:val="004006B9"/>
    <w:rsid w:val="00401E94"/>
    <w:rsid w:val="004032D1"/>
    <w:rsid w:val="004034E4"/>
    <w:rsid w:val="00404DE4"/>
    <w:rsid w:val="00405050"/>
    <w:rsid w:val="00405C1B"/>
    <w:rsid w:val="00407435"/>
    <w:rsid w:val="004078E1"/>
    <w:rsid w:val="00410908"/>
    <w:rsid w:val="004111FA"/>
    <w:rsid w:val="004117D7"/>
    <w:rsid w:val="00411D8E"/>
    <w:rsid w:val="00411E9F"/>
    <w:rsid w:val="004122F4"/>
    <w:rsid w:val="00412B6B"/>
    <w:rsid w:val="0041382A"/>
    <w:rsid w:val="00414E5B"/>
    <w:rsid w:val="004177F3"/>
    <w:rsid w:val="0042085F"/>
    <w:rsid w:val="00422175"/>
    <w:rsid w:val="00422A91"/>
    <w:rsid w:val="00422AB5"/>
    <w:rsid w:val="00424025"/>
    <w:rsid w:val="00424074"/>
    <w:rsid w:val="0042445E"/>
    <w:rsid w:val="004249E2"/>
    <w:rsid w:val="00424D57"/>
    <w:rsid w:val="0042642C"/>
    <w:rsid w:val="00427E7C"/>
    <w:rsid w:val="0043088F"/>
    <w:rsid w:val="004312E8"/>
    <w:rsid w:val="00431807"/>
    <w:rsid w:val="00431EF2"/>
    <w:rsid w:val="00432798"/>
    <w:rsid w:val="0043281B"/>
    <w:rsid w:val="00432875"/>
    <w:rsid w:val="00433101"/>
    <w:rsid w:val="004331DA"/>
    <w:rsid w:val="00433216"/>
    <w:rsid w:val="00433497"/>
    <w:rsid w:val="00434720"/>
    <w:rsid w:val="00434761"/>
    <w:rsid w:val="00434EC4"/>
    <w:rsid w:val="00435FF2"/>
    <w:rsid w:val="004372FA"/>
    <w:rsid w:val="0043774F"/>
    <w:rsid w:val="0043798A"/>
    <w:rsid w:val="00440431"/>
    <w:rsid w:val="004405A2"/>
    <w:rsid w:val="00441E9B"/>
    <w:rsid w:val="00443CC6"/>
    <w:rsid w:val="00444D89"/>
    <w:rsid w:val="004452F0"/>
    <w:rsid w:val="00446566"/>
    <w:rsid w:val="00446859"/>
    <w:rsid w:val="00446D8D"/>
    <w:rsid w:val="00450B28"/>
    <w:rsid w:val="00451F6C"/>
    <w:rsid w:val="0045456D"/>
    <w:rsid w:val="00455327"/>
    <w:rsid w:val="00455C0C"/>
    <w:rsid w:val="00457711"/>
    <w:rsid w:val="00460CAE"/>
    <w:rsid w:val="00460DF1"/>
    <w:rsid w:val="00462622"/>
    <w:rsid w:val="0046288A"/>
    <w:rsid w:val="00462DD4"/>
    <w:rsid w:val="00463C9C"/>
    <w:rsid w:val="00463CB4"/>
    <w:rsid w:val="00463F40"/>
    <w:rsid w:val="004649AE"/>
    <w:rsid w:val="00465BA6"/>
    <w:rsid w:val="00465F90"/>
    <w:rsid w:val="00466D84"/>
    <w:rsid w:val="00466DE1"/>
    <w:rsid w:val="0046735E"/>
    <w:rsid w:val="004674DE"/>
    <w:rsid w:val="004679D7"/>
    <w:rsid w:val="00467D10"/>
    <w:rsid w:val="00467D1C"/>
    <w:rsid w:val="00467DB7"/>
    <w:rsid w:val="0046F733"/>
    <w:rsid w:val="004702A2"/>
    <w:rsid w:val="00470598"/>
    <w:rsid w:val="00472383"/>
    <w:rsid w:val="00472CBC"/>
    <w:rsid w:val="0047488B"/>
    <w:rsid w:val="004748BA"/>
    <w:rsid w:val="00474E7A"/>
    <w:rsid w:val="004751EA"/>
    <w:rsid w:val="00475766"/>
    <w:rsid w:val="0047691C"/>
    <w:rsid w:val="00476931"/>
    <w:rsid w:val="00477BA5"/>
    <w:rsid w:val="004806F1"/>
    <w:rsid w:val="0048099C"/>
    <w:rsid w:val="00480B29"/>
    <w:rsid w:val="0048326D"/>
    <w:rsid w:val="00483CA3"/>
    <w:rsid w:val="00484053"/>
    <w:rsid w:val="004913CB"/>
    <w:rsid w:val="00491BEA"/>
    <w:rsid w:val="00491CF3"/>
    <w:rsid w:val="00492422"/>
    <w:rsid w:val="0049249E"/>
    <w:rsid w:val="004970D8"/>
    <w:rsid w:val="0049724C"/>
    <w:rsid w:val="00497412"/>
    <w:rsid w:val="00497DF2"/>
    <w:rsid w:val="004A0600"/>
    <w:rsid w:val="004A07E5"/>
    <w:rsid w:val="004A08EA"/>
    <w:rsid w:val="004A0F13"/>
    <w:rsid w:val="004A10DC"/>
    <w:rsid w:val="004A153D"/>
    <w:rsid w:val="004A1743"/>
    <w:rsid w:val="004A1766"/>
    <w:rsid w:val="004A1AD2"/>
    <w:rsid w:val="004A1BFF"/>
    <w:rsid w:val="004A3577"/>
    <w:rsid w:val="004A3B23"/>
    <w:rsid w:val="004A4738"/>
    <w:rsid w:val="004A4B15"/>
    <w:rsid w:val="004A6193"/>
    <w:rsid w:val="004A647A"/>
    <w:rsid w:val="004A7B2A"/>
    <w:rsid w:val="004B0314"/>
    <w:rsid w:val="004B196E"/>
    <w:rsid w:val="004B2499"/>
    <w:rsid w:val="004B4782"/>
    <w:rsid w:val="004B4AA8"/>
    <w:rsid w:val="004B58FF"/>
    <w:rsid w:val="004B642C"/>
    <w:rsid w:val="004B7F88"/>
    <w:rsid w:val="004B7FA9"/>
    <w:rsid w:val="004C0356"/>
    <w:rsid w:val="004C0379"/>
    <w:rsid w:val="004C2773"/>
    <w:rsid w:val="004C2CE4"/>
    <w:rsid w:val="004C3297"/>
    <w:rsid w:val="004C32A9"/>
    <w:rsid w:val="004C32F0"/>
    <w:rsid w:val="004C37F0"/>
    <w:rsid w:val="004C3D34"/>
    <w:rsid w:val="004C3E2E"/>
    <w:rsid w:val="004C43D0"/>
    <w:rsid w:val="004C61C4"/>
    <w:rsid w:val="004C67C9"/>
    <w:rsid w:val="004C7524"/>
    <w:rsid w:val="004D02AC"/>
    <w:rsid w:val="004D0769"/>
    <w:rsid w:val="004D1CC1"/>
    <w:rsid w:val="004D307F"/>
    <w:rsid w:val="004D4045"/>
    <w:rsid w:val="004D4921"/>
    <w:rsid w:val="004D5AFD"/>
    <w:rsid w:val="004D6246"/>
    <w:rsid w:val="004D78A8"/>
    <w:rsid w:val="004E07BF"/>
    <w:rsid w:val="004E0AA6"/>
    <w:rsid w:val="004E2B84"/>
    <w:rsid w:val="004E3BE3"/>
    <w:rsid w:val="004E4643"/>
    <w:rsid w:val="004E4BEF"/>
    <w:rsid w:val="004E6179"/>
    <w:rsid w:val="004E683F"/>
    <w:rsid w:val="004F00BE"/>
    <w:rsid w:val="004F0262"/>
    <w:rsid w:val="004F0612"/>
    <w:rsid w:val="004F28F8"/>
    <w:rsid w:val="004F2C4D"/>
    <w:rsid w:val="004F3145"/>
    <w:rsid w:val="004F3821"/>
    <w:rsid w:val="004F45BE"/>
    <w:rsid w:val="004F5B60"/>
    <w:rsid w:val="004F7318"/>
    <w:rsid w:val="004F7967"/>
    <w:rsid w:val="0050059B"/>
    <w:rsid w:val="00500FBB"/>
    <w:rsid w:val="00501CCA"/>
    <w:rsid w:val="005022D1"/>
    <w:rsid w:val="005025B1"/>
    <w:rsid w:val="00503A74"/>
    <w:rsid w:val="00504B45"/>
    <w:rsid w:val="00504FB6"/>
    <w:rsid w:val="00505A10"/>
    <w:rsid w:val="00506260"/>
    <w:rsid w:val="005104BC"/>
    <w:rsid w:val="00510E23"/>
    <w:rsid w:val="00513B44"/>
    <w:rsid w:val="00515980"/>
    <w:rsid w:val="005159EC"/>
    <w:rsid w:val="005166FF"/>
    <w:rsid w:val="00517E63"/>
    <w:rsid w:val="00520355"/>
    <w:rsid w:val="005215A2"/>
    <w:rsid w:val="0052536B"/>
    <w:rsid w:val="00525853"/>
    <w:rsid w:val="00525A0E"/>
    <w:rsid w:val="00526780"/>
    <w:rsid w:val="00527476"/>
    <w:rsid w:val="005274A7"/>
    <w:rsid w:val="00527AF8"/>
    <w:rsid w:val="00530B72"/>
    <w:rsid w:val="00530FF2"/>
    <w:rsid w:val="0053660A"/>
    <w:rsid w:val="00536DED"/>
    <w:rsid w:val="005371A3"/>
    <w:rsid w:val="005375AB"/>
    <w:rsid w:val="005376F4"/>
    <w:rsid w:val="00537A62"/>
    <w:rsid w:val="00537BD3"/>
    <w:rsid w:val="00540361"/>
    <w:rsid w:val="00541C11"/>
    <w:rsid w:val="00541EC5"/>
    <w:rsid w:val="00541F42"/>
    <w:rsid w:val="005434C6"/>
    <w:rsid w:val="00543FB8"/>
    <w:rsid w:val="00544066"/>
    <w:rsid w:val="005440A9"/>
    <w:rsid w:val="005446EA"/>
    <w:rsid w:val="00545931"/>
    <w:rsid w:val="00546133"/>
    <w:rsid w:val="005464A7"/>
    <w:rsid w:val="00546DD0"/>
    <w:rsid w:val="005517B5"/>
    <w:rsid w:val="00551DB2"/>
    <w:rsid w:val="00551DCE"/>
    <w:rsid w:val="005520D0"/>
    <w:rsid w:val="00553E1A"/>
    <w:rsid w:val="0055464E"/>
    <w:rsid w:val="005549B9"/>
    <w:rsid w:val="005549F9"/>
    <w:rsid w:val="0055535A"/>
    <w:rsid w:val="005559E6"/>
    <w:rsid w:val="00555B85"/>
    <w:rsid w:val="00555BDE"/>
    <w:rsid w:val="00557768"/>
    <w:rsid w:val="00557850"/>
    <w:rsid w:val="0056095C"/>
    <w:rsid w:val="00560A03"/>
    <w:rsid w:val="005624F0"/>
    <w:rsid w:val="005648EA"/>
    <w:rsid w:val="00564CA7"/>
    <w:rsid w:val="005654EC"/>
    <w:rsid w:val="005675DF"/>
    <w:rsid w:val="00567FDB"/>
    <w:rsid w:val="00571549"/>
    <w:rsid w:val="00571B3B"/>
    <w:rsid w:val="00571CBA"/>
    <w:rsid w:val="00572F16"/>
    <w:rsid w:val="0057306F"/>
    <w:rsid w:val="00573C16"/>
    <w:rsid w:val="00574B98"/>
    <w:rsid w:val="005750BA"/>
    <w:rsid w:val="0057522B"/>
    <w:rsid w:val="005758BF"/>
    <w:rsid w:val="005759F8"/>
    <w:rsid w:val="00575CE7"/>
    <w:rsid w:val="0057727F"/>
    <w:rsid w:val="005818C6"/>
    <w:rsid w:val="00581946"/>
    <w:rsid w:val="005820F6"/>
    <w:rsid w:val="005834D7"/>
    <w:rsid w:val="00583AB5"/>
    <w:rsid w:val="00583B27"/>
    <w:rsid w:val="00585A2C"/>
    <w:rsid w:val="00585DAF"/>
    <w:rsid w:val="005866AC"/>
    <w:rsid w:val="00586C89"/>
    <w:rsid w:val="00587A10"/>
    <w:rsid w:val="00590CDF"/>
    <w:rsid w:val="00594353"/>
    <w:rsid w:val="00594915"/>
    <w:rsid w:val="00594F94"/>
    <w:rsid w:val="005956CB"/>
    <w:rsid w:val="00596B2B"/>
    <w:rsid w:val="005A0F1E"/>
    <w:rsid w:val="005A113E"/>
    <w:rsid w:val="005A154D"/>
    <w:rsid w:val="005A2335"/>
    <w:rsid w:val="005A2B97"/>
    <w:rsid w:val="005A33BA"/>
    <w:rsid w:val="005A34D4"/>
    <w:rsid w:val="005A3F74"/>
    <w:rsid w:val="005A3FBF"/>
    <w:rsid w:val="005A4725"/>
    <w:rsid w:val="005A4D32"/>
    <w:rsid w:val="005A5A71"/>
    <w:rsid w:val="005A7098"/>
    <w:rsid w:val="005A74B0"/>
    <w:rsid w:val="005B084E"/>
    <w:rsid w:val="005B1617"/>
    <w:rsid w:val="005B2129"/>
    <w:rsid w:val="005B33A0"/>
    <w:rsid w:val="005B4529"/>
    <w:rsid w:val="005B6CBB"/>
    <w:rsid w:val="005B7BB6"/>
    <w:rsid w:val="005B7C82"/>
    <w:rsid w:val="005B7E3C"/>
    <w:rsid w:val="005C01CE"/>
    <w:rsid w:val="005C0329"/>
    <w:rsid w:val="005C072D"/>
    <w:rsid w:val="005C0C56"/>
    <w:rsid w:val="005C10FA"/>
    <w:rsid w:val="005C13F8"/>
    <w:rsid w:val="005C26AD"/>
    <w:rsid w:val="005C2966"/>
    <w:rsid w:val="005C2D0B"/>
    <w:rsid w:val="005C38D9"/>
    <w:rsid w:val="005C4911"/>
    <w:rsid w:val="005C59C5"/>
    <w:rsid w:val="005C5FEF"/>
    <w:rsid w:val="005C67B6"/>
    <w:rsid w:val="005C70D7"/>
    <w:rsid w:val="005C79CB"/>
    <w:rsid w:val="005D0844"/>
    <w:rsid w:val="005D142E"/>
    <w:rsid w:val="005D23B7"/>
    <w:rsid w:val="005D267B"/>
    <w:rsid w:val="005D2C56"/>
    <w:rsid w:val="005D3496"/>
    <w:rsid w:val="005D36CE"/>
    <w:rsid w:val="005D38CF"/>
    <w:rsid w:val="005D435E"/>
    <w:rsid w:val="005D58B0"/>
    <w:rsid w:val="005D5CE7"/>
    <w:rsid w:val="005D632B"/>
    <w:rsid w:val="005D664C"/>
    <w:rsid w:val="005D6929"/>
    <w:rsid w:val="005D6CCB"/>
    <w:rsid w:val="005D773A"/>
    <w:rsid w:val="005D7E63"/>
    <w:rsid w:val="005DD6E8"/>
    <w:rsid w:val="005E1A55"/>
    <w:rsid w:val="005E1B1F"/>
    <w:rsid w:val="005E5E81"/>
    <w:rsid w:val="005E6CF4"/>
    <w:rsid w:val="005E716D"/>
    <w:rsid w:val="005F0BD9"/>
    <w:rsid w:val="005F3B22"/>
    <w:rsid w:val="005F48C8"/>
    <w:rsid w:val="005F4AE2"/>
    <w:rsid w:val="005F4B9C"/>
    <w:rsid w:val="005F4E2F"/>
    <w:rsid w:val="005F55FC"/>
    <w:rsid w:val="005F6E58"/>
    <w:rsid w:val="005F72B0"/>
    <w:rsid w:val="005F7BAD"/>
    <w:rsid w:val="0060100C"/>
    <w:rsid w:val="006019A0"/>
    <w:rsid w:val="00601CC9"/>
    <w:rsid w:val="00601E73"/>
    <w:rsid w:val="00602145"/>
    <w:rsid w:val="00602447"/>
    <w:rsid w:val="00602A37"/>
    <w:rsid w:val="006030B6"/>
    <w:rsid w:val="00603697"/>
    <w:rsid w:val="006036F6"/>
    <w:rsid w:val="006037A5"/>
    <w:rsid w:val="00604259"/>
    <w:rsid w:val="00604E78"/>
    <w:rsid w:val="00605D40"/>
    <w:rsid w:val="00606478"/>
    <w:rsid w:val="006072C6"/>
    <w:rsid w:val="00607709"/>
    <w:rsid w:val="00607F90"/>
    <w:rsid w:val="00610947"/>
    <w:rsid w:val="006111CE"/>
    <w:rsid w:val="006123AA"/>
    <w:rsid w:val="00612A5E"/>
    <w:rsid w:val="00612FAF"/>
    <w:rsid w:val="0061303C"/>
    <w:rsid w:val="00614D0F"/>
    <w:rsid w:val="006164E5"/>
    <w:rsid w:val="0061670E"/>
    <w:rsid w:val="00616806"/>
    <w:rsid w:val="006169F0"/>
    <w:rsid w:val="00620474"/>
    <w:rsid w:val="00620A3C"/>
    <w:rsid w:val="00621E15"/>
    <w:rsid w:val="00622042"/>
    <w:rsid w:val="00624546"/>
    <w:rsid w:val="00627C54"/>
    <w:rsid w:val="00630046"/>
    <w:rsid w:val="0063088C"/>
    <w:rsid w:val="00631C5F"/>
    <w:rsid w:val="00631E41"/>
    <w:rsid w:val="0063228A"/>
    <w:rsid w:val="00632E62"/>
    <w:rsid w:val="00634174"/>
    <w:rsid w:val="006347A6"/>
    <w:rsid w:val="00634BF6"/>
    <w:rsid w:val="00634E71"/>
    <w:rsid w:val="006354C6"/>
    <w:rsid w:val="00635809"/>
    <w:rsid w:val="006359A8"/>
    <w:rsid w:val="006405E6"/>
    <w:rsid w:val="00640A7C"/>
    <w:rsid w:val="006419F3"/>
    <w:rsid w:val="0064244F"/>
    <w:rsid w:val="0064248D"/>
    <w:rsid w:val="006441F4"/>
    <w:rsid w:val="00647552"/>
    <w:rsid w:val="00647685"/>
    <w:rsid w:val="00650655"/>
    <w:rsid w:val="006506C6"/>
    <w:rsid w:val="00650D2E"/>
    <w:rsid w:val="0065163D"/>
    <w:rsid w:val="00652A7D"/>
    <w:rsid w:val="00652F75"/>
    <w:rsid w:val="006536AE"/>
    <w:rsid w:val="0065384E"/>
    <w:rsid w:val="006544BB"/>
    <w:rsid w:val="0065498A"/>
    <w:rsid w:val="00655009"/>
    <w:rsid w:val="00655090"/>
    <w:rsid w:val="00655493"/>
    <w:rsid w:val="00655999"/>
    <w:rsid w:val="00656BD7"/>
    <w:rsid w:val="00656FF8"/>
    <w:rsid w:val="006570B5"/>
    <w:rsid w:val="00657941"/>
    <w:rsid w:val="00657AA1"/>
    <w:rsid w:val="00657C10"/>
    <w:rsid w:val="0066009C"/>
    <w:rsid w:val="006601C7"/>
    <w:rsid w:val="00660580"/>
    <w:rsid w:val="00660584"/>
    <w:rsid w:val="006614EA"/>
    <w:rsid w:val="00661D57"/>
    <w:rsid w:val="0066258B"/>
    <w:rsid w:val="006647F9"/>
    <w:rsid w:val="00664877"/>
    <w:rsid w:val="006649EC"/>
    <w:rsid w:val="00664FE7"/>
    <w:rsid w:val="00665378"/>
    <w:rsid w:val="006656F8"/>
    <w:rsid w:val="0066674F"/>
    <w:rsid w:val="006673AD"/>
    <w:rsid w:val="00667579"/>
    <w:rsid w:val="006675DA"/>
    <w:rsid w:val="00667621"/>
    <w:rsid w:val="0067088D"/>
    <w:rsid w:val="00670EDB"/>
    <w:rsid w:val="006719A6"/>
    <w:rsid w:val="00673BDA"/>
    <w:rsid w:val="00673CA2"/>
    <w:rsid w:val="00673DC8"/>
    <w:rsid w:val="00673DEC"/>
    <w:rsid w:val="006745A4"/>
    <w:rsid w:val="00676985"/>
    <w:rsid w:val="00676D9C"/>
    <w:rsid w:val="0067750C"/>
    <w:rsid w:val="006778FD"/>
    <w:rsid w:val="00681A3C"/>
    <w:rsid w:val="00681FE0"/>
    <w:rsid w:val="00682536"/>
    <w:rsid w:val="00682692"/>
    <w:rsid w:val="006828D1"/>
    <w:rsid w:val="00682CA5"/>
    <w:rsid w:val="006835A9"/>
    <w:rsid w:val="006854C5"/>
    <w:rsid w:val="00686C2B"/>
    <w:rsid w:val="00690AAA"/>
    <w:rsid w:val="00692990"/>
    <w:rsid w:val="00692C2B"/>
    <w:rsid w:val="00693550"/>
    <w:rsid w:val="00693AC8"/>
    <w:rsid w:val="00693EF7"/>
    <w:rsid w:val="00693F45"/>
    <w:rsid w:val="00694F2E"/>
    <w:rsid w:val="006957E9"/>
    <w:rsid w:val="00696B9B"/>
    <w:rsid w:val="00696D7D"/>
    <w:rsid w:val="006A0152"/>
    <w:rsid w:val="006A03BE"/>
    <w:rsid w:val="006A0488"/>
    <w:rsid w:val="006A0B40"/>
    <w:rsid w:val="006A18BD"/>
    <w:rsid w:val="006A195C"/>
    <w:rsid w:val="006A1B61"/>
    <w:rsid w:val="006A1CBD"/>
    <w:rsid w:val="006A2871"/>
    <w:rsid w:val="006A287D"/>
    <w:rsid w:val="006A2A86"/>
    <w:rsid w:val="006A3133"/>
    <w:rsid w:val="006A4AD2"/>
    <w:rsid w:val="006A57E8"/>
    <w:rsid w:val="006A7C4D"/>
    <w:rsid w:val="006B06EF"/>
    <w:rsid w:val="006B0AA0"/>
    <w:rsid w:val="006B13FD"/>
    <w:rsid w:val="006B1E06"/>
    <w:rsid w:val="006B21CE"/>
    <w:rsid w:val="006B23BD"/>
    <w:rsid w:val="006B3B85"/>
    <w:rsid w:val="006B3F43"/>
    <w:rsid w:val="006B5678"/>
    <w:rsid w:val="006B60F0"/>
    <w:rsid w:val="006B7168"/>
    <w:rsid w:val="006B85EA"/>
    <w:rsid w:val="006C09E1"/>
    <w:rsid w:val="006C1BD3"/>
    <w:rsid w:val="006C20B4"/>
    <w:rsid w:val="006C242D"/>
    <w:rsid w:val="006C28C2"/>
    <w:rsid w:val="006C35FE"/>
    <w:rsid w:val="006C440E"/>
    <w:rsid w:val="006C51F2"/>
    <w:rsid w:val="006C5AE4"/>
    <w:rsid w:val="006C6F09"/>
    <w:rsid w:val="006C7D32"/>
    <w:rsid w:val="006D2920"/>
    <w:rsid w:val="006D414B"/>
    <w:rsid w:val="006D47EC"/>
    <w:rsid w:val="006D52C6"/>
    <w:rsid w:val="006D54FC"/>
    <w:rsid w:val="006D6812"/>
    <w:rsid w:val="006D6875"/>
    <w:rsid w:val="006D6A54"/>
    <w:rsid w:val="006D7C3F"/>
    <w:rsid w:val="006D7CD5"/>
    <w:rsid w:val="006E0073"/>
    <w:rsid w:val="006E018D"/>
    <w:rsid w:val="006E0BBB"/>
    <w:rsid w:val="006E0E04"/>
    <w:rsid w:val="006E0EBE"/>
    <w:rsid w:val="006E13DE"/>
    <w:rsid w:val="006E1854"/>
    <w:rsid w:val="006E18DB"/>
    <w:rsid w:val="006E2513"/>
    <w:rsid w:val="006E277B"/>
    <w:rsid w:val="006E50C1"/>
    <w:rsid w:val="006E5368"/>
    <w:rsid w:val="006E678E"/>
    <w:rsid w:val="006E6965"/>
    <w:rsid w:val="006E77C7"/>
    <w:rsid w:val="006F1B54"/>
    <w:rsid w:val="006F30C4"/>
    <w:rsid w:val="006F32B7"/>
    <w:rsid w:val="006F4E2F"/>
    <w:rsid w:val="006F6729"/>
    <w:rsid w:val="006F6C28"/>
    <w:rsid w:val="006F748F"/>
    <w:rsid w:val="006F74F1"/>
    <w:rsid w:val="007004F2"/>
    <w:rsid w:val="00700DF3"/>
    <w:rsid w:val="007010BC"/>
    <w:rsid w:val="00701CBD"/>
    <w:rsid w:val="00701DD6"/>
    <w:rsid w:val="007030A4"/>
    <w:rsid w:val="007037E0"/>
    <w:rsid w:val="00711019"/>
    <w:rsid w:val="00711CA8"/>
    <w:rsid w:val="00711FDB"/>
    <w:rsid w:val="00711FF6"/>
    <w:rsid w:val="00712BD7"/>
    <w:rsid w:val="007132BA"/>
    <w:rsid w:val="00713819"/>
    <w:rsid w:val="00713B32"/>
    <w:rsid w:val="00713C74"/>
    <w:rsid w:val="00713FC5"/>
    <w:rsid w:val="00716748"/>
    <w:rsid w:val="00717865"/>
    <w:rsid w:val="0072057C"/>
    <w:rsid w:val="00720A34"/>
    <w:rsid w:val="00720C25"/>
    <w:rsid w:val="00720E1F"/>
    <w:rsid w:val="00720ED0"/>
    <w:rsid w:val="00722AFF"/>
    <w:rsid w:val="0072308F"/>
    <w:rsid w:val="00723975"/>
    <w:rsid w:val="00724CF9"/>
    <w:rsid w:val="00725327"/>
    <w:rsid w:val="007266C2"/>
    <w:rsid w:val="00727213"/>
    <w:rsid w:val="007274B4"/>
    <w:rsid w:val="00727B71"/>
    <w:rsid w:val="00730EE3"/>
    <w:rsid w:val="007310CB"/>
    <w:rsid w:val="00732DE4"/>
    <w:rsid w:val="00734359"/>
    <w:rsid w:val="00734688"/>
    <w:rsid w:val="00734CA6"/>
    <w:rsid w:val="00735134"/>
    <w:rsid w:val="0073545C"/>
    <w:rsid w:val="00736864"/>
    <w:rsid w:val="00736C21"/>
    <w:rsid w:val="00737F60"/>
    <w:rsid w:val="0074063C"/>
    <w:rsid w:val="00740953"/>
    <w:rsid w:val="00740E47"/>
    <w:rsid w:val="007417A9"/>
    <w:rsid w:val="00741854"/>
    <w:rsid w:val="007418DE"/>
    <w:rsid w:val="00741C7F"/>
    <w:rsid w:val="00741D98"/>
    <w:rsid w:val="00742090"/>
    <w:rsid w:val="007436A9"/>
    <w:rsid w:val="00743976"/>
    <w:rsid w:val="00744732"/>
    <w:rsid w:val="0074519F"/>
    <w:rsid w:val="00745218"/>
    <w:rsid w:val="007453CB"/>
    <w:rsid w:val="00747D54"/>
    <w:rsid w:val="00751824"/>
    <w:rsid w:val="007520BA"/>
    <w:rsid w:val="00753DCD"/>
    <w:rsid w:val="00754C62"/>
    <w:rsid w:val="007564A5"/>
    <w:rsid w:val="00756EAA"/>
    <w:rsid w:val="007571BF"/>
    <w:rsid w:val="00760ABE"/>
    <w:rsid w:val="007612D5"/>
    <w:rsid w:val="007621B1"/>
    <w:rsid w:val="0076649D"/>
    <w:rsid w:val="0076660A"/>
    <w:rsid w:val="007669EC"/>
    <w:rsid w:val="00766D0D"/>
    <w:rsid w:val="00766EDE"/>
    <w:rsid w:val="00767D2E"/>
    <w:rsid w:val="00770258"/>
    <w:rsid w:val="0077120B"/>
    <w:rsid w:val="00771D0B"/>
    <w:rsid w:val="00771F9B"/>
    <w:rsid w:val="0077351B"/>
    <w:rsid w:val="0077371A"/>
    <w:rsid w:val="00774918"/>
    <w:rsid w:val="00774969"/>
    <w:rsid w:val="00774FE2"/>
    <w:rsid w:val="0077537C"/>
    <w:rsid w:val="00776DDE"/>
    <w:rsid w:val="007805CE"/>
    <w:rsid w:val="00780AC4"/>
    <w:rsid w:val="0078167D"/>
    <w:rsid w:val="00781AAC"/>
    <w:rsid w:val="00781DB8"/>
    <w:rsid w:val="007827CA"/>
    <w:rsid w:val="007832EC"/>
    <w:rsid w:val="00785150"/>
    <w:rsid w:val="00785E18"/>
    <w:rsid w:val="00786704"/>
    <w:rsid w:val="00786867"/>
    <w:rsid w:val="00786C13"/>
    <w:rsid w:val="00787A28"/>
    <w:rsid w:val="00790DDD"/>
    <w:rsid w:val="0079396E"/>
    <w:rsid w:val="00794541"/>
    <w:rsid w:val="00795558"/>
    <w:rsid w:val="007967D1"/>
    <w:rsid w:val="00796A32"/>
    <w:rsid w:val="00796E22"/>
    <w:rsid w:val="00797A9C"/>
    <w:rsid w:val="007A04D1"/>
    <w:rsid w:val="007A08BF"/>
    <w:rsid w:val="007A2B41"/>
    <w:rsid w:val="007A330F"/>
    <w:rsid w:val="007A4B66"/>
    <w:rsid w:val="007A7550"/>
    <w:rsid w:val="007A7787"/>
    <w:rsid w:val="007B0D5B"/>
    <w:rsid w:val="007B17D9"/>
    <w:rsid w:val="007B2365"/>
    <w:rsid w:val="007B3A8D"/>
    <w:rsid w:val="007B3FBF"/>
    <w:rsid w:val="007B40A0"/>
    <w:rsid w:val="007B552C"/>
    <w:rsid w:val="007C090A"/>
    <w:rsid w:val="007C13C6"/>
    <w:rsid w:val="007C1CE7"/>
    <w:rsid w:val="007C1D6C"/>
    <w:rsid w:val="007C2686"/>
    <w:rsid w:val="007C3318"/>
    <w:rsid w:val="007C3CB6"/>
    <w:rsid w:val="007C3DE4"/>
    <w:rsid w:val="007C41F7"/>
    <w:rsid w:val="007C4A48"/>
    <w:rsid w:val="007C4A6A"/>
    <w:rsid w:val="007C4A74"/>
    <w:rsid w:val="007C4AB9"/>
    <w:rsid w:val="007C4C77"/>
    <w:rsid w:val="007C58C8"/>
    <w:rsid w:val="007D0B75"/>
    <w:rsid w:val="007D14CF"/>
    <w:rsid w:val="007D1DAA"/>
    <w:rsid w:val="007D1E3A"/>
    <w:rsid w:val="007D284B"/>
    <w:rsid w:val="007D2D17"/>
    <w:rsid w:val="007D454C"/>
    <w:rsid w:val="007D4B3F"/>
    <w:rsid w:val="007D4C34"/>
    <w:rsid w:val="007D6667"/>
    <w:rsid w:val="007D8D4F"/>
    <w:rsid w:val="007E0112"/>
    <w:rsid w:val="007E098C"/>
    <w:rsid w:val="007E18E4"/>
    <w:rsid w:val="007E1929"/>
    <w:rsid w:val="007E200A"/>
    <w:rsid w:val="007E334B"/>
    <w:rsid w:val="007E4135"/>
    <w:rsid w:val="007E445D"/>
    <w:rsid w:val="007E52BA"/>
    <w:rsid w:val="007E5331"/>
    <w:rsid w:val="007E5B1F"/>
    <w:rsid w:val="007E6513"/>
    <w:rsid w:val="007E68DE"/>
    <w:rsid w:val="007E6B06"/>
    <w:rsid w:val="007E7BEC"/>
    <w:rsid w:val="007F0BC6"/>
    <w:rsid w:val="007F2CB9"/>
    <w:rsid w:val="007F443D"/>
    <w:rsid w:val="007F44FB"/>
    <w:rsid w:val="007F4ABE"/>
    <w:rsid w:val="007F50DB"/>
    <w:rsid w:val="007F5798"/>
    <w:rsid w:val="007F5B17"/>
    <w:rsid w:val="007F5F7B"/>
    <w:rsid w:val="007F6F9D"/>
    <w:rsid w:val="007F7275"/>
    <w:rsid w:val="007F7DF1"/>
    <w:rsid w:val="0080170B"/>
    <w:rsid w:val="00801A82"/>
    <w:rsid w:val="00803341"/>
    <w:rsid w:val="00804403"/>
    <w:rsid w:val="0080770B"/>
    <w:rsid w:val="008077A4"/>
    <w:rsid w:val="008100AE"/>
    <w:rsid w:val="00810D91"/>
    <w:rsid w:val="00810ECB"/>
    <w:rsid w:val="008115BB"/>
    <w:rsid w:val="0081306B"/>
    <w:rsid w:val="00813FD3"/>
    <w:rsid w:val="00814AB9"/>
    <w:rsid w:val="00814ACE"/>
    <w:rsid w:val="00814F14"/>
    <w:rsid w:val="00815B6B"/>
    <w:rsid w:val="00816AAE"/>
    <w:rsid w:val="00820784"/>
    <w:rsid w:val="008220BC"/>
    <w:rsid w:val="0082243C"/>
    <w:rsid w:val="008224A9"/>
    <w:rsid w:val="008237E1"/>
    <w:rsid w:val="008260DA"/>
    <w:rsid w:val="00826438"/>
    <w:rsid w:val="00826723"/>
    <w:rsid w:val="00830A8A"/>
    <w:rsid w:val="008312CF"/>
    <w:rsid w:val="0083181C"/>
    <w:rsid w:val="00831D23"/>
    <w:rsid w:val="00832508"/>
    <w:rsid w:val="00832D54"/>
    <w:rsid w:val="0083458B"/>
    <w:rsid w:val="00835A17"/>
    <w:rsid w:val="00835BED"/>
    <w:rsid w:val="0083717F"/>
    <w:rsid w:val="00837274"/>
    <w:rsid w:val="0084103E"/>
    <w:rsid w:val="0084156C"/>
    <w:rsid w:val="00841732"/>
    <w:rsid w:val="008427E6"/>
    <w:rsid w:val="008429A4"/>
    <w:rsid w:val="00843216"/>
    <w:rsid w:val="00845147"/>
    <w:rsid w:val="00845664"/>
    <w:rsid w:val="008456E5"/>
    <w:rsid w:val="00847DBE"/>
    <w:rsid w:val="00850492"/>
    <w:rsid w:val="00850CAC"/>
    <w:rsid w:val="008511EF"/>
    <w:rsid w:val="008516AC"/>
    <w:rsid w:val="008519F5"/>
    <w:rsid w:val="00852BEB"/>
    <w:rsid w:val="008534BA"/>
    <w:rsid w:val="00854416"/>
    <w:rsid w:val="00854692"/>
    <w:rsid w:val="008546E9"/>
    <w:rsid w:val="008549DA"/>
    <w:rsid w:val="00855C32"/>
    <w:rsid w:val="008564C1"/>
    <w:rsid w:val="008564C8"/>
    <w:rsid w:val="00856F09"/>
    <w:rsid w:val="00857158"/>
    <w:rsid w:val="008572B7"/>
    <w:rsid w:val="00860F67"/>
    <w:rsid w:val="0086140D"/>
    <w:rsid w:val="00862C24"/>
    <w:rsid w:val="008638C5"/>
    <w:rsid w:val="00863B04"/>
    <w:rsid w:val="00864225"/>
    <w:rsid w:val="00864A32"/>
    <w:rsid w:val="00864D51"/>
    <w:rsid w:val="00865F4A"/>
    <w:rsid w:val="008662E8"/>
    <w:rsid w:val="00866B08"/>
    <w:rsid w:val="00867EFF"/>
    <w:rsid w:val="00871542"/>
    <w:rsid w:val="00872460"/>
    <w:rsid w:val="008729DE"/>
    <w:rsid w:val="00872A8F"/>
    <w:rsid w:val="00872C36"/>
    <w:rsid w:val="008748F9"/>
    <w:rsid w:val="008752F0"/>
    <w:rsid w:val="00875528"/>
    <w:rsid w:val="0087571A"/>
    <w:rsid w:val="008757D2"/>
    <w:rsid w:val="00875AC5"/>
    <w:rsid w:val="008764D9"/>
    <w:rsid w:val="008765C3"/>
    <w:rsid w:val="00876735"/>
    <w:rsid w:val="00877D9F"/>
    <w:rsid w:val="0088126E"/>
    <w:rsid w:val="00881917"/>
    <w:rsid w:val="008825B0"/>
    <w:rsid w:val="00882D74"/>
    <w:rsid w:val="0088577F"/>
    <w:rsid w:val="00886104"/>
    <w:rsid w:val="00886E48"/>
    <w:rsid w:val="00887B5C"/>
    <w:rsid w:val="00887BCE"/>
    <w:rsid w:val="008900E4"/>
    <w:rsid w:val="0089087D"/>
    <w:rsid w:val="00891D66"/>
    <w:rsid w:val="00891EE8"/>
    <w:rsid w:val="00893CAE"/>
    <w:rsid w:val="00894058"/>
    <w:rsid w:val="00894B55"/>
    <w:rsid w:val="00895D7E"/>
    <w:rsid w:val="00895F77"/>
    <w:rsid w:val="00895F85"/>
    <w:rsid w:val="008962A9"/>
    <w:rsid w:val="008A09AE"/>
    <w:rsid w:val="008A0E7F"/>
    <w:rsid w:val="008A1829"/>
    <w:rsid w:val="008A23E4"/>
    <w:rsid w:val="008A26B7"/>
    <w:rsid w:val="008A2914"/>
    <w:rsid w:val="008A4677"/>
    <w:rsid w:val="008A58B6"/>
    <w:rsid w:val="008A791D"/>
    <w:rsid w:val="008A7A76"/>
    <w:rsid w:val="008A7FFA"/>
    <w:rsid w:val="008B0619"/>
    <w:rsid w:val="008B0680"/>
    <w:rsid w:val="008B189A"/>
    <w:rsid w:val="008B33C1"/>
    <w:rsid w:val="008B3515"/>
    <w:rsid w:val="008B374B"/>
    <w:rsid w:val="008B4AB5"/>
    <w:rsid w:val="008B5336"/>
    <w:rsid w:val="008B590C"/>
    <w:rsid w:val="008B6AFD"/>
    <w:rsid w:val="008C05D1"/>
    <w:rsid w:val="008C0895"/>
    <w:rsid w:val="008C1AB6"/>
    <w:rsid w:val="008C492D"/>
    <w:rsid w:val="008C556D"/>
    <w:rsid w:val="008C5A6E"/>
    <w:rsid w:val="008C5C75"/>
    <w:rsid w:val="008C668E"/>
    <w:rsid w:val="008C6B5A"/>
    <w:rsid w:val="008C6C1D"/>
    <w:rsid w:val="008C7B57"/>
    <w:rsid w:val="008C7EEA"/>
    <w:rsid w:val="008D125D"/>
    <w:rsid w:val="008D172E"/>
    <w:rsid w:val="008D2E57"/>
    <w:rsid w:val="008D378B"/>
    <w:rsid w:val="008D3C24"/>
    <w:rsid w:val="008D3E85"/>
    <w:rsid w:val="008D3EBC"/>
    <w:rsid w:val="008D3F44"/>
    <w:rsid w:val="008D5276"/>
    <w:rsid w:val="008D5674"/>
    <w:rsid w:val="008E17BB"/>
    <w:rsid w:val="008E1851"/>
    <w:rsid w:val="008E1C25"/>
    <w:rsid w:val="008E207A"/>
    <w:rsid w:val="008E3702"/>
    <w:rsid w:val="008E44FF"/>
    <w:rsid w:val="008E4AAD"/>
    <w:rsid w:val="008E571A"/>
    <w:rsid w:val="008E62B4"/>
    <w:rsid w:val="008E6CAA"/>
    <w:rsid w:val="008E7FF3"/>
    <w:rsid w:val="008F022E"/>
    <w:rsid w:val="008F1427"/>
    <w:rsid w:val="008F4A85"/>
    <w:rsid w:val="008F5376"/>
    <w:rsid w:val="008F550F"/>
    <w:rsid w:val="008F5E78"/>
    <w:rsid w:val="008F63BA"/>
    <w:rsid w:val="008F6547"/>
    <w:rsid w:val="008F693F"/>
    <w:rsid w:val="008F6FDF"/>
    <w:rsid w:val="008F701B"/>
    <w:rsid w:val="008F70D2"/>
    <w:rsid w:val="008F7810"/>
    <w:rsid w:val="009014F1"/>
    <w:rsid w:val="00902271"/>
    <w:rsid w:val="009025AF"/>
    <w:rsid w:val="009033FD"/>
    <w:rsid w:val="00905261"/>
    <w:rsid w:val="00905756"/>
    <w:rsid w:val="00905B74"/>
    <w:rsid w:val="00906388"/>
    <w:rsid w:val="00906968"/>
    <w:rsid w:val="00906F97"/>
    <w:rsid w:val="0090749E"/>
    <w:rsid w:val="0090756A"/>
    <w:rsid w:val="009100CF"/>
    <w:rsid w:val="00910476"/>
    <w:rsid w:val="00910794"/>
    <w:rsid w:val="009108A7"/>
    <w:rsid w:val="009109F6"/>
    <w:rsid w:val="00910AF1"/>
    <w:rsid w:val="009123C3"/>
    <w:rsid w:val="0091242F"/>
    <w:rsid w:val="0091398A"/>
    <w:rsid w:val="00914631"/>
    <w:rsid w:val="00915013"/>
    <w:rsid w:val="00915389"/>
    <w:rsid w:val="00915CF2"/>
    <w:rsid w:val="00916D61"/>
    <w:rsid w:val="009171C6"/>
    <w:rsid w:val="009177AA"/>
    <w:rsid w:val="009206BD"/>
    <w:rsid w:val="0092077B"/>
    <w:rsid w:val="00922143"/>
    <w:rsid w:val="00922942"/>
    <w:rsid w:val="00922AFA"/>
    <w:rsid w:val="0092325E"/>
    <w:rsid w:val="00923934"/>
    <w:rsid w:val="00924047"/>
    <w:rsid w:val="009246A8"/>
    <w:rsid w:val="009246FD"/>
    <w:rsid w:val="00925B61"/>
    <w:rsid w:val="00927FE8"/>
    <w:rsid w:val="00930FED"/>
    <w:rsid w:val="00931D0D"/>
    <w:rsid w:val="00932925"/>
    <w:rsid w:val="00932FBD"/>
    <w:rsid w:val="00934B99"/>
    <w:rsid w:val="00934BE9"/>
    <w:rsid w:val="0093511B"/>
    <w:rsid w:val="00937323"/>
    <w:rsid w:val="00940302"/>
    <w:rsid w:val="00940588"/>
    <w:rsid w:val="00942539"/>
    <w:rsid w:val="00944FEC"/>
    <w:rsid w:val="00945718"/>
    <w:rsid w:val="00946C86"/>
    <w:rsid w:val="00946EE7"/>
    <w:rsid w:val="0094729D"/>
    <w:rsid w:val="00947850"/>
    <w:rsid w:val="009502C4"/>
    <w:rsid w:val="00951AC6"/>
    <w:rsid w:val="00952564"/>
    <w:rsid w:val="009529ED"/>
    <w:rsid w:val="00952F58"/>
    <w:rsid w:val="009530AC"/>
    <w:rsid w:val="00954840"/>
    <w:rsid w:val="00955470"/>
    <w:rsid w:val="00955B70"/>
    <w:rsid w:val="00956EC9"/>
    <w:rsid w:val="009624DA"/>
    <w:rsid w:val="00962A8E"/>
    <w:rsid w:val="00963A76"/>
    <w:rsid w:val="00964C41"/>
    <w:rsid w:val="00964FBA"/>
    <w:rsid w:val="00966AD2"/>
    <w:rsid w:val="00967139"/>
    <w:rsid w:val="00967899"/>
    <w:rsid w:val="009702E0"/>
    <w:rsid w:val="00970F9C"/>
    <w:rsid w:val="009713E8"/>
    <w:rsid w:val="00971D30"/>
    <w:rsid w:val="009726F0"/>
    <w:rsid w:val="009731E6"/>
    <w:rsid w:val="009748E2"/>
    <w:rsid w:val="009749F0"/>
    <w:rsid w:val="00974ED9"/>
    <w:rsid w:val="00975983"/>
    <w:rsid w:val="009759E7"/>
    <w:rsid w:val="0097619F"/>
    <w:rsid w:val="00976860"/>
    <w:rsid w:val="00977044"/>
    <w:rsid w:val="0098022A"/>
    <w:rsid w:val="00981D4D"/>
    <w:rsid w:val="009836A7"/>
    <w:rsid w:val="00984AF0"/>
    <w:rsid w:val="009858FD"/>
    <w:rsid w:val="009876CB"/>
    <w:rsid w:val="009905B4"/>
    <w:rsid w:val="00990CD2"/>
    <w:rsid w:val="009913ED"/>
    <w:rsid w:val="009920EC"/>
    <w:rsid w:val="009925D2"/>
    <w:rsid w:val="009926B1"/>
    <w:rsid w:val="00993C71"/>
    <w:rsid w:val="009959FE"/>
    <w:rsid w:val="00996007"/>
    <w:rsid w:val="00997E9C"/>
    <w:rsid w:val="009A0134"/>
    <w:rsid w:val="009A064F"/>
    <w:rsid w:val="009A1F3C"/>
    <w:rsid w:val="009A2414"/>
    <w:rsid w:val="009A2C60"/>
    <w:rsid w:val="009A385A"/>
    <w:rsid w:val="009A41DF"/>
    <w:rsid w:val="009A58ED"/>
    <w:rsid w:val="009A5FF2"/>
    <w:rsid w:val="009A61EA"/>
    <w:rsid w:val="009A6F04"/>
    <w:rsid w:val="009A7299"/>
    <w:rsid w:val="009B08FB"/>
    <w:rsid w:val="009B0D2A"/>
    <w:rsid w:val="009B1466"/>
    <w:rsid w:val="009B16E2"/>
    <w:rsid w:val="009B1EDD"/>
    <w:rsid w:val="009B22A0"/>
    <w:rsid w:val="009B26F2"/>
    <w:rsid w:val="009B2FCD"/>
    <w:rsid w:val="009B3534"/>
    <w:rsid w:val="009B5381"/>
    <w:rsid w:val="009B5C14"/>
    <w:rsid w:val="009B5F74"/>
    <w:rsid w:val="009B6601"/>
    <w:rsid w:val="009B6B02"/>
    <w:rsid w:val="009B6F13"/>
    <w:rsid w:val="009C10B4"/>
    <w:rsid w:val="009C1382"/>
    <w:rsid w:val="009C1B38"/>
    <w:rsid w:val="009C2472"/>
    <w:rsid w:val="009C3519"/>
    <w:rsid w:val="009C4210"/>
    <w:rsid w:val="009C4452"/>
    <w:rsid w:val="009C4787"/>
    <w:rsid w:val="009C4BBA"/>
    <w:rsid w:val="009C5374"/>
    <w:rsid w:val="009C55AE"/>
    <w:rsid w:val="009C58E6"/>
    <w:rsid w:val="009C5C22"/>
    <w:rsid w:val="009C7CA7"/>
    <w:rsid w:val="009C7F36"/>
    <w:rsid w:val="009D06B1"/>
    <w:rsid w:val="009D0A9E"/>
    <w:rsid w:val="009D0ACA"/>
    <w:rsid w:val="009D14B2"/>
    <w:rsid w:val="009D1F38"/>
    <w:rsid w:val="009D2465"/>
    <w:rsid w:val="009D3A61"/>
    <w:rsid w:val="009D3B81"/>
    <w:rsid w:val="009D3D68"/>
    <w:rsid w:val="009D458C"/>
    <w:rsid w:val="009D4C31"/>
    <w:rsid w:val="009D6874"/>
    <w:rsid w:val="009D6BB2"/>
    <w:rsid w:val="009D7007"/>
    <w:rsid w:val="009D752D"/>
    <w:rsid w:val="009E1631"/>
    <w:rsid w:val="009E1EAE"/>
    <w:rsid w:val="009E21C3"/>
    <w:rsid w:val="009E234C"/>
    <w:rsid w:val="009E24E7"/>
    <w:rsid w:val="009E4567"/>
    <w:rsid w:val="009E677C"/>
    <w:rsid w:val="009E6FE8"/>
    <w:rsid w:val="009E74F8"/>
    <w:rsid w:val="009E7F32"/>
    <w:rsid w:val="009F0347"/>
    <w:rsid w:val="009F0956"/>
    <w:rsid w:val="009F0BDE"/>
    <w:rsid w:val="009F0F91"/>
    <w:rsid w:val="009F15C9"/>
    <w:rsid w:val="009F333A"/>
    <w:rsid w:val="009F3DBA"/>
    <w:rsid w:val="009F4D78"/>
    <w:rsid w:val="009F65F1"/>
    <w:rsid w:val="009F7A99"/>
    <w:rsid w:val="009F7F33"/>
    <w:rsid w:val="00A00000"/>
    <w:rsid w:val="00A02ED5"/>
    <w:rsid w:val="00A04A00"/>
    <w:rsid w:val="00A05817"/>
    <w:rsid w:val="00A05B2B"/>
    <w:rsid w:val="00A05CFF"/>
    <w:rsid w:val="00A0664F"/>
    <w:rsid w:val="00A06AFF"/>
    <w:rsid w:val="00A06BEA"/>
    <w:rsid w:val="00A06F96"/>
    <w:rsid w:val="00A07405"/>
    <w:rsid w:val="00A107EE"/>
    <w:rsid w:val="00A1107E"/>
    <w:rsid w:val="00A11C8C"/>
    <w:rsid w:val="00A1250B"/>
    <w:rsid w:val="00A13C48"/>
    <w:rsid w:val="00A14DBD"/>
    <w:rsid w:val="00A16111"/>
    <w:rsid w:val="00A164AE"/>
    <w:rsid w:val="00A16503"/>
    <w:rsid w:val="00A1716A"/>
    <w:rsid w:val="00A1725E"/>
    <w:rsid w:val="00A17A64"/>
    <w:rsid w:val="00A207F8"/>
    <w:rsid w:val="00A219AF"/>
    <w:rsid w:val="00A22ACB"/>
    <w:rsid w:val="00A2443E"/>
    <w:rsid w:val="00A24CE7"/>
    <w:rsid w:val="00A25481"/>
    <w:rsid w:val="00A25E5E"/>
    <w:rsid w:val="00A25FFD"/>
    <w:rsid w:val="00A26039"/>
    <w:rsid w:val="00A26D1D"/>
    <w:rsid w:val="00A26D5E"/>
    <w:rsid w:val="00A27A56"/>
    <w:rsid w:val="00A30A7A"/>
    <w:rsid w:val="00A30C00"/>
    <w:rsid w:val="00A31508"/>
    <w:rsid w:val="00A31F46"/>
    <w:rsid w:val="00A32689"/>
    <w:rsid w:val="00A33A4E"/>
    <w:rsid w:val="00A33EE3"/>
    <w:rsid w:val="00A35983"/>
    <w:rsid w:val="00A36FC3"/>
    <w:rsid w:val="00A377E0"/>
    <w:rsid w:val="00A41D9C"/>
    <w:rsid w:val="00A42497"/>
    <w:rsid w:val="00A426D2"/>
    <w:rsid w:val="00A43076"/>
    <w:rsid w:val="00A43522"/>
    <w:rsid w:val="00A43B7F"/>
    <w:rsid w:val="00A45415"/>
    <w:rsid w:val="00A45DA5"/>
    <w:rsid w:val="00A46ABB"/>
    <w:rsid w:val="00A50FB0"/>
    <w:rsid w:val="00A5201B"/>
    <w:rsid w:val="00A52098"/>
    <w:rsid w:val="00A54510"/>
    <w:rsid w:val="00A547BE"/>
    <w:rsid w:val="00A54BE7"/>
    <w:rsid w:val="00A54FFC"/>
    <w:rsid w:val="00A55F33"/>
    <w:rsid w:val="00A56521"/>
    <w:rsid w:val="00A56AC1"/>
    <w:rsid w:val="00A57449"/>
    <w:rsid w:val="00A57DF7"/>
    <w:rsid w:val="00A60F31"/>
    <w:rsid w:val="00A62533"/>
    <w:rsid w:val="00A62CA9"/>
    <w:rsid w:val="00A62E11"/>
    <w:rsid w:val="00A65157"/>
    <w:rsid w:val="00A65BA7"/>
    <w:rsid w:val="00A66510"/>
    <w:rsid w:val="00A66A25"/>
    <w:rsid w:val="00A66B7A"/>
    <w:rsid w:val="00A6788A"/>
    <w:rsid w:val="00A70B24"/>
    <w:rsid w:val="00A70DE6"/>
    <w:rsid w:val="00A70F2B"/>
    <w:rsid w:val="00A728E9"/>
    <w:rsid w:val="00A73CBB"/>
    <w:rsid w:val="00A746F9"/>
    <w:rsid w:val="00A74F41"/>
    <w:rsid w:val="00A76146"/>
    <w:rsid w:val="00A7687F"/>
    <w:rsid w:val="00A775BD"/>
    <w:rsid w:val="00A77E95"/>
    <w:rsid w:val="00A80336"/>
    <w:rsid w:val="00A825FE"/>
    <w:rsid w:val="00A830E3"/>
    <w:rsid w:val="00A8331C"/>
    <w:rsid w:val="00A833F6"/>
    <w:rsid w:val="00A8459C"/>
    <w:rsid w:val="00A849C8"/>
    <w:rsid w:val="00A84DE9"/>
    <w:rsid w:val="00A858F3"/>
    <w:rsid w:val="00A86EC4"/>
    <w:rsid w:val="00A9078A"/>
    <w:rsid w:val="00A911A7"/>
    <w:rsid w:val="00A91DBF"/>
    <w:rsid w:val="00A91F02"/>
    <w:rsid w:val="00A93593"/>
    <w:rsid w:val="00A94353"/>
    <w:rsid w:val="00A9441C"/>
    <w:rsid w:val="00A96282"/>
    <w:rsid w:val="00A96361"/>
    <w:rsid w:val="00A966BF"/>
    <w:rsid w:val="00A968FC"/>
    <w:rsid w:val="00A97794"/>
    <w:rsid w:val="00A97AAE"/>
    <w:rsid w:val="00A97B0F"/>
    <w:rsid w:val="00AA2041"/>
    <w:rsid w:val="00AA2500"/>
    <w:rsid w:val="00AA2D3D"/>
    <w:rsid w:val="00AA4A75"/>
    <w:rsid w:val="00AA71B2"/>
    <w:rsid w:val="00AA72BA"/>
    <w:rsid w:val="00AA7800"/>
    <w:rsid w:val="00AB12D6"/>
    <w:rsid w:val="00AB16DE"/>
    <w:rsid w:val="00AB2BA8"/>
    <w:rsid w:val="00AB2C74"/>
    <w:rsid w:val="00AB3ECE"/>
    <w:rsid w:val="00AB4465"/>
    <w:rsid w:val="00AB44A1"/>
    <w:rsid w:val="00AB488F"/>
    <w:rsid w:val="00AB5183"/>
    <w:rsid w:val="00AB5BB8"/>
    <w:rsid w:val="00AB638B"/>
    <w:rsid w:val="00AB7F69"/>
    <w:rsid w:val="00AC0334"/>
    <w:rsid w:val="00AC08E5"/>
    <w:rsid w:val="00AC1E4E"/>
    <w:rsid w:val="00AC2A1E"/>
    <w:rsid w:val="00AC2A56"/>
    <w:rsid w:val="00AC45E4"/>
    <w:rsid w:val="00AC4603"/>
    <w:rsid w:val="00AC6678"/>
    <w:rsid w:val="00AD05BF"/>
    <w:rsid w:val="00AD191D"/>
    <w:rsid w:val="00AD1CC1"/>
    <w:rsid w:val="00AD1E4F"/>
    <w:rsid w:val="00AD2183"/>
    <w:rsid w:val="00AD2FC8"/>
    <w:rsid w:val="00AD2FCC"/>
    <w:rsid w:val="00AD369D"/>
    <w:rsid w:val="00AD448C"/>
    <w:rsid w:val="00AD4C17"/>
    <w:rsid w:val="00AD57AC"/>
    <w:rsid w:val="00AD663D"/>
    <w:rsid w:val="00AD733D"/>
    <w:rsid w:val="00AD7510"/>
    <w:rsid w:val="00AE062A"/>
    <w:rsid w:val="00AE0821"/>
    <w:rsid w:val="00AE0E8F"/>
    <w:rsid w:val="00AE1807"/>
    <w:rsid w:val="00AE1B17"/>
    <w:rsid w:val="00AE234F"/>
    <w:rsid w:val="00AE2E7F"/>
    <w:rsid w:val="00AE2EF9"/>
    <w:rsid w:val="00AE31FD"/>
    <w:rsid w:val="00AE33B7"/>
    <w:rsid w:val="00AE3C7F"/>
    <w:rsid w:val="00AE4741"/>
    <w:rsid w:val="00AE49B6"/>
    <w:rsid w:val="00AE5264"/>
    <w:rsid w:val="00AE5716"/>
    <w:rsid w:val="00AE62E9"/>
    <w:rsid w:val="00AF06E6"/>
    <w:rsid w:val="00AF0A59"/>
    <w:rsid w:val="00AF0AD9"/>
    <w:rsid w:val="00AF0BC5"/>
    <w:rsid w:val="00AF0C84"/>
    <w:rsid w:val="00AF1074"/>
    <w:rsid w:val="00AF11E0"/>
    <w:rsid w:val="00AF12B2"/>
    <w:rsid w:val="00AF1A25"/>
    <w:rsid w:val="00AF36EE"/>
    <w:rsid w:val="00AF3C55"/>
    <w:rsid w:val="00AF4330"/>
    <w:rsid w:val="00AF7940"/>
    <w:rsid w:val="00AF7B24"/>
    <w:rsid w:val="00B00FF1"/>
    <w:rsid w:val="00B01AAB"/>
    <w:rsid w:val="00B0212F"/>
    <w:rsid w:val="00B02206"/>
    <w:rsid w:val="00B02734"/>
    <w:rsid w:val="00B05A53"/>
    <w:rsid w:val="00B05A60"/>
    <w:rsid w:val="00B061CE"/>
    <w:rsid w:val="00B07D5A"/>
    <w:rsid w:val="00B10779"/>
    <w:rsid w:val="00B11D41"/>
    <w:rsid w:val="00B1250E"/>
    <w:rsid w:val="00B1316A"/>
    <w:rsid w:val="00B158E3"/>
    <w:rsid w:val="00B15BE6"/>
    <w:rsid w:val="00B16D30"/>
    <w:rsid w:val="00B1705B"/>
    <w:rsid w:val="00B2079F"/>
    <w:rsid w:val="00B207F5"/>
    <w:rsid w:val="00B20948"/>
    <w:rsid w:val="00B22066"/>
    <w:rsid w:val="00B22568"/>
    <w:rsid w:val="00B233E8"/>
    <w:rsid w:val="00B23FF7"/>
    <w:rsid w:val="00B252CA"/>
    <w:rsid w:val="00B25C3A"/>
    <w:rsid w:val="00B26A2B"/>
    <w:rsid w:val="00B26DCE"/>
    <w:rsid w:val="00B30A60"/>
    <w:rsid w:val="00B31B35"/>
    <w:rsid w:val="00B31F35"/>
    <w:rsid w:val="00B32616"/>
    <w:rsid w:val="00B327B5"/>
    <w:rsid w:val="00B32C2C"/>
    <w:rsid w:val="00B32E1F"/>
    <w:rsid w:val="00B32FF1"/>
    <w:rsid w:val="00B3397A"/>
    <w:rsid w:val="00B3670C"/>
    <w:rsid w:val="00B37539"/>
    <w:rsid w:val="00B3767E"/>
    <w:rsid w:val="00B37949"/>
    <w:rsid w:val="00B40121"/>
    <w:rsid w:val="00B40288"/>
    <w:rsid w:val="00B4085D"/>
    <w:rsid w:val="00B40968"/>
    <w:rsid w:val="00B40C04"/>
    <w:rsid w:val="00B4190C"/>
    <w:rsid w:val="00B4211E"/>
    <w:rsid w:val="00B42D41"/>
    <w:rsid w:val="00B43C0A"/>
    <w:rsid w:val="00B4430F"/>
    <w:rsid w:val="00B4517C"/>
    <w:rsid w:val="00B4564A"/>
    <w:rsid w:val="00B458EB"/>
    <w:rsid w:val="00B45BAC"/>
    <w:rsid w:val="00B46101"/>
    <w:rsid w:val="00B463E0"/>
    <w:rsid w:val="00B50D4C"/>
    <w:rsid w:val="00B51945"/>
    <w:rsid w:val="00B51966"/>
    <w:rsid w:val="00B52108"/>
    <w:rsid w:val="00B52E9A"/>
    <w:rsid w:val="00B5355A"/>
    <w:rsid w:val="00B53AEB"/>
    <w:rsid w:val="00B53D87"/>
    <w:rsid w:val="00B54ED8"/>
    <w:rsid w:val="00B556EC"/>
    <w:rsid w:val="00B55CC3"/>
    <w:rsid w:val="00B55F1C"/>
    <w:rsid w:val="00B56BA9"/>
    <w:rsid w:val="00B570E3"/>
    <w:rsid w:val="00B60791"/>
    <w:rsid w:val="00B60CA7"/>
    <w:rsid w:val="00B60D64"/>
    <w:rsid w:val="00B613F1"/>
    <w:rsid w:val="00B61D6B"/>
    <w:rsid w:val="00B62210"/>
    <w:rsid w:val="00B629EB"/>
    <w:rsid w:val="00B63DA1"/>
    <w:rsid w:val="00B649E8"/>
    <w:rsid w:val="00B65DAE"/>
    <w:rsid w:val="00B66084"/>
    <w:rsid w:val="00B66528"/>
    <w:rsid w:val="00B669E9"/>
    <w:rsid w:val="00B674D2"/>
    <w:rsid w:val="00B67613"/>
    <w:rsid w:val="00B67A3E"/>
    <w:rsid w:val="00B67E41"/>
    <w:rsid w:val="00B70C24"/>
    <w:rsid w:val="00B717DE"/>
    <w:rsid w:val="00B71E0D"/>
    <w:rsid w:val="00B73C4E"/>
    <w:rsid w:val="00B73E27"/>
    <w:rsid w:val="00B73E55"/>
    <w:rsid w:val="00B74225"/>
    <w:rsid w:val="00B74AAE"/>
    <w:rsid w:val="00B75818"/>
    <w:rsid w:val="00B75E5E"/>
    <w:rsid w:val="00B76686"/>
    <w:rsid w:val="00B7759F"/>
    <w:rsid w:val="00B77BA5"/>
    <w:rsid w:val="00B77D81"/>
    <w:rsid w:val="00B81F4D"/>
    <w:rsid w:val="00B84578"/>
    <w:rsid w:val="00B85014"/>
    <w:rsid w:val="00B856F1"/>
    <w:rsid w:val="00B8672B"/>
    <w:rsid w:val="00B86D54"/>
    <w:rsid w:val="00B87247"/>
    <w:rsid w:val="00B876F2"/>
    <w:rsid w:val="00B87F15"/>
    <w:rsid w:val="00B90DC9"/>
    <w:rsid w:val="00B91813"/>
    <w:rsid w:val="00B91969"/>
    <w:rsid w:val="00B91B7E"/>
    <w:rsid w:val="00B92E8A"/>
    <w:rsid w:val="00B92F7F"/>
    <w:rsid w:val="00B9314A"/>
    <w:rsid w:val="00B93155"/>
    <w:rsid w:val="00B94931"/>
    <w:rsid w:val="00B94B1C"/>
    <w:rsid w:val="00B965B9"/>
    <w:rsid w:val="00B966C9"/>
    <w:rsid w:val="00B97CCA"/>
    <w:rsid w:val="00BA00CC"/>
    <w:rsid w:val="00BA00E3"/>
    <w:rsid w:val="00BA025C"/>
    <w:rsid w:val="00BA0306"/>
    <w:rsid w:val="00BA0622"/>
    <w:rsid w:val="00BA0CE3"/>
    <w:rsid w:val="00BA1DAB"/>
    <w:rsid w:val="00BA2079"/>
    <w:rsid w:val="00BA2902"/>
    <w:rsid w:val="00BA2DF6"/>
    <w:rsid w:val="00BA4095"/>
    <w:rsid w:val="00BA4819"/>
    <w:rsid w:val="00BA5164"/>
    <w:rsid w:val="00BA5508"/>
    <w:rsid w:val="00BA616B"/>
    <w:rsid w:val="00BA6DD5"/>
    <w:rsid w:val="00BA744B"/>
    <w:rsid w:val="00BA7F78"/>
    <w:rsid w:val="00BB0585"/>
    <w:rsid w:val="00BB083C"/>
    <w:rsid w:val="00BB146F"/>
    <w:rsid w:val="00BB1AA6"/>
    <w:rsid w:val="00BB1F0E"/>
    <w:rsid w:val="00BB22DD"/>
    <w:rsid w:val="00BB2615"/>
    <w:rsid w:val="00BB27EA"/>
    <w:rsid w:val="00BB2AB3"/>
    <w:rsid w:val="00BB2BED"/>
    <w:rsid w:val="00BB2D52"/>
    <w:rsid w:val="00BB2F94"/>
    <w:rsid w:val="00BB421E"/>
    <w:rsid w:val="00BB50B0"/>
    <w:rsid w:val="00BB5430"/>
    <w:rsid w:val="00BB5B92"/>
    <w:rsid w:val="00BB63AD"/>
    <w:rsid w:val="00BB6589"/>
    <w:rsid w:val="00BB6D3C"/>
    <w:rsid w:val="00BB76C3"/>
    <w:rsid w:val="00BC3BED"/>
    <w:rsid w:val="00BC46E6"/>
    <w:rsid w:val="00BC5195"/>
    <w:rsid w:val="00BC53A3"/>
    <w:rsid w:val="00BC64C6"/>
    <w:rsid w:val="00BC6E73"/>
    <w:rsid w:val="00BC7C92"/>
    <w:rsid w:val="00BD047A"/>
    <w:rsid w:val="00BD0E81"/>
    <w:rsid w:val="00BD311E"/>
    <w:rsid w:val="00BD3C22"/>
    <w:rsid w:val="00BD3C91"/>
    <w:rsid w:val="00BD59DF"/>
    <w:rsid w:val="00BD654F"/>
    <w:rsid w:val="00BD6803"/>
    <w:rsid w:val="00BD6976"/>
    <w:rsid w:val="00BD6E3B"/>
    <w:rsid w:val="00BD7845"/>
    <w:rsid w:val="00BD7DDA"/>
    <w:rsid w:val="00BE10E5"/>
    <w:rsid w:val="00BE19F6"/>
    <w:rsid w:val="00BE240B"/>
    <w:rsid w:val="00BE26A0"/>
    <w:rsid w:val="00BE2CEF"/>
    <w:rsid w:val="00BE383B"/>
    <w:rsid w:val="00BE4579"/>
    <w:rsid w:val="00BE489A"/>
    <w:rsid w:val="00BE5391"/>
    <w:rsid w:val="00BE695D"/>
    <w:rsid w:val="00BF1224"/>
    <w:rsid w:val="00BF13A5"/>
    <w:rsid w:val="00BF144F"/>
    <w:rsid w:val="00BF1CE5"/>
    <w:rsid w:val="00BF1D65"/>
    <w:rsid w:val="00BF245A"/>
    <w:rsid w:val="00BF2F85"/>
    <w:rsid w:val="00BF34BD"/>
    <w:rsid w:val="00BF691A"/>
    <w:rsid w:val="00C01ED9"/>
    <w:rsid w:val="00C02353"/>
    <w:rsid w:val="00C03516"/>
    <w:rsid w:val="00C0360A"/>
    <w:rsid w:val="00C04814"/>
    <w:rsid w:val="00C0783E"/>
    <w:rsid w:val="00C10109"/>
    <w:rsid w:val="00C10B9C"/>
    <w:rsid w:val="00C10CCD"/>
    <w:rsid w:val="00C1245A"/>
    <w:rsid w:val="00C12D5B"/>
    <w:rsid w:val="00C131D4"/>
    <w:rsid w:val="00C13232"/>
    <w:rsid w:val="00C147D3"/>
    <w:rsid w:val="00C1492D"/>
    <w:rsid w:val="00C14AA7"/>
    <w:rsid w:val="00C1521A"/>
    <w:rsid w:val="00C15B23"/>
    <w:rsid w:val="00C16607"/>
    <w:rsid w:val="00C16E66"/>
    <w:rsid w:val="00C20845"/>
    <w:rsid w:val="00C2137C"/>
    <w:rsid w:val="00C22373"/>
    <w:rsid w:val="00C22624"/>
    <w:rsid w:val="00C251D3"/>
    <w:rsid w:val="00C267DE"/>
    <w:rsid w:val="00C277C2"/>
    <w:rsid w:val="00C278C2"/>
    <w:rsid w:val="00C30C08"/>
    <w:rsid w:val="00C317A5"/>
    <w:rsid w:val="00C31A80"/>
    <w:rsid w:val="00C31ACB"/>
    <w:rsid w:val="00C31C5C"/>
    <w:rsid w:val="00C31E44"/>
    <w:rsid w:val="00C322D4"/>
    <w:rsid w:val="00C32684"/>
    <w:rsid w:val="00C33674"/>
    <w:rsid w:val="00C362C7"/>
    <w:rsid w:val="00C363E0"/>
    <w:rsid w:val="00C363E3"/>
    <w:rsid w:val="00C36ACB"/>
    <w:rsid w:val="00C36E06"/>
    <w:rsid w:val="00C376B5"/>
    <w:rsid w:val="00C4004C"/>
    <w:rsid w:val="00C42F93"/>
    <w:rsid w:val="00C439C9"/>
    <w:rsid w:val="00C44415"/>
    <w:rsid w:val="00C4443D"/>
    <w:rsid w:val="00C44827"/>
    <w:rsid w:val="00C44EA1"/>
    <w:rsid w:val="00C454A4"/>
    <w:rsid w:val="00C46CF9"/>
    <w:rsid w:val="00C47D36"/>
    <w:rsid w:val="00C502AC"/>
    <w:rsid w:val="00C50E46"/>
    <w:rsid w:val="00C516AF"/>
    <w:rsid w:val="00C519A7"/>
    <w:rsid w:val="00C52052"/>
    <w:rsid w:val="00C522EB"/>
    <w:rsid w:val="00C52F16"/>
    <w:rsid w:val="00C52F6F"/>
    <w:rsid w:val="00C5427E"/>
    <w:rsid w:val="00C550F3"/>
    <w:rsid w:val="00C5628E"/>
    <w:rsid w:val="00C563F9"/>
    <w:rsid w:val="00C568CA"/>
    <w:rsid w:val="00C56BEB"/>
    <w:rsid w:val="00C578AB"/>
    <w:rsid w:val="00C603C3"/>
    <w:rsid w:val="00C60C41"/>
    <w:rsid w:val="00C60DA5"/>
    <w:rsid w:val="00C60E1E"/>
    <w:rsid w:val="00C60E4D"/>
    <w:rsid w:val="00C61954"/>
    <w:rsid w:val="00C61AE8"/>
    <w:rsid w:val="00C62357"/>
    <w:rsid w:val="00C628D8"/>
    <w:rsid w:val="00C62F19"/>
    <w:rsid w:val="00C637AE"/>
    <w:rsid w:val="00C64017"/>
    <w:rsid w:val="00C64278"/>
    <w:rsid w:val="00C655FC"/>
    <w:rsid w:val="00C6594D"/>
    <w:rsid w:val="00C662A6"/>
    <w:rsid w:val="00C66F03"/>
    <w:rsid w:val="00C674C8"/>
    <w:rsid w:val="00C6770F"/>
    <w:rsid w:val="00C6790A"/>
    <w:rsid w:val="00C70854"/>
    <w:rsid w:val="00C72245"/>
    <w:rsid w:val="00C72A04"/>
    <w:rsid w:val="00C72F4E"/>
    <w:rsid w:val="00C764FA"/>
    <w:rsid w:val="00C7652D"/>
    <w:rsid w:val="00C767E6"/>
    <w:rsid w:val="00C773F1"/>
    <w:rsid w:val="00C81E61"/>
    <w:rsid w:val="00C824C7"/>
    <w:rsid w:val="00C82AD6"/>
    <w:rsid w:val="00C83900"/>
    <w:rsid w:val="00C83B5A"/>
    <w:rsid w:val="00C84D07"/>
    <w:rsid w:val="00C8546C"/>
    <w:rsid w:val="00C85666"/>
    <w:rsid w:val="00C86612"/>
    <w:rsid w:val="00C866CF"/>
    <w:rsid w:val="00C86CF1"/>
    <w:rsid w:val="00C87FD4"/>
    <w:rsid w:val="00C90AA4"/>
    <w:rsid w:val="00C90EFB"/>
    <w:rsid w:val="00C91218"/>
    <w:rsid w:val="00C91964"/>
    <w:rsid w:val="00C928F0"/>
    <w:rsid w:val="00C92950"/>
    <w:rsid w:val="00C93EDA"/>
    <w:rsid w:val="00C94017"/>
    <w:rsid w:val="00C94970"/>
    <w:rsid w:val="00C9569B"/>
    <w:rsid w:val="00C96172"/>
    <w:rsid w:val="00C963AA"/>
    <w:rsid w:val="00C97027"/>
    <w:rsid w:val="00C97834"/>
    <w:rsid w:val="00C97A27"/>
    <w:rsid w:val="00CA049A"/>
    <w:rsid w:val="00CA0735"/>
    <w:rsid w:val="00CA1386"/>
    <w:rsid w:val="00CA2DE6"/>
    <w:rsid w:val="00CA3FC2"/>
    <w:rsid w:val="00CA4F31"/>
    <w:rsid w:val="00CA599B"/>
    <w:rsid w:val="00CA5FE0"/>
    <w:rsid w:val="00CA6081"/>
    <w:rsid w:val="00CA637E"/>
    <w:rsid w:val="00CA79B0"/>
    <w:rsid w:val="00CA7FFA"/>
    <w:rsid w:val="00CB0409"/>
    <w:rsid w:val="00CB13A7"/>
    <w:rsid w:val="00CB2ED7"/>
    <w:rsid w:val="00CB415E"/>
    <w:rsid w:val="00CB4CAB"/>
    <w:rsid w:val="00CB78A7"/>
    <w:rsid w:val="00CC0677"/>
    <w:rsid w:val="00CC0B55"/>
    <w:rsid w:val="00CC0F01"/>
    <w:rsid w:val="00CC0F06"/>
    <w:rsid w:val="00CC1611"/>
    <w:rsid w:val="00CC16B7"/>
    <w:rsid w:val="00CC1F82"/>
    <w:rsid w:val="00CC2192"/>
    <w:rsid w:val="00CC26CF"/>
    <w:rsid w:val="00CC2EAC"/>
    <w:rsid w:val="00CC3167"/>
    <w:rsid w:val="00CC31AA"/>
    <w:rsid w:val="00CC4BF1"/>
    <w:rsid w:val="00CC52DB"/>
    <w:rsid w:val="00CC5971"/>
    <w:rsid w:val="00CC5C18"/>
    <w:rsid w:val="00CC5DBB"/>
    <w:rsid w:val="00CC7306"/>
    <w:rsid w:val="00CC7899"/>
    <w:rsid w:val="00CC7943"/>
    <w:rsid w:val="00CD0AF9"/>
    <w:rsid w:val="00CD1448"/>
    <w:rsid w:val="00CD3063"/>
    <w:rsid w:val="00CD41E4"/>
    <w:rsid w:val="00CD430C"/>
    <w:rsid w:val="00CD4662"/>
    <w:rsid w:val="00CD5B03"/>
    <w:rsid w:val="00CD65B6"/>
    <w:rsid w:val="00CE2119"/>
    <w:rsid w:val="00CE26C1"/>
    <w:rsid w:val="00CE3937"/>
    <w:rsid w:val="00CE3A12"/>
    <w:rsid w:val="00CE3F7C"/>
    <w:rsid w:val="00CE419B"/>
    <w:rsid w:val="00CE4A07"/>
    <w:rsid w:val="00CE786C"/>
    <w:rsid w:val="00CE799E"/>
    <w:rsid w:val="00CE7C81"/>
    <w:rsid w:val="00CF0283"/>
    <w:rsid w:val="00CF037D"/>
    <w:rsid w:val="00CF2310"/>
    <w:rsid w:val="00CF26C6"/>
    <w:rsid w:val="00CF2761"/>
    <w:rsid w:val="00CF27E3"/>
    <w:rsid w:val="00CF3581"/>
    <w:rsid w:val="00CF52C6"/>
    <w:rsid w:val="00CF5347"/>
    <w:rsid w:val="00CF65A8"/>
    <w:rsid w:val="00CF74C4"/>
    <w:rsid w:val="00CF778E"/>
    <w:rsid w:val="00CF7D15"/>
    <w:rsid w:val="00CF7E40"/>
    <w:rsid w:val="00D02065"/>
    <w:rsid w:val="00D02536"/>
    <w:rsid w:val="00D032F8"/>
    <w:rsid w:val="00D03D3C"/>
    <w:rsid w:val="00D03E8F"/>
    <w:rsid w:val="00D04578"/>
    <w:rsid w:val="00D0479E"/>
    <w:rsid w:val="00D0494D"/>
    <w:rsid w:val="00D057C4"/>
    <w:rsid w:val="00D06230"/>
    <w:rsid w:val="00D063F3"/>
    <w:rsid w:val="00D1112A"/>
    <w:rsid w:val="00D119D2"/>
    <w:rsid w:val="00D119E1"/>
    <w:rsid w:val="00D12BCC"/>
    <w:rsid w:val="00D13157"/>
    <w:rsid w:val="00D13802"/>
    <w:rsid w:val="00D14928"/>
    <w:rsid w:val="00D1492D"/>
    <w:rsid w:val="00D15A74"/>
    <w:rsid w:val="00D17B51"/>
    <w:rsid w:val="00D20328"/>
    <w:rsid w:val="00D2098B"/>
    <w:rsid w:val="00D20A29"/>
    <w:rsid w:val="00D2188C"/>
    <w:rsid w:val="00D21B22"/>
    <w:rsid w:val="00D2203C"/>
    <w:rsid w:val="00D2352B"/>
    <w:rsid w:val="00D23851"/>
    <w:rsid w:val="00D23994"/>
    <w:rsid w:val="00D241A0"/>
    <w:rsid w:val="00D24264"/>
    <w:rsid w:val="00D25AA8"/>
    <w:rsid w:val="00D261D7"/>
    <w:rsid w:val="00D261DE"/>
    <w:rsid w:val="00D26D04"/>
    <w:rsid w:val="00D27A75"/>
    <w:rsid w:val="00D27FEE"/>
    <w:rsid w:val="00D311F9"/>
    <w:rsid w:val="00D313D7"/>
    <w:rsid w:val="00D327FB"/>
    <w:rsid w:val="00D32D84"/>
    <w:rsid w:val="00D32FC5"/>
    <w:rsid w:val="00D33314"/>
    <w:rsid w:val="00D33AAF"/>
    <w:rsid w:val="00D34360"/>
    <w:rsid w:val="00D34493"/>
    <w:rsid w:val="00D37207"/>
    <w:rsid w:val="00D42F40"/>
    <w:rsid w:val="00D43C84"/>
    <w:rsid w:val="00D45288"/>
    <w:rsid w:val="00D50756"/>
    <w:rsid w:val="00D519F3"/>
    <w:rsid w:val="00D51DAD"/>
    <w:rsid w:val="00D51EB2"/>
    <w:rsid w:val="00D544B0"/>
    <w:rsid w:val="00D549C2"/>
    <w:rsid w:val="00D551EB"/>
    <w:rsid w:val="00D563D0"/>
    <w:rsid w:val="00D564FB"/>
    <w:rsid w:val="00D56E50"/>
    <w:rsid w:val="00D57764"/>
    <w:rsid w:val="00D601BA"/>
    <w:rsid w:val="00D60FB1"/>
    <w:rsid w:val="00D61764"/>
    <w:rsid w:val="00D62376"/>
    <w:rsid w:val="00D62BF1"/>
    <w:rsid w:val="00D62D5B"/>
    <w:rsid w:val="00D637D9"/>
    <w:rsid w:val="00D653BA"/>
    <w:rsid w:val="00D65408"/>
    <w:rsid w:val="00D6672A"/>
    <w:rsid w:val="00D668C1"/>
    <w:rsid w:val="00D670C2"/>
    <w:rsid w:val="00D70E5A"/>
    <w:rsid w:val="00D70F93"/>
    <w:rsid w:val="00D70F9B"/>
    <w:rsid w:val="00D711BD"/>
    <w:rsid w:val="00D712F4"/>
    <w:rsid w:val="00D71847"/>
    <w:rsid w:val="00D71B8A"/>
    <w:rsid w:val="00D72573"/>
    <w:rsid w:val="00D730FD"/>
    <w:rsid w:val="00D73A3B"/>
    <w:rsid w:val="00D73AD6"/>
    <w:rsid w:val="00D74331"/>
    <w:rsid w:val="00D75108"/>
    <w:rsid w:val="00D751C3"/>
    <w:rsid w:val="00D75528"/>
    <w:rsid w:val="00D76AF4"/>
    <w:rsid w:val="00D76C50"/>
    <w:rsid w:val="00D76E83"/>
    <w:rsid w:val="00D77D96"/>
    <w:rsid w:val="00D77F80"/>
    <w:rsid w:val="00D80380"/>
    <w:rsid w:val="00D806B3"/>
    <w:rsid w:val="00D81DAF"/>
    <w:rsid w:val="00D8261C"/>
    <w:rsid w:val="00D835B2"/>
    <w:rsid w:val="00D84488"/>
    <w:rsid w:val="00D84767"/>
    <w:rsid w:val="00D84D0E"/>
    <w:rsid w:val="00D85AA4"/>
    <w:rsid w:val="00D85B86"/>
    <w:rsid w:val="00D86454"/>
    <w:rsid w:val="00D8782B"/>
    <w:rsid w:val="00D87F5A"/>
    <w:rsid w:val="00D903FF"/>
    <w:rsid w:val="00D91659"/>
    <w:rsid w:val="00D920BA"/>
    <w:rsid w:val="00D9284A"/>
    <w:rsid w:val="00D9295B"/>
    <w:rsid w:val="00D92CF1"/>
    <w:rsid w:val="00D935E8"/>
    <w:rsid w:val="00D9385D"/>
    <w:rsid w:val="00D938F1"/>
    <w:rsid w:val="00D9432F"/>
    <w:rsid w:val="00D9506F"/>
    <w:rsid w:val="00D95494"/>
    <w:rsid w:val="00D95EF6"/>
    <w:rsid w:val="00DA059F"/>
    <w:rsid w:val="00DA0FAC"/>
    <w:rsid w:val="00DA137E"/>
    <w:rsid w:val="00DA165B"/>
    <w:rsid w:val="00DA1CFD"/>
    <w:rsid w:val="00DA2732"/>
    <w:rsid w:val="00DA2847"/>
    <w:rsid w:val="00DA4E54"/>
    <w:rsid w:val="00DA5910"/>
    <w:rsid w:val="00DA5B87"/>
    <w:rsid w:val="00DA5C71"/>
    <w:rsid w:val="00DA651D"/>
    <w:rsid w:val="00DA669F"/>
    <w:rsid w:val="00DA7059"/>
    <w:rsid w:val="00DA72EA"/>
    <w:rsid w:val="00DA74F9"/>
    <w:rsid w:val="00DA78F8"/>
    <w:rsid w:val="00DB0F4D"/>
    <w:rsid w:val="00DB1039"/>
    <w:rsid w:val="00DB1101"/>
    <w:rsid w:val="00DB1724"/>
    <w:rsid w:val="00DB2020"/>
    <w:rsid w:val="00DB339E"/>
    <w:rsid w:val="00DB3892"/>
    <w:rsid w:val="00DB570D"/>
    <w:rsid w:val="00DB6123"/>
    <w:rsid w:val="00DB6AE2"/>
    <w:rsid w:val="00DB6C46"/>
    <w:rsid w:val="00DB7087"/>
    <w:rsid w:val="00DB71F0"/>
    <w:rsid w:val="00DC05C1"/>
    <w:rsid w:val="00DC0718"/>
    <w:rsid w:val="00DC0C9D"/>
    <w:rsid w:val="00DC1B27"/>
    <w:rsid w:val="00DC251E"/>
    <w:rsid w:val="00DC30AB"/>
    <w:rsid w:val="00DC407A"/>
    <w:rsid w:val="00DC4887"/>
    <w:rsid w:val="00DC4FE9"/>
    <w:rsid w:val="00DC5DB0"/>
    <w:rsid w:val="00DC6A7C"/>
    <w:rsid w:val="00DC6B27"/>
    <w:rsid w:val="00DC713E"/>
    <w:rsid w:val="00DC7851"/>
    <w:rsid w:val="00DD012C"/>
    <w:rsid w:val="00DD0689"/>
    <w:rsid w:val="00DD08C1"/>
    <w:rsid w:val="00DD16BF"/>
    <w:rsid w:val="00DD1FBA"/>
    <w:rsid w:val="00DD3914"/>
    <w:rsid w:val="00DD69B9"/>
    <w:rsid w:val="00DE210E"/>
    <w:rsid w:val="00DE2CA9"/>
    <w:rsid w:val="00DE2D7B"/>
    <w:rsid w:val="00DE33EB"/>
    <w:rsid w:val="00DE3F8D"/>
    <w:rsid w:val="00DE504D"/>
    <w:rsid w:val="00DE55CA"/>
    <w:rsid w:val="00DE5C7B"/>
    <w:rsid w:val="00DE616A"/>
    <w:rsid w:val="00DE734E"/>
    <w:rsid w:val="00DE7DE2"/>
    <w:rsid w:val="00DF08C6"/>
    <w:rsid w:val="00DF0934"/>
    <w:rsid w:val="00DF18CA"/>
    <w:rsid w:val="00DF2175"/>
    <w:rsid w:val="00DF2691"/>
    <w:rsid w:val="00DF2E26"/>
    <w:rsid w:val="00DF4389"/>
    <w:rsid w:val="00DF43D3"/>
    <w:rsid w:val="00DF4565"/>
    <w:rsid w:val="00DF4B22"/>
    <w:rsid w:val="00DF4E09"/>
    <w:rsid w:val="00DF512F"/>
    <w:rsid w:val="00DF59E4"/>
    <w:rsid w:val="00DF64F7"/>
    <w:rsid w:val="00DF7F3D"/>
    <w:rsid w:val="00E01619"/>
    <w:rsid w:val="00E01BD5"/>
    <w:rsid w:val="00E030C6"/>
    <w:rsid w:val="00E05527"/>
    <w:rsid w:val="00E06383"/>
    <w:rsid w:val="00E06BBF"/>
    <w:rsid w:val="00E06D5F"/>
    <w:rsid w:val="00E12369"/>
    <w:rsid w:val="00E12556"/>
    <w:rsid w:val="00E13049"/>
    <w:rsid w:val="00E1407E"/>
    <w:rsid w:val="00E14312"/>
    <w:rsid w:val="00E164CD"/>
    <w:rsid w:val="00E200CC"/>
    <w:rsid w:val="00E208A9"/>
    <w:rsid w:val="00E20A0B"/>
    <w:rsid w:val="00E21A64"/>
    <w:rsid w:val="00E21FDF"/>
    <w:rsid w:val="00E2352E"/>
    <w:rsid w:val="00E24E90"/>
    <w:rsid w:val="00E24F17"/>
    <w:rsid w:val="00E25A79"/>
    <w:rsid w:val="00E26521"/>
    <w:rsid w:val="00E30943"/>
    <w:rsid w:val="00E312A7"/>
    <w:rsid w:val="00E312F4"/>
    <w:rsid w:val="00E31C5A"/>
    <w:rsid w:val="00E321A5"/>
    <w:rsid w:val="00E322D7"/>
    <w:rsid w:val="00E33C1F"/>
    <w:rsid w:val="00E350DB"/>
    <w:rsid w:val="00E3562F"/>
    <w:rsid w:val="00E35CE1"/>
    <w:rsid w:val="00E37C41"/>
    <w:rsid w:val="00E40792"/>
    <w:rsid w:val="00E408BB"/>
    <w:rsid w:val="00E40A89"/>
    <w:rsid w:val="00E41A3E"/>
    <w:rsid w:val="00E41FC2"/>
    <w:rsid w:val="00E42C84"/>
    <w:rsid w:val="00E438D9"/>
    <w:rsid w:val="00E44819"/>
    <w:rsid w:val="00E44F85"/>
    <w:rsid w:val="00E455A8"/>
    <w:rsid w:val="00E46EBA"/>
    <w:rsid w:val="00E475CF"/>
    <w:rsid w:val="00E51519"/>
    <w:rsid w:val="00E53BA1"/>
    <w:rsid w:val="00E54935"/>
    <w:rsid w:val="00E54FFC"/>
    <w:rsid w:val="00E55DFE"/>
    <w:rsid w:val="00E562A7"/>
    <w:rsid w:val="00E57681"/>
    <w:rsid w:val="00E610CF"/>
    <w:rsid w:val="00E61175"/>
    <w:rsid w:val="00E6234F"/>
    <w:rsid w:val="00E6263E"/>
    <w:rsid w:val="00E62F30"/>
    <w:rsid w:val="00E630CA"/>
    <w:rsid w:val="00E64D37"/>
    <w:rsid w:val="00E64D3D"/>
    <w:rsid w:val="00E64D93"/>
    <w:rsid w:val="00E64FE6"/>
    <w:rsid w:val="00E6622C"/>
    <w:rsid w:val="00E66382"/>
    <w:rsid w:val="00E70ACD"/>
    <w:rsid w:val="00E70D22"/>
    <w:rsid w:val="00E71894"/>
    <w:rsid w:val="00E726AE"/>
    <w:rsid w:val="00E72A82"/>
    <w:rsid w:val="00E7347F"/>
    <w:rsid w:val="00E73CC8"/>
    <w:rsid w:val="00E751DF"/>
    <w:rsid w:val="00E80FE7"/>
    <w:rsid w:val="00E817FE"/>
    <w:rsid w:val="00E82F29"/>
    <w:rsid w:val="00E8480E"/>
    <w:rsid w:val="00E84CD6"/>
    <w:rsid w:val="00E8557E"/>
    <w:rsid w:val="00E85B70"/>
    <w:rsid w:val="00E85ECC"/>
    <w:rsid w:val="00E85FC1"/>
    <w:rsid w:val="00E86231"/>
    <w:rsid w:val="00E87EF1"/>
    <w:rsid w:val="00E90657"/>
    <w:rsid w:val="00E90691"/>
    <w:rsid w:val="00E90A00"/>
    <w:rsid w:val="00E91F09"/>
    <w:rsid w:val="00E921ED"/>
    <w:rsid w:val="00E93D45"/>
    <w:rsid w:val="00E94116"/>
    <w:rsid w:val="00E9477E"/>
    <w:rsid w:val="00E94795"/>
    <w:rsid w:val="00E95AA8"/>
    <w:rsid w:val="00E96104"/>
    <w:rsid w:val="00E9624A"/>
    <w:rsid w:val="00E965B1"/>
    <w:rsid w:val="00E96A17"/>
    <w:rsid w:val="00EA066E"/>
    <w:rsid w:val="00EA0B81"/>
    <w:rsid w:val="00EA0F90"/>
    <w:rsid w:val="00EA1A65"/>
    <w:rsid w:val="00EA1AEC"/>
    <w:rsid w:val="00EA26C5"/>
    <w:rsid w:val="00EA46F6"/>
    <w:rsid w:val="00EA5BD3"/>
    <w:rsid w:val="00EA5D44"/>
    <w:rsid w:val="00EA62C9"/>
    <w:rsid w:val="00EA758F"/>
    <w:rsid w:val="00EA7BD4"/>
    <w:rsid w:val="00EB1256"/>
    <w:rsid w:val="00EB5636"/>
    <w:rsid w:val="00EB6FFF"/>
    <w:rsid w:val="00EB7545"/>
    <w:rsid w:val="00EB7BF7"/>
    <w:rsid w:val="00EC06F5"/>
    <w:rsid w:val="00EC0736"/>
    <w:rsid w:val="00EC0DE9"/>
    <w:rsid w:val="00EC1526"/>
    <w:rsid w:val="00EC23BB"/>
    <w:rsid w:val="00EC38EE"/>
    <w:rsid w:val="00EC4361"/>
    <w:rsid w:val="00EC5CEC"/>
    <w:rsid w:val="00EC655A"/>
    <w:rsid w:val="00EC727E"/>
    <w:rsid w:val="00EC7F93"/>
    <w:rsid w:val="00ED193C"/>
    <w:rsid w:val="00ED288D"/>
    <w:rsid w:val="00ED2B3F"/>
    <w:rsid w:val="00ED2D06"/>
    <w:rsid w:val="00ED3805"/>
    <w:rsid w:val="00ED3E49"/>
    <w:rsid w:val="00ED3FB6"/>
    <w:rsid w:val="00ED47C1"/>
    <w:rsid w:val="00ED56FA"/>
    <w:rsid w:val="00ED59D5"/>
    <w:rsid w:val="00ED7C53"/>
    <w:rsid w:val="00EE138D"/>
    <w:rsid w:val="00EE19A4"/>
    <w:rsid w:val="00EE1FE1"/>
    <w:rsid w:val="00EE28C1"/>
    <w:rsid w:val="00EE2B69"/>
    <w:rsid w:val="00EE2C57"/>
    <w:rsid w:val="00EE2C8A"/>
    <w:rsid w:val="00EE2CBF"/>
    <w:rsid w:val="00EE358B"/>
    <w:rsid w:val="00EE496F"/>
    <w:rsid w:val="00EE4C15"/>
    <w:rsid w:val="00EE5CD7"/>
    <w:rsid w:val="00EE7159"/>
    <w:rsid w:val="00EE772E"/>
    <w:rsid w:val="00EE7B81"/>
    <w:rsid w:val="00EE7D34"/>
    <w:rsid w:val="00EF0548"/>
    <w:rsid w:val="00EF096A"/>
    <w:rsid w:val="00EF1055"/>
    <w:rsid w:val="00EF2A1E"/>
    <w:rsid w:val="00EF362E"/>
    <w:rsid w:val="00EF3F0B"/>
    <w:rsid w:val="00EF483D"/>
    <w:rsid w:val="00EF52CF"/>
    <w:rsid w:val="00EF6443"/>
    <w:rsid w:val="00EF78E5"/>
    <w:rsid w:val="00F008FD"/>
    <w:rsid w:val="00F01271"/>
    <w:rsid w:val="00F03CB2"/>
    <w:rsid w:val="00F043B8"/>
    <w:rsid w:val="00F05415"/>
    <w:rsid w:val="00F054A1"/>
    <w:rsid w:val="00F058D6"/>
    <w:rsid w:val="00F0605A"/>
    <w:rsid w:val="00F06853"/>
    <w:rsid w:val="00F069F3"/>
    <w:rsid w:val="00F0729D"/>
    <w:rsid w:val="00F07488"/>
    <w:rsid w:val="00F074DA"/>
    <w:rsid w:val="00F07F0E"/>
    <w:rsid w:val="00F12799"/>
    <w:rsid w:val="00F1298F"/>
    <w:rsid w:val="00F13CD0"/>
    <w:rsid w:val="00F14C1F"/>
    <w:rsid w:val="00F15800"/>
    <w:rsid w:val="00F15DBC"/>
    <w:rsid w:val="00F15E8B"/>
    <w:rsid w:val="00F1628D"/>
    <w:rsid w:val="00F173ED"/>
    <w:rsid w:val="00F17B49"/>
    <w:rsid w:val="00F17C39"/>
    <w:rsid w:val="00F17D01"/>
    <w:rsid w:val="00F200CD"/>
    <w:rsid w:val="00F208A3"/>
    <w:rsid w:val="00F20BBA"/>
    <w:rsid w:val="00F21D46"/>
    <w:rsid w:val="00F21EC4"/>
    <w:rsid w:val="00F224A2"/>
    <w:rsid w:val="00F22530"/>
    <w:rsid w:val="00F22B85"/>
    <w:rsid w:val="00F23584"/>
    <w:rsid w:val="00F264B5"/>
    <w:rsid w:val="00F26989"/>
    <w:rsid w:val="00F26CD2"/>
    <w:rsid w:val="00F277B1"/>
    <w:rsid w:val="00F27A03"/>
    <w:rsid w:val="00F30DA3"/>
    <w:rsid w:val="00F31580"/>
    <w:rsid w:val="00F3166A"/>
    <w:rsid w:val="00F31C14"/>
    <w:rsid w:val="00F33143"/>
    <w:rsid w:val="00F333C7"/>
    <w:rsid w:val="00F34391"/>
    <w:rsid w:val="00F347A3"/>
    <w:rsid w:val="00F353F6"/>
    <w:rsid w:val="00F35C95"/>
    <w:rsid w:val="00F35CAC"/>
    <w:rsid w:val="00F35F81"/>
    <w:rsid w:val="00F40F59"/>
    <w:rsid w:val="00F41C05"/>
    <w:rsid w:val="00F41C4D"/>
    <w:rsid w:val="00F42FA3"/>
    <w:rsid w:val="00F43371"/>
    <w:rsid w:val="00F44C5F"/>
    <w:rsid w:val="00F44DBF"/>
    <w:rsid w:val="00F45548"/>
    <w:rsid w:val="00F4628E"/>
    <w:rsid w:val="00F467DD"/>
    <w:rsid w:val="00F46979"/>
    <w:rsid w:val="00F50458"/>
    <w:rsid w:val="00F508AF"/>
    <w:rsid w:val="00F51E0A"/>
    <w:rsid w:val="00F524D5"/>
    <w:rsid w:val="00F53005"/>
    <w:rsid w:val="00F5507D"/>
    <w:rsid w:val="00F5737B"/>
    <w:rsid w:val="00F575CE"/>
    <w:rsid w:val="00F60052"/>
    <w:rsid w:val="00F60506"/>
    <w:rsid w:val="00F60543"/>
    <w:rsid w:val="00F60F49"/>
    <w:rsid w:val="00F6163D"/>
    <w:rsid w:val="00F618DB"/>
    <w:rsid w:val="00F623B4"/>
    <w:rsid w:val="00F62C17"/>
    <w:rsid w:val="00F62D36"/>
    <w:rsid w:val="00F635BB"/>
    <w:rsid w:val="00F66A05"/>
    <w:rsid w:val="00F67243"/>
    <w:rsid w:val="00F70554"/>
    <w:rsid w:val="00F706D6"/>
    <w:rsid w:val="00F70E64"/>
    <w:rsid w:val="00F70EDA"/>
    <w:rsid w:val="00F71468"/>
    <w:rsid w:val="00F71503"/>
    <w:rsid w:val="00F73006"/>
    <w:rsid w:val="00F75D45"/>
    <w:rsid w:val="00F768C1"/>
    <w:rsid w:val="00F768C3"/>
    <w:rsid w:val="00F779FA"/>
    <w:rsid w:val="00F80738"/>
    <w:rsid w:val="00F80EA0"/>
    <w:rsid w:val="00F8183A"/>
    <w:rsid w:val="00F81FC9"/>
    <w:rsid w:val="00F842F4"/>
    <w:rsid w:val="00F84829"/>
    <w:rsid w:val="00F86B42"/>
    <w:rsid w:val="00F86E7C"/>
    <w:rsid w:val="00F875D4"/>
    <w:rsid w:val="00F9099E"/>
    <w:rsid w:val="00F93367"/>
    <w:rsid w:val="00F93623"/>
    <w:rsid w:val="00F9409D"/>
    <w:rsid w:val="00F94A6C"/>
    <w:rsid w:val="00F95859"/>
    <w:rsid w:val="00F95C55"/>
    <w:rsid w:val="00F96B62"/>
    <w:rsid w:val="00FA133D"/>
    <w:rsid w:val="00FA1490"/>
    <w:rsid w:val="00FA1904"/>
    <w:rsid w:val="00FA4870"/>
    <w:rsid w:val="00FA48CB"/>
    <w:rsid w:val="00FA5A05"/>
    <w:rsid w:val="00FA6F43"/>
    <w:rsid w:val="00FA70AC"/>
    <w:rsid w:val="00FB02E2"/>
    <w:rsid w:val="00FB0E32"/>
    <w:rsid w:val="00FB10D1"/>
    <w:rsid w:val="00FB4246"/>
    <w:rsid w:val="00FB469E"/>
    <w:rsid w:val="00FB4D3F"/>
    <w:rsid w:val="00FB7808"/>
    <w:rsid w:val="00FC15E6"/>
    <w:rsid w:val="00FC1B09"/>
    <w:rsid w:val="00FC2BFC"/>
    <w:rsid w:val="00FC2DD6"/>
    <w:rsid w:val="00FC37F7"/>
    <w:rsid w:val="00FC3E7F"/>
    <w:rsid w:val="00FC47B3"/>
    <w:rsid w:val="00FC4EFA"/>
    <w:rsid w:val="00FC7272"/>
    <w:rsid w:val="00FC73CD"/>
    <w:rsid w:val="00FD0ABE"/>
    <w:rsid w:val="00FD472D"/>
    <w:rsid w:val="00FD4E70"/>
    <w:rsid w:val="00FD57EC"/>
    <w:rsid w:val="00FD593C"/>
    <w:rsid w:val="00FD5F20"/>
    <w:rsid w:val="00FD730E"/>
    <w:rsid w:val="00FD78FB"/>
    <w:rsid w:val="00FD7D8E"/>
    <w:rsid w:val="00FD7FD2"/>
    <w:rsid w:val="00FE0127"/>
    <w:rsid w:val="00FE1917"/>
    <w:rsid w:val="00FE1BB4"/>
    <w:rsid w:val="00FE2468"/>
    <w:rsid w:val="00FE33BA"/>
    <w:rsid w:val="00FE38B8"/>
    <w:rsid w:val="00FE4653"/>
    <w:rsid w:val="00FE4856"/>
    <w:rsid w:val="00FE6C91"/>
    <w:rsid w:val="00FF0255"/>
    <w:rsid w:val="00FF16EE"/>
    <w:rsid w:val="00FF1B37"/>
    <w:rsid w:val="00FF3928"/>
    <w:rsid w:val="00FF403B"/>
    <w:rsid w:val="00FF4377"/>
    <w:rsid w:val="00FF474D"/>
    <w:rsid w:val="00FF4CD5"/>
    <w:rsid w:val="00FF6EBE"/>
    <w:rsid w:val="0125C6BA"/>
    <w:rsid w:val="015109E4"/>
    <w:rsid w:val="0152EFDA"/>
    <w:rsid w:val="0170E3D1"/>
    <w:rsid w:val="0199B663"/>
    <w:rsid w:val="01B71B00"/>
    <w:rsid w:val="024C3802"/>
    <w:rsid w:val="026BA5EF"/>
    <w:rsid w:val="026E4F2E"/>
    <w:rsid w:val="0292E1FC"/>
    <w:rsid w:val="02A36A79"/>
    <w:rsid w:val="0312DFDA"/>
    <w:rsid w:val="038BCE66"/>
    <w:rsid w:val="0404EA99"/>
    <w:rsid w:val="041A97D8"/>
    <w:rsid w:val="0432715F"/>
    <w:rsid w:val="04985448"/>
    <w:rsid w:val="04AF47B3"/>
    <w:rsid w:val="04BDF2D4"/>
    <w:rsid w:val="04CFD842"/>
    <w:rsid w:val="04EE6600"/>
    <w:rsid w:val="0642C5E7"/>
    <w:rsid w:val="064B4AE5"/>
    <w:rsid w:val="06D3A431"/>
    <w:rsid w:val="06FCB99B"/>
    <w:rsid w:val="070BE938"/>
    <w:rsid w:val="071FA925"/>
    <w:rsid w:val="072099B6"/>
    <w:rsid w:val="07754C9C"/>
    <w:rsid w:val="08442A31"/>
    <w:rsid w:val="084A340A"/>
    <w:rsid w:val="084B3394"/>
    <w:rsid w:val="085283F2"/>
    <w:rsid w:val="093F23A8"/>
    <w:rsid w:val="0A1C5515"/>
    <w:rsid w:val="0A220F70"/>
    <w:rsid w:val="0AE11A2C"/>
    <w:rsid w:val="0B186B27"/>
    <w:rsid w:val="0B18B095"/>
    <w:rsid w:val="0B39620C"/>
    <w:rsid w:val="0B656652"/>
    <w:rsid w:val="0B84973E"/>
    <w:rsid w:val="0B995A16"/>
    <w:rsid w:val="0BDBA832"/>
    <w:rsid w:val="0BF25A45"/>
    <w:rsid w:val="0C77C089"/>
    <w:rsid w:val="0D0D6430"/>
    <w:rsid w:val="0D36C9E2"/>
    <w:rsid w:val="0D5209B9"/>
    <w:rsid w:val="0DDA0FDD"/>
    <w:rsid w:val="0ECDAE10"/>
    <w:rsid w:val="0EFE6A38"/>
    <w:rsid w:val="0F31CE86"/>
    <w:rsid w:val="0F592F85"/>
    <w:rsid w:val="0FA28454"/>
    <w:rsid w:val="0FBA41D9"/>
    <w:rsid w:val="0FCAC890"/>
    <w:rsid w:val="10146787"/>
    <w:rsid w:val="10446D7A"/>
    <w:rsid w:val="1054AC32"/>
    <w:rsid w:val="105F9513"/>
    <w:rsid w:val="10913A61"/>
    <w:rsid w:val="10BC856F"/>
    <w:rsid w:val="111EC92F"/>
    <w:rsid w:val="1132D867"/>
    <w:rsid w:val="117F7D45"/>
    <w:rsid w:val="11A2BA64"/>
    <w:rsid w:val="12436572"/>
    <w:rsid w:val="1273C786"/>
    <w:rsid w:val="12992016"/>
    <w:rsid w:val="12A527AC"/>
    <w:rsid w:val="12FAD5F6"/>
    <w:rsid w:val="13234228"/>
    <w:rsid w:val="133FDD45"/>
    <w:rsid w:val="1352798D"/>
    <w:rsid w:val="13A655C7"/>
    <w:rsid w:val="13DA43C4"/>
    <w:rsid w:val="140EF06B"/>
    <w:rsid w:val="1422697E"/>
    <w:rsid w:val="14599E2A"/>
    <w:rsid w:val="14BD4C21"/>
    <w:rsid w:val="1538B1A1"/>
    <w:rsid w:val="1595D753"/>
    <w:rsid w:val="15BE39DF"/>
    <w:rsid w:val="15CA540F"/>
    <w:rsid w:val="16080231"/>
    <w:rsid w:val="1689AABE"/>
    <w:rsid w:val="16971C2E"/>
    <w:rsid w:val="16B11A88"/>
    <w:rsid w:val="16D44A07"/>
    <w:rsid w:val="17266DB8"/>
    <w:rsid w:val="1728C952"/>
    <w:rsid w:val="173F838C"/>
    <w:rsid w:val="17A00965"/>
    <w:rsid w:val="18BD0852"/>
    <w:rsid w:val="18E06B81"/>
    <w:rsid w:val="18E284BF"/>
    <w:rsid w:val="1938AB11"/>
    <w:rsid w:val="19C750B7"/>
    <w:rsid w:val="1A8A513F"/>
    <w:rsid w:val="1A9BCCB4"/>
    <w:rsid w:val="1AD84316"/>
    <w:rsid w:val="1AF4009D"/>
    <w:rsid w:val="1B29383D"/>
    <w:rsid w:val="1B2A7956"/>
    <w:rsid w:val="1B6F4B6B"/>
    <w:rsid w:val="1B70439A"/>
    <w:rsid w:val="1B97F4EE"/>
    <w:rsid w:val="1BA754B4"/>
    <w:rsid w:val="1BA7BB2A"/>
    <w:rsid w:val="1BAD6A5F"/>
    <w:rsid w:val="1C3626D0"/>
    <w:rsid w:val="1C38C967"/>
    <w:rsid w:val="1C781A83"/>
    <w:rsid w:val="1CD64EA2"/>
    <w:rsid w:val="1D420D2C"/>
    <w:rsid w:val="1D7DB5CF"/>
    <w:rsid w:val="1D9DB960"/>
    <w:rsid w:val="1DB007D3"/>
    <w:rsid w:val="1E138F28"/>
    <w:rsid w:val="1EBC1728"/>
    <w:rsid w:val="1EC79E05"/>
    <w:rsid w:val="1EE2CAFD"/>
    <w:rsid w:val="1F239EB6"/>
    <w:rsid w:val="1F4BD834"/>
    <w:rsid w:val="1F569AC8"/>
    <w:rsid w:val="204C1791"/>
    <w:rsid w:val="205B8667"/>
    <w:rsid w:val="2088ABA6"/>
    <w:rsid w:val="20C4E6AB"/>
    <w:rsid w:val="219A31BE"/>
    <w:rsid w:val="21E89B82"/>
    <w:rsid w:val="220C20BC"/>
    <w:rsid w:val="221615C7"/>
    <w:rsid w:val="22E02770"/>
    <w:rsid w:val="2392FC4F"/>
    <w:rsid w:val="23FC39EC"/>
    <w:rsid w:val="2445C367"/>
    <w:rsid w:val="245FAD8F"/>
    <w:rsid w:val="24B28C3D"/>
    <w:rsid w:val="24B3BCC4"/>
    <w:rsid w:val="24D76BFA"/>
    <w:rsid w:val="24EEEA8D"/>
    <w:rsid w:val="2602A23B"/>
    <w:rsid w:val="2620966A"/>
    <w:rsid w:val="26463BEE"/>
    <w:rsid w:val="2655B348"/>
    <w:rsid w:val="2664F5E1"/>
    <w:rsid w:val="2679DDB9"/>
    <w:rsid w:val="267C2505"/>
    <w:rsid w:val="26F4E3B1"/>
    <w:rsid w:val="2708599D"/>
    <w:rsid w:val="27620720"/>
    <w:rsid w:val="27E37000"/>
    <w:rsid w:val="2834DD2D"/>
    <w:rsid w:val="28354BA8"/>
    <w:rsid w:val="285CDA28"/>
    <w:rsid w:val="28C35FB7"/>
    <w:rsid w:val="28C399CD"/>
    <w:rsid w:val="28F74BBC"/>
    <w:rsid w:val="29681F06"/>
    <w:rsid w:val="29F8580F"/>
    <w:rsid w:val="2A179931"/>
    <w:rsid w:val="2A2E3F36"/>
    <w:rsid w:val="2A45B4F0"/>
    <w:rsid w:val="2A625408"/>
    <w:rsid w:val="2AA2B577"/>
    <w:rsid w:val="2AD772A2"/>
    <w:rsid w:val="2B31F4D4"/>
    <w:rsid w:val="2B5C32E0"/>
    <w:rsid w:val="2B6C3A9C"/>
    <w:rsid w:val="2B826962"/>
    <w:rsid w:val="2B96BB45"/>
    <w:rsid w:val="2B9CAC73"/>
    <w:rsid w:val="2C1E164E"/>
    <w:rsid w:val="2C21646F"/>
    <w:rsid w:val="2C598C20"/>
    <w:rsid w:val="2C734303"/>
    <w:rsid w:val="2D09EF2A"/>
    <w:rsid w:val="2D0A8D6F"/>
    <w:rsid w:val="2D9FF16A"/>
    <w:rsid w:val="2DCAB051"/>
    <w:rsid w:val="2DD7B795"/>
    <w:rsid w:val="2DE877C8"/>
    <w:rsid w:val="2E9277C3"/>
    <w:rsid w:val="2EB62DA5"/>
    <w:rsid w:val="2ECA2B2A"/>
    <w:rsid w:val="2ECE27C2"/>
    <w:rsid w:val="2EE903F3"/>
    <w:rsid w:val="2F45DD87"/>
    <w:rsid w:val="2F761F48"/>
    <w:rsid w:val="2FB536C3"/>
    <w:rsid w:val="2FD0C351"/>
    <w:rsid w:val="2FE5169B"/>
    <w:rsid w:val="300A5D6A"/>
    <w:rsid w:val="3022D575"/>
    <w:rsid w:val="304D96D5"/>
    <w:rsid w:val="306C076E"/>
    <w:rsid w:val="31025113"/>
    <w:rsid w:val="316CCA2E"/>
    <w:rsid w:val="31885A08"/>
    <w:rsid w:val="320B2623"/>
    <w:rsid w:val="324320EF"/>
    <w:rsid w:val="32D93F2D"/>
    <w:rsid w:val="33712B7C"/>
    <w:rsid w:val="339E49F2"/>
    <w:rsid w:val="33A57A50"/>
    <w:rsid w:val="33D6477A"/>
    <w:rsid w:val="33F019DE"/>
    <w:rsid w:val="341938EA"/>
    <w:rsid w:val="344C4250"/>
    <w:rsid w:val="34A3D378"/>
    <w:rsid w:val="34AF7149"/>
    <w:rsid w:val="34C6EB36"/>
    <w:rsid w:val="34D14842"/>
    <w:rsid w:val="3576E3BB"/>
    <w:rsid w:val="362457A6"/>
    <w:rsid w:val="36462F9E"/>
    <w:rsid w:val="36CBF13A"/>
    <w:rsid w:val="36D6DB17"/>
    <w:rsid w:val="3710AB92"/>
    <w:rsid w:val="3734FFFB"/>
    <w:rsid w:val="37389536"/>
    <w:rsid w:val="3759211E"/>
    <w:rsid w:val="3774FB69"/>
    <w:rsid w:val="384C7B95"/>
    <w:rsid w:val="3861E53B"/>
    <w:rsid w:val="38FF516D"/>
    <w:rsid w:val="3910CBCA"/>
    <w:rsid w:val="3934EA12"/>
    <w:rsid w:val="396D2654"/>
    <w:rsid w:val="39F1D8BA"/>
    <w:rsid w:val="3AC81D32"/>
    <w:rsid w:val="3ACD394F"/>
    <w:rsid w:val="3AFA5146"/>
    <w:rsid w:val="3AFFE8CB"/>
    <w:rsid w:val="3B7DC6DB"/>
    <w:rsid w:val="3BA0B0E8"/>
    <w:rsid w:val="3BB69C22"/>
    <w:rsid w:val="3BCE98C9"/>
    <w:rsid w:val="3C4151A2"/>
    <w:rsid w:val="3C599EAE"/>
    <w:rsid w:val="3C5E5586"/>
    <w:rsid w:val="3C6812CE"/>
    <w:rsid w:val="3C9D2A80"/>
    <w:rsid w:val="3CB1AF6E"/>
    <w:rsid w:val="3CF69404"/>
    <w:rsid w:val="3D29797C"/>
    <w:rsid w:val="3DD74A54"/>
    <w:rsid w:val="3E0EF823"/>
    <w:rsid w:val="3E2D24B4"/>
    <w:rsid w:val="3ED81B74"/>
    <w:rsid w:val="3FA8089B"/>
    <w:rsid w:val="400ACCCD"/>
    <w:rsid w:val="401383A1"/>
    <w:rsid w:val="40399171"/>
    <w:rsid w:val="403B6FB6"/>
    <w:rsid w:val="40AB7A3E"/>
    <w:rsid w:val="40CF34FD"/>
    <w:rsid w:val="40EA9F9B"/>
    <w:rsid w:val="41570A09"/>
    <w:rsid w:val="416E5DAB"/>
    <w:rsid w:val="41B0F86F"/>
    <w:rsid w:val="41CCD999"/>
    <w:rsid w:val="4261323F"/>
    <w:rsid w:val="42B35A17"/>
    <w:rsid w:val="42C368BD"/>
    <w:rsid w:val="43CA1B26"/>
    <w:rsid w:val="43D2877E"/>
    <w:rsid w:val="43FD02A0"/>
    <w:rsid w:val="441617B9"/>
    <w:rsid w:val="44C2DB37"/>
    <w:rsid w:val="454CC31F"/>
    <w:rsid w:val="45A59D1E"/>
    <w:rsid w:val="466D2242"/>
    <w:rsid w:val="4670288D"/>
    <w:rsid w:val="4754F7D1"/>
    <w:rsid w:val="47672E59"/>
    <w:rsid w:val="48942064"/>
    <w:rsid w:val="4897B260"/>
    <w:rsid w:val="4923B031"/>
    <w:rsid w:val="493F863C"/>
    <w:rsid w:val="49A320D3"/>
    <w:rsid w:val="49B2307D"/>
    <w:rsid w:val="49E73B42"/>
    <w:rsid w:val="4A508271"/>
    <w:rsid w:val="4A59F1CD"/>
    <w:rsid w:val="4A61C0C9"/>
    <w:rsid w:val="4A9476DD"/>
    <w:rsid w:val="4AA1E536"/>
    <w:rsid w:val="4B1E56E3"/>
    <w:rsid w:val="4B41FB21"/>
    <w:rsid w:val="4B4DE300"/>
    <w:rsid w:val="4C7B8949"/>
    <w:rsid w:val="4CB38647"/>
    <w:rsid w:val="4CD58759"/>
    <w:rsid w:val="4CE72738"/>
    <w:rsid w:val="4D4560B0"/>
    <w:rsid w:val="4D57D50F"/>
    <w:rsid w:val="4E0849E2"/>
    <w:rsid w:val="4E2F9D89"/>
    <w:rsid w:val="4E3BC016"/>
    <w:rsid w:val="4E3C05D7"/>
    <w:rsid w:val="4E741735"/>
    <w:rsid w:val="4E9AAAB9"/>
    <w:rsid w:val="4E9F387C"/>
    <w:rsid w:val="4F08327C"/>
    <w:rsid w:val="4F0D9ACB"/>
    <w:rsid w:val="4F550666"/>
    <w:rsid w:val="4F82BDE5"/>
    <w:rsid w:val="4FAACCAC"/>
    <w:rsid w:val="4FE01162"/>
    <w:rsid w:val="501B3599"/>
    <w:rsid w:val="50617D30"/>
    <w:rsid w:val="5065D819"/>
    <w:rsid w:val="506E031A"/>
    <w:rsid w:val="50EB4C75"/>
    <w:rsid w:val="51406CE4"/>
    <w:rsid w:val="51BA35FE"/>
    <w:rsid w:val="521D680F"/>
    <w:rsid w:val="52B083EB"/>
    <w:rsid w:val="5308B887"/>
    <w:rsid w:val="53611C5A"/>
    <w:rsid w:val="53A3FB40"/>
    <w:rsid w:val="549B4C06"/>
    <w:rsid w:val="549C4AF7"/>
    <w:rsid w:val="54BCE599"/>
    <w:rsid w:val="551F66FE"/>
    <w:rsid w:val="55374A38"/>
    <w:rsid w:val="55637F38"/>
    <w:rsid w:val="55860607"/>
    <w:rsid w:val="558D2498"/>
    <w:rsid w:val="561D3D3C"/>
    <w:rsid w:val="5667627E"/>
    <w:rsid w:val="56D85A36"/>
    <w:rsid w:val="56E6FC1D"/>
    <w:rsid w:val="57E672B2"/>
    <w:rsid w:val="582EEB46"/>
    <w:rsid w:val="58450DE2"/>
    <w:rsid w:val="584549CD"/>
    <w:rsid w:val="58607D2B"/>
    <w:rsid w:val="58735EC6"/>
    <w:rsid w:val="587F3FE5"/>
    <w:rsid w:val="5891C68D"/>
    <w:rsid w:val="58BDF8D5"/>
    <w:rsid w:val="592F3670"/>
    <w:rsid w:val="595613C5"/>
    <w:rsid w:val="595A4516"/>
    <w:rsid w:val="599845A5"/>
    <w:rsid w:val="59A03E6F"/>
    <w:rsid w:val="59CE6CA4"/>
    <w:rsid w:val="59DA4EF0"/>
    <w:rsid w:val="59DDA13B"/>
    <w:rsid w:val="59F95B93"/>
    <w:rsid w:val="59FE8597"/>
    <w:rsid w:val="5A028D39"/>
    <w:rsid w:val="5AC9282C"/>
    <w:rsid w:val="5ACE26CD"/>
    <w:rsid w:val="5B143CE9"/>
    <w:rsid w:val="5B6ADE4C"/>
    <w:rsid w:val="5B9E5D9A"/>
    <w:rsid w:val="5BAF80C5"/>
    <w:rsid w:val="5BC4D0A3"/>
    <w:rsid w:val="5BEC1AEC"/>
    <w:rsid w:val="5C1AEAF2"/>
    <w:rsid w:val="5C1FD076"/>
    <w:rsid w:val="5C20E356"/>
    <w:rsid w:val="5C45543C"/>
    <w:rsid w:val="5C6C4729"/>
    <w:rsid w:val="5C8746BD"/>
    <w:rsid w:val="5CBABE78"/>
    <w:rsid w:val="5CE73EE8"/>
    <w:rsid w:val="5CFE938B"/>
    <w:rsid w:val="5D0BC0E0"/>
    <w:rsid w:val="5D6DEF3D"/>
    <w:rsid w:val="5D7920B5"/>
    <w:rsid w:val="5EBBAA5E"/>
    <w:rsid w:val="5ED1F6BA"/>
    <w:rsid w:val="5F5CE90A"/>
    <w:rsid w:val="5F939E19"/>
    <w:rsid w:val="5F9FDF7B"/>
    <w:rsid w:val="5FB53A63"/>
    <w:rsid w:val="5FC5C55C"/>
    <w:rsid w:val="6017D03B"/>
    <w:rsid w:val="602D943F"/>
    <w:rsid w:val="60340B50"/>
    <w:rsid w:val="6034E952"/>
    <w:rsid w:val="605AC397"/>
    <w:rsid w:val="606ABB41"/>
    <w:rsid w:val="60E31DDE"/>
    <w:rsid w:val="60E5478A"/>
    <w:rsid w:val="60F50DC6"/>
    <w:rsid w:val="60FC463B"/>
    <w:rsid w:val="610F90E2"/>
    <w:rsid w:val="6134C8D3"/>
    <w:rsid w:val="61553B54"/>
    <w:rsid w:val="6161A5A2"/>
    <w:rsid w:val="6165ABF4"/>
    <w:rsid w:val="616FE9EE"/>
    <w:rsid w:val="617E0131"/>
    <w:rsid w:val="6199D66D"/>
    <w:rsid w:val="619B0F99"/>
    <w:rsid w:val="61B8549C"/>
    <w:rsid w:val="61D6F2D6"/>
    <w:rsid w:val="61FAAD69"/>
    <w:rsid w:val="62049770"/>
    <w:rsid w:val="621C3E4D"/>
    <w:rsid w:val="6227448D"/>
    <w:rsid w:val="62870C38"/>
    <w:rsid w:val="62F51EC9"/>
    <w:rsid w:val="633112DF"/>
    <w:rsid w:val="63937992"/>
    <w:rsid w:val="639A9F60"/>
    <w:rsid w:val="63DD45C1"/>
    <w:rsid w:val="63FAE768"/>
    <w:rsid w:val="643BD388"/>
    <w:rsid w:val="646A8D9E"/>
    <w:rsid w:val="646D9667"/>
    <w:rsid w:val="64A78AB0"/>
    <w:rsid w:val="64E82317"/>
    <w:rsid w:val="650FBBA3"/>
    <w:rsid w:val="6547E235"/>
    <w:rsid w:val="655072EF"/>
    <w:rsid w:val="65AA8B53"/>
    <w:rsid w:val="65ECDACF"/>
    <w:rsid w:val="65F108B4"/>
    <w:rsid w:val="660B4B2A"/>
    <w:rsid w:val="66220B55"/>
    <w:rsid w:val="66284F3E"/>
    <w:rsid w:val="6649C966"/>
    <w:rsid w:val="66A9DB3D"/>
    <w:rsid w:val="671C783B"/>
    <w:rsid w:val="673B6BE7"/>
    <w:rsid w:val="67429C45"/>
    <w:rsid w:val="675BD951"/>
    <w:rsid w:val="67870F1E"/>
    <w:rsid w:val="68028538"/>
    <w:rsid w:val="688DC9E7"/>
    <w:rsid w:val="68B79A78"/>
    <w:rsid w:val="6925AA81"/>
    <w:rsid w:val="696CB787"/>
    <w:rsid w:val="6989AC1C"/>
    <w:rsid w:val="698B4616"/>
    <w:rsid w:val="69BB4E28"/>
    <w:rsid w:val="69FA6472"/>
    <w:rsid w:val="6A23E088"/>
    <w:rsid w:val="6A800528"/>
    <w:rsid w:val="6A82C7AF"/>
    <w:rsid w:val="6AB10959"/>
    <w:rsid w:val="6AEB3494"/>
    <w:rsid w:val="6AF08052"/>
    <w:rsid w:val="6AFAE7BC"/>
    <w:rsid w:val="6B841DA3"/>
    <w:rsid w:val="6B9589B3"/>
    <w:rsid w:val="6BED10AC"/>
    <w:rsid w:val="6C3307EF"/>
    <w:rsid w:val="6CBA25AF"/>
    <w:rsid w:val="6D8E661B"/>
    <w:rsid w:val="6DAD55FC"/>
    <w:rsid w:val="6E117195"/>
    <w:rsid w:val="6E3B5E4E"/>
    <w:rsid w:val="6E5E5DC2"/>
    <w:rsid w:val="6E6DAA63"/>
    <w:rsid w:val="6EBD1E8E"/>
    <w:rsid w:val="6EEDF759"/>
    <w:rsid w:val="6EF2F35E"/>
    <w:rsid w:val="700F95E7"/>
    <w:rsid w:val="702325BC"/>
    <w:rsid w:val="706752D3"/>
    <w:rsid w:val="70721ACA"/>
    <w:rsid w:val="708586CF"/>
    <w:rsid w:val="70AB7EAD"/>
    <w:rsid w:val="71078822"/>
    <w:rsid w:val="715027C7"/>
    <w:rsid w:val="715A5FE9"/>
    <w:rsid w:val="715BF380"/>
    <w:rsid w:val="716DBA11"/>
    <w:rsid w:val="718703EF"/>
    <w:rsid w:val="7199628B"/>
    <w:rsid w:val="71B7B4EC"/>
    <w:rsid w:val="7260B4DD"/>
    <w:rsid w:val="72877EB2"/>
    <w:rsid w:val="72A141DE"/>
    <w:rsid w:val="733DE9C0"/>
    <w:rsid w:val="734A69D2"/>
    <w:rsid w:val="73606A06"/>
    <w:rsid w:val="7360D29D"/>
    <w:rsid w:val="73A9412A"/>
    <w:rsid w:val="73D457B0"/>
    <w:rsid w:val="73E47F42"/>
    <w:rsid w:val="745D4874"/>
    <w:rsid w:val="748BA7B7"/>
    <w:rsid w:val="74FCA693"/>
    <w:rsid w:val="75851101"/>
    <w:rsid w:val="761D1920"/>
    <w:rsid w:val="762C6310"/>
    <w:rsid w:val="764F2BFB"/>
    <w:rsid w:val="7665AF0E"/>
    <w:rsid w:val="76711302"/>
    <w:rsid w:val="76A9770D"/>
    <w:rsid w:val="76DDF0DE"/>
    <w:rsid w:val="770C6C3D"/>
    <w:rsid w:val="77111B87"/>
    <w:rsid w:val="7731086E"/>
    <w:rsid w:val="77C71238"/>
    <w:rsid w:val="77D61592"/>
    <w:rsid w:val="7803C318"/>
    <w:rsid w:val="78505083"/>
    <w:rsid w:val="78A83C9E"/>
    <w:rsid w:val="78B891CD"/>
    <w:rsid w:val="797BD7A4"/>
    <w:rsid w:val="79C1C1C0"/>
    <w:rsid w:val="79D7CAE6"/>
    <w:rsid w:val="7A12407D"/>
    <w:rsid w:val="7A2DE248"/>
    <w:rsid w:val="7A4430AC"/>
    <w:rsid w:val="7A6EA3DA"/>
    <w:rsid w:val="7AFF9003"/>
    <w:rsid w:val="7B37C0CE"/>
    <w:rsid w:val="7B49E2A9"/>
    <w:rsid w:val="7B65D35B"/>
    <w:rsid w:val="7B83A829"/>
    <w:rsid w:val="7B908146"/>
    <w:rsid w:val="7BEDCD79"/>
    <w:rsid w:val="7C07601B"/>
    <w:rsid w:val="7C4B8E73"/>
    <w:rsid w:val="7C59F12D"/>
    <w:rsid w:val="7CB9593A"/>
    <w:rsid w:val="7CE89544"/>
    <w:rsid w:val="7D67CE07"/>
    <w:rsid w:val="7D684BDF"/>
    <w:rsid w:val="7D8D8188"/>
    <w:rsid w:val="7D92DFCC"/>
    <w:rsid w:val="7EA3E6F6"/>
    <w:rsid w:val="7EC87DDF"/>
    <w:rsid w:val="7EFB6357"/>
    <w:rsid w:val="7FBD2CE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08E094"/>
  <w15:docId w15:val="{83D7045C-0FE1-4FD0-9D41-76BB82972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388"/>
    <w:pPr>
      <w:spacing w:after="200" w:line="240" w:lineRule="auto"/>
    </w:pPr>
    <w:rPr>
      <w:rFonts w:ascii="Roboto" w:eastAsia="Times New Roman" w:hAnsi="Roboto" w:cs="Times New Roman"/>
      <w:color w:val="002554"/>
      <w:sz w:val="24"/>
      <w:szCs w:val="20"/>
    </w:rPr>
  </w:style>
  <w:style w:type="paragraph" w:styleId="Heading1">
    <w:name w:val="heading 1"/>
    <w:basedOn w:val="Normal"/>
    <w:next w:val="Normal"/>
    <w:link w:val="Heading1Char"/>
    <w:uiPriority w:val="9"/>
    <w:qFormat/>
    <w:rsid w:val="002434E8"/>
    <w:pPr>
      <w:keepNext/>
      <w:keepLines/>
      <w:spacing w:after="600" w:line="276" w:lineRule="auto"/>
      <w:outlineLvl w:val="0"/>
    </w:pPr>
    <w:rPr>
      <w:rFonts w:eastAsiaTheme="majorEastAsia" w:cstheme="minorHAnsi"/>
      <w:b/>
      <w:sz w:val="40"/>
      <w:szCs w:val="32"/>
    </w:rPr>
  </w:style>
  <w:style w:type="paragraph" w:styleId="Heading2">
    <w:name w:val="heading 2"/>
    <w:basedOn w:val="Normal"/>
    <w:next w:val="Normal"/>
    <w:link w:val="Heading2Char"/>
    <w:uiPriority w:val="9"/>
    <w:unhideWhenUsed/>
    <w:qFormat/>
    <w:rsid w:val="00CF3581"/>
    <w:pPr>
      <w:keepNext/>
      <w:keepLines/>
      <w:spacing w:before="480" w:after="240" w:line="276" w:lineRule="auto"/>
      <w:outlineLvl w:val="1"/>
    </w:pPr>
    <w:rPr>
      <w:rFonts w:eastAsiaTheme="majorEastAsia" w:cstheme="minorHAnsi"/>
      <w:b/>
      <w:sz w:val="28"/>
      <w:szCs w:val="26"/>
    </w:rPr>
  </w:style>
  <w:style w:type="paragraph" w:styleId="Heading3">
    <w:name w:val="heading 3"/>
    <w:basedOn w:val="Normal"/>
    <w:next w:val="Normal"/>
    <w:link w:val="Heading3Char"/>
    <w:uiPriority w:val="9"/>
    <w:unhideWhenUsed/>
    <w:qFormat/>
    <w:rsid w:val="00C90EFB"/>
    <w:pPr>
      <w:keepNext/>
      <w:keepLines/>
      <w:spacing w:before="40"/>
      <w:outlineLvl w:val="2"/>
    </w:pPr>
    <w:rPr>
      <w:rFonts w:eastAsiaTheme="majorEastAsia" w:cstheme="minorHAnsi"/>
      <w:b/>
      <w:szCs w:val="24"/>
    </w:rPr>
  </w:style>
  <w:style w:type="paragraph" w:styleId="Heading4">
    <w:name w:val="heading 4"/>
    <w:basedOn w:val="Normal"/>
    <w:next w:val="Normal"/>
    <w:link w:val="Heading4Char"/>
    <w:uiPriority w:val="9"/>
    <w:semiHidden/>
    <w:unhideWhenUsed/>
    <w:qFormat/>
    <w:rsid w:val="002E0652"/>
    <w:pPr>
      <w:keepNext/>
      <w:keepLines/>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3A1EEE"/>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3A1EEE"/>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3A1EEE"/>
    <w:pPr>
      <w:keepNext/>
      <w:keepLines/>
      <w:spacing w:before="40"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3A1EEE"/>
    <w:pPr>
      <w:keepNext/>
      <w:keepLines/>
      <w:spacing w:before="40" w:after="0"/>
      <w:outlineLvl w:val="7"/>
    </w:pPr>
    <w:rPr>
      <w:rFonts w:eastAsiaTheme="majorEastAsia" w:cstheme="majorBidi"/>
      <w:sz w:val="21"/>
      <w:szCs w:val="21"/>
    </w:rPr>
  </w:style>
  <w:style w:type="paragraph" w:styleId="Heading9">
    <w:name w:val="heading 9"/>
    <w:basedOn w:val="Normal"/>
    <w:next w:val="Normal"/>
    <w:link w:val="Heading9Char"/>
    <w:uiPriority w:val="9"/>
    <w:semiHidden/>
    <w:unhideWhenUsed/>
    <w:qFormat/>
    <w:rsid w:val="003A1EEE"/>
    <w:pPr>
      <w:keepNext/>
      <w:keepLines/>
      <w:spacing w:before="40" w:after="0"/>
      <w:outlineLvl w:val="8"/>
    </w:pPr>
    <w:rPr>
      <w:rFonts w:eastAsiaTheme="majorEastAsia"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63B04"/>
    <w:pPr>
      <w:ind w:left="720"/>
      <w:contextualSpacing/>
    </w:pPr>
  </w:style>
  <w:style w:type="table" w:styleId="TableGrid">
    <w:name w:val="Table Grid"/>
    <w:basedOn w:val="TableNormal"/>
    <w:uiPriority w:val="39"/>
    <w:rsid w:val="00863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63B04"/>
    <w:rPr>
      <w:color w:val="002554"/>
      <w:sz w:val="16"/>
      <w:szCs w:val="16"/>
    </w:rPr>
  </w:style>
  <w:style w:type="paragraph" w:styleId="CommentText">
    <w:name w:val="annotation text"/>
    <w:basedOn w:val="Normal"/>
    <w:link w:val="CommentTextChar"/>
    <w:uiPriority w:val="99"/>
    <w:unhideWhenUsed/>
    <w:rsid w:val="00863B04"/>
  </w:style>
  <w:style w:type="character" w:customStyle="1" w:styleId="CommentTextChar">
    <w:name w:val="Comment Text Char"/>
    <w:basedOn w:val="DefaultParagraphFont"/>
    <w:link w:val="CommentText"/>
    <w:uiPriority w:val="99"/>
    <w:rsid w:val="00863B04"/>
    <w:rPr>
      <w:rFonts w:ascii="Times New Roman" w:eastAsia="Times New Roman" w:hAnsi="Times New Roman" w:cs="Times New Roman"/>
      <w:color w:val="002554"/>
      <w:sz w:val="20"/>
      <w:szCs w:val="20"/>
    </w:rPr>
  </w:style>
  <w:style w:type="paragraph" w:styleId="CommentSubject">
    <w:name w:val="annotation subject"/>
    <w:basedOn w:val="CommentText"/>
    <w:next w:val="CommentText"/>
    <w:link w:val="CommentSubjectChar"/>
    <w:uiPriority w:val="99"/>
    <w:semiHidden/>
    <w:unhideWhenUsed/>
    <w:rsid w:val="00863B04"/>
    <w:rPr>
      <w:b/>
      <w:bCs/>
    </w:rPr>
  </w:style>
  <w:style w:type="character" w:customStyle="1" w:styleId="CommentSubjectChar">
    <w:name w:val="Comment Subject Char"/>
    <w:basedOn w:val="CommentTextChar"/>
    <w:link w:val="CommentSubject"/>
    <w:uiPriority w:val="99"/>
    <w:semiHidden/>
    <w:rsid w:val="00863B04"/>
    <w:rPr>
      <w:rFonts w:ascii="Times New Roman" w:eastAsia="Times New Roman" w:hAnsi="Times New Roman" w:cs="Times New Roman"/>
      <w:b/>
      <w:bCs/>
      <w:color w:val="002554"/>
      <w:sz w:val="20"/>
      <w:szCs w:val="20"/>
    </w:rPr>
  </w:style>
  <w:style w:type="paragraph" w:styleId="BalloonText">
    <w:name w:val="Balloon Text"/>
    <w:basedOn w:val="Normal"/>
    <w:link w:val="BalloonTextChar"/>
    <w:uiPriority w:val="99"/>
    <w:semiHidden/>
    <w:unhideWhenUsed/>
    <w:rsid w:val="00863B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B04"/>
    <w:rPr>
      <w:rFonts w:ascii="Segoe UI" w:eastAsia="Times New Roman" w:hAnsi="Segoe UI" w:cs="Segoe UI"/>
      <w:color w:val="002554"/>
      <w:sz w:val="18"/>
      <w:szCs w:val="18"/>
    </w:rPr>
  </w:style>
  <w:style w:type="character" w:styleId="BookTitle">
    <w:name w:val="Book Title"/>
    <w:uiPriority w:val="33"/>
    <w:qFormat/>
    <w:rsid w:val="002E0652"/>
    <w:rPr>
      <w:rFonts w:ascii="Roboto" w:hAnsi="Roboto"/>
      <w:i/>
      <w:iCs/>
      <w:smallCaps/>
      <w:spacing w:val="5"/>
    </w:rPr>
  </w:style>
  <w:style w:type="paragraph" w:customStyle="1" w:styleId="Default">
    <w:name w:val="Default"/>
    <w:rsid w:val="002E0652"/>
    <w:pPr>
      <w:autoSpaceDE w:val="0"/>
      <w:autoSpaceDN w:val="0"/>
      <w:adjustRightInd w:val="0"/>
      <w:spacing w:after="0" w:line="240" w:lineRule="auto"/>
    </w:pPr>
    <w:rPr>
      <w:rFonts w:ascii="Palatino Linotype" w:hAnsi="Palatino Linotype" w:cs="Palatino Linotype"/>
      <w:color w:val="002554"/>
      <w:sz w:val="24"/>
      <w:szCs w:val="24"/>
    </w:rPr>
  </w:style>
  <w:style w:type="paragraph" w:styleId="FootnoteText">
    <w:name w:val="footnote text"/>
    <w:basedOn w:val="Normal"/>
    <w:link w:val="FootnoteTextChar"/>
    <w:uiPriority w:val="99"/>
    <w:unhideWhenUsed/>
    <w:rsid w:val="00067B29"/>
    <w:pPr>
      <w:spacing w:after="0" w:line="360" w:lineRule="auto"/>
    </w:pPr>
    <w:rPr>
      <w:sz w:val="18"/>
    </w:rPr>
  </w:style>
  <w:style w:type="character" w:customStyle="1" w:styleId="FootnoteTextChar">
    <w:name w:val="Footnote Text Char"/>
    <w:basedOn w:val="DefaultParagraphFont"/>
    <w:link w:val="FootnoteText"/>
    <w:uiPriority w:val="99"/>
    <w:rsid w:val="00067B29"/>
    <w:rPr>
      <w:rFonts w:ascii="Roboto" w:eastAsia="Times New Roman" w:hAnsi="Roboto" w:cs="Times New Roman"/>
      <w:color w:val="002554"/>
      <w:sz w:val="18"/>
      <w:szCs w:val="20"/>
    </w:rPr>
  </w:style>
  <w:style w:type="character" w:styleId="FootnoteReference">
    <w:name w:val="footnote reference"/>
    <w:basedOn w:val="DefaultParagraphFont"/>
    <w:uiPriority w:val="99"/>
    <w:semiHidden/>
    <w:unhideWhenUsed/>
    <w:rsid w:val="00146C19"/>
    <w:rPr>
      <w:color w:val="002554"/>
      <w:vertAlign w:val="superscript"/>
    </w:rPr>
  </w:style>
  <w:style w:type="character" w:customStyle="1" w:styleId="Heading1Char">
    <w:name w:val="Heading 1 Char"/>
    <w:basedOn w:val="DefaultParagraphFont"/>
    <w:link w:val="Heading1"/>
    <w:uiPriority w:val="9"/>
    <w:rsid w:val="002434E8"/>
    <w:rPr>
      <w:rFonts w:ascii="Roboto" w:eastAsiaTheme="majorEastAsia" w:hAnsi="Roboto" w:cstheme="minorHAnsi"/>
      <w:b/>
      <w:color w:val="002554"/>
      <w:sz w:val="40"/>
      <w:szCs w:val="32"/>
    </w:rPr>
  </w:style>
  <w:style w:type="paragraph" w:styleId="Header">
    <w:name w:val="header"/>
    <w:basedOn w:val="Normal"/>
    <w:link w:val="HeaderChar"/>
    <w:uiPriority w:val="99"/>
    <w:unhideWhenUsed/>
    <w:rsid w:val="00D04578"/>
    <w:pPr>
      <w:tabs>
        <w:tab w:val="center" w:pos="4513"/>
        <w:tab w:val="right" w:pos="9026"/>
      </w:tabs>
      <w:spacing w:after="0"/>
    </w:pPr>
    <w:rPr>
      <w:sz w:val="18"/>
    </w:rPr>
  </w:style>
  <w:style w:type="character" w:customStyle="1" w:styleId="HeaderChar">
    <w:name w:val="Header Char"/>
    <w:basedOn w:val="DefaultParagraphFont"/>
    <w:link w:val="Header"/>
    <w:uiPriority w:val="99"/>
    <w:rsid w:val="00D04578"/>
    <w:rPr>
      <w:rFonts w:ascii="Roboto" w:eastAsia="Times New Roman" w:hAnsi="Roboto" w:cs="Times New Roman"/>
      <w:color w:val="002554"/>
      <w:sz w:val="18"/>
      <w:szCs w:val="20"/>
    </w:rPr>
  </w:style>
  <w:style w:type="paragraph" w:styleId="Footer">
    <w:name w:val="footer"/>
    <w:basedOn w:val="Normal"/>
    <w:link w:val="FooterChar"/>
    <w:uiPriority w:val="99"/>
    <w:unhideWhenUsed/>
    <w:rsid w:val="002E0652"/>
    <w:pPr>
      <w:tabs>
        <w:tab w:val="center" w:pos="4513"/>
        <w:tab w:val="right" w:pos="9026"/>
      </w:tabs>
    </w:pPr>
    <w:rPr>
      <w:sz w:val="16"/>
    </w:rPr>
  </w:style>
  <w:style w:type="character" w:customStyle="1" w:styleId="FooterChar">
    <w:name w:val="Footer Char"/>
    <w:basedOn w:val="DefaultParagraphFont"/>
    <w:link w:val="Footer"/>
    <w:uiPriority w:val="99"/>
    <w:rsid w:val="002E0652"/>
    <w:rPr>
      <w:rFonts w:ascii="Roboto" w:eastAsia="Times New Roman" w:hAnsi="Roboto" w:cs="Times New Roman"/>
      <w:color w:val="002554"/>
      <w:sz w:val="16"/>
      <w:szCs w:val="20"/>
    </w:rPr>
  </w:style>
  <w:style w:type="character" w:customStyle="1" w:styleId="Heading2Char">
    <w:name w:val="Heading 2 Char"/>
    <w:basedOn w:val="DefaultParagraphFont"/>
    <w:link w:val="Heading2"/>
    <w:uiPriority w:val="9"/>
    <w:rsid w:val="00CF3581"/>
    <w:rPr>
      <w:rFonts w:ascii="Roboto" w:eastAsiaTheme="majorEastAsia" w:hAnsi="Roboto" w:cstheme="minorHAnsi"/>
      <w:b/>
      <w:color w:val="002554"/>
      <w:sz w:val="28"/>
      <w:szCs w:val="26"/>
    </w:rPr>
  </w:style>
  <w:style w:type="paragraph" w:styleId="NoSpacing">
    <w:name w:val="No Spacing"/>
    <w:uiPriority w:val="1"/>
    <w:qFormat/>
    <w:rsid w:val="00B43C0A"/>
    <w:pPr>
      <w:spacing w:after="0" w:line="240" w:lineRule="auto"/>
    </w:pPr>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C90EFB"/>
    <w:rPr>
      <w:rFonts w:ascii="Roboto" w:eastAsiaTheme="majorEastAsia" w:hAnsi="Roboto" w:cstheme="minorHAnsi"/>
      <w:b/>
      <w:color w:val="002554"/>
      <w:szCs w:val="24"/>
    </w:rPr>
  </w:style>
  <w:style w:type="character" w:styleId="Hyperlink">
    <w:name w:val="Hyperlink"/>
    <w:basedOn w:val="DefaultParagraphFont"/>
    <w:uiPriority w:val="99"/>
    <w:unhideWhenUsed/>
    <w:rsid w:val="00D04578"/>
    <w:rPr>
      <w:color w:val="002554"/>
      <w:u w:val="single"/>
    </w:rPr>
  </w:style>
  <w:style w:type="paragraph" w:styleId="Revision">
    <w:name w:val="Revision"/>
    <w:hidden/>
    <w:uiPriority w:val="99"/>
    <w:semiHidden/>
    <w:rsid w:val="006778FD"/>
    <w:pPr>
      <w:spacing w:after="0" w:line="240" w:lineRule="auto"/>
    </w:pPr>
    <w:rPr>
      <w:rFonts w:ascii="Times New Roman" w:eastAsia="Times New Roman" w:hAnsi="Times New Roman" w:cs="Times New Roman"/>
      <w:sz w:val="20"/>
      <w:szCs w:val="20"/>
    </w:rPr>
  </w:style>
  <w:style w:type="character" w:customStyle="1" w:styleId="normaltextrun">
    <w:name w:val="normaltextrun"/>
    <w:basedOn w:val="DefaultParagraphFont"/>
    <w:rsid w:val="00CF3581"/>
    <w:rPr>
      <w:rFonts w:ascii="Roboto" w:hAnsi="Roboto"/>
      <w:color w:val="002554"/>
    </w:rPr>
  </w:style>
  <w:style w:type="character" w:customStyle="1" w:styleId="spellingerror">
    <w:name w:val="spellingerror"/>
    <w:basedOn w:val="DefaultParagraphFont"/>
    <w:rsid w:val="00D549C2"/>
    <w:rPr>
      <w:color w:val="002554"/>
    </w:rPr>
  </w:style>
  <w:style w:type="paragraph" w:customStyle="1" w:styleId="paragraph">
    <w:name w:val="paragraph"/>
    <w:basedOn w:val="Normal"/>
    <w:rsid w:val="000230BA"/>
    <w:pPr>
      <w:spacing w:before="100" w:beforeAutospacing="1" w:after="100" w:afterAutospacing="1"/>
    </w:pPr>
    <w:rPr>
      <w:szCs w:val="24"/>
      <w:lang w:eastAsia="en-AU"/>
    </w:rPr>
  </w:style>
  <w:style w:type="character" w:customStyle="1" w:styleId="eop">
    <w:name w:val="eop"/>
    <w:basedOn w:val="DefaultParagraphFont"/>
    <w:rsid w:val="000230BA"/>
    <w:rPr>
      <w:color w:val="002554"/>
    </w:rPr>
  </w:style>
  <w:style w:type="paragraph" w:customStyle="1" w:styleId="ColorfulList-Accent11">
    <w:name w:val="Colorful List - Accent 11"/>
    <w:basedOn w:val="Normal"/>
    <w:uiPriority w:val="34"/>
    <w:qFormat/>
    <w:rsid w:val="002E0652"/>
    <w:pPr>
      <w:ind w:left="720"/>
      <w:contextualSpacing/>
    </w:pPr>
    <w:rPr>
      <w:rFonts w:eastAsia="MS Mincho"/>
      <w:szCs w:val="24"/>
      <w:lang w:val="en-US"/>
    </w:rPr>
  </w:style>
  <w:style w:type="character" w:customStyle="1" w:styleId="Heading4Char">
    <w:name w:val="Heading 4 Char"/>
    <w:basedOn w:val="DefaultParagraphFont"/>
    <w:link w:val="Heading4"/>
    <w:uiPriority w:val="9"/>
    <w:semiHidden/>
    <w:rsid w:val="002E0652"/>
    <w:rPr>
      <w:rFonts w:ascii="Roboto" w:eastAsiaTheme="majorEastAsia" w:hAnsi="Roboto" w:cstheme="majorBidi"/>
      <w:i/>
      <w:iCs/>
      <w:color w:val="002554"/>
      <w:sz w:val="24"/>
      <w:szCs w:val="20"/>
    </w:rPr>
  </w:style>
  <w:style w:type="paragraph" w:customStyle="1" w:styleId="Bulletedlist">
    <w:name w:val="Bulleted list"/>
    <w:basedOn w:val="ListParagraph"/>
    <w:link w:val="BulletedlistChar"/>
    <w:qFormat/>
    <w:rsid w:val="00C85666"/>
    <w:pPr>
      <w:numPr>
        <w:numId w:val="1"/>
      </w:numPr>
      <w:spacing w:line="192" w:lineRule="auto"/>
      <w:ind w:left="340" w:hanging="340"/>
    </w:pPr>
    <w:rPr>
      <w:rFonts w:eastAsiaTheme="majorEastAsia"/>
    </w:rPr>
  </w:style>
  <w:style w:type="character" w:customStyle="1" w:styleId="ListParagraphChar">
    <w:name w:val="List Paragraph Char"/>
    <w:basedOn w:val="DefaultParagraphFont"/>
    <w:link w:val="ListParagraph"/>
    <w:uiPriority w:val="34"/>
    <w:rsid w:val="00E64D37"/>
    <w:rPr>
      <w:rFonts w:eastAsia="Times New Roman" w:cs="Times New Roman"/>
      <w:color w:val="002554"/>
      <w:szCs w:val="20"/>
    </w:rPr>
  </w:style>
  <w:style w:type="character" w:customStyle="1" w:styleId="BulletedlistChar">
    <w:name w:val="Bulleted list Char"/>
    <w:basedOn w:val="ListParagraphChar"/>
    <w:link w:val="Bulletedlist"/>
    <w:rsid w:val="00C85666"/>
    <w:rPr>
      <w:rFonts w:ascii="Roboto" w:eastAsiaTheme="majorEastAsia" w:hAnsi="Roboto" w:cs="Times New Roman"/>
      <w:color w:val="002554"/>
      <w:sz w:val="24"/>
      <w:szCs w:val="20"/>
    </w:rPr>
  </w:style>
  <w:style w:type="character" w:styleId="Mention">
    <w:name w:val="Mention"/>
    <w:basedOn w:val="DefaultParagraphFont"/>
    <w:uiPriority w:val="99"/>
    <w:unhideWhenUsed/>
    <w:rPr>
      <w:color w:val="2B579A"/>
      <w:shd w:val="clear" w:color="auto" w:fill="E6E6E6"/>
    </w:rPr>
  </w:style>
  <w:style w:type="paragraph" w:customStyle="1" w:styleId="p1">
    <w:name w:val="p1"/>
    <w:basedOn w:val="Normal"/>
    <w:rsid w:val="003A1EEE"/>
    <w:pPr>
      <w:spacing w:before="100" w:beforeAutospacing="1" w:after="100" w:afterAutospacing="1"/>
    </w:pPr>
    <w:rPr>
      <w:szCs w:val="24"/>
      <w:lang w:eastAsia="en-AU"/>
    </w:rPr>
  </w:style>
  <w:style w:type="character" w:customStyle="1" w:styleId="s1">
    <w:name w:val="s1"/>
    <w:basedOn w:val="DefaultParagraphFont"/>
    <w:rsid w:val="002E0652"/>
    <w:rPr>
      <w:color w:val="002554"/>
    </w:rPr>
  </w:style>
  <w:style w:type="character" w:customStyle="1" w:styleId="Heading5Char">
    <w:name w:val="Heading 5 Char"/>
    <w:basedOn w:val="DefaultParagraphFont"/>
    <w:link w:val="Heading5"/>
    <w:uiPriority w:val="9"/>
    <w:semiHidden/>
    <w:rsid w:val="003A1EEE"/>
    <w:rPr>
      <w:rFonts w:ascii="Roboto" w:eastAsiaTheme="majorEastAsia" w:hAnsi="Roboto" w:cstheme="majorBidi"/>
      <w:color w:val="002554"/>
      <w:szCs w:val="20"/>
    </w:rPr>
  </w:style>
  <w:style w:type="numbering" w:customStyle="1" w:styleId="CurrentList1">
    <w:name w:val="Current List1"/>
    <w:uiPriority w:val="99"/>
    <w:rsid w:val="00CF3581"/>
    <w:pPr>
      <w:numPr>
        <w:numId w:val="2"/>
      </w:numPr>
    </w:pPr>
  </w:style>
  <w:style w:type="character" w:customStyle="1" w:styleId="Heading6Char">
    <w:name w:val="Heading 6 Char"/>
    <w:basedOn w:val="DefaultParagraphFont"/>
    <w:link w:val="Heading6"/>
    <w:uiPriority w:val="9"/>
    <w:semiHidden/>
    <w:rsid w:val="003A1EEE"/>
    <w:rPr>
      <w:rFonts w:ascii="Roboto" w:eastAsiaTheme="majorEastAsia" w:hAnsi="Roboto" w:cstheme="majorBidi"/>
      <w:color w:val="002554"/>
      <w:szCs w:val="20"/>
    </w:rPr>
  </w:style>
  <w:style w:type="character" w:customStyle="1" w:styleId="Heading7Char">
    <w:name w:val="Heading 7 Char"/>
    <w:basedOn w:val="DefaultParagraphFont"/>
    <w:link w:val="Heading7"/>
    <w:uiPriority w:val="9"/>
    <w:semiHidden/>
    <w:rsid w:val="003A1EEE"/>
    <w:rPr>
      <w:rFonts w:ascii="Roboto" w:eastAsiaTheme="majorEastAsia" w:hAnsi="Roboto" w:cstheme="majorBidi"/>
      <w:i/>
      <w:iCs/>
      <w:color w:val="002554"/>
      <w:szCs w:val="20"/>
    </w:rPr>
  </w:style>
  <w:style w:type="character" w:customStyle="1" w:styleId="Heading8Char">
    <w:name w:val="Heading 8 Char"/>
    <w:basedOn w:val="DefaultParagraphFont"/>
    <w:link w:val="Heading8"/>
    <w:uiPriority w:val="9"/>
    <w:semiHidden/>
    <w:rsid w:val="003A1EEE"/>
    <w:rPr>
      <w:rFonts w:ascii="Roboto" w:eastAsiaTheme="majorEastAsia" w:hAnsi="Roboto" w:cstheme="majorBidi"/>
      <w:color w:val="002554"/>
      <w:sz w:val="21"/>
      <w:szCs w:val="21"/>
    </w:rPr>
  </w:style>
  <w:style w:type="character" w:customStyle="1" w:styleId="Heading9Char">
    <w:name w:val="Heading 9 Char"/>
    <w:basedOn w:val="DefaultParagraphFont"/>
    <w:link w:val="Heading9"/>
    <w:uiPriority w:val="9"/>
    <w:semiHidden/>
    <w:rsid w:val="003A1EEE"/>
    <w:rPr>
      <w:rFonts w:ascii="Roboto" w:eastAsiaTheme="majorEastAsia" w:hAnsi="Roboto" w:cstheme="majorBidi"/>
      <w:i/>
      <w:iCs/>
      <w:color w:val="002554"/>
      <w:sz w:val="21"/>
      <w:szCs w:val="21"/>
    </w:rPr>
  </w:style>
  <w:style w:type="paragraph" w:styleId="Title">
    <w:name w:val="Title"/>
    <w:basedOn w:val="Normal"/>
    <w:next w:val="Normal"/>
    <w:link w:val="TitleChar"/>
    <w:uiPriority w:val="10"/>
    <w:qFormat/>
    <w:rsid w:val="003A1EEE"/>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A1EEE"/>
    <w:rPr>
      <w:rFonts w:ascii="Roboto" w:eastAsiaTheme="majorEastAsia" w:hAnsi="Roboto" w:cstheme="majorBidi"/>
      <w:color w:val="002554"/>
      <w:spacing w:val="-10"/>
      <w:kern w:val="28"/>
      <w:sz w:val="56"/>
      <w:szCs w:val="56"/>
    </w:rPr>
  </w:style>
  <w:style w:type="paragraph" w:styleId="Subtitle">
    <w:name w:val="Subtitle"/>
    <w:basedOn w:val="Normal"/>
    <w:next w:val="Normal"/>
    <w:link w:val="SubtitleChar"/>
    <w:uiPriority w:val="11"/>
    <w:qFormat/>
    <w:rsid w:val="003A1EE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3A1EEE"/>
    <w:rPr>
      <w:rFonts w:ascii="Roboto" w:eastAsiaTheme="minorEastAsia" w:hAnsi="Roboto"/>
      <w:color w:val="5A5A5A" w:themeColor="text1" w:themeTint="A5"/>
      <w:spacing w:val="15"/>
    </w:rPr>
  </w:style>
  <w:style w:type="character" w:styleId="SubtleEmphasis">
    <w:name w:val="Subtle Emphasis"/>
    <w:basedOn w:val="DefaultParagraphFont"/>
    <w:uiPriority w:val="19"/>
    <w:qFormat/>
    <w:rsid w:val="003A1EEE"/>
    <w:rPr>
      <w:i/>
      <w:iCs/>
      <w:color w:val="002554"/>
    </w:rPr>
  </w:style>
  <w:style w:type="character" w:styleId="Emphasis">
    <w:name w:val="Emphasis"/>
    <w:basedOn w:val="DefaultParagraphFont"/>
    <w:uiPriority w:val="20"/>
    <w:qFormat/>
    <w:rsid w:val="003A1EEE"/>
    <w:rPr>
      <w:i/>
      <w:iCs/>
      <w:color w:val="002554"/>
    </w:rPr>
  </w:style>
  <w:style w:type="character" w:styleId="Strong">
    <w:name w:val="Strong"/>
    <w:basedOn w:val="DefaultParagraphFont"/>
    <w:uiPriority w:val="22"/>
    <w:qFormat/>
    <w:rsid w:val="003A1EEE"/>
    <w:rPr>
      <w:b/>
      <w:bCs/>
      <w:color w:val="002554"/>
    </w:rPr>
  </w:style>
  <w:style w:type="paragraph" w:styleId="IntenseQuote">
    <w:name w:val="Intense Quote"/>
    <w:basedOn w:val="Normal"/>
    <w:next w:val="Normal"/>
    <w:link w:val="IntenseQuoteChar"/>
    <w:uiPriority w:val="30"/>
    <w:qFormat/>
    <w:rsid w:val="003A1EEE"/>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A1EEE"/>
    <w:rPr>
      <w:rFonts w:ascii="Roboto" w:eastAsia="Times New Roman" w:hAnsi="Roboto" w:cs="Times New Roman"/>
      <w:i/>
      <w:iCs/>
      <w:color w:val="002554"/>
      <w:szCs w:val="20"/>
    </w:rPr>
  </w:style>
  <w:style w:type="paragraph" w:styleId="TOCHeading">
    <w:name w:val="TOC Heading"/>
    <w:basedOn w:val="Heading1"/>
    <w:next w:val="Normal"/>
    <w:uiPriority w:val="39"/>
    <w:unhideWhenUsed/>
    <w:qFormat/>
    <w:rsid w:val="00CB2ED7"/>
    <w:pPr>
      <w:spacing w:before="240" w:after="0" w:line="240" w:lineRule="auto"/>
      <w:outlineLvl w:val="9"/>
    </w:pPr>
    <w:rPr>
      <w:rFonts w:cstheme="majorBidi"/>
      <w:b w:val="0"/>
      <w:sz w:val="32"/>
    </w:rPr>
  </w:style>
  <w:style w:type="paragraph" w:styleId="BlockText">
    <w:name w:val="Block Text"/>
    <w:basedOn w:val="Normal"/>
    <w:uiPriority w:val="99"/>
    <w:semiHidden/>
    <w:unhideWhenUsed/>
    <w:rsid w:val="00CB2ED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cstheme="minorBidi"/>
      <w:i/>
      <w:iCs/>
      <w:color w:val="5B9BD5" w:themeColor="accent1"/>
    </w:rPr>
  </w:style>
  <w:style w:type="character" w:styleId="UnresolvedMention">
    <w:name w:val="Unresolved Mention"/>
    <w:basedOn w:val="DefaultParagraphFont"/>
    <w:uiPriority w:val="99"/>
    <w:semiHidden/>
    <w:unhideWhenUsed/>
    <w:rsid w:val="00D04578"/>
    <w:rPr>
      <w:color w:val="605E5C"/>
      <w:shd w:val="clear" w:color="auto" w:fill="E1DFDD"/>
    </w:rPr>
  </w:style>
  <w:style w:type="paragraph" w:styleId="ListNumber">
    <w:name w:val="List Number"/>
    <w:basedOn w:val="Normal"/>
    <w:uiPriority w:val="4"/>
    <w:unhideWhenUsed/>
    <w:qFormat/>
    <w:rsid w:val="009876CB"/>
    <w:pPr>
      <w:numPr>
        <w:numId w:val="3"/>
      </w:numPr>
      <w:contextualSpacing/>
    </w:pPr>
  </w:style>
  <w:style w:type="paragraph" w:styleId="ListNumber2">
    <w:name w:val="List Number 2"/>
    <w:basedOn w:val="Normal"/>
    <w:uiPriority w:val="99"/>
    <w:unhideWhenUsed/>
    <w:rsid w:val="004312E8"/>
    <w:pPr>
      <w:numPr>
        <w:numId w:val="4"/>
      </w:numPr>
      <w:tabs>
        <w:tab w:val="clear" w:pos="643"/>
        <w:tab w:val="num" w:pos="360"/>
      </w:tabs>
      <w:ind w:left="340" w:hanging="340"/>
      <w:contextualSpacing/>
    </w:pPr>
  </w:style>
  <w:style w:type="character" w:styleId="FollowedHyperlink">
    <w:name w:val="FollowedHyperlink"/>
    <w:basedOn w:val="DefaultParagraphFont"/>
    <w:uiPriority w:val="99"/>
    <w:semiHidden/>
    <w:unhideWhenUsed/>
    <w:rsid w:val="005464A7"/>
    <w:rPr>
      <w:color w:val="954F72" w:themeColor="followedHyperlink"/>
      <w:u w:val="single"/>
    </w:rPr>
  </w:style>
  <w:style w:type="paragraph" w:styleId="NormalWeb">
    <w:name w:val="Normal (Web)"/>
    <w:basedOn w:val="Normal"/>
    <w:uiPriority w:val="99"/>
    <w:unhideWhenUsed/>
    <w:rsid w:val="000856A3"/>
    <w:pPr>
      <w:spacing w:before="100" w:beforeAutospacing="1" w:after="100" w:afterAutospacing="1"/>
    </w:pPr>
    <w:rPr>
      <w:rFonts w:ascii="Times New Roman" w:hAnsi="Times New Roman"/>
      <w:color w:val="auto"/>
      <w:szCs w:val="24"/>
      <w:lang w:eastAsia="en-GB"/>
    </w:rPr>
  </w:style>
  <w:style w:type="paragraph" w:styleId="BodyText">
    <w:name w:val="Body Text"/>
    <w:basedOn w:val="Normal"/>
    <w:link w:val="BodyTextChar"/>
    <w:qFormat/>
    <w:rsid w:val="008E4AAD"/>
    <w:pPr>
      <w:spacing w:after="180" w:line="264" w:lineRule="auto"/>
    </w:pPr>
    <w:rPr>
      <w:rFonts w:asciiTheme="minorHAnsi" w:eastAsiaTheme="minorHAnsi" w:hAnsiTheme="minorHAnsi" w:cstheme="minorBidi"/>
      <w:color w:val="000000" w:themeColor="text1"/>
      <w:spacing w:val="-5"/>
      <w:szCs w:val="22"/>
      <w:lang w:val="en-GB"/>
    </w:rPr>
  </w:style>
  <w:style w:type="character" w:customStyle="1" w:styleId="BodyTextChar">
    <w:name w:val="Body Text Char"/>
    <w:basedOn w:val="DefaultParagraphFont"/>
    <w:link w:val="BodyText"/>
    <w:rsid w:val="008E4AAD"/>
    <w:rPr>
      <w:color w:val="000000" w:themeColor="text1"/>
      <w:spacing w:val="-5"/>
      <w:sz w:val="24"/>
      <w:lang w:val="en-GB"/>
    </w:rPr>
  </w:style>
  <w:style w:type="numbering" w:customStyle="1" w:styleId="Numbering">
    <w:name w:val="Numbering"/>
    <w:uiPriority w:val="99"/>
    <w:rsid w:val="00AD4C17"/>
    <w:pPr>
      <w:numPr>
        <w:numId w:val="5"/>
      </w:numPr>
    </w:pPr>
  </w:style>
  <w:style w:type="paragraph" w:styleId="EndnoteText">
    <w:name w:val="endnote text"/>
    <w:basedOn w:val="Normal"/>
    <w:link w:val="EndnoteTextChar"/>
    <w:uiPriority w:val="99"/>
    <w:semiHidden/>
    <w:unhideWhenUsed/>
    <w:rsid w:val="00612A5E"/>
    <w:pPr>
      <w:spacing w:after="0"/>
    </w:pPr>
    <w:rPr>
      <w:sz w:val="20"/>
    </w:rPr>
  </w:style>
  <w:style w:type="character" w:customStyle="1" w:styleId="EndnoteTextChar">
    <w:name w:val="Endnote Text Char"/>
    <w:basedOn w:val="DefaultParagraphFont"/>
    <w:link w:val="EndnoteText"/>
    <w:uiPriority w:val="99"/>
    <w:semiHidden/>
    <w:rsid w:val="00612A5E"/>
    <w:rPr>
      <w:rFonts w:ascii="Roboto" w:eastAsia="Times New Roman" w:hAnsi="Roboto" w:cs="Times New Roman"/>
      <w:color w:val="002554"/>
      <w:sz w:val="20"/>
      <w:szCs w:val="20"/>
    </w:rPr>
  </w:style>
  <w:style w:type="character" w:styleId="EndnoteReference">
    <w:name w:val="endnote reference"/>
    <w:basedOn w:val="DefaultParagraphFont"/>
    <w:uiPriority w:val="99"/>
    <w:semiHidden/>
    <w:unhideWhenUsed/>
    <w:rsid w:val="00612A5E"/>
    <w:rPr>
      <w:vertAlign w:val="superscript"/>
    </w:rPr>
  </w:style>
  <w:style w:type="paragraph" w:styleId="TOC1">
    <w:name w:val="toc 1"/>
    <w:basedOn w:val="Normal"/>
    <w:next w:val="Normal"/>
    <w:autoRedefine/>
    <w:uiPriority w:val="39"/>
    <w:unhideWhenUsed/>
    <w:rsid w:val="00D8261C"/>
    <w:pPr>
      <w:tabs>
        <w:tab w:val="right" w:leader="dot" w:pos="9488"/>
      </w:tabs>
      <w:spacing w:after="100"/>
    </w:pPr>
  </w:style>
  <w:style w:type="paragraph" w:styleId="TOC3">
    <w:name w:val="toc 3"/>
    <w:basedOn w:val="Normal"/>
    <w:next w:val="Normal"/>
    <w:autoRedefine/>
    <w:uiPriority w:val="39"/>
    <w:unhideWhenUsed/>
    <w:rsid w:val="0072057C"/>
    <w:pPr>
      <w:spacing w:after="100"/>
      <w:ind w:left="480"/>
    </w:pPr>
  </w:style>
  <w:style w:type="paragraph" w:styleId="TOC2">
    <w:name w:val="toc 2"/>
    <w:basedOn w:val="Normal"/>
    <w:next w:val="Normal"/>
    <w:autoRedefine/>
    <w:uiPriority w:val="39"/>
    <w:unhideWhenUsed/>
    <w:rsid w:val="00223D2B"/>
    <w:pPr>
      <w:spacing w:after="100"/>
      <w:ind w:left="240"/>
    </w:pPr>
  </w:style>
  <w:style w:type="character" w:customStyle="1" w:styleId="cf01">
    <w:name w:val="cf01"/>
    <w:basedOn w:val="DefaultParagraphFont"/>
    <w:rsid w:val="005375AB"/>
    <w:rPr>
      <w:rFonts w:ascii="Segoe UI" w:hAnsi="Segoe UI" w:cs="Segoe UI" w:hint="default"/>
      <w:color w:val="00255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871662">
      <w:bodyDiv w:val="1"/>
      <w:marLeft w:val="0"/>
      <w:marRight w:val="0"/>
      <w:marTop w:val="0"/>
      <w:marBottom w:val="0"/>
      <w:divBdr>
        <w:top w:val="none" w:sz="0" w:space="0" w:color="auto"/>
        <w:left w:val="none" w:sz="0" w:space="0" w:color="auto"/>
        <w:bottom w:val="none" w:sz="0" w:space="0" w:color="auto"/>
        <w:right w:val="none" w:sz="0" w:space="0" w:color="auto"/>
      </w:divBdr>
    </w:div>
    <w:div w:id="165484617">
      <w:bodyDiv w:val="1"/>
      <w:marLeft w:val="0"/>
      <w:marRight w:val="0"/>
      <w:marTop w:val="0"/>
      <w:marBottom w:val="0"/>
      <w:divBdr>
        <w:top w:val="none" w:sz="0" w:space="0" w:color="auto"/>
        <w:left w:val="none" w:sz="0" w:space="0" w:color="auto"/>
        <w:bottom w:val="none" w:sz="0" w:space="0" w:color="auto"/>
        <w:right w:val="none" w:sz="0" w:space="0" w:color="auto"/>
      </w:divBdr>
    </w:div>
    <w:div w:id="208537040">
      <w:bodyDiv w:val="1"/>
      <w:marLeft w:val="0"/>
      <w:marRight w:val="0"/>
      <w:marTop w:val="0"/>
      <w:marBottom w:val="0"/>
      <w:divBdr>
        <w:top w:val="none" w:sz="0" w:space="0" w:color="auto"/>
        <w:left w:val="none" w:sz="0" w:space="0" w:color="auto"/>
        <w:bottom w:val="none" w:sz="0" w:space="0" w:color="auto"/>
        <w:right w:val="none" w:sz="0" w:space="0" w:color="auto"/>
      </w:divBdr>
    </w:div>
    <w:div w:id="374937538">
      <w:bodyDiv w:val="1"/>
      <w:marLeft w:val="0"/>
      <w:marRight w:val="0"/>
      <w:marTop w:val="0"/>
      <w:marBottom w:val="0"/>
      <w:divBdr>
        <w:top w:val="none" w:sz="0" w:space="0" w:color="auto"/>
        <w:left w:val="none" w:sz="0" w:space="0" w:color="auto"/>
        <w:bottom w:val="none" w:sz="0" w:space="0" w:color="auto"/>
        <w:right w:val="none" w:sz="0" w:space="0" w:color="auto"/>
      </w:divBdr>
      <w:divsChild>
        <w:div w:id="174730866">
          <w:marLeft w:val="0"/>
          <w:marRight w:val="0"/>
          <w:marTop w:val="0"/>
          <w:marBottom w:val="0"/>
          <w:divBdr>
            <w:top w:val="none" w:sz="0" w:space="0" w:color="auto"/>
            <w:left w:val="none" w:sz="0" w:space="0" w:color="auto"/>
            <w:bottom w:val="none" w:sz="0" w:space="0" w:color="auto"/>
            <w:right w:val="none" w:sz="0" w:space="0" w:color="auto"/>
          </w:divBdr>
        </w:div>
        <w:div w:id="180555662">
          <w:marLeft w:val="0"/>
          <w:marRight w:val="0"/>
          <w:marTop w:val="0"/>
          <w:marBottom w:val="0"/>
          <w:divBdr>
            <w:top w:val="none" w:sz="0" w:space="0" w:color="auto"/>
            <w:left w:val="none" w:sz="0" w:space="0" w:color="auto"/>
            <w:bottom w:val="none" w:sz="0" w:space="0" w:color="auto"/>
            <w:right w:val="none" w:sz="0" w:space="0" w:color="auto"/>
          </w:divBdr>
        </w:div>
        <w:div w:id="196352536">
          <w:marLeft w:val="0"/>
          <w:marRight w:val="0"/>
          <w:marTop w:val="0"/>
          <w:marBottom w:val="0"/>
          <w:divBdr>
            <w:top w:val="none" w:sz="0" w:space="0" w:color="auto"/>
            <w:left w:val="none" w:sz="0" w:space="0" w:color="auto"/>
            <w:bottom w:val="none" w:sz="0" w:space="0" w:color="auto"/>
            <w:right w:val="none" w:sz="0" w:space="0" w:color="auto"/>
          </w:divBdr>
        </w:div>
        <w:div w:id="256868000">
          <w:marLeft w:val="0"/>
          <w:marRight w:val="0"/>
          <w:marTop w:val="0"/>
          <w:marBottom w:val="0"/>
          <w:divBdr>
            <w:top w:val="none" w:sz="0" w:space="0" w:color="auto"/>
            <w:left w:val="none" w:sz="0" w:space="0" w:color="auto"/>
            <w:bottom w:val="none" w:sz="0" w:space="0" w:color="auto"/>
            <w:right w:val="none" w:sz="0" w:space="0" w:color="auto"/>
          </w:divBdr>
        </w:div>
        <w:div w:id="278606243">
          <w:marLeft w:val="0"/>
          <w:marRight w:val="0"/>
          <w:marTop w:val="0"/>
          <w:marBottom w:val="0"/>
          <w:divBdr>
            <w:top w:val="none" w:sz="0" w:space="0" w:color="auto"/>
            <w:left w:val="none" w:sz="0" w:space="0" w:color="auto"/>
            <w:bottom w:val="none" w:sz="0" w:space="0" w:color="auto"/>
            <w:right w:val="none" w:sz="0" w:space="0" w:color="auto"/>
          </w:divBdr>
        </w:div>
        <w:div w:id="949048406">
          <w:marLeft w:val="0"/>
          <w:marRight w:val="0"/>
          <w:marTop w:val="0"/>
          <w:marBottom w:val="0"/>
          <w:divBdr>
            <w:top w:val="none" w:sz="0" w:space="0" w:color="auto"/>
            <w:left w:val="none" w:sz="0" w:space="0" w:color="auto"/>
            <w:bottom w:val="none" w:sz="0" w:space="0" w:color="auto"/>
            <w:right w:val="none" w:sz="0" w:space="0" w:color="auto"/>
          </w:divBdr>
        </w:div>
        <w:div w:id="1131904272">
          <w:marLeft w:val="0"/>
          <w:marRight w:val="0"/>
          <w:marTop w:val="0"/>
          <w:marBottom w:val="0"/>
          <w:divBdr>
            <w:top w:val="none" w:sz="0" w:space="0" w:color="auto"/>
            <w:left w:val="none" w:sz="0" w:space="0" w:color="auto"/>
            <w:bottom w:val="none" w:sz="0" w:space="0" w:color="auto"/>
            <w:right w:val="none" w:sz="0" w:space="0" w:color="auto"/>
          </w:divBdr>
        </w:div>
        <w:div w:id="1187720055">
          <w:marLeft w:val="0"/>
          <w:marRight w:val="0"/>
          <w:marTop w:val="0"/>
          <w:marBottom w:val="0"/>
          <w:divBdr>
            <w:top w:val="none" w:sz="0" w:space="0" w:color="auto"/>
            <w:left w:val="none" w:sz="0" w:space="0" w:color="auto"/>
            <w:bottom w:val="none" w:sz="0" w:space="0" w:color="auto"/>
            <w:right w:val="none" w:sz="0" w:space="0" w:color="auto"/>
          </w:divBdr>
        </w:div>
        <w:div w:id="1271623783">
          <w:marLeft w:val="0"/>
          <w:marRight w:val="0"/>
          <w:marTop w:val="0"/>
          <w:marBottom w:val="0"/>
          <w:divBdr>
            <w:top w:val="none" w:sz="0" w:space="0" w:color="auto"/>
            <w:left w:val="none" w:sz="0" w:space="0" w:color="auto"/>
            <w:bottom w:val="none" w:sz="0" w:space="0" w:color="auto"/>
            <w:right w:val="none" w:sz="0" w:space="0" w:color="auto"/>
          </w:divBdr>
        </w:div>
        <w:div w:id="1324120346">
          <w:marLeft w:val="0"/>
          <w:marRight w:val="0"/>
          <w:marTop w:val="0"/>
          <w:marBottom w:val="0"/>
          <w:divBdr>
            <w:top w:val="none" w:sz="0" w:space="0" w:color="auto"/>
            <w:left w:val="none" w:sz="0" w:space="0" w:color="auto"/>
            <w:bottom w:val="none" w:sz="0" w:space="0" w:color="auto"/>
            <w:right w:val="none" w:sz="0" w:space="0" w:color="auto"/>
          </w:divBdr>
        </w:div>
        <w:div w:id="1383362538">
          <w:marLeft w:val="0"/>
          <w:marRight w:val="0"/>
          <w:marTop w:val="0"/>
          <w:marBottom w:val="0"/>
          <w:divBdr>
            <w:top w:val="none" w:sz="0" w:space="0" w:color="auto"/>
            <w:left w:val="none" w:sz="0" w:space="0" w:color="auto"/>
            <w:bottom w:val="none" w:sz="0" w:space="0" w:color="auto"/>
            <w:right w:val="none" w:sz="0" w:space="0" w:color="auto"/>
          </w:divBdr>
        </w:div>
        <w:div w:id="1407344073">
          <w:marLeft w:val="0"/>
          <w:marRight w:val="0"/>
          <w:marTop w:val="0"/>
          <w:marBottom w:val="0"/>
          <w:divBdr>
            <w:top w:val="none" w:sz="0" w:space="0" w:color="auto"/>
            <w:left w:val="none" w:sz="0" w:space="0" w:color="auto"/>
            <w:bottom w:val="none" w:sz="0" w:space="0" w:color="auto"/>
            <w:right w:val="none" w:sz="0" w:space="0" w:color="auto"/>
          </w:divBdr>
        </w:div>
        <w:div w:id="1781222534">
          <w:marLeft w:val="0"/>
          <w:marRight w:val="0"/>
          <w:marTop w:val="0"/>
          <w:marBottom w:val="0"/>
          <w:divBdr>
            <w:top w:val="none" w:sz="0" w:space="0" w:color="auto"/>
            <w:left w:val="none" w:sz="0" w:space="0" w:color="auto"/>
            <w:bottom w:val="none" w:sz="0" w:space="0" w:color="auto"/>
            <w:right w:val="none" w:sz="0" w:space="0" w:color="auto"/>
          </w:divBdr>
        </w:div>
        <w:div w:id="1784882335">
          <w:marLeft w:val="0"/>
          <w:marRight w:val="0"/>
          <w:marTop w:val="0"/>
          <w:marBottom w:val="0"/>
          <w:divBdr>
            <w:top w:val="none" w:sz="0" w:space="0" w:color="auto"/>
            <w:left w:val="none" w:sz="0" w:space="0" w:color="auto"/>
            <w:bottom w:val="none" w:sz="0" w:space="0" w:color="auto"/>
            <w:right w:val="none" w:sz="0" w:space="0" w:color="auto"/>
          </w:divBdr>
        </w:div>
        <w:div w:id="2014061639">
          <w:marLeft w:val="0"/>
          <w:marRight w:val="0"/>
          <w:marTop w:val="0"/>
          <w:marBottom w:val="0"/>
          <w:divBdr>
            <w:top w:val="none" w:sz="0" w:space="0" w:color="auto"/>
            <w:left w:val="none" w:sz="0" w:space="0" w:color="auto"/>
            <w:bottom w:val="none" w:sz="0" w:space="0" w:color="auto"/>
            <w:right w:val="none" w:sz="0" w:space="0" w:color="auto"/>
          </w:divBdr>
        </w:div>
        <w:div w:id="2041121536">
          <w:marLeft w:val="0"/>
          <w:marRight w:val="0"/>
          <w:marTop w:val="0"/>
          <w:marBottom w:val="0"/>
          <w:divBdr>
            <w:top w:val="none" w:sz="0" w:space="0" w:color="auto"/>
            <w:left w:val="none" w:sz="0" w:space="0" w:color="auto"/>
            <w:bottom w:val="none" w:sz="0" w:space="0" w:color="auto"/>
            <w:right w:val="none" w:sz="0" w:space="0" w:color="auto"/>
          </w:divBdr>
        </w:div>
        <w:div w:id="2054574922">
          <w:marLeft w:val="0"/>
          <w:marRight w:val="0"/>
          <w:marTop w:val="0"/>
          <w:marBottom w:val="0"/>
          <w:divBdr>
            <w:top w:val="none" w:sz="0" w:space="0" w:color="auto"/>
            <w:left w:val="none" w:sz="0" w:space="0" w:color="auto"/>
            <w:bottom w:val="none" w:sz="0" w:space="0" w:color="auto"/>
            <w:right w:val="none" w:sz="0" w:space="0" w:color="auto"/>
          </w:divBdr>
        </w:div>
        <w:div w:id="2071490280">
          <w:marLeft w:val="0"/>
          <w:marRight w:val="0"/>
          <w:marTop w:val="0"/>
          <w:marBottom w:val="0"/>
          <w:divBdr>
            <w:top w:val="none" w:sz="0" w:space="0" w:color="auto"/>
            <w:left w:val="none" w:sz="0" w:space="0" w:color="auto"/>
            <w:bottom w:val="none" w:sz="0" w:space="0" w:color="auto"/>
            <w:right w:val="none" w:sz="0" w:space="0" w:color="auto"/>
          </w:divBdr>
        </w:div>
        <w:div w:id="2129808314">
          <w:marLeft w:val="0"/>
          <w:marRight w:val="0"/>
          <w:marTop w:val="0"/>
          <w:marBottom w:val="0"/>
          <w:divBdr>
            <w:top w:val="none" w:sz="0" w:space="0" w:color="auto"/>
            <w:left w:val="none" w:sz="0" w:space="0" w:color="auto"/>
            <w:bottom w:val="none" w:sz="0" w:space="0" w:color="auto"/>
            <w:right w:val="none" w:sz="0" w:space="0" w:color="auto"/>
          </w:divBdr>
        </w:div>
      </w:divsChild>
    </w:div>
    <w:div w:id="422773352">
      <w:bodyDiv w:val="1"/>
      <w:marLeft w:val="0"/>
      <w:marRight w:val="0"/>
      <w:marTop w:val="0"/>
      <w:marBottom w:val="0"/>
      <w:divBdr>
        <w:top w:val="none" w:sz="0" w:space="0" w:color="auto"/>
        <w:left w:val="none" w:sz="0" w:space="0" w:color="auto"/>
        <w:bottom w:val="none" w:sz="0" w:space="0" w:color="auto"/>
        <w:right w:val="none" w:sz="0" w:space="0" w:color="auto"/>
      </w:divBdr>
      <w:divsChild>
        <w:div w:id="20011403">
          <w:marLeft w:val="0"/>
          <w:marRight w:val="0"/>
          <w:marTop w:val="0"/>
          <w:marBottom w:val="0"/>
          <w:divBdr>
            <w:top w:val="none" w:sz="0" w:space="0" w:color="auto"/>
            <w:left w:val="none" w:sz="0" w:space="0" w:color="auto"/>
            <w:bottom w:val="none" w:sz="0" w:space="0" w:color="auto"/>
            <w:right w:val="none" w:sz="0" w:space="0" w:color="auto"/>
          </w:divBdr>
        </w:div>
        <w:div w:id="166289136">
          <w:marLeft w:val="0"/>
          <w:marRight w:val="0"/>
          <w:marTop w:val="0"/>
          <w:marBottom w:val="0"/>
          <w:divBdr>
            <w:top w:val="none" w:sz="0" w:space="0" w:color="auto"/>
            <w:left w:val="none" w:sz="0" w:space="0" w:color="auto"/>
            <w:bottom w:val="none" w:sz="0" w:space="0" w:color="auto"/>
            <w:right w:val="none" w:sz="0" w:space="0" w:color="auto"/>
          </w:divBdr>
        </w:div>
        <w:div w:id="184096809">
          <w:marLeft w:val="0"/>
          <w:marRight w:val="0"/>
          <w:marTop w:val="0"/>
          <w:marBottom w:val="0"/>
          <w:divBdr>
            <w:top w:val="none" w:sz="0" w:space="0" w:color="auto"/>
            <w:left w:val="none" w:sz="0" w:space="0" w:color="auto"/>
            <w:bottom w:val="none" w:sz="0" w:space="0" w:color="auto"/>
            <w:right w:val="none" w:sz="0" w:space="0" w:color="auto"/>
          </w:divBdr>
        </w:div>
        <w:div w:id="189346256">
          <w:marLeft w:val="0"/>
          <w:marRight w:val="0"/>
          <w:marTop w:val="0"/>
          <w:marBottom w:val="0"/>
          <w:divBdr>
            <w:top w:val="none" w:sz="0" w:space="0" w:color="auto"/>
            <w:left w:val="none" w:sz="0" w:space="0" w:color="auto"/>
            <w:bottom w:val="none" w:sz="0" w:space="0" w:color="auto"/>
            <w:right w:val="none" w:sz="0" w:space="0" w:color="auto"/>
          </w:divBdr>
        </w:div>
        <w:div w:id="488251562">
          <w:marLeft w:val="0"/>
          <w:marRight w:val="0"/>
          <w:marTop w:val="0"/>
          <w:marBottom w:val="0"/>
          <w:divBdr>
            <w:top w:val="none" w:sz="0" w:space="0" w:color="auto"/>
            <w:left w:val="none" w:sz="0" w:space="0" w:color="auto"/>
            <w:bottom w:val="none" w:sz="0" w:space="0" w:color="auto"/>
            <w:right w:val="none" w:sz="0" w:space="0" w:color="auto"/>
          </w:divBdr>
        </w:div>
        <w:div w:id="814302363">
          <w:marLeft w:val="0"/>
          <w:marRight w:val="0"/>
          <w:marTop w:val="0"/>
          <w:marBottom w:val="0"/>
          <w:divBdr>
            <w:top w:val="none" w:sz="0" w:space="0" w:color="auto"/>
            <w:left w:val="none" w:sz="0" w:space="0" w:color="auto"/>
            <w:bottom w:val="none" w:sz="0" w:space="0" w:color="auto"/>
            <w:right w:val="none" w:sz="0" w:space="0" w:color="auto"/>
          </w:divBdr>
        </w:div>
        <w:div w:id="887840605">
          <w:marLeft w:val="0"/>
          <w:marRight w:val="0"/>
          <w:marTop w:val="0"/>
          <w:marBottom w:val="0"/>
          <w:divBdr>
            <w:top w:val="none" w:sz="0" w:space="0" w:color="auto"/>
            <w:left w:val="none" w:sz="0" w:space="0" w:color="auto"/>
            <w:bottom w:val="none" w:sz="0" w:space="0" w:color="auto"/>
            <w:right w:val="none" w:sz="0" w:space="0" w:color="auto"/>
          </w:divBdr>
        </w:div>
        <w:div w:id="929578687">
          <w:marLeft w:val="0"/>
          <w:marRight w:val="0"/>
          <w:marTop w:val="0"/>
          <w:marBottom w:val="0"/>
          <w:divBdr>
            <w:top w:val="none" w:sz="0" w:space="0" w:color="auto"/>
            <w:left w:val="none" w:sz="0" w:space="0" w:color="auto"/>
            <w:bottom w:val="none" w:sz="0" w:space="0" w:color="auto"/>
            <w:right w:val="none" w:sz="0" w:space="0" w:color="auto"/>
          </w:divBdr>
        </w:div>
        <w:div w:id="955990523">
          <w:marLeft w:val="0"/>
          <w:marRight w:val="0"/>
          <w:marTop w:val="0"/>
          <w:marBottom w:val="0"/>
          <w:divBdr>
            <w:top w:val="none" w:sz="0" w:space="0" w:color="auto"/>
            <w:left w:val="none" w:sz="0" w:space="0" w:color="auto"/>
            <w:bottom w:val="none" w:sz="0" w:space="0" w:color="auto"/>
            <w:right w:val="none" w:sz="0" w:space="0" w:color="auto"/>
          </w:divBdr>
        </w:div>
        <w:div w:id="1112826044">
          <w:marLeft w:val="0"/>
          <w:marRight w:val="0"/>
          <w:marTop w:val="0"/>
          <w:marBottom w:val="0"/>
          <w:divBdr>
            <w:top w:val="none" w:sz="0" w:space="0" w:color="auto"/>
            <w:left w:val="none" w:sz="0" w:space="0" w:color="auto"/>
            <w:bottom w:val="none" w:sz="0" w:space="0" w:color="auto"/>
            <w:right w:val="none" w:sz="0" w:space="0" w:color="auto"/>
          </w:divBdr>
        </w:div>
        <w:div w:id="1324509356">
          <w:marLeft w:val="0"/>
          <w:marRight w:val="0"/>
          <w:marTop w:val="0"/>
          <w:marBottom w:val="0"/>
          <w:divBdr>
            <w:top w:val="none" w:sz="0" w:space="0" w:color="auto"/>
            <w:left w:val="none" w:sz="0" w:space="0" w:color="auto"/>
            <w:bottom w:val="none" w:sz="0" w:space="0" w:color="auto"/>
            <w:right w:val="none" w:sz="0" w:space="0" w:color="auto"/>
          </w:divBdr>
        </w:div>
        <w:div w:id="1367489259">
          <w:marLeft w:val="0"/>
          <w:marRight w:val="0"/>
          <w:marTop w:val="0"/>
          <w:marBottom w:val="0"/>
          <w:divBdr>
            <w:top w:val="none" w:sz="0" w:space="0" w:color="auto"/>
            <w:left w:val="none" w:sz="0" w:space="0" w:color="auto"/>
            <w:bottom w:val="none" w:sz="0" w:space="0" w:color="auto"/>
            <w:right w:val="none" w:sz="0" w:space="0" w:color="auto"/>
          </w:divBdr>
        </w:div>
        <w:div w:id="1369450694">
          <w:marLeft w:val="0"/>
          <w:marRight w:val="0"/>
          <w:marTop w:val="0"/>
          <w:marBottom w:val="0"/>
          <w:divBdr>
            <w:top w:val="none" w:sz="0" w:space="0" w:color="auto"/>
            <w:left w:val="none" w:sz="0" w:space="0" w:color="auto"/>
            <w:bottom w:val="none" w:sz="0" w:space="0" w:color="auto"/>
            <w:right w:val="none" w:sz="0" w:space="0" w:color="auto"/>
          </w:divBdr>
        </w:div>
        <w:div w:id="1382318053">
          <w:marLeft w:val="0"/>
          <w:marRight w:val="0"/>
          <w:marTop w:val="0"/>
          <w:marBottom w:val="0"/>
          <w:divBdr>
            <w:top w:val="none" w:sz="0" w:space="0" w:color="auto"/>
            <w:left w:val="none" w:sz="0" w:space="0" w:color="auto"/>
            <w:bottom w:val="none" w:sz="0" w:space="0" w:color="auto"/>
            <w:right w:val="none" w:sz="0" w:space="0" w:color="auto"/>
          </w:divBdr>
        </w:div>
        <w:div w:id="1399552523">
          <w:marLeft w:val="0"/>
          <w:marRight w:val="0"/>
          <w:marTop w:val="0"/>
          <w:marBottom w:val="0"/>
          <w:divBdr>
            <w:top w:val="none" w:sz="0" w:space="0" w:color="auto"/>
            <w:left w:val="none" w:sz="0" w:space="0" w:color="auto"/>
            <w:bottom w:val="none" w:sz="0" w:space="0" w:color="auto"/>
            <w:right w:val="none" w:sz="0" w:space="0" w:color="auto"/>
          </w:divBdr>
        </w:div>
        <w:div w:id="1401556476">
          <w:marLeft w:val="0"/>
          <w:marRight w:val="0"/>
          <w:marTop w:val="0"/>
          <w:marBottom w:val="0"/>
          <w:divBdr>
            <w:top w:val="none" w:sz="0" w:space="0" w:color="auto"/>
            <w:left w:val="none" w:sz="0" w:space="0" w:color="auto"/>
            <w:bottom w:val="none" w:sz="0" w:space="0" w:color="auto"/>
            <w:right w:val="none" w:sz="0" w:space="0" w:color="auto"/>
          </w:divBdr>
        </w:div>
        <w:div w:id="1678843281">
          <w:marLeft w:val="0"/>
          <w:marRight w:val="0"/>
          <w:marTop w:val="0"/>
          <w:marBottom w:val="0"/>
          <w:divBdr>
            <w:top w:val="none" w:sz="0" w:space="0" w:color="auto"/>
            <w:left w:val="none" w:sz="0" w:space="0" w:color="auto"/>
            <w:bottom w:val="none" w:sz="0" w:space="0" w:color="auto"/>
            <w:right w:val="none" w:sz="0" w:space="0" w:color="auto"/>
          </w:divBdr>
        </w:div>
        <w:div w:id="1868828718">
          <w:marLeft w:val="0"/>
          <w:marRight w:val="0"/>
          <w:marTop w:val="0"/>
          <w:marBottom w:val="0"/>
          <w:divBdr>
            <w:top w:val="none" w:sz="0" w:space="0" w:color="auto"/>
            <w:left w:val="none" w:sz="0" w:space="0" w:color="auto"/>
            <w:bottom w:val="none" w:sz="0" w:space="0" w:color="auto"/>
            <w:right w:val="none" w:sz="0" w:space="0" w:color="auto"/>
          </w:divBdr>
        </w:div>
        <w:div w:id="1874076580">
          <w:marLeft w:val="0"/>
          <w:marRight w:val="0"/>
          <w:marTop w:val="0"/>
          <w:marBottom w:val="0"/>
          <w:divBdr>
            <w:top w:val="none" w:sz="0" w:space="0" w:color="auto"/>
            <w:left w:val="none" w:sz="0" w:space="0" w:color="auto"/>
            <w:bottom w:val="none" w:sz="0" w:space="0" w:color="auto"/>
            <w:right w:val="none" w:sz="0" w:space="0" w:color="auto"/>
          </w:divBdr>
        </w:div>
      </w:divsChild>
    </w:div>
    <w:div w:id="526067446">
      <w:bodyDiv w:val="1"/>
      <w:marLeft w:val="0"/>
      <w:marRight w:val="0"/>
      <w:marTop w:val="0"/>
      <w:marBottom w:val="0"/>
      <w:divBdr>
        <w:top w:val="none" w:sz="0" w:space="0" w:color="auto"/>
        <w:left w:val="none" w:sz="0" w:space="0" w:color="auto"/>
        <w:bottom w:val="none" w:sz="0" w:space="0" w:color="auto"/>
        <w:right w:val="none" w:sz="0" w:space="0" w:color="auto"/>
      </w:divBdr>
    </w:div>
    <w:div w:id="616523309">
      <w:bodyDiv w:val="1"/>
      <w:marLeft w:val="0"/>
      <w:marRight w:val="0"/>
      <w:marTop w:val="0"/>
      <w:marBottom w:val="0"/>
      <w:divBdr>
        <w:top w:val="none" w:sz="0" w:space="0" w:color="auto"/>
        <w:left w:val="none" w:sz="0" w:space="0" w:color="auto"/>
        <w:bottom w:val="none" w:sz="0" w:space="0" w:color="auto"/>
        <w:right w:val="none" w:sz="0" w:space="0" w:color="auto"/>
      </w:divBdr>
      <w:divsChild>
        <w:div w:id="51393882">
          <w:marLeft w:val="0"/>
          <w:marRight w:val="0"/>
          <w:marTop w:val="0"/>
          <w:marBottom w:val="0"/>
          <w:divBdr>
            <w:top w:val="none" w:sz="0" w:space="0" w:color="auto"/>
            <w:left w:val="none" w:sz="0" w:space="0" w:color="auto"/>
            <w:bottom w:val="none" w:sz="0" w:space="0" w:color="auto"/>
            <w:right w:val="none" w:sz="0" w:space="0" w:color="auto"/>
          </w:divBdr>
        </w:div>
        <w:div w:id="141041346">
          <w:marLeft w:val="0"/>
          <w:marRight w:val="0"/>
          <w:marTop w:val="0"/>
          <w:marBottom w:val="0"/>
          <w:divBdr>
            <w:top w:val="none" w:sz="0" w:space="0" w:color="auto"/>
            <w:left w:val="none" w:sz="0" w:space="0" w:color="auto"/>
            <w:bottom w:val="none" w:sz="0" w:space="0" w:color="auto"/>
            <w:right w:val="none" w:sz="0" w:space="0" w:color="auto"/>
          </w:divBdr>
        </w:div>
        <w:div w:id="167453144">
          <w:marLeft w:val="0"/>
          <w:marRight w:val="0"/>
          <w:marTop w:val="0"/>
          <w:marBottom w:val="0"/>
          <w:divBdr>
            <w:top w:val="none" w:sz="0" w:space="0" w:color="auto"/>
            <w:left w:val="none" w:sz="0" w:space="0" w:color="auto"/>
            <w:bottom w:val="none" w:sz="0" w:space="0" w:color="auto"/>
            <w:right w:val="none" w:sz="0" w:space="0" w:color="auto"/>
          </w:divBdr>
        </w:div>
        <w:div w:id="170726866">
          <w:marLeft w:val="0"/>
          <w:marRight w:val="0"/>
          <w:marTop w:val="0"/>
          <w:marBottom w:val="0"/>
          <w:divBdr>
            <w:top w:val="none" w:sz="0" w:space="0" w:color="auto"/>
            <w:left w:val="none" w:sz="0" w:space="0" w:color="auto"/>
            <w:bottom w:val="none" w:sz="0" w:space="0" w:color="auto"/>
            <w:right w:val="none" w:sz="0" w:space="0" w:color="auto"/>
          </w:divBdr>
        </w:div>
        <w:div w:id="188766304">
          <w:marLeft w:val="0"/>
          <w:marRight w:val="0"/>
          <w:marTop w:val="0"/>
          <w:marBottom w:val="0"/>
          <w:divBdr>
            <w:top w:val="none" w:sz="0" w:space="0" w:color="auto"/>
            <w:left w:val="none" w:sz="0" w:space="0" w:color="auto"/>
            <w:bottom w:val="none" w:sz="0" w:space="0" w:color="auto"/>
            <w:right w:val="none" w:sz="0" w:space="0" w:color="auto"/>
          </w:divBdr>
        </w:div>
        <w:div w:id="416751221">
          <w:marLeft w:val="0"/>
          <w:marRight w:val="0"/>
          <w:marTop w:val="0"/>
          <w:marBottom w:val="0"/>
          <w:divBdr>
            <w:top w:val="none" w:sz="0" w:space="0" w:color="auto"/>
            <w:left w:val="none" w:sz="0" w:space="0" w:color="auto"/>
            <w:bottom w:val="none" w:sz="0" w:space="0" w:color="auto"/>
            <w:right w:val="none" w:sz="0" w:space="0" w:color="auto"/>
          </w:divBdr>
        </w:div>
        <w:div w:id="649749947">
          <w:marLeft w:val="0"/>
          <w:marRight w:val="0"/>
          <w:marTop w:val="0"/>
          <w:marBottom w:val="0"/>
          <w:divBdr>
            <w:top w:val="none" w:sz="0" w:space="0" w:color="auto"/>
            <w:left w:val="none" w:sz="0" w:space="0" w:color="auto"/>
            <w:bottom w:val="none" w:sz="0" w:space="0" w:color="auto"/>
            <w:right w:val="none" w:sz="0" w:space="0" w:color="auto"/>
          </w:divBdr>
        </w:div>
        <w:div w:id="695665683">
          <w:marLeft w:val="0"/>
          <w:marRight w:val="0"/>
          <w:marTop w:val="0"/>
          <w:marBottom w:val="0"/>
          <w:divBdr>
            <w:top w:val="none" w:sz="0" w:space="0" w:color="auto"/>
            <w:left w:val="none" w:sz="0" w:space="0" w:color="auto"/>
            <w:bottom w:val="none" w:sz="0" w:space="0" w:color="auto"/>
            <w:right w:val="none" w:sz="0" w:space="0" w:color="auto"/>
          </w:divBdr>
        </w:div>
        <w:div w:id="763302192">
          <w:marLeft w:val="0"/>
          <w:marRight w:val="0"/>
          <w:marTop w:val="0"/>
          <w:marBottom w:val="0"/>
          <w:divBdr>
            <w:top w:val="none" w:sz="0" w:space="0" w:color="auto"/>
            <w:left w:val="none" w:sz="0" w:space="0" w:color="auto"/>
            <w:bottom w:val="none" w:sz="0" w:space="0" w:color="auto"/>
            <w:right w:val="none" w:sz="0" w:space="0" w:color="auto"/>
          </w:divBdr>
        </w:div>
        <w:div w:id="821239381">
          <w:marLeft w:val="0"/>
          <w:marRight w:val="0"/>
          <w:marTop w:val="0"/>
          <w:marBottom w:val="0"/>
          <w:divBdr>
            <w:top w:val="none" w:sz="0" w:space="0" w:color="auto"/>
            <w:left w:val="none" w:sz="0" w:space="0" w:color="auto"/>
            <w:bottom w:val="none" w:sz="0" w:space="0" w:color="auto"/>
            <w:right w:val="none" w:sz="0" w:space="0" w:color="auto"/>
          </w:divBdr>
        </w:div>
        <w:div w:id="878321212">
          <w:marLeft w:val="0"/>
          <w:marRight w:val="0"/>
          <w:marTop w:val="0"/>
          <w:marBottom w:val="0"/>
          <w:divBdr>
            <w:top w:val="none" w:sz="0" w:space="0" w:color="auto"/>
            <w:left w:val="none" w:sz="0" w:space="0" w:color="auto"/>
            <w:bottom w:val="none" w:sz="0" w:space="0" w:color="auto"/>
            <w:right w:val="none" w:sz="0" w:space="0" w:color="auto"/>
          </w:divBdr>
        </w:div>
        <w:div w:id="1134983825">
          <w:marLeft w:val="0"/>
          <w:marRight w:val="0"/>
          <w:marTop w:val="0"/>
          <w:marBottom w:val="0"/>
          <w:divBdr>
            <w:top w:val="none" w:sz="0" w:space="0" w:color="auto"/>
            <w:left w:val="none" w:sz="0" w:space="0" w:color="auto"/>
            <w:bottom w:val="none" w:sz="0" w:space="0" w:color="auto"/>
            <w:right w:val="none" w:sz="0" w:space="0" w:color="auto"/>
          </w:divBdr>
        </w:div>
        <w:div w:id="1194031543">
          <w:marLeft w:val="0"/>
          <w:marRight w:val="0"/>
          <w:marTop w:val="0"/>
          <w:marBottom w:val="0"/>
          <w:divBdr>
            <w:top w:val="none" w:sz="0" w:space="0" w:color="auto"/>
            <w:left w:val="none" w:sz="0" w:space="0" w:color="auto"/>
            <w:bottom w:val="none" w:sz="0" w:space="0" w:color="auto"/>
            <w:right w:val="none" w:sz="0" w:space="0" w:color="auto"/>
          </w:divBdr>
        </w:div>
        <w:div w:id="1316030442">
          <w:marLeft w:val="0"/>
          <w:marRight w:val="0"/>
          <w:marTop w:val="0"/>
          <w:marBottom w:val="0"/>
          <w:divBdr>
            <w:top w:val="none" w:sz="0" w:space="0" w:color="auto"/>
            <w:left w:val="none" w:sz="0" w:space="0" w:color="auto"/>
            <w:bottom w:val="none" w:sz="0" w:space="0" w:color="auto"/>
            <w:right w:val="none" w:sz="0" w:space="0" w:color="auto"/>
          </w:divBdr>
        </w:div>
        <w:div w:id="1589464290">
          <w:marLeft w:val="0"/>
          <w:marRight w:val="0"/>
          <w:marTop w:val="0"/>
          <w:marBottom w:val="0"/>
          <w:divBdr>
            <w:top w:val="none" w:sz="0" w:space="0" w:color="auto"/>
            <w:left w:val="none" w:sz="0" w:space="0" w:color="auto"/>
            <w:bottom w:val="none" w:sz="0" w:space="0" w:color="auto"/>
            <w:right w:val="none" w:sz="0" w:space="0" w:color="auto"/>
          </w:divBdr>
        </w:div>
        <w:div w:id="1818766170">
          <w:marLeft w:val="0"/>
          <w:marRight w:val="0"/>
          <w:marTop w:val="0"/>
          <w:marBottom w:val="0"/>
          <w:divBdr>
            <w:top w:val="none" w:sz="0" w:space="0" w:color="auto"/>
            <w:left w:val="none" w:sz="0" w:space="0" w:color="auto"/>
            <w:bottom w:val="none" w:sz="0" w:space="0" w:color="auto"/>
            <w:right w:val="none" w:sz="0" w:space="0" w:color="auto"/>
          </w:divBdr>
        </w:div>
        <w:div w:id="1835795785">
          <w:marLeft w:val="0"/>
          <w:marRight w:val="0"/>
          <w:marTop w:val="0"/>
          <w:marBottom w:val="0"/>
          <w:divBdr>
            <w:top w:val="none" w:sz="0" w:space="0" w:color="auto"/>
            <w:left w:val="none" w:sz="0" w:space="0" w:color="auto"/>
            <w:bottom w:val="none" w:sz="0" w:space="0" w:color="auto"/>
            <w:right w:val="none" w:sz="0" w:space="0" w:color="auto"/>
          </w:divBdr>
        </w:div>
        <w:div w:id="2093578462">
          <w:marLeft w:val="0"/>
          <w:marRight w:val="0"/>
          <w:marTop w:val="0"/>
          <w:marBottom w:val="0"/>
          <w:divBdr>
            <w:top w:val="none" w:sz="0" w:space="0" w:color="auto"/>
            <w:left w:val="none" w:sz="0" w:space="0" w:color="auto"/>
            <w:bottom w:val="none" w:sz="0" w:space="0" w:color="auto"/>
            <w:right w:val="none" w:sz="0" w:space="0" w:color="auto"/>
          </w:divBdr>
        </w:div>
        <w:div w:id="2120831273">
          <w:marLeft w:val="0"/>
          <w:marRight w:val="0"/>
          <w:marTop w:val="0"/>
          <w:marBottom w:val="0"/>
          <w:divBdr>
            <w:top w:val="none" w:sz="0" w:space="0" w:color="auto"/>
            <w:left w:val="none" w:sz="0" w:space="0" w:color="auto"/>
            <w:bottom w:val="none" w:sz="0" w:space="0" w:color="auto"/>
            <w:right w:val="none" w:sz="0" w:space="0" w:color="auto"/>
          </w:divBdr>
        </w:div>
      </w:divsChild>
    </w:div>
    <w:div w:id="868445724">
      <w:bodyDiv w:val="1"/>
      <w:marLeft w:val="0"/>
      <w:marRight w:val="0"/>
      <w:marTop w:val="0"/>
      <w:marBottom w:val="0"/>
      <w:divBdr>
        <w:top w:val="none" w:sz="0" w:space="0" w:color="auto"/>
        <w:left w:val="none" w:sz="0" w:space="0" w:color="auto"/>
        <w:bottom w:val="none" w:sz="0" w:space="0" w:color="auto"/>
        <w:right w:val="none" w:sz="0" w:space="0" w:color="auto"/>
      </w:divBdr>
    </w:div>
    <w:div w:id="1093935076">
      <w:bodyDiv w:val="1"/>
      <w:marLeft w:val="0"/>
      <w:marRight w:val="0"/>
      <w:marTop w:val="0"/>
      <w:marBottom w:val="0"/>
      <w:divBdr>
        <w:top w:val="none" w:sz="0" w:space="0" w:color="auto"/>
        <w:left w:val="none" w:sz="0" w:space="0" w:color="auto"/>
        <w:bottom w:val="none" w:sz="0" w:space="0" w:color="auto"/>
        <w:right w:val="none" w:sz="0" w:space="0" w:color="auto"/>
      </w:divBdr>
    </w:div>
    <w:div w:id="1128738975">
      <w:bodyDiv w:val="1"/>
      <w:marLeft w:val="0"/>
      <w:marRight w:val="0"/>
      <w:marTop w:val="0"/>
      <w:marBottom w:val="0"/>
      <w:divBdr>
        <w:top w:val="none" w:sz="0" w:space="0" w:color="auto"/>
        <w:left w:val="none" w:sz="0" w:space="0" w:color="auto"/>
        <w:bottom w:val="none" w:sz="0" w:space="0" w:color="auto"/>
        <w:right w:val="none" w:sz="0" w:space="0" w:color="auto"/>
      </w:divBdr>
    </w:div>
    <w:div w:id="1173377263">
      <w:bodyDiv w:val="1"/>
      <w:marLeft w:val="0"/>
      <w:marRight w:val="0"/>
      <w:marTop w:val="0"/>
      <w:marBottom w:val="0"/>
      <w:divBdr>
        <w:top w:val="none" w:sz="0" w:space="0" w:color="auto"/>
        <w:left w:val="none" w:sz="0" w:space="0" w:color="auto"/>
        <w:bottom w:val="none" w:sz="0" w:space="0" w:color="auto"/>
        <w:right w:val="none" w:sz="0" w:space="0" w:color="auto"/>
      </w:divBdr>
    </w:div>
    <w:div w:id="1191797299">
      <w:bodyDiv w:val="1"/>
      <w:marLeft w:val="0"/>
      <w:marRight w:val="0"/>
      <w:marTop w:val="0"/>
      <w:marBottom w:val="0"/>
      <w:divBdr>
        <w:top w:val="none" w:sz="0" w:space="0" w:color="auto"/>
        <w:left w:val="none" w:sz="0" w:space="0" w:color="auto"/>
        <w:bottom w:val="none" w:sz="0" w:space="0" w:color="auto"/>
        <w:right w:val="none" w:sz="0" w:space="0" w:color="auto"/>
      </w:divBdr>
      <w:divsChild>
        <w:div w:id="497884854">
          <w:marLeft w:val="0"/>
          <w:marRight w:val="0"/>
          <w:marTop w:val="0"/>
          <w:marBottom w:val="0"/>
          <w:divBdr>
            <w:top w:val="none" w:sz="0" w:space="0" w:color="auto"/>
            <w:left w:val="none" w:sz="0" w:space="0" w:color="auto"/>
            <w:bottom w:val="none" w:sz="0" w:space="0" w:color="auto"/>
            <w:right w:val="none" w:sz="0" w:space="0" w:color="auto"/>
          </w:divBdr>
        </w:div>
        <w:div w:id="1137796679">
          <w:marLeft w:val="0"/>
          <w:marRight w:val="0"/>
          <w:marTop w:val="0"/>
          <w:marBottom w:val="0"/>
          <w:divBdr>
            <w:top w:val="none" w:sz="0" w:space="0" w:color="auto"/>
            <w:left w:val="none" w:sz="0" w:space="0" w:color="auto"/>
            <w:bottom w:val="none" w:sz="0" w:space="0" w:color="auto"/>
            <w:right w:val="none" w:sz="0" w:space="0" w:color="auto"/>
          </w:divBdr>
        </w:div>
        <w:div w:id="1208179859">
          <w:marLeft w:val="0"/>
          <w:marRight w:val="0"/>
          <w:marTop w:val="0"/>
          <w:marBottom w:val="0"/>
          <w:divBdr>
            <w:top w:val="none" w:sz="0" w:space="0" w:color="auto"/>
            <w:left w:val="none" w:sz="0" w:space="0" w:color="auto"/>
            <w:bottom w:val="none" w:sz="0" w:space="0" w:color="auto"/>
            <w:right w:val="none" w:sz="0" w:space="0" w:color="auto"/>
          </w:divBdr>
        </w:div>
      </w:divsChild>
    </w:div>
    <w:div w:id="1354451528">
      <w:bodyDiv w:val="1"/>
      <w:marLeft w:val="0"/>
      <w:marRight w:val="0"/>
      <w:marTop w:val="0"/>
      <w:marBottom w:val="0"/>
      <w:divBdr>
        <w:top w:val="none" w:sz="0" w:space="0" w:color="auto"/>
        <w:left w:val="none" w:sz="0" w:space="0" w:color="auto"/>
        <w:bottom w:val="none" w:sz="0" w:space="0" w:color="auto"/>
        <w:right w:val="none" w:sz="0" w:space="0" w:color="auto"/>
      </w:divBdr>
      <w:divsChild>
        <w:div w:id="88963971">
          <w:marLeft w:val="0"/>
          <w:marRight w:val="0"/>
          <w:marTop w:val="0"/>
          <w:marBottom w:val="0"/>
          <w:divBdr>
            <w:top w:val="none" w:sz="0" w:space="0" w:color="auto"/>
            <w:left w:val="none" w:sz="0" w:space="0" w:color="auto"/>
            <w:bottom w:val="none" w:sz="0" w:space="0" w:color="auto"/>
            <w:right w:val="none" w:sz="0" w:space="0" w:color="auto"/>
          </w:divBdr>
        </w:div>
        <w:div w:id="1210453677">
          <w:marLeft w:val="0"/>
          <w:marRight w:val="0"/>
          <w:marTop w:val="0"/>
          <w:marBottom w:val="0"/>
          <w:divBdr>
            <w:top w:val="none" w:sz="0" w:space="0" w:color="auto"/>
            <w:left w:val="none" w:sz="0" w:space="0" w:color="auto"/>
            <w:bottom w:val="none" w:sz="0" w:space="0" w:color="auto"/>
            <w:right w:val="none" w:sz="0" w:space="0" w:color="auto"/>
          </w:divBdr>
        </w:div>
        <w:div w:id="1859348803">
          <w:marLeft w:val="0"/>
          <w:marRight w:val="0"/>
          <w:marTop w:val="0"/>
          <w:marBottom w:val="0"/>
          <w:divBdr>
            <w:top w:val="none" w:sz="0" w:space="0" w:color="auto"/>
            <w:left w:val="none" w:sz="0" w:space="0" w:color="auto"/>
            <w:bottom w:val="none" w:sz="0" w:space="0" w:color="auto"/>
            <w:right w:val="none" w:sz="0" w:space="0" w:color="auto"/>
          </w:divBdr>
        </w:div>
        <w:div w:id="1906644121">
          <w:marLeft w:val="0"/>
          <w:marRight w:val="0"/>
          <w:marTop w:val="0"/>
          <w:marBottom w:val="0"/>
          <w:divBdr>
            <w:top w:val="none" w:sz="0" w:space="0" w:color="auto"/>
            <w:left w:val="none" w:sz="0" w:space="0" w:color="auto"/>
            <w:bottom w:val="none" w:sz="0" w:space="0" w:color="auto"/>
            <w:right w:val="none" w:sz="0" w:space="0" w:color="auto"/>
          </w:divBdr>
        </w:div>
        <w:div w:id="2116517807">
          <w:marLeft w:val="0"/>
          <w:marRight w:val="0"/>
          <w:marTop w:val="0"/>
          <w:marBottom w:val="0"/>
          <w:divBdr>
            <w:top w:val="none" w:sz="0" w:space="0" w:color="auto"/>
            <w:left w:val="none" w:sz="0" w:space="0" w:color="auto"/>
            <w:bottom w:val="none" w:sz="0" w:space="0" w:color="auto"/>
            <w:right w:val="none" w:sz="0" w:space="0" w:color="auto"/>
          </w:divBdr>
        </w:div>
      </w:divsChild>
    </w:div>
    <w:div w:id="1415468966">
      <w:bodyDiv w:val="1"/>
      <w:marLeft w:val="0"/>
      <w:marRight w:val="0"/>
      <w:marTop w:val="0"/>
      <w:marBottom w:val="0"/>
      <w:divBdr>
        <w:top w:val="none" w:sz="0" w:space="0" w:color="auto"/>
        <w:left w:val="none" w:sz="0" w:space="0" w:color="auto"/>
        <w:bottom w:val="none" w:sz="0" w:space="0" w:color="auto"/>
        <w:right w:val="none" w:sz="0" w:space="0" w:color="auto"/>
      </w:divBdr>
    </w:div>
    <w:div w:id="1458261065">
      <w:bodyDiv w:val="1"/>
      <w:marLeft w:val="0"/>
      <w:marRight w:val="0"/>
      <w:marTop w:val="0"/>
      <w:marBottom w:val="0"/>
      <w:divBdr>
        <w:top w:val="none" w:sz="0" w:space="0" w:color="auto"/>
        <w:left w:val="none" w:sz="0" w:space="0" w:color="auto"/>
        <w:bottom w:val="none" w:sz="0" w:space="0" w:color="auto"/>
        <w:right w:val="none" w:sz="0" w:space="0" w:color="auto"/>
      </w:divBdr>
      <w:divsChild>
        <w:div w:id="709958152">
          <w:marLeft w:val="0"/>
          <w:marRight w:val="0"/>
          <w:marTop w:val="0"/>
          <w:marBottom w:val="0"/>
          <w:divBdr>
            <w:top w:val="none" w:sz="0" w:space="0" w:color="auto"/>
            <w:left w:val="none" w:sz="0" w:space="0" w:color="auto"/>
            <w:bottom w:val="none" w:sz="0" w:space="0" w:color="auto"/>
            <w:right w:val="none" w:sz="0" w:space="0" w:color="auto"/>
          </w:divBdr>
        </w:div>
        <w:div w:id="862785099">
          <w:marLeft w:val="0"/>
          <w:marRight w:val="0"/>
          <w:marTop w:val="0"/>
          <w:marBottom w:val="0"/>
          <w:divBdr>
            <w:top w:val="none" w:sz="0" w:space="0" w:color="auto"/>
            <w:left w:val="none" w:sz="0" w:space="0" w:color="auto"/>
            <w:bottom w:val="none" w:sz="0" w:space="0" w:color="auto"/>
            <w:right w:val="none" w:sz="0" w:space="0" w:color="auto"/>
          </w:divBdr>
        </w:div>
        <w:div w:id="1261111065">
          <w:marLeft w:val="0"/>
          <w:marRight w:val="0"/>
          <w:marTop w:val="0"/>
          <w:marBottom w:val="0"/>
          <w:divBdr>
            <w:top w:val="none" w:sz="0" w:space="0" w:color="auto"/>
            <w:left w:val="none" w:sz="0" w:space="0" w:color="auto"/>
            <w:bottom w:val="none" w:sz="0" w:space="0" w:color="auto"/>
            <w:right w:val="none" w:sz="0" w:space="0" w:color="auto"/>
          </w:divBdr>
        </w:div>
        <w:div w:id="1300837795">
          <w:marLeft w:val="0"/>
          <w:marRight w:val="0"/>
          <w:marTop w:val="0"/>
          <w:marBottom w:val="0"/>
          <w:divBdr>
            <w:top w:val="none" w:sz="0" w:space="0" w:color="auto"/>
            <w:left w:val="none" w:sz="0" w:space="0" w:color="auto"/>
            <w:bottom w:val="none" w:sz="0" w:space="0" w:color="auto"/>
            <w:right w:val="none" w:sz="0" w:space="0" w:color="auto"/>
          </w:divBdr>
        </w:div>
        <w:div w:id="1584682802">
          <w:marLeft w:val="0"/>
          <w:marRight w:val="0"/>
          <w:marTop w:val="0"/>
          <w:marBottom w:val="0"/>
          <w:divBdr>
            <w:top w:val="none" w:sz="0" w:space="0" w:color="auto"/>
            <w:left w:val="none" w:sz="0" w:space="0" w:color="auto"/>
            <w:bottom w:val="none" w:sz="0" w:space="0" w:color="auto"/>
            <w:right w:val="none" w:sz="0" w:space="0" w:color="auto"/>
          </w:divBdr>
        </w:div>
      </w:divsChild>
    </w:div>
    <w:div w:id="1519153146">
      <w:bodyDiv w:val="1"/>
      <w:marLeft w:val="0"/>
      <w:marRight w:val="0"/>
      <w:marTop w:val="0"/>
      <w:marBottom w:val="0"/>
      <w:divBdr>
        <w:top w:val="none" w:sz="0" w:space="0" w:color="auto"/>
        <w:left w:val="none" w:sz="0" w:space="0" w:color="auto"/>
        <w:bottom w:val="none" w:sz="0" w:space="0" w:color="auto"/>
        <w:right w:val="none" w:sz="0" w:space="0" w:color="auto"/>
      </w:divBdr>
    </w:div>
    <w:div w:id="1576939040">
      <w:bodyDiv w:val="1"/>
      <w:marLeft w:val="0"/>
      <w:marRight w:val="0"/>
      <w:marTop w:val="0"/>
      <w:marBottom w:val="0"/>
      <w:divBdr>
        <w:top w:val="none" w:sz="0" w:space="0" w:color="auto"/>
        <w:left w:val="none" w:sz="0" w:space="0" w:color="auto"/>
        <w:bottom w:val="none" w:sz="0" w:space="0" w:color="auto"/>
        <w:right w:val="none" w:sz="0" w:space="0" w:color="auto"/>
      </w:divBdr>
      <w:divsChild>
        <w:div w:id="1117987718">
          <w:marLeft w:val="0"/>
          <w:marRight w:val="0"/>
          <w:marTop w:val="30"/>
          <w:marBottom w:val="30"/>
          <w:divBdr>
            <w:top w:val="none" w:sz="0" w:space="0" w:color="auto"/>
            <w:left w:val="none" w:sz="0" w:space="0" w:color="auto"/>
            <w:bottom w:val="none" w:sz="0" w:space="0" w:color="auto"/>
            <w:right w:val="none" w:sz="0" w:space="0" w:color="auto"/>
          </w:divBdr>
          <w:divsChild>
            <w:div w:id="232007954">
              <w:marLeft w:val="0"/>
              <w:marRight w:val="0"/>
              <w:marTop w:val="0"/>
              <w:marBottom w:val="0"/>
              <w:divBdr>
                <w:top w:val="none" w:sz="0" w:space="0" w:color="auto"/>
                <w:left w:val="none" w:sz="0" w:space="0" w:color="auto"/>
                <w:bottom w:val="none" w:sz="0" w:space="0" w:color="auto"/>
                <w:right w:val="none" w:sz="0" w:space="0" w:color="auto"/>
              </w:divBdr>
              <w:divsChild>
                <w:div w:id="590813950">
                  <w:marLeft w:val="0"/>
                  <w:marRight w:val="0"/>
                  <w:marTop w:val="0"/>
                  <w:marBottom w:val="0"/>
                  <w:divBdr>
                    <w:top w:val="none" w:sz="0" w:space="0" w:color="auto"/>
                    <w:left w:val="none" w:sz="0" w:space="0" w:color="auto"/>
                    <w:bottom w:val="none" w:sz="0" w:space="0" w:color="auto"/>
                    <w:right w:val="none" w:sz="0" w:space="0" w:color="auto"/>
                  </w:divBdr>
                </w:div>
              </w:divsChild>
            </w:div>
            <w:div w:id="300186531">
              <w:marLeft w:val="0"/>
              <w:marRight w:val="0"/>
              <w:marTop w:val="0"/>
              <w:marBottom w:val="0"/>
              <w:divBdr>
                <w:top w:val="none" w:sz="0" w:space="0" w:color="auto"/>
                <w:left w:val="none" w:sz="0" w:space="0" w:color="auto"/>
                <w:bottom w:val="none" w:sz="0" w:space="0" w:color="auto"/>
                <w:right w:val="none" w:sz="0" w:space="0" w:color="auto"/>
              </w:divBdr>
              <w:divsChild>
                <w:div w:id="1011420962">
                  <w:marLeft w:val="0"/>
                  <w:marRight w:val="0"/>
                  <w:marTop w:val="0"/>
                  <w:marBottom w:val="0"/>
                  <w:divBdr>
                    <w:top w:val="none" w:sz="0" w:space="0" w:color="auto"/>
                    <w:left w:val="none" w:sz="0" w:space="0" w:color="auto"/>
                    <w:bottom w:val="none" w:sz="0" w:space="0" w:color="auto"/>
                    <w:right w:val="none" w:sz="0" w:space="0" w:color="auto"/>
                  </w:divBdr>
                </w:div>
              </w:divsChild>
            </w:div>
            <w:div w:id="335619591">
              <w:marLeft w:val="0"/>
              <w:marRight w:val="0"/>
              <w:marTop w:val="0"/>
              <w:marBottom w:val="0"/>
              <w:divBdr>
                <w:top w:val="none" w:sz="0" w:space="0" w:color="auto"/>
                <w:left w:val="none" w:sz="0" w:space="0" w:color="auto"/>
                <w:bottom w:val="none" w:sz="0" w:space="0" w:color="auto"/>
                <w:right w:val="none" w:sz="0" w:space="0" w:color="auto"/>
              </w:divBdr>
              <w:divsChild>
                <w:div w:id="714426126">
                  <w:marLeft w:val="0"/>
                  <w:marRight w:val="0"/>
                  <w:marTop w:val="0"/>
                  <w:marBottom w:val="0"/>
                  <w:divBdr>
                    <w:top w:val="none" w:sz="0" w:space="0" w:color="auto"/>
                    <w:left w:val="none" w:sz="0" w:space="0" w:color="auto"/>
                    <w:bottom w:val="none" w:sz="0" w:space="0" w:color="auto"/>
                    <w:right w:val="none" w:sz="0" w:space="0" w:color="auto"/>
                  </w:divBdr>
                </w:div>
              </w:divsChild>
            </w:div>
            <w:div w:id="399717672">
              <w:marLeft w:val="0"/>
              <w:marRight w:val="0"/>
              <w:marTop w:val="0"/>
              <w:marBottom w:val="0"/>
              <w:divBdr>
                <w:top w:val="none" w:sz="0" w:space="0" w:color="auto"/>
                <w:left w:val="none" w:sz="0" w:space="0" w:color="auto"/>
                <w:bottom w:val="none" w:sz="0" w:space="0" w:color="auto"/>
                <w:right w:val="none" w:sz="0" w:space="0" w:color="auto"/>
              </w:divBdr>
              <w:divsChild>
                <w:div w:id="1989624046">
                  <w:marLeft w:val="0"/>
                  <w:marRight w:val="0"/>
                  <w:marTop w:val="0"/>
                  <w:marBottom w:val="0"/>
                  <w:divBdr>
                    <w:top w:val="none" w:sz="0" w:space="0" w:color="auto"/>
                    <w:left w:val="none" w:sz="0" w:space="0" w:color="auto"/>
                    <w:bottom w:val="none" w:sz="0" w:space="0" w:color="auto"/>
                    <w:right w:val="none" w:sz="0" w:space="0" w:color="auto"/>
                  </w:divBdr>
                </w:div>
              </w:divsChild>
            </w:div>
            <w:div w:id="406926765">
              <w:marLeft w:val="0"/>
              <w:marRight w:val="0"/>
              <w:marTop w:val="0"/>
              <w:marBottom w:val="0"/>
              <w:divBdr>
                <w:top w:val="none" w:sz="0" w:space="0" w:color="auto"/>
                <w:left w:val="none" w:sz="0" w:space="0" w:color="auto"/>
                <w:bottom w:val="none" w:sz="0" w:space="0" w:color="auto"/>
                <w:right w:val="none" w:sz="0" w:space="0" w:color="auto"/>
              </w:divBdr>
              <w:divsChild>
                <w:div w:id="732198904">
                  <w:marLeft w:val="0"/>
                  <w:marRight w:val="0"/>
                  <w:marTop w:val="0"/>
                  <w:marBottom w:val="0"/>
                  <w:divBdr>
                    <w:top w:val="none" w:sz="0" w:space="0" w:color="auto"/>
                    <w:left w:val="none" w:sz="0" w:space="0" w:color="auto"/>
                    <w:bottom w:val="none" w:sz="0" w:space="0" w:color="auto"/>
                    <w:right w:val="none" w:sz="0" w:space="0" w:color="auto"/>
                  </w:divBdr>
                </w:div>
                <w:div w:id="827945840">
                  <w:marLeft w:val="0"/>
                  <w:marRight w:val="0"/>
                  <w:marTop w:val="0"/>
                  <w:marBottom w:val="0"/>
                  <w:divBdr>
                    <w:top w:val="none" w:sz="0" w:space="0" w:color="auto"/>
                    <w:left w:val="none" w:sz="0" w:space="0" w:color="auto"/>
                    <w:bottom w:val="none" w:sz="0" w:space="0" w:color="auto"/>
                    <w:right w:val="none" w:sz="0" w:space="0" w:color="auto"/>
                  </w:divBdr>
                </w:div>
              </w:divsChild>
            </w:div>
            <w:div w:id="590624543">
              <w:marLeft w:val="0"/>
              <w:marRight w:val="0"/>
              <w:marTop w:val="0"/>
              <w:marBottom w:val="0"/>
              <w:divBdr>
                <w:top w:val="none" w:sz="0" w:space="0" w:color="auto"/>
                <w:left w:val="none" w:sz="0" w:space="0" w:color="auto"/>
                <w:bottom w:val="none" w:sz="0" w:space="0" w:color="auto"/>
                <w:right w:val="none" w:sz="0" w:space="0" w:color="auto"/>
              </w:divBdr>
              <w:divsChild>
                <w:div w:id="1131246868">
                  <w:marLeft w:val="0"/>
                  <w:marRight w:val="0"/>
                  <w:marTop w:val="0"/>
                  <w:marBottom w:val="0"/>
                  <w:divBdr>
                    <w:top w:val="none" w:sz="0" w:space="0" w:color="auto"/>
                    <w:left w:val="none" w:sz="0" w:space="0" w:color="auto"/>
                    <w:bottom w:val="none" w:sz="0" w:space="0" w:color="auto"/>
                    <w:right w:val="none" w:sz="0" w:space="0" w:color="auto"/>
                  </w:divBdr>
                </w:div>
              </w:divsChild>
            </w:div>
            <w:div w:id="698244170">
              <w:marLeft w:val="0"/>
              <w:marRight w:val="0"/>
              <w:marTop w:val="0"/>
              <w:marBottom w:val="0"/>
              <w:divBdr>
                <w:top w:val="none" w:sz="0" w:space="0" w:color="auto"/>
                <w:left w:val="none" w:sz="0" w:space="0" w:color="auto"/>
                <w:bottom w:val="none" w:sz="0" w:space="0" w:color="auto"/>
                <w:right w:val="none" w:sz="0" w:space="0" w:color="auto"/>
              </w:divBdr>
              <w:divsChild>
                <w:div w:id="1568105056">
                  <w:marLeft w:val="0"/>
                  <w:marRight w:val="0"/>
                  <w:marTop w:val="0"/>
                  <w:marBottom w:val="0"/>
                  <w:divBdr>
                    <w:top w:val="none" w:sz="0" w:space="0" w:color="auto"/>
                    <w:left w:val="none" w:sz="0" w:space="0" w:color="auto"/>
                    <w:bottom w:val="none" w:sz="0" w:space="0" w:color="auto"/>
                    <w:right w:val="none" w:sz="0" w:space="0" w:color="auto"/>
                  </w:divBdr>
                </w:div>
              </w:divsChild>
            </w:div>
            <w:div w:id="757167457">
              <w:marLeft w:val="0"/>
              <w:marRight w:val="0"/>
              <w:marTop w:val="0"/>
              <w:marBottom w:val="0"/>
              <w:divBdr>
                <w:top w:val="none" w:sz="0" w:space="0" w:color="auto"/>
                <w:left w:val="none" w:sz="0" w:space="0" w:color="auto"/>
                <w:bottom w:val="none" w:sz="0" w:space="0" w:color="auto"/>
                <w:right w:val="none" w:sz="0" w:space="0" w:color="auto"/>
              </w:divBdr>
              <w:divsChild>
                <w:div w:id="806361011">
                  <w:marLeft w:val="0"/>
                  <w:marRight w:val="0"/>
                  <w:marTop w:val="0"/>
                  <w:marBottom w:val="0"/>
                  <w:divBdr>
                    <w:top w:val="none" w:sz="0" w:space="0" w:color="auto"/>
                    <w:left w:val="none" w:sz="0" w:space="0" w:color="auto"/>
                    <w:bottom w:val="none" w:sz="0" w:space="0" w:color="auto"/>
                    <w:right w:val="none" w:sz="0" w:space="0" w:color="auto"/>
                  </w:divBdr>
                </w:div>
              </w:divsChild>
            </w:div>
            <w:div w:id="822241446">
              <w:marLeft w:val="0"/>
              <w:marRight w:val="0"/>
              <w:marTop w:val="0"/>
              <w:marBottom w:val="0"/>
              <w:divBdr>
                <w:top w:val="none" w:sz="0" w:space="0" w:color="auto"/>
                <w:left w:val="none" w:sz="0" w:space="0" w:color="auto"/>
                <w:bottom w:val="none" w:sz="0" w:space="0" w:color="auto"/>
                <w:right w:val="none" w:sz="0" w:space="0" w:color="auto"/>
              </w:divBdr>
              <w:divsChild>
                <w:div w:id="1983389749">
                  <w:marLeft w:val="0"/>
                  <w:marRight w:val="0"/>
                  <w:marTop w:val="0"/>
                  <w:marBottom w:val="0"/>
                  <w:divBdr>
                    <w:top w:val="none" w:sz="0" w:space="0" w:color="auto"/>
                    <w:left w:val="none" w:sz="0" w:space="0" w:color="auto"/>
                    <w:bottom w:val="none" w:sz="0" w:space="0" w:color="auto"/>
                    <w:right w:val="none" w:sz="0" w:space="0" w:color="auto"/>
                  </w:divBdr>
                </w:div>
              </w:divsChild>
            </w:div>
            <w:div w:id="938370563">
              <w:marLeft w:val="0"/>
              <w:marRight w:val="0"/>
              <w:marTop w:val="0"/>
              <w:marBottom w:val="0"/>
              <w:divBdr>
                <w:top w:val="none" w:sz="0" w:space="0" w:color="auto"/>
                <w:left w:val="none" w:sz="0" w:space="0" w:color="auto"/>
                <w:bottom w:val="none" w:sz="0" w:space="0" w:color="auto"/>
                <w:right w:val="none" w:sz="0" w:space="0" w:color="auto"/>
              </w:divBdr>
              <w:divsChild>
                <w:div w:id="2094887875">
                  <w:marLeft w:val="0"/>
                  <w:marRight w:val="0"/>
                  <w:marTop w:val="0"/>
                  <w:marBottom w:val="0"/>
                  <w:divBdr>
                    <w:top w:val="none" w:sz="0" w:space="0" w:color="auto"/>
                    <w:left w:val="none" w:sz="0" w:space="0" w:color="auto"/>
                    <w:bottom w:val="none" w:sz="0" w:space="0" w:color="auto"/>
                    <w:right w:val="none" w:sz="0" w:space="0" w:color="auto"/>
                  </w:divBdr>
                </w:div>
              </w:divsChild>
            </w:div>
            <w:div w:id="995912429">
              <w:marLeft w:val="0"/>
              <w:marRight w:val="0"/>
              <w:marTop w:val="0"/>
              <w:marBottom w:val="0"/>
              <w:divBdr>
                <w:top w:val="none" w:sz="0" w:space="0" w:color="auto"/>
                <w:left w:val="none" w:sz="0" w:space="0" w:color="auto"/>
                <w:bottom w:val="none" w:sz="0" w:space="0" w:color="auto"/>
                <w:right w:val="none" w:sz="0" w:space="0" w:color="auto"/>
              </w:divBdr>
              <w:divsChild>
                <w:div w:id="1478955688">
                  <w:marLeft w:val="0"/>
                  <w:marRight w:val="0"/>
                  <w:marTop w:val="0"/>
                  <w:marBottom w:val="0"/>
                  <w:divBdr>
                    <w:top w:val="none" w:sz="0" w:space="0" w:color="auto"/>
                    <w:left w:val="none" w:sz="0" w:space="0" w:color="auto"/>
                    <w:bottom w:val="none" w:sz="0" w:space="0" w:color="auto"/>
                    <w:right w:val="none" w:sz="0" w:space="0" w:color="auto"/>
                  </w:divBdr>
                </w:div>
              </w:divsChild>
            </w:div>
            <w:div w:id="1081024077">
              <w:marLeft w:val="0"/>
              <w:marRight w:val="0"/>
              <w:marTop w:val="0"/>
              <w:marBottom w:val="0"/>
              <w:divBdr>
                <w:top w:val="none" w:sz="0" w:space="0" w:color="auto"/>
                <w:left w:val="none" w:sz="0" w:space="0" w:color="auto"/>
                <w:bottom w:val="none" w:sz="0" w:space="0" w:color="auto"/>
                <w:right w:val="none" w:sz="0" w:space="0" w:color="auto"/>
              </w:divBdr>
              <w:divsChild>
                <w:div w:id="2136020198">
                  <w:marLeft w:val="0"/>
                  <w:marRight w:val="0"/>
                  <w:marTop w:val="0"/>
                  <w:marBottom w:val="0"/>
                  <w:divBdr>
                    <w:top w:val="none" w:sz="0" w:space="0" w:color="auto"/>
                    <w:left w:val="none" w:sz="0" w:space="0" w:color="auto"/>
                    <w:bottom w:val="none" w:sz="0" w:space="0" w:color="auto"/>
                    <w:right w:val="none" w:sz="0" w:space="0" w:color="auto"/>
                  </w:divBdr>
                </w:div>
              </w:divsChild>
            </w:div>
            <w:div w:id="1201819784">
              <w:marLeft w:val="0"/>
              <w:marRight w:val="0"/>
              <w:marTop w:val="0"/>
              <w:marBottom w:val="0"/>
              <w:divBdr>
                <w:top w:val="none" w:sz="0" w:space="0" w:color="auto"/>
                <w:left w:val="none" w:sz="0" w:space="0" w:color="auto"/>
                <w:bottom w:val="none" w:sz="0" w:space="0" w:color="auto"/>
                <w:right w:val="none" w:sz="0" w:space="0" w:color="auto"/>
              </w:divBdr>
              <w:divsChild>
                <w:div w:id="1915580292">
                  <w:marLeft w:val="0"/>
                  <w:marRight w:val="0"/>
                  <w:marTop w:val="0"/>
                  <w:marBottom w:val="0"/>
                  <w:divBdr>
                    <w:top w:val="none" w:sz="0" w:space="0" w:color="auto"/>
                    <w:left w:val="none" w:sz="0" w:space="0" w:color="auto"/>
                    <w:bottom w:val="none" w:sz="0" w:space="0" w:color="auto"/>
                    <w:right w:val="none" w:sz="0" w:space="0" w:color="auto"/>
                  </w:divBdr>
                </w:div>
              </w:divsChild>
            </w:div>
            <w:div w:id="1247110747">
              <w:marLeft w:val="0"/>
              <w:marRight w:val="0"/>
              <w:marTop w:val="0"/>
              <w:marBottom w:val="0"/>
              <w:divBdr>
                <w:top w:val="none" w:sz="0" w:space="0" w:color="auto"/>
                <w:left w:val="none" w:sz="0" w:space="0" w:color="auto"/>
                <w:bottom w:val="none" w:sz="0" w:space="0" w:color="auto"/>
                <w:right w:val="none" w:sz="0" w:space="0" w:color="auto"/>
              </w:divBdr>
              <w:divsChild>
                <w:div w:id="1371109209">
                  <w:marLeft w:val="0"/>
                  <w:marRight w:val="0"/>
                  <w:marTop w:val="0"/>
                  <w:marBottom w:val="0"/>
                  <w:divBdr>
                    <w:top w:val="none" w:sz="0" w:space="0" w:color="auto"/>
                    <w:left w:val="none" w:sz="0" w:space="0" w:color="auto"/>
                    <w:bottom w:val="none" w:sz="0" w:space="0" w:color="auto"/>
                    <w:right w:val="none" w:sz="0" w:space="0" w:color="auto"/>
                  </w:divBdr>
                </w:div>
              </w:divsChild>
            </w:div>
            <w:div w:id="1280261257">
              <w:marLeft w:val="0"/>
              <w:marRight w:val="0"/>
              <w:marTop w:val="0"/>
              <w:marBottom w:val="0"/>
              <w:divBdr>
                <w:top w:val="none" w:sz="0" w:space="0" w:color="auto"/>
                <w:left w:val="none" w:sz="0" w:space="0" w:color="auto"/>
                <w:bottom w:val="none" w:sz="0" w:space="0" w:color="auto"/>
                <w:right w:val="none" w:sz="0" w:space="0" w:color="auto"/>
              </w:divBdr>
              <w:divsChild>
                <w:div w:id="392853020">
                  <w:marLeft w:val="0"/>
                  <w:marRight w:val="0"/>
                  <w:marTop w:val="0"/>
                  <w:marBottom w:val="0"/>
                  <w:divBdr>
                    <w:top w:val="none" w:sz="0" w:space="0" w:color="auto"/>
                    <w:left w:val="none" w:sz="0" w:space="0" w:color="auto"/>
                    <w:bottom w:val="none" w:sz="0" w:space="0" w:color="auto"/>
                    <w:right w:val="none" w:sz="0" w:space="0" w:color="auto"/>
                  </w:divBdr>
                </w:div>
              </w:divsChild>
            </w:div>
            <w:div w:id="1394620949">
              <w:marLeft w:val="0"/>
              <w:marRight w:val="0"/>
              <w:marTop w:val="0"/>
              <w:marBottom w:val="0"/>
              <w:divBdr>
                <w:top w:val="none" w:sz="0" w:space="0" w:color="auto"/>
                <w:left w:val="none" w:sz="0" w:space="0" w:color="auto"/>
                <w:bottom w:val="none" w:sz="0" w:space="0" w:color="auto"/>
                <w:right w:val="none" w:sz="0" w:space="0" w:color="auto"/>
              </w:divBdr>
              <w:divsChild>
                <w:div w:id="1780754724">
                  <w:marLeft w:val="0"/>
                  <w:marRight w:val="0"/>
                  <w:marTop w:val="0"/>
                  <w:marBottom w:val="0"/>
                  <w:divBdr>
                    <w:top w:val="none" w:sz="0" w:space="0" w:color="auto"/>
                    <w:left w:val="none" w:sz="0" w:space="0" w:color="auto"/>
                    <w:bottom w:val="none" w:sz="0" w:space="0" w:color="auto"/>
                    <w:right w:val="none" w:sz="0" w:space="0" w:color="auto"/>
                  </w:divBdr>
                </w:div>
              </w:divsChild>
            </w:div>
            <w:div w:id="1708027049">
              <w:marLeft w:val="0"/>
              <w:marRight w:val="0"/>
              <w:marTop w:val="0"/>
              <w:marBottom w:val="0"/>
              <w:divBdr>
                <w:top w:val="none" w:sz="0" w:space="0" w:color="auto"/>
                <w:left w:val="none" w:sz="0" w:space="0" w:color="auto"/>
                <w:bottom w:val="none" w:sz="0" w:space="0" w:color="auto"/>
                <w:right w:val="none" w:sz="0" w:space="0" w:color="auto"/>
              </w:divBdr>
              <w:divsChild>
                <w:div w:id="573589702">
                  <w:marLeft w:val="0"/>
                  <w:marRight w:val="0"/>
                  <w:marTop w:val="0"/>
                  <w:marBottom w:val="0"/>
                  <w:divBdr>
                    <w:top w:val="none" w:sz="0" w:space="0" w:color="auto"/>
                    <w:left w:val="none" w:sz="0" w:space="0" w:color="auto"/>
                    <w:bottom w:val="none" w:sz="0" w:space="0" w:color="auto"/>
                    <w:right w:val="none" w:sz="0" w:space="0" w:color="auto"/>
                  </w:divBdr>
                </w:div>
              </w:divsChild>
            </w:div>
            <w:div w:id="1973752409">
              <w:marLeft w:val="0"/>
              <w:marRight w:val="0"/>
              <w:marTop w:val="0"/>
              <w:marBottom w:val="0"/>
              <w:divBdr>
                <w:top w:val="none" w:sz="0" w:space="0" w:color="auto"/>
                <w:left w:val="none" w:sz="0" w:space="0" w:color="auto"/>
                <w:bottom w:val="none" w:sz="0" w:space="0" w:color="auto"/>
                <w:right w:val="none" w:sz="0" w:space="0" w:color="auto"/>
              </w:divBdr>
              <w:divsChild>
                <w:div w:id="111714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77207">
      <w:bodyDiv w:val="1"/>
      <w:marLeft w:val="0"/>
      <w:marRight w:val="0"/>
      <w:marTop w:val="0"/>
      <w:marBottom w:val="0"/>
      <w:divBdr>
        <w:top w:val="none" w:sz="0" w:space="0" w:color="auto"/>
        <w:left w:val="none" w:sz="0" w:space="0" w:color="auto"/>
        <w:bottom w:val="none" w:sz="0" w:space="0" w:color="auto"/>
        <w:right w:val="none" w:sz="0" w:space="0" w:color="auto"/>
      </w:divBdr>
    </w:div>
    <w:div w:id="1644308872">
      <w:bodyDiv w:val="1"/>
      <w:marLeft w:val="0"/>
      <w:marRight w:val="0"/>
      <w:marTop w:val="0"/>
      <w:marBottom w:val="0"/>
      <w:divBdr>
        <w:top w:val="none" w:sz="0" w:space="0" w:color="auto"/>
        <w:left w:val="none" w:sz="0" w:space="0" w:color="auto"/>
        <w:bottom w:val="none" w:sz="0" w:space="0" w:color="auto"/>
        <w:right w:val="none" w:sz="0" w:space="0" w:color="auto"/>
      </w:divBdr>
    </w:div>
    <w:div w:id="1770391662">
      <w:bodyDiv w:val="1"/>
      <w:marLeft w:val="0"/>
      <w:marRight w:val="0"/>
      <w:marTop w:val="0"/>
      <w:marBottom w:val="0"/>
      <w:divBdr>
        <w:top w:val="none" w:sz="0" w:space="0" w:color="auto"/>
        <w:left w:val="none" w:sz="0" w:space="0" w:color="auto"/>
        <w:bottom w:val="none" w:sz="0" w:space="0" w:color="auto"/>
        <w:right w:val="none" w:sz="0" w:space="0" w:color="auto"/>
      </w:divBdr>
    </w:div>
    <w:div w:id="1798178278">
      <w:bodyDiv w:val="1"/>
      <w:marLeft w:val="0"/>
      <w:marRight w:val="0"/>
      <w:marTop w:val="0"/>
      <w:marBottom w:val="0"/>
      <w:divBdr>
        <w:top w:val="none" w:sz="0" w:space="0" w:color="auto"/>
        <w:left w:val="none" w:sz="0" w:space="0" w:color="auto"/>
        <w:bottom w:val="none" w:sz="0" w:space="0" w:color="auto"/>
        <w:right w:val="none" w:sz="0" w:space="0" w:color="auto"/>
      </w:divBdr>
    </w:div>
    <w:div w:id="1897354369">
      <w:bodyDiv w:val="1"/>
      <w:marLeft w:val="0"/>
      <w:marRight w:val="0"/>
      <w:marTop w:val="0"/>
      <w:marBottom w:val="0"/>
      <w:divBdr>
        <w:top w:val="none" w:sz="0" w:space="0" w:color="auto"/>
        <w:left w:val="none" w:sz="0" w:space="0" w:color="auto"/>
        <w:bottom w:val="none" w:sz="0" w:space="0" w:color="auto"/>
        <w:right w:val="none" w:sz="0" w:space="0" w:color="auto"/>
      </w:divBdr>
      <w:divsChild>
        <w:div w:id="8026515">
          <w:marLeft w:val="0"/>
          <w:marRight w:val="0"/>
          <w:marTop w:val="0"/>
          <w:marBottom w:val="0"/>
          <w:divBdr>
            <w:top w:val="none" w:sz="0" w:space="0" w:color="auto"/>
            <w:left w:val="none" w:sz="0" w:space="0" w:color="auto"/>
            <w:bottom w:val="none" w:sz="0" w:space="0" w:color="auto"/>
            <w:right w:val="none" w:sz="0" w:space="0" w:color="auto"/>
          </w:divBdr>
        </w:div>
        <w:div w:id="13920315">
          <w:marLeft w:val="0"/>
          <w:marRight w:val="0"/>
          <w:marTop w:val="0"/>
          <w:marBottom w:val="0"/>
          <w:divBdr>
            <w:top w:val="none" w:sz="0" w:space="0" w:color="auto"/>
            <w:left w:val="none" w:sz="0" w:space="0" w:color="auto"/>
            <w:bottom w:val="none" w:sz="0" w:space="0" w:color="auto"/>
            <w:right w:val="none" w:sz="0" w:space="0" w:color="auto"/>
          </w:divBdr>
        </w:div>
        <w:div w:id="237063340">
          <w:marLeft w:val="0"/>
          <w:marRight w:val="0"/>
          <w:marTop w:val="0"/>
          <w:marBottom w:val="0"/>
          <w:divBdr>
            <w:top w:val="none" w:sz="0" w:space="0" w:color="auto"/>
            <w:left w:val="none" w:sz="0" w:space="0" w:color="auto"/>
            <w:bottom w:val="none" w:sz="0" w:space="0" w:color="auto"/>
            <w:right w:val="none" w:sz="0" w:space="0" w:color="auto"/>
          </w:divBdr>
        </w:div>
        <w:div w:id="474106345">
          <w:marLeft w:val="0"/>
          <w:marRight w:val="0"/>
          <w:marTop w:val="0"/>
          <w:marBottom w:val="0"/>
          <w:divBdr>
            <w:top w:val="none" w:sz="0" w:space="0" w:color="auto"/>
            <w:left w:val="none" w:sz="0" w:space="0" w:color="auto"/>
            <w:bottom w:val="none" w:sz="0" w:space="0" w:color="auto"/>
            <w:right w:val="none" w:sz="0" w:space="0" w:color="auto"/>
          </w:divBdr>
        </w:div>
        <w:div w:id="568879150">
          <w:marLeft w:val="0"/>
          <w:marRight w:val="0"/>
          <w:marTop w:val="0"/>
          <w:marBottom w:val="0"/>
          <w:divBdr>
            <w:top w:val="none" w:sz="0" w:space="0" w:color="auto"/>
            <w:left w:val="none" w:sz="0" w:space="0" w:color="auto"/>
            <w:bottom w:val="none" w:sz="0" w:space="0" w:color="auto"/>
            <w:right w:val="none" w:sz="0" w:space="0" w:color="auto"/>
          </w:divBdr>
        </w:div>
        <w:div w:id="668600126">
          <w:marLeft w:val="0"/>
          <w:marRight w:val="0"/>
          <w:marTop w:val="0"/>
          <w:marBottom w:val="0"/>
          <w:divBdr>
            <w:top w:val="none" w:sz="0" w:space="0" w:color="auto"/>
            <w:left w:val="none" w:sz="0" w:space="0" w:color="auto"/>
            <w:bottom w:val="none" w:sz="0" w:space="0" w:color="auto"/>
            <w:right w:val="none" w:sz="0" w:space="0" w:color="auto"/>
          </w:divBdr>
        </w:div>
        <w:div w:id="723332067">
          <w:marLeft w:val="0"/>
          <w:marRight w:val="0"/>
          <w:marTop w:val="0"/>
          <w:marBottom w:val="0"/>
          <w:divBdr>
            <w:top w:val="none" w:sz="0" w:space="0" w:color="auto"/>
            <w:left w:val="none" w:sz="0" w:space="0" w:color="auto"/>
            <w:bottom w:val="none" w:sz="0" w:space="0" w:color="auto"/>
            <w:right w:val="none" w:sz="0" w:space="0" w:color="auto"/>
          </w:divBdr>
        </w:div>
        <w:div w:id="901871671">
          <w:marLeft w:val="0"/>
          <w:marRight w:val="0"/>
          <w:marTop w:val="0"/>
          <w:marBottom w:val="0"/>
          <w:divBdr>
            <w:top w:val="none" w:sz="0" w:space="0" w:color="auto"/>
            <w:left w:val="none" w:sz="0" w:space="0" w:color="auto"/>
            <w:bottom w:val="none" w:sz="0" w:space="0" w:color="auto"/>
            <w:right w:val="none" w:sz="0" w:space="0" w:color="auto"/>
          </w:divBdr>
        </w:div>
        <w:div w:id="919798679">
          <w:marLeft w:val="0"/>
          <w:marRight w:val="0"/>
          <w:marTop w:val="0"/>
          <w:marBottom w:val="0"/>
          <w:divBdr>
            <w:top w:val="none" w:sz="0" w:space="0" w:color="auto"/>
            <w:left w:val="none" w:sz="0" w:space="0" w:color="auto"/>
            <w:bottom w:val="none" w:sz="0" w:space="0" w:color="auto"/>
            <w:right w:val="none" w:sz="0" w:space="0" w:color="auto"/>
          </w:divBdr>
        </w:div>
        <w:div w:id="966205114">
          <w:marLeft w:val="0"/>
          <w:marRight w:val="0"/>
          <w:marTop w:val="0"/>
          <w:marBottom w:val="0"/>
          <w:divBdr>
            <w:top w:val="none" w:sz="0" w:space="0" w:color="auto"/>
            <w:left w:val="none" w:sz="0" w:space="0" w:color="auto"/>
            <w:bottom w:val="none" w:sz="0" w:space="0" w:color="auto"/>
            <w:right w:val="none" w:sz="0" w:space="0" w:color="auto"/>
          </w:divBdr>
        </w:div>
        <w:div w:id="1020401039">
          <w:marLeft w:val="0"/>
          <w:marRight w:val="0"/>
          <w:marTop w:val="0"/>
          <w:marBottom w:val="0"/>
          <w:divBdr>
            <w:top w:val="none" w:sz="0" w:space="0" w:color="auto"/>
            <w:left w:val="none" w:sz="0" w:space="0" w:color="auto"/>
            <w:bottom w:val="none" w:sz="0" w:space="0" w:color="auto"/>
            <w:right w:val="none" w:sz="0" w:space="0" w:color="auto"/>
          </w:divBdr>
        </w:div>
        <w:div w:id="1051804392">
          <w:marLeft w:val="0"/>
          <w:marRight w:val="0"/>
          <w:marTop w:val="0"/>
          <w:marBottom w:val="0"/>
          <w:divBdr>
            <w:top w:val="none" w:sz="0" w:space="0" w:color="auto"/>
            <w:left w:val="none" w:sz="0" w:space="0" w:color="auto"/>
            <w:bottom w:val="none" w:sz="0" w:space="0" w:color="auto"/>
            <w:right w:val="none" w:sz="0" w:space="0" w:color="auto"/>
          </w:divBdr>
        </w:div>
        <w:div w:id="1203985045">
          <w:marLeft w:val="0"/>
          <w:marRight w:val="0"/>
          <w:marTop w:val="0"/>
          <w:marBottom w:val="0"/>
          <w:divBdr>
            <w:top w:val="none" w:sz="0" w:space="0" w:color="auto"/>
            <w:left w:val="none" w:sz="0" w:space="0" w:color="auto"/>
            <w:bottom w:val="none" w:sz="0" w:space="0" w:color="auto"/>
            <w:right w:val="none" w:sz="0" w:space="0" w:color="auto"/>
          </w:divBdr>
        </w:div>
        <w:div w:id="1214775297">
          <w:marLeft w:val="0"/>
          <w:marRight w:val="0"/>
          <w:marTop w:val="0"/>
          <w:marBottom w:val="0"/>
          <w:divBdr>
            <w:top w:val="none" w:sz="0" w:space="0" w:color="auto"/>
            <w:left w:val="none" w:sz="0" w:space="0" w:color="auto"/>
            <w:bottom w:val="none" w:sz="0" w:space="0" w:color="auto"/>
            <w:right w:val="none" w:sz="0" w:space="0" w:color="auto"/>
          </w:divBdr>
        </w:div>
        <w:div w:id="1237206859">
          <w:marLeft w:val="0"/>
          <w:marRight w:val="0"/>
          <w:marTop w:val="0"/>
          <w:marBottom w:val="0"/>
          <w:divBdr>
            <w:top w:val="none" w:sz="0" w:space="0" w:color="auto"/>
            <w:left w:val="none" w:sz="0" w:space="0" w:color="auto"/>
            <w:bottom w:val="none" w:sz="0" w:space="0" w:color="auto"/>
            <w:right w:val="none" w:sz="0" w:space="0" w:color="auto"/>
          </w:divBdr>
        </w:div>
        <w:div w:id="1267614295">
          <w:marLeft w:val="0"/>
          <w:marRight w:val="0"/>
          <w:marTop w:val="0"/>
          <w:marBottom w:val="0"/>
          <w:divBdr>
            <w:top w:val="none" w:sz="0" w:space="0" w:color="auto"/>
            <w:left w:val="none" w:sz="0" w:space="0" w:color="auto"/>
            <w:bottom w:val="none" w:sz="0" w:space="0" w:color="auto"/>
            <w:right w:val="none" w:sz="0" w:space="0" w:color="auto"/>
          </w:divBdr>
        </w:div>
        <w:div w:id="1587107011">
          <w:marLeft w:val="0"/>
          <w:marRight w:val="0"/>
          <w:marTop w:val="0"/>
          <w:marBottom w:val="0"/>
          <w:divBdr>
            <w:top w:val="none" w:sz="0" w:space="0" w:color="auto"/>
            <w:left w:val="none" w:sz="0" w:space="0" w:color="auto"/>
            <w:bottom w:val="none" w:sz="0" w:space="0" w:color="auto"/>
            <w:right w:val="none" w:sz="0" w:space="0" w:color="auto"/>
          </w:divBdr>
        </w:div>
        <w:div w:id="1673099833">
          <w:marLeft w:val="0"/>
          <w:marRight w:val="0"/>
          <w:marTop w:val="0"/>
          <w:marBottom w:val="0"/>
          <w:divBdr>
            <w:top w:val="none" w:sz="0" w:space="0" w:color="auto"/>
            <w:left w:val="none" w:sz="0" w:space="0" w:color="auto"/>
            <w:bottom w:val="none" w:sz="0" w:space="0" w:color="auto"/>
            <w:right w:val="none" w:sz="0" w:space="0" w:color="auto"/>
          </w:divBdr>
        </w:div>
        <w:div w:id="1676689890">
          <w:marLeft w:val="0"/>
          <w:marRight w:val="0"/>
          <w:marTop w:val="0"/>
          <w:marBottom w:val="0"/>
          <w:divBdr>
            <w:top w:val="none" w:sz="0" w:space="0" w:color="auto"/>
            <w:left w:val="none" w:sz="0" w:space="0" w:color="auto"/>
            <w:bottom w:val="none" w:sz="0" w:space="0" w:color="auto"/>
            <w:right w:val="none" w:sz="0" w:space="0" w:color="auto"/>
          </w:divBdr>
        </w:div>
      </w:divsChild>
    </w:div>
    <w:div w:id="208005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heline.org.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manda.alford@ourwatch.org.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8" Type="http://schemas.openxmlformats.org/officeDocument/2006/relationships/hyperlink" Target="https://www.dss.gov.au/sexual-consent/the-commonwealth-consent-policy-framework" TargetMode="External"/><Relationship Id="rId3" Type="http://schemas.openxmlformats.org/officeDocument/2006/relationships/hyperlink" Target="https://www.theline.org.au/background-and-research/" TargetMode="External"/><Relationship Id="rId7" Type="http://schemas.openxmlformats.org/officeDocument/2006/relationships/hyperlink" Target="https://www.aph.gov.au/Parliamentary_Business/Committees/Senate/Legal_and_Constitutional_Affairs/sexualcontentlaws/Report" TargetMode="External"/><Relationship Id="rId2" Type="http://schemas.openxmlformats.org/officeDocument/2006/relationships/hyperlink" Target="https://www.tandfonline.com/doi/full/10.1080/15546128.2020.1856744" TargetMode="External"/><Relationship Id="rId1" Type="http://schemas.openxmlformats.org/officeDocument/2006/relationships/hyperlink" Target="https://www.ccyp.com.au/wp-content/uploads/2022/03/Sex-Education-in-South-Australia.pdf" TargetMode="External"/><Relationship Id="rId6" Type="http://schemas.openxmlformats.org/officeDocument/2006/relationships/hyperlink" Target="https://www.theline.org.au/do-you-recognise-consent/" TargetMode="External"/><Relationship Id="rId5" Type="http://schemas.openxmlformats.org/officeDocument/2006/relationships/hyperlink" Target="https://www.theline.org.au/consent-do-you-get-it/" TargetMode="External"/><Relationship Id="rId10" Type="http://schemas.openxmlformats.org/officeDocument/2006/relationships/hyperlink" Target="https://doi.org/10.1007/978-3-%20030-92446-1" TargetMode="External"/><Relationship Id="rId4" Type="http://schemas.openxmlformats.org/officeDocument/2006/relationships/hyperlink" Target="https://d2bb010tdzqaq7.cloudfront.net/wp-content/uploads/sites/2/2019/11/06041304/OurWatch-TheLineInfo_final.pdf" TargetMode="External"/><Relationship Id="rId9" Type="http://schemas.openxmlformats.org/officeDocument/2006/relationships/hyperlink" Target="https://www.unaids.org/sites/default/files/media_asset/ITGSE_en.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doi.org/10.1007/978-3-%20030-92446-1" TargetMode="External"/><Relationship Id="rId2" Type="http://schemas.openxmlformats.org/officeDocument/2006/relationships/hyperlink" Target="https://www.ccyp.com.au/wp-content/uploads/2022/03/Sex-Education-in-South-Australia.pdf" TargetMode="External"/><Relationship Id="rId1" Type="http://schemas.openxmlformats.org/officeDocument/2006/relationships/hyperlink" Target="https://www.unaids.org/sites/default/files/media_asset/ITGSE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hewitt\Downloads\2024.01_%20Our%20Watch_%20Victorian%20Government&#8217;s%20Family%20Violence%20Reform%20Rolling%20Action%20Plan%202024-26_Consultation.dotx" TargetMode="External"/></Relationships>
</file>

<file path=word/documenttasks/documenttasks1.xml><?xml version="1.0" encoding="utf-8"?>
<t:Tasks xmlns:t="http://schemas.microsoft.com/office/tasks/2019/documenttasks" xmlns:oel="http://schemas.microsoft.com/office/2019/extlst">
  <t:Task id="{C7C93BCE-8D44-4B98-85D9-00E0C6BC22B9}">
    <t:Anchor>
      <t:Comment id="1548910819"/>
    </t:Anchor>
    <t:History>
      <t:Event id="{D1A98D53-AEE1-4207-8197-809004E2599A}" time="2024-01-17T04:13:53.669Z">
        <t:Attribution userId="S::brigid.stafford@ourwatch.org.au::1e43ea8d-99d0-4281-8727-da16f7da7f08" userProvider="AD" userName="Brigid Stafford"/>
        <t:Anchor>
          <t:Comment id="1548910819"/>
        </t:Anchor>
        <t:Create/>
      </t:Event>
      <t:Event id="{62F92764-F2BF-4EDA-8A57-5336EB642AE1}" time="2024-01-17T04:13:53.669Z">
        <t:Attribution userId="S::brigid.stafford@ourwatch.org.au::1e43ea8d-99d0-4281-8727-da16f7da7f08" userProvider="AD" userName="Brigid Stafford"/>
        <t:Anchor>
          <t:Comment id="1548910819"/>
        </t:Anchor>
        <t:Assign userId="S::jessica.phillips@ourwatch.org.au::fc8fc41b-cac0-447a-9b56-ab86563496e5" userProvider="AD" userName="Jessica Phillips"/>
      </t:Event>
      <t:Event id="{FE2FC089-6199-4A16-B6CC-A1116757672E}" time="2024-01-17T04:13:53.669Z">
        <t:Attribution userId="S::brigid.stafford@ourwatch.org.au::1e43ea8d-99d0-4281-8727-da16f7da7f08" userProvider="AD" userName="Brigid Stafford"/>
        <t:Anchor>
          <t:Comment id="1548910819"/>
        </t:Anchor>
        <t:SetTitle title="@Jessica Phillips do you think this needs to be includ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8" ma:contentTypeDescription="Create a new document." ma:contentTypeScope="" ma:versionID="6073d67d71088f332fbf0ba2ddb6252d">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a5815d1081c709e34671ab0b02e4c6a8"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9b65d406-1a41-489f-810e-00adeea62ff5">
      <Terms xmlns="http://schemas.microsoft.com/office/infopath/2007/PartnerControls"/>
    </lcf76f155ced4ddcb4097134ff3c332f>
    <SharedWithUsers xmlns="ef89dfe1-2fd6-4ffd-966a-b6a657178080">
      <UserInfo>
        <DisplayName>Meg Alizzi</DisplayName>
        <AccountId>17125</AccountId>
        <AccountType/>
      </UserInfo>
      <UserInfo>
        <DisplayName>Amanda Alford</DisplayName>
        <AccountId>14932</AccountId>
        <AccountType/>
      </UserInfo>
      <UserInfo>
        <DisplayName>Genevieve Sheppard</DisplayName>
        <AccountId>198</AccountId>
        <AccountType/>
      </UserInfo>
      <UserInfo>
        <DisplayName>Cara Gleeson</DisplayName>
        <AccountId>23</AccountId>
        <AccountType/>
      </UserInfo>
      <UserInfo>
        <DisplayName>Brigid Stafford</DisplayName>
        <AccountId>30183</AccountId>
        <AccountType/>
      </UserInfo>
      <UserInfo>
        <DisplayName>Renata Field</DisplayName>
        <AccountId>22572</AccountId>
        <AccountType/>
      </UserInfo>
    </SharedWithUsers>
  </documentManagement>
</p:properties>
</file>

<file path=customXml/itemProps1.xml><?xml version="1.0" encoding="utf-8"?>
<ds:datastoreItem xmlns:ds="http://schemas.openxmlformats.org/officeDocument/2006/customXml" ds:itemID="{AF662B6B-16C7-4F55-B2FF-CB783A956387}">
  <ds:schemaRefs>
    <ds:schemaRef ds:uri="http://schemas.openxmlformats.org/officeDocument/2006/bibliography"/>
  </ds:schemaRefs>
</ds:datastoreItem>
</file>

<file path=customXml/itemProps2.xml><?xml version="1.0" encoding="utf-8"?>
<ds:datastoreItem xmlns:ds="http://schemas.openxmlformats.org/officeDocument/2006/customXml" ds:itemID="{DE449A18-2FDE-4E2D-AFD8-901102B77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5d406-1a41-489f-810e-00adeea62ff5"/>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71F38A-BB3A-4991-9243-FCDBA0DD313C}">
  <ds:schemaRefs>
    <ds:schemaRef ds:uri="http://schemas.microsoft.com/sharepoint/v3/contenttype/forms"/>
  </ds:schemaRefs>
</ds:datastoreItem>
</file>

<file path=customXml/itemProps4.xml><?xml version="1.0" encoding="utf-8"?>
<ds:datastoreItem xmlns:ds="http://schemas.openxmlformats.org/officeDocument/2006/customXml" ds:itemID="{9B5F4AE7-A86F-4DAD-8B50-5F568F7AD193}">
  <ds:schemaRefs>
    <ds:schemaRef ds:uri="http://schemas.microsoft.com/office/2006/metadata/properties"/>
    <ds:schemaRef ds:uri="http://schemas.microsoft.com/office/infopath/2007/PartnerControls"/>
    <ds:schemaRef ds:uri="ef89dfe1-2fd6-4ffd-966a-b6a657178080"/>
    <ds:schemaRef ds:uri="9b65d406-1a41-489f-810e-00adeea62ff5"/>
  </ds:schemaRefs>
</ds:datastoreItem>
</file>

<file path=docProps/app.xml><?xml version="1.0" encoding="utf-8"?>
<Properties xmlns="http://schemas.openxmlformats.org/officeDocument/2006/extended-properties" xmlns:vt="http://schemas.openxmlformats.org/officeDocument/2006/docPropsVTypes">
  <Template>2024.01_ Our Watch_ Victorian Government’s Family Violence Reform Rolling Action Plan 2024-26_Consultation.dotx</Template>
  <TotalTime>12280</TotalTime>
  <Pages>1</Pages>
  <Words>5072</Words>
  <Characters>28917</Characters>
  <Application>Microsoft Office Word</Application>
  <DocSecurity>4</DocSecurity>
  <Lines>240</Lines>
  <Paragraphs>67</Paragraphs>
  <ScaleCrop>false</ScaleCrop>
  <Manager/>
  <Company>Our Watch</Company>
  <LinksUpToDate>false</LinksUpToDate>
  <CharactersWithSpaces>33922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Letterhead</dc:subject>
  <dc:creator>Sarah Hewitt</dc:creator>
  <cp:keywords/>
  <dc:description/>
  <cp:lastModifiedBy>Genevieve Sheppard</cp:lastModifiedBy>
  <cp:revision>271</cp:revision>
  <cp:lastPrinted>2018-10-11T18:40:00Z</cp:lastPrinted>
  <dcterms:created xsi:type="dcterms:W3CDTF">2024-01-31T17:50:00Z</dcterms:created>
  <dcterms:modified xsi:type="dcterms:W3CDTF">2024-02-13T00:51:00Z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y fmtid="{D5CDD505-2E9C-101B-9397-08002B2CF9AE}" pid="3" name="Resource topic">
    <vt:lpwstr>2;#Human Resources​|891f3b2e-31d8-4e10-b722-b6aa05761426</vt:lpwstr>
  </property>
  <property fmtid="{D5CDD505-2E9C-101B-9397-08002B2CF9AE}" pid="4" name="Document Type">
    <vt:lpwstr>50;#Template|f56ca8d8-20d6-4804-b4a3-7a1d87ff7ac6</vt:lpwstr>
  </property>
  <property fmtid="{D5CDD505-2E9C-101B-9397-08002B2CF9AE}" pid="5" name="Sub topic">
    <vt:lpwstr>39;#Selection, Recruitment and Contracting|743e46ba-11be-4679-baaa-684d04e1c999</vt:lpwstr>
  </property>
  <property fmtid="{D5CDD505-2E9C-101B-9397-08002B2CF9AE}" pid="6" name="Resource page">
    <vt:lpwstr>48;#Human resources|a80eb382-9f0e-42af-9f36-d13e42b7e82f</vt:lpwstr>
  </property>
  <property fmtid="{D5CDD505-2E9C-101B-9397-08002B2CF9AE}" pid="7" name="AuthorIds_UIVersion_2560">
    <vt:lpwstr>3099</vt:lpwstr>
  </property>
  <property fmtid="{D5CDD505-2E9C-101B-9397-08002B2CF9AE}" pid="8" name="MediaServiceImageTags">
    <vt:lpwstr/>
  </property>
</Properties>
</file>